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D54E" w14:textId="28902883" w:rsidR="004F600B" w:rsidRDefault="00000000">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000000">
      <w:pPr>
        <w:pStyle w:val="NormalWeb"/>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000000">
      <w:pPr>
        <w:pStyle w:val="NormalWeb"/>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NormalWeb"/>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000000">
      <w:pPr>
        <w:pStyle w:val="NormalWeb"/>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000000">
      <w:pPr>
        <w:pStyle w:val="NormalWeb"/>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7F7F08A0"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8"/>
          <w:szCs w:val="28"/>
          <w:rtl/>
        </w:rPr>
        <w:t>عايد عوض الرشيدي</w:t>
      </w:r>
    </w:p>
    <w:p w14:paraId="477AD30B"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000000">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الإدارة</w:t>
      </w:r>
    </w:p>
    <w:p w14:paraId="7C579233" w14:textId="77777777" w:rsidR="004F600B" w:rsidRDefault="00000000">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000000">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000000">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000000">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000000">
      <w:pPr>
        <w:pStyle w:val="NormalWeb"/>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000000">
      <w:pPr>
        <w:pStyle w:val="NormalWeb"/>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By</w:t>
      </w:r>
    </w:p>
    <w:p w14:paraId="713F0C56"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8"/>
          <w:szCs w:val="28"/>
        </w:rPr>
        <w:t>Ayed Awadh Alreshidi</w:t>
      </w:r>
    </w:p>
    <w:p w14:paraId="1AC926DF"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53A057F0" w14:textId="77777777" w:rsidR="004F600B" w:rsidRDefault="00000000">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Management</w:t>
      </w:r>
    </w:p>
    <w:p w14:paraId="495A879A"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110EAA0" w14:textId="77777777" w:rsidR="004F600B" w:rsidRDefault="00000000">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000000">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TableGrid"/>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000000">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000000">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الفصل الأول :الإطار المنهجي للدراسة ................................................</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مقدمة الدراسة</w:t>
            </w:r>
          </w:p>
        </w:tc>
        <w:tc>
          <w:tcPr>
            <w:tcW w:w="1413" w:type="dxa"/>
          </w:tcPr>
          <w:p w14:paraId="181C91B1"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29357B34" w14:textId="77777777">
        <w:tc>
          <w:tcPr>
            <w:tcW w:w="6947" w:type="dxa"/>
          </w:tcPr>
          <w:p w14:paraId="0171D9EA"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مشكلة الدراسة</w:t>
            </w:r>
          </w:p>
        </w:tc>
        <w:tc>
          <w:tcPr>
            <w:tcW w:w="1413" w:type="dxa"/>
          </w:tcPr>
          <w:p w14:paraId="07C199C9"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215F5CA1" w14:textId="77777777">
        <w:tc>
          <w:tcPr>
            <w:tcW w:w="6947" w:type="dxa"/>
          </w:tcPr>
          <w:p w14:paraId="03C44E4D"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تساؤلات الدراسة</w:t>
            </w:r>
          </w:p>
        </w:tc>
        <w:tc>
          <w:tcPr>
            <w:tcW w:w="1413" w:type="dxa"/>
          </w:tcPr>
          <w:p w14:paraId="1CFC97FC"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6ABEDA72" w14:textId="77777777">
        <w:tc>
          <w:tcPr>
            <w:tcW w:w="6947" w:type="dxa"/>
          </w:tcPr>
          <w:p w14:paraId="62713F8D"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أهمية الدراسة</w:t>
            </w:r>
          </w:p>
        </w:tc>
        <w:tc>
          <w:tcPr>
            <w:tcW w:w="1413" w:type="dxa"/>
          </w:tcPr>
          <w:p w14:paraId="2D9FE91D"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0F8348CB" w14:textId="77777777">
        <w:tc>
          <w:tcPr>
            <w:tcW w:w="6947" w:type="dxa"/>
          </w:tcPr>
          <w:p w14:paraId="36CF2A3F"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أهداف الدراسة</w:t>
            </w:r>
          </w:p>
        </w:tc>
        <w:tc>
          <w:tcPr>
            <w:tcW w:w="1413" w:type="dxa"/>
          </w:tcPr>
          <w:p w14:paraId="44947CC4"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42A6D6F4" w14:textId="77777777">
        <w:tc>
          <w:tcPr>
            <w:tcW w:w="6947" w:type="dxa"/>
          </w:tcPr>
          <w:p w14:paraId="3A8C4234"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فروض الدراسة</w:t>
            </w:r>
          </w:p>
        </w:tc>
        <w:tc>
          <w:tcPr>
            <w:tcW w:w="1413" w:type="dxa"/>
          </w:tcPr>
          <w:p w14:paraId="31D4900B"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04823E0C" w14:textId="77777777">
        <w:tc>
          <w:tcPr>
            <w:tcW w:w="6947" w:type="dxa"/>
          </w:tcPr>
          <w:p w14:paraId="15912A22"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مفاهيم ومصطلحات الدراسة</w:t>
            </w:r>
          </w:p>
        </w:tc>
        <w:tc>
          <w:tcPr>
            <w:tcW w:w="1413" w:type="dxa"/>
          </w:tcPr>
          <w:p w14:paraId="7D0A0582"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5422ECB5" w14:textId="77777777">
        <w:tc>
          <w:tcPr>
            <w:tcW w:w="6947" w:type="dxa"/>
          </w:tcPr>
          <w:p w14:paraId="1393028B"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حدود الدراسة</w:t>
            </w:r>
          </w:p>
        </w:tc>
        <w:tc>
          <w:tcPr>
            <w:tcW w:w="1413" w:type="dxa"/>
          </w:tcPr>
          <w:p w14:paraId="09D53A1C"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50A2043D" w14:textId="77777777">
        <w:tc>
          <w:tcPr>
            <w:tcW w:w="6947" w:type="dxa"/>
          </w:tcPr>
          <w:p w14:paraId="5ADFBFDB"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إجراءات ومنهجية الدراسة</w:t>
            </w:r>
          </w:p>
        </w:tc>
        <w:tc>
          <w:tcPr>
            <w:tcW w:w="1413" w:type="dxa"/>
          </w:tcPr>
          <w:p w14:paraId="54D0282C"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0BDC80E9" w14:textId="77777777">
        <w:tc>
          <w:tcPr>
            <w:tcW w:w="6947" w:type="dxa"/>
          </w:tcPr>
          <w:p w14:paraId="72897358" w14:textId="77777777" w:rsidR="004F600B" w:rsidRDefault="00000000">
            <w:pPr>
              <w:pStyle w:val="ListParagraph"/>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نموذج الدراسة</w:t>
            </w:r>
          </w:p>
        </w:tc>
        <w:tc>
          <w:tcPr>
            <w:tcW w:w="1413" w:type="dxa"/>
          </w:tcPr>
          <w:p w14:paraId="1E1AF959"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6954AD06"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مقدمة الدراسة</w:t>
      </w:r>
    </w:p>
    <w:p w14:paraId="707EB005"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يُعد التميز المؤسسي ركيزة أساسية لتحقيق الجودة المستدامة، لا سيما في المؤسسات الصحية، لما له من دور في ترسيخ ثقافة التحسين المستمر، وتكامل العمليات، وقياس الأداء المؤسسي بمنهجية واضحة (السيابي، 2024). وقد اتجهت العديد من الدول إلى تبني نماذج التميز، باعتبارها أدوات استراتيجية لتعزيز الميزة التنافسية وتحقيق التميز في القيادة، والتخطيط، وتقديم الخدمة للمستفيدين، وفق أحدث الممارسات العالمية (منصور، 2021)</w:t>
      </w:r>
      <w:r>
        <w:rPr>
          <w:rFonts w:ascii="Traditional Arabic" w:hAnsi="Traditional Arabic" w:cs="Traditional Arabic"/>
          <w:color w:val="000000" w:themeColor="text1"/>
          <w:sz w:val="24"/>
          <w:szCs w:val="24"/>
        </w:rPr>
        <w:t>.</w:t>
      </w:r>
    </w:p>
    <w:p w14:paraId="47339EC9"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 xml:space="preserve">     </w:t>
      </w:r>
      <w:commentRangeStart w:id="0"/>
      <w:r>
        <w:rPr>
          <w:rFonts w:ascii="Traditional Arabic" w:hAnsi="Traditional Arabic" w:cs="Traditional Arabic"/>
          <w:color w:val="000000" w:themeColor="text1"/>
          <w:sz w:val="24"/>
          <w:szCs w:val="24"/>
          <w:rtl/>
        </w:rPr>
        <w:t xml:space="preserve">وفي هذا السياق، يشهد القطاع الصحي في المملكة العربية السعودية تحولات كبرى في إطار رؤية المملكة 2030، عبر تنفيذ برنامج </w:t>
      </w:r>
      <w:commentRangeStart w:id="1"/>
      <w:r>
        <w:rPr>
          <w:rFonts w:ascii="Traditional Arabic" w:hAnsi="Traditional Arabic" w:cs="Traditional Arabic"/>
          <w:color w:val="000000" w:themeColor="text1"/>
          <w:sz w:val="24"/>
          <w:szCs w:val="24"/>
          <w:rtl/>
        </w:rPr>
        <w:t>التحول الصحي</w:t>
      </w:r>
      <w:commentRangeEnd w:id="1"/>
      <w:r w:rsidR="00084481">
        <w:rPr>
          <w:rStyle w:val="CommentReference"/>
          <w:rFonts w:ascii="Traditional Arabic" w:hAnsi="Traditional Arabic" w:cs="Traditional Arabic"/>
          <w:color w:val="000000" w:themeColor="text1"/>
          <w:sz w:val="24"/>
          <w:szCs w:val="24"/>
          <w:rtl/>
        </w:rPr>
        <w:commentReference w:id="1"/>
      </w:r>
      <w:r>
        <w:rPr>
          <w:rFonts w:ascii="Traditional Arabic" w:hAnsi="Traditional Arabic" w:cs="Traditional Arabic"/>
          <w:color w:val="000000" w:themeColor="text1"/>
          <w:sz w:val="24"/>
          <w:szCs w:val="24"/>
          <w:rtl/>
        </w:rPr>
        <w:t>، الذي يهدف إلى إعادة هيكلة المنظومة الصحية لرفع الكفاءة، وتحقيق الجودة المستدامة، وتعزيز تجربة المريض حيث يُعد التميز المؤسسي أحد الأسس الجوهرية لهذا التحول، لما يقدمه من برامج داعمة للإصلاح والتطوير، متماشية مع أهداف الرؤية الوطنية (الرويلي، 2025)</w:t>
      </w:r>
      <w:r>
        <w:rPr>
          <w:rFonts w:ascii="Traditional Arabic" w:hAnsi="Traditional Arabic" w:cs="Traditional Arabic"/>
          <w:color w:val="000000" w:themeColor="text1"/>
          <w:sz w:val="24"/>
          <w:szCs w:val="24"/>
        </w:rPr>
        <w:t>.</w:t>
      </w:r>
      <w:commentRangeEnd w:id="0"/>
      <w:r w:rsidR="00FF67F2">
        <w:rPr>
          <w:rStyle w:val="CommentReference"/>
          <w:rFonts w:ascii="Traditional Arabic" w:hAnsi="Traditional Arabic" w:cs="Traditional Arabic"/>
          <w:color w:val="000000" w:themeColor="text1"/>
          <w:sz w:val="24"/>
          <w:szCs w:val="24"/>
        </w:rPr>
        <w:commentReference w:id="0"/>
      </w:r>
    </w:p>
    <w:p w14:paraId="225F5F4F"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w:t>
      </w:r>
      <w:commentRangeStart w:id="2"/>
      <w:r>
        <w:rPr>
          <w:rFonts w:ascii="Traditional Arabic" w:hAnsi="Traditional Arabic" w:cs="Traditional Arabic"/>
          <w:color w:val="000000" w:themeColor="text1"/>
          <w:sz w:val="24"/>
          <w:szCs w:val="24"/>
          <w:rtl/>
        </w:rPr>
        <w:t>واستجابة لهذه التوجهات، تم تطوير النموذج الوطني للتميز المؤسسي لجائزة الملك عبد العزيز للجودة في عام 2022، ليواكب مستجدات الجودة والابتكار والاستدامة</w:t>
      </w:r>
      <w:r>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tl/>
        </w:rPr>
        <w:t xml:space="preserve">، </w:t>
      </w:r>
      <w:r>
        <w:rPr>
          <w:rFonts w:ascii="Traditional Arabic" w:hAnsi="Traditional Arabic" w:cs="Traditional Arabic" w:hint="cs"/>
          <w:color w:val="000000" w:themeColor="text1"/>
          <w:sz w:val="24"/>
          <w:szCs w:val="24"/>
          <w:rtl/>
        </w:rPr>
        <w:t>و</w:t>
      </w:r>
      <w:r>
        <w:rPr>
          <w:rFonts w:ascii="Traditional Arabic" w:hAnsi="Traditional Arabic" w:cs="Traditional Arabic"/>
          <w:color w:val="000000" w:themeColor="text1"/>
          <w:sz w:val="24"/>
          <w:szCs w:val="24"/>
          <w:rtl/>
        </w:rPr>
        <w:t xml:space="preserve">"التركيز على المستفيد" بوصفه أحد المبادئ المحورية لتحقيق الكفاءة التشغيلية </w:t>
      </w:r>
      <w:r>
        <w:rPr>
          <w:rFonts w:ascii="Traditional Arabic" w:hAnsi="Traditional Arabic" w:cs="Traditional Arabic" w:hint="cs"/>
          <w:color w:val="000000" w:themeColor="text1"/>
          <w:sz w:val="24"/>
          <w:szCs w:val="24"/>
          <w:rtl/>
        </w:rPr>
        <w:t xml:space="preserve">بالرعاية الصحية </w:t>
      </w:r>
      <w:r>
        <w:rPr>
          <w:rFonts w:ascii="Traditional Arabic" w:hAnsi="Traditional Arabic" w:cs="Traditional Arabic"/>
          <w:color w:val="000000" w:themeColor="text1"/>
          <w:sz w:val="24"/>
          <w:szCs w:val="24"/>
          <w:rtl/>
        </w:rPr>
        <w:t xml:space="preserve">(جائزة الملك عبد العزيز للجودة، 2022). </w:t>
      </w:r>
      <w:commentRangeEnd w:id="2"/>
      <w:r w:rsidR="00FF67F2">
        <w:rPr>
          <w:rStyle w:val="CommentReference"/>
          <w:rFonts w:ascii="Traditional Arabic" w:hAnsi="Traditional Arabic" w:cs="Traditional Arabic"/>
          <w:color w:val="000000" w:themeColor="text1"/>
          <w:sz w:val="24"/>
          <w:szCs w:val="24"/>
          <w:rtl/>
        </w:rPr>
        <w:commentReference w:id="2"/>
      </w:r>
    </w:p>
    <w:p w14:paraId="3FD82ED1"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commentRangeStart w:id="3"/>
      <w:r>
        <w:rPr>
          <w:rFonts w:ascii="Traditional Arabic" w:hAnsi="Traditional Arabic" w:cs="Traditional Arabic"/>
          <w:color w:val="000000" w:themeColor="text1"/>
          <w:sz w:val="24"/>
          <w:szCs w:val="24"/>
          <w:rtl/>
        </w:rPr>
        <w:t xml:space="preserve">وقد أُنشئت التجمعات الصحية كأذرع تنفيذية لتحقيق </w:t>
      </w:r>
      <w:r>
        <w:rPr>
          <w:rFonts w:ascii="Traditional Arabic" w:hAnsi="Traditional Arabic" w:cs="Traditional Arabic" w:hint="cs"/>
          <w:color w:val="000000" w:themeColor="text1"/>
          <w:sz w:val="24"/>
          <w:szCs w:val="24"/>
          <w:rtl/>
        </w:rPr>
        <w:t xml:space="preserve">هذه </w:t>
      </w:r>
      <w:r>
        <w:rPr>
          <w:rFonts w:ascii="Traditional Arabic" w:hAnsi="Traditional Arabic" w:cs="Traditional Arabic"/>
          <w:color w:val="000000" w:themeColor="text1"/>
          <w:sz w:val="24"/>
          <w:szCs w:val="24"/>
          <w:rtl/>
        </w:rPr>
        <w:t>الكفاءة التشغيلية</w:t>
      </w:r>
      <w:commentRangeEnd w:id="3"/>
      <w:r w:rsidR="000D0E25">
        <w:rPr>
          <w:rStyle w:val="CommentReference"/>
          <w:rFonts w:ascii="Traditional Arabic" w:hAnsi="Traditional Arabic" w:cs="Traditional Arabic"/>
          <w:color w:val="000000" w:themeColor="text1"/>
          <w:sz w:val="24"/>
          <w:szCs w:val="24"/>
          <w:rtl/>
        </w:rPr>
        <w:commentReference w:id="3"/>
      </w:r>
      <w:r>
        <w:rPr>
          <w:rFonts w:ascii="Traditional Arabic" w:hAnsi="Traditional Arabic" w:cs="Traditional Arabic"/>
          <w:color w:val="000000" w:themeColor="text1"/>
          <w:sz w:val="24"/>
          <w:szCs w:val="24"/>
          <w:rtl/>
        </w:rPr>
        <w:t xml:space="preserve">، وكان من أبرز أدواتها الاستراتيجية تطبيق هذا النموذج كمرجعية شاملة لتحسين الأداء المؤسسي </w:t>
      </w:r>
      <w:r>
        <w:rPr>
          <w:rFonts w:ascii="Traditional Arabic" w:hAnsi="Traditional Arabic" w:cs="Traditional Arabic" w:hint="cs"/>
          <w:color w:val="000000" w:themeColor="text1"/>
          <w:sz w:val="24"/>
          <w:szCs w:val="24"/>
          <w:rtl/>
        </w:rPr>
        <w:t xml:space="preserve">وجودة </w:t>
      </w:r>
      <w:r>
        <w:rPr>
          <w:rFonts w:ascii="Traditional Arabic" w:hAnsi="Traditional Arabic" w:cs="Traditional Arabic"/>
          <w:color w:val="000000" w:themeColor="text1"/>
          <w:sz w:val="24"/>
          <w:szCs w:val="24"/>
          <w:rtl/>
        </w:rPr>
        <w:t>الرعاية الصحية</w:t>
      </w:r>
      <w:r>
        <w:rPr>
          <w:rFonts w:ascii="Traditional Arabic" w:hAnsi="Traditional Arabic" w:cs="Traditional Arabic" w:hint="cs"/>
          <w:color w:val="000000" w:themeColor="text1"/>
          <w:sz w:val="24"/>
          <w:szCs w:val="24"/>
          <w:rtl/>
        </w:rPr>
        <w:t xml:space="preserve">، </w:t>
      </w:r>
      <w:commentRangeStart w:id="4"/>
      <w:r>
        <w:rPr>
          <w:rFonts w:ascii="Traditional Arabic" w:hAnsi="Traditional Arabic" w:cs="Traditional Arabic"/>
          <w:color w:val="000000" w:themeColor="text1"/>
          <w:sz w:val="24"/>
          <w:szCs w:val="24"/>
          <w:rtl/>
        </w:rPr>
        <w:t xml:space="preserve">كما تبنت وزارة الصحة مجموعة من المؤشرات لقياس جودة الأداء، في مقدمتها "جودة تجربة المريض"، لكونها تعكس فعالية الرعاية ودعم القرارات التطويرية (وزارة الصحة، 2024). </w:t>
      </w:r>
      <w:commentRangeEnd w:id="4"/>
      <w:r w:rsidR="000D0E25">
        <w:rPr>
          <w:rStyle w:val="CommentReference"/>
          <w:rFonts w:ascii="Traditional Arabic" w:hAnsi="Traditional Arabic" w:cs="Traditional Arabic"/>
          <w:color w:val="000000" w:themeColor="text1"/>
          <w:sz w:val="24"/>
          <w:szCs w:val="24"/>
          <w:rtl/>
        </w:rPr>
        <w:commentReference w:id="4"/>
      </w:r>
    </w:p>
    <w:p w14:paraId="6388EEF3"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commentRangeStart w:id="5"/>
      <w:r>
        <w:rPr>
          <w:rFonts w:ascii="Traditional Arabic" w:hAnsi="Traditional Arabic" w:cs="Traditional Arabic" w:hint="cs"/>
          <w:color w:val="000000" w:themeColor="text1"/>
          <w:sz w:val="24"/>
          <w:szCs w:val="24"/>
          <w:rtl/>
        </w:rPr>
        <w:t xml:space="preserve">ويجدر الإشارة </w:t>
      </w:r>
      <w:r>
        <w:rPr>
          <w:rFonts w:ascii="Traditional Arabic" w:hAnsi="Traditional Arabic" w:cs="Traditional Arabic"/>
          <w:color w:val="000000" w:themeColor="text1"/>
          <w:sz w:val="24"/>
          <w:szCs w:val="24"/>
          <w:rtl/>
        </w:rPr>
        <w:t xml:space="preserve">أن تجربة المريض أصبحت جزءًا لا يتجزأ من مفهوم "تجربة </w:t>
      </w:r>
      <w:r>
        <w:rPr>
          <w:rFonts w:ascii="Traditional Arabic" w:hAnsi="Traditional Arabic" w:cs="Traditional Arabic" w:hint="cs"/>
          <w:color w:val="000000" w:themeColor="text1"/>
          <w:sz w:val="24"/>
          <w:szCs w:val="24"/>
          <w:rtl/>
        </w:rPr>
        <w:t>المستفيد</w:t>
      </w:r>
      <w:r>
        <w:rPr>
          <w:rFonts w:ascii="Traditional Arabic" w:hAnsi="Traditional Arabic" w:cs="Traditional Arabic"/>
          <w:color w:val="000000" w:themeColor="text1"/>
          <w:sz w:val="24"/>
          <w:szCs w:val="24"/>
          <w:rtl/>
        </w:rPr>
        <w:t>" في المنظمات الصحية، بما يشمل المرضى والعاملين، مما يبرز أهمية دمج الأبعاد المؤسسية مع تجربة المستفيد لتحقيق جودة مستدامة (</w:t>
      </w:r>
      <w:r>
        <w:rPr>
          <w:rFonts w:ascii="Traditional Arabic" w:hAnsi="Traditional Arabic" w:cs="Traditional Arabic"/>
          <w:color w:val="000000" w:themeColor="text1"/>
          <w:sz w:val="24"/>
          <w:szCs w:val="24"/>
        </w:rPr>
        <w:t>The Beryl Institute, 2025</w:t>
      </w:r>
      <w:r>
        <w:rPr>
          <w:rFonts w:ascii="Traditional Arabic" w:hAnsi="Traditional Arabic" w:cs="Traditional Arabic"/>
          <w:color w:val="000000" w:themeColor="text1"/>
          <w:sz w:val="24"/>
          <w:szCs w:val="24"/>
          <w:rtl/>
        </w:rPr>
        <w:t>).</w:t>
      </w:r>
      <w:commentRangeEnd w:id="5"/>
      <w:r w:rsidR="000D0E25">
        <w:rPr>
          <w:rStyle w:val="CommentReference"/>
          <w:rFonts w:ascii="Traditional Arabic" w:hAnsi="Traditional Arabic" w:cs="Traditional Arabic"/>
          <w:color w:val="000000" w:themeColor="text1"/>
          <w:sz w:val="24"/>
          <w:szCs w:val="24"/>
          <w:rtl/>
        </w:rPr>
        <w:commentReference w:id="5"/>
      </w:r>
    </w:p>
    <w:p w14:paraId="1743D71E"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commentRangeStart w:id="6"/>
      <w:r>
        <w:rPr>
          <w:rFonts w:ascii="Traditional Arabic" w:hAnsi="Traditional Arabic" w:cs="Traditional Arabic"/>
          <w:color w:val="000000" w:themeColor="text1"/>
          <w:sz w:val="24"/>
          <w:szCs w:val="24"/>
          <w:rtl/>
        </w:rPr>
        <w:t xml:space="preserve">وعلى الرغم من ازدياد الدراسات المهتمة بعلاقة التميز المؤسسي بجودة الأداء، إلا أن العلاقة بين تطبيق النموذج الوطني للتميز المؤسسي وجودة تجربة المريض ما تزال بحاجة إلى المزيد من الدراسة، مما يشير إلى فجوة بحثية قائمة </w:t>
      </w:r>
      <w:r>
        <w:rPr>
          <w:rFonts w:ascii="Traditional Arabic" w:hAnsi="Traditional Arabic" w:cs="Traditional Arabic"/>
          <w:color w:val="000000" w:themeColor="text1"/>
          <w:sz w:val="24"/>
          <w:szCs w:val="24"/>
        </w:rPr>
        <w:t>(Alkahtani et al., 2024)</w:t>
      </w:r>
      <w:r>
        <w:rPr>
          <w:rFonts w:ascii="Traditional Arabic" w:hAnsi="Traditional Arabic" w:cs="Traditional Arabic"/>
          <w:color w:val="000000" w:themeColor="text1"/>
          <w:sz w:val="24"/>
          <w:szCs w:val="24"/>
          <w:rtl/>
        </w:rPr>
        <w:t>.</w:t>
      </w:r>
      <w:commentRangeEnd w:id="6"/>
      <w:r w:rsidR="007F1B38">
        <w:rPr>
          <w:rStyle w:val="CommentReference"/>
          <w:rFonts w:ascii="Traditional Arabic" w:hAnsi="Traditional Arabic" w:cs="Traditional Arabic"/>
          <w:color w:val="000000" w:themeColor="text1"/>
          <w:sz w:val="24"/>
          <w:szCs w:val="24"/>
          <w:rtl/>
        </w:rPr>
        <w:commentReference w:id="6"/>
      </w:r>
    </w:p>
    <w:p w14:paraId="20A05086"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ونظرًا لاعتماد تجمع القصيم الصحي على تطبيق </w:t>
      </w:r>
      <w:bookmarkStart w:id="7" w:name="_Hlk204192714"/>
      <w:r>
        <w:rPr>
          <w:rFonts w:ascii="Traditional Arabic" w:hAnsi="Traditional Arabic" w:cs="Traditional Arabic"/>
          <w:color w:val="000000" w:themeColor="text1"/>
          <w:sz w:val="24"/>
          <w:szCs w:val="24"/>
          <w:rtl/>
        </w:rPr>
        <w:t>النموذج الوطني للتميز المؤسسي لجائزة الملك عبد العزيز للجودة</w:t>
      </w:r>
      <w:bookmarkEnd w:id="7"/>
      <w:r>
        <w:rPr>
          <w:rFonts w:ascii="Traditional Arabic" w:hAnsi="Traditional Arabic" w:cs="Traditional Arabic"/>
          <w:color w:val="000000" w:themeColor="text1"/>
          <w:sz w:val="24"/>
          <w:szCs w:val="24"/>
          <w:rtl/>
        </w:rPr>
        <w:t xml:space="preserve">، وكذلك "جودة تجربة المريض" مؤشرًا رئيسيًا لقياس </w:t>
      </w:r>
      <w:r>
        <w:rPr>
          <w:rFonts w:ascii="Traditional Arabic" w:hAnsi="Traditional Arabic" w:cs="Traditional Arabic" w:hint="cs"/>
          <w:color w:val="000000" w:themeColor="text1"/>
          <w:sz w:val="24"/>
          <w:szCs w:val="24"/>
          <w:rtl/>
        </w:rPr>
        <w:t xml:space="preserve">جودة </w:t>
      </w:r>
      <w:r>
        <w:rPr>
          <w:rFonts w:ascii="Traditional Arabic" w:hAnsi="Traditional Arabic" w:cs="Traditional Arabic"/>
          <w:color w:val="000000" w:themeColor="text1"/>
          <w:sz w:val="24"/>
          <w:szCs w:val="24"/>
          <w:rtl/>
        </w:rPr>
        <w:t xml:space="preserve">الأداء (شركة الصحة القابضة، 2024)، فإنه يمثل بيئة مناسبة لاستكشاف ودراسة أثر هذا النموذج (كمتغير مستقل) على جودة تجربة المريض (كمتغير تابع)، بما يسهم في تعزيز وعي التجمعات الصحية والمؤسسات الأخرى بأهمية تطبيق </w:t>
      </w:r>
      <w:r>
        <w:rPr>
          <w:rFonts w:ascii="Traditional Arabic" w:hAnsi="Traditional Arabic" w:cs="Traditional Arabic"/>
          <w:color w:val="000000" w:themeColor="text1"/>
          <w:sz w:val="24"/>
          <w:szCs w:val="24"/>
          <w:rtl/>
        </w:rPr>
        <w:lastRenderedPageBreak/>
        <w:t>النموذج الوطني للتميز المؤسسي لجائزة الملك عبد العزيز للجودة ، من خلال إيضاح الأثر الإيجابي المتوقع على جودة تجربة المريض، وتشجيعها على تبني النموذج بشكل أوسع، بما يدعم مسار التحول الصحي بالمملكة</w:t>
      </w:r>
      <w:r>
        <w:rPr>
          <w:rFonts w:ascii="Traditional Arabic" w:hAnsi="Traditional Arabic" w:cs="Traditional Arabic"/>
          <w:color w:val="000000" w:themeColor="text1"/>
          <w:sz w:val="24"/>
          <w:szCs w:val="24"/>
        </w:rPr>
        <w:t>.</w:t>
      </w:r>
    </w:p>
    <w:p w14:paraId="413DE81E"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t xml:space="preserve">مشكلة الدراسة </w:t>
      </w:r>
      <w:r>
        <w:rPr>
          <w:rFonts w:ascii="Traditional Arabic" w:hAnsi="Traditional Arabic" w:cs="Traditional Arabic" w:hint="cs"/>
          <w:b/>
          <w:bCs/>
          <w:color w:val="000000" w:themeColor="text1"/>
          <w:sz w:val="32"/>
          <w:szCs w:val="32"/>
          <w:rtl/>
        </w:rPr>
        <w:t>:</w:t>
      </w:r>
      <w:r>
        <w:rPr>
          <w:rFonts w:ascii="Traditional Arabic" w:hAnsi="Traditional Arabic" w:cs="Traditional Arabic"/>
          <w:b/>
          <w:bCs/>
          <w:color w:val="000000" w:themeColor="text1"/>
          <w:sz w:val="32"/>
          <w:szCs w:val="32"/>
          <w:rtl/>
        </w:rPr>
        <w:t xml:space="preserve">   </w:t>
      </w:r>
    </w:p>
    <w:p w14:paraId="7EFE8CA7"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في النظم الصحية المتقدمة، يُسهم تطبيق مبادئ التميز المؤسسي في تحسين جودة الخدمات الصحية بشكل شامل، بما في ذلك رفع مستوى تجربة المريض، من خلال القيادة الفاعلة، والتخطيط الاستراتيجي، وتحسين العمليات، والتركيز على المستفيد (السيابي، 2024). ويُعد التميز المؤسسي أحد الأطر الحديثة التي تعتمدها العديد من الدول كنموذج تكاملي لتحقيق الجودة المستدامة والابتكار والتنافسية، لا سيما في ظل تزايد التحديات التي تواجه الأنظمة الصحية (منصور، 2023).</w:t>
      </w:r>
    </w:p>
    <w:p w14:paraId="0666E6FF" w14:textId="77777777" w:rsidR="004F600B" w:rsidRDefault="00000000">
      <w:pPr>
        <w:bidi/>
        <w:spacing w:before="100" w:beforeAutospacing="1" w:after="100" w:afterAutospacing="1" w:line="360" w:lineRule="auto"/>
        <w:jc w:val="both"/>
        <w:rPr>
          <w:rFonts w:ascii="Traditional Arabic" w:hAnsi="Traditional Arabic" w:cs="Traditional Arabic" w:hint="cs"/>
          <w:color w:val="000000" w:themeColor="text1"/>
          <w:sz w:val="24"/>
          <w:szCs w:val="24"/>
          <w:rtl/>
        </w:rPr>
      </w:pPr>
      <w:r>
        <w:rPr>
          <w:rFonts w:ascii="Traditional Arabic" w:hAnsi="Traditional Arabic" w:cs="Traditional Arabic"/>
          <w:color w:val="000000" w:themeColor="text1"/>
          <w:sz w:val="24"/>
          <w:szCs w:val="24"/>
          <w:rtl/>
        </w:rPr>
        <w:t>ورغم التوجهات الوطنية الحديثة التي تسعى لتطوير الرعاية الصحية في المملكة العربية السعودية، عبر تطبيق النموذج الوطني للتميز المؤسسي لجائزة الملك عبد العزيز للجودة الذي تم تحديثه عام 2022 ليعكس مفاهيم الجودة والابتكار، ويُركز بشكل خاص على "تجربة المستفيد" كأحد أبعاده الرئيسية (جائزة الملك عبد العزيز للجودة، 2022)، إلا أن الواقع الحالي يشير إلى محدودية الأدلة العلمية المحلية التي تستعرض بشكل منهجي أثر تطبيق هذا النموذج على جودة تجربة المريض داخل المؤسسات الصحية. فقد أظهرت مراجعة الأدبيات أن معظم الدراسات ركزت على نماذج تميز عالمية دون التعمق في النموذج الوطني للتميز المؤسسي لجائزة الملك عبد العزيز للجودة وتأثيره في تجربة المريض كمستفيد نهائي من الخدمة الصحية</w:t>
      </w:r>
      <w:commentRangeStart w:id="8"/>
      <w:r>
        <w:rPr>
          <w:rFonts w:ascii="Traditional Arabic" w:hAnsi="Traditional Arabic" w:cs="Traditional Arabic"/>
          <w:color w:val="000000" w:themeColor="text1"/>
          <w:sz w:val="24"/>
          <w:szCs w:val="24"/>
          <w:rtl/>
        </w:rPr>
        <w:t xml:space="preserve"> (</w:t>
      </w:r>
      <w:r>
        <w:rPr>
          <w:rFonts w:ascii="Traditional Arabic" w:hAnsi="Traditional Arabic" w:cs="Traditional Arabic"/>
          <w:color w:val="000000" w:themeColor="text1"/>
          <w:sz w:val="24"/>
          <w:szCs w:val="24"/>
        </w:rPr>
        <w:t>Guastello &amp; Jay, 2019</w:t>
      </w:r>
      <w:r>
        <w:rPr>
          <w:rFonts w:ascii="Traditional Arabic" w:hAnsi="Traditional Arabic" w:cs="Traditional Arabic"/>
          <w:color w:val="000000" w:themeColor="text1"/>
          <w:sz w:val="24"/>
          <w:szCs w:val="24"/>
          <w:rtl/>
        </w:rPr>
        <w:t xml:space="preserve">؛ </w:t>
      </w:r>
      <w:r>
        <w:rPr>
          <w:rFonts w:ascii="Traditional Arabic" w:hAnsi="Traditional Arabic" w:cs="Traditional Arabic"/>
          <w:color w:val="000000" w:themeColor="text1"/>
          <w:sz w:val="24"/>
          <w:szCs w:val="24"/>
        </w:rPr>
        <w:t>Almohaisen et al., 2023</w:t>
      </w:r>
      <w:r>
        <w:rPr>
          <w:rFonts w:ascii="Traditional Arabic" w:hAnsi="Traditional Arabic" w:cs="Traditional Arabic"/>
          <w:color w:val="000000" w:themeColor="text1"/>
          <w:sz w:val="24"/>
          <w:szCs w:val="24"/>
          <w:rtl/>
        </w:rPr>
        <w:t xml:space="preserve">؛ </w:t>
      </w:r>
      <w:r>
        <w:rPr>
          <w:rFonts w:ascii="Traditional Arabic" w:hAnsi="Traditional Arabic" w:cs="Traditional Arabic"/>
          <w:color w:val="000000" w:themeColor="text1"/>
          <w:sz w:val="24"/>
          <w:szCs w:val="24"/>
        </w:rPr>
        <w:t>Alkahtani et al., 2024</w:t>
      </w:r>
      <w:r>
        <w:rPr>
          <w:rFonts w:ascii="Traditional Arabic" w:hAnsi="Traditional Arabic" w:cs="Traditional Arabic"/>
          <w:color w:val="000000" w:themeColor="text1"/>
          <w:sz w:val="24"/>
          <w:szCs w:val="24"/>
          <w:rtl/>
        </w:rPr>
        <w:t>).</w:t>
      </w:r>
      <w:commentRangeEnd w:id="8"/>
      <w:r w:rsidR="00DD3207">
        <w:rPr>
          <w:rStyle w:val="CommentReference"/>
          <w:rFonts w:ascii="Traditional Arabic" w:hAnsi="Traditional Arabic" w:cs="Traditional Arabic" w:hint="cs"/>
          <w:color w:val="000000" w:themeColor="text1"/>
          <w:sz w:val="24"/>
          <w:szCs w:val="24"/>
          <w:rtl/>
        </w:rPr>
        <w:commentReference w:id="8"/>
      </w:r>
    </w:p>
    <w:p w14:paraId="34B86F9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وترجع هذه الفجوة إلى قلة الأبحاث التطبيقية الميدانية التي تربط بوضوح بين</w:t>
      </w:r>
      <w:r>
        <w:rPr>
          <w:rFonts w:ascii="Traditional Arabic" w:hAnsi="Traditional Arabic" w:cs="Traditional Arabic" w:hint="cs"/>
          <w:color w:val="000000" w:themeColor="text1"/>
          <w:sz w:val="24"/>
          <w:szCs w:val="24"/>
          <w:rtl/>
        </w:rPr>
        <w:t xml:space="preserve"> تأثير</w:t>
      </w:r>
      <w:r>
        <w:rPr>
          <w:rFonts w:ascii="Traditional Arabic" w:hAnsi="Traditional Arabic" w:cs="Traditional Arabic"/>
          <w:color w:val="000000" w:themeColor="text1"/>
          <w:sz w:val="24"/>
          <w:szCs w:val="24"/>
          <w:rtl/>
        </w:rPr>
        <w:t xml:space="preserve"> النموذج الوطني للتميز المؤسسي لجائزة الملك عبد العزيز للجودة وجودة تجربة المريض داخل التجمعات الصحية </w:t>
      </w:r>
      <w:r>
        <w:rPr>
          <w:rFonts w:ascii="Traditional Arabic" w:hAnsi="Traditional Arabic" w:cs="Traditional Arabic"/>
          <w:color w:val="000000" w:themeColor="text1"/>
          <w:sz w:val="24"/>
          <w:szCs w:val="24"/>
        </w:rPr>
        <w:t xml:space="preserve">Almohaisen et al., 2023) </w:t>
      </w:r>
      <w:r>
        <w:rPr>
          <w:rFonts w:ascii="Traditional Arabic" w:hAnsi="Traditional Arabic" w:cs="Traditional Arabic"/>
          <w:color w:val="000000" w:themeColor="text1"/>
          <w:sz w:val="24"/>
          <w:szCs w:val="24"/>
          <w:rtl/>
        </w:rPr>
        <w:t>)، بالرغم من أن تجربة المريض تُعد من أبرز مؤشرات الأداء في برنامج التحول الصحي السعودي، وتعكس بشكل مباشر مدى فاعلية الرعاية الصحية (وزارة الصحة، 2024).</w:t>
      </w:r>
    </w:p>
    <w:p w14:paraId="229D10F4"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commentRangeStart w:id="9"/>
      <w:r>
        <w:rPr>
          <w:rFonts w:ascii="Traditional Arabic" w:hAnsi="Traditional Arabic" w:cs="Traditional Arabic"/>
          <w:color w:val="000000" w:themeColor="text1"/>
          <w:sz w:val="24"/>
          <w:szCs w:val="24"/>
          <w:rtl/>
        </w:rPr>
        <w:t>ولذلك، فإن غياب الأدلة التطبيقية حول فعالية النموذج الوطني للتميز المؤسسي لجائزة الملك عبد العزيز للجودة في تحسين تجربة المريض قد يُؤثر سلبًا على مدى تبني هذا النموذج في بقية التجمعات الصحية، ويحد من تعميمه على نطاق وطني، مما قد يؤدي إلى بطء في تحقيق أهداف التحول الصحي المرتبطة بجودة الرعاية وتميزها</w:t>
      </w:r>
      <w:commentRangeEnd w:id="9"/>
      <w:r w:rsidR="00EB42B3">
        <w:rPr>
          <w:rStyle w:val="CommentReference"/>
          <w:rFonts w:ascii="Traditional Arabic" w:hAnsi="Traditional Arabic" w:cs="Traditional Arabic"/>
          <w:color w:val="000000" w:themeColor="text1"/>
          <w:sz w:val="24"/>
          <w:szCs w:val="24"/>
          <w:rtl/>
        </w:rPr>
        <w:commentReference w:id="9"/>
      </w:r>
      <w:r>
        <w:rPr>
          <w:rFonts w:ascii="Traditional Arabic" w:hAnsi="Traditional Arabic" w:cs="Traditional Arabic"/>
          <w:color w:val="000000" w:themeColor="text1"/>
          <w:sz w:val="24"/>
          <w:szCs w:val="24"/>
          <w:rtl/>
        </w:rPr>
        <w:t xml:space="preserve">. وتأتي هذه الدراسة لسد هذه الفجوة من خلال استكشاف أثر تطبيق النموذج الوطني للتميز المؤسسي على جودة تجربة المريض في تجمع القصيم الصحي، بما يُسهم في تقديم توصيات عملية تدعم صانعي القرار وتُشجع على تعميم النموذج في بقية التجمعات الصحية. </w:t>
      </w:r>
    </w:p>
    <w:p w14:paraId="7EA01D1B" w14:textId="77777777" w:rsidR="004F600B" w:rsidRDefault="004F600B">
      <w:pPr>
        <w:bidi/>
        <w:spacing w:before="100" w:beforeAutospacing="1" w:after="100" w:afterAutospacing="1" w:line="360" w:lineRule="auto"/>
        <w:rPr>
          <w:rFonts w:ascii="Traditional Arabic" w:hAnsi="Traditional Arabic" w:cs="Traditional Arabic"/>
          <w:b/>
          <w:bCs/>
          <w:color w:val="00B0F0"/>
          <w:sz w:val="32"/>
          <w:szCs w:val="32"/>
          <w:u w:val="single"/>
          <w:rtl/>
        </w:rPr>
      </w:pPr>
    </w:p>
    <w:p w14:paraId="5F89850D"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lastRenderedPageBreak/>
        <w:t>تساؤلات</w:t>
      </w:r>
      <w:r>
        <w:rPr>
          <w:rFonts w:ascii="Traditional Arabic" w:hAnsi="Traditional Arabic" w:cs="Traditional Arabic"/>
          <w:b/>
          <w:bCs/>
          <w:color w:val="000000" w:themeColor="text1"/>
          <w:sz w:val="32"/>
          <w:szCs w:val="32"/>
          <w:rtl/>
        </w:rPr>
        <w:t xml:space="preserve"> الدراسة </w:t>
      </w:r>
      <w:r>
        <w:rPr>
          <w:rFonts w:ascii="Traditional Arabic" w:hAnsi="Traditional Arabic" w:cs="Traditional Arabic" w:hint="cs"/>
          <w:b/>
          <w:bCs/>
          <w:color w:val="000000" w:themeColor="text1"/>
          <w:sz w:val="32"/>
          <w:szCs w:val="32"/>
          <w:rtl/>
        </w:rPr>
        <w:t>:</w:t>
      </w:r>
      <w:r>
        <w:rPr>
          <w:rFonts w:ascii="Traditional Arabic" w:hAnsi="Traditional Arabic" w:cs="Traditional Arabic"/>
          <w:b/>
          <w:bCs/>
          <w:color w:val="000000" w:themeColor="text1"/>
          <w:sz w:val="32"/>
          <w:szCs w:val="32"/>
          <w:rtl/>
        </w:rPr>
        <w:t xml:space="preserve">   </w:t>
      </w:r>
    </w:p>
    <w:p w14:paraId="39C2214F"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واستناداً إلى</w:t>
      </w:r>
      <w:r>
        <w:rPr>
          <w:rFonts w:ascii="Traditional Arabic" w:hAnsi="Traditional Arabic" w:cs="Traditional Arabic"/>
          <w:color w:val="000000" w:themeColor="text1"/>
          <w:sz w:val="24"/>
          <w:szCs w:val="24"/>
          <w:rtl/>
        </w:rPr>
        <w:t xml:space="preserve"> مشكلة الدراسة </w:t>
      </w:r>
      <w:r>
        <w:rPr>
          <w:rFonts w:ascii="Traditional Arabic" w:hAnsi="Traditional Arabic" w:cs="Traditional Arabic" w:hint="cs"/>
          <w:color w:val="000000" w:themeColor="text1"/>
          <w:sz w:val="24"/>
          <w:szCs w:val="24"/>
          <w:rtl/>
        </w:rPr>
        <w:t>وما أبرزته</w:t>
      </w:r>
      <w:r>
        <w:rPr>
          <w:rFonts w:ascii="Traditional Arabic" w:hAnsi="Traditional Arabic" w:cs="Traditional Arabic"/>
          <w:color w:val="000000" w:themeColor="text1"/>
          <w:sz w:val="24"/>
          <w:szCs w:val="24"/>
          <w:rtl/>
        </w:rPr>
        <w:t xml:space="preserve"> من فجوة </w:t>
      </w:r>
      <w:r>
        <w:rPr>
          <w:rFonts w:ascii="Traditional Arabic" w:hAnsi="Traditional Arabic" w:cs="Traditional Arabic" w:hint="cs"/>
          <w:color w:val="000000" w:themeColor="text1"/>
          <w:sz w:val="24"/>
          <w:szCs w:val="24"/>
          <w:rtl/>
        </w:rPr>
        <w:t>بحثية</w:t>
      </w:r>
      <w:r>
        <w:rPr>
          <w:rFonts w:ascii="Traditional Arabic" w:hAnsi="Traditional Arabic" w:cs="Traditional Arabic"/>
          <w:color w:val="000000" w:themeColor="text1"/>
          <w:sz w:val="24"/>
          <w:szCs w:val="24"/>
          <w:rtl/>
        </w:rPr>
        <w:t xml:space="preserve"> تتعلق بأثر تطبيق النموذج الوطني للتميز المؤسسي على جودة تجربة المريض، صيغت تساؤلات الدراسة </w:t>
      </w:r>
      <w:r>
        <w:rPr>
          <w:rFonts w:ascii="Traditional Arabic" w:hAnsi="Traditional Arabic" w:cs="Traditional Arabic" w:hint="cs"/>
          <w:color w:val="000000" w:themeColor="text1"/>
          <w:sz w:val="24"/>
          <w:szCs w:val="24"/>
          <w:rtl/>
        </w:rPr>
        <w:t>على النحو التالي</w:t>
      </w:r>
      <w:r>
        <w:rPr>
          <w:rFonts w:ascii="Traditional Arabic" w:hAnsi="Traditional Arabic" w:cs="Traditional Arabic"/>
          <w:color w:val="000000" w:themeColor="text1"/>
          <w:sz w:val="24"/>
          <w:szCs w:val="24"/>
          <w:rtl/>
        </w:rPr>
        <w:t>:</w:t>
      </w:r>
    </w:p>
    <w:p w14:paraId="6784A884"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tl/>
        </w:rPr>
        <w:t>السؤال الرئيسي:</w:t>
      </w:r>
    </w:p>
    <w:p w14:paraId="6741C178"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ما مدى تأثير تطبيق مبادئ النموذج الوطني للتميز المؤسسي لجائزة الملك عبد العزيز للجودة على جودة تجربة المريض في المستشفيات المُطبقة للنموذج ضمن تجمع القصيم الصحي؟</w:t>
      </w:r>
    </w:p>
    <w:p w14:paraId="60A7F98D"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tl/>
        </w:rPr>
        <w:t>الأسئلة الفرعية:</w:t>
      </w:r>
    </w:p>
    <w:p w14:paraId="271D71B6" w14:textId="77777777" w:rsidR="004F600B" w:rsidRDefault="00000000">
      <w:pPr>
        <w:pStyle w:val="ListParagraph"/>
        <w:numPr>
          <w:ilvl w:val="0"/>
          <w:numId w:val="2"/>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ما مستوى تطبيق 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في المستشفيات محل الدراسة بتجمع القصيم الصحي؟</w:t>
      </w:r>
    </w:p>
    <w:p w14:paraId="2FA024A4" w14:textId="77777777" w:rsidR="004F600B" w:rsidRDefault="00000000">
      <w:pPr>
        <w:pStyle w:val="ListParagraph"/>
        <w:numPr>
          <w:ilvl w:val="0"/>
          <w:numId w:val="2"/>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ما مستوى جودة تجربة المريض (الوصول، تنسيق الخدمة، التواصل، الاحترام، المعلومات، البيئة المادية، الدعم العاطفي، المشاركة) في المستشفيات محل الدراسة بتجمع القصيم الصحي؟</w:t>
      </w:r>
    </w:p>
    <w:p w14:paraId="2DAA7308" w14:textId="77777777" w:rsidR="004F600B" w:rsidRDefault="00000000">
      <w:pPr>
        <w:pStyle w:val="ListParagraph"/>
        <w:numPr>
          <w:ilvl w:val="0"/>
          <w:numId w:val="2"/>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ما مدى تأثير كل مبدأ من 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على جودة تجربة المريض في المستشفيات محل الدراسة بتجمع القصيم الصحي؟</w:t>
      </w:r>
    </w:p>
    <w:p w14:paraId="7F0BD05F" w14:textId="77777777" w:rsidR="004F600B" w:rsidRDefault="004F600B">
      <w:pPr>
        <w:bidi/>
        <w:spacing w:before="100" w:beforeAutospacing="1" w:after="100" w:afterAutospacing="1" w:line="360" w:lineRule="auto"/>
        <w:jc w:val="both"/>
        <w:rPr>
          <w:rFonts w:ascii="Traditional Arabic" w:hAnsi="Traditional Arabic" w:cs="Traditional Arabic"/>
          <w:b/>
          <w:bCs/>
          <w:color w:val="00B0F0"/>
          <w:sz w:val="32"/>
          <w:szCs w:val="32"/>
          <w:u w:val="single"/>
          <w:rtl/>
        </w:rPr>
      </w:pPr>
    </w:p>
    <w:p w14:paraId="0345BDE2" w14:textId="77777777" w:rsidR="004F600B" w:rsidRDefault="004F600B">
      <w:pPr>
        <w:bidi/>
        <w:spacing w:before="100" w:beforeAutospacing="1" w:after="100" w:afterAutospacing="1" w:line="360" w:lineRule="auto"/>
        <w:jc w:val="both"/>
        <w:rPr>
          <w:rFonts w:ascii="Traditional Arabic" w:hAnsi="Traditional Arabic" w:cs="Traditional Arabic"/>
          <w:b/>
          <w:bCs/>
          <w:color w:val="00B0F0"/>
          <w:sz w:val="32"/>
          <w:szCs w:val="32"/>
          <w:u w:val="single"/>
          <w:rtl/>
        </w:rPr>
      </w:pPr>
    </w:p>
    <w:p w14:paraId="259233D6" w14:textId="77777777" w:rsidR="004F600B" w:rsidRDefault="004F600B">
      <w:pPr>
        <w:bidi/>
        <w:spacing w:before="100" w:beforeAutospacing="1" w:after="100" w:afterAutospacing="1" w:line="360" w:lineRule="auto"/>
        <w:jc w:val="both"/>
        <w:rPr>
          <w:rFonts w:ascii="Traditional Arabic" w:hAnsi="Traditional Arabic" w:cs="Traditional Arabic"/>
          <w:b/>
          <w:bCs/>
          <w:color w:val="00B0F0"/>
          <w:sz w:val="32"/>
          <w:szCs w:val="32"/>
          <w:u w:val="single"/>
          <w:rtl/>
        </w:rPr>
      </w:pPr>
    </w:p>
    <w:p w14:paraId="74DB5D14" w14:textId="77777777" w:rsidR="004F600B" w:rsidRDefault="004F600B">
      <w:pPr>
        <w:bidi/>
        <w:spacing w:before="100" w:beforeAutospacing="1" w:after="100" w:afterAutospacing="1" w:line="360" w:lineRule="auto"/>
        <w:jc w:val="both"/>
        <w:rPr>
          <w:rFonts w:ascii="Traditional Arabic" w:hAnsi="Traditional Arabic" w:cs="Traditional Arabic"/>
          <w:b/>
          <w:bCs/>
          <w:color w:val="00B0F0"/>
          <w:sz w:val="32"/>
          <w:szCs w:val="32"/>
          <w:u w:val="single"/>
          <w:rtl/>
        </w:rPr>
      </w:pPr>
    </w:p>
    <w:p w14:paraId="1E8EABEC"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b/>
          <w:bCs/>
          <w:color w:val="000000" w:themeColor="text1"/>
          <w:sz w:val="32"/>
          <w:szCs w:val="32"/>
          <w:rtl/>
        </w:rPr>
        <w:lastRenderedPageBreak/>
        <w:t xml:space="preserve">أهمية الدراسة </w:t>
      </w:r>
      <w:r>
        <w:rPr>
          <w:rFonts w:ascii="Traditional Arabic" w:hAnsi="Traditional Arabic" w:cs="Traditional Arabic" w:hint="cs"/>
          <w:b/>
          <w:bCs/>
          <w:color w:val="000000" w:themeColor="text1"/>
          <w:sz w:val="32"/>
          <w:szCs w:val="32"/>
          <w:rtl/>
        </w:rPr>
        <w:t>:</w:t>
      </w:r>
    </w:p>
    <w:p w14:paraId="62664689"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Pr>
      </w:pPr>
      <w:r>
        <w:rPr>
          <w:rFonts w:ascii="Traditional Arabic" w:hAnsi="Traditional Arabic" w:cs="Traditional Arabic"/>
          <w:b/>
          <w:bCs/>
          <w:color w:val="000000" w:themeColor="text1"/>
          <w:sz w:val="28"/>
          <w:szCs w:val="28"/>
          <w:rtl/>
        </w:rPr>
        <w:t>الأهمية النظرية</w:t>
      </w:r>
    </w:p>
    <w:p w14:paraId="08ACF2C1" w14:textId="77777777" w:rsidR="004F600B" w:rsidRDefault="00000000">
      <w:pPr>
        <w:numPr>
          <w:ilvl w:val="0"/>
          <w:numId w:val="3"/>
        </w:numPr>
        <w:bidi/>
        <w:spacing w:before="100" w:beforeAutospacing="1" w:after="100" w:afterAutospacing="1" w:line="360" w:lineRule="auto"/>
        <w:jc w:val="both"/>
        <w:rPr>
          <w:rFonts w:ascii="Traditional Arabic" w:hAnsi="Traditional Arabic" w:cs="Traditional Arabic"/>
          <w:color w:val="000000" w:themeColor="text1"/>
          <w:sz w:val="24"/>
          <w:szCs w:val="24"/>
        </w:rPr>
      </w:pPr>
      <w:commentRangeStart w:id="10"/>
      <w:r>
        <w:rPr>
          <w:rFonts w:ascii="Traditional Arabic" w:hAnsi="Traditional Arabic" w:cs="Traditional Arabic"/>
          <w:color w:val="000000" w:themeColor="text1"/>
          <w:sz w:val="24"/>
          <w:szCs w:val="24"/>
          <w:rtl/>
        </w:rPr>
        <w:t>تتناول الدراسة موضوعًا مهمًا يتمثل في التميز المؤسسي وجودة تجربة المريض، وهو من المفاهيم الإدارية والصحية الحديثة التي لا تزال بحاجة إلى المزيد من البحث والدراسة</w:t>
      </w:r>
      <w:commentRangeEnd w:id="10"/>
      <w:r w:rsidR="00EB42B3">
        <w:rPr>
          <w:rStyle w:val="CommentReference"/>
          <w:rFonts w:ascii="Traditional Arabic" w:hAnsi="Traditional Arabic" w:cs="Traditional Arabic"/>
          <w:color w:val="000000" w:themeColor="text1"/>
          <w:sz w:val="24"/>
          <w:szCs w:val="24"/>
          <w:rtl/>
        </w:rPr>
        <w:commentReference w:id="10"/>
      </w:r>
      <w:r>
        <w:rPr>
          <w:rFonts w:ascii="Traditional Arabic" w:hAnsi="Traditional Arabic" w:cs="Traditional Arabic"/>
          <w:color w:val="000000" w:themeColor="text1"/>
          <w:sz w:val="24"/>
          <w:szCs w:val="24"/>
          <w:rtl/>
        </w:rPr>
        <w:t>، مما يسهم في إثراء المكتبات العربية والدولية في هذا المجال</w:t>
      </w:r>
      <w:r>
        <w:rPr>
          <w:rFonts w:ascii="Traditional Arabic" w:hAnsi="Traditional Arabic" w:cs="Traditional Arabic"/>
          <w:color w:val="000000" w:themeColor="text1"/>
          <w:sz w:val="24"/>
          <w:szCs w:val="24"/>
        </w:rPr>
        <w:t>.</w:t>
      </w:r>
    </w:p>
    <w:p w14:paraId="6DE988B0" w14:textId="77777777" w:rsidR="004F600B" w:rsidRDefault="00000000">
      <w:pPr>
        <w:numPr>
          <w:ilvl w:val="0"/>
          <w:numId w:val="3"/>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 xml:space="preserve">تساعد الدراسة في بناء إطار نظري واضح يجمع بين مبادئ التميز المؤسسي وأبعاد جودة تجربة المريض، ويساعد في تكوين المعرفة وسد الفجوة البحثية المتعلقة بمتغيرات الدراسة </w:t>
      </w:r>
      <w:r>
        <w:rPr>
          <w:rFonts w:ascii="Traditional Arabic" w:hAnsi="Traditional Arabic" w:cs="Traditional Arabic" w:hint="cs"/>
          <w:color w:val="000000" w:themeColor="text1"/>
          <w:sz w:val="24"/>
          <w:szCs w:val="24"/>
          <w:rtl/>
        </w:rPr>
        <w:t>.</w:t>
      </w:r>
    </w:p>
    <w:p w14:paraId="332DB915" w14:textId="77777777" w:rsidR="004F600B" w:rsidRDefault="00000000">
      <w:pPr>
        <w:numPr>
          <w:ilvl w:val="0"/>
          <w:numId w:val="3"/>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 xml:space="preserve">تسهم هذه الدراسة في إثراء الفهم العلمي للعلاقة بين مبادئ </w:t>
      </w:r>
      <w:bookmarkStart w:id="11" w:name="_Hlk204202722"/>
      <w:r>
        <w:rPr>
          <w:rFonts w:ascii="Traditional Arabic" w:hAnsi="Traditional Arabic" w:cs="Traditional Arabic"/>
          <w:color w:val="000000" w:themeColor="text1"/>
          <w:sz w:val="24"/>
          <w:szCs w:val="24"/>
          <w:rtl/>
        </w:rPr>
        <w:t>النموذج الوطني للتميز المؤسسي لجائزة الملك عبد العزيز للجودة</w:t>
      </w:r>
      <w:bookmarkEnd w:id="11"/>
      <w:r>
        <w:rPr>
          <w:rFonts w:ascii="Traditional Arabic" w:hAnsi="Traditional Arabic" w:cs="Traditional Arabic"/>
          <w:color w:val="000000" w:themeColor="text1"/>
          <w:sz w:val="24"/>
          <w:szCs w:val="24"/>
          <w:rtl/>
        </w:rPr>
        <w:t>، وجودة تجربة المريض في التجمعات الصحية بالمملكة العربية السعودية، مما يضيف قيمة معرفية نوعية تدعم جهود تطوير التجمعات الصحية وتحقيق مستهدفات التحول الصحي ورؤية المملكة 2030.</w:t>
      </w:r>
    </w:p>
    <w:p w14:paraId="7C2218BE" w14:textId="77777777" w:rsidR="004F600B" w:rsidRDefault="00000000">
      <w:pPr>
        <w:numPr>
          <w:ilvl w:val="0"/>
          <w:numId w:val="3"/>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تُعد هذه الدراسة مرجعًا علميًا يمكن أن يستفيد منه المعنيون والباحثون لإجراء دراسات إضافية مستقبلية في هذا المجال</w:t>
      </w:r>
      <w:r>
        <w:rPr>
          <w:rFonts w:ascii="Traditional Arabic" w:hAnsi="Traditional Arabic" w:cs="Traditional Arabic"/>
          <w:color w:val="000000" w:themeColor="text1"/>
          <w:sz w:val="24"/>
          <w:szCs w:val="24"/>
        </w:rPr>
        <w:t>.</w:t>
      </w:r>
    </w:p>
    <w:p w14:paraId="431C211E" w14:textId="77777777" w:rsidR="004F600B" w:rsidRDefault="00000000">
      <w:pPr>
        <w:numPr>
          <w:ilvl w:val="0"/>
          <w:numId w:val="3"/>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توفر الدراسة بيانات تحليلية ميدانية يمكن استخدامها في أبحاث مستقبلية لتقييم نماذج الجودة والتميز المؤسسي في مؤسسات صحية مشابهة.</w:t>
      </w:r>
    </w:p>
    <w:p w14:paraId="292F4B8D"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الأهمية التطبيقية</w:t>
      </w:r>
    </w:p>
    <w:p w14:paraId="167216EC" w14:textId="77777777" w:rsidR="004F600B" w:rsidRDefault="00000000">
      <w:pPr>
        <w:numPr>
          <w:ilvl w:val="0"/>
          <w:numId w:val="4"/>
        </w:numPr>
        <w:bidi/>
        <w:spacing w:before="100" w:beforeAutospacing="1" w:after="100" w:afterAutospacing="1" w:line="360" w:lineRule="auto"/>
        <w:jc w:val="both"/>
        <w:rPr>
          <w:rFonts w:ascii="Traditional Arabic" w:hAnsi="Traditional Arabic" w:cs="Traditional Arabic"/>
          <w:color w:val="000000" w:themeColor="text1"/>
          <w:sz w:val="24"/>
          <w:szCs w:val="24"/>
        </w:rPr>
      </w:pPr>
      <w:commentRangeStart w:id="12"/>
      <w:r>
        <w:rPr>
          <w:rFonts w:ascii="Traditional Arabic" w:hAnsi="Traditional Arabic" w:cs="Traditional Arabic"/>
          <w:color w:val="000000" w:themeColor="text1"/>
          <w:sz w:val="24"/>
          <w:szCs w:val="24"/>
          <w:rtl/>
        </w:rPr>
        <w:t xml:space="preserve">ستساهم </w:t>
      </w:r>
      <w:commentRangeEnd w:id="12"/>
      <w:r w:rsidR="00EB42B3">
        <w:rPr>
          <w:rStyle w:val="CommentReference"/>
          <w:rFonts w:ascii="Traditional Arabic" w:hAnsi="Traditional Arabic" w:cs="Traditional Arabic"/>
          <w:color w:val="000000" w:themeColor="text1"/>
          <w:sz w:val="24"/>
          <w:szCs w:val="24"/>
          <w:rtl/>
        </w:rPr>
        <w:commentReference w:id="12"/>
      </w:r>
      <w:r>
        <w:rPr>
          <w:rFonts w:ascii="Traditional Arabic" w:hAnsi="Traditional Arabic" w:cs="Traditional Arabic"/>
          <w:color w:val="000000" w:themeColor="text1"/>
          <w:sz w:val="24"/>
          <w:szCs w:val="24"/>
          <w:rtl/>
        </w:rPr>
        <w:t xml:space="preserve">نتائج الدراسة </w:t>
      </w:r>
      <w:r>
        <w:rPr>
          <w:rFonts w:ascii="Traditional Arabic" w:hAnsi="Traditional Arabic" w:cs="Traditional Arabic" w:hint="cs"/>
          <w:color w:val="000000" w:themeColor="text1"/>
          <w:sz w:val="24"/>
          <w:szCs w:val="24"/>
          <w:rtl/>
        </w:rPr>
        <w:t xml:space="preserve">في تمكين </w:t>
      </w:r>
      <w:r>
        <w:rPr>
          <w:rFonts w:ascii="Traditional Arabic" w:hAnsi="Traditional Arabic" w:cs="Traditional Arabic"/>
          <w:color w:val="000000" w:themeColor="text1"/>
          <w:sz w:val="24"/>
          <w:szCs w:val="24"/>
          <w:rtl/>
        </w:rPr>
        <w:t>إدارات المستشفيات</w:t>
      </w:r>
      <w:r>
        <w:rPr>
          <w:rFonts w:ascii="Traditional Arabic" w:hAnsi="Traditional Arabic" w:cs="Traditional Arabic" w:hint="cs"/>
          <w:color w:val="000000" w:themeColor="text1"/>
          <w:sz w:val="24"/>
          <w:szCs w:val="24"/>
          <w:rtl/>
        </w:rPr>
        <w:t xml:space="preserve"> على</w:t>
      </w:r>
      <w:r>
        <w:rPr>
          <w:rFonts w:ascii="Traditional Arabic" w:hAnsi="Traditional Arabic" w:cs="Traditional Arabic"/>
          <w:color w:val="000000" w:themeColor="text1"/>
          <w:sz w:val="24"/>
          <w:szCs w:val="24"/>
          <w:rtl/>
        </w:rPr>
        <w:t xml:space="preserve"> فهم كيف يمكن لممارسات التميز المؤسسي أن تؤثر على تجربة المرضى، </w:t>
      </w:r>
      <w:r>
        <w:rPr>
          <w:rFonts w:ascii="Traditional Arabic" w:hAnsi="Traditional Arabic" w:cs="Traditional Arabic" w:hint="cs"/>
          <w:color w:val="000000" w:themeColor="text1"/>
          <w:sz w:val="24"/>
          <w:szCs w:val="24"/>
          <w:rtl/>
        </w:rPr>
        <w:t>م</w:t>
      </w:r>
      <w:r>
        <w:rPr>
          <w:rFonts w:ascii="Traditional Arabic" w:hAnsi="Traditional Arabic" w:cs="Traditional Arabic"/>
          <w:color w:val="000000" w:themeColor="text1"/>
          <w:sz w:val="24"/>
          <w:szCs w:val="24"/>
          <w:rtl/>
        </w:rPr>
        <w:t>ما يساهم في رفع مستوى الرضا وتطوير الخدمات</w:t>
      </w:r>
      <w:r>
        <w:rPr>
          <w:rFonts w:ascii="Traditional Arabic" w:hAnsi="Traditional Arabic" w:cs="Traditional Arabic"/>
          <w:color w:val="000000" w:themeColor="text1"/>
          <w:sz w:val="24"/>
          <w:szCs w:val="24"/>
        </w:rPr>
        <w:t>.</w:t>
      </w:r>
    </w:p>
    <w:p w14:paraId="31E62624" w14:textId="1C53A1EB" w:rsidR="004F600B" w:rsidRDefault="00000000">
      <w:pPr>
        <w:numPr>
          <w:ilvl w:val="0"/>
          <w:numId w:val="4"/>
        </w:numPr>
        <w:bidi/>
        <w:spacing w:before="100" w:beforeAutospacing="1" w:after="100" w:afterAutospacing="1" w:line="360" w:lineRule="auto"/>
        <w:jc w:val="both"/>
        <w:rPr>
          <w:rFonts w:ascii="Traditional Arabic" w:hAnsi="Traditional Arabic" w:cs="Traditional Arabic"/>
          <w:color w:val="000000" w:themeColor="text1"/>
          <w:sz w:val="24"/>
          <w:szCs w:val="24"/>
        </w:rPr>
      </w:pPr>
      <w:commentRangeStart w:id="13"/>
      <w:r>
        <w:rPr>
          <w:rFonts w:ascii="Traditional Arabic" w:hAnsi="Traditional Arabic" w:cs="Traditional Arabic"/>
          <w:color w:val="000000" w:themeColor="text1"/>
          <w:sz w:val="24"/>
          <w:szCs w:val="24"/>
          <w:rtl/>
        </w:rPr>
        <w:t xml:space="preserve">ستوفر </w:t>
      </w:r>
      <w:commentRangeEnd w:id="13"/>
      <w:r w:rsidR="00EB42B3">
        <w:rPr>
          <w:rStyle w:val="CommentReference"/>
          <w:rFonts w:ascii="Traditional Arabic" w:hAnsi="Traditional Arabic" w:cs="Traditional Arabic" w:hint="cs"/>
          <w:color w:val="000000" w:themeColor="text1"/>
          <w:sz w:val="24"/>
          <w:szCs w:val="24"/>
          <w:rtl/>
        </w:rPr>
        <w:commentReference w:id="13"/>
      </w:r>
      <w:r w:rsidR="00EB42B3">
        <w:rPr>
          <w:rFonts w:ascii="Traditional Arabic" w:hAnsi="Traditional Arabic" w:cs="Traditional Arabic" w:hint="cs"/>
          <w:color w:val="000000" w:themeColor="text1"/>
          <w:sz w:val="24"/>
          <w:szCs w:val="24"/>
          <w:rtl/>
        </w:rPr>
        <w:t>فن</w:t>
      </w:r>
      <w:r>
        <w:rPr>
          <w:rFonts w:ascii="Traditional Arabic" w:hAnsi="Traditional Arabic" w:cs="Traditional Arabic"/>
          <w:color w:val="000000" w:themeColor="text1"/>
          <w:sz w:val="24"/>
          <w:szCs w:val="24"/>
          <w:rtl/>
        </w:rPr>
        <w:t xml:space="preserve">الدراسة توصيات عملية تستند إلى بيانات ميدانية ، تساعد قادة التجمعات الصحية على تبني استراتيجيات واضحة لتطبيق أبعاد التميز المؤسسي لتعزيز جودة الخدمات الصحية المقدمة في المستشفيات ، مما يجعلها قادرة على تحسين تجربة المرضى وتلبية متطلباتهم واحتياجاتهم وتحقيق </w:t>
      </w:r>
      <w:r>
        <w:rPr>
          <w:rFonts w:ascii="Traditional Arabic" w:hAnsi="Traditional Arabic" w:cs="Traditional Arabic" w:hint="cs"/>
          <w:color w:val="000000" w:themeColor="text1"/>
          <w:sz w:val="24"/>
          <w:szCs w:val="24"/>
          <w:rtl/>
        </w:rPr>
        <w:t>رضاهم</w:t>
      </w:r>
      <w:r>
        <w:rPr>
          <w:rFonts w:ascii="Traditional Arabic" w:hAnsi="Traditional Arabic" w:cs="Traditional Arabic" w:hint="eastAsia"/>
          <w:color w:val="000000" w:themeColor="text1"/>
          <w:sz w:val="24"/>
          <w:szCs w:val="24"/>
          <w:rtl/>
        </w:rPr>
        <w:t>،</w:t>
      </w:r>
      <w:r>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tl/>
        </w:rPr>
        <w:t>بل وتجاوز توقعاتهم.</w:t>
      </w:r>
    </w:p>
    <w:p w14:paraId="6551F4B7" w14:textId="77777777" w:rsidR="004F600B" w:rsidRDefault="00000000">
      <w:pPr>
        <w:numPr>
          <w:ilvl w:val="0"/>
          <w:numId w:val="4"/>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تُنفَّذ هذه الدراسة في قطاع التجمعات الصحية، وهو من أكثر القطاعات حيوية في المملكة، ضمن سياق تحقيق أهداف التحول الصحي لرؤية 2030، ومن شأن نتائجها أن تسهم في تحسين الأداء المؤسسي، ورفع جودة الرعاية الصحية، بما يعزّز التنافسية العالمية للقطاع الصحي في </w:t>
      </w:r>
      <w:commentRangeStart w:id="14"/>
      <w:r>
        <w:rPr>
          <w:rFonts w:ascii="Traditional Arabic" w:hAnsi="Traditional Arabic" w:cs="Traditional Arabic"/>
          <w:color w:val="000000" w:themeColor="text1"/>
          <w:sz w:val="24"/>
          <w:szCs w:val="24"/>
          <w:rtl/>
        </w:rPr>
        <w:t xml:space="preserve">المملكة </w:t>
      </w:r>
      <w:commentRangeEnd w:id="14"/>
      <w:r w:rsidR="00EB42B3">
        <w:rPr>
          <w:rStyle w:val="CommentReference"/>
          <w:rFonts w:ascii="Traditional Arabic" w:hAnsi="Traditional Arabic" w:cs="Traditional Arabic" w:hint="cs"/>
          <w:color w:val="000000" w:themeColor="text1"/>
          <w:sz w:val="24"/>
          <w:szCs w:val="24"/>
          <w:rtl/>
        </w:rPr>
        <w:commentReference w:id="14"/>
      </w:r>
      <w:r>
        <w:rPr>
          <w:rFonts w:ascii="Traditional Arabic" w:hAnsi="Traditional Arabic" w:cs="Traditional Arabic" w:hint="cs"/>
          <w:color w:val="000000" w:themeColor="text1"/>
          <w:sz w:val="24"/>
          <w:szCs w:val="24"/>
          <w:rtl/>
        </w:rPr>
        <w:t>.</w:t>
      </w:r>
    </w:p>
    <w:p w14:paraId="1425EED1"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0E4795B4"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أهداف الدراسة:</w:t>
      </w:r>
    </w:p>
    <w:p w14:paraId="6B46E2B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تهدف هذه الدراسة إلى قياس وتحليل أثر تطبيق مبادئ النموذج الوطني للتميز المؤسسي لجائزة الملك عبد العزيز للجودة، على جودة تجربة المريض في المستشفيات المُطبقة لهذا النموذج ضمن تجمع القصيم الصحي، وذلك من خلال تحقيق الأهداف التفصيلية الآتية:</w:t>
      </w:r>
    </w:p>
    <w:p w14:paraId="1973AB5F" w14:textId="77777777" w:rsidR="004F600B" w:rsidRDefault="00000000">
      <w:pPr>
        <w:pStyle w:val="ListParagraph"/>
        <w:numPr>
          <w:ilvl w:val="0"/>
          <w:numId w:val="5"/>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تحديد مستوى تطبيق 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في المستشفيات محل الدراسة ضمن تجمع القصيم الصحي.</w:t>
      </w:r>
    </w:p>
    <w:p w14:paraId="058213C9" w14:textId="77777777" w:rsidR="004F600B" w:rsidRDefault="00000000">
      <w:pPr>
        <w:pStyle w:val="ListParagraph"/>
        <w:numPr>
          <w:ilvl w:val="0"/>
          <w:numId w:val="5"/>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قياس مستوى جودة تجربة المريض في المستشفيات محل الدراسة، وفقًا لأبعادها (الوصول، تنسيق الخدمة، التواصل، الاحترام، المعلومات، البيئة المادية، الدعم العاطفي، المشاركة) في المستشفيات محل الدراسة ضمن تجمع القصيم الصحي.</w:t>
      </w:r>
    </w:p>
    <w:p w14:paraId="6A3DC94E" w14:textId="77777777" w:rsidR="004F600B" w:rsidRDefault="00000000">
      <w:pPr>
        <w:pStyle w:val="ListParagraph"/>
        <w:numPr>
          <w:ilvl w:val="0"/>
          <w:numId w:val="5"/>
        </w:num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تحليل مدى تأثير كل مبدأ من مبادئ النموذج الوطني للتميز المؤسسي لجائزة الملك عبد العزيز للجودة على جودة تجربة المريض، بهدف التعرف على الأبعاد الأكثر تأثيرًا في تحسين تجربة المستفيد داخل المستشفيات محل الدراسة.</w:t>
      </w:r>
    </w:p>
    <w:p w14:paraId="5F609385" w14:textId="77777777" w:rsidR="004F600B" w:rsidRDefault="00000000">
      <w:pPr>
        <w:pStyle w:val="ListParagraph"/>
        <w:numPr>
          <w:ilvl w:val="0"/>
          <w:numId w:val="5"/>
        </w:num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تقديم توصيات عملية </w:t>
      </w:r>
      <w:commentRangeStart w:id="15"/>
      <w:r>
        <w:rPr>
          <w:rFonts w:ascii="Traditional Arabic" w:hAnsi="Traditional Arabic" w:cs="Traditional Arabic"/>
          <w:color w:val="000000" w:themeColor="text1"/>
          <w:sz w:val="24"/>
          <w:szCs w:val="24"/>
          <w:rtl/>
        </w:rPr>
        <w:t xml:space="preserve">للإدارة الصحية </w:t>
      </w:r>
      <w:commentRangeEnd w:id="15"/>
      <w:r w:rsidR="00A26C27">
        <w:rPr>
          <w:rStyle w:val="CommentReference"/>
          <w:rFonts w:ascii="Traditional Arabic" w:hAnsi="Traditional Arabic" w:cs="Traditional Arabic"/>
          <w:color w:val="000000" w:themeColor="text1"/>
          <w:sz w:val="24"/>
          <w:szCs w:val="24"/>
          <w:rtl/>
        </w:rPr>
        <w:commentReference w:id="15"/>
      </w:r>
      <w:r>
        <w:rPr>
          <w:rFonts w:ascii="Traditional Arabic" w:hAnsi="Traditional Arabic" w:cs="Traditional Arabic"/>
          <w:color w:val="000000" w:themeColor="text1"/>
          <w:sz w:val="24"/>
          <w:szCs w:val="24"/>
          <w:rtl/>
        </w:rPr>
        <w:t xml:space="preserve">في تجمع القصيم الصحي لتعزيز تطبيق مبادئ النموذج الوطني للتميز المؤسسي لجائزة الملك عبد العزيز للجودة، بما يدعم تحسين تجربة المريض في المستشفيات، </w:t>
      </w:r>
      <w:commentRangeStart w:id="16"/>
      <w:r>
        <w:rPr>
          <w:rFonts w:ascii="Traditional Arabic" w:hAnsi="Traditional Arabic" w:cs="Traditional Arabic"/>
          <w:color w:val="000000" w:themeColor="text1"/>
          <w:sz w:val="24"/>
          <w:szCs w:val="24"/>
          <w:rtl/>
        </w:rPr>
        <w:t>وتشمل هذه التوصيات أيضًا قادة جائزة الملك عبد العزيز للتميز المؤسسي بهدف دعم تطوير معايير التميز بما يتماشى مع احتياجات المستفيدين وتجربة المريض</w:t>
      </w:r>
      <w:r>
        <w:rPr>
          <w:rFonts w:ascii="Traditional Arabic" w:hAnsi="Traditional Arabic" w:cs="Traditional Arabic"/>
          <w:color w:val="000000" w:themeColor="text1"/>
          <w:sz w:val="24"/>
          <w:szCs w:val="24"/>
        </w:rPr>
        <w:t>.</w:t>
      </w:r>
      <w:commentRangeEnd w:id="16"/>
      <w:r w:rsidR="00A26C27">
        <w:rPr>
          <w:rStyle w:val="CommentReference"/>
          <w:rFonts w:ascii="Traditional Arabic" w:hAnsi="Traditional Arabic" w:cs="Traditional Arabic"/>
          <w:color w:val="000000" w:themeColor="text1"/>
          <w:sz w:val="24"/>
          <w:szCs w:val="24"/>
          <w:rtl/>
        </w:rPr>
        <w:commentReference w:id="16"/>
      </w:r>
    </w:p>
    <w:p w14:paraId="17083B85"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31E02DD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004C5B3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0C5518D7"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37A6B63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11AA2AFB"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483F87CB"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484961D2"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فر</w:t>
      </w:r>
      <w:r>
        <w:rPr>
          <w:rFonts w:ascii="Traditional Arabic" w:hAnsi="Traditional Arabic" w:cs="Traditional Arabic" w:hint="cs"/>
          <w:b/>
          <w:bCs/>
          <w:color w:val="000000" w:themeColor="text1"/>
          <w:sz w:val="32"/>
          <w:szCs w:val="32"/>
          <w:rtl/>
        </w:rPr>
        <w:t>وض</w:t>
      </w:r>
      <w:r>
        <w:rPr>
          <w:rFonts w:ascii="Traditional Arabic" w:hAnsi="Traditional Arabic" w:cs="Traditional Arabic"/>
          <w:b/>
          <w:bCs/>
          <w:color w:val="000000" w:themeColor="text1"/>
          <w:sz w:val="32"/>
          <w:szCs w:val="32"/>
          <w:rtl/>
        </w:rPr>
        <w:t xml:space="preserve"> الدراسة:</w:t>
      </w:r>
    </w:p>
    <w:p w14:paraId="423A7E6B"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u w:val="single"/>
          <w:rtl/>
        </w:rPr>
      </w:pPr>
      <w:r>
        <w:rPr>
          <w:rFonts w:ascii="Traditional Arabic" w:hAnsi="Traditional Arabic" w:cs="Traditional Arabic"/>
          <w:b/>
          <w:bCs/>
          <w:color w:val="000000" w:themeColor="text1"/>
          <w:sz w:val="28"/>
          <w:szCs w:val="28"/>
          <w:u w:val="single"/>
          <w:rtl/>
        </w:rPr>
        <w:t xml:space="preserve">أولًا: الفرضية الرئيسية </w:t>
      </w:r>
    </w:p>
    <w:p w14:paraId="5910B380" w14:textId="77777777" w:rsidR="004F600B" w:rsidRDefault="00000000">
      <w:pPr>
        <w:pStyle w:val="ListParagraph"/>
        <w:numPr>
          <w:ilvl w:val="0"/>
          <w:numId w:val="6"/>
        </w:num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الفرضية الصفرية</w:t>
      </w:r>
      <w:r>
        <w:rPr>
          <w:rFonts w:ascii="Traditional Arabic" w:hAnsi="Traditional Arabic" w:cs="Traditional Arabic"/>
          <w:b/>
          <w:bCs/>
          <w:color w:val="000000" w:themeColor="text1"/>
          <w:sz w:val="24"/>
          <w:szCs w:val="24"/>
        </w:rPr>
        <w:t xml:space="preserve"> (H</w:t>
      </w:r>
      <w:r>
        <w:rPr>
          <w:rFonts w:ascii="Cambria Math" w:hAnsi="Cambria Math" w:cs="Cambria Math"/>
          <w:b/>
          <w:bCs/>
          <w:color w:val="000000" w:themeColor="text1"/>
          <w:sz w:val="24"/>
          <w:szCs w:val="24"/>
        </w:rPr>
        <w:t>₀</w:t>
      </w:r>
      <w:r>
        <w:rPr>
          <w:rFonts w:ascii="Traditional Arabic" w:hAnsi="Traditional Arabic" w:cs="Traditional Arabic"/>
          <w:b/>
          <w:bCs/>
          <w:color w:val="000000" w:themeColor="text1"/>
          <w:sz w:val="24"/>
          <w:szCs w:val="24"/>
        </w:rPr>
        <w:t>):</w:t>
      </w:r>
    </w:p>
    <w:p w14:paraId="70C30D2A" w14:textId="77777777" w:rsidR="004F600B" w:rsidRDefault="00000000">
      <w:pPr>
        <w:pStyle w:val="ListParagraph"/>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لا يوجد تأثير ذو دلالة إحصائية لتطبيق مبادئ النموذج الوطني للتميز المؤسسي لجائزة الملك عبد العزيز للجودة على جودة تجربة المريض في المستشفيات محل الدراسة</w:t>
      </w:r>
      <w:r>
        <w:rPr>
          <w:rFonts w:ascii="Traditional Arabic" w:hAnsi="Traditional Arabic" w:cs="Traditional Arabic"/>
          <w:color w:val="000000" w:themeColor="text1"/>
          <w:sz w:val="24"/>
          <w:szCs w:val="24"/>
        </w:rPr>
        <w:t>.</w:t>
      </w:r>
    </w:p>
    <w:p w14:paraId="05DCF208" w14:textId="77777777" w:rsidR="004F600B" w:rsidRDefault="00000000">
      <w:pPr>
        <w:pStyle w:val="ListParagraph"/>
        <w:numPr>
          <w:ilvl w:val="0"/>
          <w:numId w:val="7"/>
        </w:num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الفرضية البديلة</w:t>
      </w:r>
      <w:r>
        <w:rPr>
          <w:rFonts w:ascii="Traditional Arabic" w:hAnsi="Traditional Arabic" w:cs="Traditional Arabic"/>
          <w:b/>
          <w:bCs/>
          <w:color w:val="000000" w:themeColor="text1"/>
          <w:sz w:val="24"/>
          <w:szCs w:val="24"/>
        </w:rPr>
        <w:t xml:space="preserve"> (H</w:t>
      </w:r>
      <w:r>
        <w:rPr>
          <w:rFonts w:ascii="Cambria Math" w:hAnsi="Cambria Math" w:cs="Cambria Math"/>
          <w:b/>
          <w:bCs/>
          <w:color w:val="000000" w:themeColor="text1"/>
          <w:sz w:val="24"/>
          <w:szCs w:val="24"/>
        </w:rPr>
        <w:t>₁</w:t>
      </w:r>
      <w:r>
        <w:rPr>
          <w:rFonts w:ascii="Traditional Arabic" w:hAnsi="Traditional Arabic" w:cs="Traditional Arabic"/>
          <w:b/>
          <w:bCs/>
          <w:color w:val="000000" w:themeColor="text1"/>
          <w:sz w:val="24"/>
          <w:szCs w:val="24"/>
        </w:rPr>
        <w:t>):</w:t>
      </w:r>
    </w:p>
    <w:p w14:paraId="083DD46F" w14:textId="77777777" w:rsidR="004F600B" w:rsidRDefault="00000000">
      <w:pPr>
        <w:pStyle w:val="ListParagraph"/>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يوجد تأثير ذو دلالة إحصائية لتطبيق مبادئ النموذج الوطني للتميز المؤسسي لجائزة الملك عبد العزيز للجودة على جودة تجربة المريض في المستشفيات محل الدراسة</w:t>
      </w:r>
      <w:r>
        <w:rPr>
          <w:rFonts w:ascii="Traditional Arabic" w:hAnsi="Traditional Arabic" w:cs="Traditional Arabic"/>
          <w:color w:val="000000" w:themeColor="text1"/>
          <w:sz w:val="24"/>
          <w:szCs w:val="24"/>
        </w:rPr>
        <w:t>.</w:t>
      </w:r>
    </w:p>
    <w:p w14:paraId="470B4A4A"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u w:val="single"/>
          <w:rtl/>
        </w:rPr>
      </w:pPr>
      <w:r>
        <w:rPr>
          <w:rFonts w:ascii="Traditional Arabic" w:hAnsi="Traditional Arabic" w:cs="Traditional Arabic"/>
          <w:b/>
          <w:bCs/>
          <w:color w:val="000000" w:themeColor="text1"/>
          <w:sz w:val="28"/>
          <w:szCs w:val="28"/>
          <w:u w:val="single"/>
          <w:rtl/>
        </w:rPr>
        <w:t xml:space="preserve">ثانيًا: الفرضيات الفرعية </w:t>
      </w:r>
    </w:p>
    <w:p w14:paraId="172DD9EB"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1</w:t>
      </w:r>
      <w:r>
        <w:rPr>
          <w:rFonts w:ascii="Traditional Arabic" w:hAnsi="Traditional Arabic" w:cs="Traditional Arabic"/>
          <w:b/>
          <w:bCs/>
          <w:color w:val="000000" w:themeColor="text1"/>
          <w:sz w:val="24"/>
          <w:szCs w:val="24"/>
          <w:u w:val="single"/>
          <w:rtl/>
        </w:rPr>
        <w:t>):</w:t>
      </w:r>
    </w:p>
    <w:p w14:paraId="550DC876"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 xml:space="preserve">-1 </w:t>
      </w:r>
      <w:r>
        <w:rPr>
          <w:rFonts w:ascii="Traditional Arabic" w:hAnsi="Traditional Arabic" w:cs="Traditional Arabic"/>
          <w:color w:val="000000" w:themeColor="text1"/>
          <w:sz w:val="24"/>
          <w:szCs w:val="24"/>
          <w:rtl/>
        </w:rPr>
        <w:t>- لا يوجد تأثير ذو دلالة إحصائية لبعد القيادة على جودة تجربة المريض في المستشفيات محل الدراسة</w:t>
      </w:r>
      <w:r>
        <w:rPr>
          <w:rFonts w:ascii="Traditional Arabic" w:hAnsi="Traditional Arabic" w:cs="Traditional Arabic"/>
          <w:color w:val="000000" w:themeColor="text1"/>
          <w:sz w:val="24"/>
          <w:szCs w:val="24"/>
        </w:rPr>
        <w:t>.</w:t>
      </w:r>
    </w:p>
    <w:p w14:paraId="0CD04AA3"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 xml:space="preserve">-1 </w:t>
      </w:r>
      <w:r>
        <w:rPr>
          <w:rFonts w:ascii="Traditional Arabic" w:hAnsi="Traditional Arabic" w:cs="Traditional Arabic"/>
          <w:color w:val="000000" w:themeColor="text1"/>
          <w:sz w:val="24"/>
          <w:szCs w:val="24"/>
          <w:rtl/>
        </w:rPr>
        <w:t>- يوجد تأثير ذو دلالة إحصائية لبعد القيادة على جودة تجربة المريض في المستشفيات محل الدراسة</w:t>
      </w:r>
      <w:r>
        <w:rPr>
          <w:rFonts w:ascii="Traditional Arabic" w:hAnsi="Traditional Arabic" w:cs="Traditional Arabic"/>
          <w:color w:val="000000" w:themeColor="text1"/>
          <w:sz w:val="24"/>
          <w:szCs w:val="24"/>
        </w:rPr>
        <w:t>.</w:t>
      </w:r>
    </w:p>
    <w:p w14:paraId="2DCBF4AE"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2</w:t>
      </w:r>
      <w:r>
        <w:rPr>
          <w:rFonts w:ascii="Traditional Arabic" w:hAnsi="Traditional Arabic" w:cs="Traditional Arabic"/>
          <w:b/>
          <w:bCs/>
          <w:color w:val="000000" w:themeColor="text1"/>
          <w:sz w:val="24"/>
          <w:szCs w:val="24"/>
          <w:u w:val="single"/>
          <w:rtl/>
        </w:rPr>
        <w:t>):</w:t>
      </w:r>
    </w:p>
    <w:p w14:paraId="04768A29"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-2</w:t>
      </w:r>
      <w:r>
        <w:rPr>
          <w:rFonts w:ascii="Traditional Arabic" w:hAnsi="Traditional Arabic" w:cs="Traditional Arabic"/>
          <w:color w:val="000000" w:themeColor="text1"/>
          <w:sz w:val="24"/>
          <w:szCs w:val="24"/>
          <w:rtl/>
        </w:rPr>
        <w:t>- لا يوجد تأثير ذو دلالة إحصائية لبعد الموارد البشرية على جودة تجربة المريض في المستشفيات محل الدراسة</w:t>
      </w:r>
      <w:r>
        <w:rPr>
          <w:rFonts w:ascii="Traditional Arabic" w:hAnsi="Traditional Arabic" w:cs="Traditional Arabic"/>
          <w:color w:val="000000" w:themeColor="text1"/>
          <w:sz w:val="24"/>
          <w:szCs w:val="24"/>
        </w:rPr>
        <w:t>.</w:t>
      </w:r>
    </w:p>
    <w:p w14:paraId="529EFD4B"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 xml:space="preserve">-2 </w:t>
      </w:r>
      <w:r>
        <w:rPr>
          <w:rFonts w:ascii="Traditional Arabic" w:hAnsi="Traditional Arabic" w:cs="Traditional Arabic"/>
          <w:color w:val="000000" w:themeColor="text1"/>
          <w:sz w:val="24"/>
          <w:szCs w:val="24"/>
          <w:rtl/>
        </w:rPr>
        <w:t>- يوجد تأثير ذو دلالة إحصائية لبعد الموارد البشرية على جودة تجربة المريض في المستشفيات محل الدراسة</w:t>
      </w:r>
      <w:r>
        <w:rPr>
          <w:rFonts w:ascii="Traditional Arabic" w:hAnsi="Traditional Arabic" w:cs="Traditional Arabic"/>
          <w:color w:val="000000" w:themeColor="text1"/>
          <w:sz w:val="24"/>
          <w:szCs w:val="24"/>
        </w:rPr>
        <w:t>.</w:t>
      </w:r>
    </w:p>
    <w:p w14:paraId="3867FB24"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3</w:t>
      </w:r>
      <w:r>
        <w:rPr>
          <w:rFonts w:ascii="Traditional Arabic" w:hAnsi="Traditional Arabic" w:cs="Traditional Arabic"/>
          <w:b/>
          <w:bCs/>
          <w:color w:val="000000" w:themeColor="text1"/>
          <w:sz w:val="24"/>
          <w:szCs w:val="24"/>
          <w:u w:val="single"/>
          <w:rtl/>
        </w:rPr>
        <w:t>):</w:t>
      </w:r>
    </w:p>
    <w:p w14:paraId="081A6634"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 xml:space="preserve">-3 </w:t>
      </w:r>
      <w:r>
        <w:rPr>
          <w:rFonts w:ascii="Traditional Arabic" w:hAnsi="Traditional Arabic" w:cs="Traditional Arabic"/>
          <w:color w:val="000000" w:themeColor="text1"/>
          <w:sz w:val="24"/>
          <w:szCs w:val="24"/>
          <w:rtl/>
        </w:rPr>
        <w:t>- لا يوجد تأثير ذو دلالة إحصائية لبعد المستفيدين على جودة تجربة المريض في المستشفيات محل الدراسة</w:t>
      </w:r>
      <w:r>
        <w:rPr>
          <w:rFonts w:ascii="Traditional Arabic" w:hAnsi="Traditional Arabic" w:cs="Traditional Arabic"/>
          <w:color w:val="000000" w:themeColor="text1"/>
          <w:sz w:val="24"/>
          <w:szCs w:val="24"/>
        </w:rPr>
        <w:t>.</w:t>
      </w:r>
    </w:p>
    <w:p w14:paraId="77CF8F5C"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-3</w:t>
      </w:r>
      <w:r>
        <w:rPr>
          <w:rFonts w:ascii="Traditional Arabic" w:hAnsi="Traditional Arabic" w:cs="Traditional Arabic"/>
          <w:color w:val="000000" w:themeColor="text1"/>
          <w:sz w:val="24"/>
          <w:szCs w:val="24"/>
          <w:rtl/>
        </w:rPr>
        <w:t>- يوجد تأثير ذو دلالة إحصائية لبعد المستفيدين على جودة تجربة المريض في المستشفيات محل الدراسة</w:t>
      </w:r>
      <w:r>
        <w:rPr>
          <w:rFonts w:ascii="Traditional Arabic" w:hAnsi="Traditional Arabic" w:cs="Traditional Arabic"/>
          <w:color w:val="000000" w:themeColor="text1"/>
          <w:sz w:val="24"/>
          <w:szCs w:val="24"/>
        </w:rPr>
        <w:t>.</w:t>
      </w:r>
    </w:p>
    <w:p w14:paraId="70BBBEA5"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lastRenderedPageBreak/>
        <w:t>الفرضية الفرعية (</w:t>
      </w:r>
      <w:r>
        <w:rPr>
          <w:rFonts w:ascii="Traditional Arabic" w:hAnsi="Traditional Arabic" w:cs="Traditional Arabic"/>
          <w:b/>
          <w:bCs/>
          <w:color w:val="000000" w:themeColor="text1"/>
          <w:sz w:val="24"/>
          <w:szCs w:val="24"/>
          <w:u w:val="single"/>
        </w:rPr>
        <w:t>4</w:t>
      </w:r>
      <w:r>
        <w:rPr>
          <w:rFonts w:ascii="Traditional Arabic" w:hAnsi="Traditional Arabic" w:cs="Traditional Arabic"/>
          <w:b/>
          <w:bCs/>
          <w:color w:val="000000" w:themeColor="text1"/>
          <w:sz w:val="24"/>
          <w:szCs w:val="24"/>
          <w:u w:val="single"/>
          <w:rtl/>
        </w:rPr>
        <w:t>):</w:t>
      </w:r>
    </w:p>
    <w:p w14:paraId="6D8DB44D"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-4</w:t>
      </w:r>
      <w:r>
        <w:rPr>
          <w:rFonts w:ascii="Traditional Arabic" w:hAnsi="Traditional Arabic" w:cs="Traditional Arabic"/>
          <w:color w:val="000000" w:themeColor="text1"/>
          <w:sz w:val="24"/>
          <w:szCs w:val="24"/>
          <w:rtl/>
        </w:rPr>
        <w:t>- لا يوجد تأثير ذو دلالة إحصائية لبعد العمليات على جودة تجربة المريض في المستشفيات محل الدراسة</w:t>
      </w:r>
      <w:r>
        <w:rPr>
          <w:rFonts w:ascii="Traditional Arabic" w:hAnsi="Traditional Arabic" w:cs="Traditional Arabic"/>
          <w:color w:val="000000" w:themeColor="text1"/>
          <w:sz w:val="24"/>
          <w:szCs w:val="24"/>
        </w:rPr>
        <w:t>.</w:t>
      </w:r>
    </w:p>
    <w:p w14:paraId="704AF19E"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-4</w:t>
      </w:r>
      <w:r>
        <w:rPr>
          <w:rFonts w:ascii="Traditional Arabic" w:hAnsi="Traditional Arabic" w:cs="Traditional Arabic"/>
          <w:color w:val="000000" w:themeColor="text1"/>
          <w:sz w:val="24"/>
          <w:szCs w:val="24"/>
          <w:rtl/>
        </w:rPr>
        <w:t>- يوجد تأثير ذو دلالة إحصائية لبعد العمليات على جودة تجربة المريض في المستشفيات محل الدراسة</w:t>
      </w:r>
      <w:r>
        <w:rPr>
          <w:rFonts w:ascii="Traditional Arabic" w:hAnsi="Traditional Arabic" w:cs="Traditional Arabic"/>
          <w:color w:val="000000" w:themeColor="text1"/>
          <w:sz w:val="24"/>
          <w:szCs w:val="24"/>
        </w:rPr>
        <w:t>.</w:t>
      </w:r>
    </w:p>
    <w:p w14:paraId="06244026"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5</w:t>
      </w:r>
      <w:r>
        <w:rPr>
          <w:rFonts w:ascii="Traditional Arabic" w:hAnsi="Traditional Arabic" w:cs="Traditional Arabic"/>
          <w:b/>
          <w:bCs/>
          <w:color w:val="000000" w:themeColor="text1"/>
          <w:sz w:val="24"/>
          <w:szCs w:val="24"/>
          <w:u w:val="single"/>
          <w:rtl/>
        </w:rPr>
        <w:t>):</w:t>
      </w:r>
    </w:p>
    <w:p w14:paraId="37BDAE1F"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 xml:space="preserve">-5 </w:t>
      </w:r>
      <w:r>
        <w:rPr>
          <w:rFonts w:ascii="Traditional Arabic" w:hAnsi="Traditional Arabic" w:cs="Traditional Arabic"/>
          <w:color w:val="000000" w:themeColor="text1"/>
          <w:sz w:val="24"/>
          <w:szCs w:val="24"/>
          <w:rtl/>
        </w:rPr>
        <w:t>- لا يوجد تأثير ذو دلالة إحصائية لبعد الشراكات على جودة تجربة المريض في المستشفيات محل الدراسة</w:t>
      </w:r>
      <w:r>
        <w:rPr>
          <w:rFonts w:ascii="Traditional Arabic" w:hAnsi="Traditional Arabic" w:cs="Traditional Arabic"/>
          <w:color w:val="000000" w:themeColor="text1"/>
          <w:sz w:val="24"/>
          <w:szCs w:val="24"/>
        </w:rPr>
        <w:t>.</w:t>
      </w:r>
    </w:p>
    <w:p w14:paraId="02CDBD9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-5</w:t>
      </w:r>
      <w:r>
        <w:rPr>
          <w:rFonts w:ascii="Traditional Arabic" w:hAnsi="Traditional Arabic" w:cs="Traditional Arabic"/>
          <w:color w:val="000000" w:themeColor="text1"/>
          <w:sz w:val="24"/>
          <w:szCs w:val="24"/>
          <w:rtl/>
        </w:rPr>
        <w:t>- يوجد تأثير ذو دلالة إحصائية لبعد الشراكات على جودة تجربة المريض في المستشفيات محل الدراسة</w:t>
      </w:r>
      <w:r>
        <w:rPr>
          <w:rFonts w:ascii="Traditional Arabic" w:hAnsi="Traditional Arabic" w:cs="Traditional Arabic"/>
          <w:color w:val="000000" w:themeColor="text1"/>
          <w:sz w:val="24"/>
          <w:szCs w:val="24"/>
        </w:rPr>
        <w:t>.</w:t>
      </w:r>
    </w:p>
    <w:p w14:paraId="29EE4981"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6</w:t>
      </w:r>
      <w:r>
        <w:rPr>
          <w:rFonts w:ascii="Traditional Arabic" w:hAnsi="Traditional Arabic" w:cs="Traditional Arabic"/>
          <w:b/>
          <w:bCs/>
          <w:color w:val="000000" w:themeColor="text1"/>
          <w:sz w:val="24"/>
          <w:szCs w:val="24"/>
          <w:u w:val="single"/>
          <w:rtl/>
        </w:rPr>
        <w:t>):</w:t>
      </w:r>
    </w:p>
    <w:p w14:paraId="3586ADF0"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 xml:space="preserve">-6 </w:t>
      </w:r>
      <w:r>
        <w:rPr>
          <w:rFonts w:ascii="Traditional Arabic" w:hAnsi="Traditional Arabic" w:cs="Traditional Arabic"/>
          <w:color w:val="000000" w:themeColor="text1"/>
          <w:sz w:val="24"/>
          <w:szCs w:val="24"/>
          <w:rtl/>
        </w:rPr>
        <w:t>- لا يوجد تأثير ذو دلالة إحصائية لبعد التحسين المستمر على جودة تجربة المريض في المستشفيات محل الدراسة</w:t>
      </w:r>
      <w:r>
        <w:rPr>
          <w:rFonts w:ascii="Traditional Arabic" w:hAnsi="Traditional Arabic" w:cs="Traditional Arabic"/>
          <w:color w:val="000000" w:themeColor="text1"/>
          <w:sz w:val="24"/>
          <w:szCs w:val="24"/>
        </w:rPr>
        <w:t>.</w:t>
      </w:r>
    </w:p>
    <w:p w14:paraId="0ACB9307"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-6</w:t>
      </w:r>
      <w:r>
        <w:rPr>
          <w:rFonts w:ascii="Traditional Arabic" w:hAnsi="Traditional Arabic" w:cs="Traditional Arabic"/>
          <w:color w:val="000000" w:themeColor="text1"/>
          <w:sz w:val="24"/>
          <w:szCs w:val="24"/>
          <w:rtl/>
        </w:rPr>
        <w:t>- يوجد تأثير ذو دلالة إحصائية لبعد التحسين المستمر على جودة تجربة المريض في المستشفيات محل الدراسة</w:t>
      </w:r>
      <w:r>
        <w:rPr>
          <w:rFonts w:ascii="Traditional Arabic" w:hAnsi="Traditional Arabic" w:cs="Traditional Arabic"/>
          <w:color w:val="000000" w:themeColor="text1"/>
          <w:sz w:val="24"/>
          <w:szCs w:val="24"/>
        </w:rPr>
        <w:t>.</w:t>
      </w:r>
    </w:p>
    <w:p w14:paraId="3ED427EB"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7</w:t>
      </w:r>
      <w:r>
        <w:rPr>
          <w:rFonts w:ascii="Traditional Arabic" w:hAnsi="Traditional Arabic" w:cs="Traditional Arabic"/>
          <w:b/>
          <w:bCs/>
          <w:color w:val="000000" w:themeColor="text1"/>
          <w:sz w:val="24"/>
          <w:szCs w:val="24"/>
          <w:u w:val="single"/>
          <w:rtl/>
        </w:rPr>
        <w:t>):</w:t>
      </w:r>
    </w:p>
    <w:p w14:paraId="6C0C3AEF"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-7</w:t>
      </w:r>
      <w:r>
        <w:rPr>
          <w:rFonts w:ascii="Traditional Arabic" w:hAnsi="Traditional Arabic" w:cs="Traditional Arabic"/>
          <w:color w:val="000000" w:themeColor="text1"/>
          <w:sz w:val="24"/>
          <w:szCs w:val="24"/>
          <w:rtl/>
        </w:rPr>
        <w:t>- لا يوجد تأثير ذو دلالة إحصائية لبعد الإبداع والابتكار على جودة تجربة المريض في المستشفيات محل الدراسة</w:t>
      </w:r>
      <w:r>
        <w:rPr>
          <w:rFonts w:ascii="Traditional Arabic" w:hAnsi="Traditional Arabic" w:cs="Traditional Arabic"/>
          <w:color w:val="000000" w:themeColor="text1"/>
          <w:sz w:val="24"/>
          <w:szCs w:val="24"/>
        </w:rPr>
        <w:t>.</w:t>
      </w:r>
    </w:p>
    <w:p w14:paraId="2C3DD77D"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-7</w:t>
      </w:r>
      <w:r>
        <w:rPr>
          <w:rFonts w:ascii="Traditional Arabic" w:hAnsi="Traditional Arabic" w:cs="Traditional Arabic"/>
          <w:color w:val="000000" w:themeColor="text1"/>
          <w:sz w:val="24"/>
          <w:szCs w:val="24"/>
          <w:rtl/>
        </w:rPr>
        <w:t>- يوجد تأثير ذو دلالة إحصائية لبعد الإبداع والابتكار على جودة تجربة المريض في المستشفيات محل الدراسة</w:t>
      </w:r>
      <w:r>
        <w:rPr>
          <w:rFonts w:ascii="Traditional Arabic" w:hAnsi="Traditional Arabic" w:cs="Traditional Arabic"/>
          <w:color w:val="000000" w:themeColor="text1"/>
          <w:sz w:val="24"/>
          <w:szCs w:val="24"/>
        </w:rPr>
        <w:t>.</w:t>
      </w:r>
    </w:p>
    <w:p w14:paraId="5B80A934"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4"/>
          <w:szCs w:val="24"/>
          <w:u w:val="single"/>
          <w:rtl/>
        </w:rPr>
      </w:pPr>
      <w:r>
        <w:rPr>
          <w:rFonts w:ascii="Traditional Arabic" w:hAnsi="Traditional Arabic" w:cs="Traditional Arabic"/>
          <w:b/>
          <w:bCs/>
          <w:color w:val="000000" w:themeColor="text1"/>
          <w:sz w:val="24"/>
          <w:szCs w:val="24"/>
          <w:u w:val="single"/>
          <w:rtl/>
        </w:rPr>
        <w:t>الفرضية الفرعية (</w:t>
      </w:r>
      <w:r>
        <w:rPr>
          <w:rFonts w:ascii="Traditional Arabic" w:hAnsi="Traditional Arabic" w:cs="Traditional Arabic"/>
          <w:b/>
          <w:bCs/>
          <w:color w:val="000000" w:themeColor="text1"/>
          <w:sz w:val="24"/>
          <w:szCs w:val="24"/>
          <w:u w:val="single"/>
        </w:rPr>
        <w:t>8</w:t>
      </w:r>
      <w:r>
        <w:rPr>
          <w:rFonts w:ascii="Traditional Arabic" w:hAnsi="Traditional Arabic" w:cs="Traditional Arabic"/>
          <w:b/>
          <w:bCs/>
          <w:color w:val="000000" w:themeColor="text1"/>
          <w:sz w:val="24"/>
          <w:szCs w:val="24"/>
          <w:u w:val="single"/>
          <w:rtl/>
        </w:rPr>
        <w:t>):</w:t>
      </w:r>
    </w:p>
    <w:p w14:paraId="71E82513"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₀</w:t>
      </w:r>
      <w:r>
        <w:rPr>
          <w:rFonts w:ascii="Traditional Arabic" w:hAnsi="Traditional Arabic" w:cs="Traditional Arabic"/>
          <w:color w:val="000000" w:themeColor="text1"/>
          <w:sz w:val="24"/>
          <w:szCs w:val="24"/>
        </w:rPr>
        <w:t>-8</w:t>
      </w:r>
      <w:r>
        <w:rPr>
          <w:rFonts w:ascii="Traditional Arabic" w:hAnsi="Traditional Arabic" w:cs="Traditional Arabic"/>
          <w:color w:val="000000" w:themeColor="text1"/>
          <w:sz w:val="24"/>
          <w:szCs w:val="24"/>
          <w:rtl/>
        </w:rPr>
        <w:t>- لا يوجد تأثير ذو دلالة إحصائية لبعد التنمية المستدامة على جودة تجربة المريض في المستشفيات محل الدراسة</w:t>
      </w:r>
      <w:r>
        <w:rPr>
          <w:rFonts w:ascii="Traditional Arabic" w:hAnsi="Traditional Arabic" w:cs="Traditional Arabic"/>
          <w:color w:val="000000" w:themeColor="text1"/>
          <w:sz w:val="24"/>
          <w:szCs w:val="24"/>
        </w:rPr>
        <w:t>.</w:t>
      </w:r>
    </w:p>
    <w:p w14:paraId="71E34D66"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H</w:t>
      </w:r>
      <w:r>
        <w:rPr>
          <w:rFonts w:ascii="Cambria Math" w:hAnsi="Cambria Math" w:cs="Cambria Math"/>
          <w:color w:val="000000" w:themeColor="text1"/>
          <w:sz w:val="24"/>
          <w:szCs w:val="24"/>
        </w:rPr>
        <w:t>₁</w:t>
      </w:r>
      <w:r>
        <w:rPr>
          <w:rFonts w:ascii="Traditional Arabic" w:hAnsi="Traditional Arabic" w:cs="Traditional Arabic"/>
          <w:color w:val="000000" w:themeColor="text1"/>
          <w:sz w:val="24"/>
          <w:szCs w:val="24"/>
        </w:rPr>
        <w:t>-8</w:t>
      </w:r>
      <w:r>
        <w:rPr>
          <w:rFonts w:ascii="Traditional Arabic" w:hAnsi="Traditional Arabic" w:cs="Traditional Arabic"/>
          <w:color w:val="000000" w:themeColor="text1"/>
          <w:sz w:val="24"/>
          <w:szCs w:val="24"/>
          <w:rtl/>
        </w:rPr>
        <w:t>- يوجد تأثير ذو دلالة إحصائية لبعد التنمية المستدامة على جودة تجربة المريض في المستشفيات محل الدراسة</w:t>
      </w:r>
      <w:r>
        <w:rPr>
          <w:rFonts w:ascii="Traditional Arabic" w:hAnsi="Traditional Arabic" w:cs="Traditional Arabic"/>
          <w:color w:val="000000" w:themeColor="text1"/>
          <w:sz w:val="24"/>
          <w:szCs w:val="24"/>
        </w:rPr>
        <w:t>.</w:t>
      </w:r>
    </w:p>
    <w:p w14:paraId="381D39D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5441BE35"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792AD8CF"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مفاهيم ومصطلحات الدراسة</w:t>
      </w:r>
    </w:p>
    <w:p w14:paraId="7BCC6A11"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أولًا: التميز المؤسسي</w:t>
      </w:r>
    </w:p>
    <w:p w14:paraId="6C0E0B87" w14:textId="77777777" w:rsidR="004F600B" w:rsidRDefault="00000000">
      <w:pPr>
        <w:pStyle w:val="ListParagraph"/>
        <w:numPr>
          <w:ilvl w:val="0"/>
          <w:numId w:val="7"/>
        </w:num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اللفظي :</w:t>
      </w:r>
    </w:p>
    <w:p w14:paraId="71DD35E6"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في تعريف مؤسسة التميز الأوروبية</w:t>
      </w:r>
      <w:r>
        <w:rPr>
          <w:rFonts w:ascii="Traditional Arabic" w:hAnsi="Traditional Arabic" w:cs="Traditional Arabic"/>
          <w:color w:val="000000" w:themeColor="text1"/>
          <w:sz w:val="24"/>
          <w:szCs w:val="24"/>
        </w:rPr>
        <w:t xml:space="preserve"> </w:t>
      </w:r>
      <w:commentRangeStart w:id="17"/>
      <w:r>
        <w:rPr>
          <w:rFonts w:ascii="Traditional Arabic" w:hAnsi="Traditional Arabic" w:cs="Traditional Arabic"/>
          <w:color w:val="000000" w:themeColor="text1"/>
          <w:sz w:val="24"/>
          <w:szCs w:val="24"/>
        </w:rPr>
        <w:t>EFQM (2023)</w:t>
      </w:r>
      <w:commentRangeEnd w:id="17"/>
      <w:r w:rsidR="00A26C27">
        <w:rPr>
          <w:rStyle w:val="CommentReference"/>
          <w:rFonts w:ascii="Traditional Arabic" w:hAnsi="Traditional Arabic" w:cs="Traditional Arabic"/>
          <w:color w:val="000000" w:themeColor="text1"/>
          <w:sz w:val="24"/>
          <w:szCs w:val="24"/>
          <w:rtl/>
        </w:rPr>
        <w:commentReference w:id="17"/>
      </w:r>
      <w:r>
        <w:rPr>
          <w:rFonts w:ascii="Traditional Arabic" w:hAnsi="Traditional Arabic" w:cs="Traditional Arabic"/>
          <w:color w:val="000000" w:themeColor="text1"/>
          <w:sz w:val="24"/>
          <w:szCs w:val="24"/>
          <w:rtl/>
        </w:rPr>
        <w:t xml:space="preserve">، يُعرّف التميز المؤسسي بأنه "مجموعة من الممارسات المتميزة في إدارة المنظمة وتحقيق نتائجها، مبنيّة على مفاهيم أساسية مثل: خلق القيمة للمتعاملين، بناء مستقبل مستدام، تعزيز القدرات المؤسسية، القيادة الملهمة، التحسين المستمر، وتمكين الأفراد". ويُعد هذا المفهوم من أكثر النماذج المرجعية شمولًا في مجال التميز المؤسسي، ويشكّل الإطار النظري الذي بُنيت عليه العديد من الجوائز الدولية والوطنية. </w:t>
      </w:r>
    </w:p>
    <w:p w14:paraId="4E699C2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يشير التميّز المؤسسي إلى تحقيق أداء مؤسسي متفوق ومستدام يتجاوز مجرد الكفاءة التشغيلية، ليشمل تحقيق نتائج متوازنة تُرضي جميع أصحاب المصلحة من خلال تطبيق منهجي لمفاهيم القيادة الفعالة، الابتكار، التحسين المستمر، وإدارة الموارد بكفاءة. وقد عرّف</w:t>
      </w:r>
      <w:r>
        <w:rPr>
          <w:rFonts w:ascii="Traditional Arabic" w:hAnsi="Traditional Arabic" w:cs="Traditional Arabic"/>
          <w:color w:val="000000" w:themeColor="text1"/>
          <w:sz w:val="24"/>
          <w:szCs w:val="24"/>
        </w:rPr>
        <w:t xml:space="preserve"> Anthony &amp; Bhattacharyya (2010) </w:t>
      </w:r>
      <w:r>
        <w:rPr>
          <w:rFonts w:ascii="Traditional Arabic" w:hAnsi="Traditional Arabic" w:cs="Traditional Arabic"/>
          <w:color w:val="000000" w:themeColor="text1"/>
          <w:sz w:val="24"/>
          <w:szCs w:val="24"/>
          <w:rtl/>
        </w:rPr>
        <w:t>التميز المؤسسي بأنه "الوصول إلى نتائج تفوق التوقعات من خلال مواءمة الأداء التنظيمي مع نماذج التميز مثل</w:t>
      </w:r>
      <w:r>
        <w:rPr>
          <w:rFonts w:ascii="Traditional Arabic" w:hAnsi="Traditional Arabic" w:cs="Traditional Arabic"/>
          <w:color w:val="000000" w:themeColor="text1"/>
          <w:sz w:val="24"/>
          <w:szCs w:val="24"/>
        </w:rPr>
        <w:t xml:space="preserve"> EFQM </w:t>
      </w:r>
      <w:r>
        <w:rPr>
          <w:rFonts w:ascii="Traditional Arabic" w:hAnsi="Traditional Arabic" w:cs="Traditional Arabic"/>
          <w:color w:val="000000" w:themeColor="text1"/>
          <w:sz w:val="24"/>
          <w:szCs w:val="24"/>
          <w:rtl/>
        </w:rPr>
        <w:t>و</w:t>
      </w:r>
      <w:r>
        <w:rPr>
          <w:rFonts w:ascii="Traditional Arabic" w:hAnsi="Traditional Arabic" w:cs="Traditional Arabic"/>
          <w:color w:val="000000" w:themeColor="text1"/>
          <w:sz w:val="24"/>
          <w:szCs w:val="24"/>
        </w:rPr>
        <w:t>Baldrige</w:t>
      </w:r>
      <w:r>
        <w:rPr>
          <w:rFonts w:ascii="Traditional Arabic" w:hAnsi="Traditional Arabic" w:cs="Traditional Arabic"/>
          <w:color w:val="000000" w:themeColor="text1"/>
          <w:sz w:val="24"/>
          <w:szCs w:val="24"/>
          <w:rtl/>
        </w:rPr>
        <w:t>، وبما يتلاءم مع طبيعة المؤسسة لتحقيق تنافسية مستدامة</w:t>
      </w:r>
      <w:r>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w:t>
      </w:r>
    </w:p>
    <w:p w14:paraId="4497ADA0"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كما عرّف </w:t>
      </w:r>
      <w:r>
        <w:rPr>
          <w:rFonts w:ascii="Traditional Arabic" w:hAnsi="Traditional Arabic" w:cs="Traditional Arabic"/>
          <w:color w:val="000000" w:themeColor="text1"/>
          <w:sz w:val="24"/>
          <w:szCs w:val="24"/>
        </w:rPr>
        <w:t>Al-Samawi &amp; Al-Sayaghi (2024)</w:t>
      </w:r>
      <w:r>
        <w:rPr>
          <w:rFonts w:ascii="Traditional Arabic" w:hAnsi="Traditional Arabic" w:cs="Traditional Arabic"/>
          <w:color w:val="000000" w:themeColor="text1"/>
          <w:sz w:val="24"/>
          <w:szCs w:val="24"/>
          <w:rtl/>
        </w:rPr>
        <w:t xml:space="preserve"> التميز المؤسسي في دراستهما الميدانية بأنه قدرة المؤسسة على تحقيق نتائج مستدامة تُلبي توقعات المرضى والعاملين في آن واحد، من خلال استخدام أدوات القياس والتحليل، وتوظيف الموارد بكفاءة، وتعزيز الابتكار والتحسين المستمر في جودة الخدمات. ويظهر من خلال هذه التعريفات أن التميز المؤسسي لا يقتصر على مستوى النتائج فقط، بل يشمل أيضًا المنهجيات والممارسات التي تُسهم في خلق ثقافة مؤسسية عالية الأداء</w:t>
      </w:r>
      <w:r>
        <w:rPr>
          <w:rFonts w:ascii="Traditional Arabic" w:hAnsi="Traditional Arabic" w:cs="Traditional Arabic"/>
          <w:color w:val="000000" w:themeColor="text1"/>
          <w:sz w:val="24"/>
          <w:szCs w:val="24"/>
        </w:rPr>
        <w:t>.</w:t>
      </w:r>
    </w:p>
    <w:p w14:paraId="09ECB4D6" w14:textId="77777777" w:rsidR="004F600B" w:rsidRDefault="00000000">
      <w:pPr>
        <w:pStyle w:val="ListParagraph"/>
        <w:numPr>
          <w:ilvl w:val="0"/>
          <w:numId w:val="7"/>
        </w:numPr>
        <w:bidi/>
        <w:spacing w:before="100" w:beforeAutospacing="1" w:after="100" w:afterAutospacing="1"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الاجرائي :</w:t>
      </w:r>
    </w:p>
    <w:p w14:paraId="58E223D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tl/>
        </w:rPr>
        <w:t>يُقصد بالتميّز المؤسسي في هذه الدراسة الدرجة التي تطبّق بها المستشفيات التابعة لتجمّع القصيم الصحي مبادئ " النموذج الوطني للتميز المؤسسي لجائزة الملك عبد العزيز للجودة " الصادر عن ،جائزة الملك عبد العزيز للجودة (2022)، والتي تشمل: القيادة، التركيز على المستفيدين، الشراكات والموارد، الموظفين، العمليات، التحسين المستمر، الإبداع والابتكار، والتنمية المستدامة. ويتم قياس التميّز المؤسسي من خلال استبانة مبنية على هذه المبادئ، توزّع على عينة من العاملين في المستشفيات الثلاث المستهدفة، باستخدام مقياس ليكرت الخماسي، وذلك بهدف رصد مدى الالتزام المؤسسي بممارسات التميّز وفق النموذج المعتمد في المملكة العربية السعودية</w:t>
      </w:r>
      <w:r>
        <w:rPr>
          <w:rFonts w:ascii="Traditional Arabic" w:hAnsi="Traditional Arabic" w:cs="Traditional Arabic"/>
          <w:color w:val="000000" w:themeColor="text1"/>
          <w:sz w:val="24"/>
          <w:szCs w:val="24"/>
        </w:rPr>
        <w:t>.</w:t>
      </w:r>
    </w:p>
    <w:p w14:paraId="76852453"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ثانياً</w:t>
      </w:r>
      <w:r>
        <w:rPr>
          <w:rFonts w:ascii="Traditional Arabic" w:hAnsi="Traditional Arabic" w:cs="Traditional Arabic"/>
          <w:b/>
          <w:bCs/>
          <w:color w:val="000000" w:themeColor="text1"/>
          <w:sz w:val="28"/>
          <w:szCs w:val="28"/>
          <w:rtl/>
        </w:rPr>
        <w:t xml:space="preserve"> : النموذج الوطني للتميز المؤسسي لجائزة الملك عبد العزيز للجودة</w:t>
      </w:r>
    </w:p>
    <w:p w14:paraId="6CCF79B6"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 xml:space="preserve">التعريف اللفظي </w:t>
      </w:r>
    </w:p>
    <w:p w14:paraId="6E7D3B2B"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commentRangeStart w:id="18"/>
      <w:r>
        <w:rPr>
          <w:rFonts w:ascii="Traditional Arabic" w:hAnsi="Traditional Arabic" w:cs="Traditional Arabic"/>
          <w:color w:val="000000" w:themeColor="text1"/>
          <w:sz w:val="24"/>
          <w:szCs w:val="24"/>
          <w:rtl/>
        </w:rPr>
        <w:t xml:space="preserve">عُرّف </w:t>
      </w:r>
      <w:bookmarkStart w:id="19" w:name="_Hlk212718158"/>
      <w:r>
        <w:rPr>
          <w:rFonts w:ascii="Traditional Arabic" w:hAnsi="Traditional Arabic" w:cs="Traditional Arabic"/>
          <w:color w:val="000000" w:themeColor="text1"/>
          <w:sz w:val="24"/>
          <w:szCs w:val="24"/>
          <w:rtl/>
        </w:rPr>
        <w:t>"</w:t>
      </w:r>
      <w:r>
        <w:rPr>
          <w:rFonts w:ascii="Traditional Arabic" w:hAnsi="Traditional Arabic" w:cs="Traditional Arabic"/>
          <w:rtl/>
        </w:rPr>
        <w:t xml:space="preserve"> </w:t>
      </w:r>
      <w:r>
        <w:rPr>
          <w:rFonts w:ascii="Traditional Arabic" w:hAnsi="Traditional Arabic" w:cs="Traditional Arabic"/>
          <w:color w:val="000000" w:themeColor="text1"/>
          <w:sz w:val="24"/>
          <w:szCs w:val="24"/>
          <w:rtl/>
        </w:rPr>
        <w:t xml:space="preserve">النموذج الوطني للتميز المؤسسي لجائزة الملك عبد العزيز للجودة " </w:t>
      </w:r>
      <w:bookmarkEnd w:id="19"/>
      <w:r>
        <w:rPr>
          <w:rFonts w:ascii="Traditional Arabic" w:hAnsi="Traditional Arabic" w:cs="Traditional Arabic"/>
          <w:color w:val="000000" w:themeColor="text1"/>
          <w:sz w:val="24"/>
          <w:szCs w:val="24"/>
          <w:rtl/>
        </w:rPr>
        <w:t xml:space="preserve">بأنه إطار منهجي وطني أطلقته جائزة الملك عبد العزيز للجودة، يهدف إلى تعزيز الأداء المؤسسي المستدام في </w:t>
      </w:r>
      <w:r>
        <w:rPr>
          <w:rFonts w:ascii="Traditional Arabic" w:hAnsi="Traditional Arabic" w:cs="Traditional Arabic" w:hint="cs"/>
          <w:color w:val="000000" w:themeColor="text1"/>
          <w:sz w:val="24"/>
          <w:szCs w:val="24"/>
          <w:rtl/>
        </w:rPr>
        <w:t>جميع القطاعات في المملكة (الحكومية والخاصة)</w:t>
      </w:r>
      <w:r>
        <w:rPr>
          <w:rFonts w:ascii="Traditional Arabic" w:hAnsi="Traditional Arabic" w:cs="Traditional Arabic"/>
          <w:color w:val="000000" w:themeColor="text1"/>
          <w:sz w:val="24"/>
          <w:szCs w:val="24"/>
          <w:rtl/>
        </w:rPr>
        <w:t>، من خلال ثمانية مبادئ رئيسية تشمل: القيادة الملهمة، التمركز حول المستفيد، التمكين والمساءلة، التحسين المستمر والابتكار، إدارة التغيير، الشراكات الفاعلة، الحوكمة والشفافية، والاستدامة</w:t>
      </w:r>
      <w:commentRangeEnd w:id="18"/>
      <w:r w:rsidR="00C5633B">
        <w:rPr>
          <w:rStyle w:val="CommentReference"/>
          <w:rFonts w:ascii="Traditional Arabic" w:hAnsi="Traditional Arabic" w:cs="Traditional Arabic"/>
          <w:color w:val="000000" w:themeColor="text1"/>
          <w:sz w:val="24"/>
          <w:szCs w:val="24"/>
          <w:rtl/>
        </w:rPr>
        <w:commentReference w:id="18"/>
      </w:r>
      <w:r>
        <w:rPr>
          <w:rFonts w:ascii="Traditional Arabic" w:hAnsi="Traditional Arabic" w:cs="Traditional Arabic"/>
          <w:color w:val="000000" w:themeColor="text1"/>
          <w:sz w:val="24"/>
          <w:szCs w:val="24"/>
          <w:rtl/>
        </w:rPr>
        <w:t>. ويستند النموذج إلى مرجعيات عالمية مثل</w:t>
      </w:r>
      <w:r>
        <w:rPr>
          <w:rFonts w:ascii="Traditional Arabic" w:hAnsi="Traditional Arabic" w:cs="Traditional Arabic"/>
          <w:color w:val="000000" w:themeColor="text1"/>
          <w:sz w:val="24"/>
          <w:szCs w:val="24"/>
        </w:rPr>
        <w:t xml:space="preserve"> EFQM </w:t>
      </w:r>
      <w:r>
        <w:rPr>
          <w:rFonts w:ascii="Traditional Arabic" w:hAnsi="Traditional Arabic" w:cs="Traditional Arabic"/>
          <w:color w:val="000000" w:themeColor="text1"/>
          <w:sz w:val="24"/>
          <w:szCs w:val="24"/>
          <w:rtl/>
        </w:rPr>
        <w:t>و</w:t>
      </w:r>
      <w:r>
        <w:rPr>
          <w:rFonts w:ascii="Traditional Arabic" w:hAnsi="Traditional Arabic" w:cs="Traditional Arabic"/>
          <w:color w:val="000000" w:themeColor="text1"/>
          <w:sz w:val="24"/>
          <w:szCs w:val="24"/>
        </w:rPr>
        <w:t>Baldrige</w:t>
      </w:r>
      <w:r>
        <w:rPr>
          <w:rFonts w:ascii="Traditional Arabic" w:hAnsi="Traditional Arabic" w:cs="Traditional Arabic"/>
          <w:color w:val="000000" w:themeColor="text1"/>
          <w:sz w:val="24"/>
          <w:szCs w:val="24"/>
          <w:rtl/>
        </w:rPr>
        <w:t>، مع مراعاة الخصوصية المحلية للمملكة في ضوء رؤية 2030، ويُستخدم كأداة لتقييم وقياس مستوى النضج المؤسسي وتحسين جودة الخدمات المقدمة للمستفيدين (جائزة الملك عبد العزيز للجودة، 2022)</w:t>
      </w:r>
      <w:r>
        <w:rPr>
          <w:rFonts w:ascii="Traditional Arabic" w:hAnsi="Traditional Arabic" w:cs="Traditional Arabic"/>
          <w:color w:val="000000" w:themeColor="text1"/>
          <w:sz w:val="24"/>
          <w:szCs w:val="24"/>
        </w:rPr>
        <w:t>.</w:t>
      </w:r>
    </w:p>
    <w:p w14:paraId="5553CACB"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commentRangeStart w:id="20"/>
      <w:r>
        <w:rPr>
          <w:rFonts w:ascii="Traditional Arabic" w:hAnsi="Traditional Arabic" w:cs="Traditional Arabic"/>
          <w:color w:val="000000" w:themeColor="text1"/>
          <w:sz w:val="24"/>
          <w:szCs w:val="24"/>
          <w:rtl/>
        </w:rPr>
        <w:t>ويختلف النموذج الوطني للتميز المؤسسي لجائزة الملك عبد العزيز للجودة عن نموذج</w:t>
      </w:r>
      <w:r>
        <w:rPr>
          <w:rFonts w:ascii="Traditional Arabic" w:hAnsi="Traditional Arabic" w:cs="Traditional Arabic"/>
          <w:color w:val="000000" w:themeColor="text1"/>
          <w:sz w:val="24"/>
          <w:szCs w:val="24"/>
        </w:rPr>
        <w:t xml:space="preserve"> EFQM </w:t>
      </w:r>
      <w:r>
        <w:rPr>
          <w:rFonts w:ascii="Traditional Arabic" w:hAnsi="Traditional Arabic" w:cs="Traditional Arabic"/>
          <w:color w:val="000000" w:themeColor="text1"/>
          <w:sz w:val="24"/>
          <w:szCs w:val="24"/>
          <w:rtl/>
        </w:rPr>
        <w:t>الأوروبي ونموذج</w:t>
      </w:r>
      <w:r>
        <w:rPr>
          <w:rFonts w:ascii="Traditional Arabic" w:hAnsi="Traditional Arabic" w:cs="Traditional Arabic"/>
          <w:color w:val="000000" w:themeColor="text1"/>
          <w:sz w:val="24"/>
          <w:szCs w:val="24"/>
        </w:rPr>
        <w:t xml:space="preserve"> Baldrige </w:t>
      </w:r>
      <w:r>
        <w:rPr>
          <w:rFonts w:ascii="Traditional Arabic" w:hAnsi="Traditional Arabic" w:cs="Traditional Arabic"/>
          <w:color w:val="000000" w:themeColor="text1"/>
          <w:sz w:val="24"/>
          <w:szCs w:val="24"/>
          <w:rtl/>
        </w:rPr>
        <w:t>الأمريكي في تركيزه الواضح على الاستدامة الوطنية والتوافق مع رؤية المملكة 2030، بالإضافة إلى دمجه لمبادئ الحوكمة والشفافية كشروط أساسية، والتركيز على المستفيدين في سياق محلي يتسم بخصوصيات ثقافية وتنظيمية مميزة. كما يتميز النموذج الوطني بتركيزه على تعزيز الشراكات المحلية والاستفادة من الموارد الوطنية بطريقة مستدامة، وهو ما يعكس الطابع الوطني للتميّز المؤسسي مقارنة بنماذج عالمية أكثر عمومية (السيابي، 2024؛</w:t>
      </w:r>
      <w:r>
        <w:rPr>
          <w:rFonts w:ascii="Traditional Arabic" w:hAnsi="Traditional Arabic" w:cs="Traditional Arabic"/>
          <w:color w:val="000000" w:themeColor="text1"/>
          <w:sz w:val="24"/>
          <w:szCs w:val="24"/>
        </w:rPr>
        <w:t xml:space="preserve"> (Anthony &amp;</w:t>
      </w:r>
      <w:r>
        <w:rPr>
          <w:rFonts w:ascii="Traditional Arabic" w:hAnsi="Traditional Arabic" w:cs="Traditional Arabic"/>
          <w:sz w:val="24"/>
          <w:szCs w:val="24"/>
        </w:rPr>
        <w:t xml:space="preserve"> </w:t>
      </w:r>
      <w:r>
        <w:rPr>
          <w:rFonts w:ascii="Traditional Arabic" w:hAnsi="Traditional Arabic" w:cs="Traditional Arabic"/>
          <w:color w:val="000000" w:themeColor="text1"/>
          <w:sz w:val="24"/>
          <w:szCs w:val="24"/>
        </w:rPr>
        <w:t xml:space="preserve">Patasharia, 2010 </w:t>
      </w:r>
      <w:commentRangeEnd w:id="20"/>
      <w:r w:rsidR="00C5633B">
        <w:rPr>
          <w:rStyle w:val="CommentReference"/>
          <w:rFonts w:ascii="Traditional Arabic" w:hAnsi="Traditional Arabic" w:cs="Traditional Arabic"/>
          <w:color w:val="000000" w:themeColor="text1"/>
          <w:sz w:val="24"/>
          <w:szCs w:val="24"/>
          <w:rtl/>
        </w:rPr>
        <w:commentReference w:id="20"/>
      </w:r>
    </w:p>
    <w:p w14:paraId="0A97B66D"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الاجرائي</w:t>
      </w:r>
    </w:p>
    <w:p w14:paraId="793E1D8E"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tl/>
        </w:rPr>
        <w:t xml:space="preserve">يُعرّف "النموذج الوطني للتميز المؤسسي لجائزة الملك عبد العزيز للجودة" إجرائيًا بأنه: الأداة المرجعية التي تُستخدم لقياس مدى التزام المستشفيات التابعة لتجمع القصيم الصحي بتطبيق المبادئ الثمانية للتميز المؤسسي المعتمدة من جائزة الملك عبد العزيز للجودة (2022)، وهي: القيادة، الموارد البشرية، العمليات، المستفيدون، الشراكات، التحسين المستمر، الابتكار، والتنمية المستدامة </w:t>
      </w:r>
      <w:commentRangeStart w:id="21"/>
      <w:r>
        <w:rPr>
          <w:rFonts w:ascii="Traditional Arabic" w:hAnsi="Traditional Arabic" w:cs="Traditional Arabic"/>
          <w:color w:val="000000" w:themeColor="text1"/>
          <w:sz w:val="24"/>
          <w:szCs w:val="24"/>
          <w:rtl/>
        </w:rPr>
        <w:t>(السيابي، 2024).</w:t>
      </w:r>
      <w:commentRangeEnd w:id="21"/>
      <w:r w:rsidR="00C5633B">
        <w:rPr>
          <w:rStyle w:val="CommentReference"/>
          <w:rFonts w:ascii="Traditional Arabic" w:hAnsi="Traditional Arabic" w:cs="Traditional Arabic"/>
          <w:color w:val="000000" w:themeColor="text1"/>
          <w:sz w:val="24"/>
          <w:szCs w:val="24"/>
          <w:rtl/>
        </w:rPr>
        <w:commentReference w:id="21"/>
      </w:r>
    </w:p>
    <w:p w14:paraId="5F00C5FF"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BB8B9C1"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8BAED17"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76266C3C"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3B1334AE"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ثالثاً</w:t>
      </w:r>
      <w:r>
        <w:rPr>
          <w:rFonts w:ascii="Traditional Arabic" w:hAnsi="Traditional Arabic" w:cs="Traditional Arabic"/>
          <w:b/>
          <w:bCs/>
          <w:color w:val="000000" w:themeColor="text1"/>
          <w:sz w:val="28"/>
          <w:szCs w:val="28"/>
          <w:rtl/>
        </w:rPr>
        <w:t>: تجربة المريض</w:t>
      </w:r>
    </w:p>
    <w:p w14:paraId="6AD8CCDA"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اللفظي</w:t>
      </w:r>
      <w:r>
        <w:rPr>
          <w:rFonts w:ascii="Traditional Arabic" w:hAnsi="Traditional Arabic" w:cs="Traditional Arabic" w:hint="cs"/>
          <w:b/>
          <w:bCs/>
          <w:color w:val="000000" w:themeColor="text1"/>
          <w:sz w:val="24"/>
          <w:szCs w:val="24"/>
          <w:rtl/>
        </w:rPr>
        <w:t xml:space="preserve"> : </w:t>
      </w:r>
    </w:p>
    <w:p w14:paraId="1A37B8A4"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تُعرَّف تجربة المريض بأنها التصور الكلي المتكون لدى الفرد نتيجة تفاعله المباشر وغير المباشر مع منظومة الرعاية الصحية، بما في ذلك التفاعل مع الكوادر الطبية، والبيئة المادية، والإجراءات التنظيمية، والعوامل النفسية والثقافية </w:t>
      </w:r>
      <w:commentRangeStart w:id="22"/>
      <w:r>
        <w:rPr>
          <w:rFonts w:ascii="Traditional Arabic" w:hAnsi="Traditional Arabic" w:cs="Traditional Arabic"/>
          <w:color w:val="000000" w:themeColor="text1"/>
          <w:sz w:val="24"/>
          <w:szCs w:val="24"/>
          <w:rtl/>
        </w:rPr>
        <w:t>(</w:t>
      </w:r>
      <w:r>
        <w:rPr>
          <w:rFonts w:ascii="Traditional Arabic" w:hAnsi="Traditional Arabic" w:cs="Traditional Arabic"/>
          <w:color w:val="000000" w:themeColor="text1"/>
          <w:sz w:val="24"/>
          <w:szCs w:val="24"/>
        </w:rPr>
        <w:t>Agency for Healthcare Research and Quality [AHRQ], 2025</w:t>
      </w:r>
      <w:r>
        <w:rPr>
          <w:rFonts w:ascii="Traditional Arabic" w:hAnsi="Traditional Arabic" w:cs="Traditional Arabic"/>
          <w:color w:val="000000" w:themeColor="text1"/>
          <w:sz w:val="24"/>
          <w:szCs w:val="24"/>
          <w:rtl/>
        </w:rPr>
        <w:t>).</w:t>
      </w:r>
      <w:commentRangeEnd w:id="22"/>
      <w:r w:rsidR="00C5633B">
        <w:rPr>
          <w:rStyle w:val="CommentReference"/>
          <w:rFonts w:ascii="Traditional Arabic" w:hAnsi="Traditional Arabic" w:cs="Traditional Arabic"/>
          <w:color w:val="000000" w:themeColor="text1"/>
          <w:sz w:val="24"/>
          <w:szCs w:val="24"/>
          <w:rtl/>
        </w:rPr>
        <w:commentReference w:id="22"/>
      </w:r>
    </w:p>
    <w:p w14:paraId="66B31F34"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 وقد أكد</w:t>
      </w:r>
      <w:r>
        <w:rPr>
          <w:rFonts w:ascii="Traditional Arabic" w:hAnsi="Traditional Arabic" w:cs="Traditional Arabic"/>
          <w:color w:val="000000" w:themeColor="text1"/>
          <w:sz w:val="24"/>
          <w:szCs w:val="24"/>
        </w:rPr>
        <w:t xml:space="preserve"> Oben (2020) </w:t>
      </w:r>
      <w:r>
        <w:rPr>
          <w:rFonts w:ascii="Traditional Arabic" w:hAnsi="Traditional Arabic" w:cs="Traditional Arabic"/>
          <w:color w:val="000000" w:themeColor="text1"/>
          <w:sz w:val="24"/>
          <w:szCs w:val="24"/>
          <w:rtl/>
        </w:rPr>
        <w:t>أن تجربة المريض تتجاوز مفاهيم الرضا التقليدية، فهي انعكاس شامل للانطباع الناتج عن جودة التواصل والرعاية الإنسانية ضمن المؤسسة الصحية. كما أشار</w:t>
      </w:r>
      <w:r>
        <w:rPr>
          <w:rFonts w:ascii="Traditional Arabic" w:hAnsi="Traditional Arabic" w:cs="Traditional Arabic"/>
          <w:color w:val="000000" w:themeColor="text1"/>
          <w:sz w:val="24"/>
          <w:szCs w:val="24"/>
        </w:rPr>
        <w:t xml:space="preserve"> Özçelik et al. (2021) </w:t>
      </w:r>
      <w:r>
        <w:rPr>
          <w:rFonts w:ascii="Traditional Arabic" w:hAnsi="Traditional Arabic" w:cs="Traditional Arabic"/>
          <w:color w:val="000000" w:themeColor="text1"/>
          <w:sz w:val="24"/>
          <w:szCs w:val="24"/>
          <w:rtl/>
        </w:rPr>
        <w:t xml:space="preserve">إلى أن تجربة المريض تتشكل من خلال تفاعل خمسة عناصر أساسية هي: المريض نفسه، والكوادر الصحية، والطبيب، والمنشأة، وبيئة تقديم الخدمة. </w:t>
      </w:r>
    </w:p>
    <w:p w14:paraId="00C0ED81"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u w:val="single"/>
          <w:rtl/>
        </w:rPr>
      </w:pPr>
      <w:r>
        <w:rPr>
          <w:rFonts w:ascii="Traditional Arabic" w:hAnsi="Traditional Arabic" w:cs="Traditional Arabic"/>
          <w:color w:val="000000" w:themeColor="text1"/>
          <w:sz w:val="24"/>
          <w:szCs w:val="24"/>
          <w:rtl/>
        </w:rPr>
        <w:t xml:space="preserve">وفي السياق العربي، بيّنت </w:t>
      </w:r>
      <w:bookmarkStart w:id="23" w:name="_Hlk212712222"/>
      <w:r>
        <w:rPr>
          <w:rFonts w:ascii="Traditional Arabic" w:hAnsi="Traditional Arabic" w:cs="Traditional Arabic"/>
          <w:color w:val="000000" w:themeColor="text1"/>
          <w:sz w:val="24"/>
          <w:szCs w:val="24"/>
          <w:rtl/>
        </w:rPr>
        <w:t>البلوي (2024)</w:t>
      </w:r>
      <w:bookmarkEnd w:id="23"/>
      <w:r>
        <w:rPr>
          <w:rFonts w:ascii="Traditional Arabic" w:hAnsi="Traditional Arabic" w:cs="Traditional Arabic"/>
          <w:color w:val="000000" w:themeColor="text1"/>
          <w:sz w:val="24"/>
          <w:szCs w:val="24"/>
          <w:rtl/>
        </w:rPr>
        <w:t xml:space="preserve"> أن تجربة المريض تتأثر بدرجة كبيرة بمستوى التعاطف، والاحترام، والشعور بالأمان، مما يجعلها مؤشرًا حيويًا لقياس جودة الخدمة الصحية من منظور إنساني. كما أوضح المحيسن وآخرون (2023) أن التجربة الإيجابية تنبع من الثقافة التنظيمية التي تُعلي من شأن الشفافية، والمشاركة، والتفاعل المهني بين المريض ومقدمي الخدمة</w:t>
      </w:r>
      <w:r>
        <w:rPr>
          <w:rFonts w:ascii="Traditional Arabic" w:hAnsi="Traditional Arabic" w:cs="Traditional Arabic"/>
          <w:color w:val="000000" w:themeColor="text1"/>
          <w:sz w:val="24"/>
          <w:szCs w:val="24"/>
        </w:rPr>
        <w:t>.</w:t>
      </w:r>
    </w:p>
    <w:p w14:paraId="046418A7"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الإجرائي:</w:t>
      </w:r>
    </w:p>
    <w:p w14:paraId="0F126749" w14:textId="7A779A0F"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 xml:space="preserve">   </w:t>
      </w:r>
      <w:commentRangeStart w:id="24"/>
      <w:r>
        <w:rPr>
          <w:rFonts w:ascii="Traditional Arabic" w:hAnsi="Traditional Arabic" w:cs="Traditional Arabic"/>
          <w:color w:val="000000" w:themeColor="text1"/>
          <w:sz w:val="24"/>
          <w:szCs w:val="24"/>
          <w:rtl/>
        </w:rPr>
        <w:t>تُعرّف البلوي (2024)</w:t>
      </w:r>
      <w:commentRangeEnd w:id="24"/>
      <w:r w:rsidR="00C5633B">
        <w:rPr>
          <w:rStyle w:val="CommentReference"/>
          <w:rFonts w:ascii="Traditional Arabic" w:hAnsi="Traditional Arabic" w:cs="Traditional Arabic" w:hint="cs"/>
          <w:color w:val="000000" w:themeColor="text1"/>
          <w:sz w:val="24"/>
          <w:szCs w:val="24"/>
          <w:rtl/>
        </w:rPr>
        <w:commentReference w:id="24"/>
      </w:r>
      <w:r w:rsidR="00C5633B">
        <w:rPr>
          <w:rFonts w:ascii="Traditional Arabic" w:hAnsi="Traditional Arabic" w:cs="Traditional Arabic" w:hint="cs"/>
          <w:color w:val="000000" w:themeColor="text1"/>
          <w:sz w:val="24"/>
          <w:szCs w:val="24"/>
          <w:rtl/>
        </w:rPr>
        <w:t>ك</w:t>
      </w:r>
      <w:r>
        <w:rPr>
          <w:rFonts w:ascii="Traditional Arabic" w:hAnsi="Traditional Arabic" w:cs="Traditional Arabic"/>
          <w:color w:val="000000" w:themeColor="text1"/>
          <w:sz w:val="24"/>
          <w:szCs w:val="24"/>
          <w:rtl/>
        </w:rPr>
        <w:t xml:space="preserve"> "تجربة المريض" إجرائيًا بأنها: "مجموعة المشاعر والانطباعات التي يكوّنها المريض خلال رحلته العلاجية داخل المنشآت الصحية، بدءًا من دخوله إلى المؤسسة وحتى خروجه، ويتم قياسها من خلال تقييم المريض لتجربته في الجوانب التالية: الوصول للخدمة، التواصل مع مقدمي الرعاية، الاحترام والكرامة، المشاركة في اتخاذ القرار، بيئة الرعاية، ومستوى الرضا العام، وذلك باستخدام أداة</w:t>
      </w:r>
      <w:r>
        <w:rPr>
          <w:rFonts w:ascii="Traditional Arabic" w:hAnsi="Traditional Arabic" w:cs="Traditional Arabic"/>
          <w:color w:val="000000" w:themeColor="text1"/>
          <w:sz w:val="24"/>
          <w:szCs w:val="24"/>
        </w:rPr>
        <w:t xml:space="preserve"> HCAHPS </w:t>
      </w:r>
      <w:r>
        <w:rPr>
          <w:rFonts w:ascii="Traditional Arabic" w:hAnsi="Traditional Arabic" w:cs="Traditional Arabic" w:hint="cs"/>
          <w:color w:val="000000" w:themeColor="text1"/>
          <w:sz w:val="24"/>
          <w:szCs w:val="24"/>
          <w:rtl/>
        </w:rPr>
        <w:t xml:space="preserve"> </w:t>
      </w:r>
      <w:r>
        <w:rPr>
          <w:rFonts w:ascii="Traditional Arabic" w:hAnsi="Traditional Arabic" w:cs="Traditional Arabic"/>
          <w:color w:val="000000" w:themeColor="text1"/>
          <w:sz w:val="24"/>
          <w:szCs w:val="24"/>
          <w:rtl/>
        </w:rPr>
        <w:t>المعتمدة دوليًا"</w:t>
      </w:r>
      <w:r>
        <w:rPr>
          <w:rFonts w:ascii="Traditional Arabic" w:hAnsi="Traditional Arabic" w:cs="Traditional Arabic"/>
          <w:color w:val="000000" w:themeColor="text1"/>
          <w:sz w:val="24"/>
          <w:szCs w:val="24"/>
        </w:rPr>
        <w:t>.</w:t>
      </w:r>
      <w:r>
        <w:rPr>
          <w:rFonts w:ascii="Traditional Arabic" w:hAnsi="Traditional Arabic" w:cs="Traditional Arabic"/>
          <w:color w:val="000000" w:themeColor="text1"/>
          <w:sz w:val="24"/>
          <w:szCs w:val="24"/>
          <w:rtl/>
        </w:rPr>
        <w:t>ويُعد هذا المقياس أحد الأدوات المعيارية العالمية التي تستخدمها وزارة الصحة في المملكة العربية السعودية لقياس جودة تجربة المريض</w:t>
      </w:r>
      <w:r>
        <w:rPr>
          <w:rFonts w:ascii="Traditional Arabic" w:hAnsi="Traditional Arabic" w:cs="Traditional Arabic"/>
          <w:color w:val="000000" w:themeColor="text1"/>
          <w:sz w:val="24"/>
          <w:szCs w:val="24"/>
        </w:rPr>
        <w:t xml:space="preserve"> . (Press Ganey, 2023)</w:t>
      </w:r>
    </w:p>
    <w:p w14:paraId="5011055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3807BEEE"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1C346F2E"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tl/>
        </w:rPr>
      </w:pPr>
    </w:p>
    <w:p w14:paraId="2299EC76"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lastRenderedPageBreak/>
        <w:t>رابعاً : تعريف التجمع الصحي</w:t>
      </w:r>
    </w:p>
    <w:p w14:paraId="06113FEA"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Pr>
      </w:pPr>
      <w:bookmarkStart w:id="25" w:name="_Hlk203000930"/>
      <w:r>
        <w:rPr>
          <w:rFonts w:ascii="Traditional Arabic" w:hAnsi="Traditional Arabic" w:cs="Traditional Arabic"/>
          <w:b/>
          <w:bCs/>
          <w:color w:val="000000" w:themeColor="text1"/>
          <w:sz w:val="24"/>
          <w:szCs w:val="24"/>
          <w:rtl/>
        </w:rPr>
        <w:t>التعريف اللفظي</w:t>
      </w:r>
      <w:bookmarkEnd w:id="25"/>
      <w:r>
        <w:rPr>
          <w:rFonts w:ascii="Traditional Arabic" w:hAnsi="Traditional Arabic" w:cs="Traditional Arabic"/>
          <w:b/>
          <w:bCs/>
          <w:color w:val="000000" w:themeColor="text1"/>
          <w:sz w:val="24"/>
          <w:szCs w:val="24"/>
          <w:rtl/>
        </w:rPr>
        <w:t xml:space="preserve"> لمصطلح "التجمع الصحي</w:t>
      </w:r>
      <w:r>
        <w:rPr>
          <w:rFonts w:ascii="Traditional Arabic" w:hAnsi="Traditional Arabic" w:cs="Traditional Arabic"/>
          <w:b/>
          <w:bCs/>
          <w:color w:val="000000" w:themeColor="text1"/>
          <w:sz w:val="24"/>
          <w:szCs w:val="24"/>
        </w:rPr>
        <w:t>"</w:t>
      </w:r>
    </w:p>
    <w:p w14:paraId="5ECDADB3"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يُعرّف "التجمع الصحي" بأنه منظومة مؤسسية متكاملة تضم تحت مظلتها كافة المرافق الصحية ضمن نطاق جغرافي محدد، وتُعنى هذه المنظومة بتقديم خدمات الرعاية الصحية الشاملة – بما في ذلك الوقاية، والتوعية، والتشخيص، والعلاج – من خلال شبكة مترابطة من مراكز الرعاية الأولية والمستشفيات العامة والتخصصية، بما يضمن تحسين جودة الرعاية وسلامة السكان في المنطقة (وزارة الصحة، 2024؛ هيئة الصحة القابضة، 2024)</w:t>
      </w:r>
      <w:r>
        <w:rPr>
          <w:rFonts w:ascii="Traditional Arabic" w:hAnsi="Traditional Arabic" w:cs="Traditional Arabic"/>
          <w:color w:val="000000" w:themeColor="text1"/>
          <w:sz w:val="24"/>
          <w:szCs w:val="24"/>
        </w:rPr>
        <w:t>.</w:t>
      </w:r>
    </w:p>
    <w:p w14:paraId="138DA6FD"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التعريف الإجرائي لمصطلح "التجمع الصحي</w:t>
      </w:r>
      <w:r>
        <w:rPr>
          <w:rFonts w:ascii="Traditional Arabic" w:hAnsi="Traditional Arabic" w:cs="Traditional Arabic"/>
          <w:b/>
          <w:bCs/>
          <w:color w:val="000000" w:themeColor="text1"/>
          <w:sz w:val="24"/>
          <w:szCs w:val="24"/>
        </w:rPr>
        <w:t>"</w:t>
      </w:r>
    </w:p>
    <w:p w14:paraId="3C4BEE29"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يُقصد بالتجمع الصحي – إجرائيًا في هذه الدراسة – تلك الجهة التنظيمية التي تُشرف على تقديم خدمات الرعاية الصحية في منطقة القصيم بالمملكة العربية السعودية، ويضم المستشفيات والمراكز الصحية التابعة له تحت إدارة واحدة، ويُعتبر الجهة المعنية بتنفيذ برنامج التحول الصحي وتحقيق مستهدفات الرؤية الوطنية من خلال تحسين تجربة المريض، وتعزيز الكفاءة التشغيلية، وتطبيق معايير التميز المؤسسي وفق النموذج الوطني للتميز. وتُركز الدراسة على قياس تجربة المرضى ضمن عدد من مستشفيات تجمع القصيم الصحي، كجزء من هذا الهيكل التنظيمي (رؤية السعودية 2030، 2021؛ وزارة الصحة، 2024)</w:t>
      </w:r>
      <w:r>
        <w:rPr>
          <w:rFonts w:ascii="Traditional Arabic" w:hAnsi="Traditional Arabic" w:cs="Traditional Arabic"/>
          <w:color w:val="000000" w:themeColor="text1"/>
          <w:sz w:val="24"/>
          <w:szCs w:val="24"/>
        </w:rPr>
        <w:t>.</w:t>
      </w:r>
    </w:p>
    <w:p w14:paraId="47FC61DA"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commentRangeStart w:id="26"/>
      <w:r>
        <w:rPr>
          <w:rFonts w:ascii="Traditional Arabic" w:hAnsi="Traditional Arabic" w:cs="Traditional Arabic"/>
          <w:b/>
          <w:bCs/>
          <w:color w:val="000000" w:themeColor="text1"/>
          <w:sz w:val="28"/>
          <w:szCs w:val="28"/>
          <w:rtl/>
        </w:rPr>
        <w:t>خامساً : تجمع القصيم الصحي</w:t>
      </w:r>
      <w:commentRangeEnd w:id="26"/>
      <w:r w:rsidR="00F822EB">
        <w:rPr>
          <w:rStyle w:val="CommentReference"/>
          <w:rFonts w:ascii="Traditional Arabic" w:hAnsi="Traditional Arabic" w:cs="Traditional Arabic"/>
          <w:b/>
          <w:bCs/>
          <w:color w:val="000000" w:themeColor="text1"/>
          <w:sz w:val="28"/>
          <w:szCs w:val="28"/>
          <w:rtl/>
        </w:rPr>
        <w:commentReference w:id="26"/>
      </w:r>
    </w:p>
    <w:p w14:paraId="3842C28F"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التعريف اللفظي</w:t>
      </w:r>
    </w:p>
    <w:p w14:paraId="742EC409"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يُعرّف "تجمع القصيم الصحي" بأنه أحد النماذج التنظيمية الحديثة في القطاع الصحي بالمملكة العربية السعودية، ويتبع إشراف هيئة الصحة القابضة. يُعنى التجمع بإدارة وتنسيق تقديم خدمات الرعاية الصحية الشاملة والمتكاملة لأكثر من 1.6 مليون نسمة من سكان منطقة القصيم، من خلال شبكة مترابطة من المستشفيات العامة والتخصصية، ومراكز الرعاية الأولية. ويرتكز التجمع في عمله على تعزيز الجودة والتكامل بين مستويات الخدمة، ورفع كفاءة الأداء المؤسسي، وتحسين تجربة المريض، بما يتماشى مع مستهدفات رؤية السعودية 2030 وبرنامج تحول القطاع الصحي (هيئة الصحة القابضة، 2024؛ وزارة الصحة، 2024)</w:t>
      </w:r>
      <w:r>
        <w:rPr>
          <w:rFonts w:ascii="Traditional Arabic" w:hAnsi="Traditional Arabic" w:cs="Traditional Arabic"/>
          <w:color w:val="000000" w:themeColor="text1"/>
          <w:sz w:val="24"/>
          <w:szCs w:val="24"/>
        </w:rPr>
        <w:t>.</w:t>
      </w:r>
    </w:p>
    <w:p w14:paraId="4123702D" w14:textId="77777777" w:rsidR="004F600B" w:rsidRDefault="004F600B">
      <w:pPr>
        <w:bidi/>
        <w:spacing w:before="100" w:beforeAutospacing="1" w:after="100" w:afterAutospacing="1" w:line="360" w:lineRule="auto"/>
        <w:jc w:val="both"/>
        <w:rPr>
          <w:rFonts w:ascii="Traditional Arabic" w:hAnsi="Traditional Arabic" w:cs="Traditional Arabic"/>
          <w:color w:val="000000" w:themeColor="text1"/>
          <w:sz w:val="24"/>
          <w:szCs w:val="24"/>
        </w:rPr>
      </w:pPr>
    </w:p>
    <w:p w14:paraId="07933F33"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lastRenderedPageBreak/>
        <w:t>التعريف الإجرائي</w:t>
      </w:r>
    </w:p>
    <w:p w14:paraId="36EC3AA1"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يُقصد بتجمع القصيم الصحي – إجرائيًا في هذه الدراسة – الإطار الإداري والتنظيمي الذي تُشرف من خلاله هيئة الصحة القابضة على مجموعة المستشفيات التي تم اختيارها كميدان لتطبيق أدوات الدراسة. ويضطلع التجمع بمسؤولية تنفيذ سياسات التميز المؤسسي، والتكامل بين الرعاية الأولية والثانوية، وتوفير البيئة التنظيمية والتسهيلات اللازمة لجمع البيانات والتعاون مع منسقي الجودة والتميز المؤسسي في المستشفيات التابعة له. كما يُعد التجمع وحدة تطبيقية للنموذج الوطني للتميز المؤسسي لجائزة الملك عبد العزيز للجودة بالقطاع الصحي، ويستهدف تحسين جودة الرعاية وتجربة المريض لسكان منطقة القصيم. وقد أظهرت دراسة</w:t>
      </w:r>
      <w:r>
        <w:rPr>
          <w:rFonts w:ascii="Traditional Arabic" w:hAnsi="Traditional Arabic" w:cs="Traditional Arabic"/>
          <w:color w:val="000000" w:themeColor="text1"/>
          <w:sz w:val="24"/>
          <w:szCs w:val="24"/>
        </w:rPr>
        <w:t xml:space="preserve"> Alharbi (2023) </w:t>
      </w:r>
      <w:r>
        <w:rPr>
          <w:rFonts w:ascii="Traditional Arabic" w:hAnsi="Traditional Arabic" w:cs="Traditional Arabic"/>
          <w:color w:val="000000" w:themeColor="text1"/>
          <w:sz w:val="24"/>
          <w:szCs w:val="24"/>
          <w:rtl/>
        </w:rPr>
        <w:t>وجود تفاوت في تجربة المرضى في منطقة القصيم بين المستشفيات الحكومية والخاصة، مما يعكس الحاجة إلى تطوير ممارسات الجودة وتعزيز مبدأ التميز المؤسسي في نطاق هذا التجمع</w:t>
      </w:r>
      <w:r>
        <w:rPr>
          <w:rFonts w:ascii="Traditional Arabic" w:hAnsi="Traditional Arabic" w:cs="Traditional Arabic"/>
          <w:color w:val="000000" w:themeColor="text1"/>
          <w:sz w:val="24"/>
          <w:szCs w:val="24"/>
        </w:rPr>
        <w:t>.</w:t>
      </w:r>
    </w:p>
    <w:p w14:paraId="1F9207AF" w14:textId="70599A7A"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سادساً : برنامج قياس تجربة المريض (</w:t>
      </w:r>
      <w:commentRangeStart w:id="27"/>
      <w:r>
        <w:rPr>
          <w:rFonts w:ascii="Traditional Arabic" w:hAnsi="Traditional Arabic" w:cs="Traditional Arabic"/>
          <w:b/>
          <w:bCs/>
          <w:color w:val="000000" w:themeColor="text1"/>
          <w:sz w:val="28"/>
          <w:szCs w:val="28"/>
          <w:rtl/>
        </w:rPr>
        <w:t>برزجيني</w:t>
      </w:r>
      <w:commentRangeEnd w:id="27"/>
      <w:r w:rsidR="00F822EB">
        <w:rPr>
          <w:rStyle w:val="CommentReference"/>
          <w:rFonts w:ascii="Traditional Arabic" w:hAnsi="Traditional Arabic" w:cs="Traditional Arabic" w:hint="cs"/>
          <w:b/>
          <w:bCs/>
          <w:color w:val="000000" w:themeColor="text1"/>
          <w:sz w:val="28"/>
          <w:szCs w:val="28"/>
          <w:rtl/>
        </w:rPr>
        <w:commentReference w:id="27"/>
      </w:r>
      <w:r w:rsidR="00F822EB">
        <w:rPr>
          <w:rFonts w:ascii="Traditional Arabic" w:hAnsi="Traditional Arabic" w:cs="Traditional Arabic" w:hint="cs"/>
          <w:b/>
          <w:bCs/>
          <w:color w:val="000000" w:themeColor="text1"/>
          <w:sz w:val="28"/>
          <w:szCs w:val="28"/>
          <w:rtl/>
        </w:rPr>
        <w:t>ي</w:t>
      </w:r>
      <w:r>
        <w:rPr>
          <w:rFonts w:ascii="Traditional Arabic" w:hAnsi="Traditional Arabic" w:cs="Traditional Arabic"/>
          <w:b/>
          <w:bCs/>
          <w:color w:val="000000" w:themeColor="text1"/>
          <w:sz w:val="28"/>
          <w:szCs w:val="28"/>
          <w:rtl/>
        </w:rPr>
        <w:t>) بوزارة الصحة السعودية</w:t>
      </w:r>
    </w:p>
    <w:p w14:paraId="403D8C35"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اللفظي</w:t>
      </w:r>
      <w:r>
        <w:rPr>
          <w:rFonts w:ascii="Traditional Arabic" w:hAnsi="Traditional Arabic" w:cs="Traditional Arabic"/>
          <w:b/>
          <w:bCs/>
          <w:color w:val="000000" w:themeColor="text1"/>
          <w:sz w:val="24"/>
          <w:szCs w:val="24"/>
        </w:rPr>
        <w:t>:</w:t>
      </w:r>
    </w:p>
    <w:p w14:paraId="1438999C"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w:t>
      </w:r>
      <w:r>
        <w:rPr>
          <w:rFonts w:ascii="Traditional Arabic" w:hAnsi="Traditional Arabic" w:cs="Traditional Arabic"/>
          <w:color w:val="000000" w:themeColor="text1"/>
          <w:sz w:val="24"/>
          <w:szCs w:val="24"/>
          <w:rtl/>
        </w:rPr>
        <w:t>برنامج قياس تجربة المريض" هو نظام رسمي تتبناه وزارة الصحة في المملكة العربية السعودية لقياس وتحسين جودة تجربة المرضى في منشآتها الصحية من خلال منصة الكترونية تم تطويرها بالتعاون مع شركة</w:t>
      </w:r>
      <w:r>
        <w:rPr>
          <w:rFonts w:ascii="Traditional Arabic" w:hAnsi="Traditional Arabic" w:cs="Traditional Arabic"/>
          <w:color w:val="000000" w:themeColor="text1"/>
          <w:sz w:val="24"/>
          <w:szCs w:val="24"/>
        </w:rPr>
        <w:t xml:space="preserve"> Press Ganey Associates</w:t>
      </w:r>
      <w:r>
        <w:rPr>
          <w:rFonts w:ascii="Traditional Arabic" w:hAnsi="Traditional Arabic" w:cs="Traditional Arabic"/>
          <w:color w:val="000000" w:themeColor="text1"/>
          <w:sz w:val="24"/>
          <w:szCs w:val="24"/>
          <w:rtl/>
        </w:rPr>
        <w:t>، وهي جهة أمريكية رائدة عالميًا في تطوير أدوات تقييم تجربة المريض وتعزيز الجودة الصحية</w:t>
      </w:r>
      <w:r>
        <w:rPr>
          <w:rFonts w:ascii="Traditional Arabic" w:hAnsi="Traditional Arabic" w:cs="Traditional Arabic"/>
          <w:color w:val="000000" w:themeColor="text1"/>
          <w:sz w:val="24"/>
          <w:szCs w:val="24"/>
        </w:rPr>
        <w:t xml:space="preserve"> (Press Ganey, 2024).</w:t>
      </w:r>
    </w:p>
    <w:p w14:paraId="5A69ACAB"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التعريف الإجرائي</w:t>
      </w:r>
      <w:r>
        <w:rPr>
          <w:rFonts w:ascii="Traditional Arabic" w:hAnsi="Traditional Arabic" w:cs="Traditional Arabic"/>
          <w:b/>
          <w:bCs/>
          <w:color w:val="000000" w:themeColor="text1"/>
          <w:sz w:val="24"/>
          <w:szCs w:val="24"/>
        </w:rPr>
        <w:t>:</w:t>
      </w:r>
    </w:p>
    <w:p w14:paraId="23120266"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في هذه الدراسة، يُعرَّف "برنامج قياس تجربة المريض بوزارة الصحة السعودية (</w:t>
      </w:r>
      <w:r>
        <w:rPr>
          <w:rFonts w:ascii="Traditional Arabic" w:hAnsi="Traditional Arabic" w:cs="Traditional Arabic"/>
          <w:color w:val="000000" w:themeColor="text1"/>
          <w:sz w:val="24"/>
          <w:szCs w:val="24"/>
        </w:rPr>
        <w:t>Press Ganey</w:t>
      </w:r>
      <w:r>
        <w:rPr>
          <w:rFonts w:ascii="Traditional Arabic" w:hAnsi="Traditional Arabic" w:cs="Traditional Arabic"/>
          <w:color w:val="000000" w:themeColor="text1"/>
          <w:sz w:val="24"/>
          <w:szCs w:val="24"/>
          <w:rtl/>
        </w:rPr>
        <w:t xml:space="preserve">)" إجرائيًا على أنه: نظام تقييم وطني موحّد يُطبَّق على جميع منشآت وزارة الصحة السعودية، يستند إلى استبيانات معيارية مشتقة من أداة </w:t>
      </w:r>
      <w:r>
        <w:rPr>
          <w:rFonts w:ascii="Traditional Arabic" w:hAnsi="Traditional Arabic" w:cs="Traditional Arabic"/>
          <w:color w:val="000000" w:themeColor="text1"/>
          <w:sz w:val="24"/>
          <w:szCs w:val="24"/>
        </w:rPr>
        <w:t>HCAHPS</w:t>
      </w:r>
      <w:r>
        <w:rPr>
          <w:rFonts w:ascii="Traditional Arabic" w:hAnsi="Traditional Arabic" w:cs="Traditional Arabic"/>
          <w:color w:val="000000" w:themeColor="text1"/>
          <w:sz w:val="24"/>
          <w:szCs w:val="24"/>
          <w:rtl/>
        </w:rPr>
        <w:t xml:space="preserve"> الدولية. يشمل البرنامج تقييمًا لتجربة المرضى في أقسام الطوارئ، العيادات الخارجية، وأقسام التنويم، ويغطي جوانب مثل: جودة التواصل مع الكادر الصحي، سرعة تقديم الخدمة، احترام وخصوصية المريض، وإدارة الألم. تُعتمد تقارير هذا البرنامج في الدراسة الحالية كمصدر بيانات لقياس الأثر الإحصائي لتطبيق مبادئ التميز المؤسسي على جودة تجربة المريض (وزارة الصحة، 2023؛ </w:t>
      </w:r>
      <w:r>
        <w:rPr>
          <w:rFonts w:ascii="Traditional Arabic" w:hAnsi="Traditional Arabic" w:cs="Traditional Arabic"/>
          <w:color w:val="000000" w:themeColor="text1"/>
          <w:sz w:val="24"/>
          <w:szCs w:val="24"/>
        </w:rPr>
        <w:t>Press Ganey, 2024</w:t>
      </w:r>
      <w:r>
        <w:rPr>
          <w:rFonts w:ascii="Traditional Arabic" w:hAnsi="Traditional Arabic" w:cs="Traditional Arabic"/>
          <w:color w:val="000000" w:themeColor="text1"/>
          <w:sz w:val="24"/>
          <w:szCs w:val="24"/>
          <w:rtl/>
        </w:rPr>
        <w:t>).</w:t>
      </w:r>
    </w:p>
    <w:p w14:paraId="04F2DA93"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u w:val="single"/>
          <w:rtl/>
        </w:rPr>
      </w:pPr>
    </w:p>
    <w:p w14:paraId="73B7F2DF"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u w:val="single"/>
          <w:rtl/>
        </w:rPr>
      </w:pPr>
    </w:p>
    <w:p w14:paraId="72ED3B10" w14:textId="77777777" w:rsidR="004F600B" w:rsidRDefault="00000000">
      <w:pPr>
        <w:bidi/>
        <w:spacing w:before="100" w:beforeAutospacing="1" w:after="100" w:afterAutospacing="1" w:line="360" w:lineRule="auto"/>
        <w:jc w:val="both"/>
        <w:rPr>
          <w:rFonts w:ascii="Traditional Arabic" w:hAnsi="Traditional Arabic" w:cs="Traditional Arabic"/>
          <w:b/>
          <w:bCs/>
          <w:color w:val="000000" w:themeColor="text1"/>
          <w:sz w:val="28"/>
          <w:szCs w:val="28"/>
          <w:rtl/>
        </w:rPr>
      </w:pPr>
      <w:commentRangeStart w:id="28"/>
      <w:r>
        <w:rPr>
          <w:rFonts w:ascii="Traditional Arabic" w:hAnsi="Traditional Arabic" w:cs="Traditional Arabic"/>
          <w:b/>
          <w:bCs/>
          <w:color w:val="000000" w:themeColor="text1"/>
          <w:sz w:val="28"/>
          <w:szCs w:val="28"/>
          <w:rtl/>
        </w:rPr>
        <w:lastRenderedPageBreak/>
        <w:t xml:space="preserve">سابعاً : </w:t>
      </w:r>
      <w:r>
        <w:rPr>
          <w:rFonts w:ascii="Traditional Arabic" w:hAnsi="Traditional Arabic" w:cs="Traditional Arabic" w:hint="cs"/>
          <w:b/>
          <w:bCs/>
          <w:color w:val="000000" w:themeColor="text1"/>
          <w:sz w:val="28"/>
          <w:szCs w:val="28"/>
          <w:rtl/>
        </w:rPr>
        <w:t>أداة</w:t>
      </w:r>
      <w:r>
        <w:rPr>
          <w:rFonts w:ascii="Traditional Arabic" w:hAnsi="Traditional Arabic" w:cs="Traditional Arabic"/>
          <w:b/>
          <w:bCs/>
          <w:color w:val="000000" w:themeColor="text1"/>
          <w:sz w:val="28"/>
          <w:szCs w:val="28"/>
          <w:rtl/>
        </w:rPr>
        <w:t xml:space="preserve"> قياس تجربة </w:t>
      </w:r>
      <w:r>
        <w:rPr>
          <w:rFonts w:ascii="Traditional Arabic" w:hAnsi="Traditional Arabic" w:cs="Traditional Arabic" w:hint="cs"/>
          <w:b/>
          <w:bCs/>
          <w:color w:val="000000" w:themeColor="text1"/>
          <w:sz w:val="28"/>
          <w:szCs w:val="28"/>
          <w:rtl/>
        </w:rPr>
        <w:t>المريض بالمستشفيات</w:t>
      </w:r>
    </w:p>
    <w:p w14:paraId="11FFBDCA" w14:textId="77777777" w:rsidR="004F600B" w:rsidRDefault="00000000">
      <w:pPr>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 xml:space="preserve">HCAHPS </w:t>
      </w:r>
      <w:r>
        <w:rPr>
          <w:rFonts w:ascii="Traditional Arabic" w:hAnsi="Traditional Arabic" w:cs="Traditional Arabic"/>
          <w:color w:val="000000" w:themeColor="text1"/>
          <w:sz w:val="24"/>
          <w:szCs w:val="24"/>
          <w:rtl/>
        </w:rPr>
        <w:t>‏</w:t>
      </w:r>
      <w:r>
        <w:rPr>
          <w:rFonts w:ascii="Traditional Arabic" w:hAnsi="Traditional Arabic" w:cs="Traditional Arabic"/>
          <w:color w:val="000000" w:themeColor="text1"/>
          <w:sz w:val="24"/>
          <w:szCs w:val="24"/>
        </w:rPr>
        <w:t>(Hospital Consumer Assessment of Healthcare Providers and Systems)</w:t>
      </w:r>
    </w:p>
    <w:p w14:paraId="1B20B44B"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 xml:space="preserve">التعريف اللفظي </w:t>
      </w:r>
    </w:p>
    <w:p w14:paraId="50B166C7"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تُعرف أداة</w:t>
      </w:r>
      <w:r>
        <w:rPr>
          <w:rFonts w:ascii="Traditional Arabic" w:hAnsi="Traditional Arabic" w:cs="Traditional Arabic"/>
          <w:color w:val="000000" w:themeColor="text1"/>
          <w:sz w:val="24"/>
          <w:szCs w:val="24"/>
        </w:rPr>
        <w:t xml:space="preserve"> HCAHPS (Hospital Consumer Assessment of Healthcare Providers and Systems) </w:t>
      </w:r>
      <w:r>
        <w:rPr>
          <w:rFonts w:ascii="Traditional Arabic" w:hAnsi="Traditional Arabic" w:cs="Traditional Arabic"/>
          <w:color w:val="000000" w:themeColor="text1"/>
          <w:sz w:val="24"/>
          <w:szCs w:val="24"/>
          <w:rtl/>
        </w:rPr>
        <w:t>بأنها أول استبيان وطني</w:t>
      </w:r>
      <w:r>
        <w:rPr>
          <w:rFonts w:ascii="Traditional Arabic" w:hAnsi="Traditional Arabic" w:cs="Traditional Arabic" w:hint="cs"/>
          <w:color w:val="000000" w:themeColor="text1"/>
          <w:sz w:val="24"/>
          <w:szCs w:val="24"/>
          <w:rtl/>
        </w:rPr>
        <w:t>ة</w:t>
      </w:r>
      <w:r>
        <w:rPr>
          <w:rFonts w:ascii="Traditional Arabic" w:hAnsi="Traditional Arabic" w:cs="Traditional Arabic"/>
          <w:color w:val="000000" w:themeColor="text1"/>
          <w:sz w:val="24"/>
          <w:szCs w:val="24"/>
          <w:rtl/>
        </w:rPr>
        <w:t xml:space="preserve"> موحد طورته</w:t>
      </w:r>
      <w:r>
        <w:rPr>
          <w:rFonts w:ascii="Traditional Arabic" w:hAnsi="Traditional Arabic" w:cs="Traditional Arabic" w:hint="cs"/>
          <w:color w:val="000000" w:themeColor="text1"/>
          <w:sz w:val="24"/>
          <w:szCs w:val="24"/>
          <w:rtl/>
        </w:rPr>
        <w:t>ا</w:t>
      </w:r>
      <w:r>
        <w:rPr>
          <w:rFonts w:ascii="Traditional Arabic" w:hAnsi="Traditional Arabic" w:cs="Traditional Arabic"/>
          <w:color w:val="000000" w:themeColor="text1"/>
          <w:sz w:val="24"/>
          <w:szCs w:val="24"/>
          <w:rtl/>
        </w:rPr>
        <w:t xml:space="preserve"> وزارة الصحة والخدمات الإنسانية الأمريكية بالتعاون مع وكالة أبحاث الرعاية الصحية والجودة</w:t>
      </w:r>
      <w:r>
        <w:rPr>
          <w:rFonts w:ascii="Traditional Arabic" w:hAnsi="Traditional Arabic" w:cs="Traditional Arabic"/>
          <w:color w:val="000000" w:themeColor="text1"/>
          <w:sz w:val="24"/>
          <w:szCs w:val="24"/>
        </w:rPr>
        <w:t xml:space="preserve"> (AHRQ) </w:t>
      </w:r>
      <w:r>
        <w:rPr>
          <w:rFonts w:ascii="Traditional Arabic" w:hAnsi="Traditional Arabic" w:cs="Traditional Arabic"/>
          <w:color w:val="000000" w:themeColor="text1"/>
          <w:sz w:val="24"/>
          <w:szCs w:val="24"/>
          <w:rtl/>
        </w:rPr>
        <w:t>، لقياس تجربة المرضى من وجهة نظرهم في المستشفيات العامة، من خلال معايير معيارية قابلة للمقارنة. تغطي الأداة ثماني مجالات رئيسية، تشمل: جودة التواصل مع الأطباء والممرضين، استجابة الفريق الطبي، إدارة الألم، تقديم المعلومات قبل الخروج، البيئة، التواصل حول الأدوية، خدمة الطعام، والتجربة العامة للمريض، إضافة إلى بعض الأسئلة الديموغرافية</w:t>
      </w:r>
    </w:p>
    <w:p w14:paraId="40C0CFB6" w14:textId="77777777" w:rsidR="004F600B" w:rsidRDefault="00000000">
      <w:pPr>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 xml:space="preserve"> (Agency for Healthcare Research and Quality [AHRQ], 2025</w:t>
      </w:r>
      <w:r>
        <w:rPr>
          <w:rFonts w:ascii="Traditional Arabic" w:hAnsi="Traditional Arabic" w:cs="Traditional Arabic"/>
          <w:color w:val="000000" w:themeColor="text1"/>
          <w:sz w:val="24"/>
          <w:szCs w:val="24"/>
          <w:rtl/>
        </w:rPr>
        <w:t>؛</w:t>
      </w:r>
      <w:r>
        <w:rPr>
          <w:rFonts w:ascii="Traditional Arabic" w:hAnsi="Traditional Arabic" w:cs="Traditional Arabic"/>
          <w:color w:val="000000" w:themeColor="text1"/>
          <w:sz w:val="24"/>
          <w:szCs w:val="24"/>
        </w:rPr>
        <w:t>Press Ganey, 2022).</w:t>
      </w:r>
    </w:p>
    <w:p w14:paraId="3FED56C7" w14:textId="77777777" w:rsidR="004F600B" w:rsidRDefault="00000000">
      <w:pPr>
        <w:pStyle w:val="ListParagraph"/>
        <w:numPr>
          <w:ilvl w:val="0"/>
          <w:numId w:val="7"/>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b/>
          <w:bCs/>
          <w:color w:val="000000" w:themeColor="text1"/>
          <w:sz w:val="24"/>
          <w:szCs w:val="24"/>
          <w:rtl/>
        </w:rPr>
        <w:t xml:space="preserve">التعريف الإجرائي </w:t>
      </w:r>
    </w:p>
    <w:p w14:paraId="0F26EC15"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في هذه الدراسة، تُستخدم أداة </w:t>
      </w:r>
      <w:r>
        <w:rPr>
          <w:rFonts w:ascii="Traditional Arabic" w:hAnsi="Traditional Arabic" w:cs="Traditional Arabic"/>
          <w:color w:val="000000" w:themeColor="text1"/>
          <w:sz w:val="24"/>
          <w:szCs w:val="24"/>
        </w:rPr>
        <w:t>HCAHPS</w:t>
      </w:r>
      <w:r>
        <w:rPr>
          <w:rFonts w:ascii="Traditional Arabic" w:hAnsi="Traditional Arabic" w:cs="Traditional Arabic"/>
          <w:color w:val="000000" w:themeColor="text1"/>
          <w:sz w:val="24"/>
          <w:szCs w:val="24"/>
          <w:rtl/>
        </w:rPr>
        <w:t xml:space="preserve"> كأداة معيارية معتمدة عالميًا لقياس جودة تجربة المريض، ووطنياً إذ تستند إليها وزارة الصحة السعودية في </w:t>
      </w:r>
      <w:r>
        <w:rPr>
          <w:rFonts w:ascii="Traditional Arabic" w:hAnsi="Traditional Arabic" w:cs="Traditional Arabic" w:hint="cs"/>
          <w:color w:val="000000" w:themeColor="text1"/>
          <w:sz w:val="24"/>
          <w:szCs w:val="24"/>
          <w:rtl/>
        </w:rPr>
        <w:t xml:space="preserve">تصميم استبيانات </w:t>
      </w:r>
      <w:r>
        <w:rPr>
          <w:rFonts w:ascii="Traditional Arabic" w:hAnsi="Traditional Arabic" w:cs="Traditional Arabic"/>
          <w:color w:val="000000" w:themeColor="text1"/>
          <w:sz w:val="24"/>
          <w:szCs w:val="24"/>
          <w:rtl/>
        </w:rPr>
        <w:t xml:space="preserve">برنامجها الوطني "قياس تجربة المريض – </w:t>
      </w:r>
      <w:r>
        <w:rPr>
          <w:rFonts w:ascii="Traditional Arabic" w:hAnsi="Traditional Arabic" w:cs="Traditional Arabic"/>
          <w:color w:val="000000" w:themeColor="text1"/>
          <w:sz w:val="24"/>
          <w:szCs w:val="24"/>
        </w:rPr>
        <w:t>Press Ganey</w:t>
      </w:r>
      <w:r>
        <w:rPr>
          <w:rFonts w:ascii="Traditional Arabic" w:hAnsi="Traditional Arabic" w:cs="Traditional Arabic"/>
          <w:color w:val="000000" w:themeColor="text1"/>
          <w:sz w:val="24"/>
          <w:szCs w:val="24"/>
          <w:rtl/>
        </w:rPr>
        <w:t>"</w:t>
      </w:r>
    </w:p>
    <w:p w14:paraId="633BA8A9" w14:textId="77777777" w:rsidR="004F600B" w:rsidRDefault="00000000">
      <w:pPr>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Pr>
        <w:t>(Agency for Healthcare Research and Quality [AHRQ], 2025</w:t>
      </w:r>
      <w:r>
        <w:rPr>
          <w:rFonts w:ascii="Traditional Arabic" w:hAnsi="Traditional Arabic" w:cs="Traditional Arabic"/>
          <w:color w:val="000000" w:themeColor="text1"/>
          <w:sz w:val="24"/>
          <w:szCs w:val="24"/>
          <w:rtl/>
        </w:rPr>
        <w:t>؛</w:t>
      </w:r>
      <w:r>
        <w:rPr>
          <w:rFonts w:ascii="Traditional Arabic" w:hAnsi="Traditional Arabic" w:cs="Traditional Arabic"/>
          <w:color w:val="000000" w:themeColor="text1"/>
          <w:sz w:val="24"/>
          <w:szCs w:val="24"/>
        </w:rPr>
        <w:t>Press Ganey, 2022).</w:t>
      </w:r>
    </w:p>
    <w:p w14:paraId="02C23CBB"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 xml:space="preserve"> وقد تم تضمين لاهم النقاط الأساسية </w:t>
      </w:r>
      <w:r>
        <w:rPr>
          <w:rFonts w:ascii="Traditional Arabic" w:hAnsi="Traditional Arabic" w:cs="Traditional Arabic" w:hint="cs"/>
          <w:color w:val="000000" w:themeColor="text1"/>
          <w:sz w:val="24"/>
          <w:szCs w:val="24"/>
          <w:rtl/>
        </w:rPr>
        <w:t xml:space="preserve">لهذه الاستبيانات </w:t>
      </w:r>
      <w:r>
        <w:rPr>
          <w:rFonts w:ascii="Traditional Arabic" w:hAnsi="Traditional Arabic" w:cs="Traditional Arabic"/>
          <w:color w:val="000000" w:themeColor="text1"/>
          <w:sz w:val="24"/>
          <w:szCs w:val="24"/>
          <w:rtl/>
        </w:rPr>
        <w:t xml:space="preserve">في أداة جمع البيانات الخاصة بالدراسة الحالية، لتقييم جوانب متعددة تشمل: الوصول للخدمة، جودة التواصل مع مقدمي الرعاية، الاحترام والخصوصية، المشاركة في اتخاذ القرار، البيئة ، تكامل الخدمة . </w:t>
      </w:r>
      <w:r>
        <w:rPr>
          <w:rFonts w:ascii="Traditional Arabic" w:hAnsi="Traditional Arabic" w:cs="Traditional Arabic" w:hint="cs"/>
          <w:color w:val="000000" w:themeColor="text1"/>
          <w:sz w:val="24"/>
          <w:szCs w:val="24"/>
          <w:rtl/>
        </w:rPr>
        <w:t>حيث</w:t>
      </w:r>
      <w:r>
        <w:rPr>
          <w:rFonts w:ascii="Traditional Arabic" w:hAnsi="Traditional Arabic" w:cs="Traditional Arabic"/>
          <w:color w:val="000000" w:themeColor="text1"/>
          <w:sz w:val="24"/>
          <w:szCs w:val="24"/>
          <w:rtl/>
        </w:rPr>
        <w:t xml:space="preserve"> أشارت دراسة البلوي (2024) إلى استخدام هذه الأداة، وأكدت دقتها في رصد مشاعر المرضى وانطباعاتهم حول خدمات الرعاية الصحية.</w:t>
      </w:r>
      <w:commentRangeEnd w:id="28"/>
      <w:r w:rsidR="00EA62BD">
        <w:rPr>
          <w:rStyle w:val="CommentReference"/>
          <w:rFonts w:ascii="Traditional Arabic" w:hAnsi="Traditional Arabic" w:cs="Traditional Arabic"/>
          <w:color w:val="000000" w:themeColor="text1"/>
          <w:sz w:val="24"/>
          <w:szCs w:val="24"/>
        </w:rPr>
        <w:commentReference w:id="28"/>
      </w:r>
    </w:p>
    <w:p w14:paraId="70A08389"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58E3020D" w14:textId="77777777" w:rsidR="004F600B" w:rsidRDefault="004F600B">
      <w:pPr>
        <w:bidi/>
        <w:spacing w:before="100" w:beforeAutospacing="1" w:after="100" w:afterAutospacing="1" w:line="360" w:lineRule="auto"/>
        <w:rPr>
          <w:rFonts w:ascii="Traditional Arabic" w:hAnsi="Traditional Arabic" w:cs="Traditional Arabic"/>
          <w:color w:val="00B0F0"/>
          <w:sz w:val="24"/>
          <w:szCs w:val="24"/>
          <w:u w:val="single"/>
          <w:rtl/>
        </w:rPr>
      </w:pPr>
    </w:p>
    <w:p w14:paraId="17D2910E" w14:textId="77777777" w:rsidR="004F600B" w:rsidRDefault="004F600B">
      <w:pPr>
        <w:bidi/>
        <w:spacing w:before="100" w:beforeAutospacing="1" w:after="100" w:afterAutospacing="1" w:line="360" w:lineRule="auto"/>
        <w:rPr>
          <w:rFonts w:ascii="Traditional Arabic" w:hAnsi="Traditional Arabic" w:cs="Traditional Arabic"/>
          <w:b/>
          <w:bCs/>
          <w:color w:val="00B0F0"/>
          <w:sz w:val="32"/>
          <w:szCs w:val="32"/>
          <w:u w:val="single"/>
          <w:rtl/>
        </w:rPr>
      </w:pPr>
    </w:p>
    <w:p w14:paraId="041381E2"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 xml:space="preserve">حدود الدراسة: </w:t>
      </w:r>
      <w:commentRangeStart w:id="29"/>
      <w:r>
        <w:rPr>
          <w:rFonts w:ascii="Traditional Arabic" w:hAnsi="Traditional Arabic" w:cs="Traditional Arabic"/>
          <w:b/>
          <w:bCs/>
          <w:color w:val="000000" w:themeColor="text1"/>
          <w:sz w:val="32"/>
          <w:szCs w:val="32"/>
          <w:rtl/>
        </w:rPr>
        <w:t>(المكانية ، الزمانية ، البشرية</w:t>
      </w:r>
      <w:r>
        <w:rPr>
          <w:rFonts w:ascii="Traditional Arabic" w:hAnsi="Traditional Arabic" w:cs="Traditional Arabic" w:hint="cs"/>
          <w:b/>
          <w:bCs/>
          <w:color w:val="000000" w:themeColor="text1"/>
          <w:sz w:val="32"/>
          <w:szCs w:val="32"/>
          <w:rtl/>
        </w:rPr>
        <w:t xml:space="preserve"> ، الموضوعية</w:t>
      </w:r>
      <w:r>
        <w:rPr>
          <w:rFonts w:ascii="Traditional Arabic" w:hAnsi="Traditional Arabic" w:cs="Traditional Arabic"/>
          <w:b/>
          <w:bCs/>
          <w:color w:val="000000" w:themeColor="text1"/>
          <w:sz w:val="32"/>
          <w:szCs w:val="32"/>
          <w:rtl/>
        </w:rPr>
        <w:t>)</w:t>
      </w:r>
      <w:commentRangeEnd w:id="29"/>
      <w:r w:rsidR="00EA62BD">
        <w:rPr>
          <w:rStyle w:val="CommentReference"/>
          <w:rFonts w:ascii="Traditional Arabic" w:hAnsi="Traditional Arabic" w:cs="Traditional Arabic"/>
          <w:b/>
          <w:bCs/>
          <w:color w:val="000000" w:themeColor="text1"/>
          <w:sz w:val="32"/>
          <w:szCs w:val="32"/>
          <w:rtl/>
        </w:rPr>
        <w:commentReference w:id="29"/>
      </w:r>
    </w:p>
    <w:p w14:paraId="7B6A6CA0" w14:textId="7CDB0D5D" w:rsidR="004F600B" w:rsidRDefault="00000000">
      <w:pPr>
        <w:pStyle w:val="ListParagraph"/>
        <w:numPr>
          <w:ilvl w:val="0"/>
          <w:numId w:val="8"/>
        </w:numPr>
        <w:bidi/>
        <w:spacing w:before="100" w:beforeAutospacing="1" w:after="100" w:afterAutospacing="1" w:line="360" w:lineRule="auto"/>
        <w:rPr>
          <w:rFonts w:ascii="Traditional Arabic" w:hAnsi="Traditional Arabic" w:cs="Traditional Arabic"/>
          <w:color w:val="000000" w:themeColor="text1"/>
          <w:sz w:val="24"/>
          <w:szCs w:val="24"/>
        </w:rPr>
      </w:pPr>
      <w:commentRangeStart w:id="30"/>
      <w:r>
        <w:rPr>
          <w:rFonts w:ascii="Traditional Arabic" w:hAnsi="Traditional Arabic" w:cs="Traditional Arabic"/>
          <w:b/>
          <w:bCs/>
          <w:color w:val="000000" w:themeColor="text1"/>
          <w:sz w:val="24"/>
          <w:szCs w:val="24"/>
          <w:rtl/>
        </w:rPr>
        <w:t>المكانية</w:t>
      </w:r>
      <w:commentRangeEnd w:id="30"/>
      <w:r w:rsidR="00EA62BD">
        <w:rPr>
          <w:rStyle w:val="CommentReference"/>
          <w:rFonts w:ascii="Traditional Arabic" w:hAnsi="Traditional Arabic" w:cs="Traditional Arabic"/>
          <w:b/>
          <w:bCs/>
          <w:color w:val="000000" w:themeColor="text1"/>
          <w:sz w:val="24"/>
          <w:szCs w:val="24"/>
        </w:rPr>
        <w:commentReference w:id="30"/>
      </w:r>
      <w:r>
        <w:rPr>
          <w:rFonts w:ascii="Traditional Arabic" w:hAnsi="Traditional Arabic" w:cs="Traditional Arabic"/>
          <w:b/>
          <w:bCs/>
          <w:color w:val="000000" w:themeColor="text1"/>
          <w:sz w:val="24"/>
          <w:szCs w:val="24"/>
        </w:rPr>
        <w:t>:</w:t>
      </w:r>
      <w:r>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xml:space="preserve">تقتصر على </w:t>
      </w:r>
      <w:r>
        <w:rPr>
          <w:rFonts w:ascii="Traditional Arabic" w:hAnsi="Traditional Arabic" w:cs="Traditional Arabic"/>
          <w:color w:val="000000" w:themeColor="text1"/>
          <w:sz w:val="24"/>
          <w:szCs w:val="24"/>
          <w:rtl/>
        </w:rPr>
        <w:t>ثلاث مستشفيات ضمن تجمع القصيم الصحي</w:t>
      </w:r>
      <w:r>
        <w:rPr>
          <w:rFonts w:ascii="Traditional Arabic" w:hAnsi="Traditional Arabic" w:cs="Traditional Arabic" w:hint="cs"/>
          <w:color w:val="000000" w:themeColor="text1"/>
          <w:sz w:val="24"/>
          <w:szCs w:val="24"/>
          <w:rtl/>
        </w:rPr>
        <w:t xml:space="preserve"> (</w:t>
      </w:r>
      <w:commentRangeStart w:id="31"/>
      <w:r>
        <w:rPr>
          <w:rFonts w:ascii="Traditional Arabic" w:hAnsi="Traditional Arabic" w:cs="Traditional Arabic" w:hint="cs"/>
          <w:color w:val="000000" w:themeColor="text1"/>
          <w:sz w:val="24"/>
          <w:szCs w:val="24"/>
          <w:rtl/>
        </w:rPr>
        <w:t>بريدة المركزي والولادة والأطفال والرس العام</w:t>
      </w:r>
      <w:commentRangeEnd w:id="31"/>
      <w:r w:rsidR="00EA62BD">
        <w:rPr>
          <w:rStyle w:val="CommentReference"/>
          <w:rFonts w:ascii="Traditional Arabic" w:hAnsi="Traditional Arabic" w:cs="Traditional Arabic" w:hint="cs"/>
          <w:color w:val="000000" w:themeColor="text1"/>
          <w:sz w:val="24"/>
          <w:szCs w:val="24"/>
          <w:rtl/>
        </w:rPr>
        <w:commentReference w:id="31"/>
      </w:r>
      <w:r w:rsidR="00EA62BD">
        <w:rPr>
          <w:rFonts w:ascii="Traditional Arabic" w:hAnsi="Traditional Arabic" w:cs="Traditional Arabic" w:hint="cs"/>
          <w:color w:val="000000" w:themeColor="text1"/>
          <w:sz w:val="24"/>
          <w:szCs w:val="24"/>
          <w:rtl/>
        </w:rPr>
        <w:t>ي</w:t>
      </w:r>
      <w:r>
        <w:rPr>
          <w:rFonts w:ascii="Traditional Arabic" w:hAnsi="Traditional Arabic" w:cs="Traditional Arabic" w:hint="cs"/>
          <w:color w:val="000000" w:themeColor="text1"/>
          <w:sz w:val="24"/>
          <w:szCs w:val="24"/>
          <w:rtl/>
        </w:rPr>
        <w:t>)</w:t>
      </w:r>
      <w:r>
        <w:rPr>
          <w:rFonts w:ascii="Traditional Arabic" w:hAnsi="Traditional Arabic" w:cs="Traditional Arabic"/>
          <w:color w:val="000000" w:themeColor="text1"/>
          <w:sz w:val="24"/>
          <w:szCs w:val="24"/>
          <w:rtl/>
        </w:rPr>
        <w:t xml:space="preserve"> ، والتي تُطبق </w:t>
      </w:r>
      <w:r>
        <w:rPr>
          <w:rFonts w:ascii="Traditional Arabic" w:hAnsi="Traditional Arabic" w:cs="Traditional Arabic" w:hint="cs"/>
          <w:color w:val="000000" w:themeColor="text1"/>
          <w:sz w:val="24"/>
          <w:szCs w:val="24"/>
          <w:rtl/>
        </w:rPr>
        <w:t xml:space="preserve">مبادئ </w:t>
      </w:r>
      <w:r>
        <w:rPr>
          <w:rFonts w:ascii="Traditional Arabic" w:hAnsi="Traditional Arabic" w:cs="Traditional Arabic"/>
          <w:color w:val="000000" w:themeColor="text1"/>
          <w:sz w:val="24"/>
          <w:szCs w:val="24"/>
          <w:rtl/>
        </w:rPr>
        <w:t>" النموذج الوطني للتميز المؤسسي لجائزة الملك عبد العزيز للجودة ".</w:t>
      </w:r>
    </w:p>
    <w:p w14:paraId="3CD638CD" w14:textId="77777777" w:rsidR="004F600B" w:rsidRDefault="00000000">
      <w:pPr>
        <w:pStyle w:val="ListParagraph"/>
        <w:numPr>
          <w:ilvl w:val="0"/>
          <w:numId w:val="8"/>
        </w:numPr>
        <w:bidi/>
        <w:spacing w:before="100" w:beforeAutospacing="1" w:after="100" w:afterAutospacing="1" w:line="360" w:lineRule="auto"/>
        <w:rPr>
          <w:rFonts w:ascii="Traditional Arabic" w:hAnsi="Traditional Arabic" w:cs="Traditional Arabic"/>
          <w:color w:val="000000" w:themeColor="text1"/>
          <w:sz w:val="24"/>
          <w:szCs w:val="24"/>
        </w:rPr>
      </w:pPr>
      <w:commentRangeStart w:id="32"/>
      <w:r>
        <w:rPr>
          <w:rFonts w:ascii="Traditional Arabic" w:hAnsi="Traditional Arabic" w:cs="Traditional Arabic"/>
          <w:b/>
          <w:bCs/>
          <w:color w:val="000000" w:themeColor="text1"/>
          <w:sz w:val="24"/>
          <w:szCs w:val="24"/>
          <w:rtl/>
        </w:rPr>
        <w:t>الزمانية</w:t>
      </w:r>
      <w:commentRangeEnd w:id="32"/>
      <w:r w:rsidR="00EA62BD">
        <w:rPr>
          <w:rStyle w:val="CommentReference"/>
          <w:rFonts w:ascii="Traditional Arabic" w:hAnsi="Traditional Arabic" w:cs="Traditional Arabic"/>
          <w:b/>
          <w:bCs/>
          <w:color w:val="000000" w:themeColor="text1"/>
          <w:sz w:val="24"/>
          <w:szCs w:val="24"/>
        </w:rPr>
        <w:commentReference w:id="32"/>
      </w:r>
      <w:r>
        <w:rPr>
          <w:rFonts w:ascii="Traditional Arabic" w:hAnsi="Traditional Arabic" w:cs="Traditional Arabic"/>
          <w:b/>
          <w:bCs/>
          <w:color w:val="000000" w:themeColor="text1"/>
          <w:sz w:val="24"/>
          <w:szCs w:val="24"/>
        </w:rPr>
        <w:t>:</w:t>
      </w:r>
      <w:r>
        <w:rPr>
          <w:rFonts w:ascii="Traditional Arabic" w:hAnsi="Traditional Arabic" w:cs="Traditional Arabic"/>
          <w:color w:val="000000" w:themeColor="text1"/>
          <w:sz w:val="24"/>
          <w:szCs w:val="24"/>
        </w:rPr>
        <w:t xml:space="preserve"> </w:t>
      </w:r>
      <w:commentRangeStart w:id="33"/>
      <w:r>
        <w:rPr>
          <w:rFonts w:ascii="Traditional Arabic" w:hAnsi="Traditional Arabic" w:cs="Traditional Arabic"/>
          <w:color w:val="000000" w:themeColor="text1"/>
          <w:sz w:val="24"/>
          <w:szCs w:val="24"/>
          <w:rtl/>
        </w:rPr>
        <w:t>تنفيذ الدراسة خلال عام</w:t>
      </w:r>
      <w:r>
        <w:rPr>
          <w:rFonts w:ascii="Traditional Arabic" w:hAnsi="Traditional Arabic" w:cs="Traditional Arabic" w:hint="cs"/>
          <w:color w:val="000000" w:themeColor="text1"/>
          <w:sz w:val="24"/>
          <w:szCs w:val="24"/>
          <w:rtl/>
        </w:rPr>
        <w:t xml:space="preserve"> </w:t>
      </w:r>
      <w:commentRangeEnd w:id="33"/>
      <w:r w:rsidR="00B8152A">
        <w:rPr>
          <w:rStyle w:val="CommentReference"/>
          <w:rFonts w:ascii="Traditional Arabic" w:hAnsi="Traditional Arabic" w:cs="Traditional Arabic" w:hint="cs"/>
          <w:color w:val="000000" w:themeColor="text1"/>
          <w:sz w:val="24"/>
          <w:szCs w:val="24"/>
          <w:rtl/>
        </w:rPr>
        <w:commentReference w:id="33"/>
      </w:r>
      <w:r>
        <w:rPr>
          <w:rFonts w:ascii="Traditional Arabic" w:hAnsi="Traditional Arabic" w:cs="Traditional Arabic" w:hint="cs"/>
          <w:color w:val="000000" w:themeColor="text1"/>
          <w:sz w:val="24"/>
          <w:szCs w:val="24"/>
          <w:rtl/>
        </w:rPr>
        <w:t xml:space="preserve">2025 - </w:t>
      </w:r>
      <w:r>
        <w:rPr>
          <w:rFonts w:ascii="Traditional Arabic" w:hAnsi="Traditional Arabic" w:cs="Traditional Arabic"/>
          <w:color w:val="000000" w:themeColor="text1"/>
          <w:sz w:val="24"/>
          <w:szCs w:val="24"/>
          <w:rtl/>
        </w:rPr>
        <w:t xml:space="preserve">2026م، وهي </w:t>
      </w:r>
      <w:r>
        <w:rPr>
          <w:rFonts w:ascii="Traditional Arabic" w:hAnsi="Traditional Arabic" w:cs="Traditional Arabic" w:hint="cs"/>
          <w:color w:val="000000" w:themeColor="text1"/>
          <w:sz w:val="24"/>
          <w:szCs w:val="24"/>
          <w:rtl/>
        </w:rPr>
        <w:t>فترة</w:t>
      </w:r>
      <w:r>
        <w:rPr>
          <w:rFonts w:ascii="Traditional Arabic" w:hAnsi="Traditional Arabic" w:cs="Traditional Arabic"/>
          <w:color w:val="000000" w:themeColor="text1"/>
          <w:sz w:val="24"/>
          <w:szCs w:val="24"/>
          <w:rtl/>
        </w:rPr>
        <w:t xml:space="preserve"> جمع البيانات وتحليلها</w:t>
      </w:r>
      <w:r>
        <w:rPr>
          <w:rFonts w:ascii="Traditional Arabic" w:hAnsi="Traditional Arabic" w:cs="Traditional Arabic"/>
          <w:color w:val="000000" w:themeColor="text1"/>
          <w:sz w:val="24"/>
          <w:szCs w:val="24"/>
        </w:rPr>
        <w:t>.</w:t>
      </w:r>
    </w:p>
    <w:p w14:paraId="014DE1ED" w14:textId="7C48FEFB" w:rsidR="004F600B" w:rsidRDefault="00000000">
      <w:pPr>
        <w:pStyle w:val="ListParagraph"/>
        <w:numPr>
          <w:ilvl w:val="0"/>
          <w:numId w:val="8"/>
        </w:numPr>
        <w:bidi/>
        <w:spacing w:before="100" w:beforeAutospacing="1" w:after="100" w:afterAutospacing="1" w:line="360" w:lineRule="auto"/>
        <w:rPr>
          <w:rFonts w:ascii="Traditional Arabic" w:hAnsi="Traditional Arabic" w:cs="Traditional Arabic"/>
          <w:color w:val="000000" w:themeColor="text1"/>
          <w:sz w:val="24"/>
          <w:szCs w:val="24"/>
        </w:rPr>
      </w:pPr>
      <w:commentRangeStart w:id="34"/>
      <w:r>
        <w:rPr>
          <w:rFonts w:ascii="Traditional Arabic" w:hAnsi="Traditional Arabic" w:cs="Traditional Arabic"/>
          <w:b/>
          <w:bCs/>
          <w:color w:val="000000" w:themeColor="text1"/>
          <w:sz w:val="24"/>
          <w:szCs w:val="24"/>
          <w:rtl/>
        </w:rPr>
        <w:t>البشرية</w:t>
      </w:r>
      <w:commentRangeEnd w:id="34"/>
      <w:r w:rsidR="00EA62BD">
        <w:rPr>
          <w:rStyle w:val="CommentReference"/>
          <w:rFonts w:ascii="Traditional Arabic" w:hAnsi="Traditional Arabic" w:cs="Traditional Arabic" w:hint="cs"/>
          <w:b/>
          <w:bCs/>
          <w:color w:val="000000" w:themeColor="text1"/>
          <w:sz w:val="24"/>
          <w:szCs w:val="24"/>
          <w:rtl/>
        </w:rPr>
        <w:commentReference w:id="34"/>
      </w:r>
      <w:r w:rsidR="00EA62BD">
        <w:rPr>
          <w:rFonts w:ascii="Traditional Arabic" w:hAnsi="Traditional Arabic" w:cs="Traditional Arabic" w:hint="cs"/>
          <w:b/>
          <w:bCs/>
          <w:color w:val="000000" w:themeColor="text1"/>
          <w:sz w:val="24"/>
          <w:szCs w:val="24"/>
          <w:rtl/>
        </w:rPr>
        <w:t xml:space="preserve">: </w:t>
      </w:r>
      <w:r>
        <w:rPr>
          <w:rFonts w:ascii="Traditional Arabic" w:hAnsi="Traditional Arabic" w:cs="Traditional Arabic" w:hint="cs"/>
          <w:color w:val="000000" w:themeColor="text1"/>
          <w:sz w:val="24"/>
          <w:szCs w:val="24"/>
          <w:rtl/>
        </w:rPr>
        <w:t xml:space="preserve">تقتصر على </w:t>
      </w:r>
      <w:r>
        <w:rPr>
          <w:rFonts w:ascii="Traditional Arabic" w:hAnsi="Traditional Arabic" w:cs="Traditional Arabic"/>
          <w:color w:val="000000" w:themeColor="text1"/>
          <w:sz w:val="24"/>
          <w:szCs w:val="24"/>
          <w:rtl/>
        </w:rPr>
        <w:t>عينة قصدية من القيادات الإدارية والفنية والعاملين في إدارات الجودة وتجربة المريض والموارد البشرية والتحسين وغيرها، ممن يشاركون في تطبيق مبادئ التميز المؤسسي داخل المستشفيا</w:t>
      </w:r>
      <w:r>
        <w:rPr>
          <w:rFonts w:ascii="Traditional Arabic" w:hAnsi="Traditional Arabic" w:cs="Traditional Arabic" w:hint="cs"/>
          <w:color w:val="000000" w:themeColor="text1"/>
          <w:sz w:val="24"/>
          <w:szCs w:val="24"/>
          <w:rtl/>
        </w:rPr>
        <w:t>ت محل الدراسة.</w:t>
      </w:r>
    </w:p>
    <w:p w14:paraId="23E0DF39" w14:textId="77777777" w:rsidR="004F600B" w:rsidRDefault="00000000">
      <w:pPr>
        <w:pStyle w:val="ListParagraph"/>
        <w:numPr>
          <w:ilvl w:val="0"/>
          <w:numId w:val="8"/>
        </w:numPr>
        <w:bidi/>
        <w:spacing w:before="100" w:beforeAutospacing="1" w:after="100" w:afterAutospacing="1" w:line="360" w:lineRule="auto"/>
        <w:rPr>
          <w:rFonts w:ascii="Traditional Arabic" w:hAnsi="Traditional Arabic" w:cs="Traditional Arabic"/>
          <w:color w:val="000000" w:themeColor="text1"/>
          <w:sz w:val="24"/>
          <w:szCs w:val="24"/>
          <w:rtl/>
        </w:rPr>
      </w:pPr>
      <w:commentRangeStart w:id="35"/>
      <w:r>
        <w:rPr>
          <w:rFonts w:ascii="Traditional Arabic" w:hAnsi="Traditional Arabic" w:cs="Traditional Arabic" w:hint="cs"/>
          <w:b/>
          <w:bCs/>
          <w:color w:val="000000" w:themeColor="text1"/>
          <w:sz w:val="24"/>
          <w:szCs w:val="24"/>
          <w:rtl/>
        </w:rPr>
        <w:t xml:space="preserve">الموضوعية </w:t>
      </w:r>
      <w:commentRangeEnd w:id="35"/>
      <w:r w:rsidR="00EA62BD">
        <w:rPr>
          <w:rStyle w:val="CommentReference"/>
          <w:rFonts w:ascii="Traditional Arabic" w:hAnsi="Traditional Arabic" w:cs="Traditional Arabic" w:hint="cs"/>
          <w:b/>
          <w:bCs/>
          <w:color w:val="000000" w:themeColor="text1"/>
          <w:sz w:val="24"/>
          <w:szCs w:val="24"/>
          <w:rtl/>
        </w:rPr>
        <w:commentReference w:id="35"/>
      </w:r>
      <w:r>
        <w:rPr>
          <w:rFonts w:ascii="Traditional Arabic" w:hAnsi="Traditional Arabic" w:cs="Traditional Arabic" w:hint="cs"/>
          <w:b/>
          <w:bCs/>
          <w:color w:val="000000" w:themeColor="text1"/>
          <w:sz w:val="24"/>
          <w:szCs w:val="24"/>
          <w:rtl/>
        </w:rPr>
        <w:t>:</w:t>
      </w:r>
      <w:r>
        <w:rPr>
          <w:rFonts w:ascii="Traditional Arabic" w:hAnsi="Traditional Arabic" w:cs="Traditional Arabic" w:hint="cs"/>
          <w:color w:val="000000" w:themeColor="text1"/>
          <w:sz w:val="24"/>
          <w:szCs w:val="24"/>
          <w:rtl/>
        </w:rPr>
        <w:t xml:space="preserve"> تقتصر الدراسة على </w:t>
      </w:r>
      <w:r>
        <w:rPr>
          <w:rFonts w:ascii="Traditional Arabic" w:hAnsi="Traditional Arabic" w:cs="Traditional Arabic"/>
          <w:color w:val="000000" w:themeColor="text1"/>
          <w:sz w:val="24"/>
          <w:szCs w:val="24"/>
          <w:rtl/>
        </w:rPr>
        <w:t xml:space="preserve">تناول العلاقة بين مبادئ التميز المؤسسي – كما وردت في النموذج الوطني السعودي للتميز المؤسسي لجائزة الملك عبد العزيز للجودة (2022) – والمتمثلة في (القيادة، الموارد البشرية، العمليات، المستفيدون، الشراكات، التحسين المستمر، الابتكار، والتنمية المستدامة)، وبين جودة تجربة المريض كما تقيسها أبعاد برنامج </w:t>
      </w:r>
      <w:commentRangeStart w:id="36"/>
      <w:r>
        <w:rPr>
          <w:rFonts w:ascii="Traditional Arabic" w:hAnsi="Traditional Arabic" w:cs="Traditional Arabic"/>
          <w:color w:val="000000" w:themeColor="text1"/>
          <w:sz w:val="24"/>
          <w:szCs w:val="24"/>
          <w:rtl/>
        </w:rPr>
        <w:t xml:space="preserve">برزجيني </w:t>
      </w:r>
      <w:commentRangeEnd w:id="36"/>
      <w:r w:rsidR="00B8152A">
        <w:rPr>
          <w:rStyle w:val="CommentReference"/>
          <w:rFonts w:ascii="Traditional Arabic" w:hAnsi="Traditional Arabic" w:cs="Traditional Arabic"/>
          <w:color w:val="000000" w:themeColor="text1"/>
          <w:sz w:val="24"/>
          <w:szCs w:val="24"/>
          <w:rtl/>
        </w:rPr>
        <w:commentReference w:id="36"/>
      </w:r>
      <w:r>
        <w:rPr>
          <w:rFonts w:ascii="Traditional Arabic" w:hAnsi="Traditional Arabic" w:cs="Traditional Arabic"/>
          <w:color w:val="000000" w:themeColor="text1"/>
          <w:sz w:val="24"/>
          <w:szCs w:val="24"/>
          <w:rtl/>
        </w:rPr>
        <w:t>التابع لوزارة الصحة (2023)، وهي (الوصول، تنسيق الخدمة، التواصل، الاحترام، المعلومات، البيئة المادية، الدعم العاطفي، والمشاركة).</w:t>
      </w:r>
    </w:p>
    <w:p w14:paraId="04E041F0"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2A4E43F5"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1791CCD6"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4F6BD9C3"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778DEFE1"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1B3891C3"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643CA574"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05A43527"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0797BCC3"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 xml:space="preserve">إجراءات ومنهجية الدراسة:  </w:t>
      </w:r>
    </w:p>
    <w:p w14:paraId="63314307"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تُعد منهجية الدراسة وإجراءاتها الركيزة الأساسية التي يُبنى عليها الجانب التطبيقي للبحث، حيث تُستخدم كإطار منهجي لجمع البيانات اللازمة وإجراء التحليل الإحصائي</w:t>
      </w:r>
      <w:r>
        <w:rPr>
          <w:rtl/>
        </w:rPr>
        <w:t xml:space="preserve"> </w:t>
      </w:r>
      <w:r>
        <w:rPr>
          <w:rFonts w:ascii="Traditional Arabic" w:hAnsi="Traditional Arabic" w:cs="Traditional Arabic"/>
          <w:color w:val="000000" w:themeColor="text1"/>
          <w:sz w:val="24"/>
          <w:szCs w:val="24"/>
          <w:rtl/>
        </w:rPr>
        <w:t>للإجابة على تساؤلات الدراسة وإثبات فروضها بهدف الوصول إلى النتائج المرجوة وتحقيق أهداف الدراسة</w:t>
      </w:r>
      <w:r>
        <w:rPr>
          <w:rFonts w:ascii="Traditional Arabic" w:hAnsi="Traditional Arabic" w:cs="Traditional Arabic" w:hint="cs"/>
          <w:color w:val="000000" w:themeColor="text1"/>
          <w:sz w:val="24"/>
          <w:szCs w:val="24"/>
          <w:rtl/>
        </w:rPr>
        <w:t>.</w:t>
      </w:r>
    </w:p>
    <w:p w14:paraId="73E55A9A"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منهج الدراسة: </w:t>
      </w:r>
    </w:p>
    <w:p w14:paraId="40D1B7D6"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color w:val="000000" w:themeColor="text1"/>
          <w:sz w:val="24"/>
          <w:szCs w:val="24"/>
          <w:rtl/>
        </w:rPr>
        <w:t>اعتمدت الدراسة</w:t>
      </w:r>
      <w:r>
        <w:rPr>
          <w:rFonts w:ascii="Traditional Arabic" w:hAnsi="Traditional Arabic" w:cs="Traditional Arabic"/>
          <w:color w:val="000000" w:themeColor="text1"/>
          <w:sz w:val="24"/>
          <w:szCs w:val="24"/>
          <w:rtl/>
        </w:rPr>
        <w:t xml:space="preserve"> المنهج الوصفي التحليلي كأفضل منهجية تناسب طبيعة هذه الدراسة، يُمكّن هذا المنهج من تحليل العلاقة بين </w:t>
      </w:r>
      <w:r>
        <w:rPr>
          <w:rFonts w:ascii="Traditional Arabic" w:hAnsi="Traditional Arabic" w:cs="Traditional Arabic" w:hint="cs"/>
          <w:color w:val="000000" w:themeColor="text1"/>
          <w:sz w:val="24"/>
          <w:szCs w:val="24"/>
          <w:rtl/>
        </w:rPr>
        <w:t>(المتغير المستقل)</w:t>
      </w:r>
      <w:r>
        <w:rPr>
          <w:rFonts w:ascii="Traditional Arabic" w:hAnsi="Traditional Arabic" w:cs="Traditional Arabic"/>
          <w:color w:val="000000" w:themeColor="text1"/>
          <w:sz w:val="24"/>
          <w:szCs w:val="24"/>
          <w:rtl/>
        </w:rPr>
        <w:t xml:space="preserve"> مبادئ النموذج الوطني للتميز المؤسسي لجائزة الملك عبد العزيز للجودة (القيادة، الموارد البشرية، المستفيدون، العمليات، الشراكات، التحسين المستمر، الإبداع والابتكار، التنمية المستدامة) و</w:t>
      </w:r>
      <w:r>
        <w:rPr>
          <w:rFonts w:ascii="Traditional Arabic" w:hAnsi="Traditional Arabic" w:cs="Traditional Arabic" w:hint="cs"/>
          <w:color w:val="000000" w:themeColor="text1"/>
          <w:sz w:val="24"/>
          <w:szCs w:val="24"/>
          <w:rtl/>
        </w:rPr>
        <w:t xml:space="preserve">(المتغير التابع) </w:t>
      </w:r>
      <w:r>
        <w:rPr>
          <w:rFonts w:ascii="Traditional Arabic" w:hAnsi="Traditional Arabic" w:cs="Traditional Arabic"/>
          <w:color w:val="000000" w:themeColor="text1"/>
          <w:sz w:val="24"/>
          <w:szCs w:val="24"/>
          <w:rtl/>
        </w:rPr>
        <w:t xml:space="preserve">أبعاد تجربة المريض (الوصول، تنسيق الخدمة، التواصل، الاحترام، المعلومات، البيئة المادية، الدعم العاطفي، المشاركة). </w:t>
      </w:r>
      <w:r>
        <w:rPr>
          <w:rFonts w:ascii="Traditional Arabic" w:hAnsi="Traditional Arabic" w:cs="Traditional Arabic" w:hint="cs"/>
          <w:color w:val="000000" w:themeColor="text1"/>
          <w:sz w:val="24"/>
          <w:szCs w:val="24"/>
          <w:rtl/>
        </w:rPr>
        <w:t xml:space="preserve">حيث </w:t>
      </w:r>
      <w:r>
        <w:rPr>
          <w:rFonts w:ascii="Traditional Arabic" w:hAnsi="Traditional Arabic" w:cs="Traditional Arabic"/>
          <w:color w:val="000000" w:themeColor="text1"/>
          <w:sz w:val="24"/>
          <w:szCs w:val="24"/>
          <w:rtl/>
        </w:rPr>
        <w:t xml:space="preserve">يتفق عدد من الباحثين على أن المنهج الوصفي التحليلي يُعد الأنسب لدراسة العلاقة بين التميز المؤسسي وجودة الخدمات الصحية، حيث استخدمه منصور (2021) في تفسير العلاقة بين التميز التنظيمي وجودة الخدمات، وأكدت الرويلي (2025) فعاليته في تحليل أثر عوامل التميز المؤسسي على جودة الرعاية الصحية، كما أوصى </w:t>
      </w:r>
      <w:r>
        <w:rPr>
          <w:rFonts w:ascii="Traditional Arabic" w:hAnsi="Traditional Arabic" w:cs="Traditional Arabic"/>
          <w:color w:val="000000" w:themeColor="text1"/>
          <w:sz w:val="24"/>
          <w:szCs w:val="24"/>
        </w:rPr>
        <w:t>Al-Samawi and Al-Sayaghi</w:t>
      </w:r>
      <w:r>
        <w:rPr>
          <w:rFonts w:ascii="Traditional Arabic" w:hAnsi="Traditional Arabic" w:cs="Traditional Arabic"/>
          <w:color w:val="000000" w:themeColor="text1"/>
          <w:sz w:val="24"/>
          <w:szCs w:val="24"/>
          <w:rtl/>
        </w:rPr>
        <w:t xml:space="preserve"> (2024) باعتماده كمنهج كمي مناسب لهذا النوع من الدراسات. وبناءً على ذلك، تم اعتماد المنهج الوصفي التحليلي في هذه الدراسة لتحقيق أهدافها وتقديم نتائج علمية دقيقة وموثوقة.</w:t>
      </w:r>
    </w:p>
    <w:p w14:paraId="48866A2D"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 xml:space="preserve">مجتمع وعينة الدراسة: </w:t>
      </w:r>
    </w:p>
    <w:p w14:paraId="67A42D97"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t>يتكون مجتمع الدراسة من القيادات الإدارية والفنية في ثلاث مستشفيات تابعة لتجمع القصيم الصحي (مستشفى الولادة والأطفال ببريدة، مستشفى بريدة المركزي، مستشفى الرس العام). تم اختيار عينة قصدية من (384) مشاركًا كحد أدنى، وفقًا لمعادلة كوهران (</w:t>
      </w:r>
      <w:r>
        <w:rPr>
          <w:rFonts w:ascii="Traditional Arabic" w:hAnsi="Traditional Arabic" w:cs="Traditional Arabic"/>
          <w:color w:val="000000" w:themeColor="text1"/>
          <w:sz w:val="24"/>
          <w:szCs w:val="24"/>
        </w:rPr>
        <w:t>Cochran, 1977</w:t>
      </w:r>
      <w:r>
        <w:rPr>
          <w:rFonts w:ascii="Traditional Arabic" w:hAnsi="Traditional Arabic" w:cs="Traditional Arabic"/>
          <w:color w:val="000000" w:themeColor="text1"/>
          <w:sz w:val="24"/>
          <w:szCs w:val="24"/>
          <w:rtl/>
        </w:rPr>
        <w:t>).</w:t>
      </w:r>
    </w:p>
    <w:p w14:paraId="2075F39E"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 xml:space="preserve">أداة جمع البيانات: </w:t>
      </w:r>
    </w:p>
    <w:p w14:paraId="680FAE3E"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تم تصميم استبانة موجهة باللغتين العربية والإنجليزية، استندت في محاورها إلى مبادئ النموذج الوطني للتميز المؤسسي (2022) وأبعاد جودة تجربة المريض (برنامج </w:t>
      </w:r>
      <w:r>
        <w:rPr>
          <w:rFonts w:ascii="Traditional Arabic" w:hAnsi="Traditional Arabic" w:cs="Traditional Arabic"/>
          <w:color w:val="000000" w:themeColor="text1"/>
          <w:sz w:val="24"/>
          <w:szCs w:val="24"/>
        </w:rPr>
        <w:t>Press Ganey</w:t>
      </w:r>
      <w:r>
        <w:rPr>
          <w:rFonts w:ascii="Traditional Arabic" w:hAnsi="Traditional Arabic" w:cs="Traditional Arabic"/>
          <w:color w:val="000000" w:themeColor="text1"/>
          <w:sz w:val="24"/>
          <w:szCs w:val="24"/>
          <w:rtl/>
        </w:rPr>
        <w:t>).</w:t>
      </w:r>
    </w:p>
    <w:p w14:paraId="3C9C630E"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Pr>
      </w:pPr>
      <w:r>
        <w:rPr>
          <w:rFonts w:ascii="Traditional Arabic" w:hAnsi="Traditional Arabic" w:cs="Traditional Arabic"/>
          <w:color w:val="000000" w:themeColor="text1"/>
          <w:sz w:val="24"/>
          <w:szCs w:val="24"/>
          <w:rtl/>
        </w:rPr>
        <w:lastRenderedPageBreak/>
        <w:t xml:space="preserve">جرى توزيع الاستبانة إلكترونيًا عبر </w:t>
      </w:r>
      <w:r>
        <w:rPr>
          <w:rFonts w:ascii="Traditional Arabic" w:hAnsi="Traditional Arabic" w:cs="Traditional Arabic"/>
          <w:color w:val="000000" w:themeColor="text1"/>
          <w:sz w:val="24"/>
          <w:szCs w:val="24"/>
        </w:rPr>
        <w:t>Google Forms</w:t>
      </w:r>
      <w:r>
        <w:rPr>
          <w:rFonts w:ascii="Traditional Arabic" w:hAnsi="Traditional Arabic" w:cs="Traditional Arabic"/>
          <w:color w:val="000000" w:themeColor="text1"/>
          <w:sz w:val="24"/>
          <w:szCs w:val="24"/>
          <w:rtl/>
        </w:rPr>
        <w:t>، مع مراعاة السرية والطوعية، والتنسيق مع إدارات الجودة في المستشفيات المستهدفة.</w:t>
      </w:r>
    </w:p>
    <w:p w14:paraId="5690E474"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الأساليب الإحصائية:</w:t>
      </w:r>
    </w:p>
    <w:p w14:paraId="0F992437"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 xml:space="preserve">تم </w:t>
      </w:r>
      <w:r>
        <w:rPr>
          <w:rFonts w:ascii="Traditional Arabic" w:hAnsi="Traditional Arabic" w:cs="Traditional Arabic"/>
          <w:color w:val="000000" w:themeColor="text1"/>
          <w:sz w:val="24"/>
          <w:szCs w:val="24"/>
          <w:rtl/>
        </w:rPr>
        <w:t xml:space="preserve">تحليل البيانات باستخدام برنامج </w:t>
      </w:r>
      <w:r>
        <w:rPr>
          <w:rFonts w:ascii="Traditional Arabic" w:hAnsi="Traditional Arabic" w:cs="Traditional Arabic"/>
          <w:color w:val="000000" w:themeColor="text1"/>
          <w:sz w:val="24"/>
          <w:szCs w:val="24"/>
        </w:rPr>
        <w:t>SPSS</w:t>
      </w:r>
      <w:r>
        <w:rPr>
          <w:rFonts w:ascii="Traditional Arabic" w:hAnsi="Traditional Arabic" w:cs="Traditional Arabic"/>
          <w:color w:val="000000" w:themeColor="text1"/>
          <w:sz w:val="24"/>
          <w:szCs w:val="24"/>
          <w:rtl/>
        </w:rPr>
        <w:t xml:space="preserve"> من خلال الإحصاء الوصفي (التكرارات، المتوسطات الحسابية، الانحراف المعياري)، ومعامل كرونباخ ألفا للتحقق من الثبات، واختبارات بيرسون والانحدار الخطي (البسيط والمتعدد) لاختبار الفرضيات.</w:t>
      </w:r>
    </w:p>
    <w:p w14:paraId="010EFEF1"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3757166E"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23043A41"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743B88B5"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2AF87154"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18207ACF"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31142221"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6C6E180A"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569D1F7B"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64CDA871" w14:textId="77777777" w:rsidR="004F600B" w:rsidRDefault="004F600B">
      <w:pPr>
        <w:bidi/>
        <w:spacing w:before="100" w:beforeAutospacing="1" w:after="100" w:afterAutospacing="1" w:line="360" w:lineRule="auto"/>
        <w:rPr>
          <w:rFonts w:ascii="Traditional Arabic" w:hAnsi="Traditional Arabic" w:cs="Traditional Arabic"/>
          <w:b/>
          <w:bCs/>
          <w:color w:val="000000" w:themeColor="text1"/>
          <w:sz w:val="32"/>
          <w:szCs w:val="32"/>
          <w:rtl/>
        </w:rPr>
      </w:pPr>
    </w:p>
    <w:p w14:paraId="40C3F36F" w14:textId="77777777" w:rsidR="004F600B" w:rsidRDefault="00000000">
      <w:pPr>
        <w:bidi/>
        <w:spacing w:before="100" w:beforeAutospacing="1" w:after="100" w:afterAutospacing="1"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b/>
          <w:bCs/>
          <w:color w:val="000000" w:themeColor="text1"/>
          <w:sz w:val="32"/>
          <w:szCs w:val="32"/>
          <w:rtl/>
        </w:rPr>
        <w:lastRenderedPageBreak/>
        <w:t>نموذج الدراسة</w:t>
      </w:r>
    </w:p>
    <w:p w14:paraId="385EB0E2" w14:textId="77777777" w:rsidR="004F600B" w:rsidRDefault="00000000">
      <w:pPr>
        <w:bidi/>
        <w:spacing w:before="100" w:beforeAutospacing="1" w:after="100" w:afterAutospacing="1"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color w:val="000000" w:themeColor="text1"/>
          <w:sz w:val="24"/>
          <w:szCs w:val="24"/>
          <w:rtl/>
        </w:rPr>
        <w:t xml:space="preserve">تم تصميم نموذج الدراسة </w:t>
      </w:r>
      <w:r>
        <w:rPr>
          <w:rFonts w:ascii="Traditional Arabic" w:hAnsi="Traditional Arabic" w:cs="Traditional Arabic" w:hint="cs"/>
          <w:color w:val="000000" w:themeColor="text1"/>
          <w:sz w:val="24"/>
          <w:szCs w:val="24"/>
          <w:rtl/>
        </w:rPr>
        <w:t xml:space="preserve">(شكل1) </w:t>
      </w:r>
      <w:r>
        <w:rPr>
          <w:rFonts w:ascii="Traditional Arabic" w:hAnsi="Traditional Arabic" w:cs="Traditional Arabic"/>
          <w:color w:val="000000" w:themeColor="text1"/>
          <w:sz w:val="24"/>
          <w:szCs w:val="24"/>
          <w:rtl/>
        </w:rPr>
        <w:t>بناءً على متغيرات الدراسة التالية :</w:t>
      </w:r>
    </w:p>
    <w:p w14:paraId="23B4937D"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b/>
          <w:bCs/>
          <w:color w:val="000000" w:themeColor="text1"/>
          <w:sz w:val="28"/>
          <w:szCs w:val="28"/>
          <w:rtl/>
        </w:rPr>
        <w:t>المتغير المستقل</w:t>
      </w:r>
      <w:r>
        <w:rPr>
          <w:rFonts w:ascii="Traditional Arabic" w:hAnsi="Traditional Arabic" w:cs="Traditional Arabic"/>
          <w:b/>
          <w:bCs/>
          <w:color w:val="000000" w:themeColor="text1"/>
          <w:sz w:val="28"/>
          <w:szCs w:val="28"/>
        </w:rPr>
        <w:t>:</w:t>
      </w:r>
      <w:r>
        <w:rPr>
          <w:rFonts w:ascii="Traditional Arabic" w:hAnsi="Traditional Arabic" w:cs="Traditional Arabic"/>
          <w:color w:val="000000" w:themeColor="text1"/>
          <w:sz w:val="24"/>
          <w:szCs w:val="24"/>
        </w:rPr>
        <w:br/>
      </w:r>
      <w:r>
        <w:rPr>
          <w:rFonts w:ascii="Traditional Arabic" w:hAnsi="Traditional Arabic" w:cs="Traditional Arabic"/>
          <w:color w:val="000000" w:themeColor="text1"/>
          <w:sz w:val="24"/>
          <w:szCs w:val="24"/>
          <w:rtl/>
        </w:rPr>
        <w:t>التميز المؤسسي ضمن النموذج الوطني للتميز المؤسسي لجائزة الملك عبد العزيز للجودة من خلال مبادئه (القيادة - الموارد البشرية - المستفيدين – العمليات – الشراكات – التحسين المستمر- الابداع والابتكار – التنمية المستدامة)  ، وقد تم اختيار هذه المبادئ استنادًا إلى النموذج الوطني للتميز المؤسسي، 2022 (جائزة الملك عبد العزيز للجودة، 2022).</w:t>
      </w:r>
    </w:p>
    <w:p w14:paraId="618ADD87" w14:textId="77777777" w:rsidR="004F600B" w:rsidRDefault="00000000">
      <w:pPr>
        <w:bidi/>
        <w:spacing w:before="100" w:beforeAutospacing="1" w:after="100" w:afterAutospacing="1" w:line="360" w:lineRule="auto"/>
        <w:rPr>
          <w:rFonts w:ascii="Traditional Arabic" w:hAnsi="Traditional Arabic" w:cs="Traditional Arabic"/>
          <w:color w:val="000000" w:themeColor="text1"/>
          <w:sz w:val="24"/>
          <w:szCs w:val="24"/>
          <w:rtl/>
        </w:rPr>
      </w:pPr>
      <w:r>
        <w:rPr>
          <w:rFonts w:ascii="Traditional Arabic" w:hAnsi="Traditional Arabic" w:cs="Traditional Arabic"/>
          <w:noProof/>
          <w:color w:val="000000" w:themeColor="text1"/>
          <w:sz w:val="24"/>
          <w:szCs w:val="24"/>
        </w:rPr>
        <w:drawing>
          <wp:anchor distT="0" distB="0" distL="114300" distR="114300" simplePos="0" relativeHeight="251660288" behindDoc="1" locked="0" layoutInCell="1" allowOverlap="1" wp14:anchorId="79130752" wp14:editId="6A0CC029">
            <wp:simplePos x="0" y="0"/>
            <wp:positionH relativeFrom="margin">
              <wp:posOffset>374650</wp:posOffset>
            </wp:positionH>
            <wp:positionV relativeFrom="paragraph">
              <wp:posOffset>2087880</wp:posOffset>
            </wp:positionV>
            <wp:extent cx="4891405" cy="2171700"/>
            <wp:effectExtent l="19050" t="19050" r="23495" b="19050"/>
            <wp:wrapTight wrapText="bothSides">
              <wp:wrapPolygon edited="0">
                <wp:start x="-84" y="-189"/>
                <wp:lineTo x="-84" y="21600"/>
                <wp:lineTo x="21620" y="21600"/>
                <wp:lineTo x="21620" y="-189"/>
                <wp:lineTo x="-84" y="-189"/>
              </wp:wrapPolygon>
            </wp:wrapTight>
            <wp:docPr id="5601940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94091" name="صورة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891405" cy="2171700"/>
                    </a:xfrm>
                    <a:prstGeom prst="rect">
                      <a:avLst/>
                    </a:prstGeom>
                    <a:noFill/>
                    <a:ln>
                      <a:solidFill>
                        <a:schemeClr val="tx1"/>
                      </a:solidFill>
                    </a:ln>
                  </pic:spPr>
                </pic:pic>
              </a:graphicData>
            </a:graphic>
          </wp:anchor>
        </w:drawing>
      </w:r>
      <w:r>
        <w:rPr>
          <w:rFonts w:ascii="Traditional Arabic" w:hAnsi="Traditional Arabic" w:cs="Traditional Arabic"/>
          <w:b/>
          <w:bCs/>
          <w:color w:val="000000" w:themeColor="text1"/>
          <w:sz w:val="28"/>
          <w:szCs w:val="28"/>
          <w:rtl/>
        </w:rPr>
        <w:t>المتغير التابع</w:t>
      </w:r>
      <w:r>
        <w:rPr>
          <w:rFonts w:ascii="Traditional Arabic" w:hAnsi="Traditional Arabic" w:cs="Traditional Arabic"/>
          <w:b/>
          <w:bCs/>
          <w:color w:val="000000" w:themeColor="text1"/>
          <w:sz w:val="28"/>
          <w:szCs w:val="28"/>
        </w:rPr>
        <w:t>:</w:t>
      </w:r>
      <w:r>
        <w:rPr>
          <w:rFonts w:ascii="Traditional Arabic" w:hAnsi="Traditional Arabic" w:cs="Traditional Arabic"/>
          <w:color w:val="000000" w:themeColor="text1"/>
          <w:sz w:val="24"/>
          <w:szCs w:val="24"/>
        </w:rPr>
        <w:br/>
      </w:r>
      <w:r>
        <w:rPr>
          <w:rFonts w:ascii="Traditional Arabic" w:hAnsi="Traditional Arabic" w:cs="Traditional Arabic"/>
          <w:color w:val="000000" w:themeColor="text1"/>
          <w:sz w:val="24"/>
          <w:szCs w:val="24"/>
          <w:rtl/>
        </w:rPr>
        <w:t>جودة تجربة المريض، والتي تم تحديد</w:t>
      </w:r>
      <w:r>
        <w:rPr>
          <w:rFonts w:ascii="Traditional Arabic" w:hAnsi="Traditional Arabic" w:cs="Traditional Arabic" w:hint="cs"/>
          <w:color w:val="000000" w:themeColor="text1"/>
          <w:sz w:val="24"/>
          <w:szCs w:val="24"/>
          <w:rtl/>
        </w:rPr>
        <w:t xml:space="preserve"> أبعادها </w:t>
      </w:r>
      <w:r>
        <w:rPr>
          <w:rFonts w:ascii="Traditional Arabic" w:hAnsi="Traditional Arabic" w:cs="Traditional Arabic"/>
          <w:color w:val="000000" w:themeColor="text1"/>
          <w:sz w:val="24"/>
          <w:szCs w:val="24"/>
          <w:rtl/>
        </w:rPr>
        <w:t>على النحو التالي: (الوصول - تنسيق الخدمة – التواصل – الاحترام – المعلومات – البيئة المادية – الدعم العاطفي - المشاركة)، وذلك استناداً إلى مقاييس تقييم جودة تجربة المريض (برزجيني –</w:t>
      </w:r>
      <w:r>
        <w:rPr>
          <w:rFonts w:ascii="Traditional Arabic" w:hAnsi="Traditional Arabic" w:cs="Traditional Arabic"/>
          <w:color w:val="000000" w:themeColor="text1"/>
          <w:sz w:val="24"/>
          <w:szCs w:val="24"/>
        </w:rPr>
        <w:t xml:space="preserve"> (Press Ganey</w:t>
      </w:r>
      <w:r>
        <w:rPr>
          <w:rFonts w:ascii="Traditional Arabic" w:hAnsi="Traditional Arabic" w:cs="Traditional Arabic"/>
          <w:color w:val="000000" w:themeColor="text1"/>
          <w:sz w:val="24"/>
          <w:szCs w:val="24"/>
          <w:rtl/>
        </w:rPr>
        <w:t xml:space="preserve"> </w:t>
      </w:r>
      <w:r>
        <w:rPr>
          <w:rFonts w:ascii="Times New Roman" w:hAnsi="Times New Roman" w:cs="Times New Roman" w:hint="cs"/>
          <w:color w:val="000000" w:themeColor="text1"/>
          <w:sz w:val="24"/>
          <w:szCs w:val="24"/>
          <w:rtl/>
        </w:rPr>
        <w:t>​​​​​​​​​​​​​​​​​​​​</w:t>
      </w:r>
      <w:r>
        <w:rPr>
          <w:rFonts w:ascii="Traditional Arabic" w:hAnsi="Traditional Arabic" w:cs="Traditional Arabic"/>
          <w:color w:val="000000" w:themeColor="text1"/>
          <w:sz w:val="24"/>
          <w:szCs w:val="24"/>
          <w:rtl/>
        </w:rPr>
        <w:t xml:space="preserve">ببرنامج وزارة الصحة السعودية لقياس تجربة المرضى المٌعتمد على </w:t>
      </w:r>
      <w:r>
        <w:rPr>
          <w:rFonts w:ascii="Traditional Arabic" w:hAnsi="Traditional Arabic" w:cs="Traditional Arabic" w:hint="cs"/>
          <w:color w:val="000000" w:themeColor="text1"/>
          <w:sz w:val="24"/>
          <w:szCs w:val="24"/>
          <w:rtl/>
        </w:rPr>
        <w:t xml:space="preserve">آداة </w:t>
      </w:r>
      <w:r>
        <w:rPr>
          <w:rFonts w:ascii="Traditional Arabic" w:hAnsi="Traditional Arabic" w:cs="Traditional Arabic"/>
          <w:color w:val="000000" w:themeColor="text1"/>
          <w:sz w:val="24"/>
          <w:szCs w:val="24"/>
          <w:rtl/>
        </w:rPr>
        <w:t>قياس تجربة المريض بالمستشفيات (</w:t>
      </w:r>
      <w:r>
        <w:rPr>
          <w:rFonts w:ascii="Traditional Arabic" w:hAnsi="Traditional Arabic" w:cs="Traditional Arabic"/>
          <w:color w:val="000000" w:themeColor="text1"/>
          <w:sz w:val="24"/>
          <w:szCs w:val="24"/>
        </w:rPr>
        <w:t>Hospital Consumer Assessment of Healthcare Providers and Systems – HCAHPS</w:t>
      </w:r>
      <w:r>
        <w:rPr>
          <w:rFonts w:ascii="Traditional Arabic" w:hAnsi="Traditional Arabic" w:cs="Traditional Arabic"/>
          <w:color w:val="000000" w:themeColor="text1"/>
          <w:sz w:val="24"/>
          <w:szCs w:val="24"/>
          <w:rtl/>
        </w:rPr>
        <w:t xml:space="preserve">) – المقياس الموحد لقياس تجربة المرضى بالولايات المتحدة الامريكية (وزارة الصحة، 2023؛ </w:t>
      </w:r>
      <w:r>
        <w:rPr>
          <w:rFonts w:ascii="Traditional Arabic" w:hAnsi="Traditional Arabic" w:cs="Traditional Arabic"/>
          <w:color w:val="000000" w:themeColor="text1"/>
          <w:sz w:val="24"/>
          <w:szCs w:val="24"/>
        </w:rPr>
        <w:t>Press Ganey, 2024</w:t>
      </w:r>
      <w:r>
        <w:rPr>
          <w:rFonts w:ascii="Traditional Arabic" w:hAnsi="Traditional Arabic" w:cs="Traditional Arabic"/>
          <w:color w:val="000000" w:themeColor="text1"/>
          <w:sz w:val="24"/>
          <w:szCs w:val="24"/>
          <w:rtl/>
        </w:rPr>
        <w:t>).</w:t>
      </w:r>
    </w:p>
    <w:p w14:paraId="276169F3"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rtl/>
        </w:rPr>
      </w:pPr>
    </w:p>
    <w:p w14:paraId="5F2A43F3"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rtl/>
        </w:rPr>
      </w:pPr>
    </w:p>
    <w:p w14:paraId="737DB5B7"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rtl/>
        </w:rPr>
      </w:pPr>
    </w:p>
    <w:p w14:paraId="38B111A9" w14:textId="77777777" w:rsidR="004F600B" w:rsidRDefault="004F600B">
      <w:pPr>
        <w:bidi/>
        <w:spacing w:before="100" w:beforeAutospacing="1" w:after="100" w:afterAutospacing="1" w:line="360" w:lineRule="auto"/>
        <w:rPr>
          <w:rFonts w:ascii="Traditional Arabic" w:hAnsi="Traditional Arabic" w:cs="Traditional Arabic"/>
          <w:color w:val="000000" w:themeColor="text1"/>
          <w:sz w:val="24"/>
          <w:szCs w:val="24"/>
          <w:rtl/>
        </w:rPr>
      </w:pPr>
    </w:p>
    <w:p w14:paraId="7BFF54AF" w14:textId="77777777" w:rsidR="004F600B" w:rsidRDefault="00000000">
      <w:pPr>
        <w:bidi/>
        <w:spacing w:before="100" w:beforeAutospacing="1" w:after="100" w:afterAutospacing="1" w:line="360" w:lineRule="auto"/>
        <w:jc w:val="center"/>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شكل (1) : نموذج الدراسة</w:t>
      </w:r>
    </w:p>
    <w:p w14:paraId="0D60CB0B" w14:textId="77777777" w:rsidR="004F600B" w:rsidRDefault="004F600B">
      <w:pPr>
        <w:spacing w:after="200" w:line="276" w:lineRule="auto"/>
        <w:rPr>
          <w:rFonts w:ascii="Sakkal Majalla" w:hAnsi="Sakkal Majalla" w:cs="Sakkal Majalla"/>
          <w:b/>
          <w:bCs/>
          <w:color w:val="00B0F0"/>
          <w:sz w:val="28"/>
          <w:szCs w:val="28"/>
          <w:u w:val="single"/>
        </w:rPr>
      </w:pPr>
    </w:p>
    <w:p w14:paraId="555A1613" w14:textId="77777777" w:rsidR="004F600B" w:rsidRDefault="004F600B">
      <w:pPr>
        <w:spacing w:after="200" w:line="276" w:lineRule="auto"/>
        <w:rPr>
          <w:rFonts w:ascii="Sakkal Majalla" w:hAnsi="Sakkal Majalla" w:cs="Sakkal Majalla"/>
          <w:b/>
          <w:bCs/>
          <w:color w:val="00B0F0"/>
          <w:sz w:val="28"/>
          <w:szCs w:val="28"/>
          <w:u w:val="single"/>
        </w:rPr>
      </w:pPr>
    </w:p>
    <w:p w14:paraId="7C0DAFC4" w14:textId="77777777" w:rsidR="004F600B" w:rsidRDefault="004F600B">
      <w:pPr>
        <w:spacing w:after="200" w:line="276" w:lineRule="auto"/>
        <w:rPr>
          <w:rFonts w:ascii="Sakkal Majalla" w:hAnsi="Sakkal Majalla" w:cs="Sakkal Majalla"/>
          <w:b/>
          <w:bCs/>
          <w:color w:val="00B0F0"/>
          <w:sz w:val="28"/>
          <w:szCs w:val="28"/>
          <w:u w:val="single"/>
        </w:rPr>
      </w:pPr>
    </w:p>
    <w:sectPr w:rsidR="004F600B">
      <w:headerReference w:type="even" r:id="rId16"/>
      <w:headerReference w:type="default" r:id="rId17"/>
      <w:footerReference w:type="default" r:id="rId18"/>
      <w:headerReference w:type="first" r:id="rId19"/>
      <w:footerReference w:type="first" r:id="rId2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Dr." w:date="2025-11-14T11:36:00Z" w:initials="DR">
    <w:p w14:paraId="43F1A088" w14:textId="77777777" w:rsidR="00733F37" w:rsidRDefault="00084481" w:rsidP="00733F37">
      <w:r>
        <w:rPr>
          <w:rStyle w:val="CommentReference"/>
        </w:rPr>
        <w:annotationRef/>
      </w:r>
      <w:r w:rsidR="00733F37">
        <w:rPr>
          <w:sz w:val="20"/>
          <w:szCs w:val="20"/>
          <w:rtl/>
        </w:rPr>
        <w:t>يجب الحديث عن برنامج التحول الصحي في المملكة العربية السعودية في فقرة كاملة لا تقبل عن ٣ جمل كحد أدنى. يفضل الحديث عن البرنامج وأهداف ومستهدفاته والبرامج المختلفة التي تعمل على تحقيق مستهدفاته</w:t>
      </w:r>
      <w:r w:rsidR="00733F37">
        <w:rPr>
          <w:sz w:val="20"/>
          <w:szCs w:val="20"/>
        </w:rPr>
        <w:t xml:space="preserve">. </w:t>
      </w:r>
    </w:p>
  </w:comment>
  <w:comment w:id="0" w:author="Dr." w:date="2025-11-14T10:26:00Z" w:initials="DR">
    <w:p w14:paraId="234A9FCE" w14:textId="77777777" w:rsidR="00FF67F2" w:rsidRDefault="00FF67F2" w:rsidP="00FF67F2">
      <w:r>
        <w:rPr>
          <w:rStyle w:val="CommentReference"/>
        </w:rPr>
        <w:annotationRef/>
      </w:r>
      <w:r>
        <w:rPr>
          <w:sz w:val="20"/>
          <w:szCs w:val="20"/>
          <w:rtl/>
        </w:rPr>
        <w:t>الجملة طويلة جداً (٣ أسطر). مثل هذه الجمل تجعل الباحث يمل القراءة وقد يفقد المتعة والشغف في إكمال القراءة</w:t>
      </w:r>
      <w:r>
        <w:rPr>
          <w:sz w:val="20"/>
          <w:szCs w:val="20"/>
        </w:rPr>
        <w:t xml:space="preserve">. </w:t>
      </w:r>
    </w:p>
    <w:p w14:paraId="1BEDE7B0" w14:textId="77777777" w:rsidR="00FF67F2" w:rsidRDefault="00FF67F2" w:rsidP="00FF67F2"/>
  </w:comment>
  <w:comment w:id="2" w:author="Dr." w:date="2025-11-14T10:23:00Z" w:initials="DR">
    <w:p w14:paraId="0EBD938A" w14:textId="77777777" w:rsidR="00FF67F2" w:rsidRDefault="00FF67F2" w:rsidP="00FF67F2">
      <w:r>
        <w:rPr>
          <w:rStyle w:val="CommentReference"/>
        </w:rPr>
        <w:annotationRef/>
      </w:r>
      <w:r>
        <w:rPr>
          <w:sz w:val="20"/>
          <w:szCs w:val="20"/>
          <w:rtl/>
        </w:rPr>
        <w:t>يجب</w:t>
      </w:r>
      <w:r>
        <w:rPr>
          <w:sz w:val="20"/>
          <w:szCs w:val="20"/>
        </w:rPr>
        <w:t xml:space="preserve"> </w:t>
      </w:r>
      <w:r>
        <w:rPr>
          <w:sz w:val="20"/>
          <w:szCs w:val="20"/>
          <w:rtl/>
        </w:rPr>
        <w:t>أن</w:t>
      </w:r>
      <w:r>
        <w:rPr>
          <w:sz w:val="20"/>
          <w:szCs w:val="20"/>
        </w:rPr>
        <w:t xml:space="preserve"> </w:t>
      </w:r>
      <w:r>
        <w:rPr>
          <w:sz w:val="20"/>
          <w:szCs w:val="20"/>
          <w:rtl/>
        </w:rPr>
        <w:t>لا</w:t>
      </w:r>
      <w:r>
        <w:rPr>
          <w:sz w:val="20"/>
          <w:szCs w:val="20"/>
        </w:rPr>
        <w:t xml:space="preserve"> </w:t>
      </w:r>
      <w:r>
        <w:rPr>
          <w:sz w:val="20"/>
          <w:szCs w:val="20"/>
          <w:rtl/>
        </w:rPr>
        <w:t>تحتوي</w:t>
      </w:r>
      <w:r>
        <w:rPr>
          <w:sz w:val="20"/>
          <w:szCs w:val="20"/>
        </w:rPr>
        <w:t xml:space="preserve"> </w:t>
      </w:r>
      <w:r>
        <w:rPr>
          <w:sz w:val="20"/>
          <w:szCs w:val="20"/>
          <w:rtl/>
        </w:rPr>
        <w:t>الفقرة</w:t>
      </w:r>
      <w:r>
        <w:rPr>
          <w:sz w:val="20"/>
          <w:szCs w:val="20"/>
        </w:rPr>
        <w:t xml:space="preserve"> </w:t>
      </w:r>
      <w:r>
        <w:rPr>
          <w:sz w:val="20"/>
          <w:szCs w:val="20"/>
          <w:rtl/>
        </w:rPr>
        <w:t>عن</w:t>
      </w:r>
      <w:r>
        <w:rPr>
          <w:sz w:val="20"/>
          <w:szCs w:val="20"/>
        </w:rPr>
        <w:t xml:space="preserve"> (</w:t>
      </w:r>
      <w:r>
        <w:rPr>
          <w:sz w:val="20"/>
          <w:szCs w:val="20"/>
          <w:rtl/>
        </w:rPr>
        <w:t>٣</w:t>
      </w:r>
      <w:r>
        <w:rPr>
          <w:sz w:val="20"/>
          <w:szCs w:val="20"/>
        </w:rPr>
        <w:t xml:space="preserve">) </w:t>
      </w:r>
      <w:r>
        <w:rPr>
          <w:sz w:val="20"/>
          <w:szCs w:val="20"/>
          <w:rtl/>
        </w:rPr>
        <w:t>جمل</w:t>
      </w:r>
      <w:r>
        <w:rPr>
          <w:sz w:val="20"/>
          <w:szCs w:val="20"/>
        </w:rPr>
        <w:t xml:space="preserve"> </w:t>
      </w:r>
      <w:r>
        <w:rPr>
          <w:sz w:val="20"/>
          <w:szCs w:val="20"/>
          <w:rtl/>
        </w:rPr>
        <w:t>كحد</w:t>
      </w:r>
      <w:r>
        <w:rPr>
          <w:sz w:val="20"/>
          <w:szCs w:val="20"/>
        </w:rPr>
        <w:t xml:space="preserve"> </w:t>
      </w:r>
      <w:r>
        <w:rPr>
          <w:sz w:val="20"/>
          <w:szCs w:val="20"/>
          <w:rtl/>
        </w:rPr>
        <w:t>أدنى</w:t>
      </w:r>
      <w:r>
        <w:rPr>
          <w:sz w:val="20"/>
          <w:szCs w:val="20"/>
        </w:rPr>
        <w:t xml:space="preserve">. </w:t>
      </w:r>
      <w:r>
        <w:rPr>
          <w:sz w:val="20"/>
          <w:szCs w:val="20"/>
          <w:rtl/>
        </w:rPr>
        <w:t>وقد</w:t>
      </w:r>
      <w:r>
        <w:rPr>
          <w:sz w:val="20"/>
          <w:szCs w:val="20"/>
        </w:rPr>
        <w:t xml:space="preserve"> </w:t>
      </w:r>
      <w:r>
        <w:rPr>
          <w:sz w:val="20"/>
          <w:szCs w:val="20"/>
          <w:rtl/>
        </w:rPr>
        <w:t>تحدثنا</w:t>
      </w:r>
      <w:r>
        <w:rPr>
          <w:sz w:val="20"/>
          <w:szCs w:val="20"/>
        </w:rPr>
        <w:t xml:space="preserve"> </w:t>
      </w:r>
      <w:r>
        <w:rPr>
          <w:sz w:val="20"/>
          <w:szCs w:val="20"/>
          <w:rtl/>
        </w:rPr>
        <w:t>عن</w:t>
      </w:r>
      <w:r>
        <w:rPr>
          <w:sz w:val="20"/>
          <w:szCs w:val="20"/>
        </w:rPr>
        <w:t xml:space="preserve"> </w:t>
      </w:r>
      <w:r>
        <w:rPr>
          <w:sz w:val="20"/>
          <w:szCs w:val="20"/>
          <w:rtl/>
        </w:rPr>
        <w:t>هذه</w:t>
      </w:r>
      <w:r>
        <w:rPr>
          <w:sz w:val="20"/>
          <w:szCs w:val="20"/>
        </w:rPr>
        <w:t xml:space="preserve"> </w:t>
      </w:r>
      <w:r>
        <w:rPr>
          <w:sz w:val="20"/>
          <w:szCs w:val="20"/>
          <w:rtl/>
        </w:rPr>
        <w:t>الملاحظة</w:t>
      </w:r>
      <w:r>
        <w:rPr>
          <w:sz w:val="20"/>
          <w:szCs w:val="20"/>
        </w:rPr>
        <w:t xml:space="preserve"> </w:t>
      </w:r>
      <w:r>
        <w:rPr>
          <w:sz w:val="20"/>
          <w:szCs w:val="20"/>
          <w:rtl/>
        </w:rPr>
        <w:t>خلال</w:t>
      </w:r>
      <w:r>
        <w:rPr>
          <w:sz w:val="20"/>
          <w:szCs w:val="20"/>
        </w:rPr>
        <w:t xml:space="preserve"> </w:t>
      </w:r>
      <w:r>
        <w:rPr>
          <w:sz w:val="20"/>
          <w:szCs w:val="20"/>
          <w:rtl/>
        </w:rPr>
        <w:t>مراجعة</w:t>
      </w:r>
      <w:r>
        <w:rPr>
          <w:sz w:val="20"/>
          <w:szCs w:val="20"/>
        </w:rPr>
        <w:t xml:space="preserve"> </w:t>
      </w:r>
      <w:r>
        <w:rPr>
          <w:sz w:val="20"/>
          <w:szCs w:val="20"/>
          <w:rtl/>
        </w:rPr>
        <w:t>المقترح</w:t>
      </w:r>
      <w:r>
        <w:rPr>
          <w:sz w:val="20"/>
          <w:szCs w:val="20"/>
        </w:rPr>
        <w:t xml:space="preserve"> </w:t>
      </w:r>
      <w:r>
        <w:rPr>
          <w:sz w:val="20"/>
          <w:szCs w:val="20"/>
          <w:rtl/>
        </w:rPr>
        <w:t>البحثي</w:t>
      </w:r>
      <w:r>
        <w:rPr>
          <w:sz w:val="20"/>
          <w:szCs w:val="20"/>
        </w:rPr>
        <w:t xml:space="preserve"> </w:t>
      </w:r>
      <w:r>
        <w:rPr>
          <w:sz w:val="20"/>
          <w:szCs w:val="20"/>
          <w:rtl/>
        </w:rPr>
        <w:t>وكذلك</w:t>
      </w:r>
      <w:r>
        <w:rPr>
          <w:sz w:val="20"/>
          <w:szCs w:val="20"/>
        </w:rPr>
        <w:t xml:space="preserve"> </w:t>
      </w:r>
      <w:r>
        <w:rPr>
          <w:sz w:val="20"/>
          <w:szCs w:val="20"/>
          <w:rtl/>
        </w:rPr>
        <w:t>خلال</w:t>
      </w:r>
      <w:r>
        <w:rPr>
          <w:sz w:val="20"/>
          <w:szCs w:val="20"/>
        </w:rPr>
        <w:t xml:space="preserve"> </w:t>
      </w:r>
      <w:r>
        <w:rPr>
          <w:sz w:val="20"/>
          <w:szCs w:val="20"/>
          <w:rtl/>
        </w:rPr>
        <w:t>المناقشة</w:t>
      </w:r>
      <w:r>
        <w:rPr>
          <w:sz w:val="20"/>
          <w:szCs w:val="20"/>
        </w:rPr>
        <w:t xml:space="preserve"> </w:t>
      </w:r>
      <w:r>
        <w:rPr>
          <w:sz w:val="20"/>
          <w:szCs w:val="20"/>
          <w:rtl/>
        </w:rPr>
        <w:t>النهائية</w:t>
      </w:r>
      <w:r>
        <w:rPr>
          <w:sz w:val="20"/>
          <w:szCs w:val="20"/>
        </w:rPr>
        <w:t xml:space="preserve">. </w:t>
      </w:r>
      <w:r>
        <w:rPr>
          <w:sz w:val="20"/>
          <w:szCs w:val="20"/>
          <w:rtl/>
        </w:rPr>
        <w:t>يرجى</w:t>
      </w:r>
      <w:r>
        <w:rPr>
          <w:sz w:val="20"/>
          <w:szCs w:val="20"/>
        </w:rPr>
        <w:t xml:space="preserve"> </w:t>
      </w:r>
      <w:r>
        <w:rPr>
          <w:sz w:val="20"/>
          <w:szCs w:val="20"/>
          <w:rtl/>
        </w:rPr>
        <w:t>التعديل</w:t>
      </w:r>
      <w:r>
        <w:rPr>
          <w:sz w:val="20"/>
          <w:szCs w:val="20"/>
        </w:rPr>
        <w:t xml:space="preserve"> </w:t>
      </w:r>
      <w:r>
        <w:rPr>
          <w:sz w:val="20"/>
          <w:szCs w:val="20"/>
          <w:rtl/>
        </w:rPr>
        <w:t>على</w:t>
      </w:r>
      <w:r>
        <w:rPr>
          <w:sz w:val="20"/>
          <w:szCs w:val="20"/>
        </w:rPr>
        <w:t xml:space="preserve"> </w:t>
      </w:r>
      <w:r>
        <w:rPr>
          <w:sz w:val="20"/>
          <w:szCs w:val="20"/>
          <w:rtl/>
        </w:rPr>
        <w:t>هذه</w:t>
      </w:r>
      <w:r>
        <w:rPr>
          <w:sz w:val="20"/>
          <w:szCs w:val="20"/>
        </w:rPr>
        <w:t xml:space="preserve"> </w:t>
      </w:r>
      <w:r>
        <w:rPr>
          <w:sz w:val="20"/>
          <w:szCs w:val="20"/>
          <w:rtl/>
        </w:rPr>
        <w:t>الفقرة</w:t>
      </w:r>
      <w:r>
        <w:rPr>
          <w:sz w:val="20"/>
          <w:szCs w:val="20"/>
        </w:rPr>
        <w:t xml:space="preserve"> </w:t>
      </w:r>
      <w:r>
        <w:rPr>
          <w:sz w:val="20"/>
          <w:szCs w:val="20"/>
          <w:rtl/>
        </w:rPr>
        <w:t>وتعديل</w:t>
      </w:r>
      <w:r>
        <w:rPr>
          <w:sz w:val="20"/>
          <w:szCs w:val="20"/>
        </w:rPr>
        <w:t xml:space="preserve"> </w:t>
      </w:r>
      <w:r>
        <w:rPr>
          <w:sz w:val="20"/>
          <w:szCs w:val="20"/>
          <w:rtl/>
        </w:rPr>
        <w:t>شبيهاتها</w:t>
      </w:r>
      <w:r>
        <w:rPr>
          <w:sz w:val="20"/>
          <w:szCs w:val="20"/>
        </w:rPr>
        <w:t xml:space="preserve"> </w:t>
      </w:r>
      <w:r>
        <w:rPr>
          <w:sz w:val="20"/>
          <w:szCs w:val="20"/>
          <w:rtl/>
        </w:rPr>
        <w:t>في</w:t>
      </w:r>
      <w:r>
        <w:rPr>
          <w:sz w:val="20"/>
          <w:szCs w:val="20"/>
        </w:rPr>
        <w:t xml:space="preserve"> </w:t>
      </w:r>
      <w:r>
        <w:rPr>
          <w:sz w:val="20"/>
          <w:szCs w:val="20"/>
          <w:rtl/>
        </w:rPr>
        <w:t>كامل</w:t>
      </w:r>
      <w:r>
        <w:rPr>
          <w:sz w:val="20"/>
          <w:szCs w:val="20"/>
        </w:rPr>
        <w:t xml:space="preserve"> </w:t>
      </w:r>
      <w:r>
        <w:rPr>
          <w:sz w:val="20"/>
          <w:szCs w:val="20"/>
          <w:rtl/>
        </w:rPr>
        <w:t>الفصل</w:t>
      </w:r>
      <w:r>
        <w:rPr>
          <w:sz w:val="20"/>
          <w:szCs w:val="20"/>
        </w:rPr>
        <w:t xml:space="preserve"> </w:t>
      </w:r>
      <w:r>
        <w:rPr>
          <w:sz w:val="20"/>
          <w:szCs w:val="20"/>
          <w:rtl/>
        </w:rPr>
        <w:t>الأول</w:t>
      </w:r>
      <w:r>
        <w:rPr>
          <w:sz w:val="20"/>
          <w:szCs w:val="20"/>
        </w:rPr>
        <w:t xml:space="preserve"> </w:t>
      </w:r>
      <w:r>
        <w:rPr>
          <w:sz w:val="20"/>
          <w:szCs w:val="20"/>
          <w:rtl/>
        </w:rPr>
        <w:t>وتجنب</w:t>
      </w:r>
      <w:r>
        <w:rPr>
          <w:sz w:val="20"/>
          <w:szCs w:val="20"/>
        </w:rPr>
        <w:t xml:space="preserve"> </w:t>
      </w:r>
      <w:r>
        <w:rPr>
          <w:sz w:val="20"/>
          <w:szCs w:val="20"/>
          <w:rtl/>
        </w:rPr>
        <w:t>تكرار</w:t>
      </w:r>
      <w:r>
        <w:rPr>
          <w:sz w:val="20"/>
          <w:szCs w:val="20"/>
        </w:rPr>
        <w:t xml:space="preserve"> </w:t>
      </w:r>
      <w:r>
        <w:rPr>
          <w:sz w:val="20"/>
          <w:szCs w:val="20"/>
          <w:rtl/>
        </w:rPr>
        <w:t>هذه</w:t>
      </w:r>
      <w:r>
        <w:rPr>
          <w:sz w:val="20"/>
          <w:szCs w:val="20"/>
        </w:rPr>
        <w:t xml:space="preserve"> </w:t>
      </w:r>
      <w:r>
        <w:rPr>
          <w:sz w:val="20"/>
          <w:szCs w:val="20"/>
          <w:rtl/>
        </w:rPr>
        <w:t>الملاحظة</w:t>
      </w:r>
      <w:r>
        <w:rPr>
          <w:sz w:val="20"/>
          <w:szCs w:val="20"/>
        </w:rPr>
        <w:t xml:space="preserve"> </w:t>
      </w:r>
      <w:r>
        <w:rPr>
          <w:sz w:val="20"/>
          <w:szCs w:val="20"/>
          <w:rtl/>
        </w:rPr>
        <w:t>في</w:t>
      </w:r>
      <w:r>
        <w:rPr>
          <w:sz w:val="20"/>
          <w:szCs w:val="20"/>
        </w:rPr>
        <w:t xml:space="preserve"> </w:t>
      </w:r>
      <w:r>
        <w:rPr>
          <w:sz w:val="20"/>
          <w:szCs w:val="20"/>
          <w:rtl/>
        </w:rPr>
        <w:t>الفصول</w:t>
      </w:r>
      <w:r>
        <w:rPr>
          <w:sz w:val="20"/>
          <w:szCs w:val="20"/>
        </w:rPr>
        <w:t xml:space="preserve"> </w:t>
      </w:r>
      <w:r>
        <w:rPr>
          <w:sz w:val="20"/>
          <w:szCs w:val="20"/>
          <w:rtl/>
        </w:rPr>
        <w:t>القادمة</w:t>
      </w:r>
      <w:r>
        <w:rPr>
          <w:sz w:val="20"/>
          <w:szCs w:val="20"/>
        </w:rPr>
        <w:t xml:space="preserve"> </w:t>
      </w:r>
      <w:r>
        <w:rPr>
          <w:sz w:val="20"/>
          <w:szCs w:val="20"/>
          <w:rtl/>
        </w:rPr>
        <w:t>وكامل</w:t>
      </w:r>
      <w:r>
        <w:rPr>
          <w:sz w:val="20"/>
          <w:szCs w:val="20"/>
        </w:rPr>
        <w:t xml:space="preserve"> </w:t>
      </w:r>
      <w:r>
        <w:rPr>
          <w:sz w:val="20"/>
          <w:szCs w:val="20"/>
          <w:rtl/>
        </w:rPr>
        <w:t>البحث</w:t>
      </w:r>
      <w:r>
        <w:rPr>
          <w:sz w:val="20"/>
          <w:szCs w:val="20"/>
        </w:rPr>
        <w:t xml:space="preserve">. </w:t>
      </w:r>
    </w:p>
  </w:comment>
  <w:comment w:id="3" w:author="Dr." w:date="2025-11-17T22:15:00Z" w:initials="DR">
    <w:p w14:paraId="3C95463A" w14:textId="77777777" w:rsidR="000D0E25" w:rsidRDefault="000D0E25" w:rsidP="000D0E25">
      <w:r>
        <w:rPr>
          <w:rStyle w:val="CommentReference"/>
        </w:rPr>
        <w:annotationRef/>
      </w:r>
      <w:r>
        <w:rPr>
          <w:sz w:val="20"/>
          <w:szCs w:val="20"/>
          <w:rtl/>
        </w:rPr>
        <w:t>يجب الحديث عن التجمعات الصحية، تاريخ نشأتها، أهدافها، ارتباطها، دورها في تقديم الرعاية الصحية وفي تحقيق الكفاءة التشغيلية</w:t>
      </w:r>
      <w:r>
        <w:rPr>
          <w:sz w:val="20"/>
          <w:szCs w:val="20"/>
        </w:rPr>
        <w:t xml:space="preserve">. </w:t>
      </w:r>
    </w:p>
  </w:comment>
  <w:comment w:id="4" w:author="Dr." w:date="2025-11-17T22:18:00Z" w:initials="DR">
    <w:p w14:paraId="5C907791" w14:textId="77777777" w:rsidR="00EA62BD" w:rsidRDefault="000D0E25" w:rsidP="00EA62BD">
      <w:r>
        <w:rPr>
          <w:rStyle w:val="CommentReference"/>
        </w:rPr>
        <w:annotationRef/>
      </w:r>
      <w:r w:rsidR="00EA62BD">
        <w:rPr>
          <w:sz w:val="20"/>
          <w:szCs w:val="20"/>
          <w:rtl/>
        </w:rPr>
        <w:t>في</w:t>
      </w:r>
      <w:r w:rsidR="00EA62BD">
        <w:rPr>
          <w:sz w:val="20"/>
          <w:szCs w:val="20"/>
        </w:rPr>
        <w:t xml:space="preserve"> </w:t>
      </w:r>
      <w:r w:rsidR="00EA62BD">
        <w:rPr>
          <w:sz w:val="20"/>
          <w:szCs w:val="20"/>
          <w:rtl/>
        </w:rPr>
        <w:t>بداية</w:t>
      </w:r>
      <w:r w:rsidR="00EA62BD">
        <w:rPr>
          <w:sz w:val="20"/>
          <w:szCs w:val="20"/>
        </w:rPr>
        <w:t xml:space="preserve"> </w:t>
      </w:r>
      <w:r w:rsidR="00EA62BD">
        <w:rPr>
          <w:sz w:val="20"/>
          <w:szCs w:val="20"/>
          <w:rtl/>
        </w:rPr>
        <w:t>الفقرة</w:t>
      </w:r>
      <w:r w:rsidR="00EA62BD">
        <w:rPr>
          <w:sz w:val="20"/>
          <w:szCs w:val="20"/>
        </w:rPr>
        <w:t xml:space="preserve"> </w:t>
      </w:r>
      <w:r w:rsidR="00EA62BD">
        <w:rPr>
          <w:sz w:val="20"/>
          <w:szCs w:val="20"/>
          <w:rtl/>
        </w:rPr>
        <w:t>كان</w:t>
      </w:r>
      <w:r w:rsidR="00EA62BD">
        <w:rPr>
          <w:sz w:val="20"/>
          <w:szCs w:val="20"/>
        </w:rPr>
        <w:t xml:space="preserve"> </w:t>
      </w:r>
      <w:r w:rsidR="00EA62BD">
        <w:rPr>
          <w:sz w:val="20"/>
          <w:szCs w:val="20"/>
          <w:rtl/>
        </w:rPr>
        <w:t>الحديث</w:t>
      </w:r>
      <w:r w:rsidR="00EA62BD">
        <w:rPr>
          <w:sz w:val="20"/>
          <w:szCs w:val="20"/>
        </w:rPr>
        <w:t xml:space="preserve"> </w:t>
      </w:r>
      <w:r w:rsidR="00EA62BD">
        <w:rPr>
          <w:sz w:val="20"/>
          <w:szCs w:val="20"/>
          <w:rtl/>
        </w:rPr>
        <w:t>عن</w:t>
      </w:r>
      <w:r w:rsidR="00EA62BD">
        <w:rPr>
          <w:sz w:val="20"/>
          <w:szCs w:val="20"/>
        </w:rPr>
        <w:t xml:space="preserve"> </w:t>
      </w:r>
      <w:r w:rsidR="00EA62BD">
        <w:rPr>
          <w:sz w:val="20"/>
          <w:szCs w:val="20"/>
          <w:rtl/>
        </w:rPr>
        <w:t>التجمعات</w:t>
      </w:r>
      <w:r w:rsidR="00EA62BD">
        <w:rPr>
          <w:sz w:val="20"/>
          <w:szCs w:val="20"/>
        </w:rPr>
        <w:t xml:space="preserve"> </w:t>
      </w:r>
      <w:r w:rsidR="00EA62BD">
        <w:rPr>
          <w:sz w:val="20"/>
          <w:szCs w:val="20"/>
          <w:rtl/>
        </w:rPr>
        <w:t>الصحية</w:t>
      </w:r>
      <w:r w:rsidR="00EA62BD">
        <w:rPr>
          <w:sz w:val="20"/>
          <w:szCs w:val="20"/>
        </w:rPr>
        <w:t xml:space="preserve"> </w:t>
      </w:r>
      <w:r w:rsidR="00EA62BD">
        <w:rPr>
          <w:sz w:val="20"/>
          <w:szCs w:val="20"/>
          <w:rtl/>
        </w:rPr>
        <w:t>ثم</w:t>
      </w:r>
      <w:r w:rsidR="00EA62BD">
        <w:rPr>
          <w:sz w:val="20"/>
          <w:szCs w:val="20"/>
        </w:rPr>
        <w:t xml:space="preserve"> </w:t>
      </w:r>
      <w:r w:rsidR="00EA62BD">
        <w:rPr>
          <w:sz w:val="20"/>
          <w:szCs w:val="20"/>
          <w:rtl/>
        </w:rPr>
        <w:t>انتقل</w:t>
      </w:r>
      <w:r w:rsidR="00EA62BD">
        <w:rPr>
          <w:sz w:val="20"/>
          <w:szCs w:val="20"/>
        </w:rPr>
        <w:t xml:space="preserve"> </w:t>
      </w:r>
      <w:r w:rsidR="00EA62BD">
        <w:rPr>
          <w:sz w:val="20"/>
          <w:szCs w:val="20"/>
          <w:rtl/>
        </w:rPr>
        <w:t>الباحث</w:t>
      </w:r>
      <w:r w:rsidR="00EA62BD">
        <w:rPr>
          <w:sz w:val="20"/>
          <w:szCs w:val="20"/>
        </w:rPr>
        <w:t xml:space="preserve"> </w:t>
      </w:r>
      <w:r w:rsidR="00EA62BD">
        <w:rPr>
          <w:sz w:val="20"/>
          <w:szCs w:val="20"/>
          <w:rtl/>
        </w:rPr>
        <w:t>مباشرة</w:t>
      </w:r>
      <w:r w:rsidR="00EA62BD">
        <w:rPr>
          <w:sz w:val="20"/>
          <w:szCs w:val="20"/>
        </w:rPr>
        <w:t xml:space="preserve"> </w:t>
      </w:r>
      <w:r w:rsidR="00EA62BD">
        <w:rPr>
          <w:sz w:val="20"/>
          <w:szCs w:val="20"/>
          <w:rtl/>
        </w:rPr>
        <w:t>للحديث</w:t>
      </w:r>
      <w:r w:rsidR="00EA62BD">
        <w:rPr>
          <w:sz w:val="20"/>
          <w:szCs w:val="20"/>
        </w:rPr>
        <w:t xml:space="preserve"> </w:t>
      </w:r>
      <w:r w:rsidR="00EA62BD">
        <w:rPr>
          <w:sz w:val="20"/>
          <w:szCs w:val="20"/>
          <w:rtl/>
        </w:rPr>
        <w:t>عن</w:t>
      </w:r>
      <w:r w:rsidR="00EA62BD">
        <w:rPr>
          <w:sz w:val="20"/>
          <w:szCs w:val="20"/>
        </w:rPr>
        <w:t xml:space="preserve"> </w:t>
      </w:r>
      <w:r w:rsidR="00EA62BD">
        <w:rPr>
          <w:sz w:val="20"/>
          <w:szCs w:val="20"/>
          <w:rtl/>
        </w:rPr>
        <w:t>وزارة</w:t>
      </w:r>
      <w:r w:rsidR="00EA62BD">
        <w:rPr>
          <w:sz w:val="20"/>
          <w:szCs w:val="20"/>
        </w:rPr>
        <w:t xml:space="preserve"> </w:t>
      </w:r>
      <w:r w:rsidR="00EA62BD">
        <w:rPr>
          <w:sz w:val="20"/>
          <w:szCs w:val="20"/>
          <w:rtl/>
        </w:rPr>
        <w:t>الصحة</w:t>
      </w:r>
      <w:r w:rsidR="00EA62BD">
        <w:rPr>
          <w:sz w:val="20"/>
          <w:szCs w:val="20"/>
        </w:rPr>
        <w:t xml:space="preserve"> </w:t>
      </w:r>
      <w:r w:rsidR="00EA62BD">
        <w:rPr>
          <w:sz w:val="20"/>
          <w:szCs w:val="20"/>
          <w:rtl/>
        </w:rPr>
        <w:t>في</w:t>
      </w:r>
      <w:r w:rsidR="00EA62BD">
        <w:rPr>
          <w:sz w:val="20"/>
          <w:szCs w:val="20"/>
        </w:rPr>
        <w:t xml:space="preserve"> </w:t>
      </w:r>
      <w:r w:rsidR="00EA62BD">
        <w:rPr>
          <w:sz w:val="20"/>
          <w:szCs w:val="20"/>
          <w:rtl/>
        </w:rPr>
        <w:t>نفس</w:t>
      </w:r>
      <w:r w:rsidR="00EA62BD">
        <w:rPr>
          <w:sz w:val="20"/>
          <w:szCs w:val="20"/>
        </w:rPr>
        <w:t xml:space="preserve"> </w:t>
      </w:r>
      <w:r w:rsidR="00EA62BD">
        <w:rPr>
          <w:sz w:val="20"/>
          <w:szCs w:val="20"/>
          <w:rtl/>
        </w:rPr>
        <w:t>الجملة</w:t>
      </w:r>
      <w:r w:rsidR="00EA62BD">
        <w:rPr>
          <w:sz w:val="20"/>
          <w:szCs w:val="20"/>
        </w:rPr>
        <w:t xml:space="preserve">. </w:t>
      </w:r>
      <w:r w:rsidR="00EA62BD">
        <w:rPr>
          <w:sz w:val="20"/>
          <w:szCs w:val="20"/>
          <w:rtl/>
        </w:rPr>
        <w:t>وهذا</w:t>
      </w:r>
      <w:r w:rsidR="00EA62BD">
        <w:rPr>
          <w:sz w:val="20"/>
          <w:szCs w:val="20"/>
        </w:rPr>
        <w:t xml:space="preserve"> </w:t>
      </w:r>
      <w:r w:rsidR="00EA62BD">
        <w:rPr>
          <w:sz w:val="20"/>
          <w:szCs w:val="20"/>
          <w:rtl/>
        </w:rPr>
        <w:t>التنقل</w:t>
      </w:r>
      <w:r w:rsidR="00EA62BD">
        <w:rPr>
          <w:sz w:val="20"/>
          <w:szCs w:val="20"/>
        </w:rPr>
        <w:t xml:space="preserve"> </w:t>
      </w:r>
      <w:r w:rsidR="00EA62BD">
        <w:rPr>
          <w:sz w:val="20"/>
          <w:szCs w:val="20"/>
          <w:rtl/>
        </w:rPr>
        <w:t>المفاجئ</w:t>
      </w:r>
      <w:r w:rsidR="00EA62BD">
        <w:rPr>
          <w:sz w:val="20"/>
          <w:szCs w:val="20"/>
        </w:rPr>
        <w:t xml:space="preserve"> </w:t>
      </w:r>
      <w:r w:rsidR="00EA62BD">
        <w:rPr>
          <w:sz w:val="20"/>
          <w:szCs w:val="20"/>
          <w:rtl/>
        </w:rPr>
        <w:t>يفقد</w:t>
      </w:r>
      <w:r w:rsidR="00EA62BD">
        <w:rPr>
          <w:sz w:val="20"/>
          <w:szCs w:val="20"/>
        </w:rPr>
        <w:t xml:space="preserve"> </w:t>
      </w:r>
      <w:r w:rsidR="00EA62BD">
        <w:rPr>
          <w:sz w:val="20"/>
          <w:szCs w:val="20"/>
          <w:rtl/>
        </w:rPr>
        <w:t>الباحث</w:t>
      </w:r>
      <w:r w:rsidR="00EA62BD">
        <w:rPr>
          <w:sz w:val="20"/>
          <w:szCs w:val="20"/>
        </w:rPr>
        <w:t xml:space="preserve"> </w:t>
      </w:r>
      <w:r w:rsidR="00EA62BD">
        <w:rPr>
          <w:sz w:val="20"/>
          <w:szCs w:val="20"/>
          <w:rtl/>
        </w:rPr>
        <w:t>التسلسل</w:t>
      </w:r>
      <w:r w:rsidR="00EA62BD">
        <w:rPr>
          <w:sz w:val="20"/>
          <w:szCs w:val="20"/>
        </w:rPr>
        <w:t xml:space="preserve"> </w:t>
      </w:r>
      <w:r w:rsidR="00EA62BD">
        <w:rPr>
          <w:sz w:val="20"/>
          <w:szCs w:val="20"/>
          <w:rtl/>
        </w:rPr>
        <w:t>المنطقي</w:t>
      </w:r>
      <w:r w:rsidR="00EA62BD">
        <w:rPr>
          <w:sz w:val="20"/>
          <w:szCs w:val="20"/>
        </w:rPr>
        <w:t xml:space="preserve"> </w:t>
      </w:r>
      <w:r w:rsidR="00EA62BD">
        <w:rPr>
          <w:sz w:val="20"/>
          <w:szCs w:val="20"/>
          <w:rtl/>
        </w:rPr>
        <w:t>والربط</w:t>
      </w:r>
      <w:r w:rsidR="00EA62BD">
        <w:rPr>
          <w:sz w:val="20"/>
          <w:szCs w:val="20"/>
        </w:rPr>
        <w:t xml:space="preserve"> </w:t>
      </w:r>
      <w:r w:rsidR="00EA62BD">
        <w:rPr>
          <w:sz w:val="20"/>
          <w:szCs w:val="20"/>
          <w:rtl/>
        </w:rPr>
        <w:t>بشكل</w:t>
      </w:r>
      <w:r w:rsidR="00EA62BD">
        <w:rPr>
          <w:sz w:val="20"/>
          <w:szCs w:val="20"/>
        </w:rPr>
        <w:t xml:space="preserve"> </w:t>
      </w:r>
      <w:r w:rsidR="00EA62BD">
        <w:rPr>
          <w:sz w:val="20"/>
          <w:szCs w:val="20"/>
          <w:rtl/>
        </w:rPr>
        <w:t>جيد</w:t>
      </w:r>
      <w:r w:rsidR="00EA62BD">
        <w:rPr>
          <w:sz w:val="20"/>
          <w:szCs w:val="20"/>
        </w:rPr>
        <w:t xml:space="preserve">. </w:t>
      </w:r>
    </w:p>
    <w:p w14:paraId="2D47DD01" w14:textId="77777777" w:rsidR="00EA62BD" w:rsidRDefault="00EA62BD" w:rsidP="00EA62BD"/>
    <w:p w14:paraId="38F63559" w14:textId="77777777" w:rsidR="00EA62BD" w:rsidRDefault="00EA62BD" w:rsidP="00EA62BD">
      <w:r>
        <w:rPr>
          <w:sz w:val="20"/>
          <w:szCs w:val="20"/>
          <w:rtl/>
        </w:rPr>
        <w:t>يفضل</w:t>
      </w:r>
      <w:r>
        <w:rPr>
          <w:sz w:val="20"/>
          <w:szCs w:val="20"/>
        </w:rPr>
        <w:t xml:space="preserve"> </w:t>
      </w:r>
      <w:r>
        <w:rPr>
          <w:sz w:val="20"/>
          <w:szCs w:val="20"/>
          <w:rtl/>
        </w:rPr>
        <w:t>أن</w:t>
      </w:r>
      <w:r>
        <w:rPr>
          <w:sz w:val="20"/>
          <w:szCs w:val="20"/>
        </w:rPr>
        <w:t xml:space="preserve"> </w:t>
      </w:r>
      <w:r>
        <w:rPr>
          <w:sz w:val="20"/>
          <w:szCs w:val="20"/>
          <w:rtl/>
        </w:rPr>
        <w:t>يكون</w:t>
      </w:r>
      <w:r>
        <w:rPr>
          <w:sz w:val="20"/>
          <w:szCs w:val="20"/>
        </w:rPr>
        <w:t xml:space="preserve"> </w:t>
      </w:r>
      <w:r>
        <w:rPr>
          <w:sz w:val="20"/>
          <w:szCs w:val="20"/>
          <w:rtl/>
        </w:rPr>
        <w:t>هناك</w:t>
      </w:r>
      <w:r>
        <w:rPr>
          <w:sz w:val="20"/>
          <w:szCs w:val="20"/>
        </w:rPr>
        <w:t xml:space="preserve"> </w:t>
      </w:r>
      <w:r>
        <w:rPr>
          <w:sz w:val="20"/>
          <w:szCs w:val="20"/>
          <w:rtl/>
        </w:rPr>
        <w:t>فقرة</w:t>
      </w:r>
      <w:r>
        <w:rPr>
          <w:sz w:val="20"/>
          <w:szCs w:val="20"/>
        </w:rPr>
        <w:t xml:space="preserve"> </w:t>
      </w:r>
      <w:r>
        <w:rPr>
          <w:sz w:val="20"/>
          <w:szCs w:val="20"/>
          <w:rtl/>
        </w:rPr>
        <w:t>مستقلة</w:t>
      </w:r>
      <w:r>
        <w:rPr>
          <w:sz w:val="20"/>
          <w:szCs w:val="20"/>
        </w:rPr>
        <w:t xml:space="preserve"> </w:t>
      </w:r>
      <w:r>
        <w:rPr>
          <w:sz w:val="20"/>
          <w:szCs w:val="20"/>
          <w:rtl/>
        </w:rPr>
        <w:t>بمؤشرات</w:t>
      </w:r>
      <w:r>
        <w:rPr>
          <w:sz w:val="20"/>
          <w:szCs w:val="20"/>
        </w:rPr>
        <w:t xml:space="preserve"> </w:t>
      </w:r>
      <w:r>
        <w:rPr>
          <w:sz w:val="20"/>
          <w:szCs w:val="20"/>
          <w:rtl/>
        </w:rPr>
        <w:t>الاداء</w:t>
      </w:r>
      <w:r>
        <w:rPr>
          <w:sz w:val="20"/>
          <w:szCs w:val="20"/>
        </w:rPr>
        <w:t xml:space="preserve"> </w:t>
      </w:r>
      <w:r>
        <w:rPr>
          <w:sz w:val="20"/>
          <w:szCs w:val="20"/>
          <w:rtl/>
        </w:rPr>
        <w:t>التي</w:t>
      </w:r>
      <w:r>
        <w:rPr>
          <w:sz w:val="20"/>
          <w:szCs w:val="20"/>
        </w:rPr>
        <w:t xml:space="preserve"> </w:t>
      </w:r>
      <w:r>
        <w:rPr>
          <w:sz w:val="20"/>
          <w:szCs w:val="20"/>
          <w:rtl/>
        </w:rPr>
        <w:t>تتبناها</w:t>
      </w:r>
      <w:r>
        <w:rPr>
          <w:sz w:val="20"/>
          <w:szCs w:val="20"/>
        </w:rPr>
        <w:t xml:space="preserve"> </w:t>
      </w:r>
      <w:r>
        <w:rPr>
          <w:sz w:val="20"/>
          <w:szCs w:val="20"/>
          <w:rtl/>
        </w:rPr>
        <w:t>وزارة</w:t>
      </w:r>
      <w:r>
        <w:rPr>
          <w:sz w:val="20"/>
          <w:szCs w:val="20"/>
        </w:rPr>
        <w:t xml:space="preserve"> </w:t>
      </w:r>
      <w:r>
        <w:rPr>
          <w:sz w:val="20"/>
          <w:szCs w:val="20"/>
          <w:rtl/>
        </w:rPr>
        <w:t>الصحة،</w:t>
      </w:r>
      <w:r>
        <w:rPr>
          <w:sz w:val="20"/>
          <w:szCs w:val="20"/>
        </w:rPr>
        <w:t xml:space="preserve"> </w:t>
      </w:r>
      <w:r>
        <w:rPr>
          <w:sz w:val="20"/>
          <w:szCs w:val="20"/>
          <w:rtl/>
        </w:rPr>
        <w:t>وماهي</w:t>
      </w:r>
      <w:r>
        <w:rPr>
          <w:sz w:val="20"/>
          <w:szCs w:val="20"/>
        </w:rPr>
        <w:t xml:space="preserve"> </w:t>
      </w:r>
      <w:r>
        <w:rPr>
          <w:sz w:val="20"/>
          <w:szCs w:val="20"/>
          <w:rtl/>
        </w:rPr>
        <w:t>علاقة</w:t>
      </w:r>
      <w:r>
        <w:rPr>
          <w:sz w:val="20"/>
          <w:szCs w:val="20"/>
        </w:rPr>
        <w:t xml:space="preserve"> </w:t>
      </w:r>
      <w:r>
        <w:rPr>
          <w:sz w:val="20"/>
          <w:szCs w:val="20"/>
          <w:rtl/>
        </w:rPr>
        <w:t>هذه</w:t>
      </w:r>
      <w:r>
        <w:rPr>
          <w:sz w:val="20"/>
          <w:szCs w:val="20"/>
        </w:rPr>
        <w:t xml:space="preserve"> </w:t>
      </w:r>
      <w:r>
        <w:rPr>
          <w:sz w:val="20"/>
          <w:szCs w:val="20"/>
          <w:rtl/>
        </w:rPr>
        <w:t>المؤشرات</w:t>
      </w:r>
      <w:r>
        <w:rPr>
          <w:sz w:val="20"/>
          <w:szCs w:val="20"/>
        </w:rPr>
        <w:t xml:space="preserve"> </w:t>
      </w:r>
      <w:r>
        <w:rPr>
          <w:sz w:val="20"/>
          <w:szCs w:val="20"/>
          <w:rtl/>
        </w:rPr>
        <w:t>بالتجمعات</w:t>
      </w:r>
      <w:r>
        <w:rPr>
          <w:sz w:val="20"/>
          <w:szCs w:val="20"/>
        </w:rPr>
        <w:t xml:space="preserve"> </w:t>
      </w:r>
      <w:r>
        <w:rPr>
          <w:sz w:val="20"/>
          <w:szCs w:val="20"/>
          <w:rtl/>
        </w:rPr>
        <w:t>الصحية</w:t>
      </w:r>
      <w:r>
        <w:rPr>
          <w:sz w:val="20"/>
          <w:szCs w:val="20"/>
        </w:rPr>
        <w:t xml:space="preserve">. </w:t>
      </w:r>
      <w:r>
        <w:rPr>
          <w:sz w:val="20"/>
          <w:szCs w:val="20"/>
          <w:rtl/>
        </w:rPr>
        <w:t>بحيث</w:t>
      </w:r>
      <w:r>
        <w:rPr>
          <w:sz w:val="20"/>
          <w:szCs w:val="20"/>
        </w:rPr>
        <w:t xml:space="preserve"> </w:t>
      </w:r>
      <w:r>
        <w:rPr>
          <w:sz w:val="20"/>
          <w:szCs w:val="20"/>
          <w:rtl/>
        </w:rPr>
        <w:t>يعاد</w:t>
      </w:r>
      <w:r>
        <w:rPr>
          <w:sz w:val="20"/>
          <w:szCs w:val="20"/>
        </w:rPr>
        <w:t xml:space="preserve"> </w:t>
      </w:r>
      <w:r>
        <w:rPr>
          <w:sz w:val="20"/>
          <w:szCs w:val="20"/>
          <w:rtl/>
        </w:rPr>
        <w:t>صياغة</w:t>
      </w:r>
      <w:r>
        <w:rPr>
          <w:sz w:val="20"/>
          <w:szCs w:val="20"/>
        </w:rPr>
        <w:t xml:space="preserve"> </w:t>
      </w:r>
      <w:r>
        <w:rPr>
          <w:sz w:val="20"/>
          <w:szCs w:val="20"/>
          <w:rtl/>
        </w:rPr>
        <w:t>الفقرات</w:t>
      </w:r>
      <w:r>
        <w:rPr>
          <w:sz w:val="20"/>
          <w:szCs w:val="20"/>
        </w:rPr>
        <w:t xml:space="preserve"> </w:t>
      </w:r>
      <w:r>
        <w:rPr>
          <w:sz w:val="20"/>
          <w:szCs w:val="20"/>
          <w:rtl/>
        </w:rPr>
        <w:t>لترتبط</w:t>
      </w:r>
      <w:r>
        <w:rPr>
          <w:sz w:val="20"/>
          <w:szCs w:val="20"/>
        </w:rPr>
        <w:t xml:space="preserve"> </w:t>
      </w:r>
      <w:r>
        <w:rPr>
          <w:sz w:val="20"/>
          <w:szCs w:val="20"/>
          <w:rtl/>
        </w:rPr>
        <w:t>مع</w:t>
      </w:r>
      <w:r>
        <w:rPr>
          <w:sz w:val="20"/>
          <w:szCs w:val="20"/>
        </w:rPr>
        <w:t xml:space="preserve"> </w:t>
      </w:r>
      <w:r>
        <w:rPr>
          <w:sz w:val="20"/>
          <w:szCs w:val="20"/>
          <w:rtl/>
        </w:rPr>
        <w:t>بعض</w:t>
      </w:r>
      <w:r>
        <w:rPr>
          <w:sz w:val="20"/>
          <w:szCs w:val="20"/>
        </w:rPr>
        <w:t xml:space="preserve"> </w:t>
      </w:r>
      <w:r>
        <w:rPr>
          <w:sz w:val="20"/>
          <w:szCs w:val="20"/>
          <w:rtl/>
        </w:rPr>
        <w:t>بشكل</w:t>
      </w:r>
      <w:r>
        <w:rPr>
          <w:sz w:val="20"/>
          <w:szCs w:val="20"/>
        </w:rPr>
        <w:t xml:space="preserve"> </w:t>
      </w:r>
      <w:r>
        <w:rPr>
          <w:sz w:val="20"/>
          <w:szCs w:val="20"/>
          <w:rtl/>
        </w:rPr>
        <w:t>افضل</w:t>
      </w:r>
      <w:r>
        <w:rPr>
          <w:sz w:val="20"/>
          <w:szCs w:val="20"/>
        </w:rPr>
        <w:t xml:space="preserve">. </w:t>
      </w:r>
    </w:p>
    <w:p w14:paraId="586963D5" w14:textId="77777777" w:rsidR="00EA62BD" w:rsidRDefault="00EA62BD" w:rsidP="00EA62BD"/>
    <w:p w14:paraId="3080BE44" w14:textId="77777777" w:rsidR="00EA62BD" w:rsidRDefault="00EA62BD" w:rsidP="00EA62BD">
      <w:r>
        <w:rPr>
          <w:sz w:val="20"/>
          <w:szCs w:val="20"/>
          <w:rtl/>
        </w:rPr>
        <w:t>يفضل كذلك تخصيص فقرة كاملة عن كيفية قياس تجربة المريض، ماهي المنهجيات أو الادوات المستخدمة دولياً في قياسها</w:t>
      </w:r>
      <w:r>
        <w:rPr>
          <w:sz w:val="20"/>
          <w:szCs w:val="20"/>
        </w:rPr>
        <w:t xml:space="preserve">. </w:t>
      </w:r>
    </w:p>
  </w:comment>
  <w:comment w:id="5" w:author="Dr." w:date="2025-11-17T22:27:00Z" w:initials="DR">
    <w:p w14:paraId="6280F538" w14:textId="380A43E2" w:rsidR="007F1B38" w:rsidRDefault="000D0E25" w:rsidP="007F1B38">
      <w:r>
        <w:rPr>
          <w:rStyle w:val="CommentReference"/>
        </w:rPr>
        <w:annotationRef/>
      </w:r>
      <w:r w:rsidR="007F1B38">
        <w:rPr>
          <w:sz w:val="20"/>
          <w:szCs w:val="20"/>
          <w:rtl/>
        </w:rPr>
        <w:t>وجود</w:t>
      </w:r>
      <w:r w:rsidR="007F1B38">
        <w:rPr>
          <w:sz w:val="20"/>
          <w:szCs w:val="20"/>
        </w:rPr>
        <w:t xml:space="preserve"> </w:t>
      </w:r>
      <w:r w:rsidR="007F1B38">
        <w:rPr>
          <w:sz w:val="20"/>
          <w:szCs w:val="20"/>
          <w:rtl/>
        </w:rPr>
        <w:t>فقرة</w:t>
      </w:r>
      <w:r w:rsidR="007F1B38">
        <w:rPr>
          <w:sz w:val="20"/>
          <w:szCs w:val="20"/>
        </w:rPr>
        <w:t xml:space="preserve"> </w:t>
      </w:r>
      <w:r w:rsidR="007F1B38">
        <w:rPr>
          <w:sz w:val="20"/>
          <w:szCs w:val="20"/>
          <w:rtl/>
        </w:rPr>
        <w:t>بهذا</w:t>
      </w:r>
      <w:r w:rsidR="007F1B38">
        <w:rPr>
          <w:sz w:val="20"/>
          <w:szCs w:val="20"/>
        </w:rPr>
        <w:t xml:space="preserve"> </w:t>
      </w:r>
      <w:r w:rsidR="007F1B38">
        <w:rPr>
          <w:sz w:val="20"/>
          <w:szCs w:val="20"/>
          <w:rtl/>
        </w:rPr>
        <w:t>الشكل</w:t>
      </w:r>
      <w:r w:rsidR="007F1B38">
        <w:rPr>
          <w:sz w:val="20"/>
          <w:szCs w:val="20"/>
        </w:rPr>
        <w:t xml:space="preserve"> </w:t>
      </w:r>
      <w:r w:rsidR="007F1B38">
        <w:rPr>
          <w:sz w:val="20"/>
          <w:szCs w:val="20"/>
          <w:rtl/>
        </w:rPr>
        <w:t>تحتوي</w:t>
      </w:r>
      <w:r w:rsidR="007F1B38">
        <w:rPr>
          <w:sz w:val="20"/>
          <w:szCs w:val="20"/>
        </w:rPr>
        <w:t xml:space="preserve"> </w:t>
      </w:r>
      <w:r w:rsidR="007F1B38">
        <w:rPr>
          <w:sz w:val="20"/>
          <w:szCs w:val="20"/>
          <w:rtl/>
        </w:rPr>
        <w:t>على</w:t>
      </w:r>
      <w:r w:rsidR="007F1B38">
        <w:rPr>
          <w:sz w:val="20"/>
          <w:szCs w:val="20"/>
        </w:rPr>
        <w:t xml:space="preserve"> </w:t>
      </w:r>
      <w:r w:rsidR="007F1B38">
        <w:rPr>
          <w:sz w:val="20"/>
          <w:szCs w:val="20"/>
          <w:rtl/>
        </w:rPr>
        <w:t>جملة</w:t>
      </w:r>
      <w:r w:rsidR="007F1B38">
        <w:rPr>
          <w:sz w:val="20"/>
          <w:szCs w:val="20"/>
        </w:rPr>
        <w:t xml:space="preserve"> </w:t>
      </w:r>
      <w:r w:rsidR="007F1B38">
        <w:rPr>
          <w:sz w:val="20"/>
          <w:szCs w:val="20"/>
          <w:rtl/>
        </w:rPr>
        <w:t>واحدة</w:t>
      </w:r>
      <w:r w:rsidR="007F1B38">
        <w:rPr>
          <w:sz w:val="20"/>
          <w:szCs w:val="20"/>
        </w:rPr>
        <w:t xml:space="preserve"> </w:t>
      </w:r>
      <w:r w:rsidR="007F1B38">
        <w:rPr>
          <w:sz w:val="20"/>
          <w:szCs w:val="20"/>
          <w:rtl/>
        </w:rPr>
        <w:t>غير</w:t>
      </w:r>
      <w:r w:rsidR="007F1B38">
        <w:rPr>
          <w:sz w:val="20"/>
          <w:szCs w:val="20"/>
        </w:rPr>
        <w:t xml:space="preserve"> </w:t>
      </w:r>
      <w:r w:rsidR="007F1B38">
        <w:rPr>
          <w:sz w:val="20"/>
          <w:szCs w:val="20"/>
          <w:rtl/>
        </w:rPr>
        <w:t>مقبول</w:t>
      </w:r>
      <w:r w:rsidR="007F1B38">
        <w:rPr>
          <w:sz w:val="20"/>
          <w:szCs w:val="20"/>
        </w:rPr>
        <w:t xml:space="preserve"> </w:t>
      </w:r>
      <w:r w:rsidR="007F1B38">
        <w:rPr>
          <w:sz w:val="20"/>
          <w:szCs w:val="20"/>
          <w:rtl/>
        </w:rPr>
        <w:t>تماماً</w:t>
      </w:r>
      <w:r w:rsidR="007F1B38">
        <w:rPr>
          <w:sz w:val="20"/>
          <w:szCs w:val="20"/>
        </w:rPr>
        <w:t xml:space="preserve">. </w:t>
      </w:r>
      <w:r w:rsidR="007F1B38">
        <w:rPr>
          <w:sz w:val="20"/>
          <w:szCs w:val="20"/>
          <w:rtl/>
        </w:rPr>
        <w:t>يجب</w:t>
      </w:r>
      <w:r w:rsidR="007F1B38">
        <w:rPr>
          <w:sz w:val="20"/>
          <w:szCs w:val="20"/>
        </w:rPr>
        <w:t xml:space="preserve"> </w:t>
      </w:r>
      <w:r w:rsidR="007F1B38">
        <w:rPr>
          <w:sz w:val="20"/>
          <w:szCs w:val="20"/>
          <w:rtl/>
        </w:rPr>
        <w:t>أن</w:t>
      </w:r>
      <w:r w:rsidR="007F1B38">
        <w:rPr>
          <w:sz w:val="20"/>
          <w:szCs w:val="20"/>
        </w:rPr>
        <w:t xml:space="preserve"> </w:t>
      </w:r>
      <w:r w:rsidR="007F1B38">
        <w:rPr>
          <w:sz w:val="20"/>
          <w:szCs w:val="20"/>
          <w:rtl/>
        </w:rPr>
        <w:t>تحتوي</w:t>
      </w:r>
      <w:r w:rsidR="007F1B38">
        <w:rPr>
          <w:sz w:val="20"/>
          <w:szCs w:val="20"/>
        </w:rPr>
        <w:t xml:space="preserve"> </w:t>
      </w:r>
      <w:r w:rsidR="007F1B38">
        <w:rPr>
          <w:sz w:val="20"/>
          <w:szCs w:val="20"/>
          <w:rtl/>
        </w:rPr>
        <w:t>الفقرة</w:t>
      </w:r>
      <w:r w:rsidR="007F1B38">
        <w:rPr>
          <w:sz w:val="20"/>
          <w:szCs w:val="20"/>
        </w:rPr>
        <w:t xml:space="preserve"> </w:t>
      </w:r>
      <w:r w:rsidR="007F1B38">
        <w:rPr>
          <w:sz w:val="20"/>
          <w:szCs w:val="20"/>
          <w:rtl/>
        </w:rPr>
        <w:t>الواحدة</w:t>
      </w:r>
      <w:r w:rsidR="007F1B38">
        <w:rPr>
          <w:sz w:val="20"/>
          <w:szCs w:val="20"/>
        </w:rPr>
        <w:t xml:space="preserve"> </w:t>
      </w:r>
      <w:r w:rsidR="007F1B38">
        <w:rPr>
          <w:sz w:val="20"/>
          <w:szCs w:val="20"/>
          <w:rtl/>
        </w:rPr>
        <w:t>على</w:t>
      </w:r>
      <w:r w:rsidR="007F1B38">
        <w:rPr>
          <w:sz w:val="20"/>
          <w:szCs w:val="20"/>
        </w:rPr>
        <w:t xml:space="preserve"> (</w:t>
      </w:r>
      <w:r w:rsidR="007F1B38">
        <w:rPr>
          <w:sz w:val="20"/>
          <w:szCs w:val="20"/>
          <w:rtl/>
        </w:rPr>
        <w:t>٣</w:t>
      </w:r>
      <w:r w:rsidR="007F1B38">
        <w:rPr>
          <w:sz w:val="20"/>
          <w:szCs w:val="20"/>
        </w:rPr>
        <w:t xml:space="preserve">) </w:t>
      </w:r>
      <w:r w:rsidR="007F1B38">
        <w:rPr>
          <w:sz w:val="20"/>
          <w:szCs w:val="20"/>
          <w:rtl/>
        </w:rPr>
        <w:t>جمل</w:t>
      </w:r>
      <w:r w:rsidR="007F1B38">
        <w:rPr>
          <w:sz w:val="20"/>
          <w:szCs w:val="20"/>
        </w:rPr>
        <w:t xml:space="preserve"> </w:t>
      </w:r>
      <w:r w:rsidR="007F1B38">
        <w:rPr>
          <w:sz w:val="20"/>
          <w:szCs w:val="20"/>
          <w:rtl/>
        </w:rPr>
        <w:t>على</w:t>
      </w:r>
      <w:r w:rsidR="007F1B38">
        <w:rPr>
          <w:sz w:val="20"/>
          <w:szCs w:val="20"/>
        </w:rPr>
        <w:t xml:space="preserve"> </w:t>
      </w:r>
      <w:r w:rsidR="007F1B38">
        <w:rPr>
          <w:sz w:val="20"/>
          <w:szCs w:val="20"/>
          <w:rtl/>
        </w:rPr>
        <w:t>الأقل</w:t>
      </w:r>
      <w:r w:rsidR="007F1B38">
        <w:rPr>
          <w:sz w:val="20"/>
          <w:szCs w:val="20"/>
        </w:rPr>
        <w:t xml:space="preserve">. </w:t>
      </w:r>
    </w:p>
    <w:p w14:paraId="084C5B0F" w14:textId="77777777" w:rsidR="007F1B38" w:rsidRDefault="007F1B38" w:rsidP="007F1B38"/>
    <w:p w14:paraId="744E0FA2" w14:textId="77777777" w:rsidR="007F1B38" w:rsidRDefault="007F1B38" w:rsidP="007F1B38">
      <w:r>
        <w:rPr>
          <w:sz w:val="20"/>
          <w:szCs w:val="20"/>
          <w:rtl/>
        </w:rPr>
        <w:t>تحدث</w:t>
      </w:r>
      <w:r>
        <w:rPr>
          <w:sz w:val="20"/>
          <w:szCs w:val="20"/>
        </w:rPr>
        <w:t xml:space="preserve"> </w:t>
      </w:r>
      <w:r>
        <w:rPr>
          <w:sz w:val="20"/>
          <w:szCs w:val="20"/>
          <w:rtl/>
        </w:rPr>
        <w:t>الباحث</w:t>
      </w:r>
      <w:r>
        <w:rPr>
          <w:sz w:val="20"/>
          <w:szCs w:val="20"/>
        </w:rPr>
        <w:t xml:space="preserve"> </w:t>
      </w:r>
      <w:r>
        <w:rPr>
          <w:sz w:val="20"/>
          <w:szCs w:val="20"/>
          <w:rtl/>
        </w:rPr>
        <w:t>عن</w:t>
      </w:r>
      <w:r>
        <w:rPr>
          <w:sz w:val="20"/>
          <w:szCs w:val="20"/>
        </w:rPr>
        <w:t xml:space="preserve"> </w:t>
      </w:r>
      <w:r>
        <w:rPr>
          <w:sz w:val="20"/>
          <w:szCs w:val="20"/>
          <w:rtl/>
        </w:rPr>
        <w:t>تجربة</w:t>
      </w:r>
      <w:r>
        <w:rPr>
          <w:sz w:val="20"/>
          <w:szCs w:val="20"/>
        </w:rPr>
        <w:t xml:space="preserve"> </w:t>
      </w:r>
      <w:r>
        <w:rPr>
          <w:sz w:val="20"/>
          <w:szCs w:val="20"/>
          <w:rtl/>
        </w:rPr>
        <w:t>المريض،</w:t>
      </w:r>
      <w:r>
        <w:rPr>
          <w:sz w:val="20"/>
          <w:szCs w:val="20"/>
        </w:rPr>
        <w:t xml:space="preserve"> </w:t>
      </w:r>
      <w:r>
        <w:rPr>
          <w:sz w:val="20"/>
          <w:szCs w:val="20"/>
          <w:rtl/>
        </w:rPr>
        <w:t>وانها</w:t>
      </w:r>
      <w:r>
        <w:rPr>
          <w:sz w:val="20"/>
          <w:szCs w:val="20"/>
        </w:rPr>
        <w:t xml:space="preserve"> </w:t>
      </w:r>
      <w:r>
        <w:rPr>
          <w:sz w:val="20"/>
          <w:szCs w:val="20"/>
          <w:rtl/>
        </w:rPr>
        <w:t>جزء</w:t>
      </w:r>
      <w:r>
        <w:rPr>
          <w:sz w:val="20"/>
          <w:szCs w:val="20"/>
        </w:rPr>
        <w:t xml:space="preserve"> </w:t>
      </w:r>
      <w:r>
        <w:rPr>
          <w:sz w:val="20"/>
          <w:szCs w:val="20"/>
          <w:rtl/>
        </w:rPr>
        <w:t>من</w:t>
      </w:r>
      <w:r>
        <w:rPr>
          <w:sz w:val="20"/>
          <w:szCs w:val="20"/>
        </w:rPr>
        <w:t xml:space="preserve"> </w:t>
      </w:r>
      <w:r>
        <w:rPr>
          <w:sz w:val="20"/>
          <w:szCs w:val="20"/>
          <w:rtl/>
        </w:rPr>
        <w:t>تجربة</w:t>
      </w:r>
      <w:r>
        <w:rPr>
          <w:sz w:val="20"/>
          <w:szCs w:val="20"/>
        </w:rPr>
        <w:t xml:space="preserve"> </w:t>
      </w:r>
      <w:r>
        <w:rPr>
          <w:sz w:val="20"/>
          <w:szCs w:val="20"/>
          <w:rtl/>
        </w:rPr>
        <w:t>المستفيد،</w:t>
      </w:r>
      <w:r>
        <w:rPr>
          <w:sz w:val="20"/>
          <w:szCs w:val="20"/>
        </w:rPr>
        <w:t xml:space="preserve"> </w:t>
      </w:r>
      <w:r>
        <w:rPr>
          <w:sz w:val="20"/>
          <w:szCs w:val="20"/>
          <w:rtl/>
        </w:rPr>
        <w:t>ثم</w:t>
      </w:r>
      <w:r>
        <w:rPr>
          <w:sz w:val="20"/>
          <w:szCs w:val="20"/>
        </w:rPr>
        <w:t xml:space="preserve"> </w:t>
      </w:r>
      <w:r>
        <w:rPr>
          <w:sz w:val="20"/>
          <w:szCs w:val="20"/>
          <w:rtl/>
        </w:rPr>
        <w:t>ذكر</w:t>
      </w:r>
      <w:r>
        <w:rPr>
          <w:sz w:val="20"/>
          <w:szCs w:val="20"/>
        </w:rPr>
        <w:t xml:space="preserve"> </w:t>
      </w:r>
      <w:r>
        <w:rPr>
          <w:sz w:val="20"/>
          <w:szCs w:val="20"/>
          <w:rtl/>
        </w:rPr>
        <w:t>الباحث</w:t>
      </w:r>
      <w:r>
        <w:rPr>
          <w:sz w:val="20"/>
          <w:szCs w:val="20"/>
        </w:rPr>
        <w:t xml:space="preserve"> </w:t>
      </w:r>
      <w:r>
        <w:rPr>
          <w:sz w:val="20"/>
          <w:szCs w:val="20"/>
          <w:rtl/>
        </w:rPr>
        <w:t>المرضى</w:t>
      </w:r>
      <w:r>
        <w:rPr>
          <w:sz w:val="20"/>
          <w:szCs w:val="20"/>
        </w:rPr>
        <w:t xml:space="preserve"> </w:t>
      </w:r>
      <w:r>
        <w:rPr>
          <w:sz w:val="20"/>
          <w:szCs w:val="20"/>
          <w:rtl/>
        </w:rPr>
        <w:t>والعاملين،</w:t>
      </w:r>
      <w:r>
        <w:rPr>
          <w:sz w:val="20"/>
          <w:szCs w:val="20"/>
        </w:rPr>
        <w:t xml:space="preserve"> </w:t>
      </w:r>
      <w:r>
        <w:rPr>
          <w:sz w:val="20"/>
          <w:szCs w:val="20"/>
          <w:rtl/>
        </w:rPr>
        <w:t>ثم</w:t>
      </w:r>
      <w:r>
        <w:rPr>
          <w:sz w:val="20"/>
          <w:szCs w:val="20"/>
        </w:rPr>
        <w:t xml:space="preserve"> </w:t>
      </w:r>
      <w:r>
        <w:rPr>
          <w:sz w:val="20"/>
          <w:szCs w:val="20"/>
          <w:rtl/>
        </w:rPr>
        <w:t>عادة</w:t>
      </w:r>
      <w:r>
        <w:rPr>
          <w:sz w:val="20"/>
          <w:szCs w:val="20"/>
        </w:rPr>
        <w:t xml:space="preserve"> </w:t>
      </w:r>
      <w:r>
        <w:rPr>
          <w:sz w:val="20"/>
          <w:szCs w:val="20"/>
          <w:rtl/>
        </w:rPr>
        <w:t>مرة</w:t>
      </w:r>
      <w:r>
        <w:rPr>
          <w:sz w:val="20"/>
          <w:szCs w:val="20"/>
        </w:rPr>
        <w:t xml:space="preserve"> </w:t>
      </w:r>
      <w:r>
        <w:rPr>
          <w:sz w:val="20"/>
          <w:szCs w:val="20"/>
          <w:rtl/>
        </w:rPr>
        <w:t>أخرى</w:t>
      </w:r>
      <w:r>
        <w:rPr>
          <w:sz w:val="20"/>
          <w:szCs w:val="20"/>
        </w:rPr>
        <w:t xml:space="preserve"> </w:t>
      </w:r>
      <w:r>
        <w:rPr>
          <w:sz w:val="20"/>
          <w:szCs w:val="20"/>
          <w:rtl/>
        </w:rPr>
        <w:t>لتجربة</w:t>
      </w:r>
      <w:r>
        <w:rPr>
          <w:sz w:val="20"/>
          <w:szCs w:val="20"/>
        </w:rPr>
        <w:t xml:space="preserve"> </w:t>
      </w:r>
      <w:r>
        <w:rPr>
          <w:sz w:val="20"/>
          <w:szCs w:val="20"/>
          <w:rtl/>
        </w:rPr>
        <w:t>المستفيد</w:t>
      </w:r>
      <w:r>
        <w:rPr>
          <w:sz w:val="20"/>
          <w:szCs w:val="20"/>
        </w:rPr>
        <w:t xml:space="preserve"> </w:t>
      </w:r>
      <w:r>
        <w:rPr>
          <w:sz w:val="20"/>
          <w:szCs w:val="20"/>
          <w:rtl/>
        </w:rPr>
        <w:t>في</w:t>
      </w:r>
      <w:r>
        <w:rPr>
          <w:sz w:val="20"/>
          <w:szCs w:val="20"/>
        </w:rPr>
        <w:t xml:space="preserve"> </w:t>
      </w:r>
      <w:r>
        <w:rPr>
          <w:sz w:val="20"/>
          <w:szCs w:val="20"/>
          <w:rtl/>
        </w:rPr>
        <w:t>تحقيق</w:t>
      </w:r>
      <w:r>
        <w:rPr>
          <w:sz w:val="20"/>
          <w:szCs w:val="20"/>
        </w:rPr>
        <w:t xml:space="preserve"> </w:t>
      </w:r>
      <w:r>
        <w:rPr>
          <w:sz w:val="20"/>
          <w:szCs w:val="20"/>
          <w:rtl/>
        </w:rPr>
        <w:t>جودة</w:t>
      </w:r>
      <w:r>
        <w:rPr>
          <w:sz w:val="20"/>
          <w:szCs w:val="20"/>
        </w:rPr>
        <w:t xml:space="preserve"> </w:t>
      </w:r>
      <w:r>
        <w:rPr>
          <w:sz w:val="20"/>
          <w:szCs w:val="20"/>
          <w:rtl/>
        </w:rPr>
        <w:t>مستدامة</w:t>
      </w:r>
      <w:r>
        <w:rPr>
          <w:sz w:val="20"/>
          <w:szCs w:val="20"/>
        </w:rPr>
        <w:t xml:space="preserve">. </w:t>
      </w:r>
      <w:r>
        <w:rPr>
          <w:sz w:val="20"/>
          <w:szCs w:val="20"/>
          <w:rtl/>
        </w:rPr>
        <w:t>يجب</w:t>
      </w:r>
      <w:r>
        <w:rPr>
          <w:sz w:val="20"/>
          <w:szCs w:val="20"/>
        </w:rPr>
        <w:t xml:space="preserve"> </w:t>
      </w:r>
      <w:r>
        <w:rPr>
          <w:sz w:val="20"/>
          <w:szCs w:val="20"/>
          <w:rtl/>
        </w:rPr>
        <w:t>أن</w:t>
      </w:r>
      <w:r>
        <w:rPr>
          <w:sz w:val="20"/>
          <w:szCs w:val="20"/>
        </w:rPr>
        <w:t xml:space="preserve"> </w:t>
      </w:r>
      <w:r>
        <w:rPr>
          <w:sz w:val="20"/>
          <w:szCs w:val="20"/>
          <w:rtl/>
        </w:rPr>
        <w:t>تعاد</w:t>
      </w:r>
      <w:r>
        <w:rPr>
          <w:sz w:val="20"/>
          <w:szCs w:val="20"/>
        </w:rPr>
        <w:t xml:space="preserve"> </w:t>
      </w:r>
      <w:r>
        <w:rPr>
          <w:sz w:val="20"/>
          <w:szCs w:val="20"/>
          <w:rtl/>
        </w:rPr>
        <w:t>صياغة</w:t>
      </w:r>
      <w:r>
        <w:rPr>
          <w:sz w:val="20"/>
          <w:szCs w:val="20"/>
        </w:rPr>
        <w:t xml:space="preserve"> </w:t>
      </w:r>
      <w:r>
        <w:rPr>
          <w:sz w:val="20"/>
          <w:szCs w:val="20"/>
          <w:rtl/>
        </w:rPr>
        <w:t>هذه</w:t>
      </w:r>
      <w:r>
        <w:rPr>
          <w:sz w:val="20"/>
          <w:szCs w:val="20"/>
        </w:rPr>
        <w:t xml:space="preserve"> </w:t>
      </w:r>
      <w:r>
        <w:rPr>
          <w:sz w:val="20"/>
          <w:szCs w:val="20"/>
          <w:rtl/>
        </w:rPr>
        <w:t>الجملة</w:t>
      </w:r>
      <w:r>
        <w:rPr>
          <w:sz w:val="20"/>
          <w:szCs w:val="20"/>
        </w:rPr>
        <w:t xml:space="preserve"> </w:t>
      </w:r>
      <w:r>
        <w:rPr>
          <w:sz w:val="20"/>
          <w:szCs w:val="20"/>
          <w:rtl/>
        </w:rPr>
        <w:t>ودمجها</w:t>
      </w:r>
      <w:r>
        <w:rPr>
          <w:sz w:val="20"/>
          <w:szCs w:val="20"/>
        </w:rPr>
        <w:t xml:space="preserve"> </w:t>
      </w:r>
      <w:r>
        <w:rPr>
          <w:sz w:val="20"/>
          <w:szCs w:val="20"/>
          <w:rtl/>
        </w:rPr>
        <w:t>بشكل</w:t>
      </w:r>
      <w:r>
        <w:rPr>
          <w:sz w:val="20"/>
          <w:szCs w:val="20"/>
        </w:rPr>
        <w:t xml:space="preserve"> </w:t>
      </w:r>
      <w:r>
        <w:rPr>
          <w:sz w:val="20"/>
          <w:szCs w:val="20"/>
          <w:rtl/>
        </w:rPr>
        <w:t>أفضل</w:t>
      </w:r>
      <w:r>
        <w:rPr>
          <w:sz w:val="20"/>
          <w:szCs w:val="20"/>
        </w:rPr>
        <w:t xml:space="preserve"> </w:t>
      </w:r>
      <w:r>
        <w:rPr>
          <w:sz w:val="20"/>
          <w:szCs w:val="20"/>
          <w:rtl/>
        </w:rPr>
        <w:t>مع</w:t>
      </w:r>
      <w:r>
        <w:rPr>
          <w:sz w:val="20"/>
          <w:szCs w:val="20"/>
        </w:rPr>
        <w:t xml:space="preserve"> </w:t>
      </w:r>
      <w:r>
        <w:rPr>
          <w:sz w:val="20"/>
          <w:szCs w:val="20"/>
          <w:rtl/>
        </w:rPr>
        <w:t>الجمل</w:t>
      </w:r>
      <w:r>
        <w:rPr>
          <w:sz w:val="20"/>
          <w:szCs w:val="20"/>
        </w:rPr>
        <w:t xml:space="preserve"> </w:t>
      </w:r>
      <w:r>
        <w:rPr>
          <w:sz w:val="20"/>
          <w:szCs w:val="20"/>
          <w:rtl/>
        </w:rPr>
        <w:t>الأخرى</w:t>
      </w:r>
      <w:r>
        <w:rPr>
          <w:sz w:val="20"/>
          <w:szCs w:val="20"/>
        </w:rPr>
        <w:t xml:space="preserve"> </w:t>
      </w:r>
      <w:r>
        <w:rPr>
          <w:sz w:val="20"/>
          <w:szCs w:val="20"/>
          <w:rtl/>
        </w:rPr>
        <w:t>المكونة</w:t>
      </w:r>
      <w:r>
        <w:rPr>
          <w:sz w:val="20"/>
          <w:szCs w:val="20"/>
        </w:rPr>
        <w:t xml:space="preserve"> </w:t>
      </w:r>
      <w:r>
        <w:rPr>
          <w:sz w:val="20"/>
          <w:szCs w:val="20"/>
          <w:rtl/>
        </w:rPr>
        <w:t>للفقرة</w:t>
      </w:r>
      <w:r>
        <w:rPr>
          <w:sz w:val="20"/>
          <w:szCs w:val="20"/>
        </w:rPr>
        <w:t xml:space="preserve"> </w:t>
      </w:r>
      <w:r>
        <w:rPr>
          <w:sz w:val="20"/>
          <w:szCs w:val="20"/>
          <w:rtl/>
        </w:rPr>
        <w:t>كما</w:t>
      </w:r>
      <w:r>
        <w:rPr>
          <w:sz w:val="20"/>
          <w:szCs w:val="20"/>
        </w:rPr>
        <w:t xml:space="preserve"> </w:t>
      </w:r>
      <w:r>
        <w:rPr>
          <w:sz w:val="20"/>
          <w:szCs w:val="20"/>
          <w:rtl/>
        </w:rPr>
        <w:t>وضحنا</w:t>
      </w:r>
      <w:r>
        <w:rPr>
          <w:sz w:val="20"/>
          <w:szCs w:val="20"/>
        </w:rPr>
        <w:t xml:space="preserve"> </w:t>
      </w:r>
      <w:r>
        <w:rPr>
          <w:sz w:val="20"/>
          <w:szCs w:val="20"/>
          <w:rtl/>
        </w:rPr>
        <w:t>في</w:t>
      </w:r>
      <w:r>
        <w:rPr>
          <w:sz w:val="20"/>
          <w:szCs w:val="20"/>
        </w:rPr>
        <w:t xml:space="preserve"> </w:t>
      </w:r>
      <w:r>
        <w:rPr>
          <w:sz w:val="20"/>
          <w:szCs w:val="20"/>
          <w:rtl/>
        </w:rPr>
        <w:t>الملاحظة</w:t>
      </w:r>
      <w:r>
        <w:rPr>
          <w:sz w:val="20"/>
          <w:szCs w:val="20"/>
        </w:rPr>
        <w:t xml:space="preserve"> </w:t>
      </w:r>
      <w:r>
        <w:rPr>
          <w:sz w:val="20"/>
          <w:szCs w:val="20"/>
          <w:rtl/>
        </w:rPr>
        <w:t>أعلاه</w:t>
      </w:r>
      <w:r>
        <w:rPr>
          <w:sz w:val="20"/>
          <w:szCs w:val="20"/>
        </w:rPr>
        <w:t xml:space="preserve">. </w:t>
      </w:r>
    </w:p>
    <w:p w14:paraId="71BABB1A" w14:textId="77777777" w:rsidR="007F1B38" w:rsidRDefault="007F1B38" w:rsidP="007F1B38"/>
    <w:p w14:paraId="162BEC1B" w14:textId="77777777" w:rsidR="007F1B38" w:rsidRDefault="007F1B38" w:rsidP="007F1B38">
      <w:r>
        <w:rPr>
          <w:sz w:val="20"/>
          <w:szCs w:val="20"/>
          <w:rtl/>
        </w:rPr>
        <w:t>ماهي الأبعاد المؤسسية؟ وماهي علاقتها بتجربة المستفيد والجودة المستدامة؟ يجب الحديث بشكل مبسط عن الأبعاد المؤسسية</w:t>
      </w:r>
      <w:r>
        <w:rPr>
          <w:sz w:val="20"/>
          <w:szCs w:val="20"/>
        </w:rPr>
        <w:t xml:space="preserve">. </w:t>
      </w:r>
    </w:p>
  </w:comment>
  <w:comment w:id="6" w:author="Dr." w:date="2025-11-17T22:32:00Z" w:initials="DR">
    <w:p w14:paraId="160E8CFA" w14:textId="77777777" w:rsidR="00037DEC" w:rsidRDefault="007F1B38" w:rsidP="00037DEC">
      <w:r>
        <w:rPr>
          <w:rStyle w:val="CommentReference"/>
        </w:rPr>
        <w:annotationRef/>
      </w:r>
      <w:r w:rsidR="00037DEC">
        <w:rPr>
          <w:sz w:val="20"/>
          <w:szCs w:val="20"/>
          <w:rtl/>
        </w:rPr>
        <w:t>نفس</w:t>
      </w:r>
      <w:r w:rsidR="00037DEC">
        <w:rPr>
          <w:sz w:val="20"/>
          <w:szCs w:val="20"/>
        </w:rPr>
        <w:t xml:space="preserve"> </w:t>
      </w:r>
      <w:r w:rsidR="00037DEC">
        <w:rPr>
          <w:sz w:val="20"/>
          <w:szCs w:val="20"/>
          <w:rtl/>
        </w:rPr>
        <w:t>الملاحظة</w:t>
      </w:r>
      <w:r w:rsidR="00037DEC">
        <w:rPr>
          <w:sz w:val="20"/>
          <w:szCs w:val="20"/>
        </w:rPr>
        <w:t xml:space="preserve"> </w:t>
      </w:r>
      <w:r w:rsidR="00037DEC">
        <w:rPr>
          <w:sz w:val="20"/>
          <w:szCs w:val="20"/>
          <w:rtl/>
        </w:rPr>
        <w:t>السابقة،</w:t>
      </w:r>
      <w:r w:rsidR="00037DEC">
        <w:rPr>
          <w:sz w:val="20"/>
          <w:szCs w:val="20"/>
        </w:rPr>
        <w:t xml:space="preserve"> </w:t>
      </w:r>
      <w:r w:rsidR="00037DEC">
        <w:rPr>
          <w:sz w:val="20"/>
          <w:szCs w:val="20"/>
          <w:rtl/>
        </w:rPr>
        <w:t>يجب</w:t>
      </w:r>
      <w:r w:rsidR="00037DEC">
        <w:rPr>
          <w:sz w:val="20"/>
          <w:szCs w:val="20"/>
        </w:rPr>
        <w:t xml:space="preserve"> </w:t>
      </w:r>
      <w:r w:rsidR="00037DEC">
        <w:rPr>
          <w:sz w:val="20"/>
          <w:szCs w:val="20"/>
          <w:rtl/>
        </w:rPr>
        <w:t>أن</w:t>
      </w:r>
      <w:r w:rsidR="00037DEC">
        <w:rPr>
          <w:sz w:val="20"/>
          <w:szCs w:val="20"/>
        </w:rPr>
        <w:t xml:space="preserve"> </w:t>
      </w:r>
      <w:r w:rsidR="00037DEC">
        <w:rPr>
          <w:sz w:val="20"/>
          <w:szCs w:val="20"/>
          <w:rtl/>
        </w:rPr>
        <w:t>لا</w:t>
      </w:r>
      <w:r w:rsidR="00037DEC">
        <w:rPr>
          <w:sz w:val="20"/>
          <w:szCs w:val="20"/>
        </w:rPr>
        <w:t xml:space="preserve"> </w:t>
      </w:r>
      <w:r w:rsidR="00037DEC">
        <w:rPr>
          <w:sz w:val="20"/>
          <w:szCs w:val="20"/>
          <w:rtl/>
        </w:rPr>
        <w:t>تكون</w:t>
      </w:r>
      <w:r w:rsidR="00037DEC">
        <w:rPr>
          <w:sz w:val="20"/>
          <w:szCs w:val="20"/>
        </w:rPr>
        <w:t xml:space="preserve"> </w:t>
      </w:r>
      <w:r w:rsidR="00037DEC">
        <w:rPr>
          <w:sz w:val="20"/>
          <w:szCs w:val="20"/>
          <w:rtl/>
        </w:rPr>
        <w:t>هناك</w:t>
      </w:r>
      <w:r w:rsidR="00037DEC">
        <w:rPr>
          <w:sz w:val="20"/>
          <w:szCs w:val="20"/>
        </w:rPr>
        <w:t xml:space="preserve"> </w:t>
      </w:r>
      <w:r w:rsidR="00037DEC">
        <w:rPr>
          <w:sz w:val="20"/>
          <w:szCs w:val="20"/>
          <w:rtl/>
        </w:rPr>
        <w:t>فقرة</w:t>
      </w:r>
      <w:r w:rsidR="00037DEC">
        <w:rPr>
          <w:sz w:val="20"/>
          <w:szCs w:val="20"/>
        </w:rPr>
        <w:t xml:space="preserve"> </w:t>
      </w:r>
      <w:r w:rsidR="00037DEC">
        <w:rPr>
          <w:sz w:val="20"/>
          <w:szCs w:val="20"/>
          <w:rtl/>
        </w:rPr>
        <w:t>تحتوي</w:t>
      </w:r>
      <w:r w:rsidR="00037DEC">
        <w:rPr>
          <w:sz w:val="20"/>
          <w:szCs w:val="20"/>
        </w:rPr>
        <w:t xml:space="preserve"> </w:t>
      </w:r>
      <w:r w:rsidR="00037DEC">
        <w:rPr>
          <w:sz w:val="20"/>
          <w:szCs w:val="20"/>
          <w:rtl/>
        </w:rPr>
        <w:t>على</w:t>
      </w:r>
      <w:r w:rsidR="00037DEC">
        <w:rPr>
          <w:sz w:val="20"/>
          <w:szCs w:val="20"/>
        </w:rPr>
        <w:t xml:space="preserve"> </w:t>
      </w:r>
      <w:r w:rsidR="00037DEC">
        <w:rPr>
          <w:sz w:val="20"/>
          <w:szCs w:val="20"/>
          <w:rtl/>
        </w:rPr>
        <w:t>جملة</w:t>
      </w:r>
      <w:r w:rsidR="00037DEC">
        <w:rPr>
          <w:sz w:val="20"/>
          <w:szCs w:val="20"/>
        </w:rPr>
        <w:t xml:space="preserve"> </w:t>
      </w:r>
      <w:r w:rsidR="00037DEC">
        <w:rPr>
          <w:sz w:val="20"/>
          <w:szCs w:val="20"/>
          <w:rtl/>
        </w:rPr>
        <w:t>واحدة</w:t>
      </w:r>
      <w:r w:rsidR="00037DEC">
        <w:rPr>
          <w:sz w:val="20"/>
          <w:szCs w:val="20"/>
        </w:rPr>
        <w:t xml:space="preserve"> </w:t>
      </w:r>
      <w:r w:rsidR="00037DEC">
        <w:rPr>
          <w:sz w:val="20"/>
          <w:szCs w:val="20"/>
          <w:rtl/>
        </w:rPr>
        <w:t>فقط</w:t>
      </w:r>
      <w:r w:rsidR="00037DEC">
        <w:rPr>
          <w:sz w:val="20"/>
          <w:szCs w:val="20"/>
        </w:rPr>
        <w:t xml:space="preserve">. </w:t>
      </w:r>
    </w:p>
    <w:p w14:paraId="4743191A" w14:textId="77777777" w:rsidR="00037DEC" w:rsidRDefault="00037DEC" w:rsidP="00037DEC"/>
    <w:p w14:paraId="6CE7C2F6" w14:textId="77777777" w:rsidR="00037DEC" w:rsidRDefault="00037DEC" w:rsidP="00037DEC">
      <w:r>
        <w:rPr>
          <w:sz w:val="20"/>
          <w:szCs w:val="20"/>
          <w:rtl/>
        </w:rPr>
        <w:t>يجب أن تكون هناك نبذة عن النموذج الوطني للتميز المؤسسي مثل حيث النشأة، الاهداف، المعايير، الفئة المستهدفة وغيرها من المعلومات التي توضح للقارى ماهو هذا النموذج الوطني وماهي أهميته</w:t>
      </w:r>
      <w:r>
        <w:rPr>
          <w:sz w:val="20"/>
          <w:szCs w:val="20"/>
        </w:rPr>
        <w:t xml:space="preserve">. </w:t>
      </w:r>
    </w:p>
  </w:comment>
  <w:comment w:id="8" w:author="Dr." w:date="2025-11-18T08:19:00Z" w:initials="DR">
    <w:p w14:paraId="1FE275A1" w14:textId="77777777" w:rsidR="00DD3207" w:rsidRDefault="00DD3207" w:rsidP="00DD3207">
      <w:r>
        <w:rPr>
          <w:rStyle w:val="CommentReference"/>
        </w:rPr>
        <w:annotationRef/>
      </w:r>
      <w:r>
        <w:rPr>
          <w:sz w:val="20"/>
          <w:szCs w:val="20"/>
          <w:rtl/>
        </w:rPr>
        <w:t>في حال الرغبة في ذكر هذه الدراسات كمثال للدراسات التي تناولت موضوع نماذج التميز المؤسسي وأثرها على تجربة المريض، يجب أن لا تكون بين قوسين. بل يجب على الباحث أن يذكر أنها على سبيل المثال، ثم يضع المراجع خارج الأقواس كما في التالي</w:t>
      </w:r>
      <w:r>
        <w:rPr>
          <w:sz w:val="20"/>
          <w:szCs w:val="20"/>
        </w:rPr>
        <w:t xml:space="preserve">: </w:t>
      </w:r>
    </w:p>
    <w:p w14:paraId="4DC7600E" w14:textId="77777777" w:rsidR="00DD3207" w:rsidRDefault="00DD3207" w:rsidP="00DD3207"/>
    <w:p w14:paraId="74BCC642" w14:textId="77777777" w:rsidR="00DD3207" w:rsidRDefault="00DD3207" w:rsidP="00DD3207">
      <w:r>
        <w:rPr>
          <w:sz w:val="20"/>
          <w:szCs w:val="20"/>
        </w:rPr>
        <w:t xml:space="preserve">Alkahtani et al. (2024), Almohaisen et al. (2023), and Guastellow &amp; Jay (2019). </w:t>
      </w:r>
    </w:p>
    <w:p w14:paraId="66D336E8" w14:textId="77777777" w:rsidR="00DD3207" w:rsidRDefault="00DD3207" w:rsidP="00DD3207">
      <w:r>
        <w:rPr>
          <w:sz w:val="20"/>
          <w:szCs w:val="20"/>
        </w:rPr>
        <w:t xml:space="preserve"> </w:t>
      </w:r>
    </w:p>
  </w:comment>
  <w:comment w:id="9" w:author="Dr." w:date="2025-11-18T08:31:00Z" w:initials="DR">
    <w:p w14:paraId="05AB8801" w14:textId="77777777" w:rsidR="00EB42B3" w:rsidRDefault="00EB42B3" w:rsidP="00EB42B3">
      <w:r>
        <w:rPr>
          <w:rStyle w:val="CommentReference"/>
        </w:rPr>
        <w:annotationRef/>
      </w:r>
      <w:r>
        <w:rPr>
          <w:sz w:val="20"/>
          <w:szCs w:val="20"/>
          <w:rtl/>
        </w:rPr>
        <w:t>يفضل التدرج في ذكر النتائج المحتملة عن عدم تطبيق هذه الدراسة من الأعلى تأثيراً وهو تحسين جودة تجربة المريض، ثم تحقيق الكفاءة التشغيلية، ثم تطبيقها على بقية التجمعات الصحية المماثلة، ..  وهكذا</w:t>
      </w:r>
      <w:r>
        <w:rPr>
          <w:sz w:val="20"/>
          <w:szCs w:val="20"/>
        </w:rPr>
        <w:t xml:space="preserve">. </w:t>
      </w:r>
    </w:p>
  </w:comment>
  <w:comment w:id="10" w:author="Dr." w:date="2025-11-18T08:33:00Z" w:initials="DR">
    <w:p w14:paraId="00611415" w14:textId="77777777" w:rsidR="00EB42B3" w:rsidRDefault="00EB42B3" w:rsidP="00EB42B3">
      <w:r>
        <w:rPr>
          <w:rStyle w:val="CommentReference"/>
        </w:rPr>
        <w:annotationRef/>
      </w:r>
      <w:r>
        <w:rPr>
          <w:sz w:val="20"/>
          <w:szCs w:val="20"/>
          <w:rtl/>
        </w:rPr>
        <w:t>هذه الجملة مكرره سابقاً ولا تضيف للآهمية قيمة. ولكن يفضل ذكر أنها تساهم في إثراء المكتبة العربية والدولية في مجال التميز المؤسسي وتجربة المريض من حيث التطبيق، العلاقة والتأثير، التوصيات العلمية والتطبيقية لتحسين تجربة المريض وغيرها</w:t>
      </w:r>
      <w:r>
        <w:rPr>
          <w:sz w:val="20"/>
          <w:szCs w:val="20"/>
        </w:rPr>
        <w:t xml:space="preserve"> </w:t>
      </w:r>
    </w:p>
  </w:comment>
  <w:comment w:id="12" w:author="Dr." w:date="2025-11-18T08:35:00Z" w:initials="DR">
    <w:p w14:paraId="390C6AEA" w14:textId="77777777" w:rsidR="00EB42B3" w:rsidRDefault="00EB42B3" w:rsidP="00EB42B3">
      <w:r>
        <w:rPr>
          <w:rStyle w:val="CommentReference"/>
        </w:rPr>
        <w:annotationRef/>
      </w:r>
      <w:r>
        <w:rPr>
          <w:sz w:val="20"/>
          <w:szCs w:val="20"/>
          <w:rtl/>
        </w:rPr>
        <w:t>حالياً في هذه الفترة في كتابة البحث، يجب استبدال جميع العبارات المستقبلة إلي مضارع بسيط. لذا، تستبدل كلمة (ستساهم) إلى (تساهم</w:t>
      </w:r>
      <w:r>
        <w:rPr>
          <w:sz w:val="20"/>
          <w:szCs w:val="20"/>
        </w:rPr>
        <w:t xml:space="preserve">). </w:t>
      </w:r>
    </w:p>
  </w:comment>
  <w:comment w:id="13" w:author="Dr." w:date="2025-11-18T08:35:00Z" w:initials="DR">
    <w:p w14:paraId="4F776E4A" w14:textId="77777777" w:rsidR="00EB42B3" w:rsidRDefault="00EB42B3" w:rsidP="00EB42B3">
      <w:r>
        <w:rPr>
          <w:rStyle w:val="CommentReference"/>
        </w:rPr>
        <w:annotationRef/>
      </w:r>
      <w:r>
        <w:rPr>
          <w:sz w:val="20"/>
          <w:szCs w:val="20"/>
          <w:rtl/>
        </w:rPr>
        <w:t>نفس الملاحظة السابقة</w:t>
      </w:r>
      <w:r>
        <w:rPr>
          <w:sz w:val="20"/>
          <w:szCs w:val="20"/>
        </w:rPr>
        <w:t>.</w:t>
      </w:r>
    </w:p>
  </w:comment>
  <w:comment w:id="14" w:author="Dr." w:date="2025-11-18T08:36:00Z" w:initials="DR">
    <w:p w14:paraId="18BC76A2" w14:textId="77777777" w:rsidR="00EB42B3" w:rsidRDefault="00EB42B3" w:rsidP="00EB42B3">
      <w:r>
        <w:rPr>
          <w:rStyle w:val="CommentReference"/>
        </w:rPr>
        <w:annotationRef/>
      </w:r>
      <w:r>
        <w:rPr>
          <w:sz w:val="20"/>
          <w:szCs w:val="20"/>
          <w:rtl/>
        </w:rPr>
        <w:t>يفضل كتابة المسمى كاملاً (المملكة العربية السعودية</w:t>
      </w:r>
      <w:r>
        <w:rPr>
          <w:sz w:val="20"/>
          <w:szCs w:val="20"/>
        </w:rPr>
        <w:t xml:space="preserve">). </w:t>
      </w:r>
    </w:p>
  </w:comment>
  <w:comment w:id="15" w:author="Dr." w:date="2025-11-18T08:40:00Z" w:initials="DR">
    <w:p w14:paraId="6B264ADD" w14:textId="77777777" w:rsidR="00A26C27" w:rsidRDefault="00A26C27" w:rsidP="00A26C27">
      <w:r>
        <w:rPr>
          <w:rStyle w:val="CommentReference"/>
        </w:rPr>
        <w:annotationRef/>
      </w:r>
      <w:r>
        <w:rPr>
          <w:sz w:val="20"/>
          <w:szCs w:val="20"/>
          <w:rtl/>
        </w:rPr>
        <w:t>قد يكون من الافضل استبدالها بعبارة "القيادات الصحية" وليس " الادارة الصحية". لأن القيادات تعني متخذي القرار في تجمع القصيم الصحي</w:t>
      </w:r>
      <w:r>
        <w:rPr>
          <w:sz w:val="20"/>
          <w:szCs w:val="20"/>
        </w:rPr>
        <w:t xml:space="preserve">. </w:t>
      </w:r>
    </w:p>
  </w:comment>
  <w:comment w:id="16" w:author="Dr." w:date="2025-11-18T08:41:00Z" w:initials="DR">
    <w:p w14:paraId="2F6C398E" w14:textId="77777777" w:rsidR="00A26C27" w:rsidRDefault="00A26C27" w:rsidP="00A26C27">
      <w:r>
        <w:rPr>
          <w:rStyle w:val="CommentReference"/>
        </w:rPr>
        <w:annotationRef/>
      </w:r>
      <w:r>
        <w:rPr>
          <w:sz w:val="20"/>
          <w:szCs w:val="20"/>
          <w:rtl/>
        </w:rPr>
        <w:t>بالامكان جعل هذا الجزء هدف مستقل عن سابقه</w:t>
      </w:r>
      <w:r>
        <w:rPr>
          <w:sz w:val="20"/>
          <w:szCs w:val="20"/>
        </w:rPr>
        <w:t xml:space="preserve">. </w:t>
      </w:r>
    </w:p>
  </w:comment>
  <w:comment w:id="17" w:author="Dr." w:date="2025-11-18T08:44:00Z" w:initials="DR">
    <w:p w14:paraId="553B5DBF" w14:textId="77777777" w:rsidR="00A26C27" w:rsidRDefault="00A26C27" w:rsidP="00A26C27">
      <w:r>
        <w:rPr>
          <w:rStyle w:val="CommentReference"/>
        </w:rPr>
        <w:annotationRef/>
      </w:r>
      <w:r>
        <w:rPr>
          <w:sz w:val="20"/>
          <w:szCs w:val="20"/>
          <w:rtl/>
        </w:rPr>
        <w:t>كتابة</w:t>
      </w:r>
      <w:r>
        <w:rPr>
          <w:sz w:val="20"/>
          <w:szCs w:val="20"/>
        </w:rPr>
        <w:t xml:space="preserve"> </w:t>
      </w:r>
      <w:r>
        <w:rPr>
          <w:sz w:val="20"/>
          <w:szCs w:val="20"/>
          <w:rtl/>
        </w:rPr>
        <w:t>المرجع</w:t>
      </w:r>
      <w:r>
        <w:rPr>
          <w:sz w:val="20"/>
          <w:szCs w:val="20"/>
        </w:rPr>
        <w:t xml:space="preserve"> </w:t>
      </w:r>
      <w:r>
        <w:rPr>
          <w:sz w:val="20"/>
          <w:szCs w:val="20"/>
          <w:rtl/>
        </w:rPr>
        <w:t>بهذه</w:t>
      </w:r>
      <w:r>
        <w:rPr>
          <w:sz w:val="20"/>
          <w:szCs w:val="20"/>
        </w:rPr>
        <w:t xml:space="preserve"> </w:t>
      </w:r>
      <w:r>
        <w:rPr>
          <w:sz w:val="20"/>
          <w:szCs w:val="20"/>
          <w:rtl/>
        </w:rPr>
        <w:t>الطريقة</w:t>
      </w:r>
      <w:r>
        <w:rPr>
          <w:sz w:val="20"/>
          <w:szCs w:val="20"/>
        </w:rPr>
        <w:t xml:space="preserve"> </w:t>
      </w:r>
      <w:r>
        <w:rPr>
          <w:sz w:val="20"/>
          <w:szCs w:val="20"/>
          <w:rtl/>
        </w:rPr>
        <w:t>غير</w:t>
      </w:r>
      <w:r>
        <w:rPr>
          <w:sz w:val="20"/>
          <w:szCs w:val="20"/>
        </w:rPr>
        <w:t xml:space="preserve"> </w:t>
      </w:r>
      <w:r>
        <w:rPr>
          <w:sz w:val="20"/>
          <w:szCs w:val="20"/>
          <w:rtl/>
        </w:rPr>
        <w:t>صحيح</w:t>
      </w:r>
      <w:r>
        <w:rPr>
          <w:sz w:val="20"/>
          <w:szCs w:val="20"/>
        </w:rPr>
        <w:t xml:space="preserve">. </w:t>
      </w:r>
      <w:r>
        <w:rPr>
          <w:sz w:val="20"/>
          <w:szCs w:val="20"/>
          <w:rtl/>
        </w:rPr>
        <w:t>يرجع</w:t>
      </w:r>
      <w:r>
        <w:rPr>
          <w:sz w:val="20"/>
          <w:szCs w:val="20"/>
        </w:rPr>
        <w:t xml:space="preserve"> </w:t>
      </w:r>
      <w:r>
        <w:rPr>
          <w:sz w:val="20"/>
          <w:szCs w:val="20"/>
          <w:rtl/>
        </w:rPr>
        <w:t>وضعه</w:t>
      </w:r>
      <w:r>
        <w:rPr>
          <w:sz w:val="20"/>
          <w:szCs w:val="20"/>
        </w:rPr>
        <w:t xml:space="preserve"> </w:t>
      </w:r>
      <w:r>
        <w:rPr>
          <w:sz w:val="20"/>
          <w:szCs w:val="20"/>
          <w:rtl/>
        </w:rPr>
        <w:t>في</w:t>
      </w:r>
      <w:r>
        <w:rPr>
          <w:sz w:val="20"/>
          <w:szCs w:val="20"/>
        </w:rPr>
        <w:t xml:space="preserve"> </w:t>
      </w:r>
      <w:r>
        <w:rPr>
          <w:sz w:val="20"/>
          <w:szCs w:val="20"/>
          <w:rtl/>
        </w:rPr>
        <w:t>نهاية</w:t>
      </w:r>
      <w:r>
        <w:rPr>
          <w:sz w:val="20"/>
          <w:szCs w:val="20"/>
        </w:rPr>
        <w:t xml:space="preserve"> </w:t>
      </w:r>
      <w:r>
        <w:rPr>
          <w:sz w:val="20"/>
          <w:szCs w:val="20"/>
          <w:rtl/>
        </w:rPr>
        <w:t>الجملة</w:t>
      </w:r>
      <w:r>
        <w:rPr>
          <w:sz w:val="20"/>
          <w:szCs w:val="20"/>
        </w:rPr>
        <w:t xml:space="preserve">. </w:t>
      </w:r>
    </w:p>
    <w:p w14:paraId="61884DFD" w14:textId="77777777" w:rsidR="00A26C27" w:rsidRDefault="00A26C27" w:rsidP="00A26C27"/>
    <w:p w14:paraId="4524C870" w14:textId="77777777" w:rsidR="00A26C27" w:rsidRDefault="00A26C27" w:rsidP="00A26C27">
      <w:r>
        <w:rPr>
          <w:sz w:val="20"/>
          <w:szCs w:val="20"/>
          <w:rtl/>
        </w:rPr>
        <w:t>في حال الرغبة في وضعه في بداية الجملة، يجب أن تبدأ الجملة بالتالي</w:t>
      </w:r>
      <w:r>
        <w:rPr>
          <w:sz w:val="20"/>
          <w:szCs w:val="20"/>
        </w:rPr>
        <w:t xml:space="preserve">: </w:t>
      </w:r>
    </w:p>
    <w:p w14:paraId="2F2A4F40" w14:textId="77777777" w:rsidR="00A26C27" w:rsidRDefault="00A26C27" w:rsidP="00A26C27"/>
    <w:p w14:paraId="052F0692" w14:textId="77777777" w:rsidR="00A26C27" w:rsidRDefault="00A26C27" w:rsidP="00A26C27">
      <w:r>
        <w:rPr>
          <w:sz w:val="20"/>
          <w:szCs w:val="20"/>
          <w:rtl/>
        </w:rPr>
        <w:t>تعرف (كتابة المرجع) التميز المؤسسي على أنه</w:t>
      </w:r>
      <w:r>
        <w:rPr>
          <w:sz w:val="20"/>
          <w:szCs w:val="20"/>
        </w:rPr>
        <w:t xml:space="preserve"> " ......" </w:t>
      </w:r>
    </w:p>
    <w:p w14:paraId="6A78FA4A" w14:textId="77777777" w:rsidR="00A26C27" w:rsidRDefault="00A26C27" w:rsidP="00A26C27"/>
  </w:comment>
  <w:comment w:id="18" w:author="Dr." w:date="2025-11-18T08:50:00Z" w:initials="DR">
    <w:p w14:paraId="26C12AA8" w14:textId="77777777" w:rsidR="00C5633B" w:rsidRDefault="00C5633B" w:rsidP="00C5633B">
      <w:r>
        <w:rPr>
          <w:rStyle w:val="CommentReference"/>
        </w:rPr>
        <w:annotationRef/>
      </w:r>
      <w:r>
        <w:rPr>
          <w:sz w:val="20"/>
          <w:szCs w:val="20"/>
          <w:rtl/>
        </w:rPr>
        <w:t>أين المرجع لهذا التعريف؟</w:t>
      </w:r>
      <w:r>
        <w:rPr>
          <w:sz w:val="20"/>
          <w:szCs w:val="20"/>
        </w:rPr>
        <w:t xml:space="preserve"> </w:t>
      </w:r>
    </w:p>
  </w:comment>
  <w:comment w:id="20" w:author="Dr." w:date="2025-11-18T08:52:00Z" w:initials="DR">
    <w:p w14:paraId="0423A988" w14:textId="77777777" w:rsidR="00C5633B" w:rsidRDefault="00C5633B" w:rsidP="00C5633B">
      <w:r>
        <w:rPr>
          <w:rStyle w:val="CommentReference"/>
        </w:rPr>
        <w:annotationRef/>
      </w:r>
      <w:r>
        <w:rPr>
          <w:sz w:val="20"/>
          <w:szCs w:val="20"/>
          <w:rtl/>
        </w:rPr>
        <w:t>مثل هذه التفاصيل حول النماذج المختلفة يفضل الحديث عنها في المقدمة وليس في جزء التعريفات. يفضل اقتصار هذا الجزء على التعريفات بشكل مختصر لايضاحها للقارئ</w:t>
      </w:r>
      <w:r>
        <w:rPr>
          <w:sz w:val="20"/>
          <w:szCs w:val="20"/>
        </w:rPr>
        <w:t xml:space="preserve">. </w:t>
      </w:r>
    </w:p>
  </w:comment>
  <w:comment w:id="21" w:author="Dr." w:date="2025-11-18T08:54:00Z" w:initials="DR">
    <w:p w14:paraId="47593183" w14:textId="77777777" w:rsidR="00C5633B" w:rsidRDefault="00C5633B" w:rsidP="00C5633B">
      <w:r>
        <w:rPr>
          <w:rStyle w:val="CommentReference"/>
        </w:rPr>
        <w:annotationRef/>
      </w:r>
      <w:r>
        <w:rPr>
          <w:sz w:val="20"/>
          <w:szCs w:val="20"/>
          <w:rtl/>
        </w:rPr>
        <w:t>التعريف الاجرائي يمثل التعريف الذي يستخدمه الباحث في دراسته دون الحاجة لوضع مراجع علمية. حيث أن مثل هذه التعريفات قد يعبر عنها الباحث باسلوبه وطريقته الخاصة</w:t>
      </w:r>
      <w:r>
        <w:rPr>
          <w:sz w:val="20"/>
          <w:szCs w:val="20"/>
        </w:rPr>
        <w:t>.</w:t>
      </w:r>
    </w:p>
  </w:comment>
  <w:comment w:id="22" w:author="Dr." w:date="2025-11-18T08:56:00Z" w:initials="DR">
    <w:p w14:paraId="0A57CF97" w14:textId="77777777" w:rsidR="00C5633B" w:rsidRDefault="00C5633B" w:rsidP="00C5633B">
      <w:r>
        <w:rPr>
          <w:rStyle w:val="CommentReference"/>
        </w:rPr>
        <w:annotationRef/>
      </w:r>
      <w:r>
        <w:rPr>
          <w:sz w:val="20"/>
          <w:szCs w:val="20"/>
          <w:rtl/>
        </w:rPr>
        <w:t>يجب كتابة المرجع بطريقة صحيحة. قد يكتفى بالاختصار دون الحاجة لذكر اسم المنظمة كاملاً مع الاختصار</w:t>
      </w:r>
      <w:r>
        <w:rPr>
          <w:sz w:val="20"/>
          <w:szCs w:val="20"/>
        </w:rPr>
        <w:t xml:space="preserve">. </w:t>
      </w:r>
    </w:p>
  </w:comment>
  <w:comment w:id="24" w:author="Dr." w:date="2025-11-18T08:57:00Z" w:initials="DR">
    <w:p w14:paraId="595E1D46" w14:textId="77777777" w:rsidR="00C5633B" w:rsidRDefault="00C5633B" w:rsidP="00C5633B">
      <w:r>
        <w:rPr>
          <w:rStyle w:val="CommentReference"/>
        </w:rPr>
        <w:annotationRef/>
      </w:r>
      <w:r>
        <w:rPr>
          <w:sz w:val="20"/>
          <w:szCs w:val="20"/>
          <w:rtl/>
        </w:rPr>
        <w:t>كما ذكرنا سابقاً، أن التعريف الاجرائي هو من وجهة نظر الباحث دون الحاجة للمراجع</w:t>
      </w:r>
      <w:r>
        <w:rPr>
          <w:sz w:val="20"/>
          <w:szCs w:val="20"/>
        </w:rPr>
        <w:t xml:space="preserve">. </w:t>
      </w:r>
    </w:p>
  </w:comment>
  <w:comment w:id="26" w:author="Dr." w:date="2025-11-18T09:07:00Z" w:initials="DR">
    <w:p w14:paraId="5AA4C5C7" w14:textId="77777777" w:rsidR="00F822EB" w:rsidRDefault="00F822EB" w:rsidP="00F822EB">
      <w:r>
        <w:rPr>
          <w:rStyle w:val="CommentReference"/>
        </w:rPr>
        <w:annotationRef/>
      </w:r>
      <w:r>
        <w:rPr>
          <w:sz w:val="20"/>
          <w:szCs w:val="20"/>
          <w:rtl/>
        </w:rPr>
        <w:t>قد لا توجة أهمية في تعريف التجمع الصحي في منطقة القصيم، لأن التجمعات الصحية تم تعريفها سابقاً</w:t>
      </w:r>
      <w:r>
        <w:rPr>
          <w:sz w:val="20"/>
          <w:szCs w:val="20"/>
        </w:rPr>
        <w:t xml:space="preserve">. </w:t>
      </w:r>
    </w:p>
    <w:p w14:paraId="7E443CD4" w14:textId="77777777" w:rsidR="00F822EB" w:rsidRDefault="00F822EB" w:rsidP="00F822EB"/>
    <w:p w14:paraId="3B7CD59B" w14:textId="77777777" w:rsidR="00F822EB" w:rsidRDefault="00F822EB" w:rsidP="00F822EB">
      <w:r>
        <w:rPr>
          <w:sz w:val="20"/>
          <w:szCs w:val="20"/>
          <w:rtl/>
        </w:rPr>
        <w:t>يكتفى بنقل هذه المعلومات حول التجمع الصحي في القصيم إلى جزء المنهجية عند الحديث عن مكان إجراء الدراسة</w:t>
      </w:r>
      <w:r>
        <w:rPr>
          <w:sz w:val="20"/>
          <w:szCs w:val="20"/>
        </w:rPr>
        <w:t xml:space="preserve">. </w:t>
      </w:r>
    </w:p>
  </w:comment>
  <w:comment w:id="27" w:author="Dr." w:date="2025-11-18T09:10:00Z" w:initials="DR">
    <w:p w14:paraId="64E94B5A" w14:textId="77777777" w:rsidR="00F822EB" w:rsidRDefault="00F822EB" w:rsidP="00F822EB">
      <w:r>
        <w:rPr>
          <w:rStyle w:val="CommentReference"/>
        </w:rPr>
        <w:annotationRef/>
      </w:r>
      <w:r>
        <w:rPr>
          <w:sz w:val="20"/>
          <w:szCs w:val="20"/>
          <w:rtl/>
        </w:rPr>
        <w:t>هل هذا الاختصار المعتمد في وزارة الصحة أم أنه تعريب للمصطلح باللغة الانجليزية</w:t>
      </w:r>
      <w:r>
        <w:rPr>
          <w:sz w:val="20"/>
          <w:szCs w:val="20"/>
        </w:rPr>
        <w:t xml:space="preserve">. </w:t>
      </w:r>
    </w:p>
    <w:p w14:paraId="64FCA378" w14:textId="77777777" w:rsidR="00F822EB" w:rsidRDefault="00F822EB" w:rsidP="00F822EB"/>
    <w:p w14:paraId="388825FE" w14:textId="77777777" w:rsidR="00F822EB" w:rsidRDefault="00F822EB" w:rsidP="00F822EB">
      <w:r>
        <w:rPr>
          <w:sz w:val="20"/>
          <w:szCs w:val="20"/>
          <w:rtl/>
        </w:rPr>
        <w:t>يفضل ذكره باللغة الانجليزية كون هذه المنظمة معروفة عالمياً في قياساتها لتجربة المريض</w:t>
      </w:r>
      <w:r>
        <w:rPr>
          <w:sz w:val="20"/>
          <w:szCs w:val="20"/>
        </w:rPr>
        <w:t xml:space="preserve">. </w:t>
      </w:r>
    </w:p>
  </w:comment>
  <w:comment w:id="28" w:author="Dr." w:date="2025-11-18T09:12:00Z" w:initials="DR">
    <w:p w14:paraId="2DA10987" w14:textId="77777777" w:rsidR="00EA62BD" w:rsidRDefault="00EA62BD" w:rsidP="00EA62BD">
      <w:r>
        <w:rPr>
          <w:rStyle w:val="CommentReference"/>
        </w:rPr>
        <w:annotationRef/>
      </w:r>
      <w:r>
        <w:rPr>
          <w:sz w:val="20"/>
          <w:szCs w:val="20"/>
          <w:rtl/>
        </w:rPr>
        <w:t>لا أرى حاجة لتعريف أداة القياس هنا في هذا الجزء الخاص بالتعريفات. بل يتم وضع تقاصيل أداة القياس المستخدمة في هذه الدراسة في جزء المنهجية فقط</w:t>
      </w:r>
      <w:r>
        <w:rPr>
          <w:sz w:val="20"/>
          <w:szCs w:val="20"/>
        </w:rPr>
        <w:t xml:space="preserve">. </w:t>
      </w:r>
    </w:p>
  </w:comment>
  <w:comment w:id="29" w:author="Dr." w:date="2025-11-18T09:19:00Z" w:initials="DR">
    <w:p w14:paraId="3B5863EB" w14:textId="77777777" w:rsidR="00EA62BD" w:rsidRDefault="00EA62BD" w:rsidP="00EA62BD">
      <w:r>
        <w:rPr>
          <w:rStyle w:val="CommentReference"/>
        </w:rPr>
        <w:annotationRef/>
      </w:r>
      <w:r>
        <w:rPr>
          <w:sz w:val="20"/>
          <w:szCs w:val="20"/>
          <w:rtl/>
        </w:rPr>
        <w:t>تحذف من العنوان وتضاف للعناوين الفرعية</w:t>
      </w:r>
      <w:r>
        <w:rPr>
          <w:sz w:val="20"/>
          <w:szCs w:val="20"/>
        </w:rPr>
        <w:t>.</w:t>
      </w:r>
    </w:p>
  </w:comment>
  <w:comment w:id="30" w:author="Dr." w:date="2025-11-18T09:19:00Z" w:initials="DR">
    <w:p w14:paraId="329DBAAC" w14:textId="77777777" w:rsidR="00EA62BD" w:rsidRDefault="00EA62BD" w:rsidP="00EA62BD">
      <w:r>
        <w:rPr>
          <w:rStyle w:val="CommentReference"/>
        </w:rPr>
        <w:annotationRef/>
      </w:r>
      <w:r>
        <w:rPr>
          <w:sz w:val="20"/>
          <w:szCs w:val="20"/>
          <w:rtl/>
        </w:rPr>
        <w:t>يفضل كتابتها هكذا (الحدود المكانية</w:t>
      </w:r>
      <w:r>
        <w:rPr>
          <w:sz w:val="20"/>
          <w:szCs w:val="20"/>
        </w:rPr>
        <w:t>).</w:t>
      </w:r>
    </w:p>
  </w:comment>
  <w:comment w:id="31" w:author="Dr." w:date="2025-11-18T09:17:00Z" w:initials="DR">
    <w:p w14:paraId="7A9CA7EF" w14:textId="77777777" w:rsidR="00EA62BD" w:rsidRDefault="00EA62BD" w:rsidP="00EA62BD">
      <w:r>
        <w:rPr>
          <w:rStyle w:val="CommentReference"/>
        </w:rPr>
        <w:annotationRef/>
      </w:r>
      <w:r>
        <w:rPr>
          <w:sz w:val="20"/>
          <w:szCs w:val="20"/>
          <w:rtl/>
        </w:rPr>
        <w:t>يفضل ذكرها كالتالي (مستشفى بريدة المركزي، مستشفى الولادة والأطفال، ومستشفى الرس العام</w:t>
      </w:r>
      <w:r>
        <w:rPr>
          <w:sz w:val="20"/>
          <w:szCs w:val="20"/>
        </w:rPr>
        <w:t xml:space="preserve">). </w:t>
      </w:r>
    </w:p>
  </w:comment>
  <w:comment w:id="32" w:author="Dr." w:date="2025-11-18T09:20:00Z" w:initials="DR">
    <w:p w14:paraId="4C8DBA17" w14:textId="77777777" w:rsidR="00EA62BD" w:rsidRDefault="00EA62BD" w:rsidP="00EA62BD">
      <w:r>
        <w:rPr>
          <w:rStyle w:val="CommentReference"/>
        </w:rPr>
        <w:annotationRef/>
      </w:r>
      <w:r>
        <w:rPr>
          <w:sz w:val="20"/>
          <w:szCs w:val="20"/>
          <w:rtl/>
        </w:rPr>
        <w:t>الحدود الزمانية</w:t>
      </w:r>
      <w:r>
        <w:rPr>
          <w:sz w:val="20"/>
          <w:szCs w:val="20"/>
        </w:rPr>
        <w:t>.</w:t>
      </w:r>
    </w:p>
    <w:p w14:paraId="48D97F18" w14:textId="77777777" w:rsidR="00EA62BD" w:rsidRDefault="00EA62BD" w:rsidP="00EA62BD"/>
  </w:comment>
  <w:comment w:id="33" w:author="Dr." w:date="2025-11-18T09:23:00Z" w:initials="DR">
    <w:p w14:paraId="4DFCF3FD" w14:textId="77777777" w:rsidR="00B8152A" w:rsidRDefault="00B8152A" w:rsidP="00B8152A">
      <w:r>
        <w:rPr>
          <w:rStyle w:val="CommentReference"/>
        </w:rPr>
        <w:annotationRef/>
      </w:r>
      <w:r>
        <w:rPr>
          <w:sz w:val="20"/>
          <w:szCs w:val="20"/>
          <w:rtl/>
        </w:rPr>
        <w:t>قد تكتب هكذا</w:t>
      </w:r>
      <w:r>
        <w:rPr>
          <w:sz w:val="20"/>
          <w:szCs w:val="20"/>
        </w:rPr>
        <w:t xml:space="preserve">: </w:t>
      </w:r>
    </w:p>
    <w:p w14:paraId="331F1D17" w14:textId="77777777" w:rsidR="00B8152A" w:rsidRDefault="00B8152A" w:rsidP="00B8152A">
      <w:r>
        <w:rPr>
          <w:sz w:val="20"/>
          <w:szCs w:val="20"/>
          <w:rtl/>
        </w:rPr>
        <w:t>تعكس نتائج الدراسة الفترة ما بين ٢٠٢٥ و ٢٠٢٦ وهي فترة إعداد الدراسة</w:t>
      </w:r>
      <w:r>
        <w:rPr>
          <w:sz w:val="20"/>
          <w:szCs w:val="20"/>
        </w:rPr>
        <w:t xml:space="preserve">. </w:t>
      </w:r>
    </w:p>
  </w:comment>
  <w:comment w:id="34" w:author="Dr." w:date="2025-11-18T09:20:00Z" w:initials="DR">
    <w:p w14:paraId="176AE50A" w14:textId="77777777" w:rsidR="00EA62BD" w:rsidRDefault="00EA62BD" w:rsidP="00EA62BD">
      <w:r>
        <w:rPr>
          <w:rStyle w:val="CommentReference"/>
        </w:rPr>
        <w:annotationRef/>
      </w:r>
      <w:r>
        <w:rPr>
          <w:sz w:val="20"/>
          <w:szCs w:val="20"/>
          <w:rtl/>
        </w:rPr>
        <w:t>الحدود البشرية</w:t>
      </w:r>
    </w:p>
  </w:comment>
  <w:comment w:id="35" w:author="Dr." w:date="2025-11-18T09:20:00Z" w:initials="DR">
    <w:p w14:paraId="71D61F57" w14:textId="77777777" w:rsidR="00EA62BD" w:rsidRDefault="00EA62BD" w:rsidP="00EA62BD">
      <w:r>
        <w:rPr>
          <w:rStyle w:val="CommentReference"/>
        </w:rPr>
        <w:annotationRef/>
      </w:r>
      <w:r>
        <w:rPr>
          <w:sz w:val="20"/>
          <w:szCs w:val="20"/>
          <w:rtl/>
        </w:rPr>
        <w:t>الحدود الموضوعية</w:t>
      </w:r>
      <w:r>
        <w:rPr>
          <w:sz w:val="20"/>
          <w:szCs w:val="20"/>
        </w:rPr>
        <w:t>.</w:t>
      </w:r>
    </w:p>
  </w:comment>
  <w:comment w:id="36" w:author="Dr." w:date="2025-11-18T09:24:00Z" w:initials="DR">
    <w:p w14:paraId="1A167D0C" w14:textId="77777777" w:rsidR="00B8152A" w:rsidRDefault="00B8152A" w:rsidP="00B8152A">
      <w:r>
        <w:rPr>
          <w:rStyle w:val="CommentReference"/>
        </w:rPr>
        <w:annotationRef/>
      </w:r>
      <w:r>
        <w:rPr>
          <w:sz w:val="20"/>
          <w:szCs w:val="20"/>
          <w:rtl/>
        </w:rPr>
        <w:t>كما تم ذكره سابقاً، هل المصطلح هذا هو المستخدم بهذه العبارة؟</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3F1A088" w15:done="0"/>
  <w15:commentEx w15:paraId="1BEDE7B0" w15:done="0"/>
  <w15:commentEx w15:paraId="0EBD938A" w15:done="0"/>
  <w15:commentEx w15:paraId="3C95463A" w15:done="0"/>
  <w15:commentEx w15:paraId="3080BE44" w15:done="0"/>
  <w15:commentEx w15:paraId="162BEC1B" w15:done="0"/>
  <w15:commentEx w15:paraId="6CE7C2F6" w15:done="0"/>
  <w15:commentEx w15:paraId="66D336E8" w15:done="0"/>
  <w15:commentEx w15:paraId="05AB8801" w15:done="0"/>
  <w15:commentEx w15:paraId="00611415" w15:done="0"/>
  <w15:commentEx w15:paraId="390C6AEA" w15:done="0"/>
  <w15:commentEx w15:paraId="4F776E4A" w15:done="0"/>
  <w15:commentEx w15:paraId="18BC76A2" w15:done="0"/>
  <w15:commentEx w15:paraId="6B264ADD" w15:done="0"/>
  <w15:commentEx w15:paraId="2F6C398E" w15:done="0"/>
  <w15:commentEx w15:paraId="6A78FA4A" w15:done="0"/>
  <w15:commentEx w15:paraId="26C12AA8" w15:done="0"/>
  <w15:commentEx w15:paraId="0423A988" w15:done="0"/>
  <w15:commentEx w15:paraId="47593183" w15:done="0"/>
  <w15:commentEx w15:paraId="0A57CF97" w15:done="0"/>
  <w15:commentEx w15:paraId="595E1D46" w15:done="0"/>
  <w15:commentEx w15:paraId="3B7CD59B" w15:done="0"/>
  <w15:commentEx w15:paraId="388825FE" w15:done="0"/>
  <w15:commentEx w15:paraId="2DA10987" w15:done="0"/>
  <w15:commentEx w15:paraId="3B5863EB" w15:done="0"/>
  <w15:commentEx w15:paraId="329DBAAC" w15:done="0"/>
  <w15:commentEx w15:paraId="7A9CA7EF" w15:done="0"/>
  <w15:commentEx w15:paraId="48D97F18" w15:done="0"/>
  <w15:commentEx w15:paraId="331F1D17" w15:done="0"/>
  <w15:commentEx w15:paraId="176AE50A" w15:done="0"/>
  <w15:commentEx w15:paraId="71D61F57" w15:done="0"/>
  <w15:commentEx w15:paraId="1A167D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1FADBD" w16cex:dateUtc="2025-11-14T08:36:00Z"/>
  <w16cex:commentExtensible w16cex:durableId="246E3795" w16cex:dateUtc="2025-11-14T07:26:00Z"/>
  <w16cex:commentExtensible w16cex:durableId="0E3D5F62" w16cex:dateUtc="2025-11-14T07:23:00Z"/>
  <w16cex:commentExtensible w16cex:durableId="652A3E81" w16cex:dateUtc="2025-11-17T19:15:00Z"/>
  <w16cex:commentExtensible w16cex:durableId="1747F6F1" w16cex:dateUtc="2025-11-17T19:18:00Z"/>
  <w16cex:commentExtensible w16cex:durableId="520B084B" w16cex:dateUtc="2025-11-17T19:27:00Z"/>
  <w16cex:commentExtensible w16cex:durableId="1F63ABAA" w16cex:dateUtc="2025-11-17T19:32:00Z"/>
  <w16cex:commentExtensible w16cex:durableId="3D2CDD16" w16cex:dateUtc="2025-11-18T05:19:00Z"/>
  <w16cex:commentExtensible w16cex:durableId="0CB521E6" w16cex:dateUtc="2025-11-18T05:31:00Z"/>
  <w16cex:commentExtensible w16cex:durableId="3B9F788F" w16cex:dateUtc="2025-11-18T05:33:00Z"/>
  <w16cex:commentExtensible w16cex:durableId="39B1DD08" w16cex:dateUtc="2025-11-18T05:35:00Z"/>
  <w16cex:commentExtensible w16cex:durableId="522E0F22" w16cex:dateUtc="2025-11-18T05:35:00Z"/>
  <w16cex:commentExtensible w16cex:durableId="4217B824" w16cex:dateUtc="2025-11-18T05:36:00Z"/>
  <w16cex:commentExtensible w16cex:durableId="48D0846F" w16cex:dateUtc="2025-11-18T05:40:00Z"/>
  <w16cex:commentExtensible w16cex:durableId="1F0C4D47" w16cex:dateUtc="2025-11-18T05:41:00Z"/>
  <w16cex:commentExtensible w16cex:durableId="22113D8E" w16cex:dateUtc="2025-11-18T05:44:00Z"/>
  <w16cex:commentExtensible w16cex:durableId="79F18DE0" w16cex:dateUtc="2025-11-18T05:50:00Z"/>
  <w16cex:commentExtensible w16cex:durableId="6158D6E5" w16cex:dateUtc="2025-11-18T05:52:00Z"/>
  <w16cex:commentExtensible w16cex:durableId="01E4DB30" w16cex:dateUtc="2025-11-18T05:54:00Z"/>
  <w16cex:commentExtensible w16cex:durableId="4F318474" w16cex:dateUtc="2025-11-18T05:56:00Z"/>
  <w16cex:commentExtensible w16cex:durableId="2C60CCBA" w16cex:dateUtc="2025-11-18T05:57:00Z"/>
  <w16cex:commentExtensible w16cex:durableId="057D5C1F" w16cex:dateUtc="2025-11-18T06:07:00Z"/>
  <w16cex:commentExtensible w16cex:durableId="7E81287B" w16cex:dateUtc="2025-11-18T06:10:00Z"/>
  <w16cex:commentExtensible w16cex:durableId="4D3DD58F" w16cex:dateUtc="2025-11-18T06:12:00Z"/>
  <w16cex:commentExtensible w16cex:durableId="5A92410F" w16cex:dateUtc="2025-11-18T06:19:00Z"/>
  <w16cex:commentExtensible w16cex:durableId="49F58147" w16cex:dateUtc="2025-11-18T06:19:00Z"/>
  <w16cex:commentExtensible w16cex:durableId="290FC291" w16cex:dateUtc="2025-11-18T06:17:00Z"/>
  <w16cex:commentExtensible w16cex:durableId="0A66CEAA" w16cex:dateUtc="2025-11-18T06:20:00Z"/>
  <w16cex:commentExtensible w16cex:durableId="0C54B5F4" w16cex:dateUtc="2025-11-18T06:23:00Z"/>
  <w16cex:commentExtensible w16cex:durableId="71CFF305" w16cex:dateUtc="2025-11-18T06:20:00Z"/>
  <w16cex:commentExtensible w16cex:durableId="5D27AEAE" w16cex:dateUtc="2025-11-18T06:20:00Z"/>
  <w16cex:commentExtensible w16cex:durableId="3019D77E" w16cex:dateUtc="2025-11-18T0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3F1A088" w16cid:durableId="281FADBD"/>
  <w16cid:commentId w16cid:paraId="1BEDE7B0" w16cid:durableId="246E3795"/>
  <w16cid:commentId w16cid:paraId="0EBD938A" w16cid:durableId="0E3D5F62"/>
  <w16cid:commentId w16cid:paraId="3C95463A" w16cid:durableId="652A3E81"/>
  <w16cid:commentId w16cid:paraId="3080BE44" w16cid:durableId="1747F6F1"/>
  <w16cid:commentId w16cid:paraId="162BEC1B" w16cid:durableId="520B084B"/>
  <w16cid:commentId w16cid:paraId="6CE7C2F6" w16cid:durableId="1F63ABAA"/>
  <w16cid:commentId w16cid:paraId="66D336E8" w16cid:durableId="3D2CDD16"/>
  <w16cid:commentId w16cid:paraId="05AB8801" w16cid:durableId="0CB521E6"/>
  <w16cid:commentId w16cid:paraId="00611415" w16cid:durableId="3B9F788F"/>
  <w16cid:commentId w16cid:paraId="390C6AEA" w16cid:durableId="39B1DD08"/>
  <w16cid:commentId w16cid:paraId="4F776E4A" w16cid:durableId="522E0F22"/>
  <w16cid:commentId w16cid:paraId="18BC76A2" w16cid:durableId="4217B824"/>
  <w16cid:commentId w16cid:paraId="6B264ADD" w16cid:durableId="48D0846F"/>
  <w16cid:commentId w16cid:paraId="2F6C398E" w16cid:durableId="1F0C4D47"/>
  <w16cid:commentId w16cid:paraId="6A78FA4A" w16cid:durableId="22113D8E"/>
  <w16cid:commentId w16cid:paraId="26C12AA8" w16cid:durableId="79F18DE0"/>
  <w16cid:commentId w16cid:paraId="0423A988" w16cid:durableId="6158D6E5"/>
  <w16cid:commentId w16cid:paraId="47593183" w16cid:durableId="01E4DB30"/>
  <w16cid:commentId w16cid:paraId="0A57CF97" w16cid:durableId="4F318474"/>
  <w16cid:commentId w16cid:paraId="595E1D46" w16cid:durableId="2C60CCBA"/>
  <w16cid:commentId w16cid:paraId="3B7CD59B" w16cid:durableId="057D5C1F"/>
  <w16cid:commentId w16cid:paraId="388825FE" w16cid:durableId="7E81287B"/>
  <w16cid:commentId w16cid:paraId="2DA10987" w16cid:durableId="4D3DD58F"/>
  <w16cid:commentId w16cid:paraId="3B5863EB" w16cid:durableId="5A92410F"/>
  <w16cid:commentId w16cid:paraId="329DBAAC" w16cid:durableId="49F58147"/>
  <w16cid:commentId w16cid:paraId="7A9CA7EF" w16cid:durableId="290FC291"/>
  <w16cid:commentId w16cid:paraId="48D97F18" w16cid:durableId="0A66CEAA"/>
  <w16cid:commentId w16cid:paraId="331F1D17" w16cid:durableId="0C54B5F4"/>
  <w16cid:commentId w16cid:paraId="176AE50A" w16cid:durableId="71CFF305"/>
  <w16cid:commentId w16cid:paraId="71D61F57" w16cid:durableId="5D27AEAE"/>
  <w16cid:commentId w16cid:paraId="1A167D0C" w16cid:durableId="3019D7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5BCF2" w14:textId="77777777" w:rsidR="000F058B" w:rsidRDefault="000F058B">
      <w:pPr>
        <w:spacing w:line="240" w:lineRule="auto"/>
      </w:pPr>
      <w:r>
        <w:separator/>
      </w:r>
    </w:p>
  </w:endnote>
  <w:endnote w:type="continuationSeparator" w:id="0">
    <w:p w14:paraId="15E5DC95" w14:textId="77777777" w:rsidR="000F058B" w:rsidRDefault="000F05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Cortoba">
    <w:altName w:val="Times New Roman"/>
    <w:panose1 w:val="020B0604020202020204"/>
    <w:charset w:val="00"/>
    <w:family w:val="roman"/>
    <w:pitch w:val="default"/>
    <w:sig w:usb0="00000000" w:usb1="0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649854A3" w14:textId="77777777" w:rsidR="004F600B" w:rsidRDefault="00000000">
        <w:pPr>
          <w:pStyle w:val="Footer"/>
          <w:jc w:val="center"/>
        </w:pPr>
        <w:r>
          <w:fldChar w:fldCharType="begin"/>
        </w:r>
        <w:r>
          <w:instrText xml:space="preserve"> PAGE   \* MERGEFORMAT </w:instrText>
        </w:r>
        <w:r>
          <w:fldChar w:fldCharType="separate"/>
        </w:r>
        <w:r>
          <w:t>6</w:t>
        </w:r>
        <w:r>
          <w:fldChar w:fldCharType="end"/>
        </w:r>
      </w:p>
    </w:sdtContent>
  </w:sdt>
  <w:p w14:paraId="42F3EAE6" w14:textId="77777777" w:rsidR="004F600B" w:rsidRDefault="004F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42F4" w14:textId="77777777" w:rsidR="004F600B" w:rsidRDefault="00000000">
    <w:pPr>
      <w:pStyle w:val="Footer"/>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D16A4" w14:textId="77777777" w:rsidR="000F058B" w:rsidRDefault="000F058B">
      <w:pPr>
        <w:spacing w:after="0"/>
      </w:pPr>
      <w:r>
        <w:separator/>
      </w:r>
    </w:p>
  </w:footnote>
  <w:footnote w:type="continuationSeparator" w:id="0">
    <w:p w14:paraId="0F157D45" w14:textId="77777777" w:rsidR="000F058B" w:rsidRDefault="000F058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E5C9" w14:textId="77777777" w:rsidR="004F600B" w:rsidRDefault="000F058B">
    <w:pPr>
      <w:pStyle w:val="Header"/>
    </w:pPr>
    <w: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3120;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BE1C" w14:textId="77777777" w:rsidR="004F600B" w:rsidRDefault="000F058B">
    <w:pPr>
      <w:pStyle w:val="Header"/>
    </w:pPr>
    <w: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209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3C801C66" w14:textId="77777777" w:rsidR="004F600B" w:rsidRDefault="000F058B">
        <w:pPr>
          <w:pStyle w:val="Header"/>
        </w:pPr>
        <w: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4144;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9703B"/>
    <w:multiLevelType w:val="multilevel"/>
    <w:tmpl w:val="02D9703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7F84293"/>
    <w:multiLevelType w:val="multilevel"/>
    <w:tmpl w:val="17F84293"/>
    <w:lvl w:ilvl="0">
      <w:start w:val="1"/>
      <w:numFmt w:val="bullet"/>
      <w:lvlText w:val=""/>
      <w:lvlJc w:val="left"/>
      <w:pPr>
        <w:ind w:left="720" w:hanging="360"/>
      </w:pPr>
      <w:rPr>
        <w:rFonts w:ascii="Symbol" w:hAnsi="Symbol" w:hint="default"/>
        <w:color w:val="000000" w:themeColor="text1"/>
        <w:sz w:val="28"/>
        <w:szCs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5D04659"/>
    <w:multiLevelType w:val="multilevel"/>
    <w:tmpl w:val="25D0465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1CC1080"/>
    <w:multiLevelType w:val="multilevel"/>
    <w:tmpl w:val="31CC1080"/>
    <w:lvl w:ilvl="0">
      <w:start w:val="1"/>
      <w:numFmt w:val="decimal"/>
      <w:lvlText w:val="%1."/>
      <w:lvlJc w:val="left"/>
      <w:pPr>
        <w:tabs>
          <w:tab w:val="left"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4A555F36"/>
    <w:multiLevelType w:val="multilevel"/>
    <w:tmpl w:val="4A555F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7AB57DF"/>
    <w:multiLevelType w:val="multilevel"/>
    <w:tmpl w:val="67AB57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79714616"/>
    <w:multiLevelType w:val="multilevel"/>
    <w:tmpl w:val="7971461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1083257662">
    <w:abstractNumId w:val="1"/>
  </w:num>
  <w:num w:numId="2" w16cid:durableId="644890024">
    <w:abstractNumId w:val="6"/>
  </w:num>
  <w:num w:numId="3" w16cid:durableId="844783475">
    <w:abstractNumId w:val="4"/>
  </w:num>
  <w:num w:numId="4" w16cid:durableId="1559786204">
    <w:abstractNumId w:val="3"/>
  </w:num>
  <w:num w:numId="5" w16cid:durableId="712267564">
    <w:abstractNumId w:val="0"/>
  </w:num>
  <w:num w:numId="6" w16cid:durableId="1167213126">
    <w:abstractNumId w:val="5"/>
  </w:num>
  <w:num w:numId="7" w16cid:durableId="142478376">
    <w:abstractNumId w:val="2"/>
  </w:num>
  <w:num w:numId="8" w16cid:durableId="1991858114">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5"/>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13C8"/>
    <w:rsid w:val="000013F6"/>
    <w:rsid w:val="00002454"/>
    <w:rsid w:val="000042EF"/>
    <w:rsid w:val="00004383"/>
    <w:rsid w:val="0000445A"/>
    <w:rsid w:val="0000461F"/>
    <w:rsid w:val="0000497C"/>
    <w:rsid w:val="00006F00"/>
    <w:rsid w:val="00007834"/>
    <w:rsid w:val="00007A87"/>
    <w:rsid w:val="000123FD"/>
    <w:rsid w:val="0001269E"/>
    <w:rsid w:val="000131B5"/>
    <w:rsid w:val="00015F0D"/>
    <w:rsid w:val="000160F9"/>
    <w:rsid w:val="000173F7"/>
    <w:rsid w:val="00017F9E"/>
    <w:rsid w:val="00021B93"/>
    <w:rsid w:val="0002375D"/>
    <w:rsid w:val="00023D3F"/>
    <w:rsid w:val="00024AC8"/>
    <w:rsid w:val="000253DD"/>
    <w:rsid w:val="00026FB8"/>
    <w:rsid w:val="00027449"/>
    <w:rsid w:val="00027A34"/>
    <w:rsid w:val="0003075D"/>
    <w:rsid w:val="00031FF3"/>
    <w:rsid w:val="0003209C"/>
    <w:rsid w:val="000322E7"/>
    <w:rsid w:val="000337EF"/>
    <w:rsid w:val="0003405B"/>
    <w:rsid w:val="00034BB5"/>
    <w:rsid w:val="0003682E"/>
    <w:rsid w:val="00036BD2"/>
    <w:rsid w:val="000375C3"/>
    <w:rsid w:val="00037DEC"/>
    <w:rsid w:val="00040A34"/>
    <w:rsid w:val="000414DF"/>
    <w:rsid w:val="00041CF7"/>
    <w:rsid w:val="00043A87"/>
    <w:rsid w:val="00043E8B"/>
    <w:rsid w:val="00044093"/>
    <w:rsid w:val="00044CFD"/>
    <w:rsid w:val="00045207"/>
    <w:rsid w:val="00045391"/>
    <w:rsid w:val="00046E43"/>
    <w:rsid w:val="00047916"/>
    <w:rsid w:val="000504AC"/>
    <w:rsid w:val="000506DF"/>
    <w:rsid w:val="000510CC"/>
    <w:rsid w:val="00052050"/>
    <w:rsid w:val="00052491"/>
    <w:rsid w:val="000526C9"/>
    <w:rsid w:val="000537CC"/>
    <w:rsid w:val="000542D9"/>
    <w:rsid w:val="0005466E"/>
    <w:rsid w:val="00055A9A"/>
    <w:rsid w:val="00055E99"/>
    <w:rsid w:val="00055EB0"/>
    <w:rsid w:val="00060A07"/>
    <w:rsid w:val="00061A09"/>
    <w:rsid w:val="000623ED"/>
    <w:rsid w:val="0006257C"/>
    <w:rsid w:val="00063DB0"/>
    <w:rsid w:val="000657D6"/>
    <w:rsid w:val="000663FC"/>
    <w:rsid w:val="00066DEE"/>
    <w:rsid w:val="0007032A"/>
    <w:rsid w:val="00070BB4"/>
    <w:rsid w:val="00071DCC"/>
    <w:rsid w:val="00071F58"/>
    <w:rsid w:val="000725EB"/>
    <w:rsid w:val="000742AE"/>
    <w:rsid w:val="0007634B"/>
    <w:rsid w:val="00076FD0"/>
    <w:rsid w:val="00077059"/>
    <w:rsid w:val="00077CBE"/>
    <w:rsid w:val="00080392"/>
    <w:rsid w:val="00080A58"/>
    <w:rsid w:val="0008162D"/>
    <w:rsid w:val="000819EC"/>
    <w:rsid w:val="000831BC"/>
    <w:rsid w:val="00084205"/>
    <w:rsid w:val="00084481"/>
    <w:rsid w:val="000849F7"/>
    <w:rsid w:val="00085DC2"/>
    <w:rsid w:val="00087E4F"/>
    <w:rsid w:val="00090A9C"/>
    <w:rsid w:val="00090DD9"/>
    <w:rsid w:val="00090EBE"/>
    <w:rsid w:val="000910EE"/>
    <w:rsid w:val="00091E58"/>
    <w:rsid w:val="00092C24"/>
    <w:rsid w:val="00093140"/>
    <w:rsid w:val="0009318E"/>
    <w:rsid w:val="000940A0"/>
    <w:rsid w:val="00094390"/>
    <w:rsid w:val="0009469E"/>
    <w:rsid w:val="00094A39"/>
    <w:rsid w:val="0009551D"/>
    <w:rsid w:val="00095C6A"/>
    <w:rsid w:val="000960E2"/>
    <w:rsid w:val="00096228"/>
    <w:rsid w:val="0009726F"/>
    <w:rsid w:val="000A0546"/>
    <w:rsid w:val="000A19E7"/>
    <w:rsid w:val="000A1D3E"/>
    <w:rsid w:val="000A1E46"/>
    <w:rsid w:val="000A2C8A"/>
    <w:rsid w:val="000A310D"/>
    <w:rsid w:val="000A49ED"/>
    <w:rsid w:val="000A5D8C"/>
    <w:rsid w:val="000A63D1"/>
    <w:rsid w:val="000A6F44"/>
    <w:rsid w:val="000A749C"/>
    <w:rsid w:val="000B0B32"/>
    <w:rsid w:val="000B202E"/>
    <w:rsid w:val="000B3F7A"/>
    <w:rsid w:val="000B4D76"/>
    <w:rsid w:val="000B706D"/>
    <w:rsid w:val="000B773D"/>
    <w:rsid w:val="000B7911"/>
    <w:rsid w:val="000C0C55"/>
    <w:rsid w:val="000C2231"/>
    <w:rsid w:val="000C2E40"/>
    <w:rsid w:val="000C3FE2"/>
    <w:rsid w:val="000C4513"/>
    <w:rsid w:val="000C7128"/>
    <w:rsid w:val="000C793A"/>
    <w:rsid w:val="000D062C"/>
    <w:rsid w:val="000D0869"/>
    <w:rsid w:val="000D0E25"/>
    <w:rsid w:val="000D3EAE"/>
    <w:rsid w:val="000D4382"/>
    <w:rsid w:val="000D50A4"/>
    <w:rsid w:val="000D5131"/>
    <w:rsid w:val="000D606C"/>
    <w:rsid w:val="000D62EC"/>
    <w:rsid w:val="000E0D2B"/>
    <w:rsid w:val="000E1FE7"/>
    <w:rsid w:val="000E23AB"/>
    <w:rsid w:val="000E2ED2"/>
    <w:rsid w:val="000E355F"/>
    <w:rsid w:val="000E3C46"/>
    <w:rsid w:val="000E41A3"/>
    <w:rsid w:val="000E5E45"/>
    <w:rsid w:val="000E6887"/>
    <w:rsid w:val="000E6A36"/>
    <w:rsid w:val="000F058B"/>
    <w:rsid w:val="000F0A0D"/>
    <w:rsid w:val="000F10CE"/>
    <w:rsid w:val="000F13E8"/>
    <w:rsid w:val="000F405A"/>
    <w:rsid w:val="000F49B7"/>
    <w:rsid w:val="000F4A49"/>
    <w:rsid w:val="000F58CD"/>
    <w:rsid w:val="000F715C"/>
    <w:rsid w:val="000F750F"/>
    <w:rsid w:val="000F7F04"/>
    <w:rsid w:val="00100D5A"/>
    <w:rsid w:val="00102ED7"/>
    <w:rsid w:val="001032E8"/>
    <w:rsid w:val="001033C4"/>
    <w:rsid w:val="001056E1"/>
    <w:rsid w:val="00105F34"/>
    <w:rsid w:val="00106BB6"/>
    <w:rsid w:val="00110665"/>
    <w:rsid w:val="00110B73"/>
    <w:rsid w:val="0011126E"/>
    <w:rsid w:val="00111779"/>
    <w:rsid w:val="0011186B"/>
    <w:rsid w:val="001120AB"/>
    <w:rsid w:val="00114233"/>
    <w:rsid w:val="00114520"/>
    <w:rsid w:val="00114961"/>
    <w:rsid w:val="00114D69"/>
    <w:rsid w:val="00115BC3"/>
    <w:rsid w:val="0011647F"/>
    <w:rsid w:val="001169BC"/>
    <w:rsid w:val="00116AE4"/>
    <w:rsid w:val="0011750A"/>
    <w:rsid w:val="00117CA1"/>
    <w:rsid w:val="0012289E"/>
    <w:rsid w:val="00122C7C"/>
    <w:rsid w:val="0012428D"/>
    <w:rsid w:val="00126384"/>
    <w:rsid w:val="00127929"/>
    <w:rsid w:val="00127D9A"/>
    <w:rsid w:val="00131120"/>
    <w:rsid w:val="00131646"/>
    <w:rsid w:val="00131BB8"/>
    <w:rsid w:val="00132522"/>
    <w:rsid w:val="001325AA"/>
    <w:rsid w:val="00133437"/>
    <w:rsid w:val="001378E0"/>
    <w:rsid w:val="0014144D"/>
    <w:rsid w:val="001437DC"/>
    <w:rsid w:val="00143913"/>
    <w:rsid w:val="00145155"/>
    <w:rsid w:val="00145F02"/>
    <w:rsid w:val="00146194"/>
    <w:rsid w:val="001463DF"/>
    <w:rsid w:val="00146F84"/>
    <w:rsid w:val="001471CD"/>
    <w:rsid w:val="00147793"/>
    <w:rsid w:val="00150F37"/>
    <w:rsid w:val="00151FFD"/>
    <w:rsid w:val="00152104"/>
    <w:rsid w:val="00152BCE"/>
    <w:rsid w:val="001549E8"/>
    <w:rsid w:val="00154B34"/>
    <w:rsid w:val="001556DA"/>
    <w:rsid w:val="001575B0"/>
    <w:rsid w:val="001603EF"/>
    <w:rsid w:val="00160615"/>
    <w:rsid w:val="001618B9"/>
    <w:rsid w:val="001618EF"/>
    <w:rsid w:val="00161E84"/>
    <w:rsid w:val="001624C4"/>
    <w:rsid w:val="001649F7"/>
    <w:rsid w:val="001653D6"/>
    <w:rsid w:val="001654CD"/>
    <w:rsid w:val="00167477"/>
    <w:rsid w:val="00170ACA"/>
    <w:rsid w:val="001712B5"/>
    <w:rsid w:val="001712E7"/>
    <w:rsid w:val="001718C6"/>
    <w:rsid w:val="00173D9C"/>
    <w:rsid w:val="00174244"/>
    <w:rsid w:val="00174322"/>
    <w:rsid w:val="0017497A"/>
    <w:rsid w:val="00175403"/>
    <w:rsid w:val="001758E5"/>
    <w:rsid w:val="001762F4"/>
    <w:rsid w:val="00177C9C"/>
    <w:rsid w:val="00180799"/>
    <w:rsid w:val="00180A9B"/>
    <w:rsid w:val="00181C26"/>
    <w:rsid w:val="00183614"/>
    <w:rsid w:val="00183E05"/>
    <w:rsid w:val="001842EF"/>
    <w:rsid w:val="00185F71"/>
    <w:rsid w:val="0018706B"/>
    <w:rsid w:val="00187C94"/>
    <w:rsid w:val="0019018C"/>
    <w:rsid w:val="00191D9D"/>
    <w:rsid w:val="00191FCB"/>
    <w:rsid w:val="00193130"/>
    <w:rsid w:val="00194292"/>
    <w:rsid w:val="00195226"/>
    <w:rsid w:val="001961F0"/>
    <w:rsid w:val="001977B3"/>
    <w:rsid w:val="001A2DB0"/>
    <w:rsid w:val="001A406D"/>
    <w:rsid w:val="001A4562"/>
    <w:rsid w:val="001A500A"/>
    <w:rsid w:val="001A50EC"/>
    <w:rsid w:val="001A5804"/>
    <w:rsid w:val="001A680C"/>
    <w:rsid w:val="001A765C"/>
    <w:rsid w:val="001A791C"/>
    <w:rsid w:val="001B0386"/>
    <w:rsid w:val="001B0E7B"/>
    <w:rsid w:val="001B1282"/>
    <w:rsid w:val="001B1C17"/>
    <w:rsid w:val="001B21D4"/>
    <w:rsid w:val="001B2666"/>
    <w:rsid w:val="001B5634"/>
    <w:rsid w:val="001B59D5"/>
    <w:rsid w:val="001B6F3E"/>
    <w:rsid w:val="001C01BE"/>
    <w:rsid w:val="001C20FD"/>
    <w:rsid w:val="001C259F"/>
    <w:rsid w:val="001C25B1"/>
    <w:rsid w:val="001C322A"/>
    <w:rsid w:val="001C3B34"/>
    <w:rsid w:val="001C3DA0"/>
    <w:rsid w:val="001C426A"/>
    <w:rsid w:val="001C4AEF"/>
    <w:rsid w:val="001C4E79"/>
    <w:rsid w:val="001C7562"/>
    <w:rsid w:val="001C7C8A"/>
    <w:rsid w:val="001C7DB2"/>
    <w:rsid w:val="001D0709"/>
    <w:rsid w:val="001D1DE5"/>
    <w:rsid w:val="001D2318"/>
    <w:rsid w:val="001D343A"/>
    <w:rsid w:val="001D35B5"/>
    <w:rsid w:val="001D3A5B"/>
    <w:rsid w:val="001D47AD"/>
    <w:rsid w:val="001D4F10"/>
    <w:rsid w:val="001E065C"/>
    <w:rsid w:val="001E1EB2"/>
    <w:rsid w:val="001E252D"/>
    <w:rsid w:val="001E2C4C"/>
    <w:rsid w:val="001E32DF"/>
    <w:rsid w:val="001E3406"/>
    <w:rsid w:val="001E36F5"/>
    <w:rsid w:val="001E3DC9"/>
    <w:rsid w:val="001E4974"/>
    <w:rsid w:val="001E6193"/>
    <w:rsid w:val="001E7A4C"/>
    <w:rsid w:val="001F1986"/>
    <w:rsid w:val="001F1B02"/>
    <w:rsid w:val="001F2424"/>
    <w:rsid w:val="001F2F87"/>
    <w:rsid w:val="001F34D8"/>
    <w:rsid w:val="001F651C"/>
    <w:rsid w:val="001F7050"/>
    <w:rsid w:val="00200F07"/>
    <w:rsid w:val="0020239B"/>
    <w:rsid w:val="002030E8"/>
    <w:rsid w:val="00203C85"/>
    <w:rsid w:val="002043C9"/>
    <w:rsid w:val="00204D61"/>
    <w:rsid w:val="0020509A"/>
    <w:rsid w:val="002065D1"/>
    <w:rsid w:val="002109F1"/>
    <w:rsid w:val="00210C8A"/>
    <w:rsid w:val="00211D0B"/>
    <w:rsid w:val="00212D73"/>
    <w:rsid w:val="00213067"/>
    <w:rsid w:val="00213AA7"/>
    <w:rsid w:val="00214A4D"/>
    <w:rsid w:val="00214A96"/>
    <w:rsid w:val="00214AFF"/>
    <w:rsid w:val="00216ACC"/>
    <w:rsid w:val="0022051E"/>
    <w:rsid w:val="002209C3"/>
    <w:rsid w:val="00220FFD"/>
    <w:rsid w:val="0022172D"/>
    <w:rsid w:val="00222468"/>
    <w:rsid w:val="00223136"/>
    <w:rsid w:val="0022314D"/>
    <w:rsid w:val="002239BF"/>
    <w:rsid w:val="00224CC5"/>
    <w:rsid w:val="002266BF"/>
    <w:rsid w:val="002267E3"/>
    <w:rsid w:val="002278FF"/>
    <w:rsid w:val="00231763"/>
    <w:rsid w:val="00231AB1"/>
    <w:rsid w:val="00232A16"/>
    <w:rsid w:val="00233641"/>
    <w:rsid w:val="00233B57"/>
    <w:rsid w:val="0023413A"/>
    <w:rsid w:val="0023554A"/>
    <w:rsid w:val="00235C2B"/>
    <w:rsid w:val="00240031"/>
    <w:rsid w:val="002401EC"/>
    <w:rsid w:val="0024045F"/>
    <w:rsid w:val="0024159E"/>
    <w:rsid w:val="002444A5"/>
    <w:rsid w:val="00244DFA"/>
    <w:rsid w:val="0024525F"/>
    <w:rsid w:val="00245285"/>
    <w:rsid w:val="0024758C"/>
    <w:rsid w:val="002478B6"/>
    <w:rsid w:val="00250363"/>
    <w:rsid w:val="00250CC6"/>
    <w:rsid w:val="00251580"/>
    <w:rsid w:val="00254366"/>
    <w:rsid w:val="00254E4B"/>
    <w:rsid w:val="002559D6"/>
    <w:rsid w:val="00255DAD"/>
    <w:rsid w:val="002573D0"/>
    <w:rsid w:val="00257F01"/>
    <w:rsid w:val="00260448"/>
    <w:rsid w:val="002616CF"/>
    <w:rsid w:val="00261BDD"/>
    <w:rsid w:val="002625ED"/>
    <w:rsid w:val="00263733"/>
    <w:rsid w:val="00264509"/>
    <w:rsid w:val="00264677"/>
    <w:rsid w:val="00265C31"/>
    <w:rsid w:val="002667EF"/>
    <w:rsid w:val="00266EEB"/>
    <w:rsid w:val="0026714A"/>
    <w:rsid w:val="00267E54"/>
    <w:rsid w:val="00270DDC"/>
    <w:rsid w:val="00272874"/>
    <w:rsid w:val="00274C5B"/>
    <w:rsid w:val="00274D2D"/>
    <w:rsid w:val="00275350"/>
    <w:rsid w:val="002764CE"/>
    <w:rsid w:val="002767AB"/>
    <w:rsid w:val="00280927"/>
    <w:rsid w:val="002814AD"/>
    <w:rsid w:val="00281832"/>
    <w:rsid w:val="00282AEE"/>
    <w:rsid w:val="002843A9"/>
    <w:rsid w:val="002855F4"/>
    <w:rsid w:val="00286396"/>
    <w:rsid w:val="00286DF8"/>
    <w:rsid w:val="00287734"/>
    <w:rsid w:val="00287CE4"/>
    <w:rsid w:val="00290D8D"/>
    <w:rsid w:val="002924F0"/>
    <w:rsid w:val="0029320F"/>
    <w:rsid w:val="00293906"/>
    <w:rsid w:val="00293DE4"/>
    <w:rsid w:val="0029508D"/>
    <w:rsid w:val="002A113E"/>
    <w:rsid w:val="002A1D30"/>
    <w:rsid w:val="002A3997"/>
    <w:rsid w:val="002A5623"/>
    <w:rsid w:val="002A5EA4"/>
    <w:rsid w:val="002A7314"/>
    <w:rsid w:val="002A7EE4"/>
    <w:rsid w:val="002B0A2C"/>
    <w:rsid w:val="002B0A5B"/>
    <w:rsid w:val="002B13FA"/>
    <w:rsid w:val="002B15B5"/>
    <w:rsid w:val="002B24E5"/>
    <w:rsid w:val="002B28E0"/>
    <w:rsid w:val="002B3707"/>
    <w:rsid w:val="002B6766"/>
    <w:rsid w:val="002B77EE"/>
    <w:rsid w:val="002C0A9E"/>
    <w:rsid w:val="002C2285"/>
    <w:rsid w:val="002C2CF6"/>
    <w:rsid w:val="002C3D5C"/>
    <w:rsid w:val="002C47EC"/>
    <w:rsid w:val="002C554D"/>
    <w:rsid w:val="002C7482"/>
    <w:rsid w:val="002C7D8C"/>
    <w:rsid w:val="002D019D"/>
    <w:rsid w:val="002D1425"/>
    <w:rsid w:val="002D1778"/>
    <w:rsid w:val="002D1994"/>
    <w:rsid w:val="002D19CF"/>
    <w:rsid w:val="002D3349"/>
    <w:rsid w:val="002D381C"/>
    <w:rsid w:val="002D5C9A"/>
    <w:rsid w:val="002D638C"/>
    <w:rsid w:val="002D68BB"/>
    <w:rsid w:val="002D6BB9"/>
    <w:rsid w:val="002D706F"/>
    <w:rsid w:val="002D7645"/>
    <w:rsid w:val="002E00B6"/>
    <w:rsid w:val="002E03CF"/>
    <w:rsid w:val="002E394E"/>
    <w:rsid w:val="002E696C"/>
    <w:rsid w:val="002F0EEA"/>
    <w:rsid w:val="002F1C40"/>
    <w:rsid w:val="002F20A7"/>
    <w:rsid w:val="002F20B5"/>
    <w:rsid w:val="002F20C0"/>
    <w:rsid w:val="002F243E"/>
    <w:rsid w:val="002F2592"/>
    <w:rsid w:val="002F30CD"/>
    <w:rsid w:val="002F419A"/>
    <w:rsid w:val="002F421F"/>
    <w:rsid w:val="002F45B0"/>
    <w:rsid w:val="002F4ABA"/>
    <w:rsid w:val="002F5B88"/>
    <w:rsid w:val="002F5CB6"/>
    <w:rsid w:val="002F6422"/>
    <w:rsid w:val="002F6D80"/>
    <w:rsid w:val="002F7D4D"/>
    <w:rsid w:val="00300384"/>
    <w:rsid w:val="003026C9"/>
    <w:rsid w:val="00302AEA"/>
    <w:rsid w:val="00302D34"/>
    <w:rsid w:val="0030362E"/>
    <w:rsid w:val="003036D2"/>
    <w:rsid w:val="00303D79"/>
    <w:rsid w:val="00304A8B"/>
    <w:rsid w:val="00304B9D"/>
    <w:rsid w:val="00304D1C"/>
    <w:rsid w:val="0031057A"/>
    <w:rsid w:val="00312C2B"/>
    <w:rsid w:val="00312EAD"/>
    <w:rsid w:val="00312FC6"/>
    <w:rsid w:val="00314F22"/>
    <w:rsid w:val="0031565F"/>
    <w:rsid w:val="0031623B"/>
    <w:rsid w:val="00316776"/>
    <w:rsid w:val="00317C32"/>
    <w:rsid w:val="00320207"/>
    <w:rsid w:val="003223F2"/>
    <w:rsid w:val="00322A0D"/>
    <w:rsid w:val="00322CDE"/>
    <w:rsid w:val="003235C8"/>
    <w:rsid w:val="00323811"/>
    <w:rsid w:val="00324406"/>
    <w:rsid w:val="0032466C"/>
    <w:rsid w:val="0032502A"/>
    <w:rsid w:val="003251D2"/>
    <w:rsid w:val="0032623D"/>
    <w:rsid w:val="003263C0"/>
    <w:rsid w:val="00326920"/>
    <w:rsid w:val="003270C7"/>
    <w:rsid w:val="00327873"/>
    <w:rsid w:val="00330828"/>
    <w:rsid w:val="00332F06"/>
    <w:rsid w:val="003332C5"/>
    <w:rsid w:val="00333477"/>
    <w:rsid w:val="00333EE0"/>
    <w:rsid w:val="00333FF1"/>
    <w:rsid w:val="00334002"/>
    <w:rsid w:val="00334A16"/>
    <w:rsid w:val="00336439"/>
    <w:rsid w:val="003365D5"/>
    <w:rsid w:val="00336E1D"/>
    <w:rsid w:val="0033719E"/>
    <w:rsid w:val="00337BF3"/>
    <w:rsid w:val="00343773"/>
    <w:rsid w:val="00343BE3"/>
    <w:rsid w:val="00343CDB"/>
    <w:rsid w:val="003452DB"/>
    <w:rsid w:val="0035189C"/>
    <w:rsid w:val="003518A2"/>
    <w:rsid w:val="00352410"/>
    <w:rsid w:val="00352CFB"/>
    <w:rsid w:val="00354256"/>
    <w:rsid w:val="00354CCC"/>
    <w:rsid w:val="00356156"/>
    <w:rsid w:val="00356DDF"/>
    <w:rsid w:val="00357F30"/>
    <w:rsid w:val="0036001A"/>
    <w:rsid w:val="00360A3F"/>
    <w:rsid w:val="00360D51"/>
    <w:rsid w:val="00362666"/>
    <w:rsid w:val="00364501"/>
    <w:rsid w:val="00364C07"/>
    <w:rsid w:val="0036584D"/>
    <w:rsid w:val="003667D6"/>
    <w:rsid w:val="00367AB9"/>
    <w:rsid w:val="00367C26"/>
    <w:rsid w:val="00370317"/>
    <w:rsid w:val="00371DDB"/>
    <w:rsid w:val="003734C0"/>
    <w:rsid w:val="00373E25"/>
    <w:rsid w:val="00374759"/>
    <w:rsid w:val="00374B87"/>
    <w:rsid w:val="00375BEF"/>
    <w:rsid w:val="003762D2"/>
    <w:rsid w:val="00377024"/>
    <w:rsid w:val="0037782D"/>
    <w:rsid w:val="00377CB0"/>
    <w:rsid w:val="00381E67"/>
    <w:rsid w:val="003846BB"/>
    <w:rsid w:val="003855AC"/>
    <w:rsid w:val="00386A8C"/>
    <w:rsid w:val="00390562"/>
    <w:rsid w:val="00390988"/>
    <w:rsid w:val="00391BED"/>
    <w:rsid w:val="00392ABF"/>
    <w:rsid w:val="00392CC8"/>
    <w:rsid w:val="00393547"/>
    <w:rsid w:val="00393817"/>
    <w:rsid w:val="003951B4"/>
    <w:rsid w:val="00395E1F"/>
    <w:rsid w:val="00397058"/>
    <w:rsid w:val="003A05CE"/>
    <w:rsid w:val="003A0AE1"/>
    <w:rsid w:val="003A1190"/>
    <w:rsid w:val="003A216B"/>
    <w:rsid w:val="003A2689"/>
    <w:rsid w:val="003A316C"/>
    <w:rsid w:val="003A3235"/>
    <w:rsid w:val="003A37C3"/>
    <w:rsid w:val="003A414C"/>
    <w:rsid w:val="003A4334"/>
    <w:rsid w:val="003A546B"/>
    <w:rsid w:val="003A6476"/>
    <w:rsid w:val="003A6BC3"/>
    <w:rsid w:val="003A79D3"/>
    <w:rsid w:val="003B027D"/>
    <w:rsid w:val="003B0F00"/>
    <w:rsid w:val="003B1418"/>
    <w:rsid w:val="003B296E"/>
    <w:rsid w:val="003B3E96"/>
    <w:rsid w:val="003B5038"/>
    <w:rsid w:val="003B5484"/>
    <w:rsid w:val="003B5C14"/>
    <w:rsid w:val="003B6969"/>
    <w:rsid w:val="003B7019"/>
    <w:rsid w:val="003B7826"/>
    <w:rsid w:val="003B78DD"/>
    <w:rsid w:val="003C024F"/>
    <w:rsid w:val="003C0454"/>
    <w:rsid w:val="003C05E1"/>
    <w:rsid w:val="003C0AEC"/>
    <w:rsid w:val="003C15FE"/>
    <w:rsid w:val="003C18F9"/>
    <w:rsid w:val="003C35AD"/>
    <w:rsid w:val="003C5685"/>
    <w:rsid w:val="003C5745"/>
    <w:rsid w:val="003C5B87"/>
    <w:rsid w:val="003C7AE9"/>
    <w:rsid w:val="003D1505"/>
    <w:rsid w:val="003D15EA"/>
    <w:rsid w:val="003D1B1C"/>
    <w:rsid w:val="003D2086"/>
    <w:rsid w:val="003D2B8F"/>
    <w:rsid w:val="003D3563"/>
    <w:rsid w:val="003D57DA"/>
    <w:rsid w:val="003D5F89"/>
    <w:rsid w:val="003D66E8"/>
    <w:rsid w:val="003D72C9"/>
    <w:rsid w:val="003D7E7F"/>
    <w:rsid w:val="003E1B6F"/>
    <w:rsid w:val="003E1E60"/>
    <w:rsid w:val="003E23AE"/>
    <w:rsid w:val="003E2A88"/>
    <w:rsid w:val="003E3FB8"/>
    <w:rsid w:val="003E434E"/>
    <w:rsid w:val="003E56CE"/>
    <w:rsid w:val="003E5CEC"/>
    <w:rsid w:val="003F0C41"/>
    <w:rsid w:val="003F2383"/>
    <w:rsid w:val="003F37EB"/>
    <w:rsid w:val="003F56A1"/>
    <w:rsid w:val="003F5A1D"/>
    <w:rsid w:val="003F5AA0"/>
    <w:rsid w:val="003F6189"/>
    <w:rsid w:val="003F61B3"/>
    <w:rsid w:val="003F69BC"/>
    <w:rsid w:val="00400D2B"/>
    <w:rsid w:val="0040147A"/>
    <w:rsid w:val="00401800"/>
    <w:rsid w:val="00403451"/>
    <w:rsid w:val="0040510D"/>
    <w:rsid w:val="00406A21"/>
    <w:rsid w:val="00410D99"/>
    <w:rsid w:val="00411899"/>
    <w:rsid w:val="00413343"/>
    <w:rsid w:val="00413354"/>
    <w:rsid w:val="00413C82"/>
    <w:rsid w:val="00413CF5"/>
    <w:rsid w:val="00414214"/>
    <w:rsid w:val="0041687F"/>
    <w:rsid w:val="00416F7D"/>
    <w:rsid w:val="004176F2"/>
    <w:rsid w:val="004229E8"/>
    <w:rsid w:val="00423647"/>
    <w:rsid w:val="004242B2"/>
    <w:rsid w:val="004254E1"/>
    <w:rsid w:val="004259D8"/>
    <w:rsid w:val="004264F3"/>
    <w:rsid w:val="004270FF"/>
    <w:rsid w:val="00427B53"/>
    <w:rsid w:val="00430A34"/>
    <w:rsid w:val="00430B3C"/>
    <w:rsid w:val="004314D5"/>
    <w:rsid w:val="00433AEA"/>
    <w:rsid w:val="00433DD6"/>
    <w:rsid w:val="004342AE"/>
    <w:rsid w:val="0043449E"/>
    <w:rsid w:val="0043495A"/>
    <w:rsid w:val="00435344"/>
    <w:rsid w:val="00435ABF"/>
    <w:rsid w:val="00436B59"/>
    <w:rsid w:val="00437082"/>
    <w:rsid w:val="00437CFA"/>
    <w:rsid w:val="004405D2"/>
    <w:rsid w:val="00440F7F"/>
    <w:rsid w:val="004413CD"/>
    <w:rsid w:val="004421AC"/>
    <w:rsid w:val="0044258D"/>
    <w:rsid w:val="004431C1"/>
    <w:rsid w:val="00443A60"/>
    <w:rsid w:val="00444B1D"/>
    <w:rsid w:val="00444B3C"/>
    <w:rsid w:val="00445F1E"/>
    <w:rsid w:val="004464F9"/>
    <w:rsid w:val="0044779B"/>
    <w:rsid w:val="00447954"/>
    <w:rsid w:val="00447EC7"/>
    <w:rsid w:val="00450482"/>
    <w:rsid w:val="004524A0"/>
    <w:rsid w:val="00455858"/>
    <w:rsid w:val="00455D6F"/>
    <w:rsid w:val="00460B11"/>
    <w:rsid w:val="00460FC9"/>
    <w:rsid w:val="0046326C"/>
    <w:rsid w:val="00463ABB"/>
    <w:rsid w:val="00464C4E"/>
    <w:rsid w:val="00464D70"/>
    <w:rsid w:val="0046553D"/>
    <w:rsid w:val="00466097"/>
    <w:rsid w:val="0046661E"/>
    <w:rsid w:val="00467F28"/>
    <w:rsid w:val="004704DF"/>
    <w:rsid w:val="00470F0D"/>
    <w:rsid w:val="0047290B"/>
    <w:rsid w:val="00473869"/>
    <w:rsid w:val="00473F99"/>
    <w:rsid w:val="00474271"/>
    <w:rsid w:val="00474325"/>
    <w:rsid w:val="00475804"/>
    <w:rsid w:val="00476657"/>
    <w:rsid w:val="00477603"/>
    <w:rsid w:val="00480304"/>
    <w:rsid w:val="0048056C"/>
    <w:rsid w:val="00482DB4"/>
    <w:rsid w:val="00483128"/>
    <w:rsid w:val="00485BD0"/>
    <w:rsid w:val="004862DA"/>
    <w:rsid w:val="00486B51"/>
    <w:rsid w:val="00487152"/>
    <w:rsid w:val="004873DC"/>
    <w:rsid w:val="00487484"/>
    <w:rsid w:val="0048771F"/>
    <w:rsid w:val="0049141E"/>
    <w:rsid w:val="00491A4A"/>
    <w:rsid w:val="00492815"/>
    <w:rsid w:val="00492E40"/>
    <w:rsid w:val="0049365D"/>
    <w:rsid w:val="00494AF1"/>
    <w:rsid w:val="00495538"/>
    <w:rsid w:val="00495A2D"/>
    <w:rsid w:val="004963AC"/>
    <w:rsid w:val="0049651B"/>
    <w:rsid w:val="004968F8"/>
    <w:rsid w:val="00497187"/>
    <w:rsid w:val="004973BE"/>
    <w:rsid w:val="004978BC"/>
    <w:rsid w:val="004A0321"/>
    <w:rsid w:val="004A09AA"/>
    <w:rsid w:val="004A0DAF"/>
    <w:rsid w:val="004A10BC"/>
    <w:rsid w:val="004A1740"/>
    <w:rsid w:val="004A2A07"/>
    <w:rsid w:val="004A2ADF"/>
    <w:rsid w:val="004A3FAA"/>
    <w:rsid w:val="004A426F"/>
    <w:rsid w:val="004A6C13"/>
    <w:rsid w:val="004A6E01"/>
    <w:rsid w:val="004B018B"/>
    <w:rsid w:val="004B2747"/>
    <w:rsid w:val="004B284F"/>
    <w:rsid w:val="004B2E39"/>
    <w:rsid w:val="004B302A"/>
    <w:rsid w:val="004B3E87"/>
    <w:rsid w:val="004B484B"/>
    <w:rsid w:val="004B5E78"/>
    <w:rsid w:val="004B78C6"/>
    <w:rsid w:val="004B7CEE"/>
    <w:rsid w:val="004C15CE"/>
    <w:rsid w:val="004C1C2B"/>
    <w:rsid w:val="004C1CC5"/>
    <w:rsid w:val="004C26EE"/>
    <w:rsid w:val="004C33DE"/>
    <w:rsid w:val="004C44C0"/>
    <w:rsid w:val="004C456A"/>
    <w:rsid w:val="004C47FD"/>
    <w:rsid w:val="004C580A"/>
    <w:rsid w:val="004C6160"/>
    <w:rsid w:val="004C6B4D"/>
    <w:rsid w:val="004C6F88"/>
    <w:rsid w:val="004C75E3"/>
    <w:rsid w:val="004C7B52"/>
    <w:rsid w:val="004C7B70"/>
    <w:rsid w:val="004D055A"/>
    <w:rsid w:val="004D075E"/>
    <w:rsid w:val="004D0B9B"/>
    <w:rsid w:val="004D0FB8"/>
    <w:rsid w:val="004D247E"/>
    <w:rsid w:val="004D28AC"/>
    <w:rsid w:val="004D2A39"/>
    <w:rsid w:val="004D320E"/>
    <w:rsid w:val="004D35C8"/>
    <w:rsid w:val="004D5B09"/>
    <w:rsid w:val="004D6AC9"/>
    <w:rsid w:val="004D6D14"/>
    <w:rsid w:val="004D6DB2"/>
    <w:rsid w:val="004D7783"/>
    <w:rsid w:val="004D7F28"/>
    <w:rsid w:val="004E01F6"/>
    <w:rsid w:val="004E0271"/>
    <w:rsid w:val="004E240B"/>
    <w:rsid w:val="004E2BF2"/>
    <w:rsid w:val="004E412F"/>
    <w:rsid w:val="004E5E71"/>
    <w:rsid w:val="004E645C"/>
    <w:rsid w:val="004E6AA4"/>
    <w:rsid w:val="004E6DD6"/>
    <w:rsid w:val="004E7463"/>
    <w:rsid w:val="004E79B8"/>
    <w:rsid w:val="004F0E49"/>
    <w:rsid w:val="004F1607"/>
    <w:rsid w:val="004F1964"/>
    <w:rsid w:val="004F1CF1"/>
    <w:rsid w:val="004F600B"/>
    <w:rsid w:val="004F742C"/>
    <w:rsid w:val="004F758C"/>
    <w:rsid w:val="0050023D"/>
    <w:rsid w:val="00500774"/>
    <w:rsid w:val="00501D98"/>
    <w:rsid w:val="005021B0"/>
    <w:rsid w:val="0050451B"/>
    <w:rsid w:val="00505AE2"/>
    <w:rsid w:val="00506CAE"/>
    <w:rsid w:val="00511B5B"/>
    <w:rsid w:val="00511FE9"/>
    <w:rsid w:val="00512EF9"/>
    <w:rsid w:val="005144E3"/>
    <w:rsid w:val="00515088"/>
    <w:rsid w:val="00515437"/>
    <w:rsid w:val="00520024"/>
    <w:rsid w:val="0052019E"/>
    <w:rsid w:val="005221A3"/>
    <w:rsid w:val="005228F3"/>
    <w:rsid w:val="00523913"/>
    <w:rsid w:val="005239B2"/>
    <w:rsid w:val="00523A0F"/>
    <w:rsid w:val="005241A6"/>
    <w:rsid w:val="00524AE6"/>
    <w:rsid w:val="005278E9"/>
    <w:rsid w:val="00530DC5"/>
    <w:rsid w:val="005327FC"/>
    <w:rsid w:val="005332A3"/>
    <w:rsid w:val="0053336F"/>
    <w:rsid w:val="00533AA9"/>
    <w:rsid w:val="00534B54"/>
    <w:rsid w:val="00535ED5"/>
    <w:rsid w:val="0053603D"/>
    <w:rsid w:val="0053681E"/>
    <w:rsid w:val="00537F8B"/>
    <w:rsid w:val="0054334F"/>
    <w:rsid w:val="005433BE"/>
    <w:rsid w:val="00545742"/>
    <w:rsid w:val="00546BB3"/>
    <w:rsid w:val="0054768E"/>
    <w:rsid w:val="00547729"/>
    <w:rsid w:val="00547F8F"/>
    <w:rsid w:val="0055023B"/>
    <w:rsid w:val="005509A7"/>
    <w:rsid w:val="005529D8"/>
    <w:rsid w:val="00552E4B"/>
    <w:rsid w:val="005532E5"/>
    <w:rsid w:val="00554A16"/>
    <w:rsid w:val="00554A84"/>
    <w:rsid w:val="00554CC8"/>
    <w:rsid w:val="005559A9"/>
    <w:rsid w:val="00555C50"/>
    <w:rsid w:val="00556790"/>
    <w:rsid w:val="0055793B"/>
    <w:rsid w:val="00560CC1"/>
    <w:rsid w:val="00560D6C"/>
    <w:rsid w:val="00561837"/>
    <w:rsid w:val="00562D62"/>
    <w:rsid w:val="00563C82"/>
    <w:rsid w:val="0056426B"/>
    <w:rsid w:val="005647DE"/>
    <w:rsid w:val="00564A3B"/>
    <w:rsid w:val="00565801"/>
    <w:rsid w:val="00565AEC"/>
    <w:rsid w:val="005665A8"/>
    <w:rsid w:val="00570D85"/>
    <w:rsid w:val="005714A4"/>
    <w:rsid w:val="005718D2"/>
    <w:rsid w:val="00572CCE"/>
    <w:rsid w:val="00574F7F"/>
    <w:rsid w:val="005758E8"/>
    <w:rsid w:val="00575BB0"/>
    <w:rsid w:val="00575DED"/>
    <w:rsid w:val="00575FDF"/>
    <w:rsid w:val="005762FF"/>
    <w:rsid w:val="005774CF"/>
    <w:rsid w:val="00581E5F"/>
    <w:rsid w:val="00582CFC"/>
    <w:rsid w:val="0058308C"/>
    <w:rsid w:val="005837C1"/>
    <w:rsid w:val="00584014"/>
    <w:rsid w:val="0058439D"/>
    <w:rsid w:val="0058482E"/>
    <w:rsid w:val="00590958"/>
    <w:rsid w:val="00591D67"/>
    <w:rsid w:val="0059220D"/>
    <w:rsid w:val="00592844"/>
    <w:rsid w:val="00593A0D"/>
    <w:rsid w:val="00595574"/>
    <w:rsid w:val="00595AD1"/>
    <w:rsid w:val="00595D98"/>
    <w:rsid w:val="0059601C"/>
    <w:rsid w:val="00597208"/>
    <w:rsid w:val="005A042B"/>
    <w:rsid w:val="005A0DBF"/>
    <w:rsid w:val="005A0F16"/>
    <w:rsid w:val="005A2C76"/>
    <w:rsid w:val="005A3266"/>
    <w:rsid w:val="005A353F"/>
    <w:rsid w:val="005A35A9"/>
    <w:rsid w:val="005A393B"/>
    <w:rsid w:val="005A3959"/>
    <w:rsid w:val="005A3BA7"/>
    <w:rsid w:val="005A3E4E"/>
    <w:rsid w:val="005A4F66"/>
    <w:rsid w:val="005A61E4"/>
    <w:rsid w:val="005A76D0"/>
    <w:rsid w:val="005A7EB2"/>
    <w:rsid w:val="005B0799"/>
    <w:rsid w:val="005B07C5"/>
    <w:rsid w:val="005B1E0E"/>
    <w:rsid w:val="005B25B6"/>
    <w:rsid w:val="005B2B00"/>
    <w:rsid w:val="005B2C2C"/>
    <w:rsid w:val="005B2E32"/>
    <w:rsid w:val="005B3492"/>
    <w:rsid w:val="005B5C1E"/>
    <w:rsid w:val="005B62C4"/>
    <w:rsid w:val="005B65AE"/>
    <w:rsid w:val="005B70CE"/>
    <w:rsid w:val="005B73FD"/>
    <w:rsid w:val="005B7485"/>
    <w:rsid w:val="005C035A"/>
    <w:rsid w:val="005C11C6"/>
    <w:rsid w:val="005C223F"/>
    <w:rsid w:val="005C3A14"/>
    <w:rsid w:val="005C3DA2"/>
    <w:rsid w:val="005C4298"/>
    <w:rsid w:val="005C460A"/>
    <w:rsid w:val="005C563D"/>
    <w:rsid w:val="005C5F57"/>
    <w:rsid w:val="005C5FF9"/>
    <w:rsid w:val="005C66A9"/>
    <w:rsid w:val="005D1567"/>
    <w:rsid w:val="005D1768"/>
    <w:rsid w:val="005D2492"/>
    <w:rsid w:val="005D3DBF"/>
    <w:rsid w:val="005D49C8"/>
    <w:rsid w:val="005D6954"/>
    <w:rsid w:val="005E137C"/>
    <w:rsid w:val="005E1548"/>
    <w:rsid w:val="005E1B7D"/>
    <w:rsid w:val="005E24FB"/>
    <w:rsid w:val="005E4BCB"/>
    <w:rsid w:val="005E5A7A"/>
    <w:rsid w:val="005E616D"/>
    <w:rsid w:val="005E6942"/>
    <w:rsid w:val="005E7796"/>
    <w:rsid w:val="005E7C56"/>
    <w:rsid w:val="005E7E75"/>
    <w:rsid w:val="005F0572"/>
    <w:rsid w:val="005F1F5F"/>
    <w:rsid w:val="005F2659"/>
    <w:rsid w:val="005F2661"/>
    <w:rsid w:val="005F2E45"/>
    <w:rsid w:val="005F37BB"/>
    <w:rsid w:val="005F470F"/>
    <w:rsid w:val="005F4744"/>
    <w:rsid w:val="005F5AF5"/>
    <w:rsid w:val="005F6740"/>
    <w:rsid w:val="005F734C"/>
    <w:rsid w:val="005F74DD"/>
    <w:rsid w:val="00601F1E"/>
    <w:rsid w:val="006042B4"/>
    <w:rsid w:val="00605D3E"/>
    <w:rsid w:val="00606F46"/>
    <w:rsid w:val="0060783E"/>
    <w:rsid w:val="00607C70"/>
    <w:rsid w:val="0061026F"/>
    <w:rsid w:val="00610CD0"/>
    <w:rsid w:val="0061311D"/>
    <w:rsid w:val="00613356"/>
    <w:rsid w:val="00613603"/>
    <w:rsid w:val="00613C58"/>
    <w:rsid w:val="0061466C"/>
    <w:rsid w:val="006150B0"/>
    <w:rsid w:val="00615852"/>
    <w:rsid w:val="00615C81"/>
    <w:rsid w:val="00616BA4"/>
    <w:rsid w:val="0061716E"/>
    <w:rsid w:val="006176A3"/>
    <w:rsid w:val="00617AFC"/>
    <w:rsid w:val="006202BD"/>
    <w:rsid w:val="00620B3F"/>
    <w:rsid w:val="0062170A"/>
    <w:rsid w:val="00621FCD"/>
    <w:rsid w:val="00622739"/>
    <w:rsid w:val="006239B8"/>
    <w:rsid w:val="0062589E"/>
    <w:rsid w:val="00625A3C"/>
    <w:rsid w:val="006264F1"/>
    <w:rsid w:val="00626C96"/>
    <w:rsid w:val="0062778D"/>
    <w:rsid w:val="00627C9F"/>
    <w:rsid w:val="00627DFF"/>
    <w:rsid w:val="00631A83"/>
    <w:rsid w:val="00633753"/>
    <w:rsid w:val="00633F98"/>
    <w:rsid w:val="00634932"/>
    <w:rsid w:val="00636485"/>
    <w:rsid w:val="00637241"/>
    <w:rsid w:val="00637574"/>
    <w:rsid w:val="0064035B"/>
    <w:rsid w:val="00640D80"/>
    <w:rsid w:val="006425C0"/>
    <w:rsid w:val="00643C37"/>
    <w:rsid w:val="006447D8"/>
    <w:rsid w:val="00644F28"/>
    <w:rsid w:val="0064512E"/>
    <w:rsid w:val="00645191"/>
    <w:rsid w:val="00645A72"/>
    <w:rsid w:val="00646638"/>
    <w:rsid w:val="00647EA0"/>
    <w:rsid w:val="006500A8"/>
    <w:rsid w:val="00650F70"/>
    <w:rsid w:val="0065159B"/>
    <w:rsid w:val="00651629"/>
    <w:rsid w:val="0065187E"/>
    <w:rsid w:val="006537A8"/>
    <w:rsid w:val="00653CD3"/>
    <w:rsid w:val="00653D49"/>
    <w:rsid w:val="006541AC"/>
    <w:rsid w:val="00654373"/>
    <w:rsid w:val="006553C1"/>
    <w:rsid w:val="00655684"/>
    <w:rsid w:val="00655A25"/>
    <w:rsid w:val="006566CE"/>
    <w:rsid w:val="006574B6"/>
    <w:rsid w:val="00660A97"/>
    <w:rsid w:val="00661A1D"/>
    <w:rsid w:val="0066210C"/>
    <w:rsid w:val="006623B6"/>
    <w:rsid w:val="006624A2"/>
    <w:rsid w:val="006631E3"/>
    <w:rsid w:val="006637A8"/>
    <w:rsid w:val="00664F7D"/>
    <w:rsid w:val="0066546E"/>
    <w:rsid w:val="006673D2"/>
    <w:rsid w:val="00667892"/>
    <w:rsid w:val="00667BBF"/>
    <w:rsid w:val="00670647"/>
    <w:rsid w:val="006731F3"/>
    <w:rsid w:val="006734E2"/>
    <w:rsid w:val="006745CF"/>
    <w:rsid w:val="006747D5"/>
    <w:rsid w:val="00676B85"/>
    <w:rsid w:val="00676B86"/>
    <w:rsid w:val="00676CDC"/>
    <w:rsid w:val="006817B3"/>
    <w:rsid w:val="0068434B"/>
    <w:rsid w:val="006852F7"/>
    <w:rsid w:val="00686FEA"/>
    <w:rsid w:val="006870DA"/>
    <w:rsid w:val="00687F77"/>
    <w:rsid w:val="00692541"/>
    <w:rsid w:val="0069270C"/>
    <w:rsid w:val="006935A0"/>
    <w:rsid w:val="0069506E"/>
    <w:rsid w:val="0069546A"/>
    <w:rsid w:val="00696365"/>
    <w:rsid w:val="00696CF4"/>
    <w:rsid w:val="006975CC"/>
    <w:rsid w:val="0069766F"/>
    <w:rsid w:val="006A0233"/>
    <w:rsid w:val="006A0899"/>
    <w:rsid w:val="006A1EB5"/>
    <w:rsid w:val="006A205B"/>
    <w:rsid w:val="006A24E1"/>
    <w:rsid w:val="006A2A83"/>
    <w:rsid w:val="006A543F"/>
    <w:rsid w:val="006A659F"/>
    <w:rsid w:val="006A6B15"/>
    <w:rsid w:val="006A7526"/>
    <w:rsid w:val="006A784C"/>
    <w:rsid w:val="006A78F1"/>
    <w:rsid w:val="006A7DC3"/>
    <w:rsid w:val="006B0381"/>
    <w:rsid w:val="006B0B85"/>
    <w:rsid w:val="006B1075"/>
    <w:rsid w:val="006B2B43"/>
    <w:rsid w:val="006B366F"/>
    <w:rsid w:val="006B51C2"/>
    <w:rsid w:val="006B5633"/>
    <w:rsid w:val="006B7312"/>
    <w:rsid w:val="006C0199"/>
    <w:rsid w:val="006C0750"/>
    <w:rsid w:val="006C10F3"/>
    <w:rsid w:val="006C133B"/>
    <w:rsid w:val="006C2E76"/>
    <w:rsid w:val="006C41C6"/>
    <w:rsid w:val="006C54C9"/>
    <w:rsid w:val="006C5630"/>
    <w:rsid w:val="006D19DA"/>
    <w:rsid w:val="006D227A"/>
    <w:rsid w:val="006D2B5E"/>
    <w:rsid w:val="006D374C"/>
    <w:rsid w:val="006D3BF3"/>
    <w:rsid w:val="006D4F1B"/>
    <w:rsid w:val="006D6CDC"/>
    <w:rsid w:val="006E2EAE"/>
    <w:rsid w:val="006E383B"/>
    <w:rsid w:val="006E4664"/>
    <w:rsid w:val="006E5FBB"/>
    <w:rsid w:val="006E6C35"/>
    <w:rsid w:val="006E708D"/>
    <w:rsid w:val="006E7737"/>
    <w:rsid w:val="006F0E86"/>
    <w:rsid w:val="006F1837"/>
    <w:rsid w:val="006F1AD8"/>
    <w:rsid w:val="006F1CA4"/>
    <w:rsid w:val="006F21F0"/>
    <w:rsid w:val="006F2A3F"/>
    <w:rsid w:val="006F351B"/>
    <w:rsid w:val="006F392B"/>
    <w:rsid w:val="006F3CD1"/>
    <w:rsid w:val="006F4330"/>
    <w:rsid w:val="006F6706"/>
    <w:rsid w:val="006F68D6"/>
    <w:rsid w:val="006F692C"/>
    <w:rsid w:val="006F7C55"/>
    <w:rsid w:val="007003E8"/>
    <w:rsid w:val="007026C3"/>
    <w:rsid w:val="0070272D"/>
    <w:rsid w:val="00703A9A"/>
    <w:rsid w:val="00704C25"/>
    <w:rsid w:val="00705724"/>
    <w:rsid w:val="00705789"/>
    <w:rsid w:val="00705A10"/>
    <w:rsid w:val="00705F1D"/>
    <w:rsid w:val="0070620D"/>
    <w:rsid w:val="0070663A"/>
    <w:rsid w:val="0070667A"/>
    <w:rsid w:val="007066CA"/>
    <w:rsid w:val="00706AC7"/>
    <w:rsid w:val="0070758D"/>
    <w:rsid w:val="00707C35"/>
    <w:rsid w:val="00707D70"/>
    <w:rsid w:val="00711248"/>
    <w:rsid w:val="00711C31"/>
    <w:rsid w:val="00713BC9"/>
    <w:rsid w:val="007145B0"/>
    <w:rsid w:val="007149D9"/>
    <w:rsid w:val="007163E6"/>
    <w:rsid w:val="00716679"/>
    <w:rsid w:val="00716DCB"/>
    <w:rsid w:val="00720B33"/>
    <w:rsid w:val="00720BD0"/>
    <w:rsid w:val="00721617"/>
    <w:rsid w:val="00722204"/>
    <w:rsid w:val="00722795"/>
    <w:rsid w:val="007239AC"/>
    <w:rsid w:val="00723DC4"/>
    <w:rsid w:val="00723E95"/>
    <w:rsid w:val="007251E3"/>
    <w:rsid w:val="00725B66"/>
    <w:rsid w:val="007267E0"/>
    <w:rsid w:val="00726D2F"/>
    <w:rsid w:val="007315EF"/>
    <w:rsid w:val="00732492"/>
    <w:rsid w:val="007328CA"/>
    <w:rsid w:val="007328CD"/>
    <w:rsid w:val="007328F1"/>
    <w:rsid w:val="00733893"/>
    <w:rsid w:val="00733953"/>
    <w:rsid w:val="00733F37"/>
    <w:rsid w:val="00735F74"/>
    <w:rsid w:val="00736364"/>
    <w:rsid w:val="0073642B"/>
    <w:rsid w:val="0073655D"/>
    <w:rsid w:val="00736BBC"/>
    <w:rsid w:val="00737217"/>
    <w:rsid w:val="0073763D"/>
    <w:rsid w:val="0074017D"/>
    <w:rsid w:val="00740AB1"/>
    <w:rsid w:val="007420FB"/>
    <w:rsid w:val="00743CCA"/>
    <w:rsid w:val="00746ABF"/>
    <w:rsid w:val="007507AF"/>
    <w:rsid w:val="00750D35"/>
    <w:rsid w:val="00750F2F"/>
    <w:rsid w:val="0075199C"/>
    <w:rsid w:val="0075219B"/>
    <w:rsid w:val="00752272"/>
    <w:rsid w:val="007526B5"/>
    <w:rsid w:val="0075272B"/>
    <w:rsid w:val="00754496"/>
    <w:rsid w:val="00754C92"/>
    <w:rsid w:val="0075518B"/>
    <w:rsid w:val="007558C4"/>
    <w:rsid w:val="00755C87"/>
    <w:rsid w:val="007613E8"/>
    <w:rsid w:val="0076315E"/>
    <w:rsid w:val="0076684E"/>
    <w:rsid w:val="00766A58"/>
    <w:rsid w:val="00770E7B"/>
    <w:rsid w:val="0077133E"/>
    <w:rsid w:val="00772716"/>
    <w:rsid w:val="007740AA"/>
    <w:rsid w:val="00774DF5"/>
    <w:rsid w:val="00775606"/>
    <w:rsid w:val="007764F4"/>
    <w:rsid w:val="0077654F"/>
    <w:rsid w:val="00776669"/>
    <w:rsid w:val="0077686F"/>
    <w:rsid w:val="00776AB8"/>
    <w:rsid w:val="00776E6A"/>
    <w:rsid w:val="007801D2"/>
    <w:rsid w:val="0078130A"/>
    <w:rsid w:val="00781550"/>
    <w:rsid w:val="00781A2E"/>
    <w:rsid w:val="00781B0B"/>
    <w:rsid w:val="007822A3"/>
    <w:rsid w:val="0078449A"/>
    <w:rsid w:val="00784A93"/>
    <w:rsid w:val="00786F07"/>
    <w:rsid w:val="00790119"/>
    <w:rsid w:val="00790FB6"/>
    <w:rsid w:val="00791393"/>
    <w:rsid w:val="007920CA"/>
    <w:rsid w:val="00792EBE"/>
    <w:rsid w:val="00793616"/>
    <w:rsid w:val="00795D7D"/>
    <w:rsid w:val="00796246"/>
    <w:rsid w:val="0079672F"/>
    <w:rsid w:val="007969DC"/>
    <w:rsid w:val="00797AF9"/>
    <w:rsid w:val="007A0130"/>
    <w:rsid w:val="007A0DCF"/>
    <w:rsid w:val="007A0FD0"/>
    <w:rsid w:val="007A2AE7"/>
    <w:rsid w:val="007A31DC"/>
    <w:rsid w:val="007A33F8"/>
    <w:rsid w:val="007A367B"/>
    <w:rsid w:val="007A4F6D"/>
    <w:rsid w:val="007A50EF"/>
    <w:rsid w:val="007A5F15"/>
    <w:rsid w:val="007A679B"/>
    <w:rsid w:val="007B1465"/>
    <w:rsid w:val="007B1E50"/>
    <w:rsid w:val="007B231F"/>
    <w:rsid w:val="007B29E4"/>
    <w:rsid w:val="007B33A7"/>
    <w:rsid w:val="007B3A5C"/>
    <w:rsid w:val="007B4407"/>
    <w:rsid w:val="007B4D7B"/>
    <w:rsid w:val="007B5970"/>
    <w:rsid w:val="007B5E38"/>
    <w:rsid w:val="007B64BD"/>
    <w:rsid w:val="007B67FD"/>
    <w:rsid w:val="007B6C74"/>
    <w:rsid w:val="007B6ECE"/>
    <w:rsid w:val="007B7457"/>
    <w:rsid w:val="007C088F"/>
    <w:rsid w:val="007C0F5A"/>
    <w:rsid w:val="007C1BDF"/>
    <w:rsid w:val="007C1D49"/>
    <w:rsid w:val="007C1F01"/>
    <w:rsid w:val="007C3D86"/>
    <w:rsid w:val="007C428F"/>
    <w:rsid w:val="007C4593"/>
    <w:rsid w:val="007C6628"/>
    <w:rsid w:val="007C7DAC"/>
    <w:rsid w:val="007D0E47"/>
    <w:rsid w:val="007D15FA"/>
    <w:rsid w:val="007D1DD4"/>
    <w:rsid w:val="007D20E2"/>
    <w:rsid w:val="007D39B9"/>
    <w:rsid w:val="007D3A6C"/>
    <w:rsid w:val="007D3CA9"/>
    <w:rsid w:val="007D49BE"/>
    <w:rsid w:val="007D49DA"/>
    <w:rsid w:val="007D652F"/>
    <w:rsid w:val="007D665B"/>
    <w:rsid w:val="007D7D94"/>
    <w:rsid w:val="007E0D85"/>
    <w:rsid w:val="007E30A9"/>
    <w:rsid w:val="007E34F7"/>
    <w:rsid w:val="007E3985"/>
    <w:rsid w:val="007E462B"/>
    <w:rsid w:val="007E4A95"/>
    <w:rsid w:val="007E4DE8"/>
    <w:rsid w:val="007E57A3"/>
    <w:rsid w:val="007E6751"/>
    <w:rsid w:val="007F09EA"/>
    <w:rsid w:val="007F1A4A"/>
    <w:rsid w:val="007F1B38"/>
    <w:rsid w:val="007F227A"/>
    <w:rsid w:val="007F3BDC"/>
    <w:rsid w:val="007F4183"/>
    <w:rsid w:val="007F447B"/>
    <w:rsid w:val="007F50C9"/>
    <w:rsid w:val="007F5B3D"/>
    <w:rsid w:val="007F61AE"/>
    <w:rsid w:val="007F6BC2"/>
    <w:rsid w:val="007F7C9F"/>
    <w:rsid w:val="008004BF"/>
    <w:rsid w:val="00800A68"/>
    <w:rsid w:val="0080153F"/>
    <w:rsid w:val="008022F1"/>
    <w:rsid w:val="00802A0D"/>
    <w:rsid w:val="00802EEF"/>
    <w:rsid w:val="00804AB5"/>
    <w:rsid w:val="00806CBB"/>
    <w:rsid w:val="00807540"/>
    <w:rsid w:val="00807552"/>
    <w:rsid w:val="00810AE7"/>
    <w:rsid w:val="008146AB"/>
    <w:rsid w:val="00815C98"/>
    <w:rsid w:val="0081687E"/>
    <w:rsid w:val="00816A9A"/>
    <w:rsid w:val="00817003"/>
    <w:rsid w:val="008173B3"/>
    <w:rsid w:val="00817E2A"/>
    <w:rsid w:val="00820E10"/>
    <w:rsid w:val="008213CF"/>
    <w:rsid w:val="00821D7E"/>
    <w:rsid w:val="00822276"/>
    <w:rsid w:val="0082247C"/>
    <w:rsid w:val="008228CD"/>
    <w:rsid w:val="008233AA"/>
    <w:rsid w:val="008238BF"/>
    <w:rsid w:val="00825FF0"/>
    <w:rsid w:val="0082742B"/>
    <w:rsid w:val="008276DD"/>
    <w:rsid w:val="00827FA2"/>
    <w:rsid w:val="00831B04"/>
    <w:rsid w:val="00832996"/>
    <w:rsid w:val="00833943"/>
    <w:rsid w:val="00833969"/>
    <w:rsid w:val="008346F5"/>
    <w:rsid w:val="00837A3E"/>
    <w:rsid w:val="00840269"/>
    <w:rsid w:val="00840A4F"/>
    <w:rsid w:val="008412C4"/>
    <w:rsid w:val="00841562"/>
    <w:rsid w:val="00841C0D"/>
    <w:rsid w:val="00843137"/>
    <w:rsid w:val="00843201"/>
    <w:rsid w:val="00843B61"/>
    <w:rsid w:val="0084442B"/>
    <w:rsid w:val="00845476"/>
    <w:rsid w:val="008454BD"/>
    <w:rsid w:val="00845CCA"/>
    <w:rsid w:val="00845D1F"/>
    <w:rsid w:val="00846106"/>
    <w:rsid w:val="00847A9D"/>
    <w:rsid w:val="0085063A"/>
    <w:rsid w:val="00850D63"/>
    <w:rsid w:val="00852ECA"/>
    <w:rsid w:val="00854E14"/>
    <w:rsid w:val="00856D8A"/>
    <w:rsid w:val="0086025C"/>
    <w:rsid w:val="00860435"/>
    <w:rsid w:val="008607A5"/>
    <w:rsid w:val="008612FA"/>
    <w:rsid w:val="00862526"/>
    <w:rsid w:val="008628F6"/>
    <w:rsid w:val="0086333D"/>
    <w:rsid w:val="00863F07"/>
    <w:rsid w:val="0086408F"/>
    <w:rsid w:val="00864B2B"/>
    <w:rsid w:val="008650AE"/>
    <w:rsid w:val="00865133"/>
    <w:rsid w:val="00867276"/>
    <w:rsid w:val="00870E8D"/>
    <w:rsid w:val="00871631"/>
    <w:rsid w:val="0087552B"/>
    <w:rsid w:val="00875567"/>
    <w:rsid w:val="008776F8"/>
    <w:rsid w:val="008806D9"/>
    <w:rsid w:val="00882289"/>
    <w:rsid w:val="00882B85"/>
    <w:rsid w:val="0088301D"/>
    <w:rsid w:val="00883E09"/>
    <w:rsid w:val="00886510"/>
    <w:rsid w:val="0088770E"/>
    <w:rsid w:val="00887F87"/>
    <w:rsid w:val="00890A54"/>
    <w:rsid w:val="00891DC5"/>
    <w:rsid w:val="00891DF5"/>
    <w:rsid w:val="008932E6"/>
    <w:rsid w:val="0089380C"/>
    <w:rsid w:val="0089390C"/>
    <w:rsid w:val="00893F2D"/>
    <w:rsid w:val="008948B8"/>
    <w:rsid w:val="00894F92"/>
    <w:rsid w:val="00895455"/>
    <w:rsid w:val="008956FC"/>
    <w:rsid w:val="008A09DC"/>
    <w:rsid w:val="008A1CB2"/>
    <w:rsid w:val="008A1DCE"/>
    <w:rsid w:val="008A2025"/>
    <w:rsid w:val="008A3E8F"/>
    <w:rsid w:val="008A3FF5"/>
    <w:rsid w:val="008A5388"/>
    <w:rsid w:val="008A5496"/>
    <w:rsid w:val="008A578B"/>
    <w:rsid w:val="008A5B80"/>
    <w:rsid w:val="008A647C"/>
    <w:rsid w:val="008A69EA"/>
    <w:rsid w:val="008A7D25"/>
    <w:rsid w:val="008B0F36"/>
    <w:rsid w:val="008B21A6"/>
    <w:rsid w:val="008B5953"/>
    <w:rsid w:val="008B6AEB"/>
    <w:rsid w:val="008C011D"/>
    <w:rsid w:val="008C024D"/>
    <w:rsid w:val="008C09C7"/>
    <w:rsid w:val="008C140C"/>
    <w:rsid w:val="008C1C09"/>
    <w:rsid w:val="008C264B"/>
    <w:rsid w:val="008C2737"/>
    <w:rsid w:val="008C2AA8"/>
    <w:rsid w:val="008C3EBF"/>
    <w:rsid w:val="008C486A"/>
    <w:rsid w:val="008C61BA"/>
    <w:rsid w:val="008C6273"/>
    <w:rsid w:val="008C7113"/>
    <w:rsid w:val="008D0F90"/>
    <w:rsid w:val="008D12D6"/>
    <w:rsid w:val="008D1B67"/>
    <w:rsid w:val="008D230B"/>
    <w:rsid w:val="008D25C5"/>
    <w:rsid w:val="008D2D72"/>
    <w:rsid w:val="008D3F65"/>
    <w:rsid w:val="008D3FC5"/>
    <w:rsid w:val="008D5F2C"/>
    <w:rsid w:val="008D61CD"/>
    <w:rsid w:val="008D75F7"/>
    <w:rsid w:val="008D7AA6"/>
    <w:rsid w:val="008E0584"/>
    <w:rsid w:val="008E11AF"/>
    <w:rsid w:val="008E18C4"/>
    <w:rsid w:val="008E1DF8"/>
    <w:rsid w:val="008E2727"/>
    <w:rsid w:val="008E4549"/>
    <w:rsid w:val="008E4C15"/>
    <w:rsid w:val="008E57F1"/>
    <w:rsid w:val="008E69D0"/>
    <w:rsid w:val="008E70BE"/>
    <w:rsid w:val="008E7947"/>
    <w:rsid w:val="008E7D87"/>
    <w:rsid w:val="008E7DDA"/>
    <w:rsid w:val="008F0032"/>
    <w:rsid w:val="008F2533"/>
    <w:rsid w:val="008F3B19"/>
    <w:rsid w:val="008F4BDB"/>
    <w:rsid w:val="008F4E1B"/>
    <w:rsid w:val="008F5358"/>
    <w:rsid w:val="008F705B"/>
    <w:rsid w:val="00900199"/>
    <w:rsid w:val="00900384"/>
    <w:rsid w:val="00900E16"/>
    <w:rsid w:val="0090102E"/>
    <w:rsid w:val="009042CF"/>
    <w:rsid w:val="009047ED"/>
    <w:rsid w:val="0090622C"/>
    <w:rsid w:val="009062E6"/>
    <w:rsid w:val="009064C6"/>
    <w:rsid w:val="009076AD"/>
    <w:rsid w:val="009103F8"/>
    <w:rsid w:val="00910B62"/>
    <w:rsid w:val="00910F52"/>
    <w:rsid w:val="00912133"/>
    <w:rsid w:val="00913589"/>
    <w:rsid w:val="0091377A"/>
    <w:rsid w:val="009139AE"/>
    <w:rsid w:val="009159BE"/>
    <w:rsid w:val="00916122"/>
    <w:rsid w:val="00917C97"/>
    <w:rsid w:val="00920BD0"/>
    <w:rsid w:val="00920E10"/>
    <w:rsid w:val="00921266"/>
    <w:rsid w:val="00922314"/>
    <w:rsid w:val="00922C2B"/>
    <w:rsid w:val="00923493"/>
    <w:rsid w:val="00923498"/>
    <w:rsid w:val="00923847"/>
    <w:rsid w:val="00923CE4"/>
    <w:rsid w:val="00926B5F"/>
    <w:rsid w:val="009302B1"/>
    <w:rsid w:val="00930721"/>
    <w:rsid w:val="0093195D"/>
    <w:rsid w:val="00933746"/>
    <w:rsid w:val="009343C2"/>
    <w:rsid w:val="0093514A"/>
    <w:rsid w:val="00937204"/>
    <w:rsid w:val="0093756B"/>
    <w:rsid w:val="009377F9"/>
    <w:rsid w:val="009400C2"/>
    <w:rsid w:val="00940DF2"/>
    <w:rsid w:val="00941029"/>
    <w:rsid w:val="00942798"/>
    <w:rsid w:val="00942CD5"/>
    <w:rsid w:val="0094385D"/>
    <w:rsid w:val="009462FA"/>
    <w:rsid w:val="009475BA"/>
    <w:rsid w:val="009477D1"/>
    <w:rsid w:val="009505DD"/>
    <w:rsid w:val="00950FFF"/>
    <w:rsid w:val="0095235E"/>
    <w:rsid w:val="00954619"/>
    <w:rsid w:val="00954E3E"/>
    <w:rsid w:val="0095536D"/>
    <w:rsid w:val="00955905"/>
    <w:rsid w:val="00956E8C"/>
    <w:rsid w:val="00956F7C"/>
    <w:rsid w:val="00957AA6"/>
    <w:rsid w:val="00960C53"/>
    <w:rsid w:val="009625A8"/>
    <w:rsid w:val="00962612"/>
    <w:rsid w:val="00962742"/>
    <w:rsid w:val="00962E14"/>
    <w:rsid w:val="00965459"/>
    <w:rsid w:val="009656ED"/>
    <w:rsid w:val="00966608"/>
    <w:rsid w:val="009670A7"/>
    <w:rsid w:val="00967450"/>
    <w:rsid w:val="0096761A"/>
    <w:rsid w:val="009705B3"/>
    <w:rsid w:val="009707B6"/>
    <w:rsid w:val="0097087A"/>
    <w:rsid w:val="00971016"/>
    <w:rsid w:val="009721B9"/>
    <w:rsid w:val="0097374F"/>
    <w:rsid w:val="0097483A"/>
    <w:rsid w:val="00974CCC"/>
    <w:rsid w:val="00975CF0"/>
    <w:rsid w:val="00975E9F"/>
    <w:rsid w:val="009761D1"/>
    <w:rsid w:val="009778E5"/>
    <w:rsid w:val="00977E09"/>
    <w:rsid w:val="009813A6"/>
    <w:rsid w:val="00981D16"/>
    <w:rsid w:val="00982335"/>
    <w:rsid w:val="0098472C"/>
    <w:rsid w:val="00986AE6"/>
    <w:rsid w:val="009870E1"/>
    <w:rsid w:val="009915EB"/>
    <w:rsid w:val="00991F8D"/>
    <w:rsid w:val="00992485"/>
    <w:rsid w:val="00992734"/>
    <w:rsid w:val="009928ED"/>
    <w:rsid w:val="009951EF"/>
    <w:rsid w:val="0099596C"/>
    <w:rsid w:val="00995E3F"/>
    <w:rsid w:val="00996B7B"/>
    <w:rsid w:val="009A0C0D"/>
    <w:rsid w:val="009A1756"/>
    <w:rsid w:val="009A1888"/>
    <w:rsid w:val="009A430A"/>
    <w:rsid w:val="009A58EF"/>
    <w:rsid w:val="009A5C42"/>
    <w:rsid w:val="009A604C"/>
    <w:rsid w:val="009B105D"/>
    <w:rsid w:val="009B2AF3"/>
    <w:rsid w:val="009B2F96"/>
    <w:rsid w:val="009B31A4"/>
    <w:rsid w:val="009B5AEF"/>
    <w:rsid w:val="009B63C2"/>
    <w:rsid w:val="009B7452"/>
    <w:rsid w:val="009B7B1F"/>
    <w:rsid w:val="009C0993"/>
    <w:rsid w:val="009C0C78"/>
    <w:rsid w:val="009C11EA"/>
    <w:rsid w:val="009C163C"/>
    <w:rsid w:val="009C2244"/>
    <w:rsid w:val="009C3C7B"/>
    <w:rsid w:val="009C5402"/>
    <w:rsid w:val="009C6917"/>
    <w:rsid w:val="009C6F77"/>
    <w:rsid w:val="009C7525"/>
    <w:rsid w:val="009D1991"/>
    <w:rsid w:val="009D1CFF"/>
    <w:rsid w:val="009D1D31"/>
    <w:rsid w:val="009D1D7A"/>
    <w:rsid w:val="009D2099"/>
    <w:rsid w:val="009D2E41"/>
    <w:rsid w:val="009D3E6D"/>
    <w:rsid w:val="009D77CC"/>
    <w:rsid w:val="009E17C3"/>
    <w:rsid w:val="009E1E79"/>
    <w:rsid w:val="009E2A69"/>
    <w:rsid w:val="009E39BB"/>
    <w:rsid w:val="009E3E55"/>
    <w:rsid w:val="009E4604"/>
    <w:rsid w:val="009E4A29"/>
    <w:rsid w:val="009E7272"/>
    <w:rsid w:val="009F0AF4"/>
    <w:rsid w:val="009F1183"/>
    <w:rsid w:val="009F1514"/>
    <w:rsid w:val="009F18D8"/>
    <w:rsid w:val="009F1B33"/>
    <w:rsid w:val="009F2F7B"/>
    <w:rsid w:val="009F44B4"/>
    <w:rsid w:val="009F4C02"/>
    <w:rsid w:val="009F4DC8"/>
    <w:rsid w:val="009F589F"/>
    <w:rsid w:val="009F7119"/>
    <w:rsid w:val="00A00401"/>
    <w:rsid w:val="00A00A55"/>
    <w:rsid w:val="00A00C7C"/>
    <w:rsid w:val="00A0100F"/>
    <w:rsid w:val="00A02573"/>
    <w:rsid w:val="00A03479"/>
    <w:rsid w:val="00A043DE"/>
    <w:rsid w:val="00A048A8"/>
    <w:rsid w:val="00A04903"/>
    <w:rsid w:val="00A056AA"/>
    <w:rsid w:val="00A05BAE"/>
    <w:rsid w:val="00A06F04"/>
    <w:rsid w:val="00A0768A"/>
    <w:rsid w:val="00A0768B"/>
    <w:rsid w:val="00A0769E"/>
    <w:rsid w:val="00A11618"/>
    <w:rsid w:val="00A119DE"/>
    <w:rsid w:val="00A11FE2"/>
    <w:rsid w:val="00A13F6F"/>
    <w:rsid w:val="00A14CF4"/>
    <w:rsid w:val="00A15060"/>
    <w:rsid w:val="00A1570C"/>
    <w:rsid w:val="00A15C4A"/>
    <w:rsid w:val="00A15C4F"/>
    <w:rsid w:val="00A1659C"/>
    <w:rsid w:val="00A16E60"/>
    <w:rsid w:val="00A221B4"/>
    <w:rsid w:val="00A22CED"/>
    <w:rsid w:val="00A23560"/>
    <w:rsid w:val="00A2438D"/>
    <w:rsid w:val="00A25121"/>
    <w:rsid w:val="00A26C27"/>
    <w:rsid w:val="00A27045"/>
    <w:rsid w:val="00A2724A"/>
    <w:rsid w:val="00A27394"/>
    <w:rsid w:val="00A27CB5"/>
    <w:rsid w:val="00A30C5A"/>
    <w:rsid w:val="00A32754"/>
    <w:rsid w:val="00A33FB6"/>
    <w:rsid w:val="00A34444"/>
    <w:rsid w:val="00A34C54"/>
    <w:rsid w:val="00A365E5"/>
    <w:rsid w:val="00A369A4"/>
    <w:rsid w:val="00A36F98"/>
    <w:rsid w:val="00A37149"/>
    <w:rsid w:val="00A37539"/>
    <w:rsid w:val="00A37777"/>
    <w:rsid w:val="00A4045F"/>
    <w:rsid w:val="00A40747"/>
    <w:rsid w:val="00A40B4C"/>
    <w:rsid w:val="00A40E19"/>
    <w:rsid w:val="00A43513"/>
    <w:rsid w:val="00A45B0A"/>
    <w:rsid w:val="00A46A68"/>
    <w:rsid w:val="00A47388"/>
    <w:rsid w:val="00A477F7"/>
    <w:rsid w:val="00A51842"/>
    <w:rsid w:val="00A51AA1"/>
    <w:rsid w:val="00A53831"/>
    <w:rsid w:val="00A53DBF"/>
    <w:rsid w:val="00A53F3F"/>
    <w:rsid w:val="00A55D19"/>
    <w:rsid w:val="00A566E6"/>
    <w:rsid w:val="00A56895"/>
    <w:rsid w:val="00A574D1"/>
    <w:rsid w:val="00A60347"/>
    <w:rsid w:val="00A6094C"/>
    <w:rsid w:val="00A60DC6"/>
    <w:rsid w:val="00A60E63"/>
    <w:rsid w:val="00A622AD"/>
    <w:rsid w:val="00A62487"/>
    <w:rsid w:val="00A6293D"/>
    <w:rsid w:val="00A63AF0"/>
    <w:rsid w:val="00A64702"/>
    <w:rsid w:val="00A65EA3"/>
    <w:rsid w:val="00A66600"/>
    <w:rsid w:val="00A67E70"/>
    <w:rsid w:val="00A70534"/>
    <w:rsid w:val="00A72761"/>
    <w:rsid w:val="00A72952"/>
    <w:rsid w:val="00A72962"/>
    <w:rsid w:val="00A73A46"/>
    <w:rsid w:val="00A748DB"/>
    <w:rsid w:val="00A7495B"/>
    <w:rsid w:val="00A749D3"/>
    <w:rsid w:val="00A74A2B"/>
    <w:rsid w:val="00A7525C"/>
    <w:rsid w:val="00A7637F"/>
    <w:rsid w:val="00A7741B"/>
    <w:rsid w:val="00A7743E"/>
    <w:rsid w:val="00A7758C"/>
    <w:rsid w:val="00A77B25"/>
    <w:rsid w:val="00A80DAB"/>
    <w:rsid w:val="00A81152"/>
    <w:rsid w:val="00A81AE4"/>
    <w:rsid w:val="00A81EF7"/>
    <w:rsid w:val="00A82B5B"/>
    <w:rsid w:val="00A83153"/>
    <w:rsid w:val="00A84DED"/>
    <w:rsid w:val="00A8749C"/>
    <w:rsid w:val="00A8785A"/>
    <w:rsid w:val="00A90432"/>
    <w:rsid w:val="00A92103"/>
    <w:rsid w:val="00A92470"/>
    <w:rsid w:val="00A92484"/>
    <w:rsid w:val="00A92588"/>
    <w:rsid w:val="00A93303"/>
    <w:rsid w:val="00A9401C"/>
    <w:rsid w:val="00A94EF8"/>
    <w:rsid w:val="00A9551E"/>
    <w:rsid w:val="00A96B34"/>
    <w:rsid w:val="00AA32B7"/>
    <w:rsid w:val="00AA694B"/>
    <w:rsid w:val="00AA7B60"/>
    <w:rsid w:val="00AB0D4B"/>
    <w:rsid w:val="00AB0DB7"/>
    <w:rsid w:val="00AB0E27"/>
    <w:rsid w:val="00AB13A0"/>
    <w:rsid w:val="00AB3177"/>
    <w:rsid w:val="00AB323F"/>
    <w:rsid w:val="00AB6448"/>
    <w:rsid w:val="00AB7D90"/>
    <w:rsid w:val="00AC04B4"/>
    <w:rsid w:val="00AC0ECB"/>
    <w:rsid w:val="00AC24D4"/>
    <w:rsid w:val="00AC2AC3"/>
    <w:rsid w:val="00AC2E1D"/>
    <w:rsid w:val="00AC3111"/>
    <w:rsid w:val="00AC4224"/>
    <w:rsid w:val="00AC46F5"/>
    <w:rsid w:val="00AC4F32"/>
    <w:rsid w:val="00AD084F"/>
    <w:rsid w:val="00AD191A"/>
    <w:rsid w:val="00AD2CD8"/>
    <w:rsid w:val="00AD3EA9"/>
    <w:rsid w:val="00AD4986"/>
    <w:rsid w:val="00AD5171"/>
    <w:rsid w:val="00AD5C9D"/>
    <w:rsid w:val="00AD5DDB"/>
    <w:rsid w:val="00AD783C"/>
    <w:rsid w:val="00AE0088"/>
    <w:rsid w:val="00AE0B40"/>
    <w:rsid w:val="00AE0C9B"/>
    <w:rsid w:val="00AE2F8C"/>
    <w:rsid w:val="00AE42E1"/>
    <w:rsid w:val="00AE4504"/>
    <w:rsid w:val="00AE6B9C"/>
    <w:rsid w:val="00AE6ED1"/>
    <w:rsid w:val="00AF0598"/>
    <w:rsid w:val="00AF05C5"/>
    <w:rsid w:val="00AF0A05"/>
    <w:rsid w:val="00AF0A2A"/>
    <w:rsid w:val="00AF0E99"/>
    <w:rsid w:val="00AF1032"/>
    <w:rsid w:val="00AF1BA8"/>
    <w:rsid w:val="00AF2018"/>
    <w:rsid w:val="00AF30DB"/>
    <w:rsid w:val="00AF41B8"/>
    <w:rsid w:val="00AF4371"/>
    <w:rsid w:val="00AF4F62"/>
    <w:rsid w:val="00AF5AD6"/>
    <w:rsid w:val="00AF5C77"/>
    <w:rsid w:val="00AF62C2"/>
    <w:rsid w:val="00AF6437"/>
    <w:rsid w:val="00AF6F08"/>
    <w:rsid w:val="00AF701E"/>
    <w:rsid w:val="00AF7E61"/>
    <w:rsid w:val="00AF7F86"/>
    <w:rsid w:val="00B00394"/>
    <w:rsid w:val="00B00475"/>
    <w:rsid w:val="00B00D76"/>
    <w:rsid w:val="00B02CB6"/>
    <w:rsid w:val="00B03D10"/>
    <w:rsid w:val="00B03EC0"/>
    <w:rsid w:val="00B04DA2"/>
    <w:rsid w:val="00B05FDA"/>
    <w:rsid w:val="00B06882"/>
    <w:rsid w:val="00B07016"/>
    <w:rsid w:val="00B07FF3"/>
    <w:rsid w:val="00B102FB"/>
    <w:rsid w:val="00B11977"/>
    <w:rsid w:val="00B12FEE"/>
    <w:rsid w:val="00B140C8"/>
    <w:rsid w:val="00B146C0"/>
    <w:rsid w:val="00B146CF"/>
    <w:rsid w:val="00B161E7"/>
    <w:rsid w:val="00B16878"/>
    <w:rsid w:val="00B1735E"/>
    <w:rsid w:val="00B17DC9"/>
    <w:rsid w:val="00B20AFB"/>
    <w:rsid w:val="00B24DDF"/>
    <w:rsid w:val="00B25126"/>
    <w:rsid w:val="00B25FB2"/>
    <w:rsid w:val="00B26644"/>
    <w:rsid w:val="00B2678B"/>
    <w:rsid w:val="00B26D87"/>
    <w:rsid w:val="00B27218"/>
    <w:rsid w:val="00B30385"/>
    <w:rsid w:val="00B3047C"/>
    <w:rsid w:val="00B30862"/>
    <w:rsid w:val="00B30F8A"/>
    <w:rsid w:val="00B32E4E"/>
    <w:rsid w:val="00B3447E"/>
    <w:rsid w:val="00B34C9E"/>
    <w:rsid w:val="00B3528D"/>
    <w:rsid w:val="00B354B4"/>
    <w:rsid w:val="00B360DA"/>
    <w:rsid w:val="00B36A5A"/>
    <w:rsid w:val="00B37147"/>
    <w:rsid w:val="00B41B84"/>
    <w:rsid w:val="00B43F32"/>
    <w:rsid w:val="00B44232"/>
    <w:rsid w:val="00B4456F"/>
    <w:rsid w:val="00B4495A"/>
    <w:rsid w:val="00B449D9"/>
    <w:rsid w:val="00B466BF"/>
    <w:rsid w:val="00B46994"/>
    <w:rsid w:val="00B50DE3"/>
    <w:rsid w:val="00B5248B"/>
    <w:rsid w:val="00B52646"/>
    <w:rsid w:val="00B53DA9"/>
    <w:rsid w:val="00B540B4"/>
    <w:rsid w:val="00B54635"/>
    <w:rsid w:val="00B6125B"/>
    <w:rsid w:val="00B61F61"/>
    <w:rsid w:val="00B62A9A"/>
    <w:rsid w:val="00B62FF4"/>
    <w:rsid w:val="00B63BBC"/>
    <w:rsid w:val="00B641BD"/>
    <w:rsid w:val="00B65039"/>
    <w:rsid w:val="00B65BE1"/>
    <w:rsid w:val="00B66430"/>
    <w:rsid w:val="00B66638"/>
    <w:rsid w:val="00B669C6"/>
    <w:rsid w:val="00B70043"/>
    <w:rsid w:val="00B701E9"/>
    <w:rsid w:val="00B72BF1"/>
    <w:rsid w:val="00B72BF9"/>
    <w:rsid w:val="00B72D4F"/>
    <w:rsid w:val="00B7496E"/>
    <w:rsid w:val="00B754F0"/>
    <w:rsid w:val="00B7657F"/>
    <w:rsid w:val="00B802A8"/>
    <w:rsid w:val="00B80C9B"/>
    <w:rsid w:val="00B810EA"/>
    <w:rsid w:val="00B8152A"/>
    <w:rsid w:val="00B819C1"/>
    <w:rsid w:val="00B82F2B"/>
    <w:rsid w:val="00B83E30"/>
    <w:rsid w:val="00B84084"/>
    <w:rsid w:val="00B84286"/>
    <w:rsid w:val="00B86319"/>
    <w:rsid w:val="00B87EFB"/>
    <w:rsid w:val="00B90CF8"/>
    <w:rsid w:val="00B9186A"/>
    <w:rsid w:val="00B91986"/>
    <w:rsid w:val="00B930EF"/>
    <w:rsid w:val="00B93782"/>
    <w:rsid w:val="00B93CAD"/>
    <w:rsid w:val="00B94ADD"/>
    <w:rsid w:val="00B96E4F"/>
    <w:rsid w:val="00BA127E"/>
    <w:rsid w:val="00BA2100"/>
    <w:rsid w:val="00BA2E0F"/>
    <w:rsid w:val="00BA3872"/>
    <w:rsid w:val="00BA3A04"/>
    <w:rsid w:val="00BA3A3D"/>
    <w:rsid w:val="00BA3A7F"/>
    <w:rsid w:val="00BA432C"/>
    <w:rsid w:val="00BA48F3"/>
    <w:rsid w:val="00BA4B05"/>
    <w:rsid w:val="00BA5576"/>
    <w:rsid w:val="00BA57AF"/>
    <w:rsid w:val="00BA5A3A"/>
    <w:rsid w:val="00BA688E"/>
    <w:rsid w:val="00BA7E3F"/>
    <w:rsid w:val="00BB1338"/>
    <w:rsid w:val="00BB151B"/>
    <w:rsid w:val="00BB15FF"/>
    <w:rsid w:val="00BB181B"/>
    <w:rsid w:val="00BB19A3"/>
    <w:rsid w:val="00BB2868"/>
    <w:rsid w:val="00BB3408"/>
    <w:rsid w:val="00BB4052"/>
    <w:rsid w:val="00BB46BB"/>
    <w:rsid w:val="00BB4A53"/>
    <w:rsid w:val="00BB5DCC"/>
    <w:rsid w:val="00BC0840"/>
    <w:rsid w:val="00BC1FA0"/>
    <w:rsid w:val="00BC2013"/>
    <w:rsid w:val="00BC3AAF"/>
    <w:rsid w:val="00BC3CBA"/>
    <w:rsid w:val="00BC7341"/>
    <w:rsid w:val="00BC78DA"/>
    <w:rsid w:val="00BD07A2"/>
    <w:rsid w:val="00BD17E4"/>
    <w:rsid w:val="00BD1CF1"/>
    <w:rsid w:val="00BD20EC"/>
    <w:rsid w:val="00BD283D"/>
    <w:rsid w:val="00BD2D06"/>
    <w:rsid w:val="00BD3F24"/>
    <w:rsid w:val="00BD4333"/>
    <w:rsid w:val="00BD4935"/>
    <w:rsid w:val="00BD5652"/>
    <w:rsid w:val="00BD5D88"/>
    <w:rsid w:val="00BD5E4E"/>
    <w:rsid w:val="00BE0530"/>
    <w:rsid w:val="00BE07E2"/>
    <w:rsid w:val="00BE0FFD"/>
    <w:rsid w:val="00BE2447"/>
    <w:rsid w:val="00BE2905"/>
    <w:rsid w:val="00BE2AD6"/>
    <w:rsid w:val="00BE31A5"/>
    <w:rsid w:val="00BE41EA"/>
    <w:rsid w:val="00BE450B"/>
    <w:rsid w:val="00BE481A"/>
    <w:rsid w:val="00BE4A79"/>
    <w:rsid w:val="00BE609B"/>
    <w:rsid w:val="00BF00BC"/>
    <w:rsid w:val="00BF10E4"/>
    <w:rsid w:val="00BF18A3"/>
    <w:rsid w:val="00BF20DB"/>
    <w:rsid w:val="00BF2A76"/>
    <w:rsid w:val="00BF2EDE"/>
    <w:rsid w:val="00BF310C"/>
    <w:rsid w:val="00BF3DB6"/>
    <w:rsid w:val="00BF41F6"/>
    <w:rsid w:val="00BF4225"/>
    <w:rsid w:val="00BF59B6"/>
    <w:rsid w:val="00BF76B7"/>
    <w:rsid w:val="00C00CF6"/>
    <w:rsid w:val="00C01399"/>
    <w:rsid w:val="00C03DF2"/>
    <w:rsid w:val="00C040C7"/>
    <w:rsid w:val="00C0423A"/>
    <w:rsid w:val="00C04821"/>
    <w:rsid w:val="00C05F03"/>
    <w:rsid w:val="00C0680F"/>
    <w:rsid w:val="00C06B17"/>
    <w:rsid w:val="00C06BE8"/>
    <w:rsid w:val="00C06C00"/>
    <w:rsid w:val="00C07956"/>
    <w:rsid w:val="00C11026"/>
    <w:rsid w:val="00C111E3"/>
    <w:rsid w:val="00C1168C"/>
    <w:rsid w:val="00C11ABE"/>
    <w:rsid w:val="00C12D07"/>
    <w:rsid w:val="00C1324B"/>
    <w:rsid w:val="00C138B8"/>
    <w:rsid w:val="00C1411E"/>
    <w:rsid w:val="00C144E4"/>
    <w:rsid w:val="00C15573"/>
    <w:rsid w:val="00C160F6"/>
    <w:rsid w:val="00C16FC9"/>
    <w:rsid w:val="00C20DBE"/>
    <w:rsid w:val="00C2122A"/>
    <w:rsid w:val="00C21F73"/>
    <w:rsid w:val="00C22B31"/>
    <w:rsid w:val="00C2376A"/>
    <w:rsid w:val="00C23E09"/>
    <w:rsid w:val="00C2489D"/>
    <w:rsid w:val="00C24974"/>
    <w:rsid w:val="00C24E2D"/>
    <w:rsid w:val="00C27A8A"/>
    <w:rsid w:val="00C27D10"/>
    <w:rsid w:val="00C301FB"/>
    <w:rsid w:val="00C30202"/>
    <w:rsid w:val="00C30217"/>
    <w:rsid w:val="00C309BA"/>
    <w:rsid w:val="00C30C8C"/>
    <w:rsid w:val="00C316ED"/>
    <w:rsid w:val="00C31A92"/>
    <w:rsid w:val="00C32840"/>
    <w:rsid w:val="00C33939"/>
    <w:rsid w:val="00C345B3"/>
    <w:rsid w:val="00C34D41"/>
    <w:rsid w:val="00C34DA3"/>
    <w:rsid w:val="00C35340"/>
    <w:rsid w:val="00C35872"/>
    <w:rsid w:val="00C35EB8"/>
    <w:rsid w:val="00C37E56"/>
    <w:rsid w:val="00C40C41"/>
    <w:rsid w:val="00C4179B"/>
    <w:rsid w:val="00C42AC5"/>
    <w:rsid w:val="00C42C8E"/>
    <w:rsid w:val="00C4352D"/>
    <w:rsid w:val="00C43927"/>
    <w:rsid w:val="00C4436C"/>
    <w:rsid w:val="00C44DB0"/>
    <w:rsid w:val="00C44E75"/>
    <w:rsid w:val="00C45804"/>
    <w:rsid w:val="00C472D8"/>
    <w:rsid w:val="00C476E1"/>
    <w:rsid w:val="00C51DF3"/>
    <w:rsid w:val="00C5275E"/>
    <w:rsid w:val="00C5633B"/>
    <w:rsid w:val="00C56B6D"/>
    <w:rsid w:val="00C571A9"/>
    <w:rsid w:val="00C5732F"/>
    <w:rsid w:val="00C57537"/>
    <w:rsid w:val="00C57773"/>
    <w:rsid w:val="00C61182"/>
    <w:rsid w:val="00C613F1"/>
    <w:rsid w:val="00C61DEF"/>
    <w:rsid w:val="00C62DC1"/>
    <w:rsid w:val="00C636FE"/>
    <w:rsid w:val="00C67435"/>
    <w:rsid w:val="00C67763"/>
    <w:rsid w:val="00C67FFA"/>
    <w:rsid w:val="00C72430"/>
    <w:rsid w:val="00C74019"/>
    <w:rsid w:val="00C74AAF"/>
    <w:rsid w:val="00C75151"/>
    <w:rsid w:val="00C7573C"/>
    <w:rsid w:val="00C75760"/>
    <w:rsid w:val="00C76243"/>
    <w:rsid w:val="00C7656C"/>
    <w:rsid w:val="00C76706"/>
    <w:rsid w:val="00C77384"/>
    <w:rsid w:val="00C775B1"/>
    <w:rsid w:val="00C80644"/>
    <w:rsid w:val="00C815F7"/>
    <w:rsid w:val="00C8168F"/>
    <w:rsid w:val="00C81D9B"/>
    <w:rsid w:val="00C81DC8"/>
    <w:rsid w:val="00C81E6A"/>
    <w:rsid w:val="00C82C0F"/>
    <w:rsid w:val="00C83DF3"/>
    <w:rsid w:val="00C8468E"/>
    <w:rsid w:val="00C84912"/>
    <w:rsid w:val="00C849DF"/>
    <w:rsid w:val="00C84D98"/>
    <w:rsid w:val="00C85DF0"/>
    <w:rsid w:val="00C87335"/>
    <w:rsid w:val="00C87AB5"/>
    <w:rsid w:val="00C91CCF"/>
    <w:rsid w:val="00C9213B"/>
    <w:rsid w:val="00C92223"/>
    <w:rsid w:val="00C9398F"/>
    <w:rsid w:val="00C93ED6"/>
    <w:rsid w:val="00C9429C"/>
    <w:rsid w:val="00C9553C"/>
    <w:rsid w:val="00C95C40"/>
    <w:rsid w:val="00C961D1"/>
    <w:rsid w:val="00C96BF3"/>
    <w:rsid w:val="00CA0CA8"/>
    <w:rsid w:val="00CA0DFD"/>
    <w:rsid w:val="00CA1B14"/>
    <w:rsid w:val="00CA31ED"/>
    <w:rsid w:val="00CA49EB"/>
    <w:rsid w:val="00CA4FFC"/>
    <w:rsid w:val="00CA7621"/>
    <w:rsid w:val="00CB0A76"/>
    <w:rsid w:val="00CB0E67"/>
    <w:rsid w:val="00CB18FF"/>
    <w:rsid w:val="00CB1ABE"/>
    <w:rsid w:val="00CB2189"/>
    <w:rsid w:val="00CB3229"/>
    <w:rsid w:val="00CB3EF4"/>
    <w:rsid w:val="00CB40A7"/>
    <w:rsid w:val="00CB4279"/>
    <w:rsid w:val="00CB45DE"/>
    <w:rsid w:val="00CB484F"/>
    <w:rsid w:val="00CB512A"/>
    <w:rsid w:val="00CB5493"/>
    <w:rsid w:val="00CC0901"/>
    <w:rsid w:val="00CC12B6"/>
    <w:rsid w:val="00CC316F"/>
    <w:rsid w:val="00CC33E8"/>
    <w:rsid w:val="00CC365B"/>
    <w:rsid w:val="00CC3C32"/>
    <w:rsid w:val="00CC3EF6"/>
    <w:rsid w:val="00CC51FA"/>
    <w:rsid w:val="00CC53D1"/>
    <w:rsid w:val="00CC72A8"/>
    <w:rsid w:val="00CD08C3"/>
    <w:rsid w:val="00CD0E4E"/>
    <w:rsid w:val="00CD1FBC"/>
    <w:rsid w:val="00CD22DE"/>
    <w:rsid w:val="00CD345B"/>
    <w:rsid w:val="00CD491B"/>
    <w:rsid w:val="00CD5C53"/>
    <w:rsid w:val="00CD67C0"/>
    <w:rsid w:val="00CD7B55"/>
    <w:rsid w:val="00CE004B"/>
    <w:rsid w:val="00CE0A7F"/>
    <w:rsid w:val="00CE13A5"/>
    <w:rsid w:val="00CE13F3"/>
    <w:rsid w:val="00CE1960"/>
    <w:rsid w:val="00CE1BA5"/>
    <w:rsid w:val="00CE1D2B"/>
    <w:rsid w:val="00CE1E6D"/>
    <w:rsid w:val="00CE2AC7"/>
    <w:rsid w:val="00CE2DAA"/>
    <w:rsid w:val="00CE2E99"/>
    <w:rsid w:val="00CE328A"/>
    <w:rsid w:val="00CE38AD"/>
    <w:rsid w:val="00CE38B6"/>
    <w:rsid w:val="00CE39F0"/>
    <w:rsid w:val="00CE3BA3"/>
    <w:rsid w:val="00CE45FE"/>
    <w:rsid w:val="00CE57E4"/>
    <w:rsid w:val="00CE7AEB"/>
    <w:rsid w:val="00CF38E8"/>
    <w:rsid w:val="00CF3BFC"/>
    <w:rsid w:val="00CF5470"/>
    <w:rsid w:val="00CF5DC2"/>
    <w:rsid w:val="00CF64D1"/>
    <w:rsid w:val="00CF7019"/>
    <w:rsid w:val="00CF71A4"/>
    <w:rsid w:val="00CF771B"/>
    <w:rsid w:val="00D0035F"/>
    <w:rsid w:val="00D0081A"/>
    <w:rsid w:val="00D00FA9"/>
    <w:rsid w:val="00D012B5"/>
    <w:rsid w:val="00D01D7E"/>
    <w:rsid w:val="00D0251B"/>
    <w:rsid w:val="00D02B6A"/>
    <w:rsid w:val="00D03C95"/>
    <w:rsid w:val="00D046CC"/>
    <w:rsid w:val="00D05283"/>
    <w:rsid w:val="00D05426"/>
    <w:rsid w:val="00D05AB4"/>
    <w:rsid w:val="00D05EDF"/>
    <w:rsid w:val="00D065D1"/>
    <w:rsid w:val="00D104DE"/>
    <w:rsid w:val="00D10D7C"/>
    <w:rsid w:val="00D11884"/>
    <w:rsid w:val="00D119F0"/>
    <w:rsid w:val="00D120D2"/>
    <w:rsid w:val="00D1286C"/>
    <w:rsid w:val="00D13172"/>
    <w:rsid w:val="00D140E6"/>
    <w:rsid w:val="00D176A3"/>
    <w:rsid w:val="00D20219"/>
    <w:rsid w:val="00D2048D"/>
    <w:rsid w:val="00D20E96"/>
    <w:rsid w:val="00D21216"/>
    <w:rsid w:val="00D21A23"/>
    <w:rsid w:val="00D21FB4"/>
    <w:rsid w:val="00D22657"/>
    <w:rsid w:val="00D22AA8"/>
    <w:rsid w:val="00D235C5"/>
    <w:rsid w:val="00D23CA7"/>
    <w:rsid w:val="00D25968"/>
    <w:rsid w:val="00D269EC"/>
    <w:rsid w:val="00D273C5"/>
    <w:rsid w:val="00D31D7E"/>
    <w:rsid w:val="00D3276F"/>
    <w:rsid w:val="00D3419C"/>
    <w:rsid w:val="00D3427D"/>
    <w:rsid w:val="00D354E9"/>
    <w:rsid w:val="00D35F3F"/>
    <w:rsid w:val="00D36945"/>
    <w:rsid w:val="00D37CED"/>
    <w:rsid w:val="00D41400"/>
    <w:rsid w:val="00D41CC9"/>
    <w:rsid w:val="00D41F34"/>
    <w:rsid w:val="00D42CA4"/>
    <w:rsid w:val="00D42EF4"/>
    <w:rsid w:val="00D43E6E"/>
    <w:rsid w:val="00D44CB4"/>
    <w:rsid w:val="00D45007"/>
    <w:rsid w:val="00D4568F"/>
    <w:rsid w:val="00D45704"/>
    <w:rsid w:val="00D47F4C"/>
    <w:rsid w:val="00D55418"/>
    <w:rsid w:val="00D57264"/>
    <w:rsid w:val="00D57DCB"/>
    <w:rsid w:val="00D6278F"/>
    <w:rsid w:val="00D63DBF"/>
    <w:rsid w:val="00D65391"/>
    <w:rsid w:val="00D65B36"/>
    <w:rsid w:val="00D66193"/>
    <w:rsid w:val="00D664FC"/>
    <w:rsid w:val="00D66C1D"/>
    <w:rsid w:val="00D66EBE"/>
    <w:rsid w:val="00D66F8C"/>
    <w:rsid w:val="00D70797"/>
    <w:rsid w:val="00D716CD"/>
    <w:rsid w:val="00D728D7"/>
    <w:rsid w:val="00D72F88"/>
    <w:rsid w:val="00D73F64"/>
    <w:rsid w:val="00D76417"/>
    <w:rsid w:val="00D7773F"/>
    <w:rsid w:val="00D81BBA"/>
    <w:rsid w:val="00D846F8"/>
    <w:rsid w:val="00D85791"/>
    <w:rsid w:val="00D87134"/>
    <w:rsid w:val="00D87EFF"/>
    <w:rsid w:val="00D903C6"/>
    <w:rsid w:val="00D9144F"/>
    <w:rsid w:val="00D93129"/>
    <w:rsid w:val="00D94263"/>
    <w:rsid w:val="00D94333"/>
    <w:rsid w:val="00D94FD8"/>
    <w:rsid w:val="00D96028"/>
    <w:rsid w:val="00D9751C"/>
    <w:rsid w:val="00DA03BA"/>
    <w:rsid w:val="00DA075B"/>
    <w:rsid w:val="00DA0EDB"/>
    <w:rsid w:val="00DA1990"/>
    <w:rsid w:val="00DA1AC8"/>
    <w:rsid w:val="00DA20CF"/>
    <w:rsid w:val="00DA26DB"/>
    <w:rsid w:val="00DA347F"/>
    <w:rsid w:val="00DA3D72"/>
    <w:rsid w:val="00DA43C5"/>
    <w:rsid w:val="00DA5FAE"/>
    <w:rsid w:val="00DA6668"/>
    <w:rsid w:val="00DA673A"/>
    <w:rsid w:val="00DA721C"/>
    <w:rsid w:val="00DA722B"/>
    <w:rsid w:val="00DB11AC"/>
    <w:rsid w:val="00DB13D6"/>
    <w:rsid w:val="00DB4748"/>
    <w:rsid w:val="00DB5907"/>
    <w:rsid w:val="00DB6256"/>
    <w:rsid w:val="00DB67ED"/>
    <w:rsid w:val="00DC034B"/>
    <w:rsid w:val="00DC2CA2"/>
    <w:rsid w:val="00DC3288"/>
    <w:rsid w:val="00DC3B15"/>
    <w:rsid w:val="00DC6FCC"/>
    <w:rsid w:val="00DC7449"/>
    <w:rsid w:val="00DC7903"/>
    <w:rsid w:val="00DD3207"/>
    <w:rsid w:val="00DD3B28"/>
    <w:rsid w:val="00DD3C5C"/>
    <w:rsid w:val="00DD4665"/>
    <w:rsid w:val="00DD4785"/>
    <w:rsid w:val="00DD4E9D"/>
    <w:rsid w:val="00DD52E3"/>
    <w:rsid w:val="00DD63EC"/>
    <w:rsid w:val="00DD7F99"/>
    <w:rsid w:val="00DE173B"/>
    <w:rsid w:val="00DE34C0"/>
    <w:rsid w:val="00DE47E5"/>
    <w:rsid w:val="00DE4849"/>
    <w:rsid w:val="00DE5B8C"/>
    <w:rsid w:val="00DE6433"/>
    <w:rsid w:val="00DE6F69"/>
    <w:rsid w:val="00DE75D3"/>
    <w:rsid w:val="00DF0E5F"/>
    <w:rsid w:val="00DF1F64"/>
    <w:rsid w:val="00DF2D2A"/>
    <w:rsid w:val="00DF30DF"/>
    <w:rsid w:val="00DF33F2"/>
    <w:rsid w:val="00DF46BF"/>
    <w:rsid w:val="00DF473A"/>
    <w:rsid w:val="00DF5EC7"/>
    <w:rsid w:val="00DF6DD4"/>
    <w:rsid w:val="00E009F7"/>
    <w:rsid w:val="00E01563"/>
    <w:rsid w:val="00E01903"/>
    <w:rsid w:val="00E01DD1"/>
    <w:rsid w:val="00E01E10"/>
    <w:rsid w:val="00E0209D"/>
    <w:rsid w:val="00E0314F"/>
    <w:rsid w:val="00E031FB"/>
    <w:rsid w:val="00E045CB"/>
    <w:rsid w:val="00E05257"/>
    <w:rsid w:val="00E05793"/>
    <w:rsid w:val="00E06A18"/>
    <w:rsid w:val="00E06A61"/>
    <w:rsid w:val="00E10878"/>
    <w:rsid w:val="00E11923"/>
    <w:rsid w:val="00E11EF3"/>
    <w:rsid w:val="00E11F71"/>
    <w:rsid w:val="00E1259C"/>
    <w:rsid w:val="00E15996"/>
    <w:rsid w:val="00E16B8F"/>
    <w:rsid w:val="00E16C8D"/>
    <w:rsid w:val="00E2041E"/>
    <w:rsid w:val="00E20BFE"/>
    <w:rsid w:val="00E20D06"/>
    <w:rsid w:val="00E20D0B"/>
    <w:rsid w:val="00E210E8"/>
    <w:rsid w:val="00E22775"/>
    <w:rsid w:val="00E23395"/>
    <w:rsid w:val="00E246EC"/>
    <w:rsid w:val="00E24B0E"/>
    <w:rsid w:val="00E26434"/>
    <w:rsid w:val="00E26D16"/>
    <w:rsid w:val="00E2727A"/>
    <w:rsid w:val="00E2740F"/>
    <w:rsid w:val="00E27427"/>
    <w:rsid w:val="00E27B45"/>
    <w:rsid w:val="00E31F28"/>
    <w:rsid w:val="00E32353"/>
    <w:rsid w:val="00E3299D"/>
    <w:rsid w:val="00E34F6D"/>
    <w:rsid w:val="00E355F8"/>
    <w:rsid w:val="00E3576C"/>
    <w:rsid w:val="00E36535"/>
    <w:rsid w:val="00E40F3E"/>
    <w:rsid w:val="00E41525"/>
    <w:rsid w:val="00E415CF"/>
    <w:rsid w:val="00E44A14"/>
    <w:rsid w:val="00E45161"/>
    <w:rsid w:val="00E456E2"/>
    <w:rsid w:val="00E45F5A"/>
    <w:rsid w:val="00E45FCC"/>
    <w:rsid w:val="00E45FD8"/>
    <w:rsid w:val="00E4602F"/>
    <w:rsid w:val="00E464A1"/>
    <w:rsid w:val="00E47057"/>
    <w:rsid w:val="00E479DD"/>
    <w:rsid w:val="00E501DC"/>
    <w:rsid w:val="00E51A1E"/>
    <w:rsid w:val="00E52481"/>
    <w:rsid w:val="00E536C7"/>
    <w:rsid w:val="00E549C3"/>
    <w:rsid w:val="00E56570"/>
    <w:rsid w:val="00E56C6F"/>
    <w:rsid w:val="00E57DD2"/>
    <w:rsid w:val="00E57E7F"/>
    <w:rsid w:val="00E57FB5"/>
    <w:rsid w:val="00E604C6"/>
    <w:rsid w:val="00E6213C"/>
    <w:rsid w:val="00E638A6"/>
    <w:rsid w:val="00E64381"/>
    <w:rsid w:val="00E65E2D"/>
    <w:rsid w:val="00E65E70"/>
    <w:rsid w:val="00E66428"/>
    <w:rsid w:val="00E667FB"/>
    <w:rsid w:val="00E679B4"/>
    <w:rsid w:val="00E67B95"/>
    <w:rsid w:val="00E70A28"/>
    <w:rsid w:val="00E70E4C"/>
    <w:rsid w:val="00E73883"/>
    <w:rsid w:val="00E74A72"/>
    <w:rsid w:val="00E75C08"/>
    <w:rsid w:val="00E77804"/>
    <w:rsid w:val="00E80C13"/>
    <w:rsid w:val="00E810D3"/>
    <w:rsid w:val="00E81806"/>
    <w:rsid w:val="00E825EF"/>
    <w:rsid w:val="00E835D5"/>
    <w:rsid w:val="00E86411"/>
    <w:rsid w:val="00E87EFA"/>
    <w:rsid w:val="00E901FE"/>
    <w:rsid w:val="00E90918"/>
    <w:rsid w:val="00E91A19"/>
    <w:rsid w:val="00E91AAC"/>
    <w:rsid w:val="00E92723"/>
    <w:rsid w:val="00E927DB"/>
    <w:rsid w:val="00E93533"/>
    <w:rsid w:val="00E935E3"/>
    <w:rsid w:val="00E9446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5488"/>
    <w:rsid w:val="00EA62BD"/>
    <w:rsid w:val="00EA69AC"/>
    <w:rsid w:val="00EA6D3F"/>
    <w:rsid w:val="00EB2640"/>
    <w:rsid w:val="00EB2840"/>
    <w:rsid w:val="00EB42B3"/>
    <w:rsid w:val="00EB51DD"/>
    <w:rsid w:val="00EB5667"/>
    <w:rsid w:val="00EB5A80"/>
    <w:rsid w:val="00EB610D"/>
    <w:rsid w:val="00EB684E"/>
    <w:rsid w:val="00EB78BE"/>
    <w:rsid w:val="00EC095F"/>
    <w:rsid w:val="00EC0E20"/>
    <w:rsid w:val="00EC1182"/>
    <w:rsid w:val="00EC1373"/>
    <w:rsid w:val="00EC1F08"/>
    <w:rsid w:val="00EC202E"/>
    <w:rsid w:val="00EC25CF"/>
    <w:rsid w:val="00EC29AE"/>
    <w:rsid w:val="00EC4694"/>
    <w:rsid w:val="00EC4849"/>
    <w:rsid w:val="00EC5C9C"/>
    <w:rsid w:val="00EC68CD"/>
    <w:rsid w:val="00EC69D6"/>
    <w:rsid w:val="00ED0A91"/>
    <w:rsid w:val="00ED0BB6"/>
    <w:rsid w:val="00ED24F0"/>
    <w:rsid w:val="00ED2B74"/>
    <w:rsid w:val="00ED3665"/>
    <w:rsid w:val="00ED4B9D"/>
    <w:rsid w:val="00ED5529"/>
    <w:rsid w:val="00ED60F3"/>
    <w:rsid w:val="00ED6166"/>
    <w:rsid w:val="00ED74A4"/>
    <w:rsid w:val="00ED7DD0"/>
    <w:rsid w:val="00ED7E03"/>
    <w:rsid w:val="00EE02FA"/>
    <w:rsid w:val="00EE0B17"/>
    <w:rsid w:val="00EE1111"/>
    <w:rsid w:val="00EE1818"/>
    <w:rsid w:val="00EE1C58"/>
    <w:rsid w:val="00EE2923"/>
    <w:rsid w:val="00EE6F7B"/>
    <w:rsid w:val="00EE7D55"/>
    <w:rsid w:val="00EF040F"/>
    <w:rsid w:val="00EF1064"/>
    <w:rsid w:val="00EF1425"/>
    <w:rsid w:val="00EF1678"/>
    <w:rsid w:val="00EF4D69"/>
    <w:rsid w:val="00EF50CE"/>
    <w:rsid w:val="00EF56EF"/>
    <w:rsid w:val="00EF5890"/>
    <w:rsid w:val="00EF58E8"/>
    <w:rsid w:val="00EF75ED"/>
    <w:rsid w:val="00F01BF2"/>
    <w:rsid w:val="00F02CD0"/>
    <w:rsid w:val="00F039A5"/>
    <w:rsid w:val="00F05002"/>
    <w:rsid w:val="00F05049"/>
    <w:rsid w:val="00F0674C"/>
    <w:rsid w:val="00F1040F"/>
    <w:rsid w:val="00F110AE"/>
    <w:rsid w:val="00F11640"/>
    <w:rsid w:val="00F13699"/>
    <w:rsid w:val="00F13949"/>
    <w:rsid w:val="00F1554E"/>
    <w:rsid w:val="00F16D5E"/>
    <w:rsid w:val="00F17A30"/>
    <w:rsid w:val="00F20D35"/>
    <w:rsid w:val="00F2119B"/>
    <w:rsid w:val="00F215E4"/>
    <w:rsid w:val="00F22051"/>
    <w:rsid w:val="00F24258"/>
    <w:rsid w:val="00F2436C"/>
    <w:rsid w:val="00F24652"/>
    <w:rsid w:val="00F2551E"/>
    <w:rsid w:val="00F26C55"/>
    <w:rsid w:val="00F26E79"/>
    <w:rsid w:val="00F270D6"/>
    <w:rsid w:val="00F315DD"/>
    <w:rsid w:val="00F345D1"/>
    <w:rsid w:val="00F34F6C"/>
    <w:rsid w:val="00F3550C"/>
    <w:rsid w:val="00F4009A"/>
    <w:rsid w:val="00F40222"/>
    <w:rsid w:val="00F40798"/>
    <w:rsid w:val="00F41422"/>
    <w:rsid w:val="00F41635"/>
    <w:rsid w:val="00F43BA7"/>
    <w:rsid w:val="00F43EE2"/>
    <w:rsid w:val="00F452E2"/>
    <w:rsid w:val="00F4536C"/>
    <w:rsid w:val="00F47163"/>
    <w:rsid w:val="00F47391"/>
    <w:rsid w:val="00F4781A"/>
    <w:rsid w:val="00F47DFD"/>
    <w:rsid w:val="00F51AE2"/>
    <w:rsid w:val="00F536A4"/>
    <w:rsid w:val="00F547E5"/>
    <w:rsid w:val="00F54C89"/>
    <w:rsid w:val="00F54E33"/>
    <w:rsid w:val="00F55531"/>
    <w:rsid w:val="00F55984"/>
    <w:rsid w:val="00F55B82"/>
    <w:rsid w:val="00F5702F"/>
    <w:rsid w:val="00F5781A"/>
    <w:rsid w:val="00F57BBA"/>
    <w:rsid w:val="00F60C07"/>
    <w:rsid w:val="00F616D1"/>
    <w:rsid w:val="00F61A65"/>
    <w:rsid w:val="00F62153"/>
    <w:rsid w:val="00F628F0"/>
    <w:rsid w:val="00F634BB"/>
    <w:rsid w:val="00F64121"/>
    <w:rsid w:val="00F66365"/>
    <w:rsid w:val="00F66781"/>
    <w:rsid w:val="00F6776B"/>
    <w:rsid w:val="00F7012D"/>
    <w:rsid w:val="00F70A87"/>
    <w:rsid w:val="00F71C23"/>
    <w:rsid w:val="00F71C4B"/>
    <w:rsid w:val="00F71D2C"/>
    <w:rsid w:val="00F73EE4"/>
    <w:rsid w:val="00F74068"/>
    <w:rsid w:val="00F74E28"/>
    <w:rsid w:val="00F7532B"/>
    <w:rsid w:val="00F75B46"/>
    <w:rsid w:val="00F77194"/>
    <w:rsid w:val="00F77CC4"/>
    <w:rsid w:val="00F77F04"/>
    <w:rsid w:val="00F813ED"/>
    <w:rsid w:val="00F81568"/>
    <w:rsid w:val="00F822EB"/>
    <w:rsid w:val="00F83250"/>
    <w:rsid w:val="00F84017"/>
    <w:rsid w:val="00F841E5"/>
    <w:rsid w:val="00F84397"/>
    <w:rsid w:val="00F849F0"/>
    <w:rsid w:val="00F85592"/>
    <w:rsid w:val="00F8744F"/>
    <w:rsid w:val="00F876B2"/>
    <w:rsid w:val="00F909EF"/>
    <w:rsid w:val="00F9171C"/>
    <w:rsid w:val="00F92126"/>
    <w:rsid w:val="00F9267A"/>
    <w:rsid w:val="00F92EA4"/>
    <w:rsid w:val="00F93839"/>
    <w:rsid w:val="00F95F0C"/>
    <w:rsid w:val="00F9704F"/>
    <w:rsid w:val="00F97C94"/>
    <w:rsid w:val="00FA1CAA"/>
    <w:rsid w:val="00FA216E"/>
    <w:rsid w:val="00FA28F4"/>
    <w:rsid w:val="00FA4160"/>
    <w:rsid w:val="00FA4E9E"/>
    <w:rsid w:val="00FA5147"/>
    <w:rsid w:val="00FA6062"/>
    <w:rsid w:val="00FA6840"/>
    <w:rsid w:val="00FA7E97"/>
    <w:rsid w:val="00FB0300"/>
    <w:rsid w:val="00FB07C2"/>
    <w:rsid w:val="00FB1E27"/>
    <w:rsid w:val="00FB29D6"/>
    <w:rsid w:val="00FB352F"/>
    <w:rsid w:val="00FB3E58"/>
    <w:rsid w:val="00FB40CE"/>
    <w:rsid w:val="00FB4DE8"/>
    <w:rsid w:val="00FB4EC1"/>
    <w:rsid w:val="00FB50CE"/>
    <w:rsid w:val="00FB519A"/>
    <w:rsid w:val="00FB53EA"/>
    <w:rsid w:val="00FB5870"/>
    <w:rsid w:val="00FB5943"/>
    <w:rsid w:val="00FB599B"/>
    <w:rsid w:val="00FB67F2"/>
    <w:rsid w:val="00FB6980"/>
    <w:rsid w:val="00FB73BF"/>
    <w:rsid w:val="00FB78F3"/>
    <w:rsid w:val="00FB7AF2"/>
    <w:rsid w:val="00FB7B59"/>
    <w:rsid w:val="00FC2BDB"/>
    <w:rsid w:val="00FC3224"/>
    <w:rsid w:val="00FC37BF"/>
    <w:rsid w:val="00FC3BCE"/>
    <w:rsid w:val="00FC4507"/>
    <w:rsid w:val="00FC4679"/>
    <w:rsid w:val="00FC6798"/>
    <w:rsid w:val="00FC6B8E"/>
    <w:rsid w:val="00FD131E"/>
    <w:rsid w:val="00FD21EE"/>
    <w:rsid w:val="00FD26D0"/>
    <w:rsid w:val="00FD3C93"/>
    <w:rsid w:val="00FD3CD3"/>
    <w:rsid w:val="00FD554F"/>
    <w:rsid w:val="00FD65D4"/>
    <w:rsid w:val="00FD65E4"/>
    <w:rsid w:val="00FD6EFA"/>
    <w:rsid w:val="00FD720B"/>
    <w:rsid w:val="00FD75C8"/>
    <w:rsid w:val="00FE0117"/>
    <w:rsid w:val="00FE1E64"/>
    <w:rsid w:val="00FE21D3"/>
    <w:rsid w:val="00FE2CC1"/>
    <w:rsid w:val="00FE33C0"/>
    <w:rsid w:val="00FE4262"/>
    <w:rsid w:val="00FE5BD4"/>
    <w:rsid w:val="00FE62AF"/>
    <w:rsid w:val="00FE6577"/>
    <w:rsid w:val="00FF141E"/>
    <w:rsid w:val="00FF2496"/>
    <w:rsid w:val="00FF2B14"/>
    <w:rsid w:val="00FF2BCA"/>
    <w:rsid w:val="00FF2D1F"/>
    <w:rsid w:val="00FF30CA"/>
    <w:rsid w:val="00FF5010"/>
    <w:rsid w:val="00FF5B18"/>
    <w:rsid w:val="00FF67F2"/>
    <w:rsid w:val="00FF7568"/>
    <w:rsid w:val="00FF7930"/>
    <w:rsid w:val="00FF7DE2"/>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styleId="CommentReference">
    <w:name w:val="annotation reference"/>
    <w:basedOn w:val="DefaultParagraphFont"/>
    <w:uiPriority w:val="99"/>
    <w:semiHidden/>
    <w:unhideWhenUsed/>
    <w:rsid w:val="00FF67F2"/>
    <w:rPr>
      <w:sz w:val="16"/>
      <w:szCs w:val="16"/>
    </w:rPr>
  </w:style>
  <w:style w:type="paragraph" w:styleId="CommentText">
    <w:name w:val="annotation text"/>
    <w:basedOn w:val="Normal"/>
    <w:link w:val="CommentTextChar"/>
    <w:uiPriority w:val="99"/>
    <w:semiHidden/>
    <w:unhideWhenUsed/>
    <w:rsid w:val="00FF67F2"/>
    <w:pPr>
      <w:spacing w:line="240" w:lineRule="auto"/>
    </w:pPr>
    <w:rPr>
      <w:sz w:val="20"/>
      <w:szCs w:val="20"/>
    </w:rPr>
  </w:style>
  <w:style w:type="character" w:customStyle="1" w:styleId="CommentTextChar">
    <w:name w:val="Comment Text Char"/>
    <w:basedOn w:val="DefaultParagraphFont"/>
    <w:link w:val="CommentText"/>
    <w:uiPriority w:val="99"/>
    <w:semiHidden/>
    <w:rsid w:val="00FF67F2"/>
    <w:rPr>
      <w:lang w:val="en-US"/>
    </w:rPr>
  </w:style>
  <w:style w:type="paragraph" w:styleId="CommentSubject">
    <w:name w:val="annotation subject"/>
    <w:basedOn w:val="CommentText"/>
    <w:next w:val="CommentText"/>
    <w:link w:val="CommentSubjectChar"/>
    <w:uiPriority w:val="99"/>
    <w:semiHidden/>
    <w:unhideWhenUsed/>
    <w:rsid w:val="00FF67F2"/>
    <w:rPr>
      <w:b/>
      <w:bCs/>
    </w:rPr>
  </w:style>
  <w:style w:type="character" w:customStyle="1" w:styleId="CommentSubjectChar">
    <w:name w:val="Comment Subject Char"/>
    <w:basedOn w:val="CommentTextChar"/>
    <w:link w:val="CommentSubject"/>
    <w:uiPriority w:val="99"/>
    <w:semiHidden/>
    <w:rsid w:val="00FF67F2"/>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Props1.xml><?xml version="1.0" encoding="utf-8"?>
<ds:datastoreItem xmlns:ds="http://schemas.openxmlformats.org/officeDocument/2006/customXml" ds:itemID="{CCC81BE1-62E2-4ABA-8F5D-EFB42500A3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20</Pages>
  <Words>3880</Words>
  <Characters>22121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Dr.</cp:lastModifiedBy>
  <cp:revision>5</cp:revision>
  <cp:lastPrinted>2025-10-29T09:48:00Z</cp:lastPrinted>
  <dcterms:created xsi:type="dcterms:W3CDTF">2025-11-12T20:52:00Z</dcterms:created>
  <dcterms:modified xsi:type="dcterms:W3CDTF">2025-11-18T06:26:00Z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