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6BE74" w14:textId="77777777" w:rsidR="0050224B" w:rsidRPr="009F738B" w:rsidRDefault="0050224B" w:rsidP="0050224B">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7825542F" w14:textId="77777777" w:rsidR="0050224B" w:rsidRDefault="0050224B" w:rsidP="0050224B">
      <w:pPr>
        <w:rPr>
          <w:rFonts w:ascii="Sakkal Majalla" w:hAnsi="Sakkal Majalla" w:cs="Sakkal Majalla"/>
          <w:sz w:val="28"/>
          <w:szCs w:val="28"/>
          <w:u w:val="single"/>
          <w:rtl/>
        </w:rPr>
      </w:pPr>
    </w:p>
    <w:p w14:paraId="4B1B8C6E" w14:textId="77777777" w:rsidR="0050224B" w:rsidRDefault="0050224B" w:rsidP="0050224B">
      <w:pPr>
        <w:rPr>
          <w:rFonts w:ascii="Sakkal Majalla" w:hAnsi="Sakkal Majalla" w:cs="Sakkal Majalla"/>
          <w:sz w:val="28"/>
          <w:szCs w:val="28"/>
          <w:u w:val="single"/>
          <w:rtl/>
        </w:rPr>
      </w:pPr>
    </w:p>
    <w:p w14:paraId="7AE72D73" w14:textId="77777777" w:rsidR="0050224B" w:rsidRDefault="0050224B" w:rsidP="0050224B">
      <w:pPr>
        <w:rPr>
          <w:rFonts w:ascii="Sakkal Majalla" w:hAnsi="Sakkal Majalla" w:cs="Sakkal Majalla"/>
          <w:sz w:val="28"/>
          <w:szCs w:val="28"/>
          <w:u w:val="single"/>
          <w:rtl/>
        </w:rPr>
      </w:pPr>
    </w:p>
    <w:p w14:paraId="11C79EA6" w14:textId="77777777" w:rsidR="0050224B" w:rsidRDefault="0050224B" w:rsidP="0050224B">
      <w:pPr>
        <w:rPr>
          <w:rFonts w:ascii="Sakkal Majalla" w:hAnsi="Sakkal Majalla" w:cs="Sakkal Majalla"/>
          <w:sz w:val="28"/>
          <w:szCs w:val="28"/>
          <w:u w:val="single"/>
          <w:rtl/>
        </w:rPr>
      </w:pPr>
    </w:p>
    <w:p w14:paraId="321E022C" w14:textId="77777777" w:rsidR="0050224B" w:rsidRDefault="0050224B" w:rsidP="0050224B">
      <w:pPr>
        <w:rPr>
          <w:rFonts w:ascii="Sakkal Majalla" w:hAnsi="Sakkal Majalla" w:cs="Sakkal Majalla"/>
          <w:sz w:val="28"/>
          <w:szCs w:val="28"/>
          <w:u w:val="single"/>
          <w:rtl/>
        </w:rPr>
      </w:pPr>
    </w:p>
    <w:p w14:paraId="444630D8" w14:textId="77777777" w:rsidR="0050224B" w:rsidRDefault="0050224B" w:rsidP="0050224B">
      <w:pPr>
        <w:rPr>
          <w:rFonts w:ascii="Sakkal Majalla" w:hAnsi="Sakkal Majalla" w:cs="Sakkal Majalla"/>
          <w:sz w:val="28"/>
          <w:szCs w:val="28"/>
          <w:u w:val="single"/>
          <w:rtl/>
        </w:rPr>
      </w:pPr>
    </w:p>
    <w:p w14:paraId="53CCA6A9" w14:textId="77777777" w:rsidR="0050224B" w:rsidRDefault="0050224B" w:rsidP="0050224B">
      <w:pPr>
        <w:rPr>
          <w:rFonts w:ascii="Sakkal Majalla" w:hAnsi="Sakkal Majalla" w:cs="Sakkal Majalla"/>
          <w:sz w:val="28"/>
          <w:szCs w:val="28"/>
          <w:u w:val="single"/>
          <w:rtl/>
        </w:rPr>
      </w:pPr>
    </w:p>
    <w:p w14:paraId="6D227337" w14:textId="77777777" w:rsidR="0050224B" w:rsidRDefault="0050224B" w:rsidP="0050224B">
      <w:pPr>
        <w:rPr>
          <w:rFonts w:ascii="Sakkal Majalla" w:hAnsi="Sakkal Majalla" w:cs="Sakkal Majalla"/>
          <w:sz w:val="28"/>
          <w:szCs w:val="28"/>
          <w:u w:val="single"/>
          <w:rtl/>
        </w:rPr>
      </w:pPr>
    </w:p>
    <w:p w14:paraId="5DAAEC4E" w14:textId="77777777" w:rsidR="0050224B" w:rsidRDefault="0050224B" w:rsidP="0050224B">
      <w:pPr>
        <w:rPr>
          <w:rFonts w:ascii="Sakkal Majalla" w:hAnsi="Sakkal Majalla" w:cs="Sakkal Majalla"/>
          <w:sz w:val="28"/>
          <w:szCs w:val="28"/>
          <w:u w:val="single"/>
          <w:rtl/>
        </w:rPr>
      </w:pPr>
    </w:p>
    <w:p w14:paraId="013858C3" w14:textId="77777777" w:rsidR="0050224B" w:rsidRDefault="0050224B" w:rsidP="0050224B">
      <w:pPr>
        <w:rPr>
          <w:rFonts w:ascii="Sakkal Majalla" w:hAnsi="Sakkal Majalla" w:cs="Sakkal Majalla"/>
          <w:sz w:val="28"/>
          <w:szCs w:val="28"/>
          <w:u w:val="single"/>
          <w:rtl/>
        </w:rPr>
      </w:pPr>
    </w:p>
    <w:p w14:paraId="69B1DDF2" w14:textId="77777777" w:rsidR="0050224B" w:rsidRDefault="0050224B" w:rsidP="0050224B">
      <w:pPr>
        <w:rPr>
          <w:rFonts w:ascii="Sakkal Majalla" w:hAnsi="Sakkal Majalla" w:cs="Sakkal Majalla"/>
          <w:sz w:val="28"/>
          <w:szCs w:val="28"/>
          <w:u w:val="single"/>
          <w:rtl/>
        </w:rPr>
      </w:pPr>
    </w:p>
    <w:p w14:paraId="679C7417" w14:textId="77777777" w:rsidR="0050224B" w:rsidRDefault="0050224B" w:rsidP="0050224B">
      <w:pPr>
        <w:rPr>
          <w:rFonts w:ascii="Sakkal Majalla" w:hAnsi="Sakkal Majalla" w:cs="Sakkal Majalla"/>
          <w:sz w:val="28"/>
          <w:szCs w:val="28"/>
          <w:u w:val="single"/>
          <w:rtl/>
        </w:rPr>
      </w:pPr>
    </w:p>
    <w:p w14:paraId="781E803A" w14:textId="77777777" w:rsidR="0050224B" w:rsidRPr="009F738B" w:rsidRDefault="0050224B" w:rsidP="0050224B">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452A2429" w14:textId="77777777" w:rsidR="0050224B" w:rsidRDefault="0050224B" w:rsidP="0050224B">
      <w:pPr>
        <w:pStyle w:val="NoSpacing"/>
        <w:rPr>
          <w:rtl/>
        </w:rPr>
      </w:pPr>
      <w:r>
        <w:rPr>
          <w:rtl/>
        </w:rPr>
        <w:t xml:space="preserve">مع التغيرات السياسية والاقتصادية السريعة التي يشهدها العالم، تتطلع الدول إلى دمج خططها الاقتصادية لتحقيق نمو مستدام وتنويع مصادر دخلها. ومع رؤيتها الطموحة 2030، التي تسعى إلى تقليل الاعتماد على النفط كمصدر رئيسي للدخل وزيادة مساهمة القطاعات غير النفطية في الناتج المحلي الإجمالي، تُعد المملكة العربية السعودية من أبرز الدول التي قطعت شوطًا كبيرًا في هذا الاتجاه. وقد برزت أهمية استضافة الفعاليات الكبرى كأحد المحاور الاستراتيجية لتحقيق هذا الهدف. وأصبحت هذه الفعاليات رافدًا أساسيًا لدفع عجلة الاقتصاد الوطني في عدد من القطاعات، بما في ذلك السياحة والثقافة </w:t>
      </w:r>
      <w:r>
        <w:rPr>
          <w:rFonts w:hint="cs"/>
          <w:rtl/>
        </w:rPr>
        <w:t>والرياضة</w:t>
      </w:r>
      <w:r>
        <w:rPr>
          <w:rFonts w:hint="eastAsia"/>
          <w:rtl/>
        </w:rPr>
        <w:t>،</w:t>
      </w:r>
      <w:r>
        <w:rPr>
          <w:rtl/>
        </w:rPr>
        <w:t xml:space="preserve"> والتكنولوجيا والخدمات اللوجستية وغيرها</w:t>
      </w:r>
      <w:sdt>
        <w:sdtPr>
          <w:rPr>
            <w:rtl/>
          </w:rPr>
          <w:id w:val="88475711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Nit231 \l 3073</w:instrText>
          </w:r>
          <w:r>
            <w:rPr>
              <w:rtl/>
            </w:rPr>
            <w:instrText xml:space="preserve"> </w:instrText>
          </w:r>
          <w:r>
            <w:rPr>
              <w:rtl/>
            </w:rPr>
            <w:fldChar w:fldCharType="separate"/>
          </w:r>
          <w:r>
            <w:rPr>
              <w:noProof/>
              <w:rtl/>
            </w:rPr>
            <w:t xml:space="preserve"> </w:t>
          </w:r>
          <w:r>
            <w:rPr>
              <w:rFonts w:hint="cs"/>
              <w:noProof/>
              <w:rtl/>
            </w:rPr>
            <w:t>(</w:t>
          </w:r>
          <w:r>
            <w:rPr>
              <w:rFonts w:hint="cs"/>
              <w:noProof/>
            </w:rPr>
            <w:t>Nitish</w:t>
          </w:r>
          <w:r>
            <w:rPr>
              <w:rFonts w:hint="cs"/>
              <w:noProof/>
              <w:rtl/>
            </w:rPr>
            <w:t>، 2023)</w:t>
          </w:r>
          <w:r>
            <w:rPr>
              <w:rtl/>
            </w:rPr>
            <w:fldChar w:fldCharType="end"/>
          </w:r>
        </w:sdtContent>
      </w:sdt>
      <w:r>
        <w:rPr>
          <w:rtl/>
        </w:rPr>
        <w:t>.</w:t>
      </w:r>
    </w:p>
    <w:p w14:paraId="7CBA12BB" w14:textId="77777777" w:rsidR="0050224B" w:rsidRDefault="0050224B" w:rsidP="0050224B">
      <w:pPr>
        <w:pStyle w:val="NoSpacing"/>
        <w:rPr>
          <w:rtl/>
        </w:rPr>
      </w:pPr>
      <w:r>
        <w:rPr>
          <w:rtl/>
        </w:rPr>
        <w:t xml:space="preserve">استضافت المملكة العديد من الفعاليات المهمة في السنوات الأخيرة التي حظيت باهتمام دولي، بما في ذلك سباقات الفورمولا 1، ومبادرة مستقبل الاستثمار، ومهرجان البحر الأحمر السينمائي، والقمة العالمية للذكاء الاصطناعي، وموسم الرياض، وموسم جدة، وغيرها من التجمعات التي تمزج بين التكنولوجيا والترفيه والمعرفة. لم تكن هذه التجمعات مجرد </w:t>
      </w:r>
      <w:r>
        <w:rPr>
          <w:rtl/>
        </w:rPr>
        <w:lastRenderedPageBreak/>
        <w:t>تجمعات ترفيهية أو تجارية؛ كانت هذه الفعاليات أدوات فعّالة للتنمية، إذ ساهمت في إنعاش العديد من الصناعات المهمة، ووفرت مجموعة واسعة من فرص الاستثمار والتوظيف، وعززت الإنفاق المحلي، وعززت جاذبية المملكة كمركز إقليمي ودولي في عدد من المجالات.</w:t>
      </w:r>
    </w:p>
    <w:p w14:paraId="096D87F9" w14:textId="77777777" w:rsidR="0050224B" w:rsidRDefault="0050224B" w:rsidP="0050224B">
      <w:pPr>
        <w:pStyle w:val="NoSpacing"/>
        <w:rPr>
          <w:rtl/>
        </w:rPr>
      </w:pPr>
      <w:r>
        <w:rPr>
          <w:rtl/>
        </w:rPr>
        <w:t>ونظرًا لقدرتها على خلق فرص عمل للشباب، وتحقيق التنويع الاقتصادي، والحد من آثار تقلبات أسعار النفط عالميًا، برزت القطاعات غير النفطية كعنصر أساسي في السياسات الاقتصادية والتنموية، مما جعل هذا التوجه ذا أهمية خاصة في سياق التحول الوطني. ومن أهم الأدوات لتعزيز هذه الصناعات استضافة الفعاليات الكبرى. فبالإضافة إلى بناء البنية التحتية والخدمات العامة، تُسهم استضافة الفعاليات الكبرى أيضًا في دعم الاقتصاد المحلي بشكل مباشر وغير مباشر من خلال جذب السياح، وتنمية قاعدة المستهلكين، وتشجيع الابتكار، وتحسين مناخ ريادة الأعمال. وإلى جانب تعزيز صورة المملكة من خلال إظهار جاهزيتها وفعاليتها التنظيمية، فإن إقامة فعاليات كبرى وفقًا للمعايير الدولية يُسهم أيضًا في تعزيز ثقة المستثمرين في الاقتصاد الإقليمي</w:t>
      </w:r>
      <w:sdt>
        <w:sdtPr>
          <w:rPr>
            <w:rtl/>
          </w:rPr>
          <w:id w:val="19544187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Sch13 \l 3073</w:instrText>
          </w:r>
          <w:r>
            <w:rPr>
              <w:rtl/>
            </w:rPr>
            <w:instrText xml:space="preserve"> </w:instrText>
          </w:r>
          <w:r>
            <w:rPr>
              <w:rtl/>
            </w:rPr>
            <w:fldChar w:fldCharType="separate"/>
          </w:r>
          <w:r>
            <w:rPr>
              <w:noProof/>
              <w:rtl/>
            </w:rPr>
            <w:t xml:space="preserve"> </w:t>
          </w:r>
          <w:r>
            <w:rPr>
              <w:rFonts w:hint="cs"/>
              <w:noProof/>
              <w:rtl/>
            </w:rPr>
            <w:t>(</w:t>
          </w:r>
          <w:r>
            <w:rPr>
              <w:rFonts w:hint="cs"/>
              <w:noProof/>
            </w:rPr>
            <w:t>Schilirò</w:t>
          </w:r>
          <w:r>
            <w:rPr>
              <w:rFonts w:hint="cs"/>
              <w:noProof/>
              <w:rtl/>
            </w:rPr>
            <w:t>، 2013)</w:t>
          </w:r>
          <w:r>
            <w:rPr>
              <w:rtl/>
            </w:rPr>
            <w:fldChar w:fldCharType="end"/>
          </w:r>
        </w:sdtContent>
      </w:sdt>
      <w:r>
        <w:rPr>
          <w:rtl/>
        </w:rPr>
        <w:t>.</w:t>
      </w:r>
    </w:p>
    <w:p w14:paraId="4A060EA2" w14:textId="77777777" w:rsidR="0050224B" w:rsidRDefault="0050224B" w:rsidP="0050224B">
      <w:pPr>
        <w:pStyle w:val="NoSpacing"/>
        <w:rPr>
          <w:rtl/>
        </w:rPr>
      </w:pPr>
      <w:r>
        <w:rPr>
          <w:rtl/>
        </w:rPr>
        <w:t xml:space="preserve">علاوة على ذلك، لهذه الفعاليات أثر اقتصادي يتجاوز مرحلة التنفيذ الأولية. تُحدث هذه الفعاليات "تأثيرًا مضاعفًا"، مما يُحفز سلاسل التوريد المحلية ويزيد الطلب على الصناعات ذات الصلة كالتسويق والإعلام والنقل والضيافة والخدمات </w:t>
      </w:r>
      <w:r>
        <w:rPr>
          <w:rFonts w:hint="cs"/>
          <w:rtl/>
        </w:rPr>
        <w:t>المالية</w:t>
      </w:r>
      <w:r>
        <w:rPr>
          <w:rFonts w:hint="eastAsia"/>
          <w:rtl/>
        </w:rPr>
        <w:t>،</w:t>
      </w:r>
      <w:r>
        <w:rPr>
          <w:rtl/>
        </w:rPr>
        <w:t xml:space="preserve"> </w:t>
      </w:r>
      <w:r>
        <w:rPr>
          <w:rFonts w:hint="cs"/>
          <w:rtl/>
        </w:rPr>
        <w:t>والتعليم</w:t>
      </w:r>
      <w:r>
        <w:rPr>
          <w:rFonts w:hint="eastAsia"/>
          <w:rtl/>
        </w:rPr>
        <w:t>،</w:t>
      </w:r>
      <w:r>
        <w:rPr>
          <w:rtl/>
        </w:rPr>
        <w:t xml:space="preserve"> </w:t>
      </w:r>
      <w:r>
        <w:rPr>
          <w:rFonts w:hint="cs"/>
          <w:rtl/>
        </w:rPr>
        <w:t>والتدريب</w:t>
      </w:r>
      <w:r>
        <w:rPr>
          <w:rFonts w:hint="eastAsia"/>
          <w:rtl/>
        </w:rPr>
        <w:t>،</w:t>
      </w:r>
      <w:r>
        <w:rPr>
          <w:rtl/>
        </w:rPr>
        <w:t xml:space="preserve"> وغيرها. وهذا يُساعد على خلق فرص للنمو المُستمر. كما تُعزز هذه الفعاليات كفاءة رأس المال البشري المحلي، مما يُحسّن أيضًا فرص تبادل المعلومات والثقافات، ويفتح آفاقًا للتعاون الدولي، ويجذب الخبرات الدولية.</w:t>
      </w:r>
    </w:p>
    <w:p w14:paraId="656C3903" w14:textId="77777777" w:rsidR="0050224B" w:rsidRDefault="0050224B" w:rsidP="0050224B">
      <w:pPr>
        <w:pStyle w:val="NoSpacing"/>
        <w:rPr>
          <w:rtl/>
        </w:rPr>
      </w:pPr>
      <w:r>
        <w:rPr>
          <w:rtl/>
        </w:rPr>
        <w:t>يتضح من هذا أن الحكومة السعودية تُركز على تحسين مرافق الفعاليات المهمة. ولتنظيم هذه الصناعة وتنميتها وتطويرها، أُنشئت هيئات مُتخصصة، منها الهيئة العامة للترفيه، وهيئة فنون الطهي، وهيئة المسرح والفنون الأدائية، وهيئة تطوير مدينة الرياض، وغيرها. كما تم إطلاق الاستراتيجية الوطنية للسياحة، وبرنامج جودة الحياة، واستراتيجية تنمية القدرات البشرية، وغيرها من الجهود التي تُحسّن جاهزية المملكة لتصبح وجهةً مرغوبةً إقليميًا ودوليًا لتعزيز هذا التوجه</w:t>
      </w:r>
      <w:sdt>
        <w:sdtPr>
          <w:rPr>
            <w:rtl/>
          </w:rPr>
          <w:id w:val="151503266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Ena231 \l 3073</w:instrText>
          </w:r>
          <w:r>
            <w:rPr>
              <w:rtl/>
            </w:rPr>
            <w:instrText xml:space="preserve"> </w:instrText>
          </w:r>
          <w:r>
            <w:rPr>
              <w:rtl/>
            </w:rPr>
            <w:fldChar w:fldCharType="separate"/>
          </w:r>
          <w:r>
            <w:rPr>
              <w:noProof/>
              <w:rtl/>
            </w:rPr>
            <w:t xml:space="preserve"> </w:t>
          </w:r>
          <w:r>
            <w:rPr>
              <w:rFonts w:hint="cs"/>
              <w:noProof/>
              <w:rtl/>
            </w:rPr>
            <w:t>(</w:t>
          </w:r>
          <w:r>
            <w:rPr>
              <w:rFonts w:hint="cs"/>
              <w:noProof/>
            </w:rPr>
            <w:t>Enaifoghe</w:t>
          </w:r>
          <w:r>
            <w:rPr>
              <w:rFonts w:hint="cs"/>
              <w:noProof/>
              <w:rtl/>
            </w:rPr>
            <w:t>، 2023)</w:t>
          </w:r>
          <w:r>
            <w:rPr>
              <w:rtl/>
            </w:rPr>
            <w:fldChar w:fldCharType="end"/>
          </w:r>
        </w:sdtContent>
      </w:sdt>
      <w:r>
        <w:rPr>
          <w:rtl/>
        </w:rPr>
        <w:t>.</w:t>
      </w:r>
    </w:p>
    <w:p w14:paraId="03D411F8" w14:textId="77777777" w:rsidR="0050224B" w:rsidRDefault="0050224B" w:rsidP="0050224B">
      <w:pPr>
        <w:pStyle w:val="NoSpacing"/>
        <w:rPr>
          <w:rtl/>
        </w:rPr>
      </w:pPr>
      <w:r>
        <w:rPr>
          <w:rtl/>
        </w:rPr>
        <w:t xml:space="preserve">أظهرت البيانات الاقتصادية زيادةً ملحوظةً في مساهمة القطاعات غير النفطية في الناتج المحلي الإجمالي في السنوات الأخيرة، ويعود ذلك أساسًا إلى ازدهار قطاع الفعاليات والفنادق. على سبيل المثال، تحسّنت معدلات إشغال الفنادق، وارتفعت مبيعات الشركات، وخلقت آلاف الوظائف المباشرة وغير المباشرة، جميعها نتائج للسفر المحلي والدولي المرتبط بمواسم الترفيه. ساهم توسع خدمات النقل البري، وبناء البنية التحتية للطرق والمطارات، وزيادة الرحلات الجوية، في </w:t>
      </w:r>
      <w:r>
        <w:rPr>
          <w:rtl/>
        </w:rPr>
        <w:lastRenderedPageBreak/>
        <w:t>النمو الملحوظ لقطاع النقل. كما أثر هذا التوجه على صناعة التكنولوجيا، كما يتضح من صعود الشركات الناشئة والتطبيقات الذكية التي تقدم خدمات تخطيط الفعاليات، وحجز التذاكر، والضيافة، وغيرها من المجالات.</w:t>
      </w:r>
    </w:p>
    <w:p w14:paraId="79C1FD74" w14:textId="77777777" w:rsidR="0050224B" w:rsidRDefault="0050224B" w:rsidP="0050224B">
      <w:pPr>
        <w:pStyle w:val="NoSpacing"/>
        <w:rPr>
          <w:rtl/>
        </w:rPr>
      </w:pPr>
      <w:r>
        <w:rPr>
          <w:rtl/>
        </w:rPr>
        <w:t>ومن هنا، تأتي أهمية هذه الدراسة، التي تهدف إلى دراسة وتقييم آثار استضافة الفعاليات المهمة على القطاعات الاقتصادية غير النفطية في المملكة العربية السعودية. تهدف هذه الدراسة إلى تتبع الجوانب الاقتصادية المباشرة وغير المباشرة، ودراسة تأثيرها على مختلف الصناعات، وتحديد الإمكانات والمشاكل المتعلقة بهذا التوجه، ودراسة تجارب المملكة العربية السعودية السابقة في تخطيط مثل هذه الفعاليات. كما تسعى الدراسة إلى تقديم اقتراحات يمكن أن تساعد في تحسين فعالية هذه الفعاليات وضمان استمراريتها.</w:t>
      </w:r>
      <w:r w:rsidRPr="002D3277">
        <w:rPr>
          <w:rtl/>
        </w:rPr>
        <w:t xml:space="preserve"> </w:t>
      </w:r>
      <w:r>
        <w:rPr>
          <w:rtl/>
        </w:rPr>
        <w:t>استدامة آثارها التنموية على المدى الطويل</w:t>
      </w:r>
      <w:sdt>
        <w:sdtPr>
          <w:rPr>
            <w:rtl/>
          </w:rPr>
          <w:id w:val="-142209648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Alh245 \l 3073</w:instrText>
          </w:r>
          <w:r>
            <w:rPr>
              <w:rtl/>
            </w:rPr>
            <w:instrText xml:space="preserve"> </w:instrText>
          </w:r>
          <w:r>
            <w:rPr>
              <w:rtl/>
            </w:rPr>
            <w:fldChar w:fldCharType="separate"/>
          </w:r>
          <w:r>
            <w:rPr>
              <w:noProof/>
              <w:rtl/>
            </w:rPr>
            <w:t xml:space="preserve"> </w:t>
          </w:r>
          <w:r>
            <w:rPr>
              <w:rFonts w:hint="cs"/>
              <w:noProof/>
              <w:rtl/>
            </w:rPr>
            <w:t>(</w:t>
          </w:r>
          <w:r>
            <w:rPr>
              <w:rFonts w:hint="cs"/>
              <w:noProof/>
            </w:rPr>
            <w:t>Alharethi</w:t>
          </w:r>
          <w:r>
            <w:rPr>
              <w:rFonts w:hint="cs"/>
              <w:noProof/>
              <w:rtl/>
            </w:rPr>
            <w:t>، 2024)</w:t>
          </w:r>
          <w:r>
            <w:rPr>
              <w:rtl/>
            </w:rPr>
            <w:fldChar w:fldCharType="end"/>
          </w:r>
        </w:sdtContent>
      </w:sdt>
      <w:r>
        <w:rPr>
          <w:rtl/>
        </w:rPr>
        <w:t>.</w:t>
      </w:r>
    </w:p>
    <w:p w14:paraId="22254B58" w14:textId="77777777" w:rsidR="0050224B" w:rsidRDefault="0050224B" w:rsidP="0050224B">
      <w:pPr>
        <w:pStyle w:val="NoSpacing"/>
        <w:rPr>
          <w:rtl/>
        </w:rPr>
      </w:pPr>
      <w:r>
        <w:rPr>
          <w:rtl/>
        </w:rPr>
        <w:t>يُعدُّ هذا الموضوعُ، من الناحيتين العلمية والاجتماعية، ضرورةً ملحةً في الوقت الراهن، لا سيما في ضوء جهود المملكة العربية السعودية لتطوير اقتصادٍ متنوعٍ ومستدام. ويُعدّ تسجيل تجربة المملكة العربية السعودية في هذا المجال مساهمةً قيّمةً في المكتبة الاقتصادية العربية، ويمكن أن تُحتذى به من قِبَل الدول الأخرى التي تسعى إلى توسيع صناعاتها غير النفطية، مستلهمةً من الأحداث المهمة. ولا شكَّ في أنَّ الدعمَ والنموَّ المُستدامَين لهذه الفعاليات - مع التركيز على المحتوى عالي الجودة واستهداف الجمهور - سيُسهمان في ترسيخ مكانة المملكة على الخريطة الاقتصادية العالمية، ويُتيحان فرصًا حقيقيةً لبناء اقتصادٍ أكثر مرونةً وتنوعًا</w:t>
      </w:r>
      <w:sdt>
        <w:sdtPr>
          <w:rPr>
            <w:rtl/>
          </w:rPr>
          <w:id w:val="204470134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Rai24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Raid</w:t>
          </w:r>
          <w:r>
            <w:rPr>
              <w:rFonts w:hint="cs"/>
              <w:noProof/>
              <w:rtl/>
            </w:rPr>
            <w:t>، 2024)</w:t>
          </w:r>
          <w:r>
            <w:rPr>
              <w:rtl/>
            </w:rPr>
            <w:fldChar w:fldCharType="end"/>
          </w:r>
        </w:sdtContent>
      </w:sdt>
      <w:r>
        <w:rPr>
          <w:rtl/>
        </w:rPr>
        <w:t>.</w:t>
      </w:r>
    </w:p>
    <w:p w14:paraId="0BC840B8" w14:textId="77777777" w:rsidR="0050224B" w:rsidRPr="002D3277" w:rsidRDefault="0050224B" w:rsidP="0050224B">
      <w:pPr>
        <w:pStyle w:val="NoSpacing"/>
        <w:rPr>
          <w:rtl/>
        </w:rPr>
      </w:pPr>
      <w:r>
        <w:rPr>
          <w:rtl/>
        </w:rPr>
        <w:t>تتمثل الفرضيةُ الرئيسيةُ لهذه الدراسة في أنَّ "استضافةَ الفعاليات الكبرى تُمثلُ عاملًا فعّالًا في تحفيز القطاعات الاقتصادية غير النفطية في المملكة". ومن خلال دراسة آراء الخبراء والمعنيين، ومقارنة التجربة السعودية بالتجارب المماثلة في الخارج، وتقييم الإحصاءات الاقتصادية المتاحة حاليًا، ستُحاول الدراسةُ اختبارَ هذه النظرية. ويعتقد أن نتائج هذه الدراسة سوف تساعد في توضيح العلاقة بين التطورات الاقتصادية الهامة وتحقيق التنمية المستدامة، وتساعد في توجيه السياسات والمبادرات التي تدعم هذه الصناعة الحيوية</w:t>
      </w:r>
      <w:sdt>
        <w:sdtPr>
          <w:rPr>
            <w:rtl/>
          </w:rPr>
          <w:id w:val="165047981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Kha243 \l 3073</w:instrText>
          </w:r>
          <w:r>
            <w:rPr>
              <w:rtl/>
            </w:rPr>
            <w:instrText xml:space="preserve"> </w:instrText>
          </w:r>
          <w:r>
            <w:rPr>
              <w:rtl/>
            </w:rPr>
            <w:fldChar w:fldCharType="separate"/>
          </w:r>
          <w:r>
            <w:rPr>
              <w:noProof/>
              <w:rtl/>
            </w:rPr>
            <w:t xml:space="preserve"> </w:t>
          </w:r>
          <w:r>
            <w:rPr>
              <w:rFonts w:hint="cs"/>
              <w:noProof/>
              <w:rtl/>
            </w:rPr>
            <w:t>(</w:t>
          </w:r>
          <w:r>
            <w:rPr>
              <w:rFonts w:hint="cs"/>
              <w:noProof/>
            </w:rPr>
            <w:t>Khayat</w:t>
          </w:r>
          <w:r>
            <w:rPr>
              <w:rFonts w:hint="cs"/>
              <w:noProof/>
              <w:rtl/>
            </w:rPr>
            <w:t>، 2024)</w:t>
          </w:r>
          <w:r>
            <w:rPr>
              <w:rtl/>
            </w:rPr>
            <w:fldChar w:fldCharType="end"/>
          </w:r>
        </w:sdtContent>
      </w:sdt>
      <w:r>
        <w:rPr>
          <w:rtl/>
        </w:rPr>
        <w:t>.</w:t>
      </w:r>
    </w:p>
    <w:p w14:paraId="1C678CD7" w14:textId="77777777" w:rsidR="0050224B" w:rsidRDefault="0050224B" w:rsidP="0050224B">
      <w:pPr>
        <w:rPr>
          <w:rtl/>
        </w:rPr>
      </w:pPr>
      <w:bookmarkStart w:id="6" w:name="_Toc169370865"/>
      <w:bookmarkStart w:id="7" w:name="_Toc169565909"/>
      <w:bookmarkStart w:id="8" w:name="_Toc171440855"/>
      <w:bookmarkStart w:id="9" w:name="_Toc191138770"/>
    </w:p>
    <w:p w14:paraId="4B92DE36" w14:textId="77777777" w:rsidR="0050224B" w:rsidRDefault="0050224B" w:rsidP="0050224B">
      <w:pPr>
        <w:rPr>
          <w:rtl/>
        </w:rPr>
      </w:pPr>
    </w:p>
    <w:p w14:paraId="5C6389BE" w14:textId="77777777" w:rsidR="0050224B" w:rsidRDefault="0050224B" w:rsidP="0050224B">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71A82CD7" w14:textId="77777777" w:rsidR="0050224B" w:rsidRPr="0041045A" w:rsidRDefault="0050224B" w:rsidP="0050224B">
      <w:pPr>
        <w:pStyle w:val="Style1"/>
        <w:numPr>
          <w:ilvl w:val="0"/>
          <w:numId w:val="2"/>
        </w:numPr>
      </w:pPr>
      <w:r w:rsidRPr="0041045A">
        <w:rPr>
          <w:rtl/>
        </w:rPr>
        <w:t>المشكلة الأساسية</w:t>
      </w:r>
    </w:p>
    <w:p w14:paraId="5BCD26BF" w14:textId="77777777" w:rsidR="0050224B" w:rsidRPr="0013416F" w:rsidRDefault="0050224B" w:rsidP="0050224B">
      <w:pPr>
        <w:pStyle w:val="NoSpacing"/>
        <w:rPr>
          <w:rtl/>
        </w:rPr>
      </w:pPr>
      <w:r w:rsidRPr="0013416F">
        <w:rPr>
          <w:rtl/>
        </w:rPr>
        <w:lastRenderedPageBreak/>
        <w:t>من الواضح الآن أن المملكة العربية السعودية تبذل جهودًا كبيرة لتنويع مصادر دخلها وتقليل اعتمادها على صناعة النفط، في ظل التغيرات الاقتصادية السريعة التي تشهدها كجزء من رؤيتها الطموحة 2030. وتُعد استضافة الفعاليات والأنشطة الهامة إحدى أهم الاستراتيجيات التي اتبعتها المملكة لتحقيق هذا الهدف. وقد تطورت هذه الفعاليات والأنشطة لتصبح أداة استراتيجية لتعزيز العديد من القطاعات غير النفطية. ومع ذلك، لا يزال من الضروري إجراء بحث علمي شامل لتحديد التأثير الحقيقي لهذا التوجه على العديد من جوانب الاقتصاد غير النفطي، حتى مع سرعته الكبيرة وحجمه المتزايد. وتتمثل القضية الرئيسية التي تحاول هذه الدراسة حلها في الغموض المحيط بمدى نجاح هذه الفعاليات في دفع عجلة التنمية الاقتصادية خارج قطاع النفط، وكيف تؤثر على القطاعات المستهدفة اقتصاديًا، إيجابًا وسلبًا</w:t>
      </w:r>
      <w:sdt>
        <w:sdtPr>
          <w:rPr>
            <w:rtl/>
          </w:rPr>
          <w:id w:val="-91523861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Ala256 \l 3073</w:instrText>
          </w:r>
          <w:r>
            <w:rPr>
              <w:rtl/>
            </w:rPr>
            <w:instrText xml:space="preserve"> </w:instrText>
          </w:r>
          <w:r>
            <w:rPr>
              <w:rtl/>
            </w:rPr>
            <w:fldChar w:fldCharType="separate"/>
          </w:r>
          <w:r>
            <w:rPr>
              <w:noProof/>
              <w:rtl/>
            </w:rPr>
            <w:t xml:space="preserve"> </w:t>
          </w:r>
          <w:r>
            <w:rPr>
              <w:rFonts w:hint="cs"/>
              <w:noProof/>
              <w:rtl/>
            </w:rPr>
            <w:t>(</w:t>
          </w:r>
          <w:r>
            <w:rPr>
              <w:rFonts w:hint="cs"/>
              <w:noProof/>
            </w:rPr>
            <w:t>Alayed</w:t>
          </w:r>
          <w:r>
            <w:rPr>
              <w:rFonts w:hint="cs"/>
              <w:noProof/>
              <w:rtl/>
            </w:rPr>
            <w:t>، 2025)</w:t>
          </w:r>
          <w:r>
            <w:rPr>
              <w:rtl/>
            </w:rPr>
            <w:fldChar w:fldCharType="end"/>
          </w:r>
        </w:sdtContent>
      </w:sdt>
      <w:r w:rsidRPr="0013416F">
        <w:rPr>
          <w:rtl/>
        </w:rPr>
        <w:t>.</w:t>
      </w:r>
    </w:p>
    <w:p w14:paraId="685443ED" w14:textId="77777777" w:rsidR="0050224B" w:rsidRDefault="0050224B" w:rsidP="0050224B">
      <w:pPr>
        <w:pStyle w:val="NoSpacing"/>
        <w:rPr>
          <w:rtl/>
        </w:rPr>
      </w:pPr>
    </w:p>
    <w:p w14:paraId="03BED370" w14:textId="77777777" w:rsidR="0050224B" w:rsidRDefault="0050224B" w:rsidP="0050224B">
      <w:pPr>
        <w:pStyle w:val="Style1"/>
        <w:numPr>
          <w:ilvl w:val="0"/>
          <w:numId w:val="2"/>
        </w:numPr>
        <w:rPr>
          <w:rtl/>
        </w:rPr>
      </w:pPr>
      <w:r w:rsidRPr="0041045A">
        <w:rPr>
          <w:rtl/>
        </w:rPr>
        <w:t>المشكلات الفرعية</w:t>
      </w:r>
    </w:p>
    <w:p w14:paraId="4AC21839" w14:textId="77777777" w:rsidR="0050224B" w:rsidRDefault="0050224B" w:rsidP="0050224B">
      <w:pPr>
        <w:pStyle w:val="Style1"/>
        <w:rPr>
          <w:rtl/>
        </w:rPr>
      </w:pPr>
      <w:r>
        <w:rPr>
          <w:rtl/>
        </w:rPr>
        <w:t xml:space="preserve"> هناك غموض بشأن مدى تأثير الفعاليات الهامة على قطاع السفر والضيافة.</w:t>
      </w:r>
    </w:p>
    <w:p w14:paraId="132826D0" w14:textId="77777777" w:rsidR="0050224B" w:rsidRPr="0013416F" w:rsidRDefault="0050224B" w:rsidP="0050224B">
      <w:pPr>
        <w:pStyle w:val="NoSpacing"/>
        <w:rPr>
          <w:rtl/>
        </w:rPr>
      </w:pPr>
      <w:r w:rsidRPr="0013416F">
        <w:rPr>
          <w:rtl/>
        </w:rPr>
        <w:t>حتى لو كانت الفعاليات الكبرى تهدف إلى زيادة جاذبية المملكة للسياح، فإن دراسة العلاقة بين هذه الفعاليات وتوسع قطاع السياحة لا تزال ضرورية. فالخدمات الفندقية عالية الجودة، والبنية التحتية المتينة، ومجموعة من الأنشطة المساعدة، ضرورية للاستفادة بفعالية من دخل السياحة، حتى في المدن المضيفة ذات معدلات الزوار المرتفعة. تكمن الصعوبة في تحديد مدى قدرة هذه الفعاليات على تعزيز الإنفاق وإطالة مدة إقامة السياح بدلاً من حصر آثارها في فترات موسمية قصيرة. إضافةً إلى ذلك، قد لا يحقق قطاع الضيافة مكاسب تُذكر في مواقع أخرى لا تستفيد من الفعاليات، مما يطرح تساؤلاً حول كيفية توزيع التأثير جغرافياً</w:t>
      </w:r>
      <w:sdt>
        <w:sdtPr>
          <w:rPr>
            <w:rtl/>
          </w:rPr>
          <w:id w:val="-178873093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Ndh24 \l 3073</w:instrText>
          </w:r>
          <w:r>
            <w:rPr>
              <w:rtl/>
            </w:rPr>
            <w:instrText xml:space="preserve"> </w:instrText>
          </w:r>
          <w:r>
            <w:rPr>
              <w:rtl/>
            </w:rPr>
            <w:fldChar w:fldCharType="separate"/>
          </w:r>
          <w:r>
            <w:rPr>
              <w:noProof/>
              <w:rtl/>
            </w:rPr>
            <w:t xml:space="preserve"> </w:t>
          </w:r>
          <w:r>
            <w:rPr>
              <w:rFonts w:hint="cs"/>
              <w:noProof/>
              <w:rtl/>
            </w:rPr>
            <w:t>(</w:t>
          </w:r>
          <w:r>
            <w:rPr>
              <w:rFonts w:hint="cs"/>
              <w:noProof/>
            </w:rPr>
            <w:t>Ndhlovu</w:t>
          </w:r>
          <w:r>
            <w:rPr>
              <w:rFonts w:hint="cs"/>
              <w:noProof/>
              <w:rtl/>
            </w:rPr>
            <w:t>، 2024)</w:t>
          </w:r>
          <w:r>
            <w:rPr>
              <w:rtl/>
            </w:rPr>
            <w:fldChar w:fldCharType="end"/>
          </w:r>
        </w:sdtContent>
      </w:sdt>
      <w:r w:rsidRPr="0013416F">
        <w:rPr>
          <w:rtl/>
        </w:rPr>
        <w:t>.</w:t>
      </w:r>
    </w:p>
    <w:p w14:paraId="0665C6D1" w14:textId="77777777" w:rsidR="0050224B" w:rsidRDefault="0050224B" w:rsidP="0050224B">
      <w:pPr>
        <w:pStyle w:val="Style1"/>
        <w:rPr>
          <w:rtl/>
        </w:rPr>
      </w:pPr>
      <w:r>
        <w:rPr>
          <w:rtl/>
        </w:rPr>
        <w:t xml:space="preserve"> ضعف التنسيق بين قطاعات الخدمات اللوجستية وتجارة التجزئة والنقل والفعاليات الكبرى</w:t>
      </w:r>
    </w:p>
    <w:p w14:paraId="0988FDD2" w14:textId="77777777" w:rsidR="0050224B" w:rsidRPr="0013416F" w:rsidRDefault="0050224B" w:rsidP="0050224B">
      <w:pPr>
        <w:pStyle w:val="NoSpacing"/>
        <w:rPr>
          <w:rtl/>
        </w:rPr>
      </w:pPr>
      <w:r w:rsidRPr="0013416F">
        <w:rPr>
          <w:rtl/>
        </w:rPr>
        <w:t xml:space="preserve">بما أنه من المتوقع أن تزيد الفعاليات الكبرى من حركة المرور الداخلية والطلب على السلع والخدمات، فإن قطاعات النقل وتجارة التجزئة وخدمات الدعم ستكون الأكثر استفادة. ومع ذلك، تُظهر بعض الأبحاث والتقارير الميدانية نقصاً في التعاون بين الجهات التي تُدير هذه المناطق ومنظمي الفعاليات، مما يحول دون تحقيق أقصى قدر ممكن من الفوائد. على سبيل المثال، قد لا تكون شركات سلسلة التوريد أو مقدمو خدمات النقل العام مجهزين تجهيزًا كافيًا للتعامل مع الارتفاع المفاجئ في الطلب خلال فترة الفعالية، مما قد يقلل من الأثر الإيجابي. إضافةً إلى ذلك، قد يتضاءل التأثير الإجمالي على </w:t>
      </w:r>
      <w:r w:rsidRPr="0013416F">
        <w:rPr>
          <w:rtl/>
        </w:rPr>
        <w:lastRenderedPageBreak/>
        <w:t>القطاع التجاري إذا لم تُمنح بعض الشركات الصغيرة والمتوسطة فرصًا كافية للانضمام إلى المبادرة والاستفادة منها</w:t>
      </w:r>
      <w:sdt>
        <w:sdtPr>
          <w:rPr>
            <w:rtl/>
          </w:rPr>
          <w:id w:val="16699499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Giu19 \l 3073</w:instrText>
          </w:r>
          <w:r>
            <w:rPr>
              <w:rtl/>
            </w:rPr>
            <w:instrText xml:space="preserve"> </w:instrText>
          </w:r>
          <w:r>
            <w:rPr>
              <w:rtl/>
            </w:rPr>
            <w:fldChar w:fldCharType="separate"/>
          </w:r>
          <w:r>
            <w:rPr>
              <w:noProof/>
              <w:rtl/>
            </w:rPr>
            <w:t xml:space="preserve"> </w:t>
          </w:r>
          <w:r>
            <w:rPr>
              <w:rFonts w:hint="cs"/>
              <w:noProof/>
              <w:rtl/>
            </w:rPr>
            <w:t>(</w:t>
          </w:r>
          <w:r>
            <w:rPr>
              <w:rFonts w:hint="cs"/>
              <w:noProof/>
            </w:rPr>
            <w:t>Giusti</w:t>
          </w:r>
          <w:r>
            <w:rPr>
              <w:rFonts w:hint="cs"/>
              <w:noProof/>
              <w:rtl/>
            </w:rPr>
            <w:t>، 2019)</w:t>
          </w:r>
          <w:r>
            <w:rPr>
              <w:rtl/>
            </w:rPr>
            <w:fldChar w:fldCharType="end"/>
          </w:r>
        </w:sdtContent>
      </w:sdt>
      <w:r w:rsidRPr="0013416F">
        <w:rPr>
          <w:rtl/>
        </w:rPr>
        <w:t>.</w:t>
      </w:r>
    </w:p>
    <w:p w14:paraId="677E161D" w14:textId="77777777" w:rsidR="0050224B" w:rsidRDefault="0050224B" w:rsidP="0050224B">
      <w:pPr>
        <w:pStyle w:val="Style1"/>
        <w:rPr>
          <w:rtl/>
        </w:rPr>
      </w:pPr>
      <w:r>
        <w:rPr>
          <w:rtl/>
        </w:rPr>
        <w:t xml:space="preserve"> لم يكن للفعاليات تأثير يُذكر على خلق فرص عمل طويلة الأجل.</w:t>
      </w:r>
    </w:p>
    <w:p w14:paraId="6B23328B" w14:textId="77777777" w:rsidR="0050224B" w:rsidRPr="0013416F" w:rsidRDefault="0050224B" w:rsidP="0050224B">
      <w:pPr>
        <w:pStyle w:val="NoSpacing"/>
        <w:rPr>
          <w:rtl/>
        </w:rPr>
      </w:pPr>
      <w:r w:rsidRPr="0013416F">
        <w:rPr>
          <w:rtl/>
        </w:rPr>
        <w:t>من الأهداف الرئيسية لتخطيط الفعاليات المهمة تعزيز سوق العمل، وخاصةً للنساء والشباب، وخلق فرص عمل في القطاعات الناشئة مثل الخدمات والإعلام والتنظيم. في الواقع، فإن عددًا كبيرًا من الوظائف المرتبطة بهذه الفعاليات موسمية أو مؤقتة، ولا تُؤدي إلى توظيف طويل الأجل أو نمو مهني حقيقي للكوادر الوطنية. ونظرًا لنقص البرامج المستدامة لبناء المهارات اللازمة للعمل في هذه المجالات، توجد أيضًا فجوة في التدريب والتأهيل. وبالتالي، قد تكون الآثار الإيجابية على سوق العمل محدودة من حيث العمق والاستمرارية، مما يجعل المزايا الاقتصادية للفعاليات غير كافية</w:t>
      </w:r>
      <w:sdt>
        <w:sdtPr>
          <w:rPr>
            <w:rtl/>
          </w:rPr>
          <w:id w:val="-71535682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Chi241 \l 3073</w:instrText>
          </w:r>
          <w:r>
            <w:rPr>
              <w:rtl/>
            </w:rPr>
            <w:instrText xml:space="preserve"> </w:instrText>
          </w:r>
          <w:r>
            <w:rPr>
              <w:rtl/>
            </w:rPr>
            <w:fldChar w:fldCharType="separate"/>
          </w:r>
          <w:r>
            <w:rPr>
              <w:noProof/>
              <w:rtl/>
            </w:rPr>
            <w:t xml:space="preserve"> </w:t>
          </w:r>
          <w:r>
            <w:rPr>
              <w:rFonts w:hint="cs"/>
              <w:noProof/>
              <w:rtl/>
            </w:rPr>
            <w:t>(</w:t>
          </w:r>
          <w:r>
            <w:rPr>
              <w:rFonts w:hint="cs"/>
              <w:noProof/>
            </w:rPr>
            <w:t>Chikezie</w:t>
          </w:r>
          <w:r>
            <w:rPr>
              <w:rFonts w:hint="cs"/>
              <w:noProof/>
              <w:rtl/>
            </w:rPr>
            <w:t>، 2024)</w:t>
          </w:r>
          <w:r>
            <w:rPr>
              <w:rtl/>
            </w:rPr>
            <w:fldChar w:fldCharType="end"/>
          </w:r>
        </w:sdtContent>
      </w:sdt>
      <w:r w:rsidRPr="0013416F">
        <w:rPr>
          <w:rtl/>
        </w:rPr>
        <w:t>.</w:t>
      </w:r>
    </w:p>
    <w:p w14:paraId="405700CC" w14:textId="77777777" w:rsidR="0050224B" w:rsidRDefault="0050224B" w:rsidP="0050224B">
      <w:pPr>
        <w:pStyle w:val="Style1"/>
        <w:rPr>
          <w:rtl/>
        </w:rPr>
      </w:pPr>
      <w:r>
        <w:rPr>
          <w:rtl/>
        </w:rPr>
        <w:t>مشاكل تنظيمية تؤثر على جودة تنفيذ الفعاليات الهامة</w:t>
      </w:r>
    </w:p>
    <w:p w14:paraId="64C66727" w14:textId="77777777" w:rsidR="0050224B" w:rsidRPr="0013416F" w:rsidRDefault="0050224B" w:rsidP="0050224B">
      <w:pPr>
        <w:pStyle w:val="NoSpacing"/>
        <w:rPr>
          <w:rtl/>
        </w:rPr>
      </w:pPr>
      <w:r w:rsidRPr="0013416F">
        <w:rPr>
          <w:rtl/>
        </w:rPr>
        <w:t>على الرغم من النمو التنظيمي للقطاع، لا تزال بعض الفعاليات تواجه مشاكل في الإدارة والتخطيط والحوكمة، مما يحد من قدرتها على تحقيق الأهداف المالية المنشودة بفعالية. تشمل هذه الصعوبات غياب رؤية استراتيجية طويلة المدى لبعض الفعاليات، وعدم وضوح أساليب حساب عائد الاستثمار، وضعف التنسيق بين الجهات العامة والخاصة. إضافةً إلى ذلك، هناك حالات ينصب فيها التركيز على جذب انتباه الجمهور والإعلام بدلاً من مراعاة الجانب الاقتصادي طويل المدى، مما يؤدي إلى هدر الموارد دون تحقيق فوائد طويلة الأجل. لذلك، ينبغي استخدام مدى تحقيق الفعاليات لأهدافها التنموية الكاملة لقياس نجاحها، بدلاً من مجرد عدد الحضور.</w:t>
      </w:r>
    </w:p>
    <w:p w14:paraId="2A70233A" w14:textId="77777777" w:rsidR="0050224B" w:rsidRDefault="0050224B" w:rsidP="0050224B">
      <w:pPr>
        <w:pStyle w:val="Style1"/>
        <w:rPr>
          <w:rtl/>
        </w:rPr>
      </w:pPr>
      <w:r>
        <w:rPr>
          <w:rtl/>
        </w:rPr>
        <w:t>عدم القدرة على مقارنة التجربة السعودية مع التجارب الدولية الناجحة الأخرى خلال الفعاليات الهامة</w:t>
      </w:r>
    </w:p>
    <w:p w14:paraId="2B043CAA" w14:textId="77777777" w:rsidR="0050224B" w:rsidRPr="0013416F" w:rsidRDefault="0050224B" w:rsidP="0050224B">
      <w:pPr>
        <w:pStyle w:val="NoSpacing"/>
      </w:pPr>
      <w:r w:rsidRPr="0013416F">
        <w:rPr>
          <w:rtl/>
        </w:rPr>
        <w:t>على الرغم من التقدم الكبير الذي أحرزته المملكة في تخطيط الفعاليات الدولية، إلا أن فرصة الاستفادة من أفضل الممارسات الدولية قد ضاعت بسبب عدم وجود مقارنة منهجية مع تجارب الدول الأخرى. ومن خلال تنفيذ سياسات صريحة لدمج الأحداث الكبرى في استراتيجيات النمو الحضري والتوظيف والسياحة المستدامة، نجحت دول معينة ــ بما في ذلك الإمارات العربية المتحدة وقطر والمملكة المتحدة وأستراليا ــ في توظيف التكنولوجيا في إدارة الأحداث الكبرى. تُعتبر هذه الأحداث أدوات فعّالة للتنمية الاقتصادية المحلية. ومع ذلك، لا يوجد حاليًا تقييم شامل ومنهجي للتجربة السعودية يُقارن الأداء الفعلي بالمعايير الدولية، مما قد يُقيّد فرص التنمية المُستمرة ويُبقي بعض القضايا دون حلّ.</w:t>
      </w:r>
    </w:p>
    <w:p w14:paraId="5C98225E" w14:textId="77777777" w:rsidR="0050224B" w:rsidRPr="0041045A" w:rsidRDefault="0050224B" w:rsidP="0050224B">
      <w:pPr>
        <w:rPr>
          <w:rtl/>
          <w:lang w:bidi="ar-EG"/>
        </w:rPr>
      </w:pPr>
    </w:p>
    <w:p w14:paraId="536B5D78" w14:textId="77777777" w:rsidR="0050224B" w:rsidRPr="00E06C68" w:rsidRDefault="0050224B" w:rsidP="0050224B">
      <w:pPr>
        <w:spacing w:after="0" w:line="360" w:lineRule="auto"/>
        <w:rPr>
          <w:rFonts w:ascii="Sakkal Majalla" w:hAnsi="Sakkal Majalla" w:cs="Sakkal Majalla"/>
          <w:sz w:val="28"/>
          <w:szCs w:val="28"/>
          <w:rtl/>
          <w:lang w:bidi="ar-EG"/>
        </w:rPr>
      </w:pPr>
    </w:p>
    <w:p w14:paraId="58ED9EF5" w14:textId="77777777" w:rsidR="0050224B" w:rsidRDefault="0050224B" w:rsidP="0050224B">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2EF7F918" w14:textId="77777777" w:rsidR="0050224B" w:rsidRDefault="0050224B" w:rsidP="0050224B">
      <w:pPr>
        <w:pStyle w:val="Style1"/>
        <w:rPr>
          <w:rtl/>
        </w:rPr>
      </w:pPr>
      <w:r>
        <w:rPr>
          <w:rtl/>
        </w:rPr>
        <w:t>أولاً: الأهمية العلمية</w:t>
      </w:r>
    </w:p>
    <w:p w14:paraId="7A1BCA42" w14:textId="77777777" w:rsidR="0050224B" w:rsidRDefault="0050224B" w:rsidP="0050224B">
      <w:pPr>
        <w:pStyle w:val="NoSpacing"/>
        <w:rPr>
          <w:rtl/>
        </w:rPr>
      </w:pPr>
      <w:r>
        <w:rPr>
          <w:rtl/>
        </w:rPr>
        <w:t>تنبع القيمة العلمية لهذه الدراسة من سدِّها فراغًا معرفيًا في الأدبيات العربية حول دراسة تأثير الأحداث المهمة على القطاعات الاقتصادية غير النفطية، وخاصةً في السياق السعودي. ورغم كثرة مناقشة أهمية الأحداث المهمة في وسائل الإعلام والمؤسسات، إلا أن الدراسات العلمية المتخصصة التي تستخدم المنهجيات الكمية والنوعية لدراسة هذه القضية لا تزال قليلة. لذا، من خلال ربط فكرة الأحداث الكبرى بأهداف النمو الاقتصادي لرؤية السعودية 2030، ودراسة العلاقة بين استضافة الفعاليات والصناعات غير النفطية، بما في ذلك السياحة والخدمات وتجارة التجزئة والنقل والتكنولوجيا، تُضيف هذه الدراسة بُعدًا نوعيًا</w:t>
      </w:r>
      <w:sdt>
        <w:sdtPr>
          <w:rPr>
            <w:rtl/>
          </w:rPr>
          <w:id w:val="119303942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Swe21 \l 3073</w:instrText>
          </w:r>
          <w:r>
            <w:rPr>
              <w:rtl/>
            </w:rPr>
            <w:instrText xml:space="preserve"> </w:instrText>
          </w:r>
          <w:r>
            <w:rPr>
              <w:rtl/>
            </w:rPr>
            <w:fldChar w:fldCharType="separate"/>
          </w:r>
          <w:r>
            <w:rPr>
              <w:noProof/>
              <w:rtl/>
            </w:rPr>
            <w:t xml:space="preserve"> </w:t>
          </w:r>
          <w:r>
            <w:rPr>
              <w:rFonts w:hint="cs"/>
              <w:noProof/>
              <w:rtl/>
            </w:rPr>
            <w:t>(</w:t>
          </w:r>
          <w:r>
            <w:rPr>
              <w:rFonts w:hint="cs"/>
              <w:noProof/>
            </w:rPr>
            <w:t>Sweidan</w:t>
          </w:r>
          <w:r>
            <w:rPr>
              <w:rFonts w:hint="cs"/>
              <w:noProof/>
              <w:rtl/>
            </w:rPr>
            <w:t>، 2021)</w:t>
          </w:r>
          <w:r>
            <w:rPr>
              <w:rtl/>
            </w:rPr>
            <w:fldChar w:fldCharType="end"/>
          </w:r>
        </w:sdtContent>
      </w:sdt>
      <w:r>
        <w:rPr>
          <w:rtl/>
        </w:rPr>
        <w:t>.</w:t>
      </w:r>
    </w:p>
    <w:p w14:paraId="172B3D31" w14:textId="77777777" w:rsidR="0050224B" w:rsidRDefault="0050224B" w:rsidP="0050224B">
      <w:pPr>
        <w:pStyle w:val="NoSpacing"/>
        <w:rPr>
          <w:rtl/>
        </w:rPr>
      </w:pPr>
      <w:r>
        <w:rPr>
          <w:rtl/>
        </w:rPr>
        <w:t>ولكي تُضفي على الدراسة طابعًا أكاديميًا شاملًا يُعزز مجال الدراسات الاقتصادية والتنموية في العالم العربي، فإنها تعتمد أيضًا على تحليل متعدد الجوانب يأخذ في الاعتبار العوامل الاقتصادية والاجتماعية والتنظيمية. تُقدم هذه الدراسة نماذج تحليلية يُمكن التوسع فيها في أبحاث مستقبلية أو في مقارنات دولية، مما يجعلها موردًا قيّمًا للأكاديميين والباحثين العاملين في مجالات الاقتصاد غير النفطي، وتخطيط الفعاليات، والتنمية المستدامة. بالإضافة إلى ذلك، تُسهم هذه الدراسة في وضع إطار نظري يُوضّح استخدام الفعاليات الكبرى كأداة تكتيكية في خطط التنويع الاقتصادي. كما تُعزّز قيمتها الأكاديمية ومشروعيتها العلمية من خلال ربط الأفكار النظرية بالتطبيقات العملية في المملكة</w:t>
      </w:r>
      <w:sdt>
        <w:sdtPr>
          <w:rPr>
            <w:rtl/>
          </w:rPr>
          <w:id w:val="-187730977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Kum231 \l 3073</w:instrText>
          </w:r>
          <w:r>
            <w:rPr>
              <w:rtl/>
            </w:rPr>
            <w:instrText xml:space="preserve"> </w:instrText>
          </w:r>
          <w:r>
            <w:rPr>
              <w:rtl/>
            </w:rPr>
            <w:fldChar w:fldCharType="separate"/>
          </w:r>
          <w:r>
            <w:rPr>
              <w:noProof/>
              <w:rtl/>
            </w:rPr>
            <w:t xml:space="preserve"> </w:t>
          </w:r>
          <w:r>
            <w:rPr>
              <w:rFonts w:hint="cs"/>
              <w:noProof/>
              <w:rtl/>
            </w:rPr>
            <w:t>(</w:t>
          </w:r>
          <w:r>
            <w:rPr>
              <w:rFonts w:hint="cs"/>
              <w:noProof/>
            </w:rPr>
            <w:t>Kumo</w:t>
          </w:r>
          <w:r>
            <w:rPr>
              <w:rFonts w:hint="cs"/>
              <w:noProof/>
              <w:rtl/>
            </w:rPr>
            <w:t>، 2023)</w:t>
          </w:r>
          <w:r>
            <w:rPr>
              <w:rtl/>
            </w:rPr>
            <w:fldChar w:fldCharType="end"/>
          </w:r>
        </w:sdtContent>
      </w:sdt>
      <w:r>
        <w:rPr>
          <w:rtl/>
        </w:rPr>
        <w:t>.</w:t>
      </w:r>
    </w:p>
    <w:p w14:paraId="70D733F9" w14:textId="77777777" w:rsidR="0050224B" w:rsidRDefault="0050224B" w:rsidP="0050224B">
      <w:pPr>
        <w:pStyle w:val="Style1"/>
        <w:rPr>
          <w:rtl/>
        </w:rPr>
      </w:pPr>
      <w:r>
        <w:rPr>
          <w:rtl/>
        </w:rPr>
        <w:t>ثانيًا: الأهمية العملية</w:t>
      </w:r>
    </w:p>
    <w:p w14:paraId="0AF1D9FC" w14:textId="77777777" w:rsidR="0050224B" w:rsidRDefault="0050224B" w:rsidP="0050224B">
      <w:pPr>
        <w:pStyle w:val="NoSpacing"/>
        <w:rPr>
          <w:rtl/>
        </w:rPr>
      </w:pPr>
      <w:r>
        <w:rPr>
          <w:rtl/>
        </w:rPr>
        <w:t>تنبع الأهمية العملية لهذه الدراسة من تحليلها الدقيق والمباشر، مما يُساعد المُخططين وصانعي القرار والجهات التنظيمية المسؤولة عن تخطيط الفعاليات الكبرى في المملكة. يُمكن للجهات الحكومية، مثل الهيئة العامة للترفيه، ووزارة السياحة، والهيئة العامة للمعارض والمؤتمرات، والهيئات الإقليمية، الاستفادة من نتائج الدراسة لتحسين إجراءاتها التشغيلية وضمان تحقيق الفعاليات الكبرى لأقصى قدر من الآثار الاقتصادية الإيجابية على المجتمع.</w:t>
      </w:r>
    </w:p>
    <w:p w14:paraId="7B445C34" w14:textId="77777777" w:rsidR="0050224B" w:rsidRDefault="0050224B" w:rsidP="0050224B">
      <w:pPr>
        <w:pStyle w:val="NoSpacing"/>
        <w:rPr>
          <w:rtl/>
        </w:rPr>
      </w:pPr>
      <w:r>
        <w:rPr>
          <w:rtl/>
        </w:rPr>
        <w:t xml:space="preserve">كما يستفيد القطاع الخاص من الدراسة، وخاصةً المستثمرين والشركات الصغيرة والمتوسطة في قطاعات </w:t>
      </w:r>
      <w:r>
        <w:rPr>
          <w:rFonts w:hint="cs"/>
          <w:rtl/>
        </w:rPr>
        <w:t>السفر</w:t>
      </w:r>
      <w:r>
        <w:rPr>
          <w:rFonts w:hint="eastAsia"/>
          <w:rtl/>
        </w:rPr>
        <w:t>،</w:t>
      </w:r>
      <w:r>
        <w:rPr>
          <w:rtl/>
        </w:rPr>
        <w:t xml:space="preserve"> </w:t>
      </w:r>
      <w:r>
        <w:rPr>
          <w:rFonts w:hint="cs"/>
          <w:rtl/>
        </w:rPr>
        <w:t>والضيافة</w:t>
      </w:r>
      <w:r>
        <w:rPr>
          <w:rFonts w:hint="eastAsia"/>
          <w:rtl/>
        </w:rPr>
        <w:t>،</w:t>
      </w:r>
      <w:r>
        <w:rPr>
          <w:rtl/>
        </w:rPr>
        <w:t xml:space="preserve"> </w:t>
      </w:r>
      <w:r>
        <w:rPr>
          <w:rFonts w:hint="cs"/>
          <w:rtl/>
        </w:rPr>
        <w:t>والنقل</w:t>
      </w:r>
      <w:r>
        <w:rPr>
          <w:rFonts w:hint="eastAsia"/>
          <w:rtl/>
        </w:rPr>
        <w:t>،</w:t>
      </w:r>
      <w:r>
        <w:rPr>
          <w:rtl/>
        </w:rPr>
        <w:t xml:space="preserve"> والتكنولوجيا. إذ يُمكنهم فهم الفرص والصعوبات المُصاحبة للفعاليات الكبرى بشكل أفضل، وبناء خطط أعمالهم باستخدام بيانات واقعية وتحليلية.</w:t>
      </w:r>
    </w:p>
    <w:p w14:paraId="089237EC" w14:textId="77777777" w:rsidR="0050224B" w:rsidRDefault="0050224B" w:rsidP="0050224B">
      <w:pPr>
        <w:pStyle w:val="NoSpacing"/>
        <w:rPr>
          <w:rtl/>
        </w:rPr>
      </w:pPr>
      <w:r>
        <w:rPr>
          <w:rtl/>
        </w:rPr>
        <w:lastRenderedPageBreak/>
        <w:t>من خلال توفير قاعدة معرفية تُساعد في تقييم عائد الاستثمار في الفعاليات وتخصيص الأموال للمبادرات والقطاعات الأكثر تأثيرًا، تُعدّ هذه الدراسة مهمةً أيضًا لتعزيز التخطيط الاستراتيجي طويل المدى. ولضمان تأثير إيجابي مستدام على سوق العمل، وخاصةً في المهن الناشئة ضمن المجالات الجديدة التي تفرضها الفعاليات الكبرى، تُساعد الدراسة أيضًا في وضع خطط لتدريب وتأهيل الكوادر الوطنية</w:t>
      </w:r>
      <w:sdt>
        <w:sdtPr>
          <w:rPr>
            <w:rtl/>
          </w:rPr>
          <w:id w:val="-94530602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Mur201 \l 3073</w:instrText>
          </w:r>
          <w:r>
            <w:rPr>
              <w:rtl/>
            </w:rPr>
            <w:instrText xml:space="preserve"> </w:instrText>
          </w:r>
          <w:r>
            <w:rPr>
              <w:rtl/>
            </w:rPr>
            <w:fldChar w:fldCharType="separate"/>
          </w:r>
          <w:r>
            <w:rPr>
              <w:noProof/>
              <w:rtl/>
            </w:rPr>
            <w:t xml:space="preserve"> </w:t>
          </w:r>
          <w:r>
            <w:rPr>
              <w:rFonts w:hint="cs"/>
              <w:noProof/>
              <w:rtl/>
            </w:rPr>
            <w:t>(</w:t>
          </w:r>
          <w:r>
            <w:rPr>
              <w:rFonts w:hint="cs"/>
              <w:noProof/>
            </w:rPr>
            <w:t>Murniati</w:t>
          </w:r>
          <w:r>
            <w:rPr>
              <w:rFonts w:hint="cs"/>
              <w:noProof/>
              <w:rtl/>
            </w:rPr>
            <w:t>، 2020)</w:t>
          </w:r>
          <w:r>
            <w:rPr>
              <w:rtl/>
            </w:rPr>
            <w:fldChar w:fldCharType="end"/>
          </w:r>
        </w:sdtContent>
      </w:sdt>
      <w:r>
        <w:rPr>
          <w:rtl/>
        </w:rPr>
        <w:t>.</w:t>
      </w:r>
    </w:p>
    <w:p w14:paraId="6C78041E" w14:textId="77777777" w:rsidR="0050224B" w:rsidRPr="00EF0495" w:rsidRDefault="0050224B" w:rsidP="0050224B">
      <w:pPr>
        <w:pStyle w:val="NoSpacing"/>
        <w:rPr>
          <w:rtl/>
        </w:rPr>
      </w:pPr>
      <w:r>
        <w:rPr>
          <w:rtl/>
        </w:rPr>
        <w:t>كما يُمكن الاستفادة من نتائج الدراسة في وضع مقاييس أداء دقيقة تُستخدم لتقييم نجاح الفعاليات والتأكد من مدى توافقها مع أهداف التنمية الشاملة للمملكة. بالإضافة إلى ذلك، تُدعم الدراسة الجهود الوطنية الرامية إلى تعزيز الهوية الثقافية، وتحسين جودة الحياة، وتحقيق التوازن بين الآثار الاجتماعية الإيجابية للفعاليات وعوائدها الاقتصادية.</w:t>
      </w:r>
    </w:p>
    <w:p w14:paraId="5342D341" w14:textId="77777777" w:rsidR="0050224B" w:rsidRPr="00201BD2" w:rsidRDefault="0050224B" w:rsidP="0050224B">
      <w:pPr>
        <w:pStyle w:val="NoSpacing"/>
      </w:pPr>
    </w:p>
    <w:p w14:paraId="45AF553B" w14:textId="77777777" w:rsidR="0050224B" w:rsidRDefault="0050224B" w:rsidP="0050224B">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7265927F" w14:textId="77777777" w:rsidR="0050224B" w:rsidRPr="00D855CA" w:rsidRDefault="0050224B" w:rsidP="0050224B">
      <w:pPr>
        <w:pStyle w:val="Style1"/>
        <w:numPr>
          <w:ilvl w:val="0"/>
          <w:numId w:val="3"/>
        </w:numPr>
      </w:pPr>
      <w:r w:rsidRPr="00D855CA">
        <w:rPr>
          <w:rtl/>
        </w:rPr>
        <w:t>الهدف الأساسي</w:t>
      </w:r>
      <w:r w:rsidRPr="00D855CA">
        <w:t>:</w:t>
      </w:r>
    </w:p>
    <w:p w14:paraId="3DB1F8B7" w14:textId="77777777" w:rsidR="0050224B" w:rsidRDefault="0050224B" w:rsidP="0050224B">
      <w:pPr>
        <w:pStyle w:val="NoSpacing"/>
        <w:rPr>
          <w:rtl/>
        </w:rPr>
      </w:pPr>
      <w:r w:rsidRPr="00D855CA">
        <w:rPr>
          <w:rtl/>
        </w:rPr>
        <w:t>تهدف هذه الدراسة إلى تحليل تأثير الاستضافات والفعاليات الكبرى على تنشيط وتحفيز القطاعات الاقتصادية غير النفطية في المملكة العربية السعودية، في ضوء رؤية المملكة 2030 التي تسعى إلى تنويع مصادر الدخل الوطني وتعزيز الاقتصاد غير النفطي</w:t>
      </w:r>
      <w:r w:rsidRPr="00D855CA">
        <w:t>.</w:t>
      </w:r>
    </w:p>
    <w:p w14:paraId="6F9F5194" w14:textId="77777777" w:rsidR="0050224B" w:rsidRPr="00D855CA" w:rsidRDefault="0050224B" w:rsidP="0050224B">
      <w:pPr>
        <w:pStyle w:val="NoSpacing"/>
      </w:pPr>
    </w:p>
    <w:p w14:paraId="4E099772" w14:textId="77777777" w:rsidR="0050224B" w:rsidRPr="00D855CA" w:rsidRDefault="0050224B" w:rsidP="0050224B">
      <w:pPr>
        <w:pStyle w:val="Style1"/>
        <w:numPr>
          <w:ilvl w:val="0"/>
          <w:numId w:val="3"/>
        </w:numPr>
      </w:pPr>
      <w:r w:rsidRPr="00D855CA">
        <w:rPr>
          <w:rtl/>
        </w:rPr>
        <w:t>الأهداف الفرعية</w:t>
      </w:r>
      <w:r w:rsidRPr="00D855CA">
        <w:t>:</w:t>
      </w:r>
    </w:p>
    <w:p w14:paraId="6103D3D8" w14:textId="77777777" w:rsidR="0050224B" w:rsidRPr="00ED4C4A" w:rsidRDefault="0050224B" w:rsidP="0050224B">
      <w:pPr>
        <w:pStyle w:val="NoSpacing"/>
        <w:numPr>
          <w:ilvl w:val="0"/>
          <w:numId w:val="4"/>
        </w:numPr>
        <w:rPr>
          <w:b/>
          <w:bCs/>
        </w:rPr>
      </w:pPr>
      <w:r w:rsidRPr="00ED4C4A">
        <w:rPr>
          <w:b/>
          <w:bCs/>
          <w:rtl/>
        </w:rPr>
        <w:t>تحديد دور الفعاليات الكبرى في دعم قطاع السياحة والضيافة</w:t>
      </w:r>
    </w:p>
    <w:p w14:paraId="6AE2E0BB" w14:textId="77777777" w:rsidR="0050224B" w:rsidRDefault="0050224B" w:rsidP="0050224B">
      <w:pPr>
        <w:pStyle w:val="NoSpacing"/>
        <w:rPr>
          <w:rtl/>
        </w:rPr>
      </w:pPr>
      <w:r w:rsidRPr="00D855CA">
        <w:rPr>
          <w:rtl/>
        </w:rPr>
        <w:t>يُعد قطاع السياحة والضيافة من أبرز القطاعات غير النفطية التي يُعوّل عليها في تحقيق أهداف رؤية المملكة 2030. وتُسهم الفعاليات الكبرى مثل المواسم السياحية، والبطولات الرياضية، والمهرجانات الثقافية، في جذب أعداد كبيرة من الزوار محليًا ودوليًا، مما يؤدي إلى ارتفاع معدلات الإشغال الفندقي وزيادة الطلب على خدمات الإيواء والمطاعم والتنقل. لذلك، تسعى هذه الدراسة إلى تحليل الكيفية التي تؤثر بها هذه الفعاليات في تنشيط قطاع السياحة والضيافة، ومدى مساهمتها في تحفيز الإنفاق السياحي، ودعم المنشآت الصغيرة والمتوسطة العاملة في هذا المجال. كما سيتم التطرق إلى استدامة هذا الأثر السياحي بعد انتهاء الفعالية، والتحديات المرتبطة بتوزيع الفعاليات على مختلف المناطق</w:t>
      </w:r>
      <w:r w:rsidRPr="00D855CA">
        <w:t>.</w:t>
      </w:r>
    </w:p>
    <w:p w14:paraId="1CD448EB" w14:textId="77777777" w:rsidR="0050224B" w:rsidRPr="00D855CA" w:rsidRDefault="0050224B" w:rsidP="0050224B">
      <w:pPr>
        <w:pStyle w:val="NoSpacing"/>
      </w:pPr>
    </w:p>
    <w:p w14:paraId="16FE10E7" w14:textId="77777777" w:rsidR="0050224B" w:rsidRPr="00ED4C4A" w:rsidRDefault="0050224B" w:rsidP="0050224B">
      <w:pPr>
        <w:pStyle w:val="NoSpacing"/>
        <w:numPr>
          <w:ilvl w:val="0"/>
          <w:numId w:val="4"/>
        </w:numPr>
        <w:rPr>
          <w:b/>
          <w:bCs/>
        </w:rPr>
      </w:pPr>
      <w:r w:rsidRPr="00ED4C4A">
        <w:rPr>
          <w:b/>
          <w:bCs/>
          <w:rtl/>
        </w:rPr>
        <w:lastRenderedPageBreak/>
        <w:t>تحليل أثر الفعاليات على نمو قطاعات النقل، والتجزئة، والخدمات اللوجستية</w:t>
      </w:r>
    </w:p>
    <w:p w14:paraId="2BDB23DE" w14:textId="77777777" w:rsidR="0050224B" w:rsidRDefault="0050224B" w:rsidP="0050224B">
      <w:pPr>
        <w:pStyle w:val="NoSpacing"/>
        <w:rPr>
          <w:rtl/>
        </w:rPr>
      </w:pPr>
      <w:r w:rsidRPr="00D855CA">
        <w:rPr>
          <w:rtl/>
        </w:rPr>
        <w:t>تلعب الفعاليات الكبرى دورًا محوريًا في تحريك عجلة الاقتصاد من خلال زيادة حركة التنقل، ورفع مستويات الاستهلاك، وتحفيز أنشطة الخدمات الداعمة. وتهدف الدراسة إلى رصد التغيرات التي تطرأ على قطاعات النقل (البري والجوي)، وأسواق التجزئة (المراكز التجارية، المتاجر، المعارض)، وكذلك الخدمات اللوجستية، أثناء وبعد تنظيم الفعاليات الكبرى. وسيتم التركيز على تقييم الأثر الفعلي لهذه الفعاليات في تنشيط هذه القطاعات، ومدى جاهزية البنية التحتية لتلبية الطلب المتزايد، بالإضافة إلى رصد التحديات التي قد تعيق الاستفادة المثلى من هذا الحراك الاقتصادي</w:t>
      </w:r>
      <w:r w:rsidRPr="00D855CA">
        <w:t>.</w:t>
      </w:r>
    </w:p>
    <w:p w14:paraId="10FBCD19" w14:textId="77777777" w:rsidR="0050224B" w:rsidRPr="00D855CA" w:rsidRDefault="0050224B" w:rsidP="0050224B">
      <w:pPr>
        <w:pStyle w:val="NoSpacing"/>
      </w:pPr>
    </w:p>
    <w:p w14:paraId="26F7FC91" w14:textId="77777777" w:rsidR="0050224B" w:rsidRPr="00ED4C4A" w:rsidRDefault="0050224B" w:rsidP="0050224B">
      <w:pPr>
        <w:pStyle w:val="NoSpacing"/>
        <w:numPr>
          <w:ilvl w:val="0"/>
          <w:numId w:val="4"/>
        </w:numPr>
        <w:rPr>
          <w:b/>
          <w:bCs/>
        </w:rPr>
      </w:pPr>
      <w:r w:rsidRPr="00ED4C4A">
        <w:rPr>
          <w:b/>
          <w:bCs/>
          <w:rtl/>
        </w:rPr>
        <w:t>قياس مدى مساهمة الفعاليات الكبرى في خلق فرص عمل جديدة ومستدامة</w:t>
      </w:r>
    </w:p>
    <w:p w14:paraId="12A12144" w14:textId="77777777" w:rsidR="0050224B" w:rsidRDefault="0050224B" w:rsidP="0050224B">
      <w:pPr>
        <w:pStyle w:val="NoSpacing"/>
        <w:rPr>
          <w:rtl/>
        </w:rPr>
      </w:pPr>
      <w:r w:rsidRPr="00D855CA">
        <w:rPr>
          <w:rtl/>
        </w:rPr>
        <w:t>من الأهداف الرئيسية للفعاليات الكبرى تعزيز التوظيف وتحقيق الأثر الاجتماعي الإيجابي عبر توفير فرص عمل مباشرة وغير مباشرة. تهدف الدراسة إلى تقييم طبيعة الوظائف التي تنشأ نتيجة لتنظيم الفعاليات، ومدى استمراريتها بعد انتهاء الحدث، سواء في مجالات التنظيم، الأمن، التسويق، الضيافة، النقل، أو الخدمات التقنية. كما ستتناول الدراسة مدى استفادة الكوادر الوطنية من هذه الفرص، ومدى وجود برامج تدريب وتأهيل تواكب متطلبات السوق المرتبطة بهذه الفعاليات. ويتطلب ذلك تحليل العلاقة بين الفعاليات وسوق العمل من حيث الكم والنوع والجودة الوظيفية</w:t>
      </w:r>
      <w:r w:rsidRPr="00D855CA">
        <w:t>.</w:t>
      </w:r>
    </w:p>
    <w:p w14:paraId="4A85F855" w14:textId="77777777" w:rsidR="0050224B" w:rsidRPr="00D855CA" w:rsidRDefault="0050224B" w:rsidP="0050224B">
      <w:pPr>
        <w:pStyle w:val="NoSpacing"/>
      </w:pPr>
    </w:p>
    <w:p w14:paraId="1094AB6D" w14:textId="77777777" w:rsidR="0050224B" w:rsidRPr="00ED4C4A" w:rsidRDefault="0050224B" w:rsidP="0050224B">
      <w:pPr>
        <w:pStyle w:val="NoSpacing"/>
        <w:numPr>
          <w:ilvl w:val="0"/>
          <w:numId w:val="4"/>
        </w:numPr>
        <w:rPr>
          <w:b/>
          <w:bCs/>
        </w:rPr>
      </w:pPr>
      <w:r w:rsidRPr="00ED4C4A">
        <w:rPr>
          <w:b/>
          <w:bCs/>
          <w:rtl/>
        </w:rPr>
        <w:t>تسليط الضوء على التحديات التنظيمية والاقتصادية التي قد تحد من الأثر الإيجابي للفعاليات الكبرى</w:t>
      </w:r>
    </w:p>
    <w:p w14:paraId="32812035" w14:textId="77777777" w:rsidR="0050224B" w:rsidRDefault="0050224B" w:rsidP="0050224B">
      <w:pPr>
        <w:pStyle w:val="NoSpacing"/>
        <w:rPr>
          <w:rtl/>
        </w:rPr>
      </w:pPr>
      <w:r w:rsidRPr="00D855CA">
        <w:rPr>
          <w:rtl/>
        </w:rPr>
        <w:t>رغم الإمكانيات التنظيمية الكبيرة التي أظهرتها المملكة في السنوات الأخيرة، إلا أن بعض الفعاليات قد تواجه تحديات تتعلق بالتنسيق بين الجهات، أو ضعف التخطيط المسبق، أو غياب آليات تقييم الأداء الاقتصادي. وتهدف الدراسة إلى رصد وتحليل هذه التحديات من منظور اقتصادي وتنظيمي، ودراسة تأثيرها على كفاءة الفعالية وقدرتها على تحقيق أهدافها الاقتصادية. كما سيتناول هذا الهدف ضعف مشاركة القطاع الخاص أحيانًا، وتفاوت استفادة المناطق المختلفة من هذه الفعاليات، مما يتطلب توصيات تعزز من عدالة الأثر وجدواه</w:t>
      </w:r>
      <w:r w:rsidRPr="00D855CA">
        <w:t>.</w:t>
      </w:r>
    </w:p>
    <w:p w14:paraId="1EBD6028" w14:textId="77777777" w:rsidR="0050224B" w:rsidRPr="00D855CA" w:rsidRDefault="0050224B" w:rsidP="0050224B">
      <w:pPr>
        <w:pStyle w:val="NoSpacing"/>
      </w:pPr>
    </w:p>
    <w:p w14:paraId="621E9C45" w14:textId="77777777" w:rsidR="0050224B" w:rsidRPr="00ED4C4A" w:rsidRDefault="0050224B" w:rsidP="0050224B">
      <w:pPr>
        <w:pStyle w:val="NoSpacing"/>
        <w:numPr>
          <w:ilvl w:val="0"/>
          <w:numId w:val="4"/>
        </w:numPr>
        <w:rPr>
          <w:b/>
          <w:bCs/>
        </w:rPr>
      </w:pPr>
      <w:r w:rsidRPr="00ED4C4A">
        <w:rPr>
          <w:b/>
          <w:bCs/>
          <w:rtl/>
        </w:rPr>
        <w:t>مقارنة التجربة السعودية في تنظيم الفعاليات الكبرى مع تجارب دولية ناجحة</w:t>
      </w:r>
    </w:p>
    <w:p w14:paraId="4B5DF6AE" w14:textId="77777777" w:rsidR="0050224B" w:rsidRPr="00D855CA" w:rsidRDefault="0050224B" w:rsidP="0050224B">
      <w:pPr>
        <w:pStyle w:val="NoSpacing"/>
      </w:pPr>
      <w:r w:rsidRPr="00D855CA">
        <w:rPr>
          <w:rtl/>
        </w:rPr>
        <w:t xml:space="preserve">ضمن سياق تعزيز المخرجات العملية للدراسة، يُعد النظر في التجارب الدولية الناجحة وسيلة فعالة لاستخلاص دروس مستفادة قابلة للتطبيق في المملكة. لذا، تسعى الدراسة إلى إجراء مقارنة تحليلية بين ما حققته المملكة في تنظيم الفعاليات </w:t>
      </w:r>
      <w:r w:rsidRPr="00D855CA">
        <w:rPr>
          <w:rtl/>
        </w:rPr>
        <w:lastRenderedPageBreak/>
        <w:t>الكبرى، وما قامت به دول أخرى مثل الإمارات، وقطر، والمملكة المتحدة، وغيرها من الدول التي استطاعت تحقيق نتائج ملموسة على صعيد الاقتصاد غير النفطي من خلال هذا النهج. ومن خلال هذه المقارنة، سيتم تسليط الضوء على السياسات والتجارب الفعالة، والعوامل التنظيمية التي ساعدت تلك الدول في تحويل الفعاليات إلى رافعة اقتصادية حقيقية، وذلك بهدف اقتراح آليات تطوير ملائمة للبيئة السعودية</w:t>
      </w:r>
      <w:r w:rsidRPr="00D855CA">
        <w:t>.</w:t>
      </w:r>
    </w:p>
    <w:p w14:paraId="6ECD5576" w14:textId="77777777" w:rsidR="0050224B" w:rsidRPr="00F86C08" w:rsidRDefault="0050224B" w:rsidP="0050224B">
      <w:pPr>
        <w:pStyle w:val="NoSpacing"/>
        <w:rPr>
          <w:rtl/>
        </w:rPr>
      </w:pPr>
    </w:p>
    <w:p w14:paraId="5654916B" w14:textId="77777777" w:rsidR="0050224B" w:rsidRDefault="0050224B" w:rsidP="0050224B">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055B91F6" w14:textId="77777777" w:rsidR="0050224B" w:rsidRPr="00ED4C4A" w:rsidRDefault="0050224B" w:rsidP="0050224B">
      <w:pPr>
        <w:pStyle w:val="NoSpacing"/>
        <w:rPr>
          <w:b/>
          <w:bCs/>
        </w:rPr>
      </w:pPr>
      <w:r w:rsidRPr="00ED4C4A">
        <w:rPr>
          <w:b/>
          <w:bCs/>
          <w:rtl/>
          <w:lang w:bidi="ar-SA"/>
        </w:rPr>
        <w:t>السؤال الأساسي</w:t>
      </w:r>
      <w:r w:rsidRPr="00ED4C4A">
        <w:rPr>
          <w:b/>
          <w:bCs/>
        </w:rPr>
        <w:t>:</w:t>
      </w:r>
    </w:p>
    <w:p w14:paraId="24FB46E9" w14:textId="77777777" w:rsidR="0050224B" w:rsidRPr="00ED4C4A" w:rsidRDefault="0050224B" w:rsidP="0050224B">
      <w:pPr>
        <w:pStyle w:val="NoSpacing"/>
        <w:rPr>
          <w:b/>
          <w:bCs/>
        </w:rPr>
      </w:pPr>
      <w:r w:rsidRPr="00ED4C4A">
        <w:rPr>
          <w:b/>
          <w:bCs/>
          <w:rtl/>
          <w:lang w:bidi="ar-SA"/>
        </w:rPr>
        <w:t>إلى أي مدى تؤثر الاستضافات والفعاليات الكبرى على تحفيز وتنشيط القطاعات الاقتصادية غير النفطية في المملكة العربية السعودية؟</w:t>
      </w:r>
    </w:p>
    <w:p w14:paraId="56DC297E" w14:textId="77777777" w:rsidR="0050224B" w:rsidRPr="00ED4C4A" w:rsidRDefault="0050224B" w:rsidP="0050224B">
      <w:pPr>
        <w:pStyle w:val="NoSpacing"/>
      </w:pPr>
    </w:p>
    <w:p w14:paraId="5730A03D" w14:textId="77777777" w:rsidR="0050224B" w:rsidRPr="00ED4C4A" w:rsidRDefault="0050224B" w:rsidP="0050224B">
      <w:pPr>
        <w:pStyle w:val="NoSpacing"/>
        <w:rPr>
          <w:b/>
          <w:bCs/>
        </w:rPr>
      </w:pPr>
      <w:r w:rsidRPr="00ED4C4A">
        <w:rPr>
          <w:b/>
          <w:bCs/>
          <w:rtl/>
          <w:lang w:bidi="ar-SA"/>
        </w:rPr>
        <w:t>الأسئلة الفرعية</w:t>
      </w:r>
      <w:r w:rsidRPr="00ED4C4A">
        <w:rPr>
          <w:b/>
          <w:bCs/>
        </w:rPr>
        <w:t>:</w:t>
      </w:r>
    </w:p>
    <w:p w14:paraId="7F80195A" w14:textId="77777777" w:rsidR="0050224B" w:rsidRPr="00ED4C4A" w:rsidRDefault="0050224B" w:rsidP="0050224B">
      <w:pPr>
        <w:pStyle w:val="NoSpacing"/>
        <w:numPr>
          <w:ilvl w:val="0"/>
          <w:numId w:val="5"/>
        </w:numPr>
        <w:rPr>
          <w:b/>
          <w:bCs/>
        </w:rPr>
      </w:pPr>
      <w:r w:rsidRPr="00ED4C4A">
        <w:rPr>
          <w:b/>
          <w:bCs/>
          <w:rtl/>
          <w:lang w:bidi="ar-SA"/>
        </w:rPr>
        <w:t>ما مدى مساهمة الفعاليات الكبرى في دعم قطاع السياحة والضيافة من حيث الإنفاق السياحي، والإشغال الفندقي، وجذب الزوار؟</w:t>
      </w:r>
    </w:p>
    <w:p w14:paraId="70597FB0" w14:textId="77777777" w:rsidR="0050224B" w:rsidRPr="00ED4C4A" w:rsidRDefault="0050224B" w:rsidP="0050224B">
      <w:pPr>
        <w:pStyle w:val="NoSpacing"/>
        <w:numPr>
          <w:ilvl w:val="0"/>
          <w:numId w:val="5"/>
        </w:numPr>
        <w:rPr>
          <w:b/>
          <w:bCs/>
        </w:rPr>
      </w:pPr>
      <w:r w:rsidRPr="00ED4C4A">
        <w:rPr>
          <w:b/>
          <w:bCs/>
          <w:rtl/>
          <w:lang w:bidi="ar-SA"/>
        </w:rPr>
        <w:t>كيف تؤثر الفعاليات الكبرى على نمو قطاعات النقل، والتجزئة، والخدمات اللوجستية خلال فترة إقامتها؟</w:t>
      </w:r>
    </w:p>
    <w:p w14:paraId="348475A7" w14:textId="77777777" w:rsidR="0050224B" w:rsidRPr="00ED4C4A" w:rsidRDefault="0050224B" w:rsidP="0050224B">
      <w:pPr>
        <w:pStyle w:val="NoSpacing"/>
        <w:numPr>
          <w:ilvl w:val="0"/>
          <w:numId w:val="5"/>
        </w:numPr>
        <w:rPr>
          <w:b/>
          <w:bCs/>
        </w:rPr>
      </w:pPr>
      <w:r w:rsidRPr="00ED4C4A">
        <w:rPr>
          <w:b/>
          <w:bCs/>
          <w:rtl/>
          <w:lang w:bidi="ar-SA"/>
        </w:rPr>
        <w:t>ما طبيعة الفرص الوظيفية التي تُنتجها الفعاليات الكبرى، وهل تسهم في توفير وظائف دائمة أم مؤقتة؟</w:t>
      </w:r>
    </w:p>
    <w:p w14:paraId="58A2651A" w14:textId="77777777" w:rsidR="0050224B" w:rsidRPr="00ED4C4A" w:rsidRDefault="0050224B" w:rsidP="0050224B">
      <w:pPr>
        <w:pStyle w:val="NoSpacing"/>
        <w:numPr>
          <w:ilvl w:val="0"/>
          <w:numId w:val="5"/>
        </w:numPr>
        <w:rPr>
          <w:b/>
          <w:bCs/>
        </w:rPr>
      </w:pPr>
      <w:r w:rsidRPr="00ED4C4A">
        <w:rPr>
          <w:b/>
          <w:bCs/>
          <w:rtl/>
          <w:lang w:bidi="ar-SA"/>
        </w:rPr>
        <w:t>ما التحديات التنظيمية أو الاقتصادية التي قد تعيق تحقيق الأثر الكامل لهذه الفعاليات على الاقتصاد غير النفطي؟</w:t>
      </w:r>
    </w:p>
    <w:p w14:paraId="690D83B0" w14:textId="77777777" w:rsidR="0050224B" w:rsidRPr="00ED4C4A" w:rsidRDefault="0050224B" w:rsidP="0050224B">
      <w:pPr>
        <w:pStyle w:val="NoSpacing"/>
        <w:numPr>
          <w:ilvl w:val="0"/>
          <w:numId w:val="5"/>
        </w:numPr>
        <w:rPr>
          <w:b/>
          <w:bCs/>
        </w:rPr>
      </w:pPr>
      <w:r w:rsidRPr="00ED4C4A">
        <w:rPr>
          <w:b/>
          <w:bCs/>
          <w:rtl/>
          <w:lang w:bidi="ar-SA"/>
        </w:rPr>
        <w:t>كيف يمكن مقارنة تجربة المملكة في تنظيم الفعاليات الكبرى مع تجارب دولية أخرى حققت نجاحاً في هذا المجال، وما الدروس المستفادة منها؟</w:t>
      </w:r>
    </w:p>
    <w:p w14:paraId="4681F0B2" w14:textId="77777777" w:rsidR="0050224B" w:rsidRPr="00ED4C4A" w:rsidRDefault="0050224B" w:rsidP="0050224B">
      <w:pPr>
        <w:pStyle w:val="NoSpacing"/>
        <w:rPr>
          <w:rtl/>
        </w:rPr>
      </w:pPr>
    </w:p>
    <w:p w14:paraId="01FBBCE0" w14:textId="77777777" w:rsidR="0050224B" w:rsidRDefault="0050224B" w:rsidP="0050224B">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3189998B" w14:textId="77777777" w:rsidR="0050224B" w:rsidRPr="000A0D0F" w:rsidRDefault="0050224B" w:rsidP="0050224B">
      <w:pPr>
        <w:pStyle w:val="Style1"/>
        <w:numPr>
          <w:ilvl w:val="0"/>
          <w:numId w:val="7"/>
        </w:numPr>
      </w:pPr>
      <w:r w:rsidRPr="000A0D0F">
        <w:rPr>
          <w:rtl/>
        </w:rPr>
        <w:t>الفرضية الأساسية</w:t>
      </w:r>
      <w:r w:rsidRPr="000A0D0F">
        <w:t>:</w:t>
      </w:r>
    </w:p>
    <w:p w14:paraId="06D43DDF" w14:textId="77777777" w:rsidR="0050224B" w:rsidRPr="001C00ED" w:rsidRDefault="0050224B" w:rsidP="0050224B">
      <w:pPr>
        <w:pStyle w:val="NoSpacing"/>
        <w:numPr>
          <w:ilvl w:val="0"/>
          <w:numId w:val="4"/>
        </w:numPr>
        <w:rPr>
          <w:b/>
          <w:bCs/>
        </w:rPr>
      </w:pPr>
      <w:r w:rsidRPr="001C00ED">
        <w:rPr>
          <w:b/>
          <w:bCs/>
          <w:rtl/>
        </w:rPr>
        <w:lastRenderedPageBreak/>
        <w:t>هناك علاقة ذات دلالة إحصائية بين الاستضافات والفعاليات الكبرى وبين تحفيز وتنشيط القطاعات الاقتصادية غير النفطية في المملكة العربية السعودية</w:t>
      </w:r>
      <w:r w:rsidRPr="001C00ED">
        <w:rPr>
          <w:b/>
          <w:bCs/>
        </w:rPr>
        <w:t>.</w:t>
      </w:r>
    </w:p>
    <w:p w14:paraId="17564C5C" w14:textId="77777777" w:rsidR="0050224B" w:rsidRPr="000A0D0F" w:rsidRDefault="0050224B" w:rsidP="0050224B"/>
    <w:p w14:paraId="64BC2FAD" w14:textId="77777777" w:rsidR="0050224B" w:rsidRPr="000A0D0F" w:rsidRDefault="0050224B" w:rsidP="0050224B">
      <w:pPr>
        <w:pStyle w:val="Style1"/>
        <w:numPr>
          <w:ilvl w:val="0"/>
          <w:numId w:val="7"/>
        </w:numPr>
      </w:pPr>
      <w:r w:rsidRPr="000A0D0F">
        <w:rPr>
          <w:rtl/>
        </w:rPr>
        <w:t>الفروض الفرعية</w:t>
      </w:r>
      <w:r w:rsidRPr="000A0D0F">
        <w:t>:</w:t>
      </w:r>
    </w:p>
    <w:p w14:paraId="227DD9EA" w14:textId="77777777" w:rsidR="0050224B" w:rsidRPr="001C00ED" w:rsidRDefault="0050224B" w:rsidP="0050224B">
      <w:pPr>
        <w:pStyle w:val="NoSpacing"/>
        <w:numPr>
          <w:ilvl w:val="0"/>
          <w:numId w:val="6"/>
        </w:numPr>
        <w:rPr>
          <w:b/>
          <w:bCs/>
        </w:rPr>
      </w:pPr>
      <w:r w:rsidRPr="001C00ED">
        <w:rPr>
          <w:b/>
          <w:bCs/>
          <w:rtl/>
        </w:rPr>
        <w:t>يوجد تأثير إيجابي للفعاليات الكبرى على تنشيط قطاع السياحة والضيافة، من خلال زيادة معدلات الإشغال الفندقي، وارتفاع الإنفاق السياحي، وجذب مزيد من الزوار المحليين والدوليين</w:t>
      </w:r>
      <w:r w:rsidRPr="001C00ED">
        <w:rPr>
          <w:b/>
          <w:bCs/>
        </w:rPr>
        <w:t>.</w:t>
      </w:r>
    </w:p>
    <w:p w14:paraId="511DA638" w14:textId="77777777" w:rsidR="0050224B" w:rsidRPr="001C00ED" w:rsidRDefault="0050224B" w:rsidP="0050224B">
      <w:pPr>
        <w:pStyle w:val="NoSpacing"/>
        <w:numPr>
          <w:ilvl w:val="0"/>
          <w:numId w:val="6"/>
        </w:numPr>
        <w:rPr>
          <w:b/>
          <w:bCs/>
        </w:rPr>
      </w:pPr>
      <w:r w:rsidRPr="001C00ED">
        <w:rPr>
          <w:b/>
          <w:bCs/>
          <w:rtl/>
        </w:rPr>
        <w:t>تسهم الفعاليات الكبرى في تحفيز نمو قطاعات النقل، والتجزئة، والخدمات اللوجستية، من خلال زيادة الطلب على الخدمات خلال فترة إقامة الفعاليات</w:t>
      </w:r>
      <w:r w:rsidRPr="001C00ED">
        <w:rPr>
          <w:b/>
          <w:bCs/>
        </w:rPr>
        <w:t>.</w:t>
      </w:r>
    </w:p>
    <w:p w14:paraId="797EA5BB" w14:textId="77777777" w:rsidR="0050224B" w:rsidRPr="001C00ED" w:rsidRDefault="0050224B" w:rsidP="0050224B">
      <w:pPr>
        <w:pStyle w:val="NoSpacing"/>
        <w:numPr>
          <w:ilvl w:val="0"/>
          <w:numId w:val="6"/>
        </w:numPr>
        <w:rPr>
          <w:b/>
          <w:bCs/>
        </w:rPr>
      </w:pPr>
      <w:r w:rsidRPr="001C00ED">
        <w:rPr>
          <w:b/>
          <w:bCs/>
          <w:rtl/>
        </w:rPr>
        <w:t>تؤدي الفعاليات الكبرى إلى خلق فرص عمل جديدة في القطاعات غير النفطية، إلا أن معظم هذه الفرص تكون مؤقتة وغير مستدامة على المدى الطويل</w:t>
      </w:r>
      <w:r w:rsidRPr="001C00ED">
        <w:rPr>
          <w:b/>
          <w:bCs/>
        </w:rPr>
        <w:t>.</w:t>
      </w:r>
    </w:p>
    <w:p w14:paraId="0AA8ECA6" w14:textId="77777777" w:rsidR="0050224B" w:rsidRPr="001C00ED" w:rsidRDefault="0050224B" w:rsidP="0050224B">
      <w:pPr>
        <w:pStyle w:val="NoSpacing"/>
        <w:numPr>
          <w:ilvl w:val="0"/>
          <w:numId w:val="6"/>
        </w:numPr>
        <w:rPr>
          <w:b/>
          <w:bCs/>
        </w:rPr>
      </w:pPr>
      <w:r w:rsidRPr="001C00ED">
        <w:rPr>
          <w:b/>
          <w:bCs/>
          <w:rtl/>
        </w:rPr>
        <w:t>تُواجه الفعاليات الكبرى تحديات تنظيمية واقتصادية تقلل من أثرها الإيجابي المحتمل على الاقتصاد غير النفطي، مثل ضعف التنسيق المؤسسي أو غياب التخطيط الاستراتيجي المتكامل</w:t>
      </w:r>
      <w:r w:rsidRPr="001C00ED">
        <w:rPr>
          <w:b/>
          <w:bCs/>
        </w:rPr>
        <w:t>.</w:t>
      </w:r>
    </w:p>
    <w:p w14:paraId="0D8B5D92" w14:textId="77777777" w:rsidR="0050224B" w:rsidRPr="001C00ED" w:rsidRDefault="0050224B" w:rsidP="0050224B">
      <w:pPr>
        <w:pStyle w:val="NoSpacing"/>
        <w:numPr>
          <w:ilvl w:val="0"/>
          <w:numId w:val="6"/>
        </w:numPr>
        <w:rPr>
          <w:b/>
          <w:bCs/>
        </w:rPr>
      </w:pPr>
      <w:r w:rsidRPr="001C00ED">
        <w:rPr>
          <w:b/>
          <w:bCs/>
          <w:rtl/>
        </w:rPr>
        <w:t>تُحقق المملكة نتائج إيجابية في تنظيم الفعاليات الكبرى، لكنها لا تزال أقل مقارنة ببعض التجارب الدولية المتقدمة، مما يشير إلى إمكانية الاستفادة من النماذج العالمية في تحسين الأداء الاقتصادي المرتبط بهذه الفعاليات</w:t>
      </w:r>
      <w:r w:rsidRPr="001C00ED">
        <w:rPr>
          <w:b/>
          <w:bCs/>
        </w:rPr>
        <w:t>.</w:t>
      </w:r>
    </w:p>
    <w:p w14:paraId="36916588" w14:textId="77777777" w:rsidR="0050224B" w:rsidRPr="000A0D0F" w:rsidRDefault="0050224B" w:rsidP="0050224B">
      <w:pPr>
        <w:rPr>
          <w:rtl/>
        </w:rPr>
      </w:pPr>
    </w:p>
    <w:p w14:paraId="02F0F4CB" w14:textId="77777777" w:rsidR="0050224B" w:rsidRPr="00DC28DB" w:rsidRDefault="0050224B" w:rsidP="0050224B">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70EBAFD0" w14:textId="77777777" w:rsidR="0050224B" w:rsidRDefault="0050224B" w:rsidP="0050224B">
      <w:pPr>
        <w:pStyle w:val="NoSpacing"/>
        <w:rPr>
          <w:rtl/>
        </w:rPr>
      </w:pPr>
      <w:r>
        <w:rPr>
          <w:rtl/>
        </w:rPr>
        <w:t>كانت نظرية التأثير الاقتصادي للفعاليات الكبرى أحد الأطر النظرية الأساسية المستخدمة لدراسة العلاقة بين الفعاليات الكبرى والنمو الاقتصادي، والتي شكلت أساس هذه الدراسة. ترتكز هذه النظرية على فكرة أن تخطيط واستضافة الفعاليات الكبرى، مثل المعارض التجارية الدولية والمسابقات الرياضية والمهرجانات الثقافية، له تأثير اقتصادي مباشر وغير مباشر على البيئة المحلية. قد تشمل هذه الآثار زيادة الإنفاق الاستهلاكي، وتحفيز الاستثمار، وخلق فرص العمل، أو تحفيز قطاعات اقتصادية مختلفة</w:t>
      </w:r>
      <w:sdt>
        <w:sdtPr>
          <w:rPr>
            <w:rtl/>
          </w:rPr>
          <w:id w:val="-163671311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Agh16 \l 3073</w:instrText>
          </w:r>
          <w:r>
            <w:rPr>
              <w:rtl/>
            </w:rPr>
            <w:instrText xml:space="preserve"> </w:instrText>
          </w:r>
          <w:r>
            <w:rPr>
              <w:rtl/>
            </w:rPr>
            <w:fldChar w:fldCharType="separate"/>
          </w:r>
          <w:r>
            <w:rPr>
              <w:noProof/>
              <w:rtl/>
            </w:rPr>
            <w:t xml:space="preserve"> </w:t>
          </w:r>
          <w:r>
            <w:rPr>
              <w:rFonts w:hint="cs"/>
              <w:noProof/>
              <w:rtl/>
            </w:rPr>
            <w:t>(</w:t>
          </w:r>
          <w:r>
            <w:rPr>
              <w:rFonts w:hint="cs"/>
              <w:noProof/>
            </w:rPr>
            <w:t>Agha</w:t>
          </w:r>
          <w:r>
            <w:rPr>
              <w:rFonts w:hint="cs"/>
              <w:noProof/>
              <w:rtl/>
            </w:rPr>
            <w:t>، 2016)</w:t>
          </w:r>
          <w:r>
            <w:rPr>
              <w:rtl/>
            </w:rPr>
            <w:fldChar w:fldCharType="end"/>
          </w:r>
        </w:sdtContent>
      </w:sdt>
      <w:r>
        <w:rPr>
          <w:rtl/>
        </w:rPr>
        <w:t>.</w:t>
      </w:r>
    </w:p>
    <w:p w14:paraId="1CC4B4E1" w14:textId="77777777" w:rsidR="0050224B" w:rsidRDefault="0050224B" w:rsidP="0050224B">
      <w:pPr>
        <w:pStyle w:val="NoSpacing"/>
        <w:rPr>
          <w:rtl/>
        </w:rPr>
      </w:pPr>
      <w:r>
        <w:rPr>
          <w:rtl/>
        </w:rPr>
        <w:t xml:space="preserve">وفقًا لهذه الفرضية، يؤدي التأثير المضاعف إلى امتداد التأثير الاقتصادي للفعاليات إلى ما بعد التنفيذ الفعلي، ليشمل فترتي ما قبل الحدث وما بعده. يُحفز الإنفاق الأولي للفعالية سلاسل إنفاق أخرى تؤثر على عدد من القطاعات، بما في </w:t>
      </w:r>
      <w:r>
        <w:rPr>
          <w:rtl/>
        </w:rPr>
        <w:lastRenderedPageBreak/>
        <w:t xml:space="preserve">ذلك قطاعات التجزئة </w:t>
      </w:r>
      <w:r>
        <w:rPr>
          <w:rFonts w:hint="cs"/>
          <w:rtl/>
        </w:rPr>
        <w:t>والخدمات</w:t>
      </w:r>
      <w:r>
        <w:rPr>
          <w:rFonts w:hint="eastAsia"/>
          <w:rtl/>
        </w:rPr>
        <w:t>،</w:t>
      </w:r>
      <w:r>
        <w:rPr>
          <w:rtl/>
        </w:rPr>
        <w:t xml:space="preserve"> </w:t>
      </w:r>
      <w:r>
        <w:rPr>
          <w:rFonts w:hint="cs"/>
          <w:rtl/>
        </w:rPr>
        <w:t>والضيافة</w:t>
      </w:r>
      <w:r>
        <w:rPr>
          <w:rFonts w:hint="eastAsia"/>
          <w:rtl/>
        </w:rPr>
        <w:t>،</w:t>
      </w:r>
      <w:r>
        <w:rPr>
          <w:rtl/>
        </w:rPr>
        <w:t xml:space="preserve"> </w:t>
      </w:r>
      <w:r>
        <w:rPr>
          <w:rFonts w:hint="cs"/>
          <w:rtl/>
        </w:rPr>
        <w:t>والنقل</w:t>
      </w:r>
      <w:r>
        <w:rPr>
          <w:rFonts w:hint="eastAsia"/>
          <w:rtl/>
        </w:rPr>
        <w:t>،</w:t>
      </w:r>
      <w:r>
        <w:rPr>
          <w:rtl/>
        </w:rPr>
        <w:t xml:space="preserve"> والسياحة. ونظرًا لأن الفعاليات قصيرة الأجل غالبًا ما يكون لها تأثير عابر، بينما قد تُسهم الأحداث المتكررة أو الاستراتيجية في النمو الاقتصادي طويل الأجل، تُسلط النظرية الضوء أيضًا على أهمية الأفق الزمني للتأثير الاقتصادي</w:t>
      </w:r>
      <w:sdt>
        <w:sdtPr>
          <w:rPr>
            <w:rtl/>
          </w:rPr>
          <w:id w:val="192051249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Sar25 \l 3073</w:instrText>
          </w:r>
          <w:r>
            <w:rPr>
              <w:rtl/>
            </w:rPr>
            <w:instrText xml:space="preserve"> </w:instrText>
          </w:r>
          <w:r>
            <w:rPr>
              <w:rtl/>
            </w:rPr>
            <w:fldChar w:fldCharType="separate"/>
          </w:r>
          <w:r>
            <w:rPr>
              <w:noProof/>
              <w:rtl/>
            </w:rPr>
            <w:t xml:space="preserve"> </w:t>
          </w:r>
          <w:r>
            <w:rPr>
              <w:rFonts w:hint="cs"/>
              <w:noProof/>
              <w:rtl/>
            </w:rPr>
            <w:t>(</w:t>
          </w:r>
          <w:r>
            <w:rPr>
              <w:rFonts w:hint="cs"/>
              <w:noProof/>
            </w:rPr>
            <w:t>Sardi</w:t>
          </w:r>
          <w:r>
            <w:rPr>
              <w:rFonts w:hint="cs"/>
              <w:noProof/>
              <w:rtl/>
            </w:rPr>
            <w:t>، 2025)</w:t>
          </w:r>
          <w:r>
            <w:rPr>
              <w:rtl/>
            </w:rPr>
            <w:fldChar w:fldCharType="end"/>
          </w:r>
        </w:sdtContent>
      </w:sdt>
      <w:r>
        <w:rPr>
          <w:rtl/>
        </w:rPr>
        <w:t>.</w:t>
      </w:r>
    </w:p>
    <w:p w14:paraId="415BDEF3" w14:textId="77777777" w:rsidR="0050224B" w:rsidRDefault="0050224B" w:rsidP="0050224B">
      <w:pPr>
        <w:pStyle w:val="NoSpacing"/>
        <w:rPr>
          <w:rtl/>
        </w:rPr>
      </w:pPr>
      <w:r>
        <w:rPr>
          <w:rtl/>
        </w:rPr>
        <w:t xml:space="preserve">باستخدام مقاييس مثل ارتفاع الناتج المحلي الإجمالي، وارتفاع معدلات التوظيف، وتحسين البنية التحتية، وزيادة تدفقات الاستثمار الأجنبي، تستخدم هذه النظرية أساليب كمية ونوعية لحساب عائد الاستثمار في الفعاليات. كما تُسلّط النظرية الضوء على الحاجة إلى التخطيط طويل الأجل، والتكامل المؤسسي، وبيئة تنظيمية فعّالة، والقدرة على دمج الفعاليات في </w:t>
      </w:r>
      <w:r>
        <w:rPr>
          <w:rFonts w:hint="cs"/>
          <w:rtl/>
        </w:rPr>
        <w:t>برنام</w:t>
      </w:r>
      <w:r>
        <w:rPr>
          <w:rFonts w:hint="eastAsia"/>
          <w:rtl/>
        </w:rPr>
        <w:t>ج</w:t>
      </w:r>
      <w:r>
        <w:rPr>
          <w:rtl/>
        </w:rPr>
        <w:t xml:space="preserve"> التنمية الوطنية لتحقيق هذا الأثر.</w:t>
      </w:r>
    </w:p>
    <w:p w14:paraId="7C84E77E" w14:textId="77777777" w:rsidR="0050224B" w:rsidRDefault="0050224B" w:rsidP="0050224B">
      <w:pPr>
        <w:pStyle w:val="NoSpacing"/>
        <w:rPr>
          <w:rtl/>
        </w:rPr>
      </w:pPr>
      <w:r>
        <w:rPr>
          <w:rtl/>
        </w:rPr>
        <w:t>تتوافق هذه الفرضية مع أهداف رؤية السعودية 2030 في تنويع مصادر الدخل، وتعزيز الاقتصاد غير النفطي، وتحقيق التنمية المستدامة من خلال الاستثمار في موارد المملكة البشرية والثقافية والجغرافية. ومن خلال تطبيق هذه النظرية على الحالة السعودية، تهدف الدراسة إلى دراسة مدى التأثير الاقتصادي الملموس والحقيقي للفعاليات المهمة، بما يعزز الصناعات غير النفطية مثل السياحة والخدمات والتكنولوجيا، مع الاستفادة من الموارد المحلية والاستثمار فيها</w:t>
      </w:r>
      <w:sdt>
        <w:sdtPr>
          <w:rPr>
            <w:rtl/>
          </w:rPr>
          <w:id w:val="169649719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Liu191 \l 3073</w:instrText>
          </w:r>
          <w:r>
            <w:rPr>
              <w:rtl/>
            </w:rPr>
            <w:instrText xml:space="preserve"> </w:instrText>
          </w:r>
          <w:r>
            <w:rPr>
              <w:rtl/>
            </w:rPr>
            <w:fldChar w:fldCharType="separate"/>
          </w:r>
          <w:r>
            <w:rPr>
              <w:noProof/>
              <w:rtl/>
            </w:rPr>
            <w:t xml:space="preserve"> </w:t>
          </w:r>
          <w:r>
            <w:rPr>
              <w:rFonts w:hint="cs"/>
              <w:noProof/>
              <w:rtl/>
            </w:rPr>
            <w:t>(</w:t>
          </w:r>
          <w:r>
            <w:rPr>
              <w:rFonts w:hint="cs"/>
              <w:noProof/>
            </w:rPr>
            <w:t>Liu</w:t>
          </w:r>
          <w:r>
            <w:rPr>
              <w:rFonts w:hint="cs"/>
              <w:noProof/>
              <w:rtl/>
            </w:rPr>
            <w:t>، 2019)</w:t>
          </w:r>
          <w:r>
            <w:rPr>
              <w:rtl/>
            </w:rPr>
            <w:fldChar w:fldCharType="end"/>
          </w:r>
        </w:sdtContent>
      </w:sdt>
      <w:r>
        <w:rPr>
          <w:rtl/>
        </w:rPr>
        <w:t>.</w:t>
      </w:r>
    </w:p>
    <w:p w14:paraId="11B1B71A" w14:textId="77777777" w:rsidR="0050224B" w:rsidRDefault="0050224B" w:rsidP="0050224B">
      <w:pPr>
        <w:pStyle w:val="NoSpacing"/>
        <w:rPr>
          <w:rtl/>
        </w:rPr>
      </w:pPr>
      <w:r>
        <w:rPr>
          <w:rtl/>
        </w:rPr>
        <w:t>من المهم تذكّر أن هذه النظرية لا تستبعد احتمالية حدوث صعوبات أو آثار سلبية، مثل النفقات الباهظة، أو التوزيع غير المتكافئ للعوائد، أو التأثير الضعيف على المدى الطويل. بل تُسلّط الضوء على أنه إذا ما عولجت الأحداث الكبرى باستخدام نموذج اقتصادي علمي يراعي مفهومي الكفاءة والعائد، فإنها يمكن أن تُصبح أدوات تنمية فعّالة. ونتيجةً لذلك، استُخدمت هذه النظرية لتطوير أدوات بحثية، وتحليل البيانات، وفهم السياق المحلي، ما أسفر عن نتائج واقتراحات عملية تُساعد في اتخاذ القرارات في هذا المجال الحيوي</w:t>
      </w:r>
      <w:sdt>
        <w:sdtPr>
          <w:rPr>
            <w:rtl/>
          </w:rPr>
          <w:id w:val="87012228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Sah23 \l 3073</w:instrText>
          </w:r>
          <w:r>
            <w:rPr>
              <w:rtl/>
            </w:rPr>
            <w:instrText xml:space="preserve"> </w:instrText>
          </w:r>
          <w:r>
            <w:rPr>
              <w:rtl/>
            </w:rPr>
            <w:fldChar w:fldCharType="separate"/>
          </w:r>
          <w:r>
            <w:rPr>
              <w:noProof/>
              <w:rtl/>
            </w:rPr>
            <w:t xml:space="preserve"> </w:t>
          </w:r>
          <w:r>
            <w:rPr>
              <w:rFonts w:hint="cs"/>
              <w:noProof/>
              <w:rtl/>
            </w:rPr>
            <w:t>(</w:t>
          </w:r>
          <w:r>
            <w:rPr>
              <w:rFonts w:hint="cs"/>
              <w:noProof/>
            </w:rPr>
            <w:t>Saha</w:t>
          </w:r>
          <w:r>
            <w:rPr>
              <w:rFonts w:hint="cs"/>
              <w:noProof/>
              <w:rtl/>
            </w:rPr>
            <w:t>، 2023)</w:t>
          </w:r>
          <w:r>
            <w:rPr>
              <w:rtl/>
            </w:rPr>
            <w:fldChar w:fldCharType="end"/>
          </w:r>
        </w:sdtContent>
      </w:sdt>
      <w:r>
        <w:rPr>
          <w:rtl/>
        </w:rPr>
        <w:t>.</w:t>
      </w:r>
    </w:p>
    <w:p w14:paraId="69CA0A54" w14:textId="77777777" w:rsidR="0050224B" w:rsidRDefault="0050224B" w:rsidP="0050224B">
      <w:pPr>
        <w:spacing w:after="0" w:line="360" w:lineRule="auto"/>
        <w:rPr>
          <w:rFonts w:ascii="Simplified Arabic" w:hAnsi="Simplified Arabic" w:cs="Simplified Arabic"/>
          <w:b/>
          <w:bCs/>
          <w:sz w:val="28"/>
          <w:szCs w:val="28"/>
          <w:rtl/>
        </w:rPr>
      </w:pPr>
    </w:p>
    <w:p w14:paraId="06FB26F7" w14:textId="77777777" w:rsidR="0050224B" w:rsidRDefault="0050224B" w:rsidP="0050224B">
      <w:pPr>
        <w:spacing w:after="0" w:line="360" w:lineRule="auto"/>
        <w:rPr>
          <w:rFonts w:ascii="Simplified Arabic" w:hAnsi="Simplified Arabic" w:cs="Simplified Arabic"/>
          <w:b/>
          <w:bCs/>
          <w:sz w:val="28"/>
          <w:szCs w:val="28"/>
          <w:rtl/>
        </w:rPr>
      </w:pPr>
    </w:p>
    <w:p w14:paraId="6C127B2A" w14:textId="77777777" w:rsidR="0050224B" w:rsidRDefault="0050224B" w:rsidP="0050224B">
      <w:pPr>
        <w:spacing w:after="0" w:line="360" w:lineRule="auto"/>
        <w:rPr>
          <w:rFonts w:ascii="Simplified Arabic" w:hAnsi="Simplified Arabic" w:cs="Simplified Arabic"/>
          <w:b/>
          <w:bCs/>
          <w:sz w:val="28"/>
          <w:szCs w:val="28"/>
          <w:rtl/>
        </w:rPr>
      </w:pPr>
    </w:p>
    <w:p w14:paraId="1C0BE542" w14:textId="77777777" w:rsidR="0050224B" w:rsidRDefault="0050224B" w:rsidP="0050224B">
      <w:pPr>
        <w:spacing w:after="0" w:line="360" w:lineRule="auto"/>
        <w:rPr>
          <w:rFonts w:ascii="Simplified Arabic" w:hAnsi="Simplified Arabic" w:cs="Simplified Arabic"/>
          <w:b/>
          <w:bCs/>
          <w:sz w:val="28"/>
          <w:szCs w:val="28"/>
          <w:rtl/>
        </w:rPr>
      </w:pPr>
    </w:p>
    <w:p w14:paraId="0F66D724" w14:textId="77777777" w:rsidR="0050224B" w:rsidRDefault="0050224B" w:rsidP="0050224B">
      <w:pPr>
        <w:spacing w:after="0" w:line="360" w:lineRule="auto"/>
        <w:rPr>
          <w:rFonts w:ascii="Simplified Arabic" w:hAnsi="Simplified Arabic" w:cs="Simplified Arabic"/>
          <w:b/>
          <w:bCs/>
          <w:sz w:val="28"/>
          <w:szCs w:val="28"/>
          <w:rtl/>
        </w:rPr>
      </w:pPr>
    </w:p>
    <w:p w14:paraId="77584276" w14:textId="77777777" w:rsidR="0050224B" w:rsidRDefault="0050224B" w:rsidP="0050224B">
      <w:pPr>
        <w:spacing w:after="0" w:line="360" w:lineRule="auto"/>
        <w:rPr>
          <w:rFonts w:ascii="Simplified Arabic" w:hAnsi="Simplified Arabic" w:cs="Simplified Arabic"/>
          <w:b/>
          <w:bCs/>
          <w:sz w:val="28"/>
          <w:szCs w:val="28"/>
          <w:rtl/>
        </w:rPr>
      </w:pPr>
    </w:p>
    <w:p w14:paraId="0FFAA686" w14:textId="77777777" w:rsidR="0050224B" w:rsidRDefault="0050224B" w:rsidP="0050224B">
      <w:pPr>
        <w:spacing w:after="0" w:line="360" w:lineRule="auto"/>
        <w:rPr>
          <w:rFonts w:ascii="Simplified Arabic" w:hAnsi="Simplified Arabic" w:cs="Simplified Arabic"/>
          <w:b/>
          <w:bCs/>
          <w:sz w:val="28"/>
          <w:szCs w:val="28"/>
          <w:rtl/>
        </w:rPr>
      </w:pPr>
    </w:p>
    <w:p w14:paraId="1DD32DAF" w14:textId="77777777" w:rsidR="0050224B" w:rsidRDefault="0050224B" w:rsidP="0050224B">
      <w:pPr>
        <w:spacing w:after="0" w:line="360" w:lineRule="auto"/>
        <w:rPr>
          <w:rFonts w:ascii="Simplified Arabic" w:hAnsi="Simplified Arabic" w:cs="Simplified Arabic"/>
          <w:b/>
          <w:bCs/>
          <w:sz w:val="28"/>
          <w:szCs w:val="28"/>
          <w:rtl/>
        </w:rPr>
      </w:pPr>
    </w:p>
    <w:p w14:paraId="498C6598" w14:textId="77777777" w:rsidR="0050224B" w:rsidRDefault="0050224B" w:rsidP="0050224B">
      <w:pPr>
        <w:spacing w:after="0" w:line="360" w:lineRule="auto"/>
        <w:rPr>
          <w:rFonts w:ascii="Simplified Arabic" w:hAnsi="Simplified Arabic" w:cs="Simplified Arabic"/>
          <w:b/>
          <w:bCs/>
          <w:sz w:val="28"/>
          <w:szCs w:val="28"/>
          <w:rtl/>
        </w:rPr>
      </w:pPr>
    </w:p>
    <w:p w14:paraId="2A225BF3" w14:textId="77777777" w:rsidR="0050224B" w:rsidRDefault="0050224B" w:rsidP="0050224B">
      <w:pPr>
        <w:spacing w:after="0" w:line="360" w:lineRule="auto"/>
        <w:rPr>
          <w:rFonts w:ascii="Simplified Arabic" w:hAnsi="Simplified Arabic" w:cs="Simplified Arabic"/>
          <w:b/>
          <w:bCs/>
          <w:sz w:val="28"/>
          <w:szCs w:val="28"/>
          <w:rtl/>
        </w:rPr>
      </w:pPr>
    </w:p>
    <w:p w14:paraId="032E4A0E" w14:textId="77777777" w:rsidR="0050224B" w:rsidRDefault="0050224B" w:rsidP="0050224B">
      <w:pPr>
        <w:spacing w:after="0" w:line="360" w:lineRule="auto"/>
        <w:rPr>
          <w:rFonts w:ascii="Simplified Arabic" w:hAnsi="Simplified Arabic" w:cs="Simplified Arabic"/>
          <w:b/>
          <w:bCs/>
          <w:sz w:val="28"/>
          <w:szCs w:val="28"/>
          <w:rtl/>
        </w:rPr>
      </w:pPr>
    </w:p>
    <w:p w14:paraId="21DBA739" w14:textId="77777777" w:rsidR="0050224B" w:rsidRDefault="0050224B" w:rsidP="0050224B">
      <w:pPr>
        <w:spacing w:after="0" w:line="360" w:lineRule="auto"/>
        <w:rPr>
          <w:rFonts w:ascii="Simplified Arabic" w:hAnsi="Simplified Arabic" w:cs="Simplified Arabic"/>
          <w:b/>
          <w:bCs/>
          <w:sz w:val="28"/>
          <w:szCs w:val="28"/>
          <w:rtl/>
        </w:rPr>
      </w:pPr>
    </w:p>
    <w:p w14:paraId="02AAE8AA" w14:textId="77777777" w:rsidR="0050224B" w:rsidRDefault="0050224B" w:rsidP="0050224B">
      <w:pPr>
        <w:spacing w:after="0" w:line="360" w:lineRule="auto"/>
        <w:rPr>
          <w:rFonts w:ascii="Simplified Arabic" w:hAnsi="Simplified Arabic" w:cs="Simplified Arabic"/>
          <w:b/>
          <w:bCs/>
          <w:sz w:val="28"/>
          <w:szCs w:val="28"/>
          <w:rtl/>
        </w:rPr>
      </w:pPr>
    </w:p>
    <w:p w14:paraId="71AC79A7" w14:textId="77777777" w:rsidR="0050224B" w:rsidRDefault="0050224B" w:rsidP="0050224B">
      <w:pPr>
        <w:spacing w:after="0" w:line="360" w:lineRule="auto"/>
        <w:rPr>
          <w:rFonts w:ascii="Simplified Arabic" w:hAnsi="Simplified Arabic" w:cs="Simplified Arabic"/>
          <w:b/>
          <w:bCs/>
          <w:sz w:val="28"/>
          <w:szCs w:val="28"/>
          <w:rtl/>
        </w:rPr>
      </w:pPr>
    </w:p>
    <w:p w14:paraId="00C3E8D8" w14:textId="77777777" w:rsidR="0050224B" w:rsidRDefault="0050224B" w:rsidP="0050224B">
      <w:pPr>
        <w:spacing w:after="0" w:line="360" w:lineRule="auto"/>
        <w:rPr>
          <w:rFonts w:ascii="Simplified Arabic" w:hAnsi="Simplified Arabic" w:cs="Simplified Arabic"/>
          <w:b/>
          <w:bCs/>
          <w:sz w:val="28"/>
          <w:szCs w:val="28"/>
          <w:rtl/>
        </w:rPr>
      </w:pPr>
    </w:p>
    <w:p w14:paraId="76C86388" w14:textId="77777777" w:rsidR="0050224B" w:rsidRDefault="0050224B" w:rsidP="0050224B">
      <w:pPr>
        <w:spacing w:after="0" w:line="360" w:lineRule="auto"/>
        <w:rPr>
          <w:rFonts w:ascii="Simplified Arabic" w:hAnsi="Simplified Arabic" w:cs="Simplified Arabic"/>
          <w:b/>
          <w:bCs/>
          <w:sz w:val="28"/>
          <w:szCs w:val="28"/>
          <w:rtl/>
        </w:rPr>
      </w:pPr>
    </w:p>
    <w:p w14:paraId="009F5A0A" w14:textId="77777777" w:rsidR="0050224B" w:rsidRPr="009F738B" w:rsidRDefault="0050224B" w:rsidP="0050224B">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7C4DD36C" w14:textId="77777777" w:rsidR="0050224B" w:rsidRPr="009F738B" w:rsidRDefault="0050224B" w:rsidP="0050224B">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50B4D35D" w14:textId="77777777" w:rsidR="0050224B" w:rsidRDefault="0050224B" w:rsidP="0050224B">
      <w:pPr>
        <w:rPr>
          <w:b/>
          <w:bCs/>
          <w:rtl/>
        </w:rPr>
      </w:pPr>
    </w:p>
    <w:p w14:paraId="441D8933" w14:textId="77777777" w:rsidR="0050224B" w:rsidRPr="003B5A4D" w:rsidRDefault="0050224B" w:rsidP="0050224B">
      <w:pPr>
        <w:rPr>
          <w:b/>
          <w:bCs/>
          <w:rtl/>
        </w:rPr>
      </w:pPr>
    </w:p>
    <w:p w14:paraId="3C255161" w14:textId="77777777" w:rsidR="0050224B" w:rsidRPr="003B5A4D" w:rsidRDefault="0050224B" w:rsidP="0050224B">
      <w:pPr>
        <w:rPr>
          <w:rFonts w:ascii="Sakkal Majalla" w:hAnsi="Sakkal Majalla" w:cs="Sakkal Majalla"/>
          <w:b/>
          <w:bCs/>
          <w:sz w:val="28"/>
          <w:szCs w:val="28"/>
          <w:u w:val="single"/>
          <w:rtl/>
        </w:rPr>
      </w:pPr>
    </w:p>
    <w:p w14:paraId="7EAFC6A2" w14:textId="77777777" w:rsidR="0050224B" w:rsidRPr="003B5A4D" w:rsidRDefault="0050224B" w:rsidP="0050224B">
      <w:pPr>
        <w:rPr>
          <w:rFonts w:ascii="Sakkal Majalla" w:hAnsi="Sakkal Majalla" w:cs="Sakkal Majalla"/>
          <w:b/>
          <w:bCs/>
          <w:sz w:val="28"/>
          <w:szCs w:val="28"/>
          <w:u w:val="single"/>
          <w:rtl/>
        </w:rPr>
      </w:pPr>
    </w:p>
    <w:p w14:paraId="3864313C" w14:textId="77777777" w:rsidR="0050224B" w:rsidRPr="003B5A4D" w:rsidRDefault="0050224B" w:rsidP="0050224B">
      <w:pPr>
        <w:rPr>
          <w:rFonts w:ascii="Sakkal Majalla" w:hAnsi="Sakkal Majalla" w:cs="Sakkal Majalla"/>
          <w:b/>
          <w:bCs/>
          <w:sz w:val="28"/>
          <w:szCs w:val="28"/>
          <w:u w:val="single"/>
          <w:rtl/>
        </w:rPr>
      </w:pPr>
    </w:p>
    <w:p w14:paraId="76C1925A" w14:textId="77777777" w:rsidR="0050224B" w:rsidRDefault="0050224B" w:rsidP="0050224B">
      <w:pPr>
        <w:rPr>
          <w:rFonts w:ascii="Sakkal Majalla" w:hAnsi="Sakkal Majalla" w:cs="Sakkal Majalla"/>
          <w:sz w:val="28"/>
          <w:szCs w:val="28"/>
          <w:u w:val="single"/>
          <w:rtl/>
        </w:rPr>
      </w:pPr>
    </w:p>
    <w:p w14:paraId="7B187270" w14:textId="77777777" w:rsidR="0050224B" w:rsidRDefault="0050224B" w:rsidP="0050224B">
      <w:pPr>
        <w:rPr>
          <w:rFonts w:ascii="Sakkal Majalla" w:hAnsi="Sakkal Majalla" w:cs="Sakkal Majalla"/>
          <w:sz w:val="28"/>
          <w:szCs w:val="28"/>
          <w:u w:val="single"/>
          <w:rtl/>
        </w:rPr>
      </w:pPr>
    </w:p>
    <w:p w14:paraId="73EB3AAE" w14:textId="77777777" w:rsidR="0050224B" w:rsidRDefault="0050224B" w:rsidP="0050224B">
      <w:pPr>
        <w:rPr>
          <w:rFonts w:ascii="Sakkal Majalla" w:hAnsi="Sakkal Majalla" w:cs="Sakkal Majalla"/>
          <w:sz w:val="28"/>
          <w:szCs w:val="28"/>
          <w:u w:val="single"/>
          <w:rtl/>
        </w:rPr>
      </w:pPr>
    </w:p>
    <w:p w14:paraId="22371921" w14:textId="77777777" w:rsidR="0050224B" w:rsidRDefault="0050224B" w:rsidP="0050224B">
      <w:pPr>
        <w:rPr>
          <w:rFonts w:ascii="Sakkal Majalla" w:hAnsi="Sakkal Majalla" w:cs="Sakkal Majalla"/>
          <w:sz w:val="28"/>
          <w:szCs w:val="28"/>
          <w:u w:val="single"/>
          <w:rtl/>
        </w:rPr>
      </w:pPr>
    </w:p>
    <w:p w14:paraId="36CBBA77" w14:textId="77777777" w:rsidR="0050224B" w:rsidRDefault="0050224B" w:rsidP="0050224B">
      <w:pPr>
        <w:rPr>
          <w:rFonts w:ascii="Sakkal Majalla" w:hAnsi="Sakkal Majalla" w:cs="Sakkal Majalla"/>
          <w:sz w:val="28"/>
          <w:szCs w:val="28"/>
          <w:u w:val="single"/>
          <w:rtl/>
        </w:rPr>
      </w:pPr>
    </w:p>
    <w:p w14:paraId="40BD38E7" w14:textId="77777777" w:rsidR="0050224B" w:rsidRDefault="0050224B" w:rsidP="0050224B">
      <w:pPr>
        <w:rPr>
          <w:rFonts w:ascii="Sakkal Majalla" w:hAnsi="Sakkal Majalla" w:cs="Sakkal Majalla"/>
          <w:sz w:val="28"/>
          <w:szCs w:val="28"/>
          <w:u w:val="single"/>
          <w:rtl/>
        </w:rPr>
      </w:pPr>
    </w:p>
    <w:p w14:paraId="363CCF4F" w14:textId="77777777" w:rsidR="0050224B" w:rsidRDefault="0050224B" w:rsidP="0050224B">
      <w:pPr>
        <w:rPr>
          <w:rFonts w:ascii="Sakkal Majalla" w:hAnsi="Sakkal Majalla" w:cs="Sakkal Majalla"/>
          <w:sz w:val="28"/>
          <w:szCs w:val="28"/>
          <w:u w:val="single"/>
          <w:rtl/>
        </w:rPr>
      </w:pPr>
    </w:p>
    <w:p w14:paraId="55E9D7EC" w14:textId="77777777" w:rsidR="0050224B" w:rsidRDefault="0050224B" w:rsidP="0050224B">
      <w:pPr>
        <w:rPr>
          <w:rFonts w:ascii="Sakkal Majalla" w:hAnsi="Sakkal Majalla" w:cs="Sakkal Majalla"/>
          <w:sz w:val="28"/>
          <w:szCs w:val="28"/>
          <w:u w:val="single"/>
        </w:rPr>
      </w:pPr>
    </w:p>
    <w:p w14:paraId="070D6ADB" w14:textId="77777777" w:rsidR="0050224B" w:rsidRDefault="0050224B" w:rsidP="0050224B">
      <w:pPr>
        <w:rPr>
          <w:rFonts w:ascii="Sakkal Majalla" w:hAnsi="Sakkal Majalla" w:cs="Sakkal Majalla"/>
          <w:sz w:val="28"/>
          <w:szCs w:val="28"/>
          <w:u w:val="single"/>
          <w:rtl/>
          <w:lang w:bidi="ar-EG"/>
        </w:rPr>
      </w:pPr>
    </w:p>
    <w:p w14:paraId="28C8F92D" w14:textId="77777777" w:rsidR="0050224B" w:rsidRPr="0048136D" w:rsidRDefault="0050224B" w:rsidP="0050224B">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410BEDDE" w14:textId="77777777" w:rsidR="0050224B" w:rsidRPr="00C316AF" w:rsidRDefault="0050224B" w:rsidP="0050224B">
      <w:pPr>
        <w:spacing w:line="360" w:lineRule="auto"/>
        <w:rPr>
          <w:rFonts w:ascii="Sakkal Majalla" w:hAnsi="Sakkal Majalla" w:cs="Sakkal Majalla"/>
          <w:sz w:val="28"/>
          <w:szCs w:val="28"/>
        </w:rPr>
      </w:pPr>
      <w:r w:rsidRPr="00C316AF">
        <w:rPr>
          <w:rFonts w:ascii="Sakkal Majalla" w:hAnsi="Sakkal Majalla" w:cs="Sakkal Majalla"/>
          <w:sz w:val="28"/>
          <w:szCs w:val="28"/>
          <w:rtl/>
        </w:rPr>
        <w:t>في إطار أي دراسة علمية منهجية، يُعد الرجوع إلى الدراسات السابقة أحد المرتكزات الأساسية التي تُسهم في بناء خلفية معرفية قوية، وتوفير فهم أعمق لموضوع البحث، وتحديد الجوانب التي تم تناولها سابقاً وما زالت بحاجة إلى مزيد من الدراسة والتحليل. ويأتي هذا الفصل ليُسلّط الضوء على مجموعة من الدراسات والأبحاث التي تناولت موضوع تأثير الفعاليات الكبرى على القطاعات الاقتصادية غير النفطية، سواء على المستوى المحلي في المملكة العربية السعودية أو على المستوى الإقليمي والدولي</w:t>
      </w:r>
      <w:r w:rsidRPr="00C316AF">
        <w:rPr>
          <w:rFonts w:ascii="Sakkal Majalla" w:hAnsi="Sakkal Majalla" w:cs="Sakkal Majalla"/>
          <w:sz w:val="28"/>
          <w:szCs w:val="28"/>
        </w:rPr>
        <w:t>.</w:t>
      </w:r>
    </w:p>
    <w:p w14:paraId="01B1322C" w14:textId="77777777" w:rsidR="0050224B" w:rsidRPr="00C316AF" w:rsidRDefault="0050224B" w:rsidP="0050224B">
      <w:pPr>
        <w:spacing w:line="360" w:lineRule="auto"/>
        <w:rPr>
          <w:rFonts w:ascii="Sakkal Majalla" w:hAnsi="Sakkal Majalla" w:cs="Sakkal Majalla"/>
          <w:sz w:val="28"/>
          <w:szCs w:val="28"/>
        </w:rPr>
      </w:pPr>
      <w:r w:rsidRPr="00C316AF">
        <w:rPr>
          <w:rFonts w:ascii="Sakkal Majalla" w:hAnsi="Sakkal Majalla" w:cs="Sakkal Majalla"/>
          <w:sz w:val="28"/>
          <w:szCs w:val="28"/>
          <w:rtl/>
        </w:rPr>
        <w:t>تُشكّل الدراسات السابقة مرجعية علمية تساعد في بلورة الإطار النظري للدراسة الحالية، وتُبرز التوجهات البحثية المختلفة التي عالجت العلاقة بين الاستضافات الكبرى والنمو الاقتصادي في القطاعات غير التقليدية. كما تُسهم هذه الدراسات في إيضاح المفاهيم الرئيسية المرتبطة بالبحث، مثل مفهوم الفعاليات الكبرى، والاقتصاد غير النفطي، وأثر الإنفاق المرتبط بالفعاليات، والمردود الاقتصادي طويل الأجل، مما يُعزز من مصداقية الدراسة الحالية ويُوجهها نحو معالجة الفجوات المعرفية القائمة</w:t>
      </w:r>
      <w:r w:rsidRPr="00C316AF">
        <w:rPr>
          <w:rFonts w:ascii="Sakkal Majalla" w:hAnsi="Sakkal Majalla" w:cs="Sakkal Majalla"/>
          <w:sz w:val="28"/>
          <w:szCs w:val="28"/>
        </w:rPr>
        <w:t>.</w:t>
      </w:r>
    </w:p>
    <w:p w14:paraId="05DE7145" w14:textId="77777777" w:rsidR="0050224B" w:rsidRPr="00C316AF" w:rsidRDefault="0050224B" w:rsidP="0050224B">
      <w:pPr>
        <w:spacing w:line="360" w:lineRule="auto"/>
        <w:rPr>
          <w:rFonts w:ascii="Sakkal Majalla" w:hAnsi="Sakkal Majalla" w:cs="Sakkal Majalla"/>
          <w:sz w:val="28"/>
          <w:szCs w:val="28"/>
        </w:rPr>
      </w:pPr>
      <w:r w:rsidRPr="00C316AF">
        <w:rPr>
          <w:rFonts w:ascii="Sakkal Majalla" w:hAnsi="Sakkal Majalla" w:cs="Sakkal Majalla"/>
          <w:sz w:val="28"/>
          <w:szCs w:val="28"/>
          <w:rtl/>
        </w:rPr>
        <w:t>يعرض هذا الفصل أبرز ما توصّلت إليه الأدبيات ذات الصلة، ويُقارن بين نتائجها، ويُحلل المناهج التي استخدمتها، سواء كانت كمية أو نوعية. كما سيتم إبراز أوجه التشابه والاختلاف بين هذه الدراسات من حيث النتائج والسياقات، مما يُساعد في تحديد موقع الدراسة الحالية ضمن الحقل البحثي العام، ويوضح مدى إسهامها في تطوير المعرفة في هذا المجال</w:t>
      </w:r>
      <w:r w:rsidRPr="00C316AF">
        <w:rPr>
          <w:rFonts w:ascii="Sakkal Majalla" w:hAnsi="Sakkal Majalla" w:cs="Sakkal Majalla"/>
          <w:sz w:val="28"/>
          <w:szCs w:val="28"/>
        </w:rPr>
        <w:t>.</w:t>
      </w:r>
    </w:p>
    <w:p w14:paraId="41AC08C9" w14:textId="77777777" w:rsidR="0050224B" w:rsidRPr="00C316AF" w:rsidRDefault="0050224B" w:rsidP="0050224B">
      <w:pPr>
        <w:spacing w:line="360" w:lineRule="auto"/>
        <w:rPr>
          <w:rFonts w:ascii="Sakkal Majalla" w:hAnsi="Sakkal Majalla" w:cs="Sakkal Majalla"/>
          <w:sz w:val="28"/>
          <w:szCs w:val="28"/>
        </w:rPr>
      </w:pPr>
      <w:r w:rsidRPr="00C316AF">
        <w:rPr>
          <w:rFonts w:ascii="Sakkal Majalla" w:hAnsi="Sakkal Majalla" w:cs="Sakkal Majalla"/>
          <w:sz w:val="28"/>
          <w:szCs w:val="28"/>
          <w:rtl/>
        </w:rPr>
        <w:t>بناءً على ما سبق، يهدف هذا الفصل إلى تقديم رؤية شاملة للنتاج العلمي السابق، وتحديد النقاط التي لم تُعالج بعمق في الدراسات السابقة، والتي ستحاول هذه الدراسة التركيز عليها، بما يعزز من القيمة العلمية والعملية للبحث</w:t>
      </w:r>
      <w:r w:rsidRPr="00C316AF">
        <w:rPr>
          <w:rFonts w:ascii="Sakkal Majalla" w:hAnsi="Sakkal Majalla" w:cs="Sakkal Majalla"/>
          <w:sz w:val="28"/>
          <w:szCs w:val="28"/>
        </w:rPr>
        <w:t>.</w:t>
      </w:r>
    </w:p>
    <w:p w14:paraId="7FD9D1A3" w14:textId="77777777" w:rsidR="0050224B" w:rsidRPr="00C316AF" w:rsidRDefault="0050224B" w:rsidP="0050224B">
      <w:pPr>
        <w:spacing w:line="360" w:lineRule="auto"/>
        <w:rPr>
          <w:rFonts w:ascii="Sakkal Majalla" w:hAnsi="Sakkal Majalla" w:cs="Sakkal Majalla"/>
          <w:sz w:val="28"/>
          <w:szCs w:val="28"/>
          <w:rtl/>
        </w:rPr>
      </w:pPr>
    </w:p>
    <w:p w14:paraId="624C47D5" w14:textId="77777777" w:rsidR="0050224B" w:rsidRDefault="0050224B" w:rsidP="0050224B">
      <w:pPr>
        <w:spacing w:line="360" w:lineRule="auto"/>
        <w:rPr>
          <w:rFonts w:ascii="Sakkal Majalla" w:hAnsi="Sakkal Majalla" w:cs="Sakkal Majalla"/>
          <w:sz w:val="28"/>
          <w:szCs w:val="28"/>
          <w:rtl/>
        </w:rPr>
      </w:pPr>
    </w:p>
    <w:p w14:paraId="236CACB1" w14:textId="77777777" w:rsidR="0050224B" w:rsidRDefault="0050224B" w:rsidP="0050224B">
      <w:pPr>
        <w:spacing w:line="360" w:lineRule="auto"/>
        <w:rPr>
          <w:rFonts w:ascii="Sakkal Majalla" w:hAnsi="Sakkal Majalla" w:cs="Sakkal Majalla"/>
          <w:sz w:val="28"/>
          <w:szCs w:val="28"/>
          <w:rtl/>
        </w:rPr>
      </w:pPr>
    </w:p>
    <w:p w14:paraId="1B29D4E0" w14:textId="77777777" w:rsidR="0050224B" w:rsidRDefault="0050224B" w:rsidP="0050224B">
      <w:pPr>
        <w:spacing w:line="360" w:lineRule="auto"/>
        <w:rPr>
          <w:rFonts w:ascii="Sakkal Majalla" w:hAnsi="Sakkal Majalla" w:cs="Sakkal Majalla"/>
          <w:sz w:val="28"/>
          <w:szCs w:val="28"/>
          <w:rtl/>
        </w:rPr>
      </w:pPr>
    </w:p>
    <w:p w14:paraId="2ED84F4C" w14:textId="77777777" w:rsidR="0050224B" w:rsidRDefault="0050224B" w:rsidP="0050224B">
      <w:pPr>
        <w:spacing w:line="360" w:lineRule="auto"/>
        <w:rPr>
          <w:rFonts w:ascii="Sakkal Majalla" w:hAnsi="Sakkal Majalla" w:cs="Sakkal Majalla"/>
          <w:sz w:val="28"/>
          <w:szCs w:val="28"/>
          <w:rtl/>
        </w:rPr>
      </w:pPr>
    </w:p>
    <w:p w14:paraId="3B66D9BF" w14:textId="77777777" w:rsidR="0050224B" w:rsidRDefault="0050224B" w:rsidP="0050224B">
      <w:pPr>
        <w:pStyle w:val="Heading2"/>
        <w:rPr>
          <w:rtl/>
        </w:rPr>
      </w:pPr>
      <w:bookmarkStart w:id="35" w:name="_Toc191138779"/>
      <w:r>
        <w:rPr>
          <w:rFonts w:hint="cs"/>
          <w:rtl/>
        </w:rPr>
        <w:t>متغيرات الدراسة</w:t>
      </w:r>
      <w:bookmarkEnd w:id="35"/>
    </w:p>
    <w:p w14:paraId="73BC44A2" w14:textId="77777777" w:rsidR="0050224B" w:rsidRDefault="0050224B" w:rsidP="0050224B">
      <w:pPr>
        <w:pStyle w:val="NoSpacing"/>
        <w:rPr>
          <w:rtl/>
        </w:rPr>
      </w:pPr>
      <w:r>
        <w:rPr>
          <w:rtl/>
        </w:rPr>
        <w:t>تُعدّ متغيرات الدراسة عناصر أساسية تُشكّل إطار البحث وتُوجّهه نحو تحقيق أهدافه بدقة. وقد شكّلت المتغيرات المستقلة والتابعة، إلى جانب متغيرات الضبط في بعض الحالات، الفئتين الرئيسيتين للمتغيرات المُستخدمة في هذا البحث. وتُعدّ "الفعاليات الكبرى والاستضافة"، الاستراتيجية الرئيسية التي تهدف الدراسة إلى دراستها، أحد المتغيرات المستقلة في هذا البحث. وتُستخدم مؤشرات عديدة للدلالة على هذه المتغيرات، بما في ذلك عدد الفعاليات المُقامة، ومقدار الإنفاق عليها من قِبَل القطاعين العام والخاص، ودرجة المشاركة والحضور، ونوع الفعالية (رياضية، ثقافية، اقتصادية، إلخ).</w:t>
      </w:r>
    </w:p>
    <w:p w14:paraId="18A1E94C" w14:textId="77777777" w:rsidR="0050224B" w:rsidRDefault="0050224B" w:rsidP="0050224B">
      <w:pPr>
        <w:pStyle w:val="NoSpacing"/>
        <w:rPr>
          <w:rtl/>
        </w:rPr>
      </w:pPr>
      <w:r>
        <w:rPr>
          <w:rtl/>
        </w:rPr>
        <w:t>يُمثّل أداء القطاعات الاقتصادية غير النفطية المتغيرات التابعة، والتي تشمل عددًا من العوامل مثل إيرادات السياحة، ومعدلات إشغال الفنادق، والنمو المرتبط بالنقل والخدمات اللوجستية، وفرص العمل، وحجم مبيعات التجزئة والخدمات. وتهدف الدراسة إلى تحديد مدى تأثير الفعاليات الكبرى على هذه القطاعات، ومدى تعزيزها للاقتصاد غير النفطي بشكل مباشر وغير مباشر</w:t>
      </w:r>
    </w:p>
    <w:p w14:paraId="167FD890" w14:textId="77777777" w:rsidR="0050224B" w:rsidRDefault="0050224B" w:rsidP="0050224B">
      <w:pPr>
        <w:pStyle w:val="NoSpacing"/>
        <w:rPr>
          <w:rtl/>
        </w:rPr>
      </w:pPr>
      <w:r>
        <w:rPr>
          <w:rtl/>
        </w:rPr>
        <w:t>تُفترض العلاقة بين هذه المتغيرات أن مؤشرات الأداء الاقتصادي للقطاعات غير النفطية (المتغير التابع) تتحسن بشكل ملحوظ نتيجةً لزيادة وتيرة الأحداث الكبرى، وكفاءة تخطيطها، ونطاقها الجغرافي والزماني (كمكونات للمتغير المستقل). كما تفترض الدراسة أن عوامل وسيطة مختلفة، مثل التكامل المؤسسي، والجاهزية التنظيمية، وجودة البنية التحتية، قد تؤثر على هذه العلاقة. هذه المتغيرات، التي تُعرف بمتغيرات الضبط، لديها القدرة على تعزيز أو تقليل التأثير المتوقع.</w:t>
      </w:r>
    </w:p>
    <w:p w14:paraId="41A3B885" w14:textId="77777777" w:rsidR="0050224B" w:rsidRDefault="0050224B" w:rsidP="0050224B">
      <w:pPr>
        <w:pStyle w:val="NoSpacing"/>
        <w:rPr>
          <w:rtl/>
        </w:rPr>
      </w:pPr>
      <w:r>
        <w:rPr>
          <w:rtl/>
        </w:rPr>
        <w:t>يعتمد التفسير الدقيق لنتائج الدراسة وتقديم توصيات عملية وقابلة للتطبيق على فهم هذه العلاقة بين المتغيرات، لا سيما في ضوء التحول الاقتصادي المستمر في المملكة العربية السعودية، والذي يتطلب دراسة علمية شاملة للمتغيرات المؤثرة في نجاحه.</w:t>
      </w:r>
    </w:p>
    <w:p w14:paraId="40EAA699" w14:textId="77777777" w:rsidR="0050224B" w:rsidRDefault="0050224B" w:rsidP="0050224B">
      <w:pPr>
        <w:rPr>
          <w:rtl/>
          <w:lang w:bidi="ar-EG"/>
        </w:rPr>
      </w:pPr>
    </w:p>
    <w:p w14:paraId="05062516" w14:textId="77777777" w:rsidR="0050224B" w:rsidRDefault="0050224B" w:rsidP="0050224B">
      <w:pPr>
        <w:rPr>
          <w:rtl/>
          <w:lang w:bidi="ar-EG"/>
        </w:rPr>
      </w:pPr>
    </w:p>
    <w:p w14:paraId="57C966E0" w14:textId="77777777" w:rsidR="0050224B" w:rsidRDefault="0050224B" w:rsidP="0050224B">
      <w:pPr>
        <w:rPr>
          <w:rtl/>
          <w:lang w:bidi="ar-EG"/>
        </w:rPr>
      </w:pPr>
    </w:p>
    <w:p w14:paraId="647C8DD1" w14:textId="77777777" w:rsidR="0050224B" w:rsidRDefault="0050224B" w:rsidP="0050224B">
      <w:pPr>
        <w:rPr>
          <w:rtl/>
          <w:lang w:bidi="ar-EG"/>
        </w:rPr>
      </w:pPr>
    </w:p>
    <w:p w14:paraId="19598117" w14:textId="77777777" w:rsidR="0050224B" w:rsidRDefault="0050224B" w:rsidP="0050224B">
      <w:pPr>
        <w:rPr>
          <w:rtl/>
          <w:lang w:bidi="ar-EG"/>
        </w:rPr>
      </w:pPr>
    </w:p>
    <w:p w14:paraId="19BA13FE" w14:textId="77777777" w:rsidR="0050224B" w:rsidRPr="00C316AF" w:rsidRDefault="0050224B" w:rsidP="0050224B">
      <w:pPr>
        <w:rPr>
          <w:rtl/>
          <w:lang w:bidi="ar-EG"/>
        </w:rPr>
      </w:pPr>
    </w:p>
    <w:p w14:paraId="129DB970" w14:textId="77777777" w:rsidR="0050224B" w:rsidRDefault="0050224B" w:rsidP="0050224B">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47DFC013" w14:textId="77777777" w:rsidR="0050224B" w:rsidRDefault="0050224B" w:rsidP="0050224B">
      <w:pPr>
        <w:pStyle w:val="NoSpacing"/>
        <w:rPr>
          <w:rtl/>
        </w:rPr>
      </w:pPr>
      <w:r w:rsidRPr="00310A1B">
        <w:rPr>
          <w:rtl/>
        </w:rPr>
        <w:t>تهدف رؤية السعودية 2030 إلى رفع ترتيب المملكة العربية السعودية في مؤشر التنافسية العالمي من المركز 25 في الفترة 2015-2016 إلى ضمن المراكز العشرة الأولى بحلول عام 2030 من أجل تحقيق نمو اقتصادي مستدام. بالإضافة إلى ذلك، بحلول عام 2030، تريد المملكة العربية السعودية رفع نسبة الصادرات غير النفطية في ناتجها المحلي الإجمالي غير النفطي من 16٪ في عام 2016 إلى 50٪. يجب على صانعي السياسات فهم العوامل المؤثرة على القدرة التنافسية للمملكة العربية السعودية من أجل اتخاذ قرارات مستنيرة تساعدهم على تحقيق هذه الأهداف. نظرًا لأنه يأخذ في الاعتبار تقلبات الأسعار المحلية والدولية على حد سواء، فإننا نستخدم سعر الصرف الفعلي الحقيقي (</w:t>
      </w:r>
      <w:r w:rsidRPr="00310A1B">
        <w:t>REER</w:t>
      </w:r>
      <w:r w:rsidRPr="00310A1B">
        <w:rPr>
          <w:rtl/>
        </w:rPr>
        <w:t>) كمقياس للقدرة التنافسية للأسعار الخارجية. بعد ذلك، نستخدم نهج النمذجة من مرحلتين لتحليل سعر الصرف الفعلي الحقيقي. من أجل دراسة اختلالات العملة كمؤشر للقدرة التنافسية وتحديد آثار المحددات، نقوم أولاً بتقدير معادلة سعر الصرف الفعلي الحقيقي. ثانيًا، نضيف المعادلة المحسوبة إلى نموذج كابسارك القياسي العالمي للطاقة (</w:t>
      </w:r>
      <w:r w:rsidRPr="00310A1B">
        <w:t>KGEMM</w:t>
      </w:r>
      <w:r w:rsidRPr="00310A1B">
        <w:rPr>
          <w:rtl/>
        </w:rPr>
        <w:t>)، الذي يوفر إطارًا لنمذجة آثار المحددات النظرية والمتغيرات الأخرى التي تهم صانعي السياسات على القدرة التنافسية. قد نأخذ أيضًا حلقات التغذية الراجعة في الاعتبار عند استخدام هذا الإطار. لقياس آثار خطة صندوق الاستثمارات العامة الجديدة للفترة 2021-2025 على القدرة التنافسية، نُجري تحليلًا لسيناريوهات السياسات. وقد تم التوصل إلى الرؤى السياسية التالية. قد ترغب السلطات في مبادرات مثل استثمارات صندوق الاستثمارات العامة التي تزيد الإنتاجية المستقبلية، وبالتالي القدرة التنافسية. يجب إبلاغ صانعي السياسات بشكل دوري باختلال توازن العملة. ينبغي أن تُفكر المشاريع التي تنطوي على استثمار عام واستهلاك حكومي في استبدال الواردات بسلع وخدمات محلية الصنع. كما أن تطوير المحتوى المحلي سيساهم في تنويع الاقتصاد السعودي. وأخيرًا وليس آخرًا، قد تُحفز زيادة الاستثمار الأجنبي والموارد الأخرى من جميع أنحاء العالم التقدم التقني وتُحسّن مناخ الأعمال والبنية التحتية الاقتصادية والمالية والاجتماعية، وكل ذلك من شأنه أن يعزز القدرة التنافسية</w:t>
      </w:r>
      <w:sdt>
        <w:sdtPr>
          <w:rPr>
            <w:rtl/>
          </w:rPr>
          <w:id w:val="175116037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Has232 \l 3073</w:instrText>
          </w:r>
          <w:r>
            <w:rPr>
              <w:rtl/>
            </w:rPr>
            <w:instrText xml:space="preserve"> </w:instrText>
          </w:r>
          <w:r>
            <w:rPr>
              <w:rtl/>
            </w:rPr>
            <w:fldChar w:fldCharType="separate"/>
          </w:r>
          <w:r>
            <w:rPr>
              <w:noProof/>
              <w:rtl/>
            </w:rPr>
            <w:t xml:space="preserve"> </w:t>
          </w:r>
          <w:r>
            <w:rPr>
              <w:rFonts w:hint="cs"/>
              <w:noProof/>
              <w:rtl/>
            </w:rPr>
            <w:t>(</w:t>
          </w:r>
          <w:r>
            <w:rPr>
              <w:rFonts w:hint="cs"/>
              <w:noProof/>
            </w:rPr>
            <w:t>Hasanov</w:t>
          </w:r>
          <w:r>
            <w:rPr>
              <w:rFonts w:hint="cs"/>
              <w:noProof/>
              <w:rtl/>
            </w:rPr>
            <w:t>، 2023)</w:t>
          </w:r>
          <w:r>
            <w:rPr>
              <w:rtl/>
            </w:rPr>
            <w:fldChar w:fldCharType="end"/>
          </w:r>
        </w:sdtContent>
      </w:sdt>
      <w:r w:rsidRPr="00310A1B">
        <w:rPr>
          <w:rtl/>
        </w:rPr>
        <w:t>.</w:t>
      </w:r>
    </w:p>
    <w:p w14:paraId="6DD87031" w14:textId="77777777" w:rsidR="0050224B" w:rsidRDefault="0050224B" w:rsidP="0050224B">
      <w:pPr>
        <w:pStyle w:val="NoSpacing"/>
        <w:rPr>
          <w:rtl/>
        </w:rPr>
      </w:pPr>
      <w:r w:rsidRPr="000C0ABB">
        <w:rPr>
          <w:rtl/>
        </w:rPr>
        <w:lastRenderedPageBreak/>
        <w:t>في إطار رؤية السعودية 2030، اتخذت المملكة العربية السعودية عددًا من الإجراءات في عام 2016 لتنويع اقتصادها وتقليل اعتمادها على النفط. قيّمت هذه الدراسة مدى استجابة القطاعات غير النفطية للرؤية كما هو مُخطط لها، ودرست الآثار المالية للرؤية. وقد أسهمت عدة قطاعات إسهامًا كبيرًا في الناتج المحلي الإجمالي للمملكة العربية السعودية، وحققت إنجازات باهرة منذ تطبيقها. ركزت الدراسة على ثلاثة من هذه القطاعات: السياحة، والشركات الصغيرة والمتوسطة، وحملة شعار "صنع في السعودية". وكان الهدف التحليلي لهذه الدراسة تحديد ما إذا كانت هذه القطاعات تُعزز اقتصاد البلاد، وتُقلل في نهاية المطاف من اعتمادها على عائدات النفط. بالإضافة إلى إحصاءات مؤسسة النقد العربي السعودي، اعتمد هذا التحليل على بيانات ثانوية جُمعت من المنشورات الإلكترونية، ووسائل الإعلام، وسجلات القطاع العام الأخرى، مثل التقارير السنوية للجهات الحكومية والتجارية. وتُظهر النتائج إحراز تقدم نحو تحقيق الأهداف الاستراتيجية لرؤية السعودية 2030</w:t>
      </w:r>
      <w:sdt>
        <w:sdtPr>
          <w:rPr>
            <w:rtl/>
          </w:rPr>
          <w:id w:val="11533388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Alt23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Altalhi</w:t>
          </w:r>
          <w:r>
            <w:rPr>
              <w:rFonts w:hint="cs"/>
              <w:noProof/>
              <w:rtl/>
            </w:rPr>
            <w:t>، 2023)</w:t>
          </w:r>
          <w:r>
            <w:rPr>
              <w:rtl/>
            </w:rPr>
            <w:fldChar w:fldCharType="end"/>
          </w:r>
        </w:sdtContent>
      </w:sdt>
      <w:r w:rsidRPr="000C0ABB">
        <w:rPr>
          <w:rtl/>
        </w:rPr>
        <w:t>.</w:t>
      </w:r>
    </w:p>
    <w:p w14:paraId="2354F918" w14:textId="77777777" w:rsidR="0050224B" w:rsidRDefault="0050224B" w:rsidP="0050224B">
      <w:pPr>
        <w:pStyle w:val="NoSpacing"/>
        <w:rPr>
          <w:rtl/>
        </w:rPr>
      </w:pPr>
      <w:r w:rsidRPr="004D47D3">
        <w:rPr>
          <w:rtl/>
        </w:rPr>
        <w:t>المملكة العربية السعودية دولة مزدهرة، على الرغم من اعتمادها على عائدات النفط. إضافةً إلى ذلك، تحتاج الأمة إلى تغيير اجتماعي وثقافي وسياسي واقتصادي. ونتيجةً لذلك، يجري تنفيذ برنامج إصلاحي، تلعب فيه الرياضة دورًا رئيسيًا. ولترسيخ مكانة المملكة كوجهة للأحداث الرياضية، من بين أمور أخرى، تستثمر الحكومة السعودية مليارات الدولارات في تطوير البنية التحتية الرياضية. كما يتأثر تركيز المملكة العربية السعودية على الرياضة في القرن الحادي والعشرين بالتقدم في مجال حقوق المرأة، والرغبة في تشجيع ريادة الأعمال، والحاجة إلى معالجة المخاوف الصحية الوشيكة. ولكن هناك عيوب للتغيير. في الواقع، لا تزال هناك تصورات سلبية عن المملكة، حيث يتهمها البعض بتبييض صورتها الرياضية بشكل متعمد. علاوةً على ذلك، تُشكل تقلبات الأسعار مصدر قلق كبير لأن معظم ثروتها تعتمد على أسواق النفط العالمية. لذا، يتناول هذا الفصل الرياضة السعودية اليوم، بما في ذلك سماتها وصعوباتها</w:t>
      </w:r>
      <w:sdt>
        <w:sdtPr>
          <w:rPr>
            <w:rtl/>
          </w:rPr>
          <w:id w:val="135176319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Cha223 \l 3073</w:instrText>
          </w:r>
          <w:r>
            <w:rPr>
              <w:rtl/>
            </w:rPr>
            <w:instrText xml:space="preserve"> </w:instrText>
          </w:r>
          <w:r>
            <w:rPr>
              <w:rtl/>
            </w:rPr>
            <w:fldChar w:fldCharType="separate"/>
          </w:r>
          <w:r>
            <w:rPr>
              <w:noProof/>
              <w:rtl/>
            </w:rPr>
            <w:t xml:space="preserve"> </w:t>
          </w:r>
          <w:r>
            <w:rPr>
              <w:rFonts w:hint="cs"/>
              <w:noProof/>
              <w:rtl/>
            </w:rPr>
            <w:t>(</w:t>
          </w:r>
          <w:r>
            <w:rPr>
              <w:rFonts w:hint="cs"/>
              <w:noProof/>
            </w:rPr>
            <w:t>Chadwick</w:t>
          </w:r>
          <w:r>
            <w:rPr>
              <w:rFonts w:hint="cs"/>
              <w:noProof/>
              <w:rtl/>
            </w:rPr>
            <w:t>، 2022)</w:t>
          </w:r>
          <w:r>
            <w:rPr>
              <w:rtl/>
            </w:rPr>
            <w:fldChar w:fldCharType="end"/>
          </w:r>
        </w:sdtContent>
      </w:sdt>
      <w:r w:rsidRPr="004D47D3">
        <w:rPr>
          <w:rtl/>
        </w:rPr>
        <w:t>.</w:t>
      </w:r>
    </w:p>
    <w:p w14:paraId="0DE4D9C6" w14:textId="77777777" w:rsidR="0050224B" w:rsidRDefault="0050224B" w:rsidP="0050224B">
      <w:pPr>
        <w:pStyle w:val="NoSpacing"/>
        <w:rPr>
          <w:rtl/>
        </w:rPr>
      </w:pPr>
      <w:r w:rsidRPr="008B08B8">
        <w:rPr>
          <w:rtl/>
        </w:rPr>
        <w:t>تبحث هذه الدراسة في كيفية تأثر الناتج المحلي الإجمالي غير النفطي في المملكة العربية السعودية بأربعة عوامل اقتصادية كلية رئيسية: التضخم، وإنتاج النفط، والاستثمار العام، والاستثمار الخاص. ولتحقيق ذلك، قمنا بقياس تأثير هذه المتغيرات على الناتج المحلي الإجمالي غير النفطي باستخدام طريقة السببية في الكميات والتأخر الموزع غير الخطي التلقائي (</w:t>
      </w:r>
      <w:r w:rsidRPr="008B08B8">
        <w:t>NARDL</w:t>
      </w:r>
      <w:r w:rsidRPr="008B08B8">
        <w:rPr>
          <w:rtl/>
        </w:rPr>
        <w:t xml:space="preserve">). وتشير النتائج إلى أن صدمات الناتج المحلي الإجمالي غير النفطي الأخيرة لها تأثير كبير على المدى القصير على الناتج المحلي الإجمالي غير النفطي الحالي. بالإضافة إلى ذلك، فإن ارتفاع الاستثمار العام يرفع الناتج المحلي الإجمالي غير النفطي على المديين القصير والطويل، ولكن الصدمة السلبية للاستثمار الخاص تخفض الناتج المحلي الإجمالي غير النفطي على المديين القصير والطويل. بالإضافة إلى ذلك، فإن الزيادات قصيرة وطويلة الأجل في الناتج المحلي الإجمالي غير </w:t>
      </w:r>
      <w:r w:rsidRPr="008B08B8">
        <w:rPr>
          <w:rtl/>
        </w:rPr>
        <w:lastRenderedPageBreak/>
        <w:t>النفطي ناتجة عن صدمات إيجابية (سلبية) لإنتاج النفط. علاوة على ذلك، اكتشفنا أن الناتج المحلي الإجمالي غير النفطي يرتبط ارتباطًا إيجابيًا بكل من صدمات التضخم الإيجابية والسلبية على المدى الطويل، في حين أن الناتج المحلي الإجمالي غير النفطي يرتبط ارتباطًا سلبيًا بصدمات التضخم السلبية. نكتشف أن السببية في المتوسط والسببية في التباين الناتجين عن المتغيرات التفسيرية الأربعة يختلفان بين الكميات باستخدام أسلوب السببية غير المعلمية في الكميات. وأخيرًا، لا تُعزى هذه المؤشرات الاقتصادية الكلية إلى الناتج المحلي الإجمالي غير النفطي. تختلف النتائج الاقتصادية الكلية غير القياسية لهذه الدولة المُصدرة للنفط بشكل كبير عن نتائج الدول الصناعية ذات التنوع الصناعي الواسع. على أي حال، لهذه النتائج تداعيات كبيرة على المنظمات الأجنبية والمستثمرين المؤسسيين وصانعي السياسات السعوديين المشاركين في رؤية 2030</w:t>
      </w:r>
      <w:sdt>
        <w:sdtPr>
          <w:rPr>
            <w:rtl/>
          </w:rPr>
          <w:id w:val="-4537702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Men18 \l 3073</w:instrText>
          </w:r>
          <w:r>
            <w:rPr>
              <w:rtl/>
            </w:rPr>
            <w:instrText xml:space="preserve"> </w:instrText>
          </w:r>
          <w:r>
            <w:rPr>
              <w:rtl/>
            </w:rPr>
            <w:fldChar w:fldCharType="separate"/>
          </w:r>
          <w:r>
            <w:rPr>
              <w:noProof/>
              <w:rtl/>
            </w:rPr>
            <w:t xml:space="preserve"> </w:t>
          </w:r>
          <w:r>
            <w:rPr>
              <w:rFonts w:hint="cs"/>
              <w:noProof/>
              <w:rtl/>
            </w:rPr>
            <w:t>(</w:t>
          </w:r>
          <w:r>
            <w:rPr>
              <w:rFonts w:hint="cs"/>
              <w:noProof/>
            </w:rPr>
            <w:t>Mensi</w:t>
          </w:r>
          <w:r>
            <w:rPr>
              <w:rFonts w:hint="cs"/>
              <w:noProof/>
              <w:rtl/>
            </w:rPr>
            <w:t>، 2018)</w:t>
          </w:r>
          <w:r>
            <w:rPr>
              <w:rtl/>
            </w:rPr>
            <w:fldChar w:fldCharType="end"/>
          </w:r>
        </w:sdtContent>
      </w:sdt>
      <w:r w:rsidRPr="008B08B8">
        <w:rPr>
          <w:rtl/>
        </w:rPr>
        <w:t>.</w:t>
      </w:r>
    </w:p>
    <w:p w14:paraId="1F83426B" w14:textId="77777777" w:rsidR="0050224B" w:rsidRDefault="0050224B" w:rsidP="0050224B">
      <w:pPr>
        <w:pStyle w:val="NoSpacing"/>
        <w:rPr>
          <w:rtl/>
        </w:rPr>
      </w:pPr>
      <w:r w:rsidRPr="00107D4B">
        <w:rPr>
          <w:rtl/>
        </w:rPr>
        <w:t>على مر السنين، اعتُبر الاستثمار الأجنبي المباشر أحد القوى الرئيسية وراء التوسع الاقتصادي. وبغض النظر عن اختلاف أيديولوجياتها، تسعى العديد من الدول الآن إلى تعزيز المنافسة لجذب الاستثمار الأجنبي المباشر. وتُعد المملكة العربية السعودية، وهي دولة غنية بالنفط اعتمدت حتى الآن في الغالب على تدفق إيراداتها من مواردها الطبيعية، موضوع هذه الدراسة. ومع ذلك، يتعين على المملكة الآن التكيف والتعامل بشكل مناسب مع الصعوبات التي تفرضها المنافسة الدولية، والتي أجبرت الحكومة على الاستثمار في المجالات غير النفطية. ولهذا السبب، شجعت الحكومة السعودية الاستثمار الدولي في البلاد من خلال برنامج رؤيتها الاقتصادية 2030. ومع ذلك، قد تجد المملكة العربية السعودية صعوبة بالغة في تنفيذ رؤيتها الاقتصادية 2030 بنجاح دون وجود الحلول المناسبة وعمليات التخطيط السليمة لمواجهة هذه العوائق التي تعترض النمو الاقتصادي وتنويع الإيرادات، لا سيما في ضوء الانخفاض الأخير في الاستثمار الأجنبي المباشر (</w:t>
      </w:r>
      <w:r w:rsidRPr="00107D4B">
        <w:t>FDI</w:t>
      </w:r>
      <w:r w:rsidRPr="00107D4B">
        <w:rPr>
          <w:rtl/>
        </w:rPr>
        <w:t>) والعوامل البيئية السياسية والتجارية والاقتصادية ذات الصلة. لذلك، ومن أجل تحقيق الأهداف الموضحة في رؤية 2030، من الضروري تحديد الأسباب الرئيسية وراء هذا الاتجاه النزولي في الاستثمار الأجنبي المباشر ووضع التدابير المناسبة لزيادة تدفقات الاستثمار الأجنبي المباشر. وتتناول الدراسة قضيتين رئيسيتين في هذا الصدد. تتمثل الخطوة الأولى في معرفة ما إذا كان المناخ الاقتصادي في المملكة العربية السعودية مناسبًا لجذب الاستثمار الأجنبي المباشر، وخاصة في الصناعات غير النفطية. وتتمثل الخطوة الثانية في التحقيق في العناصر التي تؤثر على قرار الشركات الأجنبية بالاستثمار في المملكة العربية السعودية. وكانت خطة البحث عبارة عن نهج مختلط الأساليب يتضمن إجراء مقابلات مع الإدارة العليا للهيئة العامة للاستثمار في المملكة العربية السعودية (</w:t>
      </w:r>
      <w:r w:rsidRPr="00107D4B">
        <w:t>SAGIA</w:t>
      </w:r>
      <w:r w:rsidRPr="00107D4B">
        <w:rPr>
          <w:rtl/>
        </w:rPr>
        <w:t xml:space="preserve">) واستطلاع آراء كبار المديرين التنفيذيين للشركات الأجنبية. واستُخدمت الإحصاءات الوصفية وتقديرات التكرار (اختبار شابيرو ويلك) لتحليل بيانات المسح الكمي. وتم تطبيق </w:t>
      </w:r>
      <w:r w:rsidRPr="00107D4B">
        <w:rPr>
          <w:rtl/>
        </w:rPr>
        <w:lastRenderedPageBreak/>
        <w:t xml:space="preserve">الطريقة التي طورها براون وكلارك (2006) على التحليل الموضوعي لبيانات المقابلات النوعية. وفيما يلي ملخص للاستنتاجات الرئيسية. تشمل القضايا الرئيسية المحيطة بالاستثمار الأجنبي المباشر في المملكة العربية السعودية انخفاض فعالية الأسواق المالية وتوسيع الائتمان، وارتفاع أسعار الفائدة، وقوانين العمل التي تُقيّد الاستثمار، وبطء خطوات تسهيل الاستثمار الأجنبي المباشر، وركود مناخ الاستثمار، واختلال توازن الموارد الطبيعية الحيوية، ونقص الضمانات والسياسات الكافية. وتتضمن رؤية 2030 استراتيجية شاملة لبرنامج واسع النطاق لتطوير المهارات لمعالجة هذه المشكلة، وإن كان ذلك سيستغرق وقتًا بالتأكيد. وسيستمر تأثير فجوة المهارات المرتبطة بـ"سعودة" الاستثمار الأجنبي المباشر حتى ذلك الحين. وقد أغلقت أكثر من 10,000 شركة دولية أبوابها نتيجةً لهذه المشكلة. وقد تُلحق الرسالة السلبية لهذه الشركات الضرر بسمعة المملكة العربية السعودية، وبالتالي بأي تدفقات استثمار أجنبي مباشر قادمة. ونظراً لمحدودية الموارد الطبيعية، فإن الأسعار مرتفعة. ومن الجدير بالذكر أن هناك عاملين رئيسيين يثبطان الاستثمار الأجنبي المباشر هما عدم الاتساق وانخفاض الجودة. وتتمتع المملكة العربية السعودية بميزة استراتيجية كبيرة بفضل موقعها الجغرافي. ومع ذلك، بالمقارنة مع دول أخرى ذات موقع استراتيجي وخدمات متفوقة، فإن العيوب المذكورة سابقًا قد تعوض هذه الميزة. إن تحرير السوق في المملكة العربية السعودية ليس مثاليًا. في الوقت الحالي، تركز الدولة على جذب الاستثمار الأجنبي المباشر من دول محددة في قطاعات محددة. ومع ذلك، نظرًا للقدرات المحدودة الحالية للمملكة العربية السعودية، فقد لا يكون لتحرير السوق تأثير كبير على نمو الاستثمار الأجنبي المباشر. لا يوجد الكثير من الاضطرابات السياسية في المملكة العربية السعودية، وهي دولة ذات نظام ملكي. إنها تُعتبر دولة مستقرة. بدلاً من ذلك، أضر التمييز على أساس الجنس بسمعة المملكة العربية السعودية. كما تم تحديد عدم اتساق اللوائح التجارية في التعامل مع الحكومة، والبيروقراطية، والمحسوبية (الواسطة)، وضعف إنفاذ الأنظمة القانونية والقضائية، والآثار المحتملة للدين والثقافة، كعوامل سلبية على الاستثمار الأجنبي المباشر. منذ عام 2000، تم تخفيف القواعد والسياسات غير المواتية للاستثمار الأجنبي المباشر تدريجيًا، لكن هذا لم ينجح. إن قيود الهيئة العامة للاستثمار على تبسيط إجراءات التخليص تجعل من الصعب على الشركات التي تتطلع إلى جذب الاستثمار الأجنبي المباشر. بسبب نقص الدعم من الجهات الأخرى، حقق ولي العهد والهيئة العامة للاستثمار نجاحًا متواضعًا للغاية في جذب الاستثمار الأجنبي المباشر إلى مشاريع رؤية 2030. ليست المملكة العربية السعودية الدولة الوحيدة التي تستضيف مؤتمرات استثمارية دولية؛ إذ تُقيم العديد من الدول الأخرى فعاليات مماثلة لجذب الاستثمار الأجنبي المباشر. حتى بعد عامين من رؤية 2030، لم يحدث تغيير حقيقي، على الرغم من مراجعة السياسات. ويشكل الضعف الإداري عائقًا أمام الاستثمار الأجنبي المباشر المستهدف في الرؤية. بالإضافة إلى </w:t>
      </w:r>
      <w:r w:rsidRPr="00107D4B">
        <w:rPr>
          <w:rtl/>
        </w:rPr>
        <w:lastRenderedPageBreak/>
        <w:t>ذلك، تُشكل القوانين الإسلامية رادعًا للجهات الخارجية؛ على الأقل بالنسبة للمستثمرين الأجانب، الأفراد والمستثمرين ذوي الملاءة المالية العالية. يجب ضمان استقلالية مالية قوية لتحسين نتائج الاستثمار الأجنبي المباشر. تُسهم نتائج الدراسة إسهامًا كبيرًا ليس فقط في المعرفة الحالية، بل تُضيف أيضًا إلى المعرفة الجديدة التي تُسلط الضوء على المشكلات والعوائق والعقبات الرئيسية التي تواجه تدفقات الاستثمار الأجنبي المباشر في المملكة العربية السعودية. كما ستُفيد نتائج الدراسة كلًا من الهيئة العامة للاستثمار والشركات الأجنبية التي تتطلع إلى الاستثمار في المملكة العربية السعودية. وتُختتم الدراسة بعدة توصيات وتوجهات بحثية مستقبلية</w:t>
      </w:r>
      <w:sdt>
        <w:sdtPr>
          <w:rPr>
            <w:rtl/>
          </w:rPr>
          <w:id w:val="37327979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Als191 \l 3073</w:instrText>
          </w:r>
          <w:r>
            <w:rPr>
              <w:rtl/>
            </w:rPr>
            <w:instrText xml:space="preserve"> </w:instrText>
          </w:r>
          <w:r>
            <w:rPr>
              <w:rtl/>
            </w:rPr>
            <w:fldChar w:fldCharType="separate"/>
          </w:r>
          <w:r>
            <w:rPr>
              <w:noProof/>
              <w:rtl/>
            </w:rPr>
            <w:t xml:space="preserve"> </w:t>
          </w:r>
          <w:r>
            <w:rPr>
              <w:rFonts w:hint="cs"/>
              <w:noProof/>
              <w:rtl/>
            </w:rPr>
            <w:t>(</w:t>
          </w:r>
          <w:r>
            <w:rPr>
              <w:rFonts w:hint="cs"/>
              <w:noProof/>
            </w:rPr>
            <w:t>Alshehri</w:t>
          </w:r>
          <w:r>
            <w:rPr>
              <w:rFonts w:hint="cs"/>
              <w:noProof/>
              <w:rtl/>
            </w:rPr>
            <w:t>، 2019)</w:t>
          </w:r>
          <w:r>
            <w:rPr>
              <w:rtl/>
            </w:rPr>
            <w:fldChar w:fldCharType="end"/>
          </w:r>
        </w:sdtContent>
      </w:sdt>
      <w:r w:rsidRPr="00107D4B">
        <w:rPr>
          <w:rtl/>
        </w:rPr>
        <w:t>.</w:t>
      </w:r>
    </w:p>
    <w:p w14:paraId="0997D346" w14:textId="77777777" w:rsidR="0050224B" w:rsidRDefault="0050224B" w:rsidP="0050224B">
      <w:pPr>
        <w:pStyle w:val="NoSpacing"/>
        <w:rPr>
          <w:rtl/>
        </w:rPr>
      </w:pPr>
      <w:r w:rsidRPr="00C36C4C">
        <w:rPr>
          <w:rtl/>
        </w:rPr>
        <w:t>تتناول هذه الدراسة السياسات الدبلوماسية والاقتصادية لدول مجلس التعاون الخليجي (الكويت، قطر، الإمارات العربية المتحدة، والمملكة العربية السعودية). وتسعى إلى تقييم مزايا الأدبيات وسلبياتها وصعوباتها وثغراتها. وتتناول أسئلة البحث مواضيع الدبلوماسية الاقتصادية، وتكتيكات مجلس التعاون الخليجي، والثغرات في الأدبيات. وتبدأ الدراسة باستعراض دول مجلس التعاون الخليجي والدول الأعضاء، يليه عرض لأهداف البحث ومعاييره ونطاقه. وتتناول مراجعة الأدبيات المناهج الدبلوماسية والاقتصادية، مع تسليط الضوء على الثغرات في العلاقات الدولية، والتعاون الإقليمي، والدراسات المقارنة، والتكتيكات الدبلوماسية، والقضايا الخارجية. ويغطي التقرير قضايا التنويع الاقتصادي، والاستثمارات، وتسهيل التجارة، والشراكات الدبلوماسية. وتشير النتائج إلى أنه مع تحول البحرين إلى مركز مالي، وتوسع الإمارات العربية المتحدة في قطاعات السفر والخدمات المصرفية والنقل، يبدو أنهما الدولتان الأكثر استشرافًا للمستقبل من حيث تقليل اعتمادهما على النفط. وبينما تسعى عُمان إلى تنويع اقتصادها بعيدًا عن النفط والاستثمار في البنية التحتية والسياحة، لا تزال الكويت تعتمد بشكل كبير على السلع. تُركز قطر على استكشاف الهيدروكربونات، وقد حققت تقدمًا ملحوظًا في قطاع السياحة، بينما تُركز المملكة العربية السعودية على قطاع الإنتاج، وتأمل أن تُصبح مركزًا إقليميًا. تُعدّ الأسواق المفتوحة، والخصخصة، وتهيئة مناخ استثماري مُلائم، شروطًا أساسيةً للتنويع الاقتصادي. ويتطلب تحقيق المزيد من التنويع معالجة قضايا الحوكمة والشفافية، بالإضافة إلى تعزيز فرص العمل. وقد حققت دول مجلس التعاون الخليجي تقدمًا اقتصاديًا، وهي تُعدّ جهات فاعلة مهمة على الساحة العالمية. ومع ذلك، لا تزال هناك قضايا مثل البطالة وقيود الحوكمة قائمة</w:t>
      </w:r>
      <w:sdt>
        <w:sdtPr>
          <w:rPr>
            <w:rtl/>
          </w:rPr>
          <w:id w:val="92192218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Ami231 \l 3073</w:instrText>
          </w:r>
          <w:r>
            <w:rPr>
              <w:rtl/>
            </w:rPr>
            <w:instrText xml:space="preserve"> </w:instrText>
          </w:r>
          <w:r>
            <w:rPr>
              <w:rtl/>
            </w:rPr>
            <w:fldChar w:fldCharType="separate"/>
          </w:r>
          <w:r>
            <w:rPr>
              <w:noProof/>
              <w:rtl/>
            </w:rPr>
            <w:t xml:space="preserve"> </w:t>
          </w:r>
          <w:r>
            <w:rPr>
              <w:rFonts w:hint="cs"/>
              <w:noProof/>
              <w:rtl/>
            </w:rPr>
            <w:t>(</w:t>
          </w:r>
          <w:r>
            <w:rPr>
              <w:rFonts w:hint="cs"/>
              <w:noProof/>
            </w:rPr>
            <w:t>Amine</w:t>
          </w:r>
          <w:r>
            <w:rPr>
              <w:rFonts w:hint="cs"/>
              <w:noProof/>
              <w:rtl/>
            </w:rPr>
            <w:t>، 2023)</w:t>
          </w:r>
          <w:r>
            <w:rPr>
              <w:rtl/>
            </w:rPr>
            <w:fldChar w:fldCharType="end"/>
          </w:r>
        </w:sdtContent>
      </w:sdt>
      <w:r w:rsidRPr="00C36C4C">
        <w:rPr>
          <w:rtl/>
        </w:rPr>
        <w:t>.</w:t>
      </w:r>
    </w:p>
    <w:p w14:paraId="2090D416" w14:textId="77777777" w:rsidR="0050224B" w:rsidRDefault="0050224B" w:rsidP="0050224B">
      <w:pPr>
        <w:pStyle w:val="NoSpacing"/>
        <w:rPr>
          <w:rtl/>
        </w:rPr>
      </w:pPr>
      <w:r w:rsidRPr="004955C2">
        <w:rPr>
          <w:rtl/>
        </w:rPr>
        <w:t>تبحث هذه الأطروحة في الوظيفة المزدوجة لصندوق الاستثمارات العامة السعودي (</w:t>
      </w:r>
      <w:r w:rsidRPr="004955C2">
        <w:t>PIF</w:t>
      </w:r>
      <w:r w:rsidRPr="004955C2">
        <w:rPr>
          <w:rtl/>
        </w:rPr>
        <w:t xml:space="preserve">) كسلاح للدبلوماسية الرياضية والتنويع الاقتصادي في أعقاب شرائه لنادي نيوكاسل يونايتد لكرة القدم والذي حظي بتغطية إعلامية واسعة. وكجزء من استراتيجية الإصلاح لرؤية المملكة العربية السعودية 2030، تتناول الدراسة الاستثمارات الاستراتيجية لصندوق </w:t>
      </w:r>
      <w:r w:rsidRPr="004955C2">
        <w:rPr>
          <w:rtl/>
        </w:rPr>
        <w:lastRenderedPageBreak/>
        <w:t>الاستثمارات العامة، ومعظمها في قطاع الرياضة. وتتضمن منهجية البحث المختارة تحليل وثائق من مجموعة متنوعة من وسائل الإعلام والمصادر المتعلقة بالموضوع. ويقدم التقرير فحصًا شاملاً لاستثمارات صندوق الاستثمارات العامة، بالنظر إلى كيفية تأثيرها على التنويع الاقتصادي في المملكة العربية السعودية، وخلق فرص العمل، وظهور صناعات جديدة. كما تستكشف الدراسة موضوع الدبلوماسية الرياضية، وتبحث في الطرق التي تعزز بها هذه النفقات مكانة المملكة العربية السعودية وصورتها دوليًا. وتقدم النتائج رؤى مهمة حول الاستخدام الاستراتيجي للاستثمارات الرياضية من قبل صناديق الثروة السيادية، وتُظهر معرفة دقيقة بدور صندوق الاستثمارات العامة في التنويع الاقتصادي والدبلوماسية الرياضية. وبحسب نتائج الدراسة، تلعب استثمارات صندوق الاستثمارات العامة دوراً كبيراً في خطة التنويع الاقتصادي الأكبر للمملكة العربية السعودية ومحاولاتها لتحسين مكانتها الدولية من خلال الدبلوماسية الرياضية</w:t>
      </w:r>
      <w:sdt>
        <w:sdtPr>
          <w:rPr>
            <w:rtl/>
          </w:rPr>
          <w:id w:val="163767280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Sam231 \l 3073</w:instrText>
          </w:r>
          <w:r>
            <w:rPr>
              <w:rtl/>
            </w:rPr>
            <w:instrText xml:space="preserve"> </w:instrText>
          </w:r>
          <w:r>
            <w:rPr>
              <w:rtl/>
            </w:rPr>
            <w:fldChar w:fldCharType="separate"/>
          </w:r>
          <w:r>
            <w:rPr>
              <w:noProof/>
              <w:rtl/>
            </w:rPr>
            <w:t xml:space="preserve"> </w:t>
          </w:r>
          <w:r>
            <w:rPr>
              <w:rFonts w:hint="cs"/>
              <w:noProof/>
              <w:rtl/>
            </w:rPr>
            <w:t>(</w:t>
          </w:r>
          <w:r>
            <w:rPr>
              <w:rFonts w:hint="cs"/>
              <w:noProof/>
            </w:rPr>
            <w:t>Sam</w:t>
          </w:r>
          <w:r>
            <w:rPr>
              <w:rFonts w:hint="cs"/>
              <w:noProof/>
              <w:rtl/>
            </w:rPr>
            <w:t>، 2023)</w:t>
          </w:r>
          <w:r>
            <w:rPr>
              <w:rtl/>
            </w:rPr>
            <w:fldChar w:fldCharType="end"/>
          </w:r>
        </w:sdtContent>
      </w:sdt>
      <w:r w:rsidRPr="004955C2">
        <w:rPr>
          <w:rtl/>
        </w:rPr>
        <w:t>.</w:t>
      </w:r>
    </w:p>
    <w:p w14:paraId="6F25178C" w14:textId="77777777" w:rsidR="0050224B" w:rsidRDefault="0050224B" w:rsidP="0050224B">
      <w:pPr>
        <w:pStyle w:val="NoSpacing"/>
        <w:rPr>
          <w:rtl/>
        </w:rPr>
      </w:pPr>
      <w:r w:rsidRPr="005E568B">
        <w:rPr>
          <w:rtl/>
        </w:rPr>
        <w:t>تُركّز هذه الدراسة بشكل رئيسي على إمكانات قطاع التجارة الإلكترونية في المملكة العربية السعودية، لا سيما فيما يتعلق بالقطاعات غير النفطية. ومع التوسع السريع للإنترنت والثورة في تكنولوجيا المعلومات، أصبحت مساهمة التجارة الإلكترونية في أعمال سوق التجزئة أكثر عالميةً وقابليةً للتكيف. تُقدّم التجارة الإلكترونية أسلوبًا جديدًا لممارسة الأعمال التجارية، وتُسهم في تحقيق الربح الإلكتروني. وتُعدّ إدارة العمليات التجارية، والأساليب البسيطة والميسورة لتوسيع الأسواق، والتنسيق عبر الحدود مع سلسلة القيمة، من أهمّ مساهماتها. علاوةً على ذلك، تُساهم التجارة الإلكترونية والإنترنت في توسيع السوق خارج الحدود الوطنية، وإزالة العوائق اللغوية، وتعزيز التنوع الثقافي. ومع انطلاق السوق العالمية، ستتمتع الدول بالعديد من الميزات الإبداعية والديناميكية التي تُعزّز دخلها القومي، وسوقها، وفرص العمل، ورأس المال، والوصول إلى المعلومات والتكنولوجيا. وبينما تُنافس التجارة الأخرى السوق العالمية وتُعزّز الدخل القومي، يُشكّل النفط والسلع ذات الصلة حاليًا الجزء الأكبر من الإيرادات الوطنية للمملكة العربية السعودية. لذلك، يُعدّ توسيع نطاق المنتجات السعودية الأخرى أمرًا بالغ الأهمية لاستخدام التجارة الإلكترونية للوصول إلى مستوى تجاري عالمي. كما يوصي التقرير بالتوسع في أسواق جديدة والانخراط في التصنيع العالمي لتعزيز هيكل التجارة الإلكترونية دون المساس بالإنتاجية، أو هيكل الصناعة، أو اتجاهات التوظيف، أو الثقافة السعودية</w:t>
      </w:r>
      <w:sdt>
        <w:sdtPr>
          <w:rPr>
            <w:rtl/>
          </w:rPr>
          <w:id w:val="159790445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AlM213 \l 3073</w:instrText>
          </w:r>
          <w:r>
            <w:rPr>
              <w:rtl/>
            </w:rPr>
            <w:instrText xml:space="preserve"> </w:instrText>
          </w:r>
          <w:r>
            <w:rPr>
              <w:rtl/>
            </w:rPr>
            <w:fldChar w:fldCharType="separate"/>
          </w:r>
          <w:r>
            <w:rPr>
              <w:noProof/>
              <w:rtl/>
            </w:rPr>
            <w:t xml:space="preserve"> </w:t>
          </w:r>
          <w:r>
            <w:rPr>
              <w:rFonts w:hint="cs"/>
              <w:noProof/>
              <w:rtl/>
            </w:rPr>
            <w:t>(</w:t>
          </w:r>
          <w:r>
            <w:rPr>
              <w:rFonts w:hint="cs"/>
              <w:noProof/>
            </w:rPr>
            <w:t>Al-Maliki</w:t>
          </w:r>
          <w:r>
            <w:rPr>
              <w:rFonts w:hint="cs"/>
              <w:noProof/>
              <w:rtl/>
            </w:rPr>
            <w:t>، 2021)</w:t>
          </w:r>
          <w:r>
            <w:rPr>
              <w:rtl/>
            </w:rPr>
            <w:fldChar w:fldCharType="end"/>
          </w:r>
        </w:sdtContent>
      </w:sdt>
      <w:r w:rsidRPr="005E568B">
        <w:rPr>
          <w:rtl/>
        </w:rPr>
        <w:t>.</w:t>
      </w:r>
    </w:p>
    <w:p w14:paraId="7D05419A" w14:textId="77777777" w:rsidR="0050224B" w:rsidRDefault="0050224B" w:rsidP="0050224B">
      <w:pPr>
        <w:pStyle w:val="NoSpacing"/>
        <w:rPr>
          <w:rtl/>
        </w:rPr>
      </w:pPr>
      <w:r w:rsidRPr="00EF1D03">
        <w:rPr>
          <w:rtl/>
        </w:rPr>
        <w:t xml:space="preserve">اعتمد النمو الاقتصادي للمملكة العربية السعودية خلال العقود القليلة الماضية اعتمادًا كبيرًا على عائدات النفط، والتي كانت مدفوعة بارتفاع أسعار النفط والطلب القوي على النفط الخام في السوق الدولية. تهدف رؤية الحكومة السعودية 2030 إلى تقليل هذا الاعتماد وتنويع مصادر دخل الاقتصاد لأن الدولة لم تعد قادرة على الاعتماد فقط على عائدات النفط في ظل تقلبات السوق العالمية. في ضوء ذلك، فإن الغرض من هذه الدراسة هو دراسة كيفية تأثر النمو الاقتصادي </w:t>
      </w:r>
      <w:r w:rsidRPr="00EF1D03">
        <w:rPr>
          <w:rtl/>
        </w:rPr>
        <w:lastRenderedPageBreak/>
        <w:t>غير النفطي في المملكة العربية السعودية بعوامل نمو الابتكار المالي (</w:t>
      </w:r>
      <w:r w:rsidRPr="00EF1D03">
        <w:t>FI</w:t>
      </w:r>
      <w:r w:rsidRPr="00EF1D03">
        <w:rPr>
          <w:rtl/>
        </w:rPr>
        <w:t>)، والانفتاح التجاري غير النفطي (</w:t>
      </w:r>
      <w:r w:rsidRPr="00EF1D03">
        <w:t>TO</w:t>
      </w:r>
      <w:r w:rsidRPr="00EF1D03">
        <w:rPr>
          <w:rtl/>
        </w:rPr>
        <w:t>)، وتكوين رأس المال الإجمالي غير النفطي (</w:t>
      </w:r>
      <w:r w:rsidRPr="00EF1D03">
        <w:t>GCF</w:t>
      </w:r>
      <w:r w:rsidRPr="00EF1D03">
        <w:rPr>
          <w:rtl/>
        </w:rPr>
        <w:t>)، وتنمية رأس المال البشري (</w:t>
      </w:r>
      <w:r w:rsidRPr="00EF1D03">
        <w:t>CH</w:t>
      </w:r>
      <w:r w:rsidRPr="00EF1D03">
        <w:rPr>
          <w:rtl/>
        </w:rPr>
        <w:t>). تهدف هذه الدراسة إلى دراسة الآثار الديناميكية المتماثلة وغير المتماثلة لهذه المحددات التنموية على النمو الاقتصادي غير النفطي في المملكة العربية السعودية وصنع السياسات. لتحقيق ذلك، تُحلل هذه الدراسة بيانات السلاسل الزمنية من عام 1980 إلى عام 2020 باستخدام إطار غرانجر للسببية ومنهجي التأخر الموزع المتماثل وغير المتماثل (</w:t>
      </w:r>
      <w:r w:rsidRPr="00EF1D03">
        <w:t>ARDL</w:t>
      </w:r>
      <w:r w:rsidRPr="00EF1D03">
        <w:rPr>
          <w:rtl/>
        </w:rPr>
        <w:t xml:space="preserve"> و</w:t>
      </w:r>
      <w:r w:rsidRPr="00EF1D03">
        <w:t>NARD</w:t>
      </w:r>
      <w:r w:rsidRPr="00EF1D03">
        <w:rPr>
          <w:rtl/>
        </w:rPr>
        <w:t>) لتقييم الثبات والتكامل المشترك والاتجاهية بين المتغيرات، مع مراعاة نظرية "ثبات العوامل الأخرى" في نموذج تصحيح الخطأ (</w:t>
      </w:r>
      <w:r w:rsidRPr="00EF1D03">
        <w:t>ECM</w:t>
      </w:r>
      <w:r w:rsidRPr="00EF1D03">
        <w:rPr>
          <w:rtl/>
        </w:rPr>
        <w:t xml:space="preserve">)، بالإضافة إلى العلاقات المتماثلة قصيرة وطويلة الأجل بين متغيرات النمو هذه والنمو الاقتصادي غير النفطي. أظهرت نتائج الدراسة أن لكل من </w:t>
      </w:r>
      <w:r w:rsidRPr="00EF1D03">
        <w:t>FI</w:t>
      </w:r>
      <w:r w:rsidRPr="00EF1D03">
        <w:rPr>
          <w:rtl/>
        </w:rPr>
        <w:t xml:space="preserve"> و</w:t>
      </w:r>
      <w:r w:rsidRPr="00EF1D03">
        <w:t>TO</w:t>
      </w:r>
      <w:r w:rsidRPr="00EF1D03">
        <w:rPr>
          <w:rtl/>
        </w:rPr>
        <w:t xml:space="preserve"> و</w:t>
      </w:r>
      <w:r w:rsidRPr="00EF1D03">
        <w:t>GCF</w:t>
      </w:r>
      <w:r w:rsidRPr="00EF1D03">
        <w:rPr>
          <w:rtl/>
        </w:rPr>
        <w:t xml:space="preserve"> و</w:t>
      </w:r>
      <w:r w:rsidRPr="00EF1D03">
        <w:t>CH</w:t>
      </w:r>
      <w:r w:rsidRPr="00EF1D03">
        <w:rPr>
          <w:rtl/>
        </w:rPr>
        <w:t xml:space="preserve"> آثارًا قصيرة وطويلة الأجل على النمو الاقتصادي غير النفطي. علاوة على ذلك، أظهرت تقنية </w:t>
      </w:r>
      <w:r w:rsidRPr="00EF1D03">
        <w:t>NARDL</w:t>
      </w:r>
      <w:r w:rsidRPr="00EF1D03">
        <w:rPr>
          <w:rtl/>
        </w:rPr>
        <w:t xml:space="preserve"> أن التعديلات الإيجابية لكل من </w:t>
      </w:r>
      <w:r w:rsidRPr="00EF1D03">
        <w:t>HC</w:t>
      </w:r>
      <w:r w:rsidRPr="00EF1D03">
        <w:rPr>
          <w:rtl/>
        </w:rPr>
        <w:t xml:space="preserve"> و</w:t>
      </w:r>
      <w:r w:rsidRPr="00EF1D03">
        <w:t>FI</w:t>
      </w:r>
      <w:r w:rsidRPr="00EF1D03">
        <w:rPr>
          <w:rtl/>
        </w:rPr>
        <w:t xml:space="preserve"> و</w:t>
      </w:r>
      <w:r w:rsidRPr="00EF1D03">
        <w:t>TO</w:t>
      </w:r>
      <w:r w:rsidRPr="00EF1D03">
        <w:rPr>
          <w:rtl/>
        </w:rPr>
        <w:t xml:space="preserve"> و</w:t>
      </w:r>
      <w:r w:rsidRPr="00EF1D03">
        <w:t>GCF</w:t>
      </w:r>
      <w:r w:rsidRPr="00EF1D03">
        <w:rPr>
          <w:rtl/>
        </w:rPr>
        <w:t xml:space="preserve"> تُعزز التنمية على المدى الطويل، مما يُؤثر بشكل كبير على الناتج المحلي الإجمالي غير النفطي. كما تُظهر الدراسة أن الحركات السلبية في </w:t>
      </w:r>
      <w:r w:rsidRPr="00EF1D03">
        <w:t>FI</w:t>
      </w:r>
      <w:r w:rsidRPr="00EF1D03">
        <w:rPr>
          <w:rtl/>
        </w:rPr>
        <w:t xml:space="preserve"> أكثر تأثيرًا من الحركات الإيجابية. ومع ذلك، وُجدت في التحليل قصير الأجل نتائج سببية اتجاهية مختلطة. وبالنظر إلى كل شيء، فإن استنتاجات الدراسة تقدم معلومات جديدة مهمة، واقتراحات عملية، وتداعيات لصناع القرار الذين يعملون على ضمان تحقيق المملكة العربية السعودية والمنطقة للنمو الاقتصادي المستدام خارج تجارة النفط</w:t>
      </w:r>
      <w:sdt>
        <w:sdtPr>
          <w:rPr>
            <w:rtl/>
          </w:rPr>
          <w:id w:val="72117567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AlA233 \l 3073</w:instrText>
          </w:r>
          <w:r>
            <w:rPr>
              <w:rtl/>
            </w:rPr>
            <w:instrText xml:space="preserve"> </w:instrText>
          </w:r>
          <w:r>
            <w:rPr>
              <w:rtl/>
            </w:rPr>
            <w:fldChar w:fldCharType="separate"/>
          </w:r>
          <w:r>
            <w:rPr>
              <w:noProof/>
              <w:rtl/>
            </w:rPr>
            <w:t xml:space="preserve"> </w:t>
          </w:r>
          <w:r>
            <w:rPr>
              <w:rFonts w:hint="cs"/>
              <w:noProof/>
              <w:rtl/>
            </w:rPr>
            <w:t>(</w:t>
          </w:r>
          <w:r>
            <w:rPr>
              <w:rFonts w:hint="cs"/>
              <w:noProof/>
            </w:rPr>
            <w:t>Al-Abdi</w:t>
          </w:r>
          <w:r>
            <w:rPr>
              <w:rFonts w:hint="cs"/>
              <w:noProof/>
              <w:rtl/>
            </w:rPr>
            <w:t>، 2023)</w:t>
          </w:r>
          <w:r>
            <w:rPr>
              <w:rtl/>
            </w:rPr>
            <w:fldChar w:fldCharType="end"/>
          </w:r>
        </w:sdtContent>
      </w:sdt>
      <w:r w:rsidRPr="00EF1D03">
        <w:rPr>
          <w:rtl/>
        </w:rPr>
        <w:t>.</w:t>
      </w:r>
    </w:p>
    <w:p w14:paraId="4DB2B8F1" w14:textId="77777777" w:rsidR="0050224B" w:rsidRDefault="0050224B" w:rsidP="0050224B">
      <w:pPr>
        <w:pStyle w:val="NoSpacing"/>
        <w:rPr>
          <w:rtl/>
        </w:rPr>
      </w:pPr>
    </w:p>
    <w:p w14:paraId="5C6DC31A" w14:textId="77777777" w:rsidR="0050224B" w:rsidRDefault="0050224B" w:rsidP="0050224B">
      <w:pPr>
        <w:pStyle w:val="NoSpacing"/>
        <w:rPr>
          <w:rtl/>
        </w:rPr>
      </w:pPr>
    </w:p>
    <w:p w14:paraId="79E29635" w14:textId="77777777" w:rsidR="0050224B" w:rsidRDefault="0050224B" w:rsidP="0050224B">
      <w:pPr>
        <w:pStyle w:val="NoSpacing"/>
        <w:rPr>
          <w:rtl/>
        </w:rPr>
      </w:pPr>
    </w:p>
    <w:p w14:paraId="04A96053" w14:textId="77777777" w:rsidR="0050224B" w:rsidRDefault="0050224B" w:rsidP="0050224B">
      <w:pPr>
        <w:pStyle w:val="NoSpacing"/>
        <w:rPr>
          <w:rtl/>
        </w:rPr>
      </w:pPr>
    </w:p>
    <w:p w14:paraId="70E1075F" w14:textId="77777777" w:rsidR="0050224B" w:rsidRDefault="0050224B" w:rsidP="0050224B">
      <w:pPr>
        <w:pStyle w:val="NoSpacing"/>
        <w:rPr>
          <w:rtl/>
        </w:rPr>
      </w:pPr>
    </w:p>
    <w:p w14:paraId="03E4C2B3" w14:textId="77777777" w:rsidR="0050224B" w:rsidRDefault="0050224B" w:rsidP="0050224B">
      <w:pPr>
        <w:pStyle w:val="NoSpacing"/>
        <w:rPr>
          <w:rtl/>
        </w:rPr>
      </w:pPr>
    </w:p>
    <w:p w14:paraId="7A0DF1D0" w14:textId="77777777" w:rsidR="0050224B" w:rsidRDefault="0050224B" w:rsidP="0050224B">
      <w:pPr>
        <w:pStyle w:val="NoSpacing"/>
        <w:rPr>
          <w:rtl/>
        </w:rPr>
      </w:pPr>
    </w:p>
    <w:p w14:paraId="0402BFE3" w14:textId="77777777" w:rsidR="0050224B" w:rsidRDefault="0050224B" w:rsidP="0050224B">
      <w:pPr>
        <w:pStyle w:val="NoSpacing"/>
        <w:rPr>
          <w:rtl/>
        </w:rPr>
      </w:pPr>
    </w:p>
    <w:p w14:paraId="78881CBC" w14:textId="77777777" w:rsidR="0050224B" w:rsidRDefault="0050224B" w:rsidP="0050224B">
      <w:pPr>
        <w:pStyle w:val="NoSpacing"/>
        <w:rPr>
          <w:rtl/>
        </w:rPr>
      </w:pPr>
    </w:p>
    <w:p w14:paraId="18C35E1F" w14:textId="77777777" w:rsidR="0050224B" w:rsidRDefault="0050224B" w:rsidP="0050224B">
      <w:pPr>
        <w:pStyle w:val="NoSpacing"/>
        <w:rPr>
          <w:rtl/>
        </w:rPr>
      </w:pPr>
    </w:p>
    <w:p w14:paraId="19FE8EA0" w14:textId="77777777" w:rsidR="0050224B" w:rsidRPr="00847E70" w:rsidRDefault="0050224B" w:rsidP="0050224B">
      <w:pPr>
        <w:pStyle w:val="NoSpacing"/>
        <w:rPr>
          <w:rtl/>
        </w:rPr>
      </w:pPr>
    </w:p>
    <w:p w14:paraId="55B24EEA" w14:textId="77777777" w:rsidR="0050224B" w:rsidRPr="00365FB4" w:rsidRDefault="0050224B" w:rsidP="0050224B">
      <w:pPr>
        <w:pStyle w:val="Heading2"/>
        <w:rPr>
          <w:rtl/>
        </w:rPr>
      </w:pPr>
      <w:bookmarkStart w:id="41" w:name="_Toc191138781"/>
      <w:r w:rsidRPr="00365FB4">
        <w:rPr>
          <w:rtl/>
        </w:rPr>
        <w:lastRenderedPageBreak/>
        <w:t>الإطار النظري</w:t>
      </w:r>
      <w:bookmarkEnd w:id="39"/>
      <w:bookmarkEnd w:id="40"/>
      <w:bookmarkEnd w:id="41"/>
    </w:p>
    <w:p w14:paraId="348A4917" w14:textId="77777777" w:rsidR="0050224B" w:rsidRPr="008C6507" w:rsidRDefault="0050224B" w:rsidP="0050224B">
      <w:pPr>
        <w:spacing w:after="0" w:line="360" w:lineRule="auto"/>
      </w:pPr>
    </w:p>
    <w:p w14:paraId="3822C847" w14:textId="77777777" w:rsidR="0050224B" w:rsidRDefault="0050224B" w:rsidP="0050224B">
      <w:pPr>
        <w:spacing w:after="0" w:line="360" w:lineRule="auto"/>
        <w:rPr>
          <w:rtl/>
        </w:rPr>
      </w:pPr>
      <w:r>
        <w:object w:dxaOrig="8805" w:dyaOrig="2505" w14:anchorId="438B9B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4367197" r:id="rId7"/>
        </w:object>
      </w:r>
    </w:p>
    <w:p w14:paraId="296A2C3A" w14:textId="77777777" w:rsidR="0050224B" w:rsidRDefault="0050224B" w:rsidP="0050224B">
      <w:pPr>
        <w:pStyle w:val="Caption"/>
        <w:rPr>
          <w:rtl/>
          <w:lang w:bidi="ar-EG"/>
        </w:rPr>
      </w:pPr>
      <w:bookmarkStart w:id="42" w:name="_Toc191138825"/>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692F7E24" w14:textId="77777777" w:rsidR="0050224B" w:rsidRPr="008D53B8" w:rsidRDefault="0050224B" w:rsidP="0050224B">
      <w:pPr>
        <w:pStyle w:val="NoSpacing"/>
      </w:pPr>
      <w:r w:rsidRPr="008D53B8">
        <w:br/>
      </w:r>
      <w:r w:rsidRPr="008D53B8">
        <w:rPr>
          <w:rtl/>
          <w:lang w:bidi="ar-SA"/>
        </w:rPr>
        <w:t>يعتمد هذا البحث على مجموعة من النظريات الاقتصادية والتنموية التي تفسر العلاقة بين الفعاليات الكبرى والنمو في القطاعات غير النفطية. ويساعد الإطار النظري في تفسير الظاهرة محل الدراسة بشكل منهجي، من خلال الاستناد إلى أسس علمية تُمكّن الباحث من تحليل الواقع واستخلاص النتائج. وفي هذا السياق، تم اعتماد أربع نظريات رئيسية تُشكّل الأساس المفاهيمي للتحليل</w:t>
      </w:r>
      <w:r w:rsidRPr="008D53B8">
        <w:t>:</w:t>
      </w:r>
    </w:p>
    <w:p w14:paraId="5E071972" w14:textId="77777777" w:rsidR="0050224B" w:rsidRPr="008D53B8" w:rsidRDefault="0050224B" w:rsidP="0050224B">
      <w:pPr>
        <w:pStyle w:val="NoSpacing"/>
        <w:rPr>
          <w:rFonts w:ascii="Simplified Arabic" w:hAnsi="Simplified Arabic" w:cs="Simplified Arabic"/>
        </w:rPr>
      </w:pPr>
    </w:p>
    <w:p w14:paraId="5168199B" w14:textId="77777777" w:rsidR="0050224B" w:rsidRPr="008D53B8" w:rsidRDefault="0050224B" w:rsidP="0050224B">
      <w:pPr>
        <w:pStyle w:val="Style1"/>
      </w:pPr>
      <w:r w:rsidRPr="008D53B8">
        <w:rPr>
          <w:rtl/>
          <w:lang w:bidi="ar-SA"/>
        </w:rPr>
        <w:t>نظرية التأثير الاقتصادي للفعاليات الكبرى</w:t>
      </w:r>
      <w:r w:rsidRPr="008D53B8">
        <w:t xml:space="preserve"> (Economic Impact Theory of Mega Events)</w:t>
      </w:r>
    </w:p>
    <w:p w14:paraId="21AB3E6E" w14:textId="77777777" w:rsidR="0050224B" w:rsidRPr="008D53B8" w:rsidRDefault="0050224B" w:rsidP="0050224B">
      <w:pPr>
        <w:pStyle w:val="NoSpacing"/>
      </w:pPr>
      <w:r w:rsidRPr="008D53B8">
        <w:rPr>
          <w:rtl/>
          <w:lang w:bidi="ar-SA"/>
        </w:rPr>
        <w:t>تُعد هذه النظرية من أكثر الإطارات النظرية شيوعاً في تحليل الآثار الاقتصادية للفعاليات الكبرى، مثل المهرجانات، والبطولات الدولية، والمعارض الكبرى. تفترض النظرية أن تنظيم مثل هذه الفعاليات يُحدث سلسلة من الآثار الاقتصادية المباشرة وغير المباشرة، تشمل زيادة الإنفاق المحلي، وتحفيز الطلب على قطاعات متعددة كالسياحة والضيافة والتجزئة والنقل. وتُميز هذه النظرية بين الأثر الاقتصادي المباشر، مثل عائدات التذاكر والفنادق والمطاعم، والأثر غير المباشر، مثل تحفيز سلاسل الإمداد المحلية، وخلق فرص استثمارية جديدة. كما تؤكد على أهمية قياس "الأثر المضاعف" الذي يُحدثه الإنفاق المرتبط بالفعالية على الاقتصاد المحلي. وتُستخدم هذه النظرية كأداة لتحليل كفاءة الاستثمار في الفعاليات، وتحديد مدى استحقاقها للدعم الحكومي أو الاستثماري</w:t>
      </w:r>
      <w:sdt>
        <w:sdtPr>
          <w:rPr>
            <w:rFonts w:hint="cs"/>
            <w:rtl/>
            <w:lang w:bidi="ar-SA"/>
          </w:rPr>
          <w:id w:val="-1179736403"/>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Per18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Peric</w:t>
          </w:r>
          <w:r>
            <w:rPr>
              <w:rFonts w:hint="cs"/>
              <w:noProof/>
              <w:rtl/>
            </w:rPr>
            <w:t>، 2018)</w:t>
          </w:r>
          <w:r>
            <w:rPr>
              <w:rtl/>
              <w:lang w:bidi="ar-SA"/>
            </w:rPr>
            <w:fldChar w:fldCharType="end"/>
          </w:r>
        </w:sdtContent>
      </w:sdt>
      <w:r>
        <w:rPr>
          <w:rFonts w:hint="cs"/>
          <w:rtl/>
          <w:lang w:bidi="ar-SA"/>
        </w:rPr>
        <w:t xml:space="preserve"> </w:t>
      </w:r>
      <w:r w:rsidRPr="008D53B8">
        <w:t>.</w:t>
      </w:r>
    </w:p>
    <w:p w14:paraId="4186C3C0" w14:textId="77777777" w:rsidR="0050224B" w:rsidRPr="008D53B8" w:rsidRDefault="0050224B" w:rsidP="0050224B">
      <w:pPr>
        <w:pStyle w:val="NoSpacing"/>
        <w:rPr>
          <w:rFonts w:ascii="Simplified Arabic" w:hAnsi="Simplified Arabic" w:cs="Simplified Arabic"/>
        </w:rPr>
      </w:pPr>
    </w:p>
    <w:p w14:paraId="6A1062A8" w14:textId="77777777" w:rsidR="0050224B" w:rsidRPr="008D53B8" w:rsidRDefault="0050224B" w:rsidP="0050224B">
      <w:pPr>
        <w:pStyle w:val="Style1"/>
      </w:pPr>
      <w:r w:rsidRPr="008D53B8">
        <w:rPr>
          <w:rtl/>
        </w:rPr>
        <w:t>نظرية رأس المال الاجتماعي</w:t>
      </w:r>
      <w:r w:rsidRPr="008D53B8">
        <w:t xml:space="preserve"> (Social Capital Theory)</w:t>
      </w:r>
    </w:p>
    <w:p w14:paraId="11A5B2EE" w14:textId="77777777" w:rsidR="0050224B" w:rsidRPr="008D53B8" w:rsidRDefault="0050224B" w:rsidP="0050224B">
      <w:pPr>
        <w:pStyle w:val="NoSpacing"/>
      </w:pPr>
      <w:r w:rsidRPr="008D53B8">
        <w:rPr>
          <w:rtl/>
          <w:lang w:bidi="ar-SA"/>
        </w:rPr>
        <w:lastRenderedPageBreak/>
        <w:t>تركز هذه النظرية على البُعد الاجتماعي للفعاليات الكبرى، وترى أن هذه الفعاليات لا تُسهم فقط في النمو الاقتصادي، بل تساهم أيضاً في بناء شبكات من العلاقات الاجتماعية والثقافية التي تُعزز من التماسك المجتمعي، وتُسهم في خلق بيئة أكثر ملاءمة للنمو الاقتصادي المستدام. وفقاً لهذه النظرية، فإن الفعاليات تُسهم في تعزيز الثقة بين الأفراد، ورفع مستوى المشاركة المجتمعية، وتسهيل التعاون بين القطاعين العام والخاص. كما أنها تُمكن الجهات الفاعلة المحلية من بناء شراكات جديدة، وتطوير علاقات مع المستثمرين أو الجهات الدولية. وعلى المدى الطويل، يُمكن أن يؤدي تراكم رأس المال الاجتماعي الناتج عن هذه الفعاليات إلى بيئة أعمال أكثر حيوية واستقراراً، ما ينعكس إيجاباً على القطاعات غير النفطية</w:t>
      </w:r>
      <w:sdt>
        <w:sdtPr>
          <w:rPr>
            <w:rFonts w:hint="cs"/>
            <w:rtl/>
            <w:lang w:bidi="ar-SA"/>
          </w:rPr>
          <w:id w:val="-847703958"/>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Nya24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Nyamari</w:t>
          </w:r>
          <w:r>
            <w:rPr>
              <w:rFonts w:hint="cs"/>
              <w:noProof/>
              <w:rtl/>
            </w:rPr>
            <w:t>، 2024)</w:t>
          </w:r>
          <w:r>
            <w:rPr>
              <w:rtl/>
              <w:lang w:bidi="ar-SA"/>
            </w:rPr>
            <w:fldChar w:fldCharType="end"/>
          </w:r>
        </w:sdtContent>
      </w:sdt>
      <w:r>
        <w:rPr>
          <w:rFonts w:hint="cs"/>
          <w:rtl/>
          <w:lang w:bidi="ar-SA"/>
        </w:rPr>
        <w:t xml:space="preserve"> </w:t>
      </w:r>
      <w:r>
        <w:t xml:space="preserve"> </w:t>
      </w:r>
      <w:r w:rsidRPr="008D53B8">
        <w:t>.</w:t>
      </w:r>
    </w:p>
    <w:p w14:paraId="1CCE1D85" w14:textId="77777777" w:rsidR="0050224B" w:rsidRPr="008D53B8" w:rsidRDefault="0050224B" w:rsidP="0050224B">
      <w:pPr>
        <w:pStyle w:val="NoSpacing"/>
        <w:rPr>
          <w:rFonts w:ascii="Simplified Arabic" w:hAnsi="Simplified Arabic" w:cs="Simplified Arabic"/>
        </w:rPr>
      </w:pPr>
    </w:p>
    <w:p w14:paraId="2A4F2E9D" w14:textId="77777777" w:rsidR="0050224B" w:rsidRPr="008D53B8" w:rsidRDefault="0050224B" w:rsidP="0050224B">
      <w:pPr>
        <w:pStyle w:val="Style1"/>
      </w:pPr>
      <w:r w:rsidRPr="008D53B8">
        <w:rPr>
          <w:rtl/>
          <w:lang w:bidi="ar-SA"/>
        </w:rPr>
        <w:t>نظرية النمو الإقليمي</w:t>
      </w:r>
      <w:r w:rsidRPr="008D53B8">
        <w:t xml:space="preserve"> (Regional Growth Theory)</w:t>
      </w:r>
    </w:p>
    <w:p w14:paraId="3ABC18D3" w14:textId="77777777" w:rsidR="0050224B" w:rsidRPr="008D53B8" w:rsidRDefault="0050224B" w:rsidP="0050224B">
      <w:pPr>
        <w:pStyle w:val="NoSpacing"/>
      </w:pPr>
      <w:r w:rsidRPr="008D53B8">
        <w:rPr>
          <w:rtl/>
          <w:lang w:bidi="ar-SA"/>
        </w:rPr>
        <w:t>تُركّز هذه النظرية على تحليل كيفية تأثير الفعاليات الكبرى على التنمية الاقتصادية على مستوى المناطق أو المدن. وتُفيد بأن تنظيم الفعاليات الكبرى يُمكن أن يؤدي إلى توزيع أفضل للنمو الاقتصادي، خاصة إذا تم تنظيمها خارج العواصم والمراكز الحضرية الكبرى. وتُبرز هذه النظرية أهمية البنية التحتية الإقليمية، والمزايا النسبية لكل منطقة، وقدرتها على استقطاب الزوار والمستثمرين. وتُساهم الفعاليات في تحفيز النمو المحلي من خلال تنشيط الأسواق الإقليمية، وتحسين الخدمات، وجذب الاستثمارات الخاصة، مما يقلل من التركز الاقتصادي ويعزز التنمية المتوازنة. وتعد هذه النظرية ذات أهمية خاصة في السياق السعودي، حيث تسعى الدولة إلى تحقيق التوازن التنموي بين مختلف المناطق من خلال المواسم السياحية والمهرجانات الثقافية في مدن متنوعة</w:t>
      </w:r>
      <w:sdt>
        <w:sdtPr>
          <w:rPr>
            <w:rFonts w:hint="cs"/>
            <w:rtl/>
            <w:lang w:bidi="ar-SA"/>
          </w:rPr>
          <w:id w:val="1883442787"/>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Din15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Dinc</w:t>
          </w:r>
          <w:r>
            <w:rPr>
              <w:rFonts w:hint="cs"/>
              <w:noProof/>
              <w:rtl/>
            </w:rPr>
            <w:t>، 2015)</w:t>
          </w:r>
          <w:r>
            <w:rPr>
              <w:rtl/>
              <w:lang w:bidi="ar-SA"/>
            </w:rPr>
            <w:fldChar w:fldCharType="end"/>
          </w:r>
        </w:sdtContent>
      </w:sdt>
      <w:r>
        <w:rPr>
          <w:rFonts w:hint="cs"/>
          <w:rtl/>
          <w:lang w:bidi="ar-SA"/>
        </w:rPr>
        <w:t xml:space="preserve"> </w:t>
      </w:r>
      <w:r w:rsidRPr="008D53B8">
        <w:t>.</w:t>
      </w:r>
    </w:p>
    <w:p w14:paraId="5D111DAF" w14:textId="77777777" w:rsidR="0050224B" w:rsidRPr="008D53B8" w:rsidRDefault="0050224B" w:rsidP="0050224B">
      <w:pPr>
        <w:pStyle w:val="NoSpacing"/>
        <w:rPr>
          <w:rFonts w:ascii="Simplified Arabic" w:hAnsi="Simplified Arabic" w:cs="Simplified Arabic"/>
        </w:rPr>
      </w:pPr>
    </w:p>
    <w:p w14:paraId="74ACA3E7" w14:textId="77777777" w:rsidR="0050224B" w:rsidRPr="008D53B8" w:rsidRDefault="0050224B" w:rsidP="0050224B">
      <w:pPr>
        <w:pStyle w:val="Style1"/>
      </w:pPr>
      <w:r w:rsidRPr="008D53B8">
        <w:rPr>
          <w:rtl/>
          <w:lang w:bidi="ar-SA"/>
        </w:rPr>
        <w:t>نظرية التنمية المستدامة</w:t>
      </w:r>
      <w:r w:rsidRPr="008D53B8">
        <w:t xml:space="preserve"> (Sustainable Development Theory)</w:t>
      </w:r>
    </w:p>
    <w:p w14:paraId="1E18D340" w14:textId="77777777" w:rsidR="0050224B" w:rsidRPr="008D53B8" w:rsidRDefault="0050224B" w:rsidP="0050224B">
      <w:pPr>
        <w:pStyle w:val="NoSpacing"/>
        <w:rPr>
          <w:rFonts w:hint="cs"/>
          <w:rtl/>
        </w:rPr>
      </w:pPr>
      <w:r w:rsidRPr="008D53B8">
        <w:rPr>
          <w:rtl/>
          <w:lang w:bidi="ar-SA"/>
        </w:rPr>
        <w:t xml:space="preserve">تُركّز هذه النظرية على البعد الشمولي لتنمية الاقتصاد، حيث ترى أن الفعاليات الكبرى ينبغي ألا تُقيم فقط من منظور اقتصادي قصير المدى، بل من خلال قدرتها على إحداث تغيير مستدام في البنية الاقتصادية والاجتماعية والبيئية. وفقاً لهذه النظرية، فإن نجاح الفعالية يُقاس بمدى مساهمتها في تحقيق أهداف التنمية المستدامة، مثل خلق فرص عمل دائمة، وتحسين جودة الحياة، والحفاظ على الموارد، وتعزيز الثقافة المحلية. وتُبرز هذه النظرية الحاجة إلى دمج الفعاليات الكبرى ضمن الخطط الاستراتيجية الوطنية طويلة المدى، وتوفير مؤشرات تقييم تقيس الأثر البيئي والاجتماعي إلى جانب </w:t>
      </w:r>
      <w:r w:rsidRPr="008D53B8">
        <w:rPr>
          <w:rtl/>
          <w:lang w:bidi="ar-SA"/>
        </w:rPr>
        <w:lastRenderedPageBreak/>
        <w:t xml:space="preserve">العوائد الاقتصادية. وتنسجم هذه النظرية بشكل كبير مع رؤية المملكة 2030 التي تسعى إلى بناء اقتصاد مزدهر ومجتمع حيوي وبيئة </w:t>
      </w:r>
      <w:r w:rsidRPr="008D53B8">
        <w:rPr>
          <w:rFonts w:hint="cs"/>
          <w:rtl/>
          <w:lang w:bidi="ar-SA"/>
        </w:rPr>
        <w:t>مستدامة</w:t>
      </w:r>
      <w:r>
        <w:t xml:space="preserve"> </w:t>
      </w:r>
      <w:sdt>
        <w:sdtPr>
          <w:rPr>
            <w:rtl/>
          </w:rPr>
          <w:id w:val="-9614081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Sha20 \l 3073</w:instrText>
          </w:r>
          <w:r>
            <w:rPr>
              <w:rtl/>
            </w:rPr>
            <w:instrText xml:space="preserve"> </w:instrText>
          </w:r>
          <w:r>
            <w:rPr>
              <w:rtl/>
            </w:rPr>
            <w:fldChar w:fldCharType="separate"/>
          </w:r>
          <w:r>
            <w:rPr>
              <w:rFonts w:hint="cs"/>
              <w:noProof/>
              <w:rtl/>
            </w:rPr>
            <w:t>(</w:t>
          </w:r>
          <w:r>
            <w:rPr>
              <w:rFonts w:hint="cs"/>
              <w:noProof/>
            </w:rPr>
            <w:t>Sharma</w:t>
          </w:r>
          <w:r>
            <w:rPr>
              <w:rFonts w:hint="cs"/>
              <w:noProof/>
              <w:rtl/>
            </w:rPr>
            <w:t>، 2020)</w:t>
          </w:r>
          <w:r>
            <w:rPr>
              <w:rtl/>
            </w:rPr>
            <w:fldChar w:fldCharType="end"/>
          </w:r>
        </w:sdtContent>
      </w:sdt>
      <w:r>
        <w:rPr>
          <w:rFonts w:hint="cs"/>
          <w:rtl/>
        </w:rPr>
        <w:t xml:space="preserve"> .</w:t>
      </w:r>
    </w:p>
    <w:p w14:paraId="396CFB51" w14:textId="77777777" w:rsidR="0050224B" w:rsidRPr="00365FB4" w:rsidRDefault="0050224B" w:rsidP="0050224B">
      <w:pPr>
        <w:pStyle w:val="NoSpacing"/>
        <w:rPr>
          <w:rFonts w:ascii="Simplified Arabic" w:hAnsi="Simplified Arabic" w:cs="Simplified Arabic"/>
          <w:rtl/>
        </w:rPr>
      </w:pPr>
    </w:p>
    <w:p w14:paraId="24F22DB1" w14:textId="77777777" w:rsidR="0050224B" w:rsidRPr="00365FB4" w:rsidRDefault="0050224B" w:rsidP="0050224B">
      <w:pPr>
        <w:spacing w:line="240" w:lineRule="auto"/>
        <w:jc w:val="both"/>
        <w:rPr>
          <w:rFonts w:ascii="Simplified Arabic" w:hAnsi="Simplified Arabic" w:cs="Simplified Arabic"/>
          <w:sz w:val="28"/>
          <w:szCs w:val="28"/>
          <w:rtl/>
        </w:rPr>
      </w:pPr>
    </w:p>
    <w:p w14:paraId="79CF9BEA" w14:textId="77777777" w:rsidR="0050224B" w:rsidRPr="00365FB4" w:rsidRDefault="0050224B" w:rsidP="0050224B">
      <w:pPr>
        <w:spacing w:line="240" w:lineRule="auto"/>
        <w:jc w:val="both"/>
        <w:rPr>
          <w:rFonts w:ascii="Simplified Arabic" w:hAnsi="Simplified Arabic" w:cs="Simplified Arabic"/>
          <w:sz w:val="28"/>
          <w:szCs w:val="28"/>
          <w:rtl/>
        </w:rPr>
      </w:pPr>
    </w:p>
    <w:p w14:paraId="2C9D5E30" w14:textId="77777777" w:rsidR="0050224B" w:rsidRPr="00365FB4" w:rsidRDefault="0050224B" w:rsidP="0050224B">
      <w:pPr>
        <w:spacing w:line="240" w:lineRule="auto"/>
        <w:jc w:val="both"/>
        <w:rPr>
          <w:rFonts w:ascii="Simplified Arabic" w:hAnsi="Simplified Arabic" w:cs="Simplified Arabic"/>
          <w:sz w:val="28"/>
          <w:szCs w:val="28"/>
          <w:rtl/>
        </w:rPr>
      </w:pPr>
    </w:p>
    <w:p w14:paraId="2C332CC8" w14:textId="77777777" w:rsidR="0050224B" w:rsidRPr="00365FB4" w:rsidRDefault="0050224B" w:rsidP="0050224B">
      <w:pPr>
        <w:spacing w:line="240" w:lineRule="auto"/>
        <w:jc w:val="both"/>
        <w:rPr>
          <w:rFonts w:ascii="Simplified Arabic" w:hAnsi="Simplified Arabic" w:cs="Simplified Arabic"/>
          <w:sz w:val="28"/>
          <w:szCs w:val="28"/>
          <w:rtl/>
        </w:rPr>
      </w:pPr>
    </w:p>
    <w:p w14:paraId="4249CA39" w14:textId="77777777" w:rsidR="0050224B" w:rsidRPr="00365FB4" w:rsidRDefault="0050224B" w:rsidP="0050224B">
      <w:pPr>
        <w:spacing w:line="240" w:lineRule="auto"/>
        <w:jc w:val="both"/>
        <w:rPr>
          <w:rFonts w:ascii="Simplified Arabic" w:hAnsi="Simplified Arabic" w:cs="Simplified Arabic"/>
          <w:sz w:val="28"/>
          <w:szCs w:val="28"/>
          <w:rtl/>
        </w:rPr>
      </w:pPr>
    </w:p>
    <w:p w14:paraId="23DFD72F" w14:textId="77777777" w:rsidR="0050224B" w:rsidRPr="00365FB4" w:rsidRDefault="0050224B" w:rsidP="0050224B">
      <w:pPr>
        <w:spacing w:line="240" w:lineRule="auto"/>
        <w:jc w:val="both"/>
        <w:rPr>
          <w:rFonts w:ascii="Simplified Arabic" w:hAnsi="Simplified Arabic" w:cs="Simplified Arabic"/>
          <w:sz w:val="28"/>
          <w:szCs w:val="28"/>
          <w:rtl/>
        </w:rPr>
      </w:pPr>
    </w:p>
    <w:p w14:paraId="5D4EDDD2" w14:textId="77777777" w:rsidR="0050224B" w:rsidRPr="00365FB4" w:rsidRDefault="0050224B" w:rsidP="0050224B">
      <w:pPr>
        <w:spacing w:line="240" w:lineRule="auto"/>
        <w:jc w:val="both"/>
        <w:rPr>
          <w:rFonts w:ascii="Simplified Arabic" w:hAnsi="Simplified Arabic" w:cs="Simplified Arabic"/>
          <w:sz w:val="28"/>
          <w:szCs w:val="28"/>
          <w:rtl/>
        </w:rPr>
      </w:pPr>
    </w:p>
    <w:p w14:paraId="35A0A086" w14:textId="77777777" w:rsidR="0050224B" w:rsidRDefault="0050224B" w:rsidP="0050224B">
      <w:pPr>
        <w:rPr>
          <w:rtl/>
        </w:rPr>
      </w:pPr>
    </w:p>
    <w:p w14:paraId="6E3B0959" w14:textId="77777777" w:rsidR="0050224B" w:rsidRDefault="0050224B" w:rsidP="0050224B">
      <w:pPr>
        <w:rPr>
          <w:rtl/>
        </w:rPr>
      </w:pPr>
    </w:p>
    <w:p w14:paraId="69E27EE9" w14:textId="77777777" w:rsidR="0050224B" w:rsidRDefault="0050224B" w:rsidP="0050224B">
      <w:pPr>
        <w:rPr>
          <w:rtl/>
        </w:rPr>
      </w:pPr>
    </w:p>
    <w:p w14:paraId="657148F3"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C0BD8"/>
    <w:multiLevelType w:val="hybridMultilevel"/>
    <w:tmpl w:val="19866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943D5F"/>
    <w:multiLevelType w:val="multilevel"/>
    <w:tmpl w:val="34B0D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DC60E4"/>
    <w:multiLevelType w:val="hybridMultilevel"/>
    <w:tmpl w:val="22E063E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53D58B0"/>
    <w:multiLevelType w:val="hybridMultilevel"/>
    <w:tmpl w:val="598249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EA3CA3"/>
    <w:multiLevelType w:val="hybridMultilevel"/>
    <w:tmpl w:val="0C2EAF0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66D12"/>
    <w:multiLevelType w:val="hybridMultilevel"/>
    <w:tmpl w:val="9070A2B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6087402">
    <w:abstractNumId w:val="5"/>
  </w:num>
  <w:num w:numId="2" w16cid:durableId="2000888857">
    <w:abstractNumId w:val="4"/>
  </w:num>
  <w:num w:numId="3" w16cid:durableId="1208034483">
    <w:abstractNumId w:val="2"/>
  </w:num>
  <w:num w:numId="4" w16cid:durableId="1607082362">
    <w:abstractNumId w:val="0"/>
  </w:num>
  <w:num w:numId="5" w16cid:durableId="1276862826">
    <w:abstractNumId w:val="1"/>
  </w:num>
  <w:num w:numId="6" w16cid:durableId="1984191808">
    <w:abstractNumId w:val="3"/>
  </w:num>
  <w:num w:numId="7" w16cid:durableId="4802728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CC8"/>
    <w:rsid w:val="000364AD"/>
    <w:rsid w:val="00074CC8"/>
    <w:rsid w:val="002E45BD"/>
    <w:rsid w:val="00331F56"/>
    <w:rsid w:val="00494594"/>
    <w:rsid w:val="004978DA"/>
    <w:rsid w:val="004F6740"/>
    <w:rsid w:val="0050224B"/>
    <w:rsid w:val="008A3771"/>
    <w:rsid w:val="00A35F68"/>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33B23-209F-4888-8E82-85DF7DBAE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24B"/>
    <w:pPr>
      <w:bidi/>
      <w:spacing w:line="259" w:lineRule="auto"/>
    </w:pPr>
    <w:rPr>
      <w:sz w:val="22"/>
      <w:szCs w:val="22"/>
    </w:rPr>
  </w:style>
  <w:style w:type="paragraph" w:styleId="Heading1">
    <w:name w:val="heading 1"/>
    <w:basedOn w:val="Normal"/>
    <w:next w:val="Normal"/>
    <w:link w:val="Heading1Char"/>
    <w:uiPriority w:val="9"/>
    <w:qFormat/>
    <w:rsid w:val="00074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4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CC8"/>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074CC8"/>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074CC8"/>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074CC8"/>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074CC8"/>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074CC8"/>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074CC8"/>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074CC8"/>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074CC8"/>
    <w:rPr>
      <w:rFonts w:eastAsiaTheme="majorEastAsia" w:cstheme="majorBidi"/>
      <w:noProof/>
      <w:color w:val="272727" w:themeColor="text1" w:themeTint="D8"/>
    </w:rPr>
  </w:style>
  <w:style w:type="paragraph" w:styleId="Title">
    <w:name w:val="Title"/>
    <w:basedOn w:val="Normal"/>
    <w:next w:val="Normal"/>
    <w:link w:val="TitleChar"/>
    <w:uiPriority w:val="10"/>
    <w:qFormat/>
    <w:rsid w:val="00074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CC8"/>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074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CC8"/>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074CC8"/>
    <w:pPr>
      <w:spacing w:before="160"/>
      <w:jc w:val="center"/>
    </w:pPr>
    <w:rPr>
      <w:i/>
      <w:iCs/>
      <w:color w:val="404040" w:themeColor="text1" w:themeTint="BF"/>
    </w:rPr>
  </w:style>
  <w:style w:type="character" w:customStyle="1" w:styleId="QuoteChar">
    <w:name w:val="Quote Char"/>
    <w:basedOn w:val="DefaultParagraphFont"/>
    <w:link w:val="Quote"/>
    <w:uiPriority w:val="29"/>
    <w:rsid w:val="00074CC8"/>
    <w:rPr>
      <w:i/>
      <w:iCs/>
      <w:noProof/>
      <w:color w:val="404040" w:themeColor="text1" w:themeTint="BF"/>
    </w:rPr>
  </w:style>
  <w:style w:type="paragraph" w:styleId="ListParagraph">
    <w:name w:val="List Paragraph"/>
    <w:basedOn w:val="Normal"/>
    <w:uiPriority w:val="34"/>
    <w:qFormat/>
    <w:rsid w:val="00074CC8"/>
    <w:pPr>
      <w:ind w:left="720"/>
      <w:contextualSpacing/>
    </w:pPr>
  </w:style>
  <w:style w:type="character" w:styleId="IntenseEmphasis">
    <w:name w:val="Intense Emphasis"/>
    <w:basedOn w:val="DefaultParagraphFont"/>
    <w:uiPriority w:val="21"/>
    <w:qFormat/>
    <w:rsid w:val="00074CC8"/>
    <w:rPr>
      <w:i/>
      <w:iCs/>
      <w:color w:val="0F4761" w:themeColor="accent1" w:themeShade="BF"/>
    </w:rPr>
  </w:style>
  <w:style w:type="paragraph" w:styleId="IntenseQuote">
    <w:name w:val="Intense Quote"/>
    <w:basedOn w:val="Normal"/>
    <w:next w:val="Normal"/>
    <w:link w:val="IntenseQuoteChar"/>
    <w:uiPriority w:val="30"/>
    <w:qFormat/>
    <w:rsid w:val="00074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CC8"/>
    <w:rPr>
      <w:i/>
      <w:iCs/>
      <w:noProof/>
      <w:color w:val="0F4761" w:themeColor="accent1" w:themeShade="BF"/>
    </w:rPr>
  </w:style>
  <w:style w:type="character" w:styleId="IntenseReference">
    <w:name w:val="Intense Reference"/>
    <w:basedOn w:val="DefaultParagraphFont"/>
    <w:uiPriority w:val="32"/>
    <w:qFormat/>
    <w:rsid w:val="00074CC8"/>
    <w:rPr>
      <w:b/>
      <w:bCs/>
      <w:smallCaps/>
      <w:color w:val="0F4761" w:themeColor="accent1" w:themeShade="BF"/>
      <w:spacing w:val="5"/>
    </w:rPr>
  </w:style>
  <w:style w:type="paragraph" w:styleId="Caption">
    <w:name w:val="caption"/>
    <w:basedOn w:val="Normal"/>
    <w:next w:val="Normal"/>
    <w:uiPriority w:val="35"/>
    <w:unhideWhenUsed/>
    <w:qFormat/>
    <w:rsid w:val="0050224B"/>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50224B"/>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50224B"/>
    <w:pPr>
      <w:numPr>
        <w:numId w:val="1"/>
      </w:numPr>
    </w:pPr>
    <w:rPr>
      <w:b/>
      <w:bCs/>
    </w:rPr>
  </w:style>
  <w:style w:type="character" w:customStyle="1" w:styleId="NoSpacingChar">
    <w:name w:val="No Spacing Char"/>
    <w:basedOn w:val="DefaultParagraphFont"/>
    <w:link w:val="NoSpacing"/>
    <w:uiPriority w:val="1"/>
    <w:rsid w:val="0050224B"/>
    <w:rPr>
      <w:rFonts w:ascii="Sakkal Majalla" w:hAnsi="Sakkal Majalla" w:cs="Sakkal Majalla"/>
      <w:sz w:val="28"/>
      <w:szCs w:val="28"/>
      <w:lang w:bidi="ar-EG"/>
    </w:rPr>
  </w:style>
  <w:style w:type="character" w:customStyle="1" w:styleId="Style1Char">
    <w:name w:val="Style1 Char"/>
    <w:basedOn w:val="NoSpacingChar"/>
    <w:link w:val="Style1"/>
    <w:rsid w:val="0050224B"/>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Nit231</b:Tag>
    <b:SourceType>JournalArticle</b:SourceType>
    <b:Guid>{8BA6AA20-0138-4743-93DE-BFB9141D5703}</b:Guid>
    <b:Author>
      <b:Author>
        <b:NameList>
          <b:Person>
            <b:Last>Nitish</b:Last>
            <b:First>Kumar</b:First>
          </b:Person>
        </b:NameList>
      </b:Author>
    </b:Author>
    <b:Title>Saudi Arabia’s “Vision 2030”: Structural Reforms and Their Challenges</b:Title>
    <b:Year>2023</b:Year>
    <b:URL>https://www.researchgate.net/publication/372231567_Saudi_Arabia's_Vision_2030_Structural_Reforms_and_Their_Challenges</b:URL>
    <b:RefOrder>1</b:RefOrder>
  </b:Source>
  <b:Source>
    <b:Tag>Sch13</b:Tag>
    <b:SourceType>JournalArticle</b:SourceType>
    <b:Guid>{296657D9-BA91-4A5A-84F4-82D018A2F002}</b:Guid>
    <b:Author>
      <b:Author>
        <b:NameList>
          <b:Person>
            <b:Last>Schilirò</b:Last>
            <b:First>Daniele</b:First>
          </b:Person>
        </b:NameList>
      </b:Author>
    </b:Author>
    <b:Title>Diversification and development of the United Arab Emirates' economy</b:Title>
    <b:Year>2013</b:Year>
    <b:URL>https://www.researchgate.net/publication/256378376_Diversification_and_development_of_the_United_Arab_Emirates'_economy</b:URL>
    <b:RefOrder>2</b:RefOrder>
  </b:Source>
  <b:Source>
    <b:Tag>Ena231</b:Tag>
    <b:SourceType>JournalArticle</b:SourceType>
    <b:Guid>{E8A04EBA-777F-416F-BBB5-B3DFF4065F0F}</b:Guid>
    <b:Author>
      <b:Author>
        <b:NameList>
          <b:Person>
            <b:Last>Enaifoghe</b:Last>
            <b:First>Andrew</b:First>
          </b:Person>
        </b:NameList>
      </b:Author>
    </b:Author>
    <b:Title>Conceptualizing the role of entrepreneurship and SME in fostering South Africa's local economic development</b:Title>
    <b:Year>2023</b:Year>
    <b:URL>https://www.researchgate.net/publication/371679724_Conceptualizing_the_role_of_entrepreneurship_and_SME_in_fostering_South_Africa's_local_economic_development</b:URL>
    <b:RefOrder>3</b:RefOrder>
  </b:Source>
  <b:Source>
    <b:Tag>Alh245</b:Tag>
    <b:SourceType>JournalArticle</b:SourceType>
    <b:Guid>{86FD89D1-AA2D-48FC-B8E3-0887E2D1448C}</b:Guid>
    <b:Author>
      <b:Author>
        <b:NameList>
          <b:Person>
            <b:Last>Alharethi</b:Last>
            <b:First>Thaib</b:First>
          </b:Person>
        </b:NameList>
      </b:Author>
    </b:Author>
    <b:Title>Charting the Sustainable Course: Navigating the Saudi Arabia Medical and Wellness Tourism Roadmap with Business Model Canvas (BMC)</b:Title>
    <b:Year>2024</b:Year>
    <b:URL>https://www.researchgate.net/publication/380388884_Charting_the_Sustainable_Course_Navigating_the_Saudi_Arabia_Medical_and_Wellness_Tourism_Roadmap_with_Business_Model_Canvas_BMC</b:URL>
    <b:RefOrder>4</b:RefOrder>
  </b:Source>
  <b:Source>
    <b:Tag>Rai24</b:Tag>
    <b:SourceType>JournalArticle</b:SourceType>
    <b:Guid>{A30ACE38-6C68-4E50-9062-63483A99D651}</b:Guid>
    <b:Author>
      <b:Author>
        <b:NameList>
          <b:Person>
            <b:Last>Raid</b:Last>
            <b:First>Moodhi</b:First>
          </b:Person>
        </b:NameList>
      </b:Author>
    </b:Author>
    <b:Title>The non-oil institutional sectors and economic growth in Saudi Arabia</b:Title>
    <b:Year>2024</b:Year>
    <b:URL>https://www.researchgate.net/publication/378372219_The_non-oil_institutional_sectors_and_economic_growth_in_Saudi_Arabia</b:URL>
    <b:RefOrder>5</b:RefOrder>
  </b:Source>
  <b:Source>
    <b:Tag>Kha243</b:Tag>
    <b:SourceType>JournalArticle</b:SourceType>
    <b:Guid>{75358507-32B1-493F-9289-4588DB585043}</b:Guid>
    <b:Author>
      <b:Author>
        <b:NameList>
          <b:Person>
            <b:Last>Khayat</b:Last>
            <b:First>Sahar</b:First>
          </b:Person>
        </b:NameList>
      </b:Author>
    </b:Author>
    <b:Title>The Impact of Non-Oil Exports on the Economic Growth in Saudi Arabia: An Empirical Analysis</b:Title>
    <b:Year>2024</b:Year>
    <b:URL>https://www.researchgate.net/publication/380726782_The_Impact_of_Non-Oil_Exports_on_the_Economic_Growth_in_Saudi_Arabia_An_Empirical_Analysis</b:URL>
    <b:RefOrder>6</b:RefOrder>
  </b:Source>
  <b:Source>
    <b:Tag>Ala256</b:Tag>
    <b:SourceType>JournalArticle</b:SourceType>
    <b:Guid>{17085560-925A-45E4-97A3-115980E48E94}</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Ndh24</b:Tag>
    <b:SourceType>JournalArticle</b:SourceType>
    <b:Guid>{07D3E5A7-9BEA-424F-B9CE-64CA614A71CF}</b:Guid>
    <b:Author>
      <b:Author>
        <b:NameList>
          <b:Person>
            <b:Last>Ndhlovu</b:Last>
            <b:First>Emmanuel</b:First>
          </b:Person>
        </b:NameList>
      </b:Author>
    </b:Author>
    <b:Title>Tourism and Hospitality for Sustainable Development : Volume Three: Implications for Customers and Employees of Tourism Businesses</b:Title>
    <b:Year>2024</b:Year>
    <b:URL>https://www.researchgate.net/publication/384028653_Tourism_and_Hospitality_for_Sustainable_Development_Volume_Three_Implications_for_Customers_and_Employees_of_Tourism_Businesses</b:URL>
    <b:RefOrder>8</b:RefOrder>
  </b:Source>
  <b:Source>
    <b:Tag>Giu19</b:Tag>
    <b:SourceType>JournalArticle</b:SourceType>
    <b:Guid>{F52076B5-E346-4297-A552-FB41E345473B}</b:Guid>
    <b:Author>
      <b:Author>
        <b:NameList>
          <b:Person>
            <b:Last>Giusti</b:Last>
            <b:First>Riccardo</b:First>
          </b:Person>
        </b:NameList>
      </b:Author>
    </b:Author>
    <b:Title>Synchromodal logistics: An overview of critical success factors, enabling technologies, and open research issues</b:Title>
    <b:Year>2019</b:Year>
    <b:URL>https://www.sciencedirect.com/science/article/pii/S1366554519303928</b:URL>
    <b:RefOrder>9</b:RefOrder>
  </b:Source>
  <b:Source>
    <b:Tag>Chi241</b:Tag>
    <b:SourceType>JournalArticle</b:SourceType>
    <b:Guid>{33FD829C-D66A-4D42-A5FC-3B474DA06A8B}</b:Guid>
    <b:Author>
      <b:Author>
        <b:NameList>
          <b:Person>
            <b:Last>Chikezie</b:Last>
            <b:First>Paul-Mikki</b:First>
          </b:Person>
        </b:NameList>
      </b:Author>
    </b:Author>
    <b:Title>Developing a cross-functional team coordination framework: A model for optimizing business operations</b:Title>
    <b:Year>2024</b:Year>
    <b:URL>https://www.researchgate.net/publication/384767942_Developing_a_cross-functional_team_coordination_framework_A_model_for_optimizing_business_operations</b:URL>
    <b:RefOrder>10</b:RefOrder>
  </b:Source>
  <b:Source>
    <b:Tag>Swe21</b:Tag>
    <b:SourceType>JournalArticle</b:SourceType>
    <b:Guid>{5F39BB79-AEBC-43CA-84C9-601BEC7FF1C1}</b:Guid>
    <b:Author>
      <b:Author>
        <b:NameList>
          <b:Person>
            <b:Last>Sweidan</b:Last>
            <b:First>Osama</b:First>
          </b:Person>
        </b:NameList>
      </b:Author>
    </b:Author>
    <b:Title>The Effect of Oil Rent on the Economic Development in Saudi Arabia: Comparing the Role of Globalization and the International Geopolitical Risks</b:Title>
    <b:Year>2021</b:Year>
    <b:URL>https://www.researchgate.net/publication/356335015_The_Effect_of_Oil_Rent_on_the_Economic_Development_in_Saudi_Arabia_Comparing_the_Role_of_Globalization_and_the_International_Geopolitical_Risks</b:URL>
    <b:RefOrder>11</b:RefOrder>
  </b:Source>
  <b:Source>
    <b:Tag>Kum231</b:Tag>
    <b:SourceType>JournalArticle</b:SourceType>
    <b:Guid>{FBE24EB1-5D8E-4583-8502-7ECCAD2E0EE0}</b:Guid>
    <b:Author>
      <b:Author>
        <b:NameList>
          <b:Person>
            <b:Last>Kumo</b:Last>
            <b:First>Wardani</b:First>
          </b:Person>
        </b:NameList>
      </b:Author>
    </b:Author>
    <b:Title>Leveraging Consumer Behavior Research for Effective Marketing Strategies</b:Title>
    <b:Year>2023</b:Year>
    <b:URL>https://www.researchgate.net/publication/380885406_Leveraging_Consumer_Behavior_Research_for_Effective_Marketing_Strategies</b:URL>
    <b:RefOrder>12</b:RefOrder>
  </b:Source>
  <b:Source>
    <b:Tag>Mur201</b:Tag>
    <b:SourceType>JournalArticle</b:SourceType>
    <b:Guid>{8E51CA14-1520-4313-B8BF-DB1B0DD8691A}</b:Guid>
    <b:Author>
      <b:Author>
        <b:NameList>
          <b:Person>
            <b:Last>Murniati</b:Last>
            <b:First>Murniati</b:First>
          </b:Person>
        </b:NameList>
      </b:Author>
    </b:Author>
    <b:Title>Hotel Marketing Strategies in the Digital Age</b:Title>
    <b:Year>2020</b:Year>
    <b:URL>https://www.researchgate.net/publication/355083197_Hotel_Marketing_Strategies_in_the_Digital_Age</b:URL>
    <b:RefOrder>13</b:RefOrder>
  </b:Source>
  <b:Source>
    <b:Tag>Agh16</b:Tag>
    <b:SourceType>JournalArticle</b:SourceType>
    <b:Guid>{6C7F33BB-2ABB-45FF-AB64-251096429390}</b:Guid>
    <b:Author>
      <b:Author>
        <b:NameList>
          <b:Person>
            <b:Last>Agha</b:Last>
            <b:First>Nola</b:First>
          </b:Person>
        </b:NameList>
      </b:Author>
    </b:Author>
    <b:Title>A Theoretical Comparison of the Economic Impact of Large and Small Events</b:Title>
    <b:Year>2016</b:Year>
    <b:URL>https://www.researchgate.net/publication/282683190_A_Theoretical_Comparison_of_the_Economic_Impact_of_Large_and_Small_Events</b:URL>
    <b:RefOrder>14</b:RefOrder>
  </b:Source>
  <b:Source>
    <b:Tag>Sar25</b:Tag>
    <b:SourceType>JournalArticle</b:SourceType>
    <b:Guid>{03542275-0FDB-4923-B2EB-652E7A93892E}</b:Guid>
    <b:Author>
      <b:Author>
        <b:NameList>
          <b:Person>
            <b:Last>Sardi</b:Last>
            <b:First>Alberto</b:First>
          </b:Person>
        </b:NameList>
      </b:Author>
    </b:Author>
    <b:Title>Economic Impact Analysis of Mega Events for Sustainable Tourism: Insights from the Giro d’Italia and Tour de France</b:Title>
    <b:Year>2025</b:Year>
    <b:URL>https://www.mdpi.com/2076-3387/15/2/35</b:URL>
    <b:RefOrder>15</b:RefOrder>
  </b:Source>
  <b:Source>
    <b:Tag>Liu191</b:Tag>
    <b:SourceType>JournalArticle</b:SourceType>
    <b:Guid>{B5D389F0-D7DF-4F09-B9A2-F9FE846BE52B}</b:Guid>
    <b:Author>
      <b:Author>
        <b:NameList>
          <b:Person>
            <b:Last>Liu</b:Last>
            <b:First>Yi-De</b:First>
          </b:Person>
        </b:NameList>
      </b:Author>
    </b:Author>
    <b:Title>Event and Sustainable Culture-Led Regeneration: Lessons from the 2008 European Capital of Culture, Liverpool</b:Title>
    <b:Year>2019</b:Year>
    <b:URL>https://www.mdpi.com/2071-1050/11/7/1869</b:URL>
    <b:RefOrder>16</b:RefOrder>
  </b:Source>
  <b:Source>
    <b:Tag>Sah23</b:Tag>
    <b:SourceType>JournalArticle</b:SourceType>
    <b:Guid>{D078F9F6-2B5C-4FA5-AD69-22557594B70E}</b:Guid>
    <b:Author>
      <b:Author>
        <b:NameList>
          <b:Person>
            <b:Last>Saha</b:Last>
            <b:First>Shrabani</b:First>
          </b:Person>
        </b:NameList>
      </b:Author>
    </b:Author>
    <b:Title>Do economic and political crises lead to corruption? The role of institutions</b:Title>
    <b:Year>2023</b:Year>
    <b:URL>https://www.sciencedirect.com/science/article/pii/S0264999323001190</b:URL>
    <b:RefOrder>17</b:RefOrder>
  </b:Source>
  <b:Source>
    <b:Tag>Has232</b:Tag>
    <b:SourceType>JournalArticle</b:SourceType>
    <b:Guid>{3585812A-FF85-47A8-8794-90D6CA2B0512}</b:Guid>
    <b:Author>
      <b:Author>
        <b:NameList>
          <b:Person>
            <b:Last>Hasanov</b:Last>
            <b:First>Fakhri</b:First>
            <b:Middle>J.</b:Middle>
          </b:Person>
        </b:NameList>
      </b:Author>
    </b:Author>
    <b:Title>Oil and Non-Oil Determinants of Saudi Arabia’s International Competitiveness: Historical Analysis and Policy Simulations</b:Title>
    <b:Year>2023</b:Year>
    <b:URL>https://www.mdpi.com/2071-1050/15/11/9011</b:URL>
    <b:RefOrder>18</b:RefOrder>
  </b:Source>
  <b:Source>
    <b:Tag>Alt23</b:Tag>
    <b:SourceType>JournalArticle</b:SourceType>
    <b:Guid>{01BBACA4-7BCE-4CF4-81E2-DFB2373B1B79}</b:Guid>
    <b:Author>
      <b:Author>
        <b:NameList>
          <b:Person>
            <b:Last>Altalhi</b:Last>
          </b:Person>
        </b:NameList>
      </b:Author>
    </b:Author>
    <b:Title>Transitioning Away from an Oil-based Economy through Saudi Arabia's Vision 2030.</b:Title>
    <b:Year>2023</b:Year>
    <b:URL>https://openurl.ebsco.com/EPDB%3Agcd%3A3%3A17316243/detailv2?sid=ebsco%3Aplink%3Ascholar&amp;id=ebsco%3Agcd%3A172747409&amp;crl=c&amp;link_origin=scholar.google.com</b:URL>
    <b:RefOrder>19</b:RefOrder>
  </b:Source>
  <b:Source>
    <b:Tag>Cha223</b:Tag>
    <b:SourceType>JournalArticle</b:SourceType>
    <b:Guid>{3154D1AE-83C1-4A89-89A6-54361B6DD853}</b:Guid>
    <b:Author>
      <b:Author>
        <b:NameList>
          <b:Person>
            <b:Last>Chadwick</b:Last>
            <b:First>Simon</b:First>
          </b:Person>
        </b:NameList>
      </b:Author>
    </b:Author>
    <b:Title>Saudi Arabia and Sport in the 21st Century</b:Title>
    <b:Year>2022</b:Year>
    <b:URL>https://www.taylorfrancis.com/chapters/edit/10.4324/9781003032915-26/saudi-arabia-sport-21st-century-simon-chadwick-paul-widdop</b:URL>
    <b:RefOrder>20</b:RefOrder>
  </b:Source>
  <b:Source>
    <b:Tag>Men18</b:Tag>
    <b:SourceType>JournalArticle</b:SourceType>
    <b:Guid>{740CBF0D-92A8-41C2-A092-21A0C6435AA1}</b:Guid>
    <b:Author>
      <b:Author>
        <b:NameList>
          <b:Person>
            <b:Last>Mensi</b:Last>
            <b:First>Walid</b:First>
          </b:Person>
        </b:NameList>
      </b:Author>
    </b:Author>
    <b:Title>Asymmetric impacts of public and private investments on the non-oil GDP of Saudi Arabia</b:Title>
    <b:Year>2018</b:Year>
    <b:URL>https://www.sciencedirect.com/science/article/abs/pii/S2110701717300902</b:URL>
    <b:RefOrder>21</b:RefOrder>
  </b:Source>
  <b:Source>
    <b:Tag>Als191</b:Tag>
    <b:SourceType>JournalArticle</b:SourceType>
    <b:Guid>{4B1B72F1-3BA5-44C5-B26D-4869CC0AEBCF}</b:Guid>
    <b:Author>
      <b:Author>
        <b:NameList>
          <b:Person>
            <b:Last>Alshehri</b:Last>
          </b:Person>
        </b:NameList>
      </b:Author>
    </b:Author>
    <b:Title>Is Saudi Arabia’s Business Environment Conducive to Attracting Foreign Direct Investment in Non-Oil Sectors? Challenges and Implications</b:Title>
    <b:Year>2019</b:Year>
    <b:URL>https://vuir.vu.edu.au/40445/</b:URL>
    <b:RefOrder>22</b:RefOrder>
  </b:Source>
  <b:Source>
    <b:Tag>Ami231</b:Tag>
    <b:SourceType>JournalArticle</b:SourceType>
    <b:Guid>{C3211545-26D8-484E-9DAE-ED6B2956C0A2}</b:Guid>
    <b:Author>
      <b:Author>
        <b:NameList>
          <b:Person>
            <b:Last>Amine</b:Last>
            <b:First>El</b:First>
          </b:Person>
        </b:NameList>
      </b:Author>
    </b:Author>
    <b:Title>The GCC countries diplomatic approaches and its impact on economic development : a comparative study of the UAE, Saudi Arabia, Qatar, and Kuwait</b:Title>
    <b:Year>2023</b:Year>
    <b:URL>https://ir.ndu.edu.lb:8443/xmlui/handle/123456789/1727</b:URL>
    <b:RefOrder>23</b:RefOrder>
  </b:Source>
  <b:Source>
    <b:Tag>Sam231</b:Tag>
    <b:SourceType>JournalArticle</b:SourceType>
    <b:Guid>{084359E5-D511-4D53-8339-B1AE7458A516}</b:Guid>
    <b:Author>
      <b:Author>
        <b:NameList>
          <b:Person>
            <b:Last>Sam</b:Last>
            <b:First>Abhishek</b:First>
            <b:Middle>Jude</b:Middle>
          </b:Person>
        </b:NameList>
      </b:Author>
    </b:Author>
    <b:Title>Saudi Arabia’s Public Investment Fund as a Tool for Economic Diversification and Sports Diplomacy</b:Title>
    <b:Year>2023</b:Year>
    <b:URL>https://www.researchgate.net/profile/Abhishek-Jude-Sam-3/publication/374157222_Saudi_Arabia's_Public_Investment_Fund_as_a_Tool_for_Economic_Diversification_and_Sports_Diplomacy/links/65114cf382f01628f04827d4/Saudi-Arabias-Public-Investment-Fund-as-a-Tool-</b:URL>
    <b:RefOrder>24</b:RefOrder>
  </b:Source>
  <b:Source>
    <b:Tag>AlM213</b:Tag>
    <b:SourceType>JournalArticle</b:SourceType>
    <b:Guid>{42D96C52-C2B6-4C38-A427-F76EE533E790}</b:Guid>
    <b:Author>
      <b:Author>
        <b:NameList>
          <b:Person>
            <b:Last>Al-Maliki</b:Last>
            <b:First>Saeed</b:First>
            <b:Middle>Q. Al-Khalidi</b:Middle>
          </b:Person>
        </b:NameList>
      </b:Author>
    </b:Author>
    <b:Title>Increasing non-oil revenue potentiality through digital commerce: the case study in KSA</b:Title>
    <b:Year>2021</b:Year>
    <b:URL>https://www.emerald.com/insight/content/doi/10.1108/jmb-07-2021-0022/full/html</b:URL>
    <b:RefOrder>25</b:RefOrder>
  </b:Source>
  <b:Source>
    <b:Tag>AlA233</b:Tag>
    <b:SourceType>JournalArticle</b:SourceType>
    <b:Guid>{26B75D2E-D93F-4D7A-AFEF-A57710AABCD9}</b:Guid>
    <b:Author>
      <b:Author>
        <b:NameList>
          <b:Person>
            <b:Last>Al-Abdi</b:Last>
            <b:First>Badr</b:First>
            <b:Middle>Saleh</b:Middle>
          </b:Person>
        </b:NameList>
      </b:Author>
    </b:Author>
    <b:Title>Investigating Interaction Dynamics among Nonoil Economic Growth and Its Most Important Determinants: Evidence from Saudi Arabia</b:Title>
    <b:Year>2023</b:Year>
    <b:URL>https://onlinelibrary.wiley.com/doi/full/10.1155/2023/6692446</b:URL>
    <b:RefOrder>26</b:RefOrder>
  </b:Source>
  <b:Source>
    <b:Tag>Per18</b:Tag>
    <b:SourceType>JournalArticle</b:SourceType>
    <b:Guid>{69503A79-1BB7-4FCA-A8D0-528551B81789}</b:Guid>
    <b:Author>
      <b:Author>
        <b:NameList>
          <b:Person>
            <b:Last>Peric</b:Last>
            <b:First>Marko</b:First>
          </b:Person>
        </b:NameList>
      </b:Author>
    </b:Author>
    <b:Title>Estimating the Perceived Socio-Economic Impacts of Hosting Large-Scale Sport Tourism Events</b:Title>
    <b:Year>2018</b:Year>
    <b:URL>https://www.researchgate.net/publication/327937679_Estimating_the_Perceived_Socio-Economic_Impacts_of_Hosting_Large-Scale_Sport_Tourism_Events</b:URL>
    <b:RefOrder>27</b:RefOrder>
  </b:Source>
  <b:Source>
    <b:Tag>Nya24</b:Tag>
    <b:SourceType>JournalArticle</b:SourceType>
    <b:Guid>{C21006E9-629E-4D4C-90A2-64416322D24C}</b:Guid>
    <b:Author>
      <b:Author>
        <b:NameList>
          <b:Person>
            <b:Last>Nyamari</b:Last>
            <b:First>Timson</b:First>
          </b:Person>
        </b:NameList>
      </b:Author>
    </b:Author>
    <b:Title>Social Capital and Community Development</b:Title>
    <b:Year>2024</b:Year>
    <b:URL>https://www.researchgate.net/publication/380405710_Social_Capital_and_Community_Development</b:URL>
    <b:RefOrder>28</b:RefOrder>
  </b:Source>
  <b:Source>
    <b:Tag>Din15</b:Tag>
    <b:SourceType>JournalArticle</b:SourceType>
    <b:Guid>{DC7A264B-DC50-4ADA-AF80-2F009FA31430}</b:Guid>
    <b:Author>
      <b:Author>
        <b:NameList>
          <b:Person>
            <b:Last>Dinc</b:Last>
            <b:First>Mustafa</b:First>
          </b:Person>
        </b:NameList>
      </b:Author>
    </b:Author>
    <b:Title>Introduction to Regional Economic Development Major Theories and Basic Analytical ToolsEnter title</b:Title>
    <b:Year>2015</b:Year>
    <b:URL>https://www.researchgate.net/publication/291357038_Introduction_to_Regional_Economic_Development_Major_Theories_and_Basic_Analytical_ToolsEnter_title</b:URL>
    <b:RefOrder>29</b:RefOrder>
  </b:Source>
  <b:Source>
    <b:Tag>Sha20</b:Tag>
    <b:SourceType>JournalArticle</b:SourceType>
    <b:Guid>{036FEAA2-732F-43E1-9DC6-F3A427BC332D}</b:Guid>
    <b:Author>
      <b:Author>
        <b:NameList>
          <b:Person>
            <b:Last>Sharma</b:Last>
            <b:First>Pritee</b:First>
          </b:Person>
        </b:NameList>
      </b:Author>
    </b:Author>
    <b:Title>Sustainable Development: Dimensions, Intersections and Knowledge Platform</b:Title>
    <b:Year>2020</b:Year>
    <b:URL>https://www.researchgate.net/publication/340244065_Sustainable_Development_Dimensions_Intersections_and_Knowledge_Platform</b:URL>
    <b:RefOrder>30</b:RefOrder>
  </b:Source>
</b:Sources>
</file>

<file path=customXml/itemProps1.xml><?xml version="1.0" encoding="utf-8"?>
<ds:datastoreItem xmlns:ds="http://schemas.openxmlformats.org/officeDocument/2006/customXml" ds:itemID="{895BC269-6F0A-4036-87A2-CFFE47D5A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6467</Words>
  <Characters>36867</Characters>
  <Application>Microsoft Office Word</Application>
  <DocSecurity>0</DocSecurity>
  <Lines>307</Lines>
  <Paragraphs>86</Paragraphs>
  <ScaleCrop>false</ScaleCrop>
  <Company/>
  <LinksUpToDate>false</LinksUpToDate>
  <CharactersWithSpaces>43248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2025-07-18T15:07:00Z</dcterms:created>
  <dcterms:modified xsi:type="dcterms:W3CDTF">2025-07-18T15:07:00Z</dcterms:modified>
</cp:coreProperties>
</file>