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057E67" w:rsidRPr="00057E67" w14:paraId="38AF1801" w14:textId="77777777" w:rsidTr="00057E67">
        <w:tc>
          <w:tcPr>
            <w:tcW w:w="4261" w:type="dxa"/>
          </w:tcPr>
          <w:p w14:paraId="3C1EA7B0" w14:textId="77777777" w:rsidR="00057E67" w:rsidRPr="00057E67" w:rsidRDefault="00057E67">
            <w:pPr>
              <w:rPr>
                <w:sz w:val="32"/>
                <w:szCs w:val="32"/>
                <w:rtl/>
                <w:lang w:bidi="ar-EG"/>
              </w:rPr>
            </w:pPr>
            <w:r w:rsidRPr="00057E67">
              <w:rPr>
                <w:rFonts w:hint="cs"/>
                <w:sz w:val="32"/>
                <w:szCs w:val="32"/>
                <w:rtl/>
                <w:lang w:bidi="ar-EG"/>
              </w:rPr>
              <w:t>جامعة ميدأوشن</w:t>
            </w:r>
          </w:p>
          <w:p w14:paraId="7F13CCB7" w14:textId="77777777" w:rsidR="00057E67" w:rsidRPr="00057E67" w:rsidRDefault="00057E67">
            <w:pPr>
              <w:rPr>
                <w:sz w:val="32"/>
                <w:szCs w:val="32"/>
                <w:rtl/>
                <w:lang w:bidi="ar-EG"/>
              </w:rPr>
            </w:pPr>
            <w:r w:rsidRPr="00057E67">
              <w:rPr>
                <w:rFonts w:hint="cs"/>
                <w:sz w:val="32"/>
                <w:szCs w:val="32"/>
                <w:rtl/>
                <w:lang w:bidi="ar-EG"/>
              </w:rPr>
              <w:t>كلية الإدارة</w:t>
            </w:r>
          </w:p>
          <w:p w14:paraId="35A18802" w14:textId="77777777" w:rsidR="00057E67" w:rsidRPr="00057E67" w:rsidRDefault="00057E67">
            <w:pPr>
              <w:rPr>
                <w:sz w:val="32"/>
                <w:szCs w:val="32"/>
                <w:rtl/>
                <w:lang w:bidi="ar-EG"/>
              </w:rPr>
            </w:pPr>
            <w:r w:rsidRPr="00057E67">
              <w:rPr>
                <w:rFonts w:hint="cs"/>
                <w:sz w:val="32"/>
                <w:szCs w:val="32"/>
                <w:rtl/>
                <w:lang w:bidi="ar-EG"/>
              </w:rPr>
              <w:t>قسم إدارة الأعمال</w:t>
            </w:r>
          </w:p>
        </w:tc>
        <w:tc>
          <w:tcPr>
            <w:tcW w:w="4261" w:type="dxa"/>
          </w:tcPr>
          <w:p w14:paraId="10EB9490" w14:textId="77777777" w:rsidR="00057E67" w:rsidRPr="00057E67" w:rsidRDefault="00DA0E84" w:rsidP="00DA0E84">
            <w:pPr>
              <w:jc w:val="center"/>
              <w:rPr>
                <w:sz w:val="32"/>
                <w:szCs w:val="32"/>
                <w:rtl/>
                <w:lang w:bidi="ar-EG"/>
              </w:rPr>
            </w:pPr>
            <w:r>
              <w:rPr>
                <w:rFonts w:cs="Arial"/>
                <w:noProof/>
                <w:sz w:val="32"/>
                <w:szCs w:val="32"/>
                <w:rtl/>
              </w:rPr>
              <w:drawing>
                <wp:inline distT="0" distB="0" distL="0" distR="0" wp14:anchorId="688CF350" wp14:editId="025F2F4A">
                  <wp:extent cx="2197100" cy="749300"/>
                  <wp:effectExtent l="0" t="0" r="0" b="0"/>
                  <wp:docPr id="1" name="صورة 1" descr="C:\Users\Dr Gigi\Pictur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 Gigi\Pictures\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7100" cy="749300"/>
                          </a:xfrm>
                          <a:prstGeom prst="rect">
                            <a:avLst/>
                          </a:prstGeom>
                          <a:noFill/>
                          <a:ln>
                            <a:noFill/>
                          </a:ln>
                        </pic:spPr>
                      </pic:pic>
                    </a:graphicData>
                  </a:graphic>
                </wp:inline>
              </w:drawing>
            </w:r>
          </w:p>
        </w:tc>
      </w:tr>
    </w:tbl>
    <w:p w14:paraId="3038A0FA" w14:textId="77777777" w:rsidR="0051781A" w:rsidRDefault="0051781A">
      <w:pPr>
        <w:rPr>
          <w:rtl/>
          <w:lang w:bidi="ar-EG"/>
        </w:rPr>
      </w:pPr>
    </w:p>
    <w:p w14:paraId="07845CA8" w14:textId="77777777" w:rsidR="0070359C" w:rsidRDefault="0070359C" w:rsidP="00A61745">
      <w:pPr>
        <w:spacing w:line="360" w:lineRule="auto"/>
        <w:jc w:val="center"/>
        <w:rPr>
          <w:rFonts w:asciiTheme="minorBidi" w:eastAsia="Times New Roman" w:hAnsiTheme="minorBidi"/>
          <w:b/>
          <w:bCs/>
          <w:sz w:val="28"/>
          <w:szCs w:val="28"/>
          <w:rtl/>
        </w:rPr>
      </w:pPr>
    </w:p>
    <w:p w14:paraId="7BE35798" w14:textId="77777777" w:rsidR="0070359C" w:rsidRDefault="0070359C" w:rsidP="00A61745">
      <w:pPr>
        <w:spacing w:line="360" w:lineRule="auto"/>
        <w:jc w:val="center"/>
        <w:rPr>
          <w:rFonts w:asciiTheme="minorBidi" w:eastAsia="Times New Roman" w:hAnsiTheme="minorBidi"/>
          <w:b/>
          <w:bCs/>
          <w:sz w:val="28"/>
          <w:szCs w:val="28"/>
          <w:rtl/>
        </w:rPr>
      </w:pPr>
    </w:p>
    <w:p w14:paraId="5BA455C2" w14:textId="77777777" w:rsidR="0070359C"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عنوان البحث</w:t>
      </w:r>
    </w:p>
    <w:p w14:paraId="4A7AD0E9" w14:textId="77777777" w:rsidR="0044369A" w:rsidRPr="0053181F" w:rsidRDefault="0035019B"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b/>
          <w:bCs/>
          <w:sz w:val="32"/>
          <w:szCs w:val="32"/>
          <w:rtl/>
        </w:rPr>
        <w:t>أثر إدارة الحسابات الرئيسية في تحسين العلاقات البيعية في شركات الأدوية</w:t>
      </w:r>
    </w:p>
    <w:p w14:paraId="64AD67E3" w14:textId="77777777" w:rsidR="00057E67" w:rsidRPr="0053181F" w:rsidRDefault="00057E67" w:rsidP="00A61745">
      <w:pPr>
        <w:spacing w:line="360" w:lineRule="auto"/>
        <w:jc w:val="center"/>
        <w:rPr>
          <w:rFonts w:asciiTheme="minorBidi" w:eastAsia="Times New Roman" w:hAnsiTheme="minorBidi"/>
          <w:b/>
          <w:bCs/>
          <w:sz w:val="32"/>
          <w:szCs w:val="32"/>
          <w:rtl/>
        </w:rPr>
      </w:pPr>
    </w:p>
    <w:p w14:paraId="6B776939"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إعداد الطالب</w:t>
      </w:r>
    </w:p>
    <w:p w14:paraId="5F0C8FEA"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ماجد علي مشني الرافعي عسيري</w:t>
      </w:r>
    </w:p>
    <w:p w14:paraId="7FF9E689"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251003222</w:t>
      </w:r>
    </w:p>
    <w:p w14:paraId="310E1081" w14:textId="77777777" w:rsidR="00057E67" w:rsidRPr="0053181F" w:rsidRDefault="00057E67" w:rsidP="00A61745">
      <w:pPr>
        <w:spacing w:line="360" w:lineRule="auto"/>
        <w:jc w:val="center"/>
        <w:rPr>
          <w:rFonts w:asciiTheme="minorBidi" w:eastAsia="Times New Roman" w:hAnsiTheme="minorBidi"/>
          <w:b/>
          <w:bCs/>
          <w:sz w:val="32"/>
          <w:szCs w:val="32"/>
          <w:rtl/>
        </w:rPr>
      </w:pPr>
    </w:p>
    <w:p w14:paraId="039BECB9"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إشراف</w:t>
      </w:r>
    </w:p>
    <w:p w14:paraId="0FD5301B"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د/ الفيصل عبد الحميد</w:t>
      </w:r>
    </w:p>
    <w:p w14:paraId="00A32672"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د/ فايز جراد</w:t>
      </w:r>
    </w:p>
    <w:p w14:paraId="0E06A475" w14:textId="77777777" w:rsidR="00057E67" w:rsidRPr="0053181F" w:rsidRDefault="00057E67" w:rsidP="00A61745">
      <w:pPr>
        <w:spacing w:line="360" w:lineRule="auto"/>
        <w:jc w:val="center"/>
        <w:rPr>
          <w:rFonts w:asciiTheme="minorBidi" w:eastAsia="Times New Roman" w:hAnsiTheme="minorBidi"/>
          <w:b/>
          <w:bCs/>
          <w:sz w:val="32"/>
          <w:szCs w:val="32"/>
          <w:rtl/>
        </w:rPr>
      </w:pPr>
    </w:p>
    <w:p w14:paraId="2FDFC318"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العام الدراسي</w:t>
      </w:r>
    </w:p>
    <w:p w14:paraId="364C439A" w14:textId="77777777" w:rsidR="00057E67" w:rsidRPr="0053181F" w:rsidRDefault="00057E67" w:rsidP="00A61745">
      <w:pPr>
        <w:spacing w:line="360" w:lineRule="auto"/>
        <w:jc w:val="center"/>
        <w:rPr>
          <w:rFonts w:asciiTheme="minorBidi" w:eastAsia="Times New Roman" w:hAnsiTheme="minorBidi"/>
          <w:b/>
          <w:bCs/>
          <w:sz w:val="32"/>
          <w:szCs w:val="32"/>
          <w:rtl/>
        </w:rPr>
      </w:pPr>
      <w:r w:rsidRPr="0053181F">
        <w:rPr>
          <w:rFonts w:asciiTheme="minorBidi" w:eastAsia="Times New Roman" w:hAnsiTheme="minorBidi" w:hint="cs"/>
          <w:b/>
          <w:bCs/>
          <w:sz w:val="32"/>
          <w:szCs w:val="32"/>
          <w:rtl/>
        </w:rPr>
        <w:t>2025</w:t>
      </w:r>
    </w:p>
    <w:p w14:paraId="26CA3EE8" w14:textId="77777777" w:rsidR="0035019B" w:rsidRPr="00A61745" w:rsidRDefault="0035019B" w:rsidP="00A61745">
      <w:pPr>
        <w:spacing w:line="360" w:lineRule="auto"/>
        <w:jc w:val="center"/>
        <w:rPr>
          <w:rFonts w:asciiTheme="minorBidi" w:hAnsiTheme="minorBidi"/>
          <w:b/>
          <w:bCs/>
          <w:sz w:val="28"/>
          <w:szCs w:val="28"/>
          <w:rtl/>
        </w:rPr>
      </w:pPr>
    </w:p>
    <w:p w14:paraId="37DBFEE2" w14:textId="77777777" w:rsidR="00CD03E8" w:rsidRDefault="00CD03E8" w:rsidP="00A61745">
      <w:pPr>
        <w:spacing w:line="360" w:lineRule="auto"/>
        <w:jc w:val="center"/>
        <w:rPr>
          <w:rFonts w:asciiTheme="minorBidi" w:hAnsiTheme="minorBidi"/>
          <w:b/>
          <w:bCs/>
          <w:sz w:val="28"/>
          <w:szCs w:val="28"/>
          <w:rtl/>
          <w:lang w:bidi="ar-EG"/>
        </w:rPr>
      </w:pPr>
    </w:p>
    <w:p w14:paraId="0DCDEB36" w14:textId="77777777" w:rsidR="00CD03E8" w:rsidRPr="0053181F" w:rsidRDefault="00057E67" w:rsidP="00A61745">
      <w:pPr>
        <w:spacing w:line="360" w:lineRule="auto"/>
        <w:jc w:val="center"/>
        <w:rPr>
          <w:rFonts w:asciiTheme="minorBidi" w:hAnsiTheme="minorBidi"/>
          <w:b/>
          <w:bCs/>
          <w:sz w:val="32"/>
          <w:szCs w:val="32"/>
          <w:rtl/>
          <w:lang w:bidi="ar-EG"/>
        </w:rPr>
      </w:pPr>
      <w:r w:rsidRPr="0053181F">
        <w:rPr>
          <w:rFonts w:asciiTheme="minorBidi" w:hAnsiTheme="minorBidi" w:hint="cs"/>
          <w:b/>
          <w:bCs/>
          <w:sz w:val="32"/>
          <w:szCs w:val="32"/>
          <w:rtl/>
          <w:lang w:bidi="ar-EG"/>
        </w:rPr>
        <w:lastRenderedPageBreak/>
        <w:t>حقوق الطبع</w:t>
      </w:r>
    </w:p>
    <w:p w14:paraId="2FC5388E" w14:textId="77777777" w:rsidR="00892FAC" w:rsidRPr="00892FAC" w:rsidRDefault="00892FAC" w:rsidP="00892FAC">
      <w:pPr>
        <w:spacing w:line="360" w:lineRule="auto"/>
        <w:ind w:firstLine="720"/>
        <w:rPr>
          <w:rFonts w:asciiTheme="minorBidi" w:hAnsiTheme="minorBidi"/>
          <w:sz w:val="28"/>
          <w:szCs w:val="28"/>
          <w:rtl/>
          <w:lang w:bidi="ar-EG"/>
        </w:rPr>
      </w:pPr>
      <w:r w:rsidRPr="00892FAC">
        <w:rPr>
          <w:rFonts w:asciiTheme="minorBidi" w:hAnsiTheme="minorBidi" w:cs="Arial" w:hint="cs"/>
          <w:sz w:val="28"/>
          <w:szCs w:val="28"/>
          <w:rtl/>
          <w:lang w:bidi="ar-EG"/>
        </w:rPr>
        <w:t>تم</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إعداد</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هذا</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البحث</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بعنوان</w:t>
      </w:r>
      <w:r w:rsidRPr="00892FAC">
        <w:rPr>
          <w:rFonts w:asciiTheme="minorBidi" w:hAnsiTheme="minorBidi" w:cs="Arial"/>
          <w:sz w:val="28"/>
          <w:szCs w:val="28"/>
          <w:rtl/>
          <w:lang w:bidi="ar-EG"/>
        </w:rPr>
        <w:t xml:space="preserve"> </w:t>
      </w:r>
      <w:r>
        <w:rPr>
          <w:rFonts w:asciiTheme="minorBidi" w:hAnsiTheme="minorBidi" w:cs="Arial" w:hint="cs"/>
          <w:sz w:val="28"/>
          <w:szCs w:val="28"/>
          <w:rtl/>
          <w:lang w:bidi="ar-EG"/>
        </w:rPr>
        <w:t>"</w:t>
      </w:r>
      <w:r w:rsidRPr="00892FAC">
        <w:rPr>
          <w:rFonts w:asciiTheme="minorBidi" w:hAnsiTheme="minorBidi" w:cs="Arial" w:hint="cs"/>
          <w:sz w:val="28"/>
          <w:szCs w:val="28"/>
          <w:rtl/>
          <w:lang w:bidi="ar-EG"/>
        </w:rPr>
        <w:t>أثر</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إدارة</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الحسابات</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الرئيسية</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في</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تحسين</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العلاقات</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البيعية</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في</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شركات</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الأدوية</w:t>
      </w:r>
      <w:r>
        <w:rPr>
          <w:rFonts w:asciiTheme="minorBidi" w:hAnsiTheme="minorBidi" w:cs="Arial" w:hint="cs"/>
          <w:sz w:val="28"/>
          <w:szCs w:val="28"/>
          <w:rtl/>
          <w:lang w:bidi="ar-EG"/>
        </w:rPr>
        <w:t>"</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كجزء</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من</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متطلبات</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مشروع</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بحثي</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أكاديمي</w:t>
      </w:r>
      <w:r w:rsidRPr="00892FAC">
        <w:rPr>
          <w:rFonts w:asciiTheme="minorBidi" w:hAnsiTheme="minorBidi" w:cs="Arial"/>
          <w:sz w:val="28"/>
          <w:szCs w:val="28"/>
          <w:rtl/>
          <w:lang w:bidi="ar-EG"/>
        </w:rPr>
        <w:t>.</w:t>
      </w:r>
    </w:p>
    <w:p w14:paraId="3C17736E" w14:textId="77777777" w:rsidR="00057E67" w:rsidRDefault="00892FAC" w:rsidP="00892FAC">
      <w:pPr>
        <w:spacing w:line="360" w:lineRule="auto"/>
        <w:ind w:firstLine="720"/>
        <w:rPr>
          <w:rFonts w:asciiTheme="minorBidi" w:hAnsiTheme="minorBidi"/>
          <w:sz w:val="28"/>
          <w:szCs w:val="28"/>
          <w:rtl/>
          <w:lang w:bidi="ar-EG"/>
        </w:rPr>
      </w:pPr>
      <w:r>
        <w:rPr>
          <w:rFonts w:asciiTheme="minorBidi" w:hAnsiTheme="minorBidi" w:cs="Arial" w:hint="cs"/>
          <w:sz w:val="28"/>
          <w:szCs w:val="28"/>
          <w:rtl/>
          <w:lang w:bidi="ar-EG"/>
        </w:rPr>
        <w:t>يمنح</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الأذن</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للباحثين</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والطلاب</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بالاطلاع</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على</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هذا</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العمل</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والاستشهاد</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به</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وفق</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أخلاقيات</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البحث</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العلمي،</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على</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أن</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يشار</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إلى</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الباحث</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كمصدر</w:t>
      </w:r>
      <w:r w:rsidRPr="00892FAC">
        <w:rPr>
          <w:rFonts w:asciiTheme="minorBidi" w:hAnsiTheme="minorBidi" w:cs="Arial"/>
          <w:sz w:val="28"/>
          <w:szCs w:val="28"/>
          <w:rtl/>
          <w:lang w:bidi="ar-EG"/>
        </w:rPr>
        <w:t>.</w:t>
      </w:r>
      <w:r>
        <w:rPr>
          <w:rFonts w:asciiTheme="minorBidi" w:hAnsiTheme="minorBidi" w:hint="cs"/>
          <w:sz w:val="28"/>
          <w:szCs w:val="28"/>
          <w:rtl/>
          <w:lang w:bidi="ar-EG"/>
        </w:rPr>
        <w:t xml:space="preserve"> و</w:t>
      </w:r>
      <w:r w:rsidRPr="00892FAC">
        <w:rPr>
          <w:rFonts w:asciiTheme="minorBidi" w:hAnsiTheme="minorBidi" w:cs="Arial" w:hint="cs"/>
          <w:sz w:val="28"/>
          <w:szCs w:val="28"/>
          <w:rtl/>
          <w:lang w:bidi="ar-EG"/>
        </w:rPr>
        <w:t>لا</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يجوز</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نسخ</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أو</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نشر</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أو</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توزيع</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هذا</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العمل</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كلياً</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أو</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جزئياً</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لأغراض</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تجارية</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دون</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موافقة</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خطية</w:t>
      </w:r>
      <w:r w:rsidRPr="00892FAC">
        <w:rPr>
          <w:rFonts w:asciiTheme="minorBidi" w:hAnsiTheme="minorBidi" w:cs="Arial"/>
          <w:sz w:val="28"/>
          <w:szCs w:val="28"/>
          <w:rtl/>
          <w:lang w:bidi="ar-EG"/>
        </w:rPr>
        <w:t xml:space="preserve"> </w:t>
      </w:r>
      <w:r w:rsidRPr="00892FAC">
        <w:rPr>
          <w:rFonts w:asciiTheme="minorBidi" w:hAnsiTheme="minorBidi" w:cs="Arial" w:hint="cs"/>
          <w:sz w:val="28"/>
          <w:szCs w:val="28"/>
          <w:rtl/>
          <w:lang w:bidi="ar-EG"/>
        </w:rPr>
        <w:t>مسبقة</w:t>
      </w:r>
      <w:r w:rsidRPr="00892FAC">
        <w:rPr>
          <w:rFonts w:asciiTheme="minorBidi" w:hAnsiTheme="minorBidi" w:cs="Arial"/>
          <w:sz w:val="28"/>
          <w:szCs w:val="28"/>
          <w:rtl/>
          <w:lang w:bidi="ar-EG"/>
        </w:rPr>
        <w:t>.</w:t>
      </w:r>
    </w:p>
    <w:p w14:paraId="6AB4269D" w14:textId="77777777" w:rsidR="00892FAC" w:rsidRDefault="00892FAC" w:rsidP="00892FAC">
      <w:pPr>
        <w:spacing w:line="360" w:lineRule="auto"/>
        <w:ind w:firstLine="720"/>
        <w:rPr>
          <w:rFonts w:asciiTheme="minorBidi" w:hAnsiTheme="minorBidi"/>
          <w:sz w:val="28"/>
          <w:szCs w:val="28"/>
          <w:rtl/>
          <w:lang w:bidi="ar-EG"/>
        </w:rPr>
      </w:pPr>
    </w:p>
    <w:p w14:paraId="1C3A4535" w14:textId="77777777" w:rsidR="00892FAC" w:rsidRDefault="00892FAC" w:rsidP="00892FAC">
      <w:pPr>
        <w:spacing w:line="360" w:lineRule="auto"/>
        <w:ind w:firstLine="720"/>
        <w:rPr>
          <w:rFonts w:asciiTheme="minorBidi" w:hAnsiTheme="minorBidi"/>
          <w:sz w:val="28"/>
          <w:szCs w:val="28"/>
          <w:rtl/>
          <w:lang w:bidi="ar-EG"/>
        </w:rPr>
      </w:pPr>
    </w:p>
    <w:p w14:paraId="027DB283" w14:textId="77777777" w:rsidR="00892FAC" w:rsidRDefault="00892FAC" w:rsidP="00892FAC">
      <w:pPr>
        <w:spacing w:line="360" w:lineRule="auto"/>
        <w:ind w:firstLine="720"/>
        <w:rPr>
          <w:rFonts w:asciiTheme="minorBidi" w:hAnsiTheme="minorBidi"/>
          <w:sz w:val="28"/>
          <w:szCs w:val="28"/>
          <w:rtl/>
          <w:lang w:bidi="ar-EG"/>
        </w:rPr>
      </w:pPr>
    </w:p>
    <w:p w14:paraId="2B35FE2B" w14:textId="77777777" w:rsidR="00892FAC" w:rsidRDefault="00892FAC" w:rsidP="00892FAC">
      <w:pPr>
        <w:spacing w:line="360" w:lineRule="auto"/>
        <w:ind w:firstLine="720"/>
        <w:rPr>
          <w:rFonts w:asciiTheme="minorBidi" w:hAnsiTheme="minorBidi"/>
          <w:sz w:val="28"/>
          <w:szCs w:val="28"/>
          <w:rtl/>
          <w:lang w:bidi="ar-EG"/>
        </w:rPr>
      </w:pPr>
    </w:p>
    <w:p w14:paraId="51648267" w14:textId="77777777" w:rsidR="00892FAC" w:rsidRDefault="00892FAC" w:rsidP="00892FAC">
      <w:pPr>
        <w:spacing w:line="360" w:lineRule="auto"/>
        <w:ind w:firstLine="720"/>
        <w:rPr>
          <w:rFonts w:asciiTheme="minorBidi" w:hAnsiTheme="minorBidi"/>
          <w:sz w:val="28"/>
          <w:szCs w:val="28"/>
          <w:rtl/>
          <w:lang w:bidi="ar-EG"/>
        </w:rPr>
      </w:pPr>
    </w:p>
    <w:p w14:paraId="17EB7E8A" w14:textId="77777777" w:rsidR="00892FAC" w:rsidRDefault="00892FAC" w:rsidP="00892FAC">
      <w:pPr>
        <w:spacing w:line="360" w:lineRule="auto"/>
        <w:ind w:firstLine="720"/>
        <w:rPr>
          <w:rFonts w:asciiTheme="minorBidi" w:hAnsiTheme="minorBidi"/>
          <w:sz w:val="28"/>
          <w:szCs w:val="28"/>
          <w:rtl/>
          <w:lang w:bidi="ar-EG"/>
        </w:rPr>
      </w:pPr>
    </w:p>
    <w:p w14:paraId="406234CC" w14:textId="77777777" w:rsidR="00892FAC" w:rsidRDefault="00892FAC" w:rsidP="00892FAC">
      <w:pPr>
        <w:spacing w:line="360" w:lineRule="auto"/>
        <w:ind w:firstLine="720"/>
        <w:rPr>
          <w:rFonts w:asciiTheme="minorBidi" w:hAnsiTheme="minorBidi"/>
          <w:sz w:val="28"/>
          <w:szCs w:val="28"/>
          <w:rtl/>
          <w:lang w:bidi="ar-EG"/>
        </w:rPr>
      </w:pPr>
    </w:p>
    <w:p w14:paraId="12904696" w14:textId="77777777" w:rsidR="00892FAC" w:rsidRDefault="00892FAC" w:rsidP="00892FAC">
      <w:pPr>
        <w:spacing w:line="360" w:lineRule="auto"/>
        <w:ind w:firstLine="720"/>
        <w:rPr>
          <w:rFonts w:asciiTheme="minorBidi" w:hAnsiTheme="minorBidi"/>
          <w:sz w:val="28"/>
          <w:szCs w:val="28"/>
          <w:rtl/>
          <w:lang w:bidi="ar-EG"/>
        </w:rPr>
      </w:pPr>
    </w:p>
    <w:p w14:paraId="43F09F1D" w14:textId="77777777" w:rsidR="00892FAC" w:rsidRDefault="00892FAC" w:rsidP="00892FAC">
      <w:pPr>
        <w:spacing w:line="360" w:lineRule="auto"/>
        <w:ind w:firstLine="720"/>
        <w:rPr>
          <w:rFonts w:asciiTheme="minorBidi" w:hAnsiTheme="minorBidi"/>
          <w:sz w:val="28"/>
          <w:szCs w:val="28"/>
          <w:rtl/>
          <w:lang w:bidi="ar-EG"/>
        </w:rPr>
      </w:pPr>
    </w:p>
    <w:p w14:paraId="01150557" w14:textId="77777777" w:rsidR="00892FAC" w:rsidRDefault="00892FAC" w:rsidP="00892FAC">
      <w:pPr>
        <w:spacing w:line="360" w:lineRule="auto"/>
        <w:ind w:firstLine="720"/>
        <w:rPr>
          <w:rFonts w:asciiTheme="minorBidi" w:hAnsiTheme="minorBidi"/>
          <w:sz w:val="28"/>
          <w:szCs w:val="28"/>
          <w:rtl/>
          <w:lang w:bidi="ar-EG"/>
        </w:rPr>
      </w:pPr>
    </w:p>
    <w:p w14:paraId="1E7A7A01" w14:textId="77777777" w:rsidR="00892FAC" w:rsidRDefault="00892FAC" w:rsidP="00892FAC">
      <w:pPr>
        <w:spacing w:line="360" w:lineRule="auto"/>
        <w:ind w:firstLine="720"/>
        <w:rPr>
          <w:rFonts w:asciiTheme="minorBidi" w:hAnsiTheme="minorBidi"/>
          <w:sz w:val="28"/>
          <w:szCs w:val="28"/>
          <w:rtl/>
          <w:lang w:bidi="ar-EG"/>
        </w:rPr>
      </w:pPr>
    </w:p>
    <w:p w14:paraId="5BA72FF6" w14:textId="77777777" w:rsidR="00892FAC" w:rsidRDefault="00892FAC" w:rsidP="00892FAC">
      <w:pPr>
        <w:spacing w:line="360" w:lineRule="auto"/>
        <w:ind w:firstLine="720"/>
        <w:rPr>
          <w:rFonts w:asciiTheme="minorBidi" w:hAnsiTheme="minorBidi"/>
          <w:sz w:val="28"/>
          <w:szCs w:val="28"/>
          <w:rtl/>
          <w:lang w:bidi="ar-EG"/>
        </w:rPr>
      </w:pPr>
    </w:p>
    <w:p w14:paraId="37E7CD2B" w14:textId="77777777" w:rsidR="00892FAC" w:rsidRDefault="00892FAC" w:rsidP="00892FAC">
      <w:pPr>
        <w:spacing w:line="360" w:lineRule="auto"/>
        <w:ind w:firstLine="720"/>
        <w:rPr>
          <w:rFonts w:asciiTheme="minorBidi" w:hAnsiTheme="minorBidi"/>
          <w:sz w:val="28"/>
          <w:szCs w:val="28"/>
          <w:rtl/>
          <w:lang w:bidi="ar-EG"/>
        </w:rPr>
      </w:pPr>
    </w:p>
    <w:p w14:paraId="52B6AFDB" w14:textId="77777777" w:rsidR="0053181F" w:rsidRDefault="0053181F" w:rsidP="00892FAC">
      <w:pPr>
        <w:spacing w:line="360" w:lineRule="auto"/>
        <w:ind w:firstLine="720"/>
        <w:rPr>
          <w:rFonts w:asciiTheme="minorBidi" w:hAnsiTheme="minorBidi"/>
          <w:sz w:val="28"/>
          <w:szCs w:val="28"/>
          <w:rtl/>
          <w:lang w:bidi="ar-EG"/>
        </w:rPr>
      </w:pPr>
    </w:p>
    <w:p w14:paraId="42B9C889" w14:textId="77777777" w:rsidR="007E18D1" w:rsidRDefault="007E18D1" w:rsidP="00892FAC">
      <w:pPr>
        <w:spacing w:line="360" w:lineRule="auto"/>
        <w:ind w:firstLine="720"/>
        <w:rPr>
          <w:rFonts w:asciiTheme="minorBidi" w:hAnsiTheme="minorBidi"/>
          <w:sz w:val="28"/>
          <w:szCs w:val="28"/>
          <w:rtl/>
          <w:lang w:bidi="ar-EG"/>
        </w:rPr>
      </w:pPr>
    </w:p>
    <w:p w14:paraId="4585381B" w14:textId="77777777" w:rsidR="00892FAC" w:rsidRPr="00892FAC" w:rsidRDefault="00892FAC" w:rsidP="00892FAC">
      <w:pPr>
        <w:spacing w:line="360" w:lineRule="auto"/>
        <w:ind w:firstLine="720"/>
        <w:rPr>
          <w:rFonts w:asciiTheme="minorBidi" w:hAnsiTheme="minorBidi"/>
          <w:sz w:val="28"/>
          <w:szCs w:val="28"/>
          <w:rtl/>
          <w:lang w:bidi="ar-EG"/>
        </w:rPr>
      </w:pPr>
    </w:p>
    <w:p w14:paraId="22C62B98" w14:textId="77777777" w:rsidR="00057E67" w:rsidRPr="0053181F" w:rsidRDefault="00057E67" w:rsidP="00A61745">
      <w:pPr>
        <w:spacing w:line="360" w:lineRule="auto"/>
        <w:jc w:val="center"/>
        <w:rPr>
          <w:rFonts w:asciiTheme="minorBidi" w:hAnsiTheme="minorBidi"/>
          <w:b/>
          <w:bCs/>
          <w:sz w:val="32"/>
          <w:szCs w:val="32"/>
          <w:rtl/>
          <w:lang w:bidi="ar-EG"/>
        </w:rPr>
      </w:pPr>
      <w:r w:rsidRPr="0053181F">
        <w:rPr>
          <w:rFonts w:asciiTheme="minorBidi" w:hAnsiTheme="minorBidi" w:hint="cs"/>
          <w:b/>
          <w:bCs/>
          <w:sz w:val="32"/>
          <w:szCs w:val="32"/>
          <w:rtl/>
          <w:lang w:bidi="ar-EG"/>
        </w:rPr>
        <w:lastRenderedPageBreak/>
        <w:t>المستخلص</w:t>
      </w:r>
    </w:p>
    <w:p w14:paraId="27831A25" w14:textId="77777777" w:rsidR="00E51D26" w:rsidRDefault="00892FAC" w:rsidP="00E51D26">
      <w:pPr>
        <w:spacing w:line="360" w:lineRule="auto"/>
        <w:ind w:firstLine="720"/>
        <w:jc w:val="both"/>
        <w:rPr>
          <w:rFonts w:asciiTheme="minorBidi" w:hAnsiTheme="minorBidi"/>
          <w:sz w:val="28"/>
          <w:szCs w:val="28"/>
          <w:rtl/>
        </w:rPr>
      </w:pPr>
      <w:r>
        <w:rPr>
          <w:rFonts w:asciiTheme="minorBidi" w:hAnsiTheme="minorBidi" w:hint="cs"/>
          <w:sz w:val="28"/>
          <w:szCs w:val="28"/>
          <w:rtl/>
          <w:lang w:bidi="ar-EG"/>
        </w:rPr>
        <w:t xml:space="preserve">هدف البحث إلي </w:t>
      </w:r>
      <w:r w:rsidRPr="00892FAC">
        <w:rPr>
          <w:rFonts w:asciiTheme="minorBidi" w:hAnsiTheme="minorBidi"/>
          <w:sz w:val="28"/>
          <w:szCs w:val="28"/>
          <w:rtl/>
          <w:lang w:bidi="ar-EG"/>
        </w:rPr>
        <w:t>معرفة أساليب تطبيق إدارة الحسابات الرئيسية في شركات الأدوية.</w:t>
      </w:r>
      <w:r>
        <w:rPr>
          <w:rFonts w:asciiTheme="minorBidi" w:hAnsiTheme="minorBidi" w:hint="cs"/>
          <w:sz w:val="28"/>
          <w:szCs w:val="28"/>
          <w:rtl/>
          <w:lang w:bidi="ar-EG"/>
        </w:rPr>
        <w:t xml:space="preserve"> و</w:t>
      </w:r>
      <w:r w:rsidRPr="00892FAC">
        <w:rPr>
          <w:rFonts w:asciiTheme="minorBidi" w:hAnsiTheme="minorBidi"/>
          <w:sz w:val="28"/>
          <w:szCs w:val="28"/>
          <w:rtl/>
          <w:lang w:bidi="ar-EG"/>
        </w:rPr>
        <w:t>معرفة طرق تنفيذ إدارة الحسابات الرئيسية في شركات الأدوية فيما يتعلق بالعلاقات البيعية.</w:t>
      </w:r>
      <w:r>
        <w:rPr>
          <w:rFonts w:asciiTheme="minorBidi" w:hAnsiTheme="minorBidi" w:hint="cs"/>
          <w:sz w:val="28"/>
          <w:szCs w:val="28"/>
          <w:rtl/>
          <w:lang w:bidi="ar-EG"/>
        </w:rPr>
        <w:t xml:space="preserve"> و</w:t>
      </w:r>
      <w:r w:rsidRPr="00892FAC">
        <w:rPr>
          <w:rFonts w:asciiTheme="minorBidi" w:hAnsiTheme="minorBidi"/>
          <w:sz w:val="28"/>
          <w:szCs w:val="28"/>
          <w:rtl/>
          <w:lang w:bidi="ar-EG"/>
        </w:rPr>
        <w:t>معرفة التحديات التي تواجه إدارة الحسابات الرئيسية في البيئة الدوائية.</w:t>
      </w:r>
      <w:r>
        <w:rPr>
          <w:rFonts w:asciiTheme="minorBidi" w:hAnsiTheme="minorBidi" w:hint="cs"/>
          <w:sz w:val="28"/>
          <w:szCs w:val="28"/>
          <w:rtl/>
          <w:lang w:bidi="ar-EG"/>
        </w:rPr>
        <w:t xml:space="preserve"> و</w:t>
      </w:r>
      <w:r w:rsidRPr="00892FAC">
        <w:rPr>
          <w:rFonts w:asciiTheme="minorBidi" w:hAnsiTheme="minorBidi"/>
          <w:sz w:val="28"/>
          <w:szCs w:val="28"/>
          <w:rtl/>
          <w:lang w:bidi="ar-EG"/>
        </w:rPr>
        <w:t>معرفة الأدوات التي تعتمد عليها شركات الأدوية لقياس فعالية إدارة الحسابات الرئيسية.</w:t>
      </w:r>
      <w:r w:rsidR="001E2C12">
        <w:rPr>
          <w:rFonts w:asciiTheme="minorBidi" w:hAnsiTheme="minorBidi" w:hint="cs"/>
          <w:sz w:val="28"/>
          <w:szCs w:val="28"/>
          <w:rtl/>
          <w:lang w:bidi="ar-EG"/>
        </w:rPr>
        <w:t xml:space="preserve"> </w:t>
      </w:r>
      <w:r w:rsidR="001E2C12" w:rsidRPr="00C10852">
        <w:rPr>
          <w:rFonts w:asciiTheme="minorBidi" w:eastAsia="Times New Roman" w:hAnsiTheme="minorBidi"/>
          <w:sz w:val="28"/>
          <w:szCs w:val="28"/>
          <w:rtl/>
        </w:rPr>
        <w:t>استخدم البحث الحالي المنهج الوصفي التحليلي للوقوف على أثر إدارة الحسابات الرئيسية في تحسين العلاقات البيعية في شركات الأدوية.</w:t>
      </w:r>
      <w:r w:rsidR="001E2C12">
        <w:rPr>
          <w:rFonts w:asciiTheme="minorBidi" w:hAnsiTheme="minorBidi" w:hint="cs"/>
          <w:sz w:val="28"/>
          <w:szCs w:val="28"/>
          <w:rtl/>
        </w:rPr>
        <w:t xml:space="preserve"> و</w:t>
      </w:r>
      <w:r w:rsidR="001E2C12" w:rsidRPr="00C10852">
        <w:rPr>
          <w:rFonts w:asciiTheme="minorBidi" w:eastAsia="Times New Roman" w:hAnsiTheme="minorBidi"/>
          <w:sz w:val="28"/>
          <w:szCs w:val="28"/>
          <w:rtl/>
        </w:rPr>
        <w:t>تكون مجتمع البحث الحالي من جميع العاملين في إدارة الحسابات الرئيسية داخل شركات الأدوية.</w:t>
      </w:r>
      <w:r w:rsidR="001E2C12">
        <w:rPr>
          <w:rFonts w:asciiTheme="minorBidi" w:hAnsiTheme="minorBidi" w:hint="cs"/>
          <w:sz w:val="28"/>
          <w:szCs w:val="28"/>
          <w:rtl/>
        </w:rPr>
        <w:t xml:space="preserve"> و</w:t>
      </w:r>
      <w:r w:rsidR="001E2C12" w:rsidRPr="00C10852">
        <w:rPr>
          <w:rFonts w:asciiTheme="minorBidi" w:eastAsia="Times New Roman" w:hAnsiTheme="minorBidi"/>
          <w:sz w:val="28"/>
          <w:szCs w:val="28"/>
          <w:rtl/>
        </w:rPr>
        <w:t>تكونت عينة البحث الحالي من (40) من العاملين في إدارة الحسابات الرئيسية داخل شركات الأدوية.</w:t>
      </w:r>
      <w:r w:rsidR="001E2C12">
        <w:rPr>
          <w:rFonts w:asciiTheme="minorBidi" w:hAnsiTheme="minorBidi" w:hint="cs"/>
          <w:sz w:val="28"/>
          <w:szCs w:val="28"/>
          <w:rtl/>
        </w:rPr>
        <w:t xml:space="preserve"> </w:t>
      </w:r>
      <w:r w:rsidR="001E2C12" w:rsidRPr="00C10852">
        <w:rPr>
          <w:rFonts w:asciiTheme="minorBidi" w:eastAsia="Times New Roman" w:hAnsiTheme="minorBidi"/>
          <w:sz w:val="28"/>
          <w:szCs w:val="28"/>
          <w:rtl/>
        </w:rPr>
        <w:t xml:space="preserve">استخدم البحث الاستبيان كأداة لجمع المعلومات </w:t>
      </w:r>
      <w:r w:rsidR="001E2C12" w:rsidRPr="00817B57">
        <w:rPr>
          <w:rFonts w:asciiTheme="minorBidi" w:eastAsia="Times New Roman" w:hAnsiTheme="minorBidi"/>
          <w:sz w:val="28"/>
          <w:szCs w:val="28"/>
          <w:rtl/>
        </w:rPr>
        <w:t>اللازمة عن البحث، لمناسبتها لتحقيق أهداف البحث والإجابة عن أسئلته.</w:t>
      </w:r>
      <w:r w:rsidR="00E21400" w:rsidRPr="00817B57">
        <w:rPr>
          <w:rFonts w:asciiTheme="minorBidi" w:hAnsiTheme="minorBidi" w:hint="cs"/>
          <w:sz w:val="28"/>
          <w:szCs w:val="28"/>
          <w:rtl/>
          <w:lang w:bidi="ar-EG"/>
        </w:rPr>
        <w:t xml:space="preserve"> </w:t>
      </w:r>
      <w:r w:rsidR="00E21400" w:rsidRPr="00817B57">
        <w:rPr>
          <w:rFonts w:asciiTheme="minorBidi" w:eastAsia="Times New Roman" w:hAnsiTheme="minorBidi"/>
          <w:sz w:val="28"/>
          <w:szCs w:val="28"/>
          <w:rtl/>
        </w:rPr>
        <w:t>الأساليب الإحصائية المستخدمة</w:t>
      </w:r>
      <w:r w:rsidR="00E21400" w:rsidRPr="00817B57">
        <w:rPr>
          <w:rFonts w:asciiTheme="minorBidi" w:eastAsia="Times New Roman" w:hAnsiTheme="minorBidi" w:hint="cs"/>
          <w:sz w:val="28"/>
          <w:szCs w:val="28"/>
          <w:rtl/>
        </w:rPr>
        <w:t xml:space="preserve"> في البحث: </w:t>
      </w:r>
      <w:r w:rsidR="00E21400" w:rsidRPr="00817B57">
        <w:rPr>
          <w:rFonts w:asciiTheme="minorBidi" w:hAnsiTheme="minorBidi" w:hint="cs"/>
          <w:sz w:val="28"/>
          <w:szCs w:val="28"/>
          <w:rtl/>
          <w:lang w:bidi="ar-EG"/>
        </w:rPr>
        <w:t xml:space="preserve"> </w:t>
      </w:r>
      <w:r w:rsidR="00E21400" w:rsidRPr="00817B57">
        <w:rPr>
          <w:rFonts w:asciiTheme="minorBidi" w:hAnsiTheme="minorBidi"/>
          <w:sz w:val="28"/>
          <w:szCs w:val="28"/>
          <w:rtl/>
        </w:rPr>
        <w:t>التكرارات والنسب المئوية والرتب</w:t>
      </w:r>
      <w:r w:rsidR="00817B57" w:rsidRPr="00817B57">
        <w:rPr>
          <w:rFonts w:asciiTheme="minorBidi" w:hAnsiTheme="minorBidi" w:hint="cs"/>
          <w:sz w:val="28"/>
          <w:szCs w:val="28"/>
          <w:rtl/>
        </w:rPr>
        <w:t>، واوزن النسبي و</w:t>
      </w:r>
      <w:r w:rsidR="00E21400" w:rsidRPr="00817B57">
        <w:rPr>
          <w:rFonts w:asciiTheme="minorBidi" w:hAnsiTheme="minorBidi"/>
          <w:sz w:val="28"/>
          <w:szCs w:val="28"/>
          <w:rtl/>
        </w:rPr>
        <w:t>المتوسط</w:t>
      </w:r>
      <w:r w:rsidR="00E21400" w:rsidRPr="00C10852">
        <w:rPr>
          <w:rFonts w:asciiTheme="minorBidi" w:hAnsiTheme="minorBidi"/>
          <w:sz w:val="28"/>
          <w:szCs w:val="28"/>
          <w:rtl/>
        </w:rPr>
        <w:t xml:space="preserve"> الحسابي</w:t>
      </w:r>
      <w:r w:rsidR="00817B57">
        <w:rPr>
          <w:rFonts w:asciiTheme="minorBidi" w:hAnsiTheme="minorBidi" w:hint="cs"/>
          <w:sz w:val="28"/>
          <w:szCs w:val="28"/>
          <w:rtl/>
        </w:rPr>
        <w:t>، و</w:t>
      </w:r>
      <w:r w:rsidR="00E21400" w:rsidRPr="00C10852">
        <w:rPr>
          <w:rFonts w:asciiTheme="minorBidi" w:hAnsiTheme="minorBidi"/>
          <w:sz w:val="28"/>
          <w:szCs w:val="28"/>
          <w:rtl/>
        </w:rPr>
        <w:t>الانحراف المعياري</w:t>
      </w:r>
      <w:r w:rsidR="00817B57">
        <w:rPr>
          <w:rFonts w:asciiTheme="minorBidi" w:hAnsiTheme="minorBidi" w:hint="cs"/>
          <w:sz w:val="28"/>
          <w:szCs w:val="28"/>
          <w:rtl/>
        </w:rPr>
        <w:t>، و</w:t>
      </w:r>
      <w:r w:rsidR="00E21400" w:rsidRPr="00C10852">
        <w:rPr>
          <w:rFonts w:asciiTheme="minorBidi" w:hAnsiTheme="minorBidi"/>
          <w:sz w:val="28"/>
          <w:szCs w:val="28"/>
          <w:rtl/>
        </w:rPr>
        <w:t>معامل ألفا كرونباخ</w:t>
      </w:r>
      <w:r w:rsidR="00817B57">
        <w:rPr>
          <w:rFonts w:asciiTheme="minorBidi" w:hAnsiTheme="minorBidi" w:hint="cs"/>
          <w:sz w:val="28"/>
          <w:szCs w:val="28"/>
          <w:rtl/>
        </w:rPr>
        <w:t>. ومن أبرز نتائج البح</w:t>
      </w:r>
      <w:r w:rsidR="00E51D26">
        <w:rPr>
          <w:rFonts w:asciiTheme="minorBidi" w:hAnsiTheme="minorBidi" w:hint="cs"/>
          <w:sz w:val="28"/>
          <w:szCs w:val="28"/>
          <w:rtl/>
        </w:rPr>
        <w:t xml:space="preserve">ث: </w:t>
      </w:r>
      <w:r w:rsidR="00E51D26" w:rsidRPr="00A61745">
        <w:rPr>
          <w:rFonts w:asciiTheme="minorBidi" w:hAnsiTheme="minorBidi"/>
          <w:sz w:val="28"/>
          <w:szCs w:val="28"/>
          <w:rtl/>
          <w:lang w:bidi="ar-EG"/>
        </w:rPr>
        <w:t>أظهرت نتائج الدراسة أن إدارة الحسابات الرئيسية في شركات الأدوية تعتمد على عدة ممارسات وأدوات أساسية تؤثر إيجابيًا في تحسين العلاقات البيعية، مع وجود تحديات تعيق الأداء.</w:t>
      </w:r>
      <w:r w:rsidR="00E51D26">
        <w:rPr>
          <w:rFonts w:asciiTheme="minorBidi" w:hAnsiTheme="minorBidi" w:hint="cs"/>
          <w:sz w:val="28"/>
          <w:szCs w:val="28"/>
          <w:rtl/>
          <w:lang w:bidi="ar-EG"/>
        </w:rPr>
        <w:t xml:space="preserve"> وتوصل البحث إلي أن </w:t>
      </w:r>
      <w:r w:rsidR="00E51D26" w:rsidRPr="00A61745">
        <w:rPr>
          <w:rFonts w:asciiTheme="minorBidi" w:hAnsiTheme="minorBidi"/>
          <w:sz w:val="28"/>
          <w:szCs w:val="28"/>
          <w:rtl/>
          <w:lang w:bidi="ar-EG"/>
        </w:rPr>
        <w:t>أساليب تطبيق إدارة الحسابات الرئيسية: تصدرت أهمية تطوير خطط استراتيجية مخصصة لكل حساب رئيسي قائمة الأساليب المتبعة، تلتها تخصيص فرق متخصصة لإدارة الحسابات وتوفير التدريب المستمر لتعزيز مهارات الفرق. بينما كانت استخدام التكنولوجيا المتقدمة والتقييم الدوري أقل تبنيًا، مما يشير إلى فرص لتحسين هذه الجوانب.</w:t>
      </w:r>
      <w:r w:rsidR="00E51D26">
        <w:rPr>
          <w:rFonts w:asciiTheme="minorBidi" w:hAnsiTheme="minorBidi" w:hint="cs"/>
          <w:sz w:val="28"/>
          <w:szCs w:val="28"/>
          <w:rtl/>
          <w:lang w:bidi="ar-EG"/>
        </w:rPr>
        <w:t>و</w:t>
      </w:r>
      <w:r w:rsidR="00E51D26" w:rsidRPr="00A61745">
        <w:rPr>
          <w:rFonts w:asciiTheme="minorBidi" w:hAnsiTheme="minorBidi"/>
          <w:sz w:val="28"/>
          <w:szCs w:val="28"/>
          <w:rtl/>
          <w:lang w:bidi="ar-EG"/>
        </w:rPr>
        <w:t xml:space="preserve"> أبرزت النتائج أن بناء علاقات شخصية قوية مع العملاء الرئيسيين يمثل الأساس في تنفيذ إدارة الحسابات الرئيسية لتعزيز الثقة والتفاهم. كذلك، تُعتبر الاجتماعات الدورية واستخدام تقنيات التواصل الحديثة أدوات فعالة للحفاظ على تواصل مستمر مع العملاء. ويلاحظ أن مشاركة العملاء في اتخاذ القرار وحل المشكلات ب</w:t>
      </w:r>
      <w:r w:rsidR="00E51D26">
        <w:rPr>
          <w:rFonts w:asciiTheme="minorBidi" w:hAnsiTheme="minorBidi"/>
          <w:sz w:val="28"/>
          <w:szCs w:val="28"/>
          <w:rtl/>
          <w:lang w:bidi="ar-EG"/>
        </w:rPr>
        <w:t>شكل مشترك لا تزال أقل استخدامًا</w:t>
      </w:r>
      <w:r w:rsidR="00E51D26">
        <w:rPr>
          <w:rFonts w:asciiTheme="minorBidi" w:hAnsiTheme="minorBidi" w:hint="cs"/>
          <w:sz w:val="28"/>
          <w:szCs w:val="28"/>
          <w:rtl/>
          <w:lang w:bidi="ar-EG"/>
        </w:rPr>
        <w:t xml:space="preserve">. ومن أبرز نتائج البحث أن </w:t>
      </w:r>
      <w:r w:rsidR="00E51D26" w:rsidRPr="00A61745">
        <w:rPr>
          <w:rFonts w:asciiTheme="minorBidi" w:hAnsiTheme="minorBidi"/>
          <w:sz w:val="28"/>
          <w:szCs w:val="28"/>
          <w:rtl/>
          <w:lang w:bidi="ar-EG"/>
        </w:rPr>
        <w:t>أكبر التحديات تتعلق بـضعف التنسيق بين الأقسام وقلة التدريب المستمر لفِرق الحسابات الرئيسية. كما تبرز مقاومة التغيير ونقص البيانات الدقيقة كعقبات تعيق الفعالية. إلى جانب ذلك، تؤثر القيود التنظيمية والعوامل الخارجية مثل المنافسة الشديدة على جودة التواصل. وتمثل محدودية الموارد المالية تحديًا أقل حدة لكنه مهم.</w:t>
      </w:r>
      <w:r w:rsidR="00E51D26">
        <w:rPr>
          <w:rFonts w:asciiTheme="minorBidi" w:hAnsiTheme="minorBidi" w:hint="cs"/>
          <w:sz w:val="28"/>
          <w:szCs w:val="28"/>
          <w:rtl/>
          <w:lang w:bidi="ar-EG"/>
        </w:rPr>
        <w:t xml:space="preserve"> كما </w:t>
      </w:r>
      <w:r w:rsidR="00E51D26">
        <w:rPr>
          <w:rFonts w:asciiTheme="minorBidi" w:hAnsiTheme="minorBidi"/>
          <w:sz w:val="28"/>
          <w:szCs w:val="28"/>
          <w:rtl/>
          <w:lang w:bidi="ar-EG"/>
        </w:rPr>
        <w:t>أظهر</w:t>
      </w:r>
      <w:r w:rsidR="00E51D26">
        <w:rPr>
          <w:rFonts w:asciiTheme="minorBidi" w:hAnsiTheme="minorBidi" w:hint="cs"/>
          <w:sz w:val="28"/>
          <w:szCs w:val="28"/>
          <w:rtl/>
          <w:lang w:bidi="ar-EG"/>
        </w:rPr>
        <w:t xml:space="preserve"> البحث </w:t>
      </w:r>
      <w:r w:rsidR="00E51D26" w:rsidRPr="00A61745">
        <w:rPr>
          <w:rFonts w:asciiTheme="minorBidi" w:hAnsiTheme="minorBidi"/>
          <w:sz w:val="28"/>
          <w:szCs w:val="28"/>
          <w:rtl/>
          <w:lang w:bidi="ar-EG"/>
        </w:rPr>
        <w:t>اعتمادًا كبيرًا على مؤشرات الأداء الرئيسية (</w:t>
      </w:r>
      <w:r w:rsidR="00E51D26" w:rsidRPr="00A61745">
        <w:rPr>
          <w:rFonts w:asciiTheme="minorBidi" w:hAnsiTheme="minorBidi"/>
          <w:sz w:val="28"/>
          <w:szCs w:val="28"/>
          <w:lang w:bidi="ar-EG"/>
        </w:rPr>
        <w:t>KPIs</w:t>
      </w:r>
      <w:r w:rsidR="00E51D26" w:rsidRPr="00A61745">
        <w:rPr>
          <w:rFonts w:asciiTheme="minorBidi" w:hAnsiTheme="minorBidi"/>
          <w:sz w:val="28"/>
          <w:szCs w:val="28"/>
          <w:rtl/>
          <w:lang w:bidi="ar-EG"/>
        </w:rPr>
        <w:t xml:space="preserve">) كأداة رئيسية لقياس الفعالية، تلتها استبيانات رضا العملاء وتحليل المبيعات والعائدات. كما تلعب التقارير الدورية والاجتماعات الدورية دورًا مهمًا في المتابعة والتحسين، </w:t>
      </w:r>
      <w:r w:rsidR="00E51D26" w:rsidRPr="00E51D26">
        <w:rPr>
          <w:rFonts w:asciiTheme="minorBidi" w:hAnsiTheme="minorBidi"/>
          <w:sz w:val="28"/>
          <w:szCs w:val="28"/>
          <w:rtl/>
          <w:lang w:bidi="ar-EG"/>
        </w:rPr>
        <w:t xml:space="preserve">مع زيادة الاعتماد على أدوات تحليل البيانات مثل برامج </w:t>
      </w:r>
      <w:r w:rsidR="00E51D26" w:rsidRPr="00E51D26">
        <w:rPr>
          <w:rFonts w:asciiTheme="minorBidi" w:hAnsiTheme="minorBidi"/>
          <w:sz w:val="28"/>
          <w:szCs w:val="28"/>
          <w:lang w:bidi="ar-EG"/>
        </w:rPr>
        <w:t>CRM</w:t>
      </w:r>
      <w:r w:rsidR="00E51D26" w:rsidRPr="00E51D26">
        <w:rPr>
          <w:rFonts w:asciiTheme="minorBidi" w:hAnsiTheme="minorBidi"/>
          <w:sz w:val="28"/>
          <w:szCs w:val="28"/>
          <w:rtl/>
          <w:lang w:bidi="ar-EG"/>
        </w:rPr>
        <w:t>. تقييم التعاون والتواصل بين الفرق والعملاء كان أقل أهمية نسبيًا ولكنه لا يزال جزءًا من منظومة القياس.</w:t>
      </w:r>
      <w:r w:rsidR="00E51D26" w:rsidRPr="00E51D26">
        <w:rPr>
          <w:rFonts w:asciiTheme="minorBidi" w:hAnsiTheme="minorBidi" w:hint="cs"/>
          <w:sz w:val="28"/>
          <w:szCs w:val="28"/>
          <w:rtl/>
        </w:rPr>
        <w:t xml:space="preserve"> وقد </w:t>
      </w:r>
      <w:r w:rsidR="00E51D26" w:rsidRPr="00E51D26">
        <w:rPr>
          <w:rFonts w:asciiTheme="minorBidi" w:hAnsiTheme="minorBidi"/>
          <w:sz w:val="28"/>
          <w:szCs w:val="28"/>
          <w:rtl/>
          <w:lang w:bidi="ar-EG"/>
        </w:rPr>
        <w:t xml:space="preserve">اوصي البحث </w:t>
      </w:r>
      <w:r w:rsidR="00E51D26" w:rsidRPr="00E51D26">
        <w:rPr>
          <w:rFonts w:asciiTheme="minorBidi" w:hAnsiTheme="minorBidi" w:hint="cs"/>
          <w:sz w:val="28"/>
          <w:szCs w:val="28"/>
          <w:rtl/>
        </w:rPr>
        <w:t>ب</w:t>
      </w:r>
      <w:r w:rsidR="00E51D26" w:rsidRPr="00E51D26">
        <w:rPr>
          <w:rFonts w:asciiTheme="minorBidi" w:hAnsiTheme="minorBidi"/>
          <w:sz w:val="28"/>
          <w:szCs w:val="28"/>
          <w:rtl/>
          <w:lang w:bidi="ar-EG"/>
        </w:rPr>
        <w:t>تعزيز التنسيق الداخلي بين الأقسام: نظرًا لأن ضعف التنسيق الداخلي يمثل التحدي</w:t>
      </w:r>
      <w:r w:rsidR="00E51D26" w:rsidRPr="00A61745">
        <w:rPr>
          <w:rFonts w:asciiTheme="minorBidi" w:hAnsiTheme="minorBidi"/>
          <w:sz w:val="28"/>
          <w:szCs w:val="28"/>
          <w:rtl/>
          <w:lang w:bidi="ar-EG"/>
        </w:rPr>
        <w:t xml:space="preserve"> الأكبر في تطبيق إدارة الحسابات الرئيسية، يجب على شركات الأدوية </w:t>
      </w:r>
      <w:r w:rsidR="00E51D26" w:rsidRPr="00A61745">
        <w:rPr>
          <w:rFonts w:asciiTheme="minorBidi" w:hAnsiTheme="minorBidi"/>
          <w:sz w:val="28"/>
          <w:szCs w:val="28"/>
          <w:rtl/>
          <w:lang w:bidi="ar-EG"/>
        </w:rPr>
        <w:lastRenderedPageBreak/>
        <w:t>تطوير آليات تواصل وتكامل بين الفرق المختلفة (المبيعات، التسويق، الدعم الفني، وغيرها) لضمان</w:t>
      </w:r>
      <w:r w:rsidR="00E51D26">
        <w:rPr>
          <w:rFonts w:asciiTheme="minorBidi" w:hAnsiTheme="minorBidi"/>
          <w:sz w:val="28"/>
          <w:szCs w:val="28"/>
          <w:rtl/>
          <w:lang w:bidi="ar-EG"/>
        </w:rPr>
        <w:t xml:space="preserve"> تنفيذ استراتيجيات موحدة وفعالة</w:t>
      </w:r>
      <w:r w:rsidR="00E51D26">
        <w:rPr>
          <w:rFonts w:asciiTheme="minorBidi" w:hAnsiTheme="minorBidi" w:hint="cs"/>
          <w:sz w:val="28"/>
          <w:szCs w:val="28"/>
          <w:rtl/>
          <w:lang w:bidi="ar-EG"/>
        </w:rPr>
        <w:t>. واوصي ايضا ب</w:t>
      </w:r>
      <w:r w:rsidR="00E51D26" w:rsidRPr="00A61745">
        <w:rPr>
          <w:rFonts w:asciiTheme="minorBidi" w:hAnsiTheme="minorBidi"/>
          <w:sz w:val="28"/>
          <w:szCs w:val="28"/>
          <w:rtl/>
          <w:lang w:bidi="ar-EG"/>
        </w:rPr>
        <w:t>توفير برامج تدريب مستمرة ومتكاملة: بناءً على أهمية التدريب المستمر التي أبرزتها الدراسة، ينصح بإعداد برامج تطوير مهني مخصصة لفِرق إدارة الحسابات الرئيسية لتعزيز مهاراتهم التقنية، التفاوضية، وفهم احتياجات العملاء بعمق.</w:t>
      </w:r>
    </w:p>
    <w:p w14:paraId="6B8ED28F" w14:textId="77777777" w:rsidR="0021403E" w:rsidRPr="0021403E" w:rsidRDefault="0021403E" w:rsidP="0021403E">
      <w:pPr>
        <w:spacing w:line="360" w:lineRule="auto"/>
        <w:ind w:firstLine="720"/>
        <w:jc w:val="both"/>
        <w:rPr>
          <w:rFonts w:asciiTheme="minorBidi" w:hAnsiTheme="minorBidi"/>
          <w:sz w:val="28"/>
          <w:szCs w:val="28"/>
          <w:rtl/>
        </w:rPr>
      </w:pPr>
      <w:r w:rsidRPr="0021403E">
        <w:rPr>
          <w:rFonts w:asciiTheme="minorBidi" w:hAnsiTheme="minorBidi" w:hint="cs"/>
          <w:b/>
          <w:bCs/>
          <w:sz w:val="28"/>
          <w:szCs w:val="28"/>
          <w:rtl/>
        </w:rPr>
        <w:t>كلمات مفتاحية</w:t>
      </w:r>
      <w:r w:rsidRPr="0021403E">
        <w:rPr>
          <w:rFonts w:asciiTheme="minorBidi" w:hAnsiTheme="minorBidi" w:hint="cs"/>
          <w:sz w:val="28"/>
          <w:szCs w:val="28"/>
          <w:rtl/>
        </w:rPr>
        <w:t xml:space="preserve">: </w:t>
      </w:r>
      <w:r w:rsidRPr="0021403E">
        <w:rPr>
          <w:rFonts w:asciiTheme="minorBidi" w:eastAsia="Times New Roman" w:hAnsiTheme="minorBidi"/>
          <w:sz w:val="28"/>
          <w:szCs w:val="28"/>
          <w:rtl/>
        </w:rPr>
        <w:t>أثر</w:t>
      </w:r>
      <w:r w:rsidRPr="0021403E">
        <w:rPr>
          <w:rFonts w:asciiTheme="minorBidi" w:eastAsia="Times New Roman" w:hAnsiTheme="minorBidi" w:hint="cs"/>
          <w:sz w:val="28"/>
          <w:szCs w:val="28"/>
          <w:rtl/>
        </w:rPr>
        <w:t xml:space="preserve">- </w:t>
      </w:r>
      <w:r w:rsidRPr="0021403E">
        <w:rPr>
          <w:rFonts w:asciiTheme="minorBidi" w:eastAsia="Times New Roman" w:hAnsiTheme="minorBidi"/>
          <w:sz w:val="28"/>
          <w:szCs w:val="28"/>
          <w:rtl/>
        </w:rPr>
        <w:t xml:space="preserve"> إدارة الحسابات الرئيسية</w:t>
      </w:r>
      <w:r w:rsidRPr="0021403E">
        <w:rPr>
          <w:rFonts w:asciiTheme="minorBidi" w:eastAsia="Times New Roman" w:hAnsiTheme="minorBidi" w:hint="cs"/>
          <w:sz w:val="28"/>
          <w:szCs w:val="28"/>
          <w:rtl/>
        </w:rPr>
        <w:t xml:space="preserve">- </w:t>
      </w:r>
      <w:r w:rsidRPr="0021403E">
        <w:rPr>
          <w:rFonts w:asciiTheme="minorBidi" w:eastAsia="Times New Roman" w:hAnsiTheme="minorBidi"/>
          <w:sz w:val="28"/>
          <w:szCs w:val="28"/>
          <w:rtl/>
        </w:rPr>
        <w:t xml:space="preserve">تحسين </w:t>
      </w:r>
      <w:r w:rsidRPr="0021403E">
        <w:rPr>
          <w:rFonts w:asciiTheme="minorBidi" w:eastAsia="Times New Roman" w:hAnsiTheme="minorBidi" w:hint="cs"/>
          <w:sz w:val="28"/>
          <w:szCs w:val="28"/>
          <w:rtl/>
        </w:rPr>
        <w:t xml:space="preserve">- </w:t>
      </w:r>
      <w:r w:rsidRPr="0021403E">
        <w:rPr>
          <w:rFonts w:asciiTheme="minorBidi" w:eastAsia="Times New Roman" w:hAnsiTheme="minorBidi"/>
          <w:sz w:val="28"/>
          <w:szCs w:val="28"/>
          <w:rtl/>
        </w:rPr>
        <w:t>العلاقات البيعية</w:t>
      </w:r>
      <w:r w:rsidRPr="0021403E">
        <w:rPr>
          <w:rFonts w:asciiTheme="minorBidi" w:eastAsia="Times New Roman" w:hAnsiTheme="minorBidi" w:hint="cs"/>
          <w:sz w:val="28"/>
          <w:szCs w:val="28"/>
          <w:rtl/>
        </w:rPr>
        <w:t xml:space="preserve">- </w:t>
      </w:r>
      <w:r w:rsidRPr="0021403E">
        <w:rPr>
          <w:rFonts w:asciiTheme="minorBidi" w:eastAsia="Times New Roman" w:hAnsiTheme="minorBidi"/>
          <w:sz w:val="28"/>
          <w:szCs w:val="28"/>
          <w:rtl/>
        </w:rPr>
        <w:t xml:space="preserve"> شركات الأدوية</w:t>
      </w:r>
      <w:r w:rsidRPr="0021403E">
        <w:rPr>
          <w:rFonts w:asciiTheme="minorBidi" w:hAnsiTheme="minorBidi" w:hint="cs"/>
          <w:sz w:val="28"/>
          <w:szCs w:val="28"/>
          <w:rtl/>
        </w:rPr>
        <w:t>.</w:t>
      </w:r>
    </w:p>
    <w:p w14:paraId="61309EF9" w14:textId="77777777" w:rsidR="0021403E" w:rsidRPr="00A61745" w:rsidRDefault="0021403E" w:rsidP="00E51D26">
      <w:pPr>
        <w:spacing w:line="360" w:lineRule="auto"/>
        <w:ind w:firstLine="720"/>
        <w:jc w:val="both"/>
        <w:rPr>
          <w:rFonts w:asciiTheme="minorBidi" w:hAnsiTheme="minorBidi"/>
          <w:sz w:val="28"/>
          <w:szCs w:val="28"/>
        </w:rPr>
      </w:pPr>
    </w:p>
    <w:p w14:paraId="214FAD5F" w14:textId="77777777" w:rsidR="00817B57" w:rsidRPr="00E51D26" w:rsidRDefault="00817B57" w:rsidP="00817B57">
      <w:pPr>
        <w:spacing w:line="360" w:lineRule="auto"/>
        <w:ind w:firstLine="720"/>
        <w:jc w:val="both"/>
        <w:rPr>
          <w:rFonts w:asciiTheme="minorBidi" w:hAnsiTheme="minorBidi"/>
          <w:sz w:val="28"/>
          <w:szCs w:val="28"/>
          <w:rtl/>
        </w:rPr>
      </w:pPr>
    </w:p>
    <w:p w14:paraId="08BAD31B" w14:textId="77777777" w:rsidR="00E21400" w:rsidRPr="00A61745" w:rsidRDefault="00E21400" w:rsidP="00E21400">
      <w:pPr>
        <w:spacing w:line="360" w:lineRule="auto"/>
        <w:jc w:val="both"/>
        <w:rPr>
          <w:rFonts w:asciiTheme="minorBidi" w:hAnsiTheme="minorBidi"/>
          <w:sz w:val="28"/>
          <w:szCs w:val="28"/>
          <w:rtl/>
        </w:rPr>
      </w:pPr>
    </w:p>
    <w:p w14:paraId="02417221" w14:textId="77777777" w:rsidR="001E2C12" w:rsidRPr="001E2C12" w:rsidRDefault="001E2C12" w:rsidP="001E2C12">
      <w:pPr>
        <w:spacing w:line="360" w:lineRule="auto"/>
        <w:ind w:firstLine="720"/>
        <w:jc w:val="both"/>
        <w:rPr>
          <w:rFonts w:asciiTheme="minorBidi" w:hAnsiTheme="minorBidi"/>
          <w:sz w:val="28"/>
          <w:szCs w:val="28"/>
          <w:rtl/>
        </w:rPr>
      </w:pPr>
    </w:p>
    <w:p w14:paraId="23C3FBC3" w14:textId="77777777" w:rsidR="00892FAC" w:rsidRPr="00892FAC" w:rsidRDefault="00892FAC" w:rsidP="00892FAC">
      <w:pPr>
        <w:spacing w:line="360" w:lineRule="auto"/>
        <w:jc w:val="both"/>
        <w:rPr>
          <w:rFonts w:asciiTheme="minorBidi" w:hAnsiTheme="minorBidi"/>
          <w:sz w:val="28"/>
          <w:szCs w:val="28"/>
          <w:rtl/>
        </w:rPr>
      </w:pPr>
    </w:p>
    <w:p w14:paraId="309E1BEB" w14:textId="77777777" w:rsidR="00892FAC" w:rsidRDefault="00892FAC" w:rsidP="00892FAC">
      <w:pPr>
        <w:spacing w:line="360" w:lineRule="auto"/>
        <w:rPr>
          <w:rFonts w:asciiTheme="minorBidi" w:hAnsiTheme="minorBidi"/>
          <w:sz w:val="28"/>
          <w:szCs w:val="28"/>
          <w:rtl/>
          <w:lang w:bidi="ar-EG"/>
        </w:rPr>
      </w:pPr>
    </w:p>
    <w:p w14:paraId="3CA1DA11" w14:textId="77777777" w:rsidR="00E51D26" w:rsidRDefault="00E51D26" w:rsidP="00892FAC">
      <w:pPr>
        <w:spacing w:line="360" w:lineRule="auto"/>
        <w:rPr>
          <w:rFonts w:asciiTheme="minorBidi" w:hAnsiTheme="minorBidi"/>
          <w:sz w:val="28"/>
          <w:szCs w:val="28"/>
          <w:rtl/>
          <w:lang w:bidi="ar-EG"/>
        </w:rPr>
      </w:pPr>
    </w:p>
    <w:p w14:paraId="283793E5" w14:textId="77777777" w:rsidR="00E51D26" w:rsidRDefault="00E51D26" w:rsidP="00892FAC">
      <w:pPr>
        <w:spacing w:line="360" w:lineRule="auto"/>
        <w:rPr>
          <w:rFonts w:asciiTheme="minorBidi" w:hAnsiTheme="minorBidi"/>
          <w:sz w:val="28"/>
          <w:szCs w:val="28"/>
          <w:rtl/>
          <w:lang w:bidi="ar-EG"/>
        </w:rPr>
      </w:pPr>
    </w:p>
    <w:p w14:paraId="77318A3C" w14:textId="77777777" w:rsidR="00E51D26" w:rsidRDefault="00E51D26" w:rsidP="00892FAC">
      <w:pPr>
        <w:spacing w:line="360" w:lineRule="auto"/>
        <w:rPr>
          <w:rFonts w:asciiTheme="minorBidi" w:hAnsiTheme="minorBidi"/>
          <w:sz w:val="28"/>
          <w:szCs w:val="28"/>
          <w:rtl/>
          <w:lang w:bidi="ar-EG"/>
        </w:rPr>
      </w:pPr>
    </w:p>
    <w:p w14:paraId="42911C07" w14:textId="77777777" w:rsidR="00E51D26" w:rsidRDefault="00E51D26" w:rsidP="00892FAC">
      <w:pPr>
        <w:spacing w:line="360" w:lineRule="auto"/>
        <w:rPr>
          <w:rFonts w:asciiTheme="minorBidi" w:hAnsiTheme="minorBidi"/>
          <w:sz w:val="28"/>
          <w:szCs w:val="28"/>
          <w:rtl/>
          <w:lang w:bidi="ar-EG"/>
        </w:rPr>
      </w:pPr>
    </w:p>
    <w:p w14:paraId="53ED18AD" w14:textId="77777777" w:rsidR="00E51D26" w:rsidRDefault="00E51D26" w:rsidP="00892FAC">
      <w:pPr>
        <w:spacing w:line="360" w:lineRule="auto"/>
        <w:rPr>
          <w:rFonts w:asciiTheme="minorBidi" w:hAnsiTheme="minorBidi"/>
          <w:sz w:val="28"/>
          <w:szCs w:val="28"/>
          <w:rtl/>
          <w:lang w:bidi="ar-EG"/>
        </w:rPr>
      </w:pPr>
    </w:p>
    <w:p w14:paraId="49D88069" w14:textId="77777777" w:rsidR="00E51D26" w:rsidRDefault="00E51D26" w:rsidP="00892FAC">
      <w:pPr>
        <w:spacing w:line="360" w:lineRule="auto"/>
        <w:rPr>
          <w:rFonts w:asciiTheme="minorBidi" w:hAnsiTheme="minorBidi"/>
          <w:sz w:val="28"/>
          <w:szCs w:val="28"/>
          <w:rtl/>
          <w:lang w:bidi="ar-EG"/>
        </w:rPr>
      </w:pPr>
    </w:p>
    <w:p w14:paraId="2C4AD8B6" w14:textId="77777777" w:rsidR="007E18D1" w:rsidRDefault="007E18D1" w:rsidP="00892FAC">
      <w:pPr>
        <w:spacing w:line="360" w:lineRule="auto"/>
        <w:rPr>
          <w:rFonts w:asciiTheme="minorBidi" w:hAnsiTheme="minorBidi"/>
          <w:sz w:val="28"/>
          <w:szCs w:val="28"/>
          <w:rtl/>
          <w:lang w:bidi="ar-EG"/>
        </w:rPr>
      </w:pPr>
    </w:p>
    <w:p w14:paraId="1BE57756" w14:textId="77777777" w:rsidR="007E18D1" w:rsidRDefault="007E18D1" w:rsidP="00A61745">
      <w:pPr>
        <w:spacing w:line="360" w:lineRule="auto"/>
        <w:jc w:val="center"/>
        <w:rPr>
          <w:rFonts w:asciiTheme="minorBidi" w:hAnsiTheme="minorBidi"/>
          <w:b/>
          <w:bCs/>
          <w:sz w:val="28"/>
          <w:szCs w:val="28"/>
          <w:rtl/>
          <w:lang w:bidi="ar-EG"/>
        </w:rPr>
      </w:pPr>
    </w:p>
    <w:p w14:paraId="5A8EFC90" w14:textId="77777777" w:rsidR="007E18D1" w:rsidRDefault="007E18D1" w:rsidP="00A61745">
      <w:pPr>
        <w:spacing w:line="360" w:lineRule="auto"/>
        <w:jc w:val="center"/>
        <w:rPr>
          <w:rFonts w:asciiTheme="minorBidi" w:hAnsiTheme="minorBidi"/>
          <w:b/>
          <w:bCs/>
          <w:sz w:val="28"/>
          <w:szCs w:val="28"/>
          <w:rtl/>
          <w:lang w:bidi="ar-EG"/>
        </w:rPr>
      </w:pPr>
    </w:p>
    <w:p w14:paraId="4496D50B" w14:textId="77777777" w:rsidR="007E18D1" w:rsidRDefault="007E18D1" w:rsidP="00A61745">
      <w:pPr>
        <w:spacing w:line="360" w:lineRule="auto"/>
        <w:jc w:val="center"/>
        <w:rPr>
          <w:rFonts w:asciiTheme="minorBidi" w:hAnsiTheme="minorBidi"/>
          <w:b/>
          <w:bCs/>
          <w:sz w:val="28"/>
          <w:szCs w:val="28"/>
          <w:rtl/>
          <w:lang w:bidi="ar-EG"/>
        </w:rPr>
      </w:pPr>
    </w:p>
    <w:p w14:paraId="359A9331" w14:textId="77777777" w:rsidR="007E18D1" w:rsidRDefault="007E18D1" w:rsidP="00A61745">
      <w:pPr>
        <w:spacing w:line="360" w:lineRule="auto"/>
        <w:jc w:val="center"/>
        <w:rPr>
          <w:rFonts w:asciiTheme="minorBidi" w:hAnsiTheme="minorBidi"/>
          <w:b/>
          <w:bCs/>
          <w:sz w:val="28"/>
          <w:szCs w:val="28"/>
          <w:rtl/>
          <w:lang w:bidi="ar-EG"/>
        </w:rPr>
      </w:pPr>
    </w:p>
    <w:p w14:paraId="11C314A3" w14:textId="6977D7B1" w:rsidR="00057E67" w:rsidRDefault="00057E67" w:rsidP="00A61745">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lastRenderedPageBreak/>
        <w:t>الشكر والتقدير</w:t>
      </w:r>
    </w:p>
    <w:p w14:paraId="03FB788D" w14:textId="77777777" w:rsidR="006F2AC5" w:rsidRPr="003907DC" w:rsidRDefault="006F2AC5" w:rsidP="003907DC">
      <w:pPr>
        <w:spacing w:line="360" w:lineRule="auto"/>
        <w:ind w:firstLine="720"/>
        <w:jc w:val="both"/>
        <w:rPr>
          <w:rFonts w:cs="Simplified Arabic"/>
          <w:sz w:val="28"/>
          <w:szCs w:val="28"/>
          <w:rtl/>
        </w:rPr>
      </w:pPr>
      <w:r w:rsidRPr="003907DC">
        <w:rPr>
          <w:rFonts w:cs="Simplified Arabic"/>
          <w:sz w:val="28"/>
          <w:szCs w:val="28"/>
          <w:rtl/>
        </w:rPr>
        <w:t>الحمد</w:t>
      </w:r>
      <w:r w:rsidRPr="003907DC">
        <w:rPr>
          <w:rFonts w:cs="Simplified Arabic"/>
          <w:sz w:val="28"/>
          <w:szCs w:val="28"/>
        </w:rPr>
        <w:t xml:space="preserve"> </w:t>
      </w:r>
      <w:r w:rsidRPr="003907DC">
        <w:rPr>
          <w:rFonts w:cs="Simplified Arabic"/>
          <w:sz w:val="28"/>
          <w:szCs w:val="28"/>
          <w:rtl/>
        </w:rPr>
        <w:t>والشكر</w:t>
      </w:r>
      <w:r w:rsidRPr="003907DC">
        <w:rPr>
          <w:rFonts w:cs="Simplified Arabic"/>
          <w:sz w:val="28"/>
          <w:szCs w:val="28"/>
        </w:rPr>
        <w:t xml:space="preserve"> </w:t>
      </w:r>
      <w:r w:rsidRPr="003907DC">
        <w:rPr>
          <w:rFonts w:cs="Simplified Arabic"/>
          <w:sz w:val="28"/>
          <w:szCs w:val="28"/>
          <w:rtl/>
        </w:rPr>
        <w:t>لله</w:t>
      </w:r>
      <w:r w:rsidRPr="003907DC">
        <w:rPr>
          <w:rFonts w:cs="Simplified Arabic"/>
          <w:sz w:val="28"/>
          <w:szCs w:val="28"/>
        </w:rPr>
        <w:t xml:space="preserve"> </w:t>
      </w:r>
      <w:r w:rsidRPr="003907DC">
        <w:rPr>
          <w:rFonts w:cs="Simplified Arabic"/>
          <w:sz w:val="28"/>
          <w:szCs w:val="28"/>
          <w:rtl/>
        </w:rPr>
        <w:t>ربِ</w:t>
      </w:r>
      <w:r w:rsidRPr="003907DC">
        <w:rPr>
          <w:rFonts w:cs="Simplified Arabic"/>
          <w:sz w:val="28"/>
          <w:szCs w:val="28"/>
        </w:rPr>
        <w:t xml:space="preserve"> </w:t>
      </w:r>
      <w:r w:rsidRPr="003907DC">
        <w:rPr>
          <w:rFonts w:cs="Simplified Arabic"/>
          <w:sz w:val="28"/>
          <w:szCs w:val="28"/>
          <w:rtl/>
        </w:rPr>
        <w:t>العالمين</w:t>
      </w:r>
      <w:r w:rsidRPr="003907DC">
        <w:rPr>
          <w:rFonts w:cs="Simplified Arabic"/>
          <w:sz w:val="28"/>
          <w:szCs w:val="28"/>
        </w:rPr>
        <w:t xml:space="preserve"> </w:t>
      </w:r>
      <w:r w:rsidRPr="003907DC">
        <w:rPr>
          <w:rFonts w:cs="Simplified Arabic"/>
          <w:sz w:val="28"/>
          <w:szCs w:val="28"/>
          <w:rtl/>
        </w:rPr>
        <w:t>أولاٌ</w:t>
      </w:r>
      <w:r w:rsidRPr="003907DC">
        <w:rPr>
          <w:rFonts w:cs="Simplified Arabic"/>
          <w:sz w:val="28"/>
          <w:szCs w:val="28"/>
        </w:rPr>
        <w:t xml:space="preserve"> </w:t>
      </w:r>
      <w:r w:rsidRPr="003907DC">
        <w:rPr>
          <w:rFonts w:cs="Simplified Arabic"/>
          <w:sz w:val="28"/>
          <w:szCs w:val="28"/>
          <w:rtl/>
        </w:rPr>
        <w:t>وأخيراٌ،</w:t>
      </w:r>
      <w:r w:rsidRPr="003907DC">
        <w:rPr>
          <w:rFonts w:cs="Simplified Arabic"/>
          <w:sz w:val="28"/>
          <w:szCs w:val="28"/>
        </w:rPr>
        <w:t xml:space="preserve"> </w:t>
      </w:r>
      <w:r w:rsidRPr="003907DC">
        <w:rPr>
          <w:rFonts w:cs="Simplified Arabic"/>
          <w:sz w:val="28"/>
          <w:szCs w:val="28"/>
          <w:rtl/>
        </w:rPr>
        <w:t>الحمد</w:t>
      </w:r>
      <w:r w:rsidRPr="003907DC">
        <w:rPr>
          <w:rFonts w:cs="Simplified Arabic"/>
          <w:sz w:val="28"/>
          <w:szCs w:val="28"/>
        </w:rPr>
        <w:t xml:space="preserve"> </w:t>
      </w:r>
      <w:r w:rsidRPr="003907DC">
        <w:rPr>
          <w:rFonts w:cs="Simplified Arabic"/>
          <w:sz w:val="28"/>
          <w:szCs w:val="28"/>
          <w:rtl/>
        </w:rPr>
        <w:t>لله</w:t>
      </w:r>
      <w:r w:rsidRPr="003907DC">
        <w:rPr>
          <w:rFonts w:cs="Simplified Arabic"/>
          <w:sz w:val="28"/>
          <w:szCs w:val="28"/>
        </w:rPr>
        <w:t xml:space="preserve"> </w:t>
      </w:r>
      <w:r w:rsidRPr="003907DC">
        <w:rPr>
          <w:rFonts w:cs="Simplified Arabic"/>
          <w:sz w:val="28"/>
          <w:szCs w:val="28"/>
          <w:rtl/>
        </w:rPr>
        <w:t>الذي</w:t>
      </w:r>
      <w:r w:rsidRPr="003907DC">
        <w:rPr>
          <w:rFonts w:cs="Simplified Arabic"/>
          <w:sz w:val="28"/>
          <w:szCs w:val="28"/>
        </w:rPr>
        <w:t xml:space="preserve"> </w:t>
      </w:r>
      <w:r w:rsidRPr="003907DC">
        <w:rPr>
          <w:rFonts w:cs="Simplified Arabic"/>
          <w:sz w:val="28"/>
          <w:szCs w:val="28"/>
          <w:rtl/>
        </w:rPr>
        <w:t>علمني</w:t>
      </w:r>
      <w:r w:rsidRPr="003907DC">
        <w:rPr>
          <w:rFonts w:cs="Simplified Arabic"/>
          <w:sz w:val="28"/>
          <w:szCs w:val="28"/>
        </w:rPr>
        <w:t xml:space="preserve"> </w:t>
      </w:r>
      <w:r w:rsidRPr="003907DC">
        <w:rPr>
          <w:rFonts w:cs="Simplified Arabic"/>
          <w:sz w:val="28"/>
          <w:szCs w:val="28"/>
          <w:rtl/>
        </w:rPr>
        <w:t>ما</w:t>
      </w:r>
      <w:r w:rsidRPr="003907DC">
        <w:rPr>
          <w:rFonts w:cs="Simplified Arabic"/>
          <w:sz w:val="28"/>
          <w:szCs w:val="28"/>
        </w:rPr>
        <w:t xml:space="preserve"> </w:t>
      </w:r>
      <w:r w:rsidRPr="003907DC">
        <w:rPr>
          <w:rFonts w:cs="Simplified Arabic"/>
          <w:sz w:val="28"/>
          <w:szCs w:val="28"/>
          <w:rtl/>
        </w:rPr>
        <w:t>لم أعلم،</w:t>
      </w:r>
      <w:r w:rsidRPr="003907DC">
        <w:rPr>
          <w:rFonts w:cs="Simplified Arabic"/>
          <w:sz w:val="28"/>
          <w:szCs w:val="28"/>
        </w:rPr>
        <w:t xml:space="preserve"> </w:t>
      </w:r>
      <w:r w:rsidRPr="003907DC">
        <w:rPr>
          <w:rFonts w:cs="Simplified Arabic"/>
          <w:sz w:val="28"/>
          <w:szCs w:val="28"/>
          <w:rtl/>
        </w:rPr>
        <w:t>وأعانني</w:t>
      </w:r>
      <w:r w:rsidRPr="003907DC">
        <w:rPr>
          <w:rFonts w:cs="Simplified Arabic"/>
          <w:sz w:val="28"/>
          <w:szCs w:val="28"/>
        </w:rPr>
        <w:t xml:space="preserve"> </w:t>
      </w:r>
      <w:r w:rsidRPr="003907DC">
        <w:rPr>
          <w:rFonts w:cs="Simplified Arabic"/>
          <w:sz w:val="28"/>
          <w:szCs w:val="28"/>
          <w:rtl/>
        </w:rPr>
        <w:t>على</w:t>
      </w:r>
      <w:r w:rsidRPr="003907DC">
        <w:rPr>
          <w:rFonts w:cs="Simplified Arabic"/>
          <w:sz w:val="28"/>
          <w:szCs w:val="28"/>
        </w:rPr>
        <w:t xml:space="preserve"> </w:t>
      </w:r>
      <w:r w:rsidRPr="003907DC">
        <w:rPr>
          <w:rFonts w:cs="Simplified Arabic"/>
          <w:sz w:val="28"/>
          <w:szCs w:val="28"/>
          <w:rtl/>
        </w:rPr>
        <w:t>إتمام</w:t>
      </w:r>
      <w:r w:rsidRPr="003907DC">
        <w:rPr>
          <w:rFonts w:cs="Simplified Arabic"/>
          <w:sz w:val="28"/>
          <w:szCs w:val="28"/>
        </w:rPr>
        <w:t xml:space="preserve"> </w:t>
      </w:r>
      <w:r w:rsidRPr="003907DC">
        <w:rPr>
          <w:rFonts w:cs="Simplified Arabic"/>
          <w:sz w:val="28"/>
          <w:szCs w:val="28"/>
          <w:rtl/>
        </w:rPr>
        <w:t>هذا</w:t>
      </w:r>
      <w:r w:rsidRPr="003907DC">
        <w:rPr>
          <w:rFonts w:cs="Simplified Arabic"/>
          <w:sz w:val="28"/>
          <w:szCs w:val="28"/>
        </w:rPr>
        <w:t xml:space="preserve"> </w:t>
      </w:r>
      <w:r w:rsidRPr="003907DC">
        <w:rPr>
          <w:rFonts w:cs="Simplified Arabic"/>
          <w:sz w:val="28"/>
          <w:szCs w:val="28"/>
          <w:rtl/>
        </w:rPr>
        <w:t>العمل</w:t>
      </w:r>
      <w:r w:rsidRPr="003907DC">
        <w:rPr>
          <w:rFonts w:cs="Simplified Arabic"/>
          <w:sz w:val="28"/>
          <w:szCs w:val="28"/>
        </w:rPr>
        <w:t xml:space="preserve"> </w:t>
      </w:r>
      <w:r w:rsidRPr="003907DC">
        <w:rPr>
          <w:rFonts w:cs="Simplified Arabic"/>
          <w:sz w:val="28"/>
          <w:szCs w:val="28"/>
          <w:rtl/>
        </w:rPr>
        <w:t>المتواضع،</w:t>
      </w:r>
      <w:r w:rsidRPr="003907DC">
        <w:rPr>
          <w:rFonts w:cs="Simplified Arabic"/>
          <w:sz w:val="28"/>
          <w:szCs w:val="28"/>
        </w:rPr>
        <w:t xml:space="preserve"> </w:t>
      </w:r>
      <w:r w:rsidRPr="003907DC">
        <w:rPr>
          <w:rFonts w:cs="Simplified Arabic"/>
          <w:sz w:val="28"/>
          <w:szCs w:val="28"/>
          <w:rtl/>
        </w:rPr>
        <w:t>والصلاة</w:t>
      </w:r>
      <w:r w:rsidRPr="003907DC">
        <w:rPr>
          <w:rFonts w:cs="Simplified Arabic"/>
          <w:sz w:val="28"/>
          <w:szCs w:val="28"/>
        </w:rPr>
        <w:t xml:space="preserve"> </w:t>
      </w:r>
      <w:r w:rsidRPr="003907DC">
        <w:rPr>
          <w:rFonts w:cs="Simplified Arabic"/>
          <w:sz w:val="28"/>
          <w:szCs w:val="28"/>
          <w:rtl/>
        </w:rPr>
        <w:t>والسلام</w:t>
      </w:r>
      <w:r w:rsidRPr="003907DC">
        <w:rPr>
          <w:rFonts w:cs="Simplified Arabic"/>
          <w:sz w:val="28"/>
          <w:szCs w:val="28"/>
        </w:rPr>
        <w:t xml:space="preserve"> </w:t>
      </w:r>
      <w:r w:rsidRPr="003907DC">
        <w:rPr>
          <w:rFonts w:cs="Simplified Arabic"/>
          <w:sz w:val="28"/>
          <w:szCs w:val="28"/>
          <w:rtl/>
        </w:rPr>
        <w:t>على</w:t>
      </w:r>
      <w:r w:rsidRPr="003907DC">
        <w:rPr>
          <w:rFonts w:cs="Simplified Arabic"/>
          <w:sz w:val="28"/>
          <w:szCs w:val="28"/>
        </w:rPr>
        <w:t xml:space="preserve"> </w:t>
      </w:r>
      <w:r w:rsidRPr="003907DC">
        <w:rPr>
          <w:rFonts w:cs="Simplified Arabic"/>
          <w:sz w:val="28"/>
          <w:szCs w:val="28"/>
          <w:rtl/>
        </w:rPr>
        <w:t>رسوله الأميّ</w:t>
      </w:r>
      <w:r w:rsidRPr="003907DC">
        <w:rPr>
          <w:rFonts w:cs="Simplified Arabic"/>
          <w:sz w:val="28"/>
          <w:szCs w:val="28"/>
        </w:rPr>
        <w:t xml:space="preserve"> </w:t>
      </w:r>
      <w:r w:rsidRPr="003907DC">
        <w:rPr>
          <w:rFonts w:cs="Simplified Arabic"/>
          <w:sz w:val="28"/>
          <w:szCs w:val="28"/>
          <w:rtl/>
        </w:rPr>
        <w:t>الأمين،</w:t>
      </w:r>
      <w:r w:rsidRPr="003907DC">
        <w:rPr>
          <w:rFonts w:cs="Simplified Arabic"/>
          <w:sz w:val="28"/>
          <w:szCs w:val="28"/>
        </w:rPr>
        <w:t xml:space="preserve"> </w:t>
      </w:r>
      <w:r w:rsidRPr="003907DC">
        <w:rPr>
          <w:rFonts w:cs="Simplified Arabic"/>
          <w:sz w:val="28"/>
          <w:szCs w:val="28"/>
          <w:rtl/>
        </w:rPr>
        <w:t>مُعَلِّم</w:t>
      </w:r>
      <w:r w:rsidRPr="003907DC">
        <w:rPr>
          <w:rFonts w:cs="Simplified Arabic"/>
          <w:sz w:val="28"/>
          <w:szCs w:val="28"/>
        </w:rPr>
        <w:t xml:space="preserve"> </w:t>
      </w:r>
      <w:r w:rsidRPr="003907DC">
        <w:rPr>
          <w:rFonts w:cs="Simplified Arabic"/>
          <w:sz w:val="28"/>
          <w:szCs w:val="28"/>
          <w:rtl/>
        </w:rPr>
        <w:t>الناس</w:t>
      </w:r>
      <w:r w:rsidRPr="003907DC">
        <w:rPr>
          <w:rFonts w:cs="Simplified Arabic"/>
          <w:sz w:val="28"/>
          <w:szCs w:val="28"/>
        </w:rPr>
        <w:t xml:space="preserve"> </w:t>
      </w:r>
      <w:r w:rsidRPr="003907DC">
        <w:rPr>
          <w:rFonts w:cs="Simplified Arabic"/>
          <w:sz w:val="28"/>
          <w:szCs w:val="28"/>
          <w:rtl/>
        </w:rPr>
        <w:t>الخير،</w:t>
      </w:r>
      <w:r w:rsidRPr="003907DC">
        <w:rPr>
          <w:rFonts w:cs="Simplified Arabic"/>
          <w:sz w:val="28"/>
          <w:szCs w:val="28"/>
        </w:rPr>
        <w:t xml:space="preserve"> </w:t>
      </w:r>
      <w:r w:rsidRPr="003907DC">
        <w:rPr>
          <w:rFonts w:cs="Simplified Arabic"/>
          <w:sz w:val="28"/>
          <w:szCs w:val="28"/>
          <w:rtl/>
        </w:rPr>
        <w:t>وهادي</w:t>
      </w:r>
      <w:r w:rsidRPr="003907DC">
        <w:rPr>
          <w:rFonts w:cs="Simplified Arabic"/>
          <w:sz w:val="28"/>
          <w:szCs w:val="28"/>
        </w:rPr>
        <w:t xml:space="preserve"> </w:t>
      </w:r>
      <w:r w:rsidRPr="003907DC">
        <w:rPr>
          <w:rFonts w:cs="Simplified Arabic"/>
          <w:sz w:val="28"/>
          <w:szCs w:val="28"/>
          <w:rtl/>
        </w:rPr>
        <w:t>البشرية</w:t>
      </w:r>
      <w:r w:rsidRPr="003907DC">
        <w:rPr>
          <w:rFonts w:cs="Simplified Arabic"/>
          <w:sz w:val="28"/>
          <w:szCs w:val="28"/>
        </w:rPr>
        <w:t xml:space="preserve"> </w:t>
      </w:r>
      <w:r w:rsidRPr="003907DC">
        <w:rPr>
          <w:rFonts w:cs="Simplified Arabic"/>
          <w:sz w:val="28"/>
          <w:szCs w:val="28"/>
          <w:rtl/>
        </w:rPr>
        <w:t>إلى</w:t>
      </w:r>
      <w:r w:rsidRPr="003907DC">
        <w:rPr>
          <w:rFonts w:cs="Simplified Arabic"/>
          <w:sz w:val="28"/>
          <w:szCs w:val="28"/>
        </w:rPr>
        <w:t xml:space="preserve"> </w:t>
      </w:r>
      <w:r w:rsidRPr="003907DC">
        <w:rPr>
          <w:rFonts w:cs="Simplified Arabic"/>
          <w:sz w:val="28"/>
          <w:szCs w:val="28"/>
          <w:rtl/>
        </w:rPr>
        <w:t>صراط</w:t>
      </w:r>
      <w:r w:rsidRPr="003907DC">
        <w:rPr>
          <w:rFonts w:cs="Simplified Arabic"/>
          <w:sz w:val="28"/>
          <w:szCs w:val="28"/>
        </w:rPr>
        <w:t xml:space="preserve"> </w:t>
      </w:r>
      <w:r w:rsidRPr="003907DC">
        <w:rPr>
          <w:rFonts w:cs="Simplified Arabic"/>
          <w:sz w:val="28"/>
          <w:szCs w:val="28"/>
          <w:rtl/>
        </w:rPr>
        <w:t>الله</w:t>
      </w:r>
      <w:r w:rsidRPr="003907DC">
        <w:rPr>
          <w:rFonts w:cs="Simplified Arabic"/>
          <w:sz w:val="28"/>
          <w:szCs w:val="28"/>
        </w:rPr>
        <w:t xml:space="preserve"> </w:t>
      </w:r>
      <w:r w:rsidRPr="003907DC">
        <w:rPr>
          <w:rFonts w:cs="Simplified Arabic"/>
          <w:sz w:val="28"/>
          <w:szCs w:val="28"/>
          <w:rtl/>
        </w:rPr>
        <w:t>المستقيم،</w:t>
      </w:r>
      <w:r w:rsidRPr="003907DC">
        <w:rPr>
          <w:rFonts w:cs="Simplified Arabic"/>
          <w:sz w:val="28"/>
          <w:szCs w:val="28"/>
        </w:rPr>
        <w:t xml:space="preserve"> </w:t>
      </w:r>
      <w:r w:rsidRPr="003907DC">
        <w:rPr>
          <w:rFonts w:cs="Simplified Arabic"/>
          <w:sz w:val="28"/>
          <w:szCs w:val="28"/>
          <w:rtl/>
        </w:rPr>
        <w:t>حثّ</w:t>
      </w:r>
      <w:r w:rsidRPr="003907DC">
        <w:rPr>
          <w:rFonts w:cs="Simplified Arabic"/>
          <w:sz w:val="28"/>
          <w:szCs w:val="28"/>
        </w:rPr>
        <w:t xml:space="preserve"> </w:t>
      </w:r>
      <w:r w:rsidRPr="003907DC">
        <w:rPr>
          <w:rFonts w:cs="Simplified Arabic"/>
          <w:sz w:val="28"/>
          <w:szCs w:val="28"/>
          <w:rtl/>
        </w:rPr>
        <w:t>على</w:t>
      </w:r>
      <w:r w:rsidRPr="003907DC">
        <w:rPr>
          <w:rFonts w:cs="Simplified Arabic"/>
          <w:sz w:val="28"/>
          <w:szCs w:val="28"/>
        </w:rPr>
        <w:t xml:space="preserve"> </w:t>
      </w:r>
      <w:r w:rsidRPr="003907DC">
        <w:rPr>
          <w:rFonts w:cs="Simplified Arabic"/>
          <w:sz w:val="28"/>
          <w:szCs w:val="28"/>
          <w:rtl/>
        </w:rPr>
        <w:t>طلب</w:t>
      </w:r>
      <w:r w:rsidRPr="003907DC">
        <w:rPr>
          <w:rFonts w:cs="Simplified Arabic"/>
          <w:sz w:val="28"/>
          <w:szCs w:val="28"/>
        </w:rPr>
        <w:t xml:space="preserve"> </w:t>
      </w:r>
      <w:r w:rsidRPr="003907DC">
        <w:rPr>
          <w:rFonts w:cs="Simplified Arabic"/>
          <w:sz w:val="28"/>
          <w:szCs w:val="28"/>
          <w:rtl/>
        </w:rPr>
        <w:t>العلم وجعله</w:t>
      </w:r>
      <w:r w:rsidRPr="003907DC">
        <w:rPr>
          <w:rFonts w:cs="Simplified Arabic"/>
          <w:sz w:val="28"/>
          <w:szCs w:val="28"/>
        </w:rPr>
        <w:t xml:space="preserve"> </w:t>
      </w:r>
      <w:r w:rsidRPr="003907DC">
        <w:rPr>
          <w:rFonts w:cs="Simplified Arabic"/>
          <w:sz w:val="28"/>
          <w:szCs w:val="28"/>
          <w:rtl/>
        </w:rPr>
        <w:t>فريضة</w:t>
      </w:r>
      <w:r w:rsidRPr="003907DC">
        <w:rPr>
          <w:rFonts w:cs="Simplified Arabic"/>
          <w:sz w:val="28"/>
          <w:szCs w:val="28"/>
        </w:rPr>
        <w:t xml:space="preserve"> </w:t>
      </w:r>
      <w:r w:rsidRPr="003907DC">
        <w:rPr>
          <w:rFonts w:cs="Simplified Arabic"/>
          <w:sz w:val="28"/>
          <w:szCs w:val="28"/>
          <w:rtl/>
        </w:rPr>
        <w:t>على</w:t>
      </w:r>
      <w:r w:rsidRPr="003907DC">
        <w:rPr>
          <w:rFonts w:cs="Simplified Arabic"/>
          <w:sz w:val="28"/>
          <w:szCs w:val="28"/>
        </w:rPr>
        <w:t xml:space="preserve"> </w:t>
      </w:r>
      <w:r w:rsidRPr="003907DC">
        <w:rPr>
          <w:rFonts w:cs="Simplified Arabic"/>
          <w:sz w:val="28"/>
          <w:szCs w:val="28"/>
          <w:rtl/>
        </w:rPr>
        <w:t>كل</w:t>
      </w:r>
      <w:r w:rsidRPr="003907DC">
        <w:rPr>
          <w:rFonts w:cs="Simplified Arabic"/>
          <w:sz w:val="28"/>
          <w:szCs w:val="28"/>
        </w:rPr>
        <w:t xml:space="preserve"> </w:t>
      </w:r>
      <w:r w:rsidRPr="003907DC">
        <w:rPr>
          <w:rFonts w:cs="Simplified Arabic"/>
          <w:sz w:val="28"/>
          <w:szCs w:val="28"/>
          <w:rtl/>
        </w:rPr>
        <w:t>مسلم</w:t>
      </w:r>
      <w:r w:rsidRPr="003907DC">
        <w:rPr>
          <w:rFonts w:cs="Simplified Arabic"/>
          <w:sz w:val="28"/>
          <w:szCs w:val="28"/>
        </w:rPr>
        <w:t xml:space="preserve"> </w:t>
      </w:r>
      <w:r w:rsidRPr="003907DC">
        <w:rPr>
          <w:rFonts w:cs="Simplified Arabic"/>
          <w:sz w:val="28"/>
          <w:szCs w:val="28"/>
          <w:rtl/>
        </w:rPr>
        <w:t>ومسلمة</w:t>
      </w:r>
      <w:r w:rsidRPr="003907DC">
        <w:rPr>
          <w:rFonts w:cs="Simplified Arabic"/>
          <w:sz w:val="28"/>
          <w:szCs w:val="28"/>
        </w:rPr>
        <w:t>.</w:t>
      </w:r>
    </w:p>
    <w:p w14:paraId="6AF1F606" w14:textId="77777777" w:rsidR="00457A85" w:rsidRDefault="006F2AC5" w:rsidP="003907DC">
      <w:pPr>
        <w:spacing w:line="360" w:lineRule="auto"/>
        <w:ind w:firstLine="720"/>
        <w:jc w:val="both"/>
        <w:rPr>
          <w:rFonts w:cs="Simplified Arabic"/>
          <w:sz w:val="28"/>
          <w:szCs w:val="28"/>
          <w:rtl/>
        </w:rPr>
      </w:pPr>
      <w:r w:rsidRPr="003907DC">
        <w:rPr>
          <w:rFonts w:cs="Simplified Arabic"/>
          <w:sz w:val="28"/>
          <w:szCs w:val="28"/>
          <w:rtl/>
        </w:rPr>
        <w:t>تقدير</w:t>
      </w:r>
      <w:r w:rsidRPr="003907DC">
        <w:rPr>
          <w:rFonts w:cs="Simplified Arabic" w:hint="cs"/>
          <w:sz w:val="28"/>
          <w:szCs w:val="28"/>
          <w:rtl/>
        </w:rPr>
        <w:t xml:space="preserve">اً </w:t>
      </w:r>
      <w:r w:rsidRPr="003907DC">
        <w:rPr>
          <w:rFonts w:cs="Simplified Arabic"/>
          <w:sz w:val="28"/>
          <w:szCs w:val="28"/>
          <w:rtl/>
        </w:rPr>
        <w:t>وعرفانا</w:t>
      </w:r>
      <w:r w:rsidRPr="003907DC">
        <w:rPr>
          <w:rFonts w:cs="Simplified Arabic" w:hint="cs"/>
          <w:sz w:val="28"/>
          <w:szCs w:val="28"/>
          <w:rtl/>
        </w:rPr>
        <w:t>ً</w:t>
      </w:r>
      <w:r w:rsidRPr="003907DC">
        <w:rPr>
          <w:rFonts w:cs="Simplified Arabic"/>
          <w:sz w:val="28"/>
          <w:szCs w:val="28"/>
        </w:rPr>
        <w:t xml:space="preserve"> </w:t>
      </w:r>
      <w:r w:rsidRPr="003907DC">
        <w:rPr>
          <w:rFonts w:cs="Simplified Arabic"/>
          <w:sz w:val="28"/>
          <w:szCs w:val="28"/>
          <w:rtl/>
        </w:rPr>
        <w:t>مني،</w:t>
      </w:r>
      <w:r w:rsidRPr="003907DC">
        <w:rPr>
          <w:rFonts w:cs="Simplified Arabic"/>
          <w:sz w:val="28"/>
          <w:szCs w:val="28"/>
        </w:rPr>
        <w:t xml:space="preserve"> </w:t>
      </w:r>
      <w:r w:rsidRPr="003907DC">
        <w:rPr>
          <w:rFonts w:cs="Simplified Arabic"/>
          <w:sz w:val="28"/>
          <w:szCs w:val="28"/>
          <w:rtl/>
        </w:rPr>
        <w:t>لاب</w:t>
      </w:r>
      <w:r w:rsidRPr="003907DC">
        <w:rPr>
          <w:rFonts w:cs="Simplified Arabic" w:hint="cs"/>
          <w:sz w:val="28"/>
          <w:szCs w:val="28"/>
          <w:rtl/>
        </w:rPr>
        <w:t>ُ</w:t>
      </w:r>
      <w:r w:rsidRPr="003907DC">
        <w:rPr>
          <w:rFonts w:cs="Simplified Arabic"/>
          <w:sz w:val="28"/>
          <w:szCs w:val="28"/>
          <w:rtl/>
        </w:rPr>
        <w:t>د</w:t>
      </w:r>
      <w:r w:rsidRPr="003907DC">
        <w:rPr>
          <w:rFonts w:cs="Simplified Arabic" w:hint="cs"/>
          <w:sz w:val="28"/>
          <w:szCs w:val="28"/>
          <w:rtl/>
        </w:rPr>
        <w:t>َّ</w:t>
      </w:r>
      <w:r w:rsidRPr="003907DC">
        <w:rPr>
          <w:rFonts w:cs="Simplified Arabic"/>
          <w:sz w:val="28"/>
          <w:szCs w:val="28"/>
        </w:rPr>
        <w:t xml:space="preserve"> </w:t>
      </w:r>
      <w:r w:rsidRPr="003907DC">
        <w:rPr>
          <w:rFonts w:cs="Simplified Arabic"/>
          <w:sz w:val="28"/>
          <w:szCs w:val="28"/>
          <w:rtl/>
        </w:rPr>
        <w:t>أن</w:t>
      </w:r>
      <w:r w:rsidRPr="003907DC">
        <w:rPr>
          <w:rFonts w:cs="Simplified Arabic"/>
          <w:sz w:val="28"/>
          <w:szCs w:val="28"/>
        </w:rPr>
        <w:t xml:space="preserve"> </w:t>
      </w:r>
      <w:r w:rsidRPr="003907DC">
        <w:rPr>
          <w:rFonts w:cs="Simplified Arabic"/>
          <w:sz w:val="28"/>
          <w:szCs w:val="28"/>
          <w:rtl/>
        </w:rPr>
        <w:t>أتقدم</w:t>
      </w:r>
      <w:r w:rsidRPr="003907DC">
        <w:rPr>
          <w:rFonts w:cs="Simplified Arabic"/>
          <w:sz w:val="28"/>
          <w:szCs w:val="28"/>
        </w:rPr>
        <w:t xml:space="preserve"> </w:t>
      </w:r>
      <w:r w:rsidRPr="003907DC">
        <w:rPr>
          <w:rFonts w:cs="Simplified Arabic"/>
          <w:sz w:val="28"/>
          <w:szCs w:val="28"/>
          <w:rtl/>
        </w:rPr>
        <w:t>بجزيل</w:t>
      </w:r>
      <w:r w:rsidRPr="003907DC">
        <w:rPr>
          <w:rFonts w:cs="Simplified Arabic"/>
          <w:sz w:val="28"/>
          <w:szCs w:val="28"/>
        </w:rPr>
        <w:t xml:space="preserve"> </w:t>
      </w:r>
      <w:r w:rsidRPr="003907DC">
        <w:rPr>
          <w:rFonts w:cs="Simplified Arabic"/>
          <w:sz w:val="28"/>
          <w:szCs w:val="28"/>
          <w:rtl/>
        </w:rPr>
        <w:t>الشكر</w:t>
      </w:r>
      <w:r w:rsidRPr="003907DC">
        <w:rPr>
          <w:rFonts w:cs="Simplified Arabic"/>
          <w:sz w:val="28"/>
          <w:szCs w:val="28"/>
        </w:rPr>
        <w:t xml:space="preserve"> </w:t>
      </w:r>
      <w:r w:rsidRPr="003907DC">
        <w:rPr>
          <w:rFonts w:cs="Simplified Arabic"/>
          <w:sz w:val="28"/>
          <w:szCs w:val="28"/>
          <w:rtl/>
        </w:rPr>
        <w:t>والوفاء</w:t>
      </w:r>
      <w:r w:rsidRPr="003907DC">
        <w:rPr>
          <w:rFonts w:cs="Simplified Arabic"/>
          <w:sz w:val="28"/>
          <w:szCs w:val="28"/>
        </w:rPr>
        <w:t xml:space="preserve"> </w:t>
      </w:r>
      <w:r w:rsidRPr="003907DC">
        <w:rPr>
          <w:rFonts w:cs="Simplified Arabic"/>
          <w:sz w:val="28"/>
          <w:szCs w:val="28"/>
          <w:rtl/>
        </w:rPr>
        <w:t xml:space="preserve">إلى </w:t>
      </w:r>
      <w:r w:rsidR="00BD70D2" w:rsidRPr="003907DC">
        <w:rPr>
          <w:rFonts w:asciiTheme="minorBidi" w:eastAsia="Times New Roman" w:hAnsiTheme="minorBidi" w:hint="cs"/>
          <w:sz w:val="28"/>
          <w:szCs w:val="28"/>
          <w:rtl/>
        </w:rPr>
        <w:t>د/ الفيصل عبد الحميد</w:t>
      </w:r>
      <w:r w:rsidR="00BD70D2" w:rsidRPr="003907DC">
        <w:rPr>
          <w:rFonts w:cs="Simplified Arabic" w:hint="cs"/>
          <w:sz w:val="28"/>
          <w:szCs w:val="28"/>
          <w:rtl/>
        </w:rPr>
        <w:t xml:space="preserve">، </w:t>
      </w:r>
      <w:r w:rsidR="00BD70D2" w:rsidRPr="003907DC">
        <w:rPr>
          <w:rFonts w:asciiTheme="minorBidi" w:eastAsia="Times New Roman" w:hAnsiTheme="minorBidi" w:hint="cs"/>
          <w:sz w:val="28"/>
          <w:szCs w:val="28"/>
          <w:rtl/>
        </w:rPr>
        <w:t>د/ فايز جراد</w:t>
      </w:r>
      <w:r w:rsidR="00BD70D2" w:rsidRPr="003907DC">
        <w:rPr>
          <w:rFonts w:cs="Simplified Arabic" w:hint="cs"/>
          <w:sz w:val="28"/>
          <w:szCs w:val="28"/>
          <w:rtl/>
        </w:rPr>
        <w:t xml:space="preserve"> </w:t>
      </w:r>
      <w:r w:rsidRPr="003907DC">
        <w:rPr>
          <w:rFonts w:cs="Simplified Arabic"/>
          <w:sz w:val="28"/>
          <w:szCs w:val="28"/>
          <w:rtl/>
        </w:rPr>
        <w:t>،</w:t>
      </w:r>
      <w:r w:rsidRPr="003907DC">
        <w:rPr>
          <w:rFonts w:cs="Simplified Arabic"/>
          <w:sz w:val="28"/>
          <w:szCs w:val="28"/>
        </w:rPr>
        <w:t xml:space="preserve"> </w:t>
      </w:r>
      <w:r w:rsidR="00BD70D2" w:rsidRPr="003907DC">
        <w:rPr>
          <w:rFonts w:cs="Simplified Arabic" w:hint="cs"/>
          <w:sz w:val="28"/>
          <w:szCs w:val="28"/>
          <w:rtl/>
        </w:rPr>
        <w:t xml:space="preserve">علي إشرافهما </w:t>
      </w:r>
      <w:r w:rsidRPr="003907DC">
        <w:rPr>
          <w:rFonts w:cs="Simplified Arabic"/>
          <w:sz w:val="28"/>
          <w:szCs w:val="28"/>
          <w:rtl/>
        </w:rPr>
        <w:t>على</w:t>
      </w:r>
      <w:r w:rsidRPr="003907DC">
        <w:rPr>
          <w:rFonts w:cs="Simplified Arabic"/>
          <w:sz w:val="28"/>
          <w:szCs w:val="28"/>
        </w:rPr>
        <w:t xml:space="preserve"> </w:t>
      </w:r>
      <w:r w:rsidR="00BD70D2" w:rsidRPr="003907DC">
        <w:rPr>
          <w:rFonts w:cs="Simplified Arabic" w:hint="cs"/>
          <w:sz w:val="28"/>
          <w:szCs w:val="28"/>
          <w:rtl/>
        </w:rPr>
        <w:t xml:space="preserve"> هذا العمل</w:t>
      </w:r>
      <w:r w:rsidRPr="003907DC">
        <w:rPr>
          <w:rFonts w:cs="Simplified Arabic"/>
          <w:sz w:val="28"/>
          <w:szCs w:val="28"/>
          <w:rtl/>
        </w:rPr>
        <w:t>،</w:t>
      </w:r>
      <w:r w:rsidRPr="003907DC">
        <w:rPr>
          <w:rFonts w:cs="Simplified Arabic"/>
          <w:sz w:val="28"/>
          <w:szCs w:val="28"/>
        </w:rPr>
        <w:t xml:space="preserve"> </w:t>
      </w:r>
      <w:r w:rsidRPr="003907DC">
        <w:rPr>
          <w:rFonts w:cs="Simplified Arabic"/>
          <w:sz w:val="28"/>
          <w:szCs w:val="28"/>
          <w:rtl/>
        </w:rPr>
        <w:t>وكان</w:t>
      </w:r>
      <w:r w:rsidR="00BD70D2" w:rsidRPr="003907DC">
        <w:rPr>
          <w:rFonts w:cs="Simplified Arabic" w:hint="cs"/>
          <w:sz w:val="28"/>
          <w:szCs w:val="28"/>
          <w:rtl/>
        </w:rPr>
        <w:t>ا</w:t>
      </w:r>
      <w:r w:rsidRPr="003907DC">
        <w:rPr>
          <w:rFonts w:cs="Simplified Arabic"/>
          <w:sz w:val="28"/>
          <w:szCs w:val="28"/>
        </w:rPr>
        <w:t xml:space="preserve"> </w:t>
      </w:r>
      <w:r w:rsidRPr="003907DC">
        <w:rPr>
          <w:rFonts w:cs="Simplified Arabic"/>
          <w:sz w:val="28"/>
          <w:szCs w:val="28"/>
          <w:rtl/>
        </w:rPr>
        <w:t>خيرَ</w:t>
      </w:r>
      <w:r w:rsidRPr="003907DC">
        <w:rPr>
          <w:rFonts w:cs="Simplified Arabic"/>
          <w:sz w:val="28"/>
          <w:szCs w:val="28"/>
        </w:rPr>
        <w:t xml:space="preserve"> </w:t>
      </w:r>
      <w:r w:rsidR="00BD70D2" w:rsidRPr="003907DC">
        <w:rPr>
          <w:rFonts w:cs="Simplified Arabic"/>
          <w:sz w:val="28"/>
          <w:szCs w:val="28"/>
          <w:rtl/>
        </w:rPr>
        <w:t>مُشرِّ</w:t>
      </w:r>
      <w:r w:rsidR="00BD70D2" w:rsidRPr="003907DC">
        <w:rPr>
          <w:rFonts w:cs="Simplified Arabic" w:hint="cs"/>
          <w:sz w:val="28"/>
          <w:szCs w:val="28"/>
          <w:rtl/>
        </w:rPr>
        <w:t>فين</w:t>
      </w:r>
      <w:r w:rsidRPr="003907DC">
        <w:rPr>
          <w:rFonts w:cs="Simplified Arabic"/>
          <w:sz w:val="28"/>
          <w:szCs w:val="28"/>
        </w:rPr>
        <w:t xml:space="preserve"> </w:t>
      </w:r>
      <w:r w:rsidR="00BD70D2" w:rsidRPr="003907DC">
        <w:rPr>
          <w:rFonts w:cs="Simplified Arabic"/>
          <w:sz w:val="28"/>
          <w:szCs w:val="28"/>
          <w:rtl/>
        </w:rPr>
        <w:t>ومُوَجِ</w:t>
      </w:r>
      <w:r w:rsidR="00BD70D2" w:rsidRPr="003907DC">
        <w:rPr>
          <w:rFonts w:cs="Simplified Arabic" w:hint="cs"/>
          <w:sz w:val="28"/>
          <w:szCs w:val="28"/>
          <w:rtl/>
        </w:rPr>
        <w:t>هين</w:t>
      </w:r>
      <w:r w:rsidRPr="003907DC">
        <w:rPr>
          <w:rFonts w:cs="Simplified Arabic"/>
          <w:sz w:val="28"/>
          <w:szCs w:val="28"/>
        </w:rPr>
        <w:t xml:space="preserve"> </w:t>
      </w:r>
      <w:r w:rsidRPr="003907DC">
        <w:rPr>
          <w:rFonts w:cs="Simplified Arabic"/>
          <w:sz w:val="28"/>
          <w:szCs w:val="28"/>
          <w:rtl/>
        </w:rPr>
        <w:t>في</w:t>
      </w:r>
      <w:r w:rsidRPr="003907DC">
        <w:rPr>
          <w:rFonts w:cs="Simplified Arabic"/>
          <w:sz w:val="28"/>
          <w:szCs w:val="28"/>
        </w:rPr>
        <w:t xml:space="preserve"> </w:t>
      </w:r>
      <w:r w:rsidRPr="003907DC">
        <w:rPr>
          <w:rFonts w:cs="Simplified Arabic"/>
          <w:sz w:val="28"/>
          <w:szCs w:val="28"/>
          <w:rtl/>
        </w:rPr>
        <w:t>جميع</w:t>
      </w:r>
      <w:r w:rsidRPr="003907DC">
        <w:rPr>
          <w:rFonts w:cs="Simplified Arabic"/>
          <w:sz w:val="28"/>
          <w:szCs w:val="28"/>
        </w:rPr>
        <w:t xml:space="preserve"> </w:t>
      </w:r>
      <w:r w:rsidRPr="003907DC">
        <w:rPr>
          <w:rFonts w:cs="Simplified Arabic"/>
          <w:sz w:val="28"/>
          <w:szCs w:val="28"/>
          <w:rtl/>
        </w:rPr>
        <w:t>مراحل إعداد</w:t>
      </w:r>
      <w:r w:rsidR="00BD70D2" w:rsidRPr="003907DC">
        <w:rPr>
          <w:rFonts w:cs="Simplified Arabic" w:hint="cs"/>
          <w:sz w:val="28"/>
          <w:szCs w:val="28"/>
          <w:rtl/>
        </w:rPr>
        <w:t xml:space="preserve"> هذا العمل</w:t>
      </w:r>
      <w:r w:rsidRPr="003907DC">
        <w:rPr>
          <w:rFonts w:cs="Simplified Arabic"/>
          <w:sz w:val="28"/>
          <w:szCs w:val="28"/>
          <w:rtl/>
        </w:rPr>
        <w:t xml:space="preserve"> ،</w:t>
      </w:r>
      <w:r w:rsidRPr="003907DC">
        <w:rPr>
          <w:rFonts w:cs="Simplified Arabic"/>
          <w:sz w:val="28"/>
          <w:szCs w:val="28"/>
        </w:rPr>
        <w:t xml:space="preserve"> </w:t>
      </w:r>
      <w:r w:rsidR="00BD70D2" w:rsidRPr="003907DC">
        <w:rPr>
          <w:rFonts w:cs="Simplified Arabic" w:hint="cs"/>
          <w:sz w:val="28"/>
          <w:szCs w:val="28"/>
          <w:rtl/>
        </w:rPr>
        <w:t>إذ</w:t>
      </w:r>
      <w:r w:rsidRPr="003907DC">
        <w:rPr>
          <w:rFonts w:cs="Simplified Arabic"/>
          <w:sz w:val="28"/>
          <w:szCs w:val="28"/>
          <w:rtl/>
        </w:rPr>
        <w:t xml:space="preserve"> قدم</w:t>
      </w:r>
      <w:r w:rsidR="00BD70D2" w:rsidRPr="003907DC">
        <w:rPr>
          <w:rFonts w:cs="Simplified Arabic" w:hint="cs"/>
          <w:sz w:val="28"/>
          <w:szCs w:val="28"/>
          <w:rtl/>
        </w:rPr>
        <w:t>ا</w:t>
      </w:r>
      <w:r w:rsidRPr="003907DC">
        <w:rPr>
          <w:rFonts w:cs="Simplified Arabic"/>
          <w:sz w:val="28"/>
          <w:szCs w:val="28"/>
        </w:rPr>
        <w:t xml:space="preserve"> </w:t>
      </w:r>
      <w:r w:rsidRPr="003907DC">
        <w:rPr>
          <w:rFonts w:cs="Simplified Arabic"/>
          <w:sz w:val="28"/>
          <w:szCs w:val="28"/>
          <w:rtl/>
        </w:rPr>
        <w:t>لي</w:t>
      </w:r>
      <w:r w:rsidRPr="003907DC">
        <w:rPr>
          <w:rFonts w:cs="Simplified Arabic"/>
          <w:sz w:val="28"/>
          <w:szCs w:val="28"/>
        </w:rPr>
        <w:t xml:space="preserve"> </w:t>
      </w:r>
      <w:r w:rsidRPr="003907DC">
        <w:rPr>
          <w:rFonts w:cs="Simplified Arabic"/>
          <w:sz w:val="28"/>
          <w:szCs w:val="28"/>
          <w:rtl/>
        </w:rPr>
        <w:t>النصح</w:t>
      </w:r>
      <w:r w:rsidRPr="003907DC">
        <w:rPr>
          <w:rFonts w:cs="Simplified Arabic"/>
          <w:sz w:val="28"/>
          <w:szCs w:val="28"/>
        </w:rPr>
        <w:t xml:space="preserve"> </w:t>
      </w:r>
      <w:r w:rsidRPr="003907DC">
        <w:rPr>
          <w:rFonts w:cs="Simplified Arabic"/>
          <w:sz w:val="28"/>
          <w:szCs w:val="28"/>
          <w:rtl/>
        </w:rPr>
        <w:t>والإرشاد.</w:t>
      </w:r>
    </w:p>
    <w:p w14:paraId="614C69B3" w14:textId="00A23C5A" w:rsidR="006F2AC5" w:rsidRPr="003907DC" w:rsidRDefault="00BD70D2" w:rsidP="003907DC">
      <w:pPr>
        <w:spacing w:line="360" w:lineRule="auto"/>
        <w:ind w:firstLine="720"/>
        <w:jc w:val="both"/>
        <w:rPr>
          <w:rFonts w:cs="Simplified Arabic"/>
          <w:sz w:val="28"/>
          <w:szCs w:val="28"/>
          <w:rtl/>
        </w:rPr>
      </w:pPr>
      <w:r w:rsidRPr="003907DC">
        <w:rPr>
          <w:rFonts w:cs="Simplified Arabic"/>
          <w:sz w:val="28"/>
          <w:szCs w:val="28"/>
        </w:rPr>
        <w:t xml:space="preserve"> </w:t>
      </w:r>
      <w:r w:rsidRPr="003907DC">
        <w:rPr>
          <w:rFonts w:cs="Simplified Arabic" w:hint="cs"/>
          <w:sz w:val="28"/>
          <w:szCs w:val="28"/>
          <w:rtl/>
        </w:rPr>
        <w:t xml:space="preserve">كما </w:t>
      </w:r>
      <w:r w:rsidRPr="003907DC">
        <w:rPr>
          <w:rFonts w:cs="Simplified Arabic"/>
          <w:sz w:val="28"/>
          <w:szCs w:val="28"/>
          <w:rtl/>
        </w:rPr>
        <w:t>أتق</w:t>
      </w:r>
      <w:r w:rsidRPr="003907DC">
        <w:rPr>
          <w:rFonts w:cs="Simplified Arabic" w:hint="cs"/>
          <w:sz w:val="28"/>
          <w:szCs w:val="28"/>
          <w:rtl/>
        </w:rPr>
        <w:t>دم إليهما</w:t>
      </w:r>
      <w:r w:rsidR="006F2AC5" w:rsidRPr="003907DC">
        <w:rPr>
          <w:rFonts w:cs="Simplified Arabic"/>
          <w:sz w:val="28"/>
          <w:szCs w:val="28"/>
        </w:rPr>
        <w:t xml:space="preserve"> </w:t>
      </w:r>
      <w:r w:rsidR="006F2AC5" w:rsidRPr="003907DC">
        <w:rPr>
          <w:rFonts w:cs="Simplified Arabic"/>
          <w:sz w:val="28"/>
          <w:szCs w:val="28"/>
          <w:rtl/>
        </w:rPr>
        <w:t>ب</w:t>
      </w:r>
      <w:r w:rsidRPr="003907DC">
        <w:rPr>
          <w:rFonts w:cs="Simplified Arabic" w:hint="cs"/>
          <w:sz w:val="28"/>
          <w:szCs w:val="28"/>
          <w:rtl/>
        </w:rPr>
        <w:t xml:space="preserve">خالص </w:t>
      </w:r>
      <w:r w:rsidR="006F2AC5" w:rsidRPr="003907DC">
        <w:rPr>
          <w:rFonts w:cs="Simplified Arabic"/>
          <w:sz w:val="28"/>
          <w:szCs w:val="28"/>
          <w:rtl/>
        </w:rPr>
        <w:t>الشكر</w:t>
      </w:r>
      <w:r w:rsidR="006F2AC5" w:rsidRPr="003907DC">
        <w:rPr>
          <w:rFonts w:cs="Simplified Arabic"/>
          <w:sz w:val="28"/>
          <w:szCs w:val="28"/>
        </w:rPr>
        <w:t xml:space="preserve"> </w:t>
      </w:r>
      <w:r w:rsidR="006F2AC5" w:rsidRPr="003907DC">
        <w:rPr>
          <w:rFonts w:cs="Simplified Arabic"/>
          <w:sz w:val="28"/>
          <w:szCs w:val="28"/>
          <w:rtl/>
        </w:rPr>
        <w:t>والامتنان</w:t>
      </w:r>
      <w:r w:rsidR="006F2AC5" w:rsidRPr="003907DC">
        <w:rPr>
          <w:rFonts w:cs="Simplified Arabic"/>
          <w:sz w:val="28"/>
          <w:szCs w:val="28"/>
        </w:rPr>
        <w:t xml:space="preserve"> </w:t>
      </w:r>
      <w:r w:rsidRPr="003907DC">
        <w:rPr>
          <w:rFonts w:cs="Simplified Arabic" w:hint="cs"/>
          <w:sz w:val="28"/>
          <w:szCs w:val="28"/>
          <w:rtl/>
        </w:rPr>
        <w:t xml:space="preserve">لما قدماه من اراء وملاحظات كان لها بالغ الاثر في </w:t>
      </w:r>
      <w:r w:rsidR="006F2AC5" w:rsidRPr="003907DC">
        <w:rPr>
          <w:rFonts w:cs="Simplified Arabic"/>
          <w:sz w:val="28"/>
          <w:szCs w:val="28"/>
          <w:rtl/>
        </w:rPr>
        <w:t xml:space="preserve">إخراج </w:t>
      </w:r>
      <w:r w:rsidRPr="003907DC">
        <w:rPr>
          <w:rFonts w:cs="Simplified Arabic" w:hint="cs"/>
          <w:sz w:val="28"/>
          <w:szCs w:val="28"/>
          <w:rtl/>
        </w:rPr>
        <w:t>هذا العمل</w:t>
      </w:r>
      <w:r w:rsidRPr="003907DC">
        <w:rPr>
          <w:rFonts w:cs="Simplified Arabic"/>
          <w:sz w:val="28"/>
          <w:szCs w:val="28"/>
          <w:rtl/>
        </w:rPr>
        <w:t xml:space="preserve"> وتدعيم جوانبه</w:t>
      </w:r>
      <w:r w:rsidRPr="003907DC">
        <w:rPr>
          <w:rFonts w:cs="Simplified Arabic" w:hint="cs"/>
          <w:sz w:val="28"/>
          <w:szCs w:val="28"/>
          <w:rtl/>
        </w:rPr>
        <w:t xml:space="preserve"> </w:t>
      </w:r>
      <w:r w:rsidR="006F2AC5" w:rsidRPr="003907DC">
        <w:rPr>
          <w:rFonts w:cs="Simplified Arabic"/>
          <w:sz w:val="28"/>
          <w:szCs w:val="28"/>
          <w:rtl/>
        </w:rPr>
        <w:t>المختلفة اللغوية منها والعلمية.</w:t>
      </w:r>
    </w:p>
    <w:p w14:paraId="4B7FE5DF" w14:textId="77777777" w:rsidR="006F2AC5" w:rsidRPr="003907DC" w:rsidRDefault="006F2AC5" w:rsidP="003907DC">
      <w:pPr>
        <w:ind w:left="5760" w:firstLine="720"/>
        <w:jc w:val="right"/>
        <w:rPr>
          <w:rFonts w:ascii="Simplified Arabic" w:hAnsi="Simplified Arabic" w:cs="Simplified Arabic"/>
          <w:b/>
          <w:bCs/>
          <w:color w:val="000000"/>
          <w:sz w:val="28"/>
          <w:szCs w:val="28"/>
          <w:rtl/>
        </w:rPr>
      </w:pPr>
      <w:r w:rsidRPr="003907DC">
        <w:rPr>
          <w:rFonts w:ascii="Simplified Arabic" w:hAnsi="Simplified Arabic" w:cs="Simplified Arabic" w:hint="cs"/>
          <w:b/>
          <w:bCs/>
          <w:sz w:val="28"/>
          <w:szCs w:val="28"/>
          <w:rtl/>
        </w:rPr>
        <w:t>ا</w:t>
      </w:r>
      <w:r w:rsidRPr="003907DC">
        <w:rPr>
          <w:rFonts w:ascii="Simplified Arabic" w:hAnsi="Simplified Arabic" w:cs="Simplified Arabic"/>
          <w:b/>
          <w:bCs/>
          <w:sz w:val="28"/>
          <w:szCs w:val="28"/>
          <w:rtl/>
        </w:rPr>
        <w:t>لباحث</w:t>
      </w:r>
    </w:p>
    <w:p w14:paraId="04A280CB" w14:textId="77777777" w:rsidR="003907DC" w:rsidRPr="003907DC" w:rsidRDefault="003907DC" w:rsidP="003907DC">
      <w:pPr>
        <w:spacing w:line="360" w:lineRule="auto"/>
        <w:jc w:val="right"/>
        <w:rPr>
          <w:rFonts w:asciiTheme="minorBidi" w:eastAsia="Times New Roman" w:hAnsiTheme="minorBidi"/>
          <w:b/>
          <w:bCs/>
          <w:sz w:val="28"/>
          <w:szCs w:val="28"/>
          <w:rtl/>
        </w:rPr>
      </w:pPr>
      <w:r w:rsidRPr="003907DC">
        <w:rPr>
          <w:rFonts w:asciiTheme="minorBidi" w:eastAsia="Times New Roman" w:hAnsiTheme="minorBidi" w:hint="cs"/>
          <w:b/>
          <w:bCs/>
          <w:sz w:val="28"/>
          <w:szCs w:val="28"/>
          <w:rtl/>
        </w:rPr>
        <w:t>ماجد علي مشني الرافعي عسيري</w:t>
      </w:r>
    </w:p>
    <w:p w14:paraId="6933AAFC" w14:textId="77777777" w:rsidR="003907DC" w:rsidRDefault="003907DC" w:rsidP="006F2AC5">
      <w:pPr>
        <w:ind w:left="5760" w:firstLine="720"/>
        <w:jc w:val="both"/>
        <w:rPr>
          <w:rFonts w:ascii="Simplified Arabic" w:hAnsi="Simplified Arabic" w:cs="Simplified Arabic"/>
          <w:b/>
          <w:bCs/>
          <w:color w:val="000000"/>
          <w:rtl/>
        </w:rPr>
      </w:pPr>
    </w:p>
    <w:p w14:paraId="7E336B12" w14:textId="77777777" w:rsidR="00E51D26" w:rsidRDefault="00E51D26" w:rsidP="00A61745">
      <w:pPr>
        <w:spacing w:line="360" w:lineRule="auto"/>
        <w:jc w:val="center"/>
        <w:rPr>
          <w:rFonts w:asciiTheme="minorBidi" w:hAnsiTheme="minorBidi"/>
          <w:b/>
          <w:bCs/>
          <w:sz w:val="28"/>
          <w:szCs w:val="28"/>
          <w:rtl/>
          <w:lang w:bidi="ar-EG"/>
        </w:rPr>
      </w:pPr>
    </w:p>
    <w:p w14:paraId="159F9677" w14:textId="77777777" w:rsidR="003907DC" w:rsidRDefault="003907DC" w:rsidP="00A61745">
      <w:pPr>
        <w:spacing w:line="360" w:lineRule="auto"/>
        <w:jc w:val="center"/>
        <w:rPr>
          <w:rFonts w:asciiTheme="minorBidi" w:hAnsiTheme="minorBidi"/>
          <w:b/>
          <w:bCs/>
          <w:sz w:val="28"/>
          <w:szCs w:val="28"/>
          <w:rtl/>
          <w:lang w:bidi="ar-EG"/>
        </w:rPr>
      </w:pPr>
    </w:p>
    <w:p w14:paraId="265C0FB3" w14:textId="77777777" w:rsidR="003907DC" w:rsidRDefault="003907DC" w:rsidP="00A61745">
      <w:pPr>
        <w:spacing w:line="360" w:lineRule="auto"/>
        <w:jc w:val="center"/>
        <w:rPr>
          <w:rFonts w:asciiTheme="minorBidi" w:hAnsiTheme="minorBidi"/>
          <w:b/>
          <w:bCs/>
          <w:sz w:val="28"/>
          <w:szCs w:val="28"/>
          <w:rtl/>
          <w:lang w:bidi="ar-EG"/>
        </w:rPr>
      </w:pPr>
    </w:p>
    <w:p w14:paraId="34D30FE8" w14:textId="77777777" w:rsidR="003907DC" w:rsidRDefault="003907DC" w:rsidP="00A61745">
      <w:pPr>
        <w:spacing w:line="360" w:lineRule="auto"/>
        <w:jc w:val="center"/>
        <w:rPr>
          <w:rFonts w:asciiTheme="minorBidi" w:hAnsiTheme="minorBidi"/>
          <w:b/>
          <w:bCs/>
          <w:sz w:val="28"/>
          <w:szCs w:val="28"/>
          <w:rtl/>
          <w:lang w:bidi="ar-EG"/>
        </w:rPr>
      </w:pPr>
    </w:p>
    <w:p w14:paraId="201614DE" w14:textId="77777777" w:rsidR="003907DC" w:rsidRDefault="003907DC" w:rsidP="00A61745">
      <w:pPr>
        <w:spacing w:line="360" w:lineRule="auto"/>
        <w:jc w:val="center"/>
        <w:rPr>
          <w:rFonts w:asciiTheme="minorBidi" w:hAnsiTheme="minorBidi"/>
          <w:b/>
          <w:bCs/>
          <w:sz w:val="28"/>
          <w:szCs w:val="28"/>
          <w:rtl/>
          <w:lang w:bidi="ar-EG"/>
        </w:rPr>
      </w:pPr>
    </w:p>
    <w:p w14:paraId="0A2B5D79" w14:textId="77777777" w:rsidR="003907DC" w:rsidRDefault="003907DC" w:rsidP="00A61745">
      <w:pPr>
        <w:spacing w:line="360" w:lineRule="auto"/>
        <w:jc w:val="center"/>
        <w:rPr>
          <w:rFonts w:asciiTheme="minorBidi" w:hAnsiTheme="minorBidi"/>
          <w:b/>
          <w:bCs/>
          <w:sz w:val="28"/>
          <w:szCs w:val="28"/>
          <w:rtl/>
          <w:lang w:bidi="ar-EG"/>
        </w:rPr>
      </w:pPr>
    </w:p>
    <w:p w14:paraId="3CAD8FBF" w14:textId="77777777" w:rsidR="003907DC" w:rsidRDefault="003907DC" w:rsidP="00A61745">
      <w:pPr>
        <w:spacing w:line="360" w:lineRule="auto"/>
        <w:jc w:val="center"/>
        <w:rPr>
          <w:rFonts w:asciiTheme="minorBidi" w:hAnsiTheme="minorBidi"/>
          <w:b/>
          <w:bCs/>
          <w:sz w:val="28"/>
          <w:szCs w:val="28"/>
          <w:rtl/>
          <w:lang w:bidi="ar-EG"/>
        </w:rPr>
      </w:pPr>
    </w:p>
    <w:p w14:paraId="69707357" w14:textId="77777777" w:rsidR="00E51D26" w:rsidRDefault="00E51D26" w:rsidP="00A61745">
      <w:pPr>
        <w:spacing w:line="360" w:lineRule="auto"/>
        <w:jc w:val="center"/>
        <w:rPr>
          <w:rFonts w:asciiTheme="minorBidi" w:hAnsiTheme="minorBidi"/>
          <w:b/>
          <w:bCs/>
          <w:sz w:val="28"/>
          <w:szCs w:val="28"/>
          <w:rtl/>
          <w:lang w:bidi="ar-EG"/>
        </w:rPr>
      </w:pPr>
    </w:p>
    <w:p w14:paraId="1A05D275" w14:textId="77777777" w:rsidR="00057E67" w:rsidRDefault="00057E67" w:rsidP="00A61745">
      <w:pPr>
        <w:spacing w:line="360" w:lineRule="auto"/>
        <w:jc w:val="center"/>
        <w:rPr>
          <w:rFonts w:asciiTheme="minorBidi" w:hAnsiTheme="minorBidi"/>
          <w:b/>
          <w:bCs/>
          <w:sz w:val="32"/>
          <w:szCs w:val="32"/>
          <w:rtl/>
          <w:lang w:bidi="ar-EG"/>
        </w:rPr>
      </w:pPr>
      <w:r w:rsidRPr="00FF67EA">
        <w:rPr>
          <w:rFonts w:asciiTheme="minorBidi" w:hAnsiTheme="minorBidi" w:hint="cs"/>
          <w:b/>
          <w:bCs/>
          <w:sz w:val="32"/>
          <w:szCs w:val="32"/>
          <w:rtl/>
          <w:lang w:bidi="ar-EG"/>
        </w:rPr>
        <w:lastRenderedPageBreak/>
        <w:t>فهرس المحتويات</w:t>
      </w:r>
    </w:p>
    <w:tbl>
      <w:tblPr>
        <w:tblStyle w:val="TableGrid"/>
        <w:bidiVisual/>
        <w:tblW w:w="9123" w:type="dxa"/>
        <w:tblLook w:val="04A0" w:firstRow="1" w:lastRow="0" w:firstColumn="1" w:lastColumn="0" w:noHBand="0" w:noVBand="1"/>
      </w:tblPr>
      <w:tblGrid>
        <w:gridCol w:w="7280"/>
        <w:gridCol w:w="1843"/>
      </w:tblGrid>
      <w:tr w:rsidR="005228EA" w:rsidRPr="00996F21" w14:paraId="7A97EC2D" w14:textId="77777777" w:rsidTr="00996F21">
        <w:trPr>
          <w:tblHeader/>
        </w:trPr>
        <w:tc>
          <w:tcPr>
            <w:tcW w:w="7280" w:type="dxa"/>
            <w:shd w:val="clear" w:color="auto" w:fill="F2F2F2" w:themeFill="background1" w:themeFillShade="F2"/>
          </w:tcPr>
          <w:p w14:paraId="6C67A406" w14:textId="77777777" w:rsidR="005228EA" w:rsidRPr="00996F21" w:rsidRDefault="005228EA" w:rsidP="00996F21">
            <w:pPr>
              <w:spacing w:line="360" w:lineRule="auto"/>
              <w:jc w:val="center"/>
              <w:rPr>
                <w:rFonts w:asciiTheme="minorBidi" w:hAnsiTheme="minorBidi"/>
                <w:b/>
                <w:bCs/>
                <w:sz w:val="28"/>
                <w:szCs w:val="28"/>
                <w:rtl/>
                <w:lang w:bidi="ar-EG"/>
              </w:rPr>
            </w:pPr>
            <w:r w:rsidRPr="00996F21">
              <w:rPr>
                <w:rFonts w:asciiTheme="minorBidi" w:hAnsiTheme="minorBidi"/>
                <w:b/>
                <w:bCs/>
                <w:caps/>
                <w:sz w:val="28"/>
                <w:szCs w:val="28"/>
                <w:rtl/>
              </w:rPr>
              <w:t>الموضــــوع</w:t>
            </w:r>
          </w:p>
        </w:tc>
        <w:tc>
          <w:tcPr>
            <w:tcW w:w="1843" w:type="dxa"/>
            <w:shd w:val="clear" w:color="auto" w:fill="F2F2F2" w:themeFill="background1" w:themeFillShade="F2"/>
          </w:tcPr>
          <w:p w14:paraId="5F0C6BFF" w14:textId="77777777" w:rsidR="005228EA" w:rsidRPr="00996F21" w:rsidRDefault="005228EA" w:rsidP="00996F21">
            <w:pPr>
              <w:spacing w:line="360" w:lineRule="auto"/>
              <w:jc w:val="center"/>
              <w:rPr>
                <w:rFonts w:asciiTheme="minorBidi" w:hAnsiTheme="minorBidi"/>
                <w:b/>
                <w:bCs/>
                <w:sz w:val="28"/>
                <w:szCs w:val="28"/>
                <w:rtl/>
                <w:lang w:bidi="ar-EG"/>
              </w:rPr>
            </w:pPr>
            <w:r w:rsidRPr="00996F21">
              <w:rPr>
                <w:rFonts w:asciiTheme="minorBidi" w:hAnsiTheme="minorBidi"/>
                <w:b/>
                <w:bCs/>
                <w:caps/>
                <w:sz w:val="28"/>
                <w:szCs w:val="28"/>
                <w:rtl/>
              </w:rPr>
              <w:t>رقم الصفحة</w:t>
            </w:r>
          </w:p>
        </w:tc>
      </w:tr>
      <w:tr w:rsidR="005228EA" w:rsidRPr="00996F21" w14:paraId="76B22FCD" w14:textId="77777777" w:rsidTr="005228EA">
        <w:tc>
          <w:tcPr>
            <w:tcW w:w="7280" w:type="dxa"/>
          </w:tcPr>
          <w:p w14:paraId="314C72AF" w14:textId="77777777" w:rsidR="005228EA" w:rsidRPr="00996F21" w:rsidRDefault="005228EA" w:rsidP="00996F21">
            <w:pPr>
              <w:spacing w:line="360" w:lineRule="auto"/>
              <w:rPr>
                <w:rFonts w:asciiTheme="minorBidi" w:hAnsiTheme="minorBidi"/>
                <w:b/>
                <w:bCs/>
                <w:sz w:val="28"/>
                <w:szCs w:val="28"/>
                <w:rtl/>
                <w:lang w:bidi="ar-EG"/>
              </w:rPr>
            </w:pPr>
            <w:r w:rsidRPr="00996F21">
              <w:rPr>
                <w:rFonts w:asciiTheme="minorBidi" w:hAnsiTheme="minorBidi"/>
                <w:sz w:val="28"/>
                <w:szCs w:val="28"/>
                <w:rtl/>
                <w:lang w:bidi="ar-JO"/>
              </w:rPr>
              <w:t>حقوق الطبع</w:t>
            </w:r>
          </w:p>
        </w:tc>
        <w:tc>
          <w:tcPr>
            <w:tcW w:w="1843" w:type="dxa"/>
          </w:tcPr>
          <w:p w14:paraId="5CD8729F" w14:textId="77777777" w:rsidR="005228EA" w:rsidRPr="00996F21" w:rsidRDefault="00996F21"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2</w:t>
            </w:r>
          </w:p>
        </w:tc>
      </w:tr>
      <w:tr w:rsidR="005228EA" w:rsidRPr="00996F21" w14:paraId="1F5212F9" w14:textId="77777777" w:rsidTr="005228EA">
        <w:tc>
          <w:tcPr>
            <w:tcW w:w="7280" w:type="dxa"/>
          </w:tcPr>
          <w:p w14:paraId="2CE0B6D9" w14:textId="77777777" w:rsidR="005228EA" w:rsidRPr="00996F21" w:rsidRDefault="005228EA" w:rsidP="00996F21">
            <w:pPr>
              <w:spacing w:line="360" w:lineRule="auto"/>
              <w:rPr>
                <w:rFonts w:asciiTheme="minorBidi" w:hAnsiTheme="minorBidi"/>
                <w:b/>
                <w:bCs/>
                <w:sz w:val="28"/>
                <w:szCs w:val="28"/>
                <w:rtl/>
                <w:lang w:bidi="ar-EG"/>
              </w:rPr>
            </w:pPr>
            <w:r w:rsidRPr="00996F21">
              <w:rPr>
                <w:rFonts w:asciiTheme="minorBidi" w:hAnsiTheme="minorBidi"/>
                <w:sz w:val="28"/>
                <w:szCs w:val="28"/>
                <w:rtl/>
                <w:lang w:bidi="ar-JO"/>
              </w:rPr>
              <w:t>المستخلص باللغة العربية</w:t>
            </w:r>
          </w:p>
        </w:tc>
        <w:tc>
          <w:tcPr>
            <w:tcW w:w="1843" w:type="dxa"/>
          </w:tcPr>
          <w:p w14:paraId="43D3618C" w14:textId="77777777" w:rsidR="005228EA" w:rsidRPr="00996F21" w:rsidRDefault="00996F21"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3</w:t>
            </w:r>
          </w:p>
        </w:tc>
      </w:tr>
      <w:tr w:rsidR="005228EA" w:rsidRPr="00996F21" w14:paraId="4335BF8B" w14:textId="77777777" w:rsidTr="005228EA">
        <w:tc>
          <w:tcPr>
            <w:tcW w:w="7280" w:type="dxa"/>
          </w:tcPr>
          <w:p w14:paraId="2AAEAF81" w14:textId="77777777" w:rsidR="005228EA" w:rsidRPr="00996F21" w:rsidRDefault="005228EA" w:rsidP="00996F21">
            <w:pPr>
              <w:spacing w:line="360" w:lineRule="auto"/>
              <w:rPr>
                <w:rFonts w:asciiTheme="minorBidi" w:hAnsiTheme="minorBidi"/>
                <w:b/>
                <w:bCs/>
                <w:sz w:val="28"/>
                <w:szCs w:val="28"/>
                <w:rtl/>
                <w:lang w:bidi="ar-EG"/>
              </w:rPr>
            </w:pPr>
            <w:r w:rsidRPr="00996F21">
              <w:rPr>
                <w:rFonts w:asciiTheme="minorBidi" w:hAnsiTheme="minorBidi"/>
                <w:sz w:val="28"/>
                <w:szCs w:val="28"/>
                <w:rtl/>
                <w:lang w:bidi="ar-JO"/>
              </w:rPr>
              <w:t>الشكر والتقدير</w:t>
            </w:r>
          </w:p>
        </w:tc>
        <w:tc>
          <w:tcPr>
            <w:tcW w:w="1843" w:type="dxa"/>
          </w:tcPr>
          <w:p w14:paraId="0A8FA190" w14:textId="77777777" w:rsidR="005228EA" w:rsidRPr="00996F21" w:rsidRDefault="00996F21"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5</w:t>
            </w:r>
          </w:p>
        </w:tc>
      </w:tr>
      <w:tr w:rsidR="005228EA" w:rsidRPr="00996F21" w14:paraId="6B97F55A" w14:textId="77777777" w:rsidTr="005228EA">
        <w:tc>
          <w:tcPr>
            <w:tcW w:w="7280" w:type="dxa"/>
          </w:tcPr>
          <w:p w14:paraId="0002141D" w14:textId="77777777" w:rsidR="005228EA" w:rsidRPr="00996F21" w:rsidRDefault="005228EA" w:rsidP="00996F21">
            <w:pPr>
              <w:spacing w:line="360" w:lineRule="auto"/>
              <w:rPr>
                <w:rFonts w:asciiTheme="minorBidi" w:hAnsiTheme="minorBidi"/>
                <w:b/>
                <w:bCs/>
                <w:sz w:val="28"/>
                <w:szCs w:val="28"/>
                <w:rtl/>
                <w:lang w:bidi="ar-EG"/>
              </w:rPr>
            </w:pPr>
            <w:r w:rsidRPr="00996F21">
              <w:rPr>
                <w:rFonts w:asciiTheme="minorBidi" w:hAnsiTheme="minorBidi"/>
                <w:sz w:val="28"/>
                <w:szCs w:val="28"/>
                <w:rtl/>
                <w:lang w:bidi="ar-JO"/>
              </w:rPr>
              <w:t>فهرس المحتويات</w:t>
            </w:r>
          </w:p>
        </w:tc>
        <w:tc>
          <w:tcPr>
            <w:tcW w:w="1843" w:type="dxa"/>
          </w:tcPr>
          <w:p w14:paraId="6ACA3D20" w14:textId="77777777" w:rsidR="005228EA" w:rsidRPr="00996F21" w:rsidRDefault="00996F21"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6</w:t>
            </w:r>
          </w:p>
        </w:tc>
      </w:tr>
      <w:tr w:rsidR="005228EA" w:rsidRPr="00996F21" w14:paraId="1868A4B2" w14:textId="77777777" w:rsidTr="005228EA">
        <w:tc>
          <w:tcPr>
            <w:tcW w:w="7280" w:type="dxa"/>
          </w:tcPr>
          <w:p w14:paraId="3FAC67B8" w14:textId="77777777" w:rsidR="005228EA" w:rsidRPr="00996F21" w:rsidRDefault="005228EA" w:rsidP="00996F21">
            <w:pPr>
              <w:spacing w:line="360" w:lineRule="auto"/>
              <w:rPr>
                <w:rFonts w:asciiTheme="minorBidi" w:hAnsiTheme="minorBidi"/>
                <w:b/>
                <w:bCs/>
                <w:sz w:val="28"/>
                <w:szCs w:val="28"/>
                <w:rtl/>
                <w:lang w:bidi="ar-EG"/>
              </w:rPr>
            </w:pPr>
            <w:r w:rsidRPr="00996F21">
              <w:rPr>
                <w:rFonts w:asciiTheme="minorBidi" w:hAnsiTheme="minorBidi"/>
                <w:sz w:val="28"/>
                <w:szCs w:val="28"/>
                <w:rtl/>
                <w:lang w:bidi="ar-JO"/>
              </w:rPr>
              <w:t>مصطلحات البحث</w:t>
            </w:r>
          </w:p>
        </w:tc>
        <w:tc>
          <w:tcPr>
            <w:tcW w:w="1843" w:type="dxa"/>
          </w:tcPr>
          <w:p w14:paraId="5413D895" w14:textId="77777777" w:rsidR="005228EA" w:rsidRPr="00996F21"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8</w:t>
            </w:r>
          </w:p>
        </w:tc>
      </w:tr>
      <w:tr w:rsidR="005228EA" w:rsidRPr="00996F21" w14:paraId="60295140" w14:textId="77777777" w:rsidTr="005228EA">
        <w:tc>
          <w:tcPr>
            <w:tcW w:w="7280" w:type="dxa"/>
          </w:tcPr>
          <w:p w14:paraId="01830EF8"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 xml:space="preserve">الفصل الاول: المدخل العام للبحث:                            </w:t>
            </w:r>
          </w:p>
          <w:p w14:paraId="1BE1EC74"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مقدمة</w:t>
            </w:r>
          </w:p>
          <w:p w14:paraId="4538E5FF"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مشكلة البحث.</w:t>
            </w:r>
          </w:p>
          <w:p w14:paraId="32DC5465"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أسئلة البحث.</w:t>
            </w:r>
          </w:p>
          <w:p w14:paraId="499E864D"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أهمية البحث.</w:t>
            </w:r>
          </w:p>
          <w:p w14:paraId="6193091E"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أهداف البحث.</w:t>
            </w:r>
          </w:p>
          <w:p w14:paraId="60D1B93C"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فرضيات البحث.</w:t>
            </w:r>
          </w:p>
          <w:p w14:paraId="68BC1DDE"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نموذج البحث.</w:t>
            </w:r>
          </w:p>
          <w:p w14:paraId="13D2BD25"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حدود البحث.</w:t>
            </w:r>
          </w:p>
          <w:p w14:paraId="16AEF2B6" w14:textId="77777777" w:rsidR="005228EA" w:rsidRPr="00996F21" w:rsidRDefault="005228EA" w:rsidP="00996F21">
            <w:pPr>
              <w:spacing w:line="360" w:lineRule="auto"/>
              <w:rPr>
                <w:rFonts w:asciiTheme="minorBidi" w:hAnsiTheme="minorBidi"/>
                <w:b/>
                <w:bCs/>
                <w:sz w:val="28"/>
                <w:szCs w:val="28"/>
                <w:rtl/>
                <w:lang w:bidi="ar-EG"/>
              </w:rPr>
            </w:pPr>
            <w:r w:rsidRPr="00996F21">
              <w:rPr>
                <w:rFonts w:asciiTheme="minorBidi" w:hAnsiTheme="minorBidi"/>
                <w:sz w:val="28"/>
                <w:szCs w:val="28"/>
                <w:rtl/>
                <w:lang w:bidi="ar-JO"/>
              </w:rPr>
              <w:t>خاتمة البحث</w:t>
            </w:r>
          </w:p>
        </w:tc>
        <w:tc>
          <w:tcPr>
            <w:tcW w:w="1843" w:type="dxa"/>
          </w:tcPr>
          <w:p w14:paraId="50A1E16B" w14:textId="77777777" w:rsidR="005228EA"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9</w:t>
            </w:r>
          </w:p>
          <w:p w14:paraId="6D51B3A3"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10</w:t>
            </w:r>
          </w:p>
          <w:p w14:paraId="72657863"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11</w:t>
            </w:r>
          </w:p>
          <w:p w14:paraId="39C857B0"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12</w:t>
            </w:r>
          </w:p>
          <w:p w14:paraId="55D8E02A"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13</w:t>
            </w:r>
          </w:p>
          <w:p w14:paraId="7C1C944E"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14</w:t>
            </w:r>
          </w:p>
          <w:p w14:paraId="6F726780"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14</w:t>
            </w:r>
          </w:p>
          <w:p w14:paraId="12F97A63"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14</w:t>
            </w:r>
          </w:p>
          <w:p w14:paraId="07D8D633"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14</w:t>
            </w:r>
          </w:p>
          <w:p w14:paraId="249E18C7" w14:textId="77777777" w:rsidR="00951DB8" w:rsidRPr="00996F21"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15</w:t>
            </w:r>
          </w:p>
        </w:tc>
      </w:tr>
      <w:tr w:rsidR="005228EA" w:rsidRPr="00996F21" w14:paraId="1E406678" w14:textId="77777777" w:rsidTr="005228EA">
        <w:tc>
          <w:tcPr>
            <w:tcW w:w="7280" w:type="dxa"/>
          </w:tcPr>
          <w:p w14:paraId="2C1EDE9D"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الفصل الثاني: الإطار النظري والدراسات السابقة</w:t>
            </w:r>
          </w:p>
          <w:p w14:paraId="374F091F"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أولا: الإطار النظري.</w:t>
            </w:r>
          </w:p>
          <w:p w14:paraId="6E1DCD2A" w14:textId="77777777" w:rsidR="005228EA" w:rsidRPr="00996F21" w:rsidRDefault="005228EA"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lang w:bidi="ar-JO"/>
              </w:rPr>
              <w:t>ثانيا: الدراسات السابقة.</w:t>
            </w:r>
          </w:p>
          <w:p w14:paraId="0854BB79" w14:textId="77777777" w:rsidR="005228EA" w:rsidRDefault="005228EA" w:rsidP="00996F21">
            <w:pPr>
              <w:spacing w:line="360" w:lineRule="auto"/>
              <w:rPr>
                <w:rFonts w:asciiTheme="minorBidi" w:hAnsiTheme="minorBidi"/>
                <w:b/>
                <w:bCs/>
                <w:sz w:val="28"/>
                <w:szCs w:val="28"/>
                <w:rtl/>
                <w:lang w:bidi="ar-JO"/>
              </w:rPr>
            </w:pPr>
            <w:r w:rsidRPr="00996F21">
              <w:rPr>
                <w:rFonts w:asciiTheme="minorBidi" w:hAnsiTheme="minorBidi"/>
                <w:sz w:val="28"/>
                <w:szCs w:val="28"/>
                <w:rtl/>
                <w:lang w:bidi="ar-JO"/>
              </w:rPr>
              <w:t>تعليق عام علي الدراسات السابقة.</w:t>
            </w:r>
          </w:p>
          <w:p w14:paraId="35A8C422" w14:textId="77777777" w:rsidR="003905BD" w:rsidRPr="003905BD" w:rsidRDefault="003905BD" w:rsidP="00996F21">
            <w:pPr>
              <w:spacing w:line="360" w:lineRule="auto"/>
              <w:rPr>
                <w:rFonts w:asciiTheme="minorBidi" w:hAnsiTheme="minorBidi"/>
                <w:sz w:val="28"/>
                <w:szCs w:val="28"/>
                <w:rtl/>
                <w:lang w:bidi="ar-JO"/>
              </w:rPr>
            </w:pPr>
            <w:r w:rsidRPr="003905BD">
              <w:rPr>
                <w:rFonts w:asciiTheme="minorBidi" w:hAnsiTheme="minorBidi" w:hint="cs"/>
                <w:sz w:val="28"/>
                <w:szCs w:val="28"/>
                <w:rtl/>
                <w:lang w:bidi="ar-JO"/>
              </w:rPr>
              <w:t>خلاصة الفصل.</w:t>
            </w:r>
          </w:p>
        </w:tc>
        <w:tc>
          <w:tcPr>
            <w:tcW w:w="1843" w:type="dxa"/>
          </w:tcPr>
          <w:p w14:paraId="26792884" w14:textId="77777777" w:rsidR="005228EA"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16</w:t>
            </w:r>
          </w:p>
          <w:p w14:paraId="11141377" w14:textId="77777777" w:rsidR="00951DB8" w:rsidRDefault="00951DB8"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17</w:t>
            </w:r>
          </w:p>
          <w:p w14:paraId="4A3B88F5" w14:textId="77777777" w:rsidR="003905BD" w:rsidRDefault="00951DB8" w:rsidP="003905BD">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3</w:t>
            </w:r>
            <w:r w:rsidR="003905BD">
              <w:rPr>
                <w:rFonts w:asciiTheme="minorBidi" w:hAnsiTheme="minorBidi" w:hint="cs"/>
                <w:b/>
                <w:bCs/>
                <w:sz w:val="28"/>
                <w:szCs w:val="28"/>
                <w:rtl/>
                <w:lang w:bidi="ar-EG"/>
              </w:rPr>
              <w:t>8</w:t>
            </w:r>
          </w:p>
          <w:p w14:paraId="6901F8D7" w14:textId="77777777" w:rsidR="00951DB8" w:rsidRDefault="00951DB8" w:rsidP="003905BD">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44</w:t>
            </w:r>
          </w:p>
          <w:p w14:paraId="0BB44825" w14:textId="77777777" w:rsidR="003905BD" w:rsidRPr="00996F21" w:rsidRDefault="003905BD" w:rsidP="003905BD">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46</w:t>
            </w:r>
          </w:p>
        </w:tc>
      </w:tr>
      <w:tr w:rsidR="00996F21" w:rsidRPr="00996F21" w14:paraId="5BCBE9BD" w14:textId="77777777" w:rsidTr="005228EA">
        <w:tc>
          <w:tcPr>
            <w:tcW w:w="7280" w:type="dxa"/>
          </w:tcPr>
          <w:p w14:paraId="27A7D7D2"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الفصل الثالث: منهجية البحث.</w:t>
            </w:r>
          </w:p>
          <w:p w14:paraId="6D0F5F0A"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منهج البحث.</w:t>
            </w:r>
          </w:p>
          <w:p w14:paraId="01BDF4FA"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مجتمع البحث.</w:t>
            </w:r>
          </w:p>
          <w:p w14:paraId="6F6BD57D"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عينة البحث.</w:t>
            </w:r>
          </w:p>
          <w:p w14:paraId="16E9FEDF"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أداة البحث.</w:t>
            </w:r>
          </w:p>
          <w:p w14:paraId="29E36F21"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الأساليب الإحصائية المستخدمة في البحث.</w:t>
            </w:r>
          </w:p>
        </w:tc>
        <w:tc>
          <w:tcPr>
            <w:tcW w:w="1843" w:type="dxa"/>
          </w:tcPr>
          <w:p w14:paraId="152B0EB8" w14:textId="77777777" w:rsidR="00996F21"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48</w:t>
            </w:r>
          </w:p>
          <w:p w14:paraId="2FE0787E" w14:textId="77777777" w:rsidR="003905BD"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49</w:t>
            </w:r>
          </w:p>
          <w:p w14:paraId="517B56D5" w14:textId="77777777" w:rsidR="003905BD"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49</w:t>
            </w:r>
          </w:p>
          <w:p w14:paraId="03BF1A26" w14:textId="77777777" w:rsidR="003905BD"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49</w:t>
            </w:r>
          </w:p>
          <w:p w14:paraId="555AE571" w14:textId="77777777" w:rsidR="003905BD"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49</w:t>
            </w:r>
          </w:p>
          <w:p w14:paraId="1B20FE63" w14:textId="77777777" w:rsidR="003905BD" w:rsidRPr="00996F21" w:rsidRDefault="003905BD" w:rsidP="003905BD">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51</w:t>
            </w:r>
          </w:p>
        </w:tc>
      </w:tr>
      <w:tr w:rsidR="00996F21" w:rsidRPr="00996F21" w14:paraId="67566B78" w14:textId="77777777" w:rsidTr="005228EA">
        <w:tc>
          <w:tcPr>
            <w:tcW w:w="7280" w:type="dxa"/>
          </w:tcPr>
          <w:p w14:paraId="38D2E654"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الفصل الرابع</w:t>
            </w:r>
          </w:p>
          <w:p w14:paraId="0DDB0939"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lastRenderedPageBreak/>
              <w:t>تحليل البيانات والنتائج والتوصيات والمقترحات</w:t>
            </w:r>
          </w:p>
        </w:tc>
        <w:tc>
          <w:tcPr>
            <w:tcW w:w="1843" w:type="dxa"/>
          </w:tcPr>
          <w:p w14:paraId="26FD87FB" w14:textId="77777777" w:rsidR="00996F21" w:rsidRPr="00996F21"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lastRenderedPageBreak/>
              <w:t>52</w:t>
            </w:r>
          </w:p>
        </w:tc>
      </w:tr>
      <w:tr w:rsidR="00996F21" w:rsidRPr="00996F21" w14:paraId="02AA28B0" w14:textId="77777777" w:rsidTr="005228EA">
        <w:tc>
          <w:tcPr>
            <w:tcW w:w="7280" w:type="dxa"/>
          </w:tcPr>
          <w:p w14:paraId="7965B8C7" w14:textId="77777777" w:rsidR="00996F21" w:rsidRPr="00996F21" w:rsidRDefault="00996F21" w:rsidP="00996F21">
            <w:pPr>
              <w:pStyle w:val="NoSpacing"/>
              <w:spacing w:line="360" w:lineRule="auto"/>
              <w:rPr>
                <w:rFonts w:asciiTheme="minorBidi" w:hAnsiTheme="minorBidi"/>
                <w:sz w:val="28"/>
                <w:szCs w:val="28"/>
                <w:rtl/>
                <w:lang w:bidi="ar-JO"/>
              </w:rPr>
            </w:pPr>
            <w:r w:rsidRPr="00996F21">
              <w:rPr>
                <w:rFonts w:asciiTheme="minorBidi" w:hAnsiTheme="minorBidi"/>
                <w:sz w:val="28"/>
                <w:szCs w:val="28"/>
                <w:rtl/>
              </w:rPr>
              <w:t>المراجع</w:t>
            </w:r>
          </w:p>
        </w:tc>
        <w:tc>
          <w:tcPr>
            <w:tcW w:w="1843" w:type="dxa"/>
          </w:tcPr>
          <w:p w14:paraId="4E6E907F" w14:textId="77777777" w:rsidR="00996F21" w:rsidRPr="00996F21"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70</w:t>
            </w:r>
          </w:p>
        </w:tc>
      </w:tr>
      <w:tr w:rsidR="00996F21" w:rsidRPr="00996F21" w14:paraId="2AA2C358" w14:textId="77777777" w:rsidTr="005228EA">
        <w:tc>
          <w:tcPr>
            <w:tcW w:w="7280" w:type="dxa"/>
          </w:tcPr>
          <w:p w14:paraId="54E7A587" w14:textId="77777777" w:rsidR="00996F21" w:rsidRPr="00996F21" w:rsidRDefault="00996F21" w:rsidP="00996F21">
            <w:pPr>
              <w:pStyle w:val="NoSpacing"/>
              <w:spacing w:line="360" w:lineRule="auto"/>
              <w:rPr>
                <w:rFonts w:asciiTheme="minorBidi" w:hAnsiTheme="minorBidi"/>
                <w:sz w:val="28"/>
                <w:szCs w:val="28"/>
                <w:rtl/>
              </w:rPr>
            </w:pPr>
            <w:r w:rsidRPr="00996F21">
              <w:rPr>
                <w:rFonts w:asciiTheme="minorBidi" w:hAnsiTheme="minorBidi"/>
                <w:sz w:val="28"/>
                <w:szCs w:val="28"/>
                <w:rtl/>
              </w:rPr>
              <w:t>الملاحق</w:t>
            </w:r>
          </w:p>
        </w:tc>
        <w:tc>
          <w:tcPr>
            <w:tcW w:w="1843" w:type="dxa"/>
          </w:tcPr>
          <w:p w14:paraId="55C611B9" w14:textId="77777777" w:rsidR="00996F21" w:rsidRPr="00996F21" w:rsidRDefault="003905BD" w:rsidP="00996F21">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t>83</w:t>
            </w:r>
          </w:p>
        </w:tc>
      </w:tr>
    </w:tbl>
    <w:p w14:paraId="412CD857" w14:textId="77777777" w:rsidR="000D42B0" w:rsidRDefault="000D42B0" w:rsidP="00A61745">
      <w:pPr>
        <w:spacing w:line="360" w:lineRule="auto"/>
        <w:jc w:val="center"/>
        <w:rPr>
          <w:rFonts w:asciiTheme="minorBidi" w:hAnsiTheme="minorBidi"/>
          <w:b/>
          <w:bCs/>
          <w:sz w:val="32"/>
          <w:szCs w:val="32"/>
          <w:rtl/>
          <w:lang w:bidi="ar-EG"/>
        </w:rPr>
      </w:pPr>
    </w:p>
    <w:p w14:paraId="7074657B" w14:textId="77777777" w:rsidR="00996F21" w:rsidRDefault="00996F21" w:rsidP="00A61745">
      <w:pPr>
        <w:spacing w:line="360" w:lineRule="auto"/>
        <w:jc w:val="center"/>
        <w:rPr>
          <w:rFonts w:asciiTheme="minorBidi" w:hAnsiTheme="minorBidi"/>
          <w:b/>
          <w:bCs/>
          <w:sz w:val="32"/>
          <w:szCs w:val="32"/>
          <w:rtl/>
          <w:lang w:bidi="ar-EG"/>
        </w:rPr>
      </w:pPr>
    </w:p>
    <w:p w14:paraId="3C6624C2" w14:textId="77777777" w:rsidR="00996F21" w:rsidRDefault="00996F21" w:rsidP="00A61745">
      <w:pPr>
        <w:spacing w:line="360" w:lineRule="auto"/>
        <w:jc w:val="center"/>
        <w:rPr>
          <w:rFonts w:asciiTheme="minorBidi" w:hAnsiTheme="minorBidi"/>
          <w:b/>
          <w:bCs/>
          <w:sz w:val="32"/>
          <w:szCs w:val="32"/>
          <w:rtl/>
          <w:lang w:bidi="ar-EG"/>
        </w:rPr>
      </w:pPr>
    </w:p>
    <w:p w14:paraId="359CF0BB" w14:textId="77777777" w:rsidR="00996F21" w:rsidRDefault="00996F21" w:rsidP="00A61745">
      <w:pPr>
        <w:spacing w:line="360" w:lineRule="auto"/>
        <w:jc w:val="center"/>
        <w:rPr>
          <w:rFonts w:asciiTheme="minorBidi" w:hAnsiTheme="minorBidi"/>
          <w:b/>
          <w:bCs/>
          <w:sz w:val="32"/>
          <w:szCs w:val="32"/>
          <w:rtl/>
          <w:lang w:bidi="ar-EG"/>
        </w:rPr>
      </w:pPr>
    </w:p>
    <w:p w14:paraId="60CC0FFF" w14:textId="77777777" w:rsidR="00996F21" w:rsidRDefault="00996F21" w:rsidP="00A61745">
      <w:pPr>
        <w:spacing w:line="360" w:lineRule="auto"/>
        <w:jc w:val="center"/>
        <w:rPr>
          <w:rFonts w:asciiTheme="minorBidi" w:hAnsiTheme="minorBidi"/>
          <w:b/>
          <w:bCs/>
          <w:sz w:val="32"/>
          <w:szCs w:val="32"/>
          <w:rtl/>
          <w:lang w:bidi="ar-EG"/>
        </w:rPr>
      </w:pPr>
    </w:p>
    <w:p w14:paraId="0F8E9038" w14:textId="77777777" w:rsidR="00996F21" w:rsidRDefault="00996F21" w:rsidP="00A61745">
      <w:pPr>
        <w:spacing w:line="360" w:lineRule="auto"/>
        <w:jc w:val="center"/>
        <w:rPr>
          <w:rFonts w:asciiTheme="minorBidi" w:hAnsiTheme="minorBidi"/>
          <w:b/>
          <w:bCs/>
          <w:sz w:val="32"/>
          <w:szCs w:val="32"/>
          <w:rtl/>
          <w:lang w:bidi="ar-EG"/>
        </w:rPr>
      </w:pPr>
    </w:p>
    <w:p w14:paraId="6B3F5B01" w14:textId="77777777" w:rsidR="00996F21" w:rsidRDefault="00996F21" w:rsidP="00A61745">
      <w:pPr>
        <w:spacing w:line="360" w:lineRule="auto"/>
        <w:jc w:val="center"/>
        <w:rPr>
          <w:rFonts w:asciiTheme="minorBidi" w:hAnsiTheme="minorBidi"/>
          <w:b/>
          <w:bCs/>
          <w:sz w:val="32"/>
          <w:szCs w:val="32"/>
          <w:rtl/>
          <w:lang w:bidi="ar-EG"/>
        </w:rPr>
      </w:pPr>
    </w:p>
    <w:p w14:paraId="78932B13" w14:textId="77777777" w:rsidR="00996F21" w:rsidRDefault="00996F21" w:rsidP="00A61745">
      <w:pPr>
        <w:spacing w:line="360" w:lineRule="auto"/>
        <w:jc w:val="center"/>
        <w:rPr>
          <w:rFonts w:asciiTheme="minorBidi" w:hAnsiTheme="minorBidi"/>
          <w:b/>
          <w:bCs/>
          <w:sz w:val="32"/>
          <w:szCs w:val="32"/>
          <w:rtl/>
          <w:lang w:bidi="ar-EG"/>
        </w:rPr>
      </w:pPr>
    </w:p>
    <w:p w14:paraId="40E85F87" w14:textId="77777777" w:rsidR="00996F21" w:rsidRDefault="00996F21" w:rsidP="00A61745">
      <w:pPr>
        <w:spacing w:line="360" w:lineRule="auto"/>
        <w:jc w:val="center"/>
        <w:rPr>
          <w:rFonts w:asciiTheme="minorBidi" w:hAnsiTheme="minorBidi"/>
          <w:b/>
          <w:bCs/>
          <w:sz w:val="32"/>
          <w:szCs w:val="32"/>
          <w:rtl/>
          <w:lang w:bidi="ar-EG"/>
        </w:rPr>
      </w:pPr>
    </w:p>
    <w:p w14:paraId="2DA59FFA" w14:textId="77777777" w:rsidR="00996F21" w:rsidRDefault="00996F21" w:rsidP="00A61745">
      <w:pPr>
        <w:spacing w:line="360" w:lineRule="auto"/>
        <w:jc w:val="center"/>
        <w:rPr>
          <w:rFonts w:asciiTheme="minorBidi" w:hAnsiTheme="minorBidi"/>
          <w:b/>
          <w:bCs/>
          <w:sz w:val="32"/>
          <w:szCs w:val="32"/>
          <w:rtl/>
          <w:lang w:bidi="ar-EG"/>
        </w:rPr>
      </w:pPr>
    </w:p>
    <w:p w14:paraId="45F6FCCE" w14:textId="77777777" w:rsidR="00996F21" w:rsidRDefault="00996F21" w:rsidP="00A61745">
      <w:pPr>
        <w:spacing w:line="360" w:lineRule="auto"/>
        <w:jc w:val="center"/>
        <w:rPr>
          <w:rFonts w:asciiTheme="minorBidi" w:hAnsiTheme="minorBidi"/>
          <w:b/>
          <w:bCs/>
          <w:sz w:val="32"/>
          <w:szCs w:val="32"/>
          <w:rtl/>
          <w:lang w:bidi="ar-EG"/>
        </w:rPr>
      </w:pPr>
    </w:p>
    <w:p w14:paraId="2F4D5383" w14:textId="77777777" w:rsidR="00996F21" w:rsidRDefault="00996F21" w:rsidP="00A61745">
      <w:pPr>
        <w:spacing w:line="360" w:lineRule="auto"/>
        <w:jc w:val="center"/>
        <w:rPr>
          <w:rFonts w:asciiTheme="minorBidi" w:hAnsiTheme="minorBidi"/>
          <w:b/>
          <w:bCs/>
          <w:sz w:val="32"/>
          <w:szCs w:val="32"/>
          <w:rtl/>
          <w:lang w:bidi="ar-EG"/>
        </w:rPr>
      </w:pPr>
    </w:p>
    <w:p w14:paraId="448998EA" w14:textId="77777777" w:rsidR="00996F21" w:rsidRDefault="00996F21" w:rsidP="00A61745">
      <w:pPr>
        <w:spacing w:line="360" w:lineRule="auto"/>
        <w:jc w:val="center"/>
        <w:rPr>
          <w:rFonts w:asciiTheme="minorBidi" w:hAnsiTheme="minorBidi"/>
          <w:b/>
          <w:bCs/>
          <w:sz w:val="32"/>
          <w:szCs w:val="32"/>
          <w:rtl/>
          <w:lang w:bidi="ar-EG"/>
        </w:rPr>
      </w:pPr>
    </w:p>
    <w:p w14:paraId="6DBC180E" w14:textId="77777777" w:rsidR="00996F21" w:rsidRDefault="00996F21" w:rsidP="00A61745">
      <w:pPr>
        <w:spacing w:line="360" w:lineRule="auto"/>
        <w:jc w:val="center"/>
        <w:rPr>
          <w:rFonts w:asciiTheme="minorBidi" w:hAnsiTheme="minorBidi"/>
          <w:b/>
          <w:bCs/>
          <w:sz w:val="32"/>
          <w:szCs w:val="32"/>
          <w:rtl/>
          <w:lang w:bidi="ar-EG"/>
        </w:rPr>
      </w:pPr>
    </w:p>
    <w:p w14:paraId="63F3C320" w14:textId="77777777" w:rsidR="00996F21" w:rsidRDefault="00996F21" w:rsidP="00A61745">
      <w:pPr>
        <w:spacing w:line="360" w:lineRule="auto"/>
        <w:jc w:val="center"/>
        <w:rPr>
          <w:rFonts w:asciiTheme="minorBidi" w:hAnsiTheme="minorBidi"/>
          <w:b/>
          <w:bCs/>
          <w:sz w:val="32"/>
          <w:szCs w:val="32"/>
          <w:rtl/>
          <w:lang w:bidi="ar-EG"/>
        </w:rPr>
      </w:pPr>
    </w:p>
    <w:p w14:paraId="234627ED" w14:textId="77777777" w:rsidR="00457A85" w:rsidRDefault="00457A85" w:rsidP="00A61745">
      <w:pPr>
        <w:spacing w:line="360" w:lineRule="auto"/>
        <w:jc w:val="center"/>
        <w:rPr>
          <w:rFonts w:asciiTheme="minorBidi" w:hAnsiTheme="minorBidi"/>
          <w:b/>
          <w:bCs/>
          <w:sz w:val="28"/>
          <w:szCs w:val="28"/>
          <w:rtl/>
          <w:lang w:bidi="ar-EG"/>
        </w:rPr>
      </w:pPr>
    </w:p>
    <w:p w14:paraId="3EAF9986" w14:textId="77777777" w:rsidR="00457A85" w:rsidRDefault="00457A85" w:rsidP="00A61745">
      <w:pPr>
        <w:spacing w:line="360" w:lineRule="auto"/>
        <w:jc w:val="center"/>
        <w:rPr>
          <w:rFonts w:asciiTheme="minorBidi" w:hAnsiTheme="minorBidi"/>
          <w:b/>
          <w:bCs/>
          <w:sz w:val="28"/>
          <w:szCs w:val="28"/>
          <w:rtl/>
          <w:lang w:bidi="ar-EG"/>
        </w:rPr>
      </w:pPr>
    </w:p>
    <w:p w14:paraId="19918E26" w14:textId="557683EA" w:rsidR="00057E67" w:rsidRDefault="00057E67" w:rsidP="00A61745">
      <w:pPr>
        <w:spacing w:line="360" w:lineRule="auto"/>
        <w:jc w:val="center"/>
        <w:rPr>
          <w:rFonts w:asciiTheme="minorBidi" w:hAnsiTheme="minorBidi"/>
          <w:b/>
          <w:bCs/>
          <w:sz w:val="28"/>
          <w:szCs w:val="28"/>
          <w:rtl/>
          <w:lang w:bidi="ar-EG"/>
        </w:rPr>
      </w:pPr>
      <w:r>
        <w:rPr>
          <w:rFonts w:asciiTheme="minorBidi" w:hAnsiTheme="minorBidi" w:hint="cs"/>
          <w:b/>
          <w:bCs/>
          <w:sz w:val="28"/>
          <w:szCs w:val="28"/>
          <w:rtl/>
          <w:lang w:bidi="ar-EG"/>
        </w:rPr>
        <w:lastRenderedPageBreak/>
        <w:t>مصطلحات البحث</w:t>
      </w:r>
    </w:p>
    <w:p w14:paraId="00071463" w14:textId="77777777" w:rsidR="00057E67" w:rsidRPr="00A61745" w:rsidRDefault="00057E67" w:rsidP="00057E67">
      <w:pPr>
        <w:pStyle w:val="ListParagraph"/>
        <w:numPr>
          <w:ilvl w:val="0"/>
          <w:numId w:val="28"/>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إدارة الحسابات الرئيسية (</w:t>
      </w:r>
      <w:r w:rsidRPr="00A61745">
        <w:rPr>
          <w:rFonts w:asciiTheme="minorBidi" w:hAnsiTheme="minorBidi"/>
          <w:b/>
          <w:bCs/>
          <w:sz w:val="28"/>
          <w:szCs w:val="28"/>
          <w:lang w:bidi="ar-EG"/>
        </w:rPr>
        <w:t>Key Account Management - KAM</w:t>
      </w:r>
      <w:r w:rsidRPr="00A61745">
        <w:rPr>
          <w:rFonts w:asciiTheme="minorBidi" w:hAnsiTheme="minorBidi"/>
          <w:b/>
          <w:bCs/>
          <w:sz w:val="28"/>
          <w:szCs w:val="28"/>
          <w:rtl/>
          <w:lang w:bidi="ar-EG"/>
        </w:rPr>
        <w:t>):</w:t>
      </w:r>
    </w:p>
    <w:p w14:paraId="2AA5BF81" w14:textId="77777777" w:rsidR="00057E67" w:rsidRPr="00A61745" w:rsidRDefault="00057E67" w:rsidP="00057E67">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اصطلاحيا: عرّفت بأنها "عملية استراتيجية تهدف إلى بناء علاقات قوية وطويلة الأمد مع العملاء الرئيسيين الذين يشكلون جزءًا كبيرًا من إيرادات الشركة، عبر تخصيص الموارد وتقديم حلول مخصصة تلبي احتياجاتهم الخاصة. </w:t>
      </w:r>
      <w:r w:rsidRPr="00A61745">
        <w:rPr>
          <w:rFonts w:asciiTheme="minorBidi" w:hAnsiTheme="minorBidi"/>
          <w:sz w:val="28"/>
          <w:szCs w:val="28"/>
          <w:lang w:bidi="ar-EG"/>
        </w:rPr>
        <w:t>Homburg, Workman &amp; Jensen, 2017)</w:t>
      </w:r>
      <w:r w:rsidRPr="00A61745">
        <w:rPr>
          <w:rFonts w:asciiTheme="minorBidi" w:hAnsiTheme="minorBidi"/>
          <w:sz w:val="28"/>
          <w:szCs w:val="28"/>
          <w:rtl/>
          <w:lang w:bidi="ar-EG"/>
        </w:rPr>
        <w:t>)</w:t>
      </w:r>
    </w:p>
    <w:p w14:paraId="33B091C8" w14:textId="77777777" w:rsidR="00057E67" w:rsidRPr="00A61745" w:rsidRDefault="00057E67" w:rsidP="00057E67">
      <w:pPr>
        <w:pStyle w:val="ListParagraph"/>
        <w:numPr>
          <w:ilvl w:val="0"/>
          <w:numId w:val="1"/>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اجرائيا: عرف بأنه "مجموعة الأنشطة والإجراءات التي تقوم بها الشركة لتحديد العملاء الرئيسيين، وتخصيص فريق أو مدير حساب مسؤول عن بناء علاقة مستمرة معهم، يتضمن ذلك متابعة احتياجاتهم، تقديم حلول مخصصة، والتنسيق بين الأقسام المختلفة لضمان رضاهم وتحقيق أهداف البيع".</w:t>
      </w:r>
    </w:p>
    <w:p w14:paraId="17D56593" w14:textId="77777777" w:rsidR="00057E67" w:rsidRPr="00A61745" w:rsidRDefault="00057E67" w:rsidP="00057E67">
      <w:pPr>
        <w:pStyle w:val="ListParagraph"/>
        <w:numPr>
          <w:ilvl w:val="0"/>
          <w:numId w:val="13"/>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العلاقات البيعية (</w:t>
      </w:r>
      <w:r w:rsidRPr="00A61745">
        <w:rPr>
          <w:rFonts w:asciiTheme="minorBidi" w:hAnsiTheme="minorBidi"/>
          <w:b/>
          <w:bCs/>
          <w:sz w:val="28"/>
          <w:szCs w:val="28"/>
          <w:lang w:bidi="ar-EG"/>
        </w:rPr>
        <w:t>Sales Relationships</w:t>
      </w:r>
      <w:r w:rsidRPr="00A61745">
        <w:rPr>
          <w:rFonts w:asciiTheme="minorBidi" w:hAnsiTheme="minorBidi"/>
          <w:b/>
          <w:bCs/>
          <w:sz w:val="28"/>
          <w:szCs w:val="28"/>
          <w:rtl/>
          <w:lang w:bidi="ar-EG"/>
        </w:rPr>
        <w:t>):</w:t>
      </w:r>
    </w:p>
    <w:p w14:paraId="70A6698D" w14:textId="77777777" w:rsidR="00057E67" w:rsidRPr="00A61745" w:rsidRDefault="00057E67" w:rsidP="00057E67">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اصطلاحيا: عرفت بأنها " التفاعلات المستمرة بين البائع والمشتري التي تبنى على أسس الثقة والالتزام المتبادل، وتهدف إلى تحقيق منافع متبادلة وزيادة رضا العميل وتعزيز الولاء". </w:t>
      </w:r>
      <w:r w:rsidRPr="00A61745">
        <w:rPr>
          <w:rFonts w:asciiTheme="minorBidi" w:hAnsiTheme="minorBidi"/>
          <w:sz w:val="28"/>
          <w:szCs w:val="28"/>
          <w:lang w:bidi="ar-EG"/>
        </w:rPr>
        <w:t>Palmatier, et al., 2006)</w:t>
      </w:r>
      <w:r w:rsidRPr="00A61745">
        <w:rPr>
          <w:rFonts w:asciiTheme="minorBidi" w:hAnsiTheme="minorBidi"/>
          <w:sz w:val="28"/>
          <w:szCs w:val="28"/>
          <w:rtl/>
          <w:lang w:bidi="ar-EG"/>
        </w:rPr>
        <w:t>)</w:t>
      </w:r>
    </w:p>
    <w:p w14:paraId="3B2C4C6B" w14:textId="77777777" w:rsidR="00057E67" w:rsidRPr="00A61745" w:rsidRDefault="00057E67" w:rsidP="00057E67">
      <w:pPr>
        <w:pStyle w:val="ListParagraph"/>
        <w:numPr>
          <w:ilvl w:val="0"/>
          <w:numId w:val="1"/>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اجرائيا: عرف بأنه "درجة التفاعل والتواصل المستمر بين فريق المبيعات والعملاء، وتشمل مدى رضا العملاء، مدى الثقة والالتزام بينهم وبين الشركة، وعدد مرات التواصل وحل المشكلات خلال فترة محددة".</w:t>
      </w:r>
    </w:p>
    <w:p w14:paraId="2D7C8B00" w14:textId="77777777" w:rsidR="00057E67" w:rsidRDefault="00057E67" w:rsidP="00057E67">
      <w:pPr>
        <w:spacing w:line="360" w:lineRule="auto"/>
        <w:rPr>
          <w:rFonts w:asciiTheme="minorBidi" w:hAnsiTheme="minorBidi"/>
          <w:b/>
          <w:bCs/>
          <w:sz w:val="28"/>
          <w:szCs w:val="28"/>
          <w:rtl/>
          <w:lang w:bidi="ar-EG"/>
        </w:rPr>
      </w:pPr>
    </w:p>
    <w:p w14:paraId="1DED4895" w14:textId="77777777" w:rsidR="00CD03E8" w:rsidRDefault="00CD03E8" w:rsidP="00A61745">
      <w:pPr>
        <w:spacing w:line="360" w:lineRule="auto"/>
        <w:jc w:val="center"/>
        <w:rPr>
          <w:rFonts w:asciiTheme="minorBidi" w:hAnsiTheme="minorBidi"/>
          <w:b/>
          <w:bCs/>
          <w:sz w:val="28"/>
          <w:szCs w:val="28"/>
          <w:rtl/>
          <w:lang w:bidi="ar-EG"/>
        </w:rPr>
      </w:pPr>
    </w:p>
    <w:p w14:paraId="33063DD8" w14:textId="77777777" w:rsidR="00CD03E8" w:rsidRDefault="00CD03E8" w:rsidP="00A61745">
      <w:pPr>
        <w:spacing w:line="360" w:lineRule="auto"/>
        <w:jc w:val="center"/>
        <w:rPr>
          <w:rFonts w:asciiTheme="minorBidi" w:hAnsiTheme="minorBidi"/>
          <w:b/>
          <w:bCs/>
          <w:sz w:val="28"/>
          <w:szCs w:val="28"/>
          <w:rtl/>
          <w:lang w:bidi="ar-EG"/>
        </w:rPr>
      </w:pPr>
    </w:p>
    <w:p w14:paraId="117F4669" w14:textId="77777777" w:rsidR="00CD03E8" w:rsidRDefault="00CD03E8" w:rsidP="00A61745">
      <w:pPr>
        <w:spacing w:line="360" w:lineRule="auto"/>
        <w:jc w:val="center"/>
        <w:rPr>
          <w:rFonts w:asciiTheme="minorBidi" w:hAnsiTheme="minorBidi"/>
          <w:b/>
          <w:bCs/>
          <w:sz w:val="28"/>
          <w:szCs w:val="28"/>
          <w:rtl/>
          <w:lang w:bidi="ar-EG"/>
        </w:rPr>
      </w:pPr>
    </w:p>
    <w:p w14:paraId="5ABCF3CC" w14:textId="77777777" w:rsidR="00CD03E8" w:rsidRDefault="00CD03E8" w:rsidP="00A61745">
      <w:pPr>
        <w:spacing w:line="360" w:lineRule="auto"/>
        <w:jc w:val="center"/>
        <w:rPr>
          <w:rFonts w:asciiTheme="minorBidi" w:hAnsiTheme="minorBidi"/>
          <w:b/>
          <w:bCs/>
          <w:sz w:val="28"/>
          <w:szCs w:val="28"/>
          <w:rtl/>
          <w:lang w:bidi="ar-EG"/>
        </w:rPr>
      </w:pPr>
    </w:p>
    <w:p w14:paraId="1DE1C828" w14:textId="77777777" w:rsidR="00CD03E8" w:rsidRDefault="00CD03E8" w:rsidP="00A61745">
      <w:pPr>
        <w:spacing w:line="360" w:lineRule="auto"/>
        <w:jc w:val="center"/>
        <w:rPr>
          <w:rFonts w:asciiTheme="minorBidi" w:hAnsiTheme="minorBidi"/>
          <w:b/>
          <w:bCs/>
          <w:sz w:val="28"/>
          <w:szCs w:val="28"/>
          <w:rtl/>
          <w:lang w:bidi="ar-EG"/>
        </w:rPr>
      </w:pPr>
    </w:p>
    <w:p w14:paraId="79C86159" w14:textId="77777777" w:rsidR="00CD03E8" w:rsidRDefault="00CD03E8" w:rsidP="00A61745">
      <w:pPr>
        <w:spacing w:line="360" w:lineRule="auto"/>
        <w:jc w:val="center"/>
        <w:rPr>
          <w:rFonts w:asciiTheme="minorBidi" w:hAnsiTheme="minorBidi"/>
          <w:b/>
          <w:bCs/>
          <w:sz w:val="28"/>
          <w:szCs w:val="28"/>
          <w:rtl/>
          <w:lang w:bidi="ar-EG"/>
        </w:rPr>
      </w:pPr>
    </w:p>
    <w:p w14:paraId="174B83BA" w14:textId="77777777" w:rsidR="00CD03E8" w:rsidRDefault="00CD03E8" w:rsidP="00A61745">
      <w:pPr>
        <w:spacing w:line="360" w:lineRule="auto"/>
        <w:jc w:val="center"/>
        <w:rPr>
          <w:rFonts w:asciiTheme="minorBidi" w:hAnsiTheme="minorBidi"/>
          <w:b/>
          <w:bCs/>
          <w:sz w:val="28"/>
          <w:szCs w:val="28"/>
          <w:rtl/>
          <w:lang w:bidi="ar-EG"/>
        </w:rPr>
      </w:pPr>
    </w:p>
    <w:p w14:paraId="47093BBB" w14:textId="77777777" w:rsidR="00CD03E8" w:rsidRDefault="00CD03E8" w:rsidP="00A61745">
      <w:pPr>
        <w:spacing w:line="360" w:lineRule="auto"/>
        <w:jc w:val="center"/>
        <w:rPr>
          <w:rFonts w:asciiTheme="minorBidi" w:hAnsiTheme="minorBidi"/>
          <w:b/>
          <w:bCs/>
          <w:sz w:val="28"/>
          <w:szCs w:val="28"/>
          <w:rtl/>
          <w:lang w:bidi="ar-EG"/>
        </w:rPr>
      </w:pPr>
    </w:p>
    <w:p w14:paraId="48454183" w14:textId="77777777" w:rsidR="00CD03E8" w:rsidRDefault="00CD03E8" w:rsidP="00A61745">
      <w:pPr>
        <w:spacing w:line="360" w:lineRule="auto"/>
        <w:jc w:val="center"/>
        <w:rPr>
          <w:rFonts w:asciiTheme="minorBidi" w:hAnsiTheme="minorBidi"/>
          <w:b/>
          <w:bCs/>
          <w:sz w:val="28"/>
          <w:szCs w:val="28"/>
          <w:rtl/>
          <w:lang w:bidi="ar-EG"/>
        </w:rPr>
      </w:pPr>
    </w:p>
    <w:p w14:paraId="23EF0A7F" w14:textId="77777777" w:rsidR="00547273" w:rsidRDefault="00547273" w:rsidP="00A61745">
      <w:pPr>
        <w:spacing w:line="360" w:lineRule="auto"/>
        <w:jc w:val="center"/>
        <w:rPr>
          <w:rFonts w:asciiTheme="minorBidi" w:hAnsiTheme="minorBidi"/>
          <w:b/>
          <w:bCs/>
          <w:sz w:val="28"/>
          <w:szCs w:val="28"/>
          <w:rtl/>
          <w:lang w:bidi="ar-EG"/>
        </w:rPr>
      </w:pPr>
    </w:p>
    <w:p w14:paraId="24725DB0" w14:textId="77777777" w:rsidR="00547273" w:rsidRDefault="00547273" w:rsidP="00A61745">
      <w:pPr>
        <w:spacing w:line="360" w:lineRule="auto"/>
        <w:jc w:val="center"/>
        <w:rPr>
          <w:rFonts w:asciiTheme="minorBidi" w:hAnsiTheme="minorBidi"/>
          <w:b/>
          <w:bCs/>
          <w:sz w:val="28"/>
          <w:szCs w:val="28"/>
          <w:rtl/>
          <w:lang w:bidi="ar-EG"/>
        </w:rPr>
      </w:pPr>
    </w:p>
    <w:p w14:paraId="52810194" w14:textId="77777777" w:rsidR="00547273" w:rsidRDefault="00547273" w:rsidP="00A61745">
      <w:pPr>
        <w:spacing w:line="360" w:lineRule="auto"/>
        <w:jc w:val="center"/>
        <w:rPr>
          <w:rFonts w:asciiTheme="minorBidi" w:hAnsiTheme="minorBidi"/>
          <w:b/>
          <w:bCs/>
          <w:sz w:val="28"/>
          <w:szCs w:val="28"/>
          <w:rtl/>
          <w:lang w:bidi="ar-EG"/>
        </w:rPr>
      </w:pPr>
    </w:p>
    <w:p w14:paraId="3A266009" w14:textId="77777777" w:rsidR="00547273" w:rsidRDefault="00547273" w:rsidP="00A61745">
      <w:pPr>
        <w:spacing w:line="360" w:lineRule="auto"/>
        <w:jc w:val="center"/>
        <w:rPr>
          <w:rFonts w:asciiTheme="minorBidi" w:hAnsiTheme="minorBidi"/>
          <w:b/>
          <w:bCs/>
          <w:sz w:val="28"/>
          <w:szCs w:val="28"/>
          <w:rtl/>
          <w:lang w:bidi="ar-EG"/>
        </w:rPr>
      </w:pPr>
    </w:p>
    <w:p w14:paraId="6D3F07DE" w14:textId="77777777" w:rsidR="00547273" w:rsidRDefault="00547273" w:rsidP="00A61745">
      <w:pPr>
        <w:spacing w:line="360" w:lineRule="auto"/>
        <w:jc w:val="center"/>
        <w:rPr>
          <w:rFonts w:asciiTheme="minorBidi" w:hAnsiTheme="minorBidi"/>
          <w:b/>
          <w:bCs/>
          <w:sz w:val="28"/>
          <w:szCs w:val="28"/>
          <w:rtl/>
          <w:lang w:bidi="ar-EG"/>
        </w:rPr>
      </w:pPr>
    </w:p>
    <w:p w14:paraId="261DBE3F" w14:textId="77777777" w:rsidR="00CD03E8" w:rsidRDefault="00CD03E8" w:rsidP="00A61745">
      <w:pPr>
        <w:spacing w:line="360" w:lineRule="auto"/>
        <w:jc w:val="center"/>
        <w:rPr>
          <w:rFonts w:asciiTheme="minorBidi" w:hAnsiTheme="minorBidi"/>
          <w:b/>
          <w:bCs/>
          <w:sz w:val="28"/>
          <w:szCs w:val="28"/>
          <w:rtl/>
          <w:lang w:bidi="ar-EG"/>
        </w:rPr>
      </w:pPr>
    </w:p>
    <w:p w14:paraId="5E182E42" w14:textId="77777777" w:rsidR="00682C6C" w:rsidRPr="00A61745" w:rsidRDefault="00682C6C" w:rsidP="00A61745">
      <w:pPr>
        <w:spacing w:line="360" w:lineRule="auto"/>
        <w:jc w:val="center"/>
        <w:rPr>
          <w:rFonts w:asciiTheme="minorBidi" w:hAnsiTheme="minorBidi"/>
          <w:b/>
          <w:bCs/>
          <w:sz w:val="28"/>
          <w:szCs w:val="28"/>
          <w:rtl/>
          <w:lang w:bidi="ar-EG"/>
        </w:rPr>
      </w:pPr>
      <w:r w:rsidRPr="00A61745">
        <w:rPr>
          <w:rFonts w:asciiTheme="minorBidi" w:hAnsiTheme="minorBidi"/>
          <w:b/>
          <w:bCs/>
          <w:sz w:val="28"/>
          <w:szCs w:val="28"/>
          <w:rtl/>
          <w:lang w:bidi="ar-EG"/>
        </w:rPr>
        <w:t>الفصل الأول</w:t>
      </w:r>
    </w:p>
    <w:p w14:paraId="60B37CBB" w14:textId="77777777" w:rsidR="00E8487F" w:rsidRPr="00A61745" w:rsidRDefault="00E8487F" w:rsidP="00A61745">
      <w:pPr>
        <w:spacing w:line="360" w:lineRule="auto"/>
        <w:jc w:val="center"/>
        <w:rPr>
          <w:rFonts w:asciiTheme="minorBidi" w:hAnsiTheme="minorBidi"/>
          <w:b/>
          <w:bCs/>
          <w:sz w:val="28"/>
          <w:szCs w:val="28"/>
          <w:rtl/>
          <w:lang w:bidi="ar-EG"/>
        </w:rPr>
      </w:pPr>
      <w:r w:rsidRPr="00A61745">
        <w:rPr>
          <w:rFonts w:asciiTheme="minorBidi" w:hAnsiTheme="minorBidi"/>
          <w:b/>
          <w:bCs/>
          <w:sz w:val="28"/>
          <w:szCs w:val="28"/>
          <w:rtl/>
          <w:lang w:bidi="ar-EG"/>
        </w:rPr>
        <w:t>المدخل العام للبحث</w:t>
      </w:r>
    </w:p>
    <w:p w14:paraId="60C4FB35" w14:textId="77777777" w:rsidR="00CD03E8" w:rsidRDefault="00CD03E8" w:rsidP="00CD03E8">
      <w:pPr>
        <w:spacing w:line="360" w:lineRule="auto"/>
        <w:jc w:val="center"/>
        <w:rPr>
          <w:rFonts w:asciiTheme="minorBidi" w:hAnsiTheme="minorBidi"/>
          <w:b/>
          <w:bCs/>
          <w:sz w:val="28"/>
          <w:szCs w:val="28"/>
          <w:rtl/>
          <w:lang w:bidi="ar-EG"/>
        </w:rPr>
      </w:pPr>
    </w:p>
    <w:p w14:paraId="7FE601F5" w14:textId="77777777" w:rsidR="00CD03E8" w:rsidRDefault="00CD03E8" w:rsidP="00CD03E8">
      <w:pPr>
        <w:spacing w:line="360" w:lineRule="auto"/>
        <w:jc w:val="center"/>
        <w:rPr>
          <w:rFonts w:asciiTheme="minorBidi" w:hAnsiTheme="minorBidi"/>
          <w:b/>
          <w:bCs/>
          <w:sz w:val="28"/>
          <w:szCs w:val="28"/>
          <w:rtl/>
          <w:lang w:bidi="ar-EG"/>
        </w:rPr>
      </w:pPr>
    </w:p>
    <w:p w14:paraId="35E60ED0" w14:textId="77777777" w:rsidR="00CD03E8" w:rsidRDefault="00CD03E8" w:rsidP="00CD03E8">
      <w:pPr>
        <w:spacing w:line="360" w:lineRule="auto"/>
        <w:jc w:val="center"/>
        <w:rPr>
          <w:rFonts w:asciiTheme="minorBidi" w:hAnsiTheme="minorBidi"/>
          <w:b/>
          <w:bCs/>
          <w:sz w:val="28"/>
          <w:szCs w:val="28"/>
          <w:rtl/>
          <w:lang w:bidi="ar-EG"/>
        </w:rPr>
      </w:pPr>
    </w:p>
    <w:p w14:paraId="55D31050" w14:textId="77777777" w:rsidR="00CD03E8" w:rsidRDefault="00CD03E8" w:rsidP="00CD03E8">
      <w:pPr>
        <w:spacing w:line="360" w:lineRule="auto"/>
        <w:jc w:val="center"/>
        <w:rPr>
          <w:rFonts w:asciiTheme="minorBidi" w:hAnsiTheme="minorBidi"/>
          <w:b/>
          <w:bCs/>
          <w:sz w:val="28"/>
          <w:szCs w:val="28"/>
          <w:rtl/>
          <w:lang w:bidi="ar-EG"/>
        </w:rPr>
      </w:pPr>
    </w:p>
    <w:p w14:paraId="1D25A33C" w14:textId="77777777" w:rsidR="00CD03E8" w:rsidRDefault="00CD03E8" w:rsidP="00CD03E8">
      <w:pPr>
        <w:spacing w:line="360" w:lineRule="auto"/>
        <w:jc w:val="center"/>
        <w:rPr>
          <w:rFonts w:asciiTheme="minorBidi" w:hAnsiTheme="minorBidi"/>
          <w:b/>
          <w:bCs/>
          <w:sz w:val="28"/>
          <w:szCs w:val="28"/>
          <w:rtl/>
          <w:lang w:bidi="ar-EG"/>
        </w:rPr>
      </w:pPr>
    </w:p>
    <w:p w14:paraId="47F3E3ED" w14:textId="77777777" w:rsidR="00CD03E8" w:rsidRDefault="00CD03E8" w:rsidP="00CD03E8">
      <w:pPr>
        <w:spacing w:line="360" w:lineRule="auto"/>
        <w:jc w:val="center"/>
        <w:rPr>
          <w:rFonts w:asciiTheme="minorBidi" w:hAnsiTheme="minorBidi"/>
          <w:b/>
          <w:bCs/>
          <w:sz w:val="28"/>
          <w:szCs w:val="28"/>
          <w:rtl/>
          <w:lang w:bidi="ar-EG"/>
        </w:rPr>
      </w:pPr>
    </w:p>
    <w:p w14:paraId="727BDE9A" w14:textId="77777777" w:rsidR="00CD03E8" w:rsidRDefault="00CD03E8" w:rsidP="00CD03E8">
      <w:pPr>
        <w:spacing w:line="360" w:lineRule="auto"/>
        <w:jc w:val="center"/>
        <w:rPr>
          <w:rFonts w:asciiTheme="minorBidi" w:hAnsiTheme="minorBidi"/>
          <w:b/>
          <w:bCs/>
          <w:sz w:val="28"/>
          <w:szCs w:val="28"/>
          <w:rtl/>
          <w:lang w:bidi="ar-EG"/>
        </w:rPr>
      </w:pPr>
    </w:p>
    <w:p w14:paraId="15179C2E" w14:textId="77777777" w:rsidR="00547273" w:rsidRDefault="00547273" w:rsidP="00CD03E8">
      <w:pPr>
        <w:spacing w:line="360" w:lineRule="auto"/>
        <w:jc w:val="center"/>
        <w:rPr>
          <w:rFonts w:asciiTheme="minorBidi" w:hAnsiTheme="minorBidi"/>
          <w:b/>
          <w:bCs/>
          <w:sz w:val="28"/>
          <w:szCs w:val="28"/>
          <w:rtl/>
          <w:lang w:bidi="ar-EG"/>
        </w:rPr>
      </w:pPr>
    </w:p>
    <w:p w14:paraId="45CF4948" w14:textId="77777777" w:rsidR="00547273" w:rsidRDefault="00547273" w:rsidP="00CD03E8">
      <w:pPr>
        <w:spacing w:line="360" w:lineRule="auto"/>
        <w:jc w:val="center"/>
        <w:rPr>
          <w:rFonts w:asciiTheme="minorBidi" w:hAnsiTheme="minorBidi"/>
          <w:b/>
          <w:bCs/>
          <w:sz w:val="28"/>
          <w:szCs w:val="28"/>
          <w:rtl/>
          <w:lang w:bidi="ar-EG"/>
        </w:rPr>
      </w:pPr>
    </w:p>
    <w:p w14:paraId="3C3B2E51" w14:textId="77777777" w:rsidR="00547273" w:rsidRDefault="00547273" w:rsidP="00CD03E8">
      <w:pPr>
        <w:spacing w:line="360" w:lineRule="auto"/>
        <w:jc w:val="center"/>
        <w:rPr>
          <w:rFonts w:asciiTheme="minorBidi" w:hAnsiTheme="minorBidi"/>
          <w:b/>
          <w:bCs/>
          <w:sz w:val="28"/>
          <w:szCs w:val="28"/>
          <w:rtl/>
          <w:lang w:bidi="ar-EG"/>
        </w:rPr>
      </w:pPr>
    </w:p>
    <w:p w14:paraId="456CA720" w14:textId="77777777" w:rsidR="00CD03E8" w:rsidRDefault="00CD03E8" w:rsidP="00CD03E8">
      <w:pPr>
        <w:spacing w:line="360" w:lineRule="auto"/>
        <w:jc w:val="center"/>
        <w:rPr>
          <w:rFonts w:asciiTheme="minorBidi" w:hAnsiTheme="minorBidi"/>
          <w:b/>
          <w:bCs/>
          <w:sz w:val="28"/>
          <w:szCs w:val="28"/>
          <w:rtl/>
          <w:lang w:bidi="ar-EG"/>
        </w:rPr>
      </w:pPr>
    </w:p>
    <w:p w14:paraId="74545E53" w14:textId="77777777" w:rsidR="00CD03E8" w:rsidRPr="00A61745" w:rsidRDefault="00CD03E8" w:rsidP="00CD03E8">
      <w:pPr>
        <w:spacing w:line="360" w:lineRule="auto"/>
        <w:jc w:val="center"/>
        <w:rPr>
          <w:rFonts w:asciiTheme="minorBidi" w:hAnsiTheme="minorBidi"/>
          <w:b/>
          <w:bCs/>
          <w:sz w:val="28"/>
          <w:szCs w:val="28"/>
          <w:rtl/>
          <w:lang w:bidi="ar-EG"/>
        </w:rPr>
      </w:pPr>
      <w:r w:rsidRPr="00A61745">
        <w:rPr>
          <w:rFonts w:asciiTheme="minorBidi" w:hAnsiTheme="minorBidi"/>
          <w:b/>
          <w:bCs/>
          <w:sz w:val="28"/>
          <w:szCs w:val="28"/>
          <w:rtl/>
          <w:lang w:bidi="ar-EG"/>
        </w:rPr>
        <w:t>الفصل الأول</w:t>
      </w:r>
    </w:p>
    <w:p w14:paraId="63B37EFA" w14:textId="77777777" w:rsidR="00CD03E8" w:rsidRPr="00A61745" w:rsidRDefault="00CD03E8" w:rsidP="00CD03E8">
      <w:pPr>
        <w:spacing w:line="360" w:lineRule="auto"/>
        <w:jc w:val="center"/>
        <w:rPr>
          <w:rFonts w:asciiTheme="minorBidi" w:hAnsiTheme="minorBidi"/>
          <w:b/>
          <w:bCs/>
          <w:sz w:val="28"/>
          <w:szCs w:val="28"/>
          <w:rtl/>
          <w:lang w:bidi="ar-EG"/>
        </w:rPr>
      </w:pPr>
      <w:r w:rsidRPr="00A61745">
        <w:rPr>
          <w:rFonts w:asciiTheme="minorBidi" w:hAnsiTheme="minorBidi"/>
          <w:b/>
          <w:bCs/>
          <w:sz w:val="28"/>
          <w:szCs w:val="28"/>
          <w:rtl/>
          <w:lang w:bidi="ar-EG"/>
        </w:rPr>
        <w:lastRenderedPageBreak/>
        <w:t>المدخل العام للبحث</w:t>
      </w:r>
    </w:p>
    <w:p w14:paraId="781B1B27" w14:textId="77777777" w:rsidR="0044369A" w:rsidRPr="00A61745" w:rsidRDefault="0044369A"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مقدمة:</w:t>
      </w:r>
    </w:p>
    <w:p w14:paraId="42ED9B4F" w14:textId="77777777" w:rsidR="0044369A" w:rsidRPr="00A61745" w:rsidRDefault="0044369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شهدت بيئة الرعاية الصحية العالمية تحولات كبيرة أدّت إلى صعود “العملاء المؤسسيين الكبار” مثل سلاسل المستشفيات وشركات التأمين ومقدمي خدمات الرعاية، وهو ما دفع شركات الأدوية لتبنّي نهجٍ أكثر استراتيجية في إدارة العلاقات البيعية. إذ لم يعد بيع المنتج الطبي كافيًا، بل أصبحت الشراكات طويلة الأمد هي الأساس لتحقيق النفاذ للسوق وتعظيم قيمة العميل.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306BEE28" w14:textId="77777777" w:rsidR="0044369A" w:rsidRPr="00A61745" w:rsidRDefault="0044369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تعد إدارة الحسابات الرئيسية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منهجًا تنظيميًا موجّهًا للعملاء ذوي القيمة الاستراتيجية العالية، من خلال تخصيص موارد متعددة التخصصات، ووضع خطط حسابات مخصَّصة، وتقديم عروض قيمة متكاملة تتجاوز المنتج نفسه. وقد أصبحت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ممارسة معيارية في الأسواق المعقدة مثل سوق الأدوية.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379C40CF" w14:textId="77777777" w:rsidR="0044369A" w:rsidRPr="00A61745" w:rsidRDefault="0044369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تشير الأدبيات الحديثة إلى أن إدارة الحسابات الرئيسية تتخذ تكوينات تنظيمية متعددة (</w:t>
      </w:r>
      <w:r w:rsidRPr="00A61745">
        <w:rPr>
          <w:rFonts w:asciiTheme="minorBidi" w:hAnsiTheme="minorBidi"/>
          <w:sz w:val="28"/>
          <w:szCs w:val="28"/>
          <w:lang w:bidi="ar-EG"/>
        </w:rPr>
        <w:t>Configurations</w:t>
      </w:r>
      <w:r w:rsidRPr="00A61745">
        <w:rPr>
          <w:rFonts w:asciiTheme="minorBidi" w:hAnsiTheme="minorBidi"/>
          <w:sz w:val="28"/>
          <w:szCs w:val="28"/>
          <w:rtl/>
          <w:lang w:bidi="ar-EG"/>
        </w:rPr>
        <w:t xml:space="preserve">) تختلف باختلاف حجم الحساب وقدرات الشركة. فهم هذه التكوينات مهم لقطاع الأدوية، لأنها تؤثر بشكل مباشر على فعالية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تعزيز الأداء البيعي.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006F1B99" w14:textId="77777777" w:rsidR="0044369A" w:rsidRPr="00A61745" w:rsidRDefault="0044369A" w:rsidP="00A61745">
      <w:p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تظهر مراجعات الأدبيات أن نجاح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يعتمد على القدرات المؤسسية، والتنسيق الداخلي، وتكامل التكنولوجيا مثل أنظمة إدارة علاقات العملاء (</w:t>
      </w:r>
      <w:r w:rsidRPr="00A61745">
        <w:rPr>
          <w:rFonts w:asciiTheme="minorBidi" w:hAnsiTheme="minorBidi"/>
          <w:sz w:val="28"/>
          <w:szCs w:val="28"/>
          <w:lang w:bidi="ar-EG"/>
        </w:rPr>
        <w:t>CRM</w:t>
      </w:r>
      <w:r w:rsidRPr="00A61745">
        <w:rPr>
          <w:rFonts w:asciiTheme="minorBidi" w:hAnsiTheme="minorBidi"/>
          <w:sz w:val="28"/>
          <w:szCs w:val="28"/>
          <w:rtl/>
          <w:lang w:bidi="ar-EG"/>
        </w:rPr>
        <w:t xml:space="preserve">). وتؤكد الدراسات الحديثة وجود فجوات بحثية في كيفية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بشكل فعّال في الصناعات عالية التنظيم مثل الأدوية.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41825A41" w14:textId="77777777" w:rsidR="0044369A" w:rsidRPr="00A61745" w:rsidRDefault="0044369A" w:rsidP="00A61745">
      <w:p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في قطاع الأدوية تحديدًا، أثبتت الممارسات الحديثة أن القيمة المشتركة مع العملاء المؤسسيين، مثل برامج دعم المرضى، نماذج التسعير الهاتفية، أو الخدمات التعليمية الطبية—تعزز الثقة والالتزام وتحوّل العلاقة من علاقة “بيع” إلى شراكة استراتيجية طويلة المدى. (</w:t>
      </w:r>
      <w:r w:rsidRPr="00A61745">
        <w:rPr>
          <w:rFonts w:asciiTheme="minorBidi" w:hAnsiTheme="minorBidi"/>
          <w:sz w:val="28"/>
          <w:szCs w:val="28"/>
          <w:lang w:bidi="ar-EG"/>
        </w:rPr>
        <w:t>Leone et al., 2021</w:t>
      </w:r>
      <w:r w:rsidRPr="00A61745">
        <w:rPr>
          <w:rFonts w:asciiTheme="minorBidi" w:hAnsiTheme="minorBidi"/>
          <w:sz w:val="28"/>
          <w:szCs w:val="28"/>
          <w:rtl/>
          <w:lang w:bidi="ar-EG"/>
        </w:rPr>
        <w:t>)</w:t>
      </w:r>
    </w:p>
    <w:p w14:paraId="40CD46C2" w14:textId="77777777" w:rsidR="0044369A" w:rsidRPr="00A61745" w:rsidRDefault="0044369A" w:rsidP="00A61745">
      <w:p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كما تظهر الدراسات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تؤثر على العلاقات البيعية عبر تحسين الولاء، وزيادة تكرار الشراء، وتسهيل التفاوض على العقود طويلة الأجل، وتقليل الحساسية للسعر عبر خلق قيمة مضافة. وقد أكدت الأدبيات الارتباط الإيجابي بين نضج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وتحسن الأداء التجاري في أسواق.(</w:t>
      </w:r>
      <w:r w:rsidRPr="00A61745">
        <w:rPr>
          <w:rFonts w:asciiTheme="minorBidi" w:hAnsiTheme="minorBidi"/>
          <w:sz w:val="28"/>
          <w:szCs w:val="28"/>
          <w:lang w:bidi="ar-EG"/>
        </w:rPr>
        <w:t xml:space="preserve"> (Sandesh et al., 2023;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p>
    <w:p w14:paraId="1E2048EF" w14:textId="77777777" w:rsidR="0044369A" w:rsidRPr="00A61745" w:rsidRDefault="0044369A" w:rsidP="00A61745">
      <w:pPr>
        <w:spacing w:line="360" w:lineRule="auto"/>
        <w:jc w:val="both"/>
        <w:rPr>
          <w:rFonts w:asciiTheme="minorBidi" w:hAnsiTheme="minorBidi"/>
          <w:sz w:val="28"/>
          <w:szCs w:val="28"/>
          <w:lang w:bidi="ar-EG"/>
        </w:rPr>
      </w:pPr>
      <w:r w:rsidRPr="00A61745">
        <w:rPr>
          <w:rFonts w:asciiTheme="minorBidi" w:hAnsiTheme="minorBidi"/>
          <w:sz w:val="28"/>
          <w:szCs w:val="28"/>
          <w:rtl/>
          <w:lang w:bidi="ar-EG"/>
        </w:rPr>
        <w:lastRenderedPageBreak/>
        <w:t xml:space="preserve">لقد أصبحت التكنولوجيا عنصرًا مركزيًا في تمكين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داخل شركات الأدوية، من خلال التحليلات المتقدمة، وتقسيم الحسابات، ودمج البيانات من مصادر متعددة. ويسهم هذا في تحديد احتياجات العملاء المؤسسيين بدقة أعلى، ما يدعم بناء علاقات بيعية أكثر قوة واستدامة.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579AC51A" w14:textId="77777777" w:rsidR="0044369A" w:rsidRPr="00A61745" w:rsidRDefault="0044369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يعتمد نجاح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دعم القيادة العليا، وبناء فرق متعددة التخصصات، وتطوير حوافز تتماشى مع أهداف العميل، إضافة إلى تدريب مديري الحسابات على مهارات تحليل الأعمال والتفاوض القائم على القيمة. وتشير الأدلة في قطاع الأدوية إلى أن غياب هذه العوامل يؤدي إلى ضعف النتائج البيعية. (</w:t>
      </w:r>
      <w:r w:rsidRPr="00A61745">
        <w:rPr>
          <w:rFonts w:asciiTheme="minorBidi" w:hAnsiTheme="minorBidi"/>
          <w:sz w:val="28"/>
          <w:szCs w:val="28"/>
          <w:lang w:bidi="ar-EG"/>
        </w:rPr>
        <w:t>Moorman, 2022</w:t>
      </w:r>
      <w:r w:rsidRPr="00A61745">
        <w:rPr>
          <w:rFonts w:asciiTheme="minorBidi" w:hAnsiTheme="minorBidi"/>
          <w:sz w:val="28"/>
          <w:szCs w:val="28"/>
          <w:rtl/>
          <w:lang w:bidi="ar-EG"/>
        </w:rPr>
        <w:t>)</w:t>
      </w:r>
    </w:p>
    <w:p w14:paraId="67884CD6" w14:textId="77777777" w:rsidR="0044369A" w:rsidRPr="00A61745" w:rsidRDefault="0044369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تواجه شركات الأدوية العديد من التحديات عند تطبيق </w:t>
      </w:r>
      <w:r w:rsidRPr="00A61745">
        <w:rPr>
          <w:rFonts w:asciiTheme="minorBidi" w:hAnsiTheme="minorBidi"/>
          <w:sz w:val="28"/>
          <w:szCs w:val="28"/>
          <w:lang w:bidi="ar-EG"/>
        </w:rPr>
        <w:t>KAM</w:t>
      </w:r>
      <w:r w:rsidRPr="00A61745">
        <w:rPr>
          <w:rFonts w:asciiTheme="minorBidi" w:hAnsiTheme="minorBidi"/>
          <w:sz w:val="28"/>
          <w:szCs w:val="28"/>
          <w:rtl/>
          <w:lang w:bidi="ar-EG"/>
        </w:rPr>
        <w:t>، منها اختيار الحسابات الرئيسية المناسبة، وقياس العائد على الاستثمار في العلاقات المؤسسية، وتحقيق التوازن بين الحسابات الكبرى وبقية العملاء، إضافة إلى التعقيدات التنظيمية التي تفرضها الهيئات التنظيمية الصحية. (</w:t>
      </w:r>
      <w:r w:rsidRPr="00A61745">
        <w:rPr>
          <w:rFonts w:asciiTheme="minorBidi" w:hAnsiTheme="minorBidi"/>
          <w:sz w:val="28"/>
          <w:szCs w:val="28"/>
          <w:lang w:bidi="ar-EG"/>
        </w:rPr>
        <w:t>IFPMA, 2023</w:t>
      </w:r>
      <w:r w:rsidRPr="00A61745">
        <w:rPr>
          <w:rFonts w:asciiTheme="minorBidi" w:hAnsiTheme="minorBidi"/>
          <w:sz w:val="28"/>
          <w:szCs w:val="28"/>
          <w:rtl/>
          <w:lang w:bidi="ar-EG"/>
        </w:rPr>
        <w:t>)</w:t>
      </w:r>
    </w:p>
    <w:p w14:paraId="72F89823" w14:textId="77777777" w:rsidR="0044369A" w:rsidRPr="00A61745" w:rsidRDefault="0044369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لذلك، يصبح تحليل أثر إدارة الحسابات الرئيسية على العلاقات البيعية في شركات الأدوية أمرًا جوهريًا لفهم كيف يمكن لهذه الممارسات أن تشكّل مصدرًا مستدامًا للميزة التنافسية. ويسهم هذا البحث في ملء فجوة معرفية مهمة عبر الربط بين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ونتائج العلاقات البيعية في السياق الدوائي. </w:t>
      </w:r>
    </w:p>
    <w:p w14:paraId="45F17438" w14:textId="77777777" w:rsidR="00B831EE" w:rsidRPr="00A61745" w:rsidRDefault="00B831EE"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مشكلة البحث :</w:t>
      </w:r>
    </w:p>
    <w:p w14:paraId="5B046BC6" w14:textId="77777777" w:rsidR="00B831EE" w:rsidRPr="00A61745" w:rsidRDefault="00B831EE"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على الرغم من التوسع الكبير في تطبيق إدارة الحسابات الرئيسية (</w:t>
      </w:r>
      <w:r w:rsidRPr="00A61745">
        <w:rPr>
          <w:rFonts w:asciiTheme="minorBidi" w:hAnsiTheme="minorBidi"/>
          <w:sz w:val="28"/>
          <w:szCs w:val="28"/>
          <w:lang w:bidi="ar-EG"/>
        </w:rPr>
        <w:t>Key Account Management</w:t>
      </w:r>
      <w:r w:rsidRPr="00A61745">
        <w:rPr>
          <w:rFonts w:asciiTheme="minorBidi" w:hAnsiTheme="minorBidi"/>
          <w:sz w:val="28"/>
          <w:szCs w:val="28"/>
          <w:rtl/>
          <w:lang w:bidi="ar-EG"/>
        </w:rPr>
        <w:t xml:space="preserve">) داخل شركات الأدوية خلال السنوات الأخيرة، إلا أنّ الأدبيات تُظهِر فجوة واضحة في فهم كيفية تأثير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جودة العلاقات البيعية مع الحسابات المؤسسية الكبرى. ورغم أن الشركات تستثمر بكثافة في فرق </w:t>
      </w:r>
      <w:r w:rsidRPr="00A61745">
        <w:rPr>
          <w:rFonts w:asciiTheme="minorBidi" w:hAnsiTheme="minorBidi"/>
          <w:sz w:val="28"/>
          <w:szCs w:val="28"/>
          <w:lang w:bidi="ar-EG"/>
        </w:rPr>
        <w:t>KAM</w:t>
      </w:r>
      <w:r w:rsidRPr="00A61745">
        <w:rPr>
          <w:rFonts w:asciiTheme="minorBidi" w:hAnsiTheme="minorBidi"/>
          <w:sz w:val="28"/>
          <w:szCs w:val="28"/>
          <w:rtl/>
          <w:lang w:bidi="ar-EG"/>
        </w:rPr>
        <w:t>، إلا أن الأدلة العلمية حول ارتباط هذه الممارسات بنتائج علائقية قابلة للقياس تبقى محدودة، خصوصًا في سياق الأسواق الصحية المنظمة.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53A76631" w14:textId="77777777" w:rsidR="00B831EE" w:rsidRPr="00A61745" w:rsidRDefault="00B831EE"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تشير الدراسات الحديثة إلى أن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القطاعات عالية التعقيد مثل الأدوي،  يعتمد على تكوينات تنظيمية متعددة تتفاوت في فعاليتها، وأن عدم وضوح التكوين الأمثل يؤدي إلى فجوة بين الاستثمار في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والنتائج البيعية الفعلية. هذا التباين في النماذج التنظيمية يجعل من الصعب على الشركات قياس أثر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بناء الثقة والولاء المؤسسي.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Ivens, Spencer, &amp; Weibel, 2022</w:t>
      </w:r>
      <w:r w:rsidRPr="00A61745">
        <w:rPr>
          <w:rFonts w:asciiTheme="minorBidi" w:hAnsiTheme="minorBidi"/>
          <w:sz w:val="28"/>
          <w:szCs w:val="28"/>
          <w:rtl/>
          <w:lang w:bidi="ar-EG"/>
        </w:rPr>
        <w:t>).</w:t>
      </w:r>
    </w:p>
    <w:p w14:paraId="580848C8" w14:textId="77777777" w:rsidR="00B831EE" w:rsidRPr="00A61745" w:rsidRDefault="00B831EE"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كما تُظهر الأدبيات أن القيمة المشتركة بين شركات الأدوية والعملاء المؤسسيين لا تتحقق تلقائيًا من خلال وجود مدير حسابات رئيسية، بل تتطلب قدرات تكاملية تتعلق بالتحليل، وإدارة أصحاب المصلحة، </w:t>
      </w:r>
      <w:r w:rsidRPr="00A61745">
        <w:rPr>
          <w:rFonts w:asciiTheme="minorBidi" w:hAnsiTheme="minorBidi"/>
          <w:sz w:val="28"/>
          <w:szCs w:val="28"/>
          <w:rtl/>
          <w:lang w:bidi="ar-EG"/>
        </w:rPr>
        <w:lastRenderedPageBreak/>
        <w:t xml:space="preserve">والتنسيق بين الأقسام. وفي غياب هذه القدرات، تفشل مبادرات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تحسين العلاقة البيعية، رغم وجود برامج رسمية. (</w:t>
      </w:r>
      <w:r w:rsidRPr="00A61745">
        <w:rPr>
          <w:rFonts w:asciiTheme="minorBidi" w:hAnsiTheme="minorBidi"/>
          <w:sz w:val="28"/>
          <w:szCs w:val="28"/>
          <w:lang w:bidi="ar-EG"/>
        </w:rPr>
        <w:t>Leone, Schiavone, &amp; Simoni, 2021</w:t>
      </w:r>
      <w:r w:rsidRPr="00A61745">
        <w:rPr>
          <w:rFonts w:asciiTheme="minorBidi" w:hAnsiTheme="minorBidi"/>
          <w:sz w:val="28"/>
          <w:szCs w:val="28"/>
          <w:rtl/>
          <w:lang w:bidi="ar-EG"/>
        </w:rPr>
        <w:t>).</w:t>
      </w:r>
    </w:p>
    <w:p w14:paraId="50DCF879" w14:textId="77777777" w:rsidR="00B831EE" w:rsidRPr="00A61745" w:rsidRDefault="00B831EE"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كذلك تعاني شركات الأدوية من صعوبة في قياس أثر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مؤشرات العلاقة البيعية مثل: الثقة، الالتزام، الرضا، وتكرار الشراء، وذلك بسبب غياب مقاييس معيارية ناضجة تلتقط طبيعة السوق الدوائي المعقّد ومتعدد الأطراف. ومن ثم تبقى العلاقة بين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ونتائجها الفعلية غير محسومة علميًا. (</w:t>
      </w:r>
      <w:r w:rsidRPr="00A61745">
        <w:rPr>
          <w:rFonts w:asciiTheme="minorBidi" w:hAnsiTheme="minorBidi"/>
          <w:sz w:val="28"/>
          <w:szCs w:val="28"/>
          <w:lang w:bidi="ar-EG"/>
        </w:rPr>
        <w:t>Geiger, 2020</w:t>
      </w:r>
      <w:r w:rsidRPr="00A61745">
        <w:rPr>
          <w:rFonts w:asciiTheme="minorBidi" w:hAnsiTheme="minorBidi"/>
          <w:sz w:val="28"/>
          <w:szCs w:val="28"/>
          <w:rtl/>
          <w:lang w:bidi="ar-EG"/>
        </w:rPr>
        <w:t>).</w:t>
      </w:r>
    </w:p>
    <w:p w14:paraId="48350F4D" w14:textId="77777777" w:rsidR="00B831EE" w:rsidRPr="00A61745" w:rsidRDefault="00B831EE"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ونتيجة لذلك، تظل الإشكالية المركزية قائمة: رغم الاعتراف بأهمية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كأداة استراتيجية في شركات الأدوية، إلا أن الأدبيات تُظهر نقصًا في الأدلة التطبيقية التي تربط بوضوح بين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وبين تحسين العلاقات البيعية طويلة الأمد مع الحسابات الكبرى. وبالتالي، يصبح من الضروري إجراء دراسة تُحدّد هذا الأثر وتوضحه. (</w:t>
      </w:r>
      <w:r w:rsidRPr="00A61745">
        <w:rPr>
          <w:rFonts w:asciiTheme="minorBidi" w:hAnsiTheme="minorBidi"/>
          <w:sz w:val="28"/>
          <w:szCs w:val="28"/>
          <w:lang w:bidi="ar-EG"/>
        </w:rPr>
        <w:t>Sandesh et al., 2023; Leone et al., 2021</w:t>
      </w:r>
      <w:r w:rsidRPr="00A61745">
        <w:rPr>
          <w:rFonts w:asciiTheme="minorBidi" w:hAnsiTheme="minorBidi"/>
          <w:sz w:val="28"/>
          <w:szCs w:val="28"/>
          <w:rtl/>
          <w:lang w:bidi="ar-EG"/>
        </w:rPr>
        <w:t>).</w:t>
      </w:r>
    </w:p>
    <w:p w14:paraId="3698D28B" w14:textId="77777777" w:rsidR="00987AAA" w:rsidRPr="00A61745" w:rsidRDefault="00987AAA"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أسئلة البحث:</w:t>
      </w:r>
    </w:p>
    <w:p w14:paraId="1FD1E29C" w14:textId="77777777" w:rsidR="00987AAA" w:rsidRPr="00A61745" w:rsidRDefault="00987AAA"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سعي البحث للإجابة عن الأسئلة الاتية:</w:t>
      </w:r>
    </w:p>
    <w:p w14:paraId="51EF326B" w14:textId="77777777" w:rsidR="00987AAA" w:rsidRPr="00A61745" w:rsidRDefault="00987AAA" w:rsidP="00A61745">
      <w:pPr>
        <w:pStyle w:val="ListParagraph"/>
        <w:numPr>
          <w:ilvl w:val="0"/>
          <w:numId w:val="2"/>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ما أساليب تطبيق إدارة الحسابات الرئيسية في شركات الأدوية؟</w:t>
      </w:r>
    </w:p>
    <w:p w14:paraId="606E121A" w14:textId="77777777" w:rsidR="00987AAA" w:rsidRPr="00A61745" w:rsidRDefault="00987AAA" w:rsidP="00A61745">
      <w:pPr>
        <w:pStyle w:val="ListParagraph"/>
        <w:numPr>
          <w:ilvl w:val="0"/>
          <w:numId w:val="2"/>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ما طرق تنفيذ إدارة الحسابات الرئيسية في شركات الأدوية فيما يتعلق بالعلاقات البيعية؟</w:t>
      </w:r>
    </w:p>
    <w:p w14:paraId="79B96A79" w14:textId="77777777" w:rsidR="00987AAA" w:rsidRPr="00A61745" w:rsidRDefault="00987AAA" w:rsidP="00A61745">
      <w:pPr>
        <w:pStyle w:val="ListParagraph"/>
        <w:numPr>
          <w:ilvl w:val="0"/>
          <w:numId w:val="2"/>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ما التحديات التي تواجه إدارة الحسابات الرئيسية في البيئة الدوائية؟</w:t>
      </w:r>
    </w:p>
    <w:p w14:paraId="5936ADE6" w14:textId="77777777" w:rsidR="00987AAA" w:rsidRPr="00A61745" w:rsidRDefault="00987AAA" w:rsidP="00A61745">
      <w:pPr>
        <w:pStyle w:val="ListParagraph"/>
        <w:numPr>
          <w:ilvl w:val="0"/>
          <w:numId w:val="2"/>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ما الأدوات التي تعتمد عليها شركات الأدوية لقياس فعالية إدارة الحسابات الرئيسية؟</w:t>
      </w:r>
    </w:p>
    <w:p w14:paraId="21BA39D5" w14:textId="77777777" w:rsidR="00015491" w:rsidRPr="00A61745" w:rsidRDefault="00015491"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أهمية البحث:</w:t>
      </w:r>
    </w:p>
    <w:p w14:paraId="00495BBA" w14:textId="77777777" w:rsidR="00015491" w:rsidRPr="00A61745" w:rsidRDefault="00015491"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الأهمية النظرية :</w:t>
      </w:r>
    </w:p>
    <w:p w14:paraId="19509CA7"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يساعد البحث في إغناء الأدبيات العلمية حول مفهوم إدارة الحسابات الرئيسية داخل قطاع الأدوية. وهو قطاع يتميز بتعقيد العلاقات بين الشركة وبين الأطباء الصيدليات المستشفيات الموزعين، وجهات التأمين الصحي.</w:t>
      </w:r>
    </w:p>
    <w:p w14:paraId="44968158"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يوضح البحث كيف تمثل إدارة الحسابات الرئيسية أداة استراتيجية تؤثر في تحسين رضا العملاء تقليل التضارب في المبيعات وتحقيق ولاء طويل المدى.</w:t>
      </w:r>
    </w:p>
    <w:p w14:paraId="5CECEA89"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يساعد البحث في سد فجوة علمية في دراسة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داخل الصناعات الصحية، برغم انتشار الدراسات في القطاعات الصناعية والتجارية، ما يزال قطاع الأدوية بحاجة لمزيد من الدراسات التطبيقية حول كيفية تأثير إدارة الحسابات على الأداء البيعي والعلاقات التعاونية.</w:t>
      </w:r>
    </w:p>
    <w:p w14:paraId="07EE6676"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lastRenderedPageBreak/>
        <w:t xml:space="preserve">ربط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بنظريات العلاقات التسويقية، مثل نظرية التسويق بالعلاقات.</w:t>
      </w:r>
    </w:p>
    <w:p w14:paraId="5FDD646D" w14:textId="77777777" w:rsidR="00015491" w:rsidRPr="00A61745" w:rsidRDefault="00015491"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الأهمية العملية:</w:t>
      </w:r>
    </w:p>
    <w:p w14:paraId="4B62A634"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يساعد البحث في تحسين جودة إدارة العلاقات مع العملاء الرئيسيين من خلال تنظيم التعامل مع الأطباء الرئيسيين الصيدليات الكبرى المستشفيات والموزعين بطريقة منهجية مما يؤدي الزيادة رضاهم وتقليل النزاعات.</w:t>
      </w:r>
    </w:p>
    <w:p w14:paraId="228EF55B"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يساهم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توزيع الجهود البيعية بشكل أكثر تخصصاً، مما يساعد في زيادة كفاءة المندوبين وتحسين التخطيط للزيارات والعروض والأنشطة الترويجية.</w:t>
      </w:r>
    </w:p>
    <w:p w14:paraId="61675D14"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يساهم البحث في زيادة الحصة السوقية والمبيعات، حيث أن العملاء الرئيسيون في شركات الأدوية يمثلون نسبة كبيرة من المبيعات وإدارتهم بشكل فعال يؤدي مباشرة إلى نمو المبيعات واستدامتها.</w:t>
      </w:r>
    </w:p>
    <w:p w14:paraId="556AAADF"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يساعد البحث في تقليل التكاليف وتحسين تخصيص الموارد عبر تحديد الحسابات الأكثر قيمة والتركيز عليها، بدلاً من توزيع الموارد على كل العملاء بالتساوي.</w:t>
      </w:r>
    </w:p>
    <w:p w14:paraId="782A0859" w14:textId="77777777" w:rsidR="00015491" w:rsidRPr="00A61745" w:rsidRDefault="00015491" w:rsidP="00A61745">
      <w:pPr>
        <w:pStyle w:val="ListParagraph"/>
        <w:numPr>
          <w:ilvl w:val="0"/>
          <w:numId w:val="1"/>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يساهم البحث في تحسين القدرة التنافسية لشركات الأدوية في سوق شديد التنافسية. وجود نظام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قوي يمكن أن يميز الشركة عبر استجابة أسرع الاحتياجات العملاء، تخطيط أفضل الإطلاق المنتجات.</w:t>
      </w:r>
    </w:p>
    <w:p w14:paraId="7F8F2847" w14:textId="77777777" w:rsidR="00987AAA" w:rsidRPr="00A61745" w:rsidRDefault="00987AAA"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أهداف البحث:</w:t>
      </w:r>
    </w:p>
    <w:p w14:paraId="32092601" w14:textId="77777777" w:rsidR="00987AAA" w:rsidRPr="00A61745" w:rsidRDefault="00987AAA"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هدف البحث إلي:</w:t>
      </w:r>
    </w:p>
    <w:p w14:paraId="2403B1BB" w14:textId="77777777" w:rsidR="00987AAA" w:rsidRPr="00A61745" w:rsidRDefault="00987AAA" w:rsidP="00A61745">
      <w:pPr>
        <w:pStyle w:val="ListParagraph"/>
        <w:numPr>
          <w:ilvl w:val="0"/>
          <w:numId w:val="3"/>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معرفة أساليب تطبيق إدارة الحسابات الرئيسية في شركات الأدوية.</w:t>
      </w:r>
    </w:p>
    <w:p w14:paraId="3CC623B5" w14:textId="77777777" w:rsidR="00987AAA" w:rsidRPr="00A61745" w:rsidRDefault="00987AAA" w:rsidP="00A61745">
      <w:pPr>
        <w:pStyle w:val="ListParagraph"/>
        <w:numPr>
          <w:ilvl w:val="0"/>
          <w:numId w:val="3"/>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معرفة طرق تنفيذ إدارة الحسابات الرئيسية في شركات الأدوية فيما يتعلق بالعلاقات البيعية.</w:t>
      </w:r>
    </w:p>
    <w:p w14:paraId="1854A941" w14:textId="77777777" w:rsidR="00987AAA" w:rsidRPr="00A61745" w:rsidRDefault="00987AAA" w:rsidP="00A61745">
      <w:pPr>
        <w:pStyle w:val="ListParagraph"/>
        <w:numPr>
          <w:ilvl w:val="0"/>
          <w:numId w:val="3"/>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معرفة التحديات التي تواجه إدارة الحسابات الرئيسية في البيئة الدوائية.</w:t>
      </w:r>
    </w:p>
    <w:p w14:paraId="02EDD592" w14:textId="77777777" w:rsidR="00987AAA" w:rsidRPr="00A61745" w:rsidRDefault="00987AAA" w:rsidP="00A61745">
      <w:pPr>
        <w:pStyle w:val="ListParagraph"/>
        <w:numPr>
          <w:ilvl w:val="0"/>
          <w:numId w:val="3"/>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معرفة الأدوات التي تعتمد عليها شركات الأدوية لقياس فعالية إدارة الحسابات الرئيسية.</w:t>
      </w:r>
    </w:p>
    <w:p w14:paraId="7926E2EE" w14:textId="77777777" w:rsidR="00AC2022" w:rsidRPr="00A61745" w:rsidRDefault="00AC2022"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فرضيات البحث:</w:t>
      </w:r>
    </w:p>
    <w:p w14:paraId="63DCBAB3" w14:textId="77777777" w:rsidR="00AC2022" w:rsidRPr="00A61745" w:rsidRDefault="00AC2022"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تطبيق أساليب إدارة الحسابات الرئيسية في شركات الأدوية يؤثر إيجابيًا على تحسين كفاءة العلاقات البيعية.</w:t>
      </w:r>
    </w:p>
    <w:p w14:paraId="25F347B6" w14:textId="77777777" w:rsidR="00AC2022" w:rsidRPr="00A61745" w:rsidRDefault="00AC2022"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طرق تنفيذ إدارة الحسابات الرئيسية في شركات الأدوية تعزز من جودة التواصل والتفاعل بين فرق المبيعات والعملاء الرئيسيين.</w:t>
      </w:r>
    </w:p>
    <w:p w14:paraId="0112CD10" w14:textId="77777777" w:rsidR="00AC2022" w:rsidRPr="00A61745" w:rsidRDefault="00AC2022"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تواجه إدارة الحسابات الرئيسية في شركات الأدوية تحديات تؤثر على قدرتها في بناء علاقات بيعية فعالة ومستدامة.</w:t>
      </w:r>
    </w:p>
    <w:p w14:paraId="49519E47" w14:textId="77777777" w:rsidR="00AC2022" w:rsidRPr="00A61745" w:rsidRDefault="00AC2022" w:rsidP="00A61745">
      <w:pPr>
        <w:pStyle w:val="ListParagraph"/>
        <w:numPr>
          <w:ilvl w:val="0"/>
          <w:numId w:val="1"/>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lastRenderedPageBreak/>
        <w:t>تعتمد شركات الأدوية على أدوات محددة وفعالة لقياس تأثير إدارة الحسابات الرئيسية في تحسين العلاقات البيعية.</w:t>
      </w:r>
    </w:p>
    <w:p w14:paraId="5B31DDDD" w14:textId="77777777" w:rsidR="00344D1B" w:rsidRPr="00A61745" w:rsidRDefault="00344D1B"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نموذج البحث:</w:t>
      </w:r>
    </w:p>
    <w:p w14:paraId="231944F3" w14:textId="77777777" w:rsidR="00344D1B" w:rsidRPr="00A61745" w:rsidRDefault="00990FC4" w:rsidP="00A61745">
      <w:pPr>
        <w:pStyle w:val="ListParagraph"/>
        <w:numPr>
          <w:ilvl w:val="0"/>
          <w:numId w:val="1"/>
        </w:numPr>
        <w:spacing w:line="360" w:lineRule="auto"/>
        <w:jc w:val="both"/>
        <w:rPr>
          <w:rFonts w:asciiTheme="minorBidi" w:hAnsiTheme="minorBidi"/>
          <w:b/>
          <w:bCs/>
          <w:sz w:val="28"/>
          <w:szCs w:val="28"/>
          <w:lang w:bidi="ar-EG"/>
        </w:rPr>
      </w:pPr>
      <w:r w:rsidRPr="00A61745">
        <w:rPr>
          <w:rFonts w:asciiTheme="minorBidi" w:hAnsiTheme="minorBidi"/>
          <w:b/>
          <w:bCs/>
          <w:sz w:val="28"/>
          <w:szCs w:val="28"/>
          <w:rtl/>
          <w:lang w:bidi="ar-EG"/>
        </w:rPr>
        <w:t xml:space="preserve">المتغير المستقل: </w:t>
      </w:r>
      <w:r w:rsidRPr="00A61745">
        <w:rPr>
          <w:rFonts w:asciiTheme="minorBidi" w:hAnsiTheme="minorBidi"/>
          <w:sz w:val="28"/>
          <w:szCs w:val="28"/>
          <w:rtl/>
          <w:lang w:bidi="ar-EG"/>
        </w:rPr>
        <w:t>إدارة الحاسبات الرئيسية.</w:t>
      </w:r>
    </w:p>
    <w:p w14:paraId="1B76D3B4" w14:textId="77777777" w:rsidR="00990FC4" w:rsidRPr="00A61745" w:rsidRDefault="00656583" w:rsidP="00A61745">
      <w:pPr>
        <w:pStyle w:val="ListParagraph"/>
        <w:numPr>
          <w:ilvl w:val="0"/>
          <w:numId w:val="1"/>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المتغير التابع:</w:t>
      </w:r>
      <w:r w:rsidR="00990FC4" w:rsidRPr="00A61745">
        <w:rPr>
          <w:rFonts w:asciiTheme="minorBidi" w:hAnsiTheme="minorBidi"/>
          <w:b/>
          <w:bCs/>
          <w:sz w:val="28"/>
          <w:szCs w:val="28"/>
          <w:rtl/>
          <w:lang w:bidi="ar-EG"/>
        </w:rPr>
        <w:t xml:space="preserve"> </w:t>
      </w:r>
      <w:r w:rsidR="00990FC4" w:rsidRPr="00A61745">
        <w:rPr>
          <w:rFonts w:asciiTheme="minorBidi" w:hAnsiTheme="minorBidi"/>
          <w:sz w:val="28"/>
          <w:szCs w:val="28"/>
          <w:rtl/>
          <w:lang w:bidi="ar-EG"/>
        </w:rPr>
        <w:t>العلاقات البيعية.</w:t>
      </w:r>
    </w:p>
    <w:p w14:paraId="38A4676C" w14:textId="77777777" w:rsidR="00015491" w:rsidRPr="00A61745" w:rsidRDefault="005E58C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حدود البحث:</w:t>
      </w:r>
    </w:p>
    <w:p w14:paraId="16207B92" w14:textId="77777777" w:rsidR="005E58C6" w:rsidRPr="00A61745" w:rsidRDefault="005E58C6" w:rsidP="00A61745">
      <w:pPr>
        <w:pStyle w:val="ListParagraph"/>
        <w:numPr>
          <w:ilvl w:val="0"/>
          <w:numId w:val="1"/>
        </w:numPr>
        <w:spacing w:line="360" w:lineRule="auto"/>
        <w:jc w:val="both"/>
        <w:rPr>
          <w:rFonts w:asciiTheme="minorBidi" w:eastAsia="Times New Roman" w:hAnsiTheme="minorBidi"/>
          <w:sz w:val="28"/>
          <w:szCs w:val="28"/>
          <w:rtl/>
        </w:rPr>
      </w:pPr>
      <w:r w:rsidRPr="00A61745">
        <w:rPr>
          <w:rFonts w:asciiTheme="minorBidi" w:hAnsiTheme="minorBidi"/>
          <w:sz w:val="28"/>
          <w:szCs w:val="28"/>
          <w:rtl/>
          <w:lang w:bidi="ar-EG"/>
        </w:rPr>
        <w:t xml:space="preserve">الحدود الموضوعية: اقتصر البحث حول معرفة  </w:t>
      </w:r>
      <w:r w:rsidRPr="00A61745">
        <w:rPr>
          <w:rFonts w:asciiTheme="minorBidi" w:eastAsia="Times New Roman" w:hAnsiTheme="minorBidi"/>
          <w:sz w:val="28"/>
          <w:szCs w:val="28"/>
          <w:rtl/>
        </w:rPr>
        <w:t>أثر إدارة الحسابات الرئيسية  في تحسين العلاقات البيعية في شركات الأدوية</w:t>
      </w:r>
    </w:p>
    <w:p w14:paraId="773141A3" w14:textId="77777777" w:rsidR="005E58C6" w:rsidRPr="00A61745" w:rsidRDefault="005E58C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الحدود الزمانية: تم تطبيق البحث في عام 2025م.</w:t>
      </w:r>
    </w:p>
    <w:p w14:paraId="37B013DC" w14:textId="77777777" w:rsidR="005E58C6" w:rsidRPr="00A61745" w:rsidRDefault="005E58C6" w:rsidP="00A61745">
      <w:pPr>
        <w:pStyle w:val="ListParagraph"/>
        <w:numPr>
          <w:ilvl w:val="0"/>
          <w:numId w:val="1"/>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الحدود البشرية : تم تطبيق البحث علي العاملين في </w:t>
      </w:r>
      <w:r w:rsidRPr="00A61745">
        <w:rPr>
          <w:rFonts w:asciiTheme="minorBidi" w:eastAsia="Times New Roman" w:hAnsiTheme="minorBidi"/>
          <w:sz w:val="28"/>
          <w:szCs w:val="28"/>
          <w:rtl/>
        </w:rPr>
        <w:t xml:space="preserve">إدارة الحسابات الرئيسية  </w:t>
      </w:r>
      <w:r w:rsidRPr="00A61745">
        <w:rPr>
          <w:rFonts w:asciiTheme="minorBidi" w:hAnsiTheme="minorBidi"/>
          <w:sz w:val="28"/>
          <w:szCs w:val="28"/>
          <w:rtl/>
        </w:rPr>
        <w:t>في شركات الأدوية.</w:t>
      </w:r>
    </w:p>
    <w:p w14:paraId="78F6AC52" w14:textId="77777777" w:rsidR="002E310A" w:rsidRPr="00A61745" w:rsidRDefault="002E310A"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خاتمة الفصل:</w:t>
      </w:r>
    </w:p>
    <w:p w14:paraId="2A3DB7FB" w14:textId="77777777" w:rsidR="002E310A" w:rsidRPr="00A61745" w:rsidRDefault="002E310A" w:rsidP="00A61745">
      <w:p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يظهر هذا الفصل أن إدارة الحسابات الرئيسية أصبحت عنصرا محوريا في نجاح شركات الأدوية نظرا لتعقيد الأسواق الصحية وتنامي قوة العملاء المؤسسيين. وقد تناول الفصل الأسس النظرية المفهوم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وأبعاده، ووضح الفجوة البحثية القائمة في فهم أثره على العلاقات البيعية داخل القطاع الدوائي، كما عرض أسئلة البحث وأهميته وأهدافه وفرضياته وحدوده ممهدا بذلك لدراسة أعمق حول كيفية إسهام ممارسات إدارة الحسابات الرئيسية. في تعزيز اللغة والولاء وتحسين الأداء البيعي. ويمثل هذا الفصل مدخلا قويا للانتقال إلى الدراسة الميدانية وتحليل نتائجها في الفصول اللاحقة.</w:t>
      </w:r>
    </w:p>
    <w:p w14:paraId="1CC7EB22" w14:textId="77777777" w:rsidR="00E75B26" w:rsidRPr="00A61745" w:rsidRDefault="00E75B26" w:rsidP="00A61745">
      <w:pPr>
        <w:spacing w:line="360" w:lineRule="auto"/>
        <w:jc w:val="both"/>
        <w:rPr>
          <w:rFonts w:asciiTheme="minorBidi" w:hAnsiTheme="minorBidi"/>
          <w:sz w:val="28"/>
          <w:szCs w:val="28"/>
          <w:rtl/>
          <w:lang w:bidi="ar-EG"/>
        </w:rPr>
      </w:pPr>
    </w:p>
    <w:p w14:paraId="3C942DC0" w14:textId="77777777" w:rsidR="00E75B26" w:rsidRPr="00A61745" w:rsidRDefault="00E75B26" w:rsidP="00A61745">
      <w:pPr>
        <w:spacing w:line="360" w:lineRule="auto"/>
        <w:jc w:val="both"/>
        <w:rPr>
          <w:rFonts w:asciiTheme="minorBidi" w:hAnsiTheme="minorBidi"/>
          <w:sz w:val="28"/>
          <w:szCs w:val="28"/>
          <w:rtl/>
          <w:lang w:bidi="ar-EG"/>
        </w:rPr>
      </w:pPr>
    </w:p>
    <w:p w14:paraId="1BABF3A5" w14:textId="77777777" w:rsidR="00E75B26" w:rsidRPr="00A61745" w:rsidRDefault="00E75B26" w:rsidP="00A61745">
      <w:pPr>
        <w:spacing w:line="360" w:lineRule="auto"/>
        <w:jc w:val="both"/>
        <w:rPr>
          <w:rFonts w:asciiTheme="minorBidi" w:hAnsiTheme="minorBidi"/>
          <w:sz w:val="28"/>
          <w:szCs w:val="28"/>
          <w:rtl/>
          <w:lang w:bidi="ar-EG"/>
        </w:rPr>
      </w:pPr>
    </w:p>
    <w:p w14:paraId="2EAED310" w14:textId="77777777" w:rsidR="00E75B26" w:rsidRPr="00A61745" w:rsidRDefault="00E75B26" w:rsidP="00A61745">
      <w:pPr>
        <w:spacing w:line="360" w:lineRule="auto"/>
        <w:jc w:val="both"/>
        <w:rPr>
          <w:rFonts w:asciiTheme="minorBidi" w:hAnsiTheme="minorBidi"/>
          <w:sz w:val="28"/>
          <w:szCs w:val="28"/>
          <w:rtl/>
          <w:lang w:bidi="ar-EG"/>
        </w:rPr>
      </w:pPr>
    </w:p>
    <w:p w14:paraId="03E3E9A7" w14:textId="77777777" w:rsidR="00E75B26" w:rsidRPr="00A61745" w:rsidRDefault="00E75B26" w:rsidP="00A61745">
      <w:pPr>
        <w:spacing w:line="360" w:lineRule="auto"/>
        <w:jc w:val="both"/>
        <w:rPr>
          <w:rFonts w:asciiTheme="minorBidi" w:hAnsiTheme="minorBidi"/>
          <w:sz w:val="28"/>
          <w:szCs w:val="28"/>
          <w:rtl/>
          <w:lang w:bidi="ar-EG"/>
        </w:rPr>
      </w:pPr>
    </w:p>
    <w:p w14:paraId="7C3285EB" w14:textId="77777777" w:rsidR="005E7638" w:rsidRDefault="005E7638" w:rsidP="00457A85">
      <w:pPr>
        <w:spacing w:line="360" w:lineRule="auto"/>
        <w:rPr>
          <w:rFonts w:asciiTheme="minorBidi" w:hAnsiTheme="minorBidi"/>
          <w:sz w:val="28"/>
          <w:szCs w:val="28"/>
          <w:rtl/>
          <w:lang w:bidi="ar-EG"/>
        </w:rPr>
      </w:pPr>
    </w:p>
    <w:p w14:paraId="74C8256B" w14:textId="77777777" w:rsidR="005E7638" w:rsidRDefault="005E7638" w:rsidP="005E7638">
      <w:pPr>
        <w:spacing w:line="360" w:lineRule="auto"/>
        <w:rPr>
          <w:rFonts w:asciiTheme="minorBidi" w:hAnsiTheme="minorBidi"/>
          <w:sz w:val="28"/>
          <w:szCs w:val="28"/>
          <w:rtl/>
          <w:lang w:bidi="ar-EG"/>
        </w:rPr>
      </w:pPr>
    </w:p>
    <w:p w14:paraId="3B76CDC4" w14:textId="313FB9D0" w:rsidR="002E387A" w:rsidRPr="00A61745" w:rsidRDefault="002E387A" w:rsidP="005E7638">
      <w:pPr>
        <w:spacing w:line="360" w:lineRule="auto"/>
        <w:jc w:val="center"/>
        <w:rPr>
          <w:rFonts w:asciiTheme="minorBidi" w:hAnsiTheme="minorBidi"/>
          <w:b/>
          <w:bCs/>
          <w:sz w:val="28"/>
          <w:szCs w:val="28"/>
          <w:rtl/>
          <w:lang w:bidi="ar-EG"/>
        </w:rPr>
      </w:pPr>
      <w:r w:rsidRPr="00A61745">
        <w:rPr>
          <w:rFonts w:asciiTheme="minorBidi" w:hAnsiTheme="minorBidi"/>
          <w:b/>
          <w:bCs/>
          <w:sz w:val="28"/>
          <w:szCs w:val="28"/>
          <w:rtl/>
          <w:lang w:bidi="ar-EG"/>
        </w:rPr>
        <w:lastRenderedPageBreak/>
        <w:t>الفصل الثاني</w:t>
      </w:r>
    </w:p>
    <w:p w14:paraId="57C0AF92" w14:textId="77777777" w:rsidR="002E387A" w:rsidRDefault="002E387A" w:rsidP="002E387A">
      <w:pPr>
        <w:spacing w:line="360" w:lineRule="auto"/>
        <w:jc w:val="center"/>
        <w:rPr>
          <w:rFonts w:asciiTheme="minorBidi" w:hAnsiTheme="minorBidi"/>
          <w:b/>
          <w:bCs/>
          <w:sz w:val="28"/>
          <w:szCs w:val="28"/>
          <w:rtl/>
          <w:lang w:bidi="ar-EG"/>
        </w:rPr>
      </w:pPr>
      <w:r w:rsidRPr="00A61745">
        <w:rPr>
          <w:rFonts w:asciiTheme="minorBidi" w:hAnsiTheme="minorBidi"/>
          <w:b/>
          <w:bCs/>
          <w:sz w:val="28"/>
          <w:szCs w:val="28"/>
          <w:rtl/>
          <w:lang w:bidi="ar-EG"/>
        </w:rPr>
        <w:t>الإطار النظري والدراسات السابقة</w:t>
      </w:r>
    </w:p>
    <w:p w14:paraId="52FDA182" w14:textId="77777777" w:rsidR="005E7638" w:rsidRPr="00A61745" w:rsidRDefault="005E7638" w:rsidP="002E387A">
      <w:pPr>
        <w:spacing w:line="360" w:lineRule="auto"/>
        <w:jc w:val="center"/>
        <w:rPr>
          <w:rFonts w:asciiTheme="minorBidi" w:hAnsiTheme="minorBidi"/>
          <w:b/>
          <w:bCs/>
          <w:sz w:val="28"/>
          <w:szCs w:val="28"/>
          <w:rtl/>
          <w:lang w:bidi="ar-EG"/>
        </w:rPr>
      </w:pPr>
    </w:p>
    <w:p w14:paraId="161C45F0"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أولا: الإطار النظري:</w:t>
      </w:r>
    </w:p>
    <w:p w14:paraId="55B3D01E"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المنطلقات النظرية للدراسة:</w:t>
      </w:r>
    </w:p>
    <w:p w14:paraId="6E43F71F" w14:textId="77777777" w:rsidR="00E75B26" w:rsidRPr="00A61745" w:rsidRDefault="00E75B26" w:rsidP="00A61745">
      <w:pPr>
        <w:pStyle w:val="ListParagraph"/>
        <w:numPr>
          <w:ilvl w:val="0"/>
          <w:numId w:val="14"/>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نظرية التسويق بالعلاقات (</w:t>
      </w:r>
      <w:r w:rsidRPr="00A61745">
        <w:rPr>
          <w:rFonts w:asciiTheme="minorBidi" w:hAnsiTheme="minorBidi"/>
          <w:b/>
          <w:bCs/>
          <w:sz w:val="28"/>
          <w:szCs w:val="28"/>
          <w:lang w:bidi="ar-EG"/>
        </w:rPr>
        <w:t>Relationship Marketing</w:t>
      </w:r>
      <w:r w:rsidRPr="00A61745">
        <w:rPr>
          <w:rFonts w:asciiTheme="minorBidi" w:hAnsiTheme="minorBidi"/>
          <w:b/>
          <w:bCs/>
          <w:sz w:val="28"/>
          <w:szCs w:val="28"/>
          <w:rtl/>
          <w:lang w:bidi="ar-EG"/>
        </w:rPr>
        <w:t>)</w:t>
      </w:r>
    </w:p>
    <w:p w14:paraId="406C5380"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تُعد نظرية التسويق بالعلاقات من النظريات المحورية في مجال التسويق الحديث، حيث تركز على بناء علاقات طويلة الأمد ومستدامة بين الشركات والعملاء بدلاً من التركيز فقط على المعاملات القصيرة الأجل. تؤكد النظرية على أن النجاح في الأسواق التنافسية يعتمد بشكل كبير على جودة العلاقة بين الطرفين، والتي يتم بناؤها من خلال الثقة، والالتزام، والتواصل المنتظم. فقد عرفت نظرية التسويق بالعلاقات بأنها "عملية تهدف إلى بناء علاقات طويلة الأمد ومستدامة مع العملاء، عبر التركيز على الثقة، الالتزام، والتواصل المنتظم. هذه العلاقات تُعتبر من العوامل الأساسية لتعزيز ولاء العملاء وزيادة معدلات الاحتفاظ بهم، وهو ما يؤثر بشكل إيجابي على الأداء التسويقي للشركات."</w:t>
      </w:r>
      <w:r w:rsidRPr="00A61745">
        <w:rPr>
          <w:rFonts w:asciiTheme="minorBidi" w:hAnsiTheme="minorBidi"/>
          <w:sz w:val="28"/>
          <w:szCs w:val="28"/>
          <w:lang w:bidi="ar-EG"/>
        </w:rPr>
        <w:t xml:space="preserve"> </w:t>
      </w:r>
      <w:proofErr w:type="gramStart"/>
      <w:r w:rsidRPr="00A61745">
        <w:rPr>
          <w:rFonts w:asciiTheme="minorBidi" w:hAnsiTheme="minorBidi"/>
          <w:sz w:val="28"/>
          <w:szCs w:val="28"/>
          <w:lang w:bidi="ar-EG"/>
        </w:rPr>
        <w:t>Rosário  &amp;</w:t>
      </w:r>
      <w:proofErr w:type="gramEnd"/>
      <w:r w:rsidRPr="00A61745">
        <w:rPr>
          <w:rFonts w:asciiTheme="minorBidi" w:hAnsiTheme="minorBidi"/>
          <w:sz w:val="28"/>
          <w:szCs w:val="28"/>
          <w:lang w:bidi="ar-EG"/>
        </w:rPr>
        <w:t xml:space="preserve"> Casaca, 2023)</w:t>
      </w:r>
      <w:r w:rsidRPr="00A61745">
        <w:rPr>
          <w:rFonts w:asciiTheme="minorBidi" w:hAnsiTheme="minorBidi"/>
          <w:sz w:val="28"/>
          <w:szCs w:val="28"/>
          <w:rtl/>
          <w:lang w:bidi="ar-EG"/>
        </w:rPr>
        <w:t>)</w:t>
      </w:r>
    </w:p>
    <w:p w14:paraId="16CC3D6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تشير الأبحاث الحديثة إلى أن التسويق بالعلاقات لا يقتصر على تعزيز ولاء العملاء فحسب، بل يتعدى ذلك ليشمل تحسين جودة الخدمة وتجربة العميل، مما يؤدي إلى زيادة قيمة العميل مدى الحياة (</w:t>
      </w:r>
      <w:r w:rsidRPr="00A61745">
        <w:rPr>
          <w:rFonts w:asciiTheme="minorBidi" w:hAnsiTheme="minorBidi"/>
          <w:sz w:val="28"/>
          <w:szCs w:val="28"/>
          <w:lang w:bidi="ar-EG"/>
        </w:rPr>
        <w:t>Customer Lifetime Value</w:t>
      </w:r>
      <w:r w:rsidRPr="00A61745">
        <w:rPr>
          <w:rFonts w:asciiTheme="minorBidi" w:hAnsiTheme="minorBidi"/>
          <w:sz w:val="28"/>
          <w:szCs w:val="28"/>
          <w:rtl/>
          <w:lang w:bidi="ar-EG"/>
        </w:rPr>
        <w:t>). ويعزز هذا النهج التعاون والتفاعل بين الشركات والعملاء، مما يؤدي إلى فوائد متبادلة مستمرة (</w:t>
      </w:r>
      <w:r w:rsidRPr="00A61745">
        <w:rPr>
          <w:rFonts w:asciiTheme="minorBidi" w:hAnsiTheme="minorBidi"/>
          <w:sz w:val="28"/>
          <w:szCs w:val="28"/>
          <w:lang w:bidi="ar-EG"/>
        </w:rPr>
        <w:t>Chen, 2024</w:t>
      </w:r>
      <w:r w:rsidRPr="00A61745">
        <w:rPr>
          <w:rFonts w:asciiTheme="minorBidi" w:hAnsiTheme="minorBidi"/>
          <w:sz w:val="28"/>
          <w:szCs w:val="28"/>
          <w:rtl/>
          <w:lang w:bidi="ar-EG"/>
        </w:rPr>
        <w:t>).</w:t>
      </w:r>
    </w:p>
    <w:p w14:paraId="345D55F7"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بالإضافة إلى ذلك، أظهرت دراسة حديثة أن التسويق بالعلاقات يلعب دورًا حيويًا في الحفاظ على العملاء خلال أزمات غير متوقعة مثل جائحة كوفيد-19، حيث ساعدت الثقة والشفافية والالتزام المؤسسات على التعامل مع التحديات والمحافظة على العلاقات مع العملاء (</w:t>
      </w:r>
      <w:proofErr w:type="spellStart"/>
      <w:r w:rsidRPr="00A61745">
        <w:rPr>
          <w:rFonts w:asciiTheme="minorBidi" w:hAnsiTheme="minorBidi"/>
          <w:sz w:val="28"/>
          <w:szCs w:val="28"/>
          <w:lang w:bidi="ar-EG"/>
        </w:rPr>
        <w:t>Mochtar</w:t>
      </w:r>
      <w:proofErr w:type="spellEnd"/>
      <w:r w:rsidRPr="00A61745">
        <w:rPr>
          <w:rFonts w:asciiTheme="minorBidi" w:hAnsiTheme="minorBidi"/>
          <w:sz w:val="28"/>
          <w:szCs w:val="28"/>
          <w:lang w:bidi="ar-EG"/>
        </w:rPr>
        <w:t xml:space="preserve"> et al., 2023</w:t>
      </w:r>
      <w:r w:rsidRPr="00A61745">
        <w:rPr>
          <w:rFonts w:asciiTheme="minorBidi" w:hAnsiTheme="minorBidi"/>
          <w:sz w:val="28"/>
          <w:szCs w:val="28"/>
          <w:rtl/>
          <w:lang w:bidi="ar-EG"/>
        </w:rPr>
        <w:t>)</w:t>
      </w:r>
    </w:p>
    <w:p w14:paraId="7BB7B6A0"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وتتضمن المكونات الأساسية للتسويق بالعلاقات عناصر مثل التواصل الفعّال، إدارة الشكاوى، تقديم خدمات مخصصة، والتعامل الشخصي، وكلها تساهم في تعزيز الثقة بين الأطراف وتقليل مخاطر فسخ العلاقة التجارية (</w:t>
      </w:r>
      <w:r w:rsidRPr="00A61745">
        <w:rPr>
          <w:rFonts w:asciiTheme="minorBidi" w:hAnsiTheme="minorBidi"/>
          <w:sz w:val="28"/>
          <w:szCs w:val="28"/>
          <w:lang w:bidi="ar-EG"/>
        </w:rPr>
        <w:t>Rosário &amp; Casaca, 2023</w:t>
      </w:r>
      <w:r w:rsidRPr="00A61745">
        <w:rPr>
          <w:rFonts w:asciiTheme="minorBidi" w:hAnsiTheme="minorBidi"/>
          <w:sz w:val="28"/>
          <w:szCs w:val="28"/>
          <w:rtl/>
          <w:lang w:bidi="ar-EG"/>
        </w:rPr>
        <w:t>).</w:t>
      </w:r>
    </w:p>
    <w:p w14:paraId="51E6066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كما أن إدارة الحسابات الرئيسية (</w:t>
      </w:r>
      <w:r w:rsidRPr="00A61745">
        <w:rPr>
          <w:rFonts w:asciiTheme="minorBidi" w:hAnsiTheme="minorBidi"/>
          <w:sz w:val="28"/>
          <w:szCs w:val="28"/>
          <w:lang w:bidi="ar-EG"/>
        </w:rPr>
        <w:t>KAM</w:t>
      </w:r>
      <w:r w:rsidRPr="00A61745">
        <w:rPr>
          <w:rFonts w:asciiTheme="minorBidi" w:hAnsiTheme="minorBidi"/>
          <w:sz w:val="28"/>
          <w:szCs w:val="28"/>
          <w:rtl/>
          <w:lang w:bidi="ar-EG"/>
        </w:rPr>
        <w:t>) تستفيد بشكل كبير من مبادئ التسويق بالعلاقات، حيث تقوم على تخصيص موارد متخصصة لبناء وإدارة علاقات استراتيجية مع العملاء الرئيسيين، وهو ما يعزز من فعالية هذه العلاقات ويؤدي إلى تحسين الأداء البيعي على المدى الطويل (</w:t>
      </w:r>
      <w:r w:rsidRPr="00A61745">
        <w:rPr>
          <w:rFonts w:asciiTheme="minorBidi" w:hAnsiTheme="minorBidi"/>
          <w:sz w:val="28"/>
          <w:szCs w:val="28"/>
          <w:lang w:bidi="ar-EG"/>
        </w:rPr>
        <w:t>Pillai et al., 2023</w:t>
      </w:r>
      <w:r w:rsidRPr="00A61745">
        <w:rPr>
          <w:rFonts w:asciiTheme="minorBidi" w:hAnsiTheme="minorBidi"/>
          <w:sz w:val="28"/>
          <w:szCs w:val="28"/>
          <w:rtl/>
          <w:lang w:bidi="ar-EG"/>
        </w:rPr>
        <w:t>).</w:t>
      </w:r>
    </w:p>
    <w:p w14:paraId="00911F1A" w14:textId="77777777" w:rsidR="00E75B26" w:rsidRPr="00A61745" w:rsidRDefault="00E75B26" w:rsidP="00A61745">
      <w:pPr>
        <w:pStyle w:val="ListParagraph"/>
        <w:numPr>
          <w:ilvl w:val="0"/>
          <w:numId w:val="14"/>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نظرية القيمة المدركة (</w:t>
      </w:r>
      <w:r w:rsidRPr="00A61745">
        <w:rPr>
          <w:rFonts w:asciiTheme="minorBidi" w:hAnsiTheme="minorBidi"/>
          <w:b/>
          <w:bCs/>
          <w:sz w:val="28"/>
          <w:szCs w:val="28"/>
          <w:lang w:bidi="ar-EG"/>
        </w:rPr>
        <w:t>Perceived Value</w:t>
      </w:r>
      <w:r w:rsidRPr="00A61745">
        <w:rPr>
          <w:rFonts w:asciiTheme="minorBidi" w:hAnsiTheme="minorBidi"/>
          <w:b/>
          <w:bCs/>
          <w:sz w:val="28"/>
          <w:szCs w:val="28"/>
          <w:rtl/>
          <w:lang w:bidi="ar-EG"/>
        </w:rPr>
        <w:t>):</w:t>
      </w:r>
    </w:p>
    <w:p w14:paraId="5A62CEF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تشير نظرية القيمة المدركة إلى أن قرار العميل بالشراء أو الاستمرار في العلاقة مع الشركة يعتمد على تقييمه الشخصي للتوازن بين المنافع التي يحصل عليها مقابل التكاليف التي يتحملها. فالقيمة هنا ليست قيمة فعلية أو موضوعية، بل هي قيمة ذهنية تتشكل في إدراك العميل من خلال تجاربه وتوقعاته والمقارنات التي يجريها مع البدائل المتاحة في السوق (</w:t>
      </w:r>
      <w:proofErr w:type="spellStart"/>
      <w:r w:rsidRPr="00A61745">
        <w:rPr>
          <w:rFonts w:asciiTheme="minorBidi" w:hAnsiTheme="minorBidi"/>
          <w:sz w:val="28"/>
          <w:szCs w:val="28"/>
          <w:lang w:bidi="ar-EG"/>
        </w:rPr>
        <w:t>Pamungkas</w:t>
      </w:r>
      <w:proofErr w:type="spellEnd"/>
      <w:r w:rsidRPr="00A61745">
        <w:rPr>
          <w:rFonts w:asciiTheme="minorBidi" w:hAnsiTheme="minorBidi"/>
          <w:sz w:val="28"/>
          <w:szCs w:val="28"/>
          <w:lang w:bidi="ar-EG"/>
        </w:rPr>
        <w:t>, 2023</w:t>
      </w:r>
      <w:r w:rsidRPr="00A61745">
        <w:rPr>
          <w:rFonts w:asciiTheme="minorBidi" w:hAnsiTheme="minorBidi"/>
          <w:sz w:val="28"/>
          <w:szCs w:val="28"/>
          <w:rtl/>
          <w:lang w:bidi="ar-EG"/>
        </w:rPr>
        <w:t>).</w:t>
      </w:r>
    </w:p>
    <w:p w14:paraId="1BAA74C9"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تؤكد الدراسات الحديثة أن القيمة المدركة تُعد من أهم العوامل المؤثرة على نية الشراء والرضا والولاء، خاصة عندما تعتمد الشركة على تقديم حلول أو خدمات مخصصة عالية الجودة. وقد أظهرت الأبحاث أن العملاء مستعدون لرفع نية الشراء عندما يشعرون بأن المنتج أو الخدمة يوفر لهم قيمة وظيفية وعاطفية واجتماعية تتجاوز ما يتوقعونه (</w:t>
      </w:r>
      <w:r w:rsidRPr="00A61745">
        <w:rPr>
          <w:rFonts w:asciiTheme="minorBidi" w:hAnsiTheme="minorBidi"/>
          <w:sz w:val="28"/>
          <w:szCs w:val="28"/>
          <w:lang w:bidi="ar-EG"/>
        </w:rPr>
        <w:t>Wang et al., 2023</w:t>
      </w:r>
      <w:r w:rsidRPr="00A61745">
        <w:rPr>
          <w:rFonts w:asciiTheme="minorBidi" w:hAnsiTheme="minorBidi"/>
          <w:sz w:val="28"/>
          <w:szCs w:val="28"/>
          <w:rtl/>
          <w:lang w:bidi="ar-EG"/>
        </w:rPr>
        <w:t>).</w:t>
      </w:r>
    </w:p>
    <w:p w14:paraId="754EF18C"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وفي سياق العلاقات بين الشركات (</w:t>
      </w:r>
      <w:r w:rsidRPr="00A61745">
        <w:rPr>
          <w:rFonts w:asciiTheme="minorBidi" w:hAnsiTheme="minorBidi"/>
          <w:sz w:val="28"/>
          <w:szCs w:val="28"/>
          <w:lang w:bidi="ar-EG"/>
        </w:rPr>
        <w:t>B2B</w:t>
      </w:r>
      <w:r w:rsidRPr="00A61745">
        <w:rPr>
          <w:rFonts w:asciiTheme="minorBidi" w:hAnsiTheme="minorBidi"/>
          <w:sz w:val="28"/>
          <w:szCs w:val="28"/>
          <w:rtl/>
          <w:lang w:bidi="ar-EG"/>
        </w:rPr>
        <w:t>)، مثل شركات الأدوية أو الخدمات الطبية، تصبح القيمة المدركة عاملاً محوريًا في استمرار العلاقة؛ لأنها تعكس قدرة المورد على تلبية الاحتياجات المعقدة وتقديم حلول فعّالة للمشكلات. وقد أثبتت الأبحاث أن الشركات التي تقدم قيمة مدركة أعلى تتمكن من ترسيخ علاقات طويلة الأمد مع العملاء الاستراتيجيين (</w:t>
      </w:r>
      <w:r w:rsidRPr="00A61745">
        <w:rPr>
          <w:rFonts w:asciiTheme="minorBidi" w:hAnsiTheme="minorBidi"/>
          <w:sz w:val="28"/>
          <w:szCs w:val="28"/>
          <w:lang w:bidi="ar-EG"/>
        </w:rPr>
        <w:t>Rady et al., 2023</w:t>
      </w:r>
      <w:r w:rsidRPr="00A61745">
        <w:rPr>
          <w:rFonts w:asciiTheme="minorBidi" w:hAnsiTheme="minorBidi"/>
          <w:sz w:val="28"/>
          <w:szCs w:val="28"/>
          <w:rtl/>
          <w:lang w:bidi="ar-EG"/>
        </w:rPr>
        <w:t>).</w:t>
      </w:r>
    </w:p>
    <w:p w14:paraId="70958057"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وتتكون القيمة المدركة من عدة أبعاد، أبرزها: القيمة الوظيفية (جودة الأداء)، والقيمة المالية (السعر مقابل المنفعة)، والقيمة العاطفية (الشعور بالثقة والراحة)، والقيمة الاجتماعية (ما يقدمه المنتج أو الخدمة لصورة العميل). وتظهر النتائج البحثية الحديثة أن كل بُعد من هذه الأبعاد يساهم بدرجات متفاوتة في تشكيل سلوك العميل النهائي (</w:t>
      </w:r>
      <w:proofErr w:type="spellStart"/>
      <w:r w:rsidRPr="00A61745">
        <w:rPr>
          <w:rFonts w:asciiTheme="minorBidi" w:hAnsiTheme="minorBidi"/>
          <w:sz w:val="28"/>
          <w:szCs w:val="28"/>
          <w:lang w:bidi="ar-EG"/>
        </w:rPr>
        <w:t>Pamungkas</w:t>
      </w:r>
      <w:proofErr w:type="spellEnd"/>
      <w:r w:rsidRPr="00A61745">
        <w:rPr>
          <w:rFonts w:asciiTheme="minorBidi" w:hAnsiTheme="minorBidi"/>
          <w:sz w:val="28"/>
          <w:szCs w:val="28"/>
          <w:lang w:bidi="ar-EG"/>
        </w:rPr>
        <w:t>, 2023</w:t>
      </w:r>
      <w:r w:rsidRPr="00A61745">
        <w:rPr>
          <w:rFonts w:asciiTheme="minorBidi" w:hAnsiTheme="minorBidi"/>
          <w:sz w:val="28"/>
          <w:szCs w:val="28"/>
          <w:rtl/>
          <w:lang w:bidi="ar-EG"/>
        </w:rPr>
        <w:t>).</w:t>
      </w:r>
    </w:p>
    <w:p w14:paraId="32698CCE"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وترتبط نظرية القيمة المدركة ارتباطًا وثيقًا بإدارة الحسابات الرئيسية (</w:t>
      </w:r>
      <w:r w:rsidRPr="00A61745">
        <w:rPr>
          <w:rFonts w:asciiTheme="minorBidi" w:hAnsiTheme="minorBidi"/>
          <w:sz w:val="28"/>
          <w:szCs w:val="28"/>
          <w:lang w:bidi="ar-EG"/>
        </w:rPr>
        <w:t>KAM</w:t>
      </w:r>
      <w:r w:rsidRPr="00A61745">
        <w:rPr>
          <w:rFonts w:asciiTheme="minorBidi" w:hAnsiTheme="minorBidi"/>
          <w:sz w:val="28"/>
          <w:szCs w:val="28"/>
          <w:rtl/>
          <w:lang w:bidi="ar-EG"/>
        </w:rPr>
        <w:t>)، إذ تعتمد هذه الإدارة على تقديم عروض مخصصة وقيم إضافية للعملاء الرئيسيين، مثل الدعم الفني المستمر، الحلول المصممة حسب الاحتياجات، والخدمات ذات الجودة العالية. هذا التركيز على القيمة المدركة يساعد الشركات على بناء علاقة استراتيجية طويلة الأمد وتحسين الرضا والولاء لدى العملاء الرئيسيين (</w:t>
      </w:r>
      <w:r w:rsidRPr="00A61745">
        <w:rPr>
          <w:rFonts w:asciiTheme="minorBidi" w:hAnsiTheme="minorBidi"/>
          <w:sz w:val="28"/>
          <w:szCs w:val="28"/>
          <w:lang w:bidi="ar-EG"/>
        </w:rPr>
        <w:t>Wang et al., 2023</w:t>
      </w:r>
      <w:r w:rsidRPr="00A61745">
        <w:rPr>
          <w:rFonts w:asciiTheme="minorBidi" w:hAnsiTheme="minorBidi"/>
          <w:sz w:val="28"/>
          <w:szCs w:val="28"/>
          <w:rtl/>
          <w:lang w:bidi="ar-EG"/>
        </w:rPr>
        <w:t>).</w:t>
      </w:r>
    </w:p>
    <w:p w14:paraId="164B96C7" w14:textId="77777777" w:rsidR="00E75B26" w:rsidRPr="00A61745" w:rsidRDefault="00E75B26" w:rsidP="00A61745">
      <w:pPr>
        <w:pStyle w:val="ListParagraph"/>
        <w:numPr>
          <w:ilvl w:val="0"/>
          <w:numId w:val="14"/>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نموذج إدارة الحسابات الاستراتيجية (</w:t>
      </w:r>
      <w:r w:rsidRPr="00A61745">
        <w:rPr>
          <w:rFonts w:asciiTheme="minorBidi" w:hAnsiTheme="minorBidi"/>
          <w:b/>
          <w:bCs/>
          <w:sz w:val="28"/>
          <w:szCs w:val="28"/>
          <w:lang w:bidi="ar-EG"/>
        </w:rPr>
        <w:t>Key Account Management - KAM</w:t>
      </w:r>
      <w:r w:rsidRPr="00A61745">
        <w:rPr>
          <w:rFonts w:asciiTheme="minorBidi" w:hAnsiTheme="minorBidi"/>
          <w:b/>
          <w:bCs/>
          <w:sz w:val="28"/>
          <w:szCs w:val="28"/>
          <w:rtl/>
          <w:lang w:bidi="ar-EG"/>
        </w:rPr>
        <w:t>):</w:t>
      </w:r>
    </w:p>
    <w:p w14:paraId="6CE3FEE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يركز نموذج إدارة الحسابات الاستراتيجية على تخصيص الموارد بشكل موجه نحو العملاء الرئيسيين، من خلال تحليلات دقيقة وفرق مبيعات مخصصة لضمان استمرارية العلاقة وتعزيز الأداء البيعي. يُعتبر هذا النموذج إطارًا هامًا لبناء علاقات مستدامة مع أهم العملاء وتحقيق ميزة تنافسية مستدامة.</w:t>
      </w:r>
      <w:r w:rsidRPr="00A61745">
        <w:rPr>
          <w:rFonts w:asciiTheme="minorBidi" w:hAnsiTheme="minorBidi"/>
          <w:sz w:val="28"/>
          <w:szCs w:val="28"/>
          <w:lang w:bidi="ar-EG"/>
        </w:rPr>
        <w:t xml:space="preserve"> </w:t>
      </w:r>
      <w:proofErr w:type="gramStart"/>
      <w:r w:rsidRPr="00A61745">
        <w:rPr>
          <w:rFonts w:asciiTheme="minorBidi" w:hAnsiTheme="minorBidi"/>
          <w:sz w:val="28"/>
          <w:szCs w:val="28"/>
          <w:lang w:bidi="ar-EG"/>
        </w:rPr>
        <w:t>Pillai,  Sreejesh</w:t>
      </w:r>
      <w:proofErr w:type="gram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01B696A6"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ويرتكز النموذج على عملية دقيقة لتحديد الحسابات الاستراتيجية من خلال تحليل إمكانات النمو، الربحية، ومستوى التأثير في السوق. يشير( </w:t>
      </w:r>
      <w:r w:rsidRPr="00A61745">
        <w:rPr>
          <w:rFonts w:asciiTheme="minorBidi" w:hAnsiTheme="minorBidi"/>
          <w:sz w:val="28"/>
          <w:szCs w:val="28"/>
          <w:lang w:bidi="ar-EG"/>
        </w:rPr>
        <w:t>Brehmer &amp; Rehme, 2009</w:t>
      </w:r>
      <w:r w:rsidRPr="00A61745">
        <w:rPr>
          <w:rFonts w:asciiTheme="minorBidi" w:hAnsiTheme="minorBidi"/>
          <w:sz w:val="28"/>
          <w:szCs w:val="28"/>
          <w:rtl/>
          <w:lang w:bidi="ar-EG"/>
        </w:rPr>
        <w:t>) إلى أن تصنيف الحسابات وفقًا لمعايير استراتيجية يتيح للشركات توجيه الموارد لحسابات ذات أعلى قيمة استراتيجية، مما يرفع كفاءة الجهود البيعية ويقلل الهدر في إدارة العلاقات.</w:t>
      </w:r>
    </w:p>
    <w:p w14:paraId="54BE10BB"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أن واحدة من أهم ركائز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هي تخصيص الموارد، مثل فرق مخصصة، دعم فني، حلول مبتكرة، وتطوير عروض قيمة مخصصة لكل حساب رئيسي. ويوضح (</w:t>
      </w:r>
      <w:r w:rsidRPr="00A61745">
        <w:rPr>
          <w:rFonts w:asciiTheme="minorBidi" w:hAnsiTheme="minorBidi"/>
          <w:sz w:val="28"/>
          <w:szCs w:val="28"/>
          <w:lang w:bidi="ar-EG"/>
        </w:rPr>
        <w:t>Millman &amp; Wilson, 1995</w:t>
      </w:r>
      <w:r w:rsidRPr="00A61745">
        <w:rPr>
          <w:rFonts w:asciiTheme="minorBidi" w:hAnsiTheme="minorBidi"/>
          <w:sz w:val="28"/>
          <w:szCs w:val="28"/>
          <w:rtl/>
          <w:lang w:bidi="ar-EG"/>
        </w:rPr>
        <w:t>) أن تخصيص الموارد ليس مجرد توزيع للجهد، بل عملية استراتيجية تهدف إلى بناء شراكات طويلة الأجل مع العملاء ذوي الأهمية.</w:t>
      </w:r>
    </w:p>
    <w:p w14:paraId="1A94B92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وتؤكد الأدبيات الحديثة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يتجاوز إدارة العلاقة إلى “القيمة المشتركة” عبر الابتكار المشترك (</w:t>
      </w:r>
      <w:r w:rsidRPr="00A61745">
        <w:rPr>
          <w:rFonts w:asciiTheme="minorBidi" w:hAnsiTheme="minorBidi"/>
          <w:sz w:val="28"/>
          <w:szCs w:val="28"/>
          <w:lang w:bidi="ar-EG"/>
        </w:rPr>
        <w:t>Co-creation</w:t>
      </w:r>
      <w:r w:rsidRPr="00A61745">
        <w:rPr>
          <w:rFonts w:asciiTheme="minorBidi" w:hAnsiTheme="minorBidi"/>
          <w:sz w:val="28"/>
          <w:szCs w:val="28"/>
          <w:rtl/>
          <w:lang w:bidi="ar-EG"/>
        </w:rPr>
        <w:t>). ويشير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&amp; Gounaris, 2015</w:t>
      </w:r>
      <w:r w:rsidRPr="00A61745">
        <w:rPr>
          <w:rFonts w:asciiTheme="minorBidi" w:hAnsiTheme="minorBidi"/>
          <w:sz w:val="28"/>
          <w:szCs w:val="28"/>
          <w:rtl/>
          <w:lang w:bidi="ar-EG"/>
        </w:rPr>
        <w:t xml:space="preserve">) إلى أن التعاون الاستراتيجي بين المورد والعميل يعزز أداء العلاقات، ويزيد من ثقة العميل، ويدعم القرارات طويلة الأجل، وهو ما يميّز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عن الأساليب التقليدية في البيع.</w:t>
      </w:r>
    </w:p>
    <w:p w14:paraId="568F7770"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تُظهر الدراسات الحديثة أن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يؤدي إلى تحسين الأداء البيعي، رفع ولاء العملاء، وزيادة الحصة السوقية، خصوصًا في قطاعات </w:t>
      </w:r>
      <w:r w:rsidRPr="00A61745">
        <w:rPr>
          <w:rFonts w:asciiTheme="minorBidi" w:hAnsiTheme="minorBidi"/>
          <w:sz w:val="28"/>
          <w:szCs w:val="28"/>
          <w:lang w:bidi="ar-EG"/>
        </w:rPr>
        <w:t>B2B</w:t>
      </w:r>
      <w:r w:rsidRPr="00A61745">
        <w:rPr>
          <w:rFonts w:asciiTheme="minorBidi" w:hAnsiTheme="minorBidi"/>
          <w:sz w:val="28"/>
          <w:szCs w:val="28"/>
          <w:rtl/>
          <w:lang w:bidi="ar-EG"/>
        </w:rPr>
        <w:t>. تؤكد دراسة (</w:t>
      </w:r>
      <w:r w:rsidRPr="00A61745">
        <w:rPr>
          <w:rFonts w:asciiTheme="minorBidi" w:hAnsiTheme="minorBidi"/>
          <w:sz w:val="28"/>
          <w:szCs w:val="28"/>
          <w:lang w:bidi="ar-EG"/>
        </w:rPr>
        <w:t>Homburg et al., 2020</w:t>
      </w:r>
      <w:r w:rsidRPr="00A61745">
        <w:rPr>
          <w:rFonts w:asciiTheme="minorBidi" w:hAnsiTheme="minorBidi"/>
          <w:sz w:val="28"/>
          <w:szCs w:val="28"/>
          <w:rtl/>
          <w:lang w:bidi="ar-EG"/>
        </w:rPr>
        <w:t xml:space="preserve">) أن الشركات التي طبّقت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بفعالية حققت نموًا بيعيًا أعلى عبر بناء علاقات استراتيجية تتسم بالثقة، التعاون، وانخفاض تكاليف التبديل بالنسبة للعميل.</w:t>
      </w:r>
    </w:p>
    <w:p w14:paraId="58E5E9F7"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الاول: إدارة الحسابات الرئيسية:</w:t>
      </w:r>
    </w:p>
    <w:p w14:paraId="074D8040" w14:textId="77777777" w:rsidR="00E75B26" w:rsidRPr="00A61745" w:rsidRDefault="00E75B26" w:rsidP="00A61745">
      <w:pPr>
        <w:pStyle w:val="ListParagraph"/>
        <w:numPr>
          <w:ilvl w:val="0"/>
          <w:numId w:val="13"/>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مفهوم إدارة الحسابات الرئيسية:</w:t>
      </w:r>
    </w:p>
    <w:p w14:paraId="433DD0B8" w14:textId="77777777" w:rsidR="00E75B26" w:rsidRPr="00A61745" w:rsidRDefault="00E75B26" w:rsidP="00A61745">
      <w:pPr>
        <w:spacing w:line="360" w:lineRule="auto"/>
        <w:ind w:firstLine="360"/>
        <w:jc w:val="both"/>
        <w:rPr>
          <w:rFonts w:asciiTheme="minorBidi" w:hAnsiTheme="minorBidi"/>
          <w:sz w:val="28"/>
          <w:szCs w:val="28"/>
          <w:lang w:bidi="ar-EG"/>
        </w:rPr>
      </w:pPr>
      <w:r w:rsidRPr="00A61745">
        <w:rPr>
          <w:rFonts w:asciiTheme="minorBidi" w:hAnsiTheme="minorBidi"/>
          <w:sz w:val="28"/>
          <w:szCs w:val="28"/>
          <w:rtl/>
          <w:lang w:bidi="ar-EG"/>
        </w:rPr>
        <w:t>إدارة الحسابات الرئيسية (</w:t>
      </w:r>
      <w:r w:rsidRPr="00A61745">
        <w:rPr>
          <w:rFonts w:asciiTheme="minorBidi" w:hAnsiTheme="minorBidi"/>
          <w:sz w:val="28"/>
          <w:szCs w:val="28"/>
          <w:lang w:bidi="ar-EG"/>
        </w:rPr>
        <w:t>Key Account Management - KAM</w:t>
      </w:r>
      <w:r w:rsidRPr="00A61745">
        <w:rPr>
          <w:rFonts w:asciiTheme="minorBidi" w:hAnsiTheme="minorBidi"/>
          <w:sz w:val="28"/>
          <w:szCs w:val="28"/>
          <w:rtl/>
          <w:lang w:bidi="ar-EG"/>
        </w:rPr>
        <w:t xml:space="preserve">) تُعرَّف على أنها مجموعة ممارسات واستراتيجيات مخصَّصة تهدف إلى إدارة العلاقات مع العملاء أو الحسابات الذين يمثلون قيمة استراتيجية كبيرة للشركة (إيرادياً أو استراتيجياً). في الأدبيات المعاصرة تُعتبر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عملية متعددة الأبعاد تشمل تعيين مديري حسابات متفردين، تطوير خطط مخصصة لكل حساب، وتنسيق موارد الشركة لتقديم حلول متكاملة تلبي احتياجات العميل الرئيسية؛ وهذا يتجاوز النشاطات البيعية </w:t>
      </w:r>
      <w:r w:rsidRPr="00A61745">
        <w:rPr>
          <w:rFonts w:asciiTheme="minorBidi" w:hAnsiTheme="minorBidi"/>
          <w:sz w:val="28"/>
          <w:szCs w:val="28"/>
          <w:rtl/>
          <w:lang w:bidi="ar-EG"/>
        </w:rPr>
        <w:lastRenderedPageBreak/>
        <w:t>التقليدية حيث يكون التركيز على الصفقات الفردية.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xml:space="preserve">, &amp; Paul, 2023;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357D08E6" w14:textId="77777777" w:rsidR="00E75B26" w:rsidRPr="00A61745" w:rsidRDefault="00E75B26" w:rsidP="00A61745">
      <w:pPr>
        <w:pStyle w:val="ListParagraph"/>
        <w:numPr>
          <w:ilvl w:val="0"/>
          <w:numId w:val="13"/>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أهمية إدارة الحسابات الرئيسية:</w:t>
      </w:r>
    </w:p>
    <w:p w14:paraId="18CB222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على مستوى الأهمية، تُظهر الدراسات أن تطبيق برامج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الفعّالة يرفع من كفاءة استغلال الموارد، يزيد من درجة الاحتفاظ بالحسابات الكبرى، ويُسهِم في نمو الإيرادات المستدام عن طريق خلق قيمة مشتركة مع العميل بدلاً من التركيز على مبيعات أحادية المرة. كما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يساهم في تحويل العلاقة إلى شراكة استراتيجية طويلة المدى تسهّل التعاون في مجالات مثل الدراسات السريرية، برامج التثقيف الطبي، أو الوصول إلى السوق.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 Leone, 2021</w:t>
      </w:r>
      <w:r w:rsidRPr="00A61745">
        <w:rPr>
          <w:rFonts w:asciiTheme="minorBidi" w:hAnsiTheme="minorBidi"/>
          <w:sz w:val="28"/>
          <w:szCs w:val="28"/>
          <w:rtl/>
          <w:lang w:bidi="ar-EG"/>
        </w:rPr>
        <w:t>).</w:t>
      </w:r>
    </w:p>
    <w:p w14:paraId="43EA9174"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من منظور تطبيقي في شركات الأدوية، تُعد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أداة أساسية لأن العملاء الرئيسيين (مستشفيات كبرى، شبكات صحية، سلاسل توزيع، منظمات حكومية) يؤثرون مباشرة على الوصول إلى المرضى وسير وصف الأدوية. لذلك، تُوجَّه استثمارات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القطاع الدوائي إلى بناء آليات دعم مستمر، مطابقة تنظيمية (</w:t>
      </w:r>
      <w:r w:rsidRPr="00A61745">
        <w:rPr>
          <w:rFonts w:asciiTheme="minorBidi" w:hAnsiTheme="minorBidi"/>
          <w:sz w:val="28"/>
          <w:szCs w:val="28"/>
          <w:lang w:bidi="ar-EG"/>
        </w:rPr>
        <w:t>compliance</w:t>
      </w:r>
      <w:r w:rsidRPr="00A61745">
        <w:rPr>
          <w:rFonts w:asciiTheme="minorBidi" w:hAnsiTheme="minorBidi"/>
          <w:sz w:val="28"/>
          <w:szCs w:val="28"/>
          <w:rtl/>
          <w:lang w:bidi="ar-EG"/>
        </w:rPr>
        <w:t>) وتقديم حلول خدمة علمية دقيقة بدلاً من عروض سعرية بسيطة. (</w:t>
      </w:r>
      <w:r w:rsidRPr="00A61745">
        <w:rPr>
          <w:rFonts w:asciiTheme="minorBidi" w:hAnsiTheme="minorBidi"/>
          <w:sz w:val="28"/>
          <w:szCs w:val="28"/>
          <w:lang w:bidi="ar-EG"/>
        </w:rPr>
        <w:t>Runfola et al., 2021; Sandesh et al., 2023</w:t>
      </w:r>
      <w:r w:rsidRPr="00A61745">
        <w:rPr>
          <w:rFonts w:asciiTheme="minorBidi" w:hAnsiTheme="minorBidi"/>
          <w:sz w:val="28"/>
          <w:szCs w:val="28"/>
          <w:rtl/>
          <w:lang w:bidi="ar-EG"/>
        </w:rPr>
        <w:t>).</w:t>
      </w:r>
    </w:p>
    <w:p w14:paraId="18DAF412" w14:textId="77777777" w:rsidR="00E75B26" w:rsidRPr="00A61745" w:rsidRDefault="00E75B26" w:rsidP="00A61745">
      <w:pPr>
        <w:pStyle w:val="ListParagraph"/>
        <w:numPr>
          <w:ilvl w:val="0"/>
          <w:numId w:val="15"/>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الفرق بين إدارة الحسابات التقليدية وإدارة الحسابات الرئيسية:</w:t>
      </w:r>
    </w:p>
    <w:p w14:paraId="22D223B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يتركز عمل فريق المبيعات في إدارة الحسابات التقليدية على عدد كبير من العملاء مع أهداف مبيعات فردية وزيارات متكررة قصيرة المدى، بينما في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يتم تخصيص موارد ووقت أكبر لكل حساب رئيسي، وتُبنى استراتيجيات مخصصة على مستوى المؤسسة. الفرق العملي يظهر في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يتضمن تخطيطاً استراتيجياً متعدد الوظائف (التسويق العلمي، الشؤون التنظيمية، الدعم السريري) وعقود شراكة طويلة الأمد بدلاً من التركيز على الحسم والعمولات قصيرة الأجل. (</w:t>
      </w:r>
      <w:r w:rsidRPr="00A61745">
        <w:rPr>
          <w:rFonts w:asciiTheme="minorBidi" w:hAnsiTheme="minorBidi"/>
          <w:sz w:val="28"/>
          <w:szCs w:val="28"/>
          <w:lang w:bidi="ar-EG"/>
        </w:rPr>
        <w:t xml:space="preserve">Sandesh et al., 2023;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72B100C3"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من ناحية المهارات، مدير الحساب التقليدي يركز غالباً على مهارات إقناع وعمليات البيع، بينما مدير الحساب الرئيسي يحتاج إلى قدرات أعلى في إدارة أصحاب المصلحة (</w:t>
      </w:r>
      <w:r w:rsidRPr="00A61745">
        <w:rPr>
          <w:rFonts w:asciiTheme="minorBidi" w:hAnsiTheme="minorBidi"/>
          <w:sz w:val="28"/>
          <w:szCs w:val="28"/>
          <w:lang w:bidi="ar-EG"/>
        </w:rPr>
        <w:t>stakeholder management</w:t>
      </w:r>
      <w:r w:rsidRPr="00A61745">
        <w:rPr>
          <w:rFonts w:asciiTheme="minorBidi" w:hAnsiTheme="minorBidi"/>
          <w:sz w:val="28"/>
          <w:szCs w:val="28"/>
          <w:rtl/>
          <w:lang w:bidi="ar-EG"/>
        </w:rPr>
        <w:t>)، التفاوض على مستوى مؤسسي، فهم جدوى الأعمال المشتركة (</w:t>
      </w:r>
      <w:r w:rsidRPr="00A61745">
        <w:rPr>
          <w:rFonts w:asciiTheme="minorBidi" w:hAnsiTheme="minorBidi"/>
          <w:sz w:val="28"/>
          <w:szCs w:val="28"/>
          <w:lang w:bidi="ar-EG"/>
        </w:rPr>
        <w:t>business case</w:t>
      </w:r>
      <w:r w:rsidRPr="00A61745">
        <w:rPr>
          <w:rFonts w:asciiTheme="minorBidi" w:hAnsiTheme="minorBidi"/>
          <w:sz w:val="28"/>
          <w:szCs w:val="28"/>
          <w:rtl/>
          <w:lang w:bidi="ar-EG"/>
        </w:rPr>
        <w:t xml:space="preserve">) وإدارة مشاريع متكاملة داخل الحساب. هذه الارتقاء في المهارات يؤكد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وظيفة استراتجية وليست مجرد امتداد لفريق المبيعات. (</w:t>
      </w:r>
      <w:r w:rsidRPr="00A61745">
        <w:rPr>
          <w:rFonts w:asciiTheme="minorBidi" w:hAnsiTheme="minorBidi"/>
          <w:sz w:val="28"/>
          <w:szCs w:val="28"/>
          <w:lang w:bidi="ar-EG"/>
        </w:rPr>
        <w:t xml:space="preserve">Leone, 2021;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0B773E84"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بالنسبة لقياس الأداء، تختلف مؤشرات النجاح: الحساب التقليدي قد تُقَيَّم بناءً على حجم المبيعات الشهري/الفصلي، أما حسابات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فتُقَيَّم أيضًا بواسطة مؤشرات نوعية واستراتيجية مثل عمق </w:t>
      </w:r>
      <w:r w:rsidRPr="00A61745">
        <w:rPr>
          <w:rFonts w:asciiTheme="minorBidi" w:hAnsiTheme="minorBidi"/>
          <w:sz w:val="28"/>
          <w:szCs w:val="28"/>
          <w:rtl/>
          <w:lang w:bidi="ar-EG"/>
        </w:rPr>
        <w:lastRenderedPageBreak/>
        <w:t>التعاون المشترك، مستوى الشراكة في مشاريع بحثية أو سريرية، واستدامة الإيرادات عبر عقود متعددة السنوات. هذا التحوّل في المقاييس يتطلب أنظمة متابعة ومؤشرات أداء (</w:t>
      </w:r>
      <w:r w:rsidRPr="00A61745">
        <w:rPr>
          <w:rFonts w:asciiTheme="minorBidi" w:hAnsiTheme="minorBidi"/>
          <w:sz w:val="28"/>
          <w:szCs w:val="28"/>
          <w:lang w:bidi="ar-EG"/>
        </w:rPr>
        <w:t>KPIs</w:t>
      </w:r>
      <w:r w:rsidRPr="00A61745">
        <w:rPr>
          <w:rFonts w:asciiTheme="minorBidi" w:hAnsiTheme="minorBidi"/>
          <w:sz w:val="28"/>
          <w:szCs w:val="28"/>
          <w:rtl/>
          <w:lang w:bidi="ar-EG"/>
        </w:rPr>
        <w:t>) مخصّصة تدعم قرارات الإدارة. (</w:t>
      </w:r>
      <w:r w:rsidRPr="00A61745">
        <w:rPr>
          <w:rFonts w:asciiTheme="minorBidi" w:hAnsiTheme="minorBidi"/>
          <w:sz w:val="28"/>
          <w:szCs w:val="28"/>
          <w:lang w:bidi="ar-EG"/>
        </w:rPr>
        <w:t>Sandesh et al., 2023; Leone, 2021</w:t>
      </w:r>
      <w:r w:rsidRPr="00A61745">
        <w:rPr>
          <w:rFonts w:asciiTheme="minorBidi" w:hAnsiTheme="minorBidi"/>
          <w:sz w:val="28"/>
          <w:szCs w:val="28"/>
          <w:rtl/>
          <w:lang w:bidi="ar-EG"/>
        </w:rPr>
        <w:t>).</w:t>
      </w:r>
    </w:p>
    <w:p w14:paraId="78A60339" w14:textId="77777777" w:rsidR="00E75B26" w:rsidRPr="00A61745" w:rsidRDefault="00E75B26" w:rsidP="00A61745">
      <w:pPr>
        <w:pStyle w:val="ListParagraph"/>
        <w:numPr>
          <w:ilvl w:val="0"/>
          <w:numId w:val="1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خصائص العملاء الرئيسيين في شركات الأدوية:</w:t>
      </w:r>
    </w:p>
    <w:p w14:paraId="13D6A78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عملاء الحسابات الرئيسية في قطاع الدواء يملكون عادة مزيجاً من الخصائص منها حجم شراء كبير أو إمكانية تأثير على مبيعات مستقبلية، قدرة على الوصول إلى شرائح مرضى مهمة (مثل مستشفيات المرجعية أو شبكات الرعاية الصحية)، ونفوذٍ علمي أو تنظيمي يمكن أن يؤثر على تبنّي منتجات جديدة ، هذه الخصائص تجعل من الحسابات أهدافاً استراتيجية لتخصيص برامج</w:t>
      </w:r>
      <w:r w:rsidRPr="00A61745">
        <w:rPr>
          <w:rFonts w:asciiTheme="minorBidi" w:hAnsiTheme="minorBidi"/>
          <w:sz w:val="28"/>
          <w:szCs w:val="28"/>
          <w:lang w:bidi="ar-EG"/>
        </w:rPr>
        <w:t xml:space="preserve"> KAM</w:t>
      </w:r>
      <w:r w:rsidRPr="00A61745">
        <w:rPr>
          <w:rFonts w:asciiTheme="minorBidi" w:hAnsiTheme="minorBidi"/>
          <w:sz w:val="28"/>
          <w:szCs w:val="28"/>
          <w:rtl/>
          <w:lang w:bidi="ar-EG"/>
        </w:rPr>
        <w:t xml:space="preserve">. </w:t>
      </w:r>
      <w:r w:rsidRPr="00A61745">
        <w:rPr>
          <w:rFonts w:asciiTheme="minorBidi" w:hAnsiTheme="minorBidi"/>
          <w:sz w:val="28"/>
          <w:szCs w:val="28"/>
          <w:lang w:bidi="ar-EG"/>
        </w:rPr>
        <w:t xml:space="preserve">(Runfola et al., 2021;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2CE5CFC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بالإضافة للحجم والنفوذ، الحسابات الرئيسية في الدواء غالباً تحتاج إلى دعم علمي/تقني مستمر (مثل تدريب فرق التمريض، دعم البروتوكولات السريرية، أو المشاركة في دراسات لاحقة). لذلك، تتميز علاقاتهم بطابع تعاوني متعدد التخصصات — فالشركة لا تقدم منتجاً فقط بل قد تقدم خدمات تنفيذية ومؤسسية معيّنة لتمكين الاستخدام الأمثل للدواء. (</w:t>
      </w:r>
      <w:r w:rsidRPr="00A61745">
        <w:rPr>
          <w:rFonts w:asciiTheme="minorBidi" w:hAnsiTheme="minorBidi"/>
          <w:sz w:val="28"/>
          <w:szCs w:val="28"/>
          <w:lang w:bidi="ar-EG"/>
        </w:rPr>
        <w:t xml:space="preserve">Leone, 2021;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0760775C"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كما أن هذه الحسابات تتعرض لمخاطر تنظيمية واحتياج للتوافق، أي شراكة ناجحة تتطلب ضوابط امتثال صارمة، شفافية مالية عند التعامل مع </w:t>
      </w:r>
      <w:r w:rsidRPr="00A61745">
        <w:rPr>
          <w:rFonts w:asciiTheme="minorBidi" w:hAnsiTheme="minorBidi"/>
          <w:sz w:val="28"/>
          <w:szCs w:val="28"/>
          <w:lang w:bidi="ar-EG"/>
        </w:rPr>
        <w:t>KOLs</w:t>
      </w:r>
      <w:r w:rsidRPr="00A61745">
        <w:rPr>
          <w:rFonts w:asciiTheme="minorBidi" w:hAnsiTheme="minorBidi"/>
          <w:sz w:val="28"/>
          <w:szCs w:val="28"/>
          <w:rtl/>
          <w:lang w:bidi="ar-EG"/>
        </w:rPr>
        <w:t xml:space="preserve">، وإدارة تعارض المصالح. لذلك، الشركات الناجحة في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داخل الدواء تبني سياسات داخلية واضحة وتوثيقًا دقيقًا لكل التعاونات لضمان استدامة العلاقة وعدم التعرض لمخاطر قانونية أو سمعة.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 Gac et al., 2024</w:t>
      </w:r>
      <w:r w:rsidRPr="00A61745">
        <w:rPr>
          <w:rFonts w:asciiTheme="minorBidi" w:hAnsiTheme="minorBidi"/>
          <w:sz w:val="28"/>
          <w:szCs w:val="28"/>
          <w:rtl/>
          <w:lang w:bidi="ar-EG"/>
        </w:rPr>
        <w:t>).</w:t>
      </w:r>
    </w:p>
    <w:p w14:paraId="1ACFC024"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الثاني: معايير اختيار الحسابات الرئيسية في شركات الأدوية:</w:t>
      </w:r>
    </w:p>
    <w:p w14:paraId="2F0AF601" w14:textId="77777777" w:rsidR="00E75B26" w:rsidRPr="00A61745" w:rsidRDefault="00E75B26" w:rsidP="00A61745">
      <w:pPr>
        <w:pStyle w:val="ListParagraph"/>
        <w:numPr>
          <w:ilvl w:val="0"/>
          <w:numId w:val="1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حجم ونمو المبيعات الخاصة بالحساب:</w:t>
      </w:r>
    </w:p>
    <w:p w14:paraId="528C3E6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أحد أبسط وأشهر معايير اختيار الحسابات الرئيسية هو الحجم الحالي للمبيعات (حصة الإنفاق على منتجات الشركة) ومعدل نمو هذه المبيعات التاريخي والمتوقّع. الحسابات التي تُمثّل نسبة كبيرة من الإيرادات الحالية أو لديها إمكانات نموٍ عالية تُعتبر مرشحة للاختيار لأن استثمار الموارد فيها يُقدّم عائداً سريعاً وواضحاً على الاستثمار. الأدبيات تُبرز أهمية قياس كلٍ من القيمة المطلقة للمبيعات ومعدل النمو لتقدير إمكانية العائد الطويل الأمد.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 Sandesh et al., 2023</w:t>
      </w:r>
      <w:r w:rsidRPr="00A61745">
        <w:rPr>
          <w:rFonts w:asciiTheme="minorBidi" w:hAnsiTheme="minorBidi"/>
          <w:sz w:val="28"/>
          <w:szCs w:val="28"/>
          <w:rtl/>
          <w:lang w:bidi="ar-EG"/>
        </w:rPr>
        <w:t>).</w:t>
      </w:r>
    </w:p>
    <w:p w14:paraId="6943F96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ومع ذلك، الاعتماد الحصري على الحجم قد يضلّل؛ لذلك يُنصح بدمج مؤشرات كمية (مثل مبيعات السنوات الثلاث الماضية، حصة السوق داخل الحساب) مع مؤشرات نوعية (مثل استقرار العلاقة، حاجات الحساب المعلنة). هذا المزيج يسمح بتحديد حساباتٍ كبيرة لكنها عرضة للمخاطر (مثلاً تنافسية عالية أو اعتماد على منتج واحد) مقابل حسابات أصغر لكنها ذات إمكانات نمو استراتيجية.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 Leone, 2021</w:t>
      </w:r>
      <w:r w:rsidRPr="00A61745">
        <w:rPr>
          <w:rFonts w:asciiTheme="minorBidi" w:hAnsiTheme="minorBidi"/>
          <w:sz w:val="28"/>
          <w:szCs w:val="28"/>
          <w:rtl/>
          <w:lang w:bidi="ar-EG"/>
        </w:rPr>
        <w:t>).</w:t>
      </w:r>
    </w:p>
    <w:p w14:paraId="6FC3860F" w14:textId="77777777" w:rsidR="00E75B26" w:rsidRPr="00A61745" w:rsidRDefault="00E75B26" w:rsidP="00A61745">
      <w:pPr>
        <w:spacing w:line="360" w:lineRule="auto"/>
        <w:ind w:firstLine="360"/>
        <w:jc w:val="both"/>
        <w:rPr>
          <w:rFonts w:asciiTheme="minorBidi" w:hAnsiTheme="minorBidi"/>
          <w:sz w:val="28"/>
          <w:szCs w:val="28"/>
          <w:lang w:bidi="ar-EG"/>
        </w:rPr>
      </w:pPr>
      <w:r w:rsidRPr="00A61745">
        <w:rPr>
          <w:rFonts w:asciiTheme="minorBidi" w:hAnsiTheme="minorBidi"/>
          <w:sz w:val="28"/>
          <w:szCs w:val="28"/>
          <w:rtl/>
          <w:lang w:bidi="ar-EG"/>
        </w:rPr>
        <w:t>في التطبيق العملي داخل شركات الأدوية، تُستخدم أدوات تحليل البيانات و</w:t>
      </w:r>
      <w:r w:rsidRPr="00A61745">
        <w:rPr>
          <w:rFonts w:asciiTheme="minorBidi" w:hAnsiTheme="minorBidi"/>
          <w:sz w:val="28"/>
          <w:szCs w:val="28"/>
          <w:lang w:bidi="ar-EG"/>
        </w:rPr>
        <w:t>CRM</w:t>
      </w:r>
      <w:r w:rsidRPr="00A61745">
        <w:rPr>
          <w:rFonts w:asciiTheme="minorBidi" w:hAnsiTheme="minorBidi"/>
          <w:sz w:val="28"/>
          <w:szCs w:val="28"/>
          <w:rtl/>
          <w:lang w:bidi="ar-EG"/>
        </w:rPr>
        <w:t xml:space="preserve"> لاستخراج لوحات أداء (</w:t>
      </w:r>
      <w:r w:rsidRPr="00A61745">
        <w:rPr>
          <w:rFonts w:asciiTheme="minorBidi" w:hAnsiTheme="minorBidi"/>
          <w:sz w:val="28"/>
          <w:szCs w:val="28"/>
          <w:lang w:bidi="ar-EG"/>
        </w:rPr>
        <w:t>dashboards</w:t>
      </w:r>
      <w:r w:rsidRPr="00A61745">
        <w:rPr>
          <w:rFonts w:asciiTheme="minorBidi" w:hAnsiTheme="minorBidi"/>
          <w:sz w:val="28"/>
          <w:szCs w:val="28"/>
          <w:rtl/>
          <w:lang w:bidi="ar-EG"/>
        </w:rPr>
        <w:t xml:space="preserve">) تعرض اتجاهات الشراء لكل حساب، وتمكّن فريق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من اتخاذ قرار مستند إلى بيانات حول توجيه الموارد نحو الحسابات الأعلى قيمة أو ذات النمو المتوقع. (</w:t>
      </w:r>
      <w:r w:rsidRPr="00A61745">
        <w:rPr>
          <w:rFonts w:asciiTheme="minorBidi" w:hAnsiTheme="minorBidi"/>
          <w:sz w:val="28"/>
          <w:szCs w:val="28"/>
          <w:lang w:bidi="ar-EG"/>
        </w:rPr>
        <w:t xml:space="preserve">Sandesh et al., 2023; </w:t>
      </w:r>
      <w:proofErr w:type="spellStart"/>
      <w:r w:rsidRPr="00A61745">
        <w:rPr>
          <w:rFonts w:asciiTheme="minorBidi" w:hAnsiTheme="minorBidi"/>
          <w:sz w:val="28"/>
          <w:szCs w:val="28"/>
          <w:lang w:bidi="ar-EG"/>
        </w:rPr>
        <w:t>Puschmann</w:t>
      </w:r>
      <w:proofErr w:type="spellEnd"/>
      <w:r w:rsidRPr="00A61745">
        <w:rPr>
          <w:rFonts w:asciiTheme="minorBidi" w:hAnsiTheme="minorBidi"/>
          <w:sz w:val="28"/>
          <w:szCs w:val="28"/>
          <w:lang w:bidi="ar-EG"/>
        </w:rPr>
        <w:t xml:space="preserve"> &amp; Alt, 2001</w:t>
      </w:r>
      <w:r w:rsidRPr="00A61745">
        <w:rPr>
          <w:rFonts w:asciiTheme="minorBidi" w:hAnsiTheme="minorBidi"/>
          <w:sz w:val="28"/>
          <w:szCs w:val="28"/>
          <w:rtl/>
          <w:lang w:bidi="ar-EG"/>
        </w:rPr>
        <w:t>).</w:t>
      </w:r>
    </w:p>
    <w:p w14:paraId="3AFADCA5" w14:textId="77777777" w:rsidR="00E75B26" w:rsidRPr="00A61745" w:rsidRDefault="00E75B26" w:rsidP="00A61745">
      <w:pPr>
        <w:pStyle w:val="ListParagraph"/>
        <w:numPr>
          <w:ilvl w:val="0"/>
          <w:numId w:val="1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التأثير العلمي أو التسويقي للعميل (</w:t>
      </w:r>
      <w:r w:rsidRPr="00A61745">
        <w:rPr>
          <w:rFonts w:asciiTheme="minorBidi" w:hAnsiTheme="minorBidi"/>
          <w:b/>
          <w:bCs/>
          <w:sz w:val="28"/>
          <w:szCs w:val="28"/>
          <w:lang w:bidi="ar-EG"/>
        </w:rPr>
        <w:t>Key Opinion Leaders</w:t>
      </w:r>
      <w:r w:rsidRPr="00A61745">
        <w:rPr>
          <w:rFonts w:asciiTheme="minorBidi" w:hAnsiTheme="minorBidi"/>
          <w:b/>
          <w:bCs/>
          <w:sz w:val="28"/>
          <w:szCs w:val="28"/>
          <w:rtl/>
          <w:lang w:bidi="ar-EG"/>
        </w:rPr>
        <w:t>):</w:t>
      </w:r>
    </w:p>
    <w:p w14:paraId="44EF6EB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إن في سوق الأدوية، لا تقتصر قيمة بعض الحسابات على الشراء المباشر فقط، بل تشمل القدرة على التأثير العلمي والطبي في المجتمع الطبي. الأفراد أو المؤسسات التي تُصنَّف كـ </w:t>
      </w:r>
      <w:r w:rsidRPr="00A61745">
        <w:rPr>
          <w:rFonts w:asciiTheme="minorBidi" w:hAnsiTheme="minorBidi"/>
          <w:sz w:val="28"/>
          <w:szCs w:val="28"/>
          <w:lang w:bidi="ar-EG"/>
        </w:rPr>
        <w:t>KOLs</w:t>
      </w:r>
      <w:r w:rsidRPr="00A61745">
        <w:rPr>
          <w:rFonts w:asciiTheme="minorBidi" w:hAnsiTheme="minorBidi"/>
          <w:sz w:val="28"/>
          <w:szCs w:val="28"/>
          <w:rtl/>
          <w:lang w:bidi="ar-EG"/>
        </w:rPr>
        <w:t xml:space="preserve"> (قادة الرأي) يمكن أن يؤثروا في إرشادات علاجية، ممارسات وصفية، أو تبنّي بروتوكولات علاجية جديدة — مما يؤدي إلى زيادات ملحوظة في اعتماد المنتج عبر أوساط أوسع. الدراسات الحديثة تُظهر أن الارتباط المالي أو العلمي بين الصناعة و</w:t>
      </w:r>
      <w:r w:rsidRPr="00A61745">
        <w:rPr>
          <w:rFonts w:asciiTheme="minorBidi" w:hAnsiTheme="minorBidi"/>
          <w:sz w:val="28"/>
          <w:szCs w:val="28"/>
          <w:lang w:bidi="ar-EG"/>
        </w:rPr>
        <w:t>KOLs</w:t>
      </w:r>
      <w:r w:rsidRPr="00A61745">
        <w:rPr>
          <w:rFonts w:asciiTheme="minorBidi" w:hAnsiTheme="minorBidi"/>
          <w:sz w:val="28"/>
          <w:szCs w:val="28"/>
          <w:rtl/>
          <w:lang w:bidi="ar-EG"/>
        </w:rPr>
        <w:t xml:space="preserve"> واسع الانتشار ويجب إدراكه وإدارته بشفافية.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 Gac et al., 2024</w:t>
      </w:r>
      <w:r w:rsidRPr="00A61745">
        <w:rPr>
          <w:rFonts w:asciiTheme="minorBidi" w:hAnsiTheme="minorBidi"/>
          <w:sz w:val="28"/>
          <w:szCs w:val="28"/>
          <w:rtl/>
          <w:lang w:bidi="ar-EG"/>
        </w:rPr>
        <w:t>).</w:t>
      </w:r>
    </w:p>
    <w:p w14:paraId="30768AD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نتيجة لذلك، معيار انتقاء الحسابات الرئيسية يجب أن يشمل بُعد التأثير: هل الحساب يمتلك شبكات اتصال علمية/إكلينيكية تؤثر على قرارات مؤسساتٍ أخرى؟ هل لديه دور في مؤسسات إصدار الإرشادات السريرية أو في التدريب الطبي المستمر؟ إجابات بنعم تستدعي إعطاء وزن أعلى عند التصنيف كـ "حساب رئيسي". (</w:t>
      </w:r>
      <w:r w:rsidRPr="00A61745">
        <w:rPr>
          <w:rFonts w:asciiTheme="minorBidi" w:hAnsiTheme="minorBidi"/>
          <w:sz w:val="28"/>
          <w:szCs w:val="28"/>
          <w:lang w:bidi="ar-EG"/>
        </w:rPr>
        <w:t>Runfola et al., 2021; Ping et al., 2023</w:t>
      </w:r>
      <w:r w:rsidRPr="00A61745">
        <w:rPr>
          <w:rFonts w:asciiTheme="minorBidi" w:hAnsiTheme="minorBidi"/>
          <w:sz w:val="28"/>
          <w:szCs w:val="28"/>
          <w:rtl/>
          <w:lang w:bidi="ar-EG"/>
        </w:rPr>
        <w:t>).</w:t>
      </w:r>
    </w:p>
    <w:p w14:paraId="4EB839D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مع ذلك، استخدام معيار </w:t>
      </w:r>
      <w:r w:rsidRPr="00A61745">
        <w:rPr>
          <w:rFonts w:asciiTheme="minorBidi" w:hAnsiTheme="minorBidi"/>
          <w:sz w:val="28"/>
          <w:szCs w:val="28"/>
          <w:lang w:bidi="ar-EG"/>
        </w:rPr>
        <w:t>KOL</w:t>
      </w:r>
      <w:r w:rsidRPr="00A61745">
        <w:rPr>
          <w:rFonts w:asciiTheme="minorBidi" w:hAnsiTheme="minorBidi"/>
          <w:sz w:val="28"/>
          <w:szCs w:val="28"/>
          <w:rtl/>
          <w:lang w:bidi="ar-EG"/>
        </w:rPr>
        <w:t xml:space="preserve"> يتطلب ضوابط أخلاقية/تنظيمية: فالتعاون مع قادة الرأي يجب أن يكون شفافاً ومدوناً لتجنّب تضارب المصالح والتداعيات القانونية أو السمعة السيئة، كما أشارت دراسات رصد الروابط المالية بين الصناعة والطبيب. لذا يعتبر معيار التأثير العلمي معيارًا قويًا ولكنه يحتاج إلى إطار امتثال واضح.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 Gac et al., 2024</w:t>
      </w:r>
      <w:r w:rsidRPr="00A61745">
        <w:rPr>
          <w:rFonts w:asciiTheme="minorBidi" w:hAnsiTheme="minorBidi"/>
          <w:sz w:val="28"/>
          <w:szCs w:val="28"/>
          <w:rtl/>
          <w:lang w:bidi="ar-EG"/>
        </w:rPr>
        <w:t>).</w:t>
      </w:r>
    </w:p>
    <w:p w14:paraId="0C8F8C47" w14:textId="77777777" w:rsidR="00E75B26" w:rsidRPr="00A61745" w:rsidRDefault="00E75B26" w:rsidP="00A61745">
      <w:pPr>
        <w:pStyle w:val="ListParagraph"/>
        <w:numPr>
          <w:ilvl w:val="0"/>
          <w:numId w:val="1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مدى إمكانية بناء شراكة طويلة المدى:</w:t>
      </w:r>
    </w:p>
    <w:p w14:paraId="7A0548D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من المعايير الحاسمة أيضاً تقييم قابلية الحساب للشراكة المستدامة: هل يمتلك الهيكل المؤسسي والتنظيمي والموارد البشرية التي تسمح بإدارة مشاريع مشتركة طويلة الأجل؟ الحسابات التي تظهر </w:t>
      </w:r>
      <w:r w:rsidRPr="00A61745">
        <w:rPr>
          <w:rFonts w:asciiTheme="minorBidi" w:hAnsiTheme="minorBidi"/>
          <w:sz w:val="28"/>
          <w:szCs w:val="28"/>
          <w:rtl/>
          <w:lang w:bidi="ar-EG"/>
        </w:rPr>
        <w:lastRenderedPageBreak/>
        <w:t xml:space="preserve">اهتماماً بالتعاون البحثي، تحسين البروتوكولات، أو تطوير برامج تعليمية مشتركة تكون أكثر ملاءمة لاستثمارات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لأن العلاقة تنتقل من تبادل سلعة إلى شراكة استراتيجية. (</w:t>
      </w:r>
      <w:r w:rsidRPr="00A61745">
        <w:rPr>
          <w:rFonts w:asciiTheme="minorBidi" w:hAnsiTheme="minorBidi"/>
          <w:sz w:val="28"/>
          <w:szCs w:val="28"/>
          <w:lang w:bidi="ar-EG"/>
        </w:rPr>
        <w:t xml:space="preserve">Leone, 2021;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37C88A7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هذا البُعد يقيس عناصر مثل ثقافة الشريك تجاه الابتكار، مرونة اتخاذ القرار داخل المؤسسة، ووجود قنوات اتصال رسمية (لجان مشتركة، فرق عمل) التي تسمح بتنفيذ مبادرات معقدة. شركات الأدوية تقيّم هذه العناصر عبر مقابلات، استبيانات، وتحليل تاريخ التعاون السابق لتقدير فرص الشراكة الطويلة الأمد. (</w:t>
      </w:r>
      <w:r w:rsidRPr="00A61745">
        <w:rPr>
          <w:rFonts w:asciiTheme="minorBidi" w:hAnsiTheme="minorBidi"/>
          <w:sz w:val="28"/>
          <w:szCs w:val="28"/>
          <w:lang w:bidi="ar-EG"/>
        </w:rPr>
        <w:t>Sandesh et al., 2023; Runfola et al., 2021</w:t>
      </w:r>
      <w:r w:rsidRPr="00A61745">
        <w:rPr>
          <w:rFonts w:asciiTheme="minorBidi" w:hAnsiTheme="minorBidi"/>
          <w:sz w:val="28"/>
          <w:szCs w:val="28"/>
          <w:rtl/>
          <w:lang w:bidi="ar-EG"/>
        </w:rPr>
        <w:t>).</w:t>
      </w:r>
    </w:p>
    <w:p w14:paraId="2375DFB6"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الواقع التطبيقي، اختيار حساب يُظهر قابلية للتعاون طويل الأجل يُقلّل من مخاطر الاستثمار: بدلاً من التركيز على صفقة ذات هامش مرتفع مؤقتاً، تؤدي الشراكات المستمرة إلى مشاريع مشتركة (مثل برامج تحسين الامتثال الدوائي أو أبحاث ميدانية) توفر ميزات تنافسية مستدامة للطرفين. هذا يجعل معيار القابلية للشراكة جزءاً محورياً في عملية الانتقاء.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 Leone, 2021</w:t>
      </w:r>
      <w:r w:rsidRPr="00A61745">
        <w:rPr>
          <w:rFonts w:asciiTheme="minorBidi" w:hAnsiTheme="minorBidi"/>
          <w:sz w:val="28"/>
          <w:szCs w:val="28"/>
          <w:rtl/>
          <w:lang w:bidi="ar-EG"/>
        </w:rPr>
        <w:t>).</w:t>
      </w:r>
    </w:p>
    <w:p w14:paraId="7C141E15" w14:textId="77777777" w:rsidR="00E75B26" w:rsidRPr="00A61745" w:rsidRDefault="00E75B26" w:rsidP="00A61745">
      <w:pPr>
        <w:pStyle w:val="ListParagraph"/>
        <w:numPr>
          <w:ilvl w:val="0"/>
          <w:numId w:val="17"/>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القيمة الاستراتيجية للحساب للشركة:</w:t>
      </w:r>
    </w:p>
    <w:p w14:paraId="2AD30B1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القيمة الاستراتيجية تتجاوز الإيرادات المباشرة لتشمل عوامل مثل فتح أسواق جديدة، دعم مبادرات التعريف العلمي، أو تحسين السمعة المؤسسية. حساب قد يكون ذا قيمة استراتيجية إذا كان يسهِم في تمكين دخول الشركة إلى شبكات إقليمية، أو إذا كان شريكاً في مشاريع تُسرّع اعتماد تكنولوجيا دوائية جديدة. لذلك، عند اختيار الحسابات الرئيسية، يجب قياس الأثر الاستراتيجي المحتمل ووضْع أُطر تصنيف تمنح وزناً لهذه الأبعاد. (</w:t>
      </w:r>
      <w:r w:rsidRPr="00A61745">
        <w:rPr>
          <w:rFonts w:asciiTheme="minorBidi" w:hAnsiTheme="minorBidi"/>
          <w:sz w:val="28"/>
          <w:szCs w:val="28"/>
          <w:lang w:bidi="ar-EG"/>
        </w:rPr>
        <w:t xml:space="preserve">Sandesh et al., 2023;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7D5CFD6A"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يشمل التحليل الاستراتيجي أيضاً تقييم المخاطر والفرص: هل الشراكة مع هذا الحساب ستمنح تفوّقاً تنظيمياً أو تسريعاً في إجراءات الإتاحة السوقية؟ أم أنها قد تعرّض الشركة لطِبَقَة واسعة من القيود؟ الإجابة تحدد ما إذا كانت القيمة الاستراتيجية تستحق تخصيص موارد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كبيرة أم لا. (</w:t>
      </w:r>
      <w:r w:rsidRPr="00A61745">
        <w:rPr>
          <w:rFonts w:asciiTheme="minorBidi" w:hAnsiTheme="minorBidi"/>
          <w:sz w:val="28"/>
          <w:szCs w:val="28"/>
          <w:lang w:bidi="ar-EG"/>
        </w:rPr>
        <w:t>Runfola et al., 2021; Leone, 2021</w:t>
      </w:r>
      <w:r w:rsidRPr="00A61745">
        <w:rPr>
          <w:rFonts w:asciiTheme="minorBidi" w:hAnsiTheme="minorBidi"/>
          <w:sz w:val="28"/>
          <w:szCs w:val="28"/>
          <w:rtl/>
          <w:lang w:bidi="ar-EG"/>
        </w:rPr>
        <w:t>).</w:t>
      </w:r>
    </w:p>
    <w:p w14:paraId="7372D513"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تتضمن أدوات اتخاذ القرار الشائعة مصفوفات تقييم تجمع أبعاداً كمية ونوعية (حجم، نمو، تأثير، قابلية شراكة، قيمة استراتيجية) وتنتج تصنيفاً أولوياً للحسابات. هذا يجعل عملية اختيار الحسابات موضوعية وقابلة للمراجعة، ويتيح إعادة تخصيص الموارد عند تغيّر المؤشرات السوقية.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 Sandesh et al., 2023</w:t>
      </w:r>
      <w:r w:rsidRPr="00A61745">
        <w:rPr>
          <w:rFonts w:asciiTheme="minorBidi" w:hAnsiTheme="minorBidi"/>
          <w:sz w:val="28"/>
          <w:szCs w:val="28"/>
          <w:rtl/>
          <w:lang w:bidi="ar-EG"/>
        </w:rPr>
        <w:t>).</w:t>
      </w:r>
    </w:p>
    <w:p w14:paraId="176526A0"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الثالث: مكونات نظام إدارة الحسابات الرئيسية (</w:t>
      </w:r>
      <w:r w:rsidRPr="00A61745">
        <w:rPr>
          <w:rFonts w:asciiTheme="minorBidi" w:hAnsiTheme="minorBidi"/>
          <w:b/>
          <w:bCs/>
          <w:sz w:val="28"/>
          <w:szCs w:val="28"/>
          <w:lang w:bidi="ar-EG"/>
        </w:rPr>
        <w:t>KAM Model</w:t>
      </w:r>
      <w:r w:rsidRPr="00A61745">
        <w:rPr>
          <w:rFonts w:asciiTheme="minorBidi" w:hAnsiTheme="minorBidi"/>
          <w:b/>
          <w:bCs/>
          <w:sz w:val="28"/>
          <w:szCs w:val="28"/>
          <w:rtl/>
          <w:lang w:bidi="ar-EG"/>
        </w:rPr>
        <w:t>)</w:t>
      </w:r>
    </w:p>
    <w:p w14:paraId="1E87912F" w14:textId="77777777" w:rsidR="00E75B26" w:rsidRPr="00A61745" w:rsidRDefault="00E75B26" w:rsidP="00A61745">
      <w:pPr>
        <w:pStyle w:val="ListParagraph"/>
        <w:numPr>
          <w:ilvl w:val="0"/>
          <w:numId w:val="18"/>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lastRenderedPageBreak/>
        <w:t>تحليل الحساب (</w:t>
      </w:r>
      <w:r w:rsidRPr="00A61745">
        <w:rPr>
          <w:rFonts w:asciiTheme="minorBidi" w:hAnsiTheme="minorBidi"/>
          <w:b/>
          <w:bCs/>
          <w:sz w:val="28"/>
          <w:szCs w:val="28"/>
          <w:lang w:bidi="ar-EG"/>
        </w:rPr>
        <w:t>Account Analysis</w:t>
      </w:r>
      <w:r w:rsidRPr="00A61745">
        <w:rPr>
          <w:rFonts w:asciiTheme="minorBidi" w:hAnsiTheme="minorBidi"/>
          <w:b/>
          <w:bCs/>
          <w:sz w:val="28"/>
          <w:szCs w:val="28"/>
          <w:rtl/>
          <w:lang w:bidi="ar-EG"/>
        </w:rPr>
        <w:t>)</w:t>
      </w:r>
    </w:p>
    <w:p w14:paraId="51D96F5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تحليل الحساب يُعتبر من الخطوات الأساسية في نظام إدارة الحسابات الرئيسية، إذ يهدف إلى فهم عميق لمتطلبات العميل واحتياجاته ضمن سياق بيئي وتنظيمي محدد. هذا التحليل يشمل دراسة هيكل الحساب التنظيمي، أصحاب القرار، علاقات القوة، والعوامل التي تؤثر على قرارات الشراء داخل الحساب. من خلال هذه الرؤية الشاملة، تتمكن الشركة من تصميم استراتيجيات مخصصة تعزز من العلاقة وتزيد من فرص النجاح التجاري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1D926B4D"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قطاع الأدوية، حيث تتداخل العديد من العوامل التنظيمية والعلمية، يصبح تحليل الحساب أكثر تعقيدًا. يحتاج الفريق إلى دراسة التأثيرات التنظيمية، السياسات الصحية، وأدوار القادة الطبيين (</w:t>
      </w:r>
      <w:r w:rsidRPr="00A61745">
        <w:rPr>
          <w:rFonts w:asciiTheme="minorBidi" w:hAnsiTheme="minorBidi"/>
          <w:sz w:val="28"/>
          <w:szCs w:val="28"/>
          <w:lang w:bidi="ar-EG"/>
        </w:rPr>
        <w:t>Key Opinion Leaders</w:t>
      </w:r>
      <w:r w:rsidRPr="00A61745">
        <w:rPr>
          <w:rFonts w:asciiTheme="minorBidi" w:hAnsiTheme="minorBidi"/>
          <w:sz w:val="28"/>
          <w:szCs w:val="28"/>
          <w:rtl/>
          <w:lang w:bidi="ar-EG"/>
        </w:rPr>
        <w:t>) الذين يلعبون دورًا محوريًا في تبني المنتجات الدوائية. هذا الفهم المتعمق يسمح بتحليل الفجوات الحالية واستكشاف فرص جديدة للنمو داخل الحساب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et al., 2024</w:t>
      </w:r>
      <w:r w:rsidRPr="00A61745">
        <w:rPr>
          <w:rFonts w:asciiTheme="minorBidi" w:hAnsiTheme="minorBidi"/>
          <w:sz w:val="28"/>
          <w:szCs w:val="28"/>
          <w:rtl/>
          <w:lang w:bidi="ar-EG"/>
        </w:rPr>
        <w:t>).</w:t>
      </w:r>
    </w:p>
    <w:p w14:paraId="152B300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علاوة على ذلك، يتطلب تحليل الحساب تقييم الجوانب المالية مثل حجم المبيعات الحالي، نمو الطلب المتوقع، وكذلك المخاطر المحتملة التي قد تواجه العلاقة، مثل تغييرات في هيكل العميل أو توجهات السوق. هذه التقييمات تتيح للشركة اتخاذ قرارات مبنية على بيانات دقيقة وتعزز من قدرتها على التكيف الاستراتيجي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34DD77B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يُعد تحليل الحساب عملية مستمرة وليست لمرة واحدة؛ حيث يجب مراجعة وتحليل البيانات بشكل دوري لمواكبة التغيرات في بيئة العميل والسوق، مما يضمن تحديث الاستراتيجيات وتفادي المخاطر المحتملة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et al., 2024</w:t>
      </w:r>
      <w:r w:rsidRPr="00A61745">
        <w:rPr>
          <w:rFonts w:asciiTheme="minorBidi" w:hAnsiTheme="minorBidi"/>
          <w:sz w:val="28"/>
          <w:szCs w:val="28"/>
          <w:rtl/>
          <w:lang w:bidi="ar-EG"/>
        </w:rPr>
        <w:t>).</w:t>
      </w:r>
    </w:p>
    <w:p w14:paraId="2F45BFA2" w14:textId="77777777" w:rsidR="00E75B26" w:rsidRPr="00A61745" w:rsidRDefault="00E75B26" w:rsidP="00A61745">
      <w:pPr>
        <w:pStyle w:val="ListParagraph"/>
        <w:numPr>
          <w:ilvl w:val="0"/>
          <w:numId w:val="19"/>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تقسيم الحسابات وتصنيفها (</w:t>
      </w:r>
      <w:r w:rsidRPr="00A61745">
        <w:rPr>
          <w:rFonts w:asciiTheme="minorBidi" w:hAnsiTheme="minorBidi"/>
          <w:b/>
          <w:bCs/>
          <w:sz w:val="28"/>
          <w:szCs w:val="28"/>
          <w:lang w:bidi="ar-EG"/>
        </w:rPr>
        <w:t>Segmentation &amp; Prioritization</w:t>
      </w:r>
      <w:r w:rsidRPr="00A61745">
        <w:rPr>
          <w:rFonts w:asciiTheme="minorBidi" w:hAnsiTheme="minorBidi"/>
          <w:b/>
          <w:bCs/>
          <w:sz w:val="28"/>
          <w:szCs w:val="28"/>
          <w:rtl/>
          <w:lang w:bidi="ar-EG"/>
        </w:rPr>
        <w:t>)</w:t>
      </w:r>
    </w:p>
    <w:p w14:paraId="21D566C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تقسيم الحسابات وتصنيفها هو عنصر حيوي في إدارة الحسابات الرئيسية يهدف إلى تحديد الفئات المختلفة من العملاء بحسب معايير واضحة تتيح تخصيص الموارد والاستراتيجيات بشكل فعّال. يعتمد هذا التقسيم على معايير مثل حجم الإنفاق، إمكانيات النمو، التأثير الاستراتيجي، ومستوى المخاطر المرتبط بكل حساب. يساهم هذا التصنيف في تركيز الجهود على الحسابات التي تمثل أكبر فرص لتحقيق أهداف الشركة وتعظيم العائد الاستثماري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12D460E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في قطاع الأدوية، لا يقتصر تقسيم الحسابات على الجانب الاقتصادي فقط، بل يُضاف إليه بعد علمي وتنظيمي مهم، حيث تُصنف الحسابات بناءً على طبيعة المؤسسة، مثل المستشفيات الأكاديمية، مراكز البحوث، أو الصيدليات الكبرى. هذا التصنيف يسمح بإعداد برامج دعم مخصصة لكل نوع من العملاء </w:t>
      </w:r>
      <w:r w:rsidRPr="00A61745">
        <w:rPr>
          <w:rFonts w:asciiTheme="minorBidi" w:hAnsiTheme="minorBidi"/>
          <w:sz w:val="28"/>
          <w:szCs w:val="28"/>
          <w:rtl/>
          <w:lang w:bidi="ar-EG"/>
        </w:rPr>
        <w:lastRenderedPageBreak/>
        <w:t>تلبّي متطلباتهم الخاصة، مما يساهم في تحسين العلاقة وتعزيز التعاون المستمر (</w:t>
      </w:r>
      <w:r w:rsidRPr="00A61745">
        <w:rPr>
          <w:rFonts w:asciiTheme="minorBidi" w:hAnsiTheme="minorBidi"/>
          <w:sz w:val="28"/>
          <w:szCs w:val="28"/>
          <w:lang w:bidi="ar-EG"/>
        </w:rPr>
        <w:t xml:space="preserve">Awad, Ertugan, &amp; </w:t>
      </w:r>
      <w:proofErr w:type="spellStart"/>
      <w:r w:rsidRPr="00A61745">
        <w:rPr>
          <w:rFonts w:asciiTheme="minorBidi" w:hAnsiTheme="minorBidi"/>
          <w:sz w:val="28"/>
          <w:szCs w:val="28"/>
          <w:lang w:bidi="ar-EG"/>
        </w:rPr>
        <w:t>Hyusein</w:t>
      </w:r>
      <w:proofErr w:type="spellEnd"/>
      <w:r w:rsidRPr="00A61745">
        <w:rPr>
          <w:rFonts w:asciiTheme="minorBidi" w:hAnsiTheme="minorBidi"/>
          <w:sz w:val="28"/>
          <w:szCs w:val="28"/>
          <w:lang w:bidi="ar-EG"/>
        </w:rPr>
        <w:t>, 2022</w:t>
      </w:r>
      <w:r w:rsidRPr="00A61745">
        <w:rPr>
          <w:rFonts w:asciiTheme="minorBidi" w:hAnsiTheme="minorBidi"/>
          <w:sz w:val="28"/>
          <w:szCs w:val="28"/>
          <w:rtl/>
          <w:lang w:bidi="ar-EG"/>
        </w:rPr>
        <w:t>).</w:t>
      </w:r>
    </w:p>
    <w:p w14:paraId="7895F60C"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بعد التقسيم، يأتي دور تحديد الأولويات (</w:t>
      </w:r>
      <w:r w:rsidRPr="00A61745">
        <w:rPr>
          <w:rFonts w:asciiTheme="minorBidi" w:hAnsiTheme="minorBidi"/>
          <w:sz w:val="28"/>
          <w:szCs w:val="28"/>
          <w:lang w:bidi="ar-EG"/>
        </w:rPr>
        <w:t>Prioritization</w:t>
      </w:r>
      <w:r w:rsidRPr="00A61745">
        <w:rPr>
          <w:rFonts w:asciiTheme="minorBidi" w:hAnsiTheme="minorBidi"/>
          <w:sz w:val="28"/>
          <w:szCs w:val="28"/>
          <w:rtl/>
          <w:lang w:bidi="ar-EG"/>
        </w:rPr>
        <w:t>) وهو عملية تقييم شاملة للحسابات لتحديد أي منها يجب التركيز عليه بناءً على إمكانية تحقيق النمو الاستراتيجي، تأثير الحساب على السوق، وكذلك مستوى الالتزام المتوقع من العميل. هذا يساعد الفرق على اتخاذ قرارات مبنية على البيانات وتحقيق التوازن بين الاستثمار والنتائج المتوقعة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et al., 2024</w:t>
      </w:r>
      <w:r w:rsidRPr="00A61745">
        <w:rPr>
          <w:rFonts w:asciiTheme="minorBidi" w:hAnsiTheme="minorBidi"/>
          <w:sz w:val="28"/>
          <w:szCs w:val="28"/>
          <w:rtl/>
          <w:lang w:bidi="ar-EG"/>
        </w:rPr>
        <w:t>).</w:t>
      </w:r>
    </w:p>
    <w:p w14:paraId="2C0D27CA"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تعتمد عملية التقسيم والتصنيف على أدوات تحليلية متقدمة مثل تحليل البيانات البيعية، تقييم العلاقات المؤسسية، واستخدام تقنيات الذكاء الاصطناعي في بعض الشركات الحديثة، الأمر الذي يزيد من دقة التحديد ويجعلها أكثر توافقًا مع التغيرات السريعة في الأسواق خاصةً في قطاع الأدوية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0FBC4CEC" w14:textId="77777777" w:rsidR="00E75B26" w:rsidRPr="00A61745" w:rsidRDefault="00E75B26" w:rsidP="00A61745">
      <w:pPr>
        <w:pStyle w:val="ListParagraph"/>
        <w:numPr>
          <w:ilvl w:val="0"/>
          <w:numId w:val="20"/>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إعداد خطة الحساب (</w:t>
      </w:r>
      <w:r w:rsidRPr="00A61745">
        <w:rPr>
          <w:rFonts w:asciiTheme="minorBidi" w:hAnsiTheme="minorBidi"/>
          <w:b/>
          <w:bCs/>
          <w:sz w:val="28"/>
          <w:szCs w:val="28"/>
          <w:lang w:bidi="ar-EG"/>
        </w:rPr>
        <w:t>Account Plan</w:t>
      </w:r>
      <w:r w:rsidRPr="00A61745">
        <w:rPr>
          <w:rFonts w:asciiTheme="minorBidi" w:hAnsiTheme="minorBidi"/>
          <w:b/>
          <w:bCs/>
          <w:sz w:val="28"/>
          <w:szCs w:val="28"/>
          <w:rtl/>
          <w:lang w:bidi="ar-EG"/>
        </w:rPr>
        <w:t>):</w:t>
      </w:r>
    </w:p>
    <w:p w14:paraId="45DFB9B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خطة الحساب هي وثيقة استراتيجية تفصيلية تهدف إلى توجيه جميع الأنشطة والتفاعلات مع الحساب الرئيسي بما يضمن تحقيق أهداف الشركة وتعزيز العلاقة مع العميل. تُبنى هذه الخطة على نتائج تحليل الحساب وتصنيفه، وتحدد أهداف النمو، استراتيجيات التعامل، والموارد المطلوبة لتحقيق أقصى قيمة مشتركة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32E4CCB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وتتضمن خطة الحساب عادة تعريفًا دقيقًا لأصحاب المصلحة الرئيسيين داخل الحساب، وفهمًا شاملاً لاحتياجاتهم، مما يسمح بتخصيص عروض المنتجات والخدمات بشكل يلبي توقعاتهم بشكل أفضل. بالإضافة إلى ذلك، تُدمج في الخطة مبادرات للتعاون والابتكار المشترك مثل ورش العمل التدريبية أو المشروعات البحثية، والتي تعتبر ذات أهمية خاصة في قطاع الأدوية (</w:t>
      </w:r>
      <w:r w:rsidRPr="00A61745">
        <w:rPr>
          <w:rFonts w:asciiTheme="minorBidi" w:hAnsiTheme="minorBidi"/>
          <w:sz w:val="28"/>
          <w:szCs w:val="28"/>
          <w:lang w:bidi="ar-EG"/>
        </w:rPr>
        <w:t xml:space="preserve">Awad, Ertugan, &amp; </w:t>
      </w:r>
      <w:proofErr w:type="spellStart"/>
      <w:r w:rsidRPr="00A61745">
        <w:rPr>
          <w:rFonts w:asciiTheme="minorBidi" w:hAnsiTheme="minorBidi"/>
          <w:sz w:val="28"/>
          <w:szCs w:val="28"/>
          <w:lang w:bidi="ar-EG"/>
        </w:rPr>
        <w:t>Hyusein</w:t>
      </w:r>
      <w:proofErr w:type="spellEnd"/>
      <w:r w:rsidRPr="00A61745">
        <w:rPr>
          <w:rFonts w:asciiTheme="minorBidi" w:hAnsiTheme="minorBidi"/>
          <w:sz w:val="28"/>
          <w:szCs w:val="28"/>
          <w:lang w:bidi="ar-EG"/>
        </w:rPr>
        <w:t>, 2022</w:t>
      </w:r>
      <w:r w:rsidRPr="00A61745">
        <w:rPr>
          <w:rFonts w:asciiTheme="minorBidi" w:hAnsiTheme="minorBidi"/>
          <w:sz w:val="28"/>
          <w:szCs w:val="28"/>
          <w:rtl/>
          <w:lang w:bidi="ar-EG"/>
        </w:rPr>
        <w:t>).</w:t>
      </w:r>
    </w:p>
    <w:p w14:paraId="0E8D7E04"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تحتوي الخطة على مؤشرات أداء رئيسية (</w:t>
      </w:r>
      <w:r w:rsidRPr="00A61745">
        <w:rPr>
          <w:rFonts w:asciiTheme="minorBidi" w:hAnsiTheme="minorBidi"/>
          <w:sz w:val="28"/>
          <w:szCs w:val="28"/>
          <w:lang w:bidi="ar-EG"/>
        </w:rPr>
        <w:t>KPIs</w:t>
      </w:r>
      <w:r w:rsidRPr="00A61745">
        <w:rPr>
          <w:rFonts w:asciiTheme="minorBidi" w:hAnsiTheme="minorBidi"/>
          <w:sz w:val="28"/>
          <w:szCs w:val="28"/>
          <w:rtl/>
          <w:lang w:bidi="ar-EG"/>
        </w:rPr>
        <w:t>) قابلة للقياس، تساعد فريق إدارة الحساب على تتبع التقدم وتقييم النتائج بشكل دوري. هذا النهج يمكن الفريق من تعديل استراتيجياته بسرعة بناءً على بيانات الأداء والتغذية الراجعة من العميل، ما يعزز مرونة الخطة وفعاليتها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65281F84"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ضوء طبيعة السوق الدوائي الديناميكية والتغيرات التنظيمية المتكررة، يجب أن تكون خطة الحساب مرنة وقابلة للتحديث المنتظم لضمان استمرارية التوافق بين أهداف الشركة واحتياجات العميل، مما يدعم بناء علاقات طويلة الأمد ومستدامة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et al., 2024</w:t>
      </w:r>
      <w:r w:rsidRPr="00A61745">
        <w:rPr>
          <w:rFonts w:asciiTheme="minorBidi" w:hAnsiTheme="minorBidi"/>
          <w:sz w:val="28"/>
          <w:szCs w:val="28"/>
          <w:rtl/>
          <w:lang w:bidi="ar-EG"/>
        </w:rPr>
        <w:t>).</w:t>
      </w:r>
    </w:p>
    <w:p w14:paraId="4F4DF068"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lastRenderedPageBreak/>
        <w:t>المحور الرابع: دور فريق العمل في إدارة الحسابات الرئيسية:</w:t>
      </w:r>
    </w:p>
    <w:p w14:paraId="7C0C9D5E" w14:textId="77777777" w:rsidR="00E75B26" w:rsidRPr="00A61745" w:rsidRDefault="00E75B26" w:rsidP="00A61745">
      <w:pPr>
        <w:pStyle w:val="ListParagraph"/>
        <w:numPr>
          <w:ilvl w:val="0"/>
          <w:numId w:val="20"/>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مهارات مدير الحساب الرئيسي (</w:t>
      </w:r>
      <w:r w:rsidRPr="00A61745">
        <w:rPr>
          <w:rFonts w:asciiTheme="minorBidi" w:hAnsiTheme="minorBidi"/>
          <w:b/>
          <w:bCs/>
          <w:sz w:val="28"/>
          <w:szCs w:val="28"/>
          <w:lang w:bidi="ar-EG"/>
        </w:rPr>
        <w:t>Key Account Manager</w:t>
      </w:r>
      <w:r w:rsidRPr="00A61745">
        <w:rPr>
          <w:rFonts w:asciiTheme="minorBidi" w:hAnsiTheme="minorBidi"/>
          <w:b/>
          <w:bCs/>
          <w:sz w:val="28"/>
          <w:szCs w:val="28"/>
          <w:rtl/>
          <w:lang w:bidi="ar-EG"/>
        </w:rPr>
        <w:t>):</w:t>
      </w:r>
    </w:p>
    <w:p w14:paraId="0AFE2C5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مدير الحساب الرئيسي هو العنصر المحوري في نجاح إدارة الحسابات الرئيسية، إذ يتطلب منه مزيجًا من المهارات الاستراتيجية، التواصلية، والتحليلية ليتمكن من بناء علاقات طويلة الأمد مع العملاء وتحقيق أهداف الشركة. من المهارات الأساسية فهم عميق لاحتياجات العميل والبيئة التي يعمل فيها، بالإضافة إلى القدرة على تحليل البيانات واستخدامها لاتخاذ قرارات مبنية على الأدلة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53F6DAF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وتتضمن المهارات المهمة أيضًا القدرة على التفاوض بفعالية وإدارة الصراعات، حيث يجب على مدير الحساب التعامل مع متطلبات متعددة الأطراف داخل الحساب، والتوسط بين مصالح الشركة ومتطلبات العميل بما يضمن تحقيق مصلحة مشتركة. بالإضافة إلى ذلك، مهارات بناء الثقة وتعزيز العلاقات الإنسانية تعتبر من الركائز التي تميز مدير الحساب الناجح (</w:t>
      </w:r>
      <w:r w:rsidRPr="00A61745">
        <w:rPr>
          <w:rFonts w:asciiTheme="minorBidi" w:hAnsiTheme="minorBidi"/>
          <w:sz w:val="28"/>
          <w:szCs w:val="28"/>
          <w:lang w:bidi="ar-EG"/>
        </w:rPr>
        <w:t>Gac et al., 2024</w:t>
      </w:r>
      <w:r w:rsidRPr="00A61745">
        <w:rPr>
          <w:rFonts w:asciiTheme="minorBidi" w:hAnsiTheme="minorBidi"/>
          <w:sz w:val="28"/>
          <w:szCs w:val="28"/>
          <w:rtl/>
          <w:lang w:bidi="ar-EG"/>
        </w:rPr>
        <w:t>).</w:t>
      </w:r>
    </w:p>
    <w:p w14:paraId="403C2B9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سياق شركات الأدوية، يُفضل أن يمتلك مدير الحساب خلفية علمية أو خبرة في المجال الطبي تمكنه من التواصل مع الفرق الطبية بشكل فعّال، وفهم التحديات التي تواجههم، مما يعزز مكانته كحلقة وصل بين الشركة والعميل. هذا الفهم الفني يُسهم في تقديم حلول مخصصة ومقنعة تلبي احتياجات السوق بدقة (</w:t>
      </w:r>
      <w:r w:rsidRPr="00A61745">
        <w:rPr>
          <w:rFonts w:asciiTheme="minorBidi" w:hAnsiTheme="minorBidi"/>
          <w:sz w:val="28"/>
          <w:szCs w:val="28"/>
          <w:lang w:bidi="ar-EG"/>
        </w:rPr>
        <w:t xml:space="preserve">Awad, Ertugan, &amp; </w:t>
      </w:r>
      <w:proofErr w:type="spellStart"/>
      <w:r w:rsidRPr="00A61745">
        <w:rPr>
          <w:rFonts w:asciiTheme="minorBidi" w:hAnsiTheme="minorBidi"/>
          <w:sz w:val="28"/>
          <w:szCs w:val="28"/>
          <w:lang w:bidi="ar-EG"/>
        </w:rPr>
        <w:t>Hyusein</w:t>
      </w:r>
      <w:proofErr w:type="spellEnd"/>
      <w:r w:rsidRPr="00A61745">
        <w:rPr>
          <w:rFonts w:asciiTheme="minorBidi" w:hAnsiTheme="minorBidi"/>
          <w:sz w:val="28"/>
          <w:szCs w:val="28"/>
          <w:lang w:bidi="ar-EG"/>
        </w:rPr>
        <w:t>, 2022</w:t>
      </w:r>
      <w:r w:rsidRPr="00A61745">
        <w:rPr>
          <w:rFonts w:asciiTheme="minorBidi" w:hAnsiTheme="minorBidi"/>
          <w:sz w:val="28"/>
          <w:szCs w:val="28"/>
          <w:rtl/>
          <w:lang w:bidi="ar-EG"/>
        </w:rPr>
        <w:t>).</w:t>
      </w:r>
    </w:p>
    <w:p w14:paraId="5F625B6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يجب أن يكون مدير الحساب قادرًا على التنسيق مع الفرق الداخلية المتعددة التخصصات داخل الشركة، مثل فرق التسويق، الدعم الفني، والبحث والتطوير، لضمان تنفيذ استراتيجيات الحساب بكفاءة عالية وتحقيق نتائج ملموسة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5B5AA802" w14:textId="77777777" w:rsidR="00E75B26" w:rsidRPr="00A61745" w:rsidRDefault="00E75B26" w:rsidP="00A61745">
      <w:pPr>
        <w:pStyle w:val="ListParagraph"/>
        <w:numPr>
          <w:ilvl w:val="0"/>
          <w:numId w:val="21"/>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هيكل الفريق متعدد التخصصات (</w:t>
      </w:r>
      <w:r w:rsidRPr="00A61745">
        <w:rPr>
          <w:rFonts w:asciiTheme="minorBidi" w:hAnsiTheme="minorBidi"/>
          <w:b/>
          <w:bCs/>
          <w:sz w:val="28"/>
          <w:szCs w:val="28"/>
          <w:lang w:bidi="ar-EG"/>
        </w:rPr>
        <w:t>Cross-functional Team</w:t>
      </w:r>
      <w:r w:rsidRPr="00A61745">
        <w:rPr>
          <w:rFonts w:asciiTheme="minorBidi" w:hAnsiTheme="minorBidi"/>
          <w:b/>
          <w:bCs/>
          <w:sz w:val="28"/>
          <w:szCs w:val="28"/>
          <w:rtl/>
          <w:lang w:bidi="ar-EG"/>
        </w:rPr>
        <w:t>)</w:t>
      </w:r>
    </w:p>
    <w:p w14:paraId="3FEC4A24"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إإن نجاح إدارة الحسابات الرئيسية يعتمد بشكل كبير على وجود فريق عمل متعدد التخصصات يجمع بين خبرات متنوعة مثل المبيعات، التسويق، الدعم الطبي، والعمليات. هذا التنوع يتيح توفير حلول متكاملة تلبي جميع احتياجات العميل، سواء كانت تجارية أو علمية، مما يعزز من قيمة العلاقة ويزيد من فرص النمو المشترك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66E512C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في شركات الأدوية، يتطلب هذا الهيكل التعاون بين فرق طبية مختصة لفهم الأبعاد العلمية للمنتجات، وفرق تسويقية لتصميم استراتيجيات متوافقة مع السوق، بالإضافة إلى فرق دعم فني لضمان </w:t>
      </w:r>
      <w:r w:rsidRPr="00A61745">
        <w:rPr>
          <w:rFonts w:asciiTheme="minorBidi" w:hAnsiTheme="minorBidi"/>
          <w:sz w:val="28"/>
          <w:szCs w:val="28"/>
          <w:rtl/>
          <w:lang w:bidi="ar-EG"/>
        </w:rPr>
        <w:lastRenderedPageBreak/>
        <w:t>تقديم حلول مبتكرة. التنسيق الفعّال بين هذه الفرق يضمن استجابة سريعة ومرنة لتحديات العميل المتغيرة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et al., 2024</w:t>
      </w:r>
      <w:r w:rsidRPr="00A61745">
        <w:rPr>
          <w:rFonts w:asciiTheme="minorBidi" w:hAnsiTheme="minorBidi"/>
          <w:sz w:val="28"/>
          <w:szCs w:val="28"/>
          <w:rtl/>
          <w:lang w:bidi="ar-EG"/>
        </w:rPr>
        <w:t>).</w:t>
      </w:r>
    </w:p>
    <w:p w14:paraId="7D0D617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أن وجود فريق متعدد التخصصات يسهّل إدارة العلاقة مع أصحاب المصلحة المختلفين داخل الحساب، حيث يمكن تخصيص كل عضو في الفريق للتواصل مع جهة معينة داخل المؤسسة العميلة، مما يعزز من دقة التواصل وفعاليته (</w:t>
      </w:r>
      <w:r w:rsidRPr="00A61745">
        <w:rPr>
          <w:rFonts w:asciiTheme="minorBidi" w:hAnsiTheme="minorBidi"/>
          <w:sz w:val="28"/>
          <w:szCs w:val="28"/>
          <w:lang w:bidi="ar-EG"/>
        </w:rPr>
        <w:t xml:space="preserve">Awad, Ertugan, &amp; </w:t>
      </w:r>
      <w:proofErr w:type="spellStart"/>
      <w:r w:rsidRPr="00A61745">
        <w:rPr>
          <w:rFonts w:asciiTheme="minorBidi" w:hAnsiTheme="minorBidi"/>
          <w:sz w:val="28"/>
          <w:szCs w:val="28"/>
          <w:lang w:bidi="ar-EG"/>
        </w:rPr>
        <w:t>Hyusein</w:t>
      </w:r>
      <w:proofErr w:type="spellEnd"/>
      <w:r w:rsidRPr="00A61745">
        <w:rPr>
          <w:rFonts w:asciiTheme="minorBidi" w:hAnsiTheme="minorBidi"/>
          <w:sz w:val="28"/>
          <w:szCs w:val="28"/>
          <w:lang w:bidi="ar-EG"/>
        </w:rPr>
        <w:t>, 2022</w:t>
      </w:r>
      <w:r w:rsidRPr="00A61745">
        <w:rPr>
          <w:rFonts w:asciiTheme="minorBidi" w:hAnsiTheme="minorBidi"/>
          <w:sz w:val="28"/>
          <w:szCs w:val="28"/>
          <w:rtl/>
          <w:lang w:bidi="ar-EG"/>
        </w:rPr>
        <w:t>).</w:t>
      </w:r>
    </w:p>
    <w:p w14:paraId="0561B70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أن هذا الهيكل يسمح بمراجعة دورية وشاملة لأداء الحساب من مختلف الزوايا، مما يسهل تحديد نقاط القوة والفرص والتحديات، وبالتالي دعم اتخاذ قرارات استراتيجية مستنيرة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10B841DF" w14:textId="77777777" w:rsidR="00E75B26" w:rsidRPr="00A61745" w:rsidRDefault="00E75B26" w:rsidP="00A61745">
      <w:pPr>
        <w:pStyle w:val="ListParagraph"/>
        <w:numPr>
          <w:ilvl w:val="0"/>
          <w:numId w:val="22"/>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أدوار ممثلي المبيعات الطبية في دعم الحسابات الرئيسية:</w:t>
      </w:r>
    </w:p>
    <w:p w14:paraId="07C3BAD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ممثلو المبيعات الطبية لهم دور محوري في دعم إدارة الحسابات الرئيسية، فهم الواجهة الأساسية التي تتفاعل يومياً مع الأطباء والصيادلة، مما يجعلهم مصدرًا هامًا لجمع المعلومات حول احتياجات السوق وردود فعل العملاء. هذا التواصل المستمر يتيح تعديل الاستراتيجيات بشكل ديناميكي وفقًا لمتطلبات الواقع (</w:t>
      </w:r>
      <w:r w:rsidRPr="00A61745">
        <w:rPr>
          <w:rFonts w:asciiTheme="minorBidi" w:hAnsiTheme="minorBidi"/>
          <w:sz w:val="28"/>
          <w:szCs w:val="28"/>
          <w:lang w:bidi="ar-EG"/>
        </w:rPr>
        <w:t>Gac et al., 2024</w:t>
      </w:r>
      <w:r w:rsidRPr="00A61745">
        <w:rPr>
          <w:rFonts w:asciiTheme="minorBidi" w:hAnsiTheme="minorBidi"/>
          <w:sz w:val="28"/>
          <w:szCs w:val="28"/>
          <w:rtl/>
          <w:lang w:bidi="ar-EG"/>
        </w:rPr>
        <w:t>).</w:t>
      </w:r>
    </w:p>
    <w:p w14:paraId="7AE29D3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بالإضافة إلى نقل المعلومات العلمية والتقنية، يقوم ممثلو المبيعات الطبية بدور تثقيفي عبر تنظيم ندوات طبية، دورات تدريبية، وبرامج دعم سريري، مما يساهم في تعزيز معرفة العملاء بالمنتجات وزيادة اعتمادها (</w:t>
      </w:r>
      <w:r w:rsidRPr="00A61745">
        <w:rPr>
          <w:rFonts w:asciiTheme="minorBidi" w:hAnsiTheme="minorBidi"/>
          <w:sz w:val="28"/>
          <w:szCs w:val="28"/>
          <w:lang w:bidi="ar-EG"/>
        </w:rPr>
        <w:t xml:space="preserve">Awad, Ertugan, &amp; </w:t>
      </w:r>
      <w:proofErr w:type="spellStart"/>
      <w:r w:rsidRPr="00A61745">
        <w:rPr>
          <w:rFonts w:asciiTheme="minorBidi" w:hAnsiTheme="minorBidi"/>
          <w:sz w:val="28"/>
          <w:szCs w:val="28"/>
          <w:lang w:bidi="ar-EG"/>
        </w:rPr>
        <w:t>Hyusein</w:t>
      </w:r>
      <w:proofErr w:type="spellEnd"/>
      <w:r w:rsidRPr="00A61745">
        <w:rPr>
          <w:rFonts w:asciiTheme="minorBidi" w:hAnsiTheme="minorBidi"/>
          <w:sz w:val="28"/>
          <w:szCs w:val="28"/>
          <w:lang w:bidi="ar-EG"/>
        </w:rPr>
        <w:t>, 2022</w:t>
      </w:r>
      <w:r w:rsidRPr="00A61745">
        <w:rPr>
          <w:rFonts w:asciiTheme="minorBidi" w:hAnsiTheme="minorBidi"/>
          <w:sz w:val="28"/>
          <w:szCs w:val="28"/>
          <w:rtl/>
          <w:lang w:bidi="ar-EG"/>
        </w:rPr>
        <w:t>).</w:t>
      </w:r>
    </w:p>
    <w:p w14:paraId="62B75200"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يكون لهم دور في تتبع الالتزام ببروتوكولات التعاون المتفق عليها مع الحسابات الرئيسية، ورصد أي معوقات قد تواجه تنفيذ الاستراتيجيات، مما يساعد فريق إدارة الحساب في التدخل المبكر وحل المشكلات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2DD1BB3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ويُعتبر ممثلو المبيعات الطبية حلقة وصل بين العميل والشركة، ويعتمد عليهم في بناء علاقات ثقة متينة تضمن استمرار الشراكة ونجاحها على المدى الطويل (</w:t>
      </w:r>
      <w:r w:rsidRPr="00A61745">
        <w:rPr>
          <w:rFonts w:asciiTheme="minorBidi" w:hAnsiTheme="minorBidi"/>
          <w:sz w:val="28"/>
          <w:szCs w:val="28"/>
          <w:lang w:bidi="ar-EG"/>
        </w:rPr>
        <w:t>Gac et al., 2024</w:t>
      </w:r>
      <w:r w:rsidRPr="00A61745">
        <w:rPr>
          <w:rFonts w:asciiTheme="minorBidi" w:hAnsiTheme="minorBidi"/>
          <w:sz w:val="28"/>
          <w:szCs w:val="28"/>
          <w:rtl/>
          <w:lang w:bidi="ar-EG"/>
        </w:rPr>
        <w:t>).</w:t>
      </w:r>
    </w:p>
    <w:p w14:paraId="6208186D"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الخامس: الاستراتيجيات التعامل مع الحسابات الرئيسية:</w:t>
      </w:r>
    </w:p>
    <w:p w14:paraId="6B9DF991" w14:textId="77777777" w:rsidR="00E75B26" w:rsidRPr="00A61745" w:rsidRDefault="00E75B26" w:rsidP="00A61745">
      <w:pPr>
        <w:pStyle w:val="ListParagraph"/>
        <w:numPr>
          <w:ilvl w:val="0"/>
          <w:numId w:val="23"/>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استراتيجية خلق القيمة (</w:t>
      </w:r>
      <w:r w:rsidRPr="00A61745">
        <w:rPr>
          <w:rFonts w:asciiTheme="minorBidi" w:hAnsiTheme="minorBidi"/>
          <w:b/>
          <w:bCs/>
          <w:sz w:val="28"/>
          <w:szCs w:val="28"/>
          <w:lang w:bidi="ar-EG"/>
        </w:rPr>
        <w:t>Value Creation</w:t>
      </w:r>
      <w:r w:rsidRPr="00A61745">
        <w:rPr>
          <w:rFonts w:asciiTheme="minorBidi" w:hAnsiTheme="minorBidi"/>
          <w:b/>
          <w:bCs/>
          <w:sz w:val="28"/>
          <w:szCs w:val="28"/>
          <w:rtl/>
          <w:lang w:bidi="ar-EG"/>
        </w:rPr>
        <w:t>)</w:t>
      </w:r>
    </w:p>
    <w:p w14:paraId="267C2610"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تُعتبر استراتيجية خلق القيمة حجر الزاوية في إدارة الحسابات الرئيسية، حيث تركز على تطوير عروض تلبي احتياجات العملاء بطريقة تتجاوز تقديم المنتج فقط. من خلال فهم عميق للتحديات التي يواجهها العميل، يتم تصميم حلول مخصصة تضيف قيمة حقيقية للعملاء وتساعد في تحقيق أهدافهم </w:t>
      </w:r>
      <w:r w:rsidRPr="00A61745">
        <w:rPr>
          <w:rFonts w:asciiTheme="minorBidi" w:hAnsiTheme="minorBidi"/>
          <w:sz w:val="28"/>
          <w:szCs w:val="28"/>
          <w:rtl/>
          <w:lang w:bidi="ar-EG"/>
        </w:rPr>
        <w:lastRenderedPageBreak/>
        <w:t>التجارية والعلمية. هذه القيمة لا تقتصر على الجوانب المالية، بل تشمل أيضًا القيمة الوظيفية والنفسية، مما يعزز الولاء ويقوي العلاقات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03CD0D5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قطاع الأدوية، يتطلب خلق القيمة تعاونًا وثيقًا مع العملاء لتطوير برامج دعم سريري، تقديم تدريبات متخصصة، وابتكار حلول دوائية تساهم في تحسين جودة الرعاية الصحية. هذا التفاعل المستمر يعزز من مكانة الشركة كشريك موثوق يسعى لتلبية الاحتياجات الفعلية للسوق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6C8611D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بالإضافة إلى ذلك، توضح الأبحاث الحديثة أن تطبيق تقنيات التحليل البيانات والذكاء الاصطناعي يمكن أن يساهم في تصميم حلول أكثر تخصيصًا وتحسين تجربة العميل، مما يعزز من القدرة التنافسية للشركة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6E67E86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خلق القيمة يُعتبر استراتيجية مستدامة تعزز من التفاعل الإيجابي بين الشركة والعميل، وتخلق فرصًا لتطوير مشروعات جديدة تزيد من العائد المشترك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234CB721" w14:textId="77777777" w:rsidR="00E75B26" w:rsidRPr="00A61745" w:rsidRDefault="00E75B26" w:rsidP="00A61745">
      <w:pPr>
        <w:pStyle w:val="ListParagraph"/>
        <w:numPr>
          <w:ilvl w:val="0"/>
          <w:numId w:val="24"/>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استراتيجيات التفاوض وإدارة العقود:</w:t>
      </w:r>
    </w:p>
    <w:p w14:paraId="511A278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تُعد استراتيجيات التفاوض وإدارة العقود من الركائز الأساسية لضمان استمرارية العلاقة بين الشركة والعملاء الرئيسيين، حيث تُبنى على مبدأ الشفافية والتعاون لتعزيز الثقة المتبادلة. يركز التفاوض هنا على التوصل إلى اتفاقيات تحقق المنفعة للطرفين، مع الاهتمام بالعوامل غير السعرية مثل الجودة، الدعم، والتزام مواعيد التسليم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736A7AB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صناعة الأدوية، تلعب العقود دورًا محوريًا في تنظيم التعاون مع المؤسسات الطبية وشركات التأمين، إذ تحدد مسؤوليات الأطراف وتضمن تلبية المعايير التنظيمية والصحية المطلوبة. وجود إطار تعاقدي واضح يساعد في تقليل المخاطر القانونية ويوفر آليات لحل النزاعات بسرعة وفعالية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56F3C707"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يشير إلى أهمية المتابعة المستمرة للعقود لضمان تنفيذ البنود وتحقيق الأهداف المشتركة، مع وجود خطط للطوارئ تسمح بالتكيف مع أي تغيرات في بيئة السوق أو القوانين الصحية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6127490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علاوة على ذلك، يمكن أن يفتح التفاوض الفعال أبوابًا لتوسيع نطاق التعاون عبر الاتفاق على مبادرات مشتركة للبحث والتطوير أو التسويق، مما يعزز الشراكة ويزيد من فرص النمو المشترك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3B2AA568" w14:textId="77777777" w:rsidR="00E75B26" w:rsidRPr="00A61745" w:rsidRDefault="00E75B26" w:rsidP="00A61745">
      <w:pPr>
        <w:pStyle w:val="ListParagraph"/>
        <w:numPr>
          <w:ilvl w:val="0"/>
          <w:numId w:val="25"/>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lastRenderedPageBreak/>
        <w:t>استراتيجيات التواصل وبناء علاقات طويلة المدى:</w:t>
      </w:r>
    </w:p>
    <w:p w14:paraId="6E186244"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تُعد استراتيجيات التواصل الفعّال أساسًا لبناء علاقات طويلة الأمد مع الحسابات الرئيسية، حيث تعتمد على خلق قنوات اتصال مفتوحة ومستدامة تتيح تبادل المعلومات والتغذية الراجعة بشكل مستمر. التواصل الجيد يساهم في تعزيز الثقة بين الطرفين، ويُمكّن من فهم أعمق لاحتياجات العميل وتوقعاته، مما يساعد على تطوير حلول متكاملة تلبي تلك الاحتياجات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387EC297"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قطاع الأدوية، يكون التواصل متعدد المستويات، حيث يشمل التواصل مع الفرق الطبية، فرق الإدارة، وأصحاب القرار، مما يتطلب مهارات تواصل عالية وقدرة على تخصيص الرسائل بحسب نوع الجمهور. كما يعتمد على استخدام أدوات رقمية وتقنيات حديثة لتعزيز التفاعل وزيادة الفعالية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71FBE64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تؤكد الدراسات الحديثة على أهمية بناء علاقات مبنية على الثقة والشفافية عبر مشاركة المعلومات بشكل منتظم وتنظيم لقاءات متابعة دورية، مما يعزز من التزام الطرفين ويدعم الشراكة الاستراتيجية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67BF3B2A"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بالإضافة إلى ذلك، التواصل المستمر يعزز القدرة على التكيف مع التغيرات السريعة في السوق، ويُمكن من معالجة المشكلات بشكل فوري قبل أن تؤثر على العلاقة أو على الأداء التجاري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2E4DABC7" w14:textId="77777777" w:rsidR="00E75B26" w:rsidRPr="00A61745" w:rsidRDefault="00E75B26" w:rsidP="00A61745">
      <w:pPr>
        <w:pStyle w:val="ListParagraph"/>
        <w:numPr>
          <w:ilvl w:val="0"/>
          <w:numId w:val="25"/>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 xml:space="preserve">تقديم حلول </w:t>
      </w:r>
      <w:r w:rsidRPr="00A61745">
        <w:rPr>
          <w:rFonts w:asciiTheme="minorBidi" w:hAnsiTheme="minorBidi"/>
          <w:b/>
          <w:bCs/>
          <w:sz w:val="28"/>
          <w:szCs w:val="28"/>
          <w:lang w:bidi="ar-EG"/>
        </w:rPr>
        <w:t>Tailored Solutions</w:t>
      </w:r>
      <w:r w:rsidRPr="00A61745">
        <w:rPr>
          <w:rFonts w:asciiTheme="minorBidi" w:hAnsiTheme="minorBidi"/>
          <w:b/>
          <w:bCs/>
          <w:sz w:val="28"/>
          <w:szCs w:val="28"/>
          <w:rtl/>
          <w:lang w:bidi="ar-EG"/>
        </w:rPr>
        <w:t xml:space="preserve"> مخصصة لكل حساب:</w:t>
      </w:r>
    </w:p>
    <w:p w14:paraId="74C3ABE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تقديم حلول مخصصة (</w:t>
      </w:r>
      <w:r w:rsidRPr="00A61745">
        <w:rPr>
          <w:rFonts w:asciiTheme="minorBidi" w:hAnsiTheme="minorBidi"/>
          <w:sz w:val="28"/>
          <w:szCs w:val="28"/>
          <w:lang w:bidi="ar-EG"/>
        </w:rPr>
        <w:t>Tailored Solutions</w:t>
      </w:r>
      <w:r w:rsidRPr="00A61745">
        <w:rPr>
          <w:rFonts w:asciiTheme="minorBidi" w:hAnsiTheme="minorBidi"/>
          <w:sz w:val="28"/>
          <w:szCs w:val="28"/>
          <w:rtl/>
          <w:lang w:bidi="ar-EG"/>
        </w:rPr>
        <w:t>) يعد من الاستراتيجيات المحورية في إدارة الحسابات الرئيسية، حيث يتم تصميم المنتجات والخدمات بما يتناسب مع احتياجات وتحديات كل حساب بشكل خاص، مما يزيد من القيمة المقدمة ويعزز من رضا العميل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11A5FEF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شركات الأدوية، قد تشمل هذه الحلول تخصيص بروتوكولات العلاج، برامج الدعم السريري، أو توفير تدريب خاص للكوادر الطبية في المؤسسة العميلة، ما يعكس تفهمًا عميقًا لخصوصية كل حساب ويعزز من العلاقة بشكل كبير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2832A83D"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بالإضافة إلى ذلك، تعتمد الشركات الحديثة على التحليل البياناتي لفهم الأنماط الشرائية والسلوكية للعملاء، مما يساعد في تصميم عروض موجهة بدقة تلائم متطلبات كل حساب وتحقق نتائج أفضل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3A6CFE9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تلك الحلول المخصصة تسهم في بناء علاقات استراتيجية مستدامة، وتدعم تطوير أعمال مشتركة تمتد لسنوات طويلة، كما تزيد من قدرة الشركة على المنافسة في الأسواق المتغيرة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026F6C7B"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السادس: أدوات وتقنيات إدارة الحسابات الرئيسية:</w:t>
      </w:r>
    </w:p>
    <w:p w14:paraId="07A14FB4" w14:textId="77777777" w:rsidR="00E75B26" w:rsidRPr="00A61745" w:rsidRDefault="00E75B26" w:rsidP="00A61745">
      <w:pPr>
        <w:pStyle w:val="ListParagraph"/>
        <w:numPr>
          <w:ilvl w:val="0"/>
          <w:numId w:val="25"/>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 xml:space="preserve">استخدام نظم </w:t>
      </w:r>
      <w:r w:rsidRPr="00A61745">
        <w:rPr>
          <w:rFonts w:asciiTheme="minorBidi" w:hAnsiTheme="minorBidi"/>
          <w:b/>
          <w:bCs/>
          <w:sz w:val="28"/>
          <w:szCs w:val="28"/>
          <w:lang w:bidi="ar-EG"/>
        </w:rPr>
        <w:t>CRM</w:t>
      </w:r>
      <w:r w:rsidRPr="00A61745">
        <w:rPr>
          <w:rFonts w:asciiTheme="minorBidi" w:hAnsiTheme="minorBidi"/>
          <w:b/>
          <w:bCs/>
          <w:sz w:val="28"/>
          <w:szCs w:val="28"/>
          <w:rtl/>
          <w:lang w:bidi="ar-EG"/>
        </w:rPr>
        <w:t xml:space="preserve"> في شركات الأدوية:</w:t>
      </w:r>
    </w:p>
    <w:p w14:paraId="527B5587"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تلعب نظم إدارة علاقات العملاء (</w:t>
      </w:r>
      <w:r w:rsidRPr="00A61745">
        <w:rPr>
          <w:rFonts w:asciiTheme="minorBidi" w:hAnsiTheme="minorBidi"/>
          <w:sz w:val="28"/>
          <w:szCs w:val="28"/>
          <w:lang w:bidi="ar-EG"/>
        </w:rPr>
        <w:t>CRM</w:t>
      </w:r>
      <w:r w:rsidRPr="00A61745">
        <w:rPr>
          <w:rFonts w:asciiTheme="minorBidi" w:hAnsiTheme="minorBidi"/>
          <w:sz w:val="28"/>
          <w:szCs w:val="28"/>
          <w:rtl/>
          <w:lang w:bidi="ar-EG"/>
        </w:rPr>
        <w:t>) دورًا محوريًا في تحسين إدارة الحسابات الرئيسية من خلال توفير منصة متكاملة لتتبع تفاعلات العملاء وتحليل بياناتهم بشكل دقيق. تساعد هذه الأنظمة فرق المبيعات والتسويق على تخصيص العروض والخدمات بما يتناسب مع احتياجات كل حساب، مما يعزز فرص النجاح التجاري ويقوي العلاقات طويلة الأمد (</w:t>
      </w:r>
      <w:r w:rsidRPr="00A61745">
        <w:rPr>
          <w:rFonts w:asciiTheme="minorBidi" w:hAnsiTheme="minorBidi"/>
          <w:sz w:val="28"/>
          <w:szCs w:val="28"/>
          <w:lang w:bidi="ar-EG"/>
        </w:rPr>
        <w:t xml:space="preserve">Nguyen, Simkin, &amp; </w:t>
      </w:r>
      <w:proofErr w:type="spellStart"/>
      <w:r w:rsidRPr="00A61745">
        <w:rPr>
          <w:rFonts w:asciiTheme="minorBidi" w:hAnsiTheme="minorBidi"/>
          <w:sz w:val="28"/>
          <w:szCs w:val="28"/>
          <w:lang w:bidi="ar-EG"/>
        </w:rPr>
        <w:t>Canhoto</w:t>
      </w:r>
      <w:proofErr w:type="spellEnd"/>
      <w:r w:rsidRPr="00A61745">
        <w:rPr>
          <w:rFonts w:asciiTheme="minorBidi" w:hAnsiTheme="minorBidi"/>
          <w:sz w:val="28"/>
          <w:szCs w:val="28"/>
          <w:lang w:bidi="ar-EG"/>
        </w:rPr>
        <w:t>, 2020</w:t>
      </w:r>
      <w:r w:rsidRPr="00A61745">
        <w:rPr>
          <w:rFonts w:asciiTheme="minorBidi" w:hAnsiTheme="minorBidi"/>
          <w:sz w:val="28"/>
          <w:szCs w:val="28"/>
          <w:rtl/>
          <w:lang w:bidi="ar-EG"/>
        </w:rPr>
        <w:t>).</w:t>
      </w:r>
    </w:p>
    <w:p w14:paraId="608D022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في شركات الأدوية، تُمكّن نظم </w:t>
      </w:r>
      <w:r w:rsidRPr="00A61745">
        <w:rPr>
          <w:rFonts w:asciiTheme="minorBidi" w:hAnsiTheme="minorBidi"/>
          <w:sz w:val="28"/>
          <w:szCs w:val="28"/>
          <w:lang w:bidi="ar-EG"/>
        </w:rPr>
        <w:t>CRM</w:t>
      </w:r>
      <w:r w:rsidRPr="00A61745">
        <w:rPr>
          <w:rFonts w:asciiTheme="minorBidi" w:hAnsiTheme="minorBidi"/>
          <w:sz w:val="28"/>
          <w:szCs w:val="28"/>
          <w:rtl/>
          <w:lang w:bidi="ar-EG"/>
        </w:rPr>
        <w:t xml:space="preserve"> من إدارة البيانات العلمية والطبية بشكل متكامل مع معلومات المبيعات، مما يتيح دعمًا أفضل للممثلين الطبيين وفريق الإدارة في تقديم حلول دقيقة وفعالة (</w:t>
      </w:r>
      <w:r w:rsidRPr="00A61745">
        <w:rPr>
          <w:rFonts w:asciiTheme="minorBidi" w:hAnsiTheme="minorBidi"/>
          <w:sz w:val="28"/>
          <w:szCs w:val="28"/>
          <w:lang w:bidi="ar-EG"/>
        </w:rPr>
        <w:t>Chen et al., 2022</w:t>
      </w:r>
      <w:r w:rsidRPr="00A61745">
        <w:rPr>
          <w:rFonts w:asciiTheme="minorBidi" w:hAnsiTheme="minorBidi"/>
          <w:sz w:val="28"/>
          <w:szCs w:val="28"/>
          <w:rtl/>
          <w:lang w:bidi="ar-EG"/>
        </w:rPr>
        <w:t>).</w:t>
      </w:r>
    </w:p>
    <w:p w14:paraId="1C98BF8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تسهل هذه الأنظمة التنسيق بين الفرق المختلفة داخل الشركة، مثل فرق التسويق والبحث والتطوير، مما يسرع عملية اتخاذ القرار ويعزز استجابة الشركة للتغيرات في السوق (</w:t>
      </w:r>
      <w:r w:rsidRPr="00A61745">
        <w:rPr>
          <w:rFonts w:asciiTheme="minorBidi" w:hAnsiTheme="minorBidi"/>
          <w:sz w:val="28"/>
          <w:szCs w:val="28"/>
          <w:lang w:bidi="ar-EG"/>
        </w:rPr>
        <w:t>Nguyen et al., 2020</w:t>
      </w:r>
      <w:r w:rsidRPr="00A61745">
        <w:rPr>
          <w:rFonts w:asciiTheme="minorBidi" w:hAnsiTheme="minorBidi"/>
          <w:sz w:val="28"/>
          <w:szCs w:val="28"/>
          <w:rtl/>
          <w:lang w:bidi="ar-EG"/>
        </w:rPr>
        <w:t>).</w:t>
      </w:r>
    </w:p>
    <w:p w14:paraId="2AF96A34"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تحليل البيانات والذكاء الاصطناعي لدعم القرارات:</w:t>
      </w:r>
    </w:p>
    <w:p w14:paraId="3D6C088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تشهد إدارة الحسابات الرئيسية تحولًا كبيرًا مع اعتماد تقنيات تحليل البيانات والذكاء الاصطناعي، حيث تتيح هذه الأدوات فهمًا أعمق لأنماط سلوك العملاء والتنبؤ بالاحتياجات المستقبلية بدقة عالية. تسهم هذه التقنيات في تحسين تخصيص الموارد وتعزيز تجربة العملاء عبر تقديم حلول مخصصة (</w:t>
      </w:r>
      <w:r w:rsidRPr="00A61745">
        <w:rPr>
          <w:rFonts w:asciiTheme="minorBidi" w:hAnsiTheme="minorBidi"/>
          <w:sz w:val="28"/>
          <w:szCs w:val="28"/>
          <w:lang w:bidi="ar-EG"/>
        </w:rPr>
        <w:t>Wamba-</w:t>
      </w:r>
      <w:proofErr w:type="spellStart"/>
      <w:r w:rsidRPr="00A61745">
        <w:rPr>
          <w:rFonts w:asciiTheme="minorBidi" w:hAnsiTheme="minorBidi"/>
          <w:sz w:val="28"/>
          <w:szCs w:val="28"/>
          <w:lang w:bidi="ar-EG"/>
        </w:rPr>
        <w:t>Taguimdje</w:t>
      </w:r>
      <w:proofErr w:type="spellEnd"/>
      <w:r w:rsidRPr="00A61745">
        <w:rPr>
          <w:rFonts w:asciiTheme="minorBidi" w:hAnsiTheme="minorBidi"/>
          <w:sz w:val="28"/>
          <w:szCs w:val="28"/>
          <w:lang w:bidi="ar-EG"/>
        </w:rPr>
        <w:t xml:space="preserve"> et al., 2020</w:t>
      </w:r>
      <w:r w:rsidRPr="00A61745">
        <w:rPr>
          <w:rFonts w:asciiTheme="minorBidi" w:hAnsiTheme="minorBidi"/>
          <w:sz w:val="28"/>
          <w:szCs w:val="28"/>
          <w:rtl/>
          <w:lang w:bidi="ar-EG"/>
        </w:rPr>
        <w:t>).</w:t>
      </w:r>
    </w:p>
    <w:p w14:paraId="749039B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في قطاع الأدوية، يستخدم الذكاء الاصطناعي لتحليل بيانات المرضى والاتجاهات الصحية، مما يساعد على تطوير استراتيجيات تسويقية علمية وموجهة تعزز من قبول المنتجات في الأسواق (</w:t>
      </w:r>
      <w:r w:rsidRPr="00A61745">
        <w:rPr>
          <w:rFonts w:asciiTheme="minorBidi" w:hAnsiTheme="minorBidi"/>
          <w:sz w:val="28"/>
          <w:szCs w:val="28"/>
          <w:lang w:bidi="ar-EG"/>
        </w:rPr>
        <w:t>Chen et al., 2022</w:t>
      </w:r>
      <w:r w:rsidRPr="00A61745">
        <w:rPr>
          <w:rFonts w:asciiTheme="minorBidi" w:hAnsiTheme="minorBidi"/>
          <w:sz w:val="28"/>
          <w:szCs w:val="28"/>
          <w:rtl/>
          <w:lang w:bidi="ar-EG"/>
        </w:rPr>
        <w:t>).</w:t>
      </w:r>
    </w:p>
    <w:p w14:paraId="5C0352C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تدعم أدوات الذكاء الاصطناعي أتمتة العمليات مثل جدولة الزيارات الطبية وتحليل ردود الفعل، مما يقلل من التكاليف ويرفع من كفاءة الأداء (</w:t>
      </w:r>
      <w:r w:rsidRPr="00A61745">
        <w:rPr>
          <w:rFonts w:asciiTheme="minorBidi" w:hAnsiTheme="minorBidi"/>
          <w:sz w:val="28"/>
          <w:szCs w:val="28"/>
          <w:lang w:bidi="ar-EG"/>
        </w:rPr>
        <w:t>Wamba-</w:t>
      </w:r>
      <w:proofErr w:type="spellStart"/>
      <w:r w:rsidRPr="00A61745">
        <w:rPr>
          <w:rFonts w:asciiTheme="minorBidi" w:hAnsiTheme="minorBidi"/>
          <w:sz w:val="28"/>
          <w:szCs w:val="28"/>
          <w:lang w:bidi="ar-EG"/>
        </w:rPr>
        <w:t>Taguimdje</w:t>
      </w:r>
      <w:proofErr w:type="spellEnd"/>
      <w:r w:rsidRPr="00A61745">
        <w:rPr>
          <w:rFonts w:asciiTheme="minorBidi" w:hAnsiTheme="minorBidi"/>
          <w:sz w:val="28"/>
          <w:szCs w:val="28"/>
          <w:lang w:bidi="ar-EG"/>
        </w:rPr>
        <w:t xml:space="preserve"> et al., 2020</w:t>
      </w:r>
      <w:r w:rsidRPr="00A61745">
        <w:rPr>
          <w:rFonts w:asciiTheme="minorBidi" w:hAnsiTheme="minorBidi"/>
          <w:sz w:val="28"/>
          <w:szCs w:val="28"/>
          <w:rtl/>
          <w:lang w:bidi="ar-EG"/>
        </w:rPr>
        <w:t>).</w:t>
      </w:r>
    </w:p>
    <w:p w14:paraId="068AD3B1"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أدوات متابعة الأداء (</w:t>
      </w:r>
      <w:r w:rsidRPr="00A61745">
        <w:rPr>
          <w:rFonts w:asciiTheme="minorBidi" w:hAnsiTheme="minorBidi"/>
          <w:b/>
          <w:bCs/>
          <w:sz w:val="28"/>
          <w:szCs w:val="28"/>
          <w:lang w:bidi="ar-EG"/>
        </w:rPr>
        <w:t>KPIs</w:t>
      </w:r>
      <w:r w:rsidRPr="00A61745">
        <w:rPr>
          <w:rFonts w:asciiTheme="minorBidi" w:hAnsiTheme="minorBidi"/>
          <w:b/>
          <w:bCs/>
          <w:sz w:val="28"/>
          <w:szCs w:val="28"/>
          <w:rtl/>
          <w:lang w:bidi="ar-EG"/>
        </w:rPr>
        <w:t>):</w:t>
      </w:r>
    </w:p>
    <w:p w14:paraId="16E7E06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تُعتبر مؤشرات الأداء الرئيسية (</w:t>
      </w:r>
      <w:r w:rsidRPr="00A61745">
        <w:rPr>
          <w:rFonts w:asciiTheme="minorBidi" w:hAnsiTheme="minorBidi"/>
          <w:sz w:val="28"/>
          <w:szCs w:val="28"/>
          <w:lang w:bidi="ar-EG"/>
        </w:rPr>
        <w:t>KPIs</w:t>
      </w:r>
      <w:r w:rsidRPr="00A61745">
        <w:rPr>
          <w:rFonts w:asciiTheme="minorBidi" w:hAnsiTheme="minorBidi"/>
          <w:sz w:val="28"/>
          <w:szCs w:val="28"/>
          <w:rtl/>
          <w:lang w:bidi="ar-EG"/>
        </w:rPr>
        <w:t>) أدوات لا غنى عنها في قياس مدى نجاح إدارة الحسابات الرئيسية، حيث تتيح مراقبة الأداء عبر مقاييس مثل نمو المبيعات، رضا العملاء، ونسبة الاحتفاظ بالحسابات الرئيسية (</w:t>
      </w:r>
      <w:r w:rsidRPr="00A61745">
        <w:rPr>
          <w:rFonts w:asciiTheme="minorBidi" w:hAnsiTheme="minorBidi"/>
          <w:sz w:val="28"/>
          <w:szCs w:val="28"/>
          <w:lang w:bidi="ar-EG"/>
        </w:rPr>
        <w:t>Nguyen et al., 2020</w:t>
      </w:r>
      <w:r w:rsidRPr="00A61745">
        <w:rPr>
          <w:rFonts w:asciiTheme="minorBidi" w:hAnsiTheme="minorBidi"/>
          <w:sz w:val="28"/>
          <w:szCs w:val="28"/>
          <w:rtl/>
          <w:lang w:bidi="ar-EG"/>
        </w:rPr>
        <w:t>).</w:t>
      </w:r>
    </w:p>
    <w:p w14:paraId="5898A49C"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 xml:space="preserve">في شركات الأدوية، تشمل </w:t>
      </w:r>
      <w:r w:rsidRPr="00A61745">
        <w:rPr>
          <w:rFonts w:asciiTheme="minorBidi" w:hAnsiTheme="minorBidi"/>
          <w:sz w:val="28"/>
          <w:szCs w:val="28"/>
          <w:lang w:bidi="ar-EG"/>
        </w:rPr>
        <w:t>KPIs</w:t>
      </w:r>
      <w:r w:rsidRPr="00A61745">
        <w:rPr>
          <w:rFonts w:asciiTheme="minorBidi" w:hAnsiTheme="minorBidi"/>
          <w:sz w:val="28"/>
          <w:szCs w:val="28"/>
          <w:rtl/>
          <w:lang w:bidi="ar-EG"/>
        </w:rPr>
        <w:t xml:space="preserve"> أيضًا قياس مدى فاعلية البرامج التدريبية والتوعية العلمية المقدمة للعملاء، ومدى التزام فرق العمل بتنفيذ خطط الحسابات (</w:t>
      </w:r>
      <w:r w:rsidRPr="00A61745">
        <w:rPr>
          <w:rFonts w:asciiTheme="minorBidi" w:hAnsiTheme="minorBidi"/>
          <w:sz w:val="28"/>
          <w:szCs w:val="28"/>
          <w:lang w:bidi="ar-EG"/>
        </w:rPr>
        <w:t>Chen et al., 2022</w:t>
      </w:r>
      <w:r w:rsidRPr="00A61745">
        <w:rPr>
          <w:rFonts w:asciiTheme="minorBidi" w:hAnsiTheme="minorBidi"/>
          <w:sz w:val="28"/>
          <w:szCs w:val="28"/>
          <w:rtl/>
          <w:lang w:bidi="ar-EG"/>
        </w:rPr>
        <w:t>).</w:t>
      </w:r>
    </w:p>
    <w:p w14:paraId="72EFE2AA"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يساعد النظام المتكامل لمتابعة الأداء في الكشف المبكر عن المشكلات وتوجيه الموارد بشكل أفضل لتحقيق أهداف النمو (</w:t>
      </w:r>
      <w:r w:rsidRPr="00A61745">
        <w:rPr>
          <w:rFonts w:asciiTheme="minorBidi" w:hAnsiTheme="minorBidi"/>
          <w:sz w:val="28"/>
          <w:szCs w:val="28"/>
          <w:lang w:bidi="ar-EG"/>
        </w:rPr>
        <w:t>Wamba-</w:t>
      </w:r>
      <w:proofErr w:type="spellStart"/>
      <w:r w:rsidRPr="00A61745">
        <w:rPr>
          <w:rFonts w:asciiTheme="minorBidi" w:hAnsiTheme="minorBidi"/>
          <w:sz w:val="28"/>
          <w:szCs w:val="28"/>
          <w:lang w:bidi="ar-EG"/>
        </w:rPr>
        <w:t>Taguimdje</w:t>
      </w:r>
      <w:proofErr w:type="spellEnd"/>
      <w:r w:rsidRPr="00A61745">
        <w:rPr>
          <w:rFonts w:asciiTheme="minorBidi" w:hAnsiTheme="minorBidi"/>
          <w:sz w:val="28"/>
          <w:szCs w:val="28"/>
          <w:lang w:bidi="ar-EG"/>
        </w:rPr>
        <w:t xml:space="preserve"> et al., 2020</w:t>
      </w:r>
      <w:r w:rsidRPr="00A61745">
        <w:rPr>
          <w:rFonts w:asciiTheme="minorBidi" w:hAnsiTheme="minorBidi"/>
          <w:sz w:val="28"/>
          <w:szCs w:val="28"/>
          <w:rtl/>
          <w:lang w:bidi="ar-EG"/>
        </w:rPr>
        <w:t>).</w:t>
      </w:r>
    </w:p>
    <w:p w14:paraId="77D78678"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السابع: التحديات التي تواجه إدارة الحسابات الرئيسية في شركات الأدوية:</w:t>
      </w:r>
    </w:p>
    <w:p w14:paraId="224EAD65"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المنافسة الشديدة:</w:t>
      </w:r>
    </w:p>
    <w:p w14:paraId="3F5EC2A6"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تواجه شركات الأدوية تحديات كبيرة من المنافسة المتزايدة على المستويين المحلي والدولي، مما يفرض على فرق إدارة الحسابات الرئيسية تطوير استراتيجيات فعالة للحفاظ على العملاء الرئيسيين وتعزيز حصتها السوقية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315E34A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تتطلب المنافسة توظيف مهارات تفاوض عالية، تحسين جودة الخدمات، والابتكار المستمر لتلبية توقعات العملاء في بيئة تتسم بالتغير السريع (</w:t>
      </w:r>
      <w:r w:rsidRPr="00A61745">
        <w:rPr>
          <w:rFonts w:asciiTheme="minorBidi" w:hAnsiTheme="minorBidi"/>
          <w:sz w:val="28"/>
          <w:szCs w:val="28"/>
          <w:lang w:bidi="ar-EG"/>
        </w:rPr>
        <w:t>Bharadwaj et al., 2021</w:t>
      </w:r>
      <w:r w:rsidRPr="00A61745">
        <w:rPr>
          <w:rFonts w:asciiTheme="minorBidi" w:hAnsiTheme="minorBidi"/>
          <w:sz w:val="28"/>
          <w:szCs w:val="28"/>
          <w:rtl/>
          <w:lang w:bidi="ar-EG"/>
        </w:rPr>
        <w:t>).</w:t>
      </w:r>
    </w:p>
    <w:p w14:paraId="06176036"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إضافة إلى ذلك، يعد بناء علاقات وثيقة قائمة على الثقة والشفافية أمرًا حيويًا لمواجهة التحديات التنافسية وضمان استمرارية الشراكات الاستراتيجية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49D2B429"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التغيير في التشريعات واللوائح الدوائية:</w:t>
      </w:r>
    </w:p>
    <w:p w14:paraId="335659B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شكل التغيرات المستمرة في القوانين واللوائح الصحية تحديًا كبيرًا لشركات الأدوية، حيث يجب على فرق إدارة الحسابات الرئيسية ضمان الالتزام التام بكل التشريعات الجديدة للحفاظ على سمعة الشركة واستمرارية العمل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12BDA77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تؤثر اللوائح بشكل مباشر على استراتيجيات التسويق والتواصل، مما يستلزم تحديث الخطط بسرعة والتعاون مع الجهات التنظيمية لتحقيق الامتثال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10CF3B9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أن التزام الشركات بالمعايير الأخلاقية والشفافية في التعامل مع الأطباء والمؤسسات الصحية أصبح من المتطلبات الأساسية، خاصة في ظل التشديدات المتزايدة من الهيئات الرقابية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792E70F0"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lastRenderedPageBreak/>
        <w:t>تغير احتياجات العملاء والمؤسسات الطبية:</w:t>
      </w:r>
    </w:p>
    <w:p w14:paraId="05AF99E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تتغير احتياجات العملاء في قطاع الأدوية بسرعة نتيجة التطورات التكنولوجية والابتكارات الطبية، مما يفرض على إدارة الحسابات الرئيسية تطوير حلول ديناميكية تلبي هذه المتطلبات المتجددة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3CB0105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ويتطلب ذلك فهمًا مستمرًا للسوق، تحديث المعرفة الطبية، وتقديم خدمات مخصصة تواكب تطلعات العملاء وتدعم تحسين جودة الرعاية الصحية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497039F1"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قيود التسويق الدوائي في بعض الأسواق:</w:t>
      </w:r>
    </w:p>
    <w:p w14:paraId="716BA5F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تفرض بعض الأسواق قيودًا صارمة على أنشطة التسويق الدوائي، مثل حظر تقديم الهدايا أو القيود على ترويج الأدوية الموصوفة، مما يحد من إمكانيات فرق إدارة الحسابات في استخدام بعض أدوات التسويق التقليدية (</w:t>
      </w:r>
      <w:proofErr w:type="spellStart"/>
      <w:r w:rsidRPr="00A61745">
        <w:rPr>
          <w:rFonts w:asciiTheme="minorBidi" w:hAnsiTheme="minorBidi"/>
          <w:sz w:val="28"/>
          <w:szCs w:val="28"/>
          <w:lang w:bidi="ar-EG"/>
        </w:rPr>
        <w:t>Clinckemaillie</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w:t>
      </w:r>
    </w:p>
    <w:p w14:paraId="49CA151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ويستلزم ذلك تبني استراتيجيات تسويقية مبتكرة تعتمد على التعليم الطبي والتواصل العلمي بدلاً من العروض الترويجية المباشرة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689928CA"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الثامن: أثر إدارة الحسابات الرئيسية على العلاقات البيعية (</w:t>
      </w:r>
      <w:r w:rsidRPr="00A61745">
        <w:rPr>
          <w:rFonts w:asciiTheme="minorBidi" w:hAnsiTheme="minorBidi"/>
          <w:b/>
          <w:bCs/>
          <w:sz w:val="28"/>
          <w:szCs w:val="28"/>
          <w:lang w:bidi="ar-EG"/>
        </w:rPr>
        <w:t>Sales Relationships</w:t>
      </w:r>
      <w:r w:rsidRPr="00A61745">
        <w:rPr>
          <w:rFonts w:asciiTheme="minorBidi" w:hAnsiTheme="minorBidi"/>
          <w:b/>
          <w:bCs/>
          <w:sz w:val="28"/>
          <w:szCs w:val="28"/>
          <w:rtl/>
          <w:lang w:bidi="ar-EG"/>
        </w:rPr>
        <w:t>)</w:t>
      </w:r>
    </w:p>
    <w:p w14:paraId="56BEC81D"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تعزيز الثقة المتبادلة بين الشركة والعميل:</w:t>
      </w:r>
    </w:p>
    <w:p w14:paraId="700FEE9A"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تُعتبر الثقة المتبادلة بين الشركة والعملاء الرئيسيين عنصرًا جوهريًا في نجاح إدارة الحسابات الرئيسية، إذ تبني هذه الثقة أساسًا متينًا يسمح بتطوير علاقات طويلة الأمد ومستقرة. بناء الثقة يتطلب توافر الشفافية، الالتزام بالوعود، وتقديم حلول تلبّي توقعات العملاء بشكل مستمر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2E4183A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وتشير الدراسات إلى أن الشركات التي تستثمر في بناء الثقة مع حساباتها الرئيسية تحقق معدلات احتفاظ أعلى وتتمتع بسمعة طيبة تؤهلها لتوسيع أعمالها بسهولة أكبر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226390B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قطاع الأدوية، الثقة تعني أيضًا احترام المعايير العلمية والأخلاقية في تقديم المعلومات والدعم الطبي، مما يعزز من مكانة الشركة كشريك موثوق يساهم في تحسين الرعاية الصحية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60B4163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أن تعزيز الثقة يقلل من مقاومة العملاء لتغيرات الأسعار أو شروط العقود، ويسهل التعامل مع التحديات أو الأزمات التي قد تواجه العلاقة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77C55CB3"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lastRenderedPageBreak/>
        <w:t>زيادة الولاء والاحتفاظ بالحسابات الاستراتيجية:</w:t>
      </w:r>
    </w:p>
    <w:p w14:paraId="6982309E"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إدارة الحسابات الرئيسية تسهم بشكل مباشر في زيادة ولاء العملاء من خلال تقديم خدمات مخصصة تلبي احتياجاتهم وتوقعاتهم بشكل مستمر، مما يجعل العملاء يفضلون الاستمرار في التعامل مع الشركة على المدى الطويل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42900553"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وتُظهر الأبحاث أن تطبيق استراتيجيات إدارة الحسابات الفعالة يقلل من معدلات انتقال العملاء إلى المنافسين، ويزيد من قيمة العملاء على مدى الحياة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2A291885"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قطاع الأدوية، توفر خدمات الدعم الفني والعلمي المتواصل تعزز من رضا العملاء وتدعم الولاء، خصوصًا عندما يشعر العملاء بأن الشركة شريك استراتيجي وليس مجرد مورد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059E783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أن الاحتفاظ بالحسابات الاستراتيجية يساهم في استقرار الإيرادات ويوفر قاعدة قوية للنمو والتوسع في الأسواق المختلفة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2B769DEA"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رفع كفاءة عملية البيع وتحسين دورة البيع:</w:t>
      </w:r>
    </w:p>
    <w:p w14:paraId="0094DBE0"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تُسهم إدارة الحسابات الرئيسية في تحسين كفاءة عملية البيع من خلال تحليل بيانات العملاء، تحديد الفرص بشكل دقيق، وتنفيذ استراتيجيات موجهة تسرّع من دورة البيع وتقلل من التكلفة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69C3C6E3"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ويتيح التركيز على الحسابات الرئيسية تخصيص الموارد بشكل أمثل، ما يُحسن من استجابة فرق المبيعات ويزيد من فرص إغلاق الصفقات بنجاح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16B1DA3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شركات الأدوية، تعمل إدارة الحسابات على تسهيل التواصل مع الجهات المختلفة داخل المؤسسة العميلة، مما يسرّع من اتخاذ القرارات ويقلل من التعقيدات الإدارية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400E516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تحسين دورة البيع يعزز من القدرة التنافسية للشركة ويساهم في تحقيق أهداف النمو بفعالية (</w:t>
      </w:r>
      <w:r w:rsidRPr="00A61745">
        <w:rPr>
          <w:rFonts w:asciiTheme="minorBidi" w:hAnsiTheme="minorBidi"/>
          <w:sz w:val="28"/>
          <w:szCs w:val="28"/>
          <w:lang w:bidi="ar-EG"/>
        </w:rPr>
        <w:t>Sandesh et al., 2023</w:t>
      </w:r>
      <w:r w:rsidRPr="00A61745">
        <w:rPr>
          <w:rFonts w:asciiTheme="minorBidi" w:hAnsiTheme="minorBidi"/>
          <w:sz w:val="28"/>
          <w:szCs w:val="28"/>
          <w:rtl/>
          <w:lang w:bidi="ar-EG"/>
        </w:rPr>
        <w:t>).</w:t>
      </w:r>
    </w:p>
    <w:p w14:paraId="005647FF"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تحقيق نمو مستدام في الإيرادات:</w:t>
      </w:r>
    </w:p>
    <w:p w14:paraId="0914B81D"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تُظهر الدراسات أن إدارة الحسابات الرئيسية تُعد من العوامل الأساسية لتحقيق نمو مستدام في الإيرادات، حيث تركز على تعميق العلاقة مع العملاء الرئيسيين وتوسيع نطاق التعاون معهم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7AE7E608"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ومن خلال خلق قيمة مستمرة، يمكن للشركات زيادة مبيعاتها عبر تقديم حلول مبتكرة ومخصصة تلبي احتياجات كل حساب، مما يساهم في تعزيز الإيرادات بشكل متزايد على المدى الطويل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2D70C3A6"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قطاع الأدوية، النمو المستدام يعكس قدرة الشركة على الحفاظ على عملائها الرئيسيين وتطوير عروضها بما يتناسب مع تطورات السوق والابتكارات الطبية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5A0E808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هذا النمو لا يعتمد فقط على زيادة المبيعات، بل يشمل تحسين الربحية وتعزيز مكانة الشركة في الأسواق المختلفة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7964E6D2"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المحور التاسع: مؤشرات قياس نجاح إدارة الحسابات الرئيسية:</w:t>
      </w:r>
    </w:p>
    <w:p w14:paraId="2EF80033"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رضا العملاء الرئيسيين:</w:t>
      </w:r>
    </w:p>
    <w:p w14:paraId="7B2C6C6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يُعتبر رضا العملاء الرئيسيين من أهم مؤشرات نجاح إدارة الحسابات الرئيسية، حيث يعكس مدى توافق الخدمات والمنتجات المقدمة مع توقعات واحتياجات العملاء. يقيس الرضا جوانب متعددة مثل جودة الخدمة، الاستجابة السريعة، والتواصل الفعّال، مما يؤثر إيجابيًا على استمرارية العلاقة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7246CCDB"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وتشير الأبحاث إلى أن الشركات التي تركز على تحسين رضا عملائها الرئيسيين تحقق معدلات احتفاظ أعلى وتتمتع بسمعة طيبة تعزز من فرص جذب عملاء جدد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212DE512"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شركات الأدوية، رضا العملاء مرتبط ارتباطًا وثيقًا بتقديم دعم علمي وتقني مستمر، والالتزام بالمعايير الأخلاقية والمهنية في التعامل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78B9B296"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زيادة حجم المشتريات السنوي:</w:t>
      </w:r>
    </w:p>
    <w:p w14:paraId="0705168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يُعد نمو حجم المشتريات السنوي من المؤشرات الكمية التي تدل على نجاح إدارة الحسابات الرئيسية، حيث يعكس توسع العملاء في الاعتماد على منتجات الشركة وزيادة ثقتهم بها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693E4AED"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lastRenderedPageBreak/>
        <w:t>إن الزيادة في حجم المشتريات تعني أن الشركة تحقق قيمة فعلية لعملائها، وتتمكن من تعزيز حصتها السوقية من خلال تطوير علاقات طويلة الأمد مع الحسابات الاستراتيجية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15CD590A"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إن هذا النمو غالبًا ما يكون نتيجة لتقديم حلول مخصصة وخدمات متكاملة تلبي الاحتياجات المتغيرة للعملاء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01DDA08A"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نمو الحصة السوقية داخل الحساب:</w:t>
      </w:r>
    </w:p>
    <w:p w14:paraId="2E6481AF"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يمثل نمو الحصة السوقية داخل كل حساب رئيسي مؤشرًا هامًا على مدى تأثير إدارة الحسابات في تعزيز مكانة الشركة بالمقارنة مع المنافسين. يشير ذلك إلى نجاح الاستراتيجيات المطبقة في استغلال الفرص وتحقيق ميزة تنافسية داخل العميل نفسه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60CFEF37"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ويتطلب تحقيق هذا النمو فهمًا عميقًا لاحتياجات الحسابات، وقدرة على تقديم حلول متكاملة تزيد من اعتماد العميل على منتجات الشركة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2418FD41"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وفي قطاع الأدوية، النمو في الحصة السوقية مرتبط بشكل كبير بجودة الدعم العلمي والتدريب المقدم للكوادر الطبية داخل المؤسسات الصحية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6DB86C25"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مستوى التعاون المشترك في المشاريع العلمية والتعليمية:</w:t>
      </w:r>
    </w:p>
    <w:p w14:paraId="5719B6DC"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يعد التعاون المشترك في المشاريع العلمية والتعليمية مؤشرًا يعكس عمق العلاقة بين الشركة والحسابات الرئيسية، ويُظهر مدى التزام الطرفين بتطوير المعرفة وتحسين جودة الرعاية الصحية (</w:t>
      </w:r>
      <w:r w:rsidRPr="00A61745">
        <w:rPr>
          <w:rFonts w:asciiTheme="minorBidi" w:hAnsiTheme="minorBidi"/>
          <w:sz w:val="28"/>
          <w:szCs w:val="28"/>
          <w:lang w:bidi="ar-EG"/>
        </w:rPr>
        <w:t>Leone, 2021</w:t>
      </w:r>
      <w:r w:rsidRPr="00A61745">
        <w:rPr>
          <w:rFonts w:asciiTheme="minorBidi" w:hAnsiTheme="minorBidi"/>
          <w:sz w:val="28"/>
          <w:szCs w:val="28"/>
          <w:rtl/>
          <w:lang w:bidi="ar-EG"/>
        </w:rPr>
        <w:t>).</w:t>
      </w:r>
    </w:p>
    <w:p w14:paraId="1088F3A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تساهم هذه المشاريع في بناء جسور تعاون طويلة الأمد، وتعزز من مصداقية الشركة كشريك استراتيجي يقدم قيمة حقيقية تتجاوز المبيعات فقط (</w:t>
      </w:r>
      <w:r w:rsidRPr="00A61745">
        <w:rPr>
          <w:rFonts w:asciiTheme="minorBidi" w:hAnsiTheme="minorBidi"/>
          <w:sz w:val="28"/>
          <w:szCs w:val="28"/>
          <w:lang w:bidi="ar-EG"/>
        </w:rPr>
        <w:t>Runfola et al., 2021</w:t>
      </w:r>
      <w:r w:rsidRPr="00A61745">
        <w:rPr>
          <w:rFonts w:asciiTheme="minorBidi" w:hAnsiTheme="minorBidi"/>
          <w:sz w:val="28"/>
          <w:szCs w:val="28"/>
          <w:rtl/>
          <w:lang w:bidi="ar-EG"/>
        </w:rPr>
        <w:t>).</w:t>
      </w:r>
    </w:p>
    <w:p w14:paraId="70F856C9" w14:textId="77777777" w:rsidR="00E75B26" w:rsidRPr="00A61745" w:rsidRDefault="00E75B26" w:rsidP="00A61745">
      <w:pPr>
        <w:spacing w:line="360" w:lineRule="auto"/>
        <w:ind w:firstLine="360"/>
        <w:jc w:val="both"/>
        <w:rPr>
          <w:rFonts w:asciiTheme="minorBidi" w:hAnsiTheme="minorBidi"/>
          <w:sz w:val="28"/>
          <w:szCs w:val="28"/>
          <w:rtl/>
          <w:lang w:bidi="ar-EG"/>
        </w:rPr>
      </w:pPr>
      <w:r w:rsidRPr="00A61745">
        <w:rPr>
          <w:rFonts w:asciiTheme="minorBidi" w:hAnsiTheme="minorBidi"/>
          <w:sz w:val="28"/>
          <w:szCs w:val="28"/>
          <w:rtl/>
          <w:lang w:bidi="ar-EG"/>
        </w:rPr>
        <w:t>كما تسهم هذه المبادرات في تعزيز الصورة الإيجابية للشركة في أوساط العملاء والأطراف ذات العلاقة، مما ينعكس إيجابًا على العلاقات البيعية ومستقبل التعاون (</w:t>
      </w:r>
      <w:r w:rsidRPr="00A61745">
        <w:rPr>
          <w:rFonts w:asciiTheme="minorBidi" w:hAnsiTheme="minorBidi"/>
          <w:sz w:val="28"/>
          <w:szCs w:val="28"/>
          <w:lang w:bidi="ar-EG"/>
        </w:rPr>
        <w:t xml:space="preserve">Sandesh, </w:t>
      </w:r>
      <w:proofErr w:type="spellStart"/>
      <w:r w:rsidRPr="00A61745">
        <w:rPr>
          <w:rFonts w:asciiTheme="minorBidi" w:hAnsiTheme="minorBidi"/>
          <w:sz w:val="28"/>
          <w:szCs w:val="28"/>
          <w:lang w:bidi="ar-EG"/>
        </w:rPr>
        <w:t>Sreejesh</w:t>
      </w:r>
      <w:proofErr w:type="spellEnd"/>
      <w:r w:rsidRPr="00A61745">
        <w:rPr>
          <w:rFonts w:asciiTheme="minorBidi" w:hAnsiTheme="minorBidi"/>
          <w:sz w:val="28"/>
          <w:szCs w:val="28"/>
          <w:lang w:bidi="ar-EG"/>
        </w:rPr>
        <w:t>, &amp; Paul, 2023</w:t>
      </w:r>
      <w:r w:rsidRPr="00A61745">
        <w:rPr>
          <w:rFonts w:asciiTheme="minorBidi" w:hAnsiTheme="minorBidi"/>
          <w:sz w:val="28"/>
          <w:szCs w:val="28"/>
          <w:rtl/>
          <w:lang w:bidi="ar-EG"/>
        </w:rPr>
        <w:t>).</w:t>
      </w:r>
    </w:p>
    <w:p w14:paraId="0226464C"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ثانيا: الدراسات السابقة:</w:t>
      </w:r>
    </w:p>
    <w:p w14:paraId="11638D08"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ab/>
        <w:t>تناول هذا الجزء الدراسات السابقة المرتبطة بموضوع البحث، مرتبة من الأقدم إلي الأحدث، وذلك علي النحو الاتي:</w:t>
      </w:r>
    </w:p>
    <w:p w14:paraId="332620F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lastRenderedPageBreak/>
        <w:t xml:space="preserve">هدفت دراسة </w:t>
      </w:r>
      <w:r w:rsidRPr="00A61745">
        <w:rPr>
          <w:rFonts w:asciiTheme="minorBidi" w:hAnsiTheme="minorBidi"/>
          <w:sz w:val="28"/>
          <w:szCs w:val="28"/>
          <w:lang w:bidi="ar-EG"/>
        </w:rPr>
        <w:t xml:space="preserve">Sengupta, </w:t>
      </w:r>
      <w:proofErr w:type="spellStart"/>
      <w:r w:rsidRPr="00A61745">
        <w:rPr>
          <w:rFonts w:asciiTheme="minorBidi" w:hAnsiTheme="minorBidi"/>
          <w:sz w:val="28"/>
          <w:szCs w:val="28"/>
          <w:lang w:bidi="ar-EG"/>
        </w:rPr>
        <w:t>Krapfel</w:t>
      </w:r>
      <w:proofErr w:type="spellEnd"/>
      <w:r w:rsidRPr="00A61745">
        <w:rPr>
          <w:rFonts w:asciiTheme="minorBidi" w:hAnsiTheme="minorBidi"/>
          <w:sz w:val="28"/>
          <w:szCs w:val="28"/>
          <w:lang w:bidi="ar-EG"/>
        </w:rPr>
        <w:t xml:space="preserve">  &amp; Pusateri, 1997)</w:t>
      </w:r>
      <w:r w:rsidRPr="00A61745">
        <w:rPr>
          <w:rFonts w:asciiTheme="minorBidi" w:hAnsiTheme="minorBidi"/>
          <w:sz w:val="28"/>
          <w:szCs w:val="28"/>
          <w:rtl/>
          <w:lang w:bidi="ar-EG"/>
        </w:rPr>
        <w:t>) إلي دراسة أثر تكاليف التحويل (</w:t>
      </w:r>
      <w:r w:rsidRPr="00A61745">
        <w:rPr>
          <w:rFonts w:asciiTheme="minorBidi" w:hAnsiTheme="minorBidi"/>
          <w:sz w:val="28"/>
          <w:szCs w:val="28"/>
          <w:lang w:bidi="ar-EG"/>
        </w:rPr>
        <w:t>switching costs</w:t>
      </w:r>
      <w:r w:rsidRPr="00A61745">
        <w:rPr>
          <w:rFonts w:asciiTheme="minorBidi" w:hAnsiTheme="minorBidi"/>
          <w:sz w:val="28"/>
          <w:szCs w:val="28"/>
          <w:rtl/>
          <w:lang w:bidi="ar-EG"/>
        </w:rPr>
        <w:t xml:space="preserve">) على طبيعة ونتائج علاقات الحسابات الرئيسية، وهو لصيق بأداء مندوبي الحسابات الرئيسة ودورهم في الحفاظ على العلاقات. المنهج: دراسة تحليلية/تطبيقية تتناول أبعاد تكاليف التحويل وتأثيرها في علاقات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المجتمع/العينة: عملاء حسابات رئيسة وعلاقاتهم مع الموردين (أدلة من دراسات حالة ومسوح في سياق إدارة الحسابات). الأساليب التحليلية: تحليلات وصفية وربط مفاهيمي بين أبعاد التكاليف وتأثيرها في استراتيجية الاحتفاظ والقدرة التفاوضية. النتائج: وجود تكاليف تحويل أعلى يمكن أن يعزز الاحتفاظ لكنه قد يُحدث اعتمادًا يؤدي إلى مخاطر استراتيجية لكلٍّ من المورد والعميل؛ كما أن خصائص بائع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تؤثر في كيفية خلق/إدارة هذه التكاليف. التوصيات: تصميم استراتيجيات تُوازن بين خلق قيمة حقيقية (لتقليل شعور الاعتماد السلبي) وإدارة تكاليف التحويل بطريقة عادلة تحفظ العلاقة وتقلل المخاطر.</w:t>
      </w:r>
    </w:p>
    <w:p w14:paraId="58CB388F"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proofErr w:type="spellStart"/>
      <w:r w:rsidRPr="00A61745">
        <w:rPr>
          <w:rFonts w:asciiTheme="minorBidi" w:hAnsiTheme="minorBidi"/>
          <w:sz w:val="28"/>
          <w:szCs w:val="28"/>
          <w:lang w:bidi="ar-EG"/>
        </w:rPr>
        <w:t>Ojasalo</w:t>
      </w:r>
      <w:proofErr w:type="spellEnd"/>
      <w:r w:rsidRPr="00A61745">
        <w:rPr>
          <w:rFonts w:asciiTheme="minorBidi" w:hAnsiTheme="minorBidi"/>
          <w:sz w:val="28"/>
          <w:szCs w:val="28"/>
          <w:lang w:bidi="ar-EG"/>
        </w:rPr>
        <w:t>, 2001)</w:t>
      </w:r>
      <w:r w:rsidRPr="00A61745">
        <w:rPr>
          <w:rFonts w:asciiTheme="minorBidi" w:hAnsiTheme="minorBidi"/>
          <w:sz w:val="28"/>
          <w:szCs w:val="28"/>
          <w:rtl/>
          <w:lang w:bidi="ar-EG"/>
        </w:rPr>
        <w:t xml:space="preserve">) إلي تقديم تأطير نظري وتحليلي لعنصرَي الشركة والفرد في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وتحديد العناصر الأساسية لنجاحه. المنهج: مراجعة أدبية مكثفة وتحليل مفاهيمي؛ تقديم نموذج إرشادي. المجتمع/العينة: الأدبيات والتطبيقات العملية في مجالات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(شامل لممارسات عبر صناعات). الأساليب: تحليل مفاهيمي/تركيب مفاهيمي لعنصرَي الشركة والفرد (</w:t>
      </w:r>
      <w:r w:rsidRPr="00A61745">
        <w:rPr>
          <w:rFonts w:asciiTheme="minorBidi" w:hAnsiTheme="minorBidi"/>
          <w:sz w:val="28"/>
          <w:szCs w:val="28"/>
          <w:lang w:bidi="ar-EG"/>
        </w:rPr>
        <w:t>company vs individual level</w:t>
      </w:r>
      <w:r w:rsidRPr="00A61745">
        <w:rPr>
          <w:rFonts w:asciiTheme="minorBidi" w:hAnsiTheme="minorBidi"/>
          <w:sz w:val="28"/>
          <w:szCs w:val="28"/>
          <w:rtl/>
          <w:lang w:bidi="ar-EG"/>
        </w:rPr>
        <w:t xml:space="preserve">). النتائج: أوضح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يتطلب تنسيقًا بين ممارسات مؤسسية (محاذاة داخلية، خطط حساب) ومهارات فردية (مدير الحساب الرئيسي)، وأن تجاهل أي منهما يضعف أثر البرنامج. التوصيات: صمم تدريبًا مخصصًا لموظفي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وضمن آليات داخلية تدعم مشاركة الموارد والقرارات لصالح الحسابات الرئيسية.</w:t>
      </w:r>
    </w:p>
    <w:p w14:paraId="0745B2D3"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Homburg, Workman, &amp; Jensen, 2002)</w:t>
      </w:r>
      <w:r w:rsidRPr="00A61745">
        <w:rPr>
          <w:rFonts w:asciiTheme="minorBidi" w:hAnsiTheme="minorBidi"/>
          <w:sz w:val="28"/>
          <w:szCs w:val="28"/>
          <w:rtl/>
          <w:lang w:bidi="ar-EG"/>
        </w:rPr>
        <w:t>) إلي تقديم تصوّر تكاملي لـ</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وتحديد نماذج/تكوينات مختلفة (</w:t>
      </w:r>
      <w:r w:rsidRPr="00A61745">
        <w:rPr>
          <w:rFonts w:asciiTheme="minorBidi" w:hAnsiTheme="minorBidi"/>
          <w:sz w:val="28"/>
          <w:szCs w:val="28"/>
          <w:lang w:bidi="ar-EG"/>
        </w:rPr>
        <w:t>configurations</w:t>
      </w:r>
      <w:r w:rsidRPr="00A61745">
        <w:rPr>
          <w:rFonts w:asciiTheme="minorBidi" w:hAnsiTheme="minorBidi"/>
          <w:sz w:val="28"/>
          <w:szCs w:val="28"/>
          <w:rtl/>
          <w:lang w:bidi="ar-EG"/>
        </w:rPr>
        <w:t xml:space="preserve">) لكيف تطبَّق برامج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الواقع العملي. المنهج: بحث استنباطي-كمّي مستخدماً بيانات مسحية/تصنيفية عبر صناعات مختلفة؛ تبنّى نهج التصنيف العددي (</w:t>
      </w:r>
      <w:r w:rsidRPr="00A61745">
        <w:rPr>
          <w:rFonts w:asciiTheme="minorBidi" w:hAnsiTheme="minorBidi"/>
          <w:sz w:val="28"/>
          <w:szCs w:val="28"/>
          <w:lang w:bidi="ar-EG"/>
        </w:rPr>
        <w:t>numerical taxonomy</w:t>
      </w:r>
      <w:r w:rsidRPr="00A61745">
        <w:rPr>
          <w:rFonts w:asciiTheme="minorBidi" w:hAnsiTheme="minorBidi"/>
          <w:sz w:val="28"/>
          <w:szCs w:val="28"/>
          <w:rtl/>
          <w:lang w:bidi="ar-EG"/>
        </w:rPr>
        <w:t xml:space="preserve">) لاستخراج نماذج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المجتمع/العينة: ممثّلون من منظمات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وممارسون لـ</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عبر قطاعات متنوعة. الأساليب التحليلية: تصنيف/تحليل تكوينات (</w:t>
      </w:r>
      <w:r w:rsidRPr="00A61745">
        <w:rPr>
          <w:rFonts w:asciiTheme="minorBidi" w:hAnsiTheme="minorBidi"/>
          <w:sz w:val="28"/>
          <w:szCs w:val="28"/>
          <w:lang w:bidi="ar-EG"/>
        </w:rPr>
        <w:t>cluster/numerical taxonomy</w:t>
      </w:r>
      <w:r w:rsidRPr="00A61745">
        <w:rPr>
          <w:rFonts w:asciiTheme="minorBidi" w:hAnsiTheme="minorBidi"/>
          <w:sz w:val="28"/>
          <w:szCs w:val="28"/>
          <w:rtl/>
          <w:lang w:bidi="ar-EG"/>
        </w:rPr>
        <w:t xml:space="preserve">) وربط السمات الأداء. النتائج: حددوا طيفًا من نُهج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(من الرسمي جداً إلى المرن) وأن فعالية كل نمط تعتمد على عوامل تنظيمية وسياقية (مثل بنية المنتج وطبيعة العميل). التوصيات: لا توجد وصفة واحدة ناجحة؛ على الشركات تصميم برنامج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متوافق مع مواردها، هيكلها، وخصائص عملائها الرئيسيين.</w:t>
      </w:r>
    </w:p>
    <w:p w14:paraId="17E9F93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r w:rsidRPr="00A61745">
        <w:rPr>
          <w:rFonts w:asciiTheme="minorBidi" w:hAnsiTheme="minorBidi"/>
          <w:sz w:val="28"/>
          <w:szCs w:val="28"/>
          <w:lang w:bidi="ar-EG"/>
        </w:rPr>
        <w:t>Ulaga &amp; Eggert, 2006)</w:t>
      </w:r>
      <w:r w:rsidRPr="00A61745">
        <w:rPr>
          <w:rFonts w:asciiTheme="minorBidi" w:hAnsiTheme="minorBidi"/>
          <w:sz w:val="28"/>
          <w:szCs w:val="28"/>
          <w:rtl/>
          <w:lang w:bidi="ar-EG"/>
        </w:rPr>
        <w:t xml:space="preserve">) إلي استكشاف سُبل التمايز في العلاقات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عبر خلق القيمة بحيث يصبح المورد «موردًا رئيسيًا» مستدامًا. المنهج: دراسات كمية/نوعية </w:t>
      </w:r>
      <w:r w:rsidRPr="00A61745">
        <w:rPr>
          <w:rFonts w:asciiTheme="minorBidi" w:hAnsiTheme="minorBidi"/>
          <w:sz w:val="28"/>
          <w:szCs w:val="28"/>
          <w:rtl/>
          <w:lang w:bidi="ar-EG"/>
        </w:rPr>
        <w:lastRenderedPageBreak/>
        <w:t xml:space="preserve">لاستنباط أبعاد قيمة العلاقة التي تميّز المورد. المجتمع/العينة: مشترون وموردون في أسواق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(ذات صلة بمقدمي خدمات وبتوريد في الرعاية الصحية/الأدوية). الأساليب التحليلية: تحليل متعدّد المصادر لتحديد أبعاد التمايز مثل دعم الخدمة، التفاعل الشخصي، الخبرة الزمنية، وتقليل وقت وصول المنتج للسوق. النتائج: تبيّن أن مزايا العلاقة (خدمة داعمة، تفاعل شخصي، خبرة معرفية) تُعد أدوات تمييز أقوى وأكثر استدامة من مجرد السعر/المنتج؛ وهذه العوامل مهمة جداً للحصول على وضع المورد الرئيسي. التوصيات: استثمروا في قدرات تقديم الخدمات والفرق ذات المعرفة لتثبيت موقعكم كمورد رئيسي لدى حساباتكم الكبرى.</w:t>
      </w:r>
    </w:p>
    <w:p w14:paraId="060A34B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Sullivan,  Peterson &amp; Krishnan, 2012)</w:t>
      </w:r>
      <w:r w:rsidRPr="00A61745">
        <w:rPr>
          <w:rFonts w:asciiTheme="minorBidi" w:hAnsiTheme="minorBidi"/>
          <w:sz w:val="28"/>
          <w:szCs w:val="28"/>
          <w:rtl/>
          <w:lang w:bidi="ar-EG"/>
        </w:rPr>
        <w:t xml:space="preserve">) إلي فحص كيف تترجم قدرة الشركة على خلق القيمة إلى أداء مبيعات فعلي، وما إذا كان ذلك يتم عبر وسيطَي </w:t>
      </w:r>
      <w:r w:rsidRPr="00A61745">
        <w:rPr>
          <w:rFonts w:asciiTheme="minorBidi" w:hAnsiTheme="minorBidi"/>
          <w:sz w:val="28"/>
          <w:szCs w:val="28"/>
          <w:lang w:bidi="ar-EG"/>
        </w:rPr>
        <w:t>SAM</w:t>
      </w:r>
      <w:r w:rsidRPr="00A61745">
        <w:rPr>
          <w:rFonts w:asciiTheme="minorBidi" w:hAnsiTheme="minorBidi"/>
          <w:sz w:val="28"/>
          <w:szCs w:val="28"/>
          <w:rtl/>
          <w:lang w:bidi="ar-EG"/>
        </w:rPr>
        <w:t xml:space="preserve"> وإدراك العلاقة. المنهج: دراسة كمية قائمة على مسح للشركات/المنظمات (استبانة). المجتمع/العينة: مديري مبيعات وتسويق/مصادر من مؤسسات </w:t>
      </w:r>
      <w:r w:rsidRPr="00A61745">
        <w:rPr>
          <w:rFonts w:asciiTheme="minorBidi" w:hAnsiTheme="minorBidi"/>
          <w:sz w:val="28"/>
          <w:szCs w:val="28"/>
          <w:lang w:bidi="ar-EG"/>
        </w:rPr>
        <w:t>B2B</w:t>
      </w:r>
      <w:r w:rsidRPr="00A61745">
        <w:rPr>
          <w:rFonts w:asciiTheme="minorBidi" w:hAnsiTheme="minorBidi"/>
          <w:sz w:val="28"/>
          <w:szCs w:val="28"/>
          <w:rtl/>
          <w:lang w:bidi="ar-EG"/>
        </w:rPr>
        <w:t>. الأساليب الإحصائية: نمذجة المعادلات الهيكلية (</w:t>
      </w:r>
      <w:r w:rsidRPr="00A61745">
        <w:rPr>
          <w:rFonts w:asciiTheme="minorBidi" w:hAnsiTheme="minorBidi"/>
          <w:sz w:val="28"/>
          <w:szCs w:val="28"/>
          <w:lang w:bidi="ar-EG"/>
        </w:rPr>
        <w:t>SEM</w:t>
      </w:r>
      <w:r w:rsidRPr="00A61745">
        <w:rPr>
          <w:rFonts w:asciiTheme="minorBidi" w:hAnsiTheme="minorBidi"/>
          <w:sz w:val="28"/>
          <w:szCs w:val="28"/>
          <w:rtl/>
          <w:lang w:bidi="ar-EG"/>
        </w:rPr>
        <w:t xml:space="preserve">) لاختبار آثار مباشرة وغير مباشرة/الوساطات. النتائج: قدرة خلق القيمة تؤثر إيجابياً على أداء المبيعات، والتأثير يتوسّطه </w:t>
      </w:r>
      <w:r w:rsidRPr="00A61745">
        <w:rPr>
          <w:rFonts w:asciiTheme="minorBidi" w:hAnsiTheme="minorBidi"/>
          <w:sz w:val="28"/>
          <w:szCs w:val="28"/>
          <w:lang w:bidi="ar-EG"/>
        </w:rPr>
        <w:t>SAM</w:t>
      </w:r>
      <w:r w:rsidRPr="00A61745">
        <w:rPr>
          <w:rFonts w:asciiTheme="minorBidi" w:hAnsiTheme="minorBidi"/>
          <w:sz w:val="28"/>
          <w:szCs w:val="28"/>
          <w:rtl/>
          <w:lang w:bidi="ar-EG"/>
        </w:rPr>
        <w:t xml:space="preserve"> وإدراك العلاقة، مما يدل أن إدارة الحسابات الاستراتيجية تعمل كقناة رئيسية لترجمة القيمة إلى مخرجات مبيعات. التوصيات: استثمار في تطوير قدرات خلق القيمة لدى الموردين (خدمات، معرفة، تحسين عمليات العميل) مع بناء وتطوير برامج </w:t>
      </w:r>
      <w:r w:rsidRPr="00A61745">
        <w:rPr>
          <w:rFonts w:asciiTheme="minorBidi" w:hAnsiTheme="minorBidi"/>
          <w:sz w:val="28"/>
          <w:szCs w:val="28"/>
          <w:lang w:bidi="ar-EG"/>
        </w:rPr>
        <w:t>SAM</w:t>
      </w:r>
      <w:r w:rsidRPr="00A61745">
        <w:rPr>
          <w:rFonts w:asciiTheme="minorBidi" w:hAnsiTheme="minorBidi"/>
          <w:sz w:val="28"/>
          <w:szCs w:val="28"/>
          <w:rtl/>
          <w:lang w:bidi="ar-EG"/>
        </w:rPr>
        <w:t xml:space="preserve"> لالتقاط أثر ذلك في المبيعات.</w:t>
      </w:r>
    </w:p>
    <w:p w14:paraId="5094BE0C"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proofErr w:type="spellStart"/>
      <w:r w:rsidRPr="00A61745">
        <w:rPr>
          <w:rFonts w:asciiTheme="minorBidi" w:hAnsiTheme="minorBidi"/>
          <w:sz w:val="28"/>
          <w:szCs w:val="28"/>
          <w:lang w:bidi="ar-EG"/>
        </w:rPr>
        <w:t>Storbacka</w:t>
      </w:r>
      <w:proofErr w:type="spellEnd"/>
      <w:r w:rsidRPr="00A61745">
        <w:rPr>
          <w:rFonts w:asciiTheme="minorBidi" w:hAnsiTheme="minorBidi"/>
          <w:sz w:val="28"/>
          <w:szCs w:val="28"/>
          <w:lang w:bidi="ar-EG"/>
        </w:rPr>
        <w:t>, 2012)</w:t>
      </w:r>
      <w:r w:rsidRPr="00A61745">
        <w:rPr>
          <w:rFonts w:asciiTheme="minorBidi" w:hAnsiTheme="minorBidi"/>
          <w:sz w:val="28"/>
          <w:szCs w:val="28"/>
          <w:rtl/>
          <w:lang w:bidi="ar-EG"/>
        </w:rPr>
        <w:t xml:space="preserve">) إلي فهم عناصر تصميم برامج </w:t>
      </w:r>
      <w:r w:rsidRPr="00A61745">
        <w:rPr>
          <w:rFonts w:asciiTheme="minorBidi" w:hAnsiTheme="minorBidi"/>
          <w:sz w:val="28"/>
          <w:szCs w:val="28"/>
          <w:lang w:bidi="ar-EG"/>
        </w:rPr>
        <w:t>SAM/KAM</w:t>
      </w:r>
      <w:r w:rsidRPr="00A61745">
        <w:rPr>
          <w:rFonts w:asciiTheme="minorBidi" w:hAnsiTheme="minorBidi"/>
          <w:sz w:val="28"/>
          <w:szCs w:val="28"/>
          <w:rtl/>
          <w:lang w:bidi="ar-EG"/>
        </w:rPr>
        <w:t xml:space="preserve"> وكيفية محاذاة هذه العناصر مع ممارسات الإدارة لرفع فاعلية الحسابات الاستراتيجية. المنهج: منهج «</w:t>
      </w:r>
      <w:r w:rsidRPr="00A61745">
        <w:rPr>
          <w:rFonts w:asciiTheme="minorBidi" w:hAnsiTheme="minorBidi"/>
          <w:sz w:val="28"/>
          <w:szCs w:val="28"/>
          <w:lang w:bidi="ar-EG"/>
        </w:rPr>
        <w:t>systematic combining</w:t>
      </w:r>
      <w:r w:rsidRPr="00A61745">
        <w:rPr>
          <w:rFonts w:asciiTheme="minorBidi" w:hAnsiTheme="minorBidi"/>
          <w:sz w:val="28"/>
          <w:szCs w:val="28"/>
          <w:rtl/>
          <w:lang w:bidi="ar-EG"/>
        </w:rPr>
        <w:t xml:space="preserve">» يمزج مراجعة أدبية مع مقابلات/بيانات من 9 شركات متعددة الجنسيات (دراسة نوعية/تطبيقية). المجتمع/العينة: شركات متعددة الجنسيات مع قائمة برامج </w:t>
      </w:r>
      <w:r w:rsidRPr="00A61745">
        <w:rPr>
          <w:rFonts w:asciiTheme="minorBidi" w:hAnsiTheme="minorBidi"/>
          <w:sz w:val="28"/>
          <w:szCs w:val="28"/>
          <w:lang w:bidi="ar-EG"/>
        </w:rPr>
        <w:t>KAM/SAM</w:t>
      </w:r>
      <w:r w:rsidRPr="00A61745">
        <w:rPr>
          <w:rFonts w:asciiTheme="minorBidi" w:hAnsiTheme="minorBidi"/>
          <w:sz w:val="28"/>
          <w:szCs w:val="28"/>
          <w:rtl/>
          <w:lang w:bidi="ar-EG"/>
        </w:rPr>
        <w:t>. الأساليب التحليلية: تحليل حالات وربط بين عناصر التصميم (مثل تعريف محفظة الحسابات، تخطيط الأعمال لكل حساب، القيمة المقترحة) وإجراءات الإدارة الداخلية. النتائج: تحديد أربع عناصر محورية بين المنظمات (تعريف المحفظة، تخطيط الحساب، عرض القيمة، عملية إدارة الحساب) وأربع عناصر داخلية (الاندماج التنظيمي، دعم القدرات، قياس أداء الحساب، ملف مهارات الفريق). المحاذاة بين هذه العناصر أساسية لنجاح البرنامج. التوصيات: تأكدوا من الاتساق بين تصميم برنامج الحسابات والاستراتيجيات الداخلية (موارد، قياس أداء، تدريب).</w:t>
      </w:r>
    </w:p>
    <w:p w14:paraId="754BB85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Ryals &amp; Davies, 2013)</w:t>
      </w:r>
      <w:r w:rsidRPr="00A61745">
        <w:rPr>
          <w:rFonts w:asciiTheme="minorBidi" w:hAnsiTheme="minorBidi"/>
          <w:sz w:val="28"/>
          <w:szCs w:val="28"/>
          <w:rtl/>
          <w:lang w:bidi="ar-EG"/>
        </w:rPr>
        <w:t>) إلي اختبار ما إذا كان "النية الاستراتيجية" المشتركة فعلاً تفسّر نوعية علاقات الحسابات الرئيسية بين المورد والعميل. المنهج: بحث ذو طابع شبه-نوعي/ثنائي الجوانب (</w:t>
      </w:r>
      <w:r w:rsidRPr="00A61745">
        <w:rPr>
          <w:rFonts w:asciiTheme="minorBidi" w:hAnsiTheme="minorBidi"/>
          <w:sz w:val="28"/>
          <w:szCs w:val="28"/>
          <w:lang w:bidi="ar-EG"/>
        </w:rPr>
        <w:t>dyadic methodology</w:t>
      </w:r>
      <w:r w:rsidRPr="00A61745">
        <w:rPr>
          <w:rFonts w:asciiTheme="minorBidi" w:hAnsiTheme="minorBidi"/>
          <w:sz w:val="28"/>
          <w:szCs w:val="28"/>
          <w:rtl/>
          <w:lang w:bidi="ar-EG"/>
        </w:rPr>
        <w:t xml:space="preserve">): تحليل ( 9 علاقات مورد-عميل، في 18 شركة) مضافًا إليه مقابلات شبه مهيكلة مع مديري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المجتمع/العينة: مجموعات مورِّد-مشتري في </w:t>
      </w:r>
      <w:r w:rsidRPr="00A61745">
        <w:rPr>
          <w:rFonts w:asciiTheme="minorBidi" w:hAnsiTheme="minorBidi"/>
          <w:sz w:val="28"/>
          <w:szCs w:val="28"/>
          <w:rtl/>
          <w:lang w:bidi="ar-EG"/>
        </w:rPr>
        <w:lastRenderedPageBreak/>
        <w:t xml:space="preserve">سياقات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 مديري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شركات مختلفة. الأساليب التحليلية: مقارنة تفاوت النتائج بين أطراف العلاقة وتحليل نوعي للمقابلات. النتائج: وجدوا أن التماهي الاستراتيجي ليس شرطًا لازمًا لوجود علاقة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مستقرة؛ بدلاً من ذلك تَميّزت العلاقات عبر بنية التواصل وطبيعة الخدمة المقدّمة. التوصيات: تقييم بنية الاتصال وخدمات التخصيص داخل الحساب أهم من الإصرار على توافق استراتيجي كامل؛ صمموا هيكل تواصل وخدمة ملائم للحساب</w:t>
      </w:r>
    </w:p>
    <w:p w14:paraId="74EB9D3F"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proofErr w:type="spellStart"/>
      <w:r w:rsidRPr="00A61745">
        <w:rPr>
          <w:rFonts w:asciiTheme="minorBidi" w:hAnsiTheme="minorBidi"/>
          <w:sz w:val="28"/>
          <w:szCs w:val="28"/>
          <w:lang w:bidi="ar-EG"/>
        </w:rPr>
        <w:t>Tzempelikos</w:t>
      </w:r>
      <w:proofErr w:type="spellEnd"/>
      <w:r w:rsidRPr="00A61745">
        <w:rPr>
          <w:rFonts w:asciiTheme="minorBidi" w:hAnsiTheme="minorBidi"/>
          <w:sz w:val="28"/>
          <w:szCs w:val="28"/>
          <w:lang w:bidi="ar-EG"/>
        </w:rPr>
        <w:t xml:space="preserve"> &amp; Gounaris, 2015)</w:t>
      </w:r>
      <w:r w:rsidRPr="00A61745">
        <w:rPr>
          <w:rFonts w:asciiTheme="minorBidi" w:hAnsiTheme="minorBidi"/>
          <w:sz w:val="28"/>
          <w:szCs w:val="28"/>
          <w:rtl/>
          <w:lang w:bidi="ar-EG"/>
        </w:rPr>
        <w:t xml:space="preserve">) إلي تحديد مجموعة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مستويات استراتيجية، تنظيمية، تكتيكية وضبطية، وفحص كيف تفضي هذه الممارسات إلى نتائج أداء ملموسة. المنهج: دراسة كمية استقرائية باستخدام استبانة من عيّنات مهنية في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اختبرت نماذج وسيطية. المجتمع/العينة: مديري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وموظفي المبيعات في شركات </w:t>
      </w:r>
      <w:r w:rsidRPr="00A61745">
        <w:rPr>
          <w:rFonts w:asciiTheme="minorBidi" w:hAnsiTheme="minorBidi"/>
          <w:sz w:val="28"/>
          <w:szCs w:val="28"/>
          <w:lang w:bidi="ar-EG"/>
        </w:rPr>
        <w:t>B2B</w:t>
      </w:r>
      <w:r w:rsidRPr="00A61745">
        <w:rPr>
          <w:rFonts w:asciiTheme="minorBidi" w:hAnsiTheme="minorBidi"/>
          <w:sz w:val="28"/>
          <w:szCs w:val="28"/>
          <w:rtl/>
          <w:lang w:bidi="ar-EG"/>
        </w:rPr>
        <w:t>. الأساليب الإحصائية: اختبارات علاقات سببية/نمذجة وسيطية (</w:t>
      </w:r>
      <w:r w:rsidRPr="00A61745">
        <w:rPr>
          <w:rFonts w:asciiTheme="minorBidi" w:hAnsiTheme="minorBidi"/>
          <w:sz w:val="28"/>
          <w:szCs w:val="28"/>
          <w:lang w:bidi="ar-EG"/>
        </w:rPr>
        <w:t>mediation analyses</w:t>
      </w:r>
      <w:r w:rsidRPr="00A61745">
        <w:rPr>
          <w:rFonts w:asciiTheme="minorBidi" w:hAnsiTheme="minorBidi"/>
          <w:sz w:val="28"/>
          <w:szCs w:val="28"/>
          <w:rtl/>
          <w:lang w:bidi="ar-EG"/>
        </w:rPr>
        <w:t xml:space="preserve">)؛ تحاليل العلاقة بين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والقدرات العلائقية والنتائج. النتائج: تدعم معظم العلاقات المفترضة: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المبلورة جيدًا تعزز القدرات العلائقية التي بدورها تحسّن نتائج الأداء (مالية وعلاقية). التوصيات: بنوا سياسات وإجراءات واضحة على المستويات الأربعة (استراتيجي/تنظيمي/تكتيكي/ضبطي) لتعظيم أثر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الأداء.</w:t>
      </w:r>
    </w:p>
    <w:p w14:paraId="0DFC6A3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 xml:space="preserve">Pillon &amp; </w:t>
      </w:r>
      <w:proofErr w:type="spellStart"/>
      <w:r w:rsidRPr="00A61745">
        <w:rPr>
          <w:rFonts w:asciiTheme="minorBidi" w:hAnsiTheme="minorBidi"/>
          <w:sz w:val="28"/>
          <w:szCs w:val="28"/>
          <w:lang w:bidi="ar-EG"/>
        </w:rPr>
        <w:t>Hadjielias</w:t>
      </w:r>
      <w:proofErr w:type="spellEnd"/>
      <w:r w:rsidRPr="00A61745">
        <w:rPr>
          <w:rFonts w:asciiTheme="minorBidi" w:hAnsiTheme="minorBidi"/>
          <w:sz w:val="28"/>
          <w:szCs w:val="28"/>
          <w:lang w:bidi="ar-EG"/>
        </w:rPr>
        <w:t>, 2017)</w:t>
      </w:r>
      <w:r w:rsidRPr="00A61745">
        <w:rPr>
          <w:rFonts w:asciiTheme="minorBidi" w:hAnsiTheme="minorBidi"/>
          <w:sz w:val="28"/>
          <w:szCs w:val="28"/>
          <w:rtl/>
          <w:lang w:bidi="ar-EG"/>
        </w:rPr>
        <w:t>) إلي استكشاف كيف يعمل إدارة الحسابات الاستراتيجية (</w:t>
      </w:r>
      <w:r w:rsidRPr="00A61745">
        <w:rPr>
          <w:rFonts w:asciiTheme="minorBidi" w:hAnsiTheme="minorBidi"/>
          <w:sz w:val="28"/>
          <w:szCs w:val="28"/>
          <w:lang w:bidi="ar-EG"/>
        </w:rPr>
        <w:t>SAM</w:t>
      </w:r>
      <w:r w:rsidRPr="00A61745">
        <w:rPr>
          <w:rFonts w:asciiTheme="minorBidi" w:hAnsiTheme="minorBidi"/>
          <w:sz w:val="28"/>
          <w:szCs w:val="28"/>
          <w:rtl/>
          <w:lang w:bidi="ar-EG"/>
        </w:rPr>
        <w:t>) كـنموذج لخلق القيمة المشترك (</w:t>
      </w:r>
      <w:r w:rsidRPr="00A61745">
        <w:rPr>
          <w:rFonts w:asciiTheme="minorBidi" w:hAnsiTheme="minorBidi"/>
          <w:sz w:val="28"/>
          <w:szCs w:val="28"/>
          <w:lang w:bidi="ar-EG"/>
        </w:rPr>
        <w:t>value co-creation</w:t>
      </w:r>
      <w:r w:rsidRPr="00A61745">
        <w:rPr>
          <w:rFonts w:asciiTheme="minorBidi" w:hAnsiTheme="minorBidi"/>
          <w:sz w:val="28"/>
          <w:szCs w:val="28"/>
          <w:rtl/>
          <w:lang w:bidi="ar-EG"/>
        </w:rPr>
        <w:t>) في صناعة الأدوية، مع تركيز على علاقات المستشفيات-شركات الأدوية. المنهج: دراسة نوعية استقرائية (</w:t>
      </w:r>
      <w:r w:rsidRPr="00A61745">
        <w:rPr>
          <w:rFonts w:asciiTheme="minorBidi" w:hAnsiTheme="minorBidi"/>
          <w:sz w:val="28"/>
          <w:szCs w:val="28"/>
          <w:lang w:bidi="ar-EG"/>
        </w:rPr>
        <w:t>inductive qualitative</w:t>
      </w:r>
      <w:r w:rsidRPr="00A61745">
        <w:rPr>
          <w:rFonts w:asciiTheme="minorBidi" w:hAnsiTheme="minorBidi"/>
          <w:sz w:val="28"/>
          <w:szCs w:val="28"/>
          <w:rtl/>
          <w:lang w:bidi="ar-EG"/>
        </w:rPr>
        <w:t xml:space="preserve">)؛ بيانات من مقابلات/ملاحظات داخل 11 عميل/مؤسسة (مستشفيات) في كندا. المجتمع/العينة: مندوبي/مديري مشتريات ومستشفيات كمحاورين (11 حالة/مقابلة). الأساليب التحليلية: تحليل موضوعي/قائم على الترميز لاستخراج مظاهر </w:t>
      </w:r>
      <w:r w:rsidRPr="00A61745">
        <w:rPr>
          <w:rFonts w:asciiTheme="minorBidi" w:hAnsiTheme="minorBidi"/>
          <w:sz w:val="28"/>
          <w:szCs w:val="28"/>
          <w:lang w:bidi="ar-EG"/>
        </w:rPr>
        <w:t>co-creation</w:t>
      </w:r>
      <w:r w:rsidRPr="00A61745">
        <w:rPr>
          <w:rFonts w:asciiTheme="minorBidi" w:hAnsiTheme="minorBidi"/>
          <w:sz w:val="28"/>
          <w:szCs w:val="28"/>
          <w:rtl/>
          <w:lang w:bidi="ar-EG"/>
        </w:rPr>
        <w:t xml:space="preserve">. النتائج: حددوا آليات قيمة مشتركة بينها: محاذاة استراتيجيات الحساب، تبادل المعرفة، وتكامل فرق العمل بين المستشفى وشركة الأدوية؛ وجدوا أن </w:t>
      </w:r>
      <w:r w:rsidRPr="00A61745">
        <w:rPr>
          <w:rFonts w:asciiTheme="minorBidi" w:hAnsiTheme="minorBidi"/>
          <w:sz w:val="28"/>
          <w:szCs w:val="28"/>
          <w:lang w:bidi="ar-EG"/>
        </w:rPr>
        <w:t>SAM</w:t>
      </w:r>
      <w:r w:rsidRPr="00A61745">
        <w:rPr>
          <w:rFonts w:asciiTheme="minorBidi" w:hAnsiTheme="minorBidi"/>
          <w:sz w:val="28"/>
          <w:szCs w:val="28"/>
          <w:rtl/>
          <w:lang w:bidi="ar-EG"/>
        </w:rPr>
        <w:t xml:space="preserve"> يمكن أن يحول علاقة بائع-مشتري تقليدية إلى شراكة أكثر استراتيجية تضيف قيمة علاجية وتنظيمية. التوصيات: تطبيق نهج </w:t>
      </w:r>
      <w:r w:rsidRPr="00A61745">
        <w:rPr>
          <w:rFonts w:asciiTheme="minorBidi" w:hAnsiTheme="minorBidi"/>
          <w:sz w:val="28"/>
          <w:szCs w:val="28"/>
          <w:lang w:bidi="ar-EG"/>
        </w:rPr>
        <w:t>SAM</w:t>
      </w:r>
      <w:r w:rsidRPr="00A61745">
        <w:rPr>
          <w:rFonts w:asciiTheme="minorBidi" w:hAnsiTheme="minorBidi"/>
          <w:sz w:val="28"/>
          <w:szCs w:val="28"/>
          <w:rtl/>
          <w:lang w:bidi="ar-EG"/>
        </w:rPr>
        <w:t xml:space="preserve"> المهيكل (خطط حسابية مشتركة، فرق متعددة التخصصات، قنوات تواصل منتظمة) لتحسين نتائج الشراء والامتثال السريري.</w:t>
      </w:r>
    </w:p>
    <w:p w14:paraId="27833185"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proofErr w:type="spellStart"/>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Ivens, </w:t>
      </w:r>
      <w:proofErr w:type="spellStart"/>
      <w:r w:rsidRPr="00A61745">
        <w:rPr>
          <w:rFonts w:asciiTheme="minorBidi" w:hAnsiTheme="minorBidi"/>
          <w:sz w:val="28"/>
          <w:szCs w:val="28"/>
          <w:lang w:bidi="ar-EG"/>
        </w:rPr>
        <w:t>Niersbach</w:t>
      </w:r>
      <w:proofErr w:type="spellEnd"/>
      <w:r w:rsidRPr="00A61745">
        <w:rPr>
          <w:rFonts w:asciiTheme="minorBidi" w:hAnsiTheme="minorBidi"/>
          <w:sz w:val="28"/>
          <w:szCs w:val="28"/>
          <w:lang w:bidi="ar-EG"/>
        </w:rPr>
        <w:t xml:space="preserve"> &amp; Pardo, 2018)</w:t>
      </w:r>
      <w:r w:rsidRPr="00A61745">
        <w:rPr>
          <w:rFonts w:asciiTheme="minorBidi" w:hAnsiTheme="minorBidi"/>
          <w:sz w:val="28"/>
          <w:szCs w:val="28"/>
          <w:rtl/>
          <w:lang w:bidi="ar-EG"/>
        </w:rPr>
        <w:t xml:space="preserve">) إلي تقديم نموذج عملي لتشخيص الحواجز التي تمنع تطبيق برامج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بنجاح داخل الشركات مع التركيز على الفجوات بين التصميم والتنفيذ. المنهج: بحث تطبيقي/نظري جمع بين مراجعة أدبية وتحليل حالة لشركة صناعية كبرى لتطوير نموذج من أربع خطوات. المجتمع/العينة: دراسة حالة متعمقة مع مراجع لممارسات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داخل منظمة كبيرة وعبر مقابلات داخلية. أساليب التحليل: استنباطي/تحليلي: بناء </w:t>
      </w:r>
      <w:r w:rsidRPr="00A61745">
        <w:rPr>
          <w:rFonts w:asciiTheme="minorBidi" w:hAnsiTheme="minorBidi"/>
          <w:sz w:val="28"/>
          <w:szCs w:val="28"/>
          <w:rtl/>
          <w:lang w:bidi="ar-EG"/>
        </w:rPr>
        <w:lastRenderedPageBreak/>
        <w:t xml:space="preserve">نموذج من البيانات النوعية (مقابلات، مراجعة وثائق)، ثم توضيح خطوات تشخيصية قابلة للتطبيق. النتائج: حددوا أربع خطوات لعملية التشخيص (التضمين، التمايز، التكامل، المحاذاة) حيث أن أي خلل في هذه المراحل يؤدي لفشل تنفيذ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أبرزوا حواجز شائعة كضعف التكامل الداخلي وغياب محاسبة أداء مخصصة للحسابات. التوصيات: اتّباع نموذج التشخيص الأربع-خطوات لتحديد وإصلاح الفجوات، تعزيز التكامل بين وظائف الشركة، وتطوير مؤشرات أداء خاصة بالحسابات الرئيسية مع مكافآت متوافقة. </w:t>
      </w:r>
    </w:p>
    <w:p w14:paraId="6F0F92FB"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 xml:space="preserve">Ivens,  </w:t>
      </w:r>
      <w:proofErr w:type="spellStart"/>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Pardo &amp; </w:t>
      </w:r>
      <w:proofErr w:type="spellStart"/>
      <w:r w:rsidRPr="00A61745">
        <w:rPr>
          <w:rFonts w:asciiTheme="minorBidi" w:hAnsiTheme="minorBidi"/>
          <w:sz w:val="28"/>
          <w:szCs w:val="28"/>
          <w:lang w:bidi="ar-EG"/>
        </w:rPr>
        <w:t>Niersbach</w:t>
      </w:r>
      <w:proofErr w:type="spellEnd"/>
      <w:r w:rsidRPr="00A61745">
        <w:rPr>
          <w:rFonts w:asciiTheme="minorBidi" w:hAnsiTheme="minorBidi"/>
          <w:sz w:val="28"/>
          <w:szCs w:val="28"/>
          <w:lang w:bidi="ar-EG"/>
        </w:rPr>
        <w:t>, 2018)</w:t>
      </w:r>
      <w:r w:rsidRPr="00A61745">
        <w:rPr>
          <w:rFonts w:asciiTheme="minorBidi" w:hAnsiTheme="minorBidi"/>
          <w:sz w:val="28"/>
          <w:szCs w:val="28"/>
          <w:rtl/>
          <w:lang w:bidi="ar-EG"/>
        </w:rPr>
        <w:t xml:space="preserve">) إلي بناء إطار نظري يقوّم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ليس كممارسات منفصلة فحسب، بل كقدرة مؤسسية متعددة المستويات (</w:t>
      </w:r>
      <w:r w:rsidRPr="00A61745">
        <w:rPr>
          <w:rFonts w:asciiTheme="minorBidi" w:hAnsiTheme="minorBidi"/>
          <w:sz w:val="28"/>
          <w:szCs w:val="28"/>
          <w:lang w:bidi="ar-EG"/>
        </w:rPr>
        <w:t>firm capability</w:t>
      </w:r>
      <w:r w:rsidRPr="00A61745">
        <w:rPr>
          <w:rFonts w:asciiTheme="minorBidi" w:hAnsiTheme="minorBidi"/>
          <w:sz w:val="28"/>
          <w:szCs w:val="28"/>
          <w:rtl/>
          <w:lang w:bidi="ar-EG"/>
        </w:rPr>
        <w:t xml:space="preserve">) تربط الموارد، العمليات، والأداء. المنهج: مقالة نظرية مدعومة بتحليل مفاهيمي ومراجعة أدبية مع أمثلة تطبيقية؛ طوّروا نموذجًا ثنائي المستويات يربط القدرات الفردية بممارسات الشركة. المجتمع/العينة: لم تُقدِّم الدراسة عينة مسحية لأنها دراسية-نظرية، لكنها استندت إلى أدلة ونماذج من حالات تطبيقية في قطاعات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أساليب التحليل: بناء نظري، تجميع مفاهيمي، واستنتاج آليات تُسهم في جعل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قدرة تنافسية مستدامة. النتائج: عرضت الدراسة نموذجًا يُظهر كيف يجب على المؤسسات تنسيق البُنية الداخلية، التعلم التنظيمي، والمهارات الفردية لتحويل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إلى قدرة تُولّد مزايا تنافسية. التوصيات: استثمار مؤسسي (هيكل، تدريب، نظم معلومات) لتحويل ممارسات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إلى </w:t>
      </w:r>
      <w:r w:rsidRPr="00A61745">
        <w:rPr>
          <w:rFonts w:asciiTheme="minorBidi" w:hAnsiTheme="minorBidi"/>
          <w:sz w:val="28"/>
          <w:szCs w:val="28"/>
          <w:lang w:bidi="ar-EG"/>
        </w:rPr>
        <w:t>capability</w:t>
      </w:r>
      <w:r w:rsidRPr="00A61745">
        <w:rPr>
          <w:rFonts w:asciiTheme="minorBidi" w:hAnsiTheme="minorBidi"/>
          <w:sz w:val="28"/>
          <w:szCs w:val="28"/>
          <w:rtl/>
          <w:lang w:bidi="ar-EG"/>
        </w:rPr>
        <w:t xml:space="preserve"> منظّم يقود أداءً مستدامًا؛ إجراء تقييمات داخلية لقياس تطور قدرة </w:t>
      </w:r>
      <w:r w:rsidRPr="00A61745">
        <w:rPr>
          <w:rFonts w:asciiTheme="minorBidi" w:hAnsiTheme="minorBidi"/>
          <w:sz w:val="28"/>
          <w:szCs w:val="28"/>
          <w:lang w:bidi="ar-EG"/>
        </w:rPr>
        <w:t>KAM</w:t>
      </w:r>
      <w:r w:rsidRPr="00A61745">
        <w:rPr>
          <w:rFonts w:asciiTheme="minorBidi" w:hAnsiTheme="minorBidi"/>
          <w:sz w:val="28"/>
          <w:szCs w:val="28"/>
          <w:rtl/>
          <w:lang w:bidi="ar-EG"/>
        </w:rPr>
        <w:t>.</w:t>
      </w:r>
    </w:p>
    <w:p w14:paraId="438694F4"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r w:rsidRPr="00A61745">
        <w:rPr>
          <w:rFonts w:asciiTheme="minorBidi" w:hAnsiTheme="minorBidi"/>
          <w:sz w:val="28"/>
          <w:szCs w:val="28"/>
          <w:lang w:bidi="ar-EG"/>
        </w:rPr>
        <w:t xml:space="preserve">Pardo, Ivens, &amp; </w:t>
      </w:r>
      <w:proofErr w:type="spellStart"/>
      <w:r w:rsidRPr="00A61745">
        <w:rPr>
          <w:rFonts w:asciiTheme="minorBidi" w:hAnsiTheme="minorBidi"/>
          <w:sz w:val="28"/>
          <w:szCs w:val="28"/>
          <w:lang w:bidi="ar-EG"/>
        </w:rPr>
        <w:t>Niersbach</w:t>
      </w:r>
      <w:proofErr w:type="spellEnd"/>
      <w:r w:rsidRPr="00A61745">
        <w:rPr>
          <w:rFonts w:asciiTheme="minorBidi" w:hAnsiTheme="minorBidi"/>
          <w:sz w:val="28"/>
          <w:szCs w:val="28"/>
          <w:lang w:bidi="ar-EG"/>
        </w:rPr>
        <w:t>, 2019)</w:t>
      </w:r>
      <w:r w:rsidRPr="00A61745">
        <w:rPr>
          <w:rFonts w:asciiTheme="minorBidi" w:hAnsiTheme="minorBidi"/>
          <w:sz w:val="28"/>
          <w:szCs w:val="28"/>
          <w:rtl/>
          <w:lang w:bidi="ar-EG"/>
        </w:rPr>
        <w:t>) إلي دراسة كيف يتعامل مدراء الحسابات الرئيسية مع التوترات والتناقضات (</w:t>
      </w:r>
      <w:r w:rsidRPr="00A61745">
        <w:rPr>
          <w:rFonts w:asciiTheme="minorBidi" w:hAnsiTheme="minorBidi"/>
          <w:sz w:val="28"/>
          <w:szCs w:val="28"/>
          <w:lang w:bidi="ar-EG"/>
        </w:rPr>
        <w:t>paradoxes</w:t>
      </w:r>
      <w:r w:rsidRPr="00A61745">
        <w:rPr>
          <w:rFonts w:asciiTheme="minorBidi" w:hAnsiTheme="minorBidi"/>
          <w:sz w:val="28"/>
          <w:szCs w:val="28"/>
          <w:rtl/>
          <w:lang w:bidi="ar-EG"/>
        </w:rPr>
        <w:t xml:space="preserve">) في أدوارهم، مع التركيز على هوية المدير كعامل تيسيري أو معيق. المنهج: دراسة نوعية/تحليلية استنادًا إلى مقابلات وحالات مع مدراء حسابات رئيسية في مؤسسات متعددة. المجتمع/العينة: مدراء حسابات من شركات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متعددة، استخدمت الدراسة بيانات مقابلات معمقة وتحليلات حالية لتكوين الفرضيات. أساليب التحليل: تحليل نوعي للبيانات النوعية مع بناء مفاهيمي لهويات متعدِّدة وديناميكيات التعامل مع التناقضات (مثلاً بين تحقيق المبيعات والحفاظ على علاقة طويلة الأمد). النتائج: أظهرت الدراسة أن مديري الحسابات غالبًا ما يعملون في هويات متناقضة (بائع-مستشار-مدير مشروع) وأن إدراكهم لهذه الهويات ومرونتهم في التنقل بينها يؤثر على جودة العلاقات ونجاح تنفيذ استراتيجيات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التوصيات: تطوير برامج دعم هويات مهنية متعددة لمديري الحساب (تدريب على المرونة، آليات تحفيز متعددة الأبعاد، وإعادة تصميم أدوار لتقليل الصراعات الإجرائية). </w:t>
      </w:r>
    </w:p>
    <w:p w14:paraId="1D0D3287"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Feste, Ivens &amp; Pardo, 2020)</w:t>
      </w:r>
      <w:r w:rsidRPr="00A61745">
        <w:rPr>
          <w:rFonts w:asciiTheme="minorBidi" w:hAnsiTheme="minorBidi"/>
          <w:sz w:val="28"/>
          <w:szCs w:val="28"/>
          <w:rtl/>
          <w:lang w:bidi="ar-EG"/>
        </w:rPr>
        <w:t>) إلي كشف البُعد السياسي الداخلي لعملية اختيار الحسابات الرئيسية (</w:t>
      </w:r>
      <w:r w:rsidRPr="00A61745">
        <w:rPr>
          <w:rFonts w:asciiTheme="minorBidi" w:hAnsiTheme="minorBidi"/>
          <w:sz w:val="28"/>
          <w:szCs w:val="28"/>
          <w:lang w:bidi="ar-EG"/>
        </w:rPr>
        <w:t>KA selection</w:t>
      </w:r>
      <w:r w:rsidRPr="00A61745">
        <w:rPr>
          <w:rFonts w:asciiTheme="minorBidi" w:hAnsiTheme="minorBidi"/>
          <w:sz w:val="28"/>
          <w:szCs w:val="28"/>
          <w:rtl/>
          <w:lang w:bidi="ar-EG"/>
        </w:rPr>
        <w:t xml:space="preserve">) داخل المنظمات — أي كيف تؤثر المصالح </w:t>
      </w:r>
      <w:r w:rsidRPr="00A61745">
        <w:rPr>
          <w:rFonts w:asciiTheme="minorBidi" w:hAnsiTheme="minorBidi"/>
          <w:sz w:val="28"/>
          <w:szCs w:val="28"/>
          <w:rtl/>
          <w:lang w:bidi="ar-EG"/>
        </w:rPr>
        <w:lastRenderedPageBreak/>
        <w:t xml:space="preserve">الداخلية والأبعاد السياسية على قرار اختيار الحسابات. المنهج: دراسة نوعية استكشافية مبنية على مقابلات وحالات تحليلية لمدراء واتخاذ قرار داخل شركات </w:t>
      </w:r>
      <w:r w:rsidRPr="00A61745">
        <w:rPr>
          <w:rFonts w:asciiTheme="minorBidi" w:hAnsiTheme="minorBidi"/>
          <w:sz w:val="28"/>
          <w:szCs w:val="28"/>
          <w:lang w:bidi="ar-EG"/>
        </w:rPr>
        <w:t>B2B</w:t>
      </w:r>
      <w:r w:rsidRPr="00A61745">
        <w:rPr>
          <w:rFonts w:asciiTheme="minorBidi" w:hAnsiTheme="minorBidi"/>
          <w:sz w:val="28"/>
          <w:szCs w:val="28"/>
          <w:rtl/>
          <w:lang w:bidi="ar-EG"/>
        </w:rPr>
        <w:t xml:space="preserve">. المجتمع/العينة: مدراء تنفيذيون ومدراء مبيعات ويمثلون جهات صنع القرار داخل شركات مختلفة شاركوا بخبراتهم (دراسة حالات متعددة). أساليب التحليل: تحليل نوعي للمقابلات، استخلاص موضوعات متكررة وإطار مفاهيمي لشرح العمليات السياسية والهيكلية في اختيار الحسابات. النتائج: أوضحت الدراسة أن اختيار الحسابات ليس عملية تقنية محايدة وإنما محاطة بصراعات ومصالح داخلية (موارد، نفوذ، اعتبارات استراتيجية) تؤثر في التحديد النهائي للحسابات الرئيسية. التوصيات: الشفافية في معايير الاختيار، إشراك أصحاب المصالح المتعدِّدين ووضع آليات حوكمة تقلل الانحياز السياسي داخل عملية اختيار الحسابات. </w:t>
      </w:r>
    </w:p>
    <w:p w14:paraId="1E582F60"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r w:rsidRPr="00A61745">
        <w:rPr>
          <w:rFonts w:asciiTheme="minorBidi" w:hAnsiTheme="minorBidi"/>
          <w:sz w:val="28"/>
          <w:szCs w:val="28"/>
          <w:lang w:bidi="ar-EG"/>
        </w:rPr>
        <w:t>Peters, Ivens,  &amp; Pardo, 2020)</w:t>
      </w:r>
      <w:r w:rsidRPr="00A61745">
        <w:rPr>
          <w:rFonts w:asciiTheme="minorBidi" w:hAnsiTheme="minorBidi"/>
          <w:sz w:val="28"/>
          <w:szCs w:val="28"/>
          <w:rtl/>
          <w:lang w:bidi="ar-EG"/>
        </w:rPr>
        <w:t xml:space="preserve">) إلي تقديم مفهوم "الهوية/التعريف" كعامل تحدّي في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كيف يُعرِّف الموظفون أنفسهم ودورهم داخل منظومة الحسابات الرئيسية، وتأثير ذلك على التنفيذ. المنهج: دراسة نوعية مبنية على مقابلات عميقة وبيانات حالة من منظمات تمارس </w:t>
      </w:r>
      <w:r w:rsidRPr="00A61745">
        <w:rPr>
          <w:rFonts w:asciiTheme="minorBidi" w:hAnsiTheme="minorBidi"/>
          <w:sz w:val="28"/>
          <w:szCs w:val="28"/>
          <w:lang w:bidi="ar-EG"/>
        </w:rPr>
        <w:t>KAM</w:t>
      </w:r>
      <w:r w:rsidRPr="00A61745">
        <w:rPr>
          <w:rFonts w:asciiTheme="minorBidi" w:hAnsiTheme="minorBidi"/>
          <w:sz w:val="28"/>
          <w:szCs w:val="28"/>
          <w:rtl/>
          <w:lang w:bidi="ar-EG"/>
        </w:rPr>
        <w:t>. المجتمع/العينة: مدراء حسابات رئيسية، مدراء مبيعات، ومدراء تنفيذيين في شركات صناعية؛ تحليلات مستمدة من مجموعة حالات متعددة، و 218 مشارك. أساليب التحليل: تحليل موضوعي (</w:t>
      </w:r>
      <w:r w:rsidRPr="00A61745">
        <w:rPr>
          <w:rFonts w:asciiTheme="minorBidi" w:hAnsiTheme="minorBidi"/>
          <w:sz w:val="28"/>
          <w:szCs w:val="28"/>
          <w:lang w:bidi="ar-EG"/>
        </w:rPr>
        <w:t>thematic analysis</w:t>
      </w:r>
      <w:r w:rsidRPr="00A61745">
        <w:rPr>
          <w:rFonts w:asciiTheme="minorBidi" w:hAnsiTheme="minorBidi"/>
          <w:sz w:val="28"/>
          <w:szCs w:val="28"/>
          <w:rtl/>
          <w:lang w:bidi="ar-EG"/>
        </w:rPr>
        <w:t xml:space="preserve">) وربط البنى المفاهيمية بهويات مديري الحساب وتأثيرها على الأداء والسلوك. النتائج: هوية مدير الحساب (مثلاً: هل يرى نفسه/نفسها بائعًا أم مستشارًا أم مديرًا إستراتيجياً) تؤثر بقوة في كيفية تصميم التداخل المؤسسي، توزيع المهام، واستراتيجيات التفاعل مع العميل. التوصيات: تدريب وتوصيف وظائف واضح لمديري الحساب، دعم الهويات المهنية التي تتناسب مع أهداف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(مثل الهوية الاستشارية للتركيز على </w:t>
      </w:r>
      <w:r w:rsidRPr="00A61745">
        <w:rPr>
          <w:rFonts w:asciiTheme="minorBidi" w:hAnsiTheme="minorBidi"/>
          <w:sz w:val="28"/>
          <w:szCs w:val="28"/>
          <w:lang w:bidi="ar-EG"/>
        </w:rPr>
        <w:t>co-creation</w:t>
      </w:r>
      <w:r w:rsidRPr="00A61745">
        <w:rPr>
          <w:rFonts w:asciiTheme="minorBidi" w:hAnsiTheme="minorBidi"/>
          <w:sz w:val="28"/>
          <w:szCs w:val="28"/>
          <w:rtl/>
          <w:lang w:bidi="ar-EG"/>
        </w:rPr>
        <w:t xml:space="preserve">) وتحسين آليات التقييم لتتوافق مع الهوية المُتوقعة. </w:t>
      </w:r>
    </w:p>
    <w:p w14:paraId="381E308B"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وهدفت دراسة </w:t>
      </w:r>
      <w:r w:rsidRPr="00A61745">
        <w:rPr>
          <w:rFonts w:asciiTheme="minorBidi" w:hAnsiTheme="minorBidi"/>
          <w:sz w:val="28"/>
          <w:szCs w:val="28"/>
          <w:lang w:bidi="ar-EG"/>
        </w:rPr>
        <w:t>Leone, Schiavone,  &amp; Simoni, 2021)</w:t>
      </w:r>
      <w:r w:rsidRPr="00A61745">
        <w:rPr>
          <w:rFonts w:asciiTheme="minorBidi" w:hAnsiTheme="minorBidi"/>
          <w:sz w:val="28"/>
          <w:szCs w:val="28"/>
          <w:rtl/>
          <w:lang w:bidi="ar-EG"/>
        </w:rPr>
        <w:t xml:space="preserve">) إلي فحص دور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تعزيز </w:t>
      </w:r>
      <w:r w:rsidRPr="00A61745">
        <w:rPr>
          <w:rFonts w:asciiTheme="minorBidi" w:hAnsiTheme="minorBidi"/>
          <w:sz w:val="28"/>
          <w:szCs w:val="28"/>
          <w:lang w:bidi="ar-EG"/>
        </w:rPr>
        <w:t>co-creation</w:t>
      </w:r>
      <w:r w:rsidRPr="00A61745">
        <w:rPr>
          <w:rFonts w:asciiTheme="minorBidi" w:hAnsiTheme="minorBidi"/>
          <w:sz w:val="28"/>
          <w:szCs w:val="28"/>
          <w:rtl/>
          <w:lang w:bidi="ar-EG"/>
        </w:rPr>
        <w:t xml:space="preserve"> في منظومات متعددة أصحاب المصلحة، مع استحضار بُعد "</w:t>
      </w:r>
      <w:r w:rsidRPr="00A61745">
        <w:rPr>
          <w:rFonts w:asciiTheme="minorBidi" w:hAnsiTheme="minorBidi"/>
          <w:sz w:val="28"/>
          <w:szCs w:val="28"/>
          <w:lang w:bidi="ar-EG"/>
        </w:rPr>
        <w:t>market access</w:t>
      </w:r>
      <w:r w:rsidRPr="00A61745">
        <w:rPr>
          <w:rFonts w:asciiTheme="minorBidi" w:hAnsiTheme="minorBidi"/>
          <w:sz w:val="28"/>
          <w:szCs w:val="28"/>
          <w:rtl/>
          <w:lang w:bidi="ar-EG"/>
        </w:rPr>
        <w:t>" المهم لصناعات الرعاية الصحية/الأدوية. المنهج: مقاربة متعددة الحالات/تحليل شبكي يدمج منظور النظم (</w:t>
      </w:r>
      <w:r w:rsidRPr="00A61745">
        <w:rPr>
          <w:rFonts w:asciiTheme="minorBidi" w:hAnsiTheme="minorBidi"/>
          <w:sz w:val="28"/>
          <w:szCs w:val="28"/>
          <w:lang w:bidi="ar-EG"/>
        </w:rPr>
        <w:t>multi-stakeholder ecosystems</w:t>
      </w:r>
      <w:r w:rsidRPr="00A61745">
        <w:rPr>
          <w:rFonts w:asciiTheme="minorBidi" w:hAnsiTheme="minorBidi"/>
          <w:sz w:val="28"/>
          <w:szCs w:val="28"/>
          <w:rtl/>
          <w:lang w:bidi="ar-EG"/>
        </w:rPr>
        <w:t xml:space="preserve">). المجتمع/العينة: دراسات حالات عبر قطاعات رعاية صحية وصناعات ذات صلة؛ شمول أمثلة تطبيقية تدعم البناء النظري. الأساليب التحليلية: تحليلٍ نوعي للحالات وربطها بإطار </w:t>
      </w:r>
      <w:r w:rsidRPr="00A61745">
        <w:rPr>
          <w:rFonts w:asciiTheme="minorBidi" w:hAnsiTheme="minorBidi"/>
          <w:sz w:val="28"/>
          <w:szCs w:val="28"/>
          <w:lang w:bidi="ar-EG"/>
        </w:rPr>
        <w:t>market-access</w:t>
      </w:r>
      <w:r w:rsidRPr="00A61745">
        <w:rPr>
          <w:rFonts w:asciiTheme="minorBidi" w:hAnsiTheme="minorBidi"/>
          <w:sz w:val="28"/>
          <w:szCs w:val="28"/>
          <w:rtl/>
          <w:lang w:bidi="ar-EG"/>
        </w:rPr>
        <w:t xml:space="preserve"> لإبراز مزيج أدوات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النتائج: أوضحوا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الفعّال في سياق الرعاية الصحية يحتاج إلى تنسيق عبر جهات تنظيمية، مقدمي خدمات صحية، ومدى التخصيص في سياسات دخول السوق — وأن أنشطة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يمكن أن تكون محركًا رئيسيًا لتمكين الوصول إلى السوق وخلق قيمة مشتركة. التوصيات: توسيع مهام فرق </w:t>
      </w:r>
      <w:r w:rsidRPr="00A61745">
        <w:rPr>
          <w:rFonts w:asciiTheme="minorBidi" w:hAnsiTheme="minorBidi"/>
          <w:sz w:val="28"/>
          <w:szCs w:val="28"/>
          <w:rtl/>
          <w:lang w:bidi="ar-EG"/>
        </w:rPr>
        <w:lastRenderedPageBreak/>
        <w:t xml:space="preserve">الحسابات الرئيسية لتشمل استراتيجيات دخول السوق والتواصل مع الجهات التنظيمية والمؤسسات الصحية؛ تدريب فرق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على فهم السياسات.</w:t>
      </w:r>
    </w:p>
    <w:p w14:paraId="793926F3"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 xml:space="preserve">كما هدفت دراسة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Ivens, Spencer &amp; Weibel, 2022)</w:t>
      </w:r>
      <w:r w:rsidRPr="00A61745">
        <w:rPr>
          <w:rFonts w:asciiTheme="minorBidi" w:hAnsiTheme="minorBidi"/>
          <w:sz w:val="28"/>
          <w:szCs w:val="28"/>
          <w:rtl/>
          <w:lang w:bidi="ar-EG"/>
        </w:rPr>
        <w:t>) إلي تحديث تصنيفات إدارة الحسابات الرئيسية (</w:t>
      </w:r>
      <w:r w:rsidRPr="00A61745">
        <w:rPr>
          <w:rFonts w:asciiTheme="minorBidi" w:hAnsiTheme="minorBidi"/>
          <w:sz w:val="28"/>
          <w:szCs w:val="28"/>
          <w:lang w:bidi="ar-EG"/>
        </w:rPr>
        <w:t>KAM</w:t>
      </w:r>
      <w:r w:rsidRPr="00A61745">
        <w:rPr>
          <w:rFonts w:asciiTheme="minorBidi" w:hAnsiTheme="minorBidi"/>
          <w:sz w:val="28"/>
          <w:szCs w:val="28"/>
          <w:rtl/>
          <w:lang w:bidi="ar-EG"/>
        </w:rPr>
        <w:t>) واختبار أي التراكيب التنظيمية والقدرات مرتبطة بأفضل فعالية أداء. المنهج: دراسة كمية استقصائية واسعة مع منهج تكويني (</w:t>
      </w:r>
      <w:r w:rsidRPr="00A61745">
        <w:rPr>
          <w:rFonts w:asciiTheme="minorBidi" w:hAnsiTheme="minorBidi"/>
          <w:sz w:val="28"/>
          <w:szCs w:val="28"/>
          <w:lang w:bidi="ar-EG"/>
        </w:rPr>
        <w:t>quasi-replication</w:t>
      </w:r>
      <w:r w:rsidRPr="00A61745">
        <w:rPr>
          <w:rFonts w:asciiTheme="minorBidi" w:hAnsiTheme="minorBidi"/>
          <w:sz w:val="28"/>
          <w:szCs w:val="28"/>
          <w:rtl/>
          <w:lang w:bidi="ar-EG"/>
        </w:rPr>
        <w:t xml:space="preserve">) استخدمت استبانة وطنية/عبر-دولية لتحليل تكوينات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المجتمع/العينة: مدراء مبيعات/مدراء حسابات من مؤسسات </w:t>
      </w:r>
      <w:r w:rsidRPr="00A61745">
        <w:rPr>
          <w:rFonts w:asciiTheme="minorBidi" w:hAnsiTheme="minorBidi"/>
          <w:sz w:val="28"/>
          <w:szCs w:val="28"/>
          <w:lang w:bidi="ar-EG"/>
        </w:rPr>
        <w:t>B2B</w:t>
      </w:r>
      <w:r w:rsidRPr="00A61745">
        <w:rPr>
          <w:rFonts w:asciiTheme="minorBidi" w:hAnsiTheme="minorBidi"/>
          <w:sz w:val="28"/>
          <w:szCs w:val="28"/>
          <w:rtl/>
          <w:lang w:bidi="ar-EG"/>
        </w:rPr>
        <w:t>؛ العينة المعلنة في الدراسة: 411 مشاركاً من بيئات صناعية متنوعة. أساليب التحليل: تحليل تكويني متقدم (</w:t>
      </w:r>
      <w:r w:rsidRPr="00A61745">
        <w:rPr>
          <w:rFonts w:asciiTheme="minorBidi" w:hAnsiTheme="minorBidi"/>
          <w:sz w:val="28"/>
          <w:szCs w:val="28"/>
          <w:lang w:bidi="ar-EG"/>
        </w:rPr>
        <w:t>latent class / taxonomy</w:t>
      </w:r>
      <w:r w:rsidRPr="00A61745">
        <w:rPr>
          <w:rFonts w:asciiTheme="minorBidi" w:hAnsiTheme="minorBidi"/>
          <w:sz w:val="28"/>
          <w:szCs w:val="28"/>
          <w:rtl/>
          <w:lang w:bidi="ar-EG"/>
        </w:rPr>
        <w:t>) وربط التكوينات بمتغيرات الأداء؛ اختبارات فرق وتحليلات متعددة المتغيرات. النتائج: حددوا خمسة تكوينات مختلفة لـ</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تعكس احترافية متباينة؛ قدرات </w:t>
      </w:r>
      <w:r w:rsidRPr="00A61745">
        <w:rPr>
          <w:rFonts w:asciiTheme="minorBidi" w:hAnsiTheme="minorBidi"/>
          <w:sz w:val="28"/>
          <w:szCs w:val="28"/>
          <w:lang w:bidi="ar-EG"/>
        </w:rPr>
        <w:t>KAM capabilities</w:t>
      </w:r>
      <w:r w:rsidRPr="00A61745">
        <w:rPr>
          <w:rFonts w:asciiTheme="minorBidi" w:hAnsiTheme="minorBidi"/>
          <w:sz w:val="28"/>
          <w:szCs w:val="28"/>
          <w:rtl/>
          <w:lang w:bidi="ar-EG"/>
        </w:rPr>
        <w:t xml:space="preserve"> واتصال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إلكترونياً (بما في ذلك استخدام وسائل التواصل الاجتماعي) كانت محددات هامة لفاعلية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وأداء الحسابات. التوصيات: صُمِّم برامج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وفق تكوينات تتوافق مع موارد المنظمة واستثمروا في قدرات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الرقمية والتواصلية لرفع الفاعلية السوقية. </w:t>
      </w:r>
    </w:p>
    <w:p w14:paraId="20982C0B"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التعليق العام على الدراسات السابقة:</w:t>
      </w:r>
    </w:p>
    <w:p w14:paraId="08DE6DE7"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تظهر الدراسات الست عشرة مجتمعة أن إدارة الحسابات الرئيسية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أصبحت عنصرًا محوريًا في المنظمات التي تعمل وفق نموذج </w:t>
      </w:r>
      <w:r w:rsidRPr="00A61745">
        <w:rPr>
          <w:rFonts w:asciiTheme="minorBidi" w:hAnsiTheme="minorBidi"/>
          <w:sz w:val="28"/>
          <w:szCs w:val="28"/>
          <w:lang w:bidi="ar-EG"/>
        </w:rPr>
        <w:t>B2B</w:t>
      </w:r>
      <w:r w:rsidRPr="00A61745">
        <w:rPr>
          <w:rFonts w:asciiTheme="minorBidi" w:hAnsiTheme="minorBidi"/>
          <w:sz w:val="28"/>
          <w:szCs w:val="28"/>
          <w:rtl/>
          <w:lang w:bidi="ar-EG"/>
        </w:rPr>
        <w:t>، وبشكل خاص في شركات الأدوية التي تعتمد بدرجة كبيرة على بناء علاقات استراتيجية مع العملاء الرئيسيين. فقد أكدت دراسة (</w:t>
      </w:r>
      <w:r w:rsidRPr="00A61745">
        <w:rPr>
          <w:rFonts w:asciiTheme="minorBidi" w:hAnsiTheme="minorBidi"/>
          <w:sz w:val="28"/>
          <w:szCs w:val="28"/>
          <w:lang w:bidi="ar-EG"/>
        </w:rPr>
        <w:t>Feste et al. ,2020</w:t>
      </w:r>
      <w:r w:rsidRPr="00A61745">
        <w:rPr>
          <w:rFonts w:asciiTheme="minorBidi" w:hAnsiTheme="minorBidi"/>
          <w:sz w:val="28"/>
          <w:szCs w:val="28"/>
          <w:rtl/>
          <w:lang w:bidi="ar-EG"/>
        </w:rPr>
        <w:t xml:space="preserve">)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عملية سياسية وتنظيمية معقدة تتطلب تنسيقًا عاليًا بين الإدارات. كما أبرزت دراسة (</w:t>
      </w:r>
      <w:proofErr w:type="spellStart"/>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et al. ,2018</w:t>
      </w:r>
      <w:r w:rsidRPr="00A61745">
        <w:rPr>
          <w:rFonts w:asciiTheme="minorBidi" w:hAnsiTheme="minorBidi"/>
          <w:sz w:val="28"/>
          <w:szCs w:val="28"/>
          <w:rtl/>
          <w:lang w:bidi="ar-EG"/>
        </w:rPr>
        <w:t xml:space="preserve">) أن نجاح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يتوقف على القدرة على تحديد فجوات التطبيق داخل الشركات. أما في سياق الأداء البيعي، فقد أوضحت دراسة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 2022</w:t>
      </w:r>
      <w:r w:rsidRPr="00A61745">
        <w:rPr>
          <w:rFonts w:asciiTheme="minorBidi" w:hAnsiTheme="minorBidi"/>
          <w:sz w:val="28"/>
          <w:szCs w:val="28"/>
          <w:rtl/>
          <w:lang w:bidi="ar-EG"/>
        </w:rPr>
        <w:t xml:space="preserve">) أن وجود تكوينات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فعّالة يؤدي إلى تحسينات واضحة في نتائج العلاقة والأداء. وفي قطاع الأدوية تحديدًا، أشارت عدة دراسات تطبيقية ضمن العشر الأولى إلى أن التواصل الفعّال والثقة المتبادلة بين مندوبي الشركات والأطباء أو المؤسسات الصحية يساهم في تعزيز الرضا والولاء، وهو ما يتسق مع نتائج دراسة ( </w:t>
      </w:r>
      <w:r w:rsidRPr="00A61745">
        <w:rPr>
          <w:rFonts w:asciiTheme="minorBidi" w:hAnsiTheme="minorBidi"/>
          <w:sz w:val="28"/>
          <w:szCs w:val="28"/>
          <w:lang w:bidi="ar-EG"/>
        </w:rPr>
        <w:t>Pardo et al., 2019</w:t>
      </w:r>
      <w:r w:rsidRPr="00A61745">
        <w:rPr>
          <w:rFonts w:asciiTheme="minorBidi" w:hAnsiTheme="minorBidi"/>
          <w:sz w:val="28"/>
          <w:szCs w:val="28"/>
          <w:rtl/>
          <w:lang w:bidi="ar-EG"/>
        </w:rPr>
        <w:t>) التي ربطت بين دور مدير الحساب الرئيسي وإدارة العلاقات المعقدة مع العملاء.</w:t>
      </w:r>
    </w:p>
    <w:p w14:paraId="582AEA78" w14:textId="77777777" w:rsidR="00E75B26" w:rsidRPr="00A61745" w:rsidRDefault="00E75B26" w:rsidP="00A61745">
      <w:pPr>
        <w:pStyle w:val="ListParagraph"/>
        <w:numPr>
          <w:ilvl w:val="0"/>
          <w:numId w:val="26"/>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أوجه الاتفاق:</w:t>
      </w:r>
    </w:p>
    <w:p w14:paraId="0171D63D"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lastRenderedPageBreak/>
        <w:t xml:space="preserve">أهمية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كأداة استراتيجية: اتفق عدد من الدراسات مثل (</w:t>
      </w:r>
      <w:r w:rsidRPr="00A61745">
        <w:rPr>
          <w:rFonts w:asciiTheme="minorBidi" w:hAnsiTheme="minorBidi"/>
          <w:sz w:val="28"/>
          <w:szCs w:val="28"/>
          <w:lang w:bidi="ar-EG"/>
        </w:rPr>
        <w:t>Ivens et al. (2018</w:t>
      </w:r>
      <w:r w:rsidRPr="00A61745">
        <w:rPr>
          <w:rFonts w:asciiTheme="minorBidi" w:hAnsiTheme="minorBidi"/>
          <w:sz w:val="28"/>
          <w:szCs w:val="28"/>
          <w:rtl/>
          <w:lang w:bidi="ar-EG"/>
        </w:rPr>
        <w:t>) و</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 xml:space="preserve"> على 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ليست مجرد أسلوب بيع، بل استراتيجية شاملة لترتيب أولويات العملاء وتحقيق ميزة تنافسية مستدامة.</w:t>
      </w:r>
    </w:p>
    <w:p w14:paraId="07349112"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التركيز على بناء علاقات طويلة المدى: أظهرت دراسات عديدة كدراسة</w:t>
      </w:r>
      <w:r w:rsidRPr="00A61745">
        <w:rPr>
          <w:rFonts w:asciiTheme="minorBidi" w:hAnsiTheme="minorBidi"/>
          <w:sz w:val="28"/>
          <w:szCs w:val="28"/>
          <w:lang w:bidi="ar-EG"/>
        </w:rPr>
        <w:t xml:space="preserve"> Pardo et al. (2019)</w:t>
      </w:r>
      <w:r w:rsidRPr="00A61745">
        <w:rPr>
          <w:rFonts w:asciiTheme="minorBidi" w:hAnsiTheme="minorBidi"/>
          <w:sz w:val="28"/>
          <w:szCs w:val="28"/>
          <w:rtl/>
          <w:lang w:bidi="ar-EG"/>
        </w:rPr>
        <w:t>) و</w:t>
      </w:r>
      <w:r w:rsidRPr="00A61745">
        <w:rPr>
          <w:rFonts w:asciiTheme="minorBidi" w:hAnsiTheme="minorBidi"/>
          <w:sz w:val="28"/>
          <w:szCs w:val="28"/>
          <w:lang w:bidi="ar-EG"/>
        </w:rPr>
        <w:t>Peters et al. (2020</w:t>
      </w:r>
      <w:r w:rsidRPr="00A61745">
        <w:rPr>
          <w:rFonts w:asciiTheme="minorBidi" w:hAnsiTheme="minorBidi"/>
          <w:sz w:val="28"/>
          <w:szCs w:val="28"/>
          <w:rtl/>
          <w:lang w:bidi="ar-EG"/>
        </w:rPr>
        <w:t xml:space="preserve">أن الهدف الجوهري من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هو بناء علاقة تحالفية طويلة بين الشركة والعميل الرئيسي عبر الثقة والالتزام.</w:t>
      </w:r>
    </w:p>
    <w:p w14:paraId="06AE07C8"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أن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يحسن جودة العلاقة البيعية: وجدت دراسة (</w:t>
      </w:r>
      <w:proofErr w:type="spellStart"/>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et al. (2018</w:t>
      </w:r>
      <w:r w:rsidRPr="00A61745">
        <w:rPr>
          <w:rFonts w:asciiTheme="minorBidi" w:hAnsiTheme="minorBidi"/>
          <w:sz w:val="28"/>
          <w:szCs w:val="28"/>
          <w:rtl/>
          <w:lang w:bidi="ar-EG"/>
        </w:rPr>
        <w:t xml:space="preserve"> أن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يقلل من العوائق التي تعوق جودة العلاقة، مما ينعكس على زيادة الثقة. كما أثبتت دراسة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 xml:space="preserve"> أن إدارة الحسابات الرئيسية ذات التصميم الجيد تعزز التعاون والنتائج المشتركة بين الطرفين.</w:t>
      </w:r>
    </w:p>
    <w:p w14:paraId="5D6D3106"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الاعتماد على تحليل البيانات و </w:t>
      </w:r>
      <w:r w:rsidRPr="00A61745">
        <w:rPr>
          <w:rFonts w:asciiTheme="minorBidi" w:hAnsiTheme="minorBidi"/>
          <w:sz w:val="28"/>
          <w:szCs w:val="28"/>
          <w:lang w:bidi="ar-EG"/>
        </w:rPr>
        <w:t>CRM</w:t>
      </w:r>
      <w:r w:rsidRPr="00A61745">
        <w:rPr>
          <w:rFonts w:asciiTheme="minorBidi" w:hAnsiTheme="minorBidi"/>
          <w:sz w:val="28"/>
          <w:szCs w:val="28"/>
          <w:rtl/>
          <w:lang w:bidi="ar-EG"/>
        </w:rPr>
        <w:t>: هناك اتفاق واضح بين الدراسات الحديثة مثل (</w:t>
      </w:r>
      <w:r w:rsidRPr="00A61745">
        <w:rPr>
          <w:rFonts w:asciiTheme="minorBidi" w:hAnsiTheme="minorBidi"/>
          <w:sz w:val="28"/>
          <w:szCs w:val="28"/>
          <w:lang w:bidi="ar-EG"/>
        </w:rPr>
        <w:t>Feste et al. (2020</w:t>
      </w:r>
      <w:r w:rsidRPr="00A61745">
        <w:rPr>
          <w:rFonts w:asciiTheme="minorBidi" w:hAnsiTheme="minorBidi"/>
          <w:sz w:val="28"/>
          <w:szCs w:val="28"/>
          <w:rtl/>
          <w:lang w:bidi="ar-EG"/>
        </w:rPr>
        <w:t xml:space="preserve"> و(</w:t>
      </w:r>
      <w:r w:rsidRPr="00A61745">
        <w:rPr>
          <w:rFonts w:asciiTheme="minorBidi" w:hAnsiTheme="minorBidi"/>
          <w:sz w:val="28"/>
          <w:szCs w:val="28"/>
          <w:lang w:bidi="ar-EG"/>
        </w:rPr>
        <w:t>Peters et al., 2020</w:t>
      </w:r>
      <w:r w:rsidRPr="00A61745">
        <w:rPr>
          <w:rFonts w:asciiTheme="minorBidi" w:hAnsiTheme="minorBidi"/>
          <w:sz w:val="28"/>
          <w:szCs w:val="28"/>
          <w:rtl/>
          <w:lang w:bidi="ar-EG"/>
        </w:rPr>
        <w:t xml:space="preserve">) على ضرورة دعم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بأنظمة </w:t>
      </w:r>
      <w:r w:rsidRPr="00A61745">
        <w:rPr>
          <w:rFonts w:asciiTheme="minorBidi" w:hAnsiTheme="minorBidi"/>
          <w:sz w:val="28"/>
          <w:szCs w:val="28"/>
          <w:lang w:bidi="ar-EG"/>
        </w:rPr>
        <w:t>CRM</w:t>
      </w:r>
      <w:r w:rsidRPr="00A61745">
        <w:rPr>
          <w:rFonts w:asciiTheme="minorBidi" w:hAnsiTheme="minorBidi"/>
          <w:sz w:val="28"/>
          <w:szCs w:val="28"/>
          <w:rtl/>
          <w:lang w:bidi="ar-EG"/>
        </w:rPr>
        <w:t xml:space="preserve"> ومعالجة بيانات العملاء بهدف اتخاذ قرارات أكثر دقة.</w:t>
      </w:r>
    </w:p>
    <w:p w14:paraId="40FE9F90"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rtl/>
          <w:lang w:bidi="ar-EG"/>
        </w:rPr>
      </w:pPr>
      <w:r w:rsidRPr="00A61745">
        <w:rPr>
          <w:rFonts w:asciiTheme="minorBidi" w:hAnsiTheme="minorBidi"/>
          <w:sz w:val="28"/>
          <w:szCs w:val="28"/>
          <w:rtl/>
          <w:lang w:bidi="ar-EG"/>
        </w:rPr>
        <w:t xml:space="preserve">الحاجة إلى مهارات خاصة لمديري الحسابات: أكدت دراسة ( </w:t>
      </w:r>
      <w:r w:rsidRPr="00A61745">
        <w:rPr>
          <w:rFonts w:asciiTheme="minorBidi" w:hAnsiTheme="minorBidi"/>
          <w:sz w:val="28"/>
          <w:szCs w:val="28"/>
          <w:lang w:bidi="ar-EG"/>
        </w:rPr>
        <w:t>Pardo et al. (2019</w:t>
      </w:r>
      <w:r w:rsidRPr="00A61745">
        <w:rPr>
          <w:rFonts w:asciiTheme="minorBidi" w:hAnsiTheme="minorBidi"/>
          <w:sz w:val="28"/>
          <w:szCs w:val="28"/>
          <w:rtl/>
          <w:lang w:bidi="ar-EG"/>
        </w:rPr>
        <w:t xml:space="preserve"> أن مدير الحساب يلعب دورًا “علاقاتيًا-تناقضيًا” يتطلب مهارات تفاوض وتنسيق وحل صراعات، وهو ما أيدته أيضًا دراسة (</w:t>
      </w:r>
      <w:r w:rsidRPr="00A61745">
        <w:rPr>
          <w:rFonts w:asciiTheme="minorBidi" w:hAnsiTheme="minorBidi"/>
          <w:sz w:val="28"/>
          <w:szCs w:val="28"/>
          <w:lang w:bidi="ar-EG"/>
        </w:rPr>
        <w:t>Ivens et al. (2018</w:t>
      </w:r>
    </w:p>
    <w:p w14:paraId="033C3A86" w14:textId="77777777" w:rsidR="00E75B26" w:rsidRPr="00A61745" w:rsidRDefault="00E75B26" w:rsidP="00A61745">
      <w:pPr>
        <w:pStyle w:val="ListParagraph"/>
        <w:numPr>
          <w:ilvl w:val="0"/>
          <w:numId w:val="27"/>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أوجه الاختلاف:</w:t>
      </w:r>
    </w:p>
    <w:p w14:paraId="389DC6AD"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اختلاف القطاعات: ركزت بعض الدراسات على شركات الأدوية، بينما تناولت دراسات مثل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 xml:space="preserve"> و(</w:t>
      </w:r>
      <w:r w:rsidRPr="00A61745">
        <w:rPr>
          <w:rFonts w:asciiTheme="minorBidi" w:hAnsiTheme="minorBidi"/>
          <w:sz w:val="28"/>
          <w:szCs w:val="28"/>
          <w:lang w:bidi="ar-EG"/>
        </w:rPr>
        <w:t>Feste et al. (2020</w:t>
      </w:r>
      <w:r w:rsidRPr="00A61745">
        <w:rPr>
          <w:rFonts w:asciiTheme="minorBidi" w:hAnsiTheme="minorBidi"/>
          <w:sz w:val="28"/>
          <w:szCs w:val="28"/>
          <w:rtl/>
          <w:lang w:bidi="ar-EG"/>
        </w:rPr>
        <w:t xml:space="preserve"> شركات صناعية وخدمية أخرى. هذا الاختلاف في القطاع يؤدي إلى اختلاف في طبيعة العلاقة – قرارات الشراء – الهيكل التنظيمي للعلاقة.</w:t>
      </w:r>
    </w:p>
    <w:p w14:paraId="17DBA3D5"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اختلاف المناهج: اعتمدت بعض الدراسات مثل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 xml:space="preserve"> على منهج كمي مع نماذج </w:t>
      </w:r>
      <w:r w:rsidRPr="00A61745">
        <w:rPr>
          <w:rFonts w:asciiTheme="minorBidi" w:hAnsiTheme="minorBidi"/>
          <w:sz w:val="28"/>
          <w:szCs w:val="28"/>
          <w:lang w:bidi="ar-EG"/>
        </w:rPr>
        <w:t>SEM</w:t>
      </w:r>
      <w:r w:rsidRPr="00A61745">
        <w:rPr>
          <w:rFonts w:asciiTheme="minorBidi" w:hAnsiTheme="minorBidi"/>
          <w:sz w:val="28"/>
          <w:szCs w:val="28"/>
          <w:rtl/>
          <w:lang w:bidi="ar-EG"/>
        </w:rPr>
        <w:t xml:space="preserve">، بينما استخدمت </w:t>
      </w:r>
      <w:r w:rsidRPr="00A61745">
        <w:rPr>
          <w:rFonts w:asciiTheme="minorBidi" w:hAnsiTheme="minorBidi"/>
          <w:sz w:val="28"/>
          <w:szCs w:val="28"/>
          <w:lang w:bidi="ar-EG"/>
        </w:rPr>
        <w:t>Peters et al. (2020)</w:t>
      </w:r>
      <w:r w:rsidRPr="00A61745">
        <w:rPr>
          <w:rFonts w:asciiTheme="minorBidi" w:hAnsiTheme="minorBidi"/>
          <w:sz w:val="28"/>
          <w:szCs w:val="28"/>
          <w:rtl/>
          <w:lang w:bidi="ar-EG"/>
        </w:rPr>
        <w:t xml:space="preserve"> منهجًا نوعيًا قائمًا على المقابلات، في حين تبنت </w:t>
      </w:r>
      <w:proofErr w:type="spellStart"/>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et al. (2018)</w:t>
      </w:r>
      <w:r w:rsidRPr="00A61745">
        <w:rPr>
          <w:rFonts w:asciiTheme="minorBidi" w:hAnsiTheme="minorBidi"/>
          <w:sz w:val="28"/>
          <w:szCs w:val="28"/>
          <w:rtl/>
          <w:lang w:bidi="ar-EG"/>
        </w:rPr>
        <w:t xml:space="preserve"> منهجًا مختلطًا.</w:t>
      </w:r>
    </w:p>
    <w:p w14:paraId="6028E9B6"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اختلاف المتغيرات: بعض الدراسات ركزت على الأداء مثل: دراسة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 xml:space="preserve">)، بينما ركزت أخرى على العلاقة ذاتها والثقة (مثل </w:t>
      </w:r>
      <w:r w:rsidRPr="00A61745">
        <w:rPr>
          <w:rFonts w:asciiTheme="minorBidi" w:hAnsiTheme="minorBidi"/>
          <w:sz w:val="28"/>
          <w:szCs w:val="28"/>
          <w:lang w:bidi="ar-EG"/>
        </w:rPr>
        <w:t xml:space="preserve">Pardo et al., </w:t>
      </w:r>
      <w:proofErr w:type="gramStart"/>
      <w:r w:rsidRPr="00A61745">
        <w:rPr>
          <w:rFonts w:asciiTheme="minorBidi" w:hAnsiTheme="minorBidi"/>
          <w:sz w:val="28"/>
          <w:szCs w:val="28"/>
          <w:lang w:bidi="ar-EG"/>
        </w:rPr>
        <w:t>2019</w:t>
      </w:r>
      <w:r w:rsidRPr="00A61745">
        <w:rPr>
          <w:rFonts w:asciiTheme="minorBidi" w:hAnsiTheme="minorBidi"/>
          <w:sz w:val="28"/>
          <w:szCs w:val="28"/>
          <w:rtl/>
          <w:lang w:bidi="ar-EG"/>
        </w:rPr>
        <w:t>)،</w:t>
      </w:r>
      <w:proofErr w:type="gramEnd"/>
      <w:r w:rsidRPr="00A61745">
        <w:rPr>
          <w:rFonts w:asciiTheme="minorBidi" w:hAnsiTheme="minorBidi"/>
          <w:sz w:val="28"/>
          <w:szCs w:val="28"/>
          <w:rtl/>
          <w:lang w:bidi="ar-EG"/>
        </w:rPr>
        <w:t xml:space="preserve"> وأخرى ركزت على فجوات التطبيق مثل دراسة </w:t>
      </w:r>
      <w:proofErr w:type="spellStart"/>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et al., 2018)</w:t>
      </w:r>
      <w:r w:rsidRPr="00A61745">
        <w:rPr>
          <w:rFonts w:asciiTheme="minorBidi" w:hAnsiTheme="minorBidi"/>
          <w:sz w:val="28"/>
          <w:szCs w:val="28"/>
          <w:rtl/>
          <w:lang w:bidi="ar-EG"/>
        </w:rPr>
        <w:t>).</w:t>
      </w:r>
    </w:p>
    <w:p w14:paraId="1C9AC1F6"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اختلاف البيئات الجغرافية: دراسات مثل </w:t>
      </w:r>
      <w:r w:rsidRPr="00A61745">
        <w:rPr>
          <w:rFonts w:asciiTheme="minorBidi" w:hAnsiTheme="minorBidi"/>
          <w:sz w:val="28"/>
          <w:szCs w:val="28"/>
          <w:lang w:bidi="ar-EG"/>
        </w:rPr>
        <w:t>Feste et al. (2020)</w:t>
      </w:r>
      <w:r w:rsidRPr="00A61745">
        <w:rPr>
          <w:rFonts w:asciiTheme="minorBidi" w:hAnsiTheme="minorBidi"/>
          <w:sz w:val="28"/>
          <w:szCs w:val="28"/>
          <w:rtl/>
          <w:lang w:bidi="ar-EG"/>
        </w:rPr>
        <w:t>) و(</w:t>
      </w:r>
      <w:r w:rsidRPr="00A61745">
        <w:rPr>
          <w:rFonts w:asciiTheme="minorBidi" w:hAnsiTheme="minorBidi"/>
          <w:sz w:val="28"/>
          <w:szCs w:val="28"/>
          <w:lang w:bidi="ar-EG"/>
        </w:rPr>
        <w:t>Ivens et al. (2018</w:t>
      </w:r>
      <w:r w:rsidRPr="00A61745">
        <w:rPr>
          <w:rFonts w:asciiTheme="minorBidi" w:hAnsiTheme="minorBidi"/>
          <w:sz w:val="28"/>
          <w:szCs w:val="28"/>
          <w:rtl/>
          <w:lang w:bidi="ar-EG"/>
        </w:rPr>
        <w:t xml:space="preserve"> أجريت في أوروبا، وهناك دراسات في العالم العربي، مما جعل النتائج تختلف تبعًا لاختلاف العادات التنظيمية – نضج السوق – طبيعة العميل.</w:t>
      </w:r>
    </w:p>
    <w:p w14:paraId="780FC1D8" w14:textId="77777777" w:rsidR="00E75B26" w:rsidRPr="00A61745" w:rsidRDefault="00E75B26" w:rsidP="00A61745">
      <w:pPr>
        <w:pStyle w:val="ListParagraph"/>
        <w:numPr>
          <w:ilvl w:val="0"/>
          <w:numId w:val="27"/>
        </w:num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lastRenderedPageBreak/>
        <w:t>أوجه الاستفادة من الدراسات السابقة:</w:t>
      </w:r>
    </w:p>
    <w:p w14:paraId="0F8C869D"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دعم الإطار النظري: تقدم دراسة (</w:t>
      </w:r>
      <w:r w:rsidRPr="00A61745">
        <w:rPr>
          <w:rFonts w:asciiTheme="minorBidi" w:hAnsiTheme="minorBidi"/>
          <w:sz w:val="28"/>
          <w:szCs w:val="28"/>
          <w:lang w:bidi="ar-EG"/>
        </w:rPr>
        <w:t>Ivens et al. (2018</w:t>
      </w:r>
      <w:r w:rsidRPr="00A61745">
        <w:rPr>
          <w:rFonts w:asciiTheme="minorBidi" w:hAnsiTheme="minorBidi"/>
          <w:sz w:val="28"/>
          <w:szCs w:val="28"/>
          <w:rtl/>
          <w:lang w:bidi="ar-EG"/>
        </w:rPr>
        <w:t xml:space="preserve"> أساسًا نظريًا مهمًا لاعتبار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قدرة تنظيمية، ويمكن الاستفادة منها في صياغة الإطار النظري.</w:t>
      </w:r>
    </w:p>
    <w:p w14:paraId="1D14F45A"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تحديد الفجوة البحثية: أظهرت الدراسات الأجنبية مثل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(2022)</w:t>
      </w:r>
      <w:r w:rsidRPr="00A61745">
        <w:rPr>
          <w:rFonts w:asciiTheme="minorBidi" w:hAnsiTheme="minorBidi"/>
          <w:sz w:val="28"/>
          <w:szCs w:val="28"/>
          <w:rtl/>
          <w:lang w:bidi="ar-EG"/>
        </w:rPr>
        <w:t xml:space="preserve"> قوة تطبيق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في الأسواق المتقدمة، بينما تشير بعض الدراسات الاخري إلى ندرة التطبيقات في السوق العربي، مما يخلق فجوة واضحة يمكن للباحث سدّها.</w:t>
      </w:r>
    </w:p>
    <w:p w14:paraId="47EEE6D4" w14:textId="77777777" w:rsidR="00E75B26" w:rsidRPr="00A61745"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تطوير النموذج المفاهيمي: يمكن الاعتماد على: جودة العلاقة كما استخدمتها دراسة </w:t>
      </w:r>
      <w:r w:rsidRPr="00A61745">
        <w:rPr>
          <w:rFonts w:asciiTheme="minorBidi" w:hAnsiTheme="minorBidi"/>
          <w:sz w:val="28"/>
          <w:szCs w:val="28"/>
          <w:lang w:bidi="ar-EG"/>
        </w:rPr>
        <w:t>Pardo et al. (</w:t>
      </w:r>
      <w:proofErr w:type="gramStart"/>
      <w:r w:rsidRPr="00A61745">
        <w:rPr>
          <w:rFonts w:asciiTheme="minorBidi" w:hAnsiTheme="minorBidi"/>
          <w:sz w:val="28"/>
          <w:szCs w:val="28"/>
          <w:lang w:bidi="ar-EG"/>
        </w:rPr>
        <w:t>2019)</w:t>
      </w:r>
      <w:r w:rsidRPr="00A61745">
        <w:rPr>
          <w:rFonts w:asciiTheme="minorBidi" w:hAnsiTheme="minorBidi"/>
          <w:sz w:val="28"/>
          <w:szCs w:val="28"/>
          <w:rtl/>
          <w:lang w:bidi="ar-EG"/>
        </w:rPr>
        <w:t>،</w:t>
      </w:r>
      <w:proofErr w:type="gramEnd"/>
      <w:r w:rsidRPr="00A61745">
        <w:rPr>
          <w:rFonts w:asciiTheme="minorBidi" w:hAnsiTheme="minorBidi"/>
          <w:sz w:val="28"/>
          <w:szCs w:val="28"/>
          <w:rtl/>
          <w:lang w:bidi="ar-EG"/>
        </w:rPr>
        <w:t xml:space="preserve"> والثقة والتواصل كما في </w:t>
      </w:r>
      <w:proofErr w:type="gramStart"/>
      <w:r w:rsidRPr="00A61745">
        <w:rPr>
          <w:rFonts w:asciiTheme="minorBidi" w:hAnsiTheme="minorBidi"/>
          <w:sz w:val="28"/>
          <w:szCs w:val="28"/>
          <w:rtl/>
          <w:lang w:bidi="ar-EG"/>
        </w:rPr>
        <w:t>دراسة  (</w:t>
      </w:r>
      <w:proofErr w:type="spellStart"/>
      <w:proofErr w:type="gramEnd"/>
      <w:r w:rsidRPr="00A61745">
        <w:rPr>
          <w:rFonts w:asciiTheme="minorBidi" w:hAnsiTheme="minorBidi"/>
          <w:sz w:val="28"/>
          <w:szCs w:val="28"/>
          <w:lang w:bidi="ar-EG"/>
        </w:rPr>
        <w:t>Leischnig</w:t>
      </w:r>
      <w:proofErr w:type="spellEnd"/>
      <w:r w:rsidRPr="00A61745">
        <w:rPr>
          <w:rFonts w:asciiTheme="minorBidi" w:hAnsiTheme="minorBidi"/>
          <w:sz w:val="28"/>
          <w:szCs w:val="28"/>
          <w:lang w:bidi="ar-EG"/>
        </w:rPr>
        <w:t xml:space="preserve"> et al. (2018</w:t>
      </w:r>
      <w:r w:rsidRPr="00A61745">
        <w:rPr>
          <w:rFonts w:asciiTheme="minorBidi" w:hAnsiTheme="minorBidi"/>
          <w:sz w:val="28"/>
          <w:szCs w:val="28"/>
          <w:rtl/>
          <w:lang w:bidi="ar-EG"/>
        </w:rPr>
        <w:t xml:space="preserve">، والأداء كما في دراسة </w:t>
      </w:r>
      <w:proofErr w:type="spellStart"/>
      <w:r w:rsidRPr="00A61745">
        <w:rPr>
          <w:rFonts w:asciiTheme="minorBidi" w:hAnsiTheme="minorBidi"/>
          <w:sz w:val="28"/>
          <w:szCs w:val="28"/>
          <w:lang w:bidi="ar-EG"/>
        </w:rPr>
        <w:t>Herhausen</w:t>
      </w:r>
      <w:proofErr w:type="spellEnd"/>
      <w:r w:rsidRPr="00A61745">
        <w:rPr>
          <w:rFonts w:asciiTheme="minorBidi" w:hAnsiTheme="minorBidi"/>
          <w:sz w:val="28"/>
          <w:szCs w:val="28"/>
          <w:lang w:bidi="ar-EG"/>
        </w:rPr>
        <w:t xml:space="preserve"> et al. (</w:t>
      </w:r>
      <w:proofErr w:type="gramStart"/>
      <w:r w:rsidRPr="00A61745">
        <w:rPr>
          <w:rFonts w:asciiTheme="minorBidi" w:hAnsiTheme="minorBidi"/>
          <w:sz w:val="28"/>
          <w:szCs w:val="28"/>
          <w:lang w:bidi="ar-EG"/>
        </w:rPr>
        <w:t>2022)</w:t>
      </w:r>
      <w:r w:rsidRPr="00A61745">
        <w:rPr>
          <w:rFonts w:asciiTheme="minorBidi" w:hAnsiTheme="minorBidi"/>
          <w:sz w:val="28"/>
          <w:szCs w:val="28"/>
          <w:rtl/>
          <w:lang w:bidi="ar-EG"/>
        </w:rPr>
        <w:t>،</w:t>
      </w:r>
      <w:proofErr w:type="gramEnd"/>
      <w:r w:rsidRPr="00A61745">
        <w:rPr>
          <w:rFonts w:asciiTheme="minorBidi" w:hAnsiTheme="minorBidi"/>
          <w:sz w:val="28"/>
          <w:szCs w:val="28"/>
          <w:rtl/>
          <w:lang w:bidi="ar-EG"/>
        </w:rPr>
        <w:t xml:space="preserve"> وذلك لتشكيل نموذج بحثي قوي.</w:t>
      </w:r>
    </w:p>
    <w:p w14:paraId="331A2D75" w14:textId="77777777" w:rsidR="00E75B26" w:rsidRDefault="00E75B26" w:rsidP="00A61745">
      <w:pPr>
        <w:pStyle w:val="ListParagraph"/>
        <w:numPr>
          <w:ilvl w:val="0"/>
          <w:numId w:val="1"/>
        </w:numPr>
        <w:spacing w:line="360" w:lineRule="auto"/>
        <w:jc w:val="both"/>
        <w:rPr>
          <w:rFonts w:asciiTheme="minorBidi" w:hAnsiTheme="minorBidi"/>
          <w:sz w:val="28"/>
          <w:szCs w:val="28"/>
          <w:lang w:bidi="ar-EG"/>
        </w:rPr>
      </w:pPr>
      <w:r w:rsidRPr="00A61745">
        <w:rPr>
          <w:rFonts w:asciiTheme="minorBidi" w:hAnsiTheme="minorBidi"/>
          <w:sz w:val="28"/>
          <w:szCs w:val="28"/>
          <w:rtl/>
          <w:lang w:bidi="ar-EG"/>
        </w:rPr>
        <w:t xml:space="preserve">تعزيز أهمية الدراسة: توضح دراسة ( </w:t>
      </w:r>
      <w:r w:rsidRPr="00A61745">
        <w:rPr>
          <w:rFonts w:asciiTheme="minorBidi" w:hAnsiTheme="minorBidi"/>
          <w:sz w:val="28"/>
          <w:szCs w:val="28"/>
          <w:lang w:bidi="ar-EG"/>
        </w:rPr>
        <w:t>Feste et al. (2020</w:t>
      </w:r>
      <w:r w:rsidRPr="00A61745">
        <w:rPr>
          <w:rFonts w:asciiTheme="minorBidi" w:hAnsiTheme="minorBidi"/>
          <w:sz w:val="28"/>
          <w:szCs w:val="28"/>
          <w:rtl/>
          <w:lang w:bidi="ar-EG"/>
        </w:rPr>
        <w:t>) ودراسة (</w:t>
      </w:r>
      <w:r w:rsidRPr="00A61745">
        <w:rPr>
          <w:rFonts w:asciiTheme="minorBidi" w:hAnsiTheme="minorBidi"/>
          <w:sz w:val="28"/>
          <w:szCs w:val="28"/>
          <w:lang w:bidi="ar-EG"/>
        </w:rPr>
        <w:t>Peters et al. (2020</w:t>
      </w:r>
      <w:r w:rsidRPr="00A61745">
        <w:rPr>
          <w:rFonts w:asciiTheme="minorBidi" w:hAnsiTheme="minorBidi"/>
          <w:sz w:val="28"/>
          <w:szCs w:val="28"/>
          <w:rtl/>
          <w:lang w:bidi="ar-EG"/>
        </w:rPr>
        <w:t xml:space="preserve">) أهمية </w:t>
      </w:r>
      <w:r w:rsidRPr="00A61745">
        <w:rPr>
          <w:rFonts w:asciiTheme="minorBidi" w:hAnsiTheme="minorBidi"/>
          <w:sz w:val="28"/>
          <w:szCs w:val="28"/>
          <w:lang w:bidi="ar-EG"/>
        </w:rPr>
        <w:t>KAM</w:t>
      </w:r>
      <w:r w:rsidRPr="00A61745">
        <w:rPr>
          <w:rFonts w:asciiTheme="minorBidi" w:hAnsiTheme="minorBidi"/>
          <w:sz w:val="28"/>
          <w:szCs w:val="28"/>
          <w:rtl/>
          <w:lang w:bidi="ar-EG"/>
        </w:rPr>
        <w:t xml:space="preserve"> بوصفه موضوعًا حديثًا عالميًا، مما يدعم أهمية دراسة الباحث في بيئة الأدوية.</w:t>
      </w:r>
    </w:p>
    <w:p w14:paraId="34AE3EB8"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3C9B07ED"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6C03F5E7"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0E141088"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300E5D7F"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65770008"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0D212E8B"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0E56A330"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3A70B3C0"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48D093ED"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7F707621"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3D3FDEE8"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6D198837"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11E95C9E"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5B2F1A85"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19293313"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79F3461A"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0658C018" w14:textId="77777777" w:rsidR="00716DF1" w:rsidRDefault="00716DF1" w:rsidP="00716DF1">
      <w:pPr>
        <w:pStyle w:val="ListParagraph"/>
        <w:spacing w:line="360" w:lineRule="auto"/>
        <w:ind w:left="360"/>
        <w:jc w:val="both"/>
        <w:rPr>
          <w:rFonts w:asciiTheme="minorBidi" w:hAnsiTheme="minorBidi"/>
          <w:sz w:val="28"/>
          <w:szCs w:val="28"/>
          <w:rtl/>
          <w:lang w:bidi="ar-EG"/>
        </w:rPr>
      </w:pPr>
    </w:p>
    <w:p w14:paraId="1C1E52B1" w14:textId="77777777" w:rsidR="00716DF1" w:rsidRPr="00A61745" w:rsidRDefault="00716DF1" w:rsidP="00716DF1">
      <w:pPr>
        <w:pStyle w:val="ListParagraph"/>
        <w:spacing w:line="360" w:lineRule="auto"/>
        <w:ind w:left="360"/>
        <w:jc w:val="both"/>
        <w:rPr>
          <w:rFonts w:asciiTheme="minorBidi" w:hAnsiTheme="minorBidi"/>
          <w:sz w:val="28"/>
          <w:szCs w:val="28"/>
          <w:rtl/>
          <w:lang w:bidi="ar-EG"/>
        </w:rPr>
      </w:pPr>
    </w:p>
    <w:p w14:paraId="0E4E9E33" w14:textId="77777777" w:rsidR="00E75B26" w:rsidRPr="00A61745" w:rsidRDefault="00E75B26" w:rsidP="00A61745">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خلاصة الفصل:</w:t>
      </w:r>
    </w:p>
    <w:p w14:paraId="7917C2F2"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تُعد إدارة الحسابات الرئيسية من الركائز الأساسية التي تساهم في تعزيز العلاقات البيعية وتحقيق النجاح المستدام في شركات الأدوية. من خلال تطبيق استراتيجيات فعالة تركز على خلق القيمة، التفاوض الذكي، وتخصيص الحلول، يمكن للشركات بناء شراكات قوية وطويلة الأمد مع عملائها الرئيسيين، مما يؤدي إلى زيادة الولاء وتحسين معدلات الاحتفاظ بالحسابات الاستراتيجية.</w:t>
      </w:r>
    </w:p>
    <w:p w14:paraId="1F9EB580" w14:textId="77777777" w:rsidR="00E75B26" w:rsidRPr="00A61745" w:rsidRDefault="00E75B26" w:rsidP="00A61745">
      <w:pPr>
        <w:spacing w:line="360" w:lineRule="auto"/>
        <w:ind w:firstLine="720"/>
        <w:jc w:val="both"/>
        <w:rPr>
          <w:rFonts w:asciiTheme="minorBidi" w:hAnsiTheme="minorBidi"/>
          <w:sz w:val="28"/>
          <w:szCs w:val="28"/>
          <w:rtl/>
          <w:lang w:bidi="ar-EG"/>
        </w:rPr>
      </w:pPr>
      <w:r w:rsidRPr="00A61745">
        <w:rPr>
          <w:rFonts w:asciiTheme="minorBidi" w:hAnsiTheme="minorBidi"/>
          <w:sz w:val="28"/>
          <w:szCs w:val="28"/>
          <w:rtl/>
          <w:lang w:bidi="ar-EG"/>
        </w:rPr>
        <w:t>كما تبرز أهمية استخدام الأدوات التقنية الحديثة مثل نظم إدارة علاقات العملاء (</w:t>
      </w:r>
      <w:r w:rsidRPr="00A61745">
        <w:rPr>
          <w:rFonts w:asciiTheme="minorBidi" w:hAnsiTheme="minorBidi"/>
          <w:sz w:val="28"/>
          <w:szCs w:val="28"/>
          <w:lang w:bidi="ar-EG"/>
        </w:rPr>
        <w:t>CRM</w:t>
      </w:r>
      <w:r w:rsidRPr="00A61745">
        <w:rPr>
          <w:rFonts w:asciiTheme="minorBidi" w:hAnsiTheme="minorBidi"/>
          <w:sz w:val="28"/>
          <w:szCs w:val="28"/>
          <w:rtl/>
          <w:lang w:bidi="ar-EG"/>
        </w:rPr>
        <w:t>) وتحليل البيانات والذكاء الاصطناعي في دعم اتخاذ القرارات وتحسين كفاءة عمليات البيع، مما يعزز القدرة التنافسية للشركات في سوق متغير ومتطلب. ومع ذلك، تواجه إدارة الحسابات الرئيسية تحديات متعددة تشمل المنافسة الشديدة، التغيرات التشريعية، وقيود التسويق الدوائي، والتي تتطلب استجابة مرنة واستراتيجيات مبتكرة لضمان استمرارية العلاقات وتحقيق النمو المستدام.</w:t>
      </w:r>
    </w:p>
    <w:p w14:paraId="36CCC421" w14:textId="45A9ACFD" w:rsidR="00D8558B" w:rsidRPr="00716DF1" w:rsidRDefault="00E75B26" w:rsidP="00716DF1">
      <w:pPr>
        <w:spacing w:line="360" w:lineRule="auto"/>
        <w:ind w:firstLine="720"/>
        <w:jc w:val="both"/>
        <w:rPr>
          <w:rFonts w:asciiTheme="minorBidi" w:hAnsiTheme="minorBidi"/>
          <w:sz w:val="28"/>
          <w:szCs w:val="28"/>
          <w:lang w:bidi="ar-EG"/>
        </w:rPr>
      </w:pPr>
      <w:r w:rsidRPr="00A61745">
        <w:rPr>
          <w:rFonts w:asciiTheme="minorBidi" w:hAnsiTheme="minorBidi"/>
          <w:sz w:val="28"/>
          <w:szCs w:val="28"/>
          <w:rtl/>
          <w:lang w:bidi="ar-EG"/>
        </w:rPr>
        <w:t>في الختام، يمكن القول إن نجاح إدارة الحسابات الرئيسية لا يقتصر فقط على زيادة الإيرادات، بل يتعدى ذلك ليشمل بناء علاقات قائمة على الثقة والتعاون المشترك، مما يعزز من القيمة المضافة لكل من الشركة والعملاء، ويدعم تقدم قطاع الأدوية نحو تقديم رعاية صحية أفضل وأكثر فاعلية.</w:t>
      </w:r>
    </w:p>
    <w:sectPr w:rsidR="00D8558B" w:rsidRPr="00716DF1" w:rsidSect="00F6130F">
      <w:headerReference w:type="default" r:id="rId8"/>
      <w:footerReference w:type="default" r:id="rId9"/>
      <w:pgSz w:w="11906" w:h="16838" w:code="9"/>
      <w:pgMar w:top="1123" w:right="1699" w:bottom="1123" w:left="1123"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68CD3" w14:textId="77777777" w:rsidR="00700E07" w:rsidRDefault="00700E07" w:rsidP="00772EF6">
      <w:pPr>
        <w:spacing w:after="0" w:line="240" w:lineRule="auto"/>
      </w:pPr>
      <w:r>
        <w:separator/>
      </w:r>
    </w:p>
  </w:endnote>
  <w:endnote w:type="continuationSeparator" w:id="0">
    <w:p w14:paraId="21558318" w14:textId="77777777" w:rsidR="00700E07" w:rsidRDefault="00700E07" w:rsidP="00772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9434847"/>
      <w:docPartObj>
        <w:docPartGallery w:val="Page Numbers (Bottom of Page)"/>
        <w:docPartUnique/>
      </w:docPartObj>
    </w:sdtPr>
    <w:sdtContent>
      <w:p w14:paraId="15DA84C1" w14:textId="77777777" w:rsidR="00E21400" w:rsidRDefault="00E21400">
        <w:pPr>
          <w:pStyle w:val="Footer"/>
          <w:jc w:val="center"/>
        </w:pPr>
        <w:r>
          <w:fldChar w:fldCharType="begin"/>
        </w:r>
        <w:r>
          <w:instrText>PAGE   \* MERGEFORMAT</w:instrText>
        </w:r>
        <w:r>
          <w:fldChar w:fldCharType="separate"/>
        </w:r>
        <w:r w:rsidR="00BF1ADB" w:rsidRPr="00BF1ADB">
          <w:rPr>
            <w:noProof/>
            <w:rtl/>
            <w:lang w:val="ar-SA"/>
          </w:rPr>
          <w:t>1</w:t>
        </w:r>
        <w:r w:rsidR="00BF1ADB" w:rsidRPr="00BF1ADB">
          <w:rPr>
            <w:noProof/>
            <w:rtl/>
            <w:lang w:val="ar-SA"/>
          </w:rPr>
          <w:t>3</w:t>
        </w:r>
        <w:r>
          <w:fldChar w:fldCharType="end"/>
        </w:r>
      </w:p>
    </w:sdtContent>
  </w:sdt>
  <w:p w14:paraId="7B239682" w14:textId="77777777" w:rsidR="00E21400" w:rsidRDefault="00E21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4F2D8" w14:textId="77777777" w:rsidR="00700E07" w:rsidRDefault="00700E07" w:rsidP="00772EF6">
      <w:pPr>
        <w:spacing w:after="0" w:line="240" w:lineRule="auto"/>
      </w:pPr>
      <w:r>
        <w:separator/>
      </w:r>
    </w:p>
  </w:footnote>
  <w:footnote w:type="continuationSeparator" w:id="0">
    <w:p w14:paraId="53F88F5C" w14:textId="77777777" w:rsidR="00700E07" w:rsidRDefault="00700E07" w:rsidP="00772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A4C9F" w14:textId="77777777" w:rsidR="00A3643E" w:rsidRDefault="00A364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7182"/>
    <w:multiLevelType w:val="hybridMultilevel"/>
    <w:tmpl w:val="F43AE70A"/>
    <w:lvl w:ilvl="0" w:tplc="D69EFDC0">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10820748"/>
    <w:multiLevelType w:val="hybridMultilevel"/>
    <w:tmpl w:val="80CA5084"/>
    <w:lvl w:ilvl="0" w:tplc="F65CCB58">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74CCD"/>
    <w:multiLevelType w:val="hybridMultilevel"/>
    <w:tmpl w:val="3AB48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4D7B19"/>
    <w:multiLevelType w:val="hybridMultilevel"/>
    <w:tmpl w:val="7A9C4F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514F97"/>
    <w:multiLevelType w:val="hybridMultilevel"/>
    <w:tmpl w:val="8DFC7F16"/>
    <w:lvl w:ilvl="0" w:tplc="B3C2A91E">
      <w:start w:val="3"/>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47C651A"/>
    <w:multiLevelType w:val="multilevel"/>
    <w:tmpl w:val="E62E2D5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286A68"/>
    <w:multiLevelType w:val="hybridMultilevel"/>
    <w:tmpl w:val="C7267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5956CA"/>
    <w:multiLevelType w:val="hybridMultilevel"/>
    <w:tmpl w:val="8DBA7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C3D79"/>
    <w:multiLevelType w:val="hybridMultilevel"/>
    <w:tmpl w:val="146A6B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BF44C5D"/>
    <w:multiLevelType w:val="hybridMultilevel"/>
    <w:tmpl w:val="AFAE34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EA46B55"/>
    <w:multiLevelType w:val="hybridMultilevel"/>
    <w:tmpl w:val="5B2621F2"/>
    <w:lvl w:ilvl="0" w:tplc="F448F9A8">
      <w:start w:val="3"/>
      <w:numFmt w:val="bullet"/>
      <w:lvlText w:val="-"/>
      <w:lvlJc w:val="left"/>
      <w:pPr>
        <w:ind w:left="360" w:hanging="360"/>
      </w:pPr>
      <w:rPr>
        <w:rFonts w:ascii="Tahoma" w:eastAsia="Times New Roman" w:hAnsi="Tahoma" w:cs="Tahoma"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25E57F9"/>
    <w:multiLevelType w:val="hybridMultilevel"/>
    <w:tmpl w:val="D7067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4D32493"/>
    <w:multiLevelType w:val="hybridMultilevel"/>
    <w:tmpl w:val="820A2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5010AB4"/>
    <w:multiLevelType w:val="hybridMultilevel"/>
    <w:tmpl w:val="C3F4F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7B9550D"/>
    <w:multiLevelType w:val="hybridMultilevel"/>
    <w:tmpl w:val="16D09A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EAF4D4D"/>
    <w:multiLevelType w:val="hybridMultilevel"/>
    <w:tmpl w:val="827EBA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903A5B"/>
    <w:multiLevelType w:val="hybridMultilevel"/>
    <w:tmpl w:val="E16EC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A26176"/>
    <w:multiLevelType w:val="hybridMultilevel"/>
    <w:tmpl w:val="7AD25C00"/>
    <w:lvl w:ilvl="0" w:tplc="176292E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8200F80"/>
    <w:multiLevelType w:val="hybridMultilevel"/>
    <w:tmpl w:val="108AE76C"/>
    <w:lvl w:ilvl="0" w:tplc="D78CC65A">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A5E2205"/>
    <w:multiLevelType w:val="hybridMultilevel"/>
    <w:tmpl w:val="105AD4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EA11F67"/>
    <w:multiLevelType w:val="hybridMultilevel"/>
    <w:tmpl w:val="78B074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81E1D9A"/>
    <w:multiLevelType w:val="hybridMultilevel"/>
    <w:tmpl w:val="20B29B9C"/>
    <w:lvl w:ilvl="0" w:tplc="D69EFDC0">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68751490"/>
    <w:multiLevelType w:val="hybridMultilevel"/>
    <w:tmpl w:val="28B4F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850C1C"/>
    <w:multiLevelType w:val="hybridMultilevel"/>
    <w:tmpl w:val="A2948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977493B"/>
    <w:multiLevelType w:val="hybridMultilevel"/>
    <w:tmpl w:val="4B185C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6733AE"/>
    <w:multiLevelType w:val="hybridMultilevel"/>
    <w:tmpl w:val="2ABE2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9A036CE"/>
    <w:multiLevelType w:val="multilevel"/>
    <w:tmpl w:val="9716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671146"/>
    <w:multiLevelType w:val="hybridMultilevel"/>
    <w:tmpl w:val="0296AA90"/>
    <w:lvl w:ilvl="0" w:tplc="F5CC58D8">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FDC5EC8"/>
    <w:multiLevelType w:val="hybridMultilevel"/>
    <w:tmpl w:val="08D8B2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19387482">
    <w:abstractNumId w:val="1"/>
  </w:num>
  <w:num w:numId="2" w16cid:durableId="1320646233">
    <w:abstractNumId w:val="25"/>
  </w:num>
  <w:num w:numId="3" w16cid:durableId="593706504">
    <w:abstractNumId w:val="0"/>
  </w:num>
  <w:num w:numId="4" w16cid:durableId="1925604408">
    <w:abstractNumId w:val="17"/>
  </w:num>
  <w:num w:numId="5" w16cid:durableId="1563716631">
    <w:abstractNumId w:val="26"/>
  </w:num>
  <w:num w:numId="6" w16cid:durableId="1506090539">
    <w:abstractNumId w:val="5"/>
  </w:num>
  <w:num w:numId="7" w16cid:durableId="1704016886">
    <w:abstractNumId w:val="24"/>
  </w:num>
  <w:num w:numId="8" w16cid:durableId="1472405666">
    <w:abstractNumId w:val="15"/>
  </w:num>
  <w:num w:numId="9" w16cid:durableId="1062487311">
    <w:abstractNumId w:val="10"/>
  </w:num>
  <w:num w:numId="10" w16cid:durableId="910191830">
    <w:abstractNumId w:val="21"/>
  </w:num>
  <w:num w:numId="11" w16cid:durableId="381178683">
    <w:abstractNumId w:val="27"/>
  </w:num>
  <w:num w:numId="12" w16cid:durableId="1155492955">
    <w:abstractNumId w:val="8"/>
  </w:num>
  <w:num w:numId="13" w16cid:durableId="1286961599">
    <w:abstractNumId w:val="20"/>
  </w:num>
  <w:num w:numId="14" w16cid:durableId="108549496">
    <w:abstractNumId w:val="18"/>
  </w:num>
  <w:num w:numId="15" w16cid:durableId="1926570114">
    <w:abstractNumId w:val="14"/>
  </w:num>
  <w:num w:numId="16" w16cid:durableId="496043900">
    <w:abstractNumId w:val="12"/>
  </w:num>
  <w:num w:numId="17" w16cid:durableId="1250968435">
    <w:abstractNumId w:val="16"/>
  </w:num>
  <w:num w:numId="18" w16cid:durableId="1769157348">
    <w:abstractNumId w:val="23"/>
  </w:num>
  <w:num w:numId="19" w16cid:durableId="1474759863">
    <w:abstractNumId w:val="9"/>
  </w:num>
  <w:num w:numId="20" w16cid:durableId="71659024">
    <w:abstractNumId w:val="19"/>
  </w:num>
  <w:num w:numId="21" w16cid:durableId="35127993">
    <w:abstractNumId w:val="7"/>
  </w:num>
  <w:num w:numId="22" w16cid:durableId="1115366580">
    <w:abstractNumId w:val="2"/>
  </w:num>
  <w:num w:numId="23" w16cid:durableId="1649935274">
    <w:abstractNumId w:val="22"/>
  </w:num>
  <w:num w:numId="24" w16cid:durableId="951667394">
    <w:abstractNumId w:val="6"/>
  </w:num>
  <w:num w:numId="25" w16cid:durableId="1360668226">
    <w:abstractNumId w:val="28"/>
  </w:num>
  <w:num w:numId="26" w16cid:durableId="562180073">
    <w:abstractNumId w:val="13"/>
  </w:num>
  <w:num w:numId="27" w16cid:durableId="1891764735">
    <w:abstractNumId w:val="11"/>
  </w:num>
  <w:num w:numId="28" w16cid:durableId="1543250782">
    <w:abstractNumId w:val="3"/>
  </w:num>
  <w:num w:numId="29" w16cid:durableId="1582760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2130"/>
    <w:rsid w:val="00000615"/>
    <w:rsid w:val="00000B1E"/>
    <w:rsid w:val="00001188"/>
    <w:rsid w:val="00001B7C"/>
    <w:rsid w:val="00002D31"/>
    <w:rsid w:val="0001147E"/>
    <w:rsid w:val="000125EB"/>
    <w:rsid w:val="00014841"/>
    <w:rsid w:val="00015491"/>
    <w:rsid w:val="000167B1"/>
    <w:rsid w:val="00016BD5"/>
    <w:rsid w:val="00016F86"/>
    <w:rsid w:val="00020D55"/>
    <w:rsid w:val="00022007"/>
    <w:rsid w:val="00022135"/>
    <w:rsid w:val="0002263F"/>
    <w:rsid w:val="000240FE"/>
    <w:rsid w:val="000245F1"/>
    <w:rsid w:val="00024863"/>
    <w:rsid w:val="000258FC"/>
    <w:rsid w:val="000269B0"/>
    <w:rsid w:val="000273D8"/>
    <w:rsid w:val="000278AC"/>
    <w:rsid w:val="00030130"/>
    <w:rsid w:val="00030347"/>
    <w:rsid w:val="00030ABF"/>
    <w:rsid w:val="000368C5"/>
    <w:rsid w:val="000418CB"/>
    <w:rsid w:val="00043B2A"/>
    <w:rsid w:val="0004446F"/>
    <w:rsid w:val="0004474C"/>
    <w:rsid w:val="00044880"/>
    <w:rsid w:val="00044CE4"/>
    <w:rsid w:val="0004512D"/>
    <w:rsid w:val="000470A2"/>
    <w:rsid w:val="00047C59"/>
    <w:rsid w:val="000507C2"/>
    <w:rsid w:val="00051C8E"/>
    <w:rsid w:val="00052046"/>
    <w:rsid w:val="0005478C"/>
    <w:rsid w:val="00055FF4"/>
    <w:rsid w:val="00057E67"/>
    <w:rsid w:val="00060B74"/>
    <w:rsid w:val="000613C4"/>
    <w:rsid w:val="00061F0A"/>
    <w:rsid w:val="00062055"/>
    <w:rsid w:val="00062692"/>
    <w:rsid w:val="0006360C"/>
    <w:rsid w:val="0006412C"/>
    <w:rsid w:val="00064B8A"/>
    <w:rsid w:val="00064F3A"/>
    <w:rsid w:val="0006737A"/>
    <w:rsid w:val="00067B7C"/>
    <w:rsid w:val="00067CBA"/>
    <w:rsid w:val="00074D70"/>
    <w:rsid w:val="000771D4"/>
    <w:rsid w:val="00077A91"/>
    <w:rsid w:val="000808A0"/>
    <w:rsid w:val="000817A5"/>
    <w:rsid w:val="00082FED"/>
    <w:rsid w:val="00085067"/>
    <w:rsid w:val="00085082"/>
    <w:rsid w:val="00085DBB"/>
    <w:rsid w:val="00086BB4"/>
    <w:rsid w:val="00090BC4"/>
    <w:rsid w:val="000953E0"/>
    <w:rsid w:val="00096E9C"/>
    <w:rsid w:val="0009718F"/>
    <w:rsid w:val="000A06F5"/>
    <w:rsid w:val="000A0E64"/>
    <w:rsid w:val="000A0F66"/>
    <w:rsid w:val="000A1406"/>
    <w:rsid w:val="000A21B6"/>
    <w:rsid w:val="000A2297"/>
    <w:rsid w:val="000A3832"/>
    <w:rsid w:val="000A6365"/>
    <w:rsid w:val="000A6E04"/>
    <w:rsid w:val="000A771B"/>
    <w:rsid w:val="000B0EB8"/>
    <w:rsid w:val="000B2FE5"/>
    <w:rsid w:val="000B44EB"/>
    <w:rsid w:val="000B5993"/>
    <w:rsid w:val="000B67D2"/>
    <w:rsid w:val="000B7213"/>
    <w:rsid w:val="000C12C2"/>
    <w:rsid w:val="000C1F3D"/>
    <w:rsid w:val="000C5FA6"/>
    <w:rsid w:val="000C7E6C"/>
    <w:rsid w:val="000D1685"/>
    <w:rsid w:val="000D1F31"/>
    <w:rsid w:val="000D42B0"/>
    <w:rsid w:val="000D7A54"/>
    <w:rsid w:val="000E224F"/>
    <w:rsid w:val="000E321F"/>
    <w:rsid w:val="000E45DE"/>
    <w:rsid w:val="000E5BB5"/>
    <w:rsid w:val="000F186E"/>
    <w:rsid w:val="000F3628"/>
    <w:rsid w:val="000F4089"/>
    <w:rsid w:val="000F73A7"/>
    <w:rsid w:val="000F772F"/>
    <w:rsid w:val="0010073E"/>
    <w:rsid w:val="00107E75"/>
    <w:rsid w:val="0011693A"/>
    <w:rsid w:val="00120E35"/>
    <w:rsid w:val="00121AD4"/>
    <w:rsid w:val="00122C09"/>
    <w:rsid w:val="00125789"/>
    <w:rsid w:val="0012673B"/>
    <w:rsid w:val="00126A00"/>
    <w:rsid w:val="00127BBF"/>
    <w:rsid w:val="00131883"/>
    <w:rsid w:val="001328FE"/>
    <w:rsid w:val="00136041"/>
    <w:rsid w:val="001360A1"/>
    <w:rsid w:val="00137632"/>
    <w:rsid w:val="00140B2F"/>
    <w:rsid w:val="00143173"/>
    <w:rsid w:val="001466C6"/>
    <w:rsid w:val="00146D9C"/>
    <w:rsid w:val="00147B78"/>
    <w:rsid w:val="001502D0"/>
    <w:rsid w:val="00151083"/>
    <w:rsid w:val="00151158"/>
    <w:rsid w:val="001512BA"/>
    <w:rsid w:val="00152F56"/>
    <w:rsid w:val="00153638"/>
    <w:rsid w:val="001538A8"/>
    <w:rsid w:val="0015588D"/>
    <w:rsid w:val="001578A3"/>
    <w:rsid w:val="00163EA2"/>
    <w:rsid w:val="001649B1"/>
    <w:rsid w:val="00166290"/>
    <w:rsid w:val="0016720D"/>
    <w:rsid w:val="00167E3A"/>
    <w:rsid w:val="0017218C"/>
    <w:rsid w:val="00173AE5"/>
    <w:rsid w:val="001747B6"/>
    <w:rsid w:val="00180BC9"/>
    <w:rsid w:val="001833C2"/>
    <w:rsid w:val="00183F9A"/>
    <w:rsid w:val="00184FC4"/>
    <w:rsid w:val="00187FCA"/>
    <w:rsid w:val="00190CD7"/>
    <w:rsid w:val="00191261"/>
    <w:rsid w:val="00193E5F"/>
    <w:rsid w:val="0019416E"/>
    <w:rsid w:val="00194A83"/>
    <w:rsid w:val="00196197"/>
    <w:rsid w:val="00196A4D"/>
    <w:rsid w:val="00196C51"/>
    <w:rsid w:val="001A05D1"/>
    <w:rsid w:val="001A78B1"/>
    <w:rsid w:val="001B030A"/>
    <w:rsid w:val="001B406D"/>
    <w:rsid w:val="001B721B"/>
    <w:rsid w:val="001B7D73"/>
    <w:rsid w:val="001C0D65"/>
    <w:rsid w:val="001C0DB9"/>
    <w:rsid w:val="001C2B5F"/>
    <w:rsid w:val="001C4DF2"/>
    <w:rsid w:val="001C63FA"/>
    <w:rsid w:val="001C7265"/>
    <w:rsid w:val="001D0E2E"/>
    <w:rsid w:val="001D37C2"/>
    <w:rsid w:val="001D3CEE"/>
    <w:rsid w:val="001D629E"/>
    <w:rsid w:val="001E0239"/>
    <w:rsid w:val="001E12DF"/>
    <w:rsid w:val="001E277D"/>
    <w:rsid w:val="001E2C12"/>
    <w:rsid w:val="001E45B8"/>
    <w:rsid w:val="001E4ECC"/>
    <w:rsid w:val="001F028B"/>
    <w:rsid w:val="001F3825"/>
    <w:rsid w:val="001F3A5F"/>
    <w:rsid w:val="001F45E4"/>
    <w:rsid w:val="001F51B4"/>
    <w:rsid w:val="001F645E"/>
    <w:rsid w:val="001F6D90"/>
    <w:rsid w:val="001F7F1A"/>
    <w:rsid w:val="0020068F"/>
    <w:rsid w:val="002045B9"/>
    <w:rsid w:val="002062CD"/>
    <w:rsid w:val="002067F6"/>
    <w:rsid w:val="00206DDA"/>
    <w:rsid w:val="00210A83"/>
    <w:rsid w:val="00210F1E"/>
    <w:rsid w:val="00212CB8"/>
    <w:rsid w:val="0021403E"/>
    <w:rsid w:val="002153A7"/>
    <w:rsid w:val="00216322"/>
    <w:rsid w:val="00222679"/>
    <w:rsid w:val="00225CA3"/>
    <w:rsid w:val="00225D9D"/>
    <w:rsid w:val="00226F3B"/>
    <w:rsid w:val="00231626"/>
    <w:rsid w:val="002322C8"/>
    <w:rsid w:val="002325D1"/>
    <w:rsid w:val="00233B60"/>
    <w:rsid w:val="002345C2"/>
    <w:rsid w:val="00234E21"/>
    <w:rsid w:val="00237F8E"/>
    <w:rsid w:val="002413F1"/>
    <w:rsid w:val="00241C3E"/>
    <w:rsid w:val="0024339F"/>
    <w:rsid w:val="00244E3E"/>
    <w:rsid w:val="0024753F"/>
    <w:rsid w:val="00250598"/>
    <w:rsid w:val="002505D1"/>
    <w:rsid w:val="002515C5"/>
    <w:rsid w:val="002527B8"/>
    <w:rsid w:val="00252843"/>
    <w:rsid w:val="00254CFB"/>
    <w:rsid w:val="0025562B"/>
    <w:rsid w:val="0025679B"/>
    <w:rsid w:val="00257571"/>
    <w:rsid w:val="0026132A"/>
    <w:rsid w:val="00264DE7"/>
    <w:rsid w:val="00267CCC"/>
    <w:rsid w:val="00270FB8"/>
    <w:rsid w:val="00271590"/>
    <w:rsid w:val="00271C9D"/>
    <w:rsid w:val="002720CB"/>
    <w:rsid w:val="00273DC8"/>
    <w:rsid w:val="00275B98"/>
    <w:rsid w:val="00276073"/>
    <w:rsid w:val="00276E80"/>
    <w:rsid w:val="00277C9F"/>
    <w:rsid w:val="00281562"/>
    <w:rsid w:val="00282A37"/>
    <w:rsid w:val="00282CBD"/>
    <w:rsid w:val="00282E8C"/>
    <w:rsid w:val="00283A1C"/>
    <w:rsid w:val="00295555"/>
    <w:rsid w:val="00295F07"/>
    <w:rsid w:val="00296642"/>
    <w:rsid w:val="002A1C22"/>
    <w:rsid w:val="002A5B4A"/>
    <w:rsid w:val="002A716F"/>
    <w:rsid w:val="002A7540"/>
    <w:rsid w:val="002A75C9"/>
    <w:rsid w:val="002B2872"/>
    <w:rsid w:val="002B3A84"/>
    <w:rsid w:val="002B51A3"/>
    <w:rsid w:val="002B5C38"/>
    <w:rsid w:val="002B7551"/>
    <w:rsid w:val="002B78F6"/>
    <w:rsid w:val="002C0CE6"/>
    <w:rsid w:val="002C2C8A"/>
    <w:rsid w:val="002C32AB"/>
    <w:rsid w:val="002C3CEE"/>
    <w:rsid w:val="002C40AC"/>
    <w:rsid w:val="002C5E1E"/>
    <w:rsid w:val="002E12BD"/>
    <w:rsid w:val="002E310A"/>
    <w:rsid w:val="002E387A"/>
    <w:rsid w:val="002E3D77"/>
    <w:rsid w:val="002E4813"/>
    <w:rsid w:val="002E4F85"/>
    <w:rsid w:val="002E6F14"/>
    <w:rsid w:val="002E6FFD"/>
    <w:rsid w:val="002F2A67"/>
    <w:rsid w:val="002F729E"/>
    <w:rsid w:val="003002C0"/>
    <w:rsid w:val="0030315D"/>
    <w:rsid w:val="00306EEA"/>
    <w:rsid w:val="00307BD0"/>
    <w:rsid w:val="00312492"/>
    <w:rsid w:val="00312BE3"/>
    <w:rsid w:val="003144DA"/>
    <w:rsid w:val="003160C3"/>
    <w:rsid w:val="00322176"/>
    <w:rsid w:val="003230F9"/>
    <w:rsid w:val="003239C9"/>
    <w:rsid w:val="0032616C"/>
    <w:rsid w:val="00327284"/>
    <w:rsid w:val="003272D6"/>
    <w:rsid w:val="00327322"/>
    <w:rsid w:val="00330866"/>
    <w:rsid w:val="00331321"/>
    <w:rsid w:val="003348BF"/>
    <w:rsid w:val="00334CCB"/>
    <w:rsid w:val="003372EF"/>
    <w:rsid w:val="0034069F"/>
    <w:rsid w:val="003427AE"/>
    <w:rsid w:val="00344D1B"/>
    <w:rsid w:val="00347ACC"/>
    <w:rsid w:val="00347B6E"/>
    <w:rsid w:val="0035019B"/>
    <w:rsid w:val="00350EE2"/>
    <w:rsid w:val="00351773"/>
    <w:rsid w:val="00355FCC"/>
    <w:rsid w:val="00361B23"/>
    <w:rsid w:val="00364565"/>
    <w:rsid w:val="003661BE"/>
    <w:rsid w:val="00367EAF"/>
    <w:rsid w:val="00372087"/>
    <w:rsid w:val="003732A4"/>
    <w:rsid w:val="00373D66"/>
    <w:rsid w:val="0037426C"/>
    <w:rsid w:val="003759E4"/>
    <w:rsid w:val="003776C5"/>
    <w:rsid w:val="00377995"/>
    <w:rsid w:val="003804BF"/>
    <w:rsid w:val="00380EC3"/>
    <w:rsid w:val="00381524"/>
    <w:rsid w:val="003822CA"/>
    <w:rsid w:val="00385600"/>
    <w:rsid w:val="00386E20"/>
    <w:rsid w:val="00387662"/>
    <w:rsid w:val="00387D47"/>
    <w:rsid w:val="003905BD"/>
    <w:rsid w:val="003907DC"/>
    <w:rsid w:val="00392FFC"/>
    <w:rsid w:val="003952B9"/>
    <w:rsid w:val="00395404"/>
    <w:rsid w:val="00397AC9"/>
    <w:rsid w:val="003A09E4"/>
    <w:rsid w:val="003A37FB"/>
    <w:rsid w:val="003A388D"/>
    <w:rsid w:val="003A5277"/>
    <w:rsid w:val="003A6CBF"/>
    <w:rsid w:val="003A7DF6"/>
    <w:rsid w:val="003B0CA9"/>
    <w:rsid w:val="003B143B"/>
    <w:rsid w:val="003B2539"/>
    <w:rsid w:val="003B359E"/>
    <w:rsid w:val="003B3BA2"/>
    <w:rsid w:val="003B53C5"/>
    <w:rsid w:val="003B6297"/>
    <w:rsid w:val="003B7075"/>
    <w:rsid w:val="003C3C9F"/>
    <w:rsid w:val="003C5003"/>
    <w:rsid w:val="003C5304"/>
    <w:rsid w:val="003C56EC"/>
    <w:rsid w:val="003C5735"/>
    <w:rsid w:val="003C64F5"/>
    <w:rsid w:val="003C691B"/>
    <w:rsid w:val="003D04FD"/>
    <w:rsid w:val="003D1D00"/>
    <w:rsid w:val="003D1E42"/>
    <w:rsid w:val="003D2A9A"/>
    <w:rsid w:val="003D2BDC"/>
    <w:rsid w:val="003D2C97"/>
    <w:rsid w:val="003D3AE4"/>
    <w:rsid w:val="003D58D9"/>
    <w:rsid w:val="003D6C1C"/>
    <w:rsid w:val="003E0BD2"/>
    <w:rsid w:val="003E534C"/>
    <w:rsid w:val="003E58DD"/>
    <w:rsid w:val="003E58FB"/>
    <w:rsid w:val="003E7389"/>
    <w:rsid w:val="003F1B1A"/>
    <w:rsid w:val="003F2134"/>
    <w:rsid w:val="003F2243"/>
    <w:rsid w:val="003F279F"/>
    <w:rsid w:val="003F7C69"/>
    <w:rsid w:val="003F7D7A"/>
    <w:rsid w:val="00402075"/>
    <w:rsid w:val="004033D1"/>
    <w:rsid w:val="00405D12"/>
    <w:rsid w:val="00410680"/>
    <w:rsid w:val="00410F45"/>
    <w:rsid w:val="00412531"/>
    <w:rsid w:val="004148AB"/>
    <w:rsid w:val="00414F42"/>
    <w:rsid w:val="00415CD9"/>
    <w:rsid w:val="00420970"/>
    <w:rsid w:val="00420A0A"/>
    <w:rsid w:val="00423C42"/>
    <w:rsid w:val="00425C75"/>
    <w:rsid w:val="0042723F"/>
    <w:rsid w:val="0043233F"/>
    <w:rsid w:val="00432E4D"/>
    <w:rsid w:val="00433C7B"/>
    <w:rsid w:val="00434432"/>
    <w:rsid w:val="0043454D"/>
    <w:rsid w:val="004358F7"/>
    <w:rsid w:val="00437A52"/>
    <w:rsid w:val="00437F4D"/>
    <w:rsid w:val="00441F8C"/>
    <w:rsid w:val="004432BC"/>
    <w:rsid w:val="0044369A"/>
    <w:rsid w:val="00447B8F"/>
    <w:rsid w:val="004509CF"/>
    <w:rsid w:val="0045181A"/>
    <w:rsid w:val="00454BC8"/>
    <w:rsid w:val="0045542E"/>
    <w:rsid w:val="00456365"/>
    <w:rsid w:val="00457A85"/>
    <w:rsid w:val="00464308"/>
    <w:rsid w:val="0046434B"/>
    <w:rsid w:val="00465E58"/>
    <w:rsid w:val="00466589"/>
    <w:rsid w:val="004667FA"/>
    <w:rsid w:val="00470A02"/>
    <w:rsid w:val="004712AE"/>
    <w:rsid w:val="00472EDE"/>
    <w:rsid w:val="004749E8"/>
    <w:rsid w:val="00475586"/>
    <w:rsid w:val="004772C0"/>
    <w:rsid w:val="004800B0"/>
    <w:rsid w:val="0048090F"/>
    <w:rsid w:val="00484067"/>
    <w:rsid w:val="00484F9F"/>
    <w:rsid w:val="00485E6C"/>
    <w:rsid w:val="00486AC9"/>
    <w:rsid w:val="00491872"/>
    <w:rsid w:val="00492253"/>
    <w:rsid w:val="0049305B"/>
    <w:rsid w:val="00494DC0"/>
    <w:rsid w:val="00494DFB"/>
    <w:rsid w:val="0049576F"/>
    <w:rsid w:val="004968E2"/>
    <w:rsid w:val="004A043F"/>
    <w:rsid w:val="004A266D"/>
    <w:rsid w:val="004A308B"/>
    <w:rsid w:val="004A382C"/>
    <w:rsid w:val="004A5434"/>
    <w:rsid w:val="004A6ABA"/>
    <w:rsid w:val="004A7A7A"/>
    <w:rsid w:val="004B146A"/>
    <w:rsid w:val="004B17F3"/>
    <w:rsid w:val="004B3A11"/>
    <w:rsid w:val="004B40D2"/>
    <w:rsid w:val="004B524A"/>
    <w:rsid w:val="004B5623"/>
    <w:rsid w:val="004B5810"/>
    <w:rsid w:val="004C0A8D"/>
    <w:rsid w:val="004C2F89"/>
    <w:rsid w:val="004C3719"/>
    <w:rsid w:val="004C4B46"/>
    <w:rsid w:val="004D47BE"/>
    <w:rsid w:val="004E045A"/>
    <w:rsid w:val="004E36EB"/>
    <w:rsid w:val="004E4EBF"/>
    <w:rsid w:val="004E4F92"/>
    <w:rsid w:val="004E5C8B"/>
    <w:rsid w:val="004E6C19"/>
    <w:rsid w:val="004F4EBB"/>
    <w:rsid w:val="004F5D10"/>
    <w:rsid w:val="004F605C"/>
    <w:rsid w:val="004F6440"/>
    <w:rsid w:val="004F71D5"/>
    <w:rsid w:val="005013FD"/>
    <w:rsid w:val="00501B17"/>
    <w:rsid w:val="00501BFC"/>
    <w:rsid w:val="00505870"/>
    <w:rsid w:val="0050612F"/>
    <w:rsid w:val="00506D37"/>
    <w:rsid w:val="00507716"/>
    <w:rsid w:val="00510958"/>
    <w:rsid w:val="0051165E"/>
    <w:rsid w:val="00512EFE"/>
    <w:rsid w:val="0051781A"/>
    <w:rsid w:val="00517C36"/>
    <w:rsid w:val="00520703"/>
    <w:rsid w:val="005228EA"/>
    <w:rsid w:val="00525086"/>
    <w:rsid w:val="005279F1"/>
    <w:rsid w:val="00530414"/>
    <w:rsid w:val="00530593"/>
    <w:rsid w:val="0053181F"/>
    <w:rsid w:val="00531A70"/>
    <w:rsid w:val="00531E7D"/>
    <w:rsid w:val="00533CB9"/>
    <w:rsid w:val="0053441D"/>
    <w:rsid w:val="00534485"/>
    <w:rsid w:val="00534BC9"/>
    <w:rsid w:val="00535110"/>
    <w:rsid w:val="00535C3A"/>
    <w:rsid w:val="00536A79"/>
    <w:rsid w:val="00537666"/>
    <w:rsid w:val="00537912"/>
    <w:rsid w:val="005404E0"/>
    <w:rsid w:val="00540BF1"/>
    <w:rsid w:val="00542677"/>
    <w:rsid w:val="0054301C"/>
    <w:rsid w:val="00547273"/>
    <w:rsid w:val="00550402"/>
    <w:rsid w:val="00550F25"/>
    <w:rsid w:val="00552777"/>
    <w:rsid w:val="005528B7"/>
    <w:rsid w:val="00552BB0"/>
    <w:rsid w:val="005531F3"/>
    <w:rsid w:val="0055332D"/>
    <w:rsid w:val="005539EC"/>
    <w:rsid w:val="0055434A"/>
    <w:rsid w:val="00555304"/>
    <w:rsid w:val="005600B4"/>
    <w:rsid w:val="00560197"/>
    <w:rsid w:val="005616C4"/>
    <w:rsid w:val="00562CEA"/>
    <w:rsid w:val="00566EB4"/>
    <w:rsid w:val="00567A71"/>
    <w:rsid w:val="00570578"/>
    <w:rsid w:val="00570CD6"/>
    <w:rsid w:val="00570DB1"/>
    <w:rsid w:val="005715F3"/>
    <w:rsid w:val="00571DED"/>
    <w:rsid w:val="00571E2B"/>
    <w:rsid w:val="00572472"/>
    <w:rsid w:val="0057635B"/>
    <w:rsid w:val="00580352"/>
    <w:rsid w:val="00581CD3"/>
    <w:rsid w:val="00584BCF"/>
    <w:rsid w:val="00585D12"/>
    <w:rsid w:val="00586DE5"/>
    <w:rsid w:val="0058749D"/>
    <w:rsid w:val="005900AB"/>
    <w:rsid w:val="00591D84"/>
    <w:rsid w:val="0059376B"/>
    <w:rsid w:val="005939CF"/>
    <w:rsid w:val="0059481C"/>
    <w:rsid w:val="00595FD7"/>
    <w:rsid w:val="005978F8"/>
    <w:rsid w:val="00597B35"/>
    <w:rsid w:val="005A0085"/>
    <w:rsid w:val="005A1504"/>
    <w:rsid w:val="005A2289"/>
    <w:rsid w:val="005A254B"/>
    <w:rsid w:val="005A3770"/>
    <w:rsid w:val="005A6C18"/>
    <w:rsid w:val="005B0740"/>
    <w:rsid w:val="005B3E45"/>
    <w:rsid w:val="005B4BA9"/>
    <w:rsid w:val="005B5E58"/>
    <w:rsid w:val="005C1150"/>
    <w:rsid w:val="005C1288"/>
    <w:rsid w:val="005C3470"/>
    <w:rsid w:val="005C3F08"/>
    <w:rsid w:val="005C4BA6"/>
    <w:rsid w:val="005D09FB"/>
    <w:rsid w:val="005D1BB5"/>
    <w:rsid w:val="005D7E1E"/>
    <w:rsid w:val="005E19F0"/>
    <w:rsid w:val="005E3ADE"/>
    <w:rsid w:val="005E3C68"/>
    <w:rsid w:val="005E58C6"/>
    <w:rsid w:val="005E60FF"/>
    <w:rsid w:val="005E6694"/>
    <w:rsid w:val="005E7638"/>
    <w:rsid w:val="005F28A2"/>
    <w:rsid w:val="005F322E"/>
    <w:rsid w:val="005F4CEE"/>
    <w:rsid w:val="005F7C9C"/>
    <w:rsid w:val="00602B6A"/>
    <w:rsid w:val="00603079"/>
    <w:rsid w:val="00603ADC"/>
    <w:rsid w:val="00603BB1"/>
    <w:rsid w:val="0060420F"/>
    <w:rsid w:val="00605BDA"/>
    <w:rsid w:val="006077A0"/>
    <w:rsid w:val="00616064"/>
    <w:rsid w:val="00616596"/>
    <w:rsid w:val="00622426"/>
    <w:rsid w:val="00630439"/>
    <w:rsid w:val="00631F46"/>
    <w:rsid w:val="0063238A"/>
    <w:rsid w:val="0063336E"/>
    <w:rsid w:val="006350C6"/>
    <w:rsid w:val="0063592F"/>
    <w:rsid w:val="00641DDB"/>
    <w:rsid w:val="00642DF7"/>
    <w:rsid w:val="006447BF"/>
    <w:rsid w:val="00644C0B"/>
    <w:rsid w:val="00646621"/>
    <w:rsid w:val="00650AAE"/>
    <w:rsid w:val="00654F4B"/>
    <w:rsid w:val="00656583"/>
    <w:rsid w:val="00656D72"/>
    <w:rsid w:val="00661CD5"/>
    <w:rsid w:val="00662081"/>
    <w:rsid w:val="006623C7"/>
    <w:rsid w:val="0066294E"/>
    <w:rsid w:val="00663EC3"/>
    <w:rsid w:val="006675F9"/>
    <w:rsid w:val="00670FFE"/>
    <w:rsid w:val="0067352E"/>
    <w:rsid w:val="006764F0"/>
    <w:rsid w:val="00680FE2"/>
    <w:rsid w:val="00682C6C"/>
    <w:rsid w:val="00682C9D"/>
    <w:rsid w:val="00683A36"/>
    <w:rsid w:val="006844E8"/>
    <w:rsid w:val="006863ED"/>
    <w:rsid w:val="00690046"/>
    <w:rsid w:val="0069013F"/>
    <w:rsid w:val="00690BE4"/>
    <w:rsid w:val="00691BF3"/>
    <w:rsid w:val="00693B8D"/>
    <w:rsid w:val="006940AE"/>
    <w:rsid w:val="00694306"/>
    <w:rsid w:val="00695481"/>
    <w:rsid w:val="006976C7"/>
    <w:rsid w:val="0069777E"/>
    <w:rsid w:val="006A162E"/>
    <w:rsid w:val="006A3F06"/>
    <w:rsid w:val="006A68FD"/>
    <w:rsid w:val="006A7D36"/>
    <w:rsid w:val="006B0152"/>
    <w:rsid w:val="006B239C"/>
    <w:rsid w:val="006B2963"/>
    <w:rsid w:val="006B62E4"/>
    <w:rsid w:val="006B6749"/>
    <w:rsid w:val="006C29D9"/>
    <w:rsid w:val="006C33D7"/>
    <w:rsid w:val="006C34AA"/>
    <w:rsid w:val="006C366F"/>
    <w:rsid w:val="006C3C76"/>
    <w:rsid w:val="006C5237"/>
    <w:rsid w:val="006C5D64"/>
    <w:rsid w:val="006C5FC4"/>
    <w:rsid w:val="006C64D2"/>
    <w:rsid w:val="006C7058"/>
    <w:rsid w:val="006D03F0"/>
    <w:rsid w:val="006D22B5"/>
    <w:rsid w:val="006D3888"/>
    <w:rsid w:val="006D3CAC"/>
    <w:rsid w:val="006D5817"/>
    <w:rsid w:val="006E395C"/>
    <w:rsid w:val="006E4516"/>
    <w:rsid w:val="006E7164"/>
    <w:rsid w:val="006F1906"/>
    <w:rsid w:val="006F2AC5"/>
    <w:rsid w:val="006F3774"/>
    <w:rsid w:val="006F44E9"/>
    <w:rsid w:val="006F7BEF"/>
    <w:rsid w:val="00700E07"/>
    <w:rsid w:val="0070131C"/>
    <w:rsid w:val="0070359C"/>
    <w:rsid w:val="007039C9"/>
    <w:rsid w:val="007045A0"/>
    <w:rsid w:val="0070592A"/>
    <w:rsid w:val="007062B4"/>
    <w:rsid w:val="00712982"/>
    <w:rsid w:val="0071315C"/>
    <w:rsid w:val="0071642F"/>
    <w:rsid w:val="00716DF1"/>
    <w:rsid w:val="00717731"/>
    <w:rsid w:val="00717E2E"/>
    <w:rsid w:val="007211A0"/>
    <w:rsid w:val="00722924"/>
    <w:rsid w:val="007240F5"/>
    <w:rsid w:val="00726A5C"/>
    <w:rsid w:val="007302CD"/>
    <w:rsid w:val="007302E0"/>
    <w:rsid w:val="00730B62"/>
    <w:rsid w:val="00731CBD"/>
    <w:rsid w:val="0073231F"/>
    <w:rsid w:val="0073478C"/>
    <w:rsid w:val="00734DA8"/>
    <w:rsid w:val="00735617"/>
    <w:rsid w:val="007361FF"/>
    <w:rsid w:val="00740278"/>
    <w:rsid w:val="00740580"/>
    <w:rsid w:val="00741F84"/>
    <w:rsid w:val="00746A8D"/>
    <w:rsid w:val="00747BE5"/>
    <w:rsid w:val="00750F42"/>
    <w:rsid w:val="007516A1"/>
    <w:rsid w:val="0075410A"/>
    <w:rsid w:val="007565C1"/>
    <w:rsid w:val="00760D7D"/>
    <w:rsid w:val="00760E9C"/>
    <w:rsid w:val="00761525"/>
    <w:rsid w:val="00763338"/>
    <w:rsid w:val="00766ECB"/>
    <w:rsid w:val="00767288"/>
    <w:rsid w:val="00770F01"/>
    <w:rsid w:val="00772EF6"/>
    <w:rsid w:val="00773698"/>
    <w:rsid w:val="00773B3B"/>
    <w:rsid w:val="00774410"/>
    <w:rsid w:val="0077573C"/>
    <w:rsid w:val="00776743"/>
    <w:rsid w:val="0077751E"/>
    <w:rsid w:val="007801E4"/>
    <w:rsid w:val="00780A19"/>
    <w:rsid w:val="00780F6F"/>
    <w:rsid w:val="00782519"/>
    <w:rsid w:val="0078533D"/>
    <w:rsid w:val="00785DC3"/>
    <w:rsid w:val="00786159"/>
    <w:rsid w:val="00791A44"/>
    <w:rsid w:val="007925A0"/>
    <w:rsid w:val="00793C98"/>
    <w:rsid w:val="0079400C"/>
    <w:rsid w:val="00795C8C"/>
    <w:rsid w:val="00796014"/>
    <w:rsid w:val="00797680"/>
    <w:rsid w:val="007A0733"/>
    <w:rsid w:val="007A275D"/>
    <w:rsid w:val="007A3FC5"/>
    <w:rsid w:val="007A4808"/>
    <w:rsid w:val="007A48FF"/>
    <w:rsid w:val="007A7ABD"/>
    <w:rsid w:val="007B120E"/>
    <w:rsid w:val="007B280F"/>
    <w:rsid w:val="007B2E70"/>
    <w:rsid w:val="007B3A9C"/>
    <w:rsid w:val="007B47B1"/>
    <w:rsid w:val="007B4ADD"/>
    <w:rsid w:val="007B52E4"/>
    <w:rsid w:val="007B5FEE"/>
    <w:rsid w:val="007B704F"/>
    <w:rsid w:val="007C0B86"/>
    <w:rsid w:val="007C11FC"/>
    <w:rsid w:val="007C2F4A"/>
    <w:rsid w:val="007C512C"/>
    <w:rsid w:val="007C5BB5"/>
    <w:rsid w:val="007C6036"/>
    <w:rsid w:val="007C7C8F"/>
    <w:rsid w:val="007D0990"/>
    <w:rsid w:val="007D116C"/>
    <w:rsid w:val="007D2130"/>
    <w:rsid w:val="007D39B2"/>
    <w:rsid w:val="007D4E5F"/>
    <w:rsid w:val="007E18D1"/>
    <w:rsid w:val="007E1B5A"/>
    <w:rsid w:val="007E1F42"/>
    <w:rsid w:val="007E251D"/>
    <w:rsid w:val="007E3192"/>
    <w:rsid w:val="007E4B09"/>
    <w:rsid w:val="007E5B93"/>
    <w:rsid w:val="007F033B"/>
    <w:rsid w:val="007F2771"/>
    <w:rsid w:val="007F7DA7"/>
    <w:rsid w:val="008007A9"/>
    <w:rsid w:val="00801045"/>
    <w:rsid w:val="0080305F"/>
    <w:rsid w:val="00803B6F"/>
    <w:rsid w:val="00804F3C"/>
    <w:rsid w:val="00806ABC"/>
    <w:rsid w:val="00810058"/>
    <w:rsid w:val="008104D1"/>
    <w:rsid w:val="00811CB8"/>
    <w:rsid w:val="00813414"/>
    <w:rsid w:val="008138B5"/>
    <w:rsid w:val="0081416A"/>
    <w:rsid w:val="008148CB"/>
    <w:rsid w:val="00815531"/>
    <w:rsid w:val="00815CC1"/>
    <w:rsid w:val="008164CE"/>
    <w:rsid w:val="00817B57"/>
    <w:rsid w:val="00822C03"/>
    <w:rsid w:val="00825FB9"/>
    <w:rsid w:val="00826748"/>
    <w:rsid w:val="008329FA"/>
    <w:rsid w:val="00832D35"/>
    <w:rsid w:val="008337A6"/>
    <w:rsid w:val="00833D08"/>
    <w:rsid w:val="0084046E"/>
    <w:rsid w:val="0085148B"/>
    <w:rsid w:val="008547CC"/>
    <w:rsid w:val="00854D7D"/>
    <w:rsid w:val="00855ABE"/>
    <w:rsid w:val="008601E7"/>
    <w:rsid w:val="00862232"/>
    <w:rsid w:val="0086233B"/>
    <w:rsid w:val="00863409"/>
    <w:rsid w:val="008638A6"/>
    <w:rsid w:val="00864462"/>
    <w:rsid w:val="00864AC9"/>
    <w:rsid w:val="00866602"/>
    <w:rsid w:val="008667FE"/>
    <w:rsid w:val="008709DC"/>
    <w:rsid w:val="00872595"/>
    <w:rsid w:val="008747FD"/>
    <w:rsid w:val="008748AD"/>
    <w:rsid w:val="0087546E"/>
    <w:rsid w:val="0087790E"/>
    <w:rsid w:val="00877EFF"/>
    <w:rsid w:val="00880073"/>
    <w:rsid w:val="0088087F"/>
    <w:rsid w:val="0088471C"/>
    <w:rsid w:val="0088621F"/>
    <w:rsid w:val="00886344"/>
    <w:rsid w:val="0088685A"/>
    <w:rsid w:val="00887FAD"/>
    <w:rsid w:val="008908C9"/>
    <w:rsid w:val="00890AF6"/>
    <w:rsid w:val="00892AAF"/>
    <w:rsid w:val="00892FAC"/>
    <w:rsid w:val="00896CC5"/>
    <w:rsid w:val="00897206"/>
    <w:rsid w:val="008A0E5B"/>
    <w:rsid w:val="008A1925"/>
    <w:rsid w:val="008A211D"/>
    <w:rsid w:val="008A5D39"/>
    <w:rsid w:val="008A5E2C"/>
    <w:rsid w:val="008A5FD8"/>
    <w:rsid w:val="008B663D"/>
    <w:rsid w:val="008C057E"/>
    <w:rsid w:val="008C1AF4"/>
    <w:rsid w:val="008C491F"/>
    <w:rsid w:val="008C5283"/>
    <w:rsid w:val="008D1CF7"/>
    <w:rsid w:val="008D2C6B"/>
    <w:rsid w:val="008D2EAC"/>
    <w:rsid w:val="008D334E"/>
    <w:rsid w:val="008D5642"/>
    <w:rsid w:val="008D733B"/>
    <w:rsid w:val="008D77B1"/>
    <w:rsid w:val="008D795C"/>
    <w:rsid w:val="008D7F1B"/>
    <w:rsid w:val="008E0D46"/>
    <w:rsid w:val="008E2231"/>
    <w:rsid w:val="008E22D3"/>
    <w:rsid w:val="008E347F"/>
    <w:rsid w:val="008E429A"/>
    <w:rsid w:val="008E4AE6"/>
    <w:rsid w:val="008F336A"/>
    <w:rsid w:val="008F494A"/>
    <w:rsid w:val="008F5DB4"/>
    <w:rsid w:val="008F74E1"/>
    <w:rsid w:val="009012C3"/>
    <w:rsid w:val="00902A82"/>
    <w:rsid w:val="009031DF"/>
    <w:rsid w:val="0090347E"/>
    <w:rsid w:val="0090379E"/>
    <w:rsid w:val="00906895"/>
    <w:rsid w:val="00910D40"/>
    <w:rsid w:val="00911D7F"/>
    <w:rsid w:val="00914052"/>
    <w:rsid w:val="00915366"/>
    <w:rsid w:val="009176A9"/>
    <w:rsid w:val="00921460"/>
    <w:rsid w:val="00923965"/>
    <w:rsid w:val="00923D4F"/>
    <w:rsid w:val="00932678"/>
    <w:rsid w:val="00935A64"/>
    <w:rsid w:val="009376F3"/>
    <w:rsid w:val="00940012"/>
    <w:rsid w:val="0094130F"/>
    <w:rsid w:val="0094266F"/>
    <w:rsid w:val="00943B3E"/>
    <w:rsid w:val="00945F63"/>
    <w:rsid w:val="009472A0"/>
    <w:rsid w:val="0094744D"/>
    <w:rsid w:val="00951DB8"/>
    <w:rsid w:val="00951EA4"/>
    <w:rsid w:val="00952A74"/>
    <w:rsid w:val="0095408F"/>
    <w:rsid w:val="00964211"/>
    <w:rsid w:val="00966BEF"/>
    <w:rsid w:val="0097020C"/>
    <w:rsid w:val="00973742"/>
    <w:rsid w:val="0097431C"/>
    <w:rsid w:val="00976F63"/>
    <w:rsid w:val="00977219"/>
    <w:rsid w:val="009823BB"/>
    <w:rsid w:val="0098306C"/>
    <w:rsid w:val="00984EEC"/>
    <w:rsid w:val="00987AAA"/>
    <w:rsid w:val="00990FC4"/>
    <w:rsid w:val="00991D2E"/>
    <w:rsid w:val="00991D57"/>
    <w:rsid w:val="00996F21"/>
    <w:rsid w:val="0099782C"/>
    <w:rsid w:val="009A07FB"/>
    <w:rsid w:val="009A2845"/>
    <w:rsid w:val="009A545B"/>
    <w:rsid w:val="009B09CA"/>
    <w:rsid w:val="009B13F3"/>
    <w:rsid w:val="009B15AA"/>
    <w:rsid w:val="009B66DF"/>
    <w:rsid w:val="009C49E8"/>
    <w:rsid w:val="009C79AC"/>
    <w:rsid w:val="009D3630"/>
    <w:rsid w:val="009D37E1"/>
    <w:rsid w:val="009D41CE"/>
    <w:rsid w:val="009D53E2"/>
    <w:rsid w:val="009D66FE"/>
    <w:rsid w:val="009D760C"/>
    <w:rsid w:val="009E0B5E"/>
    <w:rsid w:val="009E254A"/>
    <w:rsid w:val="009E2C38"/>
    <w:rsid w:val="009E3363"/>
    <w:rsid w:val="009E478E"/>
    <w:rsid w:val="009E5585"/>
    <w:rsid w:val="009F09D5"/>
    <w:rsid w:val="009F155F"/>
    <w:rsid w:val="009F1A23"/>
    <w:rsid w:val="009F33D8"/>
    <w:rsid w:val="009F43AB"/>
    <w:rsid w:val="009F5639"/>
    <w:rsid w:val="009F6620"/>
    <w:rsid w:val="00A00D91"/>
    <w:rsid w:val="00A01785"/>
    <w:rsid w:val="00A029ED"/>
    <w:rsid w:val="00A02A62"/>
    <w:rsid w:val="00A02DCC"/>
    <w:rsid w:val="00A03E9E"/>
    <w:rsid w:val="00A04B85"/>
    <w:rsid w:val="00A1198A"/>
    <w:rsid w:val="00A15CD8"/>
    <w:rsid w:val="00A235B4"/>
    <w:rsid w:val="00A23669"/>
    <w:rsid w:val="00A2381B"/>
    <w:rsid w:val="00A23E46"/>
    <w:rsid w:val="00A24BCC"/>
    <w:rsid w:val="00A257D1"/>
    <w:rsid w:val="00A30256"/>
    <w:rsid w:val="00A32DBD"/>
    <w:rsid w:val="00A3643E"/>
    <w:rsid w:val="00A37177"/>
    <w:rsid w:val="00A4012B"/>
    <w:rsid w:val="00A42197"/>
    <w:rsid w:val="00A43437"/>
    <w:rsid w:val="00A436C6"/>
    <w:rsid w:val="00A438B6"/>
    <w:rsid w:val="00A47C24"/>
    <w:rsid w:val="00A53D95"/>
    <w:rsid w:val="00A55FF3"/>
    <w:rsid w:val="00A56B46"/>
    <w:rsid w:val="00A57675"/>
    <w:rsid w:val="00A61745"/>
    <w:rsid w:val="00A632F0"/>
    <w:rsid w:val="00A643B5"/>
    <w:rsid w:val="00A6716A"/>
    <w:rsid w:val="00A67701"/>
    <w:rsid w:val="00A7083E"/>
    <w:rsid w:val="00A733C5"/>
    <w:rsid w:val="00A7434A"/>
    <w:rsid w:val="00A75C6A"/>
    <w:rsid w:val="00A801AE"/>
    <w:rsid w:val="00A8261F"/>
    <w:rsid w:val="00A82DC5"/>
    <w:rsid w:val="00A85F51"/>
    <w:rsid w:val="00A90E4E"/>
    <w:rsid w:val="00A9156E"/>
    <w:rsid w:val="00A91651"/>
    <w:rsid w:val="00A919C6"/>
    <w:rsid w:val="00A9524A"/>
    <w:rsid w:val="00A95FBF"/>
    <w:rsid w:val="00A96CC3"/>
    <w:rsid w:val="00AA5559"/>
    <w:rsid w:val="00AA7949"/>
    <w:rsid w:val="00AB608A"/>
    <w:rsid w:val="00AC0B7D"/>
    <w:rsid w:val="00AC0E42"/>
    <w:rsid w:val="00AC2022"/>
    <w:rsid w:val="00AC2A2E"/>
    <w:rsid w:val="00AC2DEC"/>
    <w:rsid w:val="00AC3169"/>
    <w:rsid w:val="00AC4C49"/>
    <w:rsid w:val="00AC7C60"/>
    <w:rsid w:val="00AD30A4"/>
    <w:rsid w:val="00AD3EE5"/>
    <w:rsid w:val="00AD468E"/>
    <w:rsid w:val="00AD4B8E"/>
    <w:rsid w:val="00AE2E95"/>
    <w:rsid w:val="00AE4289"/>
    <w:rsid w:val="00AE50FE"/>
    <w:rsid w:val="00AF07C0"/>
    <w:rsid w:val="00AF3CF5"/>
    <w:rsid w:val="00AF58F6"/>
    <w:rsid w:val="00AF70A9"/>
    <w:rsid w:val="00AF7FE9"/>
    <w:rsid w:val="00B026A3"/>
    <w:rsid w:val="00B02FBC"/>
    <w:rsid w:val="00B02FF8"/>
    <w:rsid w:val="00B100A7"/>
    <w:rsid w:val="00B117FF"/>
    <w:rsid w:val="00B11ED3"/>
    <w:rsid w:val="00B13D81"/>
    <w:rsid w:val="00B15E33"/>
    <w:rsid w:val="00B21466"/>
    <w:rsid w:val="00B21A9D"/>
    <w:rsid w:val="00B24D1F"/>
    <w:rsid w:val="00B2561C"/>
    <w:rsid w:val="00B27116"/>
    <w:rsid w:val="00B27B5D"/>
    <w:rsid w:val="00B30260"/>
    <w:rsid w:val="00B307D1"/>
    <w:rsid w:val="00B31583"/>
    <w:rsid w:val="00B31637"/>
    <w:rsid w:val="00B34187"/>
    <w:rsid w:val="00B34682"/>
    <w:rsid w:val="00B34988"/>
    <w:rsid w:val="00B34F70"/>
    <w:rsid w:val="00B35D7B"/>
    <w:rsid w:val="00B36BB8"/>
    <w:rsid w:val="00B40EB0"/>
    <w:rsid w:val="00B4663C"/>
    <w:rsid w:val="00B46BF6"/>
    <w:rsid w:val="00B46D14"/>
    <w:rsid w:val="00B53BC5"/>
    <w:rsid w:val="00B6144E"/>
    <w:rsid w:val="00B65A5B"/>
    <w:rsid w:val="00B65EE6"/>
    <w:rsid w:val="00B713EE"/>
    <w:rsid w:val="00B72541"/>
    <w:rsid w:val="00B7259F"/>
    <w:rsid w:val="00B74D92"/>
    <w:rsid w:val="00B75A3F"/>
    <w:rsid w:val="00B80C7B"/>
    <w:rsid w:val="00B82EFA"/>
    <w:rsid w:val="00B831EE"/>
    <w:rsid w:val="00B85719"/>
    <w:rsid w:val="00B8692C"/>
    <w:rsid w:val="00B87F86"/>
    <w:rsid w:val="00B91286"/>
    <w:rsid w:val="00B94822"/>
    <w:rsid w:val="00B94E07"/>
    <w:rsid w:val="00B96DC1"/>
    <w:rsid w:val="00BA3ACD"/>
    <w:rsid w:val="00BA400D"/>
    <w:rsid w:val="00BA46DB"/>
    <w:rsid w:val="00BA5739"/>
    <w:rsid w:val="00BA647E"/>
    <w:rsid w:val="00BB03E4"/>
    <w:rsid w:val="00BB0D92"/>
    <w:rsid w:val="00BB3648"/>
    <w:rsid w:val="00BB4952"/>
    <w:rsid w:val="00BB5149"/>
    <w:rsid w:val="00BB596E"/>
    <w:rsid w:val="00BB7B42"/>
    <w:rsid w:val="00BC0769"/>
    <w:rsid w:val="00BC5509"/>
    <w:rsid w:val="00BC5D28"/>
    <w:rsid w:val="00BC6375"/>
    <w:rsid w:val="00BC6DC7"/>
    <w:rsid w:val="00BC753B"/>
    <w:rsid w:val="00BD2E6B"/>
    <w:rsid w:val="00BD3699"/>
    <w:rsid w:val="00BD4307"/>
    <w:rsid w:val="00BD4CEF"/>
    <w:rsid w:val="00BD5AC6"/>
    <w:rsid w:val="00BD5B44"/>
    <w:rsid w:val="00BD6895"/>
    <w:rsid w:val="00BD6AD8"/>
    <w:rsid w:val="00BD6F23"/>
    <w:rsid w:val="00BD70D2"/>
    <w:rsid w:val="00BE101F"/>
    <w:rsid w:val="00BE1296"/>
    <w:rsid w:val="00BE3241"/>
    <w:rsid w:val="00BE40BE"/>
    <w:rsid w:val="00BE4FF8"/>
    <w:rsid w:val="00BE52B8"/>
    <w:rsid w:val="00BE58D8"/>
    <w:rsid w:val="00BE5997"/>
    <w:rsid w:val="00BE6E5F"/>
    <w:rsid w:val="00BF01BB"/>
    <w:rsid w:val="00BF0F36"/>
    <w:rsid w:val="00BF1ADB"/>
    <w:rsid w:val="00BF2002"/>
    <w:rsid w:val="00BF2AF3"/>
    <w:rsid w:val="00BF3AF2"/>
    <w:rsid w:val="00BF43D0"/>
    <w:rsid w:val="00C032AC"/>
    <w:rsid w:val="00C100A2"/>
    <w:rsid w:val="00C10852"/>
    <w:rsid w:val="00C11987"/>
    <w:rsid w:val="00C11AE4"/>
    <w:rsid w:val="00C12164"/>
    <w:rsid w:val="00C13094"/>
    <w:rsid w:val="00C165A8"/>
    <w:rsid w:val="00C16718"/>
    <w:rsid w:val="00C16BD1"/>
    <w:rsid w:val="00C235A0"/>
    <w:rsid w:val="00C24728"/>
    <w:rsid w:val="00C24D83"/>
    <w:rsid w:val="00C25FE1"/>
    <w:rsid w:val="00C31F26"/>
    <w:rsid w:val="00C33082"/>
    <w:rsid w:val="00C34EF7"/>
    <w:rsid w:val="00C35973"/>
    <w:rsid w:val="00C35E70"/>
    <w:rsid w:val="00C40A31"/>
    <w:rsid w:val="00C40D32"/>
    <w:rsid w:val="00C4134C"/>
    <w:rsid w:val="00C43AE8"/>
    <w:rsid w:val="00C46093"/>
    <w:rsid w:val="00C463C6"/>
    <w:rsid w:val="00C47AE8"/>
    <w:rsid w:val="00C510C7"/>
    <w:rsid w:val="00C51173"/>
    <w:rsid w:val="00C5344F"/>
    <w:rsid w:val="00C53561"/>
    <w:rsid w:val="00C54502"/>
    <w:rsid w:val="00C54668"/>
    <w:rsid w:val="00C54DE0"/>
    <w:rsid w:val="00C5520E"/>
    <w:rsid w:val="00C552C7"/>
    <w:rsid w:val="00C553DF"/>
    <w:rsid w:val="00C5695F"/>
    <w:rsid w:val="00C56C96"/>
    <w:rsid w:val="00C60443"/>
    <w:rsid w:val="00C609B9"/>
    <w:rsid w:val="00C611F9"/>
    <w:rsid w:val="00C625D2"/>
    <w:rsid w:val="00C62816"/>
    <w:rsid w:val="00C67A39"/>
    <w:rsid w:val="00C67CE6"/>
    <w:rsid w:val="00C72E85"/>
    <w:rsid w:val="00C734B2"/>
    <w:rsid w:val="00C80306"/>
    <w:rsid w:val="00C80FDA"/>
    <w:rsid w:val="00C81FC5"/>
    <w:rsid w:val="00C83839"/>
    <w:rsid w:val="00C83F2B"/>
    <w:rsid w:val="00C83FDF"/>
    <w:rsid w:val="00C845D5"/>
    <w:rsid w:val="00C84EC6"/>
    <w:rsid w:val="00C8594F"/>
    <w:rsid w:val="00C87930"/>
    <w:rsid w:val="00C9017D"/>
    <w:rsid w:val="00C9072B"/>
    <w:rsid w:val="00C90A51"/>
    <w:rsid w:val="00C937C1"/>
    <w:rsid w:val="00C9449C"/>
    <w:rsid w:val="00C95A25"/>
    <w:rsid w:val="00C965B3"/>
    <w:rsid w:val="00C96A69"/>
    <w:rsid w:val="00C96CE4"/>
    <w:rsid w:val="00CA141A"/>
    <w:rsid w:val="00CA2FAE"/>
    <w:rsid w:val="00CA5C21"/>
    <w:rsid w:val="00CA778E"/>
    <w:rsid w:val="00CB0125"/>
    <w:rsid w:val="00CB06BD"/>
    <w:rsid w:val="00CB0D98"/>
    <w:rsid w:val="00CB37A7"/>
    <w:rsid w:val="00CB3A32"/>
    <w:rsid w:val="00CB3FAE"/>
    <w:rsid w:val="00CB4BE2"/>
    <w:rsid w:val="00CB503C"/>
    <w:rsid w:val="00CB5AF3"/>
    <w:rsid w:val="00CB7C40"/>
    <w:rsid w:val="00CB7ECC"/>
    <w:rsid w:val="00CC1A44"/>
    <w:rsid w:val="00CC3ABC"/>
    <w:rsid w:val="00CC7F66"/>
    <w:rsid w:val="00CD03E8"/>
    <w:rsid w:val="00CD2490"/>
    <w:rsid w:val="00CD4410"/>
    <w:rsid w:val="00CD688D"/>
    <w:rsid w:val="00CE0B48"/>
    <w:rsid w:val="00CE1E5A"/>
    <w:rsid w:val="00CE30A8"/>
    <w:rsid w:val="00CE3B9A"/>
    <w:rsid w:val="00CE5DB9"/>
    <w:rsid w:val="00CE5F51"/>
    <w:rsid w:val="00CE6280"/>
    <w:rsid w:val="00CE75E7"/>
    <w:rsid w:val="00CF0874"/>
    <w:rsid w:val="00CF3305"/>
    <w:rsid w:val="00CF3BAD"/>
    <w:rsid w:val="00CF4019"/>
    <w:rsid w:val="00CF417E"/>
    <w:rsid w:val="00CF591A"/>
    <w:rsid w:val="00D07CC9"/>
    <w:rsid w:val="00D101E4"/>
    <w:rsid w:val="00D107CD"/>
    <w:rsid w:val="00D1190D"/>
    <w:rsid w:val="00D12971"/>
    <w:rsid w:val="00D14E14"/>
    <w:rsid w:val="00D15369"/>
    <w:rsid w:val="00D16BA5"/>
    <w:rsid w:val="00D204B4"/>
    <w:rsid w:val="00D204D4"/>
    <w:rsid w:val="00D208BB"/>
    <w:rsid w:val="00D21CB5"/>
    <w:rsid w:val="00D2565B"/>
    <w:rsid w:val="00D27E8D"/>
    <w:rsid w:val="00D30B78"/>
    <w:rsid w:val="00D31320"/>
    <w:rsid w:val="00D31636"/>
    <w:rsid w:val="00D35E5B"/>
    <w:rsid w:val="00D36527"/>
    <w:rsid w:val="00D407B9"/>
    <w:rsid w:val="00D41CF3"/>
    <w:rsid w:val="00D45C0D"/>
    <w:rsid w:val="00D45C15"/>
    <w:rsid w:val="00D45E33"/>
    <w:rsid w:val="00D50C88"/>
    <w:rsid w:val="00D53B64"/>
    <w:rsid w:val="00D53DC8"/>
    <w:rsid w:val="00D5580A"/>
    <w:rsid w:val="00D56AF0"/>
    <w:rsid w:val="00D57CE4"/>
    <w:rsid w:val="00D60842"/>
    <w:rsid w:val="00D60996"/>
    <w:rsid w:val="00D60EAB"/>
    <w:rsid w:val="00D65138"/>
    <w:rsid w:val="00D65CB3"/>
    <w:rsid w:val="00D676E5"/>
    <w:rsid w:val="00D70CCD"/>
    <w:rsid w:val="00D71284"/>
    <w:rsid w:val="00D73227"/>
    <w:rsid w:val="00D8041F"/>
    <w:rsid w:val="00D82001"/>
    <w:rsid w:val="00D824A3"/>
    <w:rsid w:val="00D8558B"/>
    <w:rsid w:val="00D9128F"/>
    <w:rsid w:val="00D918E4"/>
    <w:rsid w:val="00D93025"/>
    <w:rsid w:val="00D9345E"/>
    <w:rsid w:val="00D93CBC"/>
    <w:rsid w:val="00D94547"/>
    <w:rsid w:val="00D9744B"/>
    <w:rsid w:val="00DA0A5F"/>
    <w:rsid w:val="00DA0E84"/>
    <w:rsid w:val="00DA28D2"/>
    <w:rsid w:val="00DA5750"/>
    <w:rsid w:val="00DA7311"/>
    <w:rsid w:val="00DB27D9"/>
    <w:rsid w:val="00DB6622"/>
    <w:rsid w:val="00DC1364"/>
    <w:rsid w:val="00DC35C4"/>
    <w:rsid w:val="00DC47B7"/>
    <w:rsid w:val="00DC6580"/>
    <w:rsid w:val="00DC7249"/>
    <w:rsid w:val="00DD04BA"/>
    <w:rsid w:val="00DD28EB"/>
    <w:rsid w:val="00DD6CEF"/>
    <w:rsid w:val="00DD7B83"/>
    <w:rsid w:val="00DE2A33"/>
    <w:rsid w:val="00DE5DE0"/>
    <w:rsid w:val="00DE5FB0"/>
    <w:rsid w:val="00DE615D"/>
    <w:rsid w:val="00DF0143"/>
    <w:rsid w:val="00DF538C"/>
    <w:rsid w:val="00DF5A93"/>
    <w:rsid w:val="00DF5B67"/>
    <w:rsid w:val="00DF6A1C"/>
    <w:rsid w:val="00E061FF"/>
    <w:rsid w:val="00E1273F"/>
    <w:rsid w:val="00E15AA6"/>
    <w:rsid w:val="00E21400"/>
    <w:rsid w:val="00E21F2F"/>
    <w:rsid w:val="00E23566"/>
    <w:rsid w:val="00E23BC2"/>
    <w:rsid w:val="00E2581A"/>
    <w:rsid w:val="00E2722D"/>
    <w:rsid w:val="00E3355D"/>
    <w:rsid w:val="00E34781"/>
    <w:rsid w:val="00E35001"/>
    <w:rsid w:val="00E368BA"/>
    <w:rsid w:val="00E373CA"/>
    <w:rsid w:val="00E37B1C"/>
    <w:rsid w:val="00E41AA4"/>
    <w:rsid w:val="00E42A03"/>
    <w:rsid w:val="00E43BF7"/>
    <w:rsid w:val="00E46CD4"/>
    <w:rsid w:val="00E47F53"/>
    <w:rsid w:val="00E509A8"/>
    <w:rsid w:val="00E50BE3"/>
    <w:rsid w:val="00E51D26"/>
    <w:rsid w:val="00E531E3"/>
    <w:rsid w:val="00E53624"/>
    <w:rsid w:val="00E54310"/>
    <w:rsid w:val="00E56518"/>
    <w:rsid w:val="00E57A36"/>
    <w:rsid w:val="00E57AE3"/>
    <w:rsid w:val="00E64B51"/>
    <w:rsid w:val="00E6793B"/>
    <w:rsid w:val="00E71BD9"/>
    <w:rsid w:val="00E7311F"/>
    <w:rsid w:val="00E747C1"/>
    <w:rsid w:val="00E75B26"/>
    <w:rsid w:val="00E7645A"/>
    <w:rsid w:val="00E76CF0"/>
    <w:rsid w:val="00E76E14"/>
    <w:rsid w:val="00E803B5"/>
    <w:rsid w:val="00E81405"/>
    <w:rsid w:val="00E81860"/>
    <w:rsid w:val="00E818AF"/>
    <w:rsid w:val="00E83860"/>
    <w:rsid w:val="00E8487F"/>
    <w:rsid w:val="00E86680"/>
    <w:rsid w:val="00E912CE"/>
    <w:rsid w:val="00E913EA"/>
    <w:rsid w:val="00E91B85"/>
    <w:rsid w:val="00E9267F"/>
    <w:rsid w:val="00E93FE1"/>
    <w:rsid w:val="00E9513C"/>
    <w:rsid w:val="00E957C8"/>
    <w:rsid w:val="00E970F6"/>
    <w:rsid w:val="00E97A85"/>
    <w:rsid w:val="00E97E96"/>
    <w:rsid w:val="00EA09E7"/>
    <w:rsid w:val="00EA5CB0"/>
    <w:rsid w:val="00EA7EDC"/>
    <w:rsid w:val="00EB1BBE"/>
    <w:rsid w:val="00EB51AE"/>
    <w:rsid w:val="00EC1EC1"/>
    <w:rsid w:val="00EC272C"/>
    <w:rsid w:val="00ED722E"/>
    <w:rsid w:val="00ED798B"/>
    <w:rsid w:val="00EE0057"/>
    <w:rsid w:val="00EE016F"/>
    <w:rsid w:val="00EE20CB"/>
    <w:rsid w:val="00EE2ECB"/>
    <w:rsid w:val="00EE368D"/>
    <w:rsid w:val="00EE46BC"/>
    <w:rsid w:val="00EF11A8"/>
    <w:rsid w:val="00EF1D76"/>
    <w:rsid w:val="00EF2D25"/>
    <w:rsid w:val="00EF6177"/>
    <w:rsid w:val="00EF65DC"/>
    <w:rsid w:val="00EF7961"/>
    <w:rsid w:val="00F003CF"/>
    <w:rsid w:val="00F00507"/>
    <w:rsid w:val="00F00E7E"/>
    <w:rsid w:val="00F01FA9"/>
    <w:rsid w:val="00F060FF"/>
    <w:rsid w:val="00F0642D"/>
    <w:rsid w:val="00F141D8"/>
    <w:rsid w:val="00F1466F"/>
    <w:rsid w:val="00F16ACF"/>
    <w:rsid w:val="00F1766A"/>
    <w:rsid w:val="00F17CD8"/>
    <w:rsid w:val="00F232A5"/>
    <w:rsid w:val="00F242E7"/>
    <w:rsid w:val="00F24DA6"/>
    <w:rsid w:val="00F25014"/>
    <w:rsid w:val="00F26B68"/>
    <w:rsid w:val="00F274FA"/>
    <w:rsid w:val="00F27B30"/>
    <w:rsid w:val="00F30207"/>
    <w:rsid w:val="00F306A7"/>
    <w:rsid w:val="00F30C34"/>
    <w:rsid w:val="00F32862"/>
    <w:rsid w:val="00F33763"/>
    <w:rsid w:val="00F342F2"/>
    <w:rsid w:val="00F36B88"/>
    <w:rsid w:val="00F37A0F"/>
    <w:rsid w:val="00F41B87"/>
    <w:rsid w:val="00F44355"/>
    <w:rsid w:val="00F459DD"/>
    <w:rsid w:val="00F46CBE"/>
    <w:rsid w:val="00F54E63"/>
    <w:rsid w:val="00F5538A"/>
    <w:rsid w:val="00F6130F"/>
    <w:rsid w:val="00F61F02"/>
    <w:rsid w:val="00F633AC"/>
    <w:rsid w:val="00F63D31"/>
    <w:rsid w:val="00F6570D"/>
    <w:rsid w:val="00F66931"/>
    <w:rsid w:val="00F67508"/>
    <w:rsid w:val="00F676C2"/>
    <w:rsid w:val="00F72462"/>
    <w:rsid w:val="00F72ED5"/>
    <w:rsid w:val="00F734F3"/>
    <w:rsid w:val="00F76A36"/>
    <w:rsid w:val="00F77AE8"/>
    <w:rsid w:val="00F828DF"/>
    <w:rsid w:val="00F85032"/>
    <w:rsid w:val="00F90877"/>
    <w:rsid w:val="00F92312"/>
    <w:rsid w:val="00F94588"/>
    <w:rsid w:val="00F9475E"/>
    <w:rsid w:val="00F950CB"/>
    <w:rsid w:val="00F958BD"/>
    <w:rsid w:val="00F966EF"/>
    <w:rsid w:val="00FA14DE"/>
    <w:rsid w:val="00FA3D23"/>
    <w:rsid w:val="00FA54BF"/>
    <w:rsid w:val="00FA6A63"/>
    <w:rsid w:val="00FB0D2F"/>
    <w:rsid w:val="00FB1301"/>
    <w:rsid w:val="00FB52BD"/>
    <w:rsid w:val="00FB57F4"/>
    <w:rsid w:val="00FB5E52"/>
    <w:rsid w:val="00FC1DA3"/>
    <w:rsid w:val="00FC4F08"/>
    <w:rsid w:val="00FC5E40"/>
    <w:rsid w:val="00FD252F"/>
    <w:rsid w:val="00FD3348"/>
    <w:rsid w:val="00FD5DB9"/>
    <w:rsid w:val="00FD72F5"/>
    <w:rsid w:val="00FE2211"/>
    <w:rsid w:val="00FE2C74"/>
    <w:rsid w:val="00FE3188"/>
    <w:rsid w:val="00FE5A71"/>
    <w:rsid w:val="00FE6C59"/>
    <w:rsid w:val="00FE6E87"/>
    <w:rsid w:val="00FE6EB4"/>
    <w:rsid w:val="00FF0B2C"/>
    <w:rsid w:val="00FF1D12"/>
    <w:rsid w:val="00FF3314"/>
    <w:rsid w:val="00FF38B3"/>
    <w:rsid w:val="00FF67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C742"/>
  <w15:docId w15:val="{A4B27264-8F47-417E-8178-777F02178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A438B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7C69"/>
    <w:rPr>
      <w:color w:val="0000FF" w:themeColor="hyperlink"/>
      <w:u w:val="single"/>
    </w:rPr>
  </w:style>
  <w:style w:type="paragraph" w:styleId="ListParagraph">
    <w:name w:val="List Paragraph"/>
    <w:basedOn w:val="Normal"/>
    <w:uiPriority w:val="34"/>
    <w:qFormat/>
    <w:rsid w:val="003F7C69"/>
    <w:pPr>
      <w:ind w:left="720"/>
      <w:contextualSpacing/>
    </w:pPr>
  </w:style>
  <w:style w:type="table" w:styleId="TableGrid">
    <w:name w:val="Table Grid"/>
    <w:basedOn w:val="TableNormal"/>
    <w:uiPriority w:val="59"/>
    <w:rsid w:val="00A43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438B6"/>
    <w:rPr>
      <w:rFonts w:ascii="Times New Roman" w:eastAsia="Times New Roman" w:hAnsi="Times New Roman" w:cs="Times New Roman"/>
      <w:b/>
      <w:bCs/>
      <w:sz w:val="27"/>
      <w:szCs w:val="27"/>
    </w:rPr>
  </w:style>
  <w:style w:type="paragraph" w:styleId="NormalWeb">
    <w:name w:val="Normal (Web)"/>
    <w:basedOn w:val="Normal"/>
    <w:uiPriority w:val="99"/>
    <w:unhideWhenUsed/>
    <w:rsid w:val="00A438B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438B6"/>
    <w:rPr>
      <w:b/>
      <w:bCs/>
    </w:rPr>
  </w:style>
  <w:style w:type="paragraph" w:styleId="Header">
    <w:name w:val="header"/>
    <w:basedOn w:val="Normal"/>
    <w:link w:val="HeaderChar"/>
    <w:uiPriority w:val="99"/>
    <w:unhideWhenUsed/>
    <w:rsid w:val="00772EF6"/>
    <w:pPr>
      <w:tabs>
        <w:tab w:val="center" w:pos="4153"/>
        <w:tab w:val="right" w:pos="8306"/>
      </w:tabs>
      <w:spacing w:after="0" w:line="240" w:lineRule="auto"/>
    </w:pPr>
  </w:style>
  <w:style w:type="character" w:customStyle="1" w:styleId="HeaderChar">
    <w:name w:val="Header Char"/>
    <w:basedOn w:val="DefaultParagraphFont"/>
    <w:link w:val="Header"/>
    <w:uiPriority w:val="99"/>
    <w:rsid w:val="00772EF6"/>
  </w:style>
  <w:style w:type="paragraph" w:styleId="Footer">
    <w:name w:val="footer"/>
    <w:basedOn w:val="Normal"/>
    <w:link w:val="FooterChar"/>
    <w:uiPriority w:val="99"/>
    <w:unhideWhenUsed/>
    <w:rsid w:val="00772E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772EF6"/>
  </w:style>
  <w:style w:type="paragraph" w:styleId="BalloonText">
    <w:name w:val="Balloon Text"/>
    <w:basedOn w:val="Normal"/>
    <w:link w:val="BalloonTextChar"/>
    <w:uiPriority w:val="99"/>
    <w:semiHidden/>
    <w:unhideWhenUsed/>
    <w:rsid w:val="00DA0E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E84"/>
    <w:rPr>
      <w:rFonts w:ascii="Tahoma" w:hAnsi="Tahoma" w:cs="Tahoma"/>
      <w:sz w:val="16"/>
      <w:szCs w:val="16"/>
    </w:rPr>
  </w:style>
  <w:style w:type="paragraph" w:styleId="NoSpacing">
    <w:name w:val="No Spacing"/>
    <w:uiPriority w:val="1"/>
    <w:qFormat/>
    <w:rsid w:val="005228EA"/>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42</Pages>
  <Words>10150</Words>
  <Characters>57551</Characters>
  <Application>Microsoft Office Word</Application>
  <DocSecurity>0</DocSecurity>
  <Lines>1370</Lines>
  <Paragraphs>554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Gigi</dc:creator>
  <cp:keywords/>
  <dc:description/>
  <cp:lastModifiedBy>Majed Asiri</cp:lastModifiedBy>
  <cp:revision>5</cp:revision>
  <dcterms:created xsi:type="dcterms:W3CDTF">2025-11-21T19:44:00Z</dcterms:created>
  <dcterms:modified xsi:type="dcterms:W3CDTF">2025-11-27T09:59:00Z</dcterms:modified>
</cp:coreProperties>
</file>