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545B"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noProof/>
        </w:rPr>
        <w:drawing>
          <wp:inline distT="0" distB="0" distL="0" distR="0" wp14:anchorId="6F66169A" wp14:editId="37A2C9CA">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rFonts w:ascii="Traditional Arabic" w:hAnsi="Traditional Arabic" w:cs="Traditional Arabic"/>
          <w:b/>
          <w:bCs/>
          <w:sz w:val="28"/>
          <w:szCs w:val="28"/>
          <w:rtl/>
          <w:lang w:bidi="ar-JO"/>
        </w:rPr>
        <w:t>جامعة مداوشن</w:t>
      </w:r>
    </w:p>
    <w:p w14:paraId="2949A666" w14:textId="28720D0D" w:rsidR="00C57504" w:rsidRPr="0049674D" w:rsidRDefault="00A73BD3" w:rsidP="00C57504">
      <w:pPr>
        <w:bidi/>
        <w:jc w:val="center"/>
        <w:rPr>
          <w:rFonts w:ascii="Traditional Arabic" w:hAnsi="Traditional Arabic" w:cs="Traditional Arabic"/>
          <w:b/>
          <w:bCs/>
          <w:sz w:val="24"/>
          <w:szCs w:val="24"/>
          <w:rtl/>
          <w:lang w:bidi="ar-JO"/>
        </w:rPr>
      </w:pPr>
      <w:r w:rsidRPr="0049674D">
        <w:rPr>
          <w:rFonts w:ascii="Traditional Arabic" w:hAnsi="Traditional Arabic" w:cs="Traditional Arabic" w:hint="cs"/>
          <w:b/>
          <w:bCs/>
          <w:sz w:val="24"/>
          <w:szCs w:val="24"/>
          <w:rtl/>
          <w:lang w:bidi="ar-JO"/>
        </w:rPr>
        <w:t>كلية التربية</w:t>
      </w:r>
    </w:p>
    <w:p w14:paraId="0981692E" w14:textId="77777777" w:rsidR="00C57504" w:rsidRPr="0049674D" w:rsidRDefault="00C57504" w:rsidP="00C57504">
      <w:pPr>
        <w:bidi/>
        <w:jc w:val="center"/>
        <w:rPr>
          <w:sz w:val="20"/>
          <w:szCs w:val="20"/>
          <w:rtl/>
          <w:lang w:bidi="ar-JO"/>
        </w:rPr>
      </w:pPr>
    </w:p>
    <w:p w14:paraId="79C708C2" w14:textId="77777777" w:rsidR="00A73BD3" w:rsidRPr="0049674D" w:rsidRDefault="00A73BD3" w:rsidP="00A73BD3">
      <w:pPr>
        <w:bidi/>
        <w:jc w:val="center"/>
        <w:rPr>
          <w:rFonts w:ascii="Traditional Arabic" w:eastAsia="Calibri" w:hAnsi="Traditional Arabic" w:cs="Traditional Arabic"/>
          <w:b/>
          <w:bCs/>
          <w:noProof/>
          <w:sz w:val="36"/>
          <w:szCs w:val="36"/>
          <w:rtl/>
        </w:rPr>
      </w:pPr>
      <w:r w:rsidRPr="0049674D">
        <w:rPr>
          <w:rFonts w:ascii="Traditional Arabic" w:eastAsia="Calibri" w:hAnsi="Traditional Arabic" w:cs="Traditional Arabic"/>
          <w:b/>
          <w:bCs/>
          <w:noProof/>
          <w:sz w:val="36"/>
          <w:szCs w:val="36"/>
          <w:rtl/>
        </w:rPr>
        <w:t>أثر برامج التنمية المهنية في تطوير كفاءة معلمي المرحلة الابتدائية بمدينة الرياض: دراسة ميدانية تحليلية</w:t>
      </w:r>
      <w:r w:rsidRPr="0049674D">
        <w:rPr>
          <w:rFonts w:ascii="Traditional Arabic" w:eastAsia="Calibri" w:hAnsi="Traditional Arabic" w:cs="Traditional Arabic" w:hint="cs"/>
          <w:b/>
          <w:bCs/>
          <w:noProof/>
          <w:sz w:val="36"/>
          <w:szCs w:val="36"/>
          <w:rtl/>
        </w:rPr>
        <w:t xml:space="preserve"> </w:t>
      </w:r>
    </w:p>
    <w:p w14:paraId="3255A6F0" w14:textId="77777777" w:rsidR="00C57504" w:rsidRPr="0049674D" w:rsidRDefault="00C57504" w:rsidP="00C57504">
      <w:pPr>
        <w:bidi/>
        <w:jc w:val="center"/>
        <w:rPr>
          <w:rFonts w:ascii="Traditional Arabic" w:hAnsi="Traditional Arabic" w:cs="Traditional Arabic"/>
          <w:b/>
          <w:bCs/>
          <w:sz w:val="28"/>
          <w:szCs w:val="28"/>
          <w:rtl/>
        </w:rPr>
      </w:pPr>
    </w:p>
    <w:p w14:paraId="1AF21331" w14:textId="77777777" w:rsidR="00C57504" w:rsidRPr="0049674D" w:rsidRDefault="00C57504" w:rsidP="00C57504">
      <w:pPr>
        <w:bidi/>
        <w:jc w:val="center"/>
        <w:rPr>
          <w:rFonts w:ascii="Traditional Arabic" w:hAnsi="Traditional Arabic" w:cs="Traditional Arabic"/>
          <w:b/>
          <w:bCs/>
          <w:sz w:val="28"/>
          <w:szCs w:val="28"/>
          <w:rtl/>
        </w:rPr>
      </w:pPr>
      <w:r w:rsidRPr="0049674D">
        <w:rPr>
          <w:rFonts w:ascii="Traditional Arabic" w:hAnsi="Traditional Arabic" w:cs="Traditional Arabic"/>
          <w:b/>
          <w:bCs/>
          <w:sz w:val="28"/>
          <w:szCs w:val="28"/>
          <w:rtl/>
        </w:rPr>
        <w:t xml:space="preserve">اعداد: </w:t>
      </w:r>
    </w:p>
    <w:p w14:paraId="7359E8C6" w14:textId="77777777" w:rsidR="00A73BD3" w:rsidRPr="0049674D" w:rsidRDefault="00A73BD3" w:rsidP="00A73BD3">
      <w:pPr>
        <w:bidi/>
        <w:jc w:val="center"/>
        <w:rPr>
          <w:rFonts w:ascii="Traditional Arabic" w:hAnsi="Traditional Arabic" w:cs="Traditional Arabic"/>
          <w:b/>
          <w:bCs/>
          <w:sz w:val="28"/>
          <w:szCs w:val="28"/>
          <w:rtl/>
        </w:rPr>
      </w:pPr>
      <w:r w:rsidRPr="0049674D">
        <w:rPr>
          <w:rFonts w:ascii="Traditional Arabic" w:hAnsi="Traditional Arabic" w:cs="Traditional Arabic" w:hint="cs"/>
          <w:b/>
          <w:bCs/>
          <w:sz w:val="28"/>
          <w:szCs w:val="28"/>
          <w:rtl/>
        </w:rPr>
        <w:t xml:space="preserve">غزيل بنت فهد الدوسري </w:t>
      </w:r>
    </w:p>
    <w:p w14:paraId="789AB9A4" w14:textId="5B43EBE3" w:rsidR="00C57504" w:rsidRPr="0049674D" w:rsidRDefault="00C57504" w:rsidP="00A73BD3">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المملكة العربية السعودية</w:t>
      </w:r>
    </w:p>
    <w:p w14:paraId="62D0CEB3" w14:textId="77777777" w:rsidR="00C57504" w:rsidRPr="0049674D" w:rsidRDefault="00C57504" w:rsidP="00C57504">
      <w:pPr>
        <w:bidi/>
        <w:jc w:val="center"/>
        <w:rPr>
          <w:rFonts w:ascii="Traditional Arabic" w:hAnsi="Traditional Arabic" w:cs="Traditional Arabic"/>
          <w:b/>
          <w:bCs/>
          <w:sz w:val="24"/>
          <w:szCs w:val="24"/>
          <w:rtl/>
        </w:rPr>
      </w:pPr>
    </w:p>
    <w:p w14:paraId="7F96881C" w14:textId="77777777" w:rsidR="00C57504" w:rsidRPr="0049674D" w:rsidRDefault="00C57504"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4A5796BB" w:rsidR="00C57504" w:rsidRPr="0049674D" w:rsidRDefault="00A73BD3"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 xml:space="preserve"> في التربية</w:t>
      </w:r>
    </w:p>
    <w:p w14:paraId="42822786" w14:textId="77777777" w:rsidR="00C57504" w:rsidRPr="0049674D" w:rsidRDefault="00C57504" w:rsidP="00C57504">
      <w:pPr>
        <w:bidi/>
        <w:rPr>
          <w:rtl/>
          <w:lang w:bidi="ar-JO"/>
        </w:rPr>
      </w:pPr>
    </w:p>
    <w:p w14:paraId="16332822" w14:textId="77777777" w:rsidR="00C57504" w:rsidRPr="0049674D" w:rsidRDefault="00C57504" w:rsidP="00C57504">
      <w:pPr>
        <w:bidi/>
        <w:rPr>
          <w:rtl/>
          <w:lang w:bidi="ar-JO"/>
        </w:rPr>
      </w:pPr>
    </w:p>
    <w:p w14:paraId="43975BC5" w14:textId="77777777" w:rsidR="00C57504" w:rsidRPr="0049674D" w:rsidRDefault="00C57504" w:rsidP="00C57504">
      <w:pPr>
        <w:bidi/>
        <w:rPr>
          <w:rtl/>
          <w:lang w:bidi="ar-JO"/>
        </w:rPr>
      </w:pPr>
    </w:p>
    <w:p w14:paraId="20A86FFB" w14:textId="77777777" w:rsidR="00C57504" w:rsidRPr="0049674D" w:rsidRDefault="00C57504" w:rsidP="00C57504">
      <w:pPr>
        <w:bidi/>
        <w:rPr>
          <w:rtl/>
          <w:lang w:bidi="ar-JO"/>
        </w:rPr>
      </w:pPr>
    </w:p>
    <w:p w14:paraId="78DCBABC" w14:textId="77777777" w:rsidR="00C57504" w:rsidRPr="0049674D" w:rsidRDefault="00C57504" w:rsidP="00C57504">
      <w:pPr>
        <w:bidi/>
        <w:rPr>
          <w:rtl/>
          <w:lang w:bidi="ar-JO"/>
        </w:rPr>
      </w:pPr>
    </w:p>
    <w:p w14:paraId="46F4B43C" w14:textId="77777777" w:rsidR="00C57504" w:rsidRPr="0049674D" w:rsidRDefault="00C57504" w:rsidP="00C57504">
      <w:pPr>
        <w:bidi/>
        <w:jc w:val="center"/>
        <w:rPr>
          <w:rtl/>
          <w:lang w:bidi="ar-JO"/>
        </w:rPr>
      </w:pPr>
      <w:r w:rsidRPr="0049674D">
        <w:rPr>
          <w:noProof/>
        </w:rPr>
        <w:lastRenderedPageBreak/>
        <w:drawing>
          <wp:inline distT="0" distB="0" distL="0" distR="0" wp14:anchorId="0F0A0A52" wp14:editId="2D30791B">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49674D" w:rsidRDefault="00C57504" w:rsidP="00C57504">
      <w:pPr>
        <w:jc w:val="center"/>
        <w:rPr>
          <w:rFonts w:asciiTheme="majorBidi" w:hAnsiTheme="majorBidi" w:cstheme="majorBidi"/>
          <w:b/>
          <w:bCs/>
          <w:sz w:val="24"/>
          <w:szCs w:val="24"/>
          <w:lang w:bidi="ar-JO"/>
        </w:rPr>
      </w:pPr>
      <w:r w:rsidRPr="0049674D">
        <w:rPr>
          <w:rFonts w:asciiTheme="majorBidi" w:hAnsiTheme="majorBidi" w:cstheme="majorBidi"/>
          <w:b/>
          <w:bCs/>
          <w:sz w:val="28"/>
          <w:szCs w:val="28"/>
          <w:lang w:bidi="ar-JO"/>
        </w:rPr>
        <w:t>M</w:t>
      </w:r>
      <w:r w:rsidRPr="0049674D">
        <w:rPr>
          <w:rFonts w:asciiTheme="majorBidi" w:hAnsiTheme="majorBidi" w:cstheme="majorBidi"/>
          <w:b/>
          <w:bCs/>
          <w:sz w:val="28"/>
          <w:szCs w:val="28"/>
          <w:lang w:bidi="ar-AE"/>
        </w:rPr>
        <w:t>IDOCEAN</w:t>
      </w:r>
      <w:r w:rsidRPr="0049674D">
        <w:rPr>
          <w:rFonts w:asciiTheme="majorBidi" w:hAnsiTheme="majorBidi" w:cstheme="majorBidi"/>
          <w:b/>
          <w:bCs/>
          <w:sz w:val="28"/>
          <w:szCs w:val="28"/>
          <w:lang w:bidi="ar-JO"/>
        </w:rPr>
        <w:t xml:space="preserve"> UNIVERSITY</w:t>
      </w:r>
      <w:r w:rsidRPr="0049674D">
        <w:rPr>
          <w:rFonts w:asciiTheme="majorBidi" w:hAnsiTheme="majorBidi" w:cstheme="majorBidi"/>
          <w:lang w:bidi="ar-JO"/>
        </w:rPr>
        <w:br/>
      </w:r>
    </w:p>
    <w:p w14:paraId="5A73F45A" w14:textId="77777777" w:rsidR="00C57504" w:rsidRPr="0049674D" w:rsidRDefault="00C57504" w:rsidP="00C57504">
      <w:pPr>
        <w:jc w:val="center"/>
        <w:rPr>
          <w:rFonts w:asciiTheme="majorBidi" w:hAnsiTheme="majorBidi" w:cstheme="majorBidi"/>
          <w:b/>
          <w:bCs/>
          <w:sz w:val="24"/>
          <w:szCs w:val="24"/>
          <w:lang w:bidi="ar-JO"/>
        </w:rPr>
      </w:pPr>
    </w:p>
    <w:p w14:paraId="2D720853" w14:textId="77777777" w:rsidR="00C57504" w:rsidRPr="0049674D" w:rsidRDefault="00C57504" w:rsidP="00C57504">
      <w:pPr>
        <w:jc w:val="center"/>
        <w:rPr>
          <w:rFonts w:asciiTheme="majorBidi" w:hAnsiTheme="majorBidi" w:cstheme="majorBidi"/>
          <w:b/>
          <w:bCs/>
          <w:sz w:val="24"/>
          <w:szCs w:val="24"/>
          <w:lang w:bidi="ar-JO"/>
        </w:rPr>
      </w:pPr>
    </w:p>
    <w:p w14:paraId="061C8353" w14:textId="5C83C5D0" w:rsidR="00C57504"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24"/>
          <w:szCs w:val="24"/>
          <w:lang w:bidi="ar-JO"/>
        </w:rPr>
        <w:t>College of Education</w:t>
      </w:r>
    </w:p>
    <w:p w14:paraId="0EE6CD97" w14:textId="77777777" w:rsidR="00C57504" w:rsidRPr="0049674D" w:rsidRDefault="00C57504" w:rsidP="00C57504">
      <w:pPr>
        <w:jc w:val="center"/>
        <w:rPr>
          <w:rFonts w:asciiTheme="majorBidi" w:hAnsiTheme="majorBidi" w:cstheme="majorBidi"/>
          <w:b/>
          <w:bCs/>
          <w:sz w:val="36"/>
          <w:szCs w:val="36"/>
          <w:lang w:bidi="ar-JO"/>
        </w:rPr>
      </w:pPr>
    </w:p>
    <w:p w14:paraId="45666B3B" w14:textId="77777777" w:rsidR="00A73BD3"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36"/>
          <w:szCs w:val="36"/>
          <w:lang w:bidi="ar-JO"/>
        </w:rPr>
        <w:t>The Impact of Professional Development Programs on Improving the Competence of Primary School Teachers in Riyadh: An Analytical Field Study</w:t>
      </w:r>
    </w:p>
    <w:p w14:paraId="3F7B989F" w14:textId="77777777" w:rsidR="00C57504" w:rsidRPr="0049674D" w:rsidRDefault="00C57504" w:rsidP="00C57504">
      <w:pPr>
        <w:jc w:val="center"/>
        <w:rPr>
          <w:rFonts w:asciiTheme="majorBidi" w:hAnsiTheme="majorBidi" w:cstheme="majorBidi"/>
          <w:b/>
          <w:bCs/>
          <w:sz w:val="28"/>
          <w:szCs w:val="28"/>
          <w:lang w:bidi="ar-JO"/>
        </w:rPr>
      </w:pPr>
    </w:p>
    <w:p w14:paraId="039AEC0C" w14:textId="77777777" w:rsidR="00C57504" w:rsidRPr="0049674D" w:rsidRDefault="00C57504" w:rsidP="00C57504">
      <w:pPr>
        <w:jc w:val="center"/>
        <w:rPr>
          <w:rFonts w:asciiTheme="majorBidi" w:hAnsiTheme="majorBidi" w:cstheme="majorBidi"/>
          <w:b/>
          <w:bCs/>
          <w:sz w:val="28"/>
          <w:szCs w:val="28"/>
          <w:lang w:bidi="ar-JO"/>
        </w:rPr>
      </w:pPr>
    </w:p>
    <w:p w14:paraId="695E4B7E" w14:textId="0CE35D7A" w:rsidR="00C57504" w:rsidRPr="0049674D" w:rsidRDefault="00C57504" w:rsidP="00C57504">
      <w:pPr>
        <w:jc w:val="center"/>
        <w:rPr>
          <w:rFonts w:asciiTheme="majorBidi" w:hAnsiTheme="majorBidi" w:cstheme="majorBidi"/>
          <w:b/>
          <w:bCs/>
          <w:sz w:val="28"/>
          <w:szCs w:val="28"/>
          <w:lang w:bidi="ar-JO"/>
        </w:rPr>
      </w:pPr>
      <w:r w:rsidRPr="0049674D">
        <w:rPr>
          <w:rFonts w:asciiTheme="majorBidi" w:hAnsiTheme="majorBidi" w:cstheme="majorBidi"/>
          <w:b/>
          <w:bCs/>
          <w:sz w:val="28"/>
          <w:szCs w:val="28"/>
          <w:lang w:bidi="ar-JO"/>
        </w:rPr>
        <w:t>Prepared by:</w:t>
      </w:r>
    </w:p>
    <w:p w14:paraId="04A05D6B" w14:textId="77777777" w:rsidR="00A73BD3" w:rsidRPr="0049674D" w:rsidRDefault="00A73BD3" w:rsidP="00A73BD3">
      <w:pPr>
        <w:jc w:val="center"/>
        <w:rPr>
          <w:rFonts w:asciiTheme="majorBidi" w:hAnsiTheme="majorBidi" w:cstheme="majorBidi"/>
          <w:b/>
          <w:bCs/>
          <w:sz w:val="24"/>
          <w:szCs w:val="24"/>
          <w:rtl/>
        </w:rPr>
      </w:pPr>
      <w:r w:rsidRPr="0049674D">
        <w:rPr>
          <w:rFonts w:asciiTheme="majorBidi" w:hAnsiTheme="majorBidi" w:cstheme="majorBidi" w:hint="cs"/>
          <w:b/>
          <w:bCs/>
          <w:sz w:val="24"/>
          <w:szCs w:val="24"/>
          <w:rtl/>
        </w:rPr>
        <w:t xml:space="preserve">غزيل بنت فهد الدوسري </w:t>
      </w:r>
    </w:p>
    <w:p w14:paraId="61831762" w14:textId="47BBA471" w:rsidR="00C57504" w:rsidRPr="0049674D" w:rsidRDefault="00C57504" w:rsidP="00C57504">
      <w:pPr>
        <w:jc w:val="center"/>
        <w:rPr>
          <w:rFonts w:asciiTheme="majorBidi" w:hAnsiTheme="majorBidi" w:cstheme="majorBidi"/>
          <w:b/>
          <w:bCs/>
          <w:sz w:val="24"/>
          <w:szCs w:val="24"/>
        </w:rPr>
      </w:pPr>
      <w:r w:rsidRPr="0049674D">
        <w:rPr>
          <w:rFonts w:asciiTheme="majorBidi" w:hAnsiTheme="majorBidi" w:cstheme="majorBidi"/>
          <w:lang w:bidi="ar-JO"/>
        </w:rPr>
        <w:br/>
      </w:r>
      <w:r w:rsidRPr="0049674D">
        <w:rPr>
          <w:rFonts w:asciiTheme="majorBidi" w:hAnsiTheme="majorBidi" w:cstheme="majorBidi"/>
          <w:b/>
          <w:bCs/>
          <w:sz w:val="24"/>
          <w:szCs w:val="24"/>
          <w:lang w:bidi="ar-JO"/>
        </w:rPr>
        <w:t>Kingdom of Saudi Arabia</w:t>
      </w:r>
    </w:p>
    <w:p w14:paraId="7D24F90B" w14:textId="77777777" w:rsidR="00C57504" w:rsidRPr="0049674D" w:rsidRDefault="00C57504" w:rsidP="00C57504">
      <w:pPr>
        <w:jc w:val="center"/>
        <w:rPr>
          <w:rFonts w:asciiTheme="majorBidi" w:hAnsiTheme="majorBidi" w:cstheme="majorBidi"/>
          <w:sz w:val="24"/>
          <w:szCs w:val="24"/>
          <w:lang w:bidi="ar-JO"/>
        </w:rPr>
      </w:pPr>
    </w:p>
    <w:p w14:paraId="0E731129" w14:textId="7F088CB8" w:rsidR="00C57504" w:rsidRPr="0049674D" w:rsidRDefault="00C57504" w:rsidP="00A73BD3">
      <w:pPr>
        <w:jc w:val="center"/>
        <w:rPr>
          <w:rFonts w:asciiTheme="majorBidi" w:hAnsiTheme="majorBidi" w:cstheme="majorBidi"/>
          <w:sz w:val="24"/>
          <w:szCs w:val="24"/>
          <w:rtl/>
          <w:lang w:bidi="ar-JO"/>
        </w:rPr>
        <w:sectPr w:rsidR="00C57504" w:rsidRPr="0049674D" w:rsidSect="009043AB">
          <w:footerReference w:type="default" r:id="rId9"/>
          <w:footerReference w:type="first" r:id="rId10"/>
          <w:pgSz w:w="12240" w:h="15840"/>
          <w:pgMar w:top="1440" w:right="1440" w:bottom="1440" w:left="1440" w:header="720" w:footer="720" w:gutter="0"/>
          <w:cols w:space="720"/>
          <w:titlePg/>
          <w:docGrid w:linePitch="360"/>
        </w:sectPr>
      </w:pPr>
      <w:r w:rsidRPr="0049674D">
        <w:rPr>
          <w:rFonts w:asciiTheme="majorBidi" w:hAnsiTheme="majorBidi" w:cstheme="majorBidi"/>
          <w:sz w:val="24"/>
          <w:szCs w:val="24"/>
          <w:lang w:bidi="ar-JO"/>
        </w:rPr>
        <w:t>A dissertation submitted to Midocean University in partial fulfillment of the requirements</w:t>
      </w:r>
      <w:r w:rsidRPr="0049674D">
        <w:rPr>
          <w:rFonts w:asciiTheme="majorBidi" w:hAnsiTheme="majorBidi" w:cstheme="majorBidi"/>
          <w:sz w:val="24"/>
          <w:szCs w:val="24"/>
          <w:lang w:bidi="ar-JO"/>
        </w:rPr>
        <w:br/>
        <w:t xml:space="preserve">for the degree of Doctor of Philosophy (Ph.D.) in </w:t>
      </w:r>
      <w:r w:rsidR="00A73BD3" w:rsidRPr="0049674D">
        <w:rPr>
          <w:rFonts w:asciiTheme="majorBidi" w:hAnsiTheme="majorBidi" w:cstheme="majorBidi"/>
          <w:sz w:val="24"/>
          <w:szCs w:val="24"/>
          <w:lang w:bidi="ar-JO"/>
        </w:rPr>
        <w:t>Education</w:t>
      </w:r>
    </w:p>
    <w:p w14:paraId="4F80EBFD" w14:textId="77777777" w:rsidR="00A73BD3" w:rsidRPr="005D4EED" w:rsidRDefault="00A73BD3" w:rsidP="00DD6416">
      <w:pPr>
        <w:pageBreakBefore/>
        <w:bidi/>
        <w:spacing w:after="200" w:line="276" w:lineRule="auto"/>
        <w:jc w:val="center"/>
        <w:rPr>
          <w:rFonts w:ascii="Traditional Arabic" w:eastAsia="Calibri" w:hAnsi="Traditional Arabic" w:cs="Traditional Arabic"/>
          <w:b/>
          <w:bCs/>
          <w:sz w:val="40"/>
          <w:szCs w:val="40"/>
          <w:rtl/>
          <w:lang w:val="en-GB"/>
        </w:rPr>
      </w:pPr>
      <w:r w:rsidRPr="005D4EED">
        <w:rPr>
          <w:rFonts w:ascii="Traditional Arabic" w:eastAsia="Calibri" w:hAnsi="Traditional Arabic" w:cs="Traditional Arabic"/>
          <w:b/>
          <w:bCs/>
          <w:sz w:val="40"/>
          <w:szCs w:val="40"/>
          <w:rtl/>
          <w:lang w:val="en-GB"/>
        </w:rPr>
        <w:lastRenderedPageBreak/>
        <w:t>أثر برامج التنمية المهنية في تطوير كفاءة معلمي المرحلة الابتدائية بمدينة الرياض: دراسة ميدانية تحليلية</w:t>
      </w:r>
      <w:r w:rsidRPr="005D4EED">
        <w:rPr>
          <w:rFonts w:ascii="Traditional Arabic" w:eastAsia="Calibri" w:hAnsi="Traditional Arabic" w:cs="Traditional Arabic" w:hint="cs"/>
          <w:b/>
          <w:bCs/>
          <w:sz w:val="40"/>
          <w:szCs w:val="40"/>
          <w:rtl/>
          <w:lang w:val="en-GB"/>
        </w:rPr>
        <w:t xml:space="preserve"> </w:t>
      </w:r>
    </w:p>
    <w:p w14:paraId="538B2B1B" w14:textId="77777777" w:rsidR="008074A2" w:rsidRPr="005D4EED"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commentRangeStart w:id="0"/>
      <w:r w:rsidRPr="005D4EED">
        <w:rPr>
          <w:rFonts w:ascii="Traditional Arabic" w:eastAsia="Calibri" w:hAnsi="Traditional Arabic" w:cs="Traditional Arabic"/>
          <w:b/>
          <w:bCs/>
          <w:sz w:val="36"/>
          <w:szCs w:val="36"/>
          <w:rtl/>
          <w:lang w:val="en-GB"/>
        </w:rPr>
        <w:t xml:space="preserve">الفصل </w:t>
      </w:r>
      <w:commentRangeEnd w:id="0"/>
      <w:r w:rsidR="009F3813" w:rsidRPr="005D4EED">
        <w:rPr>
          <w:rStyle w:val="CommentReference"/>
          <w:rFonts w:ascii="Traditional Arabic" w:eastAsia="Calibri" w:hAnsi="Traditional Arabic" w:cs="Traditional Arabic"/>
          <w:b/>
          <w:bCs/>
          <w:sz w:val="36"/>
          <w:szCs w:val="36"/>
          <w:rtl/>
          <w:lang w:val="en-GB"/>
        </w:rPr>
        <w:commentReference w:id="0"/>
      </w:r>
      <w:r w:rsidRPr="005D4EED">
        <w:rPr>
          <w:rFonts w:ascii="Traditional Arabic" w:eastAsia="Calibri" w:hAnsi="Traditional Arabic" w:cs="Traditional Arabic"/>
          <w:b/>
          <w:bCs/>
          <w:sz w:val="36"/>
          <w:szCs w:val="36"/>
          <w:rtl/>
          <w:lang w:val="en-GB"/>
        </w:rPr>
        <w:t>الاول</w:t>
      </w:r>
    </w:p>
    <w:p w14:paraId="19F6199F" w14:textId="084F5B85"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b/>
          <w:bCs/>
          <w:sz w:val="36"/>
          <w:szCs w:val="36"/>
          <w:rtl/>
          <w:lang w:val="en-GB"/>
        </w:rPr>
        <w:t xml:space="preserve">الاطار </w:t>
      </w:r>
      <w:r w:rsidRPr="005D4EED">
        <w:rPr>
          <w:rFonts w:ascii="Traditional Arabic" w:eastAsia="Calibri" w:hAnsi="Traditional Arabic" w:cs="Traditional Arabic" w:hint="cs"/>
          <w:b/>
          <w:bCs/>
          <w:sz w:val="36"/>
          <w:szCs w:val="36"/>
          <w:rtl/>
          <w:lang w:val="en-GB"/>
        </w:rPr>
        <w:t>العام للدراسة</w:t>
      </w:r>
    </w:p>
    <w:p w14:paraId="38B1F8A7" w14:textId="275DC9B0" w:rsidR="00C57504" w:rsidRPr="005D4EED" w:rsidRDefault="0065664D" w:rsidP="0065664D">
      <w:pPr>
        <w:bidi/>
        <w:spacing w:after="200" w:line="276" w:lineRule="auto"/>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hint="cs"/>
          <w:b/>
          <w:bCs/>
          <w:sz w:val="36"/>
          <w:szCs w:val="36"/>
          <w:rtl/>
          <w:lang w:val="en-GB"/>
        </w:rPr>
        <w:t>تمهيد</w:t>
      </w:r>
    </w:p>
    <w:p w14:paraId="4B3A879D" w14:textId="4755489B" w:rsidR="0065664D" w:rsidRPr="005D4EED" w:rsidRDefault="00F700E3" w:rsidP="00F700E3">
      <w:pPr>
        <w:bidi/>
        <w:spacing w:after="200" w:line="360" w:lineRule="auto"/>
        <w:ind w:firstLine="720"/>
        <w:jc w:val="both"/>
        <w:rPr>
          <w:rFonts w:ascii="Traditional Arabic" w:eastAsia="Calibri" w:hAnsi="Traditional Arabic" w:cs="Traditional Arabic"/>
          <w:sz w:val="32"/>
          <w:szCs w:val="32"/>
          <w:rtl/>
        </w:rPr>
      </w:pPr>
      <w:r w:rsidRPr="005D4EED">
        <w:rPr>
          <w:rFonts w:ascii="Traditional Arabic" w:eastAsia="Calibri" w:hAnsi="Traditional Arabic" w:cs="Traditional Arabic"/>
          <w:sz w:val="32"/>
          <w:szCs w:val="32"/>
          <w:rtl/>
          <w:lang w:val="en-GB"/>
        </w:rPr>
        <w:t xml:space="preserve">يقدّم هذا الفصل الإطار العام للدراسة التي تتناول أثر برامج التنمية المهنية في تطوير كفاءة معلمي المرحلة الابتدائية بمدينة الرياض، وذلك من خلال استعراض خلفية الموضوع وأهميته في ظل التحولات التربوية التي تشهدها المملكة العربية السعودية ضمن توجهات رؤية ٢٠٣٠ الهادفة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تطوير التعليم ورفع كفاءة المعلمين. يبدأ الفصل بمقدمة توضّح الدور الجوهري للتنمية المهنية بوصفها أداة استراتيجية لتحسين جودة التعليم وتعزيز أداء المعلمين، مع التركيز على المرحلة الابتدائية التي تمثل الأساس في بناء المعارف والمهارات والقيم لدى المتعلمين. كما يعرض الفصل مشكلة الدراسة التي تتمثل في الحاجة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تقييم الأثر الفعلي لبرامج التنمية المهنية على تطوير كفاءة المعلمين في مجالاتهم المختلفة، في ظل تباين الاستفادة من هذه البرامج واختلاف مستويات الكفاءة التدريسية بين المعلمين. ويقدّم الفصل أسئلة الدراسة وأهدافها التي تسعى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تحليل العلاقة بين برامج التنمية المهنية وأبعاد الكفاءة التدر</w:t>
      </w:r>
      <w:r w:rsidR="00FE6D40" w:rsidRPr="005D4EED">
        <w:rPr>
          <w:rFonts w:ascii="Traditional Arabic" w:eastAsia="Calibri" w:hAnsi="Traditional Arabic" w:cs="Traditional Arabic"/>
          <w:sz w:val="32"/>
          <w:szCs w:val="32"/>
          <w:rtl/>
          <w:lang w:val="en-GB"/>
        </w:rPr>
        <w:t>يسية (التخطيط التدريسي،</w:t>
      </w:r>
      <w:r w:rsidRPr="005D4EED">
        <w:rPr>
          <w:rFonts w:ascii="Traditional Arabic" w:eastAsia="Calibri" w:hAnsi="Traditional Arabic" w:cs="Traditional Arabic"/>
          <w:sz w:val="32"/>
          <w:szCs w:val="32"/>
          <w:rtl/>
          <w:lang w:val="en-GB"/>
        </w:rPr>
        <w:t xml:space="preserve"> التقويم، وإدارة الصف، والتواصل</w:t>
      </w:r>
      <w:r w:rsidR="00FE6D40" w:rsidRPr="005D4EED">
        <w:rPr>
          <w:rFonts w:ascii="Traditional Arabic" w:eastAsia="Calibri" w:hAnsi="Traditional Arabic" w:cs="Traditional Arabic" w:hint="cs"/>
          <w:sz w:val="32"/>
          <w:szCs w:val="32"/>
          <w:rtl/>
          <w:lang w:val="en-GB"/>
        </w:rPr>
        <w:t xml:space="preserve"> والتفاعل</w:t>
      </w:r>
      <w:r w:rsidRPr="005D4EED">
        <w:rPr>
          <w:rFonts w:ascii="Traditional Arabic" w:eastAsia="Calibri" w:hAnsi="Traditional Arabic" w:cs="Traditional Arabic"/>
          <w:sz w:val="32"/>
          <w:szCs w:val="32"/>
          <w:rtl/>
          <w:lang w:val="en-GB"/>
        </w:rPr>
        <w:t xml:space="preserve"> مع الطلاب)، موضحًا الأساس النظري الذي تستند إليه الدراسة في بناء فرضياتها. كما يبرز الفصل أهمية الدراسة النظرية في إثراء الأدبيات التربوية المتعلقة بتنمية الكفاءات المهنية للمعلمين، وأهميتها التطبيقية في تقديم توصيات عملية لوزارة التعليم والمشرفين التربويين ومديري </w:t>
      </w:r>
      <w:r w:rsidRPr="005D4EED">
        <w:rPr>
          <w:rFonts w:ascii="Traditional Arabic" w:eastAsia="Calibri" w:hAnsi="Traditional Arabic" w:cs="Traditional Arabic"/>
          <w:sz w:val="32"/>
          <w:szCs w:val="32"/>
          <w:rtl/>
          <w:lang w:val="en-GB"/>
        </w:rPr>
        <w:lastRenderedPageBreak/>
        <w:t>المدارس لتطوير برامج التنمية المهنية بما يتناسب مع احتياجات الميدان التربوي. ويختتم الفصل بعرض فرضيات الدراسة ونموذجها المفاهيمي وحدودها المكانية والبشرية والمنهجية، تمهيدًا للفصول اللاحقة التي تتناول الإطار النظري والدراسات السابقة والتحليل الإحصائي للنتائج</w:t>
      </w:r>
      <w:r w:rsidRPr="005D4EED">
        <w:rPr>
          <w:rFonts w:ascii="Traditional Arabic" w:eastAsia="Calibri" w:hAnsi="Traditional Arabic" w:cs="Traditional Arabic"/>
          <w:sz w:val="32"/>
          <w:szCs w:val="32"/>
        </w:rPr>
        <w:t>.</w:t>
      </w:r>
    </w:p>
    <w:p w14:paraId="0402B4C9" w14:textId="77777777" w:rsidR="00F700E3" w:rsidRPr="005D60BE" w:rsidRDefault="00F700E3" w:rsidP="0065664D">
      <w:pPr>
        <w:bidi/>
        <w:spacing w:after="200" w:line="360" w:lineRule="auto"/>
        <w:jc w:val="both"/>
        <w:rPr>
          <w:rFonts w:ascii="Traditional Arabic" w:eastAsia="DengXian Light" w:hAnsi="Traditional Arabic" w:cs="Traditional Arabic"/>
          <w:b/>
          <w:bCs/>
          <w:color w:val="000000"/>
          <w:sz w:val="36"/>
          <w:szCs w:val="36"/>
          <w:highlight w:val="yellow"/>
          <w:rtl/>
        </w:rPr>
      </w:pPr>
    </w:p>
    <w:p w14:paraId="062D81E1" w14:textId="1916C0EC" w:rsidR="00F65912" w:rsidRPr="005D4EED" w:rsidRDefault="008074A2" w:rsidP="00F65912">
      <w:pPr>
        <w:bidi/>
        <w:spacing w:after="200" w:line="360" w:lineRule="auto"/>
        <w:jc w:val="both"/>
        <w:rPr>
          <w:rFonts w:ascii="Traditional Arabic" w:eastAsia="Calibri" w:hAnsi="Traditional Arabic" w:cs="Traditional Arabic"/>
          <w:b/>
          <w:bCs/>
          <w:sz w:val="36"/>
          <w:szCs w:val="36"/>
          <w:rtl/>
          <w:lang w:bidi="ar-JO"/>
        </w:rPr>
      </w:pPr>
      <w:r w:rsidRPr="005D4EED">
        <w:rPr>
          <w:rFonts w:ascii="Traditional Arabic" w:eastAsia="DengXian Light" w:hAnsi="Traditional Arabic" w:cs="Traditional Arabic"/>
          <w:b/>
          <w:bCs/>
          <w:color w:val="000000"/>
          <w:sz w:val="32"/>
          <w:szCs w:val="32"/>
          <w:rtl/>
        </w:rPr>
        <w:t>مقدمة الدراسة</w:t>
      </w:r>
    </w:p>
    <w:p w14:paraId="73E53C0F"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تواجه الأنظمة التعليمية في المملكة العربية السعودية مرحلة تحول تربوي جوهري مدفوعًا بمستهدفات رؤية المملكة 2030 التي جعلت تطوير التعليم وتنمية قدرات المعلمين محورًا أساسيًا للارتقاء بجودة المخرجات التعليمية. وفي هذا السياق، أصبحت التنمية المهنية للمعلمين ركيزة استراتيجية لا غنى عنها لضمان تحسين الأداء التدريسي، وتمكين المعلمين من مواكبة المستجدات التربوية والتقنية، وتعزيز كفاءاتهم بما يتناسب مع متطلبات التعليم الحديثة. ويكتسب هذا الموضوع أهمية خاصة في المرحلة الابتدائية بوصفها الأساس الذي تُبنى عليه المعارف والمهارات والقيم لدى المتعلمين</w:t>
      </w:r>
      <w:r w:rsidRPr="005D4EED">
        <w:rPr>
          <w:rFonts w:ascii="Traditional Arabic" w:eastAsia="Times New Roman" w:hAnsi="Traditional Arabic" w:cs="Traditional Arabic"/>
          <w:sz w:val="32"/>
          <w:szCs w:val="32"/>
        </w:rPr>
        <w:t>.</w:t>
      </w:r>
    </w:p>
    <w:p w14:paraId="3C3E079B" w14:textId="003530A5"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ورغم توسع وزارة التعليم في تنفيذ برامج التنمية المهنية وإطلاق مبادرات تدريبية نوعية تستهدف رفع مستوى الكفاءة التدريسية، تشير شواهد ميدانية ودراسات تربوية حديثة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وجود قصور في فاعلية بعض هذه البرامج من حيث التطبيق والمتابعة وتحقيق الأثر المطلوب على أداء المعلمين. كما يظهر تفاوت ملحوظ في مستوى الكفاءة التدريسية بين معلمي المرحلة الابتدائية، إضافة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غياب تقييم علمي منهجي يوضح درجة إسهام هذه البرامج فعليًا في تحسين ممارساتهم المهنية داخل الصف الدراسي</w:t>
      </w:r>
      <w:r w:rsidRPr="005D4EED">
        <w:rPr>
          <w:rFonts w:ascii="Traditional Arabic" w:eastAsia="Times New Roman" w:hAnsi="Traditional Arabic" w:cs="Traditional Arabic"/>
          <w:sz w:val="32"/>
          <w:szCs w:val="32"/>
        </w:rPr>
        <w:t>.</w:t>
      </w:r>
    </w:p>
    <w:p w14:paraId="32B69E66" w14:textId="427ABA0E" w:rsidR="005D60BE" w:rsidRPr="005D4EED" w:rsidRDefault="005D60BE" w:rsidP="005D60BE">
      <w:p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وتكشف مراجعة الأدبيات عن وجود فجوة بحثية واضحة تتمثل في محدودية الدراسات التي ربطت بصورة مباشرة بين برامج التنمية المهنية وبين الكفاءة التدريسية لدى معلمي المرحلة الابتدائية في مدينة الرياض </w:t>
      </w:r>
      <w:r w:rsidRPr="005D4EED">
        <w:rPr>
          <w:rFonts w:ascii="Traditional Arabic" w:eastAsia="Times New Roman" w:hAnsi="Traditional Arabic" w:cs="Traditional Arabic"/>
          <w:sz w:val="32"/>
          <w:szCs w:val="32"/>
          <w:rtl/>
        </w:rPr>
        <w:lastRenderedPageBreak/>
        <w:t xml:space="preserve">تحديدًا، على الرغم من كونها من أكبر البيئات التعليمية في المملكة وأكثرها تنوعًا. وهذا يعزز الحاجة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دراسة علمية ميدانية تقدم فهمًا منهجيًا لمدى فاعلية تلك البرامج في تطوير الكفاءة التدريسية بأبعادها المختلفة، وتحديد العوامل التي قد تسهم في نجاحها أو تحدّ من تأثيرها</w:t>
      </w:r>
      <w:r w:rsidRPr="005D4EED">
        <w:rPr>
          <w:rFonts w:ascii="Traditional Arabic" w:eastAsia="Times New Roman" w:hAnsi="Traditional Arabic" w:cs="Traditional Arabic"/>
          <w:sz w:val="32"/>
          <w:szCs w:val="32"/>
        </w:rPr>
        <w:t>.</w:t>
      </w:r>
    </w:p>
    <w:p w14:paraId="22E787C6" w14:textId="5B837454"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بناءً على ذلك، تنبع أهمية الدراسة الحالية من سعيها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تحليل أثر برامج التنمية المهنية في تطوير الكفاءة المهنية لمعلمي المرحلة الابتدائية بمدينة الرياض، وتقديم تقييم علمي لواقع تلك البرامج، والكشف عن التحديات التي تواجه تطبيقها، وصولًا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مقترحات عملية تُسهم في تعزيز جودة التعليم ودعم التوجهات الوطنية في بناء معلم متمكن قادر على تحقيق أهداف المرحلة الابتدائية ومتطلبات رؤية المملكة 2030</w:t>
      </w:r>
      <w:r w:rsidRPr="005D4EED">
        <w:rPr>
          <w:rFonts w:ascii="Traditional Arabic" w:eastAsia="Times New Roman" w:hAnsi="Traditional Arabic" w:cs="Traditional Arabic"/>
          <w:sz w:val="32"/>
          <w:szCs w:val="32"/>
        </w:rPr>
        <w:t>.</w:t>
      </w:r>
    </w:p>
    <w:p w14:paraId="5EC6CA33" w14:textId="77777777" w:rsidR="00F700E3" w:rsidRPr="005D4EED" w:rsidRDefault="00F700E3" w:rsidP="00F700E3">
      <w:pPr>
        <w:bidi/>
        <w:spacing w:after="200" w:line="360" w:lineRule="auto"/>
        <w:jc w:val="both"/>
        <w:rPr>
          <w:rFonts w:ascii="Traditional Arabic" w:eastAsia="Times New Roman" w:hAnsi="Traditional Arabic" w:cs="Traditional Arabic"/>
          <w:sz w:val="32"/>
          <w:szCs w:val="32"/>
          <w:rtl/>
        </w:rPr>
      </w:pPr>
    </w:p>
    <w:p w14:paraId="1873C1B7" w14:textId="77777777" w:rsidR="005D60BE" w:rsidRPr="005D4EED" w:rsidRDefault="008074A2" w:rsidP="005D60BE">
      <w:p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DengXian Light" w:hAnsi="Traditional Arabic" w:cs="Traditional Arabic"/>
          <w:b/>
          <w:bCs/>
          <w:color w:val="000000"/>
          <w:sz w:val="36"/>
          <w:szCs w:val="36"/>
          <w:rtl/>
        </w:rPr>
        <w:t>مشكلة الدراسة</w:t>
      </w:r>
      <w:r w:rsidRPr="005D4EED">
        <w:rPr>
          <w:rFonts w:ascii="Traditional Arabic" w:eastAsia="DengXian Light" w:hAnsi="Traditional Arabic" w:cs="Traditional Arabic" w:hint="cs"/>
          <w:b/>
          <w:bCs/>
          <w:color w:val="000000"/>
          <w:sz w:val="36"/>
          <w:szCs w:val="36"/>
          <w:rtl/>
        </w:rPr>
        <w:t xml:space="preserve"> وتساؤلاتها </w:t>
      </w:r>
    </w:p>
    <w:p w14:paraId="44A171B8" w14:textId="0EDE76F3"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t xml:space="preserve">رغم الجهود الكبيرة التي تبذلها وزارة التعليم في المملكة العربية السعودية لتطوير برامج التنمية المهنية ورفع كفاءة المعلمين تماشيًا مع مستهدفات رؤية 2030، إلا أن واقع الممارسات التعليمية في مدينة الرياض يشير </w:t>
      </w:r>
      <w:r w:rsidR="00976DAD">
        <w:rPr>
          <w:rFonts w:ascii="Traditional Arabic" w:eastAsia="DengXian Light" w:hAnsi="Traditional Arabic" w:cs="Traditional Arabic"/>
          <w:color w:val="000000"/>
          <w:sz w:val="32"/>
          <w:szCs w:val="32"/>
          <w:rtl/>
        </w:rPr>
        <w:t>إلى</w:t>
      </w:r>
      <w:r w:rsidRPr="005D4EED">
        <w:rPr>
          <w:rFonts w:ascii="Traditional Arabic" w:eastAsia="DengXian Light" w:hAnsi="Traditional Arabic" w:cs="Traditional Arabic"/>
          <w:color w:val="000000"/>
          <w:sz w:val="32"/>
          <w:szCs w:val="32"/>
          <w:rtl/>
        </w:rPr>
        <w:t xml:space="preserve"> وجود تفاوت في مستوى الكفاءة التدريسية بين معلمي المرحلة الابتدائية، وضعف في وضوح الأثر الفعلي الذي تُحدثه هذه البرامج في تحسين التخطيط والتقويم وإدارة الصف والتفاعل التعليمي. ويعكس هذا التباين وجود فجوة بحثية تتمثل في غياب تقييم علمي شامل يحدد مدى فاعلية برامج التنمية المهنية في تطوير الكفاءة التدريسية داخل هذه المرحلة المهمة. ومن ثمّ، تنبع الحاجة </w:t>
      </w:r>
      <w:r w:rsidR="00976DAD">
        <w:rPr>
          <w:rFonts w:ascii="Traditional Arabic" w:eastAsia="DengXian Light" w:hAnsi="Traditional Arabic" w:cs="Traditional Arabic"/>
          <w:color w:val="000000"/>
          <w:sz w:val="32"/>
          <w:szCs w:val="32"/>
          <w:rtl/>
        </w:rPr>
        <w:t>إلى</w:t>
      </w:r>
      <w:r w:rsidRPr="005D4EED">
        <w:rPr>
          <w:rFonts w:ascii="Traditional Arabic" w:eastAsia="DengXian Light" w:hAnsi="Traditional Arabic" w:cs="Traditional Arabic"/>
          <w:color w:val="000000"/>
          <w:sz w:val="32"/>
          <w:szCs w:val="32"/>
          <w:rtl/>
        </w:rPr>
        <w:t xml:space="preserve"> دراسة ميدانية تُعنى بتحليل هذا الأثر بصورة مباشرة، وتوضيح مدى قدرة هذه البرامج على تلبية احتياجات المعلمين وتحسين جودة العملية التعليمية</w:t>
      </w:r>
      <w:r w:rsidRPr="005D4EED">
        <w:rPr>
          <w:rFonts w:ascii="Traditional Arabic" w:eastAsia="DengXian Light" w:hAnsi="Traditional Arabic" w:cs="Traditional Arabic"/>
          <w:color w:val="000000"/>
          <w:sz w:val="32"/>
          <w:szCs w:val="32"/>
        </w:rPr>
        <w:t>.</w:t>
      </w:r>
    </w:p>
    <w:p w14:paraId="11089A94"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lastRenderedPageBreak/>
        <w:t>وبناءً على ذلك، تتمثل مشكلة الدراسة في عدم وضوح مدى فاعلية برامج التنمية المهنية في تطوير الكفاءة التدريسية لمعلمي المرحلة الابتدائية بمدينة الرياض</w:t>
      </w:r>
      <w:r w:rsidRPr="005D4EED">
        <w:rPr>
          <w:rFonts w:ascii="Traditional Arabic" w:eastAsia="DengXian Light" w:hAnsi="Traditional Arabic" w:cs="Traditional Arabic"/>
          <w:color w:val="000000"/>
          <w:sz w:val="32"/>
          <w:szCs w:val="32"/>
        </w:rPr>
        <w:t>."</w:t>
      </w:r>
    </w:p>
    <w:p w14:paraId="6904461D"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t>وينبثق عنها السؤال الرئيس الآتي</w:t>
      </w:r>
      <w:r w:rsidRPr="005D4EED">
        <w:rPr>
          <w:rFonts w:ascii="Traditional Arabic" w:eastAsia="DengXian Light" w:hAnsi="Traditional Arabic" w:cs="Traditional Arabic"/>
          <w:color w:val="000000"/>
          <w:sz w:val="32"/>
          <w:szCs w:val="32"/>
        </w:rPr>
        <w:t>:</w:t>
      </w:r>
    </w:p>
    <w:p w14:paraId="071A5CB9"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Times New Roman" w:hAnsi="Traditional Arabic" w:cs="Traditional Arabic" w:hint="cs"/>
          <w:sz w:val="32"/>
          <w:szCs w:val="32"/>
          <w:rtl/>
          <w:lang w:bidi="ar-JO"/>
        </w:rPr>
        <w:t>"</w:t>
      </w:r>
      <w:r w:rsidRPr="005D4EED">
        <w:rPr>
          <w:rFonts w:ascii="Traditional Arabic" w:eastAsia="DengXian Light" w:hAnsi="Traditional Arabic" w:cs="Traditional Arabic"/>
          <w:b/>
          <w:bCs/>
          <w:color w:val="000000"/>
          <w:sz w:val="32"/>
          <w:szCs w:val="32"/>
          <w:rtl/>
        </w:rPr>
        <w:t>ما أثر برامج التنمية المهنية في تعزيز الكفاءة التدريسية لمعلمي المرحلة الابتدائية بمدينة الرياض؟</w:t>
      </w:r>
      <w:r w:rsidRPr="005D4EED">
        <w:rPr>
          <w:rFonts w:ascii="Traditional Arabic" w:eastAsia="DengXian Light" w:hAnsi="Traditional Arabic" w:cs="Traditional Arabic"/>
          <w:b/>
          <w:bCs/>
          <w:color w:val="000000"/>
          <w:sz w:val="32"/>
          <w:szCs w:val="32"/>
        </w:rPr>
        <w:t>"</w:t>
      </w:r>
    </w:p>
    <w:p w14:paraId="6A25959B" w14:textId="77777777" w:rsidR="005D60BE" w:rsidRPr="005D4EED" w:rsidRDefault="00A73BD3"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t xml:space="preserve">يتفرع من هذا </w:t>
      </w:r>
      <w:r w:rsidRPr="005D4EED">
        <w:rPr>
          <w:rFonts w:ascii="Traditional Arabic" w:eastAsia="DengXian Light" w:hAnsi="Traditional Arabic" w:cs="Traditional Arabic" w:hint="cs"/>
          <w:color w:val="000000"/>
          <w:sz w:val="32"/>
          <w:szCs w:val="32"/>
          <w:rtl/>
        </w:rPr>
        <w:t>السؤال</w:t>
      </w:r>
      <w:r w:rsidRPr="005D4EED">
        <w:rPr>
          <w:rFonts w:ascii="Traditional Arabic" w:eastAsia="DengXian Light" w:hAnsi="Traditional Arabic" w:cs="Traditional Arabic"/>
          <w:color w:val="000000"/>
          <w:sz w:val="32"/>
          <w:szCs w:val="32"/>
          <w:rtl/>
        </w:rPr>
        <w:t xml:space="preserve"> الرئيسي الأسئلة الفرعية التالية:</w:t>
      </w:r>
    </w:p>
    <w:p w14:paraId="0E3A172B" w14:textId="77777777" w:rsidR="005D60BE" w:rsidRPr="005D4EED" w:rsidRDefault="00A73BD3" w:rsidP="005D60BE">
      <w:pPr>
        <w:pStyle w:val="ListParagraph"/>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واقع برامج التنمية المهنية المقدمة لمعلمي المرحلة الابتدائية في مدينة الرياض؟</w:t>
      </w:r>
    </w:p>
    <w:p w14:paraId="53CD7FBC" w14:textId="77777777" w:rsidR="005D60BE" w:rsidRPr="005D4EED" w:rsidRDefault="00A73BD3" w:rsidP="005D60BE">
      <w:pPr>
        <w:pStyle w:val="ListParagraph"/>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مستوى كفاءة معلمي المرحلة الابتدائية بمدينة الرياض في ضوء اشتراكهم في برامج التنمية المهنية؟</w:t>
      </w:r>
    </w:p>
    <w:p w14:paraId="326AB9A9" w14:textId="77777777" w:rsidR="005D60BE" w:rsidRPr="005D4EED" w:rsidRDefault="009474D8" w:rsidP="005D60BE">
      <w:pPr>
        <w:pStyle w:val="ListParagraph"/>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color w:val="000000"/>
          <w:sz w:val="32"/>
          <w:szCs w:val="32"/>
          <w:rtl/>
        </w:rPr>
        <w:t>ما أثر المشاركة في برامج التنمية المهنية على تطوير الكفاءة المهنية لمعلمي المرحلة الابتدائية بمدينة الرياض،</w:t>
      </w:r>
      <w:r w:rsidRPr="005D4EED">
        <w:rPr>
          <w:rFonts w:ascii="Traditional Arabic" w:eastAsia="DengXian Light" w:hAnsi="Traditional Arabic" w:cs="Traditional Arabic" w:hint="cs"/>
          <w:color w:val="000000"/>
          <w:sz w:val="32"/>
          <w:szCs w:val="32"/>
          <w:rtl/>
        </w:rPr>
        <w:t xml:space="preserve"> بأبعادها (</w:t>
      </w:r>
      <w:r w:rsidRPr="005D4EED">
        <w:rPr>
          <w:rFonts w:ascii="Traditional Arabic" w:eastAsia="DengXian Light" w:hAnsi="Traditional Arabic" w:cs="Traditional Arabic"/>
          <w:color w:val="000000"/>
          <w:sz w:val="32"/>
          <w:szCs w:val="32"/>
          <w:rtl/>
        </w:rPr>
        <w:t>التخطيط التدريسي، إدارة الصف، التقويم التعليمي، والتواصل والتفاعل مع الطلاب؟</w:t>
      </w:r>
    </w:p>
    <w:p w14:paraId="652DAE79" w14:textId="77777777" w:rsidR="005D60BE" w:rsidRPr="005D4EED" w:rsidRDefault="00A73BD3" w:rsidP="005D60BE">
      <w:pPr>
        <w:pStyle w:val="ListParagraph"/>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التحديات التي تواجه معلمي المرحلة الابتدائية في الاستفادة من برامج التنمية المهنية بمدينة الرياض؟</w:t>
      </w:r>
    </w:p>
    <w:p w14:paraId="7EC9C7DC" w14:textId="51CD5337" w:rsidR="00B6305B" w:rsidRPr="005D60BE" w:rsidRDefault="00A73BD3" w:rsidP="005D60BE">
      <w:pPr>
        <w:pStyle w:val="ListParagraph"/>
        <w:numPr>
          <w:ilvl w:val="0"/>
          <w:numId w:val="18"/>
        </w:num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المقترحات التي يمكن تقديمها لتعزيز فاعلية برامج التنمية المهنية في تطوير كفاءة معلمي المرحلة الابتدائية</w:t>
      </w:r>
      <w:r w:rsidRPr="005D60BE">
        <w:rPr>
          <w:rFonts w:ascii="Traditional Arabic" w:eastAsia="DengXian Light" w:hAnsi="Traditional Arabic" w:cs="Traditional Arabic"/>
          <w:color w:val="000000"/>
          <w:sz w:val="32"/>
          <w:szCs w:val="32"/>
          <w:rtl/>
          <w:lang w:bidi="ar-EG"/>
        </w:rPr>
        <w:t xml:space="preserve"> بمدينة الرياض؟</w:t>
      </w:r>
    </w:p>
    <w:p w14:paraId="27BB403B" w14:textId="77777777" w:rsidR="00B6305B" w:rsidRPr="0049674D" w:rsidRDefault="008074A2" w:rsidP="008074A2">
      <w:pPr>
        <w:bidi/>
        <w:spacing w:after="200" w:line="360" w:lineRule="auto"/>
        <w:jc w:val="both"/>
        <w:rPr>
          <w:rFonts w:ascii="Traditional Arabic" w:eastAsia="Calibri" w:hAnsi="Traditional Arabic" w:cs="Traditional Arabic"/>
          <w:b/>
          <w:bCs/>
          <w:sz w:val="36"/>
          <w:szCs w:val="36"/>
          <w:rtl/>
        </w:rPr>
      </w:pPr>
      <w:r w:rsidRPr="0049674D">
        <w:rPr>
          <w:rFonts w:ascii="Traditional Arabic" w:eastAsia="Calibri" w:hAnsi="Traditional Arabic" w:cs="Traditional Arabic"/>
          <w:b/>
          <w:bCs/>
          <w:sz w:val="36"/>
          <w:szCs w:val="36"/>
          <w:rtl/>
        </w:rPr>
        <w:t>أهمية الدراسة</w:t>
      </w:r>
    </w:p>
    <w:p w14:paraId="0543EBE7" w14:textId="77777777" w:rsidR="00AA29C0" w:rsidRPr="0049674D" w:rsidRDefault="00A73BD3" w:rsidP="00AA29C0">
      <w:pPr>
        <w:bidi/>
        <w:spacing w:line="360" w:lineRule="auto"/>
        <w:jc w:val="both"/>
        <w:rPr>
          <w:rFonts w:ascii="Traditional Arabic" w:eastAsia="Aptos" w:hAnsi="Traditional Arabic" w:cs="Traditional Arabic"/>
          <w:b/>
          <w:bCs/>
          <w:kern w:val="2"/>
          <w:sz w:val="32"/>
          <w:szCs w:val="32"/>
          <w:rtl/>
          <w:lang w:bidi="ar-EG"/>
          <w14:ligatures w14:val="standardContextual"/>
        </w:rPr>
      </w:pPr>
      <w:r w:rsidRPr="0049674D">
        <w:rPr>
          <w:rFonts w:ascii="Traditional Arabic" w:eastAsia="Aptos" w:hAnsi="Traditional Arabic" w:cs="Traditional Arabic"/>
          <w:b/>
          <w:bCs/>
          <w:kern w:val="2"/>
          <w:sz w:val="32"/>
          <w:szCs w:val="32"/>
          <w:rtl/>
          <w14:ligatures w14:val="standardContextual"/>
        </w:rPr>
        <w:lastRenderedPageBreak/>
        <w:t>أولاً: الأهمية النظرية</w:t>
      </w:r>
    </w:p>
    <w:p w14:paraId="426F9A9B" w14:textId="77777777" w:rsidR="006907A8" w:rsidRPr="0049674D" w:rsidRDefault="00AA29C0" w:rsidP="006907A8">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hint="cs"/>
          <w:kern w:val="2"/>
          <w:sz w:val="32"/>
          <w:szCs w:val="32"/>
          <w:rtl/>
          <w:lang w:bidi="ar-EG"/>
          <w14:ligatures w14:val="standardContextual"/>
        </w:rPr>
        <w:t>ت</w:t>
      </w:r>
      <w:r w:rsidRPr="0049674D">
        <w:rPr>
          <w:rFonts w:ascii="Traditional Arabic" w:eastAsia="Aptos" w:hAnsi="Traditional Arabic" w:cs="Traditional Arabic"/>
          <w:kern w:val="2"/>
          <w:sz w:val="32"/>
          <w:szCs w:val="32"/>
          <w:rtl/>
          <w14:ligatures w14:val="standardContextual"/>
        </w:rPr>
        <w:t>سهم هذه الدراسة في إثراء المعرفة العلمية في ميدان التنمية المهنية للمعلمين، من خلال تحليل العلاقة بين برامج التنمية المهنية والكفاءة التدريسية لدى معلمي المرحلة الابتدائية بمدينة الرياض. وتنبع أهميتها من معالجتها لإحدى القضايا التربوية الجوهرية التي تمسّ جودة التعليم وأداء المعلمين، وذلك في ظل التحولات التعليمية والتنظيمية التي تشهدها المملكة العربية السعودية ضمن مستهدفات رؤية المملكة 2030</w:t>
      </w:r>
      <w:r w:rsidRPr="0049674D">
        <w:rPr>
          <w:rFonts w:ascii="Traditional Arabic" w:eastAsia="Aptos" w:hAnsi="Traditional Arabic" w:cs="Traditional Arabic"/>
          <w:kern w:val="2"/>
          <w:sz w:val="32"/>
          <w:szCs w:val="32"/>
          <w14:ligatures w14:val="standardContextual"/>
        </w:rPr>
        <w:t>.</w:t>
      </w:r>
      <w:r w:rsidR="006907A8" w:rsidRPr="0049674D">
        <w:rPr>
          <w:rFonts w:ascii="Traditional Arabic" w:eastAsia="Aptos" w:hAnsi="Traditional Arabic" w:cs="Traditional Arabic" w:hint="cs"/>
          <w:kern w:val="2"/>
          <w:sz w:val="32"/>
          <w:szCs w:val="32"/>
          <w:rtl/>
          <w14:ligatures w14:val="standardContextual"/>
        </w:rPr>
        <w:t xml:space="preserve"> </w:t>
      </w:r>
    </w:p>
    <w:p w14:paraId="5042A441" w14:textId="3890FE60" w:rsidR="00AA29C0" w:rsidRDefault="00AA29C0"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hint="cs"/>
          <w:kern w:val="2"/>
          <w:sz w:val="32"/>
          <w:szCs w:val="32"/>
          <w:rtl/>
          <w14:ligatures w14:val="standardContextual"/>
        </w:rPr>
        <w:t xml:space="preserve">من جانب اخر، </w:t>
      </w:r>
      <w:r w:rsidRPr="0049674D">
        <w:rPr>
          <w:rFonts w:ascii="Traditional Arabic" w:eastAsia="Aptos" w:hAnsi="Traditional Arabic" w:cs="Traditional Arabic"/>
          <w:kern w:val="2"/>
          <w:sz w:val="32"/>
          <w:szCs w:val="32"/>
          <w:rtl/>
          <w14:ligatures w14:val="standardContextual"/>
        </w:rPr>
        <w:t>تعالج الدراسة فجوة بحثية واضحة في الأدبيات المحلية، حيث ما تزال معظم الدراسات السابقة تتناول موضوع الكفاءة التدريسية بشكل عام دون تحليل معمق لأبعادها أو ارتباطها الفعلي بالبرامج التدريبية القائمة. ومن خلال تركيزها على الأبعاد الأربعة للكفاءة التدريسية (التخطيط، التدريس، التقويم، وإدارة الصف)، تقدم هذه الدراسة إطارًا علميًا متكاملًا يوضح كيف يمكن لبرامج التنمية المهنية أن تُسهم في تعزيز أداء المعلم ورفع جودة العملية التعليمية</w:t>
      </w:r>
      <w:r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كما تُقدّم الدراسة إضافة نظرية مهمة تتمثل في دمج مفاهيم التنمية المهنية والكفاءة التدريسية في نموذج تفسيري يمكن أن يُبنى عليه في دراسات لاحقة داخل البيئة التعليمية السعودية. وبذلك، فهي تدعم الاتجاهات البحثية الحديثة التي تسعى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فهم العلاقة بين التطوير المهني المستمر وفاعلية التعليم في سياقات وطنية مختلفة، وتثري الأدبيات التربوية العربية بإطار نظري متسق مع التوجهات العالمية الحديثة في تطوير كفاءات المعلمين</w:t>
      </w:r>
      <w:r w:rsidRPr="0049674D">
        <w:rPr>
          <w:rFonts w:ascii="Traditional Arabic" w:eastAsia="Aptos" w:hAnsi="Traditional Arabic" w:cs="Traditional Arabic"/>
          <w:kern w:val="2"/>
          <w:sz w:val="32"/>
          <w:szCs w:val="32"/>
          <w14:ligatures w14:val="standardContextual"/>
        </w:rPr>
        <w:t>.</w:t>
      </w:r>
    </w:p>
    <w:p w14:paraId="53D34C65" w14:textId="77777777" w:rsidR="005D60BE"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6C26A9B0" w14:textId="77777777" w:rsidR="005D60BE" w:rsidRPr="0049674D"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7A44348" w14:textId="77777777" w:rsidR="00AA29C0" w:rsidRPr="0049674D" w:rsidRDefault="00AA29C0" w:rsidP="00AA29C0">
      <w:pPr>
        <w:bidi/>
        <w:spacing w:line="360" w:lineRule="auto"/>
        <w:jc w:val="both"/>
        <w:rPr>
          <w:rFonts w:ascii="Traditional Arabic" w:eastAsia="Aptos" w:hAnsi="Traditional Arabic" w:cs="Traditional Arabic"/>
          <w:b/>
          <w:bCs/>
          <w:kern w:val="2"/>
          <w:sz w:val="32"/>
          <w:szCs w:val="32"/>
          <w14:ligatures w14:val="standardContextual"/>
        </w:rPr>
      </w:pPr>
      <w:r w:rsidRPr="0049674D">
        <w:rPr>
          <w:rFonts w:ascii="Traditional Arabic" w:eastAsia="Aptos" w:hAnsi="Traditional Arabic" w:cs="Traditional Arabic"/>
          <w:b/>
          <w:bCs/>
          <w:kern w:val="2"/>
          <w:sz w:val="32"/>
          <w:szCs w:val="32"/>
          <w:rtl/>
          <w14:ligatures w14:val="standardContextual"/>
        </w:rPr>
        <w:t>ثانيًا: الأهمية التطبيقية</w:t>
      </w:r>
    </w:p>
    <w:p w14:paraId="525A949E" w14:textId="6122377A"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تكتسب هذه الدراسة أهمية عملية بالغة من خلال ما تقدمه من نتائج علمية قابلة للتطبيق تسهم في تطوير برامج التنمية المهنية لمعلمي المرحلة الابتدائية بمدينة الرياض، بما ينعكس إيجابًا على جودة التعليم وكفاءة الأداء التدريسي. إذ تهدف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تقديم رؤى عملية مبنية على تحليل ميداني يمكن أن يستفيد منها صُنّاع القرار في وزارة التعليم، والمشرفون التربويون، ومديرو المدارس في تصميم برامج تدريبية أكثر فاعلية واستدامة، تستجيب للاحتياجات الحقيقية للمعلمين وتنسجم مع متطلبات الميدان التربوي (الحيكان، 2024؛ القرني، 2018).</w:t>
      </w:r>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كما تمكّن نتائج هذه الدراسة من تحديد الجوانب التي تحتاج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تحسين في آليات تصميم وتنفيذ البرامج التدريبية، بما يُسهم في تعزيز الكفاءة المهنية في مجالات التخطيط، والتقويم، وإدارة الصف، والتفاعل التعليمي. وبذلك، تُسهم الدراسة في توجيه الجهود التطويرية نحو بناء خطط تدريبية أكثر ارتباطًا بالممارسة الفعلية داخل الصفوف الدراسية، مما يساعد في رفع مستوى أداء المعلمين وتحسين تجربة التعلم لدى الطلاب (</w:t>
      </w:r>
      <w:r w:rsidRPr="0049674D">
        <w:rPr>
          <w:rFonts w:ascii="Traditional Arabic" w:eastAsia="Aptos" w:hAnsi="Traditional Arabic" w:cs="Traditional Arabic"/>
          <w:kern w:val="2"/>
          <w:sz w:val="32"/>
          <w:szCs w:val="32"/>
          <w14:ligatures w14:val="standardContextual"/>
        </w:rPr>
        <w:t>Alruqi &amp; Alharbi, 2022</w:t>
      </w:r>
      <w:r w:rsidRPr="0049674D">
        <w:rPr>
          <w:rFonts w:ascii="Traditional Arabic" w:eastAsia="Aptos" w:hAnsi="Traditional Arabic" w:cs="Traditional Arabic"/>
          <w:kern w:val="2"/>
          <w:sz w:val="32"/>
          <w:szCs w:val="32"/>
          <w:rtl/>
          <w14:ligatures w14:val="standardContextual"/>
        </w:rPr>
        <w:t>؛ الفجام، المنصوري، والدويلة، 2017).</w:t>
      </w:r>
    </w:p>
    <w:p w14:paraId="63B5E9AF" w14:textId="2810EF97"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14:ligatures w14:val="standardContextual"/>
        </w:rPr>
      </w:pPr>
      <w:r w:rsidRPr="0049674D">
        <w:rPr>
          <w:rFonts w:ascii="Traditional Arabic" w:eastAsia="Aptos" w:hAnsi="Traditional Arabic" w:cs="Traditional Arabic"/>
          <w:kern w:val="2"/>
          <w:sz w:val="32"/>
          <w:szCs w:val="32"/>
          <w:rtl/>
          <w14:ligatures w14:val="standardContextual"/>
        </w:rPr>
        <w:t xml:space="preserve">علاوة على ذلك، يمكن الاستفادة من نتائج الدراسة في تطوير السياسات التعليمية الوطنية بما يدعم استدامة برامج التنمية المهنية، ويعزز التكامل بين الأهداف الاستراتيجية للتعليم ومتطلبات المعلمين في الميدان. ومن ثمّ، فإن القيمة التطبيقية لهذه الدراسة تكمن في إسهامها المباشر في تحقيق مستهدفات رؤية المملكة 2030 الرامية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بناء منظومة تعليمية متكاملة وكفاءات تدريسية مبدعة قادرة على التطوير والابتكار المستمر (</w:t>
      </w:r>
      <w:r w:rsidRPr="0049674D">
        <w:rPr>
          <w:rFonts w:ascii="Traditional Arabic" w:eastAsia="Aptos" w:hAnsi="Traditional Arabic" w:cs="Traditional Arabic"/>
          <w:kern w:val="2"/>
          <w:sz w:val="32"/>
          <w:szCs w:val="32"/>
          <w14:ligatures w14:val="standardContextual"/>
        </w:rPr>
        <w:t>Alsamiri</w:t>
      </w:r>
      <w:r w:rsidRPr="0049674D">
        <w:rPr>
          <w:rFonts w:ascii="Traditional Arabic" w:eastAsia="Aptos" w:hAnsi="Traditional Arabic" w:cs="Traditional Arabic"/>
          <w:kern w:val="2"/>
          <w:sz w:val="32"/>
          <w:szCs w:val="32"/>
          <w:rtl/>
          <w14:ligatures w14:val="standardContextual"/>
        </w:rPr>
        <w:t xml:space="preserve">، </w:t>
      </w:r>
      <w:r w:rsidRPr="0049674D">
        <w:rPr>
          <w:rFonts w:ascii="Traditional Arabic" w:eastAsia="Aptos" w:hAnsi="Traditional Arabic" w:cs="Traditional Arabic"/>
          <w:kern w:val="2"/>
          <w:sz w:val="32"/>
          <w:szCs w:val="32"/>
          <w14:ligatures w14:val="standardContextual"/>
        </w:rPr>
        <w:t>2024</w:t>
      </w:r>
      <w:r w:rsidRPr="0049674D">
        <w:rPr>
          <w:rFonts w:ascii="Traditional Arabic" w:eastAsia="Aptos" w:hAnsi="Traditional Arabic" w:cs="Traditional Arabic"/>
          <w:kern w:val="2"/>
          <w:sz w:val="32"/>
          <w:szCs w:val="32"/>
          <w:rtl/>
          <w14:ligatures w14:val="standardContextual"/>
        </w:rPr>
        <w:t>؛ الحيكان، 2024).</w:t>
      </w:r>
    </w:p>
    <w:p w14:paraId="269D4C26" w14:textId="77777777" w:rsidR="00447A5B"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
    <w:p w14:paraId="6F220AC1" w14:textId="77777777" w:rsidR="009474D8" w:rsidRPr="0049674D" w:rsidRDefault="008074A2" w:rsidP="009474D8">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DengXian Light" w:hAnsi="Traditional Arabic" w:cs="Traditional Arabic"/>
          <w:b/>
          <w:bCs/>
          <w:color w:val="000000"/>
          <w:sz w:val="36"/>
          <w:szCs w:val="36"/>
          <w:rtl/>
        </w:rPr>
        <w:t>أهداف الدراسة</w:t>
      </w:r>
    </w:p>
    <w:p w14:paraId="62E8C13B" w14:textId="42A95687" w:rsidR="00447A5B" w:rsidRDefault="009474D8" w:rsidP="005D4EED">
      <w:pPr>
        <w:bidi/>
        <w:spacing w:line="360" w:lineRule="auto"/>
        <w:ind w:firstLine="720"/>
        <w:jc w:val="both"/>
        <w:rPr>
          <w:rFonts w:ascii="Traditional Arabic" w:hAnsi="Traditional Arabic" w:cs="Traditional Arabic"/>
          <w:sz w:val="32"/>
          <w:szCs w:val="32"/>
          <w:rtl/>
        </w:rPr>
      </w:pPr>
      <w:r w:rsidRPr="0049674D">
        <w:rPr>
          <w:rFonts w:ascii="Traditional Arabic" w:hAnsi="Traditional Arabic" w:cs="Traditional Arabic"/>
          <w:sz w:val="32"/>
          <w:szCs w:val="32"/>
          <w:rtl/>
        </w:rPr>
        <w:lastRenderedPageBreak/>
        <w:t xml:space="preserve">تهدف هذه الدراسة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w:t>
      </w:r>
      <w:r w:rsidRPr="0049674D">
        <w:rPr>
          <w:rFonts w:ascii="Traditional Arabic" w:hAnsi="Traditional Arabic" w:cs="Traditional Arabic"/>
          <w:b/>
          <w:bCs/>
          <w:sz w:val="32"/>
          <w:szCs w:val="32"/>
          <w:rtl/>
        </w:rPr>
        <w:t>تحليل أثر برامج التنمية المهنية في رفع كفاءة معلمي المرحلة الابتدائية بمدينة الرياض</w:t>
      </w:r>
      <w:r w:rsidRPr="0049674D">
        <w:rPr>
          <w:rFonts w:ascii="Traditional Arabic" w:hAnsi="Traditional Arabic" w:cs="Traditional Arabic"/>
          <w:sz w:val="32"/>
          <w:szCs w:val="32"/>
          <w:rtl/>
        </w:rPr>
        <w:t xml:space="preserve">، من خلال دراسة واقع تلك البرامج ومستوى الكفاءة المهنية للمعلمين، وتحديد العوامل التي تعزز أو تحد من فاعليتها، وصولاً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تقديم مقترحات عملية تسهم في تطوير الأداء التدريسي وتحسين جودة التعليم وفق متطلبات رؤية المملكة 2030</w:t>
      </w:r>
      <w:r w:rsidRPr="0049674D">
        <w:rPr>
          <w:rFonts w:ascii="Traditional Arabic" w:hAnsi="Traditional Arabic" w:cs="Traditional Arabic"/>
          <w:sz w:val="32"/>
          <w:szCs w:val="32"/>
        </w:rPr>
        <w:t>.</w:t>
      </w:r>
    </w:p>
    <w:p w14:paraId="31794211" w14:textId="77777777" w:rsidR="005D4EED" w:rsidRPr="0049674D" w:rsidRDefault="005D4EED"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B554441" w14:textId="77777777" w:rsidR="00447A5B" w:rsidRPr="0049674D" w:rsidRDefault="009474D8" w:rsidP="005D4EED">
      <w:pPr>
        <w:bidi/>
        <w:spacing w:line="360" w:lineRule="auto"/>
        <w:ind w:firstLine="360"/>
        <w:jc w:val="both"/>
        <w:rPr>
          <w:rFonts w:ascii="Traditional Arabic" w:eastAsia="Aptos" w:hAnsi="Traditional Arabic" w:cs="Traditional Arabic"/>
          <w:kern w:val="2"/>
          <w:sz w:val="32"/>
          <w:szCs w:val="32"/>
          <w:rtl/>
          <w:lang w:bidi="ar-JO"/>
          <w14:ligatures w14:val="standardContextual"/>
        </w:rPr>
      </w:pPr>
      <w:r w:rsidRPr="0049674D">
        <w:rPr>
          <w:rFonts w:ascii="Traditional Arabic" w:hAnsi="Traditional Arabic" w:cs="Traditional Arabic" w:hint="cs"/>
          <w:sz w:val="32"/>
          <w:szCs w:val="32"/>
          <w:rtl/>
        </w:rPr>
        <w:t xml:space="preserve">يتفرع من السابق </w:t>
      </w:r>
      <w:r w:rsidRPr="0049674D">
        <w:rPr>
          <w:rFonts w:ascii="Traditional Arabic" w:hAnsi="Traditional Arabic" w:cs="Traditional Arabic"/>
          <w:sz w:val="32"/>
          <w:szCs w:val="32"/>
          <w:rtl/>
        </w:rPr>
        <w:t>الأهداف الفرعية</w:t>
      </w:r>
      <w:r w:rsidRPr="0049674D">
        <w:rPr>
          <w:rFonts w:ascii="Traditional Arabic" w:hAnsi="Traditional Arabic" w:cs="Traditional Arabic" w:hint="cs"/>
          <w:sz w:val="32"/>
          <w:szCs w:val="32"/>
          <w:rtl/>
        </w:rPr>
        <w:t xml:space="preserve"> التالية</w:t>
      </w:r>
      <w:r w:rsidRPr="0049674D">
        <w:rPr>
          <w:rFonts w:ascii="Traditional Arabic" w:hAnsi="Traditional Arabic" w:cs="Traditional Arabic"/>
          <w:sz w:val="32"/>
          <w:szCs w:val="32"/>
        </w:rPr>
        <w:t>:</w:t>
      </w:r>
    </w:p>
    <w:p w14:paraId="1C8C3154" w14:textId="77777777" w:rsidR="00447A5B" w:rsidRPr="0049674D" w:rsidRDefault="009474D8" w:rsidP="00447A5B">
      <w:pPr>
        <w:pStyle w:val="ListParagraph"/>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تحليل واقع برامج التنمية المهنية المقدمة لمعلمي المرحلة الابتدائية بمدينة الرياض من حيث نوعها، محتواها، وأساليب تنفيذها</w:t>
      </w:r>
      <w:r w:rsidRPr="0049674D">
        <w:rPr>
          <w:rFonts w:ascii="Traditional Arabic" w:hAnsi="Traditional Arabic" w:cs="Traditional Arabic"/>
          <w:sz w:val="32"/>
          <w:szCs w:val="32"/>
        </w:rPr>
        <w:t>.</w:t>
      </w:r>
    </w:p>
    <w:p w14:paraId="503FA8E4" w14:textId="77777777" w:rsidR="00447A5B" w:rsidRPr="0049674D" w:rsidRDefault="009474D8" w:rsidP="00447A5B">
      <w:pPr>
        <w:pStyle w:val="ListParagraph"/>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تقييم مستوى الكفاءة المهنية لمعلمي المرحلة الابتدائية في ضوء اشتراكهم في برامج التنمية المهنية</w:t>
      </w:r>
      <w:r w:rsidRPr="0049674D">
        <w:rPr>
          <w:rFonts w:ascii="Traditional Arabic" w:hAnsi="Traditional Arabic" w:cs="Traditional Arabic"/>
          <w:sz w:val="32"/>
          <w:szCs w:val="32"/>
        </w:rPr>
        <w:t>.</w:t>
      </w:r>
    </w:p>
    <w:p w14:paraId="27E309F9" w14:textId="77777777" w:rsidR="00447A5B" w:rsidRPr="0049674D" w:rsidRDefault="009474D8" w:rsidP="00447A5B">
      <w:pPr>
        <w:pStyle w:val="ListParagraph"/>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قياس أثر المشاركة في برامج التنمية المهنية على تطوير الكفاءة المهنية لمعلمي المرحلة الابتدائية بأبعادها الرئيسة</w:t>
      </w:r>
      <w:r w:rsidRPr="0049674D">
        <w:rPr>
          <w:rFonts w:ascii="Traditional Arabic" w:hAnsi="Traditional Arabic" w:cs="Traditional Arabic" w:hint="cs"/>
          <w:sz w:val="32"/>
          <w:szCs w:val="32"/>
          <w:rtl/>
        </w:rPr>
        <w:t xml:space="preserve"> (</w:t>
      </w:r>
      <w:r w:rsidRPr="0049674D">
        <w:rPr>
          <w:rFonts w:ascii="Traditional Arabic" w:hAnsi="Traditional Arabic" w:cs="Traditional Arabic"/>
          <w:sz w:val="32"/>
          <w:szCs w:val="32"/>
          <w:rtl/>
        </w:rPr>
        <w:t>التخطيط التدريسي، إدارة الصف، التقويم التعليمي، والتواصل والتفاعل مع الطلاب</w:t>
      </w:r>
      <w:r w:rsidRPr="0049674D">
        <w:rPr>
          <w:rFonts w:ascii="Traditional Arabic" w:hAnsi="Traditional Arabic" w:cs="Traditional Arabic"/>
          <w:sz w:val="32"/>
          <w:szCs w:val="32"/>
        </w:rPr>
        <w:t>.</w:t>
      </w:r>
      <w:r w:rsidRPr="0049674D">
        <w:rPr>
          <w:rFonts w:ascii="Traditional Arabic" w:hAnsi="Traditional Arabic" w:cs="Traditional Arabic" w:hint="cs"/>
          <w:sz w:val="32"/>
          <w:szCs w:val="32"/>
          <w:rtl/>
        </w:rPr>
        <w:t>)</w:t>
      </w:r>
    </w:p>
    <w:p w14:paraId="3B80C168" w14:textId="77777777" w:rsidR="00447A5B" w:rsidRPr="0049674D" w:rsidRDefault="009474D8" w:rsidP="00447A5B">
      <w:pPr>
        <w:pStyle w:val="ListParagraph"/>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تحديد أبرز التحديات التي تواجه معلمي المرحلة الابتدائية في الاستفادة من برامج التنمية المهنية</w:t>
      </w:r>
      <w:r w:rsidRPr="0049674D">
        <w:rPr>
          <w:rFonts w:ascii="Traditional Arabic" w:hAnsi="Traditional Arabic" w:cs="Traditional Arabic"/>
          <w:sz w:val="32"/>
          <w:szCs w:val="32"/>
        </w:rPr>
        <w:t>.</w:t>
      </w:r>
    </w:p>
    <w:p w14:paraId="743A5EE0" w14:textId="77777777" w:rsidR="00447A5B" w:rsidRPr="0049674D" w:rsidRDefault="009474D8" w:rsidP="00447A5B">
      <w:pPr>
        <w:pStyle w:val="ListParagraph"/>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اقتراح سبل واستراتيجيات عملية لتعزيز فاعلية برامج التنمية المهنية بما يسهم في تطوير كفاءة المعلمين وتحسين جودة العملية التعليمية في مدارس مدينة الرياض</w:t>
      </w:r>
      <w:r w:rsidRPr="0049674D">
        <w:rPr>
          <w:rFonts w:ascii="Traditional Arabic" w:hAnsi="Traditional Arabic" w:cs="Traditional Arabic"/>
          <w:sz w:val="32"/>
          <w:szCs w:val="32"/>
        </w:rPr>
        <w:t>.</w:t>
      </w:r>
    </w:p>
    <w:p w14:paraId="3DD6B2A0" w14:textId="77777777" w:rsidR="00447A5B" w:rsidRPr="0049674D" w:rsidRDefault="00447A5B" w:rsidP="00447A5B">
      <w:pPr>
        <w:bidi/>
        <w:spacing w:line="360" w:lineRule="auto"/>
        <w:jc w:val="both"/>
        <w:rPr>
          <w:rFonts w:ascii="Traditional Arabic" w:eastAsia="DengXian Light" w:hAnsi="Traditional Arabic" w:cs="Traditional Arabic"/>
          <w:b/>
          <w:bCs/>
          <w:color w:val="000000"/>
          <w:sz w:val="36"/>
          <w:szCs w:val="36"/>
          <w:rtl/>
        </w:rPr>
      </w:pPr>
    </w:p>
    <w:p w14:paraId="77E62492" w14:textId="7E56B8EC" w:rsidR="008074A2" w:rsidRPr="0049674D" w:rsidRDefault="008074A2" w:rsidP="00447A5B">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DengXian Light" w:hAnsi="Traditional Arabic" w:cs="Traditional Arabic"/>
          <w:b/>
          <w:bCs/>
          <w:color w:val="000000"/>
          <w:sz w:val="36"/>
          <w:szCs w:val="36"/>
          <w:rtl/>
        </w:rPr>
        <w:t>فرضيات الدراسة</w:t>
      </w:r>
    </w:p>
    <w:p w14:paraId="4651FDB1" w14:textId="65E11291" w:rsidR="006907A8" w:rsidRPr="0049674D" w:rsidRDefault="006907A8"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توضح مجمل الأدبيات أن التنمية المهنية تلعب دورًا جوهريًا في رفع كفاءة المعلمين في مختلف أبعاد العملية التعليمية. وتؤكد الدراسات الميدانية داخل السعودية وخارجها على العلاقة الوثيقة بين كثافة البرامج التدريبية وجودة الأداء التدريسي، مع وجود فروق ذات دلالة إحصائية مرتبطة بالخبرة والمؤهل وعدد المشاركات. وبالتالي فإن الفرضيات التي وضعتها الدراسة تستند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شواهد علمية راسخة ودراسات سابقة تدعم صدقيتها وتبرر اختبارها ميدانيًا في سياق مدينة الرياض</w:t>
      </w:r>
      <w:r w:rsidRPr="0049674D">
        <w:rPr>
          <w:rFonts w:ascii="Traditional Arabic" w:eastAsia="Aptos" w:hAnsi="Traditional Arabic" w:cs="Traditional Arabic"/>
          <w:kern w:val="2"/>
          <w:sz w:val="32"/>
          <w:szCs w:val="32"/>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 </w:t>
      </w:r>
      <w:r w:rsidR="00104BA5" w:rsidRPr="0049674D">
        <w:rPr>
          <w:rFonts w:ascii="Traditional Arabic" w:eastAsia="Aptos" w:hAnsi="Traditional Arabic" w:cs="Traditional Arabic" w:hint="cs"/>
          <w:kern w:val="2"/>
          <w:sz w:val="32"/>
          <w:szCs w:val="32"/>
          <w:rtl/>
          <w14:ligatures w14:val="standardContextual"/>
        </w:rPr>
        <w:t>على سبيل المثال لا الحصر،</w:t>
      </w:r>
      <w:r w:rsidR="009E0862" w:rsidRPr="0049674D">
        <w:rPr>
          <w:rFonts w:ascii="Traditional Arabic" w:eastAsia="Aptos" w:hAnsi="Traditional Arabic" w:cs="Traditional Arabic"/>
          <w:kern w:val="2"/>
          <w:sz w:val="32"/>
          <w:szCs w:val="32"/>
          <w:rtl/>
          <w14:ligatures w14:val="standardContextual"/>
        </w:rPr>
        <w:t xml:space="preserve"> أظهرت دراسة </w:t>
      </w:r>
      <w:r w:rsidR="009E0862" w:rsidRPr="0049674D">
        <w:rPr>
          <w:rFonts w:ascii="Traditional Arabic" w:eastAsia="Aptos" w:hAnsi="Traditional Arabic" w:cs="Traditional Arabic"/>
          <w:kern w:val="2"/>
          <w:sz w:val="32"/>
          <w:szCs w:val="32"/>
          <w14:ligatures w14:val="standardContextual"/>
        </w:rPr>
        <w:t>Alamri, 2022)</w:t>
      </w:r>
      <w:r w:rsidR="009E0862" w:rsidRPr="0049674D">
        <w:rPr>
          <w:rFonts w:ascii="Traditional Arabic" w:eastAsia="Aptos" w:hAnsi="Traditional Arabic" w:cs="Traditional Arabic"/>
          <w:kern w:val="2"/>
          <w:sz w:val="32"/>
          <w:szCs w:val="32"/>
          <w:rtl/>
          <w14:ligatures w14:val="standardContextual"/>
        </w:rPr>
        <w:t xml:space="preserve">) في السعودية أن مستوى برامج تدريب المعلمين كان متوسطًا في حين كان مستوى الكفاءة التدريسية مرتفعًا، مع وجود علاقة ارتباطية موجبة ودالة بين مستوى البرامج ورفع الكفاءة التدريسية. وأكدت الدراسة أن تخطيط البرامج وتقييمها من أهم العوامل المؤثرة في كفاءة المعلمين، مما يدعم الفرضية القائلة بوجود </w:t>
      </w:r>
      <w:r w:rsidR="002610EF" w:rsidRPr="0049674D">
        <w:rPr>
          <w:rFonts w:ascii="Traditional Arabic" w:eastAsia="Aptos" w:hAnsi="Traditional Arabic" w:cs="Traditional Arabic"/>
          <w:kern w:val="2"/>
          <w:sz w:val="32"/>
          <w:szCs w:val="32"/>
          <w:rtl/>
          <w14:ligatures w14:val="standardContextual"/>
        </w:rPr>
        <w:t xml:space="preserve">علاقة ذات دلالة إحصائية بين التنمية المهنية والكفاءة التدريسية. كما توصلت دراسات أخرى مثل </w:t>
      </w:r>
      <w:r w:rsidR="002610EF" w:rsidRPr="0049674D">
        <w:rPr>
          <w:rFonts w:ascii="Traditional Arabic" w:eastAsia="Aptos" w:hAnsi="Traditional Arabic" w:cs="Traditional Arabic" w:hint="cs"/>
          <w:kern w:val="2"/>
          <w:sz w:val="32"/>
          <w:szCs w:val="32"/>
          <w:rtl/>
          <w14:ligatures w14:val="standardContextual"/>
        </w:rPr>
        <w:t>(</w:t>
      </w:r>
      <w:r w:rsidR="002610EF" w:rsidRPr="0049674D">
        <w:rPr>
          <w:rFonts w:ascii="Traditional Arabic" w:eastAsia="Aptos" w:hAnsi="Traditional Arabic" w:cs="Traditional Arabic"/>
          <w:kern w:val="2"/>
          <w:sz w:val="32"/>
          <w:szCs w:val="32"/>
          <w14:ligatures w14:val="standardContextual"/>
        </w:rPr>
        <w:t>Abu Ashour &amp; Al-Jarrah, 2021</w:t>
      </w:r>
      <w:r w:rsidR="002610EF" w:rsidRPr="0049674D">
        <w:rPr>
          <w:rFonts w:ascii="Traditional Arabic" w:eastAsia="Aptos" w:hAnsi="Traditional Arabic" w:cs="Traditional Arabic"/>
          <w:kern w:val="2"/>
          <w:sz w:val="32"/>
          <w:szCs w:val="32"/>
          <w:rtl/>
          <w14:ligatures w14:val="standardContextual"/>
        </w:rPr>
        <w:t xml:space="preserve">) في الأردن </w:t>
      </w:r>
      <w:r w:rsidR="00976DAD">
        <w:rPr>
          <w:rFonts w:ascii="Traditional Arabic" w:eastAsia="Aptos" w:hAnsi="Traditional Arabic" w:cs="Traditional Arabic"/>
          <w:kern w:val="2"/>
          <w:sz w:val="32"/>
          <w:szCs w:val="32"/>
          <w:rtl/>
          <w14:ligatures w14:val="standardContextual"/>
        </w:rPr>
        <w:t>إلى</w:t>
      </w:r>
      <w:r w:rsidR="002610EF" w:rsidRPr="0049674D">
        <w:rPr>
          <w:rFonts w:ascii="Traditional Arabic" w:eastAsia="Aptos" w:hAnsi="Traditional Arabic" w:cs="Traditional Arabic"/>
          <w:kern w:val="2"/>
          <w:sz w:val="32"/>
          <w:szCs w:val="32"/>
          <w:rtl/>
          <w14:ligatures w14:val="standardContextual"/>
        </w:rPr>
        <w:t xml:space="preserve"> أن فعالية البرامج التدريبية ترتبط إيجابيًا بأداء المعلمين </w:t>
      </w:r>
      <w:r w:rsidR="009E0862" w:rsidRPr="0049674D">
        <w:rPr>
          <w:rFonts w:ascii="Traditional Arabic" w:eastAsia="Aptos" w:hAnsi="Traditional Arabic" w:cs="Traditional Arabic"/>
          <w:kern w:val="2"/>
          <w:sz w:val="32"/>
          <w:szCs w:val="32"/>
          <w:rtl/>
          <w14:ligatures w14:val="standardContextual"/>
        </w:rPr>
        <w:t>الجدد، مما يعزز قوة هذا الترابط بين التطوير المهني وجودة الأداء التعليمي.</w:t>
      </w:r>
    </w:p>
    <w:p w14:paraId="5E41E2B9" w14:textId="77777777" w:rsidR="00A73BD3" w:rsidRPr="0049674D" w:rsidRDefault="00A73BD3"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بناء على ما سبق، يمكن صياغة الفرضية الرئيسية كالتالي:</w:t>
      </w:r>
    </w:p>
    <w:p w14:paraId="20A3C1BA" w14:textId="77777777" w:rsidR="00A73BD3" w:rsidRPr="0049674D" w:rsidRDefault="00A73BD3" w:rsidP="00A73BD3">
      <w:pPr>
        <w:bidi/>
        <w:spacing w:line="360" w:lineRule="auto"/>
        <w:jc w:val="both"/>
        <w:rPr>
          <w:rFonts w:ascii="Traditional Arabic" w:eastAsia="Aptos" w:hAnsi="Traditional Arabic" w:cs="Traditional Arabic"/>
          <w:b/>
          <w:bCs/>
          <w:kern w:val="2"/>
          <w:sz w:val="32"/>
          <w:szCs w:val="32"/>
          <w:rtl/>
          <w14:ligatures w14:val="standardContextual"/>
        </w:rPr>
      </w:pPr>
      <w:r w:rsidRPr="0049674D">
        <w:rPr>
          <w:rFonts w:ascii="Traditional Arabic" w:eastAsia="Aptos" w:hAnsi="Traditional Arabic" w:cs="Traditional Arabic"/>
          <w:b/>
          <w:bCs/>
          <w:kern w:val="2"/>
          <w:sz w:val="32"/>
          <w:szCs w:val="32"/>
          <w:lang w:bidi="ar-JO"/>
          <w14:ligatures w14:val="standardContextual"/>
        </w:rPr>
        <w:t>:H1</w:t>
      </w:r>
      <w:r w:rsidRPr="0049674D">
        <w:rPr>
          <w:rFonts w:ascii="Traditional Arabic" w:eastAsia="Aptos" w:hAnsi="Traditional Arabic" w:cs="Traditional Arabic"/>
          <w:b/>
          <w:bCs/>
          <w:kern w:val="2"/>
          <w:sz w:val="32"/>
          <w:szCs w:val="32"/>
          <w:rtl/>
          <w14:ligatures w14:val="standardContextual"/>
        </w:rPr>
        <w:t xml:space="preserve"> </w:t>
      </w:r>
      <w:r w:rsidRPr="0049674D">
        <w:rPr>
          <w:rFonts w:ascii="Traditional Arabic" w:eastAsia="Aptos" w:hAnsi="Traditional Arabic" w:cs="Traditional Arabic" w:hint="eastAsia"/>
          <w:b/>
          <w:bCs/>
          <w:kern w:val="2"/>
          <w:sz w:val="32"/>
          <w:szCs w:val="32"/>
          <w:rtl/>
          <w:lang w:bidi="ar-EG"/>
          <w14:ligatures w14:val="standardContextual"/>
        </w:rPr>
        <w:t>توجد</w:t>
      </w:r>
      <w:r w:rsidRPr="0049674D">
        <w:rPr>
          <w:rFonts w:ascii="Traditional Arabic" w:eastAsia="Aptos" w:hAnsi="Traditional Arabic" w:cs="Traditional Arabic"/>
          <w:b/>
          <w:bCs/>
          <w:kern w:val="2"/>
          <w:sz w:val="32"/>
          <w:szCs w:val="32"/>
          <w:rtl/>
          <w:lang w:bidi="ar-EG"/>
          <w14:ligatures w14:val="standardContextual"/>
        </w:rPr>
        <w:t xml:space="preserve"> علاقة ذات دلالة إحصائية بين برامج التنمية المهنية وكفاءة معلمي المرحلة الابتدائية في مدينة الرياض</w:t>
      </w:r>
      <w:r w:rsidRPr="0049674D">
        <w:rPr>
          <w:rFonts w:ascii="Traditional Arabic" w:eastAsia="Aptos" w:hAnsi="Traditional Arabic" w:cs="Traditional Arabic"/>
          <w:b/>
          <w:bCs/>
          <w:kern w:val="2"/>
          <w:sz w:val="32"/>
          <w:szCs w:val="32"/>
          <w:lang w:bidi="ar-JO"/>
          <w14:ligatures w14:val="standardContextual"/>
        </w:rPr>
        <w:t>.</w:t>
      </w:r>
    </w:p>
    <w:p w14:paraId="13E852FB" w14:textId="77777777" w:rsidR="005D4EED" w:rsidRDefault="005D4EED"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p>
    <w:p w14:paraId="60C91741" w14:textId="774F7B41" w:rsidR="009E0862" w:rsidRPr="0049674D" w:rsidRDefault="009E0862" w:rsidP="005D4EED">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أثبتت نتائج </w:t>
      </w:r>
      <w:r w:rsidRPr="0049674D">
        <w:rPr>
          <w:rFonts w:ascii="Traditional Arabic" w:eastAsia="Aptos" w:hAnsi="Traditional Arabic" w:cs="Traditional Arabic"/>
          <w:kern w:val="2"/>
          <w:sz w:val="32"/>
          <w:szCs w:val="32"/>
          <w14:ligatures w14:val="standardContextual"/>
        </w:rPr>
        <w:t>Ahmed et al. 2021)</w:t>
      </w:r>
      <w:r w:rsidRPr="0049674D">
        <w:rPr>
          <w:rFonts w:ascii="Traditional Arabic" w:eastAsia="Aptos" w:hAnsi="Traditional Arabic" w:cs="Traditional Arabic"/>
          <w:kern w:val="2"/>
          <w:sz w:val="32"/>
          <w:szCs w:val="32"/>
          <w:rtl/>
          <w14:ligatures w14:val="standardContextual"/>
        </w:rPr>
        <w:t xml:space="preserve">) أن المعلمين الذين شاركوا في برامج تطوير مهني تفاعلية أظهروا قدرة أكبر على تخطيط الدروس بمرونة ودمج التقنيات الحديثة في بيئة التعليم، مما ساعدهم </w:t>
      </w:r>
      <w:r w:rsidRPr="0049674D">
        <w:rPr>
          <w:rFonts w:ascii="Traditional Arabic" w:eastAsia="Aptos" w:hAnsi="Traditional Arabic" w:cs="Traditional Arabic"/>
          <w:kern w:val="2"/>
          <w:sz w:val="32"/>
          <w:szCs w:val="32"/>
          <w:rtl/>
          <w14:ligatures w14:val="standardContextual"/>
        </w:rPr>
        <w:lastRenderedPageBreak/>
        <w:t xml:space="preserve">على تحسين جودة التخطيط التدريسي. كما بينت دراسة </w:t>
      </w:r>
      <w:r w:rsidRPr="0049674D">
        <w:rPr>
          <w:rFonts w:ascii="Traditional Arabic" w:eastAsia="Aptos" w:hAnsi="Traditional Arabic" w:cs="Traditional Arabic"/>
          <w:kern w:val="2"/>
          <w:sz w:val="32"/>
          <w:szCs w:val="32"/>
          <w14:ligatures w14:val="standardContextual"/>
        </w:rPr>
        <w:t>Alshahrani &amp; Abu-Al</w:t>
      </w:r>
      <w:r w:rsidR="002610EF" w:rsidRPr="0049674D">
        <w:rPr>
          <w:rFonts w:ascii="Traditional Arabic" w:eastAsia="Aptos" w:hAnsi="Traditional Arabic" w:cs="Traditional Arabic"/>
          <w:kern w:val="2"/>
          <w:sz w:val="32"/>
          <w:szCs w:val="32"/>
          <w14:ligatures w14:val="standardContextual"/>
        </w:rPr>
        <w:t xml:space="preserve">ghayth, </w:t>
      </w:r>
      <w:r w:rsidRPr="0049674D">
        <w:rPr>
          <w:rFonts w:ascii="Traditional Arabic" w:eastAsia="Aptos" w:hAnsi="Traditional Arabic" w:cs="Traditional Arabic"/>
          <w:kern w:val="2"/>
          <w:sz w:val="32"/>
          <w:szCs w:val="32"/>
          <w14:ligatures w14:val="standardContextual"/>
        </w:rPr>
        <w:t>2023</w:t>
      </w:r>
      <w:r w:rsidR="002610EF"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kern w:val="2"/>
          <w:sz w:val="32"/>
          <w:szCs w:val="32"/>
          <w:rtl/>
          <w14:ligatures w14:val="standardContextual"/>
        </w:rPr>
        <w:t xml:space="preserve">) أن التدريب المستمر يمكّن المعلمين من بناء خطط تدريس أكثر اتساقًا مع احتياجات الطلاب وأهداف المناهج،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الأولى</w:t>
      </w:r>
      <w:r w:rsidR="002610EF" w:rsidRPr="0049674D">
        <w:rPr>
          <w:rFonts w:ascii="Traditional Arabic" w:eastAsia="Aptos" w:hAnsi="Traditional Arabic" w:cs="Traditional Arabic" w:hint="cs"/>
          <w:kern w:val="2"/>
          <w:sz w:val="32"/>
          <w:szCs w:val="32"/>
          <w:rtl/>
          <w14:ligatures w14:val="standardContextual"/>
        </w:rPr>
        <w:t xml:space="preserve"> كالتالي:</w:t>
      </w:r>
    </w:p>
    <w:p w14:paraId="08F7711F" w14:textId="522963B9" w:rsidR="00A73BD3"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b/>
          <w:bCs/>
          <w:kern w:val="2"/>
          <w:sz w:val="32"/>
          <w:szCs w:val="32"/>
          <w:lang w:bidi="ar-JO"/>
          <w14:ligatures w14:val="standardContextual"/>
        </w:rPr>
        <w:t>H1.1</w:t>
      </w:r>
      <w:r w:rsidRPr="0049674D">
        <w:rPr>
          <w:rFonts w:ascii="Traditional Arabic" w:eastAsia="Aptos" w:hAnsi="Traditional Arabic" w:cs="Traditional Arabic"/>
          <w:b/>
          <w:bCs/>
          <w:kern w:val="2"/>
          <w:sz w:val="32"/>
          <w:szCs w:val="32"/>
          <w:rtl/>
          <w:lang w:bidi="ar-JO"/>
          <w14:ligatures w14:val="standardContextual"/>
        </w:rPr>
        <w:t>:</w:t>
      </w:r>
      <w:r w:rsidR="00A73BD3" w:rsidRPr="0049674D">
        <w:rPr>
          <w:rFonts w:ascii="Traditional Arabic" w:eastAsia="Aptos" w:hAnsi="Traditional Arabic" w:cs="Traditional Arabic"/>
          <w:kern w:val="2"/>
          <w:sz w:val="32"/>
          <w:szCs w:val="32"/>
          <w:rtl/>
          <w14:ligatures w14:val="standardContextual"/>
        </w:rPr>
        <w:t xml:space="preserve"> هناك علاقة إيجابية ذات دلالة إحصائية بين التنمية المهنية ومستوى كفاءة المعلمين في التخطيط التدريسي</w:t>
      </w:r>
      <w:r w:rsidR="00A73BD3" w:rsidRPr="0049674D">
        <w:rPr>
          <w:rFonts w:ascii="Traditional Arabic" w:eastAsia="Aptos" w:hAnsi="Traditional Arabic" w:cs="Traditional Arabic"/>
          <w:kern w:val="2"/>
          <w:sz w:val="32"/>
          <w:szCs w:val="32"/>
          <w:lang w:bidi="ar-JO"/>
          <w14:ligatures w14:val="standardContextual"/>
        </w:rPr>
        <w:t>.</w:t>
      </w:r>
    </w:p>
    <w:p w14:paraId="715E2F8A"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4552AE9A" w14:textId="52C421A0" w:rsidR="002610EF" w:rsidRPr="0049674D" w:rsidRDefault="002610EF"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تُظهر نتائج </w:t>
      </w:r>
      <w:r w:rsidRPr="0049674D">
        <w:rPr>
          <w:rFonts w:ascii="Traditional Arabic" w:eastAsia="Aptos" w:hAnsi="Traditional Arabic" w:cs="Traditional Arabic"/>
          <w:kern w:val="2"/>
          <w:sz w:val="32"/>
          <w:szCs w:val="32"/>
          <w14:ligatures w14:val="standardContextual"/>
        </w:rPr>
        <w:t>Jamal et al. 2023</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xml:space="preserve">) في باكستان أن المعلمين الذين تلقوا تدريبًا مهنيًا منتظمًا أظهروا تحسنًا ملحوظًا في مهارات إدارة الصف، وخاصة في التعامل مع السلوكيات الطلابية وتنظيم بيئة التعلم، وهو ما يثبت أن التنمية المهنية ترفع كفاءة المعلمين في هذا المجال. كما تدعم دراسة </w:t>
      </w:r>
      <w:r w:rsidRPr="0049674D">
        <w:rPr>
          <w:rFonts w:ascii="Traditional Arabic" w:eastAsia="Aptos" w:hAnsi="Traditional Arabic" w:cs="Traditional Arabic"/>
          <w:kern w:val="2"/>
          <w:sz w:val="32"/>
          <w:szCs w:val="32"/>
          <w14:ligatures w14:val="standardContextual"/>
        </w:rPr>
        <w:t>Alsamiri, 2024)</w:t>
      </w:r>
      <w:r w:rsidRPr="0049674D">
        <w:rPr>
          <w:rFonts w:ascii="Traditional Arabic" w:eastAsia="Aptos" w:hAnsi="Traditional Arabic" w:cs="Traditional Arabic"/>
          <w:kern w:val="2"/>
          <w:sz w:val="32"/>
          <w:szCs w:val="32"/>
          <w:rtl/>
          <w14:ligatures w14:val="standardContextual"/>
        </w:rPr>
        <w:t xml:space="preserve">) في السعودية هذا الاتجاه من خلال تأكيدها على أن التدريب المستمر يعزز قدرة المعلمين على خلق بيئة صفية محفزة قائمة على التفاعل الإيجابي والانضباط.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ثانية كالتالي:</w:t>
      </w:r>
    </w:p>
    <w:p w14:paraId="17BB74CD" w14:textId="611D4416" w:rsidR="00A73BD3" w:rsidRPr="0049674D" w:rsidRDefault="00447A5B"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b/>
          <w:bCs/>
          <w:kern w:val="2"/>
          <w:sz w:val="32"/>
          <w:szCs w:val="32"/>
          <w:lang w:bidi="ar-JO"/>
          <w14:ligatures w14:val="standardContextual"/>
        </w:rPr>
        <w:t>H1.2</w:t>
      </w:r>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00A73BD3"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إدارة الصف</w:t>
      </w:r>
      <w:r w:rsidR="00A73BD3" w:rsidRPr="0049674D">
        <w:rPr>
          <w:rFonts w:ascii="Traditional Arabic" w:eastAsia="Aptos" w:hAnsi="Traditional Arabic" w:cs="Traditional Arabic"/>
          <w:kern w:val="2"/>
          <w:sz w:val="32"/>
          <w:szCs w:val="32"/>
          <w:lang w:bidi="ar-JO"/>
          <w14:ligatures w14:val="standardContextual"/>
        </w:rPr>
        <w:t>.</w:t>
      </w:r>
    </w:p>
    <w:p w14:paraId="600AE592"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1D15F5B2" w14:textId="128FC3A4"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أظهرت نتائج دراسة </w:t>
      </w:r>
      <w:r w:rsidRPr="0049674D">
        <w:rPr>
          <w:rFonts w:ascii="Traditional Arabic" w:eastAsia="Aptos" w:hAnsi="Traditional Arabic" w:cs="Traditional Arabic"/>
          <w:kern w:val="2"/>
          <w:sz w:val="32"/>
          <w:szCs w:val="32"/>
          <w14:ligatures w14:val="standardContextual"/>
        </w:rPr>
        <w:t xml:space="preserve">Duraku et al. (2022) </w:t>
      </w:r>
      <w:r w:rsidR="00104BA5"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في ألبانيا أن برامج التنمية المهنية القائمة على التدريب العملي حسّنت من مهارات المعلمين في استخدام أدوات التقويم الحديثة وقياس تحصيل الطلبة بفاعلية. وتتفق هذه النتائج مع ما خلصت إليه دراسة </w:t>
      </w:r>
      <w:r w:rsidRPr="0049674D">
        <w:rPr>
          <w:rFonts w:ascii="Traditional Arabic" w:eastAsia="Aptos" w:hAnsi="Traditional Arabic" w:cs="Traditional Arabic"/>
          <w:kern w:val="2"/>
          <w:sz w:val="32"/>
          <w:szCs w:val="32"/>
          <w14:ligatures w14:val="standardContextual"/>
        </w:rPr>
        <w:t>Alamri, 2022</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xml:space="preserve">) في السعودية التي </w:t>
      </w:r>
      <w:r w:rsidRPr="0049674D">
        <w:rPr>
          <w:rFonts w:ascii="Traditional Arabic" w:eastAsia="Aptos" w:hAnsi="Traditional Arabic" w:cs="Traditional Arabic"/>
          <w:kern w:val="2"/>
          <w:sz w:val="32"/>
          <w:szCs w:val="32"/>
          <w:rtl/>
          <w14:ligatures w14:val="standardContextual"/>
        </w:rPr>
        <w:lastRenderedPageBreak/>
        <w:t>بينت أن أحد المجالات التي استفاد منها المعلمون بعد التدريب هو تطوير أدوات التقويم وأساليبه بما يعزز دقة التقييم ويخدم الأهداف التعليمية</w:t>
      </w:r>
      <w:r w:rsidRPr="0049674D">
        <w:rPr>
          <w:rFonts w:ascii="Traditional Arabic" w:eastAsia="Aptos" w:hAnsi="Traditional Arabic" w:cs="Traditional Arabic" w:hint="cs"/>
          <w:kern w:val="2"/>
          <w:sz w:val="32"/>
          <w:szCs w:val="32"/>
          <w:rtl/>
          <w14:ligatures w14:val="standardContextual"/>
        </w:rPr>
        <w:t xml:space="preserve">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ثالثة كالتالي:</w:t>
      </w:r>
    </w:p>
    <w:p w14:paraId="0D7C9B57" w14:textId="6D6E89C5" w:rsidR="00A73BD3" w:rsidRPr="0049674D" w:rsidRDefault="00A73BD3"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lang w:bidi="ar-AE"/>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H1.3</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التقويم التعليمي</w:t>
      </w:r>
      <w:r w:rsidRPr="0049674D">
        <w:rPr>
          <w:rFonts w:ascii="Traditional Arabic" w:eastAsia="Aptos" w:hAnsi="Traditional Arabic" w:cs="Traditional Arabic"/>
          <w:kern w:val="2"/>
          <w:sz w:val="32"/>
          <w:szCs w:val="32"/>
          <w:lang w:bidi="ar-JO"/>
          <w14:ligatures w14:val="standardContextual"/>
        </w:rPr>
        <w:t>.</w:t>
      </w:r>
    </w:p>
    <w:p w14:paraId="031E2F24"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22976D3C" w14:textId="30513702"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أكدت دراسة </w:t>
      </w:r>
      <w:r w:rsidRPr="0049674D">
        <w:rPr>
          <w:rFonts w:ascii="Traditional Arabic" w:eastAsia="Aptos" w:hAnsi="Traditional Arabic" w:cs="Traditional Arabic" w:hint="cs"/>
          <w:kern w:val="2"/>
          <w:sz w:val="32"/>
          <w:szCs w:val="32"/>
          <w:rtl/>
          <w14:ligatures w14:val="standardContextual"/>
        </w:rPr>
        <w:t>(</w:t>
      </w:r>
      <w:r w:rsidRPr="0049674D">
        <w:rPr>
          <w:rFonts w:ascii="Traditional Arabic" w:eastAsia="Aptos" w:hAnsi="Traditional Arabic" w:cs="Traditional Arabic"/>
          <w:kern w:val="2"/>
          <w:sz w:val="32"/>
          <w:szCs w:val="32"/>
          <w14:ligatures w14:val="standardContextual"/>
        </w:rPr>
        <w:t>Alsamiri, 2024</w:t>
      </w:r>
      <w:r w:rsidRPr="0049674D">
        <w:rPr>
          <w:rFonts w:ascii="Traditional Arabic" w:eastAsia="Aptos" w:hAnsi="Traditional Arabic" w:cs="Traditional Arabic"/>
          <w:kern w:val="2"/>
          <w:sz w:val="32"/>
          <w:szCs w:val="32"/>
          <w:rtl/>
          <w14:ligatures w14:val="standardContextual"/>
        </w:rPr>
        <w:t xml:space="preserve">) أن برامج التنمية المهنية القائمة على تبادل الخبرات والمجتمعات التعليمية المهنية كان لها أثر مباشر في رفع مستوى تواصل المعلمين مع الطلاب وتفاعلهم داخل الصف. كما بينت دراسة </w:t>
      </w:r>
      <w:r w:rsidRPr="0049674D">
        <w:rPr>
          <w:rFonts w:ascii="Traditional Arabic" w:eastAsia="Aptos" w:hAnsi="Traditional Arabic" w:cs="Traditional Arabic" w:hint="cs"/>
          <w:kern w:val="2"/>
          <w:sz w:val="32"/>
          <w:szCs w:val="32"/>
          <w:rtl/>
          <w14:ligatures w14:val="standardContextual"/>
        </w:rPr>
        <w:t>(</w:t>
      </w:r>
      <w:r w:rsidRPr="0049674D">
        <w:rPr>
          <w:rFonts w:ascii="Traditional Arabic" w:eastAsia="Aptos" w:hAnsi="Traditional Arabic" w:cs="Traditional Arabic"/>
          <w:kern w:val="2"/>
          <w:sz w:val="32"/>
          <w:szCs w:val="32"/>
          <w14:ligatures w14:val="standardContextual"/>
        </w:rPr>
        <w:t>Alshahrani &amp; Abu-Alghayth, 2023</w:t>
      </w:r>
      <w:r w:rsidRPr="0049674D">
        <w:rPr>
          <w:rFonts w:ascii="Traditional Arabic" w:eastAsia="Aptos" w:hAnsi="Traditional Arabic" w:cs="Traditional Arabic"/>
          <w:kern w:val="2"/>
          <w:sz w:val="32"/>
          <w:szCs w:val="32"/>
          <w:rtl/>
          <w14:ligatures w14:val="standardContextual"/>
        </w:rPr>
        <w:t>) أن التنمية المهنية تسهم في تعزيز مهارات التواصل الفعّال لدى المعلمين، مما يجعلهم أكثر قدرة على تهيئة بيئة تعليمية تفاعلية. تدعم هذه النتائج الفرضية الفرعية التي تفترض وجود علاقة إيجابية بين التنمية المهنية وكفاءة المعلمين في التواص</w:t>
      </w:r>
      <w:r w:rsidRPr="0049674D">
        <w:rPr>
          <w:rFonts w:ascii="Traditional Arabic" w:eastAsia="Aptos" w:hAnsi="Traditional Arabic" w:cs="Traditional Arabic" w:hint="cs"/>
          <w:kern w:val="2"/>
          <w:sz w:val="32"/>
          <w:szCs w:val="32"/>
          <w:rtl/>
          <w14:ligatures w14:val="standardContextual"/>
        </w:rPr>
        <w:t>ل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رابعة كالتالي:</w:t>
      </w:r>
    </w:p>
    <w:p w14:paraId="00601B4C" w14:textId="07EFF1D1" w:rsidR="00A73BD3" w:rsidRPr="0049674D" w:rsidRDefault="00A73BD3" w:rsidP="002610EF">
      <w:pPr>
        <w:bidi/>
        <w:spacing w:line="360" w:lineRule="auto"/>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b/>
          <w:bCs/>
          <w:kern w:val="2"/>
          <w:sz w:val="32"/>
          <w:szCs w:val="32"/>
          <w:rtl/>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H1.4</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التواصل والتفاعل مع الطلاب.</w:t>
      </w:r>
    </w:p>
    <w:p w14:paraId="6CC5F092"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14:ligatures w14:val="standardContextual"/>
        </w:rPr>
      </w:pPr>
    </w:p>
    <w:p w14:paraId="36F0483B" w14:textId="303BED85" w:rsidR="00104BA5"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AE"/>
          <w14:ligatures w14:val="standardContextual"/>
        </w:rPr>
      </w:pPr>
      <w:r w:rsidRPr="0049674D">
        <w:rPr>
          <w:rFonts w:ascii="Traditional Arabic" w:eastAsia="Aptos" w:hAnsi="Traditional Arabic" w:cs="Traditional Arabic"/>
          <w:kern w:val="2"/>
          <w:sz w:val="32"/>
          <w:szCs w:val="32"/>
          <w:rtl/>
          <w14:ligatures w14:val="standardContextual"/>
        </w:rPr>
        <w:t xml:space="preserve">أظهرت </w:t>
      </w:r>
      <w:r w:rsidR="00104BA5" w:rsidRPr="0049674D">
        <w:rPr>
          <w:rFonts w:ascii="Traditional Arabic" w:eastAsia="Aptos" w:hAnsi="Traditional Arabic" w:cs="Traditional Arabic"/>
          <w:kern w:val="2"/>
          <w:sz w:val="32"/>
          <w:szCs w:val="32"/>
          <w:rtl/>
          <w14:ligatures w14:val="standardContextual"/>
        </w:rPr>
        <w:t xml:space="preserve">نتائج </w:t>
      </w:r>
      <w:r w:rsidR="00104BA5" w:rsidRPr="0049674D">
        <w:rPr>
          <w:rFonts w:ascii="Traditional Arabic" w:eastAsia="Aptos" w:hAnsi="Traditional Arabic" w:cs="Traditional Arabic"/>
          <w:kern w:val="2"/>
          <w:sz w:val="32"/>
          <w:szCs w:val="32"/>
          <w14:ligatures w14:val="standardContextual"/>
        </w:rPr>
        <w:t>Jamal et al. 2023)</w:t>
      </w:r>
      <w:r w:rsidR="00104BA5" w:rsidRPr="0049674D">
        <w:rPr>
          <w:rFonts w:ascii="Traditional Arabic" w:eastAsia="Aptos" w:hAnsi="Traditional Arabic" w:cs="Traditional Arabic"/>
          <w:kern w:val="2"/>
          <w:sz w:val="32"/>
          <w:szCs w:val="32"/>
          <w:rtl/>
          <w14:ligatures w14:val="standardContextual"/>
        </w:rPr>
        <w:t xml:space="preserve">) أن المعلمين الذين شاركوا أكثر من مرة في برامج التنمية المهنية سجلوا مستويات أعلى من الكفاءة </w:t>
      </w:r>
      <w:r w:rsidRPr="0049674D">
        <w:rPr>
          <w:rFonts w:ascii="Traditional Arabic" w:eastAsia="Aptos" w:hAnsi="Traditional Arabic" w:cs="Traditional Arabic"/>
          <w:kern w:val="2"/>
          <w:sz w:val="32"/>
          <w:szCs w:val="32"/>
          <w:rtl/>
          <w14:ligatures w14:val="standardContextual"/>
        </w:rPr>
        <w:t xml:space="preserve">في الأداء مقارنة بغيرهم، مع فروق ذات دلالة إحصائية بين المجموعات بحسب عدد المشاركات. ويشير ذلك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أن تكرار الانخراط في التدريب يسهم في تراكم الخبرات وتحسين الأداء الوظيفي، 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الخامسة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3B0FDF31" w14:textId="4366D091" w:rsidR="00104BA5" w:rsidRPr="0049674D" w:rsidRDefault="00104BA5" w:rsidP="00104BA5">
      <w:pPr>
        <w:bidi/>
        <w:spacing w:line="360" w:lineRule="auto"/>
        <w:jc w:val="both"/>
        <w:rPr>
          <w:rFonts w:ascii="Traditional Arabic" w:eastAsia="Aptos" w:hAnsi="Traditional Arabic" w:cs="Traditional Arabic"/>
          <w:kern w:val="2"/>
          <w:sz w:val="32"/>
          <w:szCs w:val="32"/>
          <w:lang w:bidi="ar-AE"/>
          <w14:ligatures w14:val="standardContextual"/>
        </w:rPr>
      </w:pPr>
      <w:r w:rsidRPr="0049674D">
        <w:rPr>
          <w:rFonts w:ascii="Traditional Arabic" w:eastAsia="Aptos" w:hAnsi="Traditional Arabic" w:cs="Traditional Arabic"/>
          <w:b/>
          <w:bCs/>
          <w:kern w:val="2"/>
          <w:sz w:val="32"/>
          <w:szCs w:val="32"/>
          <w:lang w:bidi="ar-AE"/>
          <w14:ligatures w14:val="standardContextual"/>
        </w:rPr>
        <w:lastRenderedPageBreak/>
        <w:t>H1.5</w:t>
      </w:r>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AE"/>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 xml:space="preserve">توجد فروق ذات دلالة إحصائية في كفاءة معلمي المرحلة الابتدائية تُعزى </w:t>
      </w:r>
      <w:r w:rsidR="00976DAD">
        <w:rPr>
          <w:rFonts w:ascii="Traditional Arabic" w:eastAsia="Aptos" w:hAnsi="Traditional Arabic" w:cs="Traditional Arabic"/>
          <w:kern w:val="2"/>
          <w:sz w:val="32"/>
          <w:szCs w:val="32"/>
          <w:rtl/>
          <w:lang w:bidi="ar-AE"/>
          <w14:ligatures w14:val="standardContextual"/>
        </w:rPr>
        <w:t>إلى</w:t>
      </w:r>
      <w:r w:rsidRPr="0049674D">
        <w:rPr>
          <w:rFonts w:ascii="Traditional Arabic" w:eastAsia="Aptos" w:hAnsi="Traditional Arabic" w:cs="Traditional Arabic"/>
          <w:kern w:val="2"/>
          <w:sz w:val="32"/>
          <w:szCs w:val="32"/>
          <w:rtl/>
          <w:lang w:bidi="ar-AE"/>
          <w14:ligatures w14:val="standardContextual"/>
        </w:rPr>
        <w:t xml:space="preserve"> عدد مشاركاتهم في برامج التنمية المهنية.</w:t>
      </w:r>
    </w:p>
    <w:p w14:paraId="341B700F"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AE"/>
          <w14:ligatures w14:val="standardContextual"/>
        </w:rPr>
      </w:pPr>
    </w:p>
    <w:p w14:paraId="52CA0383" w14:textId="6D10EE43"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استكشفت </w:t>
      </w:r>
      <w:r w:rsidR="00104BA5" w:rsidRPr="0049674D">
        <w:rPr>
          <w:rFonts w:ascii="Traditional Arabic" w:eastAsia="Aptos" w:hAnsi="Traditional Arabic" w:cs="Traditional Arabic"/>
          <w:kern w:val="2"/>
          <w:sz w:val="32"/>
          <w:szCs w:val="32"/>
          <w:rtl/>
          <w14:ligatures w14:val="standardContextual"/>
        </w:rPr>
        <w:t xml:space="preserve">دراسة </w:t>
      </w:r>
      <w:r w:rsidR="00104BA5" w:rsidRPr="0049674D">
        <w:rPr>
          <w:rFonts w:ascii="Traditional Arabic" w:eastAsia="Aptos" w:hAnsi="Traditional Arabic" w:cs="Traditional Arabic" w:hint="cs"/>
          <w:kern w:val="2"/>
          <w:sz w:val="32"/>
          <w:szCs w:val="32"/>
          <w:rtl/>
          <w14:ligatures w14:val="standardContextual"/>
        </w:rPr>
        <w:t>(</w:t>
      </w:r>
      <w:r w:rsidR="00104BA5" w:rsidRPr="0049674D">
        <w:rPr>
          <w:rFonts w:ascii="Traditional Arabic" w:eastAsia="Aptos" w:hAnsi="Traditional Arabic" w:cs="Traditional Arabic"/>
          <w:kern w:val="2"/>
          <w:sz w:val="32"/>
          <w:szCs w:val="32"/>
          <w14:ligatures w14:val="standardContextual"/>
        </w:rPr>
        <w:t>Alshahrani &amp; Abu-Alghayth, 2023</w:t>
      </w:r>
      <w:r w:rsidR="00104BA5" w:rsidRPr="0049674D">
        <w:rPr>
          <w:rFonts w:ascii="Traditional Arabic" w:eastAsia="Aptos" w:hAnsi="Traditional Arabic" w:cs="Traditional Arabic"/>
          <w:kern w:val="2"/>
          <w:sz w:val="32"/>
          <w:szCs w:val="32"/>
          <w:rtl/>
          <w14:ligatures w14:val="standardContextual"/>
        </w:rPr>
        <w:t xml:space="preserve">) أثر المتغيرات الشخصية على فاعلية التنمية المهنية، وأظهرت أن الاختلافات في الخبرة والمؤهل العلمي قد تؤثر في مدى استفادة المعلمين من البرامج التدريبية، بينما لم تكن الفروق المرتبطة بالجنس ذات دلالة إحصائية كبيرة. هذه النتائج تتفق مع ما توصلت إليه دراسة </w:t>
      </w:r>
      <w:r w:rsidR="00104BA5" w:rsidRPr="0049674D">
        <w:rPr>
          <w:rFonts w:ascii="Traditional Arabic" w:eastAsia="Aptos" w:hAnsi="Traditional Arabic" w:cs="Traditional Arabic" w:hint="cs"/>
          <w:kern w:val="2"/>
          <w:sz w:val="32"/>
          <w:szCs w:val="32"/>
          <w:rtl/>
          <w14:ligatures w14:val="standardContextual"/>
        </w:rPr>
        <w:t>(</w:t>
      </w:r>
      <w:r w:rsidR="00104BA5" w:rsidRPr="0049674D">
        <w:rPr>
          <w:rFonts w:ascii="Traditional Arabic" w:eastAsia="Aptos" w:hAnsi="Traditional Arabic" w:cs="Traditional Arabic"/>
          <w:kern w:val="2"/>
          <w:sz w:val="32"/>
          <w:szCs w:val="32"/>
          <w14:ligatures w14:val="standardContextual"/>
        </w:rPr>
        <w:t>Alamri</w:t>
      </w:r>
      <w:r w:rsidR="00104BA5" w:rsidRPr="0049674D">
        <w:rPr>
          <w:rFonts w:ascii="Traditional Arabic" w:eastAsia="Aptos" w:hAnsi="Traditional Arabic" w:cs="Traditional Arabic"/>
          <w:kern w:val="2"/>
          <w:sz w:val="32"/>
          <w:szCs w:val="32"/>
          <w:lang w:bidi="ar-AE"/>
          <w14:ligatures w14:val="standardContextual"/>
        </w:rPr>
        <w:t xml:space="preserve">, </w:t>
      </w:r>
      <w:r w:rsidR="00104BA5" w:rsidRPr="0049674D">
        <w:rPr>
          <w:rFonts w:ascii="Traditional Arabic" w:eastAsia="Aptos" w:hAnsi="Traditional Arabic" w:cs="Traditional Arabic"/>
          <w:kern w:val="2"/>
          <w:sz w:val="32"/>
          <w:szCs w:val="32"/>
          <w14:ligatures w14:val="standardContextual"/>
        </w:rPr>
        <w:t>2022</w:t>
      </w:r>
      <w:r w:rsidR="00104BA5" w:rsidRPr="0049674D">
        <w:rPr>
          <w:rFonts w:ascii="Traditional Arabic" w:eastAsia="Aptos" w:hAnsi="Traditional Arabic" w:cs="Traditional Arabic"/>
          <w:kern w:val="2"/>
          <w:sz w:val="32"/>
          <w:szCs w:val="32"/>
          <w:rtl/>
          <w14:ligatures w14:val="standardContextual"/>
        </w:rPr>
        <w:t xml:space="preserve">) التي لاحظت تباينًا في مستويات </w:t>
      </w:r>
      <w:r w:rsidRPr="0049674D">
        <w:rPr>
          <w:rFonts w:ascii="Traditional Arabic" w:eastAsia="Aptos" w:hAnsi="Traditional Arabic" w:cs="Traditional Arabic"/>
          <w:kern w:val="2"/>
          <w:sz w:val="32"/>
          <w:szCs w:val="32"/>
          <w:rtl/>
          <w14:ligatures w14:val="standardContextual"/>
        </w:rPr>
        <w:t>الكفاءة التدريسية تبعًا للمسمى الوظيفي والخبرة، مما يبرر أهمية در</w:t>
      </w:r>
      <w:r w:rsidR="00104BA5" w:rsidRPr="0049674D">
        <w:rPr>
          <w:rFonts w:ascii="Traditional Arabic" w:eastAsia="Aptos" w:hAnsi="Traditional Arabic" w:cs="Traditional Arabic"/>
          <w:kern w:val="2"/>
          <w:sz w:val="32"/>
          <w:szCs w:val="32"/>
          <w:rtl/>
          <w14:ligatures w14:val="standardContextual"/>
        </w:rPr>
        <w:t>اسة تأثير المتغيرات الديموغرافي</w:t>
      </w:r>
      <w:r w:rsidR="00104BA5" w:rsidRPr="0049674D">
        <w:rPr>
          <w:rFonts w:ascii="Traditional Arabic" w:eastAsia="Aptos" w:hAnsi="Traditional Arabic" w:cs="Traditional Arabic" w:hint="cs"/>
          <w:kern w:val="2"/>
          <w:sz w:val="32"/>
          <w:szCs w:val="32"/>
          <w:rtl/>
          <w14:ligatures w14:val="standardContextual"/>
        </w:rPr>
        <w:t>ة،</w:t>
      </w:r>
      <w:r w:rsidR="00104BA5" w:rsidRPr="0049674D">
        <w:rPr>
          <w:rFonts w:ascii="Traditional Arabic" w:eastAsia="Aptos" w:hAnsi="Traditional Arabic" w:cs="Traditional Arabic"/>
          <w:kern w:val="2"/>
          <w:sz w:val="32"/>
          <w:szCs w:val="32"/>
          <w:lang w:bidi="ar-JO"/>
          <w14:ligatures w14:val="standardContextual"/>
        </w:rPr>
        <w:t xml:space="preserve"> </w:t>
      </w:r>
      <w:r w:rsidR="00104BA5" w:rsidRPr="0049674D">
        <w:rPr>
          <w:rFonts w:ascii="Traditional Arabic" w:eastAsia="Aptos" w:hAnsi="Traditional Arabic" w:cs="Traditional Arabic"/>
          <w:kern w:val="2"/>
          <w:sz w:val="32"/>
          <w:szCs w:val="32"/>
          <w:rtl/>
          <w14:ligatures w14:val="standardContextual"/>
        </w:rPr>
        <w:t xml:space="preserve">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00104BA5" w:rsidRPr="0049674D">
        <w:rPr>
          <w:rFonts w:ascii="Traditional Arabic" w:eastAsia="Aptos" w:hAnsi="Traditional Arabic" w:cs="Traditional Arabic"/>
          <w:kern w:val="2"/>
          <w:sz w:val="32"/>
          <w:szCs w:val="32"/>
          <w:rtl/>
          <w14:ligatures w14:val="standardContextual"/>
        </w:rPr>
        <w:t>ال</w:t>
      </w:r>
      <w:r w:rsidR="00104BA5" w:rsidRPr="0049674D">
        <w:rPr>
          <w:rFonts w:ascii="Traditional Arabic" w:eastAsia="Aptos" w:hAnsi="Traditional Arabic" w:cs="Traditional Arabic" w:hint="cs"/>
          <w:kern w:val="2"/>
          <w:sz w:val="32"/>
          <w:szCs w:val="32"/>
          <w:rtl/>
          <w14:ligatures w14:val="standardContextual"/>
        </w:rPr>
        <w:t>سادسة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7A56638C"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b/>
          <w:bCs/>
          <w:kern w:val="2"/>
          <w:sz w:val="32"/>
          <w:szCs w:val="32"/>
          <w:lang w:bidi="ar-JO"/>
          <w14:ligatures w14:val="standardContextual"/>
        </w:rPr>
        <w:t>H1.6</w:t>
      </w:r>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تختلف كفاءة المعلمين في ضوء متغيرات (الجنس - سنوات الخبرة - المؤهل العلمي) عند مشاركتهم في برامج التنمية المهنية.</w:t>
      </w:r>
    </w:p>
    <w:p w14:paraId="4C4A45B4" w14:textId="20125100" w:rsidR="00D26EC1" w:rsidRDefault="00D26EC1"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2248AD77" w14:textId="77777777" w:rsidR="005D60BE"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593370B1" w14:textId="77777777" w:rsidR="005D60BE" w:rsidRPr="0049674D"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493277E7" w14:textId="2D112CA8" w:rsidR="005E1A75" w:rsidRPr="0049674D" w:rsidRDefault="008074A2" w:rsidP="00A73BD3">
      <w:pPr>
        <w:bidi/>
        <w:spacing w:after="200" w:line="360" w:lineRule="auto"/>
        <w:jc w:val="both"/>
        <w:rPr>
          <w:rFonts w:ascii="Traditional Arabic" w:eastAsia="Times New Roman" w:hAnsi="Traditional Arabic" w:cs="Traditional Arabic"/>
          <w:b/>
          <w:bCs/>
          <w:sz w:val="36"/>
          <w:szCs w:val="36"/>
          <w:rtl/>
        </w:rPr>
      </w:pPr>
      <w:r w:rsidRPr="0049674D">
        <w:rPr>
          <w:rFonts w:ascii="Traditional Arabic" w:eastAsia="Times New Roman" w:hAnsi="Traditional Arabic" w:cs="Traditional Arabic"/>
          <w:b/>
          <w:bCs/>
          <w:sz w:val="36"/>
          <w:szCs w:val="36"/>
          <w:rtl/>
        </w:rPr>
        <w:t>مفاهيم الدراسة والمصطلحات الاساسية</w:t>
      </w:r>
    </w:p>
    <w:p w14:paraId="54770A61" w14:textId="45E424E5" w:rsidR="0049674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أولًا: مصطلحات مرتبطة ببرامج التنمية المهنية</w:t>
      </w:r>
    </w:p>
    <w:p w14:paraId="5D28D7B0" w14:textId="1AAFBC1D" w:rsidR="005D4EED" w:rsidRPr="005D4EED" w:rsidRDefault="005D4EED" w:rsidP="005D4EED">
      <w:pPr>
        <w:pStyle w:val="ListParagraph"/>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برامج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البرامج والدورات وورش العمل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ورفع كفاءاتهم المهنية من خلال تحديث معارفهم وتعزيز ممارساتهم التدريسية</w:t>
      </w:r>
      <w:r w:rsidRPr="005D4EED">
        <w:rPr>
          <w:rFonts w:ascii="Traditional Arabic" w:eastAsia="Times New Roman" w:hAnsi="Traditional Arabic" w:cs="Traditional Arabic"/>
          <w:sz w:val="32"/>
          <w:szCs w:val="32"/>
        </w:rPr>
        <w:t>.</w:t>
      </w:r>
    </w:p>
    <w:p w14:paraId="01A33156" w14:textId="4C597A49" w:rsidR="005D4EED" w:rsidRPr="005D4EED" w:rsidRDefault="005D4EED" w:rsidP="005D4EED">
      <w:pPr>
        <w:pStyle w:val="ListParagraph"/>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برنامج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برنامج تدريبي محدد يستهدف جانبًا معينًا من جوانب الأداء التدريسي، مثل التخطيط، التقويم، أو إدارة الصف</w:t>
      </w:r>
      <w:r w:rsidRPr="005D4EED">
        <w:rPr>
          <w:rFonts w:ascii="Traditional Arabic" w:eastAsia="Times New Roman" w:hAnsi="Traditional Arabic" w:cs="Traditional Arabic"/>
          <w:sz w:val="32"/>
          <w:szCs w:val="32"/>
        </w:rPr>
        <w:t>.</w:t>
      </w:r>
    </w:p>
    <w:p w14:paraId="141D45F9" w14:textId="053E225E" w:rsidR="005D4EED" w:rsidRPr="005D4EED" w:rsidRDefault="005D4EED" w:rsidP="005D4EED">
      <w:pPr>
        <w:pStyle w:val="ListParagraph"/>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فعالية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مدى قدرة البرنامج التدريبي على تحقيق أهدافه وانعكاسه الفعلي على تحسين أداء المعلمين في المجالات المستهدفة</w:t>
      </w:r>
      <w:r w:rsidRPr="005D4EED">
        <w:rPr>
          <w:rFonts w:ascii="Traditional Arabic" w:eastAsia="Times New Roman" w:hAnsi="Traditional Arabic" w:cs="Traditional Arabic"/>
          <w:sz w:val="32"/>
          <w:szCs w:val="32"/>
        </w:rPr>
        <w:t>.</w:t>
      </w:r>
    </w:p>
    <w:p w14:paraId="49C2B19E" w14:textId="4FDA14FA" w:rsidR="005D4EED" w:rsidRPr="005D4EED" w:rsidRDefault="005D4EED" w:rsidP="005D4EED">
      <w:pPr>
        <w:pStyle w:val="ListParagraph"/>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التعلم المستمر</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مواصلة تطوير ذاته مهنيًا عبر التعلم الرسمي وغير الرسمي، وما يرافقه من اكتساب مهارات جديدة على نحو مستمر</w:t>
      </w:r>
      <w:r w:rsidRPr="005D4EED">
        <w:rPr>
          <w:rFonts w:ascii="Traditional Arabic" w:eastAsia="Times New Roman" w:hAnsi="Traditional Arabic" w:cs="Traditional Arabic"/>
          <w:sz w:val="32"/>
          <w:szCs w:val="32"/>
        </w:rPr>
        <w:t>.</w:t>
      </w:r>
    </w:p>
    <w:p w14:paraId="4D24DCEE" w14:textId="64C38C5B"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1A3C6AD5"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ثانيًا: مصطلحات مرتبطة بالمعلمين</w:t>
      </w:r>
    </w:p>
    <w:p w14:paraId="6690604F" w14:textId="578A82A2"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الكفاءة المهنية للمعلم</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مجموعة المهارات والمعارف والاتجاهات التي تمكن المعلم من تنفيذ عملية التدريس بفاعلية، وتشمل التخطيط، التدريس، التقويم، وإدارة الصف</w:t>
      </w:r>
      <w:r w:rsidRPr="005D4EED">
        <w:rPr>
          <w:rFonts w:ascii="Traditional Arabic" w:eastAsia="Times New Roman" w:hAnsi="Traditional Arabic" w:cs="Traditional Arabic"/>
          <w:sz w:val="32"/>
          <w:szCs w:val="32"/>
        </w:rPr>
        <w:t>.</w:t>
      </w:r>
    </w:p>
    <w:p w14:paraId="611D8E9F" w14:textId="1CE49B11"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المهارات التربوية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استخدام الأساليب التعليمية المناسبة، وتوظيف الوسائل التربوية التي تدعم تعلم الطلاب وتراعي الفروق الفردية</w:t>
      </w:r>
      <w:r w:rsidRPr="005D4EED">
        <w:rPr>
          <w:rFonts w:ascii="Traditional Arabic" w:eastAsia="Times New Roman" w:hAnsi="Traditional Arabic" w:cs="Traditional Arabic"/>
          <w:sz w:val="32"/>
          <w:szCs w:val="32"/>
        </w:rPr>
        <w:t>.</w:t>
      </w:r>
    </w:p>
    <w:p w14:paraId="720EC47D" w14:textId="69ABCAF2"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المعرفة التخصصية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إلمام المعلم بالمحتوى العلمي الخاص بمادته، وقدرته على توظيف هذا المحتوى في تصميم أنشطة تعليمية مناسبة</w:t>
      </w:r>
      <w:r w:rsidRPr="005D4EED">
        <w:rPr>
          <w:rFonts w:ascii="Traditional Arabic" w:eastAsia="Times New Roman" w:hAnsi="Traditional Arabic" w:cs="Traditional Arabic"/>
          <w:sz w:val="32"/>
          <w:szCs w:val="32"/>
        </w:rPr>
        <w:t>.</w:t>
      </w:r>
    </w:p>
    <w:p w14:paraId="5815D5AF" w14:textId="4A009D20"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المواقف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اتجاهات المعلم نحو مهنة التعليم والتزامه بالقيم المهنية وتفاعله الإيجابي مع الطلاب وزملائه</w:t>
      </w:r>
      <w:r w:rsidRPr="005D4EED">
        <w:rPr>
          <w:rFonts w:ascii="Traditional Arabic" w:eastAsia="Times New Roman" w:hAnsi="Traditional Arabic" w:cs="Traditional Arabic"/>
          <w:sz w:val="32"/>
          <w:szCs w:val="32"/>
        </w:rPr>
        <w:t>.</w:t>
      </w:r>
    </w:p>
    <w:p w14:paraId="776079DC" w14:textId="0CA2154D"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التخطيط التدريسي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إعداد خطط تعليمية واضحة ومتكاملة، تشمل تحديد الأهداف، اختيار المحتوى، تصميم الأنشطة، وربط الدرس بواقع الطلاب</w:t>
      </w:r>
      <w:r w:rsidRPr="005D4EED">
        <w:rPr>
          <w:rFonts w:ascii="Traditional Arabic" w:eastAsia="Times New Roman" w:hAnsi="Traditional Arabic" w:cs="Traditional Arabic"/>
          <w:sz w:val="32"/>
          <w:szCs w:val="32"/>
        </w:rPr>
        <w:t>.</w:t>
      </w:r>
    </w:p>
    <w:p w14:paraId="051F3F0A" w14:textId="1BD0B10E"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إدارة الصف</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تنظيم البيئة الصفية وضبط السلوك الطلابي بطريقة تتيح بيئة تعليمية آمنة ومحفزة</w:t>
      </w:r>
      <w:r w:rsidRPr="005D4EED">
        <w:rPr>
          <w:rFonts w:ascii="Traditional Arabic" w:eastAsia="Times New Roman" w:hAnsi="Traditional Arabic" w:cs="Traditional Arabic"/>
          <w:sz w:val="32"/>
          <w:szCs w:val="32"/>
        </w:rPr>
        <w:t>.</w:t>
      </w:r>
    </w:p>
    <w:p w14:paraId="21D72D5B" w14:textId="300C2A45"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التقويم التعليمي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قياس تعلم الطلاب باستخدام أدوات تقويم متنوعة، وتقديم تغذية راجعة تساعدهم على تحسين أدائهم</w:t>
      </w:r>
      <w:r w:rsidRPr="005D4EED">
        <w:rPr>
          <w:rFonts w:ascii="Traditional Arabic" w:eastAsia="Times New Roman" w:hAnsi="Traditional Arabic" w:cs="Traditional Arabic"/>
          <w:sz w:val="32"/>
          <w:szCs w:val="32"/>
        </w:rPr>
        <w:t>.</w:t>
      </w:r>
    </w:p>
    <w:p w14:paraId="3342BFB8" w14:textId="67134C21" w:rsid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التواصل والتفاعل مع الطلاب</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تمكن المعلم من بناء علاقات إيجابية مع الطلاب وتشجيع مشاركتهم، واستخدام استراتيجيات تواصل فعّالة داخل الصف</w:t>
      </w:r>
      <w:r w:rsidRPr="005D4EED">
        <w:rPr>
          <w:rFonts w:ascii="Traditional Arabic" w:eastAsia="Times New Roman" w:hAnsi="Traditional Arabic" w:cs="Traditional Arabic"/>
          <w:sz w:val="32"/>
          <w:szCs w:val="32"/>
        </w:rPr>
        <w:t>.</w:t>
      </w:r>
    </w:p>
    <w:p w14:paraId="6A5C70D1" w14:textId="77777777" w:rsidR="005D4EED" w:rsidRPr="005D4EED" w:rsidRDefault="005D4EED" w:rsidP="005D4EED">
      <w:pPr>
        <w:pStyle w:val="ListParagraph"/>
        <w:numPr>
          <w:ilvl w:val="0"/>
          <w:numId w:val="21"/>
        </w:numPr>
        <w:bidi/>
        <w:spacing w:after="200" w:line="360" w:lineRule="auto"/>
        <w:jc w:val="both"/>
        <w:rPr>
          <w:rFonts w:ascii="Traditional Arabic" w:eastAsia="Times New Roman" w:hAnsi="Traditional Arabic" w:cs="Traditional Arabic"/>
          <w:sz w:val="32"/>
          <w:szCs w:val="32"/>
        </w:rPr>
      </w:pPr>
    </w:p>
    <w:p w14:paraId="22C1BA41"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ثالثًا: مصطلحات مرتبطة بالقياس والتقييم</w:t>
      </w:r>
    </w:p>
    <w:p w14:paraId="623B838B" w14:textId="5D373935" w:rsidR="005D4EED" w:rsidRPr="005D4EED" w:rsidRDefault="005D4EED" w:rsidP="005D4EED">
      <w:pPr>
        <w:pStyle w:val="ListParagraph"/>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أثر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التغير الذي تحدثه برامج التنمية المهنية في أداء المعلم وكفاءته المهنية</w:t>
      </w:r>
      <w:r w:rsidRPr="005D4EED">
        <w:rPr>
          <w:rFonts w:ascii="Traditional Arabic" w:eastAsia="Times New Roman" w:hAnsi="Traditional Arabic" w:cs="Traditional Arabic"/>
          <w:sz w:val="32"/>
          <w:szCs w:val="32"/>
        </w:rPr>
        <w:t>.</w:t>
      </w:r>
    </w:p>
    <w:p w14:paraId="48D089E8" w14:textId="75758AEE" w:rsidR="005D4EED" w:rsidRPr="005D4EED" w:rsidRDefault="005D4EED" w:rsidP="005D4EED">
      <w:pPr>
        <w:pStyle w:val="ListParagraph"/>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المؤشرات الكمية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البيانات الرقمية الناتجة عن أدوات القياس، مثل المتوسطات والانحرافات، والتي تُستخدم لتقييم النتائج بصورة كمية</w:t>
      </w:r>
      <w:r w:rsidRPr="005D4EED">
        <w:rPr>
          <w:rFonts w:ascii="Traditional Arabic" w:eastAsia="Times New Roman" w:hAnsi="Traditional Arabic" w:cs="Traditional Arabic"/>
          <w:sz w:val="32"/>
          <w:szCs w:val="32"/>
        </w:rPr>
        <w:t>.</w:t>
      </w:r>
    </w:p>
    <w:p w14:paraId="6587245D" w14:textId="4268EB66" w:rsidR="005D4EED" w:rsidRPr="005D4EED" w:rsidRDefault="005D4EED" w:rsidP="005D4EED">
      <w:pPr>
        <w:pStyle w:val="ListParagraph"/>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المؤشرات النوعية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الملاحظات والتقييمات التي تعكس جودة الأداء التدريسي ومدى الاستفادة من البرامج التدريبية بصورة وصفية</w:t>
      </w:r>
      <w:r w:rsidRPr="005D4EED">
        <w:rPr>
          <w:rFonts w:ascii="Traditional Arabic" w:eastAsia="Times New Roman" w:hAnsi="Traditional Arabic" w:cs="Traditional Arabic"/>
          <w:sz w:val="32"/>
          <w:szCs w:val="32"/>
        </w:rPr>
        <w:t>.</w:t>
      </w:r>
    </w:p>
    <w:p w14:paraId="469EA937" w14:textId="3DAE54DD" w:rsidR="005D4EED" w:rsidRPr="005D4EED" w:rsidRDefault="005D4EED" w:rsidP="005D4EED">
      <w:pPr>
        <w:pStyle w:val="ListParagraph"/>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رضا المعلمين</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مدى رضا المعلمين عن محتوى البرامج المهنية وأساليب تنفيذها ومدى توافقها مع احتياجاتهم الفعلية</w:t>
      </w:r>
      <w:r w:rsidRPr="005D4EED">
        <w:rPr>
          <w:rFonts w:ascii="Traditional Arabic" w:eastAsia="Times New Roman" w:hAnsi="Traditional Arabic" w:cs="Traditional Arabic"/>
          <w:sz w:val="32"/>
          <w:szCs w:val="32"/>
        </w:rPr>
        <w:t>.</w:t>
      </w:r>
    </w:p>
    <w:p w14:paraId="4FCE6D9C" w14:textId="518488B4"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3D4FD037"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lastRenderedPageBreak/>
        <w:t>رابعًا: مصطلحات مرتبطة بالدراسة الميدانية والتحليل</w:t>
      </w:r>
    </w:p>
    <w:p w14:paraId="524C228A" w14:textId="2036C265" w:rsidR="005D4EED" w:rsidRPr="005D4EED" w:rsidRDefault="005D4EED" w:rsidP="005D4EED">
      <w:pPr>
        <w:pStyle w:val="ListParagraph"/>
        <w:numPr>
          <w:ilvl w:val="0"/>
          <w:numId w:val="23"/>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الدراسة الميدانية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جمع البيانات مباشرة من معلمي المرحلة الابتدائية في بيئة العمل بهدف فهم الواقع الفعلي للتنمية المهنية والكفاءة التدريسية</w:t>
      </w:r>
      <w:r w:rsidRPr="005D4EED">
        <w:rPr>
          <w:rFonts w:ascii="Traditional Arabic" w:eastAsia="Times New Roman" w:hAnsi="Traditional Arabic" w:cs="Traditional Arabic"/>
          <w:sz w:val="32"/>
          <w:szCs w:val="32"/>
        </w:rPr>
        <w:t>.</w:t>
      </w:r>
    </w:p>
    <w:p w14:paraId="49FCBEA6" w14:textId="77777777" w:rsidR="005D4EED" w:rsidRDefault="005D4EED" w:rsidP="005D4EED">
      <w:pPr>
        <w:pStyle w:val="ListParagraph"/>
        <w:numPr>
          <w:ilvl w:val="0"/>
          <w:numId w:val="23"/>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التحليل الإحصائي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استخدام الأساليب الإحصائية المناسبة لتحليل البيانات، مثل المتوسطات، الانحرافات المعيارية، والاختبارات الإحصائية، بهدف تفسير أثر التنمية المهنية على كفاءة المعلمين</w:t>
      </w:r>
      <w:r w:rsidRPr="005D4EED">
        <w:rPr>
          <w:rFonts w:ascii="Traditional Arabic" w:eastAsia="Times New Roman" w:hAnsi="Traditional Arabic" w:cs="Traditional Arabic"/>
          <w:sz w:val="32"/>
          <w:szCs w:val="32"/>
        </w:rPr>
        <w:t>.</w:t>
      </w:r>
    </w:p>
    <w:p w14:paraId="539E9E8D" w14:textId="77777777" w:rsidR="005D4EED" w:rsidRDefault="005D4EED" w:rsidP="005D4EED">
      <w:pPr>
        <w:pStyle w:val="ListParagraph"/>
        <w:bidi/>
        <w:spacing w:after="200" w:line="360" w:lineRule="auto"/>
        <w:jc w:val="both"/>
        <w:rPr>
          <w:rFonts w:ascii="Traditional Arabic" w:eastAsia="Times New Roman" w:hAnsi="Traditional Arabic" w:cs="Traditional Arabic"/>
          <w:sz w:val="32"/>
          <w:szCs w:val="32"/>
        </w:rPr>
      </w:pPr>
    </w:p>
    <w:p w14:paraId="2D491EA0" w14:textId="002AB702" w:rsidR="009043AB" w:rsidRDefault="008074A2" w:rsidP="005D4EED">
      <w:pPr>
        <w:bidi/>
        <w:spacing w:after="200" w:line="360" w:lineRule="auto"/>
        <w:jc w:val="both"/>
        <w:rPr>
          <w:rFonts w:ascii="Traditional Arabic" w:eastAsia="Times New Roman" w:hAnsi="Traditional Arabic" w:cs="Traditional Arabic"/>
          <w:b/>
          <w:bCs/>
          <w:sz w:val="36"/>
          <w:szCs w:val="36"/>
          <w:rtl/>
        </w:rPr>
      </w:pPr>
      <w:r w:rsidRPr="005D4EED">
        <w:rPr>
          <w:rFonts w:ascii="Traditional Arabic" w:eastAsia="Times New Roman" w:hAnsi="Traditional Arabic" w:cs="Traditional Arabic" w:hint="cs"/>
          <w:b/>
          <w:bCs/>
          <w:sz w:val="36"/>
          <w:szCs w:val="36"/>
          <w:rtl/>
        </w:rPr>
        <w:t>نموذج الدراسة</w:t>
      </w:r>
    </w:p>
    <w:p w14:paraId="19E1B2C7" w14:textId="6DE9FB77" w:rsidR="005D4EED" w:rsidRDefault="005D4EED" w:rsidP="005D4EED">
      <w:pPr>
        <w:bidi/>
        <w:spacing w:after="200" w:line="360" w:lineRule="auto"/>
        <w:ind w:firstLine="720"/>
        <w:jc w:val="both"/>
        <w:rPr>
          <w:rFonts w:ascii="Traditional Arabic" w:eastAsia="Times New Roman" w:hAnsi="Traditional Arabic" w:cs="Traditional Arabic"/>
          <w:sz w:val="32"/>
          <w:szCs w:val="32"/>
          <w:rtl/>
        </w:rPr>
      </w:pPr>
      <w:r w:rsidRPr="005D4EED">
        <w:rPr>
          <w:rFonts w:ascii="Traditional Arabic" w:eastAsia="Times New Roman" w:hAnsi="Traditional Arabic" w:cs="Traditional Arabic"/>
          <w:sz w:val="32"/>
          <w:szCs w:val="32"/>
          <w:rtl/>
        </w:rPr>
        <w:t xml:space="preserve">يبين الشكل رقم (١) النموذج المفاهيمي للدراسة، والذي يوضح العلاقة بين المتغيرات الرئيسة. حيث يمثل برامج التنمية المهنية المتغير المستقل في الدراسة، ويُقاس كمتغير كلي يشمل مختلف الأنشطة التدريبية الرسمية وغير الرسمية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أما الكفاءة التدريسية فتمثل المتغير التابع، وتتكون من أربعة أبعاد رئيسة هي: التخطيط التدريسي، وإدارة الصف، والتقويم التعليمي، والتواصل والتفاعل مع الطلاب. ويفترض النموذج وجود علاقة تأثير إيجابية ذات دلالة إحصائية بين برامج التنمية المهنية وهذه الأبعاد الأربعة للكفاءة التدريسية، كما يتضمن النموذج متغيرات ديموغرافية هي الجنس، وسنوات الخبرة، والمؤهل العلمي التي يُتوقع أن تُحدث فروقًا في مستوى الكفاءة التدريسية لدى المعلمين.</w:t>
      </w:r>
      <w:r w:rsidRPr="005D4EED">
        <w:rPr>
          <w:rFonts w:ascii="Traditional Arabic" w:eastAsia="Times New Roman" w:hAnsi="Traditional Arabic" w:cs="Traditional Arabic"/>
          <w:sz w:val="32"/>
          <w:szCs w:val="32"/>
        </w:rPr>
        <w:t xml:space="preserve"> </w:t>
      </w:r>
      <w:r w:rsidRPr="005D4EED">
        <w:rPr>
          <w:rFonts w:ascii="Traditional Arabic" w:eastAsia="Times New Roman" w:hAnsi="Traditional Arabic" w:cs="Traditional Arabic"/>
          <w:sz w:val="32"/>
          <w:szCs w:val="32"/>
          <w:rtl/>
        </w:rPr>
        <w:t>يعكس هذا النموذج الإطار النظري الذي استندت إليه الدراسة في صياغة فرضياتها واختيار منهجها وأدواتها الميدانية، بهدف تفسير العلاقة بين التنمية المهنية ورفع جودة الأداء التدريسي لدى معلمي المرحلة الابتدائية بمدينة الرياض.</w:t>
      </w:r>
    </w:p>
    <w:p w14:paraId="289F748B" w14:textId="77777777" w:rsidR="005D4EED" w:rsidRPr="005D4EED" w:rsidRDefault="005D4EED" w:rsidP="005D4EED">
      <w:pPr>
        <w:bidi/>
        <w:spacing w:after="200" w:line="360" w:lineRule="auto"/>
        <w:ind w:firstLine="720"/>
        <w:jc w:val="both"/>
        <w:rPr>
          <w:rFonts w:ascii="Traditional Arabic" w:eastAsia="Times New Roman" w:hAnsi="Traditional Arabic" w:cs="Traditional Arabic"/>
          <w:sz w:val="32"/>
          <w:szCs w:val="32"/>
          <w:rtl/>
          <w:lang w:bidi="ar-JO"/>
        </w:rPr>
      </w:pPr>
    </w:p>
    <w:p w14:paraId="00FE581F" w14:textId="63BFEFDF" w:rsidR="00A73BD3" w:rsidRPr="0049674D" w:rsidRDefault="009043AB" w:rsidP="00B6305B">
      <w:pPr>
        <w:bidi/>
        <w:spacing w:after="0" w:line="360" w:lineRule="auto"/>
        <w:jc w:val="both"/>
        <w:rPr>
          <w:rFonts w:ascii="Traditional Arabic" w:eastAsia="Times New Roman" w:hAnsi="Traditional Arabic" w:cs="Traditional Arabic"/>
          <w:b/>
          <w:bCs/>
          <w:sz w:val="36"/>
          <w:szCs w:val="36"/>
        </w:rPr>
      </w:pPr>
      <w:r w:rsidRPr="0049674D">
        <w:rPr>
          <w:noProof/>
        </w:rPr>
        <w:lastRenderedPageBreak/>
        <mc:AlternateContent>
          <mc:Choice Requires="wpg">
            <w:drawing>
              <wp:anchor distT="0" distB="0" distL="114300" distR="114300" simplePos="0" relativeHeight="251659264" behindDoc="0" locked="0" layoutInCell="1" allowOverlap="1" wp14:anchorId="691DF3BB" wp14:editId="556221BE">
                <wp:simplePos x="0" y="0"/>
                <wp:positionH relativeFrom="column">
                  <wp:posOffset>180975</wp:posOffset>
                </wp:positionH>
                <wp:positionV relativeFrom="paragraph">
                  <wp:posOffset>71120</wp:posOffset>
                </wp:positionV>
                <wp:extent cx="5208270" cy="3752215"/>
                <wp:effectExtent l="57150" t="38100" r="68580" b="95885"/>
                <wp:wrapNone/>
                <wp:docPr id="27" name="مجموعة 27"/>
                <wp:cNvGraphicFramePr/>
                <a:graphic xmlns:a="http://schemas.openxmlformats.org/drawingml/2006/main">
                  <a:graphicData uri="http://schemas.microsoft.com/office/word/2010/wordprocessingGroup">
                    <wpg:wgp>
                      <wpg:cNvGrpSpPr/>
                      <wpg:grpSpPr>
                        <a:xfrm>
                          <a:off x="0" y="0"/>
                          <a:ext cx="5208270" cy="3752215"/>
                          <a:chOff x="0" y="0"/>
                          <a:chExt cx="5208270" cy="3752215"/>
                        </a:xfrm>
                      </wpg:grpSpPr>
                      <wpg:grpSp>
                        <wpg:cNvPr id="11" name="مجموعة 11"/>
                        <wpg:cNvGrpSpPr/>
                        <wpg:grpSpPr>
                          <a:xfrm>
                            <a:off x="0" y="0"/>
                            <a:ext cx="5208270" cy="3752215"/>
                            <a:chOff x="0" y="0"/>
                            <a:chExt cx="5208904" cy="3752850"/>
                          </a:xfrm>
                        </wpg:grpSpPr>
                        <wpg:grpSp>
                          <wpg:cNvPr id="9" name="مجموعة 9"/>
                          <wpg:cNvGrpSpPr/>
                          <wpg:grpSpPr>
                            <a:xfrm>
                              <a:off x="0" y="0"/>
                              <a:ext cx="5208904" cy="3752850"/>
                              <a:chOff x="0" y="0"/>
                              <a:chExt cx="5208904" cy="3752850"/>
                            </a:xfrm>
                          </wpg:grpSpPr>
                          <wpg:grpSp>
                            <wpg:cNvPr id="32" name="مجموعة 32"/>
                            <wpg:cNvGrpSpPr/>
                            <wpg:grpSpPr>
                              <a:xfrm>
                                <a:off x="0" y="0"/>
                                <a:ext cx="5208904" cy="3752850"/>
                                <a:chOff x="0" y="0"/>
                                <a:chExt cx="5208904" cy="3752850"/>
                              </a:xfrm>
                            </wpg:grpSpPr>
                            <wpg:grpSp>
                              <wpg:cNvPr id="35" name="مجموعة 35"/>
                              <wpg:cNvGrpSpPr/>
                              <wpg:grpSpPr>
                                <a:xfrm>
                                  <a:off x="0" y="0"/>
                                  <a:ext cx="5208904" cy="3752850"/>
                                  <a:chOff x="0" y="65314"/>
                                  <a:chExt cx="5208904" cy="3654477"/>
                                </a:xfrm>
                              </wpg:grpSpPr>
                              <wpg:grpSp>
                                <wpg:cNvPr id="30" name="مجموعة 30"/>
                                <wpg:cNvGrpSpPr/>
                                <wpg:grpSpPr>
                                  <a:xfrm>
                                    <a:off x="0" y="65314"/>
                                    <a:ext cx="5208904" cy="3654477"/>
                                    <a:chOff x="0" y="0"/>
                                    <a:chExt cx="5208904" cy="3654477"/>
                                  </a:xfrm>
                                </wpg:grpSpPr>
                                <wps:wsp>
                                  <wps:cNvPr id="2" name="مستطيل 2"/>
                                  <wps:cNvSpPr/>
                                  <wps:spPr>
                                    <a:xfrm>
                                      <a:off x="3657599" y="2"/>
                                      <a:ext cx="1551305" cy="36544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2332564" w14:textId="77777777" w:rsidR="00976DAD" w:rsidRPr="00A35C73" w:rsidRDefault="00976DAD" w:rsidP="009043AB">
                                        <w:pPr>
                                          <w:jc w:val="center"/>
                                          <w:rPr>
                                            <w:rFonts w:ascii="Traditional Arabic" w:hAnsi="Traditional Arabic" w:cs="Traditional Arabic"/>
                                            <w:b/>
                                            <w:bCs/>
                                            <w:sz w:val="36"/>
                                            <w:szCs w:val="36"/>
                                            <w:rtl/>
                                            <w:lang w:bidi="ar-AE"/>
                                          </w:rPr>
                                        </w:pPr>
                                        <w:r w:rsidRPr="00A35C73">
                                          <w:rPr>
                                            <w:rFonts w:ascii="Traditional Arabic" w:hAnsi="Traditional Arabic" w:cs="Traditional Arabic"/>
                                            <w:b/>
                                            <w:bCs/>
                                            <w:sz w:val="36"/>
                                            <w:szCs w:val="36"/>
                                            <w:rtl/>
                                            <w:lang w:bidi="ar-AE"/>
                                          </w:rPr>
                                          <w:t>المتغير المستقل</w:t>
                                        </w:r>
                                      </w:p>
                                      <w:p w14:paraId="0F2E4AB1" w14:textId="77777777" w:rsidR="00976DAD" w:rsidRDefault="00976DAD" w:rsidP="009043AB">
                                        <w:pPr>
                                          <w:bidi/>
                                          <w:jc w:val="center"/>
                                          <w:rPr>
                                            <w:rFonts w:ascii="Traditional Arabic" w:hAnsi="Traditional Arabic" w:cs="Traditional Arabic"/>
                                            <w:b/>
                                            <w:bCs/>
                                            <w:sz w:val="36"/>
                                            <w:szCs w:val="36"/>
                                            <w:rtl/>
                                            <w:lang w:bidi="ar-JO"/>
                                          </w:rPr>
                                        </w:pPr>
                                      </w:p>
                                      <w:p w14:paraId="7DF42836" w14:textId="77777777" w:rsidR="00976DAD" w:rsidRPr="00A35C73" w:rsidRDefault="00976D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اسلوب التنفيذ)</w:t>
                                        </w:r>
                                      </w:p>
                                      <w:p w14:paraId="1AB79D80" w14:textId="77777777" w:rsidR="00976DAD" w:rsidRDefault="00976DAD" w:rsidP="009043AB">
                                        <w:pPr>
                                          <w:bidi/>
                                          <w:rPr>
                                            <w:b/>
                                            <w:bCs/>
                                            <w:sz w:val="28"/>
                                            <w:szCs w:val="28"/>
                                            <w:lang w:bidi="ar-JO"/>
                                          </w:rPr>
                                        </w:pPr>
                                      </w:p>
                                      <w:p w14:paraId="1121F0F9"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4"/>
                                  <wps:cNvSpPr/>
                                  <wps:spPr>
                                    <a:xfrm>
                                      <a:off x="0" y="0"/>
                                      <a:ext cx="1651000" cy="89725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C77B46A" w14:textId="77777777" w:rsidR="00976DAD" w:rsidRPr="00A35C73" w:rsidRDefault="00976D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المتغير التابع</w:t>
                                        </w:r>
                                      </w:p>
                                      <w:p w14:paraId="175132B5" w14:textId="77777777" w:rsidR="00976DAD" w:rsidRPr="00A35C73" w:rsidRDefault="00976D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كفاءة معلمي المرحلة الابتدائية</w:t>
                                        </w:r>
                                      </w:p>
                                      <w:p w14:paraId="21130852" w14:textId="77777777" w:rsidR="00976DAD" w:rsidRDefault="00976DAD" w:rsidP="009043AB">
                                        <w:pPr>
                                          <w:jc w:val="center"/>
                                          <w:rPr>
                                            <w:rFonts w:cs="Arial"/>
                                            <w:b/>
                                            <w:bCs/>
                                            <w:sz w:val="28"/>
                                            <w:szCs w:val="28"/>
                                            <w:rtl/>
                                          </w:rPr>
                                        </w:pPr>
                                      </w:p>
                                      <w:p w14:paraId="7232FEF6" w14:textId="77777777" w:rsidR="00976DAD" w:rsidRDefault="00976DAD" w:rsidP="009043AB">
                                        <w:pPr>
                                          <w:jc w:val="center"/>
                                          <w:rPr>
                                            <w:rFonts w:cs="Arial"/>
                                            <w:b/>
                                            <w:bCs/>
                                            <w:sz w:val="28"/>
                                            <w:szCs w:val="28"/>
                                            <w:rtl/>
                                          </w:rPr>
                                        </w:pPr>
                                      </w:p>
                                      <w:p w14:paraId="296C2705" w14:textId="77777777" w:rsidR="00976DAD" w:rsidRDefault="00976DAD" w:rsidP="009043AB">
                                        <w:pPr>
                                          <w:jc w:val="center"/>
                                          <w:rPr>
                                            <w:rFonts w:cs="Arial"/>
                                            <w:b/>
                                            <w:bCs/>
                                            <w:sz w:val="28"/>
                                            <w:szCs w:val="28"/>
                                            <w:rtl/>
                                          </w:rPr>
                                        </w:pPr>
                                      </w:p>
                                      <w:p w14:paraId="3521A3D6" w14:textId="77777777" w:rsidR="00976DAD" w:rsidRDefault="00976DAD" w:rsidP="009043AB">
                                        <w:pPr>
                                          <w:jc w:val="center"/>
                                          <w:rPr>
                                            <w:rFonts w:cs="Arial"/>
                                            <w:b/>
                                            <w:bCs/>
                                            <w:sz w:val="28"/>
                                            <w:szCs w:val="28"/>
                                          </w:rPr>
                                        </w:pPr>
                                      </w:p>
                                      <w:p w14:paraId="66972B59"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1" y="2192043"/>
                                      <a:ext cx="1650998" cy="683308"/>
                                    </a:xfrm>
                                    <a:prstGeom prst="rect">
                                      <a:avLst/>
                                    </a:prstGeom>
                                    <a:solidFill>
                                      <a:sysClr val="window" lastClr="FFFFFF"/>
                                    </a:solidFill>
                                    <a:ln w="25400" cap="flat" cmpd="sng" algn="ctr">
                                      <a:solidFill>
                                        <a:srgbClr val="F79646"/>
                                      </a:solidFill>
                                      <a:prstDash val="solid"/>
                                    </a:ln>
                                    <a:effectLst/>
                                  </wps:spPr>
                                  <wps:txbx>
                                    <w:txbxContent>
                                      <w:p w14:paraId="13601A13"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التقويم التعليمي</w:t>
                                        </w:r>
                                      </w:p>
                                      <w:p w14:paraId="68D4F83B"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7"/>
                                  <wps:cNvSpPr/>
                                  <wps:spPr>
                                    <a:xfrm>
                                      <a:off x="0" y="1558254"/>
                                      <a:ext cx="1650999" cy="633787"/>
                                    </a:xfrm>
                                    <a:prstGeom prst="rect">
                                      <a:avLst/>
                                    </a:prstGeom>
                                    <a:solidFill>
                                      <a:sysClr val="window" lastClr="FFFFFF"/>
                                    </a:solidFill>
                                    <a:ln w="25400" cap="flat" cmpd="sng" algn="ctr">
                                      <a:solidFill>
                                        <a:srgbClr val="F79646"/>
                                      </a:solidFill>
                                      <a:prstDash val="solid"/>
                                    </a:ln>
                                    <a:effectLst/>
                                  </wps:spPr>
                                  <wps:txbx>
                                    <w:txbxContent>
                                      <w:p w14:paraId="41AEF900"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ادارة الصف</w:t>
                                        </w:r>
                                      </w:p>
                                      <w:p w14:paraId="70934ADD"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8"/>
                                  <wps:cNvSpPr/>
                                  <wps:spPr>
                                    <a:xfrm>
                                      <a:off x="0" y="931284"/>
                                      <a:ext cx="1650999" cy="654796"/>
                                    </a:xfrm>
                                    <a:prstGeom prst="rect">
                                      <a:avLst/>
                                    </a:prstGeom>
                                    <a:solidFill>
                                      <a:sysClr val="window" lastClr="FFFFFF"/>
                                    </a:solidFill>
                                    <a:ln w="25400" cap="flat" cmpd="sng" algn="ctr">
                                      <a:solidFill>
                                        <a:srgbClr val="F79646"/>
                                      </a:solidFill>
                                      <a:prstDash val="solid"/>
                                    </a:ln>
                                    <a:effectLst/>
                                  </wps:spPr>
                                  <wps:txbx>
                                    <w:txbxContent>
                                      <w:p w14:paraId="2B87428E"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الخطيط التدريسي</w:t>
                                        </w:r>
                                      </w:p>
                                      <w:p w14:paraId="7F1102EB" w14:textId="77777777" w:rsidR="00976DAD" w:rsidRPr="00225281" w:rsidRDefault="00976D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 name="رابط كسهم مستقيم 12"/>
                                <wps:cNvCnPr>
                                  <a:stCxn id="2" idx="1"/>
                                  <a:endCxn id="8" idx="3"/>
                                </wps:cNvCnPr>
                                <wps:spPr>
                                  <a:xfrm flipH="1" flipV="1">
                                    <a:off x="1650999" y="1323996"/>
                                    <a:ext cx="2006600" cy="5685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3" name="Oval 2024668143"/>
                                <wps:cNvSpPr/>
                                <wps:spPr>
                                  <a:xfrm>
                                    <a:off x="1963158" y="1360150"/>
                                    <a:ext cx="600782" cy="316304"/>
                                  </a:xfrm>
                                  <a:prstGeom prst="ellipse">
                                    <a:avLst/>
                                  </a:prstGeom>
                                  <a:solidFill>
                                    <a:sysClr val="window" lastClr="FFFFFF"/>
                                  </a:solidFill>
                                  <a:ln w="25400" cap="flat" cmpd="sng" algn="ctr">
                                    <a:solidFill>
                                      <a:sysClr val="windowText" lastClr="000000"/>
                                    </a:solidFill>
                                    <a:prstDash val="solid"/>
                                  </a:ln>
                                  <a:effectLst/>
                                </wps:spPr>
                                <wps:txbx>
                                  <w:txbxContent>
                                    <w:p w14:paraId="76E44C48"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رابط كسهم مستقيم 14"/>
                                <wps:cNvCnPr>
                                  <a:stCxn id="2" idx="1"/>
                                  <a:endCxn id="7" idx="3"/>
                                </wps:cNvCnPr>
                                <wps:spPr>
                                  <a:xfrm flipH="1">
                                    <a:off x="1650999" y="1892553"/>
                                    <a:ext cx="2006600" cy="47908"/>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5" name="Oval 2024668143"/>
                                <wps:cNvSpPr/>
                                <wps:spPr>
                                  <a:xfrm>
                                    <a:off x="1969087" y="1796019"/>
                                    <a:ext cx="595043" cy="298735"/>
                                  </a:xfrm>
                                  <a:prstGeom prst="ellipse">
                                    <a:avLst/>
                                  </a:prstGeom>
                                  <a:solidFill>
                                    <a:sysClr val="window" lastClr="FFFFFF"/>
                                  </a:solidFill>
                                  <a:ln w="25400" cap="flat" cmpd="sng" algn="ctr">
                                    <a:solidFill>
                                      <a:sysClr val="windowText" lastClr="000000"/>
                                    </a:solidFill>
                                    <a:prstDash val="solid"/>
                                  </a:ln>
                                  <a:effectLst/>
                                </wps:spPr>
                                <wps:txbx>
                                  <w:txbxContent>
                                    <w:p w14:paraId="1247DDEB"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رابط كسهم مستقيم 18"/>
                                <wps:cNvCnPr>
                                  <a:stCxn id="2" idx="1"/>
                                  <a:endCxn id="6" idx="3"/>
                                </wps:cNvCnPr>
                                <wps:spPr>
                                  <a:xfrm flipH="1">
                                    <a:off x="1650999" y="1892553"/>
                                    <a:ext cx="2006600" cy="7064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9" name="Oval 2024668143"/>
                                <wps:cNvSpPr/>
                                <wps:spPr>
                                  <a:xfrm>
                                    <a:off x="1949910" y="2218073"/>
                                    <a:ext cx="594985" cy="312618"/>
                                  </a:xfrm>
                                  <a:prstGeom prst="ellipse">
                                    <a:avLst/>
                                  </a:prstGeom>
                                  <a:solidFill>
                                    <a:sysClr val="window" lastClr="FFFFFF"/>
                                  </a:solidFill>
                                  <a:ln w="25400" cap="flat" cmpd="sng" algn="ctr">
                                    <a:solidFill>
                                      <a:sysClr val="windowText" lastClr="000000"/>
                                    </a:solidFill>
                                    <a:prstDash val="solid"/>
                                  </a:ln>
                                  <a:effectLst/>
                                </wps:spPr>
                                <wps:txbx>
                                  <w:txbxContent>
                                    <w:p w14:paraId="6587AAC0"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مستطيل 16"/>
                              <wps:cNvSpPr/>
                              <wps:spPr>
                                <a:xfrm>
                                  <a:off x="1" y="2952748"/>
                                  <a:ext cx="1650997" cy="80010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F41343D" w14:textId="77777777" w:rsidR="00976DAD" w:rsidRPr="00A35C73" w:rsidRDefault="00976D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3" name="رابط كسهم مستقيم 33"/>
                            <wps:cNvCnPr>
                              <a:stCxn id="2" idx="1"/>
                              <a:endCxn id="16" idx="3"/>
                            </wps:cNvCnPr>
                            <wps:spPr>
                              <a:xfrm flipH="1">
                                <a:off x="1650998" y="1876426"/>
                                <a:ext cx="2006601" cy="147637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g:grpSp>
                        <wps:wsp>
                          <wps:cNvPr id="34" name="Oval 2024668143"/>
                          <wps:cNvSpPr/>
                          <wps:spPr>
                            <a:xfrm>
                              <a:off x="1930854" y="2760889"/>
                              <a:ext cx="631695" cy="320040"/>
                            </a:xfrm>
                            <a:prstGeom prst="ellipse">
                              <a:avLst/>
                            </a:prstGeom>
                            <a:solidFill>
                              <a:sysClr val="window" lastClr="FFFFFF"/>
                            </a:solidFill>
                            <a:ln w="25400" cap="flat" cmpd="sng" algn="ctr">
                              <a:solidFill>
                                <a:sysClr val="windowText" lastClr="000000"/>
                              </a:solidFill>
                              <a:prstDash val="solid"/>
                            </a:ln>
                            <a:effectLst/>
                          </wps:spPr>
                          <wps:txbx>
                            <w:txbxContent>
                              <w:p w14:paraId="712E3655" w14:textId="77777777" w:rsidR="00976DAD" w:rsidRPr="00A35C73" w:rsidRDefault="00976D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سهم إلى اليسار 21"/>
                        <wps:cNvSpPr/>
                        <wps:spPr>
                          <a:xfrm>
                            <a:off x="1647825" y="219075"/>
                            <a:ext cx="2000250" cy="484505"/>
                          </a:xfrm>
                          <a:prstGeom prst="leftArrow">
                            <a:avLst/>
                          </a:prstGeom>
                        </wps:spPr>
                        <wps:style>
                          <a:lnRef idx="1">
                            <a:schemeClr val="accent3"/>
                          </a:lnRef>
                          <a:fillRef idx="2">
                            <a:schemeClr val="accent3"/>
                          </a:fillRef>
                          <a:effectRef idx="1">
                            <a:schemeClr val="accent3"/>
                          </a:effectRef>
                          <a:fontRef idx="minor">
                            <a:schemeClr val="dk1"/>
                          </a:fontRef>
                        </wps:style>
                        <wps:txbx>
                          <w:txbxContent>
                            <w:p w14:paraId="0662570F" w14:textId="77777777" w:rsidR="00976DAD" w:rsidRPr="00943DE4" w:rsidRDefault="00976D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1DF3BB" id="مجموعة 27" o:spid="_x0000_s1026" style="position:absolute;left:0;text-align:left;margin-left:14.25pt;margin-top:5.6pt;width:410.1pt;height:295.45pt;z-index:251659264" coordsize="52082,37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98RIQgAAOM6AAAOAAAAZHJzL2Uyb0RvYy54bWzsW8uO20YW3Q8w/0BwPxbfD8Gy0WinPQMY&#10;tpF24nU1RUrEUCxOsdrqzjKxMZP8R+CZIJsgCyN/Iv1NTlWRpUfTLcndoyAGe6Hmo4r14L33nPvg&#10;w8dXs8J4k7I6p+XItB9YppGWCR3n5WRkfvXq7G+RadSclGNS0DIdmddpbT5+9Ne/PJxXw9ShU1qM&#10;U2bgIWU9nFcjc8p5NRwM6mSazkj9gFZpiZsZZTPCccomgzEjczx9VgwcywoGc8rGFaNJWte4+kTd&#10;NB/J52dZmvAXWVan3ChGJubG5S+Tvxfid/DoIRlOGKmmedJMg3zCLGYkLzGoftQTwolxyfIbj5rl&#10;CaM1zfiDhM4GNMvyJJVrwGpsa2s1Txm9rORaJsP5pNLbhK3d2qdPfmzy/M1TVp1XLxl2Yl5NsBfy&#10;TKzlKmMz8R+zNK7kll3rLUuvuJHgou9YkRNiZxPcc0PfcWxfbWoyxc7f6JdMv9jRc9AOPNiYjj5R&#10;08S8XzIjH0PmbNMoyQyytXy3+Hn5bvmfxW+L/xm43Kzoj11ibHmrzYl8KXGHLjHuXGF8nwvsmiYZ&#10;7vMOu3oeukDX6VwhLt/jO+ya6BGX6HcvUWqLEO77ENO9lhj4ru21Orqujavege95YSjaHPwmYQo6&#10;tNGVcv9Jy1yb7rrR6ZrsoW9zj2UCleqV4a3vZnjPp6RKpT2vxetuDNi67P+6+GnxYfnD8q3RiL5s&#10;qM1zPaxhqTtssxv4oR/DTsAKy55k2G6W7fu2a0H6pIWWS5Yyp98sGVas5k9TOjPEwchkQE0JZuTN&#10;s5orIWibiLGLUlybV+1s5BG/LlJ188s0g2EGNtjyIRLK09OCGW8IQJgkSVpyt5GtokRr0S3Li0J3&#10;dHZ3bNqLrqmEed15j1F1DzkyLbnuPMtLyrpGH/9T4gk2LVPt2x1Q6xZbwK8urqS5qocXdHyNt8uo&#10;4ht1lZzl2NpnpOYvCQPBgJaANPEX+MkKOh+ZtDkyjSll33RdF+0hfrhrGnMQlpFZ/+uSsNQ0in+U&#10;EMzY9jzBcOSJ54cOTtj6nYv1O+Xl7JTidQA8MTt5KNrzoj3MGJ29Brc6EaPiFikTjD0yE87ak1Ou&#10;iBTYWZKenMhmYDUV4c/K8yppBUCIzqur14RVjXxxiOZz2ioDGW6JmWorXk1JTy45zXIpg2KL1b42&#10;Ww/FFFzgCBoKBNc2baWh0oaK8aHKuzUUW3iTPdmBb1sWbgndjOLQ8XvVFJy9NQr3qZqKLCpC0UpS&#10;r6HS1v35NTTo1NCgfdt7aShMoUBPO3YsT+LTGoYGvhXHcGWFngaR61rRBjk6GEJrWuTjM2CeMHP1&#10;da3hEa7tmM5h0wEVuDgyz+RfM9pGt6I0AByO70kDIgAhKwjHHGfVGOBQTmCniwm8cmGy5Tgbg7LJ&#10;hR71LIwDT+4WAG5jECEaT0g9VeAtbzVzKUrxTAWlDU0QxlARFHEk8FAqnaYyPSx+VrAYdiqddBsO&#10;hEVw1AiCLCRrW+nAaaXSuW4YbXokvdJpXtShdNKCidfQK91npXQAoQ4uKuHoQKWLXduJbtU53wMu&#10;9EC3N9Bpj6DXuWPp3CpIfCRf0NbhmsUvi/eL/y4+GMvvFr8u/718ZyAADfdw+S0COO8MNGyiAWCf&#10;p6UK24DUXZUNKWqDJAr0ynF7BxouwycqRtIotXqAOFG2XgXJjazIq79LL14cfd263E3EHu4laKuK&#10;Ctmu48ZKm1cQKzIoQet/+kHk+zsgtuaM5JMpP6VlCT+NMhVt2fLgRSxJIHlJBcWV67sjWb3BkF8h&#10;hrDGkuFECz8aQ+1JYMmQk7z4ohwb/LpC7oAwBtqt+m8xW7ESeslTdj4dz42L4pJ9SUCwQbvFzo1z&#10;ETLDRqoTMHZByOUZwj+vcz6VgQ4RHBEPqtdpt2ynrpOimhJFst1I9G6WoprLZek5yDNNvJtoyIoC&#10;KOMj+gtxOV6UxHZbaHqBSJ/hWI4XBJGtfKm9scmOA9f2oQPwtGw3sGyVMlnJLOQ1jKCEMpxpBy7y&#10;K2qv2nRVG6psok1pAc2oRdj1RqSpldMNj+eP8cbuXcChB1ty3ErESlK0h9YkIXqy+JkFLpHnadji&#10;LrDS1OVAsIIPeDhYSYuqksMbEBXFCIBuhV42IAp8dFfkpUeoHqHKSZtcaGCnLRXQOdg7IhSkEIIv&#10;EAoOkmXLTPwKofzYFxFEiVBOHIXujqB+j1Ai5n97DFGHcnvX6liuVcMeddXR/yX5bet4xi6EWg9x&#10;HOJOITVwRIQKrQC519sZaQ9RPUR9FKJ0rdfdIMqLY1ulnFGRF1nhFqvyYy+O2poQ2wmghr0Tdcc0&#10;l9R6YTR7iDoWRB0/+tedaLY1PTkk0xz7TuhJxVtxR+UPgVzKihALNcEyjAhv/iPhjduLtfao0rql&#10;2KqN/XdXaXUWWhVc10mpii7h6+l6K4XETSRMlHhv14W1I+oeontTcaU637VCC09BqY2wdr2qHrNQ&#10;6+iq6upw5A5miYaNNBwY+4DW3we1bGKdURh4jpT/lTVQwQ8UpghrYHth4Cog/7g56Lnln5JbHl87&#10;dGTwbjwTlVCo25CFU2FgRdFWKASx/CBueSakGRWqPc+8I89svvvoeebxgvVHV09Hf9TUpJYXPy7f&#10;Lr83Fu/x7wdkmd8vfjHQaAVc5+0nXJsZ4o1Qu4fEGZQRWIIqRyuUYckNsLEcZNsk2HiR5+OjgVuV&#10;tUgzfiLzpmKUzhzwHvyzk0Z+3l8JSA4K97x5e72/eFR/EV9Sygx689Wn+FRz/VzmzVffpj76HQAA&#10;//8DAFBLAwQUAAYACAAAACEAEtd3GuAAAAAJAQAADwAAAGRycy9kb3ducmV2LnhtbEyPQUvDQBCF&#10;74L/YRnBm90k2hrSbEop6qkItoL0Ns1Ok9DsbMhuk/Tfu57s8c17vPdNvppMKwbqXWNZQTyLQBCX&#10;VjdcKfjevz+lIJxH1thaJgVXcrAq7u9yzLQd+YuGna9EKGGXoYLa+y6T0pU1GXQz2xEH72R7gz7I&#10;vpK6xzGUm1YmUbSQBhsOCzV2tKmpPO8uRsHHiOP6OX4btufT5nrYzz9/tjEp9fgwrZcgPE3+Pwx/&#10;+AEdisB0tBfWTrQKknQekuEeJyCCn76kryCOChZREoMscnn7QfELAAD//wMAUEsBAi0AFAAGAAgA&#10;AAAhALaDOJL+AAAA4QEAABMAAAAAAAAAAAAAAAAAAAAAAFtDb250ZW50X1R5cGVzXS54bWxQSwEC&#10;LQAUAAYACAAAACEAOP0h/9YAAACUAQAACwAAAAAAAAAAAAAAAAAvAQAAX3JlbHMvLnJlbHNQSwEC&#10;LQAUAAYACAAAACEAonvfESEIAADjOgAADgAAAAAAAAAAAAAAAAAuAgAAZHJzL2Uyb0RvYy54bWxQ&#10;SwECLQAUAAYACAAAACEAEtd3GuAAAAAJAQAADwAAAAAAAAAAAAAAAAB7CgAAZHJzL2Rvd25yZXYu&#10;eG1sUEsFBgAAAAAEAAQA8wAAAIgLAAAAAA==&#10;">
                <v:group id="مجموعة 11" o:spid="_x0000_s1027" style="position:absolute;width:52082;height:37522" coordsize="52089,3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مجموعة 9" o:spid="_x0000_s1028" style="position:absolute;width:52089;height:37528" coordsize="52089,3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مجموعة 32" o:spid="_x0000_s1029" style="position:absolute;width:52089;height:37528" coordsize="52089,37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group id="مجموعة 35" o:spid="_x0000_s1030" style="position:absolute;width:52089;height:37528" coordorigin=",653" coordsize="52089,36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group id="مجموعة 30" o:spid="_x0000_s1031" style="position:absolute;top:653;width:52089;height:36544" coordsize="52089,36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مستطيل 2" o:spid="_x0000_s1032" style="position:absolute;left:36575;width:15514;height:3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NJQxAAAANoAAAAPAAAAZHJzL2Rvd25yZXYueG1sRI9Li8JA&#10;EITvgv9h6AVvOtGDj+goa1DIwQUfu+ixyfQmYTM9ITNq/PfOguCxqKqvqMWqNZW4UeNKywqGgwgE&#10;cWZ1ybmC79O2PwXhPLLGyjIpeJCD1bLbWWCs7Z0PdDv6XAQIuxgVFN7XsZQuK8igG9iaOHi/tjHo&#10;g2xyqRu8B7ip5CiKxtJgyWGhwJqSgrK/49UoSM7pMNl/bffn9DLZmR9a15vZQaneR/s5B+Gp9e/w&#10;q51qBSP4vxJugFw+AQAA//8DAFBLAQItABQABgAIAAAAIQDb4fbL7gAAAIUBAAATAAAAAAAAAAAA&#10;AAAAAAAAAABbQ29udGVudF9UeXBlc10ueG1sUEsBAi0AFAAGAAgAAAAhAFr0LFu/AAAAFQEAAAsA&#10;AAAAAAAAAAAAAAAAHwEAAF9yZWxzLy5yZWxzUEsBAi0AFAAGAAgAAAAhAG9Q0lDEAAAA2g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w:txbxContent>
                                <w:p w14:paraId="52332564" w14:textId="77777777" w:rsidR="00976DAD" w:rsidRPr="00A35C73" w:rsidRDefault="00976DAD" w:rsidP="009043AB">
                                  <w:pPr>
                                    <w:jc w:val="center"/>
                                    <w:rPr>
                                      <w:rFonts w:ascii="Traditional Arabic" w:hAnsi="Traditional Arabic" w:cs="Traditional Arabic"/>
                                      <w:b/>
                                      <w:bCs/>
                                      <w:sz w:val="36"/>
                                      <w:szCs w:val="36"/>
                                      <w:rtl/>
                                      <w:lang w:bidi="ar-AE"/>
                                    </w:rPr>
                                  </w:pPr>
                                  <w:r w:rsidRPr="00A35C73">
                                    <w:rPr>
                                      <w:rFonts w:ascii="Traditional Arabic" w:hAnsi="Traditional Arabic" w:cs="Traditional Arabic"/>
                                      <w:b/>
                                      <w:bCs/>
                                      <w:sz w:val="36"/>
                                      <w:szCs w:val="36"/>
                                      <w:rtl/>
                                      <w:lang w:bidi="ar-AE"/>
                                    </w:rPr>
                                    <w:t>المتغير المستقل</w:t>
                                  </w:r>
                                </w:p>
                                <w:p w14:paraId="0F2E4AB1" w14:textId="77777777" w:rsidR="00976DAD" w:rsidRDefault="00976DAD" w:rsidP="009043AB">
                                  <w:pPr>
                                    <w:bidi/>
                                    <w:jc w:val="center"/>
                                    <w:rPr>
                                      <w:rFonts w:ascii="Traditional Arabic" w:hAnsi="Traditional Arabic" w:cs="Traditional Arabic"/>
                                      <w:b/>
                                      <w:bCs/>
                                      <w:sz w:val="36"/>
                                      <w:szCs w:val="36"/>
                                      <w:rtl/>
                                      <w:lang w:bidi="ar-JO"/>
                                    </w:rPr>
                                  </w:pPr>
                                </w:p>
                                <w:p w14:paraId="7DF42836" w14:textId="77777777" w:rsidR="00976DAD" w:rsidRPr="00A35C73" w:rsidRDefault="00976D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اسلوب التنفيذ)</w:t>
                                  </w:r>
                                </w:p>
                                <w:p w14:paraId="1AB79D80" w14:textId="77777777" w:rsidR="00976DAD" w:rsidRDefault="00976DAD" w:rsidP="009043AB">
                                  <w:pPr>
                                    <w:bidi/>
                                    <w:rPr>
                                      <w:b/>
                                      <w:bCs/>
                                      <w:sz w:val="28"/>
                                      <w:szCs w:val="28"/>
                                      <w:lang w:bidi="ar-JO"/>
                                    </w:rPr>
                                  </w:pPr>
                                </w:p>
                                <w:p w14:paraId="1121F0F9" w14:textId="77777777" w:rsidR="00976DAD" w:rsidRPr="00225281" w:rsidRDefault="00976DAD" w:rsidP="009043AB">
                                  <w:pPr>
                                    <w:rPr>
                                      <w:rtl/>
                                      <w:lang w:bidi="ar-AE"/>
                                    </w:rPr>
                                  </w:pPr>
                                </w:p>
                              </w:txbxContent>
                            </v:textbox>
                          </v:rect>
                          <v:rect id="مستطيل 4" o:spid="_x0000_s1033" style="position:absolute;width:16510;height:8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xAAAANoAAAAPAAAAZHJzL2Rvd25yZXYueG1sRI9Pa8JA&#10;FMTvgt9heQVvurFI1egqbaiQg4J/0eMj+5oEs29Ddqvx23cLgsdhZn7DzJetqcSNGldaVjAcRCCI&#10;M6tLzhUcD6v+BITzyBory6TgQQ6Wi25njrG2d97Rbe9zESDsYlRQeF/HUrqsIINuYGvi4P3YxqAP&#10;ssmlbvAe4KaS71H0IQ2WHBYKrCkpKLvuf42C5JwOk+1mtT2nl/HanOir/p7ulOq9tZ8zEJ5a/wo/&#10;26lWMIL/K+EGyMUfAAAA//8DAFBLAQItABQABgAIAAAAIQDb4fbL7gAAAIUBAAATAAAAAAAAAAAA&#10;AAAAAAAAAABbQ29udGVudF9UeXBlc10ueG1sUEsBAi0AFAAGAAgAAAAhAFr0LFu/AAAAFQEAAAsA&#10;AAAAAAAAAAAAAAAAHwEAAF9yZWxzLy5yZWxzUEsBAi0AFAAGAAgAAAAhAI/177/EAAAA2gAAAA8A&#10;AAAAAAAAAAAAAAAABwIAAGRycy9kb3ducmV2LnhtbFBLBQYAAAAAAwADALcAAAD4AgAAAAA=&#10;" fillcolor="#cdddac [1622]" strokecolor="#94b64e [3046]">
                            <v:fill color2="#f0f4e6 [502]" rotate="t" angle="180" colors="0 #dafda7;22938f #e4fdc2;1 #f5ffe6" focus="100%" type="gradient"/>
                            <v:shadow on="t" color="black" opacity="24903f" origin=",.5" offset="0,.55556mm"/>
                            <v:textbox>
                              <w:txbxContent>
                                <w:p w14:paraId="7C77B46A" w14:textId="77777777" w:rsidR="00976DAD" w:rsidRPr="00A35C73" w:rsidRDefault="00976D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المتغير التابع</w:t>
                                  </w:r>
                                </w:p>
                                <w:p w14:paraId="175132B5" w14:textId="77777777" w:rsidR="00976DAD" w:rsidRPr="00A35C73" w:rsidRDefault="00976D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كفاءة معلمي المرحلة الابتدائية</w:t>
                                  </w:r>
                                </w:p>
                                <w:p w14:paraId="21130852" w14:textId="77777777" w:rsidR="00976DAD" w:rsidRDefault="00976DAD" w:rsidP="009043AB">
                                  <w:pPr>
                                    <w:jc w:val="center"/>
                                    <w:rPr>
                                      <w:rFonts w:cs="Arial"/>
                                      <w:b/>
                                      <w:bCs/>
                                      <w:sz w:val="28"/>
                                      <w:szCs w:val="28"/>
                                      <w:rtl/>
                                    </w:rPr>
                                  </w:pPr>
                                </w:p>
                                <w:p w14:paraId="7232FEF6" w14:textId="77777777" w:rsidR="00976DAD" w:rsidRDefault="00976DAD" w:rsidP="009043AB">
                                  <w:pPr>
                                    <w:jc w:val="center"/>
                                    <w:rPr>
                                      <w:rFonts w:cs="Arial"/>
                                      <w:b/>
                                      <w:bCs/>
                                      <w:sz w:val="28"/>
                                      <w:szCs w:val="28"/>
                                      <w:rtl/>
                                    </w:rPr>
                                  </w:pPr>
                                </w:p>
                                <w:p w14:paraId="296C2705" w14:textId="77777777" w:rsidR="00976DAD" w:rsidRDefault="00976DAD" w:rsidP="009043AB">
                                  <w:pPr>
                                    <w:jc w:val="center"/>
                                    <w:rPr>
                                      <w:rFonts w:cs="Arial"/>
                                      <w:b/>
                                      <w:bCs/>
                                      <w:sz w:val="28"/>
                                      <w:szCs w:val="28"/>
                                      <w:rtl/>
                                    </w:rPr>
                                  </w:pPr>
                                </w:p>
                                <w:p w14:paraId="3521A3D6" w14:textId="77777777" w:rsidR="00976DAD" w:rsidRDefault="00976DAD" w:rsidP="009043AB">
                                  <w:pPr>
                                    <w:jc w:val="center"/>
                                    <w:rPr>
                                      <w:rFonts w:cs="Arial"/>
                                      <w:b/>
                                      <w:bCs/>
                                      <w:sz w:val="28"/>
                                      <w:szCs w:val="28"/>
                                    </w:rPr>
                                  </w:pPr>
                                </w:p>
                                <w:p w14:paraId="66972B59" w14:textId="77777777" w:rsidR="00976DAD" w:rsidRPr="00225281" w:rsidRDefault="00976DAD" w:rsidP="009043AB">
                                  <w:pPr>
                                    <w:rPr>
                                      <w:rtl/>
                                      <w:lang w:bidi="ar-AE"/>
                                    </w:rPr>
                                  </w:pPr>
                                </w:p>
                              </w:txbxContent>
                            </v:textbox>
                          </v:rect>
                          <v:rect id="مستطيل 6" o:spid="_x0000_s1034" style="position:absolute;top:21920;width:16509;height:6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7ZjwgAAANoAAAAPAAAAZHJzL2Rvd25yZXYueG1sRI9Ba8JA&#10;FITvgv9heYI33diD1NSNlErBiwVTD+3tkX3ZhO6+DdlNjP++KxR6HGbmG2Z/mJwVI/Wh9axgs85A&#10;EFdet2wUXD/fV88gQkTWaD2TgjsFOBTz2R5z7W98obGMRiQIhxwVNDF2uZShashhWPuOOHm17x3G&#10;JHsjdY+3BHdWPmXZVjpsOS002NFbQ9VPOTgFx7PZjV/2Gi3X0yDN91CWuw+llovp9QVEpCn+h//a&#10;J61gC48r6QbI4hcAAP//AwBQSwECLQAUAAYACAAAACEA2+H2y+4AAACFAQAAEwAAAAAAAAAAAAAA&#10;AAAAAAAAW0NvbnRlbnRfVHlwZXNdLnhtbFBLAQItABQABgAIAAAAIQBa9CxbvwAAABUBAAALAAAA&#10;AAAAAAAAAAAAAB8BAABfcmVscy8ucmVsc1BLAQItABQABgAIAAAAIQBH17ZjwgAAANoAAAAPAAAA&#10;AAAAAAAAAAAAAAcCAABkcnMvZG93bnJldi54bWxQSwUGAAAAAAMAAwC3AAAA9gIAAAAA&#10;" fillcolor="window" strokecolor="#f79646" strokeweight="2pt">
                            <v:textbox>
                              <w:txbxContent>
                                <w:p w14:paraId="13601A13"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التقويم التعليمي</w:t>
                                  </w:r>
                                </w:p>
                                <w:p w14:paraId="68D4F83B" w14:textId="77777777" w:rsidR="00976DAD" w:rsidRPr="00225281" w:rsidRDefault="00976DAD" w:rsidP="009043AB">
                                  <w:pPr>
                                    <w:rPr>
                                      <w:rtl/>
                                      <w:lang w:bidi="ar-AE"/>
                                    </w:rPr>
                                  </w:pPr>
                                </w:p>
                              </w:txbxContent>
                            </v:textbox>
                          </v:rect>
                          <v:rect id="مستطيل 7" o:spid="_x0000_s1035" style="position:absolute;top:15582;width:16509;height:63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xP4wgAAANoAAAAPAAAAZHJzL2Rvd25yZXYueG1sRI9BawIx&#10;FITvBf9DeIK3mtWDrVujFEXwotDVg709Ns/s0uRl2WTX9d+bQqHHYWa+YVabwVnRUxtqzwpm0wwE&#10;cel1zUbB5bx/fQcRIrJG65kUPCjAZj16WWGu/Z2/qC+iEQnCIUcFVYxNLmUoK3IYpr4hTt7Ntw5j&#10;kq2RusV7gjsr51m2kA5rTgsVNrStqPwpOqdgdzTL/mov0fJt6KT57opieVJqMh4+P0BEGuJ/+K99&#10;0Are4PdKugFy/QQAAP//AwBQSwECLQAUAAYACAAAACEA2+H2y+4AAACFAQAAEwAAAAAAAAAAAAAA&#10;AAAAAAAAW0NvbnRlbnRfVHlwZXNdLnhtbFBLAQItABQABgAIAAAAIQBa9CxbvwAAABUBAAALAAAA&#10;AAAAAAAAAAAAAB8BAABfcmVscy8ucmVsc1BLAQItABQABgAIAAAAIQAomxP4wgAAANoAAAAPAAAA&#10;AAAAAAAAAAAAAAcCAABkcnMvZG93bnJldi54bWxQSwUGAAAAAAMAAwC3AAAA9gIAAAAA&#10;" fillcolor="window" strokecolor="#f79646" strokeweight="2pt">
                            <v:textbox>
                              <w:txbxContent>
                                <w:p w14:paraId="41AEF900"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ادارة الصف</w:t>
                                  </w:r>
                                </w:p>
                                <w:p w14:paraId="70934ADD" w14:textId="77777777" w:rsidR="00976DAD" w:rsidRPr="00225281" w:rsidRDefault="00976DAD" w:rsidP="009043AB">
                                  <w:pPr>
                                    <w:rPr>
                                      <w:rtl/>
                                      <w:lang w:bidi="ar-AE"/>
                                    </w:rPr>
                                  </w:pPr>
                                </w:p>
                              </w:txbxContent>
                            </v:textbox>
                          </v:rect>
                          <v:rect id="مستطيل 8" o:spid="_x0000_s1036" style="position:absolute;top:9312;width:16509;height:6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IeKvgAAANoAAAAPAAAAZHJzL2Rvd25yZXYueG1sRE9Ni8Iw&#10;EL0v+B/CCN7W1D2IVqOIsuDFBbse9DY0Y1pMJqVJa/335rCwx8f7Xm8HZ0VPbag9K5hNMxDEpdc1&#10;GwWX3+/PBYgQkTVaz6TgRQG2m9HHGnPtn3ymvohGpBAOOSqoYmxyKUNZkcMw9Q1x4u6+dRgTbI3U&#10;LT5TuLPyK8vm0mHNqaHChvYVlY+icwoOJ7Psr/YSLd+HTppbVxTLH6Um42G3AhFpiP/iP/dRK0hb&#10;05V0A+TmDQAA//8DAFBLAQItABQABgAIAAAAIQDb4fbL7gAAAIUBAAATAAAAAAAAAAAAAAAAAAAA&#10;AABbQ29udGVudF9UeXBlc10ueG1sUEsBAi0AFAAGAAgAAAAhAFr0LFu/AAAAFQEAAAsAAAAAAAAA&#10;AAAAAAAAHwEAAF9yZWxzLy5yZWxzUEsBAi0AFAAGAAgAAAAhAFkEh4q+AAAA2gAAAA8AAAAAAAAA&#10;AAAAAAAABwIAAGRycy9kb3ducmV2LnhtbFBLBQYAAAAAAwADALcAAADyAgAAAAA=&#10;" fillcolor="window" strokecolor="#f79646" strokeweight="2pt">
                            <v:textbox>
                              <w:txbxContent>
                                <w:p w14:paraId="2B87428E" w14:textId="77777777" w:rsidR="00976DAD" w:rsidRPr="00A35C73" w:rsidRDefault="00976DAD" w:rsidP="009043AB">
                                  <w:pPr>
                                    <w:bidi/>
                                    <w:jc w:val="center"/>
                                    <w:rPr>
                                      <w:rFonts w:ascii="Traditional Arabic" w:hAnsi="Traditional Arabic" w:cs="Traditional Arabic"/>
                                      <w:b/>
                                      <w:bCs/>
                                      <w:sz w:val="28"/>
                                      <w:szCs w:val="28"/>
                                    </w:rPr>
                                  </w:pPr>
                                  <w:r w:rsidRPr="00A35C73">
                                    <w:rPr>
                                      <w:rFonts w:ascii="Traditional Arabic" w:hAnsi="Traditional Arabic" w:cs="Traditional Arabic"/>
                                      <w:b/>
                                      <w:bCs/>
                                      <w:sz w:val="32"/>
                                      <w:szCs w:val="32"/>
                                      <w:rtl/>
                                    </w:rPr>
                                    <w:t>الخطيط التدريسي</w:t>
                                  </w:r>
                                </w:p>
                                <w:p w14:paraId="7F1102EB" w14:textId="77777777" w:rsidR="00976DAD" w:rsidRPr="00225281" w:rsidRDefault="00976DAD" w:rsidP="009043AB">
                                  <w:pPr>
                                    <w:rPr>
                                      <w:rtl/>
                                      <w:lang w:bidi="ar-AE"/>
                                    </w:rPr>
                                  </w:pPr>
                                </w:p>
                              </w:txbxContent>
                            </v:textbox>
                          </v:rect>
                        </v:group>
                        <v:shapetype id="_x0000_t32" coordsize="21600,21600" o:spt="32" o:oned="t" path="m,l21600,21600e" filled="f">
                          <v:path arrowok="t" fillok="f" o:connecttype="none"/>
                          <o:lock v:ext="edit" shapetype="t"/>
                        </v:shapetype>
                        <v:shape id="رابط كسهم مستقيم 12" o:spid="_x0000_s1037" type="#_x0000_t32" style="position:absolute;left:16509;top:13239;width:20066;height:568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zxwQAAANsAAAAPAAAAZHJzL2Rvd25yZXYueG1sRE9LawIx&#10;EL4X/A9hhN5q1oVKWY3iA6FeClXxPGzGfbiZ7Caprv31plDwNh/fc2aL3jTiSs5XlhWMRwkI4tzq&#10;igsFx8P27QOED8gaG8uk4E4eFvPBywwzbW/8Tdd9KEQMYZ+hgjKENpPS5yUZ9CPbEkfubJ3BEKEr&#10;pHZ4i+GmkWmSTKTBimNDiS2tS8ov+x+jYLdx9W+3XHV1feiKzZc9tev3VKnXYb+cggjUh6f43/2p&#10;4/wU/n6JB8j5AwAA//8DAFBLAQItABQABgAIAAAAIQDb4fbL7gAAAIUBAAATAAAAAAAAAAAAAAAA&#10;AAAAAABbQ29udGVudF9UeXBlc10ueG1sUEsBAi0AFAAGAAgAAAAhAFr0LFu/AAAAFQEAAAsAAAAA&#10;AAAAAAAAAAAAHwEAAF9yZWxzLy5yZWxzUEsBAi0AFAAGAAgAAAAhADvn/PHBAAAA2wAAAA8AAAAA&#10;AAAAAAAAAAAABwIAAGRycy9kb3ducmV2LnhtbFBLBQYAAAAAAwADALcAAAD1AgAAAAA=&#10;" strokecolor="windowText" strokeweight="2pt">
                          <v:stroke endarrow="open"/>
                          <v:shadow on="t" color="black" opacity="24903f" origin=",.5" offset="0,.55556mm"/>
                        </v:shape>
                        <v:oval id="Oval 2024668143" o:spid="_x0000_s1038" style="position:absolute;left:19631;top:13601;width:6008;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0MLwQAAANsAAAAPAAAAZHJzL2Rvd25yZXYueG1sRE9Ni8Iw&#10;EL0L+x/CLHjT1BXE7RrFFYtePFS3ex6asa02k9JErf/eCIK3ebzPmS06U4srta6yrGA0jEAQ51ZX&#10;XCj4OySDKQjnkTXWlknBnRws5h+9Gcba3jil694XIoSwi1FB6X0TS+nykgy6oW2IA3e0rUEfYFtI&#10;3eIthJtafkXRRBqsODSU2NCqpPy8vxgF/8k4S75/7+50OaW7dLmuN8dVplT/s1v+gPDU+bf45d7q&#10;MH8Mz1/CAXL+AAAA//8DAFBLAQItABQABgAIAAAAIQDb4fbL7gAAAIUBAAATAAAAAAAAAAAAAAAA&#10;AAAAAABbQ29udGVudF9UeXBlc10ueG1sUEsBAi0AFAAGAAgAAAAhAFr0LFu/AAAAFQEAAAsAAAAA&#10;AAAAAAAAAAAAHwEAAF9yZWxzLy5yZWxzUEsBAi0AFAAGAAgAAAAhACEnQwvBAAAA2wAAAA8AAAAA&#10;AAAAAAAAAAAABwIAAGRycy9kb3ducmV2LnhtbFBLBQYAAAAAAwADALcAAAD1AgAAAAA=&#10;" fillcolor="window" strokecolor="windowText" strokeweight="2pt">
                          <v:textbox>
                            <w:txbxContent>
                              <w:p w14:paraId="76E44C48"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
                            </w:txbxContent>
                          </v:textbox>
                        </v:oval>
                        <v:shape id="رابط كسهم مستقيم 14" o:spid="_x0000_s1039" type="#_x0000_t32" style="position:absolute;left:16509;top:18925;width:20066;height:47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IfjwgAAANsAAAAPAAAAZHJzL2Rvd25yZXYueG1sRE/NasJA&#10;EL4X+g7LFLzpJiJSo6sUiyIeLNo+wJgds9HsbMxuNH37riD0Nh/f78wWna3EjRpfOlaQDhIQxLnT&#10;JRcKfr5X/XcQPiBrrByTgl/ysJi/vsww0+7Oe7odQiFiCPsMFZgQ6kxKnxuy6AeuJo7cyTUWQ4RN&#10;IXWD9xhuKzlMkrG0WHJsMFjT0lB+ObRWwbFO0+3EfK1H/npul6e2vW4+d0r13rqPKYhAXfgXP90b&#10;HeeP4PFLPEDO/wAAAP//AwBQSwECLQAUAAYACAAAACEA2+H2y+4AAACFAQAAEwAAAAAAAAAAAAAA&#10;AAAAAAAAW0NvbnRlbnRfVHlwZXNdLnhtbFBLAQItABQABgAIAAAAIQBa9CxbvwAAABUBAAALAAAA&#10;AAAAAAAAAAAAAB8BAABfcmVscy8ucmVsc1BLAQItABQABgAIAAAAIQDuTIfjwgAAANsAAAAPAAAA&#10;AAAAAAAAAAAAAAcCAABkcnMvZG93bnJldi54bWxQSwUGAAAAAAMAAwC3AAAA9gIAAAAA&#10;" strokecolor="windowText" strokeweight="2pt">
                          <v:stroke endarrow="open"/>
                          <v:shadow on="t" color="black" opacity="24903f" origin=",.5" offset="0,.55556mm"/>
                        </v:shape>
                        <v:oval id="Oval 2024668143" o:spid="_x0000_s1040" style="position:absolute;left:19690;top:17960;width:5951;height:29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n7kwQAAANsAAAAPAAAAZHJzL2Rvd25yZXYueG1sRE9Li8Iw&#10;EL4v+B/CCN7WVGUXrUZRsexePNTXeWjGttpMShO1/vuNsOBtPr7nzBatqcSdGldaVjDoRyCIM6tL&#10;zhUc9snnGITzyBory6TgSQ4W887HDGNtH5zSfedzEULYxaig8L6OpXRZQQZd39bEgTvbxqAPsMml&#10;bvARwk0lh1H0LQ2WHBoKrGldUHbd3YyCUzI6JpPV011ul3SbLjfVz3l9VKrXbZdTEJ5a/xb/u391&#10;mP8Fr1/CAXL+BwAA//8DAFBLAQItABQABgAIAAAAIQDb4fbL7gAAAIUBAAATAAAAAAAAAAAAAAAA&#10;AAAAAABbQ29udGVudF9UeXBlc10ueG1sUEsBAi0AFAAGAAgAAAAhAFr0LFu/AAAAFQEAAAsAAAAA&#10;AAAAAAAAAAAAHwEAAF9yZWxzLy5yZWxzUEsBAi0AFAAGAAgAAAAhAMGCfuTBAAAA2wAAAA8AAAAA&#10;AAAAAAAAAAAABwIAAGRycy9kb3ducmV2LnhtbFBLBQYAAAAAAwADALcAAAD1AgAAAAA=&#10;" fillcolor="window" strokecolor="windowText" strokeweight="2pt">
                          <v:textbox>
                            <w:txbxContent>
                              <w:p w14:paraId="1247DDEB"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v:textbox>
                        </v:oval>
                        <v:shape id="رابط كسهم مستقيم 18" o:spid="_x0000_s1041" type="#_x0000_t32" style="position:absolute;left:16509;top:18925;width:20066;height:70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Y3mxQAAANsAAAAPAAAAZHJzL2Rvd25yZXYueG1sRI9BT8Mw&#10;DIXvSPyHyEjcWFqEEHRLJzQEmjgwUfgBXuM2hcbpmnQr/x4fJnGz9Z7f+7xaz75XRxpjF9hAvshA&#10;EdfBdtwa+Pp8uXkAFROyxT4wGfilCOvy8mKFhQ0n/qBjlVolIRwLNOBSGgqtY+3IY1yEgVi0Jowe&#10;k6xjq+2IJwn3vb7NsnvtsWNpcDjQxlH9U03ewH7I87dHt3u9i4fvadNM02H7/G7M9dX8tASVaE7/&#10;5vP11gq+wMovMoAu/wAAAP//AwBQSwECLQAUAAYACAAAACEA2+H2y+4AAACFAQAAEwAAAAAAAAAA&#10;AAAAAAAAAAAAW0NvbnRlbnRfVHlwZXNdLnhtbFBLAQItABQABgAIAAAAIQBa9CxbvwAAABUBAAAL&#10;AAAAAAAAAAAAAAAAAB8BAABfcmVscy8ucmVsc1BLAQItABQABgAIAAAAIQBvAY3mxQAAANsAAAAP&#10;AAAAAAAAAAAAAAAAAAcCAABkcnMvZG93bnJldi54bWxQSwUGAAAAAAMAAwC3AAAA+QIAAAAA&#10;" strokecolor="windowText" strokeweight="2pt">
                          <v:stroke endarrow="open"/>
                          <v:shadow on="t" color="black" opacity="24903f" origin=",.5" offset="0,.55556mm"/>
                        </v:shape>
                        <v:oval id="Oval 2024668143" o:spid="_x0000_s1042" style="position:absolute;left:19499;top:22180;width:5949;height:31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3ThwQAAANsAAAAPAAAAZHJzL2Rvd25yZXYueG1sRE9Ni8Iw&#10;EL0L/ocwC9403RXEVqOobNHLHqrrnodmbKvNpDRR6783C4K3ebzPmS87U4sbta6yrOBzFIEgzq2u&#10;uFDwe0iHUxDOI2usLZOCBzlYLvq9OSba3jmj294XIoSwS1BB6X2TSOnykgy6kW2IA3eyrUEfYFtI&#10;3eI9hJtafkXRRBqsODSU2NCmpPyyvxoFf+n4mMbrhztfz9lPtvqut6fNUanBR7eagfDU+bf45d7p&#10;MD+G/1/CAXLxBAAA//8DAFBLAQItABQABgAIAAAAIQDb4fbL7gAAAIUBAAATAAAAAAAAAAAAAAAA&#10;AAAAAABbQ29udGVudF9UeXBlc10ueG1sUEsBAi0AFAAGAAgAAAAhAFr0LFu/AAAAFQEAAAsAAAAA&#10;AAAAAAAAAAAAHwEAAF9yZWxzLy5yZWxzUEsBAi0AFAAGAAgAAAAhAEDPdOHBAAAA2wAAAA8AAAAA&#10;AAAAAAAAAAAABwIAAGRycy9kb3ducmV2LnhtbFBLBQYAAAAAAwADALcAAAD1AgAAAAA=&#10;" fillcolor="window" strokecolor="windowText" strokeweight="2pt">
                          <v:textbox>
                            <w:txbxContent>
                              <w:p w14:paraId="6587AAC0" w14:textId="77777777" w:rsidR="00976DAD" w:rsidRPr="006179AE" w:rsidRDefault="00976D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v:textbox>
                        </v:oval>
                      </v:group>
                      <v:rect id="مستطيل 16" o:spid="_x0000_s1043" style="position:absolute;top:29527;width:16509;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bo6wQAAANsAAAAPAAAAZHJzL2Rvd25yZXYueG1sRE9La4NA&#10;EL4X+h+WKeRWV3MwxbpKCBTqQUrSSK+DOz6IOyvuJrH/vlso9DYf33PycjWTuNHiRssKkigGQdxa&#10;PXKv4Pz59vwCwnlkjZNlUvBNDsri8SHHTNs7H+l28r0IIewyVDB4P2dSunYggy6yM3HgOrsY9AEu&#10;vdQL3kO4meQ2jlNpcOTQMOBMh4Hay+lqFNRpXW+xar6aqjlUbpfoD99ppTZP6/4VhKfV/4v/3O86&#10;zE/h95dwgCx+AAAA//8DAFBLAQItABQABgAIAAAAIQDb4fbL7gAAAIUBAAATAAAAAAAAAAAAAAAA&#10;AAAAAABbQ29udGVudF9UeXBlc10ueG1sUEsBAi0AFAAGAAgAAAAhAFr0LFu/AAAAFQEAAAsAAAAA&#10;AAAAAAAAAAAAHwEAAF9yZWxzLy5yZWxzUEsBAi0AFAAGAAgAAAAhADexujrBAAAA2wAAAA8AAAAA&#10;AAAAAAAAAAAABwIAAGRycy9kb3ducmV2LnhtbFBLBQYAAAAAAwADALcAAAD1AgAAAAA=&#10;" fillcolor="white [3201]" strokecolor="#f79646 [3209]" strokeweight="2pt">
                        <v:textbox>
                          <w:txbxContent>
                            <w:p w14:paraId="5F41343D" w14:textId="77777777" w:rsidR="00976DAD" w:rsidRPr="00A35C73" w:rsidRDefault="00976D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v:textbox>
                      </v:rect>
                    </v:group>
                    <v:shape id="رابط كسهم مستقيم 33" o:spid="_x0000_s1044" type="#_x0000_t32" style="position:absolute;left:16509;top:18764;width:20066;height:147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EP3xQAAANsAAAAPAAAAZHJzL2Rvd25yZXYueG1sRI/RasJA&#10;FETfC/2H5Qp9q5tUKTW6SrFUxAel6gdcs9dsNHs3Zjca/94tFPo4zMwZZjLrbCWu1PjSsYK0n4Ag&#10;zp0uuVCw332/foDwAVlj5ZgU3MnDbPr8NMFMuxv/0HUbChEh7DNUYEKoMyl9bsii77uaOHpH11gM&#10;UTaF1A3eItxW8i1J3qXFkuOCwZrmhvLztrUKDnWarkZmsxj6y6mdH9v2svxaK/XS6z7HIAJ14T/8&#10;115qBYMB/H6JP0BOHwAAAP//AwBQSwECLQAUAAYACAAAACEA2+H2y+4AAACFAQAAEwAAAAAAAAAA&#10;AAAAAAAAAAAAW0NvbnRlbnRfVHlwZXNdLnhtbFBLAQItABQABgAIAAAAIQBa9CxbvwAAABUBAAAL&#10;AAAAAAAAAAAAAAAAAB8BAABfcmVscy8ucmVsc1BLAQItABQABgAIAAAAIQAqEEP3xQAAANsAAAAP&#10;AAAAAAAAAAAAAAAAAAcCAABkcnMvZG93bnJldi54bWxQSwUGAAAAAAMAAwC3AAAA+QIAAAAA&#10;" strokecolor="windowText" strokeweight="2pt">
                      <v:stroke endarrow="open"/>
                      <v:shadow on="t" color="black" opacity="24903f" origin=",.5" offset="0,.55556mm"/>
                    </v:shape>
                  </v:group>
                  <v:oval id="Oval 2024668143" o:spid="_x0000_s1045" style="position:absolute;left:19308;top:27608;width:6317;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4cfxAAAANsAAAAPAAAAZHJzL2Rvd25yZXYueG1sRI9Bi8Iw&#10;FITvwv6H8Ba8aeoqsluN4opFLx7qrp4fzbOtNi+liVr/vREEj8PMfMNM562pxJUaV1pWMOhHIIgz&#10;q0vOFfz/Jb1vEM4ja6wsk4I7OZjPPjpTjLW9cUrXnc9FgLCLUUHhfR1L6bKCDLq+rYmDd7SNQR9k&#10;k0vd4C3ATSW/omgsDZYcFgqsaVlQdt5djIJDMtwnP793d7qc0m26WFXr43KvVPezXUxAeGr9O/xq&#10;b7SC4QieX8IPkLMHAAAA//8DAFBLAQItABQABgAIAAAAIQDb4fbL7gAAAIUBAAATAAAAAAAAAAAA&#10;AAAAAAAAAABbQ29udGVudF9UeXBlc10ueG1sUEsBAi0AFAAGAAgAAAAhAFr0LFu/AAAAFQEAAAsA&#10;AAAAAAAAAAAAAAAAHwEAAF9yZWxzLy5yZWxzUEsBAi0AFAAGAAgAAAAhAOV7hx/EAAAA2wAAAA8A&#10;AAAAAAAAAAAAAAAABwIAAGRycy9kb3ducmV2LnhtbFBLBQYAAAAAAwADALcAAAD4AgAAAAA=&#10;" fillcolor="window" strokecolor="windowText" strokeweight="2pt">
                    <v:textbox>
                      <w:txbxContent>
                        <w:p w14:paraId="712E3655" w14:textId="77777777" w:rsidR="00976DAD" w:rsidRPr="00A35C73" w:rsidRDefault="00976D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
                      </w:txbxContent>
                    </v:textbox>
                  </v:oval>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1" o:spid="_x0000_s1046" type="#_x0000_t66" style="position:absolute;left:16478;top:2190;width:20002;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UXrxAAAANsAAAAPAAAAZHJzL2Rvd25yZXYueG1sRI9Li8JA&#10;EITvgv9haGFvOtGDSMxEVmXBx8X1cdhbk+nNhM30hMyo8d87grDHorq+6soWna3FjVpfOVYwHiUg&#10;iAunKy4VnE9fwxkIH5A11o5JwYM8LPJ+L8NUuzt/0+0YShEh7FNUYEJoUil9YciiH7mGOHq/rrUY&#10;omxLqVu8R7it5SRJptJixbHBYEMrQ8Xf8WrjG+66/NnW23XYsUmmq/3lsDlflPoYdJ9zEIG68H/8&#10;Tm+0gskYXlsiAGT+BAAA//8DAFBLAQItABQABgAIAAAAIQDb4fbL7gAAAIUBAAATAAAAAAAAAAAA&#10;AAAAAAAAAABbQ29udGVudF9UeXBlc10ueG1sUEsBAi0AFAAGAAgAAAAhAFr0LFu/AAAAFQEAAAsA&#10;AAAAAAAAAAAAAAAAHwEAAF9yZWxzLy5yZWxzUEsBAi0AFAAGAAgAAAAhABVdRevEAAAA2wAAAA8A&#10;AAAAAAAAAAAAAAAABwIAAGRycy9kb3ducmV2LnhtbFBLBQYAAAAAAwADALcAAAD4AgAAAAA=&#10;" adj="2616" fillcolor="#cdddac [1622]" strokecolor="#94b64e [3046]">
                  <v:fill color2="#f0f4e6 [502]" rotate="t" angle="180" colors="0 #dafda7;22938f #e4fdc2;1 #f5ffe6" focus="100%" type="gradient"/>
                  <v:shadow on="t" color="black" opacity="24903f" origin=",.5" offset="0,.55556mm"/>
                  <v:textbox>
                    <w:txbxContent>
                      <w:p w14:paraId="0662570F" w14:textId="77777777" w:rsidR="00976DAD" w:rsidRPr="00943DE4" w:rsidRDefault="00976D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v:textbox>
                </v:shape>
              </v:group>
            </w:pict>
          </mc:Fallback>
        </mc:AlternateContent>
      </w:r>
    </w:p>
    <w:p w14:paraId="5BC41F17"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CC60310" w14:textId="3CECCEA2"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370791E"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1CE35AED"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DE9927F" w14:textId="0C291CB5"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4A5BD25"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5561851" w14:textId="7FF97C51" w:rsidR="009043AB" w:rsidRPr="0049674D" w:rsidRDefault="009043AB" w:rsidP="009043AB">
      <w:pPr>
        <w:bidi/>
        <w:spacing w:after="0" w:line="360" w:lineRule="auto"/>
        <w:jc w:val="both"/>
        <w:rPr>
          <w:rFonts w:ascii="Traditional Arabic" w:eastAsia="Times New Roman" w:hAnsi="Traditional Arabic" w:cs="Traditional Arabic"/>
          <w:b/>
          <w:bCs/>
          <w:sz w:val="36"/>
          <w:szCs w:val="36"/>
          <w:rtl/>
        </w:rPr>
      </w:pPr>
    </w:p>
    <w:p w14:paraId="662F1879" w14:textId="23D7E987" w:rsidR="009043AB" w:rsidRPr="0049674D" w:rsidRDefault="009043AB" w:rsidP="0049674D">
      <w:pPr>
        <w:bidi/>
        <w:spacing w:after="0" w:line="360" w:lineRule="auto"/>
        <w:jc w:val="center"/>
        <w:rPr>
          <w:rFonts w:ascii="Traditional Arabic" w:hAnsi="Traditional Arabic" w:cs="Traditional Arabic"/>
          <w:b/>
          <w:bCs/>
          <w:sz w:val="28"/>
          <w:szCs w:val="28"/>
        </w:rPr>
      </w:pPr>
      <w:r w:rsidRPr="0049674D">
        <w:rPr>
          <w:rFonts w:ascii="Traditional Arabic" w:eastAsia="Times New Roman" w:hAnsi="Traditional Arabic" w:cs="Traditional Arabic" w:hint="cs"/>
          <w:b/>
          <w:bCs/>
          <w:sz w:val="28"/>
          <w:szCs w:val="28"/>
          <w:rtl/>
        </w:rPr>
        <w:t xml:space="preserve">الشكل رقم (1) </w:t>
      </w:r>
      <w:r w:rsidRPr="0049674D">
        <w:rPr>
          <w:rFonts w:ascii="Traditional Arabic" w:hAnsi="Traditional Arabic" w:cs="Traditional Arabic"/>
          <w:b/>
          <w:bCs/>
          <w:sz w:val="28"/>
          <w:szCs w:val="28"/>
          <w:rtl/>
        </w:rPr>
        <w:t>النموذج المفاهيمي للدراسة من إعداد الباحث بالاعتماد على</w:t>
      </w:r>
      <w:r w:rsidR="0049674D" w:rsidRPr="0049674D">
        <w:rPr>
          <w:rFonts w:ascii="Traditional Arabic" w:hAnsi="Traditional Arabic" w:cs="Traditional Arabic" w:hint="cs"/>
          <w:b/>
          <w:bCs/>
          <w:sz w:val="28"/>
          <w:szCs w:val="28"/>
          <w:rtl/>
        </w:rPr>
        <w:t xml:space="preserve"> دراسة</w:t>
      </w:r>
      <w:r w:rsidRPr="0049674D">
        <w:rPr>
          <w:rFonts w:ascii="Traditional Arabic" w:hAnsi="Traditional Arabic" w:cs="Traditional Arabic"/>
          <w:b/>
          <w:bCs/>
          <w:sz w:val="28"/>
          <w:szCs w:val="28"/>
          <w:rtl/>
        </w:rPr>
        <w:t xml:space="preserve"> </w:t>
      </w:r>
      <w:r w:rsidR="0049674D" w:rsidRPr="0049674D">
        <w:rPr>
          <w:rFonts w:ascii="Traditional Arabic" w:hAnsi="Traditional Arabic" w:cs="Traditional Arabic" w:hint="cs"/>
          <w:b/>
          <w:bCs/>
          <w:sz w:val="28"/>
          <w:szCs w:val="28"/>
          <w:rtl/>
        </w:rPr>
        <w:t>(</w:t>
      </w:r>
      <w:r w:rsidR="006504A0">
        <w:rPr>
          <w:rFonts w:ascii="Traditional Arabic" w:hAnsi="Traditional Arabic" w:cs="Traditional Arabic"/>
          <w:b/>
          <w:bCs/>
          <w:sz w:val="28"/>
          <w:szCs w:val="28"/>
          <w:rtl/>
        </w:rPr>
        <w:t xml:space="preserve">الحيكان، 2024؛ </w:t>
      </w:r>
      <w:r w:rsidRPr="0049674D">
        <w:rPr>
          <w:rFonts w:ascii="Traditional Arabic" w:hAnsi="Traditional Arabic" w:cs="Traditional Arabic"/>
          <w:b/>
          <w:bCs/>
          <w:sz w:val="28"/>
          <w:szCs w:val="28"/>
          <w:rtl/>
        </w:rPr>
        <w:t>الجراح</w:t>
      </w:r>
      <w:r w:rsidR="006504A0">
        <w:rPr>
          <w:rFonts w:ascii="Traditional Arabic" w:hAnsi="Traditional Arabic" w:cs="Traditional Arabic"/>
          <w:b/>
          <w:bCs/>
          <w:sz w:val="28"/>
          <w:szCs w:val="28"/>
        </w:rPr>
        <w:t xml:space="preserve"> </w:t>
      </w:r>
      <w:r w:rsidR="0041582E">
        <w:rPr>
          <w:rFonts w:ascii="Traditional Arabic" w:hAnsi="Traditional Arabic" w:cs="Traditional Arabic" w:hint="cs"/>
          <w:b/>
          <w:bCs/>
          <w:sz w:val="28"/>
          <w:szCs w:val="28"/>
          <w:rtl/>
        </w:rPr>
        <w:t xml:space="preserve">وأبو </w:t>
      </w:r>
      <w:r w:rsidR="006504A0">
        <w:rPr>
          <w:rFonts w:ascii="Traditional Arabic" w:hAnsi="Traditional Arabic" w:cs="Traditional Arabic" w:hint="cs"/>
          <w:b/>
          <w:bCs/>
          <w:sz w:val="28"/>
          <w:szCs w:val="28"/>
          <w:rtl/>
        </w:rPr>
        <w:t>عاشور</w:t>
      </w:r>
      <w:r w:rsidR="0049674D" w:rsidRPr="0049674D">
        <w:rPr>
          <w:rFonts w:ascii="Traditional Arabic" w:hAnsi="Traditional Arabic" w:cs="Traditional Arabic"/>
          <w:b/>
          <w:bCs/>
          <w:sz w:val="28"/>
          <w:szCs w:val="28"/>
          <w:rtl/>
        </w:rPr>
        <w:t>، 2021؛ الشهراني، 2024</w:t>
      </w:r>
      <w:r w:rsidR="0049674D" w:rsidRPr="0049674D">
        <w:rPr>
          <w:rFonts w:ascii="Traditional Arabic" w:hAnsi="Traditional Arabic" w:cs="Traditional Arabic"/>
          <w:b/>
          <w:bCs/>
          <w:sz w:val="28"/>
          <w:szCs w:val="28"/>
        </w:rPr>
        <w:t>(</w:t>
      </w:r>
    </w:p>
    <w:p w14:paraId="21231CE6" w14:textId="7C08519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2EFE081" w14:textId="77777777" w:rsidR="009043AB" w:rsidRDefault="009043AB" w:rsidP="009043AB">
      <w:pPr>
        <w:bidi/>
        <w:spacing w:after="0" w:line="360" w:lineRule="auto"/>
        <w:jc w:val="both"/>
        <w:rPr>
          <w:rFonts w:ascii="Traditional Arabic" w:eastAsia="Calibri" w:hAnsi="Traditional Arabic" w:cs="Traditional Arabic"/>
          <w:b/>
          <w:bCs/>
          <w:sz w:val="36"/>
          <w:szCs w:val="36"/>
          <w:rtl/>
          <w:lang w:bidi="ar-JO"/>
        </w:rPr>
      </w:pPr>
    </w:p>
    <w:p w14:paraId="0846BD6F" w14:textId="77777777" w:rsidR="005D4EE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1CDE0300" w14:textId="77777777" w:rsidR="005D4EED" w:rsidRPr="0049674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39C415CD" w14:textId="4F3F9E40" w:rsidR="00B6305B" w:rsidRPr="0049674D" w:rsidRDefault="00B6305B" w:rsidP="00A73BD3">
      <w:pPr>
        <w:bidi/>
        <w:spacing w:after="0" w:line="360" w:lineRule="auto"/>
        <w:jc w:val="both"/>
        <w:rPr>
          <w:rFonts w:ascii="Traditional Arabic" w:eastAsia="Calibri" w:hAnsi="Traditional Arabic" w:cs="Traditional Arabic"/>
          <w:b/>
          <w:bCs/>
          <w:sz w:val="36"/>
          <w:szCs w:val="36"/>
        </w:rPr>
      </w:pPr>
      <w:r w:rsidRPr="0049674D">
        <w:rPr>
          <w:rFonts w:ascii="Traditional Arabic" w:eastAsia="Calibri" w:hAnsi="Traditional Arabic" w:cs="Traditional Arabic"/>
          <w:b/>
          <w:bCs/>
          <w:sz w:val="36"/>
          <w:szCs w:val="36"/>
          <w:rtl/>
        </w:rPr>
        <w:t>حدود الدراسة</w:t>
      </w:r>
    </w:p>
    <w:p w14:paraId="267BB5F5" w14:textId="6C78F575" w:rsidR="00A73BD3" w:rsidRPr="0049674D" w:rsidRDefault="0049674D" w:rsidP="00A73BD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اولا: </w:t>
      </w:r>
      <w:r w:rsidR="00A73BD3" w:rsidRPr="0049674D">
        <w:rPr>
          <w:rFonts w:ascii="Traditional Arabic" w:eastAsia="Times New Roman" w:hAnsi="Traditional Arabic" w:cs="Traditional Arabic"/>
          <w:b/>
          <w:bCs/>
          <w:sz w:val="32"/>
          <w:szCs w:val="32"/>
          <w:rtl/>
        </w:rPr>
        <w:t>الحدود المكانية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تقتصر الدراسة على مدارس التعليم الابتدائي الواقعة في مدينة الرياض بالمملكة العربية السعودية، حيث </w:t>
      </w:r>
      <w:r w:rsidR="00A73BD3" w:rsidRPr="0049674D">
        <w:rPr>
          <w:rFonts w:ascii="Traditional Arabic" w:eastAsia="Times New Roman" w:hAnsi="Traditional Arabic" w:cs="Traditional Arabic"/>
          <w:sz w:val="32"/>
          <w:szCs w:val="32"/>
          <w:rtl/>
        </w:rPr>
        <w:lastRenderedPageBreak/>
        <w:t>تم اختيار المدارس الحكومية كمجتمع الدراسة الأساسي. ويرجع اختيار هذه المنطقة لأهميتها التعليمية وتركز جهود التنمية المهنية فيها</w:t>
      </w:r>
      <w:r w:rsidR="00A73BD3" w:rsidRPr="0049674D">
        <w:rPr>
          <w:rFonts w:ascii="Traditional Arabic" w:eastAsia="Times New Roman" w:hAnsi="Traditional Arabic" w:cs="Traditional Arabic"/>
          <w:sz w:val="32"/>
          <w:szCs w:val="32"/>
        </w:rPr>
        <w:t>.</w:t>
      </w:r>
    </w:p>
    <w:p w14:paraId="73003F2F" w14:textId="1CAF3B01"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ثانيا: </w:t>
      </w:r>
      <w:r w:rsidR="00A73BD3" w:rsidRPr="0049674D">
        <w:rPr>
          <w:rFonts w:ascii="Traditional Arabic" w:eastAsia="Times New Roman" w:hAnsi="Traditional Arabic" w:cs="Traditional Arabic"/>
          <w:b/>
          <w:bCs/>
          <w:sz w:val="32"/>
          <w:szCs w:val="32"/>
          <w:rtl/>
        </w:rPr>
        <w:t>الحدود الزمانية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تشمل الدراسة فترة زمنية تمتد من بداية العام الدراسي 202</w:t>
      </w:r>
      <w:r w:rsidR="00F700E3" w:rsidRPr="0049674D">
        <w:rPr>
          <w:rFonts w:ascii="Traditional Arabic" w:eastAsia="Times New Roman" w:hAnsi="Traditional Arabic" w:cs="Traditional Arabic" w:hint="cs"/>
          <w:sz w:val="32"/>
          <w:szCs w:val="32"/>
          <w:rtl/>
        </w:rPr>
        <w:t>5</w:t>
      </w:r>
      <w:r w:rsidR="00A73BD3" w:rsidRPr="0049674D">
        <w:rPr>
          <w:rFonts w:ascii="Traditional Arabic" w:eastAsia="Times New Roman" w:hAnsi="Traditional Arabic" w:cs="Traditional Arabic"/>
          <w:sz w:val="32"/>
          <w:szCs w:val="32"/>
          <w:rtl/>
        </w:rPr>
        <w:t>/202</w:t>
      </w:r>
      <w:r w:rsidR="00F700E3" w:rsidRPr="0049674D">
        <w:rPr>
          <w:rFonts w:ascii="Traditional Arabic" w:eastAsia="Times New Roman" w:hAnsi="Traditional Arabic" w:cs="Traditional Arabic" w:hint="cs"/>
          <w:sz w:val="32"/>
          <w:szCs w:val="32"/>
          <w:rtl/>
        </w:rPr>
        <w:t>6</w:t>
      </w:r>
      <w:r w:rsidR="00A73BD3" w:rsidRPr="0049674D">
        <w:rPr>
          <w:rFonts w:ascii="Traditional Arabic" w:eastAsia="Times New Roman" w:hAnsi="Traditional Arabic" w:cs="Traditional Arabic"/>
          <w:sz w:val="32"/>
          <w:szCs w:val="32"/>
          <w:rtl/>
        </w:rPr>
        <w:t xml:space="preserve"> </w:t>
      </w:r>
      <w:r w:rsidR="00F700E3" w:rsidRPr="0049674D">
        <w:rPr>
          <w:rFonts w:ascii="Traditional Arabic" w:eastAsia="Times New Roman" w:hAnsi="Traditional Arabic" w:cs="Traditional Arabic" w:hint="cs"/>
          <w:sz w:val="32"/>
          <w:szCs w:val="32"/>
          <w:rtl/>
        </w:rPr>
        <w:t xml:space="preserve"> </w:t>
      </w:r>
      <w:r w:rsidR="00A73BD3" w:rsidRPr="0049674D">
        <w:rPr>
          <w:rFonts w:ascii="Traditional Arabic" w:eastAsia="Times New Roman" w:hAnsi="Traditional Arabic" w:cs="Traditional Arabic"/>
          <w:sz w:val="32"/>
          <w:szCs w:val="32"/>
          <w:rtl/>
        </w:rPr>
        <w:t>وحتى نهايته</w:t>
      </w:r>
      <w:r w:rsidR="00F700E3" w:rsidRPr="0049674D">
        <w:rPr>
          <w:rFonts w:ascii="Traditional Arabic" w:eastAsia="Times New Roman" w:hAnsi="Traditional Arabic" w:cs="Traditional Arabic" w:hint="cs"/>
          <w:sz w:val="32"/>
          <w:szCs w:val="32"/>
          <w:rtl/>
        </w:rPr>
        <w:t xml:space="preserve"> (يحدد لاحقا)</w:t>
      </w:r>
      <w:r w:rsidR="00A73BD3" w:rsidRPr="0049674D">
        <w:rPr>
          <w:rFonts w:ascii="Traditional Arabic" w:eastAsia="Times New Roman" w:hAnsi="Traditional Arabic" w:cs="Traditional Arabic"/>
          <w:sz w:val="32"/>
          <w:szCs w:val="32"/>
          <w:rtl/>
        </w:rPr>
        <w:t>، وذلك لضمان جمع بيانات تعكس واقع التنمية المهنية وكفاءة المعلمين في سياق زمني محدد يعكس الممارسات الحالية</w:t>
      </w:r>
      <w:r w:rsidR="00A73BD3" w:rsidRPr="0049674D">
        <w:rPr>
          <w:rFonts w:ascii="Traditional Arabic" w:eastAsia="Times New Roman" w:hAnsi="Traditional Arabic" w:cs="Traditional Arabic"/>
          <w:sz w:val="32"/>
          <w:szCs w:val="32"/>
        </w:rPr>
        <w:t>.</w:t>
      </w:r>
    </w:p>
    <w:p w14:paraId="6B84DD57" w14:textId="3BEDFFF8"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ثالثا: </w:t>
      </w:r>
      <w:r w:rsidR="00A73BD3" w:rsidRPr="0049674D">
        <w:rPr>
          <w:rFonts w:ascii="Traditional Arabic" w:eastAsia="Times New Roman" w:hAnsi="Traditional Arabic" w:cs="Traditional Arabic"/>
          <w:b/>
          <w:bCs/>
          <w:sz w:val="32"/>
          <w:szCs w:val="32"/>
          <w:rtl/>
        </w:rPr>
        <w:t>الحدود البشرية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تستهدف الدراسة معلمي ومعلمات المرحلة الابتدائية في مدارس مدينة الرياض، مع التركيز على شريحة المعلمين الذين خضعوا لبرامج التنمية المهنية خلال العام الدراسي </w:t>
      </w:r>
      <w:r w:rsidR="00F700E3" w:rsidRPr="0049674D">
        <w:rPr>
          <w:rFonts w:ascii="Traditional Arabic" w:eastAsia="Times New Roman" w:hAnsi="Traditional Arabic" w:cs="Traditional Arabic" w:hint="cs"/>
          <w:sz w:val="32"/>
          <w:szCs w:val="32"/>
          <w:rtl/>
        </w:rPr>
        <w:t>(يحدد لاحقا)</w:t>
      </w:r>
      <w:r w:rsidR="00A73BD3" w:rsidRPr="0049674D">
        <w:rPr>
          <w:rFonts w:ascii="Traditional Arabic" w:eastAsia="Times New Roman" w:hAnsi="Traditional Arabic" w:cs="Traditional Arabic"/>
          <w:sz w:val="32"/>
          <w:szCs w:val="32"/>
          <w:rtl/>
        </w:rPr>
        <w:t>. كما تشمل الدراسة معلمي المواد الأساسية التي تركز على الكفاءة التدريسية مثل اللغة العربية، الرياضيات، والعلوم</w:t>
      </w:r>
      <w:r w:rsidR="00A73BD3" w:rsidRPr="0049674D">
        <w:rPr>
          <w:rFonts w:ascii="Traditional Arabic" w:eastAsia="Times New Roman" w:hAnsi="Traditional Arabic" w:cs="Traditional Arabic"/>
          <w:sz w:val="32"/>
          <w:szCs w:val="32"/>
        </w:rPr>
        <w:t>.</w:t>
      </w:r>
    </w:p>
    <w:p w14:paraId="07CC0AB9" w14:textId="130BFA6F" w:rsidR="00B6305B" w:rsidRPr="009F3813" w:rsidRDefault="009F3813" w:rsidP="00B6305B">
      <w:pPr>
        <w:bidi/>
        <w:spacing w:after="0" w:line="360" w:lineRule="auto"/>
        <w:jc w:val="both"/>
        <w:rPr>
          <w:rFonts w:ascii="Traditional Arabic" w:eastAsia="Calibri" w:hAnsi="Traditional Arabic" w:cs="Traditional Arabic"/>
          <w:color w:val="EE0000"/>
          <w:sz w:val="36"/>
          <w:szCs w:val="36"/>
          <w:rtl/>
        </w:rPr>
      </w:pPr>
      <w:commentRangeStart w:id="1"/>
      <w:r w:rsidRPr="009F3813">
        <w:rPr>
          <w:rFonts w:ascii="Traditional Arabic" w:eastAsia="Calibri" w:hAnsi="Traditional Arabic" w:cs="Traditional Arabic" w:hint="cs"/>
          <w:color w:val="EE0000"/>
          <w:sz w:val="36"/>
          <w:szCs w:val="36"/>
          <w:rtl/>
        </w:rPr>
        <w:t xml:space="preserve">توصيات </w:t>
      </w:r>
      <w:commentRangeEnd w:id="1"/>
      <w:r w:rsidRPr="009F3813">
        <w:rPr>
          <w:rStyle w:val="CommentReference"/>
          <w:rFonts w:ascii="Traditional Arabic" w:eastAsia="Calibri" w:hAnsi="Traditional Arabic" w:cs="Traditional Arabic" w:hint="cs"/>
          <w:color w:val="EE0000"/>
          <w:sz w:val="36"/>
          <w:szCs w:val="36"/>
          <w:rtl/>
        </w:rPr>
        <w:commentReference w:id="1"/>
      </w:r>
      <w:r w:rsidRPr="009F3813">
        <w:rPr>
          <w:rFonts w:ascii="Traditional Arabic" w:eastAsia="Calibri" w:hAnsi="Traditional Arabic" w:cs="Traditional Arabic" w:hint="cs"/>
          <w:color w:val="EE0000"/>
          <w:sz w:val="36"/>
          <w:szCs w:val="36"/>
          <w:rtl/>
        </w:rPr>
        <w:t>عامه لتجويد البحث:</w:t>
      </w:r>
    </w:p>
    <w:p w14:paraId="15ADB117" w14:textId="77777777" w:rsidR="005E1A75" w:rsidRPr="0049674D" w:rsidRDefault="005E1A75" w:rsidP="0065664D">
      <w:pPr>
        <w:bidi/>
        <w:spacing w:after="200" w:line="360" w:lineRule="auto"/>
        <w:jc w:val="both"/>
        <w:rPr>
          <w:rFonts w:ascii="Traditional Arabic" w:eastAsia="Calibri" w:hAnsi="Traditional Arabic" w:cs="Traditional Arabic"/>
          <w:b/>
          <w:bCs/>
          <w:sz w:val="32"/>
          <w:szCs w:val="32"/>
          <w:rtl/>
        </w:rPr>
      </w:pPr>
    </w:p>
    <w:p w14:paraId="3D1F13EE" w14:textId="77777777" w:rsidR="00F700E3" w:rsidRPr="0049674D" w:rsidRDefault="00F700E3" w:rsidP="005E1A75">
      <w:pPr>
        <w:bidi/>
        <w:spacing w:after="200" w:line="360" w:lineRule="auto"/>
        <w:jc w:val="both"/>
        <w:rPr>
          <w:rFonts w:ascii="Traditional Arabic" w:eastAsia="Calibri" w:hAnsi="Traditional Arabic" w:cs="Traditional Arabic"/>
          <w:b/>
          <w:bCs/>
          <w:sz w:val="32"/>
          <w:szCs w:val="32"/>
          <w:rtl/>
        </w:rPr>
      </w:pPr>
    </w:p>
    <w:p w14:paraId="18A45500" w14:textId="77777777" w:rsidR="0049674D" w:rsidRDefault="0049674D" w:rsidP="0049674D">
      <w:pPr>
        <w:bidi/>
        <w:spacing w:after="200" w:line="360" w:lineRule="auto"/>
        <w:jc w:val="both"/>
        <w:rPr>
          <w:rFonts w:ascii="Traditional Arabic" w:eastAsia="Calibri" w:hAnsi="Traditional Arabic" w:cs="Traditional Arabic"/>
          <w:b/>
          <w:bCs/>
          <w:sz w:val="32"/>
          <w:szCs w:val="32"/>
          <w:rtl/>
        </w:rPr>
      </w:pPr>
    </w:p>
    <w:p w14:paraId="2B5F0B53" w14:textId="77777777" w:rsidR="006504A0" w:rsidRPr="00DD6416" w:rsidRDefault="006504A0" w:rsidP="0041582E">
      <w:pPr>
        <w:pageBreakBefore/>
        <w:bidi/>
        <w:spacing w:after="200" w:line="360" w:lineRule="auto"/>
        <w:jc w:val="center"/>
        <w:rPr>
          <w:rFonts w:ascii="Traditional Arabic" w:eastAsia="Calibri" w:hAnsi="Traditional Arabic" w:cs="Traditional Arabic"/>
          <w:b/>
          <w:bCs/>
          <w:sz w:val="40"/>
          <w:szCs w:val="40"/>
          <w:rtl/>
        </w:rPr>
      </w:pPr>
      <w:commentRangeStart w:id="2"/>
      <w:r w:rsidRPr="00DD6416">
        <w:rPr>
          <w:rFonts w:ascii="Traditional Arabic" w:eastAsia="Calibri" w:hAnsi="Traditional Arabic" w:cs="Traditional Arabic" w:hint="cs"/>
          <w:b/>
          <w:bCs/>
          <w:sz w:val="40"/>
          <w:szCs w:val="40"/>
          <w:rtl/>
        </w:rPr>
        <w:lastRenderedPageBreak/>
        <w:t xml:space="preserve">الفصل </w:t>
      </w:r>
      <w:commentRangeEnd w:id="2"/>
      <w:r w:rsidR="00FF115F" w:rsidRPr="00DD6416">
        <w:rPr>
          <w:rStyle w:val="CommentReference"/>
          <w:rFonts w:ascii="Traditional Arabic" w:eastAsia="Calibri" w:hAnsi="Traditional Arabic" w:cs="Traditional Arabic" w:hint="cs"/>
          <w:b/>
          <w:bCs/>
          <w:sz w:val="40"/>
          <w:szCs w:val="40"/>
          <w:rtl/>
        </w:rPr>
        <w:commentReference w:id="2"/>
      </w:r>
      <w:r w:rsidRPr="00DD6416">
        <w:rPr>
          <w:rFonts w:ascii="Traditional Arabic" w:eastAsia="Calibri" w:hAnsi="Traditional Arabic" w:cs="Traditional Arabic" w:hint="cs"/>
          <w:b/>
          <w:bCs/>
          <w:sz w:val="40"/>
          <w:szCs w:val="40"/>
          <w:rtl/>
        </w:rPr>
        <w:t>الثاني</w:t>
      </w:r>
    </w:p>
    <w:p w14:paraId="78424252" w14:textId="77777777" w:rsidR="006504A0" w:rsidRPr="00DD6416" w:rsidRDefault="006504A0" w:rsidP="006504A0">
      <w:pPr>
        <w:bidi/>
        <w:spacing w:after="200" w:line="360" w:lineRule="auto"/>
        <w:jc w:val="center"/>
        <w:rPr>
          <w:rFonts w:ascii="Traditional Arabic" w:eastAsia="Calibri" w:hAnsi="Traditional Arabic" w:cs="Traditional Arabic"/>
          <w:b/>
          <w:bCs/>
          <w:sz w:val="40"/>
          <w:szCs w:val="40"/>
          <w:rtl/>
        </w:rPr>
      </w:pPr>
      <w:r w:rsidRPr="00DD6416">
        <w:rPr>
          <w:rFonts w:ascii="Traditional Arabic" w:eastAsia="Calibri" w:hAnsi="Traditional Arabic" w:cs="Traditional Arabic" w:hint="cs"/>
          <w:b/>
          <w:bCs/>
          <w:sz w:val="40"/>
          <w:szCs w:val="40"/>
          <w:rtl/>
        </w:rPr>
        <w:t>الاطار النظري والدراسات السابقة</w:t>
      </w:r>
    </w:p>
    <w:p w14:paraId="20F7357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46CA921C" w14:textId="5B53AB89" w:rsidR="006504A0" w:rsidRPr="00DD6416" w:rsidRDefault="006504A0" w:rsidP="006504A0">
      <w:pPr>
        <w:bidi/>
        <w:spacing w:after="200" w:line="360" w:lineRule="auto"/>
        <w:jc w:val="both"/>
        <w:rPr>
          <w:rFonts w:ascii="Traditional Arabic" w:eastAsia="Calibri" w:hAnsi="Traditional Arabic" w:cs="Traditional Arabic"/>
          <w:b/>
          <w:bCs/>
          <w:sz w:val="36"/>
          <w:szCs w:val="36"/>
          <w:rtl/>
        </w:rPr>
      </w:pPr>
      <w:r w:rsidRPr="00DD6416">
        <w:rPr>
          <w:rFonts w:ascii="Traditional Arabic" w:eastAsia="Calibri" w:hAnsi="Traditional Arabic" w:cs="Traditional Arabic" w:hint="cs"/>
          <w:b/>
          <w:bCs/>
          <w:sz w:val="36"/>
          <w:szCs w:val="36"/>
          <w:rtl/>
        </w:rPr>
        <w:t xml:space="preserve">المحور </w:t>
      </w:r>
      <w:r w:rsidR="0041582E" w:rsidRPr="00DD6416">
        <w:rPr>
          <w:rFonts w:ascii="Traditional Arabic" w:eastAsia="Calibri" w:hAnsi="Traditional Arabic" w:cs="Traditional Arabic" w:hint="cs"/>
          <w:b/>
          <w:bCs/>
          <w:sz w:val="36"/>
          <w:szCs w:val="36"/>
          <w:rtl/>
        </w:rPr>
        <w:t>الأول</w:t>
      </w:r>
      <w:r w:rsidRPr="00DD6416">
        <w:rPr>
          <w:rFonts w:ascii="Traditional Arabic" w:eastAsia="Calibri" w:hAnsi="Traditional Arabic" w:cs="Traditional Arabic" w:hint="cs"/>
          <w:b/>
          <w:bCs/>
          <w:sz w:val="36"/>
          <w:szCs w:val="36"/>
          <w:rtl/>
        </w:rPr>
        <w:t>: الاطار النظري للدراسة</w:t>
      </w:r>
    </w:p>
    <w:p w14:paraId="64541662" w14:textId="04E45D28"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 xml:space="preserve">المبحث </w:t>
      </w:r>
      <w:r w:rsidR="0041582E" w:rsidRPr="006504A0">
        <w:rPr>
          <w:rFonts w:ascii="Traditional Arabic" w:eastAsia="Calibri" w:hAnsi="Traditional Arabic" w:cs="Traditional Arabic" w:hint="cs"/>
          <w:b/>
          <w:bCs/>
          <w:sz w:val="32"/>
          <w:szCs w:val="32"/>
          <w:rtl/>
        </w:rPr>
        <w:t>الأول</w:t>
      </w:r>
      <w:r w:rsidRPr="006504A0">
        <w:rPr>
          <w:rFonts w:ascii="Traditional Arabic" w:eastAsia="Calibri" w:hAnsi="Traditional Arabic" w:cs="Traditional Arabic" w:hint="cs"/>
          <w:b/>
          <w:bCs/>
          <w:sz w:val="32"/>
          <w:szCs w:val="32"/>
          <w:rtl/>
        </w:rPr>
        <w:t>: ا</w:t>
      </w:r>
      <w:r w:rsidRPr="006504A0">
        <w:rPr>
          <w:rFonts w:ascii="Traditional Arabic" w:eastAsia="Calibri" w:hAnsi="Traditional Arabic" w:cs="Traditional Arabic"/>
          <w:b/>
          <w:bCs/>
          <w:sz w:val="32"/>
          <w:szCs w:val="32"/>
          <w:rtl/>
        </w:rPr>
        <w:t>لبناء المفاهيمي والنظري للدراسة</w:t>
      </w:r>
    </w:p>
    <w:p w14:paraId="08EBA21E" w14:textId="58756DC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تعد جودة المعلم من أكثر العوامل تأثيرا في فاعلية النظام التعليمي، إذ 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ان تحسين مخرجات التعليم لا يمكن تحقيقه دون الاستثمار في تطوير المعلمين مهنيا. ومع التحولات المتسارعة التي يشهدها التعليم نتيجة التقدم التكنولوجي وتغير متطلبات التعلم، لم يعد الاعداد الاولي للمعلم كافيا لضمان استمرارية كفاءته المهنية، بل أصبح التعلم المستمر ضرورة استراتيجية تفرضها طبيعة المهنة ذاتها. وفي هذا السياق، برزت التنمية المهنية بوصفها مدخلا إصلاحيا رئيسيا يستهدف تحسين الممارسات التدريسية وتعزيز قدرة المعلم على التكيف مع البيئات التعليمية المتغيرة</w:t>
      </w:r>
      <w:r w:rsidRPr="006504A0">
        <w:rPr>
          <w:rFonts w:ascii="Traditional Arabic" w:eastAsia="Calibri" w:hAnsi="Traditional Arabic" w:cs="Traditional Arabic"/>
          <w:sz w:val="32"/>
          <w:szCs w:val="32"/>
        </w:rPr>
        <w:t>.</w:t>
      </w:r>
    </w:p>
    <w:p w14:paraId="52B71DAF" w14:textId="615735B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تنسجم هذه الرؤية مع توجهات النظم التعليمية الحديثة التي تنظر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المعلم باعتباره متعلما مدى الحياة، يحتاج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تجديد معارفه وتطوير مهاراته بصورة مستمرة حتى يتمكن من الاستجابة لاحتياجات المتعلمين المتنوعة. وفي السياق السعودي، ارتبطت جهود التنمية المهنية بمبادرات تطوير التعليم ومعايير الرخصة المهنية،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يعكس انتقال السياسة التعليمية من التركيز على </w:t>
      </w:r>
      <w:r w:rsidR="00DD6416" w:rsidRPr="006504A0">
        <w:rPr>
          <w:rFonts w:ascii="Traditional Arabic" w:eastAsia="Calibri" w:hAnsi="Traditional Arabic" w:cs="Traditional Arabic" w:hint="cs"/>
          <w:sz w:val="32"/>
          <w:szCs w:val="32"/>
          <w:rtl/>
        </w:rPr>
        <w:t>الإعداد</w:t>
      </w:r>
      <w:r w:rsidRPr="006504A0">
        <w:rPr>
          <w:rFonts w:ascii="Traditional Arabic" w:eastAsia="Calibri" w:hAnsi="Traditional Arabic" w:cs="Traditional Arabic"/>
          <w:sz w:val="32"/>
          <w:szCs w:val="32"/>
          <w:rtl/>
        </w:rPr>
        <w:t xml:space="preserve"> </w:t>
      </w:r>
      <w:r w:rsidR="00DD6416" w:rsidRPr="006504A0">
        <w:rPr>
          <w:rFonts w:ascii="Traditional Arabic" w:eastAsia="Calibri" w:hAnsi="Traditional Arabic" w:cs="Traditional Arabic" w:hint="cs"/>
          <w:sz w:val="32"/>
          <w:szCs w:val="32"/>
          <w:rtl/>
        </w:rPr>
        <w:t>الأولي</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تبني نموذج النمو المهني المستدام (الحيكان، 2024).</w:t>
      </w:r>
    </w:p>
    <w:p w14:paraId="55FA92AC" w14:textId="77777777"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lastRenderedPageBreak/>
        <w:t>انطلاقا من ذلك، يتشكل الاطار النظري للدراسة الحالية حول محورين رئيسيين: التنمية المهنية للمعلمين بوصفها متغيرا مستقلا، والكفاءة التدريسية بوصفها متغيرا تابعا، مع تحليل العلاقة التفسيرية التي تربط بينهما</w:t>
      </w:r>
      <w:r w:rsidRPr="006504A0">
        <w:rPr>
          <w:rFonts w:ascii="Traditional Arabic" w:eastAsia="Calibri" w:hAnsi="Traditional Arabic" w:cs="Traditional Arabic"/>
          <w:sz w:val="32"/>
          <w:szCs w:val="32"/>
        </w:rPr>
        <w:t>.</w:t>
      </w:r>
    </w:p>
    <w:p w14:paraId="32F5AF1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08D9B0FF" w14:textId="4876C4E6" w:rsidR="006504A0" w:rsidRPr="006504A0" w:rsidRDefault="00DD6416"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أولا</w:t>
      </w:r>
      <w:r w:rsidR="006504A0" w:rsidRPr="006504A0">
        <w:rPr>
          <w:rFonts w:ascii="Traditional Arabic" w:eastAsia="Calibri" w:hAnsi="Traditional Arabic" w:cs="Traditional Arabic"/>
          <w:b/>
          <w:bCs/>
          <w:sz w:val="32"/>
          <w:szCs w:val="32"/>
          <w:rtl/>
        </w:rPr>
        <w:t xml:space="preserve">: التنمية المهنية للمعلمين – تطور المفهوم </w:t>
      </w:r>
      <w:r w:rsidRPr="006504A0">
        <w:rPr>
          <w:rFonts w:ascii="Traditional Arabic" w:eastAsia="Calibri" w:hAnsi="Traditional Arabic" w:cs="Traditional Arabic" w:hint="cs"/>
          <w:b/>
          <w:bCs/>
          <w:sz w:val="32"/>
          <w:szCs w:val="32"/>
          <w:rtl/>
        </w:rPr>
        <w:t>والأسس</w:t>
      </w:r>
      <w:r w:rsidR="006504A0" w:rsidRPr="006504A0">
        <w:rPr>
          <w:rFonts w:ascii="Traditional Arabic" w:eastAsia="Calibri" w:hAnsi="Traditional Arabic" w:cs="Traditional Arabic"/>
          <w:b/>
          <w:bCs/>
          <w:sz w:val="32"/>
          <w:szCs w:val="32"/>
          <w:rtl/>
        </w:rPr>
        <w:t xml:space="preserve"> النظرية</w:t>
      </w:r>
    </w:p>
    <w:p w14:paraId="2267D851" w14:textId="4878EB9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شهد مفهوم التنمية المهنية تحولا جوهريا خلال العقود الماضية، حيث انتقل من كونه نشاطا تدريبيا قصير المدى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كونه عملية تعلم مهني مستمرة ومنظمة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والممارسات الصفية للمعلمين. ويعرف </w:t>
      </w:r>
      <w:r w:rsidRPr="006504A0">
        <w:rPr>
          <w:rFonts w:ascii="Traditional Arabic" w:eastAsia="Calibri" w:hAnsi="Traditional Arabic" w:cs="Traditional Arabic" w:hint="cs"/>
          <w:sz w:val="32"/>
          <w:szCs w:val="32"/>
          <w:rtl/>
        </w:rPr>
        <w:t>(</w:t>
      </w:r>
      <w:r w:rsidRPr="006504A0">
        <w:rPr>
          <w:rFonts w:ascii="Traditional Arabic" w:eastAsia="Calibri" w:hAnsi="Traditional Arabic" w:cs="Traditional Arabic"/>
          <w:sz w:val="32"/>
          <w:szCs w:val="32"/>
        </w:rPr>
        <w:t>Guskey, 2002</w:t>
      </w:r>
      <w:r w:rsidRPr="006504A0">
        <w:rPr>
          <w:rFonts w:ascii="Traditional Arabic" w:eastAsia="Calibri" w:hAnsi="Traditional Arabic" w:cs="Traditional Arabic"/>
          <w:sz w:val="32"/>
          <w:szCs w:val="32"/>
          <w:rtl/>
        </w:rPr>
        <w:t xml:space="preserve">) التنمية المهنية بأنها مجموعة العمليات المتعمدة التي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إحداث تغيير في ممارسات المعلمين بما يؤدي في النهاية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تعلم الطلبة. ويشير هذا التعريف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ان القيمة الحقيقية للتنمية المهنية لا تكمن في التدريب ذاته، بل في قدرتها على إحداث تغيير قابل للملاحظة في السلوك التدريسي.</w:t>
      </w:r>
    </w:p>
    <w:p w14:paraId="04E25F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منظور أكثر شمولية، يرى</w:t>
      </w:r>
      <w:r w:rsidRPr="006504A0">
        <w:rPr>
          <w:rFonts w:ascii="Traditional Arabic" w:eastAsia="Calibri" w:hAnsi="Traditional Arabic" w:cs="Traditional Arabic"/>
          <w:sz w:val="32"/>
          <w:szCs w:val="32"/>
        </w:rPr>
        <w:t xml:space="preserve"> Desimone, (2009) </w:t>
      </w:r>
      <w:r w:rsidRPr="006504A0">
        <w:rPr>
          <w:rFonts w:ascii="Traditional Arabic" w:eastAsia="Calibri" w:hAnsi="Traditional Arabic" w:cs="Traditional Arabic"/>
          <w:sz w:val="32"/>
          <w:szCs w:val="32"/>
          <w:rtl/>
        </w:rPr>
        <w:t>ان التنمية المهنية تمثل نظاما مترابطا من الخبرات التعليمية التي تركز على محتوى التخصص، وتدعم التعلم النشط، وتعزز التعاون بين المعلمين، وتوفر تغذية راجعة مستمرة. ويعد هذا الطرح من أكثر النماذج تأثيرا في تفسير فاعلية برامج التطوير المهني، اذ يربط بين خصائص البرنامج وبين التغير المتوقع في معرفة المعلم وممارساته</w:t>
      </w:r>
      <w:r w:rsidRPr="006504A0">
        <w:rPr>
          <w:rFonts w:ascii="Traditional Arabic" w:eastAsia="Calibri" w:hAnsi="Traditional Arabic" w:cs="Traditional Arabic"/>
          <w:sz w:val="32"/>
          <w:szCs w:val="32"/>
        </w:rPr>
        <w:t>.</w:t>
      </w:r>
    </w:p>
    <w:p w14:paraId="7B6F4944" w14:textId="4EDFCA1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وتدعم نتائج</w:t>
      </w:r>
      <w:r w:rsidRPr="006504A0">
        <w:rPr>
          <w:rFonts w:ascii="Traditional Arabic" w:eastAsia="Calibri" w:hAnsi="Traditional Arabic" w:cs="Traditional Arabic"/>
          <w:sz w:val="32"/>
          <w:szCs w:val="32"/>
        </w:rPr>
        <w:t xml:space="preserve"> Garet et al. (2001) </w:t>
      </w:r>
      <w:r w:rsidRPr="006504A0">
        <w:rPr>
          <w:rFonts w:ascii="Traditional Arabic" w:eastAsia="Calibri" w:hAnsi="Traditional Arabic" w:cs="Traditional Arabic"/>
          <w:sz w:val="32"/>
          <w:szCs w:val="32"/>
          <w:rtl/>
        </w:rPr>
        <w:t xml:space="preserve">هذا الاتجاه، حيث توصلت دراستهم واسعة النطاق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ان البرامج المهنية تكون أكثر تأثيرا عندما تتسم بالاستمرارية والتركيز على المحتوى وإتاحة فرص التطبيق العملي، </w:t>
      </w:r>
      <w:r w:rsidRPr="006504A0">
        <w:rPr>
          <w:rFonts w:ascii="Traditional Arabic" w:eastAsia="Calibri" w:hAnsi="Traditional Arabic" w:cs="Traditional Arabic"/>
          <w:sz w:val="32"/>
          <w:szCs w:val="32"/>
          <w:rtl/>
        </w:rPr>
        <w:lastRenderedPageBreak/>
        <w:t xml:space="preserve">وهو ما يؤكد ان التنمية المهنية الفعالة تتجاوز النموذج التقليدي القائم على المحاضرات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نموذج تعلم مهني تفاعلي</w:t>
      </w:r>
      <w:r w:rsidRPr="006504A0">
        <w:rPr>
          <w:rFonts w:ascii="Traditional Arabic" w:eastAsia="Calibri" w:hAnsi="Traditional Arabic" w:cs="Traditional Arabic"/>
          <w:sz w:val="32"/>
          <w:szCs w:val="32"/>
        </w:rPr>
        <w:t>.</w:t>
      </w:r>
    </w:p>
    <w:p w14:paraId="775AA14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ويتفق هذا التصور مع ما أشارت اليه الدراسات العربية، حيث تؤكد ان التنمية المهنية تمثل أداة استراتيجية لتحسين جودة التعليم من خلال تمكين المعلمين من مواكبة المستجدات التربوية وتعزيز ممارساتهم الصفية (الفجام، المنصوري، والدويلة، 2017). كما يرى أبو كشك ومهدي (2016) ان التطوير المهني يسهم في بناء معلم قادر على التفكير التأملي واتخاذ قرارات تربوية أكثر فاعلية داخل الصف.</w:t>
      </w:r>
    </w:p>
    <w:p w14:paraId="6AEADA84" w14:textId="53710C67"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من زاوية تفسيرية، يقدم</w:t>
      </w:r>
      <w:r w:rsidRPr="006504A0">
        <w:rPr>
          <w:rFonts w:ascii="Traditional Arabic" w:eastAsia="Calibri" w:hAnsi="Traditional Arabic" w:cs="Traditional Arabic"/>
          <w:sz w:val="32"/>
          <w:szCs w:val="32"/>
        </w:rPr>
        <w:t xml:space="preserve"> Guskey, (2002) </w:t>
      </w:r>
      <w:r w:rsidRPr="006504A0">
        <w:rPr>
          <w:rFonts w:ascii="Traditional Arabic" w:eastAsia="Calibri" w:hAnsi="Traditional Arabic" w:cs="Traditional Arabic"/>
          <w:sz w:val="32"/>
          <w:szCs w:val="32"/>
          <w:rtl/>
        </w:rPr>
        <w:t xml:space="preserve">نموذجا مهما لفهم آلية تأثير التنمية المهنية، إذ يرى ان التغيير في معتقدات المعلم لا يحدث مباشرة بعد التدريب، بل يبدأ غالبا بتغيير الممارسة التدريسية، ثم يظهر أثره في تحسن تعلم الطلبة،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يؤدي لاحقا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تعديل قناعات المعلم المهنية. ويعد هذا التسلسل من النماذج النظرية الجوهرية في تفسير العلاقة بين التدريب وتحسين الأداء</w:t>
      </w:r>
      <w:r w:rsidRPr="006504A0">
        <w:rPr>
          <w:rFonts w:ascii="Traditional Arabic" w:eastAsia="Calibri" w:hAnsi="Traditional Arabic" w:cs="Traditional Arabic"/>
          <w:sz w:val="32"/>
          <w:szCs w:val="32"/>
        </w:rPr>
        <w:t>.</w:t>
      </w:r>
    </w:p>
    <w:p w14:paraId="164A35B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4ECDE82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ثانيا: </w:t>
      </w:r>
      <w:r w:rsidRPr="006504A0">
        <w:rPr>
          <w:rFonts w:ascii="Traditional Arabic" w:eastAsia="Calibri" w:hAnsi="Traditional Arabic" w:cs="Traditional Arabic"/>
          <w:b/>
          <w:bCs/>
          <w:sz w:val="32"/>
          <w:szCs w:val="32"/>
          <w:rtl/>
        </w:rPr>
        <w:t>خصائص التنمية المهنية الفعالة</w:t>
      </w:r>
    </w:p>
    <w:p w14:paraId="4C50C151" w14:textId="3BA689E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ان فاعلية برامج التنمية المهنية تعتمد على مجموعة من الخصائص الجوهرية. فقد أكدت </w:t>
      </w:r>
      <w:r w:rsidRPr="006504A0">
        <w:rPr>
          <w:rFonts w:ascii="Traditional Arabic" w:eastAsia="Calibri" w:hAnsi="Traditional Arabic" w:cs="Traditional Arabic"/>
          <w:sz w:val="32"/>
          <w:szCs w:val="32"/>
        </w:rPr>
        <w:t>Darling-Hammond et al. 2017)</w:t>
      </w:r>
      <w:r w:rsidRPr="006504A0">
        <w:rPr>
          <w:rFonts w:ascii="Traditional Arabic" w:eastAsia="Calibri" w:hAnsi="Traditional Arabic" w:cs="Traditional Arabic"/>
          <w:sz w:val="32"/>
          <w:szCs w:val="32"/>
          <w:rtl/>
        </w:rPr>
        <w:t>) ان البرامج التي تدمج التعلم النشط، وتربط التدريب بالممارسة، وتوفر دعما مستمرا داخل المدرسة، تحقق تأثيرا أكبر في تحسين التدريس مقارنة بالبرامج القصيرة والمنفصلة عن الواقع التعليمي</w:t>
      </w:r>
      <w:r w:rsidRPr="006504A0">
        <w:rPr>
          <w:rFonts w:ascii="Traditional Arabic" w:eastAsia="Calibri" w:hAnsi="Traditional Arabic" w:cs="Traditional Arabic"/>
          <w:sz w:val="32"/>
          <w:szCs w:val="32"/>
        </w:rPr>
        <w:t>.</w:t>
      </w:r>
    </w:p>
    <w:p w14:paraId="51151864" w14:textId="19CA576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في السياق ذاته، يوضح</w:t>
      </w:r>
      <w:r w:rsidRPr="006504A0">
        <w:rPr>
          <w:rFonts w:ascii="Traditional Arabic" w:eastAsia="Calibri" w:hAnsi="Traditional Arabic" w:cs="Traditional Arabic"/>
          <w:sz w:val="32"/>
          <w:szCs w:val="32"/>
        </w:rPr>
        <w:t xml:space="preserve"> Joyce and Showers, (2002) </w:t>
      </w:r>
      <w:r w:rsidRPr="006504A0">
        <w:rPr>
          <w:rFonts w:ascii="Traditional Arabic" w:eastAsia="Calibri" w:hAnsi="Traditional Arabic" w:cs="Traditional Arabic"/>
          <w:sz w:val="32"/>
          <w:szCs w:val="32"/>
          <w:rtl/>
        </w:rPr>
        <w:t xml:space="preserve">ان التدريب لا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تغيير فعلي في الممارسة ما لم يتبعه تدريب عملي وملاحظة صفية وتغذية راجعة، وهو ما يعرف بالتدريب المصحوب </w:t>
      </w:r>
      <w:r w:rsidRPr="006504A0">
        <w:rPr>
          <w:rFonts w:ascii="Traditional Arabic" w:eastAsia="Calibri" w:hAnsi="Traditional Arabic" w:cs="Traditional Arabic"/>
          <w:sz w:val="32"/>
          <w:szCs w:val="32"/>
          <w:rtl/>
        </w:rPr>
        <w:lastRenderedPageBreak/>
        <w:t>بالدعم المهني. وتكتسب هذه الفكرة أهمية خاصة في المرحلة الابتدائية، حيث تعتمد جودة التدريس بدرجة كبيرة على المهارات التطبيقية للمعلم</w:t>
      </w:r>
      <w:r w:rsidRPr="006504A0">
        <w:rPr>
          <w:rFonts w:ascii="Traditional Arabic" w:eastAsia="Calibri" w:hAnsi="Traditional Arabic" w:cs="Traditional Arabic"/>
          <w:sz w:val="32"/>
          <w:szCs w:val="32"/>
        </w:rPr>
        <w:t>.</w:t>
      </w:r>
    </w:p>
    <w:p w14:paraId="3155979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تنسجم هذه النتائج مع ما توصلت اليه دراسة</w:t>
      </w:r>
      <w:r w:rsidRPr="006504A0">
        <w:rPr>
          <w:rFonts w:ascii="Traditional Arabic" w:eastAsia="Calibri" w:hAnsi="Traditional Arabic" w:cs="Traditional Arabic"/>
          <w:sz w:val="32"/>
          <w:szCs w:val="32"/>
        </w:rPr>
        <w:t xml:space="preserve"> Alhazmi et al. (2022) </w:t>
      </w:r>
      <w:r w:rsidRPr="006504A0">
        <w:rPr>
          <w:rFonts w:ascii="Traditional Arabic" w:eastAsia="Calibri" w:hAnsi="Traditional Arabic" w:cs="Traditional Arabic"/>
          <w:sz w:val="32"/>
          <w:szCs w:val="32"/>
          <w:rtl/>
        </w:rPr>
        <w:t>التي أكدت ضرورة مواءمة برامج التنمية المهنية مع معايير الرخصة المهنية لضمان تحسين الأداء التدريسي</w:t>
      </w:r>
      <w:r w:rsidRPr="006504A0">
        <w:rPr>
          <w:rFonts w:ascii="Traditional Arabic" w:eastAsia="Calibri" w:hAnsi="Traditional Arabic" w:cs="Traditional Arabic"/>
          <w:sz w:val="32"/>
          <w:szCs w:val="32"/>
        </w:rPr>
        <w:t>.</w:t>
      </w:r>
    </w:p>
    <w:p w14:paraId="3BA6090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lang w:bidi="ar-JO"/>
        </w:rPr>
      </w:pPr>
    </w:p>
    <w:p w14:paraId="6BB409D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ثالثا</w:t>
      </w:r>
      <w:r w:rsidRPr="006504A0">
        <w:rPr>
          <w:rFonts w:ascii="Traditional Arabic" w:eastAsia="Calibri" w:hAnsi="Traditional Arabic" w:cs="Traditional Arabic"/>
          <w:b/>
          <w:bCs/>
          <w:sz w:val="32"/>
          <w:szCs w:val="32"/>
          <w:rtl/>
        </w:rPr>
        <w:t>: الكفاءة التدريسية – الجذور المفاهيمية والبناء النظري</w:t>
      </w:r>
    </w:p>
    <w:p w14:paraId="74EB13FC" w14:textId="2C420F3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تعد الكفاءة التدريسية مفهوما محوريا في أدبيات إعداد المعلمين، وقد تطور هذا المفهوم ليشمل مزيجا من المعارف المهنية والمهارات التطبيقية والقدرة على اتخاذ قرارات تعليمية فعالة. ويعد طرح</w:t>
      </w:r>
      <w:r w:rsidRPr="006504A0">
        <w:rPr>
          <w:rFonts w:ascii="Traditional Arabic" w:eastAsia="Calibri" w:hAnsi="Traditional Arabic" w:cs="Traditional Arabic"/>
          <w:sz w:val="32"/>
          <w:szCs w:val="32"/>
        </w:rPr>
        <w:t xml:space="preserve"> Shulman, (1986) </w:t>
      </w:r>
      <w:r w:rsidRPr="006504A0">
        <w:rPr>
          <w:rFonts w:ascii="Traditional Arabic" w:eastAsia="Calibri" w:hAnsi="Traditional Arabic" w:cs="Traditional Arabic"/>
          <w:sz w:val="32"/>
          <w:szCs w:val="32"/>
          <w:rtl/>
        </w:rPr>
        <w:t xml:space="preserve">حول "المعرفة التربوية للمحتوى" من أهم المداخل النظرية في هذا المجال، حيث أكد ان المعلم الكفء ليس من يمتلك المعرفة العلمية فقط، بل من يستطيع تحويلها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خبرات تعلم قابلة للفهم لدى الطلبة</w:t>
      </w:r>
      <w:r w:rsidRPr="006504A0">
        <w:rPr>
          <w:rFonts w:ascii="Traditional Arabic" w:eastAsia="Calibri" w:hAnsi="Traditional Arabic" w:cs="Traditional Arabic"/>
          <w:sz w:val="32"/>
          <w:szCs w:val="32"/>
        </w:rPr>
        <w:t>.</w:t>
      </w:r>
    </w:p>
    <w:p w14:paraId="796AAD4B" w14:textId="2D93D9D8"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في هذا الإطار، تعرف الكفاءة التدريسية بأنها قدرة المعلم على التخطيط للتدريس وتنفيذه وتقويمه وإدارة بيئة التعلم بطريقة تحقق الأهداف التعليمية (الشهراني، 2024). كما تشير </w:t>
      </w:r>
      <w:r w:rsidRPr="006504A0">
        <w:rPr>
          <w:rFonts w:ascii="Traditional Arabic" w:eastAsia="Calibri" w:hAnsi="Traditional Arabic" w:cs="Traditional Arabic" w:hint="cs"/>
          <w:sz w:val="32"/>
          <w:szCs w:val="32"/>
          <w:rtl/>
        </w:rPr>
        <w:t xml:space="preserve">دراسة </w:t>
      </w:r>
      <w:r w:rsidRPr="006504A0">
        <w:rPr>
          <w:rFonts w:ascii="Traditional Arabic" w:eastAsia="Calibri" w:hAnsi="Traditional Arabic" w:cs="Traditional Arabic"/>
          <w:sz w:val="32"/>
          <w:szCs w:val="32"/>
          <w:rtl/>
        </w:rPr>
        <w:t xml:space="preserve">عرار (2023) </w:t>
      </w:r>
      <w:r w:rsidR="00976DAD">
        <w:rPr>
          <w:rFonts w:ascii="Traditional Arabic" w:eastAsia="Calibri" w:hAnsi="Traditional Arabic" w:cs="Traditional Arabic" w:hint="cs"/>
          <w:sz w:val="32"/>
          <w:szCs w:val="32"/>
          <w:rtl/>
        </w:rPr>
        <w:t>إلى</w:t>
      </w:r>
      <w:r w:rsidRPr="006504A0">
        <w:rPr>
          <w:rFonts w:ascii="Traditional Arabic" w:eastAsia="Calibri" w:hAnsi="Traditional Arabic" w:cs="Traditional Arabic"/>
          <w:sz w:val="32"/>
          <w:szCs w:val="32"/>
          <w:rtl/>
        </w:rPr>
        <w:t xml:space="preserve"> ان الكفاءة تمثل مؤشرا مباشرا على جودة الممارسات الصفية، وترتبط ارتباطا وثيقا بمستوى التدريب الذي يتلقاه المعلم</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وتؤكد الأدبيات ان الكفاءة ليست سمة ثابتة، بل بناء مهني قابل للتطور عبر التعلم والخبرة. </w:t>
      </w:r>
      <w:r w:rsidRPr="006504A0">
        <w:rPr>
          <w:rFonts w:ascii="Traditional Arabic" w:eastAsia="Calibri" w:hAnsi="Traditional Arabic" w:cs="Traditional Arabic" w:hint="cs"/>
          <w:sz w:val="32"/>
          <w:szCs w:val="32"/>
          <w:rtl/>
        </w:rPr>
        <w:t xml:space="preserve">وان </w:t>
      </w:r>
      <w:r w:rsidRPr="006504A0">
        <w:rPr>
          <w:rFonts w:ascii="Traditional Arabic" w:eastAsia="Calibri" w:hAnsi="Traditional Arabic" w:cs="Traditional Arabic"/>
          <w:sz w:val="32"/>
          <w:szCs w:val="32"/>
          <w:rtl/>
        </w:rPr>
        <w:t>المعلمين الذين يشاركون بانتظام في برامج التطوير المهني يظهرون مستويات أعلى من الثقة المهنية والقدرة على إدارة الصف واستخدام استراتيجيات تدريس متنوعة</w:t>
      </w:r>
      <w:r w:rsidRPr="006504A0">
        <w:rPr>
          <w:rFonts w:ascii="Traditional Arabic" w:eastAsia="Calibri" w:hAnsi="Traditional Arabic" w:cs="Traditional Arabic" w:hint="cs"/>
          <w:sz w:val="32"/>
          <w:szCs w:val="32"/>
          <w:rtl/>
        </w:rPr>
        <w:t xml:space="preserve"> (عموش، 2020)</w:t>
      </w:r>
      <w:r w:rsidRPr="006504A0">
        <w:rPr>
          <w:rFonts w:ascii="Traditional Arabic" w:eastAsia="Calibri" w:hAnsi="Traditional Arabic" w:cs="Traditional Arabic"/>
          <w:sz w:val="32"/>
          <w:szCs w:val="32"/>
          <w:rtl/>
        </w:rPr>
        <w:t>.</w:t>
      </w:r>
    </w:p>
    <w:p w14:paraId="37FB375F"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0C87151A"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lastRenderedPageBreak/>
        <w:t xml:space="preserve">رابعا: </w:t>
      </w:r>
      <w:r w:rsidRPr="006504A0">
        <w:rPr>
          <w:rFonts w:ascii="Traditional Arabic" w:eastAsia="Calibri" w:hAnsi="Traditional Arabic" w:cs="Traditional Arabic"/>
          <w:b/>
          <w:bCs/>
          <w:sz w:val="32"/>
          <w:szCs w:val="32"/>
          <w:rtl/>
        </w:rPr>
        <w:t>ابعاد الكفاءة التدريسية</w:t>
      </w:r>
    </w:p>
    <w:p w14:paraId="35414DDA"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تعكس الكفاءة التدريسية منظومة متكاملة من الممارسات، من أبرزها التخطيط للتدريس، وإدارة الصف، والتقويم، والتفاعل مع الطلاب. وقد أظهرت دراسة سلام والزهيري (2022) ان التخطيط يعد أساس العملية التدريسية، إذ يوجه اختيار الاستراتيجيات التعليمية وينظم خبرات التعلم</w:t>
      </w:r>
      <w:r w:rsidRPr="006504A0">
        <w:rPr>
          <w:rFonts w:ascii="Traditional Arabic" w:eastAsia="Calibri" w:hAnsi="Traditional Arabic" w:cs="Traditional Arabic"/>
          <w:sz w:val="32"/>
          <w:szCs w:val="32"/>
        </w:rPr>
        <w:t>.</w:t>
      </w:r>
    </w:p>
    <w:p w14:paraId="360C4A17" w14:textId="2AFE2000" w:rsidR="006504A0" w:rsidRDefault="006504A0" w:rsidP="00DD6416">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أما إدارة الصف، فتمثل شرطا ضروريا لحدوث التعلم، حيث تشير دراسة القطاوي (2022)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ان قدرة المعلم على تنظيم البيئة الصفية ترتبط مباشرة بمستوى تحصيل الطلبة. وفيما يتعلق بالتقويم، توصل الجراح وأبو عاشور (2021)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علاقة إيجابية بين فاعلية البرامج التدريبية وتحسن أداء المعلمين في استخدام أدوات التقييم</w:t>
      </w:r>
      <w:r w:rsidR="00DD6416">
        <w:rPr>
          <w:rFonts w:ascii="Traditional Arabic" w:eastAsia="Calibri" w:hAnsi="Traditional Arabic" w:cs="Traditional Arabic"/>
          <w:sz w:val="32"/>
          <w:szCs w:val="32"/>
        </w:rPr>
        <w:t>.</w:t>
      </w:r>
      <w:r w:rsidR="00DD6416">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كما تبرز مهارات التواصل مع الطلاب كأحد مؤشرات الكفاءة الحديثة، حيث تؤكد </w:t>
      </w:r>
      <w:r w:rsidRPr="006504A0">
        <w:rPr>
          <w:rFonts w:ascii="Traditional Arabic" w:eastAsia="Calibri" w:hAnsi="Traditional Arabic" w:cs="Traditional Arabic" w:hint="cs"/>
          <w:sz w:val="32"/>
          <w:szCs w:val="32"/>
          <w:rtl/>
        </w:rPr>
        <w:t>(</w:t>
      </w:r>
      <w:r w:rsidRPr="006504A0">
        <w:rPr>
          <w:rFonts w:ascii="Traditional Arabic" w:eastAsia="Calibri" w:hAnsi="Traditional Arabic" w:cs="Traditional Arabic"/>
          <w:sz w:val="32"/>
          <w:szCs w:val="32"/>
        </w:rPr>
        <w:t>Alsamiri, 2024</w:t>
      </w:r>
      <w:r w:rsidRPr="006504A0">
        <w:rPr>
          <w:rFonts w:ascii="Traditional Arabic" w:eastAsia="Calibri" w:hAnsi="Traditional Arabic" w:cs="Traditional Arabic"/>
          <w:sz w:val="32"/>
          <w:szCs w:val="32"/>
          <w:rtl/>
        </w:rPr>
        <w:t>) ان التنمية المهنية تسهم في تعزيز وعي المعلمين باحتياجات الطلبة وتدعم قدرتهم على بناء علاقات تعليمية إيجابية.</w:t>
      </w:r>
    </w:p>
    <w:p w14:paraId="3B881074"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10831326"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خامسا</w:t>
      </w:r>
      <w:r w:rsidRPr="006504A0">
        <w:rPr>
          <w:rFonts w:ascii="Traditional Arabic" w:eastAsia="Calibri" w:hAnsi="Traditional Arabic" w:cs="Traditional Arabic"/>
          <w:b/>
          <w:bCs/>
          <w:sz w:val="32"/>
          <w:szCs w:val="32"/>
          <w:rtl/>
        </w:rPr>
        <w:t>: العلاقة النظرية بين التنمية المهنية والكفاءة التدريسية</w:t>
      </w:r>
    </w:p>
    <w:p w14:paraId="0F825487" w14:textId="0C4F733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تستند العلاقة بين التنمية المهنية وكفاءة المعلم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افتراض نظري مفاده ان التعلم المهني المنظم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والتي تنعكس بدورها على الممارسة الصفية، ثم على تعلم الطلبة. وقد قدم </w:t>
      </w:r>
      <w:r w:rsidRPr="006504A0">
        <w:rPr>
          <w:rFonts w:ascii="Traditional Arabic" w:eastAsia="Calibri" w:hAnsi="Traditional Arabic" w:cs="Traditional Arabic" w:hint="cs"/>
          <w:sz w:val="32"/>
          <w:szCs w:val="32"/>
          <w:rtl/>
        </w:rPr>
        <w:t>(</w:t>
      </w:r>
      <w:r w:rsidRPr="006504A0">
        <w:rPr>
          <w:rFonts w:ascii="Traditional Arabic" w:eastAsia="Calibri" w:hAnsi="Traditional Arabic" w:cs="Traditional Arabic"/>
          <w:sz w:val="32"/>
          <w:szCs w:val="32"/>
        </w:rPr>
        <w:t>Desimone, 2009</w:t>
      </w:r>
      <w:r w:rsidRPr="006504A0">
        <w:rPr>
          <w:rFonts w:ascii="Traditional Arabic" w:eastAsia="Calibri" w:hAnsi="Traditional Arabic" w:cs="Traditional Arabic"/>
          <w:sz w:val="32"/>
          <w:szCs w:val="32"/>
          <w:rtl/>
        </w:rPr>
        <w:t xml:space="preserve">) نموذجا تفسيريا يوضح هذا التسلسل السببي، حيث تبدأ العملية بخصائص البرنامج المهني، ثم التغير في معرفة المعلم، فالممارسة، وصولا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نتائج التعلم (</w:t>
      </w:r>
      <w:r w:rsidRPr="006504A0">
        <w:rPr>
          <w:rFonts w:ascii="Traditional Arabic" w:eastAsia="Calibri" w:hAnsi="Traditional Arabic" w:cs="Traditional Arabic"/>
          <w:sz w:val="32"/>
          <w:szCs w:val="32"/>
        </w:rPr>
        <w:t>Alruqi and  Alharbi2022</w:t>
      </w:r>
      <w:r w:rsidRPr="006504A0">
        <w:rPr>
          <w:rFonts w:ascii="Traditional Arabic" w:eastAsia="Calibri" w:hAnsi="Traditional Arabic" w:cs="Traditional Arabic"/>
          <w:sz w:val="32"/>
          <w:szCs w:val="32"/>
          <w:rtl/>
        </w:rPr>
        <w:t>).</w:t>
      </w:r>
    </w:p>
    <w:p w14:paraId="15F1699B" w14:textId="4DCB35F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تدعم هذا التصور نتائج </w:t>
      </w:r>
      <w:r w:rsidRPr="006504A0">
        <w:rPr>
          <w:rFonts w:ascii="Traditional Arabic" w:eastAsia="Calibri" w:hAnsi="Traditional Arabic" w:cs="Traditional Arabic"/>
          <w:sz w:val="32"/>
          <w:szCs w:val="32"/>
        </w:rPr>
        <w:t>Alamri, 2022)</w:t>
      </w:r>
      <w:r w:rsidRPr="006504A0">
        <w:rPr>
          <w:rFonts w:ascii="Traditional Arabic" w:eastAsia="Calibri" w:hAnsi="Traditional Arabic" w:cs="Traditional Arabic"/>
          <w:sz w:val="32"/>
          <w:szCs w:val="32"/>
          <w:rtl/>
        </w:rPr>
        <w:t>) التي أكدت ان التنمية المهنية المستمرة تسهم في رفع الكفاءة الذاتية للمعلمين وتحسين ممارساتهم داخل الصف. كما توصل</w:t>
      </w:r>
      <w:r w:rsidRPr="006504A0">
        <w:rPr>
          <w:rFonts w:ascii="Traditional Arabic" w:eastAsia="Calibri" w:hAnsi="Traditional Arabic" w:cs="Traditional Arabic"/>
          <w:sz w:val="32"/>
          <w:szCs w:val="32"/>
        </w:rPr>
        <w:t xml:space="preserve"> Abbas et al. (2021)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ان برامج التطوير المهني عززت مهارات المعلمين ومعارفهم التخصصية بصورة ملحوظة</w:t>
      </w:r>
      <w:r w:rsidRPr="006504A0">
        <w:rPr>
          <w:rFonts w:ascii="Traditional Arabic" w:eastAsia="Calibri" w:hAnsi="Traditional Arabic" w:cs="Traditional Arabic"/>
          <w:sz w:val="32"/>
          <w:szCs w:val="32"/>
        </w:rPr>
        <w:t>.</w:t>
      </w:r>
    </w:p>
    <w:p w14:paraId="696D1960" w14:textId="7E335204"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في المقابل،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ان ضعف تصميم البرامج أو غلبة الطابع النظري قد يحد من أثرها، حيث وجد</w:t>
      </w:r>
      <w:r w:rsidRPr="006504A0">
        <w:rPr>
          <w:rFonts w:ascii="Traditional Arabic" w:eastAsia="Calibri" w:hAnsi="Traditional Arabic" w:cs="Traditional Arabic"/>
          <w:sz w:val="32"/>
          <w:szCs w:val="32"/>
        </w:rPr>
        <w:t xml:space="preserve"> Ahmed et al. (2021) </w:t>
      </w:r>
      <w:r w:rsidRPr="006504A0">
        <w:rPr>
          <w:rFonts w:ascii="Traditional Arabic" w:eastAsia="Calibri" w:hAnsi="Traditional Arabic" w:cs="Traditional Arabic"/>
          <w:sz w:val="32"/>
          <w:szCs w:val="32"/>
          <w:rtl/>
        </w:rPr>
        <w:t>ان بعض برامج التدريب لم تحقق التأثير المتوقع بسبب عدم ارتباطها باحتياجات المعلمين الواقعية</w:t>
      </w:r>
      <w:r w:rsidRPr="006504A0">
        <w:rPr>
          <w:rFonts w:ascii="Traditional Arabic" w:eastAsia="Calibri" w:hAnsi="Traditional Arabic" w:cs="Traditional Arabic"/>
          <w:sz w:val="32"/>
          <w:szCs w:val="32"/>
        </w:rPr>
        <w:t>.</w:t>
      </w:r>
    </w:p>
    <w:p w14:paraId="721E769D"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19736F5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سادسا: </w:t>
      </w:r>
      <w:r w:rsidRPr="006504A0">
        <w:rPr>
          <w:rFonts w:ascii="Traditional Arabic" w:eastAsia="Calibri" w:hAnsi="Traditional Arabic" w:cs="Traditional Arabic"/>
          <w:b/>
          <w:bCs/>
          <w:sz w:val="32"/>
          <w:szCs w:val="32"/>
          <w:rtl/>
        </w:rPr>
        <w:t>المتغيرات الديموغرافية كعوامل مفسرة</w:t>
      </w:r>
    </w:p>
    <w:p w14:paraId="7C821811" w14:textId="711CFAE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تؤكد الأدبيات ان أثر التنمية المهنية لا يظهر بدرجة متساوية لدى جميع المعلمين، بل يتأثر بمتغيرات مثل الخبرة والمؤهل العلمي. فقد أظهرت دراسة</w:t>
      </w:r>
      <w:r w:rsidRPr="006504A0">
        <w:rPr>
          <w:rFonts w:ascii="Traditional Arabic" w:eastAsia="Calibri" w:hAnsi="Traditional Arabic" w:cs="Traditional Arabic"/>
          <w:sz w:val="32"/>
          <w:szCs w:val="32"/>
        </w:rPr>
        <w:t xml:space="preserve"> Alshahrani and Abu-Alghayth, (2023) </w:t>
      </w:r>
      <w:r w:rsidRPr="006504A0">
        <w:rPr>
          <w:rFonts w:ascii="Traditional Arabic" w:eastAsia="Calibri" w:hAnsi="Traditional Arabic" w:cs="Traditional Arabic"/>
          <w:sz w:val="32"/>
          <w:szCs w:val="32"/>
          <w:rtl/>
        </w:rPr>
        <w:t xml:space="preserve">ان نقص التدريب العملي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في قدرة المعلمين على التعامل مع المواقف الصفية، مما يبرز أهمية تصميم برامج تراعي الفروق المهنية.</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كما تشير </w:t>
      </w:r>
      <w:r w:rsidRPr="006504A0">
        <w:rPr>
          <w:rFonts w:ascii="Traditional Arabic" w:eastAsia="Calibri" w:hAnsi="Traditional Arabic" w:cs="Traditional Arabic"/>
          <w:sz w:val="32"/>
          <w:szCs w:val="32"/>
        </w:rPr>
        <w:t>Jamal et al. 2023)</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فروق ذات دلالة إحصائية في الكفاءات المهنية تعزى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المشاركة في البرامج التدريبية، وهو ما يدعم الاتجاه القائل بأن التعلم المهني عملية تراكمية.</w:t>
      </w:r>
    </w:p>
    <w:p w14:paraId="25E2335F"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يتضح من التحليل السابق ان التنمية المهنية تمثل محركا رئيسيا لتحسين كفاءة المعلم، غير ان فاعليتها تعتمد على جودة تصميم البرامج، وارتباطها بالممارسة، وتوفر الدعم المؤسسي، ودافعية المعلم نحو التعلم. كما يظهر ان الكفاءة التدريسية بناء مهني ديناميكي يتطور عبر الخبرة والتدريب، وليس سمة جامدة</w:t>
      </w:r>
      <w:r w:rsidRPr="006504A0">
        <w:rPr>
          <w:rFonts w:ascii="Traditional Arabic" w:eastAsia="Calibri" w:hAnsi="Traditional Arabic" w:cs="Traditional Arabic"/>
          <w:sz w:val="32"/>
          <w:szCs w:val="32"/>
        </w:rPr>
        <w:t>.</w:t>
      </w:r>
    </w:p>
    <w:p w14:paraId="53EED884" w14:textId="6B98C92A" w:rsidR="00A73F98" w:rsidRDefault="006504A0" w:rsidP="00A73F98">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وبناء على ذلك، تنطلق الدراسة الحالية من تصور نظري يرى ان المشاركة الفاعلة في برامج التنمية المهنية يمكن ان تؤدي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أبعاد الكفاءة التدريسية لدى معلمي المرحلة الابتدائية، وهو افتراض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قاعدة نظرية راسخة ويدعم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اختباره ميدانيا في البيئة التعليمية بمدينة الرياض</w:t>
      </w:r>
      <w:r w:rsidRPr="006504A0">
        <w:rPr>
          <w:rFonts w:ascii="Traditional Arabic" w:eastAsia="Calibri" w:hAnsi="Traditional Arabic" w:cs="Traditional Arabic"/>
          <w:sz w:val="32"/>
          <w:szCs w:val="32"/>
        </w:rPr>
        <w:t>.</w:t>
      </w:r>
    </w:p>
    <w:p w14:paraId="5F6A4AD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F5220A"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b/>
          <w:bCs/>
          <w:sz w:val="32"/>
          <w:szCs w:val="32"/>
          <w:rtl/>
        </w:rPr>
        <w:t>المبحث الثاني: الأسس النظرية والنماذج المفسرة للعلاقة بين التنمية المهنية والكفاءة التدريسية</w:t>
      </w:r>
    </w:p>
    <w:p w14:paraId="33278431"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لم يعد النظر إلى المعلم بوصفه ناقلًا للمعرفة متسقًا مع التحولات التي شهدتها النظرية التربوية المعاصرة، إذ انتقل الخطاب التربوي من نموذج "التعليم المتمركز حول المعلم" إلى نموذج أكثر تعقيدًا يرى المعلم فاعلًا معرفيًا ومنتجًا للخبرة التعليمية. وفي ظل هذا التحول، لم تعد التنمية المهنية مجرد أداة لتحسين الأداء الإجرائي، بل أصبحت آلية معرفية لإعادة تشكيل الممارسة التدريسية، وهو ما يعكس انتقالًا من الفهم الأداتي للتدريب إلى الفهم البنائي الذي يربط التعلم المهني بإعادة بناء المعرفة التربوية لدى المعلم</w:t>
      </w:r>
      <w:r w:rsidRPr="00A73F98">
        <w:rPr>
          <w:rFonts w:ascii="Traditional Arabic" w:eastAsia="Calibri" w:hAnsi="Traditional Arabic" w:cs="Traditional Arabic"/>
          <w:sz w:val="32"/>
          <w:szCs w:val="32"/>
        </w:rPr>
        <w:t>.</w:t>
      </w:r>
    </w:p>
    <w:p w14:paraId="0BC5FA3E" w14:textId="15B96457" w:rsidR="00A73F98" w:rsidRPr="00A73F98" w:rsidRDefault="00A73F98" w:rsidP="00DD6416">
      <w:pPr>
        <w:bidi/>
        <w:spacing w:after="200" w:line="360" w:lineRule="auto"/>
        <w:jc w:val="both"/>
        <w:rPr>
          <w:rFonts w:ascii="Traditional Arabic" w:eastAsia="Calibri" w:hAnsi="Traditional Arabic" w:cs="Traditional Arabic"/>
          <w:sz w:val="32"/>
          <w:szCs w:val="32"/>
          <w:rtl/>
          <w:lang w:bidi="ar-JO"/>
        </w:rPr>
      </w:pPr>
      <w:r w:rsidRPr="00A73F98">
        <w:rPr>
          <w:rFonts w:ascii="Traditional Arabic" w:eastAsia="Calibri" w:hAnsi="Traditional Arabic" w:cs="Traditional Arabic"/>
          <w:sz w:val="32"/>
          <w:szCs w:val="32"/>
          <w:rtl/>
        </w:rPr>
        <w:t>وتنبع أهمية هذا التحول من افتراض نظري مفاده أن جودة التعليم ترتبط بطبيعة القرارات الصفية التي يتخذها المعلم، والتي لا تُعد قرارات إجرائية فحسب، بل تمثل انعكاسًا لبنية معرفية ومهنية تتشكل عبر التعلم المستمر. ومن هنا، فإن تحليل أثر برامج التنمية المهنية لا يقتصر على قياس التحسن الظاهري في المهارات، بل يتطلب فهمًا أعمق لكيفية إعادة بناء المعرفة المهنية للمعلم، وهو ما يمثل جوهر العلاقة التفسيرية بين التنمية المهنية والكفاءة التدريسية</w:t>
      </w:r>
      <w:r w:rsidRPr="00A73F98">
        <w:rPr>
          <w:rFonts w:ascii="Traditional Arabic" w:eastAsia="Calibri" w:hAnsi="Traditional Arabic" w:cs="Traditional Arabic"/>
          <w:sz w:val="32"/>
          <w:szCs w:val="32"/>
        </w:rPr>
        <w:t>.</w:t>
      </w:r>
    </w:p>
    <w:p w14:paraId="51CB9504" w14:textId="06B00BD2"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أولًا: نظرية رأس المال البشري (</w:t>
      </w:r>
      <w:r w:rsidRPr="00A73F98">
        <w:rPr>
          <w:rFonts w:ascii="Traditional Arabic" w:eastAsia="Calibri" w:hAnsi="Traditional Arabic" w:cs="Traditional Arabic"/>
          <w:b/>
          <w:bCs/>
          <w:sz w:val="32"/>
          <w:szCs w:val="32"/>
        </w:rPr>
        <w:t>Human Capital Theory</w:t>
      </w:r>
      <w:r w:rsidRPr="00A73F98">
        <w:rPr>
          <w:rFonts w:ascii="Traditional Arabic" w:eastAsia="Calibri" w:hAnsi="Traditional Arabic" w:cs="Traditional Arabic"/>
          <w:b/>
          <w:bCs/>
          <w:sz w:val="32"/>
          <w:szCs w:val="32"/>
          <w:rtl/>
        </w:rPr>
        <w:t>)</w:t>
      </w:r>
    </w:p>
    <w:p w14:paraId="0A20A9A6" w14:textId="66157EBD"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تُعد نظرية رأس المال البشري من أكثر الأطر استخدامًا في تفسير الاستثمار في التعليم والتدريب، حيث يفترض </w:t>
      </w:r>
      <w:r w:rsidRPr="00A73F98">
        <w:rPr>
          <w:rFonts w:ascii="Traditional Arabic" w:eastAsia="Calibri" w:hAnsi="Traditional Arabic" w:cs="Traditional Arabic"/>
          <w:sz w:val="32"/>
          <w:szCs w:val="32"/>
        </w:rPr>
        <w:t>Be</w:t>
      </w:r>
      <w:r>
        <w:rPr>
          <w:rFonts w:ascii="Traditional Arabic" w:eastAsia="Calibri" w:hAnsi="Traditional Arabic" w:cs="Traditional Arabic"/>
          <w:sz w:val="32"/>
          <w:szCs w:val="32"/>
        </w:rPr>
        <w:t xml:space="preserve">cker, </w:t>
      </w:r>
      <w:r w:rsidRPr="00A73F98">
        <w:rPr>
          <w:rFonts w:ascii="Traditional Arabic" w:eastAsia="Calibri" w:hAnsi="Traditional Arabic" w:cs="Traditional Arabic"/>
          <w:sz w:val="32"/>
          <w:szCs w:val="32"/>
        </w:rPr>
        <w:t>1993</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xml:space="preserve">) أن تنمية مهارات الأفراد ومعارفهم تمثل شكلًا من أشكال الاستثمار الذي </w:t>
      </w:r>
      <w:r w:rsidRPr="00A73F98">
        <w:rPr>
          <w:rFonts w:ascii="Traditional Arabic" w:eastAsia="Calibri" w:hAnsi="Traditional Arabic" w:cs="Traditional Arabic"/>
          <w:sz w:val="32"/>
          <w:szCs w:val="32"/>
          <w:rtl/>
        </w:rPr>
        <w:lastRenderedPageBreak/>
        <w:t>يرفع إنتاجيتهم المستقبلية. وعند إسقاط هذا المنظور على المجال التربوي، يمكن النظر إلى التنمية المهنية للمعلمين باعتبارها استثمارًا مؤسسيًا يهدف إلى رفع جودة المخرجات التعليمية من خلال تحسين كفاءة المورد البشري الأكثر تأثيرًا في المدرسة.</w:t>
      </w:r>
    </w:p>
    <w:p w14:paraId="363D3D9A" w14:textId="451DD1B9" w:rsidR="00A73F98" w:rsidRDefault="00A73F98" w:rsidP="00A73F98">
      <w:pPr>
        <w:bidi/>
        <w:spacing w:after="200" w:line="360" w:lineRule="auto"/>
        <w:jc w:val="both"/>
        <w:rPr>
          <w:rFonts w:ascii="Traditional Arabic" w:eastAsia="Calibri" w:hAnsi="Traditional Arabic" w:cs="Traditional Arabic"/>
          <w:sz w:val="32"/>
          <w:szCs w:val="32"/>
          <w:rtl/>
        </w:rPr>
      </w:pPr>
      <w:r w:rsidRPr="00A73F98">
        <w:rPr>
          <w:rFonts w:ascii="Traditional Arabic" w:eastAsia="Calibri" w:hAnsi="Traditional Arabic" w:cs="Traditional Arabic"/>
          <w:sz w:val="32"/>
          <w:szCs w:val="32"/>
          <w:rtl/>
        </w:rPr>
        <w:t>وقد أشارت الأدبيات إلى أن العائد التربوي من تدريب المعلمين يفوق في كثير من الأحيان العائد الناتج عن التوسع في الموارد المادية، نظرًا لأن المعلم يمثل العامل الأكثر حسمًا في تفسير فروق التحصيل بين الطلبة (</w:t>
      </w:r>
      <w:r w:rsidRPr="00A73F98">
        <w:rPr>
          <w:rFonts w:ascii="Traditional Arabic" w:eastAsia="Calibri" w:hAnsi="Traditional Arabic" w:cs="Traditional Arabic"/>
          <w:sz w:val="32"/>
          <w:szCs w:val="32"/>
        </w:rPr>
        <w:t>Darling-Hammond et al., 2017</w:t>
      </w:r>
      <w:r w:rsidRPr="00A73F98">
        <w:rPr>
          <w:rFonts w:ascii="Traditional Arabic" w:eastAsia="Calibri" w:hAnsi="Traditional Arabic" w:cs="Traditional Arabic"/>
          <w:sz w:val="32"/>
          <w:szCs w:val="32"/>
          <w:rtl/>
        </w:rPr>
        <w:t>). إلا أن قوة هذا الطرح، رغم أهميتها، تظل محصورة في تفسير البعد الاستثماري للتنمية المهنية، إذ يركز على الإنتاجية والعائد أكثر من تركيزه على طبيعة المعرفة المهنية وآليات تشكلها. وعليه، فإن هذه النظرية تفسر أهمية التنمية المهنية من حيث "الجدوى"، لكنها لا تقدم تفسيرًا كافيًا لكيفية تأثيرها في الكفاءة التدريسية، مما يستدعي الاستعانة بأطر نظرية مكملة.</w:t>
      </w:r>
    </w:p>
    <w:p w14:paraId="74D7A967" w14:textId="4E1D4088" w:rsidR="00A73F98" w:rsidRDefault="00A73F98" w:rsidP="00A73F98">
      <w:pPr>
        <w:bidi/>
        <w:spacing w:after="200" w:line="360" w:lineRule="auto"/>
        <w:jc w:val="both"/>
        <w:rPr>
          <w:rFonts w:ascii="Traditional Arabic" w:eastAsia="Calibri" w:hAnsi="Traditional Arabic" w:cs="Traditional Arabic"/>
          <w:sz w:val="32"/>
          <w:szCs w:val="32"/>
          <w:rtl/>
        </w:rPr>
      </w:pPr>
      <w:r w:rsidRPr="00A73F98">
        <w:rPr>
          <w:rFonts w:ascii="Traditional Arabic" w:eastAsia="Calibri" w:hAnsi="Traditional Arabic" w:cs="Traditional Arabic"/>
          <w:sz w:val="32"/>
          <w:szCs w:val="32"/>
          <w:rtl/>
        </w:rPr>
        <w:t>وتكمن قوة نظرية رأس المال البشري في قدرتها على تفسير الاستثمار في التنمية المهنية من منظور إنتاجي، حيث تربط بين تطوير مهارات المعلم وتحسين مخرجات العملية التعليمية. إلا أنه يُؤخذ عليها تركيزها على البعد الكمي والعائد الاقتصادي، دون التعمق في طبيعة المعرفة المهنية وآليات تشكلها داخل السياق التربوي. كما أن حدودها تظهر في عدم قدرتها على تفسير التباين في جودة الممارسة التدريسية رغم تشابه فرص التدريب. وعليه، فإن ملاءمتها للدراسة الحالية تتمثل في تفسير أهمية الاستثمار في برامج التنمية المهنية لمعلمي المرحلة الابتدائية بمدينة الرياض، خاصة في ضوء سعي الدراسة إلى تحليل أثر هذه البرامج في رفع الكفاءة المهنية وتحسين جودة التعليم، إلا أنها تحتاج إلى التكامل مع أطر نظرية أخرى لتفسير الأثر النوعي للتدريب على أبعاد الكفاءة التدريسية المختلفة</w:t>
      </w:r>
      <w:r w:rsidRPr="00A73F98">
        <w:rPr>
          <w:rFonts w:ascii="Traditional Arabic" w:eastAsia="Calibri" w:hAnsi="Traditional Arabic" w:cs="Traditional Arabic"/>
          <w:sz w:val="32"/>
          <w:szCs w:val="32"/>
        </w:rPr>
        <w:t>.</w:t>
      </w:r>
    </w:p>
    <w:p w14:paraId="147216E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667102DA" w14:textId="65206C3C"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ثانيًا: نظرية المعرفة التربوية للمحتوى (</w:t>
      </w:r>
      <w:r w:rsidRPr="00A73F98">
        <w:rPr>
          <w:rFonts w:ascii="Traditional Arabic" w:eastAsia="Calibri" w:hAnsi="Traditional Arabic" w:cs="Traditional Arabic"/>
          <w:b/>
          <w:bCs/>
          <w:sz w:val="32"/>
          <w:szCs w:val="32"/>
        </w:rPr>
        <w:t>Pedagogical Content Knowledge - PCK</w:t>
      </w:r>
      <w:r w:rsidRPr="00A73F98">
        <w:rPr>
          <w:rFonts w:ascii="Traditional Arabic" w:eastAsia="Calibri" w:hAnsi="Traditional Arabic" w:cs="Traditional Arabic"/>
          <w:b/>
          <w:bCs/>
          <w:sz w:val="32"/>
          <w:szCs w:val="32"/>
          <w:rtl/>
        </w:rPr>
        <w:t>)</w:t>
      </w:r>
    </w:p>
    <w:p w14:paraId="1887511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يمثل طرح</w:t>
      </w:r>
      <w:r w:rsidRPr="00A73F98">
        <w:rPr>
          <w:rFonts w:ascii="Traditional Arabic" w:eastAsia="Calibri" w:hAnsi="Traditional Arabic" w:cs="Traditional Arabic"/>
          <w:sz w:val="32"/>
          <w:szCs w:val="32"/>
        </w:rPr>
        <w:t xml:space="preserve"> Shulman (1986) </w:t>
      </w:r>
      <w:r w:rsidRPr="00A73F98">
        <w:rPr>
          <w:rFonts w:ascii="Traditional Arabic" w:eastAsia="Calibri" w:hAnsi="Traditional Arabic" w:cs="Traditional Arabic"/>
          <w:sz w:val="32"/>
          <w:szCs w:val="32"/>
          <w:rtl/>
        </w:rPr>
        <w:t>تحولًا نوعيًا في فهم كفاءة المعلم، حيث انتقد الفصل التقليدي بين معرفة التخصص ومعرفة التدريس، وقدم مفهوم "المعرفة التربوية للمحتوى" بوصفه شكلًا مركبًا من المعرفة يتيح للمعلم تحويل المفاهيم العلمية إلى تمثيلات تعليمية قابلة للفهم</w:t>
      </w:r>
      <w:r w:rsidRPr="00A73F98">
        <w:rPr>
          <w:rFonts w:ascii="Traditional Arabic" w:eastAsia="Calibri" w:hAnsi="Traditional Arabic" w:cs="Traditional Arabic"/>
          <w:sz w:val="32"/>
          <w:szCs w:val="32"/>
        </w:rPr>
        <w:t>.</w:t>
      </w:r>
    </w:p>
    <w:p w14:paraId="1A3ECEC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وتكمن أهمية هذا الطرح في إعادة تعريف الكفاءة التدريسية باعتبارها قدرة تفسيرية وتحويلية، لا مجرد امتلاك للمعلومة، حيث يصبح المعلم الكفء هو القادر على تشخيص أخطاء المتعلمين، وتوقع صعوبات التعلم، وبناء إستراتيجيات تدريس تتلاءم مع الفروق الفردية. كما تبرز هذه النظرية في تفسير آليات تأثير التنمية المهنية، إذ تشير ضمنيًا إلى أن بناء هذا النوع من المعرفة لا يتحقق عبر الإعداد الأولي فقط، بل يتطلب تعلمًا مهنيًا مستمرًا وخبرات تراكمية</w:t>
      </w:r>
      <w:r w:rsidRPr="00A73F98">
        <w:rPr>
          <w:rFonts w:ascii="Traditional Arabic" w:eastAsia="Calibri" w:hAnsi="Traditional Arabic" w:cs="Traditional Arabic"/>
          <w:sz w:val="32"/>
          <w:szCs w:val="32"/>
        </w:rPr>
        <w:t>.</w:t>
      </w:r>
    </w:p>
    <w:p w14:paraId="768F5F96" w14:textId="77777777" w:rsidR="00A73F98" w:rsidRDefault="00A73F98" w:rsidP="00A73F98">
      <w:pPr>
        <w:bidi/>
        <w:spacing w:after="200" w:line="360" w:lineRule="auto"/>
        <w:jc w:val="both"/>
        <w:rPr>
          <w:rFonts w:ascii="Traditional Arabic" w:eastAsia="Calibri" w:hAnsi="Traditional Arabic" w:cs="Traditional Arabic"/>
          <w:sz w:val="32"/>
          <w:szCs w:val="32"/>
          <w:rtl/>
        </w:rPr>
      </w:pPr>
      <w:r w:rsidRPr="00A73F98">
        <w:rPr>
          <w:rFonts w:ascii="Traditional Arabic" w:eastAsia="Calibri" w:hAnsi="Traditional Arabic" w:cs="Traditional Arabic"/>
          <w:sz w:val="32"/>
          <w:szCs w:val="32"/>
          <w:rtl/>
        </w:rPr>
        <w:t>ومع ذلك، فإن هذا الطرح، على الرغم من عمقه، يركز بشكل رئيس على البعد المعرفي الفردي، ولا يعالج بصورة كافية أثر العوامل التنظيمية أو البيئية التي قد تعزز أو تعيق تطبيق هذه المعرفة داخل الصف، وهو ما يحد من قدرته التفسيرية في السياقات التعليمية المعقدة</w:t>
      </w:r>
      <w:r w:rsidRPr="00A73F98">
        <w:rPr>
          <w:rFonts w:ascii="Traditional Arabic" w:eastAsia="Calibri" w:hAnsi="Traditional Arabic" w:cs="Traditional Arabic"/>
          <w:sz w:val="32"/>
          <w:szCs w:val="32"/>
        </w:rPr>
        <w:t>.</w:t>
      </w:r>
    </w:p>
    <w:p w14:paraId="77E609D0" w14:textId="6C354F7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تتمثل قوة نظرية المعرفة التربوية للمحتوى في قدرتها على تفسير الكفاءة التدريسية بوصفها معرفة مركبة تتجاوز مجرد إتقان المحتوى، لتشمل القدرة على تحويله إلى خبرة تعليمية مناسبة للمتعلمين. إلا أن هذه النظرية تركز بشكل رئيس على البعد المعرفي الفردي، وتُغفل إلى حد ما أثر البيئة التنظيمية والعوامل السياقية في تشكيل الممارسة التدريسية، كما أن من حدودها صعوبة قياس هذا النوع من المعرفة بصورة دقيقة في </w:t>
      </w:r>
      <w:r w:rsidRPr="00A73F98">
        <w:rPr>
          <w:rFonts w:ascii="Traditional Arabic" w:eastAsia="Calibri" w:hAnsi="Traditional Arabic" w:cs="Traditional Arabic"/>
          <w:sz w:val="32"/>
          <w:szCs w:val="32"/>
          <w:rtl/>
        </w:rPr>
        <w:lastRenderedPageBreak/>
        <w:t>الدراسات التطبيقية. ومع ذلك، فإنها تتلاءم بدرجة كبيرة مع الدراسة الحالية، لكونها تقدم تفسيرًا مباشرًا لكيفية تأثير برامج التنمية المهنية في تطوير الكفاءة المهنية للمعلمين، وخاصة في أبعادها المرتبطة بالتخطيط التدريسي، وإدارة الصف، وبناء إستراتيجيات التقويم، والتفاعل مع الطلبة، وهي الأبعاد التي تسعى الدراسة إلى قياسها وتحليلها</w:t>
      </w:r>
      <w:r w:rsidRPr="00A73F98">
        <w:rPr>
          <w:rFonts w:ascii="Traditional Arabic" w:eastAsia="Calibri" w:hAnsi="Traditional Arabic" w:cs="Traditional Arabic"/>
          <w:sz w:val="32"/>
          <w:szCs w:val="32"/>
        </w:rPr>
        <w:t>.</w:t>
      </w:r>
    </w:p>
    <w:p w14:paraId="7552FFA4" w14:textId="5EB497FA"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26240D" w14:textId="6F4900E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ثالثًا: نظرية التعلم المهني للمعلمين (</w:t>
      </w:r>
      <w:r w:rsidRPr="00A73F98">
        <w:rPr>
          <w:rFonts w:ascii="Traditional Arabic" w:eastAsia="Calibri" w:hAnsi="Traditional Arabic" w:cs="Traditional Arabic"/>
          <w:b/>
          <w:bCs/>
          <w:sz w:val="32"/>
          <w:szCs w:val="32"/>
        </w:rPr>
        <w:t>Teacher Professional Learning Theory</w:t>
      </w:r>
      <w:r w:rsidRPr="00A73F98">
        <w:rPr>
          <w:rFonts w:ascii="Traditional Arabic" w:eastAsia="Calibri" w:hAnsi="Traditional Arabic" w:cs="Traditional Arabic"/>
          <w:b/>
          <w:bCs/>
          <w:sz w:val="32"/>
          <w:szCs w:val="32"/>
          <w:rtl/>
        </w:rPr>
        <w:t>)</w:t>
      </w:r>
    </w:p>
    <w:p w14:paraId="2E41C8BC" w14:textId="23E498AB"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تنطلق هذه النظرية من افتراض أن تعلم المعلم عملية نشطة وسياقية واجتماعية، ويؤكد </w:t>
      </w:r>
      <w:r>
        <w:rPr>
          <w:rFonts w:ascii="Traditional Arabic" w:eastAsia="Calibri" w:hAnsi="Traditional Arabic" w:cs="Traditional Arabic"/>
          <w:sz w:val="32"/>
          <w:szCs w:val="32"/>
        </w:rPr>
        <w:t xml:space="preserve">Desimone, </w:t>
      </w:r>
      <w:r w:rsidRPr="00A73F98">
        <w:rPr>
          <w:rFonts w:ascii="Traditional Arabic" w:eastAsia="Calibri" w:hAnsi="Traditional Arabic" w:cs="Traditional Arabic"/>
          <w:sz w:val="32"/>
          <w:szCs w:val="32"/>
        </w:rPr>
        <w:t>2009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أن فعالية برامج التنمية المهنية تعتمد على مجموعة من الخصائص، من أبرزها التركيز على المحتوى، واعتماد التعلم النشط، وتعزيز التعاون المهني، وتوفير فرص التطبيق العملي.</w:t>
      </w:r>
    </w:p>
    <w:p w14:paraId="2CBEAF1D" w14:textId="2F772A36"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وتتجلى أهمية هذا النموذج في تفسير التباين في نتائج البرامج التدريبية، إذ يوضح أن ضعف أثر بعض البرامج لا يعود إلى فكرة التدريب بحد ذاتها، بل إلى طبيعة تصميمها وانفصالها عن واقع الممارسة الصفية. وقد دعمت نتائج </w:t>
      </w:r>
      <w:r>
        <w:rPr>
          <w:rFonts w:ascii="Traditional Arabic" w:eastAsia="Calibri" w:hAnsi="Traditional Arabic" w:cs="Traditional Arabic"/>
          <w:sz w:val="32"/>
          <w:szCs w:val="32"/>
        </w:rPr>
        <w:t xml:space="preserve">Garet et al. </w:t>
      </w:r>
      <w:r w:rsidRPr="00A73F98">
        <w:rPr>
          <w:rFonts w:ascii="Traditional Arabic" w:eastAsia="Calibri" w:hAnsi="Traditional Arabic" w:cs="Traditional Arabic"/>
          <w:sz w:val="32"/>
          <w:szCs w:val="32"/>
        </w:rPr>
        <w:t>2001</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هذا التوجه، حيث بينت أن البرامج الممتدة زمنيًا، والتي تتضمن فرصًا للتجريب والتغذية الراجعة، تحقق أثرًا أكبر في تحسين التدريس مقارنة بالبرامج القصيرة.</w:t>
      </w:r>
    </w:p>
    <w:p w14:paraId="2A50A4B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وعلى الرغم من قوة هذا النموذج التفسيرية، إلا أنه يفترض ضمنيًا وجود بيئة تعليمية داعمة تسمح بتطبيق ما تم تعلمه، وهو افتراض قد لا يتحقق في جميع السياقات، مما يجعل أثر التنمية المهنية مشروطًا بعوامل تنظيمية مرافقة</w:t>
      </w:r>
      <w:r w:rsidRPr="00A73F98">
        <w:rPr>
          <w:rFonts w:ascii="Traditional Arabic" w:eastAsia="Calibri" w:hAnsi="Traditional Arabic" w:cs="Traditional Arabic"/>
          <w:sz w:val="32"/>
          <w:szCs w:val="32"/>
        </w:rPr>
        <w:t>.</w:t>
      </w:r>
    </w:p>
    <w:p w14:paraId="2F1FF03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lastRenderedPageBreak/>
        <w:t>تكمن قوة نظرية التعلم المهني للمعلمين في تقديمها تصورًا متكاملاً لخصائص التنمية المهنية الفعالة، حيث تركز على التعلم النشط، والتعاون المهني، والارتباط بالسياق الواقعي للممارسة الصفية. إلا أنه يُؤخذ عليها افتراضها الضمني بوجود بيئة تعليمية داعمة تسمح بتطبيق ما يتم تعلمه، وهو ما قد لا يتحقق في جميع المدارس. كما أن من حدودها عدم التركيز الكافي على الفروق الفردية بين المعلمين في الاستفادة من البرامج التدريبية. ومع ذلك، فإن هذه النظرية تتلاءم بشكل كبير مع الدراسة الحالية، لأنها تساعد في تحليل واقع برامج التنمية المهنية المقدمة لمعلمي المرحلة الابتدائية بمدينة الرياض، وتفسير مدى فاعليتها من حيث محتواها وأساليب تنفيذها، وهو ما يتوافق مع هدف الدراسة المتعلق بتحليل واقع هذه البرامج وتحديد العوامل التي تعزز أو تحد من فاعليتها</w:t>
      </w:r>
      <w:r w:rsidRPr="00A73F98">
        <w:rPr>
          <w:rFonts w:ascii="Traditional Arabic" w:eastAsia="Calibri" w:hAnsi="Traditional Arabic" w:cs="Traditional Arabic"/>
          <w:sz w:val="32"/>
          <w:szCs w:val="32"/>
        </w:rPr>
        <w:t>.</w:t>
      </w:r>
    </w:p>
    <w:p w14:paraId="72CB7DEE" w14:textId="68A74BEB"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3AB0CEC" w14:textId="66C9D96E"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رابعًا: نموذج التغيير لدى المعلم (</w:t>
      </w:r>
      <w:r w:rsidRPr="00A73F98">
        <w:rPr>
          <w:rFonts w:ascii="Traditional Arabic" w:eastAsia="Calibri" w:hAnsi="Traditional Arabic" w:cs="Traditional Arabic"/>
          <w:b/>
          <w:bCs/>
          <w:sz w:val="32"/>
          <w:szCs w:val="32"/>
        </w:rPr>
        <w:t>Guskey Model of Teacher Change</w:t>
      </w:r>
      <w:r w:rsidRPr="00A73F98">
        <w:rPr>
          <w:rFonts w:ascii="Traditional Arabic" w:eastAsia="Calibri" w:hAnsi="Traditional Arabic" w:cs="Traditional Arabic"/>
          <w:b/>
          <w:bCs/>
          <w:sz w:val="32"/>
          <w:szCs w:val="32"/>
          <w:rtl/>
        </w:rPr>
        <w:t>)</w:t>
      </w:r>
    </w:p>
    <w:p w14:paraId="541B7E25" w14:textId="0C7FC6E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يقدم </w:t>
      </w:r>
      <w:r>
        <w:rPr>
          <w:rFonts w:ascii="Traditional Arabic" w:eastAsia="Calibri" w:hAnsi="Traditional Arabic" w:cs="Traditional Arabic"/>
          <w:sz w:val="32"/>
          <w:szCs w:val="32"/>
        </w:rPr>
        <w:t xml:space="preserve">Guskey, </w:t>
      </w:r>
      <w:r w:rsidRPr="00A73F98">
        <w:rPr>
          <w:rFonts w:ascii="Traditional Arabic" w:eastAsia="Calibri" w:hAnsi="Traditional Arabic" w:cs="Traditional Arabic"/>
          <w:sz w:val="32"/>
          <w:szCs w:val="32"/>
        </w:rPr>
        <w:t>2002</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نموذجًا تفسيريًا مميزًا يقلب الافتراض التقليدي الذي يرى أن تغيير معتقدات المعلم يسبق تغيير ممارسته، حيث يقترح تسلسلًا يبدأ بتغيير الممارسة التدريسية، يليه تحسن تعلم الطلبة، ثم يتبعه تعديل في قناعات المعلم.</w:t>
      </w:r>
    </w:p>
    <w:p w14:paraId="0271A591" w14:textId="24037EB3" w:rsid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وتكمن أهمية هذا النموذج في تفسير ديناميكية التغيير لدى المعلم، كما يسلط الضوء على أهمية البعد الزمني في تقييم أثر التنمية المهنية، إذ يؤكد أن نتائجها لا تكون فورية. ومع ذلك، فإن هذا النموذج يركز بدرجة أكبر على نتائج التغيير، دون أن يقدم تفسيرًا تفصيليًا لخصائص البرامج التدريبية التي تقود إلى هذا التغيير، مما يجعله أكثر فاعلية عند تكامله مع نماذج أخرى، مثل نموذج </w:t>
      </w:r>
      <w:r w:rsidRPr="00A73F98">
        <w:rPr>
          <w:rFonts w:ascii="Traditional Arabic" w:eastAsia="Calibri" w:hAnsi="Traditional Arabic" w:cs="Traditional Arabic"/>
          <w:sz w:val="32"/>
          <w:szCs w:val="32"/>
        </w:rPr>
        <w:t>Desimone</w:t>
      </w:r>
      <w:r w:rsidRPr="00A73F98">
        <w:rPr>
          <w:rFonts w:ascii="Traditional Arabic" w:eastAsia="Calibri" w:hAnsi="Traditional Arabic" w:cs="Traditional Arabic"/>
          <w:sz w:val="32"/>
          <w:szCs w:val="32"/>
          <w:rtl/>
        </w:rPr>
        <w:t>، الذي يركز على مدخلات التدريب.</w:t>
      </w:r>
    </w:p>
    <w:p w14:paraId="3520605C" w14:textId="09D43572" w:rsidR="00A73F98" w:rsidRPr="00A73F98" w:rsidRDefault="00A73F98" w:rsidP="00A73F98">
      <w:pPr>
        <w:bidi/>
        <w:spacing w:after="200" w:line="360" w:lineRule="auto"/>
        <w:jc w:val="both"/>
        <w:rPr>
          <w:rFonts w:ascii="Traditional Arabic" w:eastAsia="Calibri" w:hAnsi="Traditional Arabic" w:cs="Traditional Arabic"/>
          <w:sz w:val="32"/>
          <w:szCs w:val="32"/>
          <w:rtl/>
          <w:lang w:bidi="ar-JO"/>
        </w:rPr>
      </w:pPr>
      <w:r w:rsidRPr="00A73F98">
        <w:rPr>
          <w:rFonts w:ascii="Traditional Arabic" w:eastAsia="Calibri" w:hAnsi="Traditional Arabic" w:cs="Traditional Arabic"/>
          <w:sz w:val="32"/>
          <w:szCs w:val="32"/>
          <w:rtl/>
        </w:rPr>
        <w:lastRenderedPageBreak/>
        <w:t>تتمثل قوة نموذج</w:t>
      </w:r>
      <w:r w:rsidRPr="00A73F98">
        <w:rPr>
          <w:rFonts w:ascii="Traditional Arabic" w:eastAsia="Calibri" w:hAnsi="Traditional Arabic" w:cs="Traditional Arabic"/>
          <w:sz w:val="32"/>
          <w:szCs w:val="32"/>
        </w:rPr>
        <w:t xml:space="preserve"> Guskey </w:t>
      </w:r>
      <w:r w:rsidRPr="00A73F98">
        <w:rPr>
          <w:rFonts w:ascii="Traditional Arabic" w:eastAsia="Calibri" w:hAnsi="Traditional Arabic" w:cs="Traditional Arabic"/>
          <w:sz w:val="32"/>
          <w:szCs w:val="32"/>
          <w:rtl/>
        </w:rPr>
        <w:t>في تقديمه تفسيرًا ديناميكيًا لعملية التغيير لدى المعلم، حيث يبرز دور الممارسة الفعلية في إحداث التغيير في القناعات المهنية، كما يسهم في تفسير التأخر الزمني لظهور أثر برامج التنمية المهنية. إلا أن من أبرز محدودياته تركيزه على نتائج التغيير دون تقديم إطار تفصيلي لخصائص البرامج التدريبية التي تقود إليه، كما يفترض إمكانية تطبيق التغيير في الممارسة التدريسية دون الأخذ بعين الاعتبار بعض القيود التنظيمية. وعليه، فإن ملاءمته للدراسة الحالية تكمن في تفسير آلية انتقال أثر برامج التنمية المهنية إلى الكفاءة المهنية للمعلمين عبر التغير في الممارسة التدريسية، وهو ما يتوافق مع هدف الدراسة المتمثل في قياس أثر هذه البرامج على تطوير الكفاءة المهنية بأبعادها المختلفة</w:t>
      </w:r>
      <w:r w:rsidRPr="00A73F98">
        <w:rPr>
          <w:rFonts w:ascii="Traditional Arabic" w:eastAsia="Calibri" w:hAnsi="Traditional Arabic" w:cs="Traditional Arabic"/>
          <w:sz w:val="32"/>
          <w:szCs w:val="32"/>
        </w:rPr>
        <w:t>.</w:t>
      </w:r>
    </w:p>
    <w:p w14:paraId="361D8044"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5CE95B7B" w14:textId="667E2826"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خامسًا: نظرية التعلم التنظيمي (</w:t>
      </w:r>
      <w:r w:rsidRPr="00A73F98">
        <w:rPr>
          <w:rFonts w:ascii="Traditional Arabic" w:eastAsia="Calibri" w:hAnsi="Traditional Arabic" w:cs="Traditional Arabic"/>
          <w:b/>
          <w:bCs/>
          <w:sz w:val="32"/>
          <w:szCs w:val="32"/>
        </w:rPr>
        <w:t>Organizational Learning Theory</w:t>
      </w:r>
      <w:r w:rsidRPr="00A73F98">
        <w:rPr>
          <w:rFonts w:ascii="Traditional Arabic" w:eastAsia="Calibri" w:hAnsi="Traditional Arabic" w:cs="Traditional Arabic"/>
          <w:b/>
          <w:bCs/>
          <w:sz w:val="32"/>
          <w:szCs w:val="32"/>
          <w:rtl/>
        </w:rPr>
        <w:t>)</w:t>
      </w:r>
    </w:p>
    <w:p w14:paraId="7F67532D" w14:textId="5FDF44BC"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تنطلق هذه النظرية من أن التعلم لا يحدث على مستوى الفرد فقط، بل داخل المنظمة ككل، حيث تسهم البيئات المدرسية التي تشجع التعاون المهني والتأمل الجماعي في تعزيز تعلم المعلمين. وتشير تقارير </w:t>
      </w:r>
      <w:r>
        <w:rPr>
          <w:rFonts w:ascii="Traditional Arabic" w:eastAsia="Calibri" w:hAnsi="Traditional Arabic" w:cs="Traditional Arabic"/>
          <w:sz w:val="32"/>
          <w:szCs w:val="32"/>
        </w:rPr>
        <w:t>OECD</w:t>
      </w:r>
      <w:r>
        <w:rPr>
          <w:rFonts w:ascii="Traditional Arabic" w:eastAsia="Calibri" w:hAnsi="Traditional Arabic" w:cs="Traditional Arabic"/>
          <w:sz w:val="32"/>
          <w:szCs w:val="32"/>
          <w:lang w:bidi="ar-AE"/>
        </w:rPr>
        <w:t xml:space="preserve">, </w:t>
      </w:r>
      <w:r w:rsidRPr="00A73F98">
        <w:rPr>
          <w:rFonts w:ascii="Traditional Arabic" w:eastAsia="Calibri" w:hAnsi="Traditional Arabic" w:cs="Traditional Arabic"/>
          <w:sz w:val="32"/>
          <w:szCs w:val="32"/>
        </w:rPr>
        <w:t>2019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إلى أن المعلمين العاملين في بيئات مدرسية داعمة يظهرون مستويات أعلى من الكفاءة المهنية، مما يعكس دور الثقافة التنظيمية في تضخيم أثر التنمية المهنية.</w:t>
      </w:r>
    </w:p>
    <w:p w14:paraId="39EEDFDB" w14:textId="77777777" w:rsidR="00A73F98" w:rsidRDefault="00A73F98" w:rsidP="00A73F98">
      <w:pPr>
        <w:bidi/>
        <w:spacing w:after="200" w:line="360" w:lineRule="auto"/>
        <w:jc w:val="both"/>
        <w:rPr>
          <w:rFonts w:ascii="Traditional Arabic" w:eastAsia="Calibri" w:hAnsi="Traditional Arabic" w:cs="Traditional Arabic"/>
          <w:sz w:val="32"/>
          <w:szCs w:val="32"/>
          <w:rtl/>
        </w:rPr>
      </w:pPr>
      <w:r w:rsidRPr="00A73F98">
        <w:rPr>
          <w:rFonts w:ascii="Traditional Arabic" w:eastAsia="Calibri" w:hAnsi="Traditional Arabic" w:cs="Traditional Arabic"/>
          <w:sz w:val="32"/>
          <w:szCs w:val="32"/>
          <w:rtl/>
        </w:rPr>
        <w:t>وتكمن قوة هذا الطرح في تفسير الفروق بين المؤسسات التعليمية في الاستفادة من نفس البرامج التدريبية، إلا أنه قد يقلل من أهمية الفروق الفردية بين المعلمين، مما يستدعي تبني منظور تكاملي يجمع بين المستويين الفردي والتنظيمي</w:t>
      </w:r>
      <w:r w:rsidRPr="00A73F98">
        <w:rPr>
          <w:rFonts w:ascii="Traditional Arabic" w:eastAsia="Calibri" w:hAnsi="Traditional Arabic" w:cs="Traditional Arabic"/>
          <w:sz w:val="32"/>
          <w:szCs w:val="32"/>
        </w:rPr>
        <w:t>.</w:t>
      </w:r>
    </w:p>
    <w:p w14:paraId="2D1304F2" w14:textId="1BAD1E29" w:rsidR="00A73F98" w:rsidRPr="00A73F98" w:rsidRDefault="00A73F98" w:rsidP="00A73F98">
      <w:pPr>
        <w:bidi/>
        <w:spacing w:after="200" w:line="360" w:lineRule="auto"/>
        <w:jc w:val="both"/>
        <w:rPr>
          <w:rFonts w:ascii="Traditional Arabic" w:eastAsia="Calibri" w:hAnsi="Traditional Arabic" w:cs="Traditional Arabic"/>
          <w:sz w:val="32"/>
          <w:szCs w:val="32"/>
          <w:rtl/>
          <w:lang w:bidi="ar-JO"/>
        </w:rPr>
      </w:pPr>
      <w:r w:rsidRPr="00A73F98">
        <w:rPr>
          <w:rFonts w:ascii="Traditional Arabic" w:eastAsia="Calibri" w:hAnsi="Traditional Arabic" w:cs="Traditional Arabic"/>
          <w:sz w:val="32"/>
          <w:szCs w:val="32"/>
          <w:rtl/>
        </w:rPr>
        <w:t xml:space="preserve">تكمن قوة نظرية التعلم التنظيمي في توسيعها نطاق التحليل ليشمل البيئة المؤسسية، حيث تبرز دور الثقافة التنظيمية والتعلم الجماعي في تعزيز الكفاءة المهنية للمعلمين. إلا أنه يُؤخذ عليها تقليلها النسبي من تأثير </w:t>
      </w:r>
      <w:r w:rsidRPr="00A73F98">
        <w:rPr>
          <w:rFonts w:ascii="Traditional Arabic" w:eastAsia="Calibri" w:hAnsi="Traditional Arabic" w:cs="Traditional Arabic"/>
          <w:sz w:val="32"/>
          <w:szCs w:val="32"/>
          <w:rtl/>
        </w:rPr>
        <w:lastRenderedPageBreak/>
        <w:t>الفروق الفردية، وتركزها على المستوى الكلي للمؤسسة، كما أن من حدودها صعوبة تطبيقها في البيئات التي تفتقر إلى ثقافة تنظيمية داعمة. ومع ذلك، فإنها تتلاءم مع الدراسة الحالية في تفسير دور البيئة المدرسية في مدينة الرياض في تعزيز أو إضعاف أثر برامج التنمية المهنية، كما تسهم في تحليل التحديات التي تواجه المعلمين في الاستفادة من هذه البرامج، وهو ما يتوافق مع هدف الدراسة المتعلق بتحديد المعوقات واقتراح سبل تطوير فاعلية البرامج التدريبية</w:t>
      </w:r>
      <w:r w:rsidRPr="00A73F98">
        <w:rPr>
          <w:rFonts w:ascii="Traditional Arabic" w:eastAsia="Calibri" w:hAnsi="Traditional Arabic" w:cs="Traditional Arabic"/>
          <w:sz w:val="32"/>
          <w:szCs w:val="32"/>
        </w:rPr>
        <w:t>.</w:t>
      </w:r>
    </w:p>
    <w:p w14:paraId="1C0EADCD" w14:textId="2699E8FF"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7A2E51C2" w14:textId="7777777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الخلاصة التحليلية للإطار النظري</w:t>
      </w:r>
    </w:p>
    <w:p w14:paraId="5E0379D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يتضح من التحليل النظري أن أيا من هذه النماذج لا يقدم تفسيرًا شاملًا للعلاقة بين التنمية المهنية والكفاءة التدريسية بصورة منفردة، بل إن كل نموذج يفسر بعدًا معينًا من هذه العلاقة؛ حيث تركز نظرية رأس المال البشري على البعد الاستثماري، بينما تبرز نظرية المعرفة التربوية للمحتوى البعد المعرفي، في حين يفسر نموذج</w:t>
      </w:r>
      <w:r w:rsidRPr="00A73F98">
        <w:rPr>
          <w:rFonts w:ascii="Traditional Arabic" w:eastAsia="Calibri" w:hAnsi="Traditional Arabic" w:cs="Traditional Arabic"/>
          <w:sz w:val="32"/>
          <w:szCs w:val="32"/>
        </w:rPr>
        <w:t xml:space="preserve"> Desimone </w:t>
      </w:r>
      <w:r w:rsidRPr="00A73F98">
        <w:rPr>
          <w:rFonts w:ascii="Traditional Arabic" w:eastAsia="Calibri" w:hAnsi="Traditional Arabic" w:cs="Traditional Arabic"/>
          <w:sz w:val="32"/>
          <w:szCs w:val="32"/>
          <w:rtl/>
        </w:rPr>
        <w:t>خصائص البرامج التدريبية الفعالة، ويعالج نموذج</w:t>
      </w:r>
      <w:r w:rsidRPr="00A73F98">
        <w:rPr>
          <w:rFonts w:ascii="Traditional Arabic" w:eastAsia="Calibri" w:hAnsi="Traditional Arabic" w:cs="Traditional Arabic"/>
          <w:sz w:val="32"/>
          <w:szCs w:val="32"/>
        </w:rPr>
        <w:t xml:space="preserve"> Guskey </w:t>
      </w:r>
      <w:r w:rsidRPr="00A73F98">
        <w:rPr>
          <w:rFonts w:ascii="Traditional Arabic" w:eastAsia="Calibri" w:hAnsi="Traditional Arabic" w:cs="Traditional Arabic"/>
          <w:sz w:val="32"/>
          <w:szCs w:val="32"/>
          <w:rtl/>
        </w:rPr>
        <w:t>ديناميكية التغيير، وتوضح نظرية التعلم التنظيمي أثر البيئة المؤسسية</w:t>
      </w:r>
      <w:r w:rsidRPr="00A73F98">
        <w:rPr>
          <w:rFonts w:ascii="Traditional Arabic" w:eastAsia="Calibri" w:hAnsi="Traditional Arabic" w:cs="Traditional Arabic"/>
          <w:sz w:val="32"/>
          <w:szCs w:val="32"/>
        </w:rPr>
        <w:t>.</w:t>
      </w:r>
    </w:p>
    <w:p w14:paraId="4665D20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وانطلاقًا من ذلك، تتبنى الدراسة الحالية مدخلًا تكامليًا يجمع بين هذه الأطر النظرية، انطلاقًا من أن الكفاءة التدريسية تمثل بناءً مهنيًا ديناميكيًا يتشكل من تفاعل العوامل المعرفية والتنظيمية والتدريبية، وأن أثر التنمية المهنية لا يتحقق بصورة مباشرة، بل يمر عبر التغير في الممارسة التدريسية، وهو ما تسعى الدراسة الحالية إلى اختباره في السياق التعليمي السعودي</w:t>
      </w:r>
      <w:r w:rsidRPr="00A73F98">
        <w:rPr>
          <w:rFonts w:ascii="Traditional Arabic" w:eastAsia="Calibri" w:hAnsi="Traditional Arabic" w:cs="Traditional Arabic"/>
          <w:sz w:val="32"/>
          <w:szCs w:val="32"/>
        </w:rPr>
        <w:t>.</w:t>
      </w:r>
    </w:p>
    <w:p w14:paraId="41E6F4DB" w14:textId="279EEE38" w:rsidR="006504A0" w:rsidRPr="00A73F98" w:rsidRDefault="00A73F98" w:rsidP="00A73F98">
      <w:pPr>
        <w:bidi/>
        <w:spacing w:after="200" w:line="360" w:lineRule="auto"/>
        <w:jc w:val="both"/>
        <w:rPr>
          <w:rFonts w:ascii="Traditional Arabic" w:eastAsia="Calibri" w:hAnsi="Traditional Arabic" w:cs="Traditional Arabic"/>
          <w:sz w:val="32"/>
          <w:szCs w:val="32"/>
          <w:rtl/>
          <w:lang w:bidi="ar-JO"/>
        </w:rPr>
      </w:pPr>
      <w:r>
        <w:rPr>
          <w:rFonts w:ascii="Traditional Arabic" w:eastAsia="Calibri" w:hAnsi="Traditional Arabic" w:cs="Traditional Arabic" w:hint="cs"/>
          <w:sz w:val="32"/>
          <w:szCs w:val="32"/>
          <w:rtl/>
        </w:rPr>
        <w:t xml:space="preserve">أخيرا، </w:t>
      </w:r>
      <w:r w:rsidRPr="00A73F98">
        <w:rPr>
          <w:rFonts w:ascii="Traditional Arabic" w:eastAsia="Calibri" w:hAnsi="Traditional Arabic" w:cs="Traditional Arabic"/>
          <w:sz w:val="32"/>
          <w:szCs w:val="32"/>
          <w:rtl/>
        </w:rPr>
        <w:t xml:space="preserve">يتضح من العرض والتحليل النظري أن التنمية المهنية تمثل مدخلًا </w:t>
      </w:r>
      <w:r w:rsidRPr="00A73F98">
        <w:rPr>
          <w:rFonts w:ascii="Traditional Arabic" w:eastAsia="Calibri" w:hAnsi="Traditional Arabic" w:cs="Traditional Arabic" w:hint="cs"/>
          <w:sz w:val="32"/>
          <w:szCs w:val="32"/>
          <w:rtl/>
        </w:rPr>
        <w:t>استراتيجيا</w:t>
      </w:r>
      <w:r w:rsidRPr="00A73F98">
        <w:rPr>
          <w:rFonts w:ascii="Traditional Arabic" w:eastAsia="Calibri" w:hAnsi="Traditional Arabic" w:cs="Traditional Arabic"/>
          <w:sz w:val="32"/>
          <w:szCs w:val="32"/>
          <w:rtl/>
        </w:rPr>
        <w:t xml:space="preserve"> لتطوير الكفاءة التدريسية، حيث تسهم في بناء المعرفة المهنية وتعزيز الممارسات الصفية الفاعلة. كما تبين أن العلاقة بين </w:t>
      </w:r>
      <w:r w:rsidRPr="00A73F98">
        <w:rPr>
          <w:rFonts w:ascii="Traditional Arabic" w:eastAsia="Calibri" w:hAnsi="Traditional Arabic" w:cs="Traditional Arabic"/>
          <w:sz w:val="32"/>
          <w:szCs w:val="32"/>
          <w:rtl/>
        </w:rPr>
        <w:lastRenderedPageBreak/>
        <w:t>التنمية المهنية والكفاءة التدريسية ليست علاقة مباشرة فحسب، بل تتأثر بطبيعة البرامج التدريبية وخصائصها، إضافة إلى البيئة التنظيمية التي يعمل فيها المعلم. وتشير النماذج النظرية المختلفة إلى أن الكفاءة التدريسية تمثل بناءً مهنيًا ديناميكيًا يتطور عبر التعلم المستمر والخبرات التراكمية، وهو ما تسعى الدراسة الحالية إلى اختباره في سياقها التطبيقي</w:t>
      </w:r>
      <w:r w:rsidRPr="00A73F98">
        <w:rPr>
          <w:rFonts w:ascii="Traditional Arabic" w:eastAsia="Calibri" w:hAnsi="Traditional Arabic" w:cs="Traditional Arabic"/>
          <w:sz w:val="32"/>
          <w:szCs w:val="32"/>
        </w:rPr>
        <w:t>.</w:t>
      </w:r>
    </w:p>
    <w:p w14:paraId="4C9B1DF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75DA1CC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commentRangeStart w:id="3"/>
      <w:r w:rsidRPr="006504A0">
        <w:rPr>
          <w:rFonts w:ascii="Traditional Arabic" w:eastAsia="Calibri" w:hAnsi="Traditional Arabic" w:cs="Traditional Arabic" w:hint="cs"/>
          <w:b/>
          <w:bCs/>
          <w:sz w:val="32"/>
          <w:szCs w:val="32"/>
          <w:rtl/>
        </w:rPr>
        <w:t xml:space="preserve">المحور </w:t>
      </w:r>
      <w:commentRangeEnd w:id="3"/>
      <w:r w:rsidR="00FF115F" w:rsidRPr="006504A0">
        <w:rPr>
          <w:rStyle w:val="CommentReference"/>
          <w:rFonts w:ascii="Traditional Arabic" w:eastAsia="Calibri" w:hAnsi="Traditional Arabic" w:cs="Traditional Arabic" w:hint="cs"/>
          <w:b/>
          <w:bCs/>
          <w:sz w:val="32"/>
          <w:szCs w:val="32"/>
          <w:rtl/>
        </w:rPr>
        <w:commentReference w:id="3"/>
      </w:r>
      <w:r w:rsidRPr="006504A0">
        <w:rPr>
          <w:rFonts w:ascii="Traditional Arabic" w:eastAsia="Calibri" w:hAnsi="Traditional Arabic" w:cs="Traditional Arabic" w:hint="cs"/>
          <w:b/>
          <w:bCs/>
          <w:sz w:val="32"/>
          <w:szCs w:val="32"/>
          <w:rtl/>
        </w:rPr>
        <w:t>الثاني: الدراسات السابقة</w:t>
      </w:r>
    </w:p>
    <w:p w14:paraId="5C1BD599" w14:textId="044B2876" w:rsidR="006504A0" w:rsidRPr="006504A0" w:rsidRDefault="006504A0" w:rsidP="00DD6416">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تُعد الدراسات السابقة ركيزة أساسية لفهم السياق البحثي الحالي حول العلاقة بين برامج التنمية المهنية وكفاءة معلمي المرحلة الابتدائية. تم اختيار هذه الدراسات بناءً على معايير محددة تشمل الصلة الموضوعية، الحداثة، البيئة التعليمية المشابهة، واعتمادها على مناهج علمية موثوقة. تهدف هذه المراجعة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تسليط الضوء على نتائج الدراسات التي تناولت التنمية المهنية وتأثيرها على كفاءة المعلمين في مجالات التخطيط التدريسي، إدارة الصف، التقويم التعليمي، والتواصل مع الطلاب، بالإضافة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تأثير المتغيرات الديموغرافية وعدد المشاركات في البرامج التدريبية</w:t>
      </w:r>
      <w:r w:rsidRPr="006504A0">
        <w:rPr>
          <w:rFonts w:ascii="Traditional Arabic" w:eastAsia="Calibri" w:hAnsi="Traditional Arabic" w:cs="Traditional Arabic"/>
          <w:sz w:val="32"/>
          <w:szCs w:val="32"/>
        </w:rPr>
        <w:t>.</w:t>
      </w:r>
    </w:p>
    <w:p w14:paraId="32DE399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b/>
          <w:bCs/>
          <w:sz w:val="32"/>
          <w:szCs w:val="32"/>
          <w:rtl/>
          <w:lang w:bidi="ar-JO"/>
        </w:rPr>
        <w:t xml:space="preserve">اولا: </w:t>
      </w:r>
      <w:r w:rsidRPr="006504A0">
        <w:rPr>
          <w:rFonts w:ascii="Traditional Arabic" w:eastAsia="Calibri" w:hAnsi="Traditional Arabic" w:cs="Traditional Arabic"/>
          <w:b/>
          <w:bCs/>
          <w:sz w:val="32"/>
          <w:szCs w:val="32"/>
          <w:rtl/>
        </w:rPr>
        <w:t xml:space="preserve"> الدراسات المتعلقة ببرامج التنمية المهنية (المتغير المستقل)</w:t>
      </w:r>
    </w:p>
    <w:p w14:paraId="1253CB4B" w14:textId="6DC61C02"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(الحيكان، 2024) بعنوان "بيان التجديد التربوي للتنمية المهنية للمعلمين في ضوء كفايات الرخصة المهنية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إبراز أهمية التجديد التربوي بوصفه مدخلًا أساسيًا لتعزيز التنمية المهنية المستدامة للمعلمين في المملكة العربية السعودية، في ظل التحولات التقنية المتسارعة والتحديات التي فرضتها جائحة كوفيد-19 على النظم التعليمية. وركزت الدراسة على تحليل العلاقة بين برامج التنمية المهنية ومتطلبات الرخصة المهنية التي تعتمدها هيئة تقويم التعليم والتدريب، باعتبارها إطارًا معياريًا لقياس كفاءة </w:t>
      </w:r>
      <w:r w:rsidRPr="006504A0">
        <w:rPr>
          <w:rFonts w:ascii="Traditional Arabic" w:eastAsia="Calibri" w:hAnsi="Traditional Arabic" w:cs="Traditional Arabic"/>
          <w:sz w:val="32"/>
          <w:szCs w:val="32"/>
          <w:rtl/>
        </w:rPr>
        <w:lastRenderedPageBreak/>
        <w:t>المعلمين وفق معايير دقيقة ومنظمة. واعتمدت الدراسة على منهج تحليلي وصفي قائم على مراجعة السياسات التعليمية وتحليل الأطر التنظيمية المرتبطة بالتطوير المهني</w:t>
      </w:r>
      <w:r w:rsidRPr="006504A0">
        <w:rPr>
          <w:rFonts w:ascii="Traditional Arabic" w:eastAsia="Calibri" w:hAnsi="Traditional Arabic" w:cs="Traditional Arabic"/>
          <w:sz w:val="32"/>
          <w:szCs w:val="32"/>
        </w:rPr>
        <w:t>.</w:t>
      </w:r>
    </w:p>
    <w:p w14:paraId="33AABEA2" w14:textId="3B69038B"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نتائج الدراسة أن جودة التعليم ترتبط بدرجة كبيرة بفاعلية برامج التنمية المهنية ومدى اتساقها مع معايير الرخصة المهنية، مؤكدة أن تطوير المعلمين ينبغي أن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احتياجاتهم الفعلية وأن يكون مستمرًا ومبنيًا على معايير واضحة. كما بينت أن نظام الرخصة المهنية يمثل أداة تنظيمية تسهم في سد الفجوة بين الإعداد النظري والممارسة الفعلية داخل الصف، من خلال تحفيز المعلمين على التطوير المستدام وتحسين الأداء المهني</w:t>
      </w:r>
      <w:r w:rsidRPr="006504A0">
        <w:rPr>
          <w:rFonts w:ascii="Traditional Arabic" w:eastAsia="Calibri" w:hAnsi="Traditional Arabic" w:cs="Traditional Arabic"/>
          <w:sz w:val="32"/>
          <w:szCs w:val="32"/>
        </w:rPr>
        <w:t>.</w:t>
      </w:r>
    </w:p>
    <w:p w14:paraId="38602425" w14:textId="5CE047E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تمثل ركيزة استراتيجية لتحسين جودة التعليم، وتميزت بربطها بين التطوير المهني والإطار التنظيمي للرخصة المهنية في السياق السعودي. إلا أنها ركزت على التحليل المفاهيمي والتنظيمي دون إجراء دراسة ميدانية تقيس الأثر الفعلي لبرامج التنمية المهنية على أبعاد الكفاءة التدريسية بصورة كمية. كما لم تختبر العلاقة الإحصائية المباشرة بين المشاركة في البرامج التدريبية ومستوى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تحليلية تقيس أثر برامج التنمية المهنية على الكفاءة التدريسية بأبعادها المختلفة باستخدام نماذج تحليلية كمية في بيئة تعليمية حضرية مثل مدينة الرياض</w:t>
      </w:r>
      <w:r w:rsidRPr="006504A0">
        <w:rPr>
          <w:rFonts w:ascii="Traditional Arabic" w:eastAsia="Calibri" w:hAnsi="Traditional Arabic" w:cs="Traditional Arabic"/>
          <w:sz w:val="32"/>
          <w:szCs w:val="32"/>
        </w:rPr>
        <w:t>.</w:t>
      </w:r>
    </w:p>
    <w:p w14:paraId="5B576A5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43988A90" w14:textId="2474E0F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(Alshahrani &amp; Abu-Alghayth,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“Teachers’ professional development for inclusive education: A perspective from Saudi Arabia</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اتجاهات معلمي المرحلة </w:t>
      </w:r>
      <w:r w:rsidRPr="006504A0">
        <w:rPr>
          <w:rFonts w:ascii="Traditional Arabic" w:eastAsia="Calibri" w:hAnsi="Traditional Arabic" w:cs="Traditional Arabic"/>
          <w:sz w:val="32"/>
          <w:szCs w:val="32"/>
          <w:rtl/>
        </w:rPr>
        <w:lastRenderedPageBreak/>
        <w:t>الابتدائية في المملكة العربية السعودية نحو توفر برامج التنمية المهنية المرتبطة بالتعليم الشامل، وتحليل مدى كفاية هذه البرامج في دعم تطبيق مبادئ الدمج ورفع جودة المخرجات التعليمية. واعتمدت الدراسة على المنهج المختلط الاستكشافي المتسلسل، حيث شارك (331) معلماً في الجزء الكمي من خلال استبانة، بينما أُجريت مقابلات نوعية مع (9) معلمين لاستكمال التفسير العميق للنتائج</w:t>
      </w:r>
      <w:r w:rsidRPr="006504A0">
        <w:rPr>
          <w:rFonts w:ascii="Traditional Arabic" w:eastAsia="Calibri" w:hAnsi="Traditional Arabic" w:cs="Traditional Arabic"/>
          <w:sz w:val="32"/>
          <w:szCs w:val="32"/>
        </w:rPr>
        <w:t>.</w:t>
      </w:r>
    </w:p>
    <w:p w14:paraId="4E089E2A" w14:textId="4EF840A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نقص ملحوظ في برامج التنمية المهنية المستمرة، سواء في مرحلة الإعداد قبل الخدمة أو أثناء الخدمة، حيث أشار المشاركون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التدريب كان يغلب عليه الطابع النظري مع محدودية التطبيق العملي، الأمر الذي انعكس سلباً على قدرة المعلمين على التعامل مع الطلاب في بيئات التعليم الشامل. كما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تطوير برامج تدريبية أكثر استدامة وملاءمة للاحتياجات الفعلية للمعلمين، بما يسهم في تعزيز كفاءتهم المهنية وتحسين جودة التعليم</w:t>
      </w:r>
      <w:r w:rsidRPr="006504A0">
        <w:rPr>
          <w:rFonts w:ascii="Traditional Arabic" w:eastAsia="Calibri" w:hAnsi="Traditional Arabic" w:cs="Traditional Arabic"/>
          <w:sz w:val="32"/>
          <w:szCs w:val="32"/>
        </w:rPr>
        <w:t>.</w:t>
      </w:r>
    </w:p>
    <w:p w14:paraId="3BA881A8" w14:textId="4E61AEA2"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أن فاعلية التنمية المهنية تعد شرطًا أساسياً لنجاح سياسات التعليم الشامل، وتميزت بتركيزها على السياق السعودي واستخدامها المنهج المختلط الذي جمع بين التحليل الكمي والنوعي. إلا أنها ركزت على تحليل تصورات المعلمين تجاه توفر البرامج وجودتها، دون قياس مباشر لمستوى الكفاءة التدريسية أو اختبار العلاقة الإحصائية بين المشاركة في برامج التنمية المهنية وتحسن الأداء التدريسي. كما لم تقدم نموذجًا تحليليًا يفسر تأثير المتغيرات الديموغرافية بصورة كمية في العلاقة بين البرامج والكفاءة.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كمية تقيس أثر برامج التنمية المهنية على أبعاد الكفاءة التدريسية، مع اختبار دور المتغيرات الديموغرافية كعوامل مؤثرة أو معدِّلة في السياق السعودي</w:t>
      </w:r>
      <w:r w:rsidRPr="006504A0">
        <w:rPr>
          <w:rFonts w:ascii="Traditional Arabic" w:eastAsia="Calibri" w:hAnsi="Traditional Arabic" w:cs="Traditional Arabic"/>
          <w:sz w:val="32"/>
          <w:szCs w:val="32"/>
        </w:rPr>
        <w:t>.</w:t>
      </w:r>
    </w:p>
    <w:p w14:paraId="525BFBF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4A82E00C" w14:textId="77D01056"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lastRenderedPageBreak/>
        <w:t>دراسة</w:t>
      </w:r>
      <w:r w:rsidRPr="00DD6416">
        <w:rPr>
          <w:rFonts w:ascii="Traditional Arabic" w:eastAsia="Calibri" w:hAnsi="Traditional Arabic" w:cs="Traditional Arabic"/>
          <w:b/>
          <w:bCs/>
          <w:sz w:val="32"/>
          <w:szCs w:val="32"/>
        </w:rPr>
        <w:t xml:space="preserve"> (Abbas et al., 2021)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“Impact of continuous professional development on the quality of education among primary school teachers in Lahore</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أثر برامج التنمية المهنية المستمرة على جودة التعليم لدى معلمي المرحلة الابتدائية في مدينة لاهور. واعتمدت الدراسة على المنهج الكمي الوصفي، حيث تم جمع البيانات من المعلمين باستخدام أداة استبانة لقياس إدراكهم لدور برامج التنمية المهنية في تحسين أدائهم المهني</w:t>
      </w:r>
      <w:r w:rsidRPr="006504A0">
        <w:rPr>
          <w:rFonts w:ascii="Traditional Arabic" w:eastAsia="Calibri" w:hAnsi="Traditional Arabic" w:cs="Traditional Arabic"/>
          <w:sz w:val="32"/>
          <w:szCs w:val="32"/>
        </w:rPr>
        <w:t>.</w:t>
      </w:r>
    </w:p>
    <w:p w14:paraId="19DA1A4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أظهرت النتائج وجود اتفاق مرتفع بين المعلمين على أن برامج التنمية المهنية المستمرة أسهمت بصورة إيجابية في تحسين مهاراتهم التدريسية، ومعرفتهم التخصصية، وكفاءاتهم المهنية بشكل عام، مما انعكس على جودة العملية التعليمية. وأوصت الدراسة بضرورة الاستمرار في تبني برامج التنمية المهنية كجزء أساسي من مسار التطوير الوظيفي للمعلمين، لضمان استدامة التحسين في جودة التعليم</w:t>
      </w:r>
      <w:r w:rsidRPr="006504A0">
        <w:rPr>
          <w:rFonts w:ascii="Traditional Arabic" w:eastAsia="Calibri" w:hAnsi="Traditional Arabic" w:cs="Traditional Arabic"/>
          <w:sz w:val="32"/>
          <w:szCs w:val="32"/>
        </w:rPr>
        <w:t>.</w:t>
      </w:r>
    </w:p>
    <w:p w14:paraId="5F2F018A" w14:textId="67D4600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المستمرة تسهم في رفع مستوى الكفاءة التدريسية وتحسين جودة التعليم، وتميزت بتركيزها على المرحلة الابتدائية واعتمادها قياسًا كميًا مباشرًا لإدراك المعلمين لأثر البرامج. إلا أنها اعتمدت بصورة أساسية على التقويم الذاتي للمعلمين دون استخدام أدوات قياس متعددة أو نماذج تحليل سببية متقدمة لتحديد قوة التأثير بين المتغيرين، كما لم تفصل أثر البرامج على أبعاد محددة من الكفاءة التدريسية بصورة مستقلة.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أكثر عمقًا تقيس أثر برامج التنمية المهنية على أبعاد الكفاءة التدريسية (التخطيط، إدارة الصف، التقويم، والتواصل) باستخدام نموذج إحصائي يسمح بتفسير العلاقة بصورة أدق، خاصة في سياق تعليمي سعودي</w:t>
      </w:r>
      <w:r w:rsidRPr="006504A0">
        <w:rPr>
          <w:rFonts w:ascii="Traditional Arabic" w:eastAsia="Calibri" w:hAnsi="Traditional Arabic" w:cs="Traditional Arabic"/>
          <w:sz w:val="32"/>
          <w:szCs w:val="32"/>
        </w:rPr>
        <w:t>.</w:t>
      </w:r>
    </w:p>
    <w:p w14:paraId="295AE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03428F1"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lastRenderedPageBreak/>
        <w:t>ثانيا: الدراسات المتعلقة بالكفاءة التدريسية (المتغير التابع)</w:t>
      </w:r>
    </w:p>
    <w:p w14:paraId="0C135A3B" w14:textId="41A279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(الشهراني، 2024) بعنوان "الكفايات التدريسية لدى معلمات العلوم أثناء جائحة كورونا في المملكة العربية السعودية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التعرف على مستوى الكفايات التدريسية لدى معلمات العلوم في المرحلة المتوسطة في محافظة خميس مشيط خلال فترة التعليم عن بُعد، مع التركيز على مجالات التخطيط والتنفيذ والتقويم،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الكشف عن أثر بعض المتغيرات الديموغرافية مثل التخصص، سنوات الخبرة، والمؤهل العلمي في مستوى هذه الكفايات. واعتمدت الدراسة على المنهج الوصفي التحليلي، واستخدمت الاستبانة أداة لجمع البيانات من عينة عشوائية مكونة من (60) معلمة من مجتمع بلغ (120) معلمة</w:t>
      </w:r>
      <w:r w:rsidRPr="006504A0">
        <w:rPr>
          <w:rFonts w:ascii="Traditional Arabic" w:eastAsia="Calibri" w:hAnsi="Traditional Arabic" w:cs="Traditional Arabic"/>
          <w:sz w:val="32"/>
          <w:szCs w:val="32"/>
        </w:rPr>
        <w:t>.</w:t>
      </w:r>
    </w:p>
    <w:p w14:paraId="5D793125" w14:textId="41173DD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نتائج الدراسة أن مستوى الكفايات التدريسية في التعليم عن بُعد جاء بدرجة مرتفعة بشكل عام، حيث احتل محور التخطيط المرتبة الأولى من حيث مستوى التوافر، يليه محور التقويم، ثم محور التنفيذ، وجميعها بمستوى عالٍ. 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نسبي في مستوى الكفايات وفق بعض المتغيرات الشخصية، مما يعكس تأثير السياق التعليمي والتحولات الرقمية في إعادة تشكيل الممارسات التدريسية</w:t>
      </w:r>
      <w:r w:rsidRPr="006504A0">
        <w:rPr>
          <w:rFonts w:ascii="Traditional Arabic" w:eastAsia="Calibri" w:hAnsi="Traditional Arabic" w:cs="Traditional Arabic"/>
          <w:sz w:val="32"/>
          <w:szCs w:val="32"/>
        </w:rPr>
        <w:t>.</w:t>
      </w:r>
    </w:p>
    <w:p w14:paraId="0D5F3CA0" w14:textId="66320843"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أهمية الكفاءة التدريسية بوصفها حجر الأساس في جودة التعليم، خاصة في البيئات التعليمية المتغيرة. وتميزت بتركيزها على سياق التعليم عن بُعد وتحليل أبعاد الكفايات التدريسية بصورة تفصيلية. إلا أنها ركزت على قياس مستوى الكفايات دون اختبار العلاقة السببية بين برامج التنمية المهنية ومستوى هذه الكفايات، كما لم تتناول أثر المشاركة في برامج تدريبية منظمة على تطوير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أبعاد الكفاءة التدريسية باستخدام نماذج تحليلية تسمح بتفسير العلاقة بين المتغيرين في سياق تعليمي سعودي حضري مثل مدينة الرياض</w:t>
      </w:r>
      <w:r w:rsidRPr="006504A0">
        <w:rPr>
          <w:rFonts w:ascii="Traditional Arabic" w:eastAsia="Calibri" w:hAnsi="Traditional Arabic" w:cs="Traditional Arabic"/>
          <w:sz w:val="32"/>
          <w:szCs w:val="32"/>
        </w:rPr>
        <w:t>.</w:t>
      </w:r>
    </w:p>
    <w:p w14:paraId="2DDD8540"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19A573FC" w14:textId="0271B89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(سلام والزهيري، 2022) بعنوان "درجة توافر الكفايات التعليمية لدى معلمي الرياضيات في ليبيا وعلاقتها بالمؤهل التربوي</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الكفايات التعليمية لدى معلمي الرياضيات في المرحلة الإعدادية بمدينة طرابلس، مع تحليل العلاقة بين هذه الكفايات والمؤهل التربوي. واعتمدت الدراسة على المنهج الوصفي الارتباطي، حيث تم اختيار عينة عشوائية مكونة من (66) معلمًا ومعلمة من مجتمع شمل معلمي الصفين السابع والثامن. واستخدم الباحثان بطاقة ملاحظة تضمنت (38) كفاءة تعليمية موزعة على أربعة مجالات رئيسة هي: إعداد وتخطيط الدروس، تنفيذ الدرس، اختيار الوسائل والأنشطة، والتقويم</w:t>
      </w:r>
      <w:r w:rsidRPr="006504A0">
        <w:rPr>
          <w:rFonts w:ascii="Traditional Arabic" w:eastAsia="Calibri" w:hAnsi="Traditional Arabic" w:cs="Traditional Arabic"/>
          <w:sz w:val="32"/>
          <w:szCs w:val="32"/>
        </w:rPr>
        <w:t>.</w:t>
      </w:r>
    </w:p>
    <w:p w14:paraId="7B5F445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أظهرت النتائج أن مستوى توافر الكفايات التعليمية جاء بدرجة متوسطة، كما لم تكشف الدراسة عن وجود علاقة ارتباطية ذات دلالة إحصائية بين مستوى الكفايات التعليمية والمؤهل التربوي. وأوصت الدراسة بضرورة تطوير برامج إعداد المعلمين وتعزيز التدريب أثناء الخدمة بما يتناسب مع مدخل التربية المبنية على الكفايات، بهدف رفع مستوى الأداء التعليمي</w:t>
      </w:r>
      <w:r w:rsidRPr="006504A0">
        <w:rPr>
          <w:rFonts w:ascii="Traditional Arabic" w:eastAsia="Calibri" w:hAnsi="Traditional Arabic" w:cs="Traditional Arabic"/>
          <w:sz w:val="32"/>
          <w:szCs w:val="32"/>
        </w:rPr>
        <w:t>.</w:t>
      </w:r>
    </w:p>
    <w:p w14:paraId="10CCB2FE" w14:textId="4C1E3323"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أهمية قياس الكفاءة التدريسية بأبعادها المختلفة، وتميزت باستخدام أداة ملاحظة مباشرة مما يعزز موضوعية القياس مقارنة بالاستبانات الذاتية. إلا أنها ركزت على قياس مستوى الكفايات وعلاقتها بالمؤهل التربوي فقط، دون اختبار أثر برامج التنمية المهنية بصورة مباشرة على هذه الكفايات، كما لم تتناول العلاقة السببية بين التدريب أثناء الخدمة ومستوى الأداء التدريسي باستخدام نماذج تحليلية كمية.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تقيس أثر برامج التنمية المهنية على أبعاد الكفاءة التدريسية في سياقات تعليمية مختلفة، وبخاصة في البيئة السعودية</w:t>
      </w:r>
      <w:r w:rsidRPr="006504A0">
        <w:rPr>
          <w:rFonts w:ascii="Traditional Arabic" w:eastAsia="Calibri" w:hAnsi="Traditional Arabic" w:cs="Traditional Arabic"/>
          <w:sz w:val="32"/>
          <w:szCs w:val="32"/>
        </w:rPr>
        <w:t>.</w:t>
      </w:r>
    </w:p>
    <w:p w14:paraId="264DB84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17FB6C67" w14:textId="61553E0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(القطاوي، 2022) بعنوان "الكفايات اللازمة لمعلمي المنصات الإلكترونية من وجهة نظر الطلبة والمعلمين</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الكفايات الأساسية التي ينبغي أن يمتلكها معلمو المنصات الإلكترونية، مع تركيز خاص على كفايات إدارة الصف الإلكتروني، وذلك في المدارس الخاصة التابعة للواء الجامعة. واعتمدت الدراسة على المنهج المختلط، حيث استخدمت استبانتين؛ الأولى موجهة للمعلمين وتضمنت (53) فقرة موزعة على ستة محاور، والثانية موجهة للطلبة واشتملت على (29) فقرة موزعة على أربعة محاور،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استخدام المقابلات كأداة مساندة. وتكونت عينة الدراسة من (100) معلم ومعلمة و(200) طالب وطالبة، مع التحقق من صدق الأدوات وثباتها</w:t>
      </w:r>
      <w:r w:rsidRPr="006504A0">
        <w:rPr>
          <w:rFonts w:ascii="Traditional Arabic" w:eastAsia="Calibri" w:hAnsi="Traditional Arabic" w:cs="Traditional Arabic"/>
          <w:sz w:val="32"/>
          <w:szCs w:val="32"/>
        </w:rPr>
        <w:t>.</w:t>
      </w:r>
    </w:p>
    <w:p w14:paraId="237A72C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أظهرت النتائج وجود درجة عالية من التوافق بين آراء المعلمين والطلبة حول أهمية الكفايات المطلوبة، حيث سجلت جميع المجالات تقييمات مرتفعة، لا سيما في الجوانب المرتبطة بإدارة الصف الإلكتروني وتنظيم التفاعل التعليمي عبر المنصات. وأوصت الدراسة بضرورة تنفيذ برامج تدريبية مستمرة تستهدف تطوير المهارات التقنية والتربوية للمعلمين، بما يسهم في تحسين فاعلية استخدام المنصات التعليمية وتعزيز جودة العملية التعليمية</w:t>
      </w:r>
      <w:r w:rsidRPr="006504A0">
        <w:rPr>
          <w:rFonts w:ascii="Traditional Arabic" w:eastAsia="Calibri" w:hAnsi="Traditional Arabic" w:cs="Traditional Arabic"/>
          <w:sz w:val="32"/>
          <w:szCs w:val="32"/>
        </w:rPr>
        <w:t>.</w:t>
      </w:r>
    </w:p>
    <w:p w14:paraId="2B910698" w14:textId="45CA9BE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أهمية إدارة الصف – سواء التقليدي أو الإلكتروني – بوصفها بعدًا أساسيًا من أبعاد الكفاءة التدريسية. وتميزت باستخدامها المنهج المختلط، مما أتاح مقارنة تصورات المعلمين والطلبة بصورة متكاملة. إلا أنها ركزت على تحديد مستوى الكفايات المطلوبة دون اختبار العلاقة الكمية بين المشاركة في برامج التنمية المهنية ومستوى كفاءة إدارة الصف، كما لم تتناول قياس الأثر المباشر للتدريب على تحسين الأداء التدريسي باستخدام نماذج تحليلية تفسيرية. ومن ثمّ تبرز فجوة بحثية تتمثل في </w:t>
      </w:r>
      <w:r w:rsidRPr="006504A0">
        <w:rPr>
          <w:rFonts w:ascii="Traditional Arabic" w:eastAsia="Calibri" w:hAnsi="Traditional Arabic" w:cs="Traditional Arabic"/>
          <w:sz w:val="32"/>
          <w:szCs w:val="32"/>
          <w:rtl/>
        </w:rPr>
        <w:lastRenderedPageBreak/>
        <w:t xml:space="preserve">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بعد إدارة الصف ضمن إطار تحليلي كمي، خاصة في سياقات تعليمية مختلفة مثل البيئة السعودية</w:t>
      </w:r>
      <w:r w:rsidRPr="006504A0">
        <w:rPr>
          <w:rFonts w:ascii="Traditional Arabic" w:eastAsia="Calibri" w:hAnsi="Traditional Arabic" w:cs="Traditional Arabic"/>
          <w:sz w:val="32"/>
          <w:szCs w:val="32"/>
        </w:rPr>
        <w:t>.</w:t>
      </w:r>
    </w:p>
    <w:p w14:paraId="75B6BC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7E7203CD"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ثالثا: الدراسات التي ربطت ب</w:t>
      </w:r>
      <w:r w:rsidRPr="006504A0">
        <w:rPr>
          <w:rFonts w:ascii="Traditional Arabic" w:eastAsia="Calibri" w:hAnsi="Traditional Arabic" w:cs="Traditional Arabic"/>
          <w:b/>
          <w:bCs/>
          <w:sz w:val="32"/>
          <w:szCs w:val="32"/>
          <w:rtl/>
        </w:rPr>
        <w:t>رامج التنمية المهنية</w:t>
      </w:r>
      <w:r w:rsidRPr="006504A0">
        <w:rPr>
          <w:rFonts w:ascii="Traditional Arabic" w:eastAsia="Calibri" w:hAnsi="Traditional Arabic" w:cs="Traditional Arabic" w:hint="cs"/>
          <w:b/>
          <w:bCs/>
          <w:sz w:val="32"/>
          <w:szCs w:val="32"/>
          <w:rtl/>
        </w:rPr>
        <w:t xml:space="preserve"> بالكفاءة التدريسية</w:t>
      </w:r>
    </w:p>
    <w:p w14:paraId="7708DB83" w14:textId="2F82058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(Alsamiri, 2024)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"Enhancing elementary school teachers’ competence in recognizing and supporting gifted students with learning disabilities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كفاءة معلمي المرحلة الابتدائية في المملكة العربية السعودية في التعرف على الطلبة الموهوبين ذوي صعوبات التعلم ودعمهم، مع التركيز على إدراك المعلمين لدور التنمية المهنية في رفع مستوى وعيهم بهذه الفئة،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التحديات الأكاديمية التي تناولتها ورش العمل التعاونية المنفذة ضمن مجموعات مهنية. واعتمدت الدراسة على المنهج النوعي من خلال إجراء مقابلات متعمقة مع عشرة معلمين معتمدين في مدينة المدينة المنورة</w:t>
      </w:r>
      <w:r w:rsidRPr="006504A0">
        <w:rPr>
          <w:rFonts w:ascii="Traditional Arabic" w:eastAsia="Calibri" w:hAnsi="Traditional Arabic" w:cs="Traditional Arabic"/>
          <w:sz w:val="32"/>
          <w:szCs w:val="32"/>
        </w:rPr>
        <w:t>.</w:t>
      </w:r>
    </w:p>
    <w:p w14:paraId="29DA1D2A" w14:textId="4200733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محورين رئيسيين؛ أولهما أن التنمية المهنية المستمرة تسهم في تعزيز وعي المعلمين بخصائص الطلبة الموهوبين ذوي صعوبات التعلم وتطوير قدرتهم على التعامل مع الفروق الفردية، وثانيهما أن ورش العمل التعاونية تعزز تبادل الخبرات المهنية بين المعلمين وتسهم في تحسين ممارساتهم داخل الصف. وخلصت الدراسة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التدريب المستمر والتعاون المهني يمثلان ركيزة أساسية في تطوير كفاءة المعلمين في التعامل مع الفئات الاستثنائية، وأوصت بضرورة تطوير برامج إعداد المعلمين وسياسات تعليمية شاملة تستجيب لاحتياجات هذه الفئة</w:t>
      </w:r>
      <w:r w:rsidRPr="006504A0">
        <w:rPr>
          <w:rFonts w:ascii="Traditional Arabic" w:eastAsia="Calibri" w:hAnsi="Traditional Arabic" w:cs="Traditional Arabic"/>
          <w:sz w:val="32"/>
          <w:szCs w:val="32"/>
        </w:rPr>
        <w:t>.</w:t>
      </w:r>
    </w:p>
    <w:p w14:paraId="2F9D8F61" w14:textId="1F936A6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تتفق هذه الدراسة مع الأدبيات التي تؤكد أن التنمية المهنية تسهم في تطوير الكفاءة التدريسية، وتميزت بتركيزها على فئة نوعية من الطلبة في السياق السعودي،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اعتمادها المنهج النوعي الذي أتاح فهمًا عميقًا لتجارب المعلمين. إلا أنها اقتصرت على تحليل تصورات المعلمين دون قياس كمي لمستوى الكفاءة أو اختبار العلاقة الإحصائية بين برامج التنمية المهنية وأبعاد الكفاءة التدريسية المختلفة، كما لم تستخدم نموذجًا تحليليًا يسمح بتحديد قوة التأثير أو تعميم النتائج على نطاق أوسع.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كمية تحليلية تقيس أثر برامج التنمية المهنية بصورة مباشرة على أبعاد الكفاءة التدريسية، خاصة في المرحلة الابتدائية بمدينة الرياض</w:t>
      </w:r>
      <w:r w:rsidRPr="006504A0">
        <w:rPr>
          <w:rFonts w:ascii="Traditional Arabic" w:eastAsia="Calibri" w:hAnsi="Traditional Arabic" w:cs="Traditional Arabic"/>
          <w:sz w:val="32"/>
          <w:szCs w:val="32"/>
        </w:rPr>
        <w:t>.</w:t>
      </w:r>
    </w:p>
    <w:p w14:paraId="4A923BC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670C1C54" w14:textId="6A071C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(Jamal et al.,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“Teachers' training impact on teachers' professional development at primary school level</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برامج التطوير المهني على كفاءات معلمي التعليم الأساسي في المدارس الحكومية، مع تحليل الفروق في مستوى الكفاءات المهنية تبعًا لبعض المتغيرات. وتكونت عينة الدراسة من (150) معلمًا ومعلمة تم اختيارهم عشوائيًا، موزعين بالتساوي بين الذكور والإناث. واعتمدت الدراسة على استبانة مكونة من ستة محاور رئيسية وفق مقياس ليكرت الخماسي، مع التحقق من موثوقية الأداة باستخدام معامل كرونباخ ألفا،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توظيف الإحصاء الاستدلالي لاختبار الفروق والعلاقات بين المتغيرات</w:t>
      </w:r>
      <w:r w:rsidRPr="006504A0">
        <w:rPr>
          <w:rFonts w:ascii="Traditional Arabic" w:eastAsia="Calibri" w:hAnsi="Traditional Arabic" w:cs="Traditional Arabic"/>
          <w:sz w:val="32"/>
          <w:szCs w:val="32"/>
        </w:rPr>
        <w:t>.</w:t>
      </w:r>
    </w:p>
    <w:p w14:paraId="56A7B6F4" w14:textId="63C52FA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فروق ذات دلالة إحصائية بين المعلمين تعكس تأثير برامج التنمية المهنية في تعزيز كفاءاتهم المهنية داخل البيئة التعليمية، مما يؤكد الدور الحيوي للتدريب المستمر في تحسين الأداء المهني. </w:t>
      </w:r>
      <w:r w:rsidRPr="006504A0">
        <w:rPr>
          <w:rFonts w:ascii="Traditional Arabic" w:eastAsia="Calibri" w:hAnsi="Traditional Arabic" w:cs="Traditional Arabic"/>
          <w:sz w:val="32"/>
          <w:szCs w:val="32"/>
          <w:rtl/>
        </w:rPr>
        <w:lastRenderedPageBreak/>
        <w:t xml:space="preserve">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المشاركة في برامج التطوير المهني ترتبط بتحسن ملموس في مستوى الكفاءة التدريسية، وهو ما يدعم الفرضيات المتعلقة بأثر التدريب على الأداء</w:t>
      </w:r>
      <w:r w:rsidRPr="006504A0">
        <w:rPr>
          <w:rFonts w:ascii="Traditional Arabic" w:eastAsia="Calibri" w:hAnsi="Traditional Arabic" w:cs="Traditional Arabic"/>
          <w:sz w:val="32"/>
          <w:szCs w:val="32"/>
        </w:rPr>
        <w:t>.</w:t>
      </w:r>
    </w:p>
    <w:p w14:paraId="7B2292D1" w14:textId="33D58A3B"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برامج التنمية المهنية وتطوير الكفاءات المهنية للمعلمين، وتميزت باستخدام أدوات قياس كمية موثوقة وتحليل إحصائي يدعم استنتاجاتها. إلا أنها لم تتناول تحليل الأبعاد التفصيلية للكفاءة التدريسية بصورة مستقلة، كما لم تدرس تأثير المتغيرات الديموغرافية كمتغيرات معدِّلة بصورة معمقة باستخدام نماذج تحليل متقدمة.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تفصيلية تقيس أثر برامج التنمية المهنية على أبعاد محددة من الكفاءة التدريسية مع اختبار دور عدد المشاركات والمتغيرات الديموغرافية كمؤثرات محتملة في العلاقة، خاصة في السياق السعودي</w:t>
      </w:r>
      <w:r w:rsidRPr="006504A0">
        <w:rPr>
          <w:rFonts w:ascii="Traditional Arabic" w:eastAsia="Calibri" w:hAnsi="Traditional Arabic" w:cs="Traditional Arabic"/>
          <w:sz w:val="32"/>
          <w:szCs w:val="32"/>
        </w:rPr>
        <w:t>.</w:t>
      </w:r>
    </w:p>
    <w:p w14:paraId="0EA32EF9"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78675681" w14:textId="2A0D6BA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(عرار، 2023) بعنوان "برامج تدريب المعلمين في المدارس الحكومية وعلاقتها برفع الكفاءة التدريسية من وجهة نظر المشرفين والمعلمين في المحافظات الشمالية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برامج تدريب المعلمين وتحليل علاقتها بالكفاءة التدريسية، مع دراسة أثر بعض المتغيرات الديموغرافية مثل الجنس، المؤهل العلمي، سنوات الخبرة، المسمى الوظيفي، والمديرية. واعتمدت الدراسة على المنهج الوصفي الارتباطي باستخدام المنهج المختلط (الكمي والنوعي)، حيث تم تطبيق استبانة على عينة واسعة بلغت (369) معلمًا ومعلمة و(118) مشرفًا ومشرفة،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إجراء مقابلات مع (10) مشاركين، مع التحقق من صدق الأداة وثباتها</w:t>
      </w:r>
      <w:r w:rsidRPr="006504A0">
        <w:rPr>
          <w:rFonts w:ascii="Traditional Arabic" w:eastAsia="Calibri" w:hAnsi="Traditional Arabic" w:cs="Traditional Arabic"/>
          <w:sz w:val="32"/>
          <w:szCs w:val="32"/>
        </w:rPr>
        <w:t>.</w:t>
      </w:r>
    </w:p>
    <w:p w14:paraId="2F6E995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وأظهرت النتائج أن مستوى برامج التدريب جاء بدرجة متوسطة في جميع المجالات، في حين جاء مستوى الكفاءة التدريسية بدرجة مرتفعة. كما بينت النتائج عدم وجود فروق ذات دلالة إحصائية في مستوى </w:t>
      </w:r>
      <w:r w:rsidRPr="006504A0">
        <w:rPr>
          <w:rFonts w:ascii="Traditional Arabic" w:eastAsia="Calibri" w:hAnsi="Traditional Arabic" w:cs="Traditional Arabic"/>
          <w:sz w:val="32"/>
          <w:szCs w:val="32"/>
          <w:rtl/>
        </w:rPr>
        <w:lastRenderedPageBreak/>
        <w:t>البرامج أو الكفاءة تعزى لمعظم المتغيرات الديموغرافية، باستثناء المسمى الوظيفي الذي كان له تأثير معنوي. والأهم من ذلك، كشفت الدراسة عن وجود علاقة ارتباطية موجبة ذات دلالة إحصائية بين مستوى برامج التدريب والكفاءة التدريسية، مع بروز محتوى البرنامج التدريبي، وتخطيطه، وتقييمه كمؤشرات تنبؤية مؤثرة في مستوى الكفاءة</w:t>
      </w:r>
      <w:r w:rsidRPr="006504A0">
        <w:rPr>
          <w:rFonts w:ascii="Traditional Arabic" w:eastAsia="Calibri" w:hAnsi="Traditional Arabic" w:cs="Traditional Arabic"/>
          <w:sz w:val="32"/>
          <w:szCs w:val="32"/>
        </w:rPr>
        <w:t>.</w:t>
      </w:r>
    </w:p>
    <w:p w14:paraId="40FE3A0F" w14:textId="41ABB8C2"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جودة برامج التنمية المهنية وتحسين الأداء التدريسي، وتميزت باعتمادها المنهج المختلط الذي أتاح تفسيرًا كميًا ونوعيًا للعلاقة بين المتغيرين. كما قدمت مؤشرات تنبؤية مهمة تعزز فهم آليات تأثير البرامج التدريبية في الكفاءة التدريسية. إلا أن الدراسة اقتصرت على سياق جغرافي محدد خارج البيئة السعودية، ولم تتناول بصورة معمقة تحليل الأثر التفسيري أو السببي باستخدام نماذج تحليل متقدمة تسمح بقياس قوة التأثير النسبي لكل بعد من أبعاد البرامج التدريبية.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السياق السعودي، وبخاصة في مدينة الرياض، تقيس أثر برامج التنمية المهنية على أبعاد الكفاءة التدريسية باستخدام نموذج تحليلي يسمح بتفسير العلاقة بصورة أكثر دقة</w:t>
      </w:r>
      <w:r w:rsidRPr="006504A0">
        <w:rPr>
          <w:rFonts w:ascii="Traditional Arabic" w:eastAsia="Calibri" w:hAnsi="Traditional Arabic" w:cs="Traditional Arabic"/>
          <w:sz w:val="32"/>
          <w:szCs w:val="32"/>
        </w:rPr>
        <w:t>.</w:t>
      </w:r>
    </w:p>
    <w:p w14:paraId="740630E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C8F1DDB" w14:textId="51D077F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(Alamri, 2022)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“Continuous professional development and its impact on primary school teachers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دور التنمية المهنية المستمرة في تعزيز الكفاءة الذاتية لمعلمي المرحلة الابتدائية في المملكة العربية السعودية، وانعكاس ذلك على ممارساتهم المهنية داخل الصف، مثل تحسين عرض المحتوى، واستخدام الموارد التعليمية، وإدارة الصف والوقت، ورفع مستوى تحصيل الطلاب. </w:t>
      </w:r>
      <w:r w:rsidRPr="006504A0">
        <w:rPr>
          <w:rFonts w:ascii="Traditional Arabic" w:eastAsia="Calibri" w:hAnsi="Traditional Arabic" w:cs="Traditional Arabic"/>
          <w:sz w:val="32"/>
          <w:szCs w:val="32"/>
          <w:rtl/>
        </w:rPr>
        <w:lastRenderedPageBreak/>
        <w:t xml:space="preserve">كما سعت الدراسة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المعوقات التي تحد من مشاركة المعلمين في البرامج التدريبية، وتحليل مدى ملاءمة أنماط التنمية المهنية المتاحة لاحتياجاتهم الفعلية. واعتمدت الدراسة على منهج وصفي تحليلي باستخدام الاستبانات والمقابلات لجمع البيانات من المعلمين ومُعدّي البرامج التدريبية</w:t>
      </w:r>
      <w:r w:rsidRPr="006504A0">
        <w:rPr>
          <w:rFonts w:ascii="Traditional Arabic" w:eastAsia="Calibri" w:hAnsi="Traditional Arabic" w:cs="Traditional Arabic"/>
          <w:sz w:val="32"/>
          <w:szCs w:val="32"/>
        </w:rPr>
        <w:t>.</w:t>
      </w:r>
    </w:p>
    <w:p w14:paraId="097931DB" w14:textId="51A49E8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التنمية المهنية المستمرة تسهم في تعزيز الكفاءة الذاتية للمعلمين، الأمر الذي ينعكس إيجابًا على جودة ممارساتهم التدريسية، إلا أن المشاركة الفاعلة تتأثر بعدد من المعوقات التنظيمية والتحفيزية. كما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توفير بيئة داعمة وحوافز مناسبة لضمان استدامة التطوير المهني، مع التوصية بتوسيع نطاق البحث حول فعالية أنماط التدريب المختلفة، بما في ذلك التعلم عن بعد والتعليم الإلكتروني</w:t>
      </w:r>
      <w:r w:rsidRPr="006504A0">
        <w:rPr>
          <w:rFonts w:ascii="Traditional Arabic" w:eastAsia="Calibri" w:hAnsi="Traditional Arabic" w:cs="Traditional Arabic"/>
          <w:sz w:val="32"/>
          <w:szCs w:val="32"/>
        </w:rPr>
        <w:t>.</w:t>
      </w:r>
    </w:p>
    <w:p w14:paraId="097A4321" w14:textId="0BAE3984"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ترتبط بتحسين الأداء التدريسي وتعزيز الكفاءة الذاتية للمعلمين، وتميزت بتركيزها على البيئة السعودية وربطها بين التطوير المهني والممارسة الصفية الفعلية. إلا أنها ركزت بصورة أساسية على مفهوم الكفاءة الذاتية بوصفه متغيرًا وسيطًا، ولم تختبر العلاقة الكمية المباشرة بين برامج التنمية المهنية وأبعاد الكفاءة التدريسية التفصيلية باستخدام نموذج تحليلي سببي. كما لم تفصل أثر كل بعد من أبعاد الكفاءة التدريسية بصورة مستقلة.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كمية تقيس أثر برامج التنمية المهنية بصورة مباشرة على أبعاد الكفاءة التدريسية (التخطيط، إدارة الصف، التقويم، والتواصل) في سياق حضري سعودي مثل مدينة الرياض</w:t>
      </w:r>
      <w:r w:rsidRPr="006504A0">
        <w:rPr>
          <w:rFonts w:ascii="Traditional Arabic" w:eastAsia="Calibri" w:hAnsi="Traditional Arabic" w:cs="Traditional Arabic"/>
          <w:sz w:val="32"/>
          <w:szCs w:val="32"/>
        </w:rPr>
        <w:t>.</w:t>
      </w:r>
    </w:p>
    <w:p w14:paraId="254DBC42"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326DEEAE" w14:textId="6AABBE2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(الجراح وأبو عاشور، 2021) بعنوان "دور فاعلية البرامج التدريبية للمعلمين الجدد وعلاقتها في تحسين أدائهم</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فاعلية البرامج التدريبية في تحسين أداء المعلمين الجدد،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الفروق في تقديرات فاعلية هذه البرامج ومستوى الأداء تبعًا لمتغيرات الجنس، والمؤهل العلمي، </w:t>
      </w:r>
      <w:r w:rsidRPr="006504A0">
        <w:rPr>
          <w:rFonts w:ascii="Traditional Arabic" w:eastAsia="Calibri" w:hAnsi="Traditional Arabic" w:cs="Traditional Arabic"/>
          <w:sz w:val="32"/>
          <w:szCs w:val="32"/>
          <w:rtl/>
        </w:rPr>
        <w:lastRenderedPageBreak/>
        <w:t>والمسمى الوظيفي. واعتمدت الدراسة على المنهج الوصفي المسحي، حيث تم تطبيق أداة مكونة من جزأين على عينة بلغت (500) مشارك من المعلمين والمشرفين والمديرين في مدارس محافظة إربد، تم اختيارهم بطريقة عشوائية بسيطة. اشتمل الجزء الأول من الأداة على (46) فقرة لقياس فاعلية البرامج التدريبية، بينما تضمن الجزء الثاني (36) فقرة لقياس أداء المعلمين الجدد عبر أربعة مجالات في كل منهما</w:t>
      </w:r>
      <w:r w:rsidRPr="006504A0">
        <w:rPr>
          <w:rFonts w:ascii="Traditional Arabic" w:eastAsia="Calibri" w:hAnsi="Traditional Arabic" w:cs="Traditional Arabic"/>
          <w:sz w:val="32"/>
          <w:szCs w:val="32"/>
        </w:rPr>
        <w:t>.</w:t>
      </w:r>
    </w:p>
    <w:p w14:paraId="3E6A4A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أظهرت النتائج أن فاعلية البرامج التدريبية جاءت بدرجة مرتفعة، كما كان مستوى أداء المعلمين الجدد مرتفعًا كذلك. وكشفت النتائج عن وجود فروق ذات دلالة إحصائية تعزى للجنس في تقدير فاعلية البرامج لصالح الإناث، بينما لم تظهر فروق بالنسبة للمؤهل العلمي أو المسمى الوظيفي في هذا الجانب. أما أداء المعلمين الجدد، فظهرت فروق ذات دلالة إحصائية تعزى للمؤهل العلمي لصالح حملة البكالوريوس. والأهم من ذلك، أظهرت الدراسة وجود علاقة إيجابية ذات دلالة إحصائية بين فاعلية البرامج التدريبية وأداء المعلمين الجدد، مما يعكس دور البرامج التدريبية في تعزيز الأداء المهني</w:t>
      </w:r>
      <w:r w:rsidRPr="006504A0">
        <w:rPr>
          <w:rFonts w:ascii="Traditional Arabic" w:eastAsia="Calibri" w:hAnsi="Traditional Arabic" w:cs="Traditional Arabic"/>
          <w:sz w:val="32"/>
          <w:szCs w:val="32"/>
        </w:rPr>
        <w:t>.</w:t>
      </w:r>
    </w:p>
    <w:p w14:paraId="0EC0856E" w14:textId="07F718A8"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وجود علاقة مباشرة بين جودة برامج التنمية المهنية وتحسين الأداء التدريسي، وتميزت بحجم عينة كبير وأداة قياس شاملة تضمنت أبعادًا متعددة للأداء. إلا أنها ركزت على فئة المعلمين الجدد دون بقية فئات المعلمين، كما لم تفصل أثر البرامج التدريبية على أبعاد محددة من الكفاءة التدريسية مثل التخطيط أو إدارة الصف بصورة تحليلية مستقلة، ولم تستخدم نماذج تحليل سببية متقدمة لتحديد قوة التأثير النسبي لكل بعد من أبعاد البرامج.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سياق مختلف – مثل البيئة السعودية – تقيس أثر برامج التنمية المهنية على أبعاد الكفاءة التدريسية بصورة تفصيلية باستخدام نموذج تحليلي يسمح بتفسير العلاقة بشكل أعمق</w:t>
      </w:r>
      <w:r w:rsidRPr="006504A0">
        <w:rPr>
          <w:rFonts w:ascii="Traditional Arabic" w:eastAsia="Calibri" w:hAnsi="Traditional Arabic" w:cs="Traditional Arabic"/>
          <w:sz w:val="32"/>
          <w:szCs w:val="32"/>
        </w:rPr>
        <w:t>.</w:t>
      </w:r>
    </w:p>
    <w:p w14:paraId="0ACB7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3B7880F5" w14:textId="2E7A724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lastRenderedPageBreak/>
        <w:t>دراسة (</w:t>
      </w:r>
      <w:r w:rsidRPr="00DD6416">
        <w:rPr>
          <w:rFonts w:ascii="Traditional Arabic" w:eastAsia="Calibri" w:hAnsi="Traditional Arabic" w:cs="Traditional Arabic"/>
          <w:b/>
          <w:bCs/>
          <w:sz w:val="32"/>
          <w:szCs w:val="32"/>
        </w:rPr>
        <w:t>Ahmed et al., 2021</w:t>
      </w:r>
      <w:r w:rsidRPr="00DD6416">
        <w:rPr>
          <w:rFonts w:ascii="Traditional Arabic" w:eastAsia="Calibri" w:hAnsi="Traditional Arabic" w:cs="Traditional Arabic"/>
          <w:b/>
          <w:bCs/>
          <w:sz w:val="32"/>
          <w:szCs w:val="32"/>
          <w:rtl/>
        </w:rPr>
        <w:t>) بعنوان “</w:t>
      </w:r>
      <w:r w:rsidRPr="00DD6416">
        <w:rPr>
          <w:rFonts w:ascii="Traditional Arabic" w:eastAsia="Calibri" w:hAnsi="Traditional Arabic" w:cs="Traditional Arabic"/>
          <w:b/>
          <w:bCs/>
          <w:sz w:val="32"/>
          <w:szCs w:val="32"/>
        </w:rPr>
        <w:t>In-service professional development programs and their impact on teachers’ motivation and professional skills in Punjab, Pakistan</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دور برامج التنمية المهنية أثناء الخدمة في تحفيز المعلمين وتطوير مهاراتهم المهنية في إقليم البنجاب الباكستاني. وشملت الدراسة عينة واسعة بلغت (450) معلماً ومعلمة من المدارس الحكومية والخاصة، واعتمدت على استبانة منظمة لقياس مستوى الدافعية المهنية ومدى تطوير المهارات نتيجة المشاركة في البرامج التدريبية</w:t>
      </w:r>
      <w:r w:rsidRPr="006504A0">
        <w:rPr>
          <w:rFonts w:ascii="Traditional Arabic" w:eastAsia="Calibri" w:hAnsi="Traditional Arabic" w:cs="Traditional Arabic"/>
          <w:sz w:val="32"/>
          <w:szCs w:val="32"/>
        </w:rPr>
        <w:t>.</w:t>
      </w:r>
    </w:p>
    <w:p w14:paraId="18F7FC64"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أظهرت النتائج أن برامج التنمية المهنية الحالية لم تحقق الأثر المتوقع في رفع دافعية المعلمين أو تطوير مهاراتهم المهنية بصورة فاعلة، حيث ارتبطت المشاركة في كثير من الأحيان بالحوافز الاجتماعية والمالية أكثر من ارتباطها بتحسين الأداء المهني الفعلي. كما كشفت الدراسة عن وجود قصور في تصميم البرامج من حيث محتواها وآليات تنفيذها ومتابعتها، مما حدّ من قدرتها على إحداث تغيير ملموس في الممارسات التدريسية. وأوصت الدراسة بضرورة إعادة تصميم برامج التنمية المهنية لتكون أكثر ارتباطًا باحتياجات المعلمين الواقعية، وأن تركز على تحقيق نتائج تعليمية قابلة للقياس</w:t>
      </w:r>
      <w:r w:rsidRPr="006504A0">
        <w:rPr>
          <w:rFonts w:ascii="Traditional Arabic" w:eastAsia="Calibri" w:hAnsi="Traditional Arabic" w:cs="Traditional Arabic"/>
          <w:sz w:val="32"/>
          <w:szCs w:val="32"/>
        </w:rPr>
        <w:t>.</w:t>
      </w:r>
    </w:p>
    <w:p w14:paraId="7C9A4371" w14:textId="26CF3FE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تشير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فعالية التنمية المهنية لا تتحقق بمجرد تنفيذ البرامج، بل تعتمد على جودة تصميمها وملاءمتها لاحتياجات المعلمين. وتميزت بطرحها النقدي الذي كشف الفجوة بين أهداف البرامج ونتائجها الفعلية. إلا أنها ركزت على قياس الدافعية والمهارات بصورة عامة دون تحليل تفصيلي لأبعاد الكفاءة التدريسية، كما لم تقدم نموذجًا تحليليًا سببيًا يفسر آلية التأثير بين جودة البرامج ومستوى الأداء.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تقيس أثر برامج التنمية المهنية </w:t>
      </w:r>
      <w:r w:rsidRPr="006504A0">
        <w:rPr>
          <w:rFonts w:ascii="Traditional Arabic" w:eastAsia="Calibri" w:hAnsi="Traditional Arabic" w:cs="Traditional Arabic"/>
          <w:sz w:val="32"/>
          <w:szCs w:val="32"/>
          <w:rtl/>
        </w:rPr>
        <w:lastRenderedPageBreak/>
        <w:t>على أبعاد الكفاءة التدريسية بصورة كمية دقيقة، مع تحديد العوامل التي تعزز أو تعيق فاعلية هذه البرامج، خاصة في سياقات تعليمية مختلفة مثل المملكة العربية السعودية</w:t>
      </w:r>
      <w:r w:rsidRPr="006504A0">
        <w:rPr>
          <w:rFonts w:ascii="Traditional Arabic" w:eastAsia="Calibri" w:hAnsi="Traditional Arabic" w:cs="Traditional Arabic"/>
          <w:sz w:val="32"/>
          <w:szCs w:val="32"/>
        </w:rPr>
        <w:t>.</w:t>
      </w:r>
    </w:p>
    <w:p w14:paraId="451A52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1DD4C87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خامسا: </w:t>
      </w:r>
      <w:r w:rsidRPr="006504A0">
        <w:rPr>
          <w:rFonts w:ascii="Traditional Arabic" w:eastAsia="Calibri" w:hAnsi="Traditional Arabic" w:cs="Traditional Arabic"/>
          <w:b/>
          <w:bCs/>
          <w:sz w:val="32"/>
          <w:szCs w:val="32"/>
          <w:rtl/>
        </w:rPr>
        <w:t>تحليل نقدي ومقارنة بين الدراسات</w:t>
      </w:r>
    </w:p>
    <w:p w14:paraId="071B4B4F" w14:textId="21C4009D"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يتضح من استعراض الدراسات السابقة أن هناك اتفاقًا واسعًا على الأثر الإيجابي لبرامج التنمية المهنية في رفع كفاءة المعلمين عبر مختلف الجوانب المهنية، خاصة في مجالات التخطيط التدريسي، إدارة الصف، التقويم، والتفاعل مع الطلاب. كما تؤكد الدراسات أهمية تنويع البرامج التدريبية وتطويرها لتلبية احتياجات المعلمين الفعلية، مع مراعاة المتغيرات الديموغرافية التي تؤثر على فعالية هذه البرامج. رغم ذلك،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تحديات تتعلق بمدى ملاءمة البرامج الحالية ومدى فعاليتها الحقيقية، مما يبرز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استراتيجيات تطوير مستمرة وشاملة لضمان تحقيق الأثر المرجو. هذه الملاحظات تسلط الضوء على أهمية الدراسة الحالية في اختبار الفرض</w:t>
      </w:r>
      <w:r w:rsidRPr="006504A0">
        <w:rPr>
          <w:rFonts w:ascii="Traditional Arabic" w:eastAsia="Calibri" w:hAnsi="Traditional Arabic" w:cs="Traditional Arabic" w:hint="cs"/>
          <w:sz w:val="32"/>
          <w:szCs w:val="32"/>
          <w:rtl/>
        </w:rPr>
        <w:t>يات.</w:t>
      </w:r>
    </w:p>
    <w:p w14:paraId="3D24D384" w14:textId="11DD21D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خلال استعراض الدراسات السابقة، يتضح إجماع شبه كامل على الأثر الإيجابي لبرامج التنمية المهنية في تعزيز كفاءة المعلمين، وخاصة في مجالات التخطيط والتقويم والتواصل مع الطلاب. وتؤكد معظم الدراسات أن جودة هذه البرامج ومدى ملاءمتها لاحتياجات المعلمين تُعد من العوامل المحورية لتحقيق أثر فعّال</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على الرغم من ذلك، أظهرت بعض الدراسات فروقًا ديموغرافية مهمة مثل الجنس والمؤهل العلمي، مما يضيف بعدًا هامًا لتفسير اختلافات الكفاءة بين المعلمين، وهو ما تسعى </w:t>
      </w:r>
      <w:r w:rsidRPr="006504A0">
        <w:rPr>
          <w:rFonts w:ascii="Traditional Arabic" w:eastAsia="Calibri" w:hAnsi="Traditional Arabic" w:cs="Traditional Arabic" w:hint="cs"/>
          <w:sz w:val="32"/>
          <w:szCs w:val="32"/>
          <w:rtl/>
        </w:rPr>
        <w:t>الدراسة</w:t>
      </w:r>
      <w:r w:rsidRPr="006504A0">
        <w:rPr>
          <w:rFonts w:ascii="Traditional Arabic" w:eastAsia="Calibri" w:hAnsi="Traditional Arabic" w:cs="Traditional Arabic"/>
          <w:sz w:val="32"/>
          <w:szCs w:val="32"/>
          <w:rtl/>
        </w:rPr>
        <w:t xml:space="preserve"> الحالية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التحقق منه في السياق السعودي، وخاصة في مدينة الرياض</w:t>
      </w:r>
      <w:r w:rsidRPr="006504A0">
        <w:rPr>
          <w:rFonts w:ascii="Traditional Arabic" w:eastAsia="Calibri" w:hAnsi="Traditional Arabic" w:cs="Traditional Arabic"/>
          <w:sz w:val="32"/>
          <w:szCs w:val="32"/>
        </w:rPr>
        <w:t>.</w:t>
      </w:r>
    </w:p>
    <w:p w14:paraId="48D3432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lang w:bidi="ar-JO"/>
        </w:rPr>
      </w:pPr>
      <w:r w:rsidRPr="006504A0">
        <w:rPr>
          <w:rFonts w:ascii="Traditional Arabic" w:eastAsia="Calibri" w:hAnsi="Traditional Arabic" w:cs="Traditional Arabic"/>
          <w:sz w:val="32"/>
          <w:szCs w:val="32"/>
          <w:rtl/>
        </w:rPr>
        <w:lastRenderedPageBreak/>
        <w:t>كما كشفت الدراسات عن تحديات تتعلق بفعالية البرامج التدريبية، لا سيما في حالة الاعتماد على المحتوى النظري دون التطبيق العملي الكافي، مما يستدعي تطوير برامج تدريبية مستمرة ومرنة تتناسب مع متطلبات المعلمين والبيئة التعليمية الحديثة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بناءً على ذلك، تقدم </w:t>
      </w:r>
      <w:r w:rsidRPr="006504A0">
        <w:rPr>
          <w:rFonts w:ascii="Traditional Arabic" w:eastAsia="Calibri" w:hAnsi="Traditional Arabic" w:cs="Traditional Arabic" w:hint="cs"/>
          <w:sz w:val="32"/>
          <w:szCs w:val="32"/>
          <w:rtl/>
        </w:rPr>
        <w:t>هذه الدراسة</w:t>
      </w:r>
      <w:r w:rsidRPr="006504A0">
        <w:rPr>
          <w:rFonts w:ascii="Traditional Arabic" w:eastAsia="Calibri" w:hAnsi="Traditional Arabic" w:cs="Traditional Arabic"/>
          <w:sz w:val="32"/>
          <w:szCs w:val="32"/>
          <w:rtl/>
        </w:rPr>
        <w:t xml:space="preserve"> إضافة قيمة من خلال التركيز على العلاقة التفصيلية بين برامج التنمية المهنية وعدة أبعاد من كفاءة المعلمين، مع استكشاف أثر المتغيرات الديموغرافية وعدد المشاركات في التنمية المهنية، مما يعزز الإسهامات المعرفية في هذا المجال ويقدم توصيات موجهة لتحسين جودة التعليم في مدينة الرياض</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الجدول في الاسفل يلخص الدراسات السابقة المتعلقة بموضوع الدراسة. </w:t>
      </w:r>
    </w:p>
    <w:p w14:paraId="6BC4CF1D" w14:textId="77777777" w:rsidR="006504A0" w:rsidRPr="006504A0" w:rsidRDefault="006504A0" w:rsidP="00976DAD">
      <w:pPr>
        <w:bidi/>
        <w:spacing w:after="0" w:line="360" w:lineRule="auto"/>
        <w:jc w:val="center"/>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جدول رقم (1): ملخص الدراسات السابقة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8"/>
        <w:gridCol w:w="949"/>
        <w:gridCol w:w="1135"/>
        <w:gridCol w:w="1155"/>
        <w:gridCol w:w="1578"/>
        <w:gridCol w:w="1711"/>
      </w:tblGrid>
      <w:tr w:rsidR="00DD6416" w:rsidRPr="006504A0" w14:paraId="637BC31F" w14:textId="77777777" w:rsidTr="00DD6416">
        <w:trPr>
          <w:jc w:val="center"/>
        </w:trPr>
        <w:tc>
          <w:tcPr>
            <w:tcW w:w="1066" w:type="pct"/>
            <w:shd w:val="clear" w:color="auto" w:fill="F79646" w:themeFill="accent6"/>
            <w:hideMark/>
          </w:tcPr>
          <w:p w14:paraId="5F21C05B"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الدراسة</w:t>
            </w:r>
          </w:p>
        </w:tc>
        <w:tc>
          <w:tcPr>
            <w:tcW w:w="572" w:type="pct"/>
            <w:shd w:val="clear" w:color="auto" w:fill="F79646" w:themeFill="accent6"/>
            <w:hideMark/>
          </w:tcPr>
          <w:p w14:paraId="2CDD50D4"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البلد</w:t>
            </w:r>
          </w:p>
        </w:tc>
        <w:tc>
          <w:tcPr>
            <w:tcW w:w="684" w:type="pct"/>
            <w:shd w:val="clear" w:color="auto" w:fill="F79646" w:themeFill="accent6"/>
            <w:hideMark/>
          </w:tcPr>
          <w:p w14:paraId="4172B2D3"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المنهج</w:t>
            </w:r>
          </w:p>
        </w:tc>
        <w:tc>
          <w:tcPr>
            <w:tcW w:w="696" w:type="pct"/>
            <w:shd w:val="clear" w:color="auto" w:fill="F79646" w:themeFill="accent6"/>
            <w:hideMark/>
          </w:tcPr>
          <w:p w14:paraId="68433260"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حجم العينة</w:t>
            </w:r>
          </w:p>
        </w:tc>
        <w:tc>
          <w:tcPr>
            <w:tcW w:w="951" w:type="pct"/>
            <w:shd w:val="clear" w:color="auto" w:fill="F79646" w:themeFill="accent6"/>
            <w:hideMark/>
          </w:tcPr>
          <w:p w14:paraId="74F07206"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موضوع الدراسة</w:t>
            </w:r>
          </w:p>
        </w:tc>
        <w:tc>
          <w:tcPr>
            <w:tcW w:w="1031" w:type="pct"/>
            <w:shd w:val="clear" w:color="auto" w:fill="F79646" w:themeFill="accent6"/>
            <w:hideMark/>
          </w:tcPr>
          <w:p w14:paraId="475358A0" w14:textId="77777777" w:rsidR="00DD6416" w:rsidRPr="006504A0" w:rsidRDefault="00DD6416" w:rsidP="00976DAD">
            <w:pPr>
              <w:bidi/>
              <w:spacing w:after="0" w:line="24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أبرز التوصيات أو النتائج</w:t>
            </w:r>
          </w:p>
        </w:tc>
      </w:tr>
      <w:tr w:rsidR="00DD6416" w:rsidRPr="006504A0" w14:paraId="0A0B86A0" w14:textId="77777777" w:rsidTr="00DD6416">
        <w:trPr>
          <w:jc w:val="center"/>
        </w:trPr>
        <w:tc>
          <w:tcPr>
            <w:tcW w:w="1066" w:type="pct"/>
            <w:hideMark/>
          </w:tcPr>
          <w:p w14:paraId="03713DB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الشهراني، عبير</w:t>
            </w:r>
            <w:r w:rsidRPr="006504A0">
              <w:rPr>
                <w:rFonts w:ascii="Traditional Arabic" w:eastAsia="Calibri" w:hAnsi="Traditional Arabic" w:cs="Traditional Arabic" w:hint="cs"/>
                <w:sz w:val="32"/>
                <w:szCs w:val="32"/>
                <w:rtl/>
              </w:rPr>
              <w:t>، 2024</w:t>
            </w:r>
          </w:p>
        </w:tc>
        <w:tc>
          <w:tcPr>
            <w:tcW w:w="572" w:type="pct"/>
            <w:hideMark/>
          </w:tcPr>
          <w:p w14:paraId="2A59378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hideMark/>
          </w:tcPr>
          <w:p w14:paraId="3BB2EEC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hideMark/>
          </w:tcPr>
          <w:p w14:paraId="5A8055B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60 </w:t>
            </w:r>
            <w:r w:rsidRPr="006504A0">
              <w:rPr>
                <w:rFonts w:ascii="Traditional Arabic" w:eastAsia="Calibri" w:hAnsi="Traditional Arabic" w:cs="Traditional Arabic"/>
                <w:sz w:val="32"/>
                <w:szCs w:val="32"/>
                <w:rtl/>
              </w:rPr>
              <w:t>معلمة</w:t>
            </w:r>
          </w:p>
        </w:tc>
        <w:tc>
          <w:tcPr>
            <w:tcW w:w="951" w:type="pct"/>
            <w:hideMark/>
          </w:tcPr>
          <w:p w14:paraId="0865112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التعليم عن بُعد وكفايات التدريس</w:t>
            </w:r>
          </w:p>
        </w:tc>
        <w:tc>
          <w:tcPr>
            <w:tcW w:w="1031" w:type="pct"/>
            <w:hideMark/>
          </w:tcPr>
          <w:p w14:paraId="284F6CB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التركيز على التخطيط والتقويم والتنفيذ</w:t>
            </w:r>
          </w:p>
        </w:tc>
      </w:tr>
      <w:tr w:rsidR="00DD6416" w:rsidRPr="006504A0" w14:paraId="3E2A9A8F" w14:textId="77777777" w:rsidTr="00DD6416">
        <w:trPr>
          <w:jc w:val="center"/>
        </w:trPr>
        <w:tc>
          <w:tcPr>
            <w:tcW w:w="1066" w:type="pct"/>
            <w:hideMark/>
          </w:tcPr>
          <w:p w14:paraId="4702616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الحيكان، عبدالرحمن</w:t>
            </w:r>
            <w:r w:rsidRPr="006504A0">
              <w:rPr>
                <w:rFonts w:ascii="Traditional Arabic" w:eastAsia="Calibri" w:hAnsi="Traditional Arabic" w:cs="Traditional Arabic" w:hint="cs"/>
                <w:sz w:val="32"/>
                <w:szCs w:val="32"/>
                <w:rtl/>
              </w:rPr>
              <w:t>، 2024</w:t>
            </w:r>
          </w:p>
        </w:tc>
        <w:tc>
          <w:tcPr>
            <w:tcW w:w="572" w:type="pct"/>
            <w:hideMark/>
          </w:tcPr>
          <w:p w14:paraId="416037B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hideMark/>
          </w:tcPr>
          <w:p w14:paraId="23453168"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تحليلية وصفية</w:t>
            </w:r>
          </w:p>
        </w:tc>
        <w:tc>
          <w:tcPr>
            <w:tcW w:w="696" w:type="pct"/>
            <w:hideMark/>
          </w:tcPr>
          <w:p w14:paraId="30852DC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غير محدد</w:t>
            </w:r>
          </w:p>
        </w:tc>
        <w:tc>
          <w:tcPr>
            <w:tcW w:w="951" w:type="pct"/>
            <w:hideMark/>
          </w:tcPr>
          <w:p w14:paraId="003A4B0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التجديد التربوي والتنمية المهنية في ضوء الرخصة المهنية</w:t>
            </w:r>
          </w:p>
        </w:tc>
        <w:tc>
          <w:tcPr>
            <w:tcW w:w="1031" w:type="pct"/>
            <w:hideMark/>
          </w:tcPr>
          <w:p w14:paraId="575DA25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ضرورة ربط التنمية المهنية بالرخصة المهنية</w:t>
            </w:r>
          </w:p>
        </w:tc>
      </w:tr>
      <w:tr w:rsidR="00DD6416" w:rsidRPr="006504A0" w14:paraId="0B63BFC0" w14:textId="77777777" w:rsidTr="00DD6416">
        <w:trPr>
          <w:jc w:val="center"/>
        </w:trPr>
        <w:tc>
          <w:tcPr>
            <w:tcW w:w="1066" w:type="pct"/>
            <w:hideMark/>
          </w:tcPr>
          <w:p w14:paraId="375BFFE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hint="cs"/>
                <w:sz w:val="32"/>
                <w:szCs w:val="32"/>
                <w:rtl/>
              </w:rPr>
              <w:t>عرار ووردة، 2023</w:t>
            </w:r>
          </w:p>
        </w:tc>
        <w:tc>
          <w:tcPr>
            <w:tcW w:w="572" w:type="pct"/>
            <w:hideMark/>
          </w:tcPr>
          <w:p w14:paraId="5F74F03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فلسطين</w:t>
            </w:r>
          </w:p>
        </w:tc>
        <w:tc>
          <w:tcPr>
            <w:tcW w:w="684" w:type="pct"/>
            <w:hideMark/>
          </w:tcPr>
          <w:p w14:paraId="242F9F9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 ارتباطي مختلط</w:t>
            </w:r>
          </w:p>
        </w:tc>
        <w:tc>
          <w:tcPr>
            <w:tcW w:w="696" w:type="pct"/>
            <w:hideMark/>
          </w:tcPr>
          <w:p w14:paraId="520AD74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487 </w:t>
            </w:r>
            <w:r w:rsidRPr="006504A0">
              <w:rPr>
                <w:rFonts w:ascii="Traditional Arabic" w:eastAsia="Calibri" w:hAnsi="Traditional Arabic" w:cs="Traditional Arabic"/>
                <w:sz w:val="32"/>
                <w:szCs w:val="32"/>
                <w:rtl/>
              </w:rPr>
              <w:t>مشارك</w:t>
            </w:r>
          </w:p>
        </w:tc>
        <w:tc>
          <w:tcPr>
            <w:tcW w:w="951" w:type="pct"/>
            <w:hideMark/>
          </w:tcPr>
          <w:p w14:paraId="04F25E3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برامج تدريب المعلمين والكفاءة التدريسية</w:t>
            </w:r>
          </w:p>
        </w:tc>
        <w:tc>
          <w:tcPr>
            <w:tcW w:w="1031" w:type="pct"/>
            <w:hideMark/>
          </w:tcPr>
          <w:p w14:paraId="61155B7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علاقة ارتباط إيجابية بين البرامج والكفاءة التدريسية</w:t>
            </w:r>
          </w:p>
        </w:tc>
      </w:tr>
      <w:tr w:rsidR="00DD6416" w:rsidRPr="006504A0" w14:paraId="30297CEA" w14:textId="77777777" w:rsidTr="00DD6416">
        <w:trPr>
          <w:jc w:val="center"/>
        </w:trPr>
        <w:tc>
          <w:tcPr>
            <w:tcW w:w="1066" w:type="pct"/>
            <w:hideMark/>
          </w:tcPr>
          <w:p w14:paraId="3A0590F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سلام والزهيري </w:t>
            </w:r>
            <w:r w:rsidRPr="006504A0">
              <w:rPr>
                <w:rFonts w:ascii="Traditional Arabic" w:eastAsia="Calibri" w:hAnsi="Traditional Arabic" w:cs="Traditional Arabic" w:hint="cs"/>
                <w:sz w:val="32"/>
                <w:szCs w:val="32"/>
                <w:rtl/>
              </w:rPr>
              <w:t>، 2022</w:t>
            </w:r>
          </w:p>
        </w:tc>
        <w:tc>
          <w:tcPr>
            <w:tcW w:w="572" w:type="pct"/>
            <w:hideMark/>
          </w:tcPr>
          <w:p w14:paraId="02986B4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ليبيا</w:t>
            </w:r>
          </w:p>
        </w:tc>
        <w:tc>
          <w:tcPr>
            <w:tcW w:w="684" w:type="pct"/>
            <w:hideMark/>
          </w:tcPr>
          <w:p w14:paraId="2C57E75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 ارتباطي</w:t>
            </w:r>
          </w:p>
        </w:tc>
        <w:tc>
          <w:tcPr>
            <w:tcW w:w="696" w:type="pct"/>
            <w:hideMark/>
          </w:tcPr>
          <w:p w14:paraId="4353EEE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66 </w:t>
            </w:r>
            <w:r w:rsidRPr="006504A0">
              <w:rPr>
                <w:rFonts w:ascii="Traditional Arabic" w:eastAsia="Calibri" w:hAnsi="Traditional Arabic" w:cs="Traditional Arabic"/>
                <w:sz w:val="32"/>
                <w:szCs w:val="32"/>
                <w:rtl/>
              </w:rPr>
              <w:t>معلم/ة</w:t>
            </w:r>
          </w:p>
        </w:tc>
        <w:tc>
          <w:tcPr>
            <w:tcW w:w="951" w:type="pct"/>
            <w:hideMark/>
          </w:tcPr>
          <w:p w14:paraId="0601A23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الكفايات التعليمية وعلاقتها بالمؤهل التربوي</w:t>
            </w:r>
          </w:p>
        </w:tc>
        <w:tc>
          <w:tcPr>
            <w:tcW w:w="1031" w:type="pct"/>
            <w:hideMark/>
          </w:tcPr>
          <w:p w14:paraId="07B7C5B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لا توجد علاقة دالة بين الكفايات والمؤهل التربوي</w:t>
            </w:r>
          </w:p>
        </w:tc>
      </w:tr>
      <w:tr w:rsidR="00DD6416" w:rsidRPr="006504A0" w14:paraId="4C2D7C66" w14:textId="77777777" w:rsidTr="00DD6416">
        <w:trPr>
          <w:jc w:val="center"/>
        </w:trPr>
        <w:tc>
          <w:tcPr>
            <w:tcW w:w="1066" w:type="pct"/>
            <w:hideMark/>
          </w:tcPr>
          <w:p w14:paraId="08E948A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القطاوي، محمد </w:t>
            </w:r>
            <w:r w:rsidRPr="006504A0">
              <w:rPr>
                <w:rFonts w:ascii="Traditional Arabic" w:eastAsia="Calibri" w:hAnsi="Traditional Arabic" w:cs="Traditional Arabic" w:hint="cs"/>
                <w:sz w:val="32"/>
                <w:szCs w:val="32"/>
                <w:rtl/>
              </w:rPr>
              <w:t>، 2022</w:t>
            </w:r>
          </w:p>
        </w:tc>
        <w:tc>
          <w:tcPr>
            <w:tcW w:w="572" w:type="pct"/>
            <w:hideMark/>
          </w:tcPr>
          <w:p w14:paraId="7893E05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الأردن</w:t>
            </w:r>
          </w:p>
        </w:tc>
        <w:tc>
          <w:tcPr>
            <w:tcW w:w="684" w:type="pct"/>
            <w:hideMark/>
          </w:tcPr>
          <w:p w14:paraId="5C11541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مختلط</w:t>
            </w:r>
          </w:p>
        </w:tc>
        <w:tc>
          <w:tcPr>
            <w:tcW w:w="696" w:type="pct"/>
            <w:hideMark/>
          </w:tcPr>
          <w:p w14:paraId="1FD51B3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100 </w:t>
            </w:r>
            <w:r w:rsidRPr="006504A0">
              <w:rPr>
                <w:rFonts w:ascii="Traditional Arabic" w:eastAsia="Calibri" w:hAnsi="Traditional Arabic" w:cs="Traditional Arabic"/>
                <w:sz w:val="32"/>
                <w:szCs w:val="32"/>
                <w:rtl/>
              </w:rPr>
              <w:t>معلم/ة و200 طالب/ة</w:t>
            </w:r>
          </w:p>
        </w:tc>
        <w:tc>
          <w:tcPr>
            <w:tcW w:w="951" w:type="pct"/>
            <w:hideMark/>
          </w:tcPr>
          <w:p w14:paraId="4D82647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كفايات معلمي المنصات الإلكترونية</w:t>
            </w:r>
          </w:p>
        </w:tc>
        <w:tc>
          <w:tcPr>
            <w:tcW w:w="1031" w:type="pct"/>
            <w:hideMark/>
          </w:tcPr>
          <w:p w14:paraId="1E555F15" w14:textId="7E438FB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الحاجة </w:t>
            </w:r>
            <w:r>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ورش تطوير تقني وتربوي مستمر</w:t>
            </w:r>
          </w:p>
        </w:tc>
      </w:tr>
      <w:tr w:rsidR="00DD6416" w:rsidRPr="006504A0" w14:paraId="6B125C44" w14:textId="77777777" w:rsidTr="00DD6416">
        <w:trPr>
          <w:jc w:val="center"/>
        </w:trPr>
        <w:tc>
          <w:tcPr>
            <w:tcW w:w="1066" w:type="pct"/>
            <w:hideMark/>
          </w:tcPr>
          <w:p w14:paraId="0A2313F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hint="cs"/>
                <w:sz w:val="32"/>
                <w:szCs w:val="32"/>
                <w:rtl/>
              </w:rPr>
              <w:t>الجراح و</w:t>
            </w:r>
            <w:r w:rsidRPr="006504A0">
              <w:rPr>
                <w:rFonts w:ascii="Traditional Arabic" w:eastAsia="Calibri" w:hAnsi="Traditional Arabic" w:cs="Traditional Arabic"/>
                <w:sz w:val="32"/>
                <w:szCs w:val="32"/>
                <w:rtl/>
              </w:rPr>
              <w:t>أبو عاشور</w:t>
            </w:r>
            <w:r w:rsidRPr="006504A0">
              <w:rPr>
                <w:rFonts w:ascii="Traditional Arabic" w:eastAsia="Calibri" w:hAnsi="Traditional Arabic" w:cs="Traditional Arabic" w:hint="cs"/>
                <w:sz w:val="32"/>
                <w:szCs w:val="32"/>
                <w:rtl/>
              </w:rPr>
              <w:t>، 2021</w:t>
            </w:r>
          </w:p>
        </w:tc>
        <w:tc>
          <w:tcPr>
            <w:tcW w:w="572" w:type="pct"/>
            <w:hideMark/>
          </w:tcPr>
          <w:p w14:paraId="7EC1278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الأردن</w:t>
            </w:r>
          </w:p>
        </w:tc>
        <w:tc>
          <w:tcPr>
            <w:tcW w:w="684" w:type="pct"/>
            <w:hideMark/>
          </w:tcPr>
          <w:p w14:paraId="5315F5C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hideMark/>
          </w:tcPr>
          <w:p w14:paraId="0C82B2A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500 </w:t>
            </w:r>
            <w:r w:rsidRPr="006504A0">
              <w:rPr>
                <w:rFonts w:ascii="Traditional Arabic" w:eastAsia="Calibri" w:hAnsi="Traditional Arabic" w:cs="Traditional Arabic"/>
                <w:sz w:val="32"/>
                <w:szCs w:val="32"/>
                <w:rtl/>
              </w:rPr>
              <w:t>مشارك</w:t>
            </w:r>
          </w:p>
        </w:tc>
        <w:tc>
          <w:tcPr>
            <w:tcW w:w="951" w:type="pct"/>
            <w:hideMark/>
          </w:tcPr>
          <w:p w14:paraId="0D0D797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فعالية البرامج التدريبية وأداء المعلمين الجدد</w:t>
            </w:r>
          </w:p>
        </w:tc>
        <w:tc>
          <w:tcPr>
            <w:tcW w:w="1031" w:type="pct"/>
            <w:hideMark/>
          </w:tcPr>
          <w:p w14:paraId="58F9327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علاقة إيجابية بين البرامج التدريبية وأداء المعلمين الجدد</w:t>
            </w:r>
          </w:p>
        </w:tc>
      </w:tr>
      <w:tr w:rsidR="00DD6416" w:rsidRPr="006504A0" w14:paraId="172CE0C5" w14:textId="77777777" w:rsidTr="00DD6416">
        <w:trPr>
          <w:jc w:val="center"/>
        </w:trPr>
        <w:tc>
          <w:tcPr>
            <w:tcW w:w="1066" w:type="pct"/>
            <w:hideMark/>
          </w:tcPr>
          <w:p w14:paraId="26268CA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Alsamiri (2024)</w:t>
            </w:r>
          </w:p>
        </w:tc>
        <w:tc>
          <w:tcPr>
            <w:tcW w:w="572" w:type="pct"/>
            <w:hideMark/>
          </w:tcPr>
          <w:p w14:paraId="2FEDFBD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hideMark/>
          </w:tcPr>
          <w:p w14:paraId="57E4456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نوعي</w:t>
            </w:r>
          </w:p>
        </w:tc>
        <w:tc>
          <w:tcPr>
            <w:tcW w:w="696" w:type="pct"/>
            <w:hideMark/>
          </w:tcPr>
          <w:p w14:paraId="6B47140C"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10 </w:t>
            </w:r>
            <w:r w:rsidRPr="006504A0">
              <w:rPr>
                <w:rFonts w:ascii="Traditional Arabic" w:eastAsia="Calibri" w:hAnsi="Traditional Arabic" w:cs="Traditional Arabic"/>
                <w:sz w:val="32"/>
                <w:szCs w:val="32"/>
                <w:rtl/>
              </w:rPr>
              <w:t>معلمين</w:t>
            </w:r>
          </w:p>
        </w:tc>
        <w:tc>
          <w:tcPr>
            <w:tcW w:w="951" w:type="pct"/>
            <w:hideMark/>
          </w:tcPr>
          <w:p w14:paraId="20D900D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دعم الطلاب الموهوبين ذوي صعوبات التعلم</w:t>
            </w:r>
          </w:p>
        </w:tc>
        <w:tc>
          <w:tcPr>
            <w:tcW w:w="1031" w:type="pct"/>
            <w:hideMark/>
          </w:tcPr>
          <w:p w14:paraId="40019138"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أهمية التدريب المستمر والتعاون المهني</w:t>
            </w:r>
          </w:p>
        </w:tc>
      </w:tr>
      <w:tr w:rsidR="00DD6416" w:rsidRPr="006504A0" w14:paraId="21A08F16" w14:textId="77777777" w:rsidTr="00DD6416">
        <w:trPr>
          <w:jc w:val="center"/>
        </w:trPr>
        <w:tc>
          <w:tcPr>
            <w:tcW w:w="1066" w:type="pct"/>
            <w:hideMark/>
          </w:tcPr>
          <w:p w14:paraId="349068F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Jamal et al. (2023)</w:t>
            </w:r>
          </w:p>
        </w:tc>
        <w:tc>
          <w:tcPr>
            <w:tcW w:w="572" w:type="pct"/>
            <w:hideMark/>
          </w:tcPr>
          <w:p w14:paraId="2317FF5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باكستان</w:t>
            </w:r>
          </w:p>
        </w:tc>
        <w:tc>
          <w:tcPr>
            <w:tcW w:w="684" w:type="pct"/>
            <w:hideMark/>
          </w:tcPr>
          <w:p w14:paraId="6AAB48C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كمي وصفي</w:t>
            </w:r>
          </w:p>
        </w:tc>
        <w:tc>
          <w:tcPr>
            <w:tcW w:w="696" w:type="pct"/>
            <w:hideMark/>
          </w:tcPr>
          <w:p w14:paraId="4813DF85"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150 </w:t>
            </w:r>
            <w:r w:rsidRPr="006504A0">
              <w:rPr>
                <w:rFonts w:ascii="Traditional Arabic" w:eastAsia="Calibri" w:hAnsi="Traditional Arabic" w:cs="Traditional Arabic"/>
                <w:sz w:val="32"/>
                <w:szCs w:val="32"/>
                <w:rtl/>
              </w:rPr>
              <w:t>معلم/ة</w:t>
            </w:r>
          </w:p>
        </w:tc>
        <w:tc>
          <w:tcPr>
            <w:tcW w:w="951" w:type="pct"/>
            <w:hideMark/>
          </w:tcPr>
          <w:p w14:paraId="3D72DA5E"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أثر التنمية المهنية على التعليم الأساسي</w:t>
            </w:r>
          </w:p>
        </w:tc>
        <w:tc>
          <w:tcPr>
            <w:tcW w:w="1031" w:type="pct"/>
            <w:hideMark/>
          </w:tcPr>
          <w:p w14:paraId="7A3014F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وجود فروق دالة تؤكد فعالية التنمية المهنية</w:t>
            </w:r>
          </w:p>
        </w:tc>
      </w:tr>
      <w:tr w:rsidR="00DD6416" w:rsidRPr="006504A0" w14:paraId="5BA801DB" w14:textId="77777777" w:rsidTr="00DD6416">
        <w:trPr>
          <w:jc w:val="center"/>
        </w:trPr>
        <w:tc>
          <w:tcPr>
            <w:tcW w:w="1066" w:type="pct"/>
            <w:hideMark/>
          </w:tcPr>
          <w:p w14:paraId="75540A4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Alshahrani &amp; Abu-Alghayth (2023)</w:t>
            </w:r>
          </w:p>
        </w:tc>
        <w:tc>
          <w:tcPr>
            <w:tcW w:w="572" w:type="pct"/>
            <w:hideMark/>
          </w:tcPr>
          <w:p w14:paraId="341A770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hideMark/>
          </w:tcPr>
          <w:p w14:paraId="7655BE9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مختلط استكشافي</w:t>
            </w:r>
          </w:p>
        </w:tc>
        <w:tc>
          <w:tcPr>
            <w:tcW w:w="696" w:type="pct"/>
            <w:hideMark/>
          </w:tcPr>
          <w:p w14:paraId="527D2EF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331 </w:t>
            </w:r>
            <w:r w:rsidRPr="006504A0">
              <w:rPr>
                <w:rFonts w:ascii="Traditional Arabic" w:eastAsia="Calibri" w:hAnsi="Traditional Arabic" w:cs="Traditional Arabic"/>
                <w:sz w:val="32"/>
                <w:szCs w:val="32"/>
                <w:rtl/>
              </w:rPr>
              <w:t>كمي + 9 نوعي</w:t>
            </w:r>
          </w:p>
        </w:tc>
        <w:tc>
          <w:tcPr>
            <w:tcW w:w="951" w:type="pct"/>
            <w:hideMark/>
          </w:tcPr>
          <w:p w14:paraId="277EEB6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التنمية المهنية للتعليم الشامل</w:t>
            </w:r>
          </w:p>
        </w:tc>
        <w:tc>
          <w:tcPr>
            <w:tcW w:w="1031" w:type="pct"/>
            <w:hideMark/>
          </w:tcPr>
          <w:p w14:paraId="4B1ABBE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الحاجة لبرامج فعالة ميدانية</w:t>
            </w:r>
          </w:p>
        </w:tc>
      </w:tr>
      <w:tr w:rsidR="00DD6416" w:rsidRPr="006504A0" w14:paraId="07A235F1" w14:textId="77777777" w:rsidTr="00DD6416">
        <w:trPr>
          <w:jc w:val="center"/>
        </w:trPr>
        <w:tc>
          <w:tcPr>
            <w:tcW w:w="1066" w:type="pct"/>
            <w:hideMark/>
          </w:tcPr>
          <w:p w14:paraId="053BAED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Alamri (2022)</w:t>
            </w:r>
          </w:p>
        </w:tc>
        <w:tc>
          <w:tcPr>
            <w:tcW w:w="572" w:type="pct"/>
            <w:hideMark/>
          </w:tcPr>
          <w:p w14:paraId="5DB0511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hideMark/>
          </w:tcPr>
          <w:p w14:paraId="5024B6E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hideMark/>
          </w:tcPr>
          <w:p w14:paraId="2B898EF1"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غير محدد</w:t>
            </w:r>
          </w:p>
        </w:tc>
        <w:tc>
          <w:tcPr>
            <w:tcW w:w="951" w:type="pct"/>
            <w:hideMark/>
          </w:tcPr>
          <w:p w14:paraId="573D70E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التنمية المهنية والكفاءة الذاتية</w:t>
            </w:r>
          </w:p>
        </w:tc>
        <w:tc>
          <w:tcPr>
            <w:tcW w:w="1031" w:type="pct"/>
            <w:hideMark/>
          </w:tcPr>
          <w:p w14:paraId="6B21B824"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توفير الحوافز وتحسين التدريب</w:t>
            </w:r>
          </w:p>
        </w:tc>
      </w:tr>
      <w:tr w:rsidR="00DD6416" w:rsidRPr="006504A0" w14:paraId="1C4FC372" w14:textId="77777777" w:rsidTr="00DD6416">
        <w:trPr>
          <w:jc w:val="center"/>
        </w:trPr>
        <w:tc>
          <w:tcPr>
            <w:tcW w:w="1066" w:type="pct"/>
            <w:hideMark/>
          </w:tcPr>
          <w:p w14:paraId="053B28FF"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Alhazmi et al. (2022)</w:t>
            </w:r>
          </w:p>
        </w:tc>
        <w:tc>
          <w:tcPr>
            <w:tcW w:w="572" w:type="pct"/>
            <w:hideMark/>
          </w:tcPr>
          <w:p w14:paraId="49A0640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السعودية</w:t>
            </w:r>
          </w:p>
        </w:tc>
        <w:tc>
          <w:tcPr>
            <w:tcW w:w="684" w:type="pct"/>
            <w:hideMark/>
          </w:tcPr>
          <w:p w14:paraId="292A2C8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وصفي</w:t>
            </w:r>
          </w:p>
        </w:tc>
        <w:tc>
          <w:tcPr>
            <w:tcW w:w="696" w:type="pct"/>
            <w:hideMark/>
          </w:tcPr>
          <w:p w14:paraId="51FACB33"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135 </w:t>
            </w:r>
            <w:r w:rsidRPr="006504A0">
              <w:rPr>
                <w:rFonts w:ascii="Traditional Arabic" w:eastAsia="Calibri" w:hAnsi="Traditional Arabic" w:cs="Traditional Arabic"/>
                <w:sz w:val="32"/>
                <w:szCs w:val="32"/>
                <w:rtl/>
              </w:rPr>
              <w:t>معلم/ة</w:t>
            </w:r>
          </w:p>
        </w:tc>
        <w:tc>
          <w:tcPr>
            <w:tcW w:w="951" w:type="pct"/>
            <w:hideMark/>
          </w:tcPr>
          <w:p w14:paraId="1D52380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برامج التنمية المهنية والرخصة</w:t>
            </w:r>
          </w:p>
        </w:tc>
        <w:tc>
          <w:tcPr>
            <w:tcW w:w="1031" w:type="pct"/>
            <w:hideMark/>
          </w:tcPr>
          <w:p w14:paraId="763CFA00"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ربط البرامج بمعايير الرخصة المهنية</w:t>
            </w:r>
          </w:p>
        </w:tc>
      </w:tr>
      <w:tr w:rsidR="00DD6416" w:rsidRPr="006504A0" w14:paraId="4044509F" w14:textId="77777777" w:rsidTr="00DD6416">
        <w:trPr>
          <w:jc w:val="center"/>
        </w:trPr>
        <w:tc>
          <w:tcPr>
            <w:tcW w:w="1066" w:type="pct"/>
            <w:hideMark/>
          </w:tcPr>
          <w:p w14:paraId="7B4D7F3D"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Ahmed et al. (2021)</w:t>
            </w:r>
          </w:p>
        </w:tc>
        <w:tc>
          <w:tcPr>
            <w:tcW w:w="572" w:type="pct"/>
            <w:hideMark/>
          </w:tcPr>
          <w:p w14:paraId="67173EA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باكستان</w:t>
            </w:r>
          </w:p>
        </w:tc>
        <w:tc>
          <w:tcPr>
            <w:tcW w:w="684" w:type="pct"/>
            <w:hideMark/>
          </w:tcPr>
          <w:p w14:paraId="01CC1B8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مسحي</w:t>
            </w:r>
          </w:p>
        </w:tc>
        <w:tc>
          <w:tcPr>
            <w:tcW w:w="696" w:type="pct"/>
            <w:hideMark/>
          </w:tcPr>
          <w:p w14:paraId="0E492273"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450 </w:t>
            </w:r>
            <w:r w:rsidRPr="006504A0">
              <w:rPr>
                <w:rFonts w:ascii="Traditional Arabic" w:eastAsia="Calibri" w:hAnsi="Traditional Arabic" w:cs="Traditional Arabic"/>
                <w:sz w:val="32"/>
                <w:szCs w:val="32"/>
                <w:rtl/>
              </w:rPr>
              <w:t>معلم/ة</w:t>
            </w:r>
          </w:p>
        </w:tc>
        <w:tc>
          <w:tcPr>
            <w:tcW w:w="951" w:type="pct"/>
            <w:hideMark/>
          </w:tcPr>
          <w:p w14:paraId="26BB5ACA"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تطوير مهارات المعلمين أثناء الخدمة</w:t>
            </w:r>
          </w:p>
        </w:tc>
        <w:tc>
          <w:tcPr>
            <w:tcW w:w="1031" w:type="pct"/>
            <w:hideMark/>
          </w:tcPr>
          <w:p w14:paraId="7C96CD0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إعادة تصميم البرامج لتلبية الاحتياجات</w:t>
            </w:r>
          </w:p>
        </w:tc>
      </w:tr>
      <w:tr w:rsidR="00DD6416" w:rsidRPr="006504A0" w14:paraId="57BB7241" w14:textId="77777777" w:rsidTr="00DD6416">
        <w:trPr>
          <w:jc w:val="center"/>
        </w:trPr>
        <w:tc>
          <w:tcPr>
            <w:tcW w:w="1066" w:type="pct"/>
            <w:hideMark/>
          </w:tcPr>
          <w:p w14:paraId="7DDD4E5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Abbas et al. (2021)</w:t>
            </w:r>
          </w:p>
        </w:tc>
        <w:tc>
          <w:tcPr>
            <w:tcW w:w="572" w:type="pct"/>
            <w:hideMark/>
          </w:tcPr>
          <w:p w14:paraId="2E13F092"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باكستان</w:t>
            </w:r>
          </w:p>
        </w:tc>
        <w:tc>
          <w:tcPr>
            <w:tcW w:w="684" w:type="pct"/>
            <w:hideMark/>
          </w:tcPr>
          <w:p w14:paraId="4E00E016"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كمي وصفي</w:t>
            </w:r>
          </w:p>
        </w:tc>
        <w:tc>
          <w:tcPr>
            <w:tcW w:w="696" w:type="pct"/>
            <w:hideMark/>
          </w:tcPr>
          <w:p w14:paraId="12A19E09"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Pr>
              <w:t xml:space="preserve">30 </w:t>
            </w:r>
            <w:r w:rsidRPr="006504A0">
              <w:rPr>
                <w:rFonts w:ascii="Traditional Arabic" w:eastAsia="Calibri" w:hAnsi="Traditional Arabic" w:cs="Traditional Arabic"/>
                <w:sz w:val="32"/>
                <w:szCs w:val="32"/>
                <w:rtl/>
              </w:rPr>
              <w:t>معلم</w:t>
            </w:r>
          </w:p>
        </w:tc>
        <w:tc>
          <w:tcPr>
            <w:tcW w:w="951" w:type="pct"/>
            <w:hideMark/>
          </w:tcPr>
          <w:p w14:paraId="5D388447"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أثر</w:t>
            </w:r>
            <w:r w:rsidRPr="006504A0">
              <w:rPr>
                <w:rFonts w:ascii="Traditional Arabic" w:eastAsia="Calibri" w:hAnsi="Traditional Arabic" w:cs="Traditional Arabic"/>
                <w:sz w:val="32"/>
                <w:szCs w:val="32"/>
              </w:rPr>
              <w:t xml:space="preserve"> CPD </w:t>
            </w:r>
            <w:r w:rsidRPr="006504A0">
              <w:rPr>
                <w:rFonts w:ascii="Traditional Arabic" w:eastAsia="Calibri" w:hAnsi="Traditional Arabic" w:cs="Traditional Arabic"/>
                <w:sz w:val="32"/>
                <w:szCs w:val="32"/>
                <w:rtl/>
              </w:rPr>
              <w:t>على جودة التعليم</w:t>
            </w:r>
          </w:p>
        </w:tc>
        <w:tc>
          <w:tcPr>
            <w:tcW w:w="1031" w:type="pct"/>
            <w:hideMark/>
          </w:tcPr>
          <w:p w14:paraId="5C377CCB" w14:textId="77777777" w:rsidR="00DD6416" w:rsidRPr="006504A0" w:rsidRDefault="00DD6416" w:rsidP="00DD6416">
            <w:pPr>
              <w:bidi/>
              <w:spacing w:after="0" w:line="240" w:lineRule="auto"/>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الاستمرار بتطبيق برامج</w:t>
            </w:r>
            <w:r w:rsidRPr="006504A0">
              <w:rPr>
                <w:rFonts w:ascii="Traditional Arabic" w:eastAsia="Calibri" w:hAnsi="Traditional Arabic" w:cs="Traditional Arabic"/>
                <w:sz w:val="32"/>
                <w:szCs w:val="32"/>
              </w:rPr>
              <w:t xml:space="preserve"> CPD</w:t>
            </w:r>
          </w:p>
        </w:tc>
      </w:tr>
    </w:tbl>
    <w:p w14:paraId="4D1B00C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u w:val="single"/>
          <w:rtl/>
        </w:rPr>
      </w:pPr>
    </w:p>
    <w:p w14:paraId="1FF9B1F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التعليق على الدراسات السابقة حسب فرضيات الدراسة</w:t>
      </w:r>
    </w:p>
    <w:p w14:paraId="492D9BF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خلال استعراض الدراسات السابقة، يتضح أن هناك اتفاقًا واسعًا بين معظمها حول الأثر الإيجابي للتنمية المهنية في تحسين كفاءة المعلمين وأدائهم التدريسي، لا سيما في مجالات التخطيط للتدريس، وإدارة الصف، والتقويم التعليمي، وتعزيز التواصل الفعّال مع الطلاب. وقد أكدت دراسات حديثة مثل دراسة الشهراني (2024) وعرار (2023) و</w:t>
      </w:r>
      <w:r w:rsidRPr="006504A0">
        <w:rPr>
          <w:rFonts w:ascii="Traditional Arabic" w:eastAsia="Calibri" w:hAnsi="Traditional Arabic" w:cs="Traditional Arabic" w:hint="cs"/>
          <w:sz w:val="32"/>
          <w:szCs w:val="32"/>
          <w:rtl/>
        </w:rPr>
        <w:t>(</w:t>
      </w:r>
      <w:r w:rsidRPr="006504A0">
        <w:rPr>
          <w:rFonts w:ascii="Traditional Arabic" w:eastAsia="Calibri" w:hAnsi="Traditional Arabic" w:cs="Traditional Arabic"/>
          <w:sz w:val="32"/>
          <w:szCs w:val="32"/>
        </w:rPr>
        <w:t>Alamri, 2022</w:t>
      </w:r>
      <w:r w:rsidRPr="006504A0">
        <w:rPr>
          <w:rFonts w:ascii="Traditional Arabic" w:eastAsia="Calibri" w:hAnsi="Traditional Arabic" w:cs="Traditional Arabic"/>
          <w:sz w:val="32"/>
          <w:szCs w:val="32"/>
          <w:rtl/>
        </w:rPr>
        <w:t>) أن برامج التنمية المهنية تسهم بفاعلية في رفع مستوى التخطيط التدريسي وجودة التقويم، فضلًا عن تطوير الممارسات الصفية وتبني استراتيجيات تدريس حديثة تتناسب مع متطلبات التعليم المعاصر.</w:t>
      </w:r>
    </w:p>
    <w:p w14:paraId="75C4110A" w14:textId="2A7FF0B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أشارت بعض الدراسات، مثل دراسة الجراح وأبو عاشور (2021) و</w:t>
      </w:r>
      <w:r w:rsidRPr="006504A0">
        <w:rPr>
          <w:rFonts w:ascii="Traditional Arabic" w:eastAsia="Calibri" w:hAnsi="Traditional Arabic" w:cs="Traditional Arabic"/>
          <w:sz w:val="32"/>
          <w:szCs w:val="32"/>
        </w:rPr>
        <w:t>Jamal et al. (2023)</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فروق دالة إحصائيًا ناتجة عن متغيرات شخصية ووظيفية مثل الجنس، وسنوات الخبرة، والمسمى الوظيفي، وهو ما يفتح المجال للتحقق من مدى انطباق هذه الفروق في السياق السعودي الحالي</w:t>
      </w:r>
      <w:r w:rsidRPr="006504A0">
        <w:rPr>
          <w:rFonts w:ascii="Traditional Arabic" w:eastAsia="Calibri" w:hAnsi="Traditional Arabic" w:cs="Traditional Arabic"/>
          <w:sz w:val="32"/>
          <w:szCs w:val="32"/>
        </w:rPr>
        <w:t>.</w:t>
      </w:r>
    </w:p>
    <w:p w14:paraId="7DCE9814" w14:textId="6C2AA55F"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تأسيسًا على ما سبق، فإن نتائج هذه الدراسات تدعم فرضيات الدراسة الحالية التي تفترض وجود علاقة ذات دلالة إحصائية بين برامج التنمية المهنية وكفاءة معلمي المرحلة الابتدائية في مدينة الرياض، سواء على المستوى الكلي أو في الجوانب الفرعية المتعلقة بالتخطيط التدريسي، وإدارة الصف، والتقويم التعليمي، والتواصل والتفاعل مع الطلاب. ومن المتوقع أن تسهم هذه الدراسة في سد فجوة معرفية من خلال تناول العلاقة في بيئة تعليمية سعودية معاصرة، وتحليل أثر المتغيرات الديموغرافية المختلفة في هذه العلاقة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الجداول في </w:t>
      </w:r>
      <w:r w:rsidR="00DD6416" w:rsidRPr="006504A0">
        <w:rPr>
          <w:rFonts w:ascii="Traditional Arabic" w:eastAsia="Calibri" w:hAnsi="Traditional Arabic" w:cs="Traditional Arabic" w:hint="cs"/>
          <w:sz w:val="32"/>
          <w:szCs w:val="32"/>
          <w:rtl/>
        </w:rPr>
        <w:t>الأسفل</w:t>
      </w:r>
      <w:r w:rsidRPr="006504A0">
        <w:rPr>
          <w:rFonts w:ascii="Traditional Arabic" w:eastAsia="Calibri" w:hAnsi="Traditional Arabic" w:cs="Traditional Arabic" w:hint="cs"/>
          <w:sz w:val="32"/>
          <w:szCs w:val="32"/>
          <w:rtl/>
        </w:rPr>
        <w:t xml:space="preserve"> تلخص ما سبق.</w:t>
      </w:r>
    </w:p>
    <w:p w14:paraId="79AD233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022DAB4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2D0FE39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b/>
          <w:bCs/>
          <w:sz w:val="32"/>
          <w:szCs w:val="32"/>
          <w:rtl/>
        </w:rPr>
        <w:t>ما يميز الدراسة الحالية عن الدراسات السابقة والفجوة البحثية</w:t>
      </w:r>
    </w:p>
    <w:p w14:paraId="5599C3F6"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على الرغم من تنوع الدراسات السابقة التي تناولت موضوع التنمية المهنية للمعلمين في السياقات المحلية والعربية والدولية، فإن معظم هذه الدراسات اتخذت أحد مسارين رئيسين؛ إما التركيز على تقييم مستوى الكفاءة التدريسية بصورة وصفية دون اختبار العلاقة السببية بينها وبين برامج التنمية المهنية، كما في دراسة الشهراني (2024) وسلام والزهيري (2022)، أو دراسة فاعلية برامج تدريبية في سياقات محددة أو لفئات معينة من المعلمين، مثل المعلمين الجدد (الجراح وأبو عاشور، 2021)، أو معلمي المنصات الإلكترونية (القطاوي، 2022)، أو في بيئات تعليمية خارج السياق السعودي (</w:t>
      </w:r>
      <w:r w:rsidRPr="006504A0">
        <w:rPr>
          <w:rFonts w:ascii="Traditional Arabic" w:eastAsia="Calibri" w:hAnsi="Traditional Arabic" w:cs="Traditional Arabic"/>
          <w:sz w:val="32"/>
          <w:szCs w:val="32"/>
        </w:rPr>
        <w:t>Jamal et al., 2023</w:t>
      </w:r>
      <w:r w:rsidRPr="006504A0">
        <w:rPr>
          <w:rFonts w:ascii="Traditional Arabic" w:eastAsia="Calibri" w:hAnsi="Traditional Arabic" w:cs="Traditional Arabic"/>
          <w:sz w:val="32"/>
          <w:szCs w:val="32"/>
          <w:rtl/>
        </w:rPr>
        <w:t xml:space="preserve">؛ </w:t>
      </w:r>
      <w:r w:rsidRPr="006504A0">
        <w:rPr>
          <w:rFonts w:ascii="Traditional Arabic" w:eastAsia="Calibri" w:hAnsi="Traditional Arabic" w:cs="Traditional Arabic"/>
          <w:sz w:val="32"/>
          <w:szCs w:val="32"/>
        </w:rPr>
        <w:t>Ahmed et al., 2021</w:t>
      </w:r>
      <w:r w:rsidRPr="006504A0">
        <w:rPr>
          <w:rFonts w:ascii="Traditional Arabic" w:eastAsia="Calibri" w:hAnsi="Traditional Arabic" w:cs="Traditional Arabic"/>
          <w:sz w:val="32"/>
          <w:szCs w:val="32"/>
          <w:rtl/>
        </w:rPr>
        <w:t>).</w:t>
      </w:r>
    </w:p>
    <w:p w14:paraId="06FF8B2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أن الدراسات التي ربطت بين التنمية المهنية والكفاءة التدريسية، مثل دراسة عرار (2023) و</w:t>
      </w:r>
      <w:r w:rsidRPr="006504A0">
        <w:rPr>
          <w:rFonts w:ascii="Traditional Arabic" w:eastAsia="Calibri" w:hAnsi="Traditional Arabic" w:cs="Traditional Arabic"/>
          <w:sz w:val="32"/>
          <w:szCs w:val="32"/>
        </w:rPr>
        <w:t>Abbas et al. (2021)</w:t>
      </w:r>
      <w:r w:rsidRPr="006504A0">
        <w:rPr>
          <w:rFonts w:ascii="Traditional Arabic" w:eastAsia="Calibri" w:hAnsi="Traditional Arabic" w:cs="Traditional Arabic"/>
          <w:sz w:val="32"/>
          <w:szCs w:val="32"/>
          <w:rtl/>
        </w:rPr>
        <w:t>، اكتفت غالبًا بالتحليل الارتباطي العام أو بقياس الإدراك الذاتي للمعلمين دون تفكيك أثر التنمية المهنية على الأبعاد التفصيلية للكفاءة التدريسية، ودون اختبار نموذج تفسيري يوضح طبيعة العلاقة بين المتغيرين بصورة سببية</w:t>
      </w:r>
      <w:r w:rsidRPr="006504A0">
        <w:rPr>
          <w:rFonts w:ascii="Traditional Arabic" w:eastAsia="Calibri" w:hAnsi="Traditional Arabic" w:cs="Traditional Arabic"/>
          <w:sz w:val="32"/>
          <w:szCs w:val="32"/>
        </w:rPr>
        <w:t>.</w:t>
      </w:r>
    </w:p>
    <w:p w14:paraId="14897E3B"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ومن ثمّ، تتمثل الفجوة البحثية في ثلاثة مستويات رئيسة</w:t>
      </w:r>
      <w:r w:rsidRPr="006504A0">
        <w:rPr>
          <w:rFonts w:ascii="Traditional Arabic" w:eastAsia="Calibri" w:hAnsi="Traditional Arabic" w:cs="Traditional Arabic"/>
          <w:sz w:val="32"/>
          <w:szCs w:val="32"/>
        </w:rPr>
        <w:t>:</w:t>
      </w:r>
    </w:p>
    <w:p w14:paraId="79BC5FF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أولًا: فجوة مكانية تتمثل في ندرة الدراسات التي تناولت معلمي المرحلة الابتدائية في مدينة الرياض تحديدًا،</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بوصفها بيئة تعليمية حضرية ذات كثافة وتنوع مرتفعين</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w:t>
      </w:r>
    </w:p>
    <w:p w14:paraId="4ABA925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ثانيًا: فجوة تحليلية تتعلق بغياب الدراسات التي تقيس أثر برامج التنمية المهنية على أبعاد الكفاءة التدريسية (التخطيط، إدارة الصف، التقويم، والتواصل) بصورة تفصيلية</w:t>
      </w:r>
      <w:r w:rsidRPr="006504A0">
        <w:rPr>
          <w:rFonts w:ascii="Traditional Arabic" w:eastAsia="Calibri" w:hAnsi="Traditional Arabic" w:cs="Traditional Arabic"/>
          <w:sz w:val="32"/>
          <w:szCs w:val="32"/>
        </w:rPr>
        <w:t>.</w:t>
      </w:r>
    </w:p>
    <w:p w14:paraId="728C3CE9"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ثالثًا: فجوة منهجية تتمثل في محدودية توظيف النماذج التحليلية التفسيرية التي تسمح بتقدير قوة التأثير النسبي لكل بعد من أبعاد التنمية المهنية في تحسين الكفاءة التدريسية</w:t>
      </w:r>
      <w:r w:rsidRPr="006504A0">
        <w:rPr>
          <w:rFonts w:ascii="Traditional Arabic" w:eastAsia="Calibri" w:hAnsi="Traditional Arabic" w:cs="Traditional Arabic"/>
          <w:sz w:val="32"/>
          <w:szCs w:val="32"/>
        </w:rPr>
        <w:t>.</w:t>
      </w:r>
    </w:p>
    <w:p w14:paraId="0261F8EF" w14:textId="5FC8F17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وعليه، تتميز الدراسة الحالية بأنها تسعى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بناء إطار تحليلي يقيس العلاقة المباشرة بين برامج التنمية المهنية وأبعاد الكفاءة التدريسية لدى معلمي المرحلة الابتدائية في مدينة الرياض، بما يسهم في تقديم فهم أكثر عمقًا ودقة لطبيعة هذه العلاقة في السياق التعليمي السعودي</w:t>
      </w:r>
      <w:r w:rsidRPr="006504A0">
        <w:rPr>
          <w:rFonts w:ascii="Traditional Arabic" w:eastAsia="Calibri" w:hAnsi="Traditional Arabic" w:cs="Traditional Arabic"/>
          <w:sz w:val="32"/>
          <w:szCs w:val="32"/>
        </w:rPr>
        <w:t>.</w:t>
      </w:r>
    </w:p>
    <w:p w14:paraId="03978CB8" w14:textId="77777777" w:rsidR="006504A0" w:rsidRPr="00AD101F" w:rsidRDefault="006504A0" w:rsidP="006504A0">
      <w:pPr>
        <w:ind w:left="360"/>
        <w:rPr>
          <w:rFonts w:ascii="Traditional Arabic" w:eastAsia="Times New Roman" w:hAnsi="Traditional Arabic" w:cs="Traditional Arabic"/>
          <w:sz w:val="28"/>
          <w:szCs w:val="28"/>
          <w:rtl/>
          <w:lang w:bidi="ar-JO"/>
        </w:rPr>
      </w:pPr>
    </w:p>
    <w:p w14:paraId="467833A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60C22E65" w14:textId="77777777" w:rsidR="006504A0" w:rsidRPr="006504A0" w:rsidRDefault="006504A0" w:rsidP="00F700E3">
      <w:pPr>
        <w:bidi/>
        <w:spacing w:after="200" w:line="360" w:lineRule="auto"/>
        <w:jc w:val="both"/>
        <w:rPr>
          <w:rFonts w:ascii="Traditional Arabic" w:eastAsia="Calibri" w:hAnsi="Traditional Arabic" w:cs="Traditional Arabic"/>
          <w:sz w:val="32"/>
          <w:szCs w:val="32"/>
          <w:rtl/>
        </w:rPr>
      </w:pPr>
    </w:p>
    <w:p w14:paraId="147AB7DA"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2EBF3E5"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70F87FE4"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84F36A8"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61F08300"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62DE8B2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E8CAC6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5BE104E"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41582E" w:rsidRDefault="008074A2" w:rsidP="0041582E">
      <w:pPr>
        <w:pageBreakBefore/>
        <w:bidi/>
        <w:spacing w:after="200" w:line="360" w:lineRule="auto"/>
        <w:jc w:val="both"/>
        <w:rPr>
          <w:rFonts w:ascii="Traditional Arabic" w:eastAsia="Calibri" w:hAnsi="Traditional Arabic" w:cs="Traditional Arabic"/>
          <w:sz w:val="36"/>
          <w:szCs w:val="36"/>
          <w:shd w:val="clear" w:color="auto" w:fill="FFFFFF"/>
          <w:rtl/>
        </w:rPr>
      </w:pPr>
      <w:r w:rsidRPr="0041582E">
        <w:rPr>
          <w:rFonts w:ascii="Traditional Arabic" w:eastAsia="Calibri" w:hAnsi="Traditional Arabic" w:cs="Traditional Arabic" w:hint="cs"/>
          <w:b/>
          <w:bCs/>
          <w:sz w:val="36"/>
          <w:szCs w:val="36"/>
          <w:rtl/>
        </w:rPr>
        <w:lastRenderedPageBreak/>
        <w:t xml:space="preserve">قائمة </w:t>
      </w:r>
      <w:r w:rsidRPr="0041582E">
        <w:rPr>
          <w:rFonts w:ascii="Traditional Arabic" w:eastAsia="Calibri" w:hAnsi="Traditional Arabic" w:cs="Traditional Arabic"/>
          <w:b/>
          <w:bCs/>
          <w:sz w:val="36"/>
          <w:szCs w:val="36"/>
          <w:rtl/>
        </w:rPr>
        <w:t>المراجع</w:t>
      </w:r>
    </w:p>
    <w:p w14:paraId="34CB3BD3" w14:textId="77777777" w:rsidR="008074A2" w:rsidRPr="0041582E" w:rsidRDefault="008074A2" w:rsidP="008074A2">
      <w:pPr>
        <w:bidi/>
        <w:spacing w:after="200" w:line="360" w:lineRule="auto"/>
        <w:jc w:val="both"/>
        <w:rPr>
          <w:rFonts w:ascii="Traditional Arabic" w:eastAsia="Calibri" w:hAnsi="Traditional Arabic" w:cs="Traditional Arabic"/>
          <w:b/>
          <w:bCs/>
          <w:sz w:val="36"/>
          <w:szCs w:val="36"/>
          <w:shd w:val="clear" w:color="auto" w:fill="FFFFFF"/>
          <w:rtl/>
        </w:rPr>
      </w:pPr>
      <w:r w:rsidRPr="0041582E">
        <w:rPr>
          <w:rFonts w:ascii="Traditional Arabic" w:eastAsia="Calibri" w:hAnsi="Traditional Arabic" w:cs="Traditional Arabic"/>
          <w:b/>
          <w:bCs/>
          <w:sz w:val="36"/>
          <w:szCs w:val="36"/>
          <w:shd w:val="clear" w:color="auto" w:fill="FFFFFF"/>
          <w:rtl/>
        </w:rPr>
        <w:t>اولا: المراجع العربية</w:t>
      </w:r>
    </w:p>
    <w:p w14:paraId="5D2619C5" w14:textId="77777777" w:rsidR="0041582E" w:rsidRPr="0041582E" w:rsidRDefault="0041582E" w:rsidP="0041582E">
      <w:pPr>
        <w:pStyle w:val="ListParagraph"/>
        <w:numPr>
          <w:ilvl w:val="0"/>
          <w:numId w:val="15"/>
        </w:numPr>
        <w:bidi/>
        <w:rPr>
          <w:rFonts w:ascii="Traditional Arabic" w:hAnsi="Traditional Arabic" w:cs="Traditional Arabic"/>
          <w:sz w:val="32"/>
          <w:szCs w:val="32"/>
          <w:shd w:val="clear" w:color="auto" w:fill="FFFFFF"/>
        </w:rPr>
      </w:pPr>
      <w:r w:rsidRPr="0041582E">
        <w:rPr>
          <w:rFonts w:ascii="Traditional Arabic" w:hAnsi="Traditional Arabic" w:cs="Traditional Arabic"/>
          <w:sz w:val="32"/>
          <w:szCs w:val="32"/>
          <w:shd w:val="clear" w:color="auto" w:fill="FFFFFF"/>
          <w:rtl/>
        </w:rPr>
        <w:t xml:space="preserve">أبو كشك، ر. ف. م، &amp; مهدي، ح. ر. (2016). تطوير التنمية المهنية لمعلمي المرحلة المتوسطة بدولة الكويت في ضوء الاتجاهات الحديثة. </w:t>
      </w:r>
      <w:r w:rsidRPr="0041582E">
        <w:rPr>
          <w:rFonts w:ascii="Traditional Arabic" w:hAnsi="Traditional Arabic" w:cs="Traditional Arabic"/>
          <w:i/>
          <w:iCs/>
          <w:sz w:val="32"/>
          <w:szCs w:val="32"/>
          <w:shd w:val="clear" w:color="auto" w:fill="FFFFFF"/>
          <w:rtl/>
        </w:rPr>
        <w:t>مجلة كلية التربية، جامعة الأزهر</w:t>
      </w:r>
      <w:r w:rsidRPr="0041582E">
        <w:rPr>
          <w:rFonts w:ascii="Traditional Arabic" w:hAnsi="Traditional Arabic" w:cs="Traditional Arabic"/>
          <w:sz w:val="32"/>
          <w:szCs w:val="32"/>
          <w:shd w:val="clear" w:color="auto" w:fill="FFFFFF"/>
          <w:rtl/>
        </w:rPr>
        <w:t>، (170، الجزء الثالث)، 757–795</w:t>
      </w:r>
      <w:r w:rsidRPr="0041582E">
        <w:rPr>
          <w:rFonts w:ascii="Traditional Arabic" w:hAnsi="Traditional Arabic" w:cs="Traditional Arabic"/>
          <w:sz w:val="32"/>
          <w:szCs w:val="32"/>
          <w:shd w:val="clear" w:color="auto" w:fill="FFFFFF"/>
        </w:rPr>
        <w:t>.</w:t>
      </w:r>
    </w:p>
    <w:p w14:paraId="36660C7F" w14:textId="626A2882"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أبو عاشور، خليفة،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المجلة الدولية للدراسات التربوية والنفسية، 9</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xml:space="preserve">، 424–445. </w:t>
      </w:r>
      <w:r w:rsidRPr="0049674D">
        <w:rPr>
          <w:rFonts w:ascii="Traditional Arabic" w:hAnsi="Traditional Arabic" w:cs="Traditional Arabic"/>
          <w:sz w:val="32"/>
          <w:szCs w:val="32"/>
          <w:shd w:val="clear" w:color="auto" w:fill="FFFFFF"/>
        </w:rPr>
        <w:t>https://doi.org/10.31559/EPS2021.9.2.6</w:t>
      </w:r>
    </w:p>
    <w:p w14:paraId="03FA45D9" w14:textId="77777777"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الحيكان، عبدالرحمن. (2024). بيان التجديد التربوي للتنمية المهنية للمعلمين في ضوء كفايات الرخصة المهنية</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المنتدى البحثي السادس للشباب 2024، مركز جامعة قطر للعلماء الشباب</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sz w:val="32"/>
          <w:szCs w:val="32"/>
          <w:shd w:val="clear" w:color="auto" w:fill="FFFFFF"/>
          <w:rtl/>
        </w:rPr>
        <w:t>جامعة قطر</w:t>
      </w:r>
      <w:r w:rsidRPr="0049674D">
        <w:rPr>
          <w:rFonts w:ascii="Traditional Arabic" w:hAnsi="Traditional Arabic" w:cs="Traditional Arabic"/>
          <w:sz w:val="32"/>
          <w:szCs w:val="32"/>
          <w:shd w:val="clear" w:color="auto" w:fill="FFFFFF"/>
        </w:rPr>
        <w:t>.</w:t>
      </w:r>
    </w:p>
    <w:p w14:paraId="335643EA" w14:textId="77777777"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القطاوي، محمد نواف. (2022). الكفايات اللازمة لمعلمي المنصات الإلكترونية (من وجهة نظر الطلبة والمعلمين). (رسالة ماجستير غير منشورة). جامعة الشرق الأوسط، عمان، الأردن</w:t>
      </w:r>
      <w:r w:rsidRPr="0049674D">
        <w:rPr>
          <w:rFonts w:ascii="Traditional Arabic" w:hAnsi="Traditional Arabic" w:cs="Traditional Arabic"/>
          <w:sz w:val="32"/>
          <w:szCs w:val="32"/>
          <w:shd w:val="clear" w:color="auto" w:fill="FFFFFF"/>
        </w:rPr>
        <w:t>.</w:t>
      </w:r>
    </w:p>
    <w:p w14:paraId="0F7836B0" w14:textId="77777777"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القرني، محمد. (2018). احتياجات التنمية المهنية الذاتية لمعلمي المرحلة الابتدائية. (رسالة ماجستير). كلية التربية، جامعة الملك سعود، الرياض، السعودية</w:t>
      </w:r>
      <w:r w:rsidRPr="0049674D">
        <w:rPr>
          <w:rFonts w:ascii="Traditional Arabic" w:hAnsi="Traditional Arabic" w:cs="Traditional Arabic"/>
          <w:sz w:val="32"/>
          <w:szCs w:val="32"/>
          <w:shd w:val="clear" w:color="auto" w:fill="FFFFFF"/>
        </w:rPr>
        <w:t>.</w:t>
      </w:r>
    </w:p>
    <w:p w14:paraId="11D6A6C7" w14:textId="4517D68E"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دليل السعودية. (2024، مايو</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إحصائية جديدة عن عدد المعلمين والمعلمات في السعودية</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sz w:val="32"/>
          <w:szCs w:val="32"/>
          <w:shd w:val="clear" w:color="auto" w:fill="FFFFFF"/>
          <w:rtl/>
        </w:rPr>
        <w:t xml:space="preserve">استُرجِع في 22 يونيو 2025، من </w:t>
      </w:r>
      <w:r w:rsidRPr="0049674D">
        <w:rPr>
          <w:rFonts w:ascii="Traditional Arabic" w:hAnsi="Traditional Arabic" w:cs="Traditional Arabic"/>
          <w:sz w:val="32"/>
          <w:szCs w:val="32"/>
          <w:shd w:val="clear" w:color="auto" w:fill="FFFFFF"/>
        </w:rPr>
        <w:t>https://www.dlelsaudia.com/news439815.html</w:t>
      </w:r>
    </w:p>
    <w:p w14:paraId="72C8D38B" w14:textId="34C2552A"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سلام، غادة، و الزهيري، عماد. (2022). درجة توافر الكفايات التعليمية لدى معلمي الرياضيات في ليبيا وعلاقتها بالمؤهل التربوي</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مجلة الزرقاء للبحوث والدراسات الإنسانية، 16</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6102–6135.</w:t>
      </w:r>
    </w:p>
    <w:p w14:paraId="1D685EA1" w14:textId="4D11D194"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المجلة التربوية، 150</w:t>
      </w:r>
      <w:r w:rsidRPr="0049674D">
        <w:rPr>
          <w:rFonts w:ascii="Traditional Arabic" w:hAnsi="Traditional Arabic" w:cs="Traditional Arabic"/>
          <w:sz w:val="32"/>
          <w:szCs w:val="32"/>
          <w:shd w:val="clear" w:color="auto" w:fill="FFFFFF"/>
          <w:rtl/>
        </w:rPr>
        <w:t>(11).</w:t>
      </w:r>
    </w:p>
    <w:p w14:paraId="480305F4" w14:textId="77777777"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lastRenderedPageBreak/>
        <w:t>عموش، وفاء. (2020). التنمية المهنية وعلاقتها بالتكيف الوظيفي لمعلمي المدارس الحكومية في عمان من وجهة نظر مديري المدارس. (رسالة ماجستير). كلية علوم التربية، جامعة الشرق الأوسط، عمان، الأردن</w:t>
      </w:r>
      <w:r w:rsidRPr="0049674D">
        <w:rPr>
          <w:rFonts w:ascii="Traditional Arabic" w:hAnsi="Traditional Arabic" w:cs="Traditional Arabic"/>
          <w:sz w:val="32"/>
          <w:szCs w:val="32"/>
          <w:shd w:val="clear" w:color="auto" w:fill="FFFFFF"/>
        </w:rPr>
        <w:t>.</w:t>
      </w:r>
    </w:p>
    <w:p w14:paraId="370835B6" w14:textId="77777777" w:rsidR="00F700E3" w:rsidRPr="0049674D" w:rsidRDefault="00F700E3" w:rsidP="00F700E3">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(رسالة ماجستير غير منشورة في الإدارة التربوية). جامعة القدس المفتوحة</w:t>
      </w:r>
      <w:r w:rsidRPr="0049674D">
        <w:rPr>
          <w:rFonts w:ascii="Traditional Arabic" w:hAnsi="Traditional Arabic" w:cs="Traditional Arabic"/>
          <w:sz w:val="32"/>
          <w:szCs w:val="32"/>
          <w:shd w:val="clear" w:color="auto" w:fill="FFFFFF"/>
        </w:rPr>
        <w:t>.</w:t>
      </w:r>
    </w:p>
    <w:p w14:paraId="51015950" w14:textId="27A604C8" w:rsidR="00F700E3" w:rsidRPr="0049674D" w:rsidRDefault="00F700E3" w:rsidP="00431498">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الفجام، ح. م.، المنصوري، م. ب</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 xml:space="preserve">&amp; </w:t>
      </w:r>
      <w:r w:rsidRPr="0049674D">
        <w:rPr>
          <w:rFonts w:ascii="Traditional Arabic" w:hAnsi="Traditional Arabic" w:cs="Traditional Arabic"/>
          <w:sz w:val="32"/>
          <w:szCs w:val="32"/>
          <w:shd w:val="clear" w:color="auto" w:fill="FFFFFF"/>
          <w:rtl/>
        </w:rPr>
        <w:t>الدويلة، ع. ع. (2017). واقع النمو المهني لمعلمي العلوم والرياضيات بمدارس المرحلة الابتدائية بدولة الكويت</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مجلة كلية التربية، جامعة الأزهر، (716، الجزء الأول</w:t>
      </w:r>
      <w:r w:rsidR="00431498" w:rsidRPr="0049674D">
        <w:rPr>
          <w:rFonts w:ascii="Traditional Arabic" w:hAnsi="Traditional Arabic" w:cs="Traditional Arabic" w:hint="cs"/>
          <w:i/>
          <w:iCs/>
          <w:sz w:val="32"/>
          <w:szCs w:val="32"/>
          <w:shd w:val="clear" w:color="auto" w:fill="FFFFFF"/>
          <w:rtl/>
        </w:rPr>
        <w:t>)،</w:t>
      </w:r>
      <w:r w:rsidRPr="0049674D">
        <w:rPr>
          <w:rFonts w:ascii="Traditional Arabic" w:hAnsi="Traditional Arabic" w:cs="Traditional Arabic"/>
          <w:sz w:val="32"/>
          <w:szCs w:val="32"/>
          <w:shd w:val="clear" w:color="auto" w:fill="FFFFFF"/>
          <w:rtl/>
        </w:rPr>
        <w:t xml:space="preserve"> 385–615.</w:t>
      </w:r>
    </w:p>
    <w:p w14:paraId="436F7767" w14:textId="54277DDD" w:rsidR="005E1A75" w:rsidRPr="006504A0" w:rsidRDefault="00F700E3" w:rsidP="006504A0">
      <w:pPr>
        <w:pStyle w:val="ListParagraph"/>
        <w:numPr>
          <w:ilvl w:val="0"/>
          <w:numId w:val="15"/>
        </w:numPr>
        <w:bidi/>
        <w:spacing w:after="200" w:line="240" w:lineRule="auto"/>
        <w:jc w:val="both"/>
        <w:rPr>
          <w:rFonts w:ascii="Traditional Arabic" w:hAnsi="Traditional Arabic" w:cs="Traditional Arabic"/>
          <w:sz w:val="32"/>
          <w:szCs w:val="32"/>
          <w:shd w:val="clear" w:color="auto" w:fill="FFFFFF"/>
          <w:rtl/>
        </w:rPr>
      </w:pPr>
      <w:r w:rsidRPr="0049674D">
        <w:rPr>
          <w:rFonts w:ascii="Traditional Arabic" w:hAnsi="Traditional Arabic" w:cs="Traditional Arabic"/>
          <w:sz w:val="32"/>
          <w:szCs w:val="32"/>
          <w:shd w:val="clear" w:color="auto" w:fill="FFFFFF"/>
          <w:rtl/>
        </w:rPr>
        <w:t>وزارة التعليم – المملكة العربية السعودية. (2025</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استُرجِع في 22 يونيو 2025، من </w:t>
      </w:r>
      <w:r w:rsidRPr="0049674D">
        <w:rPr>
          <w:rFonts w:ascii="Traditional Arabic" w:hAnsi="Traditional Arabic" w:cs="Traditional Arabic"/>
          <w:sz w:val="32"/>
          <w:szCs w:val="32"/>
          <w:shd w:val="clear" w:color="auto" w:fill="FFFFFF"/>
        </w:rPr>
        <w:t>https://departments.moe.gov.sa/Statistics/Educationstatistics/Pages/gestats.aspx</w:t>
      </w:r>
    </w:p>
    <w:p w14:paraId="59FB8A91"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2F48D4AB"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1813677C"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15F508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0A1F45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70283DAB"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2D2B791" w14:textId="77777777" w:rsidR="0041582E" w:rsidRPr="006504A0"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Pr>
      </w:pPr>
    </w:p>
    <w:p w14:paraId="26447F2A" w14:textId="38B3DDF5" w:rsidR="005E1A75" w:rsidRPr="0041582E" w:rsidRDefault="006504A0" w:rsidP="006504A0">
      <w:pPr>
        <w:bidi/>
        <w:spacing w:after="200" w:line="360" w:lineRule="auto"/>
        <w:ind w:left="360"/>
        <w:jc w:val="both"/>
        <w:rPr>
          <w:rFonts w:ascii="Traditional Arabic" w:eastAsia="Calibri" w:hAnsi="Traditional Arabic" w:cs="Traditional Arabic"/>
          <w:b/>
          <w:bCs/>
          <w:sz w:val="36"/>
          <w:szCs w:val="36"/>
          <w:shd w:val="clear" w:color="auto" w:fill="FFFFFF"/>
        </w:rPr>
      </w:pPr>
      <w:r w:rsidRPr="0041582E">
        <w:rPr>
          <w:rFonts w:ascii="Traditional Arabic" w:eastAsia="Calibri" w:hAnsi="Traditional Arabic" w:cs="Traditional Arabic"/>
          <w:b/>
          <w:bCs/>
          <w:sz w:val="36"/>
          <w:szCs w:val="36"/>
          <w:shd w:val="clear" w:color="auto" w:fill="FFFFFF"/>
          <w:rtl/>
        </w:rPr>
        <w:lastRenderedPageBreak/>
        <w:t xml:space="preserve">ثانيا: المراجع </w:t>
      </w:r>
      <w:r w:rsidR="0041582E" w:rsidRPr="0041582E">
        <w:rPr>
          <w:rFonts w:ascii="Traditional Arabic" w:eastAsia="Calibri" w:hAnsi="Traditional Arabic" w:cs="Traditional Arabic" w:hint="cs"/>
          <w:b/>
          <w:bCs/>
          <w:sz w:val="36"/>
          <w:szCs w:val="36"/>
          <w:shd w:val="clear" w:color="auto" w:fill="FFFFFF"/>
          <w:rtl/>
        </w:rPr>
        <w:t>الأجنبية</w:t>
      </w:r>
    </w:p>
    <w:p w14:paraId="6E18A165"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Abbas, M., Tariq, S., &amp; Jamil, M. (2021). Continuous professional development (CPD) and quality education of primary school teachers: A quantitative study in Lahore, Punjab. </w:t>
      </w:r>
      <w:r w:rsidRPr="006504A0">
        <w:rPr>
          <w:rFonts w:ascii="Times New Roman" w:eastAsia="Times New Roman" w:hAnsi="Times New Roman" w:cs="Times New Roman"/>
          <w:i/>
          <w:iCs/>
          <w:sz w:val="24"/>
          <w:szCs w:val="24"/>
        </w:rPr>
        <w:t>Global Educational Studies Review, 6</w:t>
      </w:r>
      <w:r w:rsidRPr="006504A0">
        <w:rPr>
          <w:rFonts w:ascii="Times New Roman" w:eastAsia="Times New Roman" w:hAnsi="Times New Roman" w:cs="Times New Roman"/>
          <w:sz w:val="24"/>
          <w:szCs w:val="24"/>
        </w:rPr>
        <w:t xml:space="preserve">(4), 206–212. </w:t>
      </w:r>
      <w:hyperlink r:id="rId15" w:tgtFrame="_new" w:history="1">
        <w:r w:rsidRPr="006504A0">
          <w:rPr>
            <w:rFonts w:ascii="Times New Roman" w:eastAsia="Times New Roman" w:hAnsi="Times New Roman" w:cs="Times New Roman"/>
            <w:color w:val="0000FF"/>
            <w:sz w:val="24"/>
            <w:szCs w:val="24"/>
            <w:u w:val="single"/>
          </w:rPr>
          <w:t>https://doi.org/10.31703/gesr.2021(VI-IV).21</w:t>
        </w:r>
      </w:hyperlink>
    </w:p>
    <w:p w14:paraId="41F48E70"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Ahmed, H. N., Pasha, A. R., &amp; Malik, M. (2021). The role of teacher training programs in optimizing teacher motivation and professional development skills. </w:t>
      </w:r>
      <w:r w:rsidRPr="006504A0">
        <w:rPr>
          <w:rFonts w:ascii="Times New Roman" w:eastAsia="Times New Roman" w:hAnsi="Times New Roman" w:cs="Times New Roman"/>
          <w:i/>
          <w:iCs/>
          <w:sz w:val="24"/>
          <w:szCs w:val="24"/>
        </w:rPr>
        <w:t>Bulletin of Education and Research, 43</w:t>
      </w:r>
      <w:r w:rsidRPr="006504A0">
        <w:rPr>
          <w:rFonts w:ascii="Times New Roman" w:eastAsia="Times New Roman" w:hAnsi="Times New Roman" w:cs="Times New Roman"/>
          <w:sz w:val="24"/>
          <w:szCs w:val="24"/>
        </w:rPr>
        <w:t>(2), 17–37.</w:t>
      </w:r>
    </w:p>
    <w:p w14:paraId="5E0923F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Alamri, B. M. (2022). The professional development of primary school teachers in Saudi Arabia. </w:t>
      </w:r>
      <w:r w:rsidRPr="006504A0">
        <w:rPr>
          <w:rFonts w:ascii="Times New Roman" w:eastAsia="Times New Roman" w:hAnsi="Times New Roman" w:cs="Times New Roman"/>
          <w:i/>
          <w:iCs/>
          <w:sz w:val="24"/>
          <w:szCs w:val="24"/>
        </w:rPr>
        <w:t>Journal of Reading and Knowledge, 22</w:t>
      </w:r>
      <w:r w:rsidRPr="006504A0">
        <w:rPr>
          <w:rFonts w:ascii="Times New Roman" w:eastAsia="Times New Roman" w:hAnsi="Times New Roman" w:cs="Times New Roman"/>
          <w:sz w:val="24"/>
          <w:szCs w:val="24"/>
        </w:rPr>
        <w:t xml:space="preserve">(249), 1–45. </w:t>
      </w:r>
      <w:hyperlink r:id="rId16" w:tgtFrame="_new" w:history="1">
        <w:r w:rsidRPr="006504A0">
          <w:rPr>
            <w:rFonts w:ascii="Times New Roman" w:eastAsia="Times New Roman" w:hAnsi="Times New Roman" w:cs="Times New Roman"/>
            <w:color w:val="0000FF"/>
            <w:sz w:val="24"/>
            <w:szCs w:val="24"/>
            <w:u w:val="single"/>
          </w:rPr>
          <w:t>https://doi.org/10.21608/mrk.2022.256812</w:t>
        </w:r>
      </w:hyperlink>
    </w:p>
    <w:p w14:paraId="1FB6C82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Alhazmi, M. A., Alqarni, T. M., &amp; Al-Assar, S. (2022). Reality of teacher professional development programs in light of professional license standards in Saudi Arabia. </w:t>
      </w:r>
      <w:r w:rsidRPr="006504A0">
        <w:rPr>
          <w:rFonts w:ascii="Times New Roman" w:eastAsia="Times New Roman" w:hAnsi="Times New Roman" w:cs="Times New Roman"/>
          <w:i/>
          <w:iCs/>
          <w:sz w:val="24"/>
          <w:szCs w:val="24"/>
        </w:rPr>
        <w:t>Journal of Positive School Psychology, 6</w:t>
      </w:r>
      <w:r w:rsidRPr="006504A0">
        <w:rPr>
          <w:rFonts w:ascii="Times New Roman" w:eastAsia="Times New Roman" w:hAnsi="Times New Roman" w:cs="Times New Roman"/>
          <w:sz w:val="24"/>
          <w:szCs w:val="24"/>
        </w:rPr>
        <w:t>(4), 1408–1425.</w:t>
      </w:r>
    </w:p>
    <w:p w14:paraId="422943D4"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Alruqi, S. M., &amp; Alharbi, M. S. (2022). Teachers' perceptions towards professional development training courses: Exploring the effects on teachers' performance in the Saudi context. </w:t>
      </w:r>
      <w:r w:rsidRPr="006504A0">
        <w:rPr>
          <w:rFonts w:ascii="Times New Roman" w:eastAsia="Times New Roman" w:hAnsi="Times New Roman" w:cs="Times New Roman"/>
          <w:i/>
          <w:iCs/>
          <w:sz w:val="24"/>
          <w:szCs w:val="24"/>
        </w:rPr>
        <w:t>Theory and Practice in Language Studies, 12</w:t>
      </w:r>
      <w:r w:rsidRPr="006504A0">
        <w:rPr>
          <w:rFonts w:ascii="Times New Roman" w:eastAsia="Times New Roman" w:hAnsi="Times New Roman" w:cs="Times New Roman"/>
          <w:sz w:val="24"/>
          <w:szCs w:val="24"/>
        </w:rPr>
        <w:t xml:space="preserve">(9), 1723–1735. </w:t>
      </w:r>
      <w:hyperlink r:id="rId17" w:tgtFrame="_new" w:history="1">
        <w:r w:rsidRPr="006504A0">
          <w:rPr>
            <w:rFonts w:ascii="Times New Roman" w:eastAsia="Times New Roman" w:hAnsi="Times New Roman" w:cs="Times New Roman"/>
            <w:color w:val="0000FF"/>
            <w:sz w:val="24"/>
            <w:szCs w:val="24"/>
            <w:u w:val="single"/>
          </w:rPr>
          <w:t>https://doi.org/10.17507/tpls.1209.04</w:t>
        </w:r>
      </w:hyperlink>
    </w:p>
    <w:p w14:paraId="441BF6A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Alsamiri, Y. A. (2024). Enhancing elementary school teachers’ competence in recognizing and supporting gifted students with learning disabilities in Saudi Arabia. </w:t>
      </w:r>
      <w:r w:rsidRPr="006504A0">
        <w:rPr>
          <w:rFonts w:ascii="Times New Roman" w:eastAsia="Times New Roman" w:hAnsi="Times New Roman" w:cs="Times New Roman"/>
          <w:i/>
          <w:iCs/>
          <w:sz w:val="24"/>
          <w:szCs w:val="24"/>
        </w:rPr>
        <w:t>Frontiers in Education, 9</w:t>
      </w:r>
      <w:r w:rsidRPr="006504A0">
        <w:rPr>
          <w:rFonts w:ascii="Times New Roman" w:eastAsia="Times New Roman" w:hAnsi="Times New Roman" w:cs="Times New Roman"/>
          <w:sz w:val="24"/>
          <w:szCs w:val="24"/>
        </w:rPr>
        <w:t xml:space="preserve">. </w:t>
      </w:r>
      <w:hyperlink r:id="rId18" w:tgtFrame="_new" w:history="1">
        <w:r w:rsidRPr="006504A0">
          <w:rPr>
            <w:rFonts w:ascii="Times New Roman" w:eastAsia="Times New Roman" w:hAnsi="Times New Roman" w:cs="Times New Roman"/>
            <w:color w:val="0000FF"/>
            <w:sz w:val="24"/>
            <w:szCs w:val="24"/>
            <w:u w:val="single"/>
          </w:rPr>
          <w:t>https://doi.org/10.3389/feduc.2024.1363175</w:t>
        </w:r>
      </w:hyperlink>
    </w:p>
    <w:p w14:paraId="7FD342C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Alshahrani, B., &amp; Abu-Alghayth, K. (2023). Teachers’ professional development for inclusive education: A perspective from Saudi Arabia. </w:t>
      </w:r>
      <w:r w:rsidRPr="006504A0">
        <w:rPr>
          <w:rFonts w:ascii="Times New Roman" w:eastAsia="Times New Roman" w:hAnsi="Times New Roman" w:cs="Times New Roman"/>
          <w:i/>
          <w:iCs/>
          <w:sz w:val="24"/>
          <w:szCs w:val="24"/>
        </w:rPr>
        <w:t>Information Sciences Letters, 12</w:t>
      </w:r>
      <w:r w:rsidRPr="006504A0">
        <w:rPr>
          <w:rFonts w:ascii="Times New Roman" w:eastAsia="Times New Roman" w:hAnsi="Times New Roman" w:cs="Times New Roman"/>
          <w:sz w:val="24"/>
          <w:szCs w:val="24"/>
        </w:rPr>
        <w:t>(3).</w:t>
      </w:r>
    </w:p>
    <w:p w14:paraId="66B6D19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Becker, G. S. (1993). </w:t>
      </w:r>
      <w:r w:rsidRPr="006504A0">
        <w:rPr>
          <w:rFonts w:ascii="Times New Roman" w:eastAsia="Times New Roman" w:hAnsi="Times New Roman" w:cs="Times New Roman"/>
          <w:i/>
          <w:iCs/>
          <w:sz w:val="24"/>
          <w:szCs w:val="24"/>
        </w:rPr>
        <w:t>Human capital: A theoretical and empirical analysis, with special reference to education</w:t>
      </w:r>
      <w:r w:rsidRPr="006504A0">
        <w:rPr>
          <w:rFonts w:ascii="Times New Roman" w:eastAsia="Times New Roman" w:hAnsi="Times New Roman" w:cs="Times New Roman"/>
          <w:sz w:val="24"/>
          <w:szCs w:val="24"/>
        </w:rPr>
        <w:t xml:space="preserve"> (3rd ed.). University of Chicago Press.</w:t>
      </w:r>
    </w:p>
    <w:p w14:paraId="0E94931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Darling-Hammond, L., Hyler, M. E., &amp; Gardner, M. (2017). </w:t>
      </w:r>
      <w:r w:rsidRPr="006504A0">
        <w:rPr>
          <w:rFonts w:ascii="Times New Roman" w:eastAsia="Times New Roman" w:hAnsi="Times New Roman" w:cs="Times New Roman"/>
          <w:i/>
          <w:iCs/>
          <w:sz w:val="24"/>
          <w:szCs w:val="24"/>
        </w:rPr>
        <w:t>Effective teacher professional development</w:t>
      </w:r>
      <w:r w:rsidRPr="006504A0">
        <w:rPr>
          <w:rFonts w:ascii="Times New Roman" w:eastAsia="Times New Roman" w:hAnsi="Times New Roman" w:cs="Times New Roman"/>
          <w:sz w:val="24"/>
          <w:szCs w:val="24"/>
        </w:rPr>
        <w:t>. Learning Policy Institute.</w:t>
      </w:r>
    </w:p>
    <w:p w14:paraId="74DC648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Desimone, L. M. (2009). Improving impact studies of teachers’ professional development: Toward better conceptualizations and measures. </w:t>
      </w:r>
      <w:r w:rsidRPr="006504A0">
        <w:rPr>
          <w:rFonts w:ascii="Times New Roman" w:eastAsia="Times New Roman" w:hAnsi="Times New Roman" w:cs="Times New Roman"/>
          <w:i/>
          <w:iCs/>
          <w:sz w:val="24"/>
          <w:szCs w:val="24"/>
        </w:rPr>
        <w:t>Educational Researcher, 38</w:t>
      </w:r>
      <w:r w:rsidRPr="006504A0">
        <w:rPr>
          <w:rFonts w:ascii="Times New Roman" w:eastAsia="Times New Roman" w:hAnsi="Times New Roman" w:cs="Times New Roman"/>
          <w:sz w:val="24"/>
          <w:szCs w:val="24"/>
        </w:rPr>
        <w:t xml:space="preserve">(3), 181–199. </w:t>
      </w:r>
      <w:hyperlink r:id="rId19" w:tgtFrame="_new" w:history="1">
        <w:r w:rsidRPr="006504A0">
          <w:rPr>
            <w:rFonts w:ascii="Times New Roman" w:eastAsia="Times New Roman" w:hAnsi="Times New Roman" w:cs="Times New Roman"/>
            <w:color w:val="0000FF"/>
            <w:sz w:val="24"/>
            <w:szCs w:val="24"/>
            <w:u w:val="single"/>
          </w:rPr>
          <w:t>https://doi.org/10.3102/0013189X08331140</w:t>
        </w:r>
      </w:hyperlink>
    </w:p>
    <w:p w14:paraId="460A44B9"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Freeman, D. (2024). </w:t>
      </w:r>
      <w:r w:rsidRPr="006504A0">
        <w:rPr>
          <w:rFonts w:ascii="Times New Roman" w:eastAsia="Times New Roman" w:hAnsi="Times New Roman" w:cs="Times New Roman"/>
          <w:i/>
          <w:iCs/>
          <w:sz w:val="24"/>
          <w:szCs w:val="24"/>
        </w:rPr>
        <w:t>Rethinking teacher professional development: Designing and researching how teachers learn</w:t>
      </w:r>
      <w:r w:rsidRPr="006504A0">
        <w:rPr>
          <w:rFonts w:ascii="Times New Roman" w:eastAsia="Times New Roman" w:hAnsi="Times New Roman" w:cs="Times New Roman"/>
          <w:sz w:val="24"/>
          <w:szCs w:val="24"/>
        </w:rPr>
        <w:t>. Routledge.</w:t>
      </w:r>
    </w:p>
    <w:p w14:paraId="12FB3C69"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Garet, M. S., Porter, A. C., Desimone, L., Birman, B. F., &amp; Yoon, K. S. (2001). What makes professional development effective? Results from a national sample of </w:t>
      </w:r>
      <w:r w:rsidRPr="006504A0">
        <w:rPr>
          <w:rFonts w:ascii="Times New Roman" w:eastAsia="Times New Roman" w:hAnsi="Times New Roman" w:cs="Times New Roman"/>
          <w:sz w:val="24"/>
          <w:szCs w:val="24"/>
        </w:rPr>
        <w:lastRenderedPageBreak/>
        <w:t xml:space="preserve">teachers. </w:t>
      </w:r>
      <w:r w:rsidRPr="006504A0">
        <w:rPr>
          <w:rFonts w:ascii="Times New Roman" w:eastAsia="Times New Roman" w:hAnsi="Times New Roman" w:cs="Times New Roman"/>
          <w:i/>
          <w:iCs/>
          <w:sz w:val="24"/>
          <w:szCs w:val="24"/>
        </w:rPr>
        <w:t>American Educational Research Journal, 38</w:t>
      </w:r>
      <w:r w:rsidRPr="006504A0">
        <w:rPr>
          <w:rFonts w:ascii="Times New Roman" w:eastAsia="Times New Roman" w:hAnsi="Times New Roman" w:cs="Times New Roman"/>
          <w:sz w:val="24"/>
          <w:szCs w:val="24"/>
        </w:rPr>
        <w:t xml:space="preserve">(4), 915–945. </w:t>
      </w:r>
      <w:hyperlink r:id="rId20" w:tgtFrame="_new" w:history="1">
        <w:r w:rsidRPr="006504A0">
          <w:rPr>
            <w:rFonts w:ascii="Times New Roman" w:eastAsia="Times New Roman" w:hAnsi="Times New Roman" w:cs="Times New Roman"/>
            <w:color w:val="0000FF"/>
            <w:sz w:val="24"/>
            <w:szCs w:val="24"/>
            <w:u w:val="single"/>
          </w:rPr>
          <w:t>https://doi.org/10.3102/00028312038004915</w:t>
        </w:r>
      </w:hyperlink>
    </w:p>
    <w:p w14:paraId="4B493B65"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Ghoneim Sywelem, M. M., &amp; Witte, J. E. (2013). Continuing professional development: Perceptions of elementary school teachers in Saudi Arabia. </w:t>
      </w:r>
      <w:r w:rsidRPr="006504A0">
        <w:rPr>
          <w:rFonts w:ascii="Times New Roman" w:eastAsia="Times New Roman" w:hAnsi="Times New Roman" w:cs="Times New Roman"/>
          <w:i/>
          <w:iCs/>
          <w:sz w:val="24"/>
          <w:szCs w:val="24"/>
        </w:rPr>
        <w:t>Journal of Modern Education Review, 3</w:t>
      </w:r>
      <w:r w:rsidRPr="006504A0">
        <w:rPr>
          <w:rFonts w:ascii="Times New Roman" w:eastAsia="Times New Roman" w:hAnsi="Times New Roman" w:cs="Times New Roman"/>
          <w:sz w:val="24"/>
          <w:szCs w:val="24"/>
        </w:rPr>
        <w:t>(12), 881–898.</w:t>
      </w:r>
    </w:p>
    <w:p w14:paraId="537874D2"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Guskey, T. R. (2002). Professional development and teacher change. </w:t>
      </w:r>
      <w:r w:rsidRPr="006504A0">
        <w:rPr>
          <w:rFonts w:ascii="Times New Roman" w:eastAsia="Times New Roman" w:hAnsi="Times New Roman" w:cs="Times New Roman"/>
          <w:i/>
          <w:iCs/>
          <w:sz w:val="24"/>
          <w:szCs w:val="24"/>
        </w:rPr>
        <w:t>Teachers and Teaching, 8</w:t>
      </w:r>
      <w:r w:rsidRPr="006504A0">
        <w:rPr>
          <w:rFonts w:ascii="Times New Roman" w:eastAsia="Times New Roman" w:hAnsi="Times New Roman" w:cs="Times New Roman"/>
          <w:sz w:val="24"/>
          <w:szCs w:val="24"/>
        </w:rPr>
        <w:t xml:space="preserve">(3), 381–391. </w:t>
      </w:r>
      <w:hyperlink r:id="rId21" w:tgtFrame="_new" w:history="1">
        <w:r w:rsidRPr="006504A0">
          <w:rPr>
            <w:rFonts w:ascii="Times New Roman" w:eastAsia="Times New Roman" w:hAnsi="Times New Roman" w:cs="Times New Roman"/>
            <w:color w:val="0000FF"/>
            <w:sz w:val="24"/>
            <w:szCs w:val="24"/>
            <w:u w:val="single"/>
          </w:rPr>
          <w:t>https://doi.org/10.1080/135406002100000512</w:t>
        </w:r>
      </w:hyperlink>
    </w:p>
    <w:p w14:paraId="4F26820B"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Jamal, B., Khan, S. R., &amp; Shah, S. A. (2023). Teachers' training impact on teachers' professional development at primary school level. </w:t>
      </w:r>
      <w:r w:rsidRPr="006504A0">
        <w:rPr>
          <w:rFonts w:ascii="Times New Roman" w:eastAsia="Times New Roman" w:hAnsi="Times New Roman" w:cs="Times New Roman"/>
          <w:i/>
          <w:iCs/>
          <w:sz w:val="24"/>
          <w:szCs w:val="24"/>
        </w:rPr>
        <w:t>Global Social Sciences Review, 8</w:t>
      </w:r>
      <w:r w:rsidRPr="006504A0">
        <w:rPr>
          <w:rFonts w:ascii="Times New Roman" w:eastAsia="Times New Roman" w:hAnsi="Times New Roman" w:cs="Times New Roman"/>
          <w:sz w:val="24"/>
          <w:szCs w:val="24"/>
        </w:rPr>
        <w:t xml:space="preserve">(2), 324–330. </w:t>
      </w:r>
      <w:hyperlink r:id="rId22" w:tgtFrame="_new" w:history="1">
        <w:r w:rsidRPr="006504A0">
          <w:rPr>
            <w:rFonts w:ascii="Times New Roman" w:eastAsia="Times New Roman" w:hAnsi="Times New Roman" w:cs="Times New Roman"/>
            <w:color w:val="0000FF"/>
            <w:sz w:val="24"/>
            <w:szCs w:val="24"/>
            <w:u w:val="single"/>
          </w:rPr>
          <w:t>https://doi.org/10.31703/gssr.2023(VIII-II).29</w:t>
        </w:r>
      </w:hyperlink>
    </w:p>
    <w:p w14:paraId="1357AD1A"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Joyce, B., &amp; Showers, B. (2002). </w:t>
      </w:r>
      <w:r w:rsidRPr="006504A0">
        <w:rPr>
          <w:rFonts w:ascii="Times New Roman" w:eastAsia="Times New Roman" w:hAnsi="Times New Roman" w:cs="Times New Roman"/>
          <w:i/>
          <w:iCs/>
          <w:sz w:val="24"/>
          <w:szCs w:val="24"/>
        </w:rPr>
        <w:t>Student achievement through staff development</w:t>
      </w:r>
      <w:r w:rsidRPr="006504A0">
        <w:rPr>
          <w:rFonts w:ascii="Times New Roman" w:eastAsia="Times New Roman" w:hAnsi="Times New Roman" w:cs="Times New Roman"/>
          <w:sz w:val="24"/>
          <w:szCs w:val="24"/>
        </w:rPr>
        <w:t xml:space="preserve"> (3rd ed.). ASCD.</w:t>
      </w:r>
    </w:p>
    <w:p w14:paraId="25986E6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Khine, M. S. (Ed.). (2022). </w:t>
      </w:r>
      <w:r w:rsidRPr="006504A0">
        <w:rPr>
          <w:rFonts w:ascii="Times New Roman" w:eastAsia="Times New Roman" w:hAnsi="Times New Roman" w:cs="Times New Roman"/>
          <w:i/>
          <w:iCs/>
          <w:sz w:val="24"/>
          <w:szCs w:val="24"/>
        </w:rPr>
        <w:t>Handbook of research on teacher education: Pedagogical innovations and practices in the Middle East</w:t>
      </w:r>
      <w:r w:rsidRPr="006504A0">
        <w:rPr>
          <w:rFonts w:ascii="Times New Roman" w:eastAsia="Times New Roman" w:hAnsi="Times New Roman" w:cs="Times New Roman"/>
          <w:sz w:val="24"/>
          <w:szCs w:val="24"/>
        </w:rPr>
        <w:t>. Springer Nature.</w:t>
      </w:r>
    </w:p>
    <w:p w14:paraId="63D0227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Krejcie, R. V., &amp; Morgan, D. W. (1970). Determining sample size for research activities. </w:t>
      </w:r>
      <w:r w:rsidRPr="006504A0">
        <w:rPr>
          <w:rFonts w:ascii="Times New Roman" w:eastAsia="Times New Roman" w:hAnsi="Times New Roman" w:cs="Times New Roman"/>
          <w:i/>
          <w:iCs/>
          <w:sz w:val="24"/>
          <w:szCs w:val="24"/>
        </w:rPr>
        <w:t>Educational and Psychological Measurement, 30</w:t>
      </w:r>
      <w:r w:rsidRPr="006504A0">
        <w:rPr>
          <w:rFonts w:ascii="Times New Roman" w:eastAsia="Times New Roman" w:hAnsi="Times New Roman" w:cs="Times New Roman"/>
          <w:sz w:val="24"/>
          <w:szCs w:val="24"/>
        </w:rPr>
        <w:t>(3), 607–610.</w:t>
      </w:r>
    </w:p>
    <w:p w14:paraId="42C7CA4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OECD. (2019). </w:t>
      </w:r>
      <w:r w:rsidRPr="006504A0">
        <w:rPr>
          <w:rFonts w:ascii="Times New Roman" w:eastAsia="Times New Roman" w:hAnsi="Times New Roman" w:cs="Times New Roman"/>
          <w:i/>
          <w:iCs/>
          <w:sz w:val="24"/>
          <w:szCs w:val="24"/>
        </w:rPr>
        <w:t>TALIS 2018 results (Volume I): Teachers and school leaders as lifelong learners</w:t>
      </w:r>
      <w:r w:rsidRPr="006504A0">
        <w:rPr>
          <w:rFonts w:ascii="Times New Roman" w:eastAsia="Times New Roman" w:hAnsi="Times New Roman" w:cs="Times New Roman"/>
          <w:sz w:val="24"/>
          <w:szCs w:val="24"/>
        </w:rPr>
        <w:t xml:space="preserve">. OECD Publishing. </w:t>
      </w:r>
      <w:hyperlink r:id="rId23" w:tgtFrame="_new" w:history="1">
        <w:r w:rsidRPr="006504A0">
          <w:rPr>
            <w:rFonts w:ascii="Times New Roman" w:eastAsia="Times New Roman" w:hAnsi="Times New Roman" w:cs="Times New Roman"/>
            <w:color w:val="0000FF"/>
            <w:sz w:val="24"/>
            <w:szCs w:val="24"/>
            <w:u w:val="single"/>
          </w:rPr>
          <w:t>https://doi.org/10.1787/1d0bc92a-en</w:t>
        </w:r>
      </w:hyperlink>
    </w:p>
    <w:p w14:paraId="05A91BA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Shulman, L. S. (1986). Those who understand: Knowledge growth in teaching. </w:t>
      </w:r>
      <w:r w:rsidRPr="006504A0">
        <w:rPr>
          <w:rFonts w:ascii="Times New Roman" w:eastAsia="Times New Roman" w:hAnsi="Times New Roman" w:cs="Times New Roman"/>
          <w:i/>
          <w:iCs/>
          <w:sz w:val="24"/>
          <w:szCs w:val="24"/>
        </w:rPr>
        <w:t>Educational Researcher, 15</w:t>
      </w:r>
      <w:r w:rsidRPr="006504A0">
        <w:rPr>
          <w:rFonts w:ascii="Times New Roman" w:eastAsia="Times New Roman" w:hAnsi="Times New Roman" w:cs="Times New Roman"/>
          <w:sz w:val="24"/>
          <w:szCs w:val="24"/>
        </w:rPr>
        <w:t xml:space="preserve">(2), 4–14. </w:t>
      </w:r>
      <w:hyperlink r:id="rId24" w:tgtFrame="_new" w:history="1">
        <w:r w:rsidRPr="006504A0">
          <w:rPr>
            <w:rFonts w:ascii="Times New Roman" w:eastAsia="Times New Roman" w:hAnsi="Times New Roman" w:cs="Times New Roman"/>
            <w:color w:val="0000FF"/>
            <w:sz w:val="24"/>
            <w:szCs w:val="24"/>
            <w:u w:val="single"/>
          </w:rPr>
          <w:t>https://doi.org/10.3102/0013189X015002004</w:t>
        </w:r>
      </w:hyperlink>
    </w:p>
    <w:p w14:paraId="4397BA0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Slovin, E. (1960). </w:t>
      </w:r>
      <w:r w:rsidRPr="006504A0">
        <w:rPr>
          <w:rFonts w:ascii="Times New Roman" w:eastAsia="Times New Roman" w:hAnsi="Times New Roman" w:cs="Times New Roman"/>
          <w:i/>
          <w:iCs/>
          <w:sz w:val="24"/>
          <w:szCs w:val="24"/>
        </w:rPr>
        <w:t>Formula for calculating sample size</w:t>
      </w:r>
      <w:r w:rsidRPr="006504A0">
        <w:rPr>
          <w:rFonts w:ascii="Times New Roman" w:eastAsia="Times New Roman" w:hAnsi="Times New Roman" w:cs="Times New Roman"/>
          <w:sz w:val="24"/>
          <w:szCs w:val="24"/>
        </w:rPr>
        <w:t xml:space="preserve"> (Unpublished manuscript).</w:t>
      </w:r>
    </w:p>
    <w:p w14:paraId="58C9F7A8" w14:textId="77777777" w:rsidR="006504A0" w:rsidRPr="006504A0" w:rsidRDefault="006504A0" w:rsidP="006504A0">
      <w:pPr>
        <w:spacing w:after="200" w:line="360" w:lineRule="auto"/>
        <w:jc w:val="both"/>
        <w:rPr>
          <w:rFonts w:ascii="Traditional Arabic" w:eastAsia="Calibri" w:hAnsi="Traditional Arabic" w:cs="Traditional Arabic"/>
          <w:b/>
          <w:bCs/>
          <w:sz w:val="40"/>
          <w:szCs w:val="40"/>
          <w:shd w:val="clear" w:color="auto" w:fill="FFFFFF"/>
          <w:rtl/>
        </w:rPr>
      </w:pPr>
    </w:p>
    <w:p w14:paraId="0739AFE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1CCC9C"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2AE26B45"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39ED7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sectPr w:rsidR="0049674D" w:rsidSect="00395E1F">
      <w:headerReference w:type="even" r:id="rId25"/>
      <w:headerReference w:type="default" r:id="rId26"/>
      <w:footerReference w:type="default" r:id="rId27"/>
      <w:headerReference w:type="first" r:id="rId28"/>
      <w:footerReference w:type="first" r:id="rId2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6-04-03T19:46:00Z" w:initials="DM">
    <w:p w14:paraId="09032A58" w14:textId="77777777" w:rsidR="009F3813" w:rsidRDefault="009F3813" w:rsidP="009F3813">
      <w:pPr>
        <w:pStyle w:val="CommentText"/>
        <w:bidi/>
        <w:jc w:val="right"/>
      </w:pPr>
      <w:r>
        <w:rPr>
          <w:rStyle w:val="CommentReference"/>
        </w:rPr>
        <w:annotationRef/>
      </w:r>
      <w:r>
        <w:rPr>
          <w:rFonts w:hint="eastAsia"/>
          <w:b/>
          <w:bCs/>
          <w:rtl/>
          <w:lang w:bidi="ar-EG"/>
        </w:rPr>
        <w:t>أولاً</w:t>
      </w:r>
      <w:r>
        <w:rPr>
          <w:b/>
          <w:bCs/>
          <w:rtl/>
          <w:lang w:bidi="ar-EG"/>
        </w:rPr>
        <w:t>: الملاحظات العامة على الصياغة والمحتوى</w:t>
      </w:r>
    </w:p>
    <w:p w14:paraId="597C1E53" w14:textId="77777777" w:rsidR="009F3813" w:rsidRDefault="009F3813" w:rsidP="009F3813">
      <w:pPr>
        <w:pStyle w:val="CommentText"/>
        <w:numPr>
          <w:ilvl w:val="0"/>
          <w:numId w:val="24"/>
        </w:numPr>
        <w:bidi/>
        <w:jc w:val="right"/>
      </w:pPr>
      <w:r>
        <w:rPr>
          <w:rFonts w:hint="eastAsia"/>
          <w:b/>
          <w:bCs/>
          <w:rtl/>
          <w:lang w:bidi="ar-EG"/>
        </w:rPr>
        <w:t>وضوح</w:t>
      </w:r>
      <w:r>
        <w:rPr>
          <w:b/>
          <w:bCs/>
          <w:rtl/>
          <w:lang w:bidi="ar-EG"/>
        </w:rPr>
        <w:t xml:space="preserve"> العنوان:</w:t>
      </w:r>
      <w:r>
        <w:t xml:space="preserve"> </w:t>
      </w:r>
    </w:p>
    <w:p w14:paraId="09A44460" w14:textId="77777777" w:rsidR="009F3813" w:rsidRDefault="009F3813" w:rsidP="009F3813">
      <w:pPr>
        <w:pStyle w:val="CommentText"/>
        <w:numPr>
          <w:ilvl w:val="1"/>
          <w:numId w:val="24"/>
        </w:numPr>
        <w:bidi/>
        <w:jc w:val="right"/>
      </w:pPr>
      <w:r>
        <w:rPr>
          <w:rFonts w:hint="eastAsia"/>
          <w:rtl/>
          <w:lang w:bidi="ar-EG"/>
        </w:rPr>
        <w:t>العنوان</w:t>
      </w:r>
      <w:r>
        <w:rPr>
          <w:rtl/>
          <w:lang w:bidi="ar-EG"/>
        </w:rPr>
        <w:t xml:space="preserve"> دقيق ويعكس موضوع الدراسة، لكنه طويل نسبيًا. يمكن اختصاره مع الحفاظ على الدقة البحثية ليصبح:</w:t>
      </w:r>
      <w:r>
        <w:br/>
      </w:r>
      <w:r>
        <w:rPr>
          <w:i/>
          <w:iCs/>
        </w:rPr>
        <w:t>"</w:t>
      </w:r>
      <w:r>
        <w:rPr>
          <w:rFonts w:hint="eastAsia"/>
          <w:i/>
          <w:iCs/>
          <w:rtl/>
          <w:lang w:bidi="ar-EG"/>
        </w:rPr>
        <w:t>أثر</w:t>
      </w:r>
      <w:r>
        <w:rPr>
          <w:i/>
          <w:iCs/>
        </w:rPr>
        <w:t xml:space="preserve"> </w:t>
      </w:r>
      <w:r>
        <w:rPr>
          <w:rFonts w:hint="eastAsia"/>
          <w:i/>
          <w:iCs/>
          <w:rtl/>
          <w:lang w:bidi="ar-EG"/>
        </w:rPr>
        <w:t>برامج</w:t>
      </w:r>
      <w:r>
        <w:rPr>
          <w:i/>
          <w:iCs/>
        </w:rPr>
        <w:t xml:space="preserve"> </w:t>
      </w:r>
      <w:r>
        <w:rPr>
          <w:rFonts w:hint="eastAsia"/>
          <w:i/>
          <w:iCs/>
          <w:rtl/>
          <w:lang w:bidi="ar-EG"/>
        </w:rPr>
        <w:t>التنمية</w:t>
      </w:r>
      <w:r>
        <w:rPr>
          <w:i/>
          <w:iCs/>
        </w:rPr>
        <w:t xml:space="preserve"> </w:t>
      </w:r>
      <w:r>
        <w:rPr>
          <w:rFonts w:hint="eastAsia"/>
          <w:i/>
          <w:iCs/>
          <w:rtl/>
          <w:lang w:bidi="ar-EG"/>
        </w:rPr>
        <w:t>المهنية</w:t>
      </w:r>
      <w:r>
        <w:rPr>
          <w:i/>
          <w:iCs/>
        </w:rPr>
        <w:t xml:space="preserve"> </w:t>
      </w:r>
      <w:r>
        <w:rPr>
          <w:rFonts w:hint="eastAsia"/>
          <w:i/>
          <w:iCs/>
          <w:rtl/>
          <w:lang w:bidi="ar-EG"/>
        </w:rPr>
        <w:t>على</w:t>
      </w:r>
      <w:r>
        <w:rPr>
          <w:i/>
          <w:iCs/>
        </w:rPr>
        <w:t xml:space="preserve"> </w:t>
      </w:r>
      <w:r>
        <w:rPr>
          <w:rFonts w:hint="eastAsia"/>
          <w:i/>
          <w:iCs/>
          <w:rtl/>
          <w:lang w:bidi="ar-EG"/>
        </w:rPr>
        <w:t>كفاءة</w:t>
      </w:r>
      <w:r>
        <w:rPr>
          <w:i/>
          <w:iCs/>
        </w:rPr>
        <w:t xml:space="preserve"> </w:t>
      </w:r>
      <w:r>
        <w:rPr>
          <w:rFonts w:hint="eastAsia"/>
          <w:i/>
          <w:iCs/>
          <w:rtl/>
          <w:lang w:bidi="ar-EG"/>
        </w:rPr>
        <w:t>معلمي</w:t>
      </w:r>
      <w:r>
        <w:rPr>
          <w:i/>
          <w:iCs/>
        </w:rPr>
        <w:t xml:space="preserve"> </w:t>
      </w:r>
      <w:r>
        <w:rPr>
          <w:rFonts w:hint="eastAsia"/>
          <w:i/>
          <w:iCs/>
          <w:rtl/>
          <w:lang w:bidi="ar-EG"/>
        </w:rPr>
        <w:t>المرحلة</w:t>
      </w:r>
      <w:r>
        <w:rPr>
          <w:i/>
          <w:iCs/>
        </w:rPr>
        <w:t xml:space="preserve"> </w:t>
      </w:r>
      <w:r>
        <w:rPr>
          <w:rFonts w:hint="eastAsia"/>
          <w:i/>
          <w:iCs/>
          <w:rtl/>
          <w:lang w:bidi="ar-EG"/>
        </w:rPr>
        <w:t>الابتدائية</w:t>
      </w:r>
      <w:r>
        <w:rPr>
          <w:i/>
          <w:iCs/>
        </w:rPr>
        <w:t xml:space="preserve"> </w:t>
      </w:r>
      <w:r>
        <w:rPr>
          <w:rFonts w:hint="eastAsia"/>
          <w:i/>
          <w:iCs/>
          <w:rtl/>
          <w:lang w:bidi="ar-EG"/>
        </w:rPr>
        <w:t>بمدينة</w:t>
      </w:r>
      <w:r>
        <w:rPr>
          <w:i/>
          <w:iCs/>
        </w:rPr>
        <w:t xml:space="preserve"> </w:t>
      </w:r>
      <w:r>
        <w:rPr>
          <w:rFonts w:hint="eastAsia"/>
          <w:i/>
          <w:iCs/>
          <w:rtl/>
          <w:lang w:bidi="ar-EG"/>
        </w:rPr>
        <w:t>الرياض</w:t>
      </w:r>
      <w:r>
        <w:rPr>
          <w:i/>
          <w:iCs/>
        </w:rPr>
        <w:t xml:space="preserve">: </w:t>
      </w:r>
      <w:r>
        <w:rPr>
          <w:rFonts w:hint="eastAsia"/>
          <w:i/>
          <w:iCs/>
          <w:rtl/>
          <w:lang w:bidi="ar-EG"/>
        </w:rPr>
        <w:t>دراسة</w:t>
      </w:r>
      <w:r>
        <w:rPr>
          <w:i/>
          <w:iCs/>
        </w:rPr>
        <w:t xml:space="preserve"> </w:t>
      </w:r>
      <w:r>
        <w:rPr>
          <w:rFonts w:hint="eastAsia"/>
          <w:i/>
          <w:iCs/>
          <w:rtl/>
          <w:lang w:bidi="ar-EG"/>
        </w:rPr>
        <w:t>ميدانية</w:t>
      </w:r>
      <w:r>
        <w:rPr>
          <w:i/>
          <w:iCs/>
        </w:rPr>
        <w:t xml:space="preserve"> </w:t>
      </w:r>
      <w:r>
        <w:rPr>
          <w:rFonts w:hint="eastAsia"/>
          <w:i/>
          <w:iCs/>
          <w:rtl/>
          <w:lang w:bidi="ar-EG"/>
        </w:rPr>
        <w:t>تحليلية</w:t>
      </w:r>
      <w:r>
        <w:rPr>
          <w:i/>
          <w:iCs/>
        </w:rPr>
        <w:t>"</w:t>
      </w:r>
      <w:r>
        <w:t xml:space="preserve"> </w:t>
      </w:r>
    </w:p>
    <w:p w14:paraId="7DDFD1C4" w14:textId="77777777" w:rsidR="009F3813" w:rsidRDefault="009F3813" w:rsidP="009F3813">
      <w:pPr>
        <w:pStyle w:val="CommentText"/>
        <w:numPr>
          <w:ilvl w:val="0"/>
          <w:numId w:val="24"/>
        </w:numPr>
        <w:bidi/>
        <w:jc w:val="right"/>
      </w:pPr>
      <w:r>
        <w:rPr>
          <w:rFonts w:hint="eastAsia"/>
          <w:b/>
          <w:bCs/>
          <w:rtl/>
          <w:lang w:bidi="ar-EG"/>
        </w:rPr>
        <w:t>تسلسل</w:t>
      </w:r>
      <w:r>
        <w:rPr>
          <w:b/>
          <w:bCs/>
          <w:rtl/>
          <w:lang w:bidi="ar-EG"/>
        </w:rPr>
        <w:t xml:space="preserve"> العرض:</w:t>
      </w:r>
      <w:r>
        <w:t xml:space="preserve"> </w:t>
      </w:r>
    </w:p>
    <w:p w14:paraId="0E7F4391" w14:textId="77777777" w:rsidR="009F3813" w:rsidRDefault="009F3813" w:rsidP="009F3813">
      <w:pPr>
        <w:pStyle w:val="CommentText"/>
        <w:numPr>
          <w:ilvl w:val="1"/>
          <w:numId w:val="24"/>
        </w:numPr>
        <w:bidi/>
        <w:jc w:val="right"/>
      </w:pPr>
      <w:r>
        <w:rPr>
          <w:rFonts w:hint="eastAsia"/>
          <w:rtl/>
          <w:lang w:bidi="ar-EG"/>
        </w:rPr>
        <w:t>تم</w:t>
      </w:r>
      <w:r>
        <w:rPr>
          <w:rtl/>
          <w:lang w:bidi="ar-EG"/>
        </w:rPr>
        <w:t xml:space="preserve"> عرض المقدمة، مشكلة الدراسة، أهميتها، أهدافها، فرضياتها، والمصطلحات بشكل منظم، وهذا جيد.</w:t>
      </w:r>
      <w:r>
        <w:t xml:space="preserve"> </w:t>
      </w:r>
    </w:p>
    <w:p w14:paraId="434FD2CA" w14:textId="77777777" w:rsidR="009F3813" w:rsidRDefault="009F3813" w:rsidP="009F3813">
      <w:pPr>
        <w:pStyle w:val="CommentText"/>
        <w:numPr>
          <w:ilvl w:val="1"/>
          <w:numId w:val="24"/>
        </w:numPr>
        <w:bidi/>
        <w:jc w:val="right"/>
      </w:pPr>
      <w:r>
        <w:rPr>
          <w:rFonts w:hint="eastAsia"/>
          <w:rtl/>
          <w:lang w:bidi="ar-EG"/>
        </w:rPr>
        <w:t>يمكن</w:t>
      </w:r>
      <w:r>
        <w:rPr>
          <w:rtl/>
          <w:lang w:bidi="ar-EG"/>
        </w:rPr>
        <w:t xml:space="preserve"> إضافة</w:t>
      </w:r>
      <w:r>
        <w:t xml:space="preserve"> </w:t>
      </w:r>
      <w:r>
        <w:rPr>
          <w:rFonts w:hint="eastAsia"/>
          <w:b/>
          <w:bCs/>
          <w:rtl/>
          <w:lang w:bidi="ar-EG"/>
        </w:rPr>
        <w:t>فقرة</w:t>
      </w:r>
      <w:r>
        <w:rPr>
          <w:b/>
          <w:bCs/>
          <w:rtl/>
          <w:lang w:bidi="ar-EG"/>
        </w:rPr>
        <w:t xml:space="preserve"> تمهيدية قصيرة قبل "مشكلة الدراسة"</w:t>
      </w:r>
      <w:r>
        <w:t xml:space="preserve"> </w:t>
      </w:r>
      <w:r>
        <w:rPr>
          <w:rFonts w:hint="eastAsia"/>
          <w:rtl/>
          <w:lang w:bidi="ar-EG"/>
        </w:rPr>
        <w:t>توضح</w:t>
      </w:r>
      <w:r>
        <w:rPr>
          <w:rtl/>
          <w:lang w:bidi="ar-EG"/>
        </w:rPr>
        <w:t xml:space="preserve"> السياق العام للمرحلة الابتدائية وأهمية المعلم كمحرك للتعليم.</w:t>
      </w:r>
      <w:r>
        <w:t xml:space="preserve"> </w:t>
      </w:r>
    </w:p>
    <w:p w14:paraId="6856634D" w14:textId="77777777" w:rsidR="009F3813" w:rsidRDefault="009F3813" w:rsidP="009F3813">
      <w:pPr>
        <w:pStyle w:val="CommentText"/>
        <w:numPr>
          <w:ilvl w:val="0"/>
          <w:numId w:val="24"/>
        </w:numPr>
        <w:bidi/>
        <w:jc w:val="right"/>
      </w:pPr>
      <w:r>
        <w:rPr>
          <w:rFonts w:hint="eastAsia"/>
          <w:b/>
          <w:bCs/>
          <w:rtl/>
          <w:lang w:bidi="ar-EG"/>
        </w:rPr>
        <w:t>اللغة</w:t>
      </w:r>
      <w:r>
        <w:rPr>
          <w:b/>
          <w:bCs/>
          <w:rtl/>
          <w:lang w:bidi="ar-EG"/>
        </w:rPr>
        <w:t xml:space="preserve"> والصياغة:</w:t>
      </w:r>
      <w:r>
        <w:t xml:space="preserve"> </w:t>
      </w:r>
    </w:p>
    <w:p w14:paraId="552C6B98" w14:textId="77777777" w:rsidR="009F3813" w:rsidRDefault="009F3813" w:rsidP="009F3813">
      <w:pPr>
        <w:pStyle w:val="CommentText"/>
        <w:numPr>
          <w:ilvl w:val="1"/>
          <w:numId w:val="24"/>
        </w:numPr>
        <w:bidi/>
        <w:jc w:val="right"/>
      </w:pPr>
      <w:r>
        <w:rPr>
          <w:rFonts w:hint="eastAsia"/>
          <w:rtl/>
          <w:lang w:bidi="ar-EG"/>
        </w:rPr>
        <w:t>النص</w:t>
      </w:r>
      <w:r>
        <w:rPr>
          <w:rtl/>
          <w:lang w:bidi="ar-EG"/>
        </w:rPr>
        <w:t xml:space="preserve"> مكتوب بلغة أكاديمية جيدة، لكنه يحتوي على بعض الجمل الطويلة والمعقدة التي قد تصعب القراءة. يمكن تقسيمها إلى جمل أقصر وأكثر مباشرة.</w:t>
      </w:r>
      <w:r>
        <w:t xml:space="preserve"> </w:t>
      </w:r>
    </w:p>
    <w:p w14:paraId="24289244" w14:textId="77777777" w:rsidR="009F3813" w:rsidRDefault="009F3813" w:rsidP="009F3813">
      <w:pPr>
        <w:pStyle w:val="CommentText"/>
        <w:numPr>
          <w:ilvl w:val="1"/>
          <w:numId w:val="24"/>
        </w:numPr>
        <w:bidi/>
        <w:jc w:val="right"/>
      </w:pPr>
      <w:r>
        <w:rPr>
          <w:rFonts w:hint="eastAsia"/>
          <w:rtl/>
          <w:lang w:bidi="ar-EG"/>
        </w:rPr>
        <w:t>بعض</w:t>
      </w:r>
      <w:r>
        <w:rPr>
          <w:rtl/>
          <w:lang w:bidi="ar-EG"/>
        </w:rPr>
        <w:t xml:space="preserve"> المصطلحات باللغة الإنجليزية دون ترجمة واضحة في النص (مثل </w:t>
      </w:r>
      <w:r>
        <w:t>Ph.D. – Analytical Field Study</w:t>
      </w:r>
      <w:r>
        <w:rPr>
          <w:rtl/>
          <w:lang w:bidi="ar-EG"/>
        </w:rPr>
        <w:t>). يفضل توفير ترجمة عربية مباشرة عند أول ذكر لها.</w:t>
      </w:r>
      <w:r>
        <w:t xml:space="preserve"> </w:t>
      </w:r>
    </w:p>
    <w:p w14:paraId="438011B2" w14:textId="77777777" w:rsidR="009F3813" w:rsidRDefault="009F3813" w:rsidP="009F3813">
      <w:pPr>
        <w:pStyle w:val="CommentText"/>
        <w:numPr>
          <w:ilvl w:val="0"/>
          <w:numId w:val="24"/>
        </w:numPr>
        <w:bidi/>
        <w:jc w:val="right"/>
      </w:pPr>
      <w:r>
        <w:rPr>
          <w:rFonts w:hint="eastAsia"/>
          <w:b/>
          <w:bCs/>
          <w:rtl/>
          <w:lang w:bidi="ar-EG"/>
        </w:rPr>
        <w:t>التكرار</w:t>
      </w:r>
      <w:r>
        <w:rPr>
          <w:b/>
          <w:bCs/>
          <w:rtl/>
          <w:lang w:bidi="ar-EG"/>
        </w:rPr>
        <w:t>:</w:t>
      </w:r>
      <w:r>
        <w:t xml:space="preserve"> </w:t>
      </w:r>
    </w:p>
    <w:p w14:paraId="2333AF16" w14:textId="77777777" w:rsidR="009F3813" w:rsidRDefault="009F3813" w:rsidP="009F3813">
      <w:pPr>
        <w:pStyle w:val="CommentText"/>
        <w:numPr>
          <w:ilvl w:val="1"/>
          <w:numId w:val="24"/>
        </w:numPr>
        <w:bidi/>
        <w:jc w:val="right"/>
      </w:pPr>
      <w:r>
        <w:rPr>
          <w:rFonts w:hint="eastAsia"/>
          <w:rtl/>
          <w:lang w:bidi="ar-EG"/>
        </w:rPr>
        <w:t>بعض</w:t>
      </w:r>
      <w:r>
        <w:rPr>
          <w:rtl/>
          <w:lang w:bidi="ar-EG"/>
        </w:rPr>
        <w:t xml:space="preserve"> النقاط تتكرر بين المقدمة وأهمية الدراسة مثل الحاجة لتطوير الكفاءة التدريسية وربطها برؤية 2030. يمكن دمجها لتقليل التكرار وزيادة التركيز على الجديد في كل فقرة.</w:t>
      </w:r>
      <w:r>
        <w:t xml:space="preserve"> </w:t>
      </w:r>
    </w:p>
    <w:p w14:paraId="10D0952B" w14:textId="77777777" w:rsidR="009F3813" w:rsidRDefault="009F3813" w:rsidP="009F3813">
      <w:pPr>
        <w:pStyle w:val="CommentText"/>
        <w:bidi/>
        <w:jc w:val="right"/>
      </w:pPr>
      <w:r>
        <w:rPr>
          <w:rFonts w:hint="eastAsia"/>
          <w:b/>
          <w:bCs/>
          <w:rtl/>
          <w:lang w:bidi="ar-EG"/>
        </w:rPr>
        <w:t>ثانياً</w:t>
      </w:r>
      <w:r>
        <w:rPr>
          <w:b/>
          <w:bCs/>
          <w:rtl/>
          <w:lang w:bidi="ar-EG"/>
        </w:rPr>
        <w:t>: الملاحظات على المحتوى البحثي</w:t>
      </w:r>
    </w:p>
    <w:p w14:paraId="2CF7529D" w14:textId="77777777" w:rsidR="009F3813" w:rsidRDefault="009F3813" w:rsidP="009F3813">
      <w:pPr>
        <w:pStyle w:val="CommentText"/>
        <w:numPr>
          <w:ilvl w:val="0"/>
          <w:numId w:val="25"/>
        </w:numPr>
        <w:bidi/>
        <w:jc w:val="right"/>
      </w:pPr>
      <w:r>
        <w:rPr>
          <w:rFonts w:hint="eastAsia"/>
          <w:b/>
          <w:bCs/>
          <w:rtl/>
          <w:lang w:bidi="ar-EG"/>
        </w:rPr>
        <w:t>مشكلة</w:t>
      </w:r>
      <w:r>
        <w:rPr>
          <w:b/>
          <w:bCs/>
          <w:rtl/>
          <w:lang w:bidi="ar-EG"/>
        </w:rPr>
        <w:t xml:space="preserve"> الدراسة وتساؤلاتها:</w:t>
      </w:r>
      <w:r>
        <w:t xml:space="preserve"> </w:t>
      </w:r>
    </w:p>
    <w:p w14:paraId="27290929" w14:textId="77777777" w:rsidR="009F3813" w:rsidRDefault="009F3813" w:rsidP="009F3813">
      <w:pPr>
        <w:pStyle w:val="CommentText"/>
        <w:numPr>
          <w:ilvl w:val="1"/>
          <w:numId w:val="25"/>
        </w:numPr>
        <w:bidi/>
        <w:jc w:val="right"/>
      </w:pPr>
      <w:r>
        <w:rPr>
          <w:rFonts w:hint="eastAsia"/>
          <w:rtl/>
          <w:lang w:bidi="ar-EG"/>
        </w:rPr>
        <w:t>المشكلة</w:t>
      </w:r>
      <w:r>
        <w:rPr>
          <w:rtl/>
          <w:lang w:bidi="ar-EG"/>
        </w:rPr>
        <w:t xml:space="preserve"> واضحة ومحددة، وتعكس فجوة البحث بشكل جيد.</w:t>
      </w:r>
      <w:r>
        <w:t xml:space="preserve"> </w:t>
      </w:r>
    </w:p>
    <w:p w14:paraId="6C511F3E" w14:textId="77777777" w:rsidR="009F3813" w:rsidRDefault="009F3813" w:rsidP="009F3813">
      <w:pPr>
        <w:pStyle w:val="CommentText"/>
        <w:numPr>
          <w:ilvl w:val="1"/>
          <w:numId w:val="25"/>
        </w:numPr>
        <w:bidi/>
        <w:jc w:val="right"/>
      </w:pPr>
      <w:r>
        <w:rPr>
          <w:rFonts w:hint="eastAsia"/>
          <w:rtl/>
          <w:lang w:bidi="ar-EG"/>
        </w:rPr>
        <w:t>يمكن</w:t>
      </w:r>
      <w:r>
        <w:rPr>
          <w:rtl/>
          <w:lang w:bidi="ar-EG"/>
        </w:rPr>
        <w:t xml:space="preserve"> تعزيزها بإدراج</w:t>
      </w:r>
      <w:r>
        <w:t xml:space="preserve"> </w:t>
      </w:r>
      <w:r>
        <w:rPr>
          <w:rFonts w:hint="eastAsia"/>
          <w:b/>
          <w:bCs/>
          <w:rtl/>
          <w:lang w:bidi="ar-EG"/>
        </w:rPr>
        <w:t>بيانات</w:t>
      </w:r>
      <w:r>
        <w:rPr>
          <w:b/>
          <w:bCs/>
          <w:rtl/>
          <w:lang w:bidi="ar-EG"/>
        </w:rPr>
        <w:t xml:space="preserve"> ميدانية أولية أو إحصاءات سابقة</w:t>
      </w:r>
      <w:r>
        <w:t xml:space="preserve"> </w:t>
      </w:r>
      <w:r>
        <w:rPr>
          <w:rFonts w:hint="eastAsia"/>
          <w:rtl/>
          <w:lang w:bidi="ar-EG"/>
        </w:rPr>
        <w:t>عن</w:t>
      </w:r>
      <w:r>
        <w:rPr>
          <w:rtl/>
          <w:lang w:bidi="ar-EG"/>
        </w:rPr>
        <w:t xml:space="preserve"> برامج التنمية المهنية بالرياض لإعطاء مصداقية أكبر لمشكلة البحث.</w:t>
      </w:r>
      <w:r>
        <w:t xml:space="preserve"> </w:t>
      </w:r>
    </w:p>
    <w:p w14:paraId="7F2873F2" w14:textId="77777777" w:rsidR="009F3813" w:rsidRDefault="009F3813" w:rsidP="009F3813">
      <w:pPr>
        <w:pStyle w:val="CommentText"/>
        <w:numPr>
          <w:ilvl w:val="0"/>
          <w:numId w:val="25"/>
        </w:numPr>
        <w:bidi/>
        <w:jc w:val="right"/>
      </w:pPr>
      <w:r>
        <w:rPr>
          <w:rFonts w:hint="eastAsia"/>
          <w:b/>
          <w:bCs/>
          <w:rtl/>
          <w:lang w:bidi="ar-EG"/>
        </w:rPr>
        <w:t>أهمية</w:t>
      </w:r>
      <w:r>
        <w:rPr>
          <w:b/>
          <w:bCs/>
          <w:rtl/>
          <w:lang w:bidi="ar-EG"/>
        </w:rPr>
        <w:t xml:space="preserve"> الدراسة:</w:t>
      </w:r>
      <w:r>
        <w:t xml:space="preserve"> </w:t>
      </w:r>
    </w:p>
    <w:p w14:paraId="4DF516CE" w14:textId="77777777" w:rsidR="009F3813" w:rsidRDefault="009F3813" w:rsidP="009F3813">
      <w:pPr>
        <w:pStyle w:val="CommentText"/>
        <w:numPr>
          <w:ilvl w:val="1"/>
          <w:numId w:val="25"/>
        </w:numPr>
        <w:bidi/>
        <w:jc w:val="right"/>
      </w:pPr>
      <w:r>
        <w:rPr>
          <w:rFonts w:hint="eastAsia"/>
          <w:rtl/>
          <w:lang w:bidi="ar-EG"/>
        </w:rPr>
        <w:t>تم</w:t>
      </w:r>
      <w:r>
        <w:rPr>
          <w:rtl/>
          <w:lang w:bidi="ar-EG"/>
        </w:rPr>
        <w:t xml:space="preserve"> تقسيمها إلى نظرية وتطبيقية، وهو مناسب.</w:t>
      </w:r>
      <w:r>
        <w:t xml:space="preserve"> </w:t>
      </w:r>
    </w:p>
    <w:p w14:paraId="4E78BB78" w14:textId="77777777" w:rsidR="009F3813" w:rsidRDefault="009F3813" w:rsidP="009F3813">
      <w:pPr>
        <w:pStyle w:val="CommentText"/>
        <w:numPr>
          <w:ilvl w:val="1"/>
          <w:numId w:val="25"/>
        </w:numPr>
        <w:bidi/>
        <w:jc w:val="right"/>
      </w:pPr>
      <w:r>
        <w:rPr>
          <w:rFonts w:hint="eastAsia"/>
          <w:rtl/>
          <w:lang w:bidi="ar-EG"/>
        </w:rPr>
        <w:t>يمكن</w:t>
      </w:r>
      <w:r>
        <w:rPr>
          <w:rtl/>
          <w:lang w:bidi="ar-EG"/>
        </w:rPr>
        <w:t xml:space="preserve"> تعزيز الجانب النظري بالربط المباشر بين الفجوة البحثية الحالية والأطر النظرية المستخدمة (مثل العلاقة بين التنمية المهنية والنمو المهني المستمر).</w:t>
      </w:r>
      <w:r>
        <w:t xml:space="preserve"> </w:t>
      </w:r>
    </w:p>
    <w:p w14:paraId="08BCD43F" w14:textId="77777777" w:rsidR="009F3813" w:rsidRDefault="009F3813" w:rsidP="009F3813">
      <w:pPr>
        <w:pStyle w:val="CommentText"/>
        <w:numPr>
          <w:ilvl w:val="0"/>
          <w:numId w:val="25"/>
        </w:numPr>
        <w:bidi/>
        <w:jc w:val="right"/>
      </w:pPr>
      <w:r>
        <w:rPr>
          <w:rFonts w:hint="eastAsia"/>
          <w:b/>
          <w:bCs/>
          <w:rtl/>
          <w:lang w:bidi="ar-EG"/>
        </w:rPr>
        <w:t>أهداف</w:t>
      </w:r>
      <w:r>
        <w:rPr>
          <w:b/>
          <w:bCs/>
          <w:rtl/>
          <w:lang w:bidi="ar-EG"/>
        </w:rPr>
        <w:t xml:space="preserve"> الدراسة:</w:t>
      </w:r>
      <w:r>
        <w:t xml:space="preserve"> </w:t>
      </w:r>
    </w:p>
    <w:p w14:paraId="4F272CB5" w14:textId="77777777" w:rsidR="009F3813" w:rsidRDefault="009F3813" w:rsidP="009F3813">
      <w:pPr>
        <w:pStyle w:val="CommentText"/>
        <w:numPr>
          <w:ilvl w:val="1"/>
          <w:numId w:val="25"/>
        </w:numPr>
        <w:bidi/>
        <w:jc w:val="right"/>
      </w:pPr>
      <w:r>
        <w:rPr>
          <w:rFonts w:hint="eastAsia"/>
          <w:rtl/>
          <w:lang w:bidi="ar-EG"/>
        </w:rPr>
        <w:t>واضحة</w:t>
      </w:r>
      <w:r>
        <w:rPr>
          <w:rtl/>
          <w:lang w:bidi="ar-EG"/>
        </w:rPr>
        <w:t xml:space="preserve"> ومحددة، مع تفصيل للأهداف الفرعية.</w:t>
      </w:r>
      <w:r>
        <w:t xml:space="preserve"> </w:t>
      </w:r>
    </w:p>
    <w:p w14:paraId="2CEB01F5" w14:textId="77777777" w:rsidR="009F3813" w:rsidRDefault="009F3813" w:rsidP="009F3813">
      <w:pPr>
        <w:pStyle w:val="CommentText"/>
        <w:numPr>
          <w:ilvl w:val="1"/>
          <w:numId w:val="25"/>
        </w:numPr>
        <w:bidi/>
        <w:jc w:val="right"/>
      </w:pPr>
      <w:r>
        <w:rPr>
          <w:rFonts w:hint="eastAsia"/>
          <w:rtl/>
          <w:lang w:bidi="ar-EG"/>
        </w:rPr>
        <w:t>يمكن</w:t>
      </w:r>
      <w:r>
        <w:rPr>
          <w:rtl/>
          <w:lang w:bidi="ar-EG"/>
        </w:rPr>
        <w:t xml:space="preserve"> تحسين صياغة الهدف الرئيسي بحيث يكون</w:t>
      </w:r>
      <w:r>
        <w:t xml:space="preserve"> </w:t>
      </w:r>
      <w:r>
        <w:rPr>
          <w:rFonts w:hint="eastAsia"/>
          <w:b/>
          <w:bCs/>
          <w:rtl/>
          <w:lang w:bidi="ar-EG"/>
        </w:rPr>
        <w:t>قابلًا</w:t>
      </w:r>
      <w:r>
        <w:rPr>
          <w:b/>
          <w:bCs/>
          <w:rtl/>
          <w:lang w:bidi="ar-EG"/>
        </w:rPr>
        <w:t xml:space="preserve"> للقياس الكمي والنوعي</w:t>
      </w:r>
      <w:r>
        <w:t xml:space="preserve"> </w:t>
      </w:r>
      <w:r>
        <w:rPr>
          <w:rFonts w:hint="eastAsia"/>
          <w:rtl/>
          <w:lang w:bidi="ar-EG"/>
        </w:rPr>
        <w:t>بشكل</w:t>
      </w:r>
      <w:r>
        <w:rPr>
          <w:rtl/>
          <w:lang w:bidi="ar-EG"/>
        </w:rPr>
        <w:t xml:space="preserve"> مباشر، مثل: "قياس أثر برامج التنمية المهنية على الكفاءة التدريسية بأبعادها الأربعة".</w:t>
      </w:r>
      <w:r>
        <w:t xml:space="preserve"> </w:t>
      </w:r>
    </w:p>
    <w:p w14:paraId="4EB6E48D" w14:textId="77777777" w:rsidR="009F3813" w:rsidRDefault="009F3813" w:rsidP="009F3813">
      <w:pPr>
        <w:pStyle w:val="CommentText"/>
        <w:numPr>
          <w:ilvl w:val="0"/>
          <w:numId w:val="25"/>
        </w:numPr>
        <w:bidi/>
        <w:jc w:val="right"/>
      </w:pPr>
      <w:r>
        <w:rPr>
          <w:rFonts w:hint="eastAsia"/>
          <w:b/>
          <w:bCs/>
          <w:rtl/>
          <w:lang w:bidi="ar-EG"/>
        </w:rPr>
        <w:t>فرضيات</w:t>
      </w:r>
      <w:r>
        <w:rPr>
          <w:b/>
          <w:bCs/>
          <w:rtl/>
          <w:lang w:bidi="ar-EG"/>
        </w:rPr>
        <w:t xml:space="preserve"> الدراسة:</w:t>
      </w:r>
      <w:r>
        <w:t xml:space="preserve"> </w:t>
      </w:r>
    </w:p>
    <w:p w14:paraId="596AD92D" w14:textId="77777777" w:rsidR="009F3813" w:rsidRDefault="009F3813" w:rsidP="009F3813">
      <w:pPr>
        <w:pStyle w:val="CommentText"/>
        <w:numPr>
          <w:ilvl w:val="1"/>
          <w:numId w:val="25"/>
        </w:numPr>
        <w:bidi/>
        <w:jc w:val="right"/>
      </w:pPr>
      <w:r>
        <w:rPr>
          <w:rFonts w:hint="eastAsia"/>
          <w:rtl/>
          <w:lang w:bidi="ar-EG"/>
        </w:rPr>
        <w:t>شاملة</w:t>
      </w:r>
      <w:r>
        <w:rPr>
          <w:rtl/>
          <w:lang w:bidi="ar-EG"/>
        </w:rPr>
        <w:t xml:space="preserve"> ومبنية على أدبيات محلية ودولية، وهذا جيد جدًا.</w:t>
      </w:r>
      <w:r>
        <w:t xml:space="preserve"> </w:t>
      </w:r>
    </w:p>
    <w:p w14:paraId="731A7906" w14:textId="77777777" w:rsidR="009F3813" w:rsidRDefault="009F3813" w:rsidP="009F3813">
      <w:pPr>
        <w:pStyle w:val="CommentText"/>
        <w:numPr>
          <w:ilvl w:val="1"/>
          <w:numId w:val="25"/>
        </w:numPr>
        <w:bidi/>
        <w:jc w:val="right"/>
      </w:pPr>
      <w:r>
        <w:rPr>
          <w:rFonts w:hint="eastAsia"/>
          <w:rtl/>
          <w:lang w:bidi="ar-EG"/>
        </w:rPr>
        <w:t>يمكن</w:t>
      </w:r>
      <w:r>
        <w:rPr>
          <w:rtl/>
          <w:lang w:bidi="ar-EG"/>
        </w:rPr>
        <w:t xml:space="preserve"> إضافة</w:t>
      </w:r>
      <w:r>
        <w:t xml:space="preserve"> </w:t>
      </w:r>
      <w:r>
        <w:rPr>
          <w:rFonts w:hint="eastAsia"/>
          <w:b/>
          <w:bCs/>
          <w:rtl/>
          <w:lang w:bidi="ar-EG"/>
        </w:rPr>
        <w:t>فرضية</w:t>
      </w:r>
      <w:r>
        <w:rPr>
          <w:b/>
          <w:bCs/>
          <w:rtl/>
          <w:lang w:bidi="ar-EG"/>
        </w:rPr>
        <w:t xml:space="preserve"> حول التأثير التفاعلي للمتغيرات الديموغرافية</w:t>
      </w:r>
      <w:r>
        <w:t xml:space="preserve"> </w:t>
      </w:r>
      <w:r>
        <w:rPr>
          <w:rFonts w:hint="eastAsia"/>
          <w:rtl/>
          <w:lang w:bidi="ar-EG"/>
        </w:rPr>
        <w:t>مع</w:t>
      </w:r>
      <w:r>
        <w:rPr>
          <w:rtl/>
          <w:lang w:bidi="ar-EG"/>
        </w:rPr>
        <w:t xml:space="preserve"> برامج التنمية المهنية (مثلاً: "هل يؤثر التفاعل بين المؤهل والخبرة على استفادة المعلم من البرامج؟").</w:t>
      </w:r>
      <w:r>
        <w:t xml:space="preserve"> </w:t>
      </w:r>
    </w:p>
    <w:p w14:paraId="59A1C7AD" w14:textId="77777777" w:rsidR="009F3813" w:rsidRDefault="009F3813" w:rsidP="009F3813">
      <w:pPr>
        <w:pStyle w:val="CommentText"/>
        <w:numPr>
          <w:ilvl w:val="0"/>
          <w:numId w:val="25"/>
        </w:numPr>
        <w:bidi/>
        <w:jc w:val="right"/>
      </w:pPr>
      <w:r>
        <w:rPr>
          <w:rFonts w:hint="eastAsia"/>
          <w:b/>
          <w:bCs/>
          <w:rtl/>
          <w:lang w:bidi="ar-EG"/>
        </w:rPr>
        <w:t>مصطلحات</w:t>
      </w:r>
      <w:r>
        <w:rPr>
          <w:b/>
          <w:bCs/>
          <w:rtl/>
          <w:lang w:bidi="ar-EG"/>
        </w:rPr>
        <w:t xml:space="preserve"> الدراسة:</w:t>
      </w:r>
      <w:r>
        <w:t xml:space="preserve"> </w:t>
      </w:r>
    </w:p>
    <w:p w14:paraId="2E76124A" w14:textId="77777777" w:rsidR="009F3813" w:rsidRDefault="009F3813" w:rsidP="009F3813">
      <w:pPr>
        <w:pStyle w:val="CommentText"/>
        <w:numPr>
          <w:ilvl w:val="1"/>
          <w:numId w:val="25"/>
        </w:numPr>
        <w:bidi/>
        <w:jc w:val="right"/>
      </w:pPr>
      <w:r>
        <w:rPr>
          <w:rFonts w:hint="eastAsia"/>
          <w:rtl/>
          <w:lang w:bidi="ar-EG"/>
        </w:rPr>
        <w:t>تعريف</w:t>
      </w:r>
      <w:r>
        <w:rPr>
          <w:rtl/>
          <w:lang w:bidi="ar-EG"/>
        </w:rPr>
        <w:t xml:space="preserve"> المصطلحات شامل ومنظم حسب الفئات (برامج، المعلم، القياس، الدراسة الميدانية).</w:t>
      </w:r>
      <w:r>
        <w:t xml:space="preserve"> </w:t>
      </w:r>
    </w:p>
    <w:p w14:paraId="02A85D94" w14:textId="77777777" w:rsidR="009F3813" w:rsidRDefault="009F3813" w:rsidP="009F3813">
      <w:pPr>
        <w:pStyle w:val="CommentText"/>
        <w:numPr>
          <w:ilvl w:val="1"/>
          <w:numId w:val="25"/>
        </w:numPr>
        <w:bidi/>
        <w:jc w:val="right"/>
      </w:pPr>
      <w:r>
        <w:rPr>
          <w:rFonts w:hint="eastAsia"/>
          <w:rtl/>
          <w:lang w:bidi="ar-EG"/>
        </w:rPr>
        <w:t>يُنصح</w:t>
      </w:r>
      <w:r>
        <w:rPr>
          <w:rtl/>
          <w:lang w:bidi="ar-EG"/>
        </w:rPr>
        <w:t xml:space="preserve"> بإضافة</w:t>
      </w:r>
      <w:r>
        <w:t xml:space="preserve"> </w:t>
      </w:r>
      <w:r>
        <w:rPr>
          <w:rFonts w:hint="eastAsia"/>
          <w:b/>
          <w:bCs/>
          <w:rtl/>
          <w:lang w:bidi="ar-EG"/>
        </w:rPr>
        <w:t>المصطلحات</w:t>
      </w:r>
      <w:r>
        <w:rPr>
          <w:b/>
          <w:bCs/>
          <w:rtl/>
          <w:lang w:bidi="ar-EG"/>
        </w:rPr>
        <w:t xml:space="preserve"> المتعلقة بالمنهجية</w:t>
      </w:r>
      <w:r>
        <w:t xml:space="preserve"> </w:t>
      </w:r>
      <w:r>
        <w:rPr>
          <w:rFonts w:hint="eastAsia"/>
          <w:rtl/>
          <w:lang w:bidi="ar-EG"/>
        </w:rPr>
        <w:t>مثل</w:t>
      </w:r>
      <w:r>
        <w:rPr>
          <w:rtl/>
          <w:lang w:bidi="ar-EG"/>
        </w:rPr>
        <w:t>: "أداة القياس، العينة، التحليل الإحصائي"، لتوضيح الإجراءات البحثية الميدانية.</w:t>
      </w:r>
      <w:r>
        <w:t xml:space="preserve"> </w:t>
      </w:r>
    </w:p>
    <w:p w14:paraId="101AAF31" w14:textId="77777777" w:rsidR="009F3813" w:rsidRDefault="009F3813" w:rsidP="009F3813">
      <w:pPr>
        <w:pStyle w:val="CommentText"/>
        <w:numPr>
          <w:ilvl w:val="0"/>
          <w:numId w:val="25"/>
        </w:numPr>
        <w:bidi/>
        <w:jc w:val="right"/>
      </w:pPr>
      <w:r>
        <w:rPr>
          <w:rFonts w:hint="eastAsia"/>
          <w:b/>
          <w:bCs/>
          <w:rtl/>
          <w:lang w:bidi="ar-EG"/>
        </w:rPr>
        <w:t>النموذج</w:t>
      </w:r>
      <w:r>
        <w:rPr>
          <w:b/>
          <w:bCs/>
          <w:rtl/>
          <w:lang w:bidi="ar-EG"/>
        </w:rPr>
        <w:t xml:space="preserve"> المفاهيمي:</w:t>
      </w:r>
      <w:r>
        <w:t xml:space="preserve"> </w:t>
      </w:r>
    </w:p>
    <w:p w14:paraId="6ABF95A9" w14:textId="77777777" w:rsidR="009F3813" w:rsidRDefault="009F3813" w:rsidP="009F3813">
      <w:pPr>
        <w:pStyle w:val="CommentText"/>
        <w:numPr>
          <w:ilvl w:val="1"/>
          <w:numId w:val="25"/>
        </w:numPr>
        <w:bidi/>
        <w:jc w:val="right"/>
      </w:pPr>
      <w:r>
        <w:rPr>
          <w:rFonts w:hint="eastAsia"/>
          <w:rtl/>
          <w:lang w:bidi="ar-EG"/>
        </w:rPr>
        <w:t>النموذج</w:t>
      </w:r>
      <w:r>
        <w:rPr>
          <w:rtl/>
          <w:lang w:bidi="ar-EG"/>
        </w:rPr>
        <w:t xml:space="preserve"> واضح ويحدد المتغيرات المستقلة والتابعة والمتغيرات الديموغرافية.</w:t>
      </w:r>
      <w:r>
        <w:t xml:space="preserve"> </w:t>
      </w:r>
    </w:p>
    <w:p w14:paraId="52DD6157" w14:textId="77777777" w:rsidR="009F3813" w:rsidRDefault="009F3813" w:rsidP="009F3813">
      <w:pPr>
        <w:pStyle w:val="CommentText"/>
        <w:numPr>
          <w:ilvl w:val="1"/>
          <w:numId w:val="25"/>
        </w:numPr>
        <w:bidi/>
        <w:jc w:val="right"/>
      </w:pPr>
      <w:r>
        <w:rPr>
          <w:rFonts w:hint="eastAsia"/>
          <w:rtl/>
          <w:lang w:bidi="ar-EG"/>
        </w:rPr>
        <w:t>يمكن</w:t>
      </w:r>
      <w:r>
        <w:rPr>
          <w:rtl/>
          <w:lang w:bidi="ar-EG"/>
        </w:rPr>
        <w:t xml:space="preserve"> تعزيز الرسوم البيانية أو إضافة</w:t>
      </w:r>
      <w:r>
        <w:t xml:space="preserve"> </w:t>
      </w:r>
      <w:r>
        <w:rPr>
          <w:rFonts w:hint="eastAsia"/>
          <w:b/>
          <w:bCs/>
          <w:rtl/>
          <w:lang w:bidi="ar-EG"/>
        </w:rPr>
        <w:t>أمثلة</w:t>
      </w:r>
      <w:r>
        <w:rPr>
          <w:b/>
          <w:bCs/>
          <w:rtl/>
          <w:lang w:bidi="ar-EG"/>
        </w:rPr>
        <w:t xml:space="preserve"> توضيحية للعلاقات بين الأبعاد الأربعة للكفاءة التدريسية وبرامج التنمية المهنية</w:t>
      </w:r>
      <w:r>
        <w:t xml:space="preserve">. </w:t>
      </w:r>
    </w:p>
    <w:p w14:paraId="11EC247E" w14:textId="77777777" w:rsidR="009F3813" w:rsidRDefault="009F3813" w:rsidP="009F3813">
      <w:pPr>
        <w:pStyle w:val="CommentText"/>
        <w:numPr>
          <w:ilvl w:val="0"/>
          <w:numId w:val="25"/>
        </w:numPr>
        <w:bidi/>
        <w:jc w:val="right"/>
      </w:pPr>
      <w:r>
        <w:rPr>
          <w:rFonts w:hint="eastAsia"/>
          <w:b/>
          <w:bCs/>
          <w:rtl/>
          <w:lang w:bidi="ar-EG"/>
        </w:rPr>
        <w:t>حدود</w:t>
      </w:r>
      <w:r>
        <w:rPr>
          <w:b/>
          <w:bCs/>
          <w:rtl/>
          <w:lang w:bidi="ar-EG"/>
        </w:rPr>
        <w:t xml:space="preserve"> الدراسة:</w:t>
      </w:r>
      <w:r>
        <w:t xml:space="preserve"> </w:t>
      </w:r>
    </w:p>
    <w:p w14:paraId="2B40C01B" w14:textId="77777777" w:rsidR="009F3813" w:rsidRDefault="009F3813" w:rsidP="009F3813">
      <w:pPr>
        <w:pStyle w:val="CommentText"/>
        <w:numPr>
          <w:ilvl w:val="1"/>
          <w:numId w:val="25"/>
        </w:numPr>
        <w:bidi/>
        <w:jc w:val="right"/>
      </w:pPr>
      <w:r>
        <w:rPr>
          <w:rFonts w:hint="eastAsia"/>
          <w:rtl/>
          <w:lang w:bidi="ar-EG"/>
        </w:rPr>
        <w:t>محددة</w:t>
      </w:r>
      <w:r>
        <w:rPr>
          <w:rtl/>
          <w:lang w:bidi="ar-EG"/>
        </w:rPr>
        <w:t xml:space="preserve"> بدقة من حيث المكان والزمان والبشر، وهذا مناسب.</w:t>
      </w:r>
      <w:r>
        <w:t xml:space="preserve"> </w:t>
      </w:r>
    </w:p>
    <w:p w14:paraId="38733BFA" w14:textId="77777777" w:rsidR="009F3813" w:rsidRDefault="009F3813" w:rsidP="009F3813">
      <w:pPr>
        <w:pStyle w:val="CommentText"/>
        <w:numPr>
          <w:ilvl w:val="1"/>
          <w:numId w:val="25"/>
        </w:numPr>
        <w:bidi/>
        <w:jc w:val="right"/>
      </w:pPr>
      <w:r>
        <w:rPr>
          <w:rFonts w:hint="eastAsia"/>
          <w:rtl/>
          <w:lang w:bidi="ar-EG"/>
        </w:rPr>
        <w:t>يمكن</w:t>
      </w:r>
      <w:r>
        <w:rPr>
          <w:rtl/>
          <w:lang w:bidi="ar-EG"/>
        </w:rPr>
        <w:t xml:space="preserve"> توضيح</w:t>
      </w:r>
      <w:r>
        <w:t xml:space="preserve"> </w:t>
      </w:r>
      <w:r>
        <w:rPr>
          <w:rFonts w:hint="eastAsia"/>
          <w:b/>
          <w:bCs/>
          <w:rtl/>
          <w:lang w:bidi="ar-EG"/>
        </w:rPr>
        <w:t>الحدود</w:t>
      </w:r>
      <w:r>
        <w:rPr>
          <w:b/>
          <w:bCs/>
          <w:rtl/>
          <w:lang w:bidi="ar-EG"/>
        </w:rPr>
        <w:t xml:space="preserve"> المنهجية</w:t>
      </w:r>
      <w:r>
        <w:t xml:space="preserve"> </w:t>
      </w:r>
      <w:r>
        <w:rPr>
          <w:rFonts w:hint="eastAsia"/>
          <w:rtl/>
          <w:lang w:bidi="ar-EG"/>
        </w:rPr>
        <w:t>مثل</w:t>
      </w:r>
      <w:r>
        <w:rPr>
          <w:rtl/>
          <w:lang w:bidi="ar-EG"/>
        </w:rPr>
        <w:t xml:space="preserve"> نوع الدراسة (كمي، وصفي، تحليلية) وأدوات جمع البيانات (استبيان، مقابلة، ملاحظة).</w:t>
      </w:r>
      <w:r>
        <w:t xml:space="preserve"> </w:t>
      </w:r>
    </w:p>
  </w:comment>
  <w:comment w:id="1" w:author="Dr. Mohammed" w:date="2026-04-03T19:48:00Z" w:initials="DM">
    <w:p w14:paraId="42FD0401" w14:textId="77777777" w:rsidR="009F3813" w:rsidRDefault="009F3813" w:rsidP="009F3813">
      <w:pPr>
        <w:pStyle w:val="CommentText"/>
        <w:bidi/>
        <w:jc w:val="right"/>
      </w:pPr>
      <w:r>
        <w:rPr>
          <w:rStyle w:val="CommentReference"/>
        </w:rPr>
        <w:annotationRef/>
      </w:r>
      <w:r>
        <w:rPr>
          <w:rFonts w:hint="eastAsia"/>
          <w:b/>
          <w:bCs/>
          <w:rtl/>
          <w:lang w:bidi="ar-EG"/>
        </w:rPr>
        <w:t>توصيات</w:t>
      </w:r>
      <w:r>
        <w:rPr>
          <w:b/>
          <w:bCs/>
          <w:rtl/>
          <w:lang w:bidi="ar-EG"/>
        </w:rPr>
        <w:t xml:space="preserve"> عامة لتجويد البحث</w:t>
      </w:r>
    </w:p>
    <w:p w14:paraId="7F8F7480" w14:textId="77777777" w:rsidR="009F3813" w:rsidRDefault="009F3813" w:rsidP="009F3813">
      <w:pPr>
        <w:pStyle w:val="CommentText"/>
        <w:numPr>
          <w:ilvl w:val="0"/>
          <w:numId w:val="26"/>
        </w:numPr>
        <w:bidi/>
        <w:jc w:val="right"/>
      </w:pPr>
      <w:r>
        <w:rPr>
          <w:rFonts w:hint="eastAsia"/>
          <w:rtl/>
          <w:lang w:bidi="ar-EG"/>
        </w:rPr>
        <w:t>استخدام</w:t>
      </w:r>
      <w:r>
        <w:t xml:space="preserve"> </w:t>
      </w:r>
      <w:r>
        <w:rPr>
          <w:rFonts w:hint="eastAsia"/>
          <w:b/>
          <w:bCs/>
          <w:rtl/>
          <w:lang w:bidi="ar-EG"/>
        </w:rPr>
        <w:t>الجداول</w:t>
      </w:r>
      <w:r>
        <w:rPr>
          <w:b/>
          <w:bCs/>
          <w:rtl/>
          <w:lang w:bidi="ar-EG"/>
        </w:rPr>
        <w:t xml:space="preserve"> والرسوم البيانية</w:t>
      </w:r>
      <w:r>
        <w:t xml:space="preserve"> </w:t>
      </w:r>
      <w:r>
        <w:rPr>
          <w:rFonts w:hint="eastAsia"/>
          <w:rtl/>
          <w:lang w:bidi="ar-EG"/>
        </w:rPr>
        <w:t>لتوضيح</w:t>
      </w:r>
      <w:r>
        <w:rPr>
          <w:rtl/>
          <w:lang w:bidi="ar-EG"/>
        </w:rPr>
        <w:t xml:space="preserve"> توزيع برامج التنمية المهنية، مستويات الكفاءة، والفروق الإحصائية.</w:t>
      </w:r>
      <w:r>
        <w:t xml:space="preserve"> </w:t>
      </w:r>
    </w:p>
    <w:p w14:paraId="3D75400C" w14:textId="77777777" w:rsidR="009F3813" w:rsidRDefault="009F3813" w:rsidP="009F3813">
      <w:pPr>
        <w:pStyle w:val="CommentText"/>
        <w:numPr>
          <w:ilvl w:val="0"/>
          <w:numId w:val="26"/>
        </w:numPr>
        <w:bidi/>
        <w:jc w:val="right"/>
      </w:pPr>
      <w:r>
        <w:rPr>
          <w:rFonts w:hint="eastAsia"/>
          <w:rtl/>
          <w:lang w:bidi="ar-EG"/>
        </w:rPr>
        <w:t>تعزيز</w:t>
      </w:r>
      <w:r>
        <w:t xml:space="preserve"> </w:t>
      </w:r>
      <w:r>
        <w:rPr>
          <w:rFonts w:hint="eastAsia"/>
          <w:b/>
          <w:bCs/>
          <w:rtl/>
          <w:lang w:bidi="ar-EG"/>
        </w:rPr>
        <w:t>الربط</w:t>
      </w:r>
      <w:r>
        <w:rPr>
          <w:b/>
          <w:bCs/>
          <w:rtl/>
          <w:lang w:bidi="ar-EG"/>
        </w:rPr>
        <w:t xml:space="preserve"> بين الأدبيات السابقة والفرضيات الحالية</w:t>
      </w:r>
      <w:r>
        <w:t xml:space="preserve"> </w:t>
      </w:r>
      <w:r>
        <w:rPr>
          <w:rFonts w:hint="eastAsia"/>
          <w:rtl/>
          <w:lang w:bidi="ar-EG"/>
        </w:rPr>
        <w:t>لتقوية</w:t>
      </w:r>
      <w:r>
        <w:rPr>
          <w:rtl/>
          <w:lang w:bidi="ar-EG"/>
        </w:rPr>
        <w:t xml:space="preserve"> الإطار النظري.</w:t>
      </w:r>
      <w:r>
        <w:t xml:space="preserve"> </w:t>
      </w:r>
    </w:p>
    <w:p w14:paraId="5626D56A" w14:textId="77777777" w:rsidR="009F3813" w:rsidRDefault="009F3813" w:rsidP="009F3813">
      <w:pPr>
        <w:pStyle w:val="CommentText"/>
        <w:numPr>
          <w:ilvl w:val="0"/>
          <w:numId w:val="26"/>
        </w:numPr>
        <w:bidi/>
        <w:jc w:val="right"/>
      </w:pPr>
      <w:r>
        <w:rPr>
          <w:rFonts w:hint="eastAsia"/>
          <w:rtl/>
          <w:lang w:bidi="ar-EG"/>
        </w:rPr>
        <w:t>إضافة</w:t>
      </w:r>
      <w:r>
        <w:t xml:space="preserve"> </w:t>
      </w:r>
      <w:r>
        <w:rPr>
          <w:rFonts w:hint="eastAsia"/>
          <w:b/>
          <w:bCs/>
          <w:rtl/>
          <w:lang w:bidi="ar-EG"/>
        </w:rPr>
        <w:t>عينة</w:t>
      </w:r>
      <w:r>
        <w:rPr>
          <w:b/>
          <w:bCs/>
          <w:rtl/>
          <w:lang w:bidi="ar-EG"/>
        </w:rPr>
        <w:t xml:space="preserve"> أولية أو بيانات تجريبية</w:t>
      </w:r>
      <w:r>
        <w:t xml:space="preserve"> </w:t>
      </w:r>
      <w:r>
        <w:rPr>
          <w:rFonts w:hint="eastAsia"/>
          <w:rtl/>
          <w:lang w:bidi="ar-EG"/>
        </w:rPr>
        <w:t>إذا</w:t>
      </w:r>
      <w:r>
        <w:rPr>
          <w:rtl/>
          <w:lang w:bidi="ar-EG"/>
        </w:rPr>
        <w:t xml:space="preserve"> كانت متاحة لإعطاء مصداقية أكبر لمشكلة الدراسة.</w:t>
      </w:r>
      <w:r>
        <w:t xml:space="preserve"> </w:t>
      </w:r>
    </w:p>
    <w:p w14:paraId="2AD6212B" w14:textId="77777777" w:rsidR="009F3813" w:rsidRDefault="009F3813" w:rsidP="009F3813">
      <w:pPr>
        <w:pStyle w:val="CommentText"/>
        <w:numPr>
          <w:ilvl w:val="0"/>
          <w:numId w:val="26"/>
        </w:numPr>
        <w:bidi/>
        <w:jc w:val="right"/>
      </w:pPr>
      <w:r>
        <w:rPr>
          <w:rFonts w:hint="eastAsia"/>
          <w:rtl/>
          <w:lang w:bidi="ar-EG"/>
        </w:rPr>
        <w:t>مراجعة</w:t>
      </w:r>
      <w:r>
        <w:t xml:space="preserve"> </w:t>
      </w:r>
      <w:r>
        <w:rPr>
          <w:rFonts w:hint="eastAsia"/>
          <w:b/>
          <w:bCs/>
          <w:rtl/>
          <w:lang w:bidi="ar-EG"/>
        </w:rPr>
        <w:t>التنسيق</w:t>
      </w:r>
      <w:r>
        <w:rPr>
          <w:b/>
          <w:bCs/>
          <w:rtl/>
          <w:lang w:bidi="ar-EG"/>
        </w:rPr>
        <w:t xml:space="preserve"> اللغوي والمصطلحات الإنجليزية</w:t>
      </w:r>
      <w:r>
        <w:rPr>
          <w:rtl/>
        </w:rPr>
        <w:t>، وضمان الاتساق في الترجمة والتعريف</w:t>
      </w:r>
      <w:r>
        <w:t xml:space="preserve">. </w:t>
      </w:r>
    </w:p>
    <w:p w14:paraId="73C34A68" w14:textId="77777777" w:rsidR="009F3813" w:rsidRDefault="009F3813" w:rsidP="009F3813">
      <w:pPr>
        <w:pStyle w:val="CommentText"/>
        <w:numPr>
          <w:ilvl w:val="0"/>
          <w:numId w:val="26"/>
        </w:numPr>
        <w:bidi/>
        <w:jc w:val="right"/>
      </w:pPr>
      <w:r>
        <w:rPr>
          <w:rFonts w:hint="eastAsia"/>
          <w:rtl/>
          <w:lang w:bidi="ar-EG"/>
        </w:rPr>
        <w:t>دمج</w:t>
      </w:r>
      <w:r>
        <w:rPr>
          <w:rtl/>
          <w:lang w:bidi="ar-EG"/>
        </w:rPr>
        <w:t xml:space="preserve"> بعض النقاط المتكررة بين المقدمة وأهمية الدراسة وأهدافها لتقليل التكرار والتركيز على القيمة الجديدة للبحث.</w:t>
      </w:r>
      <w:r>
        <w:t xml:space="preserve"> </w:t>
      </w:r>
    </w:p>
    <w:p w14:paraId="6B998FA6" w14:textId="77777777" w:rsidR="009F3813" w:rsidRDefault="009F3813" w:rsidP="009F3813">
      <w:pPr>
        <w:pStyle w:val="CommentText"/>
        <w:numPr>
          <w:ilvl w:val="0"/>
          <w:numId w:val="26"/>
        </w:numPr>
        <w:bidi/>
        <w:jc w:val="right"/>
      </w:pPr>
      <w:r>
        <w:rPr>
          <w:rFonts w:hint="eastAsia"/>
          <w:rtl/>
          <w:lang w:bidi="ar-EG"/>
        </w:rPr>
        <w:t>إضافة</w:t>
      </w:r>
      <w:r>
        <w:rPr>
          <w:rtl/>
          <w:lang w:bidi="ar-EG"/>
        </w:rPr>
        <w:t xml:space="preserve"> فقرة</w:t>
      </w:r>
      <w:r>
        <w:t xml:space="preserve"> </w:t>
      </w:r>
      <w:r>
        <w:rPr>
          <w:rFonts w:hint="eastAsia"/>
          <w:b/>
          <w:bCs/>
          <w:rtl/>
          <w:lang w:bidi="ar-EG"/>
        </w:rPr>
        <w:t>توضيح</w:t>
      </w:r>
      <w:r>
        <w:rPr>
          <w:b/>
          <w:bCs/>
          <w:rtl/>
          <w:lang w:bidi="ar-EG"/>
        </w:rPr>
        <w:t xml:space="preserve"> المنهجية الميدانية بشكل مختصر</w:t>
      </w:r>
      <w:r>
        <w:t xml:space="preserve"> </w:t>
      </w:r>
      <w:r>
        <w:rPr>
          <w:rFonts w:hint="eastAsia"/>
          <w:rtl/>
          <w:lang w:bidi="ar-EG"/>
        </w:rPr>
        <w:t>في</w:t>
      </w:r>
      <w:r>
        <w:rPr>
          <w:rtl/>
          <w:lang w:bidi="ar-EG"/>
        </w:rPr>
        <w:t xml:space="preserve"> الفصل الأول لتمهيد القارئ للفصول القادمة.</w:t>
      </w:r>
      <w:r>
        <w:t xml:space="preserve"> </w:t>
      </w:r>
    </w:p>
  </w:comment>
  <w:comment w:id="2" w:author="Dr. Mohammed" w:date="2026-04-03T19:52:00Z" w:initials="DM">
    <w:p w14:paraId="5ECA9B2F" w14:textId="77777777" w:rsidR="00FF115F" w:rsidRDefault="00FF115F" w:rsidP="00FF115F">
      <w:pPr>
        <w:pStyle w:val="CommentText"/>
        <w:bidi/>
        <w:jc w:val="right"/>
      </w:pPr>
      <w:r>
        <w:rPr>
          <w:rStyle w:val="CommentReference"/>
        </w:rPr>
        <w:annotationRef/>
      </w:r>
      <w:r>
        <w:rPr>
          <w:rFonts w:hint="eastAsia"/>
          <w:b/>
          <w:bCs/>
          <w:rtl/>
          <w:lang w:bidi="ar-EG"/>
        </w:rPr>
        <w:t>الملاحظات</w:t>
      </w:r>
      <w:r>
        <w:rPr>
          <w:b/>
          <w:bCs/>
          <w:rtl/>
          <w:lang w:bidi="ar-EG"/>
        </w:rPr>
        <w:t xml:space="preserve"> العامة على الإطار النظري</w:t>
      </w:r>
    </w:p>
    <w:p w14:paraId="1DB04EF7" w14:textId="77777777" w:rsidR="00FF115F" w:rsidRDefault="00FF115F" w:rsidP="00FF115F">
      <w:pPr>
        <w:pStyle w:val="CommentText"/>
        <w:numPr>
          <w:ilvl w:val="0"/>
          <w:numId w:val="27"/>
        </w:numPr>
        <w:bidi/>
        <w:jc w:val="right"/>
      </w:pPr>
      <w:r>
        <w:rPr>
          <w:rFonts w:hint="eastAsia"/>
          <w:rtl/>
          <w:lang w:bidi="ar-EG"/>
        </w:rPr>
        <w:t>تناول</w:t>
      </w:r>
      <w:r>
        <w:rPr>
          <w:rtl/>
          <w:lang w:bidi="ar-EG"/>
        </w:rPr>
        <w:t xml:space="preserve"> الإطار النظري التنمية المهنية والكفاءة التدريسية بشكل شامل، مع توضيح العلاقة بين المتغيرين.</w:t>
      </w:r>
      <w:r>
        <w:t xml:space="preserve"> </w:t>
      </w:r>
    </w:p>
    <w:p w14:paraId="0FD21AFF" w14:textId="77777777" w:rsidR="00FF115F" w:rsidRDefault="00FF115F" w:rsidP="00FF115F">
      <w:pPr>
        <w:pStyle w:val="CommentText"/>
        <w:numPr>
          <w:ilvl w:val="0"/>
          <w:numId w:val="27"/>
        </w:numPr>
        <w:bidi/>
        <w:jc w:val="right"/>
      </w:pPr>
      <w:r>
        <w:rPr>
          <w:rFonts w:hint="eastAsia"/>
          <w:rtl/>
          <w:lang w:bidi="ar-EG"/>
        </w:rPr>
        <w:t>تم</w:t>
      </w:r>
      <w:r>
        <w:rPr>
          <w:rtl/>
          <w:lang w:bidi="ar-EG"/>
        </w:rPr>
        <w:t xml:space="preserve"> ربط النظريات الغربية الحديثة (</w:t>
      </w:r>
      <w:r>
        <w:t>Guskey, Desimone, Shulman</w:t>
      </w:r>
      <w:r>
        <w:rPr>
          <w:rtl/>
          <w:lang w:bidi="ar-EG"/>
        </w:rPr>
        <w:t>) بالسياق السعودي، ما يعزز مصداقية الدراسة.</w:t>
      </w:r>
      <w:r>
        <w:t xml:space="preserve"> </w:t>
      </w:r>
    </w:p>
    <w:p w14:paraId="0A626422" w14:textId="77777777" w:rsidR="00FF115F" w:rsidRDefault="00FF115F" w:rsidP="00FF115F">
      <w:pPr>
        <w:pStyle w:val="CommentText"/>
        <w:numPr>
          <w:ilvl w:val="0"/>
          <w:numId w:val="27"/>
        </w:numPr>
        <w:bidi/>
        <w:jc w:val="right"/>
      </w:pPr>
      <w:r>
        <w:rPr>
          <w:rFonts w:hint="eastAsia"/>
          <w:rtl/>
          <w:lang w:bidi="ar-EG"/>
        </w:rPr>
        <w:t>الإطار</w:t>
      </w:r>
      <w:r>
        <w:rPr>
          <w:rtl/>
          <w:lang w:bidi="ar-EG"/>
        </w:rPr>
        <w:t xml:space="preserve"> النظري ركز على التطور التاريخي لمفهوم التنمية المهنية والكفاءة التدريسية، وأوضح التحولات من التدريب القصير إلى التعلم المهني المستمر.</w:t>
      </w:r>
      <w:r>
        <w:t xml:space="preserve"> </w:t>
      </w:r>
    </w:p>
    <w:p w14:paraId="7BA8285E" w14:textId="77777777" w:rsidR="00FF115F" w:rsidRDefault="00FF115F" w:rsidP="00FF115F">
      <w:pPr>
        <w:pStyle w:val="CommentText"/>
        <w:numPr>
          <w:ilvl w:val="0"/>
          <w:numId w:val="27"/>
        </w:numPr>
        <w:bidi/>
        <w:jc w:val="right"/>
      </w:pPr>
      <w:r>
        <w:rPr>
          <w:rFonts w:hint="eastAsia"/>
          <w:rtl/>
          <w:lang w:bidi="ar-EG"/>
        </w:rPr>
        <w:t>تم</w:t>
      </w:r>
      <w:r>
        <w:rPr>
          <w:rtl/>
          <w:lang w:bidi="ar-EG"/>
        </w:rPr>
        <w:t xml:space="preserve"> عرض نماذج تفسيرية متعددة (رأس المال البشري، المعرفة التربوية للمحتوى، التعلم المهني، نموذج </w:t>
      </w:r>
      <w:r>
        <w:t>Guskey</w:t>
      </w:r>
      <w:r>
        <w:rPr>
          <w:rFonts w:hint="eastAsia"/>
          <w:rtl/>
          <w:lang w:bidi="ar-EG"/>
        </w:rPr>
        <w:t>،</w:t>
      </w:r>
      <w:r>
        <w:rPr>
          <w:rtl/>
          <w:lang w:bidi="ar-EG"/>
        </w:rPr>
        <w:t xml:space="preserve"> التعلم التنظيمي) لتفسير العلاقة بين التنمية المهنية والكفاءة التدريسية.</w:t>
      </w:r>
      <w:r>
        <w:t xml:space="preserve"> </w:t>
      </w:r>
    </w:p>
    <w:p w14:paraId="7D218AF1" w14:textId="77777777" w:rsidR="00FF115F" w:rsidRDefault="00FF115F" w:rsidP="00FF115F">
      <w:pPr>
        <w:pStyle w:val="CommentText"/>
        <w:numPr>
          <w:ilvl w:val="0"/>
          <w:numId w:val="27"/>
        </w:numPr>
        <w:bidi/>
        <w:jc w:val="right"/>
      </w:pPr>
      <w:r>
        <w:rPr>
          <w:rFonts w:hint="eastAsia"/>
          <w:rtl/>
          <w:lang w:bidi="ar-EG"/>
        </w:rPr>
        <w:t>أشار</w:t>
      </w:r>
      <w:r>
        <w:rPr>
          <w:rtl/>
          <w:lang w:bidi="ar-EG"/>
        </w:rPr>
        <w:t xml:space="preserve"> الإطار إلى أهمية خصائص برامج التنمية المهنية (الاستمرارية، الربط بالممارسة، التعلم النشط، التغذية الراجعة) ودورها في تعزيز الكفاءة التدريسية.</w:t>
      </w:r>
      <w:r>
        <w:t xml:space="preserve"> </w:t>
      </w:r>
    </w:p>
    <w:p w14:paraId="0ADC35DE" w14:textId="77777777" w:rsidR="00FF115F" w:rsidRDefault="00FF115F" w:rsidP="00FF115F">
      <w:pPr>
        <w:pStyle w:val="CommentText"/>
        <w:numPr>
          <w:ilvl w:val="0"/>
          <w:numId w:val="27"/>
        </w:numPr>
        <w:bidi/>
        <w:jc w:val="right"/>
      </w:pPr>
      <w:r>
        <w:rPr>
          <w:rFonts w:hint="eastAsia"/>
          <w:rtl/>
          <w:lang w:bidi="ar-EG"/>
        </w:rPr>
        <w:t>تناولت</w:t>
      </w:r>
      <w:r>
        <w:rPr>
          <w:rtl/>
          <w:lang w:bidi="ar-EG"/>
        </w:rPr>
        <w:t xml:space="preserve"> الدراسة دور المتغيرات الديموغرافية (الخبرة، المؤهل العلمي) في تفسير تفاوت أثر التنمية المهنية على الكفاءة التدريسية.</w:t>
      </w:r>
      <w:r>
        <w:t xml:space="preserve"> </w:t>
      </w:r>
    </w:p>
    <w:p w14:paraId="3D0B31EE" w14:textId="77777777" w:rsidR="00FF115F" w:rsidRDefault="00FF115F" w:rsidP="00FF115F">
      <w:pPr>
        <w:pStyle w:val="CommentText"/>
        <w:numPr>
          <w:ilvl w:val="0"/>
          <w:numId w:val="27"/>
        </w:numPr>
        <w:bidi/>
        <w:jc w:val="right"/>
      </w:pPr>
      <w:r>
        <w:rPr>
          <w:rFonts w:hint="eastAsia"/>
          <w:rtl/>
          <w:lang w:bidi="ar-EG"/>
        </w:rPr>
        <w:t>الإطار</w:t>
      </w:r>
      <w:r>
        <w:rPr>
          <w:rtl/>
          <w:lang w:bidi="ar-EG"/>
        </w:rPr>
        <w:t xml:space="preserve"> النظري جمع بين البعد المعرفي والفردي والتنظيمي، مما يعكس فهمًا تكامليًا للعوامل المؤثرة على الكفاءة التدريسية.</w:t>
      </w:r>
      <w:r>
        <w:t xml:space="preserve"> </w:t>
      </w:r>
    </w:p>
    <w:p w14:paraId="71875EB6" w14:textId="77777777" w:rsidR="00FF115F" w:rsidRDefault="00FF115F" w:rsidP="00FF115F">
      <w:pPr>
        <w:pStyle w:val="CommentText"/>
        <w:bidi/>
        <w:jc w:val="right"/>
      </w:pPr>
      <w:r>
        <w:rPr>
          <w:rFonts w:hint="eastAsia"/>
          <w:b/>
          <w:bCs/>
          <w:rtl/>
          <w:lang w:bidi="ar-EG"/>
        </w:rPr>
        <w:t>سلبيات</w:t>
      </w:r>
      <w:r>
        <w:rPr>
          <w:b/>
          <w:bCs/>
          <w:rtl/>
          <w:lang w:bidi="ar-EG"/>
        </w:rPr>
        <w:t xml:space="preserve"> وملاحظات تطويرية:</w:t>
      </w:r>
    </w:p>
    <w:p w14:paraId="7149517E" w14:textId="77777777" w:rsidR="00FF115F" w:rsidRDefault="00FF115F" w:rsidP="00FF115F">
      <w:pPr>
        <w:pStyle w:val="CommentText"/>
        <w:numPr>
          <w:ilvl w:val="0"/>
          <w:numId w:val="28"/>
        </w:numPr>
        <w:bidi/>
        <w:jc w:val="right"/>
      </w:pPr>
      <w:r>
        <w:rPr>
          <w:rFonts w:hint="eastAsia"/>
          <w:rtl/>
          <w:lang w:bidi="ar-EG"/>
        </w:rPr>
        <w:t>بعض</w:t>
      </w:r>
      <w:r>
        <w:rPr>
          <w:rtl/>
          <w:lang w:bidi="ar-EG"/>
        </w:rPr>
        <w:t xml:space="preserve"> الفقرات وصفية أكثر من كونها تحليلية أو نقدية، مما يقلل من إبراز مساهمة الدراسة في تفسير العلاقة السببية بين المتغيرين.</w:t>
      </w:r>
      <w:r>
        <w:t xml:space="preserve"> </w:t>
      </w:r>
    </w:p>
    <w:p w14:paraId="24C845D6" w14:textId="77777777" w:rsidR="00FF115F" w:rsidRDefault="00FF115F" w:rsidP="00FF115F">
      <w:pPr>
        <w:pStyle w:val="CommentText"/>
        <w:numPr>
          <w:ilvl w:val="0"/>
          <w:numId w:val="28"/>
        </w:numPr>
        <w:bidi/>
        <w:jc w:val="right"/>
      </w:pPr>
      <w:r>
        <w:rPr>
          <w:rFonts w:hint="eastAsia"/>
          <w:rtl/>
          <w:lang w:bidi="ar-EG"/>
        </w:rPr>
        <w:t>لم</w:t>
      </w:r>
      <w:r>
        <w:rPr>
          <w:rtl/>
          <w:lang w:bidi="ar-EG"/>
        </w:rPr>
        <w:t xml:space="preserve"> يتم مقارنة النظريات المختلفة بشكل نقدي لإبراز نقاط القوة والضعف لكل نموذج.</w:t>
      </w:r>
      <w:r>
        <w:t xml:space="preserve"> </w:t>
      </w:r>
    </w:p>
    <w:p w14:paraId="322BEE59" w14:textId="77777777" w:rsidR="00FF115F" w:rsidRDefault="00FF115F" w:rsidP="00FF115F">
      <w:pPr>
        <w:pStyle w:val="CommentText"/>
        <w:numPr>
          <w:ilvl w:val="0"/>
          <w:numId w:val="28"/>
        </w:numPr>
        <w:bidi/>
        <w:jc w:val="right"/>
      </w:pPr>
      <w:r>
        <w:rPr>
          <w:rFonts w:hint="eastAsia"/>
          <w:rtl/>
          <w:lang w:bidi="ar-EG"/>
        </w:rPr>
        <w:t>لم</w:t>
      </w:r>
      <w:r>
        <w:rPr>
          <w:rtl/>
          <w:lang w:bidi="ar-EG"/>
        </w:rPr>
        <w:t xml:space="preserve"> يتم توضيح آليات قياس الكفاءة التدريسية في الممارسة العملية أو الربط بين النظرية والتطبيق الفعلي للمعلم.</w:t>
      </w:r>
      <w:r>
        <w:t xml:space="preserve"> </w:t>
      </w:r>
    </w:p>
    <w:p w14:paraId="5A638A5F" w14:textId="77777777" w:rsidR="00FF115F" w:rsidRDefault="00FF115F" w:rsidP="00FF115F">
      <w:pPr>
        <w:pStyle w:val="CommentText"/>
        <w:numPr>
          <w:ilvl w:val="0"/>
          <w:numId w:val="28"/>
        </w:numPr>
        <w:bidi/>
        <w:jc w:val="right"/>
      </w:pPr>
      <w:r>
        <w:rPr>
          <w:rFonts w:hint="eastAsia"/>
          <w:rtl/>
          <w:lang w:bidi="ar-EG"/>
        </w:rPr>
        <w:t>بعض</w:t>
      </w:r>
      <w:r>
        <w:rPr>
          <w:rtl/>
          <w:lang w:bidi="ar-EG"/>
        </w:rPr>
        <w:t xml:space="preserve"> الدراسات العربية تم الاستشهاد بها دون تحليل نقدي كافٍ للفجوات أو القيود.</w:t>
      </w:r>
      <w:r>
        <w:t xml:space="preserve"> </w:t>
      </w:r>
    </w:p>
    <w:p w14:paraId="1A63B5AC" w14:textId="77777777" w:rsidR="00FF115F" w:rsidRDefault="00FF115F" w:rsidP="00FF115F">
      <w:pPr>
        <w:pStyle w:val="CommentText"/>
        <w:numPr>
          <w:ilvl w:val="0"/>
          <w:numId w:val="28"/>
        </w:numPr>
        <w:bidi/>
        <w:jc w:val="right"/>
      </w:pPr>
      <w:r>
        <w:rPr>
          <w:rFonts w:hint="eastAsia"/>
          <w:rtl/>
          <w:lang w:bidi="ar-EG"/>
        </w:rPr>
        <w:t>لم</w:t>
      </w:r>
      <w:r>
        <w:rPr>
          <w:rtl/>
          <w:lang w:bidi="ar-EG"/>
        </w:rPr>
        <w:t xml:space="preserve"> يتم الربط بشكل مباشر بين خصائص برامج التنمية المهنية ونتائج محددة للكفاءة التدريسية في البيئة السعودية.</w:t>
      </w:r>
      <w:r>
        <w:t xml:space="preserve"> </w:t>
      </w:r>
    </w:p>
  </w:comment>
  <w:comment w:id="3" w:author="Dr. Mohammed" w:date="2026-04-03T19:55:00Z" w:initials="DM">
    <w:p w14:paraId="5A6E05BA" w14:textId="77777777" w:rsidR="00FF115F" w:rsidRDefault="00FF115F" w:rsidP="00FF115F">
      <w:pPr>
        <w:pStyle w:val="CommentText"/>
        <w:bidi/>
        <w:jc w:val="right"/>
      </w:pPr>
      <w:r>
        <w:rPr>
          <w:rStyle w:val="CommentReference"/>
        </w:rPr>
        <w:annotationRef/>
      </w:r>
      <w:r>
        <w:rPr>
          <w:rFonts w:hint="eastAsia"/>
          <w:b/>
          <w:bCs/>
          <w:rtl/>
          <w:lang w:bidi="ar-EG"/>
        </w:rPr>
        <w:t>الملاحظات</w:t>
      </w:r>
      <w:r>
        <w:rPr>
          <w:b/>
          <w:bCs/>
          <w:rtl/>
          <w:lang w:bidi="ar-EG"/>
        </w:rPr>
        <w:t xml:space="preserve"> على الدراسات السابقة</w:t>
      </w:r>
    </w:p>
    <w:p w14:paraId="49DE8803" w14:textId="77777777" w:rsidR="00FF115F" w:rsidRDefault="00FF115F" w:rsidP="00FF115F">
      <w:pPr>
        <w:pStyle w:val="CommentText"/>
        <w:numPr>
          <w:ilvl w:val="0"/>
          <w:numId w:val="29"/>
        </w:numPr>
        <w:bidi/>
        <w:jc w:val="right"/>
      </w:pPr>
      <w:r>
        <w:rPr>
          <w:rFonts w:hint="eastAsia"/>
          <w:rtl/>
          <w:lang w:bidi="ar-EG"/>
        </w:rPr>
        <w:t>شملت</w:t>
      </w:r>
      <w:r>
        <w:rPr>
          <w:rtl/>
          <w:lang w:bidi="ar-EG"/>
        </w:rPr>
        <w:t xml:space="preserve"> الدراسات السابقة الجانب النظري والتحليلي، وربطت برامج التنمية المهنية بالكفاءة التدريسية في السياقات المحلية والدولية.</w:t>
      </w:r>
      <w:r>
        <w:t xml:space="preserve"> </w:t>
      </w:r>
    </w:p>
    <w:p w14:paraId="7914B3F4" w14:textId="77777777" w:rsidR="00FF115F" w:rsidRDefault="00FF115F" w:rsidP="00FF115F">
      <w:pPr>
        <w:pStyle w:val="CommentText"/>
        <w:numPr>
          <w:ilvl w:val="0"/>
          <w:numId w:val="29"/>
        </w:numPr>
        <w:bidi/>
        <w:jc w:val="right"/>
      </w:pPr>
      <w:r>
        <w:rPr>
          <w:rFonts w:hint="eastAsia"/>
          <w:rtl/>
          <w:lang w:bidi="ar-EG"/>
        </w:rPr>
        <w:t>الدراسات</w:t>
      </w:r>
      <w:r>
        <w:rPr>
          <w:rtl/>
          <w:lang w:bidi="ar-EG"/>
        </w:rPr>
        <w:t xml:space="preserve"> السعودية ركزت على أهمية الربط بين برامج التنمية المهنية ومتطلبات الرخصة المهنية أو التعليم الشامل (الحيكان، 2024؛ </w:t>
      </w:r>
      <w:r>
        <w:t xml:space="preserve">Alshahrani &amp; Abu-Alghayth, 2023). </w:t>
      </w:r>
    </w:p>
    <w:p w14:paraId="2A4881D1" w14:textId="77777777" w:rsidR="00FF115F" w:rsidRDefault="00FF115F" w:rsidP="00FF115F">
      <w:pPr>
        <w:pStyle w:val="CommentText"/>
        <w:numPr>
          <w:ilvl w:val="0"/>
          <w:numId w:val="29"/>
        </w:numPr>
        <w:bidi/>
        <w:jc w:val="right"/>
      </w:pPr>
      <w:r>
        <w:rPr>
          <w:rFonts w:hint="eastAsia"/>
          <w:rtl/>
          <w:lang w:bidi="ar-EG"/>
        </w:rPr>
        <w:t>الدراسات</w:t>
      </w:r>
      <w:r>
        <w:rPr>
          <w:rtl/>
          <w:lang w:bidi="ar-EG"/>
        </w:rPr>
        <w:t xml:space="preserve"> الأجنبية أبرزت أثر المشاركة المستمرة في برامج التنمية المهنية على تحسين الكفاءة التدريسية بشكل ملموس (</w:t>
      </w:r>
      <w:r>
        <w:t>Abbas et</w:t>
      </w:r>
      <w:r>
        <w:rPr>
          <w:rtl/>
          <w:lang w:bidi="ar-EG"/>
        </w:rPr>
        <w:t xml:space="preserve"> </w:t>
      </w:r>
      <w:r>
        <w:t>al</w:t>
      </w:r>
      <w:r>
        <w:rPr>
          <w:rtl/>
          <w:lang w:bidi="ar-EG"/>
        </w:rPr>
        <w:t>., 2021).</w:t>
      </w:r>
      <w:r>
        <w:t xml:space="preserve"> </w:t>
      </w:r>
    </w:p>
    <w:p w14:paraId="3AA8F13D" w14:textId="77777777" w:rsidR="00FF115F" w:rsidRDefault="00FF115F" w:rsidP="00FF115F">
      <w:pPr>
        <w:pStyle w:val="CommentText"/>
        <w:numPr>
          <w:ilvl w:val="0"/>
          <w:numId w:val="29"/>
        </w:numPr>
        <w:bidi/>
        <w:jc w:val="right"/>
      </w:pPr>
      <w:r>
        <w:rPr>
          <w:rFonts w:hint="eastAsia"/>
          <w:rtl/>
          <w:lang w:bidi="ar-EG"/>
        </w:rPr>
        <w:t>معظم</w:t>
      </w:r>
      <w:r>
        <w:rPr>
          <w:rtl/>
          <w:lang w:bidi="ar-EG"/>
        </w:rPr>
        <w:t xml:space="preserve"> الدراسات ركزت على إدراك المعلمين أو تقييمهم الذاتي لمستوى الكفاءة، دون استخدام أدوات قياس متعددة أو نماذج تحليل سببية متقدمة.</w:t>
      </w:r>
      <w:r>
        <w:t xml:space="preserve"> </w:t>
      </w:r>
    </w:p>
    <w:p w14:paraId="7E3B817B" w14:textId="77777777" w:rsidR="00FF115F" w:rsidRDefault="00FF115F" w:rsidP="00FF115F">
      <w:pPr>
        <w:pStyle w:val="CommentText"/>
        <w:numPr>
          <w:ilvl w:val="0"/>
          <w:numId w:val="29"/>
        </w:numPr>
        <w:bidi/>
        <w:jc w:val="right"/>
      </w:pPr>
      <w:r>
        <w:rPr>
          <w:rFonts w:hint="eastAsia"/>
          <w:rtl/>
          <w:lang w:bidi="ar-EG"/>
        </w:rPr>
        <w:t>هناك</w:t>
      </w:r>
      <w:r>
        <w:rPr>
          <w:rtl/>
          <w:lang w:bidi="ar-EG"/>
        </w:rPr>
        <w:t xml:space="preserve"> فجوة بحثية واضحة في الدراسات السعودية، تتعلق بعدم قياس أثر برامج التنمية المهنية على أبعاد محددة للكفاءة التدريسية (التخطيط، إدارة الصف، التقويم، والتواصل) باستخدام أساليب كمية وتحليلية دقيقة.</w:t>
      </w:r>
      <w:r>
        <w:t xml:space="preserve"> </w:t>
      </w:r>
    </w:p>
    <w:p w14:paraId="149BC1C7" w14:textId="77777777" w:rsidR="00FF115F" w:rsidRDefault="00FF115F" w:rsidP="00FF115F">
      <w:pPr>
        <w:pStyle w:val="CommentText"/>
        <w:numPr>
          <w:ilvl w:val="0"/>
          <w:numId w:val="29"/>
        </w:numPr>
        <w:bidi/>
        <w:jc w:val="right"/>
      </w:pPr>
      <w:r>
        <w:rPr>
          <w:rFonts w:hint="eastAsia"/>
          <w:rtl/>
          <w:lang w:bidi="ar-EG"/>
        </w:rPr>
        <w:t>لم</w:t>
      </w:r>
      <w:r>
        <w:rPr>
          <w:rtl/>
          <w:lang w:bidi="ar-EG"/>
        </w:rPr>
        <w:t xml:space="preserve"> تُبرز الدراسات السابقة دور المتغيرات الديموغرافية كمعدِّلات أو عوامل مؤثرة في العلاقة بين التنمية المهنية والكفاءة التدريسية بشكل كمي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733BFA" w15:done="0"/>
  <w15:commentEx w15:paraId="6B998FA6" w15:done="0"/>
  <w15:commentEx w15:paraId="1A63B5AC" w15:done="0"/>
  <w15:commentEx w15:paraId="149BC1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0815A2" w16cex:dateUtc="2026-04-03T16:46:00Z"/>
  <w16cex:commentExtensible w16cex:durableId="4DC74F38" w16cex:dateUtc="2026-04-03T16:48:00Z"/>
  <w16cex:commentExtensible w16cex:durableId="36A6FFC8" w16cex:dateUtc="2026-04-03T16:52:00Z"/>
  <w16cex:commentExtensible w16cex:durableId="128ED8B9" w16cex:dateUtc="2026-04-03T16: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733BFA" w16cid:durableId="320815A2"/>
  <w16cid:commentId w16cid:paraId="6B998FA6" w16cid:durableId="4DC74F38"/>
  <w16cid:commentId w16cid:paraId="1A63B5AC" w16cid:durableId="36A6FFC8"/>
  <w16cid:commentId w16cid:paraId="149BC1C7" w16cid:durableId="128ED8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455F7" w14:textId="77777777" w:rsidR="00EB1C3D" w:rsidRDefault="00EB1C3D" w:rsidP="00F628F0">
      <w:pPr>
        <w:spacing w:after="0" w:line="240" w:lineRule="auto"/>
      </w:pPr>
      <w:r>
        <w:separator/>
      </w:r>
    </w:p>
  </w:endnote>
  <w:endnote w:type="continuationSeparator" w:id="0">
    <w:p w14:paraId="00F44394" w14:textId="77777777" w:rsidR="00EB1C3D" w:rsidRDefault="00EB1C3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Aptos">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0309"/>
      <w:docPartObj>
        <w:docPartGallery w:val="Page Numbers (Bottom of Page)"/>
        <w:docPartUnique/>
      </w:docPartObj>
    </w:sdtPr>
    <w:sdtEndPr>
      <w:rPr>
        <w:noProof/>
      </w:rPr>
    </w:sdtEndPr>
    <w:sdtContent>
      <w:p w14:paraId="56A96920" w14:textId="77777777" w:rsidR="00976DAD" w:rsidRDefault="00976DAD">
        <w:pPr>
          <w:pStyle w:val="Footer"/>
          <w:jc w:val="center"/>
        </w:pPr>
        <w:r>
          <w:fldChar w:fldCharType="begin"/>
        </w:r>
        <w:r>
          <w:instrText xml:space="preserve"> PAGE   \* MERGEFORMAT </w:instrText>
        </w:r>
        <w:r>
          <w:fldChar w:fldCharType="separate"/>
        </w:r>
        <w:r w:rsidR="00DD6416">
          <w:rPr>
            <w:noProof/>
          </w:rPr>
          <w:t>2</w:t>
        </w:r>
        <w:r>
          <w:rPr>
            <w:noProof/>
          </w:rPr>
          <w:fldChar w:fldCharType="end"/>
        </w:r>
      </w:p>
    </w:sdtContent>
  </w:sdt>
  <w:p w14:paraId="3C32CE70" w14:textId="77777777" w:rsidR="00976DAD" w:rsidRDefault="00976D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638157"/>
      <w:docPartObj>
        <w:docPartGallery w:val="Page Numbers (Bottom of Page)"/>
        <w:docPartUnique/>
      </w:docPartObj>
    </w:sdtPr>
    <w:sdtEndPr>
      <w:rPr>
        <w:noProof/>
      </w:rPr>
    </w:sdtEndPr>
    <w:sdtContent>
      <w:p w14:paraId="4F8C4B83" w14:textId="77777777" w:rsidR="00976DAD" w:rsidRDefault="00976DAD">
        <w:pPr>
          <w:pStyle w:val="Footer"/>
          <w:jc w:val="center"/>
        </w:pPr>
        <w:r>
          <w:fldChar w:fldCharType="begin"/>
        </w:r>
        <w:r>
          <w:instrText xml:space="preserve"> PAGE   \* MERGEFORMAT </w:instrText>
        </w:r>
        <w:r>
          <w:fldChar w:fldCharType="separate"/>
        </w:r>
        <w:r w:rsidR="00DD6416">
          <w:rPr>
            <w:noProof/>
          </w:rPr>
          <w:t>1</w:t>
        </w:r>
        <w:r>
          <w:rPr>
            <w:noProof/>
          </w:rPr>
          <w:fldChar w:fldCharType="end"/>
        </w:r>
      </w:p>
    </w:sdtContent>
  </w:sdt>
  <w:p w14:paraId="5439C2AC" w14:textId="77777777" w:rsidR="00976DAD" w:rsidRDefault="00976D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976DAD" w:rsidRDefault="00976DAD">
        <w:pPr>
          <w:pStyle w:val="Footer"/>
          <w:jc w:val="center"/>
        </w:pPr>
        <w:r>
          <w:fldChar w:fldCharType="begin"/>
        </w:r>
        <w:r>
          <w:instrText xml:space="preserve"> PAGE   \* MERGEFORMAT </w:instrText>
        </w:r>
        <w:r>
          <w:fldChar w:fldCharType="separate"/>
        </w:r>
        <w:r w:rsidR="00DD6416">
          <w:rPr>
            <w:noProof/>
          </w:rPr>
          <w:t>53</w:t>
        </w:r>
        <w:r>
          <w:rPr>
            <w:noProof/>
          </w:rPr>
          <w:fldChar w:fldCharType="end"/>
        </w:r>
      </w:p>
    </w:sdtContent>
  </w:sdt>
  <w:p w14:paraId="3B85871D" w14:textId="77777777" w:rsidR="00976DAD" w:rsidRDefault="00976DA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9BD255F" w:rsidR="00976DAD" w:rsidRPr="00883E09" w:rsidRDefault="00976DAD" w:rsidP="008074A2">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29CF0" w14:textId="77777777" w:rsidR="00EB1C3D" w:rsidRDefault="00EB1C3D" w:rsidP="00F628F0">
      <w:pPr>
        <w:spacing w:after="0" w:line="240" w:lineRule="auto"/>
      </w:pPr>
      <w:r>
        <w:separator/>
      </w:r>
    </w:p>
  </w:footnote>
  <w:footnote w:type="continuationSeparator" w:id="0">
    <w:p w14:paraId="3535EE34" w14:textId="77777777" w:rsidR="00EB1C3D" w:rsidRDefault="00EB1C3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976DAD"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976DAD"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976DAD"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3E9"/>
    <w:multiLevelType w:val="hybridMultilevel"/>
    <w:tmpl w:val="046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F41CC"/>
    <w:multiLevelType w:val="hybridMultilevel"/>
    <w:tmpl w:val="CD5A88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9C83210"/>
    <w:multiLevelType w:val="hybridMultilevel"/>
    <w:tmpl w:val="921A71F2"/>
    <w:lvl w:ilvl="0" w:tplc="AF783384">
      <w:start w:val="1"/>
      <w:numFmt w:val="decimal"/>
      <w:lvlText w:val="%1."/>
      <w:lvlJc w:val="left"/>
      <w:pPr>
        <w:ind w:left="720" w:hanging="360"/>
      </w:pPr>
    </w:lvl>
    <w:lvl w:ilvl="1" w:tplc="C1BE1926">
      <w:start w:val="1"/>
      <w:numFmt w:val="decimal"/>
      <w:lvlText w:val="%2."/>
      <w:lvlJc w:val="left"/>
      <w:pPr>
        <w:ind w:left="720" w:hanging="360"/>
      </w:pPr>
    </w:lvl>
    <w:lvl w:ilvl="2" w:tplc="4796CF98">
      <w:start w:val="1"/>
      <w:numFmt w:val="decimal"/>
      <w:lvlText w:val="%3."/>
      <w:lvlJc w:val="left"/>
      <w:pPr>
        <w:ind w:left="720" w:hanging="360"/>
      </w:pPr>
    </w:lvl>
    <w:lvl w:ilvl="3" w:tplc="94BC6F74">
      <w:start w:val="1"/>
      <w:numFmt w:val="decimal"/>
      <w:lvlText w:val="%4."/>
      <w:lvlJc w:val="left"/>
      <w:pPr>
        <w:ind w:left="720" w:hanging="360"/>
      </w:pPr>
    </w:lvl>
    <w:lvl w:ilvl="4" w:tplc="2E7EF96E">
      <w:start w:val="1"/>
      <w:numFmt w:val="decimal"/>
      <w:lvlText w:val="%5."/>
      <w:lvlJc w:val="left"/>
      <w:pPr>
        <w:ind w:left="720" w:hanging="360"/>
      </w:pPr>
    </w:lvl>
    <w:lvl w:ilvl="5" w:tplc="7E8A07EA">
      <w:start w:val="1"/>
      <w:numFmt w:val="decimal"/>
      <w:lvlText w:val="%6."/>
      <w:lvlJc w:val="left"/>
      <w:pPr>
        <w:ind w:left="720" w:hanging="360"/>
      </w:pPr>
    </w:lvl>
    <w:lvl w:ilvl="6" w:tplc="DE7E2B26">
      <w:start w:val="1"/>
      <w:numFmt w:val="decimal"/>
      <w:lvlText w:val="%7."/>
      <w:lvlJc w:val="left"/>
      <w:pPr>
        <w:ind w:left="720" w:hanging="360"/>
      </w:pPr>
    </w:lvl>
    <w:lvl w:ilvl="7" w:tplc="B32C3E40">
      <w:start w:val="1"/>
      <w:numFmt w:val="decimal"/>
      <w:lvlText w:val="%8."/>
      <w:lvlJc w:val="left"/>
      <w:pPr>
        <w:ind w:left="720" w:hanging="360"/>
      </w:pPr>
    </w:lvl>
    <w:lvl w:ilvl="8" w:tplc="7A4C1136">
      <w:start w:val="1"/>
      <w:numFmt w:val="decimal"/>
      <w:lvlText w:val="%9."/>
      <w:lvlJc w:val="left"/>
      <w:pPr>
        <w:ind w:left="720" w:hanging="360"/>
      </w:pPr>
    </w:lvl>
  </w:abstractNum>
  <w:abstractNum w:abstractNumId="6" w15:restartNumberingAfterBreak="0">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021962"/>
    <w:multiLevelType w:val="multilevel"/>
    <w:tmpl w:val="F5AE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434392"/>
    <w:multiLevelType w:val="hybridMultilevel"/>
    <w:tmpl w:val="FF4003AA"/>
    <w:lvl w:ilvl="0" w:tplc="11C2BD52">
      <w:start w:val="1"/>
      <w:numFmt w:val="decimal"/>
      <w:lvlText w:val="%1."/>
      <w:lvlJc w:val="left"/>
      <w:pPr>
        <w:ind w:left="720" w:hanging="360"/>
      </w:pPr>
    </w:lvl>
    <w:lvl w:ilvl="1" w:tplc="92E6E7D4">
      <w:start w:val="1"/>
      <w:numFmt w:val="decimal"/>
      <w:lvlText w:val="%2."/>
      <w:lvlJc w:val="left"/>
      <w:pPr>
        <w:ind w:left="720" w:hanging="360"/>
      </w:pPr>
    </w:lvl>
    <w:lvl w:ilvl="2" w:tplc="33EC5DFE">
      <w:start w:val="1"/>
      <w:numFmt w:val="decimal"/>
      <w:lvlText w:val="%3."/>
      <w:lvlJc w:val="left"/>
      <w:pPr>
        <w:ind w:left="720" w:hanging="360"/>
      </w:pPr>
    </w:lvl>
    <w:lvl w:ilvl="3" w:tplc="5F2EF6F0">
      <w:start w:val="1"/>
      <w:numFmt w:val="decimal"/>
      <w:lvlText w:val="%4."/>
      <w:lvlJc w:val="left"/>
      <w:pPr>
        <w:ind w:left="720" w:hanging="360"/>
      </w:pPr>
    </w:lvl>
    <w:lvl w:ilvl="4" w:tplc="E6A26370">
      <w:start w:val="1"/>
      <w:numFmt w:val="decimal"/>
      <w:lvlText w:val="%5."/>
      <w:lvlJc w:val="left"/>
      <w:pPr>
        <w:ind w:left="720" w:hanging="360"/>
      </w:pPr>
    </w:lvl>
    <w:lvl w:ilvl="5" w:tplc="286E54FC">
      <w:start w:val="1"/>
      <w:numFmt w:val="decimal"/>
      <w:lvlText w:val="%6."/>
      <w:lvlJc w:val="left"/>
      <w:pPr>
        <w:ind w:left="720" w:hanging="360"/>
      </w:pPr>
    </w:lvl>
    <w:lvl w:ilvl="6" w:tplc="D274592A">
      <w:start w:val="1"/>
      <w:numFmt w:val="decimal"/>
      <w:lvlText w:val="%7."/>
      <w:lvlJc w:val="left"/>
      <w:pPr>
        <w:ind w:left="720" w:hanging="360"/>
      </w:pPr>
    </w:lvl>
    <w:lvl w:ilvl="7" w:tplc="23BAD7EC">
      <w:start w:val="1"/>
      <w:numFmt w:val="decimal"/>
      <w:lvlText w:val="%8."/>
      <w:lvlJc w:val="left"/>
      <w:pPr>
        <w:ind w:left="720" w:hanging="360"/>
      </w:pPr>
    </w:lvl>
    <w:lvl w:ilvl="8" w:tplc="14B85AA2">
      <w:start w:val="1"/>
      <w:numFmt w:val="decimal"/>
      <w:lvlText w:val="%9."/>
      <w:lvlJc w:val="left"/>
      <w:pPr>
        <w:ind w:left="720" w:hanging="360"/>
      </w:pPr>
    </w:lvl>
  </w:abstractNum>
  <w:abstractNum w:abstractNumId="12" w15:restartNumberingAfterBreak="0">
    <w:nsid w:val="37C82ACB"/>
    <w:multiLevelType w:val="hybridMultilevel"/>
    <w:tmpl w:val="D1FE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84B5B"/>
    <w:multiLevelType w:val="hybridMultilevel"/>
    <w:tmpl w:val="F8C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B77422"/>
    <w:multiLevelType w:val="hybridMultilevel"/>
    <w:tmpl w:val="A6EE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9A5392"/>
    <w:multiLevelType w:val="multilevel"/>
    <w:tmpl w:val="C046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297EA4"/>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19" w15:restartNumberingAfterBreak="0">
    <w:nsid w:val="5FF87A99"/>
    <w:multiLevelType w:val="hybridMultilevel"/>
    <w:tmpl w:val="4846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F9189B"/>
    <w:multiLevelType w:val="hybridMultilevel"/>
    <w:tmpl w:val="4DBE0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BA6302"/>
    <w:multiLevelType w:val="hybridMultilevel"/>
    <w:tmpl w:val="428C3F98"/>
    <w:lvl w:ilvl="0" w:tplc="09021228">
      <w:start w:val="1"/>
      <w:numFmt w:val="decimal"/>
      <w:lvlText w:val="%1."/>
      <w:lvlJc w:val="left"/>
      <w:pPr>
        <w:ind w:left="720" w:hanging="360"/>
      </w:pPr>
    </w:lvl>
    <w:lvl w:ilvl="1" w:tplc="F4E0E9E8">
      <w:start w:val="1"/>
      <w:numFmt w:val="decimal"/>
      <w:lvlText w:val="%2."/>
      <w:lvlJc w:val="left"/>
      <w:pPr>
        <w:ind w:left="720" w:hanging="360"/>
      </w:pPr>
    </w:lvl>
    <w:lvl w:ilvl="2" w:tplc="2082A1FC">
      <w:start w:val="1"/>
      <w:numFmt w:val="decimal"/>
      <w:lvlText w:val="%3."/>
      <w:lvlJc w:val="left"/>
      <w:pPr>
        <w:ind w:left="720" w:hanging="360"/>
      </w:pPr>
    </w:lvl>
    <w:lvl w:ilvl="3" w:tplc="ED6845FA">
      <w:start w:val="1"/>
      <w:numFmt w:val="decimal"/>
      <w:lvlText w:val="%4."/>
      <w:lvlJc w:val="left"/>
      <w:pPr>
        <w:ind w:left="720" w:hanging="360"/>
      </w:pPr>
    </w:lvl>
    <w:lvl w:ilvl="4" w:tplc="F3882A40">
      <w:start w:val="1"/>
      <w:numFmt w:val="decimal"/>
      <w:lvlText w:val="%5."/>
      <w:lvlJc w:val="left"/>
      <w:pPr>
        <w:ind w:left="720" w:hanging="360"/>
      </w:pPr>
    </w:lvl>
    <w:lvl w:ilvl="5" w:tplc="52CA8E12">
      <w:start w:val="1"/>
      <w:numFmt w:val="decimal"/>
      <w:lvlText w:val="%6."/>
      <w:lvlJc w:val="left"/>
      <w:pPr>
        <w:ind w:left="720" w:hanging="360"/>
      </w:pPr>
    </w:lvl>
    <w:lvl w:ilvl="6" w:tplc="B372B858">
      <w:start w:val="1"/>
      <w:numFmt w:val="decimal"/>
      <w:lvlText w:val="%7."/>
      <w:lvlJc w:val="left"/>
      <w:pPr>
        <w:ind w:left="720" w:hanging="360"/>
      </w:pPr>
    </w:lvl>
    <w:lvl w:ilvl="7" w:tplc="B67E8E8C">
      <w:start w:val="1"/>
      <w:numFmt w:val="decimal"/>
      <w:lvlText w:val="%8."/>
      <w:lvlJc w:val="left"/>
      <w:pPr>
        <w:ind w:left="720" w:hanging="360"/>
      </w:pPr>
    </w:lvl>
    <w:lvl w:ilvl="8" w:tplc="1D5EE836">
      <w:start w:val="1"/>
      <w:numFmt w:val="decimal"/>
      <w:lvlText w:val="%9."/>
      <w:lvlJc w:val="left"/>
      <w:pPr>
        <w:ind w:left="720" w:hanging="360"/>
      </w:pPr>
    </w:lvl>
  </w:abstractNum>
  <w:abstractNum w:abstractNumId="23" w15:restartNumberingAfterBreak="0">
    <w:nsid w:val="6A255787"/>
    <w:multiLevelType w:val="hybridMultilevel"/>
    <w:tmpl w:val="E8B2A2D0"/>
    <w:lvl w:ilvl="0" w:tplc="C01EBE68">
      <w:start w:val="1"/>
      <w:numFmt w:val="decimal"/>
      <w:lvlText w:val="%1."/>
      <w:lvlJc w:val="left"/>
      <w:pPr>
        <w:ind w:left="720" w:hanging="360"/>
      </w:pPr>
    </w:lvl>
    <w:lvl w:ilvl="1" w:tplc="7918040C">
      <w:start w:val="1"/>
      <w:numFmt w:val="bullet"/>
      <w:lvlText w:val=""/>
      <w:lvlJc w:val="left"/>
      <w:pPr>
        <w:ind w:left="720" w:hanging="360"/>
      </w:pPr>
      <w:rPr>
        <w:rFonts w:ascii="Symbol" w:hAnsi="Symbol"/>
      </w:rPr>
    </w:lvl>
    <w:lvl w:ilvl="2" w:tplc="36A4AA98">
      <w:start w:val="1"/>
      <w:numFmt w:val="decimal"/>
      <w:lvlText w:val="%3."/>
      <w:lvlJc w:val="left"/>
      <w:pPr>
        <w:ind w:left="720" w:hanging="360"/>
      </w:pPr>
    </w:lvl>
    <w:lvl w:ilvl="3" w:tplc="2F925EE8">
      <w:start w:val="1"/>
      <w:numFmt w:val="decimal"/>
      <w:lvlText w:val="%4."/>
      <w:lvlJc w:val="left"/>
      <w:pPr>
        <w:ind w:left="720" w:hanging="360"/>
      </w:pPr>
    </w:lvl>
    <w:lvl w:ilvl="4" w:tplc="561835A6">
      <w:start w:val="1"/>
      <w:numFmt w:val="decimal"/>
      <w:lvlText w:val="%5."/>
      <w:lvlJc w:val="left"/>
      <w:pPr>
        <w:ind w:left="720" w:hanging="360"/>
      </w:pPr>
    </w:lvl>
    <w:lvl w:ilvl="5" w:tplc="858E0A00">
      <w:start w:val="1"/>
      <w:numFmt w:val="decimal"/>
      <w:lvlText w:val="%6."/>
      <w:lvlJc w:val="left"/>
      <w:pPr>
        <w:ind w:left="720" w:hanging="360"/>
      </w:pPr>
    </w:lvl>
    <w:lvl w:ilvl="6" w:tplc="0DBE99F6">
      <w:start w:val="1"/>
      <w:numFmt w:val="decimal"/>
      <w:lvlText w:val="%7."/>
      <w:lvlJc w:val="left"/>
      <w:pPr>
        <w:ind w:left="720" w:hanging="360"/>
      </w:pPr>
    </w:lvl>
    <w:lvl w:ilvl="7" w:tplc="16646B30">
      <w:start w:val="1"/>
      <w:numFmt w:val="decimal"/>
      <w:lvlText w:val="%8."/>
      <w:lvlJc w:val="left"/>
      <w:pPr>
        <w:ind w:left="720" w:hanging="360"/>
      </w:pPr>
    </w:lvl>
    <w:lvl w:ilvl="8" w:tplc="8C7E59C8">
      <w:start w:val="1"/>
      <w:numFmt w:val="decimal"/>
      <w:lvlText w:val="%9."/>
      <w:lvlJc w:val="left"/>
      <w:pPr>
        <w:ind w:left="720" w:hanging="360"/>
      </w:pPr>
    </w:lvl>
  </w:abstractNum>
  <w:abstractNum w:abstractNumId="24" w15:restartNumberingAfterBreak="0">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395606"/>
    <w:multiLevelType w:val="hybridMultilevel"/>
    <w:tmpl w:val="C24A3B46"/>
    <w:lvl w:ilvl="0" w:tplc="41A49488">
      <w:start w:val="1"/>
      <w:numFmt w:val="decimal"/>
      <w:lvlText w:val="%1."/>
      <w:lvlJc w:val="left"/>
      <w:pPr>
        <w:ind w:left="720" w:hanging="360"/>
      </w:pPr>
    </w:lvl>
    <w:lvl w:ilvl="1" w:tplc="A1EEAD20">
      <w:start w:val="1"/>
      <w:numFmt w:val="decimal"/>
      <w:lvlText w:val="%2."/>
      <w:lvlJc w:val="left"/>
      <w:pPr>
        <w:ind w:left="720" w:hanging="360"/>
      </w:pPr>
    </w:lvl>
    <w:lvl w:ilvl="2" w:tplc="1086407A">
      <w:start w:val="1"/>
      <w:numFmt w:val="decimal"/>
      <w:lvlText w:val="%3."/>
      <w:lvlJc w:val="left"/>
      <w:pPr>
        <w:ind w:left="720" w:hanging="360"/>
      </w:pPr>
    </w:lvl>
    <w:lvl w:ilvl="3" w:tplc="D6483326">
      <w:start w:val="1"/>
      <w:numFmt w:val="decimal"/>
      <w:lvlText w:val="%4."/>
      <w:lvlJc w:val="left"/>
      <w:pPr>
        <w:ind w:left="720" w:hanging="360"/>
      </w:pPr>
    </w:lvl>
    <w:lvl w:ilvl="4" w:tplc="856E4752">
      <w:start w:val="1"/>
      <w:numFmt w:val="decimal"/>
      <w:lvlText w:val="%5."/>
      <w:lvlJc w:val="left"/>
      <w:pPr>
        <w:ind w:left="720" w:hanging="360"/>
      </w:pPr>
    </w:lvl>
    <w:lvl w:ilvl="5" w:tplc="9A1E150C">
      <w:start w:val="1"/>
      <w:numFmt w:val="decimal"/>
      <w:lvlText w:val="%6."/>
      <w:lvlJc w:val="left"/>
      <w:pPr>
        <w:ind w:left="720" w:hanging="360"/>
      </w:pPr>
    </w:lvl>
    <w:lvl w:ilvl="6" w:tplc="CF1632A2">
      <w:start w:val="1"/>
      <w:numFmt w:val="decimal"/>
      <w:lvlText w:val="%7."/>
      <w:lvlJc w:val="left"/>
      <w:pPr>
        <w:ind w:left="720" w:hanging="360"/>
      </w:pPr>
    </w:lvl>
    <w:lvl w:ilvl="7" w:tplc="C056316A">
      <w:start w:val="1"/>
      <w:numFmt w:val="decimal"/>
      <w:lvlText w:val="%8."/>
      <w:lvlJc w:val="left"/>
      <w:pPr>
        <w:ind w:left="720" w:hanging="360"/>
      </w:pPr>
    </w:lvl>
    <w:lvl w:ilvl="8" w:tplc="3BC089E8">
      <w:start w:val="1"/>
      <w:numFmt w:val="decimal"/>
      <w:lvlText w:val="%9."/>
      <w:lvlJc w:val="left"/>
      <w:pPr>
        <w:ind w:left="720" w:hanging="360"/>
      </w:pPr>
    </w:lvl>
  </w:abstractNum>
  <w:abstractNum w:abstractNumId="26" w15:restartNumberingAfterBreak="0">
    <w:nsid w:val="6E40642A"/>
    <w:multiLevelType w:val="hybridMultilevel"/>
    <w:tmpl w:val="16762774"/>
    <w:lvl w:ilvl="0" w:tplc="3D9E2076">
      <w:start w:val="1"/>
      <w:numFmt w:val="decimal"/>
      <w:lvlText w:val="%1."/>
      <w:lvlJc w:val="left"/>
      <w:pPr>
        <w:ind w:left="720" w:hanging="360"/>
      </w:pPr>
    </w:lvl>
    <w:lvl w:ilvl="1" w:tplc="E39EABC8">
      <w:start w:val="1"/>
      <w:numFmt w:val="bullet"/>
      <w:lvlText w:val=""/>
      <w:lvlJc w:val="left"/>
      <w:pPr>
        <w:ind w:left="720" w:hanging="360"/>
      </w:pPr>
      <w:rPr>
        <w:rFonts w:ascii="Symbol" w:hAnsi="Symbol"/>
      </w:rPr>
    </w:lvl>
    <w:lvl w:ilvl="2" w:tplc="FB385334">
      <w:start w:val="1"/>
      <w:numFmt w:val="decimal"/>
      <w:lvlText w:val="%3."/>
      <w:lvlJc w:val="left"/>
      <w:pPr>
        <w:ind w:left="720" w:hanging="360"/>
      </w:pPr>
    </w:lvl>
    <w:lvl w:ilvl="3" w:tplc="5796A710">
      <w:start w:val="1"/>
      <w:numFmt w:val="decimal"/>
      <w:lvlText w:val="%4."/>
      <w:lvlJc w:val="left"/>
      <w:pPr>
        <w:ind w:left="720" w:hanging="360"/>
      </w:pPr>
    </w:lvl>
    <w:lvl w:ilvl="4" w:tplc="83A6F3DA">
      <w:start w:val="1"/>
      <w:numFmt w:val="decimal"/>
      <w:lvlText w:val="%5."/>
      <w:lvlJc w:val="left"/>
      <w:pPr>
        <w:ind w:left="720" w:hanging="360"/>
      </w:pPr>
    </w:lvl>
    <w:lvl w:ilvl="5" w:tplc="B9522242">
      <w:start w:val="1"/>
      <w:numFmt w:val="decimal"/>
      <w:lvlText w:val="%6."/>
      <w:lvlJc w:val="left"/>
      <w:pPr>
        <w:ind w:left="720" w:hanging="360"/>
      </w:pPr>
    </w:lvl>
    <w:lvl w:ilvl="6" w:tplc="C0ECD462">
      <w:start w:val="1"/>
      <w:numFmt w:val="decimal"/>
      <w:lvlText w:val="%7."/>
      <w:lvlJc w:val="left"/>
      <w:pPr>
        <w:ind w:left="720" w:hanging="360"/>
      </w:pPr>
    </w:lvl>
    <w:lvl w:ilvl="7" w:tplc="59688660">
      <w:start w:val="1"/>
      <w:numFmt w:val="decimal"/>
      <w:lvlText w:val="%8."/>
      <w:lvlJc w:val="left"/>
      <w:pPr>
        <w:ind w:left="720" w:hanging="360"/>
      </w:pPr>
    </w:lvl>
    <w:lvl w:ilvl="8" w:tplc="B4302B80">
      <w:start w:val="1"/>
      <w:numFmt w:val="decimal"/>
      <w:lvlText w:val="%9."/>
      <w:lvlJc w:val="left"/>
      <w:pPr>
        <w:ind w:left="720" w:hanging="360"/>
      </w:pPr>
    </w:lvl>
  </w:abstractNum>
  <w:abstractNum w:abstractNumId="27" w15:restartNumberingAfterBreak="0">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286583">
    <w:abstractNumId w:val="8"/>
  </w:num>
  <w:num w:numId="2" w16cid:durableId="1520777163">
    <w:abstractNumId w:val="7"/>
  </w:num>
  <w:num w:numId="3" w16cid:durableId="507136603">
    <w:abstractNumId w:val="3"/>
  </w:num>
  <w:num w:numId="4" w16cid:durableId="1847208705">
    <w:abstractNumId w:val="28"/>
  </w:num>
  <w:num w:numId="5" w16cid:durableId="1188061931">
    <w:abstractNumId w:val="15"/>
  </w:num>
  <w:num w:numId="6" w16cid:durableId="887455121">
    <w:abstractNumId w:val="2"/>
  </w:num>
  <w:num w:numId="7" w16cid:durableId="1974629419">
    <w:abstractNumId w:val="6"/>
  </w:num>
  <w:num w:numId="8" w16cid:durableId="1127624809">
    <w:abstractNumId w:val="9"/>
  </w:num>
  <w:num w:numId="9" w16cid:durableId="593132308">
    <w:abstractNumId w:val="27"/>
  </w:num>
  <w:num w:numId="10" w16cid:durableId="1050105432">
    <w:abstractNumId w:val="18"/>
  </w:num>
  <w:num w:numId="11" w16cid:durableId="2132937588">
    <w:abstractNumId w:val="1"/>
  </w:num>
  <w:num w:numId="12" w16cid:durableId="672269814">
    <w:abstractNumId w:val="17"/>
  </w:num>
  <w:num w:numId="13" w16cid:durableId="1768116690">
    <w:abstractNumId w:val="21"/>
  </w:num>
  <w:num w:numId="14" w16cid:durableId="211157374">
    <w:abstractNumId w:val="13"/>
  </w:num>
  <w:num w:numId="15" w16cid:durableId="1442453084">
    <w:abstractNumId w:val="24"/>
  </w:num>
  <w:num w:numId="16" w16cid:durableId="1442872393">
    <w:abstractNumId w:val="10"/>
  </w:num>
  <w:num w:numId="17" w16cid:durableId="2050255296">
    <w:abstractNumId w:val="0"/>
  </w:num>
  <w:num w:numId="18" w16cid:durableId="430315706">
    <w:abstractNumId w:val="4"/>
  </w:num>
  <w:num w:numId="19" w16cid:durableId="1980333391">
    <w:abstractNumId w:val="16"/>
  </w:num>
  <w:num w:numId="20" w16cid:durableId="1515611538">
    <w:abstractNumId w:val="14"/>
  </w:num>
  <w:num w:numId="21" w16cid:durableId="1207255465">
    <w:abstractNumId w:val="19"/>
  </w:num>
  <w:num w:numId="22" w16cid:durableId="1194532955">
    <w:abstractNumId w:val="20"/>
  </w:num>
  <w:num w:numId="23" w16cid:durableId="784420534">
    <w:abstractNumId w:val="12"/>
  </w:num>
  <w:num w:numId="24" w16cid:durableId="603345642">
    <w:abstractNumId w:val="26"/>
  </w:num>
  <w:num w:numId="25" w16cid:durableId="1673682012">
    <w:abstractNumId w:val="23"/>
  </w:num>
  <w:num w:numId="26" w16cid:durableId="159349848">
    <w:abstractNumId w:val="25"/>
  </w:num>
  <w:num w:numId="27" w16cid:durableId="27490738">
    <w:abstractNumId w:val="22"/>
  </w:num>
  <w:num w:numId="28" w16cid:durableId="658113743">
    <w:abstractNumId w:val="11"/>
  </w:num>
  <w:num w:numId="29" w16cid:durableId="1146967957">
    <w:abstractNumId w:val="5"/>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346"/>
    <w:rsid w:val="00013268"/>
    <w:rsid w:val="000141D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4BA5"/>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5F39"/>
    <w:rsid w:val="002267E3"/>
    <w:rsid w:val="00231AB1"/>
    <w:rsid w:val="00232A16"/>
    <w:rsid w:val="0024045F"/>
    <w:rsid w:val="00250CC6"/>
    <w:rsid w:val="00251580"/>
    <w:rsid w:val="002517C5"/>
    <w:rsid w:val="00257F01"/>
    <w:rsid w:val="002610EF"/>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BD6"/>
    <w:rsid w:val="00322CDE"/>
    <w:rsid w:val="003235C8"/>
    <w:rsid w:val="003317DE"/>
    <w:rsid w:val="00333FF1"/>
    <w:rsid w:val="00334002"/>
    <w:rsid w:val="00337E05"/>
    <w:rsid w:val="00343773"/>
    <w:rsid w:val="00356156"/>
    <w:rsid w:val="00360A3F"/>
    <w:rsid w:val="00364C07"/>
    <w:rsid w:val="003656EC"/>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582E"/>
    <w:rsid w:val="00416CC9"/>
    <w:rsid w:val="0042549A"/>
    <w:rsid w:val="00426D93"/>
    <w:rsid w:val="00430A78"/>
    <w:rsid w:val="00431498"/>
    <w:rsid w:val="0043449E"/>
    <w:rsid w:val="00436873"/>
    <w:rsid w:val="00436B59"/>
    <w:rsid w:val="004413CD"/>
    <w:rsid w:val="0044258D"/>
    <w:rsid w:val="00443A60"/>
    <w:rsid w:val="00444B1D"/>
    <w:rsid w:val="00444B3C"/>
    <w:rsid w:val="0044788D"/>
    <w:rsid w:val="00447A5B"/>
    <w:rsid w:val="00447BBB"/>
    <w:rsid w:val="0045129A"/>
    <w:rsid w:val="00454375"/>
    <w:rsid w:val="00456C07"/>
    <w:rsid w:val="00466097"/>
    <w:rsid w:val="004664EA"/>
    <w:rsid w:val="00473518"/>
    <w:rsid w:val="00473F99"/>
    <w:rsid w:val="00475BBF"/>
    <w:rsid w:val="00476433"/>
    <w:rsid w:val="00485BD0"/>
    <w:rsid w:val="00486B51"/>
    <w:rsid w:val="00487152"/>
    <w:rsid w:val="00487F47"/>
    <w:rsid w:val="00492E40"/>
    <w:rsid w:val="0049674D"/>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D08DB"/>
    <w:rsid w:val="005D1768"/>
    <w:rsid w:val="005D2492"/>
    <w:rsid w:val="005D4EED"/>
    <w:rsid w:val="005D60BE"/>
    <w:rsid w:val="005E1A75"/>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504A0"/>
    <w:rsid w:val="0065187E"/>
    <w:rsid w:val="00655684"/>
    <w:rsid w:val="0065664D"/>
    <w:rsid w:val="00661A1D"/>
    <w:rsid w:val="00662D5A"/>
    <w:rsid w:val="00667BBF"/>
    <w:rsid w:val="006731F3"/>
    <w:rsid w:val="00676B85"/>
    <w:rsid w:val="006849A3"/>
    <w:rsid w:val="00685EA7"/>
    <w:rsid w:val="00687F77"/>
    <w:rsid w:val="006907A8"/>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7CA"/>
    <w:rsid w:val="00802EEF"/>
    <w:rsid w:val="008074A2"/>
    <w:rsid w:val="008108DD"/>
    <w:rsid w:val="00810AE7"/>
    <w:rsid w:val="00815D5A"/>
    <w:rsid w:val="008173B3"/>
    <w:rsid w:val="008179CC"/>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043AB"/>
    <w:rsid w:val="00911D75"/>
    <w:rsid w:val="0091315E"/>
    <w:rsid w:val="009139AE"/>
    <w:rsid w:val="0091579E"/>
    <w:rsid w:val="00916122"/>
    <w:rsid w:val="00917C97"/>
    <w:rsid w:val="00920354"/>
    <w:rsid w:val="00922314"/>
    <w:rsid w:val="00930A75"/>
    <w:rsid w:val="0093756B"/>
    <w:rsid w:val="00937A35"/>
    <w:rsid w:val="009400C2"/>
    <w:rsid w:val="00940D4F"/>
    <w:rsid w:val="009462FA"/>
    <w:rsid w:val="009474D8"/>
    <w:rsid w:val="009505DD"/>
    <w:rsid w:val="00954973"/>
    <w:rsid w:val="00955905"/>
    <w:rsid w:val="00955CE1"/>
    <w:rsid w:val="00955E14"/>
    <w:rsid w:val="00956806"/>
    <w:rsid w:val="00962E14"/>
    <w:rsid w:val="00964790"/>
    <w:rsid w:val="0096761A"/>
    <w:rsid w:val="009705B3"/>
    <w:rsid w:val="00971016"/>
    <w:rsid w:val="00976DAD"/>
    <w:rsid w:val="0098132D"/>
    <w:rsid w:val="009813A6"/>
    <w:rsid w:val="009827CE"/>
    <w:rsid w:val="00983AC0"/>
    <w:rsid w:val="00986693"/>
    <w:rsid w:val="009A1384"/>
    <w:rsid w:val="009B595E"/>
    <w:rsid w:val="009B7B1F"/>
    <w:rsid w:val="009B7DC9"/>
    <w:rsid w:val="009C2244"/>
    <w:rsid w:val="009C3C7B"/>
    <w:rsid w:val="009C3CD5"/>
    <w:rsid w:val="009D1D31"/>
    <w:rsid w:val="009D30C0"/>
    <w:rsid w:val="009D3949"/>
    <w:rsid w:val="009D5B9E"/>
    <w:rsid w:val="009E023E"/>
    <w:rsid w:val="009E0862"/>
    <w:rsid w:val="009E0A58"/>
    <w:rsid w:val="009E0EB7"/>
    <w:rsid w:val="009E12D0"/>
    <w:rsid w:val="009E40F2"/>
    <w:rsid w:val="009E4604"/>
    <w:rsid w:val="009F1183"/>
    <w:rsid w:val="009F1514"/>
    <w:rsid w:val="009F2F7B"/>
    <w:rsid w:val="009F3813"/>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3BD3"/>
    <w:rsid w:val="00A73F98"/>
    <w:rsid w:val="00A74A2B"/>
    <w:rsid w:val="00A7525C"/>
    <w:rsid w:val="00A75511"/>
    <w:rsid w:val="00A77B25"/>
    <w:rsid w:val="00A83153"/>
    <w:rsid w:val="00A86BA9"/>
    <w:rsid w:val="00A8785A"/>
    <w:rsid w:val="00A90432"/>
    <w:rsid w:val="00A92BD3"/>
    <w:rsid w:val="00A92C71"/>
    <w:rsid w:val="00AA29C0"/>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62C2"/>
    <w:rsid w:val="00AF65B5"/>
    <w:rsid w:val="00AF72FB"/>
    <w:rsid w:val="00B00D76"/>
    <w:rsid w:val="00B035A4"/>
    <w:rsid w:val="00B03D10"/>
    <w:rsid w:val="00B05FDA"/>
    <w:rsid w:val="00B13ACD"/>
    <w:rsid w:val="00B146C0"/>
    <w:rsid w:val="00B220D0"/>
    <w:rsid w:val="00B32E4E"/>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26EC1"/>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7903"/>
    <w:rsid w:val="00DD4E9D"/>
    <w:rsid w:val="00DD6416"/>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72401"/>
    <w:rsid w:val="00E9009E"/>
    <w:rsid w:val="00E96185"/>
    <w:rsid w:val="00EA0044"/>
    <w:rsid w:val="00EA25DE"/>
    <w:rsid w:val="00EA2C08"/>
    <w:rsid w:val="00EA4081"/>
    <w:rsid w:val="00EA69AC"/>
    <w:rsid w:val="00EB1C3D"/>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D35"/>
    <w:rsid w:val="00F221E3"/>
    <w:rsid w:val="00F262C5"/>
    <w:rsid w:val="00F27EBE"/>
    <w:rsid w:val="00F41960"/>
    <w:rsid w:val="00F43BA7"/>
    <w:rsid w:val="00F4536C"/>
    <w:rsid w:val="00F55531"/>
    <w:rsid w:val="00F55B8F"/>
    <w:rsid w:val="00F55E7B"/>
    <w:rsid w:val="00F5781A"/>
    <w:rsid w:val="00F601F6"/>
    <w:rsid w:val="00F628F0"/>
    <w:rsid w:val="00F65912"/>
    <w:rsid w:val="00F700E3"/>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E6D40"/>
    <w:rsid w:val="00FF115F"/>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CC5B54B8-362C-4F3C-A871-0732E272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sid w:val="00E41727"/>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42549A"/>
    <w:rPr>
      <w:color w:val="0000FF" w:themeColor="hyperlink"/>
      <w:u w:val="single"/>
    </w:rPr>
  </w:style>
  <w:style w:type="character" w:customStyle="1" w:styleId="1">
    <w:name w:val="إشارة لم يتم حلها1"/>
    <w:basedOn w:val="DefaultParagraphFont"/>
    <w:uiPriority w:val="99"/>
    <w:semiHidden/>
    <w:unhideWhenUsed/>
    <w:rsid w:val="0042549A"/>
    <w:rPr>
      <w:color w:val="605E5C"/>
      <w:shd w:val="clear" w:color="auto" w:fill="E1DFDD"/>
    </w:rPr>
  </w:style>
  <w:style w:type="character" w:styleId="FollowedHyperlink">
    <w:name w:val="FollowedHyperlink"/>
    <w:basedOn w:val="DefaultParagraphFont"/>
    <w:uiPriority w:val="99"/>
    <w:semiHidden/>
    <w:unhideWhenUsed/>
    <w:rsid w:val="00D169B9"/>
    <w:rPr>
      <w:color w:val="800080" w:themeColor="followedHyperlink"/>
      <w:u w:val="single"/>
    </w:rPr>
  </w:style>
  <w:style w:type="character" w:customStyle="1" w:styleId="relative">
    <w:name w:val="relative"/>
    <w:basedOn w:val="DefaultParagraphFont"/>
    <w:rsid w:val="008B5CA5"/>
  </w:style>
  <w:style w:type="character" w:styleId="Emphasis">
    <w:name w:val="Emphasis"/>
    <w:basedOn w:val="DefaultParagraphFont"/>
    <w:uiPriority w:val="20"/>
    <w:qFormat/>
    <w:rsid w:val="008B5CA5"/>
    <w:rPr>
      <w:i/>
      <w:iCs/>
    </w:rPr>
  </w:style>
  <w:style w:type="character" w:customStyle="1" w:styleId="ms-1">
    <w:name w:val="ms-1"/>
    <w:basedOn w:val="DefaultParagraphFont"/>
    <w:rsid w:val="008B5CA5"/>
  </w:style>
  <w:style w:type="character" w:customStyle="1" w:styleId="max-w-full">
    <w:name w:val="max-w-full"/>
    <w:basedOn w:val="DefaultParagraphFont"/>
    <w:rsid w:val="008B5CA5"/>
  </w:style>
  <w:style w:type="character" w:customStyle="1" w:styleId="-me-1">
    <w:name w:val="-me-1"/>
    <w:basedOn w:val="DefaultParagraphFont"/>
    <w:rsid w:val="008B5CA5"/>
  </w:style>
  <w:style w:type="character" w:styleId="CommentReference">
    <w:name w:val="annotation reference"/>
    <w:basedOn w:val="DefaultParagraphFont"/>
    <w:uiPriority w:val="99"/>
    <w:semiHidden/>
    <w:unhideWhenUsed/>
    <w:rsid w:val="009F3813"/>
    <w:rPr>
      <w:sz w:val="16"/>
      <w:szCs w:val="16"/>
    </w:rPr>
  </w:style>
  <w:style w:type="paragraph" w:styleId="CommentText">
    <w:name w:val="annotation text"/>
    <w:basedOn w:val="Normal"/>
    <w:link w:val="CommentTextChar"/>
    <w:uiPriority w:val="99"/>
    <w:unhideWhenUsed/>
    <w:rsid w:val="009F3813"/>
    <w:pPr>
      <w:spacing w:line="240" w:lineRule="auto"/>
    </w:pPr>
    <w:rPr>
      <w:sz w:val="20"/>
      <w:szCs w:val="20"/>
    </w:rPr>
  </w:style>
  <w:style w:type="character" w:customStyle="1" w:styleId="CommentTextChar">
    <w:name w:val="Comment Text Char"/>
    <w:basedOn w:val="DefaultParagraphFont"/>
    <w:link w:val="CommentText"/>
    <w:uiPriority w:val="99"/>
    <w:rsid w:val="009F3813"/>
    <w:rPr>
      <w:sz w:val="20"/>
      <w:szCs w:val="20"/>
    </w:rPr>
  </w:style>
  <w:style w:type="paragraph" w:styleId="CommentSubject">
    <w:name w:val="annotation subject"/>
    <w:basedOn w:val="CommentText"/>
    <w:next w:val="CommentText"/>
    <w:link w:val="CommentSubjectChar"/>
    <w:uiPriority w:val="99"/>
    <w:semiHidden/>
    <w:unhideWhenUsed/>
    <w:rsid w:val="009F3813"/>
    <w:rPr>
      <w:b/>
      <w:bCs/>
    </w:rPr>
  </w:style>
  <w:style w:type="character" w:customStyle="1" w:styleId="CommentSubjectChar">
    <w:name w:val="Comment Subject Char"/>
    <w:basedOn w:val="CommentTextChar"/>
    <w:link w:val="CommentSubject"/>
    <w:uiPriority w:val="99"/>
    <w:semiHidden/>
    <w:rsid w:val="009F38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0517287">
      <w:bodyDiv w:val="1"/>
      <w:marLeft w:val="0"/>
      <w:marRight w:val="0"/>
      <w:marTop w:val="0"/>
      <w:marBottom w:val="0"/>
      <w:divBdr>
        <w:top w:val="none" w:sz="0" w:space="0" w:color="auto"/>
        <w:left w:val="none" w:sz="0" w:space="0" w:color="auto"/>
        <w:bottom w:val="none" w:sz="0" w:space="0" w:color="auto"/>
        <w:right w:val="none" w:sz="0" w:space="0" w:color="auto"/>
      </w:divBdr>
    </w:div>
    <w:div w:id="218281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8555078">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7286154">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4428899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6769583">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6501011">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24859">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584668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75292476">
      <w:bodyDiv w:val="1"/>
      <w:marLeft w:val="0"/>
      <w:marRight w:val="0"/>
      <w:marTop w:val="0"/>
      <w:marBottom w:val="0"/>
      <w:divBdr>
        <w:top w:val="none" w:sz="0" w:space="0" w:color="auto"/>
        <w:left w:val="none" w:sz="0" w:space="0" w:color="auto"/>
        <w:bottom w:val="none" w:sz="0" w:space="0" w:color="auto"/>
        <w:right w:val="none" w:sz="0" w:space="0" w:color="auto"/>
      </w:divBdr>
      <w:divsChild>
        <w:div w:id="132914276">
          <w:marLeft w:val="0"/>
          <w:marRight w:val="0"/>
          <w:marTop w:val="0"/>
          <w:marBottom w:val="0"/>
          <w:divBdr>
            <w:top w:val="none" w:sz="0" w:space="0" w:color="auto"/>
            <w:left w:val="none" w:sz="0" w:space="0" w:color="auto"/>
            <w:bottom w:val="none" w:sz="0" w:space="0" w:color="auto"/>
            <w:right w:val="none" w:sz="0" w:space="0" w:color="auto"/>
          </w:divBdr>
          <w:divsChild>
            <w:div w:id="508065951">
              <w:marLeft w:val="0"/>
              <w:marRight w:val="0"/>
              <w:marTop w:val="0"/>
              <w:marBottom w:val="0"/>
              <w:divBdr>
                <w:top w:val="none" w:sz="0" w:space="0" w:color="auto"/>
                <w:left w:val="none" w:sz="0" w:space="0" w:color="auto"/>
                <w:bottom w:val="none" w:sz="0" w:space="0" w:color="auto"/>
                <w:right w:val="none" w:sz="0" w:space="0" w:color="auto"/>
              </w:divBdr>
              <w:divsChild>
                <w:div w:id="1875803549">
                  <w:marLeft w:val="0"/>
                  <w:marRight w:val="0"/>
                  <w:marTop w:val="0"/>
                  <w:marBottom w:val="0"/>
                  <w:divBdr>
                    <w:top w:val="none" w:sz="0" w:space="0" w:color="auto"/>
                    <w:left w:val="none" w:sz="0" w:space="0" w:color="auto"/>
                    <w:bottom w:val="none" w:sz="0" w:space="0" w:color="auto"/>
                    <w:right w:val="none" w:sz="0" w:space="0" w:color="auto"/>
                  </w:divBdr>
                  <w:divsChild>
                    <w:div w:id="1612275812">
                      <w:marLeft w:val="0"/>
                      <w:marRight w:val="0"/>
                      <w:marTop w:val="0"/>
                      <w:marBottom w:val="0"/>
                      <w:divBdr>
                        <w:top w:val="none" w:sz="0" w:space="0" w:color="auto"/>
                        <w:left w:val="none" w:sz="0" w:space="0" w:color="auto"/>
                        <w:bottom w:val="none" w:sz="0" w:space="0" w:color="auto"/>
                        <w:right w:val="none" w:sz="0" w:space="0" w:color="auto"/>
                      </w:divBdr>
                      <w:divsChild>
                        <w:div w:id="489292329">
                          <w:marLeft w:val="0"/>
                          <w:marRight w:val="0"/>
                          <w:marTop w:val="0"/>
                          <w:marBottom w:val="0"/>
                          <w:divBdr>
                            <w:top w:val="none" w:sz="0" w:space="0" w:color="auto"/>
                            <w:left w:val="none" w:sz="0" w:space="0" w:color="auto"/>
                            <w:bottom w:val="none" w:sz="0" w:space="0" w:color="auto"/>
                            <w:right w:val="none" w:sz="0" w:space="0" w:color="auto"/>
                          </w:divBdr>
                          <w:divsChild>
                            <w:div w:id="442459944">
                              <w:marLeft w:val="0"/>
                              <w:marRight w:val="0"/>
                              <w:marTop w:val="0"/>
                              <w:marBottom w:val="0"/>
                              <w:divBdr>
                                <w:top w:val="none" w:sz="0" w:space="0" w:color="auto"/>
                                <w:left w:val="none" w:sz="0" w:space="0" w:color="auto"/>
                                <w:bottom w:val="none" w:sz="0" w:space="0" w:color="auto"/>
                                <w:right w:val="none" w:sz="0" w:space="0" w:color="auto"/>
                              </w:divBdr>
                              <w:divsChild>
                                <w:div w:id="1023365615">
                                  <w:marLeft w:val="0"/>
                                  <w:marRight w:val="0"/>
                                  <w:marTop w:val="0"/>
                                  <w:marBottom w:val="0"/>
                                  <w:divBdr>
                                    <w:top w:val="none" w:sz="0" w:space="0" w:color="auto"/>
                                    <w:left w:val="none" w:sz="0" w:space="0" w:color="auto"/>
                                    <w:bottom w:val="none" w:sz="0" w:space="0" w:color="auto"/>
                                    <w:right w:val="none" w:sz="0" w:space="0" w:color="auto"/>
                                  </w:divBdr>
                                  <w:divsChild>
                                    <w:div w:id="1208034218">
                                      <w:marLeft w:val="0"/>
                                      <w:marRight w:val="0"/>
                                      <w:marTop w:val="0"/>
                                      <w:marBottom w:val="0"/>
                                      <w:divBdr>
                                        <w:top w:val="none" w:sz="0" w:space="0" w:color="auto"/>
                                        <w:left w:val="none" w:sz="0" w:space="0" w:color="auto"/>
                                        <w:bottom w:val="none" w:sz="0" w:space="0" w:color="auto"/>
                                        <w:right w:val="none" w:sz="0" w:space="0" w:color="auto"/>
                                      </w:divBdr>
                                      <w:divsChild>
                                        <w:div w:id="567695565">
                                          <w:marLeft w:val="0"/>
                                          <w:marRight w:val="0"/>
                                          <w:marTop w:val="0"/>
                                          <w:marBottom w:val="0"/>
                                          <w:divBdr>
                                            <w:top w:val="none" w:sz="0" w:space="0" w:color="auto"/>
                                            <w:left w:val="none" w:sz="0" w:space="0" w:color="auto"/>
                                            <w:bottom w:val="none" w:sz="0" w:space="0" w:color="auto"/>
                                            <w:right w:val="none" w:sz="0" w:space="0" w:color="auto"/>
                                          </w:divBdr>
                                          <w:divsChild>
                                            <w:div w:id="2108841831">
                                              <w:marLeft w:val="0"/>
                                              <w:marRight w:val="0"/>
                                              <w:marTop w:val="0"/>
                                              <w:marBottom w:val="0"/>
                                              <w:divBdr>
                                                <w:top w:val="none" w:sz="0" w:space="0" w:color="auto"/>
                                                <w:left w:val="none" w:sz="0" w:space="0" w:color="auto"/>
                                                <w:bottom w:val="none" w:sz="0" w:space="0" w:color="auto"/>
                                                <w:right w:val="none" w:sz="0" w:space="0" w:color="auto"/>
                                              </w:divBdr>
                                              <w:divsChild>
                                                <w:div w:id="798183403">
                                                  <w:marLeft w:val="0"/>
                                                  <w:marRight w:val="0"/>
                                                  <w:marTop w:val="0"/>
                                                  <w:marBottom w:val="0"/>
                                                  <w:divBdr>
                                                    <w:top w:val="none" w:sz="0" w:space="0" w:color="auto"/>
                                                    <w:left w:val="none" w:sz="0" w:space="0" w:color="auto"/>
                                                    <w:bottom w:val="none" w:sz="0" w:space="0" w:color="auto"/>
                                                    <w:right w:val="none" w:sz="0" w:space="0" w:color="auto"/>
                                                  </w:divBdr>
                                                  <w:divsChild>
                                                    <w:div w:id="1987200216">
                                                      <w:marLeft w:val="0"/>
                                                      <w:marRight w:val="0"/>
                                                      <w:marTop w:val="0"/>
                                                      <w:marBottom w:val="0"/>
                                                      <w:divBdr>
                                                        <w:top w:val="none" w:sz="0" w:space="0" w:color="auto"/>
                                                        <w:left w:val="none" w:sz="0" w:space="0" w:color="auto"/>
                                                        <w:bottom w:val="none" w:sz="0" w:space="0" w:color="auto"/>
                                                        <w:right w:val="none" w:sz="0" w:space="0" w:color="auto"/>
                                                      </w:divBdr>
                                                      <w:divsChild>
                                                        <w:div w:id="147553852">
                                                          <w:marLeft w:val="0"/>
                                                          <w:marRight w:val="0"/>
                                                          <w:marTop w:val="0"/>
                                                          <w:marBottom w:val="0"/>
                                                          <w:divBdr>
                                                            <w:top w:val="none" w:sz="0" w:space="0" w:color="auto"/>
                                                            <w:left w:val="none" w:sz="0" w:space="0" w:color="auto"/>
                                                            <w:bottom w:val="none" w:sz="0" w:space="0" w:color="auto"/>
                                                            <w:right w:val="none" w:sz="0" w:space="0" w:color="auto"/>
                                                          </w:divBdr>
                                                          <w:divsChild>
                                                            <w:div w:id="807286207">
                                                              <w:marLeft w:val="0"/>
                                                              <w:marRight w:val="0"/>
                                                              <w:marTop w:val="0"/>
                                                              <w:marBottom w:val="0"/>
                                                              <w:divBdr>
                                                                <w:top w:val="none" w:sz="0" w:space="0" w:color="auto"/>
                                                                <w:left w:val="none" w:sz="0" w:space="0" w:color="auto"/>
                                                                <w:bottom w:val="none" w:sz="0" w:space="0" w:color="auto"/>
                                                                <w:right w:val="none" w:sz="0" w:space="0" w:color="auto"/>
                                                              </w:divBdr>
                                                              <w:divsChild>
                                                                <w:div w:id="1364793480">
                                                                  <w:marLeft w:val="0"/>
                                                                  <w:marRight w:val="0"/>
                                                                  <w:marTop w:val="0"/>
                                                                  <w:marBottom w:val="0"/>
                                                                  <w:divBdr>
                                                                    <w:top w:val="none" w:sz="0" w:space="0" w:color="auto"/>
                                                                    <w:left w:val="none" w:sz="0" w:space="0" w:color="auto"/>
                                                                    <w:bottom w:val="none" w:sz="0" w:space="0" w:color="auto"/>
                                                                    <w:right w:val="none" w:sz="0" w:space="0" w:color="auto"/>
                                                                  </w:divBdr>
                                                                  <w:divsChild>
                                                                    <w:div w:id="5118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222419">
                                  <w:marLeft w:val="0"/>
                                  <w:marRight w:val="0"/>
                                  <w:marTop w:val="0"/>
                                  <w:marBottom w:val="0"/>
                                  <w:divBdr>
                                    <w:top w:val="none" w:sz="0" w:space="0" w:color="auto"/>
                                    <w:left w:val="none" w:sz="0" w:space="0" w:color="auto"/>
                                    <w:bottom w:val="none" w:sz="0" w:space="0" w:color="auto"/>
                                    <w:right w:val="none" w:sz="0" w:space="0" w:color="auto"/>
                                  </w:divBdr>
                                  <w:divsChild>
                                    <w:div w:id="1307591921">
                                      <w:marLeft w:val="0"/>
                                      <w:marRight w:val="0"/>
                                      <w:marTop w:val="0"/>
                                      <w:marBottom w:val="0"/>
                                      <w:divBdr>
                                        <w:top w:val="none" w:sz="0" w:space="0" w:color="auto"/>
                                        <w:left w:val="none" w:sz="0" w:space="0" w:color="auto"/>
                                        <w:bottom w:val="none" w:sz="0" w:space="0" w:color="auto"/>
                                        <w:right w:val="none" w:sz="0" w:space="0" w:color="auto"/>
                                      </w:divBdr>
                                      <w:divsChild>
                                        <w:div w:id="1018193842">
                                          <w:marLeft w:val="0"/>
                                          <w:marRight w:val="0"/>
                                          <w:marTop w:val="0"/>
                                          <w:marBottom w:val="0"/>
                                          <w:divBdr>
                                            <w:top w:val="none" w:sz="0" w:space="0" w:color="auto"/>
                                            <w:left w:val="none" w:sz="0" w:space="0" w:color="auto"/>
                                            <w:bottom w:val="none" w:sz="0" w:space="0" w:color="auto"/>
                                            <w:right w:val="none" w:sz="0" w:space="0" w:color="auto"/>
                                          </w:divBdr>
                                          <w:divsChild>
                                            <w:div w:id="515314150">
                                              <w:marLeft w:val="0"/>
                                              <w:marRight w:val="0"/>
                                              <w:marTop w:val="0"/>
                                              <w:marBottom w:val="0"/>
                                              <w:divBdr>
                                                <w:top w:val="none" w:sz="0" w:space="0" w:color="auto"/>
                                                <w:left w:val="none" w:sz="0" w:space="0" w:color="auto"/>
                                                <w:bottom w:val="none" w:sz="0" w:space="0" w:color="auto"/>
                                                <w:right w:val="none" w:sz="0" w:space="0" w:color="auto"/>
                                              </w:divBdr>
                                              <w:divsChild>
                                                <w:div w:id="706881032">
                                                  <w:marLeft w:val="0"/>
                                                  <w:marRight w:val="0"/>
                                                  <w:marTop w:val="0"/>
                                                  <w:marBottom w:val="0"/>
                                                  <w:divBdr>
                                                    <w:top w:val="none" w:sz="0" w:space="0" w:color="auto"/>
                                                    <w:left w:val="none" w:sz="0" w:space="0" w:color="auto"/>
                                                    <w:bottom w:val="none" w:sz="0" w:space="0" w:color="auto"/>
                                                    <w:right w:val="none" w:sz="0" w:space="0" w:color="auto"/>
                                                  </w:divBdr>
                                                  <w:divsChild>
                                                    <w:div w:id="735322155">
                                                      <w:marLeft w:val="0"/>
                                                      <w:marRight w:val="0"/>
                                                      <w:marTop w:val="0"/>
                                                      <w:marBottom w:val="0"/>
                                                      <w:divBdr>
                                                        <w:top w:val="none" w:sz="0" w:space="0" w:color="auto"/>
                                                        <w:left w:val="none" w:sz="0" w:space="0" w:color="auto"/>
                                                        <w:bottom w:val="none" w:sz="0" w:space="0" w:color="auto"/>
                                                        <w:right w:val="none" w:sz="0" w:space="0" w:color="auto"/>
                                                      </w:divBdr>
                                                      <w:divsChild>
                                                        <w:div w:id="1886139877">
                                                          <w:marLeft w:val="0"/>
                                                          <w:marRight w:val="0"/>
                                                          <w:marTop w:val="0"/>
                                                          <w:marBottom w:val="0"/>
                                                          <w:divBdr>
                                                            <w:top w:val="none" w:sz="0" w:space="0" w:color="auto"/>
                                                            <w:left w:val="none" w:sz="0" w:space="0" w:color="auto"/>
                                                            <w:bottom w:val="none" w:sz="0" w:space="0" w:color="auto"/>
                                                            <w:right w:val="none" w:sz="0" w:space="0" w:color="auto"/>
                                                          </w:divBdr>
                                                          <w:divsChild>
                                                            <w:div w:id="1048453339">
                                                              <w:marLeft w:val="0"/>
                                                              <w:marRight w:val="0"/>
                                                              <w:marTop w:val="0"/>
                                                              <w:marBottom w:val="0"/>
                                                              <w:divBdr>
                                                                <w:top w:val="none" w:sz="0" w:space="0" w:color="auto"/>
                                                                <w:left w:val="none" w:sz="0" w:space="0" w:color="auto"/>
                                                                <w:bottom w:val="none" w:sz="0" w:space="0" w:color="auto"/>
                                                                <w:right w:val="none" w:sz="0" w:space="0" w:color="auto"/>
                                                              </w:divBdr>
                                                              <w:divsChild>
                                                                <w:div w:id="1289315957">
                                                                  <w:marLeft w:val="0"/>
                                                                  <w:marRight w:val="0"/>
                                                                  <w:marTop w:val="0"/>
                                                                  <w:marBottom w:val="0"/>
                                                                  <w:divBdr>
                                                                    <w:top w:val="none" w:sz="0" w:space="0" w:color="auto"/>
                                                                    <w:left w:val="none" w:sz="0" w:space="0" w:color="auto"/>
                                                                    <w:bottom w:val="none" w:sz="0" w:space="0" w:color="auto"/>
                                                                    <w:right w:val="none" w:sz="0" w:space="0" w:color="auto"/>
                                                                  </w:divBdr>
                                                                  <w:divsChild>
                                                                    <w:div w:id="1804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637">
                                      <w:marLeft w:val="0"/>
                                      <w:marRight w:val="0"/>
                                      <w:marTop w:val="0"/>
                                      <w:marBottom w:val="0"/>
                                      <w:divBdr>
                                        <w:top w:val="none" w:sz="0" w:space="0" w:color="auto"/>
                                        <w:left w:val="none" w:sz="0" w:space="0" w:color="auto"/>
                                        <w:bottom w:val="none" w:sz="0" w:space="0" w:color="auto"/>
                                        <w:right w:val="none" w:sz="0" w:space="0" w:color="auto"/>
                                      </w:divBdr>
                                      <w:divsChild>
                                        <w:div w:id="153585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3762462">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3907154">
      <w:bodyDiv w:val="1"/>
      <w:marLeft w:val="0"/>
      <w:marRight w:val="0"/>
      <w:marTop w:val="0"/>
      <w:marBottom w:val="0"/>
      <w:divBdr>
        <w:top w:val="none" w:sz="0" w:space="0" w:color="auto"/>
        <w:left w:val="none" w:sz="0" w:space="0" w:color="auto"/>
        <w:bottom w:val="none" w:sz="0" w:space="0" w:color="auto"/>
        <w:right w:val="none" w:sz="0" w:space="0" w:color="auto"/>
      </w:divBdr>
    </w:div>
    <w:div w:id="1154417908">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3376214">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1413135">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4318577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6716353">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796868980">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288285">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openxmlformats.org/officeDocument/2006/relationships/hyperlink" Target="https://doi.org/10.3389/feduc.2024.1363175"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doi.org/10.1080/135406002100000512" TargetMode="Externa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doi.org/10.17507/tpls.1209.0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21608/mrk.2022.256812" TargetMode="External"/><Relationship Id="rId20" Type="http://schemas.openxmlformats.org/officeDocument/2006/relationships/hyperlink" Target="https://doi.org/10.3102/00028312038004915"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hyperlink" Target="https://doi.org/10.3102/0013189X01500200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1703/gesr.2021(VI-IV).21" TargetMode="External"/><Relationship Id="rId23" Type="http://schemas.openxmlformats.org/officeDocument/2006/relationships/hyperlink" Target="https://doi.org/10.1787/1d0bc92a-en" TargetMode="External"/><Relationship Id="rId28"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s://doi.org/10.3102/0013189X08331140" TargetMode="Externa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 Id="rId22" Type="http://schemas.openxmlformats.org/officeDocument/2006/relationships/hyperlink" Target="https://doi.org/10.31703/gssr.2023(VIII-II).29" TargetMode="External"/><Relationship Id="rId27" Type="http://schemas.openxmlformats.org/officeDocument/2006/relationships/footer" Target="footer3.xml"/><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561D6-0E86-4C45-A302-E396513E1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55</Pages>
  <Words>10597</Words>
  <Characters>60406</Characters>
  <Application>Microsoft Office Word</Application>
  <DocSecurity>0</DocSecurity>
  <Lines>503</Lines>
  <Paragraphs>141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Dr. Mohammed</cp:lastModifiedBy>
  <cp:revision>2</cp:revision>
  <cp:lastPrinted>2025-11-09T14:40:00Z</cp:lastPrinted>
  <dcterms:created xsi:type="dcterms:W3CDTF">2026-04-03T16:57:00Z</dcterms:created>
  <dcterms:modified xsi:type="dcterms:W3CDTF">2026-04-03T16:57:00Z</dcterms:modified>
</cp:coreProperties>
</file>