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9E0C5A1" w:rsidR="009125CE" w:rsidRPr="00AD2516" w:rsidRDefault="00997804" w:rsidP="00997804">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AD2516">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923CC6A">
            <wp:simplePos x="0" y="0"/>
            <wp:positionH relativeFrom="margin">
              <wp:posOffset>300990</wp:posOffset>
            </wp:positionH>
            <wp:positionV relativeFrom="margin">
              <wp:posOffset>-133350</wp:posOffset>
            </wp:positionV>
            <wp:extent cx="1548765" cy="143700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48765" cy="1437005"/>
                    </a:xfrm>
                    <a:prstGeom prst="rect">
                      <a:avLst/>
                    </a:prstGeom>
                  </pic:spPr>
                </pic:pic>
              </a:graphicData>
            </a:graphic>
            <wp14:sizeRelH relativeFrom="margin">
              <wp14:pctWidth>0</wp14:pctWidth>
            </wp14:sizeRelH>
            <wp14:sizeRelV relativeFrom="margin">
              <wp14:pctHeight>0</wp14:pctHeight>
            </wp14:sizeRelV>
          </wp:anchor>
        </w:drawing>
      </w:r>
      <w:r w:rsidR="009125CE" w:rsidRPr="00AD2516">
        <w:rPr>
          <w:rFonts w:ascii="Simplified Arabic" w:hAnsi="Simplified Arabic" w:cs="Simplified Arabic"/>
          <w:b/>
          <w:bCs/>
          <w:color w:val="000000" w:themeColor="text1"/>
          <w:sz w:val="32"/>
          <w:szCs w:val="32"/>
          <w:rtl/>
          <w:lang w:bidi="ar-EG"/>
        </w:rPr>
        <w:t xml:space="preserve">جامعة ميدأوشن </w:t>
      </w:r>
    </w:p>
    <w:p w14:paraId="1E957002" w14:textId="2720A182" w:rsidR="00F546CE" w:rsidRPr="00AD2516" w:rsidRDefault="009125CE" w:rsidP="0099780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D2516">
        <w:rPr>
          <w:rFonts w:ascii="Simplified Arabic" w:hAnsi="Simplified Arabic" w:cs="Simplified Arabic"/>
          <w:b/>
          <w:bCs/>
          <w:color w:val="000000" w:themeColor="text1"/>
          <w:sz w:val="32"/>
          <w:szCs w:val="32"/>
          <w:rtl/>
          <w:lang w:bidi="ar-EG"/>
        </w:rPr>
        <w:t xml:space="preserve">كلية </w:t>
      </w:r>
      <w:r w:rsidR="008C42C1" w:rsidRPr="00AD2516">
        <w:rPr>
          <w:rFonts w:ascii="Simplified Arabic" w:hAnsi="Simplified Arabic" w:cs="Simplified Arabic"/>
          <w:b/>
          <w:bCs/>
          <w:color w:val="000000" w:themeColor="text1"/>
          <w:sz w:val="32"/>
          <w:szCs w:val="32"/>
          <w:rtl/>
          <w:lang w:bidi="ar-EG"/>
        </w:rPr>
        <w:t>الإدارة</w:t>
      </w:r>
      <w:r w:rsidRPr="00AD2516">
        <w:rPr>
          <w:rFonts w:ascii="Simplified Arabic" w:hAnsi="Simplified Arabic" w:cs="Simplified Arabic"/>
          <w:b/>
          <w:bCs/>
          <w:color w:val="000000" w:themeColor="text1"/>
          <w:sz w:val="32"/>
          <w:szCs w:val="32"/>
          <w:rtl/>
          <w:lang w:bidi="ar-EG"/>
        </w:rPr>
        <w:t xml:space="preserve"> </w:t>
      </w:r>
    </w:p>
    <w:p w14:paraId="0A25F43C" w14:textId="69DC06E9" w:rsidR="008C7BB4" w:rsidRPr="00AD2516" w:rsidRDefault="002E360D" w:rsidP="0099780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D2516">
        <w:rPr>
          <w:rFonts w:ascii="Simplified Arabic" w:hAnsi="Simplified Arabic" w:cs="Simplified Arabic"/>
          <w:b/>
          <w:bCs/>
          <w:color w:val="000000" w:themeColor="text1"/>
          <w:sz w:val="32"/>
          <w:szCs w:val="32"/>
          <w:rtl/>
          <w:lang w:bidi="ar-EG"/>
        </w:rPr>
        <w:t xml:space="preserve">ماجستير </w:t>
      </w:r>
      <w:r w:rsidR="00734767" w:rsidRPr="00AD2516">
        <w:rPr>
          <w:rFonts w:ascii="Simplified Arabic" w:hAnsi="Simplified Arabic" w:cs="Simplified Arabic"/>
          <w:b/>
          <w:bCs/>
          <w:color w:val="000000" w:themeColor="text1"/>
          <w:sz w:val="32"/>
          <w:szCs w:val="32"/>
          <w:rtl/>
          <w:lang w:bidi="ar-EG"/>
        </w:rPr>
        <w:t xml:space="preserve">إدارة </w:t>
      </w:r>
      <w:r w:rsidR="002E19C7" w:rsidRPr="00AD2516">
        <w:rPr>
          <w:rFonts w:ascii="Simplified Arabic" w:hAnsi="Simplified Arabic" w:cs="Simplified Arabic"/>
          <w:b/>
          <w:bCs/>
          <w:color w:val="000000" w:themeColor="text1"/>
          <w:sz w:val="32"/>
          <w:szCs w:val="32"/>
          <w:rtl/>
          <w:lang w:bidi="ar-EG"/>
        </w:rPr>
        <w:t>الاعمال</w:t>
      </w:r>
    </w:p>
    <w:p w14:paraId="5F6542BF" w14:textId="77777777" w:rsidR="009125CE" w:rsidRPr="00AD2516" w:rsidRDefault="009125CE" w:rsidP="0099780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5A179B13" w14:textId="77777777" w:rsidR="00040EBF" w:rsidRPr="00AD2516" w:rsidRDefault="00040EBF" w:rsidP="00997804">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AD2516">
        <w:rPr>
          <w:rFonts w:ascii="Simplified Arabic" w:hAnsi="Simplified Arabic" w:cs="Simplified Arabic"/>
          <w:b/>
          <w:bCs/>
          <w:color w:val="000000" w:themeColor="text1"/>
          <w:sz w:val="40"/>
          <w:szCs w:val="40"/>
          <w:rtl/>
        </w:rPr>
        <w:t>أثر تطبيق مؤشرات الأداء الذكية المعتمدة على التحليلات التنبؤية على رفع كفاءة العمليات وتقليل الهدر: دراسة تطبيقية على شركات الخدمات اللوجستية بالمنطقة الشرقية.</w:t>
      </w:r>
    </w:p>
    <w:p w14:paraId="751A7E65" w14:textId="3C3E26A3" w:rsidR="009125CE" w:rsidRPr="00AD2516" w:rsidRDefault="009125CE" w:rsidP="009978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D2516">
        <w:rPr>
          <w:rFonts w:ascii="Simplified Arabic" w:hAnsi="Simplified Arabic" w:cs="Simplified Arabic"/>
          <w:b/>
          <w:bCs/>
          <w:color w:val="000000" w:themeColor="text1"/>
          <w:sz w:val="36"/>
          <w:szCs w:val="36"/>
          <w:rtl/>
          <w:lang w:bidi="ar-EG"/>
        </w:rPr>
        <w:t>إعداد الطالب/</w:t>
      </w:r>
    </w:p>
    <w:p w14:paraId="34085E1A" w14:textId="77777777" w:rsidR="00CE4929" w:rsidRPr="00A50EFF" w:rsidRDefault="00CE4929" w:rsidP="00CE492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A50EFF">
        <w:rPr>
          <w:rFonts w:ascii="Simplified Arabic" w:hAnsi="Simplified Arabic" w:cs="Simplified Arabic"/>
          <w:color w:val="000000" w:themeColor="text1"/>
          <w:sz w:val="36"/>
          <w:szCs w:val="36"/>
          <w:rtl/>
        </w:rPr>
        <w:t xml:space="preserve">أنس منير الهندي </w:t>
      </w:r>
    </w:p>
    <w:p w14:paraId="400EECDA" w14:textId="77777777" w:rsidR="00CE4929" w:rsidRPr="00A50EFF" w:rsidRDefault="00CE4929" w:rsidP="00CE492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A50EFF">
        <w:rPr>
          <w:rFonts w:ascii="Simplified Arabic" w:hAnsi="Simplified Arabic" w:cs="Simplified Arabic"/>
          <w:color w:val="000000" w:themeColor="text1"/>
          <w:sz w:val="36"/>
          <w:szCs w:val="36"/>
          <w:lang w:bidi="ar-EG"/>
        </w:rPr>
        <w:t>253001450</w:t>
      </w:r>
    </w:p>
    <w:tbl>
      <w:tblPr>
        <w:bidiVisual/>
        <w:tblW w:w="0" w:type="auto"/>
        <w:tblLook w:val="04A0" w:firstRow="1" w:lastRow="0" w:firstColumn="1" w:lastColumn="0" w:noHBand="0" w:noVBand="1"/>
      </w:tblPr>
      <w:tblGrid>
        <w:gridCol w:w="4530"/>
        <w:gridCol w:w="4531"/>
      </w:tblGrid>
      <w:tr w:rsidR="00997804" w:rsidRPr="00AD2516" w14:paraId="75E6BD92" w14:textId="77777777" w:rsidTr="00997804">
        <w:tc>
          <w:tcPr>
            <w:tcW w:w="4530" w:type="dxa"/>
          </w:tcPr>
          <w:p w14:paraId="06D5E3B2" w14:textId="77777777" w:rsidR="00997804" w:rsidRPr="00AD2516" w:rsidRDefault="00997804" w:rsidP="009978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D2516">
              <w:rPr>
                <w:rFonts w:ascii="Simplified Arabic" w:hAnsi="Simplified Arabic" w:cs="Simplified Arabic" w:hint="cs"/>
                <w:b/>
                <w:bCs/>
                <w:color w:val="000000" w:themeColor="text1"/>
                <w:sz w:val="36"/>
                <w:szCs w:val="36"/>
                <w:rtl/>
                <w:lang w:bidi="ar-EG"/>
              </w:rPr>
              <w:t>المشرف الرئيسي/</w:t>
            </w:r>
          </w:p>
        </w:tc>
        <w:tc>
          <w:tcPr>
            <w:tcW w:w="4531" w:type="dxa"/>
          </w:tcPr>
          <w:p w14:paraId="568CE2D4" w14:textId="77777777" w:rsidR="00997804" w:rsidRPr="00AD2516" w:rsidRDefault="00997804" w:rsidP="009978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D2516">
              <w:rPr>
                <w:rFonts w:ascii="Simplified Arabic" w:hAnsi="Simplified Arabic" w:cs="Simplified Arabic" w:hint="cs"/>
                <w:b/>
                <w:bCs/>
                <w:color w:val="000000" w:themeColor="text1"/>
                <w:sz w:val="36"/>
                <w:szCs w:val="36"/>
                <w:rtl/>
                <w:lang w:bidi="ar-EG"/>
              </w:rPr>
              <w:t>المشرف الثاني/</w:t>
            </w:r>
          </w:p>
        </w:tc>
      </w:tr>
      <w:tr w:rsidR="00997804" w:rsidRPr="00AD2516" w14:paraId="54658C86" w14:textId="77777777" w:rsidTr="00997804">
        <w:tc>
          <w:tcPr>
            <w:tcW w:w="4530" w:type="dxa"/>
          </w:tcPr>
          <w:p w14:paraId="30039316" w14:textId="77777777" w:rsidR="00997804" w:rsidRPr="00AD2516" w:rsidRDefault="00997804" w:rsidP="009978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D2516">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42E6F03" w14:textId="77777777" w:rsidR="00997804" w:rsidRPr="00AD2516" w:rsidRDefault="00997804" w:rsidP="009978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D2516">
              <w:rPr>
                <w:rFonts w:ascii="Simplified Arabic" w:eastAsia="Calibri" w:hAnsi="Simplified Arabic" w:cs="Simplified Arabic"/>
                <w:color w:val="000000" w:themeColor="text1"/>
                <w:kern w:val="0"/>
                <w:sz w:val="36"/>
                <w:szCs w:val="36"/>
                <w:rtl/>
                <w:lang w:bidi="ar-EG"/>
                <w14:ligatures w14:val="none"/>
              </w:rPr>
              <w:t>د.فايز جراد</w:t>
            </w:r>
          </w:p>
        </w:tc>
      </w:tr>
    </w:tbl>
    <w:p w14:paraId="56CCC0A1" w14:textId="77777777" w:rsidR="00997804" w:rsidRPr="00AD2516" w:rsidRDefault="00997804" w:rsidP="009978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D2516">
        <w:rPr>
          <w:rFonts w:ascii="Simplified Arabic" w:hAnsi="Simplified Arabic" w:cs="Simplified Arabic"/>
          <w:b/>
          <w:bCs/>
          <w:color w:val="000000" w:themeColor="text1"/>
          <w:sz w:val="36"/>
          <w:szCs w:val="36"/>
          <w:rtl/>
          <w:lang w:bidi="ar-EG"/>
        </w:rPr>
        <w:t>العام الدراسي:</w:t>
      </w:r>
    </w:p>
    <w:p w14:paraId="0806B310" w14:textId="77777777" w:rsidR="00997804" w:rsidRPr="00AD2516" w:rsidRDefault="00997804" w:rsidP="00997804">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997804" w:rsidRPr="00AD2516" w:rsidSect="00997804">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AD2516">
        <w:rPr>
          <w:rFonts w:ascii="Simplified Arabic" w:hAnsi="Simplified Arabic" w:cs="Simplified Arabic" w:hint="cs"/>
          <w:color w:val="000000" w:themeColor="text1"/>
          <w:sz w:val="36"/>
          <w:szCs w:val="36"/>
          <w:rtl/>
          <w:lang w:bidi="ar-EG"/>
        </w:rPr>
        <w:t xml:space="preserve">1448 </w:t>
      </w:r>
      <w:r w:rsidRPr="00AD2516">
        <w:rPr>
          <w:rFonts w:ascii="Simplified Arabic" w:hAnsi="Simplified Arabic" w:cs="Simplified Arabic"/>
          <w:color w:val="000000" w:themeColor="text1"/>
          <w:sz w:val="36"/>
          <w:szCs w:val="36"/>
          <w:rtl/>
          <w:lang w:bidi="ar-EG"/>
        </w:rPr>
        <w:t>–</w:t>
      </w:r>
      <w:r w:rsidRPr="00AD2516">
        <w:rPr>
          <w:rFonts w:ascii="Simplified Arabic" w:hAnsi="Simplified Arabic" w:cs="Simplified Arabic" w:hint="cs"/>
          <w:color w:val="000000" w:themeColor="text1"/>
          <w:sz w:val="36"/>
          <w:szCs w:val="36"/>
          <w:rtl/>
          <w:lang w:bidi="ar-EG"/>
        </w:rPr>
        <w:t xml:space="preserve"> 2026</w:t>
      </w:r>
    </w:p>
    <w:p w14:paraId="71EC0703" w14:textId="77777777" w:rsidR="00997804" w:rsidRPr="00AD2516" w:rsidRDefault="00997804" w:rsidP="0099780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5F6A881C" w14:textId="77777777" w:rsidR="00205810" w:rsidRPr="00AD2516" w:rsidRDefault="00205810" w:rsidP="0099780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0F4CF924" w14:textId="6ADEFE7C" w:rsidR="00997804" w:rsidRPr="00AD2516" w:rsidRDefault="00997804" w:rsidP="00997804">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Toc233934646"/>
      <w:bookmarkStart w:id="1" w:name="_Hlk172151144"/>
      <w:bookmarkStart w:id="2" w:name="_Toc169790489"/>
      <w:r w:rsidRPr="00AD2516">
        <w:rPr>
          <w:rFonts w:ascii="Simplified Arabic" w:hAnsi="Simplified Arabic" w:cs="Simplified Arabic" w:hint="cs"/>
          <w:b/>
          <w:bCs/>
          <w:color w:val="000000" w:themeColor="text1"/>
          <w:sz w:val="40"/>
          <w:szCs w:val="40"/>
          <w:rtl/>
        </w:rPr>
        <w:t>الفصل الأول: الإطار العام للدراسة</w:t>
      </w:r>
      <w:bookmarkEnd w:id="0"/>
    </w:p>
    <w:p w14:paraId="07D5CD3E" w14:textId="3F9EFD24" w:rsidR="00997804" w:rsidRPr="00AD2516" w:rsidRDefault="00997804" w:rsidP="00997804">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934647"/>
      <w:r w:rsidRPr="00AD2516">
        <w:rPr>
          <w:rFonts w:ascii="Simplified Arabic" w:hAnsi="Simplified Arabic" w:cs="Simplified Arabic" w:hint="cs"/>
          <w:b/>
          <w:bCs/>
          <w:color w:val="000000" w:themeColor="text1"/>
          <w:sz w:val="36"/>
          <w:szCs w:val="36"/>
          <w:rtl/>
        </w:rPr>
        <w:t>1.1 المقدمة</w:t>
      </w:r>
      <w:bookmarkEnd w:id="3"/>
    </w:p>
    <w:p w14:paraId="3C2256C1" w14:textId="039C91E3" w:rsidR="00CD49B1" w:rsidRPr="00AD2516" w:rsidRDefault="00CD49B1" w:rsidP="00997804">
      <w:pPr>
        <w:pStyle w:val="NormalWeb"/>
        <w:bidi/>
        <w:spacing w:line="276" w:lineRule="auto"/>
        <w:ind w:firstLine="424"/>
        <w:jc w:val="both"/>
        <w:rPr>
          <w:rFonts w:ascii="Simplified Arabic" w:hAnsi="Simplified Arabic" w:cs="Simplified Arabic"/>
          <w:color w:val="000000" w:themeColor="text1"/>
          <w:sz w:val="28"/>
          <w:szCs w:val="28"/>
        </w:rPr>
      </w:pPr>
      <w:r w:rsidRPr="00AD2516">
        <w:rPr>
          <w:rFonts w:ascii="Simplified Arabic" w:hAnsi="Simplified Arabic" w:cs="Simplified Arabic"/>
          <w:color w:val="000000" w:themeColor="text1"/>
          <w:sz w:val="28"/>
          <w:szCs w:val="28"/>
          <w:rtl/>
        </w:rPr>
        <w:t>يشهد العالم المعاصر تحولات رقمية عميقة أعادت تشكيل بنية المنظمات وأنماط إدارتها لعملياتها التشغيلية، حيث أصبحت البيانات الضخمة والتقنيات الذكية المرتكزة عليها ركيزة أساسية في صنع القرارات الاستراتيجية والتشغيلية على حدٍّ سواء. وقد أفرزت الثورة الصناعية الرابعة منظومة متكاملة من التقنيات الحديثة كإنترنت الأشياء والذكاء الاصطناعي وتحليلات البيانات الضخمة والتوائم الرقمية، التي أحدثت نقلة نوعية في قدرة المنظمات على مراقبة أدائها وتحسين عملياتها بأساليب لم تكن متاحة من قبل، وأن تقنيات الصناعة 4.0 تمتلك تأثيرًا جوهريًا على مؤشرات الأداء الرئيسية لسلاسل الإمداد من خلال تعزيز عناصر المرونة والرشاقة والرؤية ومشاركة المعلومات</w:t>
      </w:r>
      <w:r w:rsidRPr="00AD2516">
        <w:rPr>
          <w:rFonts w:ascii="Simplified Arabic" w:hAnsi="Simplified Arabic" w:cs="Simplified Arabic"/>
          <w:color w:val="000000" w:themeColor="text1"/>
          <w:sz w:val="28"/>
          <w:szCs w:val="28"/>
        </w:rPr>
        <w:t>(</w:t>
      </w:r>
      <w:proofErr w:type="spellStart"/>
      <w:r w:rsidRPr="00AD2516">
        <w:rPr>
          <w:rFonts w:ascii="Simplified Arabic" w:hAnsi="Simplified Arabic" w:cs="Simplified Arabic"/>
          <w:color w:val="000000" w:themeColor="text1"/>
          <w:sz w:val="28"/>
          <w:szCs w:val="28"/>
        </w:rPr>
        <w:t>Marinagi</w:t>
      </w:r>
      <w:proofErr w:type="spellEnd"/>
      <w:r w:rsidRPr="00AD2516">
        <w:rPr>
          <w:rFonts w:ascii="Simplified Arabic" w:hAnsi="Simplified Arabic" w:cs="Simplified Arabic"/>
          <w:color w:val="000000" w:themeColor="text1"/>
          <w:sz w:val="28"/>
          <w:szCs w:val="28"/>
        </w:rPr>
        <w:t xml:space="preserve"> et al., 2023).</w:t>
      </w:r>
    </w:p>
    <w:p w14:paraId="0C66F186" w14:textId="09B2921F" w:rsidR="00CD49B1" w:rsidRPr="00AD2516" w:rsidRDefault="00CD49B1" w:rsidP="00997804">
      <w:pPr>
        <w:pStyle w:val="NormalWeb"/>
        <w:bidi/>
        <w:spacing w:line="276" w:lineRule="auto"/>
        <w:ind w:firstLine="424"/>
        <w:jc w:val="both"/>
        <w:rPr>
          <w:rFonts w:ascii="Simplified Arabic" w:hAnsi="Simplified Arabic" w:cs="Simplified Arabic"/>
          <w:color w:val="000000" w:themeColor="text1"/>
          <w:sz w:val="28"/>
          <w:szCs w:val="28"/>
        </w:rPr>
      </w:pPr>
      <w:r w:rsidRPr="00AD2516">
        <w:rPr>
          <w:rFonts w:ascii="Simplified Arabic" w:hAnsi="Simplified Arabic" w:cs="Simplified Arabic"/>
          <w:color w:val="000000" w:themeColor="text1"/>
          <w:sz w:val="28"/>
          <w:szCs w:val="28"/>
          <w:rtl/>
        </w:rPr>
        <w:t>و برزت مؤشرات الأداء الذكية المعتمدة على التحليلات التنبؤية بوصفها تطورًا نوعيًا يتجاوز مؤشرات الأداء التقليدية ذات الطابع الوصفي التاريخي، إذ تنتقل من مجرد الرصد اللاحق للانحرافات إلى التنبؤ الاستباقي بها قبل وقوعها، مما يمنح صانعي القرار القدرة على التدخل المبكر والتحسين المستمر، وقد أوضحت دراسة (سحنون وبعلاش، 2025) أن التحليلات التنبؤية تمثل أداة استراتيجية فاعلة تُمكّن المؤسسات من تحسين دقة التنبؤ ودعم عملية اتخاذ القرارات المبنية على البيانات بدلًا من الاجتهادات الشخصي،  كما أشارت دراسة</w:t>
      </w:r>
      <w:r w:rsidRPr="00AD2516">
        <w:rPr>
          <w:rFonts w:ascii="Simplified Arabic" w:hAnsi="Simplified Arabic" w:cs="Simplified Arabic"/>
          <w:color w:val="000000" w:themeColor="text1"/>
          <w:sz w:val="28"/>
          <w:szCs w:val="28"/>
        </w:rPr>
        <w:t xml:space="preserve"> (Selvik et al., 2021) </w:t>
      </w:r>
      <w:r w:rsidRPr="00AD2516">
        <w:rPr>
          <w:rFonts w:ascii="Simplified Arabic" w:hAnsi="Simplified Arabic" w:cs="Simplified Arabic"/>
          <w:color w:val="000000" w:themeColor="text1"/>
          <w:sz w:val="28"/>
          <w:szCs w:val="28"/>
          <w:rtl/>
        </w:rPr>
        <w:t>إلى أن جودة مؤشرات الأداء ترتبط بمدى استيفائها لمعايير</w:t>
      </w:r>
      <w:r w:rsidRPr="00AD2516">
        <w:rPr>
          <w:rFonts w:ascii="Simplified Arabic" w:hAnsi="Simplified Arabic" w:cs="Simplified Arabic"/>
          <w:color w:val="000000" w:themeColor="text1"/>
          <w:sz w:val="28"/>
          <w:szCs w:val="28"/>
        </w:rPr>
        <w:t xml:space="preserve"> SMART </w:t>
      </w:r>
      <w:r w:rsidRPr="00AD2516">
        <w:rPr>
          <w:rFonts w:ascii="Simplified Arabic" w:hAnsi="Simplified Arabic" w:cs="Simplified Arabic"/>
          <w:color w:val="000000" w:themeColor="text1"/>
          <w:sz w:val="28"/>
          <w:szCs w:val="28"/>
          <w:rtl/>
        </w:rPr>
        <w:t>التي تضمن كونها محددة وقابلة للقياس والتحقيق وذات صلة ومقيّدة زمنيًا، وهو ما تحققه المؤشرات الذكية القائمة على التحليلات التنبؤية بدرجة أعلى من المؤشرات التقليدية</w:t>
      </w:r>
      <w:r w:rsidRPr="00AD2516">
        <w:rPr>
          <w:rFonts w:ascii="Simplified Arabic" w:hAnsi="Simplified Arabic" w:cs="Simplified Arabic"/>
          <w:color w:val="000000" w:themeColor="text1"/>
          <w:sz w:val="28"/>
          <w:szCs w:val="28"/>
        </w:rPr>
        <w:t>.</w:t>
      </w:r>
    </w:p>
    <w:p w14:paraId="644C5920" w14:textId="1D1FCA9E" w:rsidR="00CD49B1" w:rsidRPr="00AD2516" w:rsidRDefault="00CD49B1" w:rsidP="00997804">
      <w:pPr>
        <w:pStyle w:val="NormalWeb"/>
        <w:bidi/>
        <w:spacing w:line="276" w:lineRule="auto"/>
        <w:ind w:firstLine="424"/>
        <w:jc w:val="both"/>
        <w:rPr>
          <w:rFonts w:ascii="Simplified Arabic" w:hAnsi="Simplified Arabic" w:cs="Simplified Arabic"/>
          <w:color w:val="000000" w:themeColor="text1"/>
          <w:sz w:val="28"/>
          <w:szCs w:val="28"/>
        </w:rPr>
      </w:pPr>
      <w:r w:rsidRPr="00AD2516">
        <w:rPr>
          <w:rFonts w:ascii="Simplified Arabic" w:hAnsi="Simplified Arabic" w:cs="Simplified Arabic"/>
          <w:color w:val="000000" w:themeColor="text1"/>
          <w:sz w:val="28"/>
          <w:szCs w:val="28"/>
          <w:rtl/>
        </w:rPr>
        <w:t xml:space="preserve">و تحتل كفاءة العمليات وتقليل الهدر مكانة محورية في الفكر الإداري المعاصر، لا سيما في قطاع الخدمات اللوجستية الذي يتسم بتعدد الأنشطة وتشابك العمليات وارتفاع حساسية عامل الوقت والتكلفة وتزداد </w:t>
      </w:r>
      <w:r w:rsidRPr="00AD2516">
        <w:rPr>
          <w:rFonts w:ascii="Simplified Arabic" w:hAnsi="Simplified Arabic" w:cs="Simplified Arabic"/>
          <w:color w:val="000000" w:themeColor="text1"/>
          <w:sz w:val="28"/>
          <w:szCs w:val="28"/>
          <w:rtl/>
        </w:rPr>
        <w:lastRenderedPageBreak/>
        <w:t>أهمية رفع كفاءة العمليات في بيئة الأعمال السعودية في ظل مستهدفات رؤية المملكة 2030 الرامية إلى تحويل المملكة إلى مركز لوجستي عالمي (علي، 2025)</w:t>
      </w:r>
      <w:r w:rsidRPr="00AD2516">
        <w:rPr>
          <w:rFonts w:ascii="Simplified Arabic" w:hAnsi="Simplified Arabic" w:cs="Simplified Arabic"/>
          <w:color w:val="000000" w:themeColor="text1"/>
          <w:sz w:val="28"/>
          <w:szCs w:val="28"/>
        </w:rPr>
        <w:t>.</w:t>
      </w:r>
    </w:p>
    <w:p w14:paraId="160DDD7D" w14:textId="77777777" w:rsidR="00CD49B1" w:rsidRPr="00AD2516" w:rsidRDefault="00CD49B1" w:rsidP="00997804">
      <w:pPr>
        <w:pStyle w:val="NormalWeb"/>
        <w:bidi/>
        <w:spacing w:line="276" w:lineRule="auto"/>
        <w:ind w:firstLine="424"/>
        <w:jc w:val="both"/>
        <w:rPr>
          <w:rFonts w:ascii="Simplified Arabic" w:hAnsi="Simplified Arabic" w:cs="Simplified Arabic"/>
          <w:color w:val="000000" w:themeColor="text1"/>
          <w:sz w:val="28"/>
          <w:szCs w:val="28"/>
        </w:rPr>
      </w:pPr>
      <w:r w:rsidRPr="00AD2516">
        <w:rPr>
          <w:rFonts w:ascii="Simplified Arabic" w:hAnsi="Simplified Arabic" w:cs="Simplified Arabic"/>
          <w:color w:val="000000" w:themeColor="text1"/>
          <w:sz w:val="28"/>
          <w:szCs w:val="28"/>
          <w:rtl/>
        </w:rPr>
        <w:t>وعليه، فإن هذه الدراسة تسعى إلى استكشاف أثر تطبيق مؤشرات الأداء الذكية المعتمدة على التحليلات التنبؤية بأبعادها الأربعة على رفع كفاءة العمليات وتقليل الهدر في شركات الخدمات اللوجستية بالمنطقة الشرقية، وذلك إسهامًا في إثراء الأدبيات العلمية في هذا المجال وتقديم رؤى تطبيقية تخدم القطاع اللوجستي السعودي في مسيرته نحو التحول الرقمي الذكي، استنادًا إلى منهجية علمية صارمة تجمع بين التأصيل النظري والتطبيق الميداني</w:t>
      </w:r>
      <w:r w:rsidRPr="00AD2516">
        <w:rPr>
          <w:rFonts w:ascii="Simplified Arabic" w:hAnsi="Simplified Arabic" w:cs="Simplified Arabic"/>
          <w:color w:val="000000" w:themeColor="text1"/>
          <w:sz w:val="28"/>
          <w:szCs w:val="28"/>
        </w:rPr>
        <w:t>.</w:t>
      </w:r>
    </w:p>
    <w:p w14:paraId="70405C13" w14:textId="2AF8102C" w:rsidR="00997804" w:rsidRPr="00AD2516" w:rsidRDefault="00997804" w:rsidP="00997804">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934648"/>
      <w:bookmarkStart w:id="5" w:name="_Toc169790500"/>
      <w:bookmarkEnd w:id="1"/>
      <w:bookmarkEnd w:id="2"/>
      <w:r w:rsidRPr="00AD2516">
        <w:rPr>
          <w:rFonts w:ascii="Simplified Arabic" w:hAnsi="Simplified Arabic" w:cs="Simplified Arabic"/>
          <w:b/>
          <w:bCs/>
          <w:color w:val="000000" w:themeColor="text1"/>
          <w:sz w:val="36"/>
          <w:szCs w:val="36"/>
          <w:rtl/>
        </w:rPr>
        <w:t>2.1 مشكلة الدراسة</w:t>
      </w:r>
      <w:bookmarkEnd w:id="4"/>
    </w:p>
    <w:p w14:paraId="7DC8EFB2" w14:textId="77777777" w:rsidR="00CD49B1" w:rsidRPr="00AD2516" w:rsidRDefault="00CD49B1" w:rsidP="00997804">
      <w:pPr>
        <w:pStyle w:val="NormalWeb"/>
        <w:bidi/>
        <w:spacing w:line="276" w:lineRule="auto"/>
        <w:ind w:firstLine="424"/>
        <w:jc w:val="both"/>
        <w:rPr>
          <w:rFonts w:ascii="Simplified Arabic" w:hAnsi="Simplified Arabic" w:cs="Simplified Arabic"/>
          <w:color w:val="000000" w:themeColor="text1"/>
          <w:sz w:val="28"/>
          <w:szCs w:val="28"/>
        </w:rPr>
      </w:pPr>
      <w:r w:rsidRPr="00AD2516">
        <w:rPr>
          <w:rFonts w:ascii="Simplified Arabic" w:hAnsi="Simplified Arabic" w:cs="Simplified Arabic"/>
          <w:color w:val="000000" w:themeColor="text1"/>
          <w:sz w:val="28"/>
          <w:szCs w:val="28"/>
          <w:rtl/>
        </w:rPr>
        <w:t>يشهد قطاع الخدمات اللوجستية تحولات جوهرية متسارعة فرضتها الثورة الصناعية الرابعة وما أفرزته من تقنيات ذكية أعادت تشكيل ملامح الإدارة التشغيلية المعاصرة، وقد باتت شركات الخدمات اللوجستية تواجه ضغوطًا تنافسية متصاعدة تستوجب الانتقال من النماذج التقليدية القائمة على الرصد والمتابعة اللاحقة إلى نماذج استباقية تنبؤية قادرة على استشراف المشكلات التشغيلية قبل وقوعها والتعامل معها بكفاءة عالية. وفي هذا السياق، تبرز مؤشرات الأداء الذكية المعتمدة على التحليلات التنبؤية بوصفها أداة استراتيجية حديثة تتجاوز حدود القياس التقليدي للأداء نحو التنبؤ الاستباقي والتحسين المستمر، وهو ما أكدته دراسة</w:t>
      </w:r>
      <w:r w:rsidRPr="00AD2516">
        <w:rPr>
          <w:rFonts w:ascii="Simplified Arabic" w:hAnsi="Simplified Arabic" w:cs="Simplified Arabic"/>
          <w:color w:val="000000" w:themeColor="text1"/>
          <w:sz w:val="28"/>
          <w:szCs w:val="28"/>
        </w:rPr>
        <w:t xml:space="preserve"> (Saleh et al., 2024) </w:t>
      </w:r>
      <w:r w:rsidRPr="00AD2516">
        <w:rPr>
          <w:rFonts w:ascii="Simplified Arabic" w:hAnsi="Simplified Arabic" w:cs="Simplified Arabic"/>
          <w:color w:val="000000" w:themeColor="text1"/>
          <w:sz w:val="28"/>
          <w:szCs w:val="28"/>
          <w:rtl/>
        </w:rPr>
        <w:t>التي أثبتت أن التحليلات التنبؤية أسهمت في خفض التكاليف التشغيلية بنسبة 20% وزيادة كفاءة العمليات بنسبة 15% في المنظمات التي تبنّتها</w:t>
      </w:r>
      <w:r w:rsidRPr="00AD2516">
        <w:rPr>
          <w:rFonts w:ascii="Simplified Arabic" w:hAnsi="Simplified Arabic" w:cs="Simplified Arabic"/>
          <w:color w:val="000000" w:themeColor="text1"/>
          <w:sz w:val="28"/>
          <w:szCs w:val="28"/>
        </w:rPr>
        <w:t>.</w:t>
      </w:r>
    </w:p>
    <w:p w14:paraId="20A07681" w14:textId="77777777" w:rsidR="00CD49B1" w:rsidRPr="00AD2516" w:rsidRDefault="00CD49B1" w:rsidP="00997804">
      <w:pPr>
        <w:pStyle w:val="NormalWeb"/>
        <w:bidi/>
        <w:spacing w:line="276" w:lineRule="auto"/>
        <w:ind w:firstLine="424"/>
        <w:jc w:val="both"/>
        <w:rPr>
          <w:rFonts w:ascii="Simplified Arabic" w:hAnsi="Simplified Arabic" w:cs="Simplified Arabic"/>
          <w:color w:val="000000" w:themeColor="text1"/>
          <w:sz w:val="28"/>
          <w:szCs w:val="28"/>
        </w:rPr>
      </w:pPr>
      <w:r w:rsidRPr="00AD2516">
        <w:rPr>
          <w:rFonts w:ascii="Simplified Arabic" w:hAnsi="Simplified Arabic" w:cs="Simplified Arabic"/>
          <w:color w:val="000000" w:themeColor="text1"/>
          <w:sz w:val="28"/>
          <w:szCs w:val="28"/>
          <w:rtl/>
        </w:rPr>
        <w:t>غير أن الواقع العملي يكشف عن فجوة واضحة بين الإمكانيات الهائلة التي تتيحها هذه التقنيات التنبؤية الذكية وبين مستوى تطبيقها الفعلي في شركات الخدمات اللوجستية، ولا سيما في البيئة السعودية</w:t>
      </w:r>
      <w:r w:rsidRPr="00AD2516">
        <w:rPr>
          <w:rFonts w:ascii="Simplified Arabic" w:hAnsi="Simplified Arabic" w:cs="Simplified Arabic"/>
          <w:color w:val="000000" w:themeColor="text1"/>
          <w:sz w:val="28"/>
          <w:szCs w:val="28"/>
        </w:rPr>
        <w:t xml:space="preserve">. </w:t>
      </w:r>
      <w:r w:rsidRPr="00AD2516">
        <w:rPr>
          <w:rFonts w:ascii="Simplified Arabic" w:hAnsi="Simplified Arabic" w:cs="Simplified Arabic"/>
          <w:color w:val="000000" w:themeColor="text1"/>
          <w:sz w:val="28"/>
          <w:szCs w:val="28"/>
          <w:rtl/>
        </w:rPr>
        <w:t>فعلى الرغم من أن المنطقة الشرقية تمثل شريانًا اقتصاديًا حيويًا للمملكة العربية السعودية بحكم احتضانها لأكبر الموانئ البحرية والمناطق الصناعية والمدن الاقتصادية، إلا أن كثيرًا من شركات الخدمات اللوجستية العاملة فيها لا تزال تعتمد على مؤشرات أداء تقليدية ذات طابع وصفي تاريخي، تقتصر على رصد الانحرافات بعد حدوثها دون القدرة على التنبؤ بها مسبقًا، مما يؤدي إلى تأخر في اتخاذ القرارات التصحيحية وتراكم أشكال الهدر المتعددة في العمليات التشغيلية. وتتسق هذه الإشكالية مع ما أشارت إليه دراسة</w:t>
      </w:r>
      <w:r w:rsidRPr="00AD2516">
        <w:rPr>
          <w:rFonts w:ascii="Simplified Arabic" w:hAnsi="Simplified Arabic" w:cs="Simplified Arabic"/>
          <w:color w:val="000000" w:themeColor="text1"/>
          <w:sz w:val="28"/>
          <w:szCs w:val="28"/>
        </w:rPr>
        <w:t xml:space="preserve"> </w:t>
      </w:r>
      <w:r w:rsidRPr="00AD2516">
        <w:rPr>
          <w:rFonts w:ascii="Simplified Arabic" w:hAnsi="Simplified Arabic" w:cs="Simplified Arabic"/>
          <w:color w:val="000000" w:themeColor="text1"/>
          <w:sz w:val="28"/>
          <w:szCs w:val="28"/>
        </w:rPr>
        <w:lastRenderedPageBreak/>
        <w:t>(</w:t>
      </w:r>
      <w:proofErr w:type="spellStart"/>
      <w:r w:rsidRPr="00AD2516">
        <w:rPr>
          <w:rFonts w:ascii="Simplified Arabic" w:hAnsi="Simplified Arabic" w:cs="Simplified Arabic"/>
          <w:color w:val="000000" w:themeColor="text1"/>
          <w:sz w:val="28"/>
          <w:szCs w:val="28"/>
        </w:rPr>
        <w:t>Marinagi</w:t>
      </w:r>
      <w:proofErr w:type="spellEnd"/>
      <w:r w:rsidRPr="00AD2516">
        <w:rPr>
          <w:rFonts w:ascii="Simplified Arabic" w:hAnsi="Simplified Arabic" w:cs="Simplified Arabic"/>
          <w:color w:val="000000" w:themeColor="text1"/>
          <w:sz w:val="28"/>
          <w:szCs w:val="28"/>
        </w:rPr>
        <w:t xml:space="preserve"> et al., 2023) </w:t>
      </w:r>
      <w:r w:rsidRPr="00AD2516">
        <w:rPr>
          <w:rFonts w:ascii="Simplified Arabic" w:hAnsi="Simplified Arabic" w:cs="Simplified Arabic"/>
          <w:color w:val="000000" w:themeColor="text1"/>
          <w:sz w:val="28"/>
          <w:szCs w:val="28"/>
          <w:rtl/>
        </w:rPr>
        <w:t xml:space="preserve">من أن غياب مؤشرات الأداء الذكية المرتبطة بتقنيات الصناعة </w:t>
      </w:r>
      <w:r w:rsidRPr="00AD2516">
        <w:rPr>
          <w:rFonts w:ascii="Simplified Arabic" w:hAnsi="Simplified Arabic" w:cs="Simplified Arabic"/>
          <w:color w:val="000000" w:themeColor="text1"/>
          <w:sz w:val="28"/>
          <w:szCs w:val="28"/>
        </w:rPr>
        <w:t xml:space="preserve">4.0 </w:t>
      </w:r>
      <w:r w:rsidRPr="00AD2516">
        <w:rPr>
          <w:rFonts w:ascii="Simplified Arabic" w:hAnsi="Simplified Arabic" w:cs="Simplified Arabic"/>
          <w:color w:val="000000" w:themeColor="text1"/>
          <w:sz w:val="28"/>
          <w:szCs w:val="28"/>
          <w:rtl/>
        </w:rPr>
        <w:t>يُضعف قدرة سلاسل الإمداد على الصمود والمرونة في مواجهة الاضطرابات التشغيلية</w:t>
      </w:r>
      <w:r w:rsidRPr="00AD2516">
        <w:rPr>
          <w:rFonts w:ascii="Simplified Arabic" w:hAnsi="Simplified Arabic" w:cs="Simplified Arabic"/>
          <w:color w:val="000000" w:themeColor="text1"/>
          <w:sz w:val="28"/>
          <w:szCs w:val="28"/>
        </w:rPr>
        <w:t>.</w:t>
      </w:r>
    </w:p>
    <w:p w14:paraId="46EEE9A3" w14:textId="6E0F96C1" w:rsidR="00CD49B1" w:rsidRPr="00AD2516" w:rsidRDefault="00CD49B1" w:rsidP="00997804">
      <w:pPr>
        <w:pStyle w:val="NormalWeb"/>
        <w:bidi/>
        <w:spacing w:line="276" w:lineRule="auto"/>
        <w:ind w:firstLine="424"/>
        <w:jc w:val="both"/>
        <w:rPr>
          <w:rFonts w:ascii="Simplified Arabic" w:hAnsi="Simplified Arabic" w:cs="Simplified Arabic"/>
          <w:color w:val="000000" w:themeColor="text1"/>
          <w:sz w:val="28"/>
          <w:szCs w:val="28"/>
        </w:rPr>
      </w:pPr>
      <w:r w:rsidRPr="00AD2516">
        <w:rPr>
          <w:rFonts w:ascii="Simplified Arabic" w:hAnsi="Simplified Arabic" w:cs="Simplified Arabic"/>
          <w:color w:val="000000" w:themeColor="text1"/>
          <w:sz w:val="28"/>
          <w:szCs w:val="28"/>
          <w:rtl/>
        </w:rPr>
        <w:t>وتتجلى مظاهر المشكلة البحثية في عدة مؤشرات ميدانية رصدها الباحث من خلال الاطلاع المبدئي على واقع شركات الخدمات اللوجستية بالمنطقة الشرقية، حيث تعاني هذه الشركات من ارتفاع ملحوظ في معدلات الهدر التشغيلي المتمثل في هدر الوقت الناتج عن تأخر الشحنات وعدم دقة جداول التسليم، وهدر الموارد الناجم عن سوء تخصيص الأسطول والقوى العاملة، وهدر المخزون بسبب ضعف التنبؤ بالطلب وتراكم المخزون الراكد، فضلًا عن ارتفاع التكاليف التشغيلية الناتج عن غياب آليات الإنذار المبكر،</w:t>
      </w:r>
      <w:r w:rsidRPr="00AD2516">
        <w:rPr>
          <w:rFonts w:ascii="Simplified Arabic" w:hAnsi="Simplified Arabic" w:cs="Simplified Arabic"/>
          <w:color w:val="000000" w:themeColor="text1"/>
          <w:sz w:val="28"/>
          <w:szCs w:val="28"/>
        </w:rPr>
        <w:t xml:space="preserve"> </w:t>
      </w:r>
      <w:r w:rsidRPr="00AD2516">
        <w:rPr>
          <w:rFonts w:ascii="Simplified Arabic" w:hAnsi="Simplified Arabic" w:cs="Simplified Arabic"/>
          <w:color w:val="000000" w:themeColor="text1"/>
          <w:sz w:val="28"/>
          <w:szCs w:val="28"/>
          <w:rtl/>
        </w:rPr>
        <w:t>وقد أكدت دراسة (علي، 2022) أن تطبيق ممارسات تقليل الهدر يفسّر 93% من التغير في الكفاءة الإنتاجية، مما يعزز أهمية تبني أدوات ذكية للكشف المبكر عن مصادر الهدر والقضاء عليها</w:t>
      </w:r>
      <w:r w:rsidRPr="00AD2516">
        <w:rPr>
          <w:rFonts w:ascii="Simplified Arabic" w:hAnsi="Simplified Arabic" w:cs="Simplified Arabic"/>
          <w:color w:val="000000" w:themeColor="text1"/>
          <w:sz w:val="28"/>
          <w:szCs w:val="28"/>
        </w:rPr>
        <w:t>.</w:t>
      </w:r>
    </w:p>
    <w:p w14:paraId="5685E396" w14:textId="77777777" w:rsidR="00CD49B1" w:rsidRPr="00AD2516" w:rsidRDefault="00CD49B1" w:rsidP="00997804">
      <w:pPr>
        <w:pStyle w:val="NormalWeb"/>
        <w:bidi/>
        <w:spacing w:line="276" w:lineRule="auto"/>
        <w:ind w:firstLine="424"/>
        <w:jc w:val="both"/>
        <w:rPr>
          <w:rFonts w:ascii="Simplified Arabic" w:hAnsi="Simplified Arabic" w:cs="Simplified Arabic"/>
          <w:color w:val="000000" w:themeColor="text1"/>
          <w:sz w:val="28"/>
          <w:szCs w:val="28"/>
        </w:rPr>
      </w:pPr>
      <w:r w:rsidRPr="00AD2516">
        <w:rPr>
          <w:rFonts w:ascii="Simplified Arabic" w:hAnsi="Simplified Arabic" w:cs="Simplified Arabic"/>
          <w:color w:val="000000" w:themeColor="text1"/>
          <w:sz w:val="28"/>
          <w:szCs w:val="28"/>
          <w:rtl/>
        </w:rPr>
        <w:t>علاوة على ذلك، تكشف مراجعة الأدبيات عن ندرة واضحة في الدراسات العربية التي تناولت العلاقة التكاملية بين مؤشرات الأداء الذكية القائمة على التحليلات التنبؤية وكفاءة العمليات وتقليل الهدر في قطاع الخدمات اللوجستية تحديدًا، إذ ركزت معظم الدراسات السابقة على تناول كل متغير بشكل منفصل أو في قطاعات مختلفة كالقطاع المالي والمصرفي (سحنون وبعلاش، 2025) أو قطاع التأمين (علي، 2025) أو الطيران المدني (حسن وآخرون، 2025)، دون الجمع بينها في إطار تكاملي يُطبَّق على القطاع اللوجستي. كما أشارت دراسة</w:t>
      </w:r>
      <w:r w:rsidRPr="00AD2516">
        <w:rPr>
          <w:rFonts w:ascii="Simplified Arabic" w:hAnsi="Simplified Arabic" w:cs="Simplified Arabic"/>
          <w:color w:val="000000" w:themeColor="text1"/>
          <w:sz w:val="28"/>
          <w:szCs w:val="28"/>
        </w:rPr>
        <w:t xml:space="preserve"> (Serrano et al., 2022) </w:t>
      </w:r>
      <w:r w:rsidRPr="00AD2516">
        <w:rPr>
          <w:rFonts w:ascii="Simplified Arabic" w:hAnsi="Simplified Arabic" w:cs="Simplified Arabic"/>
          <w:color w:val="000000" w:themeColor="text1"/>
          <w:sz w:val="28"/>
          <w:szCs w:val="28"/>
          <w:rtl/>
        </w:rPr>
        <w:t>إلى أن أُطر مؤشرات الأداء التقليدية تعاني من قصور في القدرة على التكامل والتكيف والتوسعية، مما يستدعي تطوير أُطر شاملة وذكية تتجاوز هذه المحدوديات</w:t>
      </w:r>
      <w:r w:rsidRPr="00AD2516">
        <w:rPr>
          <w:rFonts w:ascii="Simplified Arabic" w:hAnsi="Simplified Arabic" w:cs="Simplified Arabic"/>
          <w:color w:val="000000" w:themeColor="text1"/>
          <w:sz w:val="28"/>
          <w:szCs w:val="28"/>
        </w:rPr>
        <w:t>.</w:t>
      </w:r>
    </w:p>
    <w:p w14:paraId="6978D55F" w14:textId="77777777" w:rsidR="00CD49B1" w:rsidRPr="00AD2516" w:rsidRDefault="00CD49B1" w:rsidP="00997804">
      <w:pPr>
        <w:pStyle w:val="NormalWeb"/>
        <w:bidi/>
        <w:spacing w:line="276" w:lineRule="auto"/>
        <w:ind w:firstLine="424"/>
        <w:jc w:val="both"/>
        <w:rPr>
          <w:rFonts w:ascii="Simplified Arabic" w:hAnsi="Simplified Arabic" w:cs="Simplified Arabic"/>
          <w:color w:val="000000" w:themeColor="text1"/>
          <w:sz w:val="28"/>
          <w:szCs w:val="28"/>
        </w:rPr>
      </w:pPr>
      <w:r w:rsidRPr="00AD2516">
        <w:rPr>
          <w:rFonts w:ascii="Simplified Arabic" w:hAnsi="Simplified Arabic" w:cs="Simplified Arabic"/>
          <w:color w:val="000000" w:themeColor="text1"/>
          <w:sz w:val="28"/>
          <w:szCs w:val="28"/>
          <w:rtl/>
        </w:rPr>
        <w:t>وانطلاقًا مما سبق، تتبلور مشكلة الدراسة في التساؤل الرئيسي التالي</w:t>
      </w:r>
      <w:r w:rsidRPr="00AD2516">
        <w:rPr>
          <w:rFonts w:ascii="Simplified Arabic" w:hAnsi="Simplified Arabic" w:cs="Simplified Arabic"/>
          <w:color w:val="000000" w:themeColor="text1"/>
          <w:sz w:val="28"/>
          <w:szCs w:val="28"/>
        </w:rPr>
        <w:t xml:space="preserve">: </w:t>
      </w:r>
      <w:r w:rsidRPr="00AD2516">
        <w:rPr>
          <w:rStyle w:val="Strong"/>
          <w:rFonts w:ascii="Simplified Arabic" w:hAnsi="Simplified Arabic" w:cs="Simplified Arabic"/>
          <w:b w:val="0"/>
          <w:bCs w:val="0"/>
          <w:color w:val="000000" w:themeColor="text1"/>
          <w:sz w:val="28"/>
          <w:szCs w:val="28"/>
          <w:rtl/>
        </w:rPr>
        <w:t xml:space="preserve">ما أثر تطبيق مؤشرات الأداء الذكية المعتمدة على التحليلات التنبؤية بأبعادها </w:t>
      </w:r>
      <w:r w:rsidRPr="00AD2516">
        <w:rPr>
          <w:rStyle w:val="Strong"/>
          <w:rFonts w:ascii="Simplified Arabic" w:hAnsi="Simplified Arabic" w:cs="Simplified Arabic"/>
          <w:b w:val="0"/>
          <w:bCs w:val="0"/>
          <w:color w:val="000000" w:themeColor="text1"/>
          <w:sz w:val="28"/>
          <w:szCs w:val="28"/>
        </w:rPr>
        <w:t>(</w:t>
      </w:r>
      <w:r w:rsidRPr="00AD2516">
        <w:rPr>
          <w:rStyle w:val="Strong"/>
          <w:rFonts w:ascii="Simplified Arabic" w:hAnsi="Simplified Arabic" w:cs="Simplified Arabic"/>
          <w:b w:val="0"/>
          <w:bCs w:val="0"/>
          <w:color w:val="000000" w:themeColor="text1"/>
          <w:sz w:val="28"/>
          <w:szCs w:val="28"/>
          <w:rtl/>
        </w:rPr>
        <w:t>مؤشرات الأداء التنبؤية في الوقت الفعلي، التحليلات التنبؤية لإدارة الموارد، مؤشرات الإنذار المبكر الذكية، لوحات القيادة التنبؤية الديناميكية) على رفع كفاءة العمليات وتقليل الهدر في شركات الخدمات اللوجستية بالمنطقة الشرقية بالمملكة العربية السعودية؟</w:t>
      </w:r>
    </w:p>
    <w:p w14:paraId="39DF540E" w14:textId="6AFA24FD" w:rsidR="00997804" w:rsidRPr="00AD2516" w:rsidRDefault="00997804" w:rsidP="0099780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934649"/>
      <w:r w:rsidRPr="00AD2516">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3EA44A18" w14:textId="77777777" w:rsidR="00CD49B1" w:rsidRPr="00AD2516" w:rsidRDefault="00CD49B1" w:rsidP="0099780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 xml:space="preserve">تهدف هذه الدراسة إلى دراسة أثر تطبيق مؤشرات الأداء الذكية المعتمدة على التحليلات التنبؤية بأبعادها (مؤشرات الأداء التنبؤية في الوقت الفعلي، التحليلات التنبؤية لإدارة الموارد، مؤشرات الإنذار </w:t>
      </w:r>
      <w:r w:rsidRPr="00AD2516">
        <w:rPr>
          <w:rFonts w:ascii="Simplified Arabic" w:eastAsia="Times New Roman" w:hAnsi="Simplified Arabic" w:cs="Simplified Arabic"/>
          <w:color w:val="000000" w:themeColor="text1"/>
          <w:kern w:val="0"/>
          <w:sz w:val="28"/>
          <w:szCs w:val="28"/>
          <w:rtl/>
          <w14:ligatures w14:val="none"/>
        </w:rPr>
        <w:lastRenderedPageBreak/>
        <w:t>المبكر الذكية، لوحات القيادة التنبؤية الديناميكية) على رفع كفاءة العمليات وتقليل الهدر في شركات الخدمات اللوجستية بالمنطقة الشرقية بالمملكة العربية السعودية</w:t>
      </w:r>
      <w:r w:rsidRPr="00AD2516">
        <w:rPr>
          <w:rFonts w:ascii="Simplified Arabic" w:eastAsia="Times New Roman" w:hAnsi="Simplified Arabic" w:cs="Simplified Arabic"/>
          <w:color w:val="000000" w:themeColor="text1"/>
          <w:kern w:val="0"/>
          <w:sz w:val="28"/>
          <w:szCs w:val="28"/>
          <w14:ligatures w14:val="none"/>
        </w:rPr>
        <w:t>.</w:t>
      </w:r>
    </w:p>
    <w:p w14:paraId="0E0CE1A1" w14:textId="77777777" w:rsidR="00CD49B1" w:rsidRPr="00AD2516" w:rsidRDefault="00CD49B1"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AD2516">
        <w:rPr>
          <w:rFonts w:ascii="Simplified Arabic" w:eastAsia="Times New Roman" w:hAnsi="Simplified Arabic" w:cs="Simplified Arabic"/>
          <w:b/>
          <w:bCs/>
          <w:color w:val="000000" w:themeColor="text1"/>
          <w:kern w:val="0"/>
          <w:sz w:val="28"/>
          <w:szCs w:val="28"/>
          <w14:ligatures w14:val="none"/>
        </w:rPr>
        <w:t>:</w:t>
      </w:r>
    </w:p>
    <w:p w14:paraId="1F388D85" w14:textId="77777777" w:rsidR="00CD49B1" w:rsidRPr="00AD2516" w:rsidRDefault="00CD49B1" w:rsidP="00997804">
      <w:pPr>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التعرف على مستوى تطبيق مؤشرات الأداء الذكية المعتمدة على التحليلات التنبؤية بأبعادها الأربعة في شركات الخدمات اللوجستية بالمنطقة الشرقية</w:t>
      </w:r>
      <w:r w:rsidRPr="00AD2516">
        <w:rPr>
          <w:rFonts w:ascii="Simplified Arabic" w:eastAsia="Times New Roman" w:hAnsi="Simplified Arabic" w:cs="Simplified Arabic"/>
          <w:color w:val="000000" w:themeColor="text1"/>
          <w:kern w:val="0"/>
          <w:sz w:val="28"/>
          <w:szCs w:val="28"/>
          <w14:ligatures w14:val="none"/>
        </w:rPr>
        <w:t>.</w:t>
      </w:r>
    </w:p>
    <w:p w14:paraId="5799EB5A" w14:textId="77777777" w:rsidR="00CD49B1" w:rsidRPr="00AD2516" w:rsidRDefault="00CD49B1" w:rsidP="00997804">
      <w:pPr>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التعرف على مستوى كفاءة العمليات وتقليل الهدر في شركات الخدمات اللوجستية بالمنطقة الشرقية</w:t>
      </w:r>
      <w:r w:rsidRPr="00AD2516">
        <w:rPr>
          <w:rFonts w:ascii="Simplified Arabic" w:eastAsia="Times New Roman" w:hAnsi="Simplified Arabic" w:cs="Simplified Arabic"/>
          <w:color w:val="000000" w:themeColor="text1"/>
          <w:kern w:val="0"/>
          <w:sz w:val="28"/>
          <w:szCs w:val="28"/>
          <w14:ligatures w14:val="none"/>
        </w:rPr>
        <w:t>.</w:t>
      </w:r>
    </w:p>
    <w:p w14:paraId="46E6B2D6" w14:textId="77777777" w:rsidR="00CD49B1" w:rsidRPr="00AD2516" w:rsidRDefault="00CD49B1" w:rsidP="00997804">
      <w:pPr>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قياس أثر مؤشرات الأداء التنبؤية في الوقت الفعلي على رفع كفاءة العمليات وتقليل الهدر في شركات الخدمات اللوجستية بالمنطقة الشرقية</w:t>
      </w:r>
      <w:r w:rsidRPr="00AD2516">
        <w:rPr>
          <w:rFonts w:ascii="Simplified Arabic" w:eastAsia="Times New Roman" w:hAnsi="Simplified Arabic" w:cs="Simplified Arabic"/>
          <w:color w:val="000000" w:themeColor="text1"/>
          <w:kern w:val="0"/>
          <w:sz w:val="28"/>
          <w:szCs w:val="28"/>
          <w14:ligatures w14:val="none"/>
        </w:rPr>
        <w:t>.</w:t>
      </w:r>
    </w:p>
    <w:p w14:paraId="1B679F1A" w14:textId="77777777" w:rsidR="00CD49B1" w:rsidRPr="00AD2516" w:rsidRDefault="00CD49B1" w:rsidP="00997804">
      <w:pPr>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قياس أثر التحليلات التنبؤية لإدارة الموارد على رفع كفاءة العمليات وتقليل الهدر في شركات الخدمات اللوجستية بالمنطقة الشرقية</w:t>
      </w:r>
      <w:r w:rsidRPr="00AD2516">
        <w:rPr>
          <w:rFonts w:ascii="Simplified Arabic" w:eastAsia="Times New Roman" w:hAnsi="Simplified Arabic" w:cs="Simplified Arabic"/>
          <w:color w:val="000000" w:themeColor="text1"/>
          <w:kern w:val="0"/>
          <w:sz w:val="28"/>
          <w:szCs w:val="28"/>
          <w14:ligatures w14:val="none"/>
        </w:rPr>
        <w:t>.</w:t>
      </w:r>
    </w:p>
    <w:p w14:paraId="714F5660" w14:textId="77777777" w:rsidR="00CD49B1" w:rsidRPr="00AD2516" w:rsidRDefault="00CD49B1" w:rsidP="00997804">
      <w:pPr>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قياس أثر مؤشرات الإنذار المبكر الذكية على رفع كفاءة العمليات وتقليل الهدر في شركات الخدمات اللوجستية بالمنطقة الشرقية</w:t>
      </w:r>
      <w:r w:rsidRPr="00AD2516">
        <w:rPr>
          <w:rFonts w:ascii="Simplified Arabic" w:eastAsia="Times New Roman" w:hAnsi="Simplified Arabic" w:cs="Simplified Arabic"/>
          <w:color w:val="000000" w:themeColor="text1"/>
          <w:kern w:val="0"/>
          <w:sz w:val="28"/>
          <w:szCs w:val="28"/>
          <w14:ligatures w14:val="none"/>
        </w:rPr>
        <w:t>.</w:t>
      </w:r>
    </w:p>
    <w:p w14:paraId="0BB187FB" w14:textId="77777777" w:rsidR="00CD49B1" w:rsidRPr="00AD2516" w:rsidRDefault="00CD49B1" w:rsidP="00997804">
      <w:pPr>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قياس أثر لوحات القيادة التنبؤية الديناميكية على رفع كفاءة العمليات وتقليل الهدر في شركات الخدمات اللوجستية بالمنطقة الشرقية</w:t>
      </w:r>
      <w:r w:rsidRPr="00AD2516">
        <w:rPr>
          <w:rFonts w:ascii="Simplified Arabic" w:eastAsia="Times New Roman" w:hAnsi="Simplified Arabic" w:cs="Simplified Arabic"/>
          <w:color w:val="000000" w:themeColor="text1"/>
          <w:kern w:val="0"/>
          <w:sz w:val="28"/>
          <w:szCs w:val="28"/>
          <w14:ligatures w14:val="none"/>
        </w:rPr>
        <w:t>.</w:t>
      </w:r>
    </w:p>
    <w:p w14:paraId="34BA5943" w14:textId="77777777" w:rsidR="00CD49B1" w:rsidRPr="00AD2516" w:rsidRDefault="00CD49B1" w:rsidP="00997804">
      <w:pPr>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تحديد الأهمية النسبية لأبعاد مؤشرات الأداء الذكية المعتمدة على التحليلات التنبؤية من حيث تأثيرها على رفع كفاءة العمليات وتقليل الهدر</w:t>
      </w:r>
      <w:r w:rsidRPr="00AD2516">
        <w:rPr>
          <w:rFonts w:ascii="Simplified Arabic" w:eastAsia="Times New Roman" w:hAnsi="Simplified Arabic" w:cs="Simplified Arabic"/>
          <w:color w:val="000000" w:themeColor="text1"/>
          <w:kern w:val="0"/>
          <w:sz w:val="28"/>
          <w:szCs w:val="28"/>
          <w14:ligatures w14:val="none"/>
        </w:rPr>
        <w:t>.</w:t>
      </w:r>
    </w:p>
    <w:p w14:paraId="6BFF3834" w14:textId="77777777" w:rsidR="00CD49B1" w:rsidRPr="00AD2516" w:rsidRDefault="00CD49B1" w:rsidP="00997804">
      <w:pPr>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الكشف عن الفروق ذات الدلالة الإحصائية في استجابات أفراد عينة الدراسة نحو مؤشرات الأداء الذكية المعتمدة على التحليلات التنبؤية وكفاءة العمليات وتقليل الهدر وفقًا للمتغيرات الديموغرافية (المؤهل العلمي، سنوات الخبرة، المستوى الوظيفي، حجم الشركة)</w:t>
      </w:r>
      <w:r w:rsidRPr="00AD2516">
        <w:rPr>
          <w:rFonts w:ascii="Simplified Arabic" w:eastAsia="Times New Roman" w:hAnsi="Simplified Arabic" w:cs="Simplified Arabic"/>
          <w:color w:val="000000" w:themeColor="text1"/>
          <w:kern w:val="0"/>
          <w:sz w:val="28"/>
          <w:szCs w:val="28"/>
          <w14:ligatures w14:val="none"/>
        </w:rPr>
        <w:t>.</w:t>
      </w:r>
    </w:p>
    <w:p w14:paraId="391C0D11" w14:textId="77777777" w:rsidR="00CD49B1" w:rsidRPr="00AD2516" w:rsidRDefault="00CD49B1" w:rsidP="00997804">
      <w:pPr>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تقديم توصيات علمية وعملية لشركات الخدمات اللوجستية بالمنطقة الشرقية تسهم في تعزيز تطبيق مؤشرات الأداء الذكية لرفع كفاءة عملياتها وتقليل مستويات الهدر</w:t>
      </w:r>
      <w:r w:rsidRPr="00AD2516">
        <w:rPr>
          <w:rFonts w:ascii="Simplified Arabic" w:eastAsia="Times New Roman" w:hAnsi="Simplified Arabic" w:cs="Simplified Arabic"/>
          <w:color w:val="000000" w:themeColor="text1"/>
          <w:kern w:val="0"/>
          <w:sz w:val="28"/>
          <w:szCs w:val="28"/>
          <w14:ligatures w14:val="none"/>
        </w:rPr>
        <w:t>.</w:t>
      </w:r>
    </w:p>
    <w:p w14:paraId="45E17F5B" w14:textId="269809B3" w:rsidR="00997804" w:rsidRPr="00AD2516" w:rsidRDefault="00997804" w:rsidP="0099780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934650"/>
      <w:r w:rsidRPr="00AD2516">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28009716" w14:textId="77777777" w:rsidR="00CD49B1" w:rsidRPr="00AD2516" w:rsidRDefault="00CD49B1" w:rsidP="0099780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lastRenderedPageBreak/>
        <w:t>ما أثر تطبيق مؤشرات الأداء الذكية المعتمدة على التحليلات التنبؤية بأبعادها (مؤشرات الأداء التنبؤية في الوقت الفعلي، التحليلات التنبؤية لإدارة الموارد، مؤشرات الإنذار المبكر الذكية، لوحات القيادة التنبؤية الديناميكية) على رفع كفاءة العمليات وتقليل الهدر في شركات الخدمات اللوجستية بالمنطقة الشرقية؟</w:t>
      </w:r>
    </w:p>
    <w:p w14:paraId="5465F4FA" w14:textId="77777777" w:rsidR="00CD49B1" w:rsidRPr="00AD2516" w:rsidRDefault="00CD49B1"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AD2516">
        <w:rPr>
          <w:rFonts w:ascii="Simplified Arabic" w:eastAsia="Times New Roman" w:hAnsi="Simplified Arabic" w:cs="Simplified Arabic"/>
          <w:b/>
          <w:bCs/>
          <w:color w:val="000000" w:themeColor="text1"/>
          <w:kern w:val="0"/>
          <w:sz w:val="28"/>
          <w:szCs w:val="28"/>
          <w14:ligatures w14:val="none"/>
        </w:rPr>
        <w:t>:</w:t>
      </w:r>
    </w:p>
    <w:p w14:paraId="6673EF56" w14:textId="77777777" w:rsidR="00CD49B1" w:rsidRPr="00AD2516" w:rsidRDefault="00CD49B1" w:rsidP="00997804">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ما مستوى تطبيق مؤشرات الأداء الذكية المعتمدة على التحليلات التنبؤية بأبعادها الأربعة في شركات الخدمات اللوجستية بالمنطقة الشرقية؟</w:t>
      </w:r>
    </w:p>
    <w:p w14:paraId="08B1B241" w14:textId="77777777" w:rsidR="00CD49B1" w:rsidRPr="00AD2516" w:rsidRDefault="00CD49B1" w:rsidP="00997804">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ما مستوى كفاءة العمليات وتقليل الهدر في شركات الخدمات اللوجستية بالمنطقة الشرقية؟</w:t>
      </w:r>
    </w:p>
    <w:p w14:paraId="24100C55" w14:textId="77777777" w:rsidR="00CD49B1" w:rsidRPr="00AD2516" w:rsidRDefault="00CD49B1" w:rsidP="00997804">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ما أثر مؤشرات الأداء التنبؤية في الوقت الفعلي على رفع كفاءة العمليات وتقليل الهدر في شركات الخدمات اللوجستية بالمنطقة الشرقية؟</w:t>
      </w:r>
    </w:p>
    <w:p w14:paraId="16B5CC82" w14:textId="77777777" w:rsidR="00CD49B1" w:rsidRPr="00AD2516" w:rsidRDefault="00CD49B1" w:rsidP="00997804">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ما أثر التحليلات التنبؤية لإدارة الموارد على رفع كفاءة العمليات وتقليل الهدر في شركات الخدمات اللوجستية بالمنطقة الشرقية؟</w:t>
      </w:r>
    </w:p>
    <w:p w14:paraId="57735078" w14:textId="77777777" w:rsidR="00CD49B1" w:rsidRPr="00AD2516" w:rsidRDefault="00CD49B1" w:rsidP="00997804">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ما أثر مؤشرات الإنذار المبكر الذكية على رفع كفاءة العمليات وتقليل الهدر في شركات الخدمات اللوجستية بالمنطقة الشرقية؟</w:t>
      </w:r>
    </w:p>
    <w:p w14:paraId="7DE3031A" w14:textId="77777777" w:rsidR="00CD49B1" w:rsidRPr="00AD2516" w:rsidRDefault="00CD49B1" w:rsidP="00997804">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ما أثر لوحات القيادة التنبؤية الديناميكية على رفع كفاءة العمليات وتقليل الهدر في شركات الخدمات اللوجستية بالمنطقة الشرقية؟</w:t>
      </w:r>
    </w:p>
    <w:p w14:paraId="08FAF1C9" w14:textId="77777777" w:rsidR="00CD49B1" w:rsidRPr="00AD2516" w:rsidRDefault="00CD49B1" w:rsidP="00997804">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ما الأهمية النسبية لأبعاد مؤشرات الأداء الذكية المعتمدة على التحليلات التنبؤية من حيث تأثيرها على رفع كفاءة العمليات وتقليل الهدر؟</w:t>
      </w:r>
    </w:p>
    <w:p w14:paraId="1E1A70E2" w14:textId="77777777" w:rsidR="00CD49B1" w:rsidRPr="00AD2516" w:rsidRDefault="00CD49B1" w:rsidP="00997804">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هل توجد فروق ذات دلالة إحصائية في استجابات أفراد عينة الدراسة نحو مؤشرات الأداء الذكية المعتمدة على التحليلات التنبؤية وكفاءة العمليات وتقليل الهدر تُعزى للمتغيرات الديموغرافية (المؤهل العلمي، سنوات الخبرة، المستوى الوظيفي، حجم الشركة)؟</w:t>
      </w:r>
    </w:p>
    <w:p w14:paraId="0B5A8FBA" w14:textId="5CEA0E78" w:rsidR="00997804" w:rsidRPr="00AD2516" w:rsidRDefault="00997804" w:rsidP="0099780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3934651"/>
      <w:r w:rsidRPr="00AD2516">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696E6BDB" w14:textId="77777777" w:rsidR="00CD49B1" w:rsidRPr="00AD2516" w:rsidRDefault="00CD49B1" w:rsidP="00997804">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14:ligatures w14:val="none"/>
        </w:rPr>
        <w:t xml:space="preserve">H1: </w:t>
      </w:r>
      <w:r w:rsidRPr="00AD251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Cambria" w:eastAsia="Times New Roman" w:hAnsi="Cambria" w:cs="Cambria"/>
          <w:color w:val="000000" w:themeColor="text1"/>
          <w:kern w:val="0"/>
          <w:sz w:val="28"/>
          <w:szCs w:val="28"/>
          <w14:ligatures w14:val="none"/>
        </w:rPr>
        <w:t>α</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Times New Roman" w:eastAsia="Times New Roman" w:hAnsi="Times New Roman" w:cs="Times New Roman"/>
          <w:color w:val="000000" w:themeColor="text1"/>
          <w:kern w:val="0"/>
          <w:sz w:val="28"/>
          <w:szCs w:val="28"/>
          <w14:ligatures w14:val="none"/>
        </w:rPr>
        <w:t>≤</w:t>
      </w:r>
      <w:r w:rsidRPr="00AD2516">
        <w:rPr>
          <w:rFonts w:ascii="Simplified Arabic" w:eastAsia="Times New Roman" w:hAnsi="Simplified Arabic" w:cs="Simplified Arabic"/>
          <w:color w:val="000000" w:themeColor="text1"/>
          <w:kern w:val="0"/>
          <w:sz w:val="28"/>
          <w:szCs w:val="28"/>
          <w14:ligatures w14:val="none"/>
        </w:rPr>
        <w:t xml:space="preserve"> 0.05) </w:t>
      </w:r>
      <w:r w:rsidRPr="00AD2516">
        <w:rPr>
          <w:rFonts w:ascii="Simplified Arabic" w:eastAsia="Times New Roman" w:hAnsi="Simplified Arabic" w:cs="Simplified Arabic"/>
          <w:color w:val="000000" w:themeColor="text1"/>
          <w:kern w:val="0"/>
          <w:sz w:val="28"/>
          <w:szCs w:val="28"/>
          <w:rtl/>
          <w14:ligatures w14:val="none"/>
        </w:rPr>
        <w:t>لتطبيق مؤشرات الأداء الذكية المعتمدة على التحليلات التنبؤية بأبعادها مجتمعة على رفع كفاءة العمليات وتقليل الهدر في شركات الخدمات اللوجستية بالمنطقة الشرقية</w:t>
      </w:r>
      <w:r w:rsidRPr="00AD2516">
        <w:rPr>
          <w:rFonts w:ascii="Simplified Arabic" w:eastAsia="Times New Roman" w:hAnsi="Simplified Arabic" w:cs="Simplified Arabic"/>
          <w:color w:val="000000" w:themeColor="text1"/>
          <w:kern w:val="0"/>
          <w:sz w:val="28"/>
          <w:szCs w:val="28"/>
          <w14:ligatures w14:val="none"/>
        </w:rPr>
        <w:t>.</w:t>
      </w:r>
    </w:p>
    <w:p w14:paraId="6912FFAF" w14:textId="77777777" w:rsidR="00CD49B1" w:rsidRPr="00AD2516" w:rsidRDefault="00CD49B1"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lastRenderedPageBreak/>
        <w:t>ويتفرع من الفرض الرئيسي الفروض الفرعية التالية</w:t>
      </w:r>
      <w:r w:rsidRPr="00AD2516">
        <w:rPr>
          <w:rFonts w:ascii="Simplified Arabic" w:eastAsia="Times New Roman" w:hAnsi="Simplified Arabic" w:cs="Simplified Arabic"/>
          <w:b/>
          <w:bCs/>
          <w:color w:val="000000" w:themeColor="text1"/>
          <w:kern w:val="0"/>
          <w:sz w:val="28"/>
          <w:szCs w:val="28"/>
          <w14:ligatures w14:val="none"/>
        </w:rPr>
        <w:t>:</w:t>
      </w:r>
    </w:p>
    <w:p w14:paraId="18E7C15B" w14:textId="77777777" w:rsidR="00CD49B1" w:rsidRPr="00AD2516" w:rsidRDefault="00CD49B1" w:rsidP="00997804">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14:ligatures w14:val="none"/>
        </w:rPr>
        <w:t xml:space="preserve">H1-1: </w:t>
      </w:r>
      <w:r w:rsidRPr="00AD251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Cambria" w:eastAsia="Times New Roman" w:hAnsi="Cambria" w:cs="Cambria"/>
          <w:color w:val="000000" w:themeColor="text1"/>
          <w:kern w:val="0"/>
          <w:sz w:val="28"/>
          <w:szCs w:val="28"/>
          <w14:ligatures w14:val="none"/>
        </w:rPr>
        <w:t>α</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Times New Roman" w:eastAsia="Times New Roman" w:hAnsi="Times New Roman" w:cs="Times New Roman"/>
          <w:color w:val="000000" w:themeColor="text1"/>
          <w:kern w:val="0"/>
          <w:sz w:val="28"/>
          <w:szCs w:val="28"/>
          <w14:ligatures w14:val="none"/>
        </w:rPr>
        <w:t>≤</w:t>
      </w:r>
      <w:r w:rsidRPr="00AD2516">
        <w:rPr>
          <w:rFonts w:ascii="Simplified Arabic" w:eastAsia="Times New Roman" w:hAnsi="Simplified Arabic" w:cs="Simplified Arabic"/>
          <w:color w:val="000000" w:themeColor="text1"/>
          <w:kern w:val="0"/>
          <w:sz w:val="28"/>
          <w:szCs w:val="28"/>
          <w14:ligatures w14:val="none"/>
        </w:rPr>
        <w:t xml:space="preserve"> 0.05) </w:t>
      </w:r>
      <w:r w:rsidRPr="00AD2516">
        <w:rPr>
          <w:rFonts w:ascii="Simplified Arabic" w:eastAsia="Times New Roman" w:hAnsi="Simplified Arabic" w:cs="Simplified Arabic"/>
          <w:color w:val="000000" w:themeColor="text1"/>
          <w:kern w:val="0"/>
          <w:sz w:val="28"/>
          <w:szCs w:val="28"/>
          <w:rtl/>
          <w14:ligatures w14:val="none"/>
        </w:rPr>
        <w:t>لمؤشرات الأداء التنبؤية في الوقت الفعلي على رفع كفاءة العمليات وتقليل الهدر في شركات الخدمات اللوجستية بالمنطقة الشرقية</w:t>
      </w:r>
      <w:r w:rsidRPr="00AD2516">
        <w:rPr>
          <w:rFonts w:ascii="Simplified Arabic" w:eastAsia="Times New Roman" w:hAnsi="Simplified Arabic" w:cs="Simplified Arabic"/>
          <w:color w:val="000000" w:themeColor="text1"/>
          <w:kern w:val="0"/>
          <w:sz w:val="28"/>
          <w:szCs w:val="28"/>
          <w14:ligatures w14:val="none"/>
        </w:rPr>
        <w:t>.</w:t>
      </w:r>
    </w:p>
    <w:p w14:paraId="0DF17F4D" w14:textId="77777777" w:rsidR="00CD49B1" w:rsidRPr="00AD2516" w:rsidRDefault="00CD49B1" w:rsidP="00997804">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14:ligatures w14:val="none"/>
        </w:rPr>
        <w:t xml:space="preserve">H1-2: </w:t>
      </w:r>
      <w:r w:rsidRPr="00AD251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Cambria" w:eastAsia="Times New Roman" w:hAnsi="Cambria" w:cs="Cambria"/>
          <w:color w:val="000000" w:themeColor="text1"/>
          <w:kern w:val="0"/>
          <w:sz w:val="28"/>
          <w:szCs w:val="28"/>
          <w14:ligatures w14:val="none"/>
        </w:rPr>
        <w:t>α</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Times New Roman" w:eastAsia="Times New Roman" w:hAnsi="Times New Roman" w:cs="Times New Roman"/>
          <w:color w:val="000000" w:themeColor="text1"/>
          <w:kern w:val="0"/>
          <w:sz w:val="28"/>
          <w:szCs w:val="28"/>
          <w14:ligatures w14:val="none"/>
        </w:rPr>
        <w:t>≤</w:t>
      </w:r>
      <w:r w:rsidRPr="00AD2516">
        <w:rPr>
          <w:rFonts w:ascii="Simplified Arabic" w:eastAsia="Times New Roman" w:hAnsi="Simplified Arabic" w:cs="Simplified Arabic"/>
          <w:color w:val="000000" w:themeColor="text1"/>
          <w:kern w:val="0"/>
          <w:sz w:val="28"/>
          <w:szCs w:val="28"/>
          <w14:ligatures w14:val="none"/>
        </w:rPr>
        <w:t xml:space="preserve"> 0.05) </w:t>
      </w:r>
      <w:r w:rsidRPr="00AD2516">
        <w:rPr>
          <w:rFonts w:ascii="Simplified Arabic" w:eastAsia="Times New Roman" w:hAnsi="Simplified Arabic" w:cs="Simplified Arabic"/>
          <w:color w:val="000000" w:themeColor="text1"/>
          <w:kern w:val="0"/>
          <w:sz w:val="28"/>
          <w:szCs w:val="28"/>
          <w:rtl/>
          <w14:ligatures w14:val="none"/>
        </w:rPr>
        <w:t>للتحليلات التنبؤية لإدارة الموارد على رفع كفاءة العمليات وتقليل الهدر في شركات الخدمات اللوجستية بالمنطقة الشرقية</w:t>
      </w:r>
      <w:r w:rsidRPr="00AD2516">
        <w:rPr>
          <w:rFonts w:ascii="Simplified Arabic" w:eastAsia="Times New Roman" w:hAnsi="Simplified Arabic" w:cs="Simplified Arabic"/>
          <w:color w:val="000000" w:themeColor="text1"/>
          <w:kern w:val="0"/>
          <w:sz w:val="28"/>
          <w:szCs w:val="28"/>
          <w14:ligatures w14:val="none"/>
        </w:rPr>
        <w:t>.</w:t>
      </w:r>
    </w:p>
    <w:p w14:paraId="04AD6C24" w14:textId="77777777" w:rsidR="00CD49B1" w:rsidRPr="00AD2516" w:rsidRDefault="00CD49B1" w:rsidP="00997804">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14:ligatures w14:val="none"/>
        </w:rPr>
        <w:t xml:space="preserve">H1-3: </w:t>
      </w:r>
      <w:r w:rsidRPr="00AD251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Cambria" w:eastAsia="Times New Roman" w:hAnsi="Cambria" w:cs="Cambria"/>
          <w:color w:val="000000" w:themeColor="text1"/>
          <w:kern w:val="0"/>
          <w:sz w:val="28"/>
          <w:szCs w:val="28"/>
          <w14:ligatures w14:val="none"/>
        </w:rPr>
        <w:t>α</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Times New Roman" w:eastAsia="Times New Roman" w:hAnsi="Times New Roman" w:cs="Times New Roman"/>
          <w:color w:val="000000" w:themeColor="text1"/>
          <w:kern w:val="0"/>
          <w:sz w:val="28"/>
          <w:szCs w:val="28"/>
          <w14:ligatures w14:val="none"/>
        </w:rPr>
        <w:t>≤</w:t>
      </w:r>
      <w:r w:rsidRPr="00AD2516">
        <w:rPr>
          <w:rFonts w:ascii="Simplified Arabic" w:eastAsia="Times New Roman" w:hAnsi="Simplified Arabic" w:cs="Simplified Arabic"/>
          <w:color w:val="000000" w:themeColor="text1"/>
          <w:kern w:val="0"/>
          <w:sz w:val="28"/>
          <w:szCs w:val="28"/>
          <w14:ligatures w14:val="none"/>
        </w:rPr>
        <w:t xml:space="preserve"> 0.05) </w:t>
      </w:r>
      <w:r w:rsidRPr="00AD2516">
        <w:rPr>
          <w:rFonts w:ascii="Simplified Arabic" w:eastAsia="Times New Roman" w:hAnsi="Simplified Arabic" w:cs="Simplified Arabic"/>
          <w:color w:val="000000" w:themeColor="text1"/>
          <w:kern w:val="0"/>
          <w:sz w:val="28"/>
          <w:szCs w:val="28"/>
          <w:rtl/>
          <w14:ligatures w14:val="none"/>
        </w:rPr>
        <w:t>لمؤشرات الإنذار المبكر الذكية على رفع كفاءة العمليات وتقليل الهدر في شركات الخدمات اللوجستية بالمنطقة الشرقية</w:t>
      </w:r>
      <w:r w:rsidRPr="00AD2516">
        <w:rPr>
          <w:rFonts w:ascii="Simplified Arabic" w:eastAsia="Times New Roman" w:hAnsi="Simplified Arabic" w:cs="Simplified Arabic"/>
          <w:color w:val="000000" w:themeColor="text1"/>
          <w:kern w:val="0"/>
          <w:sz w:val="28"/>
          <w:szCs w:val="28"/>
          <w14:ligatures w14:val="none"/>
        </w:rPr>
        <w:t>.</w:t>
      </w:r>
    </w:p>
    <w:p w14:paraId="0C1A5947" w14:textId="77777777" w:rsidR="00CD49B1" w:rsidRPr="00AD2516" w:rsidRDefault="00CD49B1" w:rsidP="00997804">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14:ligatures w14:val="none"/>
        </w:rPr>
        <w:t xml:space="preserve">H1-4: </w:t>
      </w:r>
      <w:r w:rsidRPr="00AD2516">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Cambria" w:eastAsia="Times New Roman" w:hAnsi="Cambria" w:cs="Cambria"/>
          <w:color w:val="000000" w:themeColor="text1"/>
          <w:kern w:val="0"/>
          <w:sz w:val="28"/>
          <w:szCs w:val="28"/>
          <w14:ligatures w14:val="none"/>
        </w:rPr>
        <w:t>α</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Times New Roman" w:eastAsia="Times New Roman" w:hAnsi="Times New Roman" w:cs="Times New Roman"/>
          <w:color w:val="000000" w:themeColor="text1"/>
          <w:kern w:val="0"/>
          <w:sz w:val="28"/>
          <w:szCs w:val="28"/>
          <w14:ligatures w14:val="none"/>
        </w:rPr>
        <w:t>≤</w:t>
      </w:r>
      <w:r w:rsidRPr="00AD2516">
        <w:rPr>
          <w:rFonts w:ascii="Simplified Arabic" w:eastAsia="Times New Roman" w:hAnsi="Simplified Arabic" w:cs="Simplified Arabic"/>
          <w:color w:val="000000" w:themeColor="text1"/>
          <w:kern w:val="0"/>
          <w:sz w:val="28"/>
          <w:szCs w:val="28"/>
          <w14:ligatures w14:val="none"/>
        </w:rPr>
        <w:t xml:space="preserve"> 0.05) </w:t>
      </w:r>
      <w:r w:rsidRPr="00AD2516">
        <w:rPr>
          <w:rFonts w:ascii="Simplified Arabic" w:eastAsia="Times New Roman" w:hAnsi="Simplified Arabic" w:cs="Simplified Arabic"/>
          <w:color w:val="000000" w:themeColor="text1"/>
          <w:kern w:val="0"/>
          <w:sz w:val="28"/>
          <w:szCs w:val="28"/>
          <w:rtl/>
          <w14:ligatures w14:val="none"/>
        </w:rPr>
        <w:t>للوحات القيادة التنبؤية الديناميكية على رفع كفاءة العمليات وتقليل الهدر في شركات الخدمات اللوجستية بالمنطقة الشرقية</w:t>
      </w:r>
      <w:r w:rsidRPr="00AD2516">
        <w:rPr>
          <w:rFonts w:ascii="Simplified Arabic" w:eastAsia="Times New Roman" w:hAnsi="Simplified Arabic" w:cs="Simplified Arabic"/>
          <w:color w:val="000000" w:themeColor="text1"/>
          <w:kern w:val="0"/>
          <w:sz w:val="28"/>
          <w:szCs w:val="28"/>
          <w14:ligatures w14:val="none"/>
        </w:rPr>
        <w:t>.</w:t>
      </w:r>
    </w:p>
    <w:p w14:paraId="2174FCE9" w14:textId="77777777" w:rsidR="00997804" w:rsidRPr="00AD2516" w:rsidRDefault="00997804" w:rsidP="0099780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934652"/>
      <w:r w:rsidRPr="00AD2516">
        <w:rPr>
          <w:rFonts w:ascii="Simplified Arabic" w:eastAsia="Times New Roman" w:hAnsi="Simplified Arabic" w:cs="Simplified Arabic"/>
          <w:b/>
          <w:bCs/>
          <w:color w:val="000000" w:themeColor="text1"/>
          <w:kern w:val="0"/>
          <w:sz w:val="36"/>
          <w:szCs w:val="36"/>
          <w:rtl/>
          <w14:ligatures w14:val="none"/>
        </w:rPr>
        <w:t>6.1 أهمية الدراسة</w:t>
      </w:r>
      <w:bookmarkEnd w:id="9"/>
    </w:p>
    <w:p w14:paraId="1AB79C74" w14:textId="20173763" w:rsidR="00997804" w:rsidRPr="00AD2516" w:rsidRDefault="00997804"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AD2516">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2DAB6A35" w14:textId="5C3E7A42" w:rsidR="00CD49B1" w:rsidRPr="00AD2516" w:rsidRDefault="00CD49B1" w:rsidP="00997804">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تسهم هذه الدراسة في سدّ الفجوة البحثية القائمة في الأدبيات العربية والأجنبية حول العلاقة بين مؤشرات الأداء الذكية المعتمدة على التحليلات التنبؤية وكفاءة العمليات وتقليل الهدر، خاصة في قطاع الخدمات اللوجستية، إذ يُلاحظ ندرة الدراسات التي تجمع بين هذين المتغيرين في إطار تكاملي واحد</w:t>
      </w:r>
      <w:r w:rsidRPr="00AD2516">
        <w:rPr>
          <w:rFonts w:ascii="Simplified Arabic" w:eastAsia="Times New Roman" w:hAnsi="Simplified Arabic" w:cs="Simplified Arabic"/>
          <w:color w:val="000000" w:themeColor="text1"/>
          <w:kern w:val="0"/>
          <w:sz w:val="28"/>
          <w:szCs w:val="28"/>
          <w14:ligatures w14:val="none"/>
        </w:rPr>
        <w:t>.</w:t>
      </w:r>
    </w:p>
    <w:p w14:paraId="24164CA5" w14:textId="6803BAEB" w:rsidR="00CD49B1" w:rsidRPr="00AD2516" w:rsidRDefault="00CD49B1" w:rsidP="00997804">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تقدم الدراسة نموذجًا نظريًا يربط بين أربعة أبعاد لمؤشرات الأداء الذكية القائمة على التحليلات التنبؤية (مؤشرات الأداء التنبؤية في الوقت الفعلي، التحليلات التنبؤية لإدارة الموارد، مؤشرات الإنذار المبكر الذكية، لوحات القيادة التنبؤية الديناميكية) وأثرها على كفاءة العمليات وتقليل الهدر، وهو نموذج يمكن أن يشكل أساسًا نظريًا للدراسات المستقبلية في هذا المجال</w:t>
      </w:r>
      <w:r w:rsidRPr="00AD2516">
        <w:rPr>
          <w:rFonts w:ascii="Simplified Arabic" w:eastAsia="Times New Roman" w:hAnsi="Simplified Arabic" w:cs="Simplified Arabic"/>
          <w:color w:val="000000" w:themeColor="text1"/>
          <w:kern w:val="0"/>
          <w:sz w:val="28"/>
          <w:szCs w:val="28"/>
          <w14:ligatures w14:val="none"/>
        </w:rPr>
        <w:t>.</w:t>
      </w:r>
    </w:p>
    <w:p w14:paraId="0687242C" w14:textId="7226C992" w:rsidR="00CD49B1" w:rsidRPr="00AD2516" w:rsidRDefault="00CD49B1" w:rsidP="00997804">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تضيف الدراسة إلى حقل المعرفة الأكاديمية من خلال دمج مفاهيم التحليلات التنبؤية المتقدمة ومؤشرات الأداء الذكية مع نظريات إدارة العمليات والإنتاج الرشيق، مما يوفر إطارًا نظريًا متعدد التخصصات يجمع بين تقنية المعلومات وإدارة الأعمال والهندسة الصناعية</w:t>
      </w:r>
      <w:r w:rsidRPr="00AD2516">
        <w:rPr>
          <w:rFonts w:ascii="Simplified Arabic" w:eastAsia="Times New Roman" w:hAnsi="Simplified Arabic" w:cs="Simplified Arabic"/>
          <w:color w:val="000000" w:themeColor="text1"/>
          <w:kern w:val="0"/>
          <w:sz w:val="28"/>
          <w:szCs w:val="28"/>
          <w14:ligatures w14:val="none"/>
        </w:rPr>
        <w:t>.</w:t>
      </w:r>
    </w:p>
    <w:p w14:paraId="09835161" w14:textId="550FDE13" w:rsidR="00CD49B1" w:rsidRPr="00AD2516" w:rsidRDefault="00CD49B1" w:rsidP="00997804">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lastRenderedPageBreak/>
        <w:t>تمثل الدراسة إضافة نوعية للأدبيات العلمية في السياق السعودي، خاصة في ظل تنامي اهتمام المملكة بالتحول الرقمي ضمن رؤية 2030، حيث تتناول قطاعًا حيويًا (الخدمات اللوجستية) في منطقة جغرافية استراتيجية (المنطقة الشرقية) تمثل شريانًا اقتصاديًا رئيسيًا</w:t>
      </w:r>
      <w:r w:rsidRPr="00AD2516">
        <w:rPr>
          <w:rFonts w:ascii="Simplified Arabic" w:eastAsia="Times New Roman" w:hAnsi="Simplified Arabic" w:cs="Simplified Arabic"/>
          <w:color w:val="000000" w:themeColor="text1"/>
          <w:kern w:val="0"/>
          <w:sz w:val="28"/>
          <w:szCs w:val="28"/>
          <w14:ligatures w14:val="none"/>
        </w:rPr>
        <w:t>.</w:t>
      </w:r>
    </w:p>
    <w:p w14:paraId="728962C8" w14:textId="77777777" w:rsidR="00CD49B1" w:rsidRPr="00AD2516" w:rsidRDefault="00CD49B1"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4117803"/>
      <w:r w:rsidRPr="00AD2516">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0"/>
    </w:p>
    <w:p w14:paraId="1B9F8EAA" w14:textId="444C3EB7" w:rsidR="00CD49B1" w:rsidRPr="00AD2516" w:rsidRDefault="00CD49B1" w:rsidP="00997804">
      <w:pPr>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تزوّد الدراسة المديرين التنفيذيين وصانعي القرار في شركات الخدمات اللوجستية بالمنطقة الشرقية بإطار عملي واضح لتطبيق مؤشرات الأداء الذكية المعتمدة على التحليلات التنبؤية، مما يمكّنهم من اتخاذ قرارات مبنية على البيانات والتنبؤات بدلًا من الاجتهاد الشخصي</w:t>
      </w:r>
      <w:r w:rsidRPr="00AD2516">
        <w:rPr>
          <w:rFonts w:ascii="Simplified Arabic" w:eastAsia="Times New Roman" w:hAnsi="Simplified Arabic" w:cs="Simplified Arabic"/>
          <w:color w:val="000000" w:themeColor="text1"/>
          <w:kern w:val="0"/>
          <w:sz w:val="28"/>
          <w:szCs w:val="28"/>
          <w14:ligatures w14:val="none"/>
        </w:rPr>
        <w:t>.</w:t>
      </w:r>
    </w:p>
    <w:p w14:paraId="5330DAE9" w14:textId="3C0EDDDA" w:rsidR="00CD49B1" w:rsidRPr="00AD2516" w:rsidRDefault="00CD49B1" w:rsidP="00997804">
      <w:pPr>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تقدم الدراسة توصيات عملية قابلة للتطبيق تسهم في رفع كفاءة العمليات اللوجستية من خلال الاستخدام الأمثل للتحليلات التنبؤية، مما ينعكس على تسريع دورات التشغيل وتحسين مستوى الخدمة وخفض التكاليف</w:t>
      </w:r>
      <w:r w:rsidRPr="00AD2516">
        <w:rPr>
          <w:rFonts w:ascii="Simplified Arabic" w:eastAsia="Times New Roman" w:hAnsi="Simplified Arabic" w:cs="Simplified Arabic"/>
          <w:color w:val="000000" w:themeColor="text1"/>
          <w:kern w:val="0"/>
          <w:sz w:val="28"/>
          <w:szCs w:val="28"/>
          <w14:ligatures w14:val="none"/>
        </w:rPr>
        <w:t>.</w:t>
      </w:r>
    </w:p>
    <w:p w14:paraId="144AFD9B" w14:textId="2161D933" w:rsidR="00CD49B1" w:rsidRPr="00AD2516" w:rsidRDefault="00CD49B1" w:rsidP="00997804">
      <w:pPr>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تساعد نتائج الدراسة شركات الخدمات اللوجستية على تحديد مصادر الهدر المختلفة (هدر الوقت، هدر الموارد، هدر الحركة، هدر المخزون) والتنبؤ بها قبل حدوثها من خلال مؤشرات الإنذار المبكر الذكية، مما يوفر تكاليف باهظة على هذه الشركات</w:t>
      </w:r>
      <w:r w:rsidRPr="00AD2516">
        <w:rPr>
          <w:rFonts w:ascii="Simplified Arabic" w:eastAsia="Times New Roman" w:hAnsi="Simplified Arabic" w:cs="Simplified Arabic"/>
          <w:color w:val="000000" w:themeColor="text1"/>
          <w:kern w:val="0"/>
          <w:sz w:val="28"/>
          <w:szCs w:val="28"/>
          <w14:ligatures w14:val="none"/>
        </w:rPr>
        <w:t>.</w:t>
      </w:r>
    </w:p>
    <w:p w14:paraId="1BEFD86F" w14:textId="556E98A6" w:rsidR="00CD49B1" w:rsidRPr="00AD2516" w:rsidRDefault="00CD49B1" w:rsidP="00997804">
      <w:pPr>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تتماشى الدراسة مع أهداف الاستراتيجية الوطنية للنقل والخدمات اللوجستية ورؤية المملكة 2030 التي تسعى إلى تحويل المملكة إلى مركز لوجستي عالمي، حيث تقدم رؤى عملية حول كيفية توظيف التقنيات التنبؤية الذكية لتحقيق هذا التحول</w:t>
      </w:r>
      <w:r w:rsidRPr="00AD2516">
        <w:rPr>
          <w:rFonts w:ascii="Simplified Arabic" w:eastAsia="Times New Roman" w:hAnsi="Simplified Arabic" w:cs="Simplified Arabic"/>
          <w:color w:val="000000" w:themeColor="text1"/>
          <w:kern w:val="0"/>
          <w:sz w:val="28"/>
          <w:szCs w:val="28"/>
          <w14:ligatures w14:val="none"/>
        </w:rPr>
        <w:t>.</w:t>
      </w:r>
    </w:p>
    <w:p w14:paraId="5B4EEBD8" w14:textId="34507D07" w:rsidR="00CD49B1" w:rsidRPr="00AD2516" w:rsidRDefault="00CD49B1" w:rsidP="00997804">
      <w:pPr>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تساعد نتائج الدراسة شركات الخدمات اللوجستية على تعزيز قدرتها التنافسية في السوق المحلي والإقليمي من خلال تبني مؤشرات أداء ذكية تتيح لها التنبؤ بالتغيرات في الطلب وتحسين تخصيص الموارد والاستجابة السريعة للاضطرابات التشغيلية</w:t>
      </w:r>
      <w:r w:rsidRPr="00AD2516">
        <w:rPr>
          <w:rFonts w:ascii="Simplified Arabic" w:eastAsia="Times New Roman" w:hAnsi="Simplified Arabic" w:cs="Simplified Arabic"/>
          <w:color w:val="000000" w:themeColor="text1"/>
          <w:kern w:val="0"/>
          <w:sz w:val="28"/>
          <w:szCs w:val="28"/>
          <w14:ligatures w14:val="none"/>
        </w:rPr>
        <w:t>.</w:t>
      </w:r>
    </w:p>
    <w:p w14:paraId="43FCF45B" w14:textId="77777777" w:rsidR="00997804" w:rsidRPr="00AD2516" w:rsidRDefault="00997804" w:rsidP="0099780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934653"/>
      <w:bookmarkStart w:id="12" w:name="_Toc170243312"/>
      <w:bookmarkEnd w:id="5"/>
      <w:r w:rsidRPr="00AD2516">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1"/>
    </w:p>
    <w:p w14:paraId="466F7EE3" w14:textId="5A371B80" w:rsidR="00997804" w:rsidRPr="00AD2516" w:rsidRDefault="00997804"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D2516">
        <w:rPr>
          <w:rFonts w:ascii="Simplified Arabic" w:eastAsia="Times New Roman" w:hAnsi="Simplified Arabic" w:cs="Simplified Arabic"/>
          <w:b/>
          <w:bCs/>
          <w:color w:val="000000" w:themeColor="text1"/>
          <w:kern w:val="0"/>
          <w:sz w:val="32"/>
          <w:szCs w:val="32"/>
          <w:rtl/>
          <w14:ligatures w14:val="none"/>
        </w:rPr>
        <w:t>المحور الأول: الدراسات العربية</w:t>
      </w:r>
    </w:p>
    <w:p w14:paraId="0E1C73A9" w14:textId="77777777" w:rsidR="00997804" w:rsidRPr="00AD2516" w:rsidRDefault="00997804" w:rsidP="00997804">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دراسة (علي، 2022) بعنوان: "دور ممارسات 5</w:t>
      </w:r>
      <w:r w:rsidRPr="00AD2516">
        <w:rPr>
          <w:rFonts w:ascii="Simplified Arabic" w:eastAsia="Times New Roman" w:hAnsi="Simplified Arabic" w:cs="Simplified Arabic"/>
          <w:b/>
          <w:bCs/>
          <w:color w:val="000000" w:themeColor="text1"/>
          <w:kern w:val="0"/>
          <w:sz w:val="28"/>
          <w:szCs w:val="28"/>
          <w14:ligatures w14:val="none"/>
        </w:rPr>
        <w:t xml:space="preserve">S </w:t>
      </w:r>
      <w:r w:rsidRPr="00AD2516">
        <w:rPr>
          <w:rFonts w:ascii="Simplified Arabic" w:eastAsia="Times New Roman" w:hAnsi="Simplified Arabic" w:cs="Simplified Arabic"/>
          <w:b/>
          <w:bCs/>
          <w:color w:val="000000" w:themeColor="text1"/>
          <w:kern w:val="0"/>
          <w:sz w:val="28"/>
          <w:szCs w:val="28"/>
          <w:rtl/>
          <w14:ligatures w14:val="none"/>
        </w:rPr>
        <w:t>في رفع الكفاءة الإنتاجية: دراسة استطلاعية في شركة أور العامة</w:t>
      </w:r>
      <w:r w:rsidRPr="00AD2516">
        <w:rPr>
          <w:rFonts w:ascii="Simplified Arabic" w:eastAsia="Times New Roman" w:hAnsi="Simplified Arabic" w:cs="Simplified Arabic"/>
          <w:b/>
          <w:bCs/>
          <w:color w:val="000000" w:themeColor="text1"/>
          <w:kern w:val="0"/>
          <w:sz w:val="28"/>
          <w:szCs w:val="28"/>
          <w14:ligatures w14:val="none"/>
        </w:rPr>
        <w:t>"</w:t>
      </w:r>
    </w:p>
    <w:p w14:paraId="748DE0E6" w14:textId="77777777" w:rsidR="00997804" w:rsidRPr="00AD2516" w:rsidRDefault="00997804" w:rsidP="0099780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ممارسات 5</w:t>
      </w:r>
      <w:r w:rsidRPr="00AD2516">
        <w:rPr>
          <w:rFonts w:ascii="Simplified Arabic" w:eastAsia="Times New Roman" w:hAnsi="Simplified Arabic" w:cs="Simplified Arabic"/>
          <w:color w:val="000000" w:themeColor="text1"/>
          <w:kern w:val="0"/>
          <w:sz w:val="28"/>
          <w:szCs w:val="28"/>
          <w14:ligatures w14:val="none"/>
        </w:rPr>
        <w:t xml:space="preserve">S </w:t>
      </w:r>
      <w:r w:rsidRPr="00AD2516">
        <w:rPr>
          <w:rFonts w:ascii="Simplified Arabic" w:eastAsia="Times New Roman" w:hAnsi="Simplified Arabic" w:cs="Simplified Arabic"/>
          <w:color w:val="000000" w:themeColor="text1"/>
          <w:kern w:val="0"/>
          <w:sz w:val="28"/>
          <w:szCs w:val="28"/>
          <w:rtl/>
          <w14:ligatures w14:val="none"/>
        </w:rPr>
        <w:t>بأبعادها (الفرز، الترتيب، التنظيف، التقييس، الانضباط) على رفع الكفاءة الإنتاجية في شركة أور العامة بمحافظة ذي قار بالعراق. واستخدمت الدراسة المنهج الوصفي التحليلي، وتكونت العينة من (45) مهندسًا من العاملين في الشركة، وتم استخدام الاستبانة كأداة لجمع البيانات، وبلغت الاستمارات الصالحة للتحليل (40) استمارة بنسبة استجابة (88%). وتوصلت نتائج الدراسة إلى وجود علاقة ارتباط قوية وطردية بين ممارسات 5</w:t>
      </w:r>
      <w:r w:rsidRPr="00AD2516">
        <w:rPr>
          <w:rFonts w:ascii="Simplified Arabic" w:eastAsia="Times New Roman" w:hAnsi="Simplified Arabic" w:cs="Simplified Arabic"/>
          <w:color w:val="000000" w:themeColor="text1"/>
          <w:kern w:val="0"/>
          <w:sz w:val="28"/>
          <w:szCs w:val="28"/>
          <w14:ligatures w14:val="none"/>
        </w:rPr>
        <w:t xml:space="preserve">S </w:t>
      </w:r>
      <w:r w:rsidRPr="00AD2516">
        <w:rPr>
          <w:rFonts w:ascii="Simplified Arabic" w:eastAsia="Times New Roman" w:hAnsi="Simplified Arabic" w:cs="Simplified Arabic"/>
          <w:color w:val="000000" w:themeColor="text1"/>
          <w:kern w:val="0"/>
          <w:sz w:val="28"/>
          <w:szCs w:val="28"/>
          <w:rtl/>
          <w14:ligatures w14:val="none"/>
        </w:rPr>
        <w:t>والكفاءة الإنتاجية، حيث بلغت قيمة معامل التحديد</w:t>
      </w:r>
      <w:r w:rsidRPr="00AD2516">
        <w:rPr>
          <w:rFonts w:ascii="Simplified Arabic" w:eastAsia="Times New Roman" w:hAnsi="Simplified Arabic" w:cs="Simplified Arabic"/>
          <w:color w:val="000000" w:themeColor="text1"/>
          <w:kern w:val="0"/>
          <w:sz w:val="28"/>
          <w:szCs w:val="28"/>
          <w14:ligatures w14:val="none"/>
        </w:rPr>
        <w:t xml:space="preserve"> (R² = 0.931)</w:t>
      </w:r>
      <w:r w:rsidRPr="00AD2516">
        <w:rPr>
          <w:rFonts w:ascii="Simplified Arabic" w:eastAsia="Times New Roman" w:hAnsi="Simplified Arabic" w:cs="Simplified Arabic"/>
          <w:color w:val="000000" w:themeColor="text1"/>
          <w:kern w:val="0"/>
          <w:sz w:val="28"/>
          <w:szCs w:val="28"/>
          <w:rtl/>
          <w14:ligatures w14:val="none"/>
        </w:rPr>
        <w:t>، مما يعني أن ممارسات 5</w:t>
      </w:r>
      <w:r w:rsidRPr="00AD2516">
        <w:rPr>
          <w:rFonts w:ascii="Simplified Arabic" w:eastAsia="Times New Roman" w:hAnsi="Simplified Arabic" w:cs="Simplified Arabic"/>
          <w:color w:val="000000" w:themeColor="text1"/>
          <w:kern w:val="0"/>
          <w:sz w:val="28"/>
          <w:szCs w:val="28"/>
          <w14:ligatures w14:val="none"/>
        </w:rPr>
        <w:t xml:space="preserve">S </w:t>
      </w:r>
      <w:r w:rsidRPr="00AD2516">
        <w:rPr>
          <w:rFonts w:ascii="Simplified Arabic" w:eastAsia="Times New Roman" w:hAnsi="Simplified Arabic" w:cs="Simplified Arabic"/>
          <w:color w:val="000000" w:themeColor="text1"/>
          <w:kern w:val="0"/>
          <w:sz w:val="28"/>
          <w:szCs w:val="28"/>
          <w:rtl/>
          <w14:ligatures w14:val="none"/>
        </w:rPr>
        <w:t>تفسر</w:t>
      </w:r>
      <w:r w:rsidRPr="00AD2516">
        <w:rPr>
          <w:rFonts w:ascii="Simplified Arabic" w:eastAsia="Times New Roman" w:hAnsi="Simplified Arabic" w:cs="Simplified Arabic"/>
          <w:color w:val="000000" w:themeColor="text1"/>
          <w:kern w:val="0"/>
          <w:sz w:val="28"/>
          <w:szCs w:val="28"/>
          <w14:ligatures w14:val="none"/>
        </w:rPr>
        <w:t xml:space="preserve"> (93%) </w:t>
      </w:r>
      <w:r w:rsidRPr="00AD2516">
        <w:rPr>
          <w:rFonts w:ascii="Simplified Arabic" w:eastAsia="Times New Roman" w:hAnsi="Simplified Arabic" w:cs="Simplified Arabic"/>
          <w:color w:val="000000" w:themeColor="text1"/>
          <w:kern w:val="0"/>
          <w:sz w:val="28"/>
          <w:szCs w:val="28"/>
          <w:rtl/>
          <w14:ligatures w14:val="none"/>
        </w:rPr>
        <w:t>من التغير في الكفاءة الإنتاجية. وأوصت الدراسة بضرورة اهتمام الشركة بتطبيق ممارسات 5</w:t>
      </w:r>
      <w:r w:rsidRPr="00AD2516">
        <w:rPr>
          <w:rFonts w:ascii="Simplified Arabic" w:eastAsia="Times New Roman" w:hAnsi="Simplified Arabic" w:cs="Simplified Arabic"/>
          <w:color w:val="000000" w:themeColor="text1"/>
          <w:kern w:val="0"/>
          <w:sz w:val="28"/>
          <w:szCs w:val="28"/>
          <w14:ligatures w14:val="none"/>
        </w:rPr>
        <w:t xml:space="preserve">S </w:t>
      </w:r>
      <w:r w:rsidRPr="00AD2516">
        <w:rPr>
          <w:rFonts w:ascii="Simplified Arabic" w:eastAsia="Times New Roman" w:hAnsi="Simplified Arabic" w:cs="Simplified Arabic"/>
          <w:color w:val="000000" w:themeColor="text1"/>
          <w:kern w:val="0"/>
          <w:sz w:val="28"/>
          <w:szCs w:val="28"/>
          <w:rtl/>
          <w14:ligatures w14:val="none"/>
        </w:rPr>
        <w:t>لما لها من دور فعّال في تخفيض الهدر وتقليل أوقات الانتظار والاستغلال الأمثل للموارد المتاحة وتحسين إدارة المخزون</w:t>
      </w:r>
      <w:r w:rsidRPr="00AD2516">
        <w:rPr>
          <w:rFonts w:ascii="Simplified Arabic" w:eastAsia="Times New Roman" w:hAnsi="Simplified Arabic" w:cs="Simplified Arabic"/>
          <w:color w:val="000000" w:themeColor="text1"/>
          <w:kern w:val="0"/>
          <w:sz w:val="28"/>
          <w:szCs w:val="28"/>
          <w14:ligatures w14:val="none"/>
        </w:rPr>
        <w:t>.</w:t>
      </w:r>
    </w:p>
    <w:p w14:paraId="01F9D4D7" w14:textId="77777777" w:rsidR="00997804" w:rsidRPr="00AD2516" w:rsidRDefault="00997804" w:rsidP="00997804">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دراسة (بيلي وداود، 2023) بعنوان</w:t>
      </w:r>
      <w:r w:rsidRPr="00AD2516">
        <w:rPr>
          <w:rFonts w:ascii="Simplified Arabic" w:eastAsia="Times New Roman" w:hAnsi="Simplified Arabic" w:cs="Simplified Arabic"/>
          <w:b/>
          <w:bCs/>
          <w:color w:val="000000" w:themeColor="text1"/>
          <w:kern w:val="0"/>
          <w:sz w:val="28"/>
          <w:szCs w:val="28"/>
          <w14:ligatures w14:val="none"/>
        </w:rPr>
        <w:t>: "</w:t>
      </w:r>
      <w:r w:rsidRPr="00AD2516">
        <w:rPr>
          <w:rFonts w:ascii="Simplified Arabic" w:eastAsia="Times New Roman" w:hAnsi="Simplified Arabic" w:cs="Simplified Arabic"/>
          <w:b/>
          <w:bCs/>
          <w:color w:val="000000" w:themeColor="text1"/>
          <w:kern w:val="0"/>
          <w:sz w:val="28"/>
          <w:szCs w:val="28"/>
          <w:rtl/>
          <w14:ligatures w14:val="none"/>
        </w:rPr>
        <w:t>أثر كفاءة إدارة رأس المال العامل في رفع الكفاءة التشغيلية: دراسة تطبيقية على شركات المواد الأساسية المدرجة في سوق الأوراق المالية السعودي</w:t>
      </w:r>
      <w:r w:rsidRPr="00AD2516">
        <w:rPr>
          <w:rFonts w:ascii="Simplified Arabic" w:eastAsia="Times New Roman" w:hAnsi="Simplified Arabic" w:cs="Simplified Arabic"/>
          <w:b/>
          <w:bCs/>
          <w:color w:val="000000" w:themeColor="text1"/>
          <w:kern w:val="0"/>
          <w:sz w:val="28"/>
          <w:szCs w:val="28"/>
          <w14:ligatures w14:val="none"/>
        </w:rPr>
        <w:t>"</w:t>
      </w:r>
    </w:p>
    <w:p w14:paraId="3A95564C" w14:textId="4E4D0C76" w:rsidR="00997804" w:rsidRPr="00AD2516" w:rsidRDefault="00997804" w:rsidP="0099780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D2516">
        <w:rPr>
          <w:rFonts w:ascii="Simplified Arabic" w:eastAsia="Times New Roman" w:hAnsi="Simplified Arabic" w:cs="Simplified Arabic"/>
          <w:color w:val="000000" w:themeColor="text1"/>
          <w:kern w:val="0"/>
          <w:sz w:val="28"/>
          <w:szCs w:val="28"/>
          <w:rtl/>
          <w14:ligatures w14:val="none"/>
        </w:rPr>
        <w:t>هدفت الدراسة إلى التعرف على أثر كفاءة إدارة رأس المال العامل بأبعاده (دورة التحول النقدي، فترة التخزين، فترة السداد، فترة التحصيل) على رفع الكفاءة التشغيلية لشركات المواد الأساسية المدرجة في السوق السعودي خلال الفترة من 2010م إلى 2019م. واستخدمت الدراسة منهج تحليل البيانات الطولية</w:t>
      </w:r>
      <w:r w:rsidRPr="00AD2516">
        <w:rPr>
          <w:rFonts w:ascii="Simplified Arabic" w:eastAsia="Times New Roman" w:hAnsi="Simplified Arabic" w:cs="Simplified Arabic"/>
          <w:color w:val="000000" w:themeColor="text1"/>
          <w:kern w:val="0"/>
          <w:sz w:val="28"/>
          <w:szCs w:val="28"/>
          <w14:ligatures w14:val="none"/>
        </w:rPr>
        <w:t xml:space="preserve"> (Panel Data) </w:t>
      </w:r>
      <w:r w:rsidRPr="00AD2516">
        <w:rPr>
          <w:rFonts w:ascii="Simplified Arabic" w:eastAsia="Times New Roman" w:hAnsi="Simplified Arabic" w:cs="Simplified Arabic"/>
          <w:color w:val="000000" w:themeColor="text1"/>
          <w:kern w:val="0"/>
          <w:sz w:val="28"/>
          <w:szCs w:val="28"/>
          <w:rtl/>
          <w14:ligatures w14:val="none"/>
        </w:rPr>
        <w:t>القائم على الدمج بين بيانات السلاسل الزمنية والمقاطع العرضية، وتكونت العينة من شركات المواد الأساسية المدرجة في السوق المالية السعودية. وتوصلت نتائج الدراسة إلى وجود تأثير معنوي إيجابي لدورة التحول النقدي ومتوسط فترة التخزين ومتوسط فترة السداد على الكفاءة التشغيلية، بينما أظهرت وجود تأثير سلبي غير معنوي لمتوسط فترة التحصيل. وأوصت الدراسة بضرورة وضوح سياسات رأس المال العامل في الشركات، والعمل على تحسين إدارة دورة التحول النقدي بما يعزز الكفاءة التشغيلية</w:t>
      </w:r>
      <w:r w:rsidRPr="00AD2516">
        <w:rPr>
          <w:rFonts w:ascii="Simplified Arabic" w:eastAsia="Times New Roman" w:hAnsi="Simplified Arabic" w:cs="Simplified Arabic"/>
          <w:color w:val="000000" w:themeColor="text1"/>
          <w:kern w:val="0"/>
          <w:sz w:val="28"/>
          <w:szCs w:val="28"/>
          <w14:ligatures w14:val="none"/>
        </w:rPr>
        <w:t>.</w:t>
      </w:r>
    </w:p>
    <w:p w14:paraId="51ED71D0" w14:textId="77777777" w:rsidR="004A1930" w:rsidRPr="00AD2516" w:rsidRDefault="004A1930" w:rsidP="00997804">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دراسة (سحنون وبعلاش، 2025) بعنوان: "إمكانيات التحليلات التنبؤية في قطاع الخدمات المالية والمصرفية</w:t>
      </w:r>
      <w:r w:rsidRPr="00AD2516">
        <w:rPr>
          <w:rFonts w:ascii="Simplified Arabic" w:eastAsia="Times New Roman" w:hAnsi="Simplified Arabic" w:cs="Simplified Arabic"/>
          <w:b/>
          <w:bCs/>
          <w:color w:val="000000" w:themeColor="text1"/>
          <w:kern w:val="0"/>
          <w:sz w:val="28"/>
          <w:szCs w:val="28"/>
          <w14:ligatures w14:val="none"/>
        </w:rPr>
        <w:t>"</w:t>
      </w:r>
    </w:p>
    <w:p w14:paraId="1D342237" w14:textId="77777777" w:rsidR="004A1930" w:rsidRPr="00AD2516" w:rsidRDefault="004A1930" w:rsidP="0099780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هدفت الدراسة إلى التعرف على إمكانيات التحليلات التنبؤية بأبعادها (تحليل البيانات الضخمة، نمذجة المخاطر، دعم اتخاذ القرار) على تحقيق التميز التشغيلي في المؤسسات المالية والمصرفية</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لاستعراض وتحليل الأدبيات والدراسات السابقة المتعلقة بالتحليلات التنبؤية في القطاع المالي. وتوصلت نتائج الدراسة إلى أن التحليلات التنبؤية تمثل أداة استراتيجية فعّالة في تعزيز </w:t>
      </w:r>
      <w:r w:rsidRPr="00AD2516">
        <w:rPr>
          <w:rFonts w:ascii="Simplified Arabic" w:eastAsia="Times New Roman" w:hAnsi="Simplified Arabic" w:cs="Simplified Arabic"/>
          <w:color w:val="000000" w:themeColor="text1"/>
          <w:kern w:val="0"/>
          <w:sz w:val="28"/>
          <w:szCs w:val="28"/>
          <w:rtl/>
          <w14:ligatures w14:val="none"/>
        </w:rPr>
        <w:lastRenderedPageBreak/>
        <w:t>كفاءة العمليات المالية والمصرفية، حيث تسهم في تحسين دقة التنبؤ بالمخاطر المالية وتقليل الخسائر التشغيلية، كما أنها تدعم عملية اتخاذ القرارات المبنية على البيانات بدلًا من الاجتهادات الشخصية. وأوصت الدراسة بضرورة تبني المؤسسات المالية والمصرفية لأنظمة التحليلات التنبؤية المتقدمة، والاستثمار في البنية التحتية الرقمية وتأهيل الكوادر البشرية القادرة على التعامل مع تقنيات تحليل البيانات الحديثة</w:t>
      </w:r>
      <w:r w:rsidRPr="00AD2516">
        <w:rPr>
          <w:rFonts w:ascii="Simplified Arabic" w:eastAsia="Times New Roman" w:hAnsi="Simplified Arabic" w:cs="Simplified Arabic"/>
          <w:color w:val="000000" w:themeColor="text1"/>
          <w:kern w:val="0"/>
          <w:sz w:val="28"/>
          <w:szCs w:val="28"/>
          <w14:ligatures w14:val="none"/>
        </w:rPr>
        <w:t>.</w:t>
      </w:r>
    </w:p>
    <w:p w14:paraId="572F51AC" w14:textId="77777777" w:rsidR="004A1930" w:rsidRPr="00AD2516" w:rsidRDefault="004A1930" w:rsidP="00997804">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دراسة (حسن وآخرون، 2025) بعنوان: "دور التعهيد في رفع كفاءة إدارة العمليات: دراسة تطبيقية على قطاع الطيران المدني</w:t>
      </w:r>
      <w:r w:rsidRPr="00AD2516">
        <w:rPr>
          <w:rFonts w:ascii="Simplified Arabic" w:eastAsia="Times New Roman" w:hAnsi="Simplified Arabic" w:cs="Simplified Arabic"/>
          <w:b/>
          <w:bCs/>
          <w:color w:val="000000" w:themeColor="text1"/>
          <w:kern w:val="0"/>
          <w:sz w:val="28"/>
          <w:szCs w:val="28"/>
          <w14:ligatures w14:val="none"/>
        </w:rPr>
        <w:t>"</w:t>
      </w:r>
    </w:p>
    <w:p w14:paraId="4D5D2A65" w14:textId="77777777" w:rsidR="004A1930" w:rsidRPr="00AD2516" w:rsidRDefault="004A1930" w:rsidP="0099780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التعهيد الخارجي بأبعاده (تعهيد العمليات التشغيلية، تعهيد الخدمات المساندة، تعهيد تقنية المعلومات) على رفع كفاءة إدارة العمليات في قطاع الطيران المدني بمصر. واستخدمت الدراسة المنهج الوصفي التحليلي، وتكونت العينة من العاملين في قطاع الطيران المدني المصري، وتم جمع البيانات من خلال أداة الاستبانة</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وتوصلت نتائج الدراسة إلى وجود أثر إيجابي ذي دلالة إحصائية للتعهيد الخارجي على كفاءة إدارة العمليات، حيث أسهم في تحسين جودة الخدمات المقدمة وتعزيز المزايا التنافسية للمؤسسات. وأوصت الدراسة بضرورة توسيع نطاق تطبيق التعهيد في المجالات غير الجوهرية، مع الحفاظ على معايير الرقابة والجودة، وبناء شراكات استراتيجية طويلة الأمد مع مقدمي خدمات التعهيد المتميزين</w:t>
      </w:r>
      <w:r w:rsidRPr="00AD2516">
        <w:rPr>
          <w:rFonts w:ascii="Simplified Arabic" w:eastAsia="Times New Roman" w:hAnsi="Simplified Arabic" w:cs="Simplified Arabic"/>
          <w:color w:val="000000" w:themeColor="text1"/>
          <w:kern w:val="0"/>
          <w:sz w:val="28"/>
          <w:szCs w:val="28"/>
          <w14:ligatures w14:val="none"/>
        </w:rPr>
        <w:t>.</w:t>
      </w:r>
    </w:p>
    <w:p w14:paraId="795FC79E" w14:textId="77777777" w:rsidR="004A1930" w:rsidRPr="00AD2516" w:rsidRDefault="004A1930" w:rsidP="00997804">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دراسة (الشمري، 2025) بعنوان: "دور الذكاء الاصطناعي في رفع كفاءة العمليات الإدارية</w:t>
      </w:r>
      <w:r w:rsidRPr="00AD2516">
        <w:rPr>
          <w:rFonts w:ascii="Simplified Arabic" w:eastAsia="Times New Roman" w:hAnsi="Simplified Arabic" w:cs="Simplified Arabic"/>
          <w:b/>
          <w:bCs/>
          <w:color w:val="000000" w:themeColor="text1"/>
          <w:kern w:val="0"/>
          <w:sz w:val="28"/>
          <w:szCs w:val="28"/>
          <w14:ligatures w14:val="none"/>
        </w:rPr>
        <w:t>"</w:t>
      </w:r>
    </w:p>
    <w:p w14:paraId="6A79E4E4" w14:textId="77777777" w:rsidR="004A1930" w:rsidRPr="00AD2516" w:rsidRDefault="004A1930" w:rsidP="0099780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هدفت الدراسة إلى التعرف على دور الذكاء الاصطناعي بأبعاده (الأتمتة الذكية، التعلم الآلي، معالجة اللغات الطبيعية) على رفع كفاءة العمليات الإدارية وتحسين الإنتاجية في المنظمات. واستخدمت الدراسة المنهج الوصفي التحليلي القائم على مراجعة وتحليل الأدبيات والبحوث المنشورة. وتوصلت نتائج الدراسة إلى أن تطبيقات الذكاء الاصطناعي تسهم بشكل جوهري في أتمتة المهام الروتينية وتسريع الإجراءات الإدارية وتقليل الأخطاء البشرية، مما ينعكس إيجابيًا على الكفاءة الكلية للعمليات الإدارية. وأوصت الدراسة بضرورة تبني المنظمات لتقنيات الذكاء الاصطناعي بشكل تدريجي ومدروس، مع التركيز على تدريب العاملين وتهيئة البنية التحتية التقنية اللازمة، والعمل على سنّ تشريعات وسياسات تنظيمية تحكم استخدام هذه التقنيات</w:t>
      </w:r>
      <w:r w:rsidRPr="00AD2516">
        <w:rPr>
          <w:rFonts w:ascii="Simplified Arabic" w:eastAsia="Times New Roman" w:hAnsi="Simplified Arabic" w:cs="Simplified Arabic"/>
          <w:color w:val="000000" w:themeColor="text1"/>
          <w:kern w:val="0"/>
          <w:sz w:val="28"/>
          <w:szCs w:val="28"/>
          <w14:ligatures w14:val="none"/>
        </w:rPr>
        <w:t>.</w:t>
      </w:r>
    </w:p>
    <w:p w14:paraId="5A9BF872" w14:textId="77777777" w:rsidR="004A1930" w:rsidRPr="00AD2516" w:rsidRDefault="004A1930" w:rsidP="00997804">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lastRenderedPageBreak/>
        <w:t>دراسة (علي، 2025) بعنوان: "تأثير الإدارة المالية على كفاءة العمليات في شركات التأمين: دراسة حالة الشركة السورية الوطنية للتأمين</w:t>
      </w:r>
      <w:r w:rsidRPr="00AD2516">
        <w:rPr>
          <w:rFonts w:ascii="Simplified Arabic" w:eastAsia="Times New Roman" w:hAnsi="Simplified Arabic" w:cs="Simplified Arabic"/>
          <w:b/>
          <w:bCs/>
          <w:color w:val="000000" w:themeColor="text1"/>
          <w:kern w:val="0"/>
          <w:sz w:val="28"/>
          <w:szCs w:val="28"/>
          <w14:ligatures w14:val="none"/>
        </w:rPr>
        <w:t>"</w:t>
      </w:r>
    </w:p>
    <w:p w14:paraId="2C9716D7" w14:textId="77777777" w:rsidR="004A1930" w:rsidRPr="00AD2516" w:rsidRDefault="004A1930" w:rsidP="0099780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الإدارة المالية بأبعادها (السيولة، الاحتياطيات المالية، التكاليف الإدارية) على كفاءة العمليات التشغيلية في الشركة السورية الوطنية للتأمين خلال الفترة من 2010م إلى 2023م. واستخدمت الدراسة المنهج الكمي القياسي القائم على تحليل السلاسل الزمنية، حيث طُبقت اختبارات الاستقرارية</w:t>
      </w:r>
      <w:r w:rsidRPr="00AD2516">
        <w:rPr>
          <w:rFonts w:ascii="Simplified Arabic" w:eastAsia="Times New Roman" w:hAnsi="Simplified Arabic" w:cs="Simplified Arabic"/>
          <w:color w:val="000000" w:themeColor="text1"/>
          <w:kern w:val="0"/>
          <w:sz w:val="28"/>
          <w:szCs w:val="28"/>
          <w14:ligatures w14:val="none"/>
        </w:rPr>
        <w:t xml:space="preserve"> (ADF)</w:t>
      </w:r>
      <w:r w:rsidRPr="00AD2516">
        <w:rPr>
          <w:rFonts w:ascii="Simplified Arabic" w:eastAsia="Times New Roman" w:hAnsi="Simplified Arabic" w:cs="Simplified Arabic"/>
          <w:color w:val="000000" w:themeColor="text1"/>
          <w:kern w:val="0"/>
          <w:sz w:val="28"/>
          <w:szCs w:val="28"/>
          <w:rtl/>
          <w14:ligatures w14:val="none"/>
        </w:rPr>
        <w:t>، واختبارات التكامل المشترك</w:t>
      </w:r>
      <w:r w:rsidRPr="00AD2516">
        <w:rPr>
          <w:rFonts w:ascii="Simplified Arabic" w:eastAsia="Times New Roman" w:hAnsi="Simplified Arabic" w:cs="Simplified Arabic"/>
          <w:color w:val="000000" w:themeColor="text1"/>
          <w:kern w:val="0"/>
          <w:sz w:val="28"/>
          <w:szCs w:val="28"/>
          <w14:ligatures w14:val="none"/>
        </w:rPr>
        <w:t xml:space="preserve"> (Johansen </w:t>
      </w:r>
      <w:r w:rsidRPr="00AD2516">
        <w:rPr>
          <w:rFonts w:ascii="Simplified Arabic" w:eastAsia="Times New Roman" w:hAnsi="Simplified Arabic" w:cs="Simplified Arabic"/>
          <w:color w:val="000000" w:themeColor="text1"/>
          <w:kern w:val="0"/>
          <w:sz w:val="28"/>
          <w:szCs w:val="28"/>
          <w:rtl/>
          <w14:ligatures w14:val="none"/>
        </w:rPr>
        <w:t>و</w:t>
      </w:r>
      <w:r w:rsidRPr="00AD2516">
        <w:rPr>
          <w:rFonts w:ascii="Simplified Arabic" w:eastAsia="Times New Roman" w:hAnsi="Simplified Arabic" w:cs="Simplified Arabic"/>
          <w:color w:val="000000" w:themeColor="text1"/>
          <w:kern w:val="0"/>
          <w:sz w:val="28"/>
          <w:szCs w:val="28"/>
          <w14:ligatures w14:val="none"/>
        </w:rPr>
        <w:t>ARDL)</w:t>
      </w:r>
      <w:r w:rsidRPr="00AD2516">
        <w:rPr>
          <w:rFonts w:ascii="Simplified Arabic" w:eastAsia="Times New Roman" w:hAnsi="Simplified Arabic" w:cs="Simplified Arabic"/>
          <w:color w:val="000000" w:themeColor="text1"/>
          <w:kern w:val="0"/>
          <w:sz w:val="28"/>
          <w:szCs w:val="28"/>
          <w:rtl/>
          <w14:ligatures w14:val="none"/>
        </w:rPr>
        <w:t>، واختبار سببية جرانجر، ونموذج الانحدار الذاتي للإبطاء الموزع</w:t>
      </w:r>
      <w:r w:rsidRPr="00AD2516">
        <w:rPr>
          <w:rFonts w:ascii="Simplified Arabic" w:eastAsia="Times New Roman" w:hAnsi="Simplified Arabic" w:cs="Simplified Arabic"/>
          <w:color w:val="000000" w:themeColor="text1"/>
          <w:kern w:val="0"/>
          <w:sz w:val="28"/>
          <w:szCs w:val="28"/>
          <w14:ligatures w14:val="none"/>
        </w:rPr>
        <w:t xml:space="preserve"> (ARDL). </w:t>
      </w:r>
      <w:r w:rsidRPr="00AD2516">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توازنية طويلة الأجل بين مؤشرات الإدارة المالية وكفاءة العمليات، وتأثير إيجابي معنوي للسيولة والاحتياطيات المالية على الكفاءة التشغيلية، في حين ارتبطت التكاليف الإدارية المرتفعة بتدهور الأداء، كما تبيّن وجود سببية أحادية الاتجاه من المؤشرات المالية إلى كفاءة العمليات. وأوصت الدراسة بتحسين الرقابة المالية وتبني التكنولوجيا الحديثة وتعزيز إدارة السيولة وتدريب الكوادر البشرية لرفع الكفاءة التشغيلية</w:t>
      </w:r>
      <w:r w:rsidRPr="00AD2516">
        <w:rPr>
          <w:rFonts w:ascii="Simplified Arabic" w:eastAsia="Times New Roman" w:hAnsi="Simplified Arabic" w:cs="Simplified Arabic"/>
          <w:color w:val="000000" w:themeColor="text1"/>
          <w:kern w:val="0"/>
          <w:sz w:val="28"/>
          <w:szCs w:val="28"/>
          <w14:ligatures w14:val="none"/>
        </w:rPr>
        <w:t>.</w:t>
      </w:r>
    </w:p>
    <w:p w14:paraId="2079452B" w14:textId="77777777" w:rsidR="004A1930" w:rsidRPr="00AD2516" w:rsidRDefault="004A1930" w:rsidP="00997804">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دراسة (مرقص وآخرون، 2025) بعنوان</w:t>
      </w:r>
      <w:r w:rsidRPr="00AD2516">
        <w:rPr>
          <w:rFonts w:ascii="Simplified Arabic" w:eastAsia="Times New Roman" w:hAnsi="Simplified Arabic" w:cs="Simplified Arabic"/>
          <w:b/>
          <w:bCs/>
          <w:color w:val="000000" w:themeColor="text1"/>
          <w:kern w:val="0"/>
          <w:sz w:val="28"/>
          <w:szCs w:val="28"/>
          <w14:ligatures w14:val="none"/>
        </w:rPr>
        <w:t>: "</w:t>
      </w:r>
      <w:r w:rsidRPr="00AD2516">
        <w:rPr>
          <w:rFonts w:ascii="Simplified Arabic" w:eastAsia="Times New Roman" w:hAnsi="Simplified Arabic" w:cs="Simplified Arabic"/>
          <w:b/>
          <w:bCs/>
          <w:color w:val="000000" w:themeColor="text1"/>
          <w:kern w:val="0"/>
          <w:sz w:val="28"/>
          <w:szCs w:val="28"/>
          <w:rtl/>
          <w14:ligatures w14:val="none"/>
        </w:rPr>
        <w:t>أثر تطبيق مؤشرات الأداء الرئيسية على تصنيف المحفظة الائتمانية: الدور المعدّل لنموذج الخسائر الائتمانية المتوقعة</w:t>
      </w:r>
      <w:r w:rsidRPr="00AD2516">
        <w:rPr>
          <w:rFonts w:ascii="Simplified Arabic" w:eastAsia="Times New Roman" w:hAnsi="Simplified Arabic" w:cs="Simplified Arabic"/>
          <w:b/>
          <w:bCs/>
          <w:color w:val="000000" w:themeColor="text1"/>
          <w:kern w:val="0"/>
          <w:sz w:val="28"/>
          <w:szCs w:val="28"/>
          <w14:ligatures w14:val="none"/>
        </w:rPr>
        <w:t>"</w:t>
      </w:r>
    </w:p>
    <w:p w14:paraId="675F520B" w14:textId="77777777" w:rsidR="004A1930" w:rsidRPr="00AD2516" w:rsidRDefault="004A1930" w:rsidP="0099780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مؤشرات الأداء الرئيسية</w:t>
      </w:r>
      <w:r w:rsidRPr="00AD2516">
        <w:rPr>
          <w:rFonts w:ascii="Simplified Arabic" w:eastAsia="Times New Roman" w:hAnsi="Simplified Arabic" w:cs="Simplified Arabic"/>
          <w:color w:val="000000" w:themeColor="text1"/>
          <w:kern w:val="0"/>
          <w:sz w:val="28"/>
          <w:szCs w:val="28"/>
          <w14:ligatures w14:val="none"/>
        </w:rPr>
        <w:t xml:space="preserve"> (KPIs) </w:t>
      </w:r>
      <w:r w:rsidRPr="00AD2516">
        <w:rPr>
          <w:rFonts w:ascii="Simplified Arabic" w:eastAsia="Times New Roman" w:hAnsi="Simplified Arabic" w:cs="Simplified Arabic"/>
          <w:color w:val="000000" w:themeColor="text1"/>
          <w:kern w:val="0"/>
          <w:sz w:val="28"/>
          <w:szCs w:val="28"/>
          <w:rtl/>
          <w14:ligatures w14:val="none"/>
        </w:rPr>
        <w:t>على تصنيف المحفظة الائتمانية، مع دراسة الدور المعدّل لنموذج الخسائر الائتمانية المتوقعة</w:t>
      </w:r>
      <w:r w:rsidRPr="00AD2516">
        <w:rPr>
          <w:rFonts w:ascii="Simplified Arabic" w:eastAsia="Times New Roman" w:hAnsi="Simplified Arabic" w:cs="Simplified Arabic"/>
          <w:color w:val="000000" w:themeColor="text1"/>
          <w:kern w:val="0"/>
          <w:sz w:val="28"/>
          <w:szCs w:val="28"/>
          <w14:ligatures w14:val="none"/>
        </w:rPr>
        <w:t xml:space="preserve"> (ECL) </w:t>
      </w:r>
      <w:r w:rsidRPr="00AD2516">
        <w:rPr>
          <w:rFonts w:ascii="Simplified Arabic" w:eastAsia="Times New Roman" w:hAnsi="Simplified Arabic" w:cs="Simplified Arabic"/>
          <w:color w:val="000000" w:themeColor="text1"/>
          <w:kern w:val="0"/>
          <w:sz w:val="28"/>
          <w:szCs w:val="28"/>
          <w:rtl/>
          <w14:ligatures w14:val="none"/>
        </w:rPr>
        <w:t>في ظل مخاطر تغيرات أسعار صرف العملات الأجنبية. واستخدمت الدراسة المنهج الوصفي التحليلي مع التطبيق العملي على البيانات المالية الفعلية، وتكونت العينة من بيانات المحافظ الائتمانية في القطاع المصرفي المصري. وتوصلت نتائج الدراسة إلى أن تطبيق مؤشرات الأداء الرئيسية يسهم بشكل فعّال في تحسين دقة تصنيف المحافظ الائتمانية، وأن نموذج الخسائر الائتمانية المتوقعة يؤدي دورًا معدّلًا مهمًا في هذه العلاقة خاصة في ظل تقلبات أسعار الصرف. وأوصت الدراسة بضرورة تبني البنوك لمؤشرات أداء رئيسية ذكية ومتكاملة لإدارة المحافظ الائتمانية، وتطوير نماذج الخسائر المتوقعة بما يتوافق مع المعايير الدولية ويراعي مخاطر أسعار الصرف</w:t>
      </w:r>
      <w:r w:rsidRPr="00AD2516">
        <w:rPr>
          <w:rFonts w:ascii="Simplified Arabic" w:eastAsia="Times New Roman" w:hAnsi="Simplified Arabic" w:cs="Simplified Arabic"/>
          <w:color w:val="000000" w:themeColor="text1"/>
          <w:kern w:val="0"/>
          <w:sz w:val="28"/>
          <w:szCs w:val="28"/>
          <w14:ligatures w14:val="none"/>
        </w:rPr>
        <w:t>.</w:t>
      </w:r>
    </w:p>
    <w:p w14:paraId="50C5C4B8" w14:textId="77777777" w:rsidR="004A1930" w:rsidRPr="00AD2516" w:rsidRDefault="004A1930"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4117806"/>
      <w:r w:rsidRPr="00AD2516">
        <w:rPr>
          <w:rFonts w:ascii="Simplified Arabic" w:eastAsia="Times New Roman" w:hAnsi="Simplified Arabic" w:cs="Simplified Arabic"/>
          <w:b/>
          <w:bCs/>
          <w:color w:val="000000" w:themeColor="text1"/>
          <w:kern w:val="0"/>
          <w:sz w:val="32"/>
          <w:szCs w:val="32"/>
          <w:rtl/>
          <w14:ligatures w14:val="none"/>
        </w:rPr>
        <w:t>المحور الثاني: الدراسات الأجنبية</w:t>
      </w:r>
      <w:bookmarkEnd w:id="13"/>
    </w:p>
    <w:p w14:paraId="6DE2F10C" w14:textId="77777777" w:rsidR="00997804" w:rsidRPr="00AD2516" w:rsidRDefault="00997804" w:rsidP="00997804">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lastRenderedPageBreak/>
        <w:t>دراسة</w:t>
      </w:r>
      <w:r w:rsidRPr="00AD2516">
        <w:rPr>
          <w:rFonts w:ascii="Simplified Arabic" w:eastAsia="Times New Roman" w:hAnsi="Simplified Arabic" w:cs="Simplified Arabic"/>
          <w:b/>
          <w:bCs/>
          <w:color w:val="000000" w:themeColor="text1"/>
          <w:kern w:val="0"/>
          <w:sz w:val="28"/>
          <w:szCs w:val="28"/>
          <w14:ligatures w14:val="none"/>
        </w:rPr>
        <w:t xml:space="preserve"> (Selvik et al., 2021) </w:t>
      </w:r>
      <w:r w:rsidRPr="00AD2516">
        <w:rPr>
          <w:rFonts w:ascii="Simplified Arabic" w:eastAsia="Times New Roman" w:hAnsi="Simplified Arabic" w:cs="Simplified Arabic"/>
          <w:b/>
          <w:bCs/>
          <w:color w:val="000000" w:themeColor="text1"/>
          <w:kern w:val="0"/>
          <w:sz w:val="28"/>
          <w:szCs w:val="28"/>
          <w:rtl/>
          <w14:ligatures w14:val="none"/>
        </w:rPr>
        <w:t>بعنوان</w:t>
      </w:r>
      <w:r w:rsidRPr="00AD2516">
        <w:rPr>
          <w:rFonts w:ascii="Simplified Arabic" w:eastAsia="Times New Roman" w:hAnsi="Simplified Arabic" w:cs="Simplified Arabic"/>
          <w:b/>
          <w:bCs/>
          <w:color w:val="000000" w:themeColor="text1"/>
          <w:kern w:val="0"/>
          <w:sz w:val="28"/>
          <w:szCs w:val="28"/>
          <w14:ligatures w14:val="none"/>
        </w:rPr>
        <w:t>: "On the Use of Criteria Based on the SMART Acronym to Assess Quality of Performance Indicators for Safety Management in Process Industries"</w:t>
      </w:r>
    </w:p>
    <w:p w14:paraId="36464A6D" w14:textId="77777777" w:rsidR="00997804" w:rsidRPr="00AD2516" w:rsidRDefault="00997804"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هدفت الدراسة إلى التعرف على مدى ملاءمة معايير</w:t>
      </w:r>
      <w:r w:rsidRPr="00AD2516">
        <w:rPr>
          <w:rFonts w:ascii="Simplified Arabic" w:eastAsia="Times New Roman" w:hAnsi="Simplified Arabic" w:cs="Simplified Arabic"/>
          <w:color w:val="000000" w:themeColor="text1"/>
          <w:kern w:val="0"/>
          <w:sz w:val="28"/>
          <w:szCs w:val="28"/>
          <w14:ligatures w14:val="none"/>
        </w:rPr>
        <w:t xml:space="preserve"> SMART </w:t>
      </w:r>
      <w:r w:rsidRPr="00AD2516">
        <w:rPr>
          <w:rFonts w:ascii="Simplified Arabic" w:eastAsia="Times New Roman" w:hAnsi="Simplified Arabic" w:cs="Simplified Arabic"/>
          <w:color w:val="000000" w:themeColor="text1"/>
          <w:kern w:val="0"/>
          <w:sz w:val="28"/>
          <w:szCs w:val="28"/>
          <w:rtl/>
          <w14:ligatures w14:val="none"/>
        </w:rPr>
        <w:t>بأبعادها (المحددية</w:t>
      </w:r>
      <w:r w:rsidRPr="00AD2516">
        <w:rPr>
          <w:rFonts w:ascii="Simplified Arabic" w:eastAsia="Times New Roman" w:hAnsi="Simplified Arabic" w:cs="Simplified Arabic"/>
          <w:color w:val="000000" w:themeColor="text1"/>
          <w:kern w:val="0"/>
          <w:sz w:val="28"/>
          <w:szCs w:val="28"/>
          <w14:ligatures w14:val="none"/>
        </w:rPr>
        <w:t xml:space="preserve"> Specific</w:t>
      </w:r>
      <w:r w:rsidRPr="00AD2516">
        <w:rPr>
          <w:rFonts w:ascii="Simplified Arabic" w:eastAsia="Times New Roman" w:hAnsi="Simplified Arabic" w:cs="Simplified Arabic"/>
          <w:color w:val="000000" w:themeColor="text1"/>
          <w:kern w:val="0"/>
          <w:sz w:val="28"/>
          <w:szCs w:val="28"/>
          <w:rtl/>
          <w14:ligatures w14:val="none"/>
        </w:rPr>
        <w:t>، القابلية للقياس</w:t>
      </w:r>
      <w:r w:rsidRPr="00AD2516">
        <w:rPr>
          <w:rFonts w:ascii="Simplified Arabic" w:eastAsia="Times New Roman" w:hAnsi="Simplified Arabic" w:cs="Simplified Arabic"/>
          <w:color w:val="000000" w:themeColor="text1"/>
          <w:kern w:val="0"/>
          <w:sz w:val="28"/>
          <w:szCs w:val="28"/>
          <w14:ligatures w14:val="none"/>
        </w:rPr>
        <w:t xml:space="preserve"> Measurable</w:t>
      </w:r>
      <w:r w:rsidRPr="00AD2516">
        <w:rPr>
          <w:rFonts w:ascii="Simplified Arabic" w:eastAsia="Times New Roman" w:hAnsi="Simplified Arabic" w:cs="Simplified Arabic"/>
          <w:color w:val="000000" w:themeColor="text1"/>
          <w:kern w:val="0"/>
          <w:sz w:val="28"/>
          <w:szCs w:val="28"/>
          <w:rtl/>
          <w14:ligatures w14:val="none"/>
        </w:rPr>
        <w:t>، القابلية للتحقيق</w:t>
      </w:r>
      <w:r w:rsidRPr="00AD2516">
        <w:rPr>
          <w:rFonts w:ascii="Simplified Arabic" w:eastAsia="Times New Roman" w:hAnsi="Simplified Arabic" w:cs="Simplified Arabic"/>
          <w:color w:val="000000" w:themeColor="text1"/>
          <w:kern w:val="0"/>
          <w:sz w:val="28"/>
          <w:szCs w:val="28"/>
          <w14:ligatures w14:val="none"/>
        </w:rPr>
        <w:t xml:space="preserve"> Achievable</w:t>
      </w:r>
      <w:r w:rsidRPr="00AD2516">
        <w:rPr>
          <w:rFonts w:ascii="Simplified Arabic" w:eastAsia="Times New Roman" w:hAnsi="Simplified Arabic" w:cs="Simplified Arabic"/>
          <w:color w:val="000000" w:themeColor="text1"/>
          <w:kern w:val="0"/>
          <w:sz w:val="28"/>
          <w:szCs w:val="28"/>
          <w:rtl/>
          <w14:ligatures w14:val="none"/>
        </w:rPr>
        <w:t>، الملاءمة</w:t>
      </w:r>
      <w:r w:rsidRPr="00AD2516">
        <w:rPr>
          <w:rFonts w:ascii="Simplified Arabic" w:eastAsia="Times New Roman" w:hAnsi="Simplified Arabic" w:cs="Simplified Arabic"/>
          <w:color w:val="000000" w:themeColor="text1"/>
          <w:kern w:val="0"/>
          <w:sz w:val="28"/>
          <w:szCs w:val="28"/>
          <w14:ligatures w14:val="none"/>
        </w:rPr>
        <w:t xml:space="preserve"> Relevant</w:t>
      </w:r>
      <w:r w:rsidRPr="00AD2516">
        <w:rPr>
          <w:rFonts w:ascii="Simplified Arabic" w:eastAsia="Times New Roman" w:hAnsi="Simplified Arabic" w:cs="Simplified Arabic"/>
          <w:color w:val="000000" w:themeColor="text1"/>
          <w:kern w:val="0"/>
          <w:sz w:val="28"/>
          <w:szCs w:val="28"/>
          <w:rtl/>
          <w14:ligatures w14:val="none"/>
        </w:rPr>
        <w:t xml:space="preserve">، التقييد الزمني </w:t>
      </w:r>
      <w:r w:rsidRPr="00AD2516">
        <w:rPr>
          <w:rFonts w:ascii="Simplified Arabic" w:eastAsia="Times New Roman" w:hAnsi="Simplified Arabic" w:cs="Simplified Arabic"/>
          <w:color w:val="000000" w:themeColor="text1"/>
          <w:kern w:val="0"/>
          <w:sz w:val="28"/>
          <w:szCs w:val="28"/>
          <w14:ligatures w14:val="none"/>
        </w:rPr>
        <w:t xml:space="preserve">Time-bound) </w:t>
      </w:r>
      <w:r w:rsidRPr="00AD2516">
        <w:rPr>
          <w:rFonts w:ascii="Simplified Arabic" w:eastAsia="Times New Roman" w:hAnsi="Simplified Arabic" w:cs="Simplified Arabic"/>
          <w:color w:val="000000" w:themeColor="text1"/>
          <w:kern w:val="0"/>
          <w:sz w:val="28"/>
          <w:szCs w:val="28"/>
          <w:rtl/>
          <w14:ligatures w14:val="none"/>
        </w:rPr>
        <w:t>في تقييم جودة مؤشرات الأداء الخاصة بإدارة السلامة في الصناعات التحويلية. واستخدمت الدراسة المنهج التحليلي النقدي القائم على تطبيق معايير</w:t>
      </w:r>
      <w:r w:rsidRPr="00AD2516">
        <w:rPr>
          <w:rFonts w:ascii="Simplified Arabic" w:eastAsia="Times New Roman" w:hAnsi="Simplified Arabic" w:cs="Simplified Arabic"/>
          <w:color w:val="000000" w:themeColor="text1"/>
          <w:kern w:val="0"/>
          <w:sz w:val="28"/>
          <w:szCs w:val="28"/>
          <w14:ligatures w14:val="none"/>
        </w:rPr>
        <w:t xml:space="preserve"> SMART </w:t>
      </w:r>
      <w:r w:rsidRPr="00AD2516">
        <w:rPr>
          <w:rFonts w:ascii="Simplified Arabic" w:eastAsia="Times New Roman" w:hAnsi="Simplified Arabic" w:cs="Simplified Arabic"/>
          <w:color w:val="000000" w:themeColor="text1"/>
          <w:kern w:val="0"/>
          <w:sz w:val="28"/>
          <w:szCs w:val="28"/>
          <w:rtl/>
          <w14:ligatures w14:val="none"/>
        </w:rPr>
        <w:t>على مؤشرات أداء السلامة المستخدمة فعليًا في صناعات النفط والغاز والصناعات التحويلية. وتوصلت نتائج الدراسة إلى أن جميع معايير</w:t>
      </w:r>
      <w:r w:rsidRPr="00AD2516">
        <w:rPr>
          <w:rFonts w:ascii="Simplified Arabic" w:eastAsia="Times New Roman" w:hAnsi="Simplified Arabic" w:cs="Simplified Arabic"/>
          <w:color w:val="000000" w:themeColor="text1"/>
          <w:kern w:val="0"/>
          <w:sz w:val="28"/>
          <w:szCs w:val="28"/>
          <w14:ligatures w14:val="none"/>
        </w:rPr>
        <w:t xml:space="preserve"> SMART </w:t>
      </w:r>
      <w:r w:rsidRPr="00AD2516">
        <w:rPr>
          <w:rFonts w:ascii="Simplified Arabic" w:eastAsia="Times New Roman" w:hAnsi="Simplified Arabic" w:cs="Simplified Arabic"/>
          <w:color w:val="000000" w:themeColor="text1"/>
          <w:kern w:val="0"/>
          <w:sz w:val="28"/>
          <w:szCs w:val="28"/>
          <w:rtl/>
          <w14:ligatures w14:val="none"/>
        </w:rPr>
        <w:t>ينبغي أن تتحقق في مؤشر أداء السلامة حتى يكون ذا جودة مقبولة ومفيدًا لدعم قرارات إدارة الحواجز الوقائية، كما أن هذه المعايير قابلة للتطبيق على أنواع أخرى من مؤشرات الأداء وفي قطاعات صناعية مختلفة. وأوصت الدراسة بتبني معايير</w:t>
      </w:r>
      <w:r w:rsidRPr="00AD2516">
        <w:rPr>
          <w:rFonts w:ascii="Simplified Arabic" w:eastAsia="Times New Roman" w:hAnsi="Simplified Arabic" w:cs="Simplified Arabic"/>
          <w:color w:val="000000" w:themeColor="text1"/>
          <w:kern w:val="0"/>
          <w:sz w:val="28"/>
          <w:szCs w:val="28"/>
          <w14:ligatures w14:val="none"/>
        </w:rPr>
        <w:t xml:space="preserve"> SMART </w:t>
      </w:r>
      <w:r w:rsidRPr="00AD2516">
        <w:rPr>
          <w:rFonts w:ascii="Simplified Arabic" w:eastAsia="Times New Roman" w:hAnsi="Simplified Arabic" w:cs="Simplified Arabic"/>
          <w:color w:val="000000" w:themeColor="text1"/>
          <w:kern w:val="0"/>
          <w:sz w:val="28"/>
          <w:szCs w:val="28"/>
          <w:rtl/>
          <w14:ligatures w14:val="none"/>
        </w:rPr>
        <w:t>كإطار معياري لتقييم جودة مؤشرات الأداء في المنظمات الصناعية، وتطوير مؤشرات أداء ذكية تلبي جميع هذه المعايير لضمان فاعليتها في دعم السلامة التشغيلية</w:t>
      </w:r>
      <w:r w:rsidRPr="00AD2516">
        <w:rPr>
          <w:rFonts w:ascii="Simplified Arabic" w:eastAsia="Times New Roman" w:hAnsi="Simplified Arabic" w:cs="Simplified Arabic"/>
          <w:color w:val="000000" w:themeColor="text1"/>
          <w:kern w:val="0"/>
          <w:sz w:val="28"/>
          <w:szCs w:val="28"/>
          <w14:ligatures w14:val="none"/>
        </w:rPr>
        <w:t>.</w:t>
      </w:r>
    </w:p>
    <w:p w14:paraId="41A2152F" w14:textId="77777777" w:rsidR="00997804" w:rsidRPr="00AD2516" w:rsidRDefault="00997804" w:rsidP="00997804">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دراسة</w:t>
      </w:r>
      <w:r w:rsidRPr="00AD2516">
        <w:rPr>
          <w:rFonts w:ascii="Simplified Arabic" w:eastAsia="Times New Roman" w:hAnsi="Simplified Arabic" w:cs="Simplified Arabic"/>
          <w:b/>
          <w:bCs/>
          <w:color w:val="000000" w:themeColor="text1"/>
          <w:kern w:val="0"/>
          <w:sz w:val="28"/>
          <w:szCs w:val="28"/>
          <w14:ligatures w14:val="none"/>
        </w:rPr>
        <w:t xml:space="preserve"> (Ghahremani-Nahr &amp; </w:t>
      </w:r>
      <w:proofErr w:type="spellStart"/>
      <w:r w:rsidRPr="00AD2516">
        <w:rPr>
          <w:rFonts w:ascii="Simplified Arabic" w:eastAsia="Times New Roman" w:hAnsi="Simplified Arabic" w:cs="Simplified Arabic"/>
          <w:b/>
          <w:bCs/>
          <w:color w:val="000000" w:themeColor="text1"/>
          <w:kern w:val="0"/>
          <w:sz w:val="28"/>
          <w:szCs w:val="28"/>
          <w14:ligatures w14:val="none"/>
        </w:rPr>
        <w:t>Nozari</w:t>
      </w:r>
      <w:proofErr w:type="spellEnd"/>
      <w:r w:rsidRPr="00AD2516">
        <w:rPr>
          <w:rFonts w:ascii="Simplified Arabic" w:eastAsia="Times New Roman" w:hAnsi="Simplified Arabic" w:cs="Simplified Arabic"/>
          <w:b/>
          <w:bCs/>
          <w:color w:val="000000" w:themeColor="text1"/>
          <w:kern w:val="0"/>
          <w:sz w:val="28"/>
          <w:szCs w:val="28"/>
          <w14:ligatures w14:val="none"/>
        </w:rPr>
        <w:t xml:space="preserve">, 2021) </w:t>
      </w:r>
      <w:r w:rsidRPr="00AD2516">
        <w:rPr>
          <w:rFonts w:ascii="Simplified Arabic" w:eastAsia="Times New Roman" w:hAnsi="Simplified Arabic" w:cs="Simplified Arabic"/>
          <w:b/>
          <w:bCs/>
          <w:color w:val="000000" w:themeColor="text1"/>
          <w:kern w:val="0"/>
          <w:sz w:val="28"/>
          <w:szCs w:val="28"/>
          <w:rtl/>
          <w14:ligatures w14:val="none"/>
        </w:rPr>
        <w:t>بعنوان</w:t>
      </w:r>
      <w:r w:rsidRPr="00AD2516">
        <w:rPr>
          <w:rFonts w:ascii="Simplified Arabic" w:eastAsia="Times New Roman" w:hAnsi="Simplified Arabic" w:cs="Simplified Arabic"/>
          <w:b/>
          <w:bCs/>
          <w:color w:val="000000" w:themeColor="text1"/>
          <w:kern w:val="0"/>
          <w:sz w:val="28"/>
          <w:szCs w:val="28"/>
          <w14:ligatures w14:val="none"/>
        </w:rPr>
        <w:t>: "A Survey for Investigating Key Performance Indicators in Digital Marketing"</w:t>
      </w:r>
    </w:p>
    <w:p w14:paraId="3B274DDD" w14:textId="41449C58" w:rsidR="00997804" w:rsidRPr="00AD2516" w:rsidRDefault="00997804"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D2516">
        <w:rPr>
          <w:rFonts w:ascii="Simplified Arabic" w:eastAsia="Times New Roman" w:hAnsi="Simplified Arabic" w:cs="Simplified Arabic"/>
          <w:color w:val="000000" w:themeColor="text1"/>
          <w:kern w:val="0"/>
          <w:sz w:val="28"/>
          <w:szCs w:val="28"/>
          <w:rtl/>
          <w14:ligatures w14:val="none"/>
        </w:rPr>
        <w:t>هدفت الدراسة إلى التعرف على مؤشرات الأداء الرئيسية في التسويق الرقمي بأبعادها (معدل التحويل، تكلفة الاكتساب، العائد على الاستثمار، معدل التفاعل، حركة المرور الرقمية) وتحديد أهميتها النسبية باستخدام أسلوب اتخاذ القرار متعدد المعايير. واستخدمت الدراسة المنهج الوصفي المسحي المقترن بأسلوب التحليل الهرمي</w:t>
      </w:r>
      <w:r w:rsidRPr="00AD2516">
        <w:rPr>
          <w:rFonts w:ascii="Simplified Arabic" w:eastAsia="Times New Roman" w:hAnsi="Simplified Arabic" w:cs="Simplified Arabic"/>
          <w:color w:val="000000" w:themeColor="text1"/>
          <w:kern w:val="0"/>
          <w:sz w:val="28"/>
          <w:szCs w:val="28"/>
          <w14:ligatures w14:val="none"/>
        </w:rPr>
        <w:t xml:space="preserve"> (AHP) </w:t>
      </w:r>
      <w:r w:rsidRPr="00AD2516">
        <w:rPr>
          <w:rFonts w:ascii="Simplified Arabic" w:eastAsia="Times New Roman" w:hAnsi="Simplified Arabic" w:cs="Simplified Arabic"/>
          <w:color w:val="000000" w:themeColor="text1"/>
          <w:kern w:val="0"/>
          <w:sz w:val="28"/>
          <w:szCs w:val="28"/>
          <w:rtl/>
          <w14:ligatures w14:val="none"/>
        </w:rPr>
        <w:t>لتحديد أولويات مؤشرات الأداء الرئيسية في بيئة التسويق الرقمي. وتوصلت نتائج الدراسة إلى أن مؤشرات الأداء الرئيسية تتفاوت في أهميتها النسبية، وأن تحديد هذه المؤشرات وترتيبها وفق أولوياتها يسهم في تحسين فاعلية استراتيجيات التسويق الرقمي واتخاذ قرارات أكثر دقة. وأوصت الدراسة بضرورة اعتماد المنظمات على مؤشرات أداء رئيسية واضحة ومحددة لقياس نجاح حملاتها التسويقية الرقمية، والمراجعة الدورية لهذه المؤشرات لضمان مواكبتها للتغيرات المتسارعة في البيئة الرقمية</w:t>
      </w:r>
      <w:r w:rsidRPr="00AD2516">
        <w:rPr>
          <w:rFonts w:ascii="Simplified Arabic" w:eastAsia="Times New Roman" w:hAnsi="Simplified Arabic" w:cs="Simplified Arabic"/>
          <w:color w:val="000000" w:themeColor="text1"/>
          <w:kern w:val="0"/>
          <w:sz w:val="28"/>
          <w:szCs w:val="28"/>
          <w14:ligatures w14:val="none"/>
        </w:rPr>
        <w:t>.</w:t>
      </w:r>
    </w:p>
    <w:p w14:paraId="7D74CF0A" w14:textId="77777777" w:rsidR="00997804" w:rsidRPr="00AD2516" w:rsidRDefault="00997804" w:rsidP="0071413D">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lastRenderedPageBreak/>
        <w:t>دراسة</w:t>
      </w:r>
      <w:r w:rsidRPr="00AD2516">
        <w:rPr>
          <w:rFonts w:ascii="Simplified Arabic" w:eastAsia="Times New Roman" w:hAnsi="Simplified Arabic" w:cs="Simplified Arabic"/>
          <w:b/>
          <w:bCs/>
          <w:color w:val="000000" w:themeColor="text1"/>
          <w:kern w:val="0"/>
          <w:sz w:val="28"/>
          <w:szCs w:val="28"/>
          <w14:ligatures w14:val="none"/>
        </w:rPr>
        <w:t xml:space="preserve"> (Serrano et al., 2022) </w:t>
      </w:r>
      <w:r w:rsidRPr="00AD2516">
        <w:rPr>
          <w:rFonts w:ascii="Simplified Arabic" w:eastAsia="Times New Roman" w:hAnsi="Simplified Arabic" w:cs="Simplified Arabic"/>
          <w:b/>
          <w:bCs/>
          <w:color w:val="000000" w:themeColor="text1"/>
          <w:kern w:val="0"/>
          <w:sz w:val="28"/>
          <w:szCs w:val="28"/>
          <w:rtl/>
          <w14:ligatures w14:val="none"/>
        </w:rPr>
        <w:t>بعنوان</w:t>
      </w:r>
      <w:r w:rsidRPr="00AD2516">
        <w:rPr>
          <w:rFonts w:ascii="Simplified Arabic" w:eastAsia="Times New Roman" w:hAnsi="Simplified Arabic" w:cs="Simplified Arabic"/>
          <w:b/>
          <w:bCs/>
          <w:color w:val="000000" w:themeColor="text1"/>
          <w:kern w:val="0"/>
          <w:sz w:val="28"/>
          <w:szCs w:val="28"/>
          <w14:ligatures w14:val="none"/>
        </w:rPr>
        <w:t>: "Smart Cities and Communities: A Key Performance Indicators Framework"</w:t>
      </w:r>
    </w:p>
    <w:p w14:paraId="0759072C" w14:textId="43B51A6C" w:rsidR="00997804" w:rsidRPr="00AD2516" w:rsidRDefault="00997804"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D2516">
        <w:rPr>
          <w:rFonts w:ascii="Simplified Arabic" w:eastAsia="Times New Roman" w:hAnsi="Simplified Arabic" w:cs="Simplified Arabic"/>
          <w:color w:val="000000" w:themeColor="text1"/>
          <w:kern w:val="0"/>
          <w:sz w:val="28"/>
          <w:szCs w:val="28"/>
          <w:rtl/>
          <w14:ligatures w14:val="none"/>
        </w:rPr>
        <w:t>هدفت الدراسة إلى التعرف على إطار عمل شامل لمؤشرات الأداء الرئيسية الذكية بأبعاده (مواءمة مؤشرات الأداء مع أولويات المجتمع، كفاءة الاستثمار، كثافة تدفق المعلومات، جودة خدمات البنية التحتية، جودة المنافع المجتمعية) على قياس مستوى "الذكاء" في المدن والمجتمعات الذكية. واستخدمت الدراسة منهج البحث العلمي التطبيقي القائم على تطوير إطار منهجي يُعرف بمؤشرات الأداء الرئيسية الشاملة</w:t>
      </w:r>
      <w:r w:rsidRPr="00AD2516">
        <w:rPr>
          <w:rFonts w:ascii="Simplified Arabic" w:eastAsia="Times New Roman" w:hAnsi="Simplified Arabic" w:cs="Simplified Arabic"/>
          <w:color w:val="000000" w:themeColor="text1"/>
          <w:kern w:val="0"/>
          <w:sz w:val="28"/>
          <w:szCs w:val="28"/>
          <w14:ligatures w14:val="none"/>
        </w:rPr>
        <w:t xml:space="preserve"> (H-KPI)</w:t>
      </w:r>
      <w:r w:rsidRPr="00AD2516">
        <w:rPr>
          <w:rFonts w:ascii="Simplified Arabic" w:eastAsia="Times New Roman" w:hAnsi="Simplified Arabic" w:cs="Simplified Arabic"/>
          <w:color w:val="000000" w:themeColor="text1"/>
          <w:kern w:val="0"/>
          <w:sz w:val="28"/>
          <w:szCs w:val="28"/>
          <w:rtl/>
          <w14:ligatures w14:val="none"/>
        </w:rPr>
        <w:t>، ويعمل على ثلاثة مستويات تحليلية متفاعلة هي: التقنيات، وخدمات البنية التحتية، والمنافع المجتمعية. وتوصلت نتائج الدراسة إلى أن إطار</w:t>
      </w:r>
      <w:r w:rsidRPr="00AD2516">
        <w:rPr>
          <w:rFonts w:ascii="Simplified Arabic" w:eastAsia="Times New Roman" w:hAnsi="Simplified Arabic" w:cs="Simplified Arabic"/>
          <w:color w:val="000000" w:themeColor="text1"/>
          <w:kern w:val="0"/>
          <w:sz w:val="28"/>
          <w:szCs w:val="28"/>
          <w14:ligatures w14:val="none"/>
        </w:rPr>
        <w:t xml:space="preserve"> H-KPI </w:t>
      </w:r>
      <w:r w:rsidRPr="00AD2516">
        <w:rPr>
          <w:rFonts w:ascii="Simplified Arabic" w:eastAsia="Times New Roman" w:hAnsi="Simplified Arabic" w:cs="Simplified Arabic"/>
          <w:color w:val="000000" w:themeColor="text1"/>
          <w:kern w:val="0"/>
          <w:sz w:val="28"/>
          <w:szCs w:val="28"/>
          <w:rtl/>
          <w14:ligatures w14:val="none"/>
        </w:rPr>
        <w:t>يتفوق على مؤشرات الأداء التقليدية من حيث القدرة على التكامل والتكيف والتوسعية، كما أنه يوفر رؤية شاملة تتجاوز القياسات المجزأة والقطاعية، ويدعم التخطيط الاستراتيجي وإدارة العمليات في المدن الذكية. وأوصت الدراسة بتبني إطار</w:t>
      </w:r>
      <w:r w:rsidRPr="00AD2516">
        <w:rPr>
          <w:rFonts w:ascii="Simplified Arabic" w:eastAsia="Times New Roman" w:hAnsi="Simplified Arabic" w:cs="Simplified Arabic"/>
          <w:color w:val="000000" w:themeColor="text1"/>
          <w:kern w:val="0"/>
          <w:sz w:val="28"/>
          <w:szCs w:val="28"/>
          <w14:ligatures w14:val="none"/>
        </w:rPr>
        <w:t xml:space="preserve"> H-KPI </w:t>
      </w:r>
      <w:r w:rsidRPr="00AD2516">
        <w:rPr>
          <w:rFonts w:ascii="Simplified Arabic" w:eastAsia="Times New Roman" w:hAnsi="Simplified Arabic" w:cs="Simplified Arabic"/>
          <w:color w:val="000000" w:themeColor="text1"/>
          <w:kern w:val="0"/>
          <w:sz w:val="28"/>
          <w:szCs w:val="28"/>
          <w:rtl/>
          <w14:ligatures w14:val="none"/>
        </w:rPr>
        <w:t>في المدن والمجتمعات لتحسين قياس الأداء وتوجيه الاستثمارات التقنية، والعمل على دمج البيانات عبر القطاعات المختلفة لتحقيق أقصى استفادة من التقنيات الذكية</w:t>
      </w:r>
      <w:r w:rsidRPr="00AD2516">
        <w:rPr>
          <w:rFonts w:ascii="Simplified Arabic" w:eastAsia="Times New Roman" w:hAnsi="Simplified Arabic" w:cs="Simplified Arabic"/>
          <w:color w:val="000000" w:themeColor="text1"/>
          <w:kern w:val="0"/>
          <w:sz w:val="28"/>
          <w:szCs w:val="28"/>
          <w14:ligatures w14:val="none"/>
        </w:rPr>
        <w:t>.</w:t>
      </w:r>
    </w:p>
    <w:p w14:paraId="23CD54BF" w14:textId="77777777" w:rsidR="004A1930" w:rsidRPr="00AD2516" w:rsidRDefault="004A1930" w:rsidP="0071413D">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دراسة</w:t>
      </w:r>
      <w:r w:rsidRPr="00AD2516">
        <w:rPr>
          <w:rFonts w:ascii="Simplified Arabic" w:eastAsia="Times New Roman" w:hAnsi="Simplified Arabic" w:cs="Simplified Arabic"/>
          <w:b/>
          <w:bCs/>
          <w:color w:val="000000" w:themeColor="text1"/>
          <w:kern w:val="0"/>
          <w:sz w:val="28"/>
          <w:szCs w:val="28"/>
          <w14:ligatures w14:val="none"/>
        </w:rPr>
        <w:t xml:space="preserve"> (Bello &amp; </w:t>
      </w:r>
      <w:proofErr w:type="spellStart"/>
      <w:r w:rsidRPr="00AD2516">
        <w:rPr>
          <w:rFonts w:ascii="Simplified Arabic" w:eastAsia="Times New Roman" w:hAnsi="Simplified Arabic" w:cs="Simplified Arabic"/>
          <w:b/>
          <w:bCs/>
          <w:color w:val="000000" w:themeColor="text1"/>
          <w:kern w:val="0"/>
          <w:sz w:val="28"/>
          <w:szCs w:val="28"/>
          <w14:ligatures w14:val="none"/>
        </w:rPr>
        <w:t>Odiete</w:t>
      </w:r>
      <w:proofErr w:type="spellEnd"/>
      <w:r w:rsidRPr="00AD2516">
        <w:rPr>
          <w:rFonts w:ascii="Simplified Arabic" w:eastAsia="Times New Roman" w:hAnsi="Simplified Arabic" w:cs="Simplified Arabic"/>
          <w:b/>
          <w:bCs/>
          <w:color w:val="000000" w:themeColor="text1"/>
          <w:kern w:val="0"/>
          <w:sz w:val="28"/>
          <w:szCs w:val="28"/>
          <w14:ligatures w14:val="none"/>
        </w:rPr>
        <w:t xml:space="preserve">, 2022) </w:t>
      </w:r>
      <w:r w:rsidRPr="00AD2516">
        <w:rPr>
          <w:rFonts w:ascii="Simplified Arabic" w:eastAsia="Times New Roman" w:hAnsi="Simplified Arabic" w:cs="Simplified Arabic"/>
          <w:b/>
          <w:bCs/>
          <w:color w:val="000000" w:themeColor="text1"/>
          <w:kern w:val="0"/>
          <w:sz w:val="28"/>
          <w:szCs w:val="28"/>
          <w:rtl/>
          <w14:ligatures w14:val="none"/>
        </w:rPr>
        <w:t>بعنوان</w:t>
      </w:r>
      <w:r w:rsidRPr="00AD2516">
        <w:rPr>
          <w:rFonts w:ascii="Simplified Arabic" w:eastAsia="Times New Roman" w:hAnsi="Simplified Arabic" w:cs="Simplified Arabic"/>
          <w:b/>
          <w:bCs/>
          <w:color w:val="000000" w:themeColor="text1"/>
          <w:kern w:val="0"/>
          <w:sz w:val="28"/>
          <w:szCs w:val="28"/>
          <w14:ligatures w14:val="none"/>
        </w:rPr>
        <w:t>: "The Role of Predictive Analytics in Enhancing Urban Waste Management Efficiency: A Case Study of the Waste Generation Prediction Tool in Developing Economies"</w:t>
      </w:r>
    </w:p>
    <w:p w14:paraId="1738E241" w14:textId="77777777" w:rsidR="004A1930" w:rsidRPr="00AD2516" w:rsidRDefault="004A1930"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التحليلات التنبؤية بأبعادها (التنبؤ بتوليد النفايات، تحسين مسارات الجمع، تخصيص الموارد القائم على البيانات) على رفع كفاءة إدارة النفايات الحضرية في الاقتصادات النامية. واستخدمت الدراسة المنهج الاستقرائي المراجعاتي </w:t>
      </w:r>
      <w:r w:rsidRPr="00AD2516">
        <w:rPr>
          <w:rFonts w:ascii="Simplified Arabic" w:eastAsia="Times New Roman" w:hAnsi="Simplified Arabic" w:cs="Simplified Arabic"/>
          <w:color w:val="000000" w:themeColor="text1"/>
          <w:kern w:val="0"/>
          <w:sz w:val="28"/>
          <w:szCs w:val="28"/>
          <w14:ligatures w14:val="none"/>
        </w:rPr>
        <w:t xml:space="preserve">(Review Methodology) </w:t>
      </w:r>
      <w:r w:rsidRPr="00AD2516">
        <w:rPr>
          <w:rFonts w:ascii="Simplified Arabic" w:eastAsia="Times New Roman" w:hAnsi="Simplified Arabic" w:cs="Simplified Arabic"/>
          <w:color w:val="000000" w:themeColor="text1"/>
          <w:kern w:val="0"/>
          <w:sz w:val="28"/>
          <w:szCs w:val="28"/>
          <w:rtl/>
          <w14:ligatures w14:val="none"/>
        </w:rPr>
        <w:t>القائم على التحليل النقدي للأدبيات والدراسات السابقة والتجارب التطبيقية في مجال التحليلات التنبؤية لإدارة النفايات الصلبة البلدية. وتوصلت نتائج الدراسة إلى أن التحليلات التنبؤية تمثل حلًا استباقيًا وكفؤًا من الناحية التشغيلية لإدارة النفايات الصلبة البلدية من خلال صنع القرار المبني على البيانات، حيث تسهم في تحسين كفاءة تخصيص الموارد وتقليل التكاليف التشغيلية وخفض الهدر. وأوصت الدراسة بضرورة دمج أدوات التحليلات التنبؤية في أنظمة إدارة النفايات في الدول النامية، مع الاستثمار في البنية التحتية الرقمية وتطوير قدرات جمع البيانات وتحليلها</w:t>
      </w:r>
      <w:r w:rsidRPr="00AD2516">
        <w:rPr>
          <w:rFonts w:ascii="Simplified Arabic" w:eastAsia="Times New Roman" w:hAnsi="Simplified Arabic" w:cs="Simplified Arabic"/>
          <w:color w:val="000000" w:themeColor="text1"/>
          <w:kern w:val="0"/>
          <w:sz w:val="28"/>
          <w:szCs w:val="28"/>
          <w14:ligatures w14:val="none"/>
        </w:rPr>
        <w:t>.</w:t>
      </w:r>
    </w:p>
    <w:p w14:paraId="5D159B8F" w14:textId="77777777" w:rsidR="00997804" w:rsidRPr="00AD2516" w:rsidRDefault="00997804" w:rsidP="0071413D">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lastRenderedPageBreak/>
        <w:t>دراسة</w:t>
      </w:r>
      <w:r w:rsidRPr="00AD251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D2516">
        <w:rPr>
          <w:rFonts w:ascii="Simplified Arabic" w:eastAsia="Times New Roman" w:hAnsi="Simplified Arabic" w:cs="Simplified Arabic"/>
          <w:b/>
          <w:bCs/>
          <w:color w:val="000000" w:themeColor="text1"/>
          <w:kern w:val="0"/>
          <w:sz w:val="28"/>
          <w:szCs w:val="28"/>
          <w14:ligatures w14:val="none"/>
        </w:rPr>
        <w:t>Marinagi</w:t>
      </w:r>
      <w:proofErr w:type="spellEnd"/>
      <w:r w:rsidRPr="00AD2516">
        <w:rPr>
          <w:rFonts w:ascii="Simplified Arabic" w:eastAsia="Times New Roman" w:hAnsi="Simplified Arabic" w:cs="Simplified Arabic"/>
          <w:b/>
          <w:bCs/>
          <w:color w:val="000000" w:themeColor="text1"/>
          <w:kern w:val="0"/>
          <w:sz w:val="28"/>
          <w:szCs w:val="28"/>
          <w14:ligatures w14:val="none"/>
        </w:rPr>
        <w:t xml:space="preserve"> et al., 2023) </w:t>
      </w:r>
      <w:r w:rsidRPr="00AD2516">
        <w:rPr>
          <w:rFonts w:ascii="Simplified Arabic" w:eastAsia="Times New Roman" w:hAnsi="Simplified Arabic" w:cs="Simplified Arabic"/>
          <w:b/>
          <w:bCs/>
          <w:color w:val="000000" w:themeColor="text1"/>
          <w:kern w:val="0"/>
          <w:sz w:val="28"/>
          <w:szCs w:val="28"/>
          <w:rtl/>
          <w14:ligatures w14:val="none"/>
        </w:rPr>
        <w:t>بعنوان</w:t>
      </w:r>
      <w:r w:rsidRPr="00AD2516">
        <w:rPr>
          <w:rFonts w:ascii="Simplified Arabic" w:eastAsia="Times New Roman" w:hAnsi="Simplified Arabic" w:cs="Simplified Arabic"/>
          <w:b/>
          <w:bCs/>
          <w:color w:val="000000" w:themeColor="text1"/>
          <w:kern w:val="0"/>
          <w:sz w:val="28"/>
          <w:szCs w:val="28"/>
          <w14:ligatures w14:val="none"/>
        </w:rPr>
        <w:t>: "The Impact of Industry 4.0 Technologies on Key Performance Indicators for a Resilient Supply Chain 4.0"</w:t>
      </w:r>
    </w:p>
    <w:p w14:paraId="20FDB7D5" w14:textId="77777777" w:rsidR="00997804" w:rsidRPr="00AD2516" w:rsidRDefault="00997804"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هدفت الدراسة إلى التعرف على أثر تقنيات الثورة الصناعية الرابعة بأبعادها (إنترنت الأشياء، تحليلات البيانات الضخمة، الذكاء الاصطناعي، التوائم الرقمية، الحوسبة السحابية) على مؤشرات الأداء الرئيسية لسلاسل الإمداد المرنة. واستخدمت الدراسة منهج المراجعة المنهجية للأدبيات</w:t>
      </w:r>
      <w:r w:rsidRPr="00AD2516">
        <w:rPr>
          <w:rFonts w:ascii="Simplified Arabic" w:eastAsia="Times New Roman" w:hAnsi="Simplified Arabic" w:cs="Simplified Arabic"/>
          <w:color w:val="000000" w:themeColor="text1"/>
          <w:kern w:val="0"/>
          <w:sz w:val="28"/>
          <w:szCs w:val="28"/>
          <w14:ligatures w14:val="none"/>
        </w:rPr>
        <w:t xml:space="preserve"> (Systematic Literature Review) </w:t>
      </w:r>
      <w:r w:rsidRPr="00AD2516">
        <w:rPr>
          <w:rFonts w:ascii="Simplified Arabic" w:eastAsia="Times New Roman" w:hAnsi="Simplified Arabic" w:cs="Simplified Arabic"/>
          <w:color w:val="000000" w:themeColor="text1"/>
          <w:kern w:val="0"/>
          <w:sz w:val="28"/>
          <w:szCs w:val="28"/>
          <w:rtl/>
          <w14:ligatures w14:val="none"/>
        </w:rPr>
        <w:t>من خلال البحث في قواعد بيانات</w:t>
      </w:r>
      <w:r w:rsidRPr="00AD2516">
        <w:rPr>
          <w:rFonts w:ascii="Simplified Arabic" w:eastAsia="Times New Roman" w:hAnsi="Simplified Arabic" w:cs="Simplified Arabic"/>
          <w:color w:val="000000" w:themeColor="text1"/>
          <w:kern w:val="0"/>
          <w:sz w:val="28"/>
          <w:szCs w:val="28"/>
          <w14:ligatures w14:val="none"/>
        </w:rPr>
        <w:t xml:space="preserve"> Scopus </w:t>
      </w:r>
      <w:r w:rsidRPr="00AD2516">
        <w:rPr>
          <w:rFonts w:ascii="Simplified Arabic" w:eastAsia="Times New Roman" w:hAnsi="Simplified Arabic" w:cs="Simplified Arabic"/>
          <w:color w:val="000000" w:themeColor="text1"/>
          <w:kern w:val="0"/>
          <w:sz w:val="28"/>
          <w:szCs w:val="28"/>
          <w:rtl/>
          <w14:ligatures w14:val="none"/>
        </w:rPr>
        <w:t>و</w:t>
      </w:r>
      <w:r w:rsidRPr="00AD2516">
        <w:rPr>
          <w:rFonts w:ascii="Simplified Arabic" w:eastAsia="Times New Roman" w:hAnsi="Simplified Arabic" w:cs="Simplified Arabic"/>
          <w:color w:val="000000" w:themeColor="text1"/>
          <w:kern w:val="0"/>
          <w:sz w:val="28"/>
          <w:szCs w:val="28"/>
          <w14:ligatures w14:val="none"/>
        </w:rPr>
        <w:t>Google Scholar</w:t>
      </w:r>
      <w:r w:rsidRPr="00AD2516">
        <w:rPr>
          <w:rFonts w:ascii="Simplified Arabic" w:eastAsia="Times New Roman" w:hAnsi="Simplified Arabic" w:cs="Simplified Arabic"/>
          <w:color w:val="000000" w:themeColor="text1"/>
          <w:kern w:val="0"/>
          <w:sz w:val="28"/>
          <w:szCs w:val="28"/>
          <w:rtl/>
          <w14:ligatures w14:val="none"/>
        </w:rPr>
        <w:t>، وتم تحليل (133) نتيجة بحثية وتحديد</w:t>
      </w:r>
      <w:r w:rsidRPr="00AD2516">
        <w:rPr>
          <w:rFonts w:ascii="Simplified Arabic" w:eastAsia="Times New Roman" w:hAnsi="Simplified Arabic" w:cs="Simplified Arabic"/>
          <w:color w:val="000000" w:themeColor="text1"/>
          <w:kern w:val="0"/>
          <w:sz w:val="28"/>
          <w:szCs w:val="28"/>
          <w14:ligatures w14:val="none"/>
        </w:rPr>
        <w:t xml:space="preserve"> (18) </w:t>
      </w:r>
      <w:r w:rsidRPr="00AD2516">
        <w:rPr>
          <w:rFonts w:ascii="Simplified Arabic" w:eastAsia="Times New Roman" w:hAnsi="Simplified Arabic" w:cs="Simplified Arabic"/>
          <w:color w:val="000000" w:themeColor="text1"/>
          <w:kern w:val="0"/>
          <w:sz w:val="28"/>
          <w:szCs w:val="28"/>
          <w:rtl/>
          <w14:ligatures w14:val="none"/>
        </w:rPr>
        <w:t>دراسة ذات صلة مباشرة بموضوع البحث. وتوصلت نتائج الدراسة إلى أن تقنيات الثورة الصناعية الرابعة لا تؤثر بشكل مباشر على مرونة سلاسل الإمداد، بل تؤثر على عناصرها المكوّنة مثل المرونة والرشاقة والرؤية والتعاون ومشاركة المعلومات، كما أن مراقبة مؤشرات الأداء الرئيسية تسهم في بناء سلاسل إمداد قادرة على الصمود أمام الاضطرابات. وأوصت الدراسة بضرورة تبني المنظمات لتقنيات الصناعة 4.0 بشكل متكامل لتعزيز مرونة سلاسل الإمداد، والتركيز على مؤشرات أداء رئيسية شاملة تغطي جميع عناصر المرونة والصمود</w:t>
      </w:r>
      <w:r w:rsidRPr="00AD2516">
        <w:rPr>
          <w:rFonts w:ascii="Simplified Arabic" w:eastAsia="Times New Roman" w:hAnsi="Simplified Arabic" w:cs="Simplified Arabic"/>
          <w:color w:val="000000" w:themeColor="text1"/>
          <w:kern w:val="0"/>
          <w:sz w:val="28"/>
          <w:szCs w:val="28"/>
          <w14:ligatures w14:val="none"/>
        </w:rPr>
        <w:t>.</w:t>
      </w:r>
    </w:p>
    <w:p w14:paraId="21C848C7" w14:textId="77777777" w:rsidR="004A1930" w:rsidRPr="00AD2516" w:rsidRDefault="004A1930" w:rsidP="0071413D">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دراسة</w:t>
      </w:r>
      <w:r w:rsidRPr="00AD2516">
        <w:rPr>
          <w:rFonts w:ascii="Simplified Arabic" w:eastAsia="Times New Roman" w:hAnsi="Simplified Arabic" w:cs="Simplified Arabic"/>
          <w:b/>
          <w:bCs/>
          <w:color w:val="000000" w:themeColor="text1"/>
          <w:kern w:val="0"/>
          <w:sz w:val="28"/>
          <w:szCs w:val="28"/>
          <w14:ligatures w14:val="none"/>
        </w:rPr>
        <w:t xml:space="preserve"> (Saleh et al., 2024) </w:t>
      </w:r>
      <w:r w:rsidRPr="00AD2516">
        <w:rPr>
          <w:rFonts w:ascii="Simplified Arabic" w:eastAsia="Times New Roman" w:hAnsi="Simplified Arabic" w:cs="Simplified Arabic"/>
          <w:b/>
          <w:bCs/>
          <w:color w:val="000000" w:themeColor="text1"/>
          <w:kern w:val="0"/>
          <w:sz w:val="28"/>
          <w:szCs w:val="28"/>
          <w:rtl/>
          <w14:ligatures w14:val="none"/>
        </w:rPr>
        <w:t>بعنوان</w:t>
      </w:r>
      <w:r w:rsidRPr="00AD2516">
        <w:rPr>
          <w:rFonts w:ascii="Simplified Arabic" w:eastAsia="Times New Roman" w:hAnsi="Simplified Arabic" w:cs="Simplified Arabic"/>
          <w:b/>
          <w:bCs/>
          <w:color w:val="000000" w:themeColor="text1"/>
          <w:kern w:val="0"/>
          <w:sz w:val="28"/>
          <w:szCs w:val="28"/>
          <w14:ligatures w14:val="none"/>
        </w:rPr>
        <w:t>: "Enhancing Business Operations Efficiency Through Predictive Analytics"</w:t>
      </w:r>
    </w:p>
    <w:p w14:paraId="1B9CB4D1" w14:textId="77777777" w:rsidR="004A1930" w:rsidRPr="00AD2516" w:rsidRDefault="004A1930"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هدفت الدراسة إلى التعرف على إمكانيات التحليلات التنبؤية بأبعادها (تحليل الانحدار، التنبؤ بالسلاسل الزمنية، خوارزميات التعلم الآلي) على تحسين كفاءة العمليات التجارية مع التركيز على خفض التكاليف وتحسين العمليات وصنع القرار. واستخدمت الدراسة منهج البحث المختلط</w:t>
      </w:r>
      <w:r w:rsidRPr="00AD2516">
        <w:rPr>
          <w:rFonts w:ascii="Simplified Arabic" w:eastAsia="Times New Roman" w:hAnsi="Simplified Arabic" w:cs="Simplified Arabic"/>
          <w:color w:val="000000" w:themeColor="text1"/>
          <w:kern w:val="0"/>
          <w:sz w:val="28"/>
          <w:szCs w:val="28"/>
          <w14:ligatures w14:val="none"/>
        </w:rPr>
        <w:t xml:space="preserve"> (Mixed Methods) </w:t>
      </w:r>
      <w:r w:rsidRPr="00AD2516">
        <w:rPr>
          <w:rFonts w:ascii="Simplified Arabic" w:eastAsia="Times New Roman" w:hAnsi="Simplified Arabic" w:cs="Simplified Arabic"/>
          <w:color w:val="000000" w:themeColor="text1"/>
          <w:kern w:val="0"/>
          <w:sz w:val="28"/>
          <w:szCs w:val="28"/>
          <w:rtl/>
          <w14:ligatures w14:val="none"/>
        </w:rPr>
        <w:t>الذي يدمج بين التحليل الكمي للبيانات التشغيلية والمقابلات النوعية مع خبراء الصناعة، وتكونت العينة من (30) منظمة تعمل في قطاعات صناعية متعددة. وتوصلت نتائج الدراسة إلى أن استخدام التحليلات التنبؤية أدى إلى تحسين ملموس في الكفاءة التشغيلية، حيث انخفضت التكاليف التشغيلية بنسبة (20%)، وزادت كفاءة العمليات بنسبة (15%)، وتحسنت سرعة ودقة اتخاذ القرار بشكل ملحوظ. وأوصت الدراسة بأن المنظمات الراغبة في التميز في العصر الرقمي ينبغي أن تمنح الأولوية لدمج التحليلات التنبؤية في عملياتها التشغيلية، مع الاستثمار في الكفاءات البشرية المؤهلة والبنية التحتية التكنولوجية الداعمة</w:t>
      </w:r>
      <w:r w:rsidRPr="00AD2516">
        <w:rPr>
          <w:rFonts w:ascii="Simplified Arabic" w:eastAsia="Times New Roman" w:hAnsi="Simplified Arabic" w:cs="Simplified Arabic"/>
          <w:color w:val="000000" w:themeColor="text1"/>
          <w:kern w:val="0"/>
          <w:sz w:val="28"/>
          <w:szCs w:val="28"/>
          <w14:ligatures w14:val="none"/>
        </w:rPr>
        <w:t>.</w:t>
      </w:r>
    </w:p>
    <w:p w14:paraId="24F8F4B2" w14:textId="142F1320" w:rsidR="0071413D" w:rsidRPr="00AD2516" w:rsidRDefault="0071413D" w:rsidP="0071413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4" w:name="_Toc233934654"/>
      <w:bookmarkStart w:id="15" w:name="_Toc169790501"/>
      <w:bookmarkEnd w:id="12"/>
      <w:r w:rsidRPr="00AD2516">
        <w:rPr>
          <w:rFonts w:ascii="Simplified Arabic" w:hAnsi="Simplified Arabic" w:cs="Simplified Arabic"/>
          <w:b/>
          <w:bCs/>
          <w:color w:val="000000" w:themeColor="text1"/>
          <w:sz w:val="36"/>
          <w:szCs w:val="36"/>
          <w:rtl/>
        </w:rPr>
        <w:lastRenderedPageBreak/>
        <w:t>8.1 الفجوة البحثية:</w:t>
      </w:r>
      <w:bookmarkEnd w:id="14"/>
    </w:p>
    <w:p w14:paraId="69AB671E" w14:textId="77777777" w:rsidR="00CD49B1" w:rsidRPr="00AD2516" w:rsidRDefault="00CD49B1" w:rsidP="0071413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D2516">
        <w:rPr>
          <w:rFonts w:ascii="Simplified Arabic" w:hAnsi="Simplified Arabic" w:cs="Simplified Arabic"/>
          <w:color w:val="000000" w:themeColor="text1"/>
          <w:sz w:val="28"/>
          <w:szCs w:val="28"/>
          <w:rtl/>
        </w:rPr>
        <w:t>من خلال الاستعراض النقدي المعمّق للدراسات السابقة العربية والأجنبية ذات الصلة بموضوع الدراسة الحالية، يتبيّن وجود فجوة بحثية واضحة تتبلور في عدة جوانب مترابطة. فمن حيث المتغيرات، يُلاحظ أن معظم الدراسات السابقة تناولت التحليلات التنبؤية بشكل مستقل عن مؤشرات الأداء كما في دراسة (سحنون وبعلاش، 2025) ودراسة</w:t>
      </w:r>
      <w:r w:rsidRPr="00AD2516">
        <w:rPr>
          <w:rFonts w:ascii="Simplified Arabic" w:hAnsi="Simplified Arabic" w:cs="Simplified Arabic"/>
          <w:color w:val="000000" w:themeColor="text1"/>
          <w:sz w:val="28"/>
          <w:szCs w:val="28"/>
        </w:rPr>
        <w:t xml:space="preserve"> (Saleh et al., 2024)</w:t>
      </w:r>
      <w:r w:rsidRPr="00AD2516">
        <w:rPr>
          <w:rFonts w:ascii="Simplified Arabic" w:hAnsi="Simplified Arabic" w:cs="Simplified Arabic"/>
          <w:color w:val="000000" w:themeColor="text1"/>
          <w:sz w:val="28"/>
          <w:szCs w:val="28"/>
          <w:rtl/>
        </w:rPr>
        <w:t>، أو تناولت مؤشرات الأداء الرئيسية بمعزل عن التحليلات التنبؤية كما في دراسة</w:t>
      </w:r>
      <w:r w:rsidRPr="00AD2516">
        <w:rPr>
          <w:rFonts w:ascii="Simplified Arabic" w:hAnsi="Simplified Arabic" w:cs="Simplified Arabic"/>
          <w:color w:val="000000" w:themeColor="text1"/>
          <w:sz w:val="28"/>
          <w:szCs w:val="28"/>
        </w:rPr>
        <w:t xml:space="preserve"> (Selvik et al., 2021) </w:t>
      </w:r>
      <w:r w:rsidRPr="00AD2516">
        <w:rPr>
          <w:rFonts w:ascii="Simplified Arabic" w:hAnsi="Simplified Arabic" w:cs="Simplified Arabic"/>
          <w:color w:val="000000" w:themeColor="text1"/>
          <w:sz w:val="28"/>
          <w:szCs w:val="28"/>
          <w:rtl/>
        </w:rPr>
        <w:t>ودراسة</w:t>
      </w:r>
      <w:r w:rsidRPr="00AD2516">
        <w:rPr>
          <w:rFonts w:ascii="Simplified Arabic" w:hAnsi="Simplified Arabic" w:cs="Simplified Arabic"/>
          <w:color w:val="000000" w:themeColor="text1"/>
          <w:sz w:val="28"/>
          <w:szCs w:val="28"/>
        </w:rPr>
        <w:t xml:space="preserve"> (Ghahremani-Nahr &amp; </w:t>
      </w:r>
      <w:proofErr w:type="spellStart"/>
      <w:r w:rsidRPr="00AD2516">
        <w:rPr>
          <w:rFonts w:ascii="Simplified Arabic" w:hAnsi="Simplified Arabic" w:cs="Simplified Arabic"/>
          <w:color w:val="000000" w:themeColor="text1"/>
          <w:sz w:val="28"/>
          <w:szCs w:val="28"/>
        </w:rPr>
        <w:t>Nozari</w:t>
      </w:r>
      <w:proofErr w:type="spellEnd"/>
      <w:r w:rsidRPr="00AD2516">
        <w:rPr>
          <w:rFonts w:ascii="Simplified Arabic" w:hAnsi="Simplified Arabic" w:cs="Simplified Arabic"/>
          <w:color w:val="000000" w:themeColor="text1"/>
          <w:sz w:val="28"/>
          <w:szCs w:val="28"/>
        </w:rPr>
        <w:t xml:space="preserve">, 2021) </w:t>
      </w:r>
      <w:r w:rsidRPr="00AD2516">
        <w:rPr>
          <w:rFonts w:ascii="Simplified Arabic" w:hAnsi="Simplified Arabic" w:cs="Simplified Arabic"/>
          <w:color w:val="000000" w:themeColor="text1"/>
          <w:sz w:val="28"/>
          <w:szCs w:val="28"/>
          <w:rtl/>
        </w:rPr>
        <w:t xml:space="preserve">ودراسة (مرقص وآخرون، </w:t>
      </w:r>
      <w:r w:rsidRPr="00AD2516">
        <w:rPr>
          <w:rFonts w:ascii="Simplified Arabic" w:hAnsi="Simplified Arabic" w:cs="Simplified Arabic"/>
          <w:color w:val="000000" w:themeColor="text1"/>
          <w:sz w:val="28"/>
          <w:szCs w:val="28"/>
        </w:rPr>
        <w:t>2025)</w:t>
      </w:r>
      <w:r w:rsidRPr="00AD2516">
        <w:rPr>
          <w:rFonts w:ascii="Simplified Arabic" w:hAnsi="Simplified Arabic" w:cs="Simplified Arabic"/>
          <w:color w:val="000000" w:themeColor="text1"/>
          <w:sz w:val="28"/>
          <w:szCs w:val="28"/>
          <w:rtl/>
        </w:rPr>
        <w:t>، أو ركزت على كفاءة العمليات وتقليل الهدر دون ربطهما بمؤشرات الأداء الذكية التنبؤية كما في دراسة (علي، 2022) ودراسة (بيلي وداود، 2023) ودراسة (حسن وآخرون، 2025)، دون أن تجمع أيٌّ منها بين هذه المتغيرات الثلاثة في إطار تكاملي واحد يدرس أثر مؤشرات الأداء الذكية المعتمدة على التحليلات التنبؤية على رفع كفاءة العمليات وتقليل الهدر. ومن حيث القطاع التطبيقي، فإن الدراسات السابقة طُبّقت في قطاعات متنوعة كالقطاع المالي والمصرفي (سحنون وبعلاش، 2025) وقطاع التأمين (علي، 2025) والطيران المدني (حسن وآخرون، 2025) وإدارة النفايات</w:t>
      </w:r>
      <w:r w:rsidRPr="00AD2516">
        <w:rPr>
          <w:rFonts w:ascii="Simplified Arabic" w:hAnsi="Simplified Arabic" w:cs="Simplified Arabic"/>
          <w:color w:val="000000" w:themeColor="text1"/>
          <w:sz w:val="28"/>
          <w:szCs w:val="28"/>
        </w:rPr>
        <w:t xml:space="preserve"> (Bello &amp; </w:t>
      </w:r>
      <w:proofErr w:type="spellStart"/>
      <w:r w:rsidRPr="00AD2516">
        <w:rPr>
          <w:rFonts w:ascii="Simplified Arabic" w:hAnsi="Simplified Arabic" w:cs="Simplified Arabic"/>
          <w:color w:val="000000" w:themeColor="text1"/>
          <w:sz w:val="28"/>
          <w:szCs w:val="28"/>
        </w:rPr>
        <w:t>Odiete</w:t>
      </w:r>
      <w:proofErr w:type="spellEnd"/>
      <w:r w:rsidRPr="00AD2516">
        <w:rPr>
          <w:rFonts w:ascii="Simplified Arabic" w:hAnsi="Simplified Arabic" w:cs="Simplified Arabic"/>
          <w:color w:val="000000" w:themeColor="text1"/>
          <w:sz w:val="28"/>
          <w:szCs w:val="28"/>
        </w:rPr>
        <w:t xml:space="preserve">, 2022) </w:t>
      </w:r>
      <w:r w:rsidRPr="00AD2516">
        <w:rPr>
          <w:rFonts w:ascii="Simplified Arabic" w:hAnsi="Simplified Arabic" w:cs="Simplified Arabic"/>
          <w:color w:val="000000" w:themeColor="text1"/>
          <w:sz w:val="28"/>
          <w:szCs w:val="28"/>
          <w:rtl/>
        </w:rPr>
        <w:t>والمدن الذكية</w:t>
      </w:r>
      <w:r w:rsidRPr="00AD2516">
        <w:rPr>
          <w:rFonts w:ascii="Simplified Arabic" w:hAnsi="Simplified Arabic" w:cs="Simplified Arabic"/>
          <w:color w:val="000000" w:themeColor="text1"/>
          <w:sz w:val="28"/>
          <w:szCs w:val="28"/>
        </w:rPr>
        <w:t xml:space="preserve"> (Serrano et al., 2022)</w:t>
      </w:r>
      <w:r w:rsidRPr="00AD2516">
        <w:rPr>
          <w:rFonts w:ascii="Simplified Arabic" w:hAnsi="Simplified Arabic" w:cs="Simplified Arabic"/>
          <w:color w:val="000000" w:themeColor="text1"/>
          <w:sz w:val="28"/>
          <w:szCs w:val="28"/>
          <w:rtl/>
        </w:rPr>
        <w:t>، بينما يُلاحظ ندرة شديدة في الدراسات التي طبّقت هذا الدمج التكاملي على قطاع الخدمات اللوجستية تحديدًا رغم كونه من أكثر القطاعات حاجة للتحليلات التنبؤية بحكم تعقّد عملياته وتعدد مصادر الهدر فيه. ومن حيث البيئة الجغرافية، فإن الدراسات العربية في هذا المجال شحيحة للغاية، ولم تتناول أيٌّ من الدراسات المتاحة البيئة السعودية عمومًا والمنطقة الشرقية خصوصًا رغم أهميتها الاستراتيجية كمركز لوجستي رئيسي في المملكة. وبناءً عليه، تأتي الدراسة الحالية لسدّ هذه الفجوة البحثية من خلال دراسة أثر تطبيق مؤشرات الأداء الذكية المعتمدة على التحليلات التنبؤية بأبعادها الأربعة مجتمعة على رفع كفاءة العمليات وتقليل الهدر في قطاع الخدمات اللوجستية بالمنطقة الشرقية بالمملكة العربية السعودية، وهو ما يمثل إضافة علمية نوعية للمكتبة العربية في مجال بحثي بِكر يتقاطع فيه الذكاء الاصطناعي التنبؤي مع الإدارة التشغيلية اللوجستية</w:t>
      </w:r>
      <w:r w:rsidRPr="00AD2516">
        <w:rPr>
          <w:rFonts w:ascii="Simplified Arabic" w:hAnsi="Simplified Arabic" w:cs="Simplified Arabic"/>
          <w:color w:val="000000" w:themeColor="text1"/>
          <w:sz w:val="28"/>
          <w:szCs w:val="28"/>
        </w:rPr>
        <w:t>.</w:t>
      </w:r>
    </w:p>
    <w:p w14:paraId="26158557" w14:textId="77777777" w:rsidR="0071413D" w:rsidRPr="00AD2516" w:rsidRDefault="0071413D" w:rsidP="0071413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3934655"/>
      <w:bookmarkStart w:id="17" w:name="_Toc169790502"/>
      <w:bookmarkEnd w:id="15"/>
      <w:r w:rsidRPr="00AD2516">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6"/>
    </w:p>
    <w:p w14:paraId="46EEC6D4" w14:textId="22A91354" w:rsidR="0071413D" w:rsidRPr="00AD2516" w:rsidRDefault="0071413D" w:rsidP="0071413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D2516">
        <w:rPr>
          <w:rFonts w:ascii="Simplified Arabic" w:eastAsia="Times New Roman" w:hAnsi="Simplified Arabic" w:cs="Simplified Arabic"/>
          <w:b/>
          <w:bCs/>
          <w:color w:val="000000" w:themeColor="text1"/>
          <w:kern w:val="0"/>
          <w:sz w:val="32"/>
          <w:szCs w:val="32"/>
          <w:rtl/>
          <w14:ligatures w14:val="none"/>
        </w:rPr>
        <w:t>مفهوم مؤشرات الأداء الرئيسية (</w:t>
      </w:r>
      <w:r w:rsidRPr="00AD2516">
        <w:rPr>
          <w:rFonts w:ascii="Simplified Arabic" w:eastAsia="Times New Roman" w:hAnsi="Simplified Arabic" w:cs="Simplified Arabic"/>
          <w:b/>
          <w:bCs/>
          <w:color w:val="000000" w:themeColor="text1"/>
          <w:kern w:val="0"/>
          <w:sz w:val="32"/>
          <w:szCs w:val="32"/>
          <w14:ligatures w14:val="none"/>
        </w:rPr>
        <w:t>KPIs</w:t>
      </w:r>
      <w:r w:rsidRPr="00AD2516">
        <w:rPr>
          <w:rFonts w:ascii="Simplified Arabic" w:eastAsia="Times New Roman" w:hAnsi="Simplified Arabic" w:cs="Simplified Arabic"/>
          <w:b/>
          <w:bCs/>
          <w:color w:val="000000" w:themeColor="text1"/>
          <w:kern w:val="0"/>
          <w:sz w:val="32"/>
          <w:szCs w:val="32"/>
          <w:rtl/>
          <w14:ligatures w14:val="none"/>
        </w:rPr>
        <w:t>)</w:t>
      </w:r>
    </w:p>
    <w:p w14:paraId="1149C2FE" w14:textId="77777777" w:rsidR="00CD49B1" w:rsidRPr="00AD2516" w:rsidRDefault="00CD49B1"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lastRenderedPageBreak/>
        <w:t>تُعدّ مؤشرات الأداء الرئيسية من أبرز الأدوات الإدارية التي تعتمد عليها المنظمات المعاصرة في قياس مدى تحقيقها لأهدافها الاستراتيجية والتشغيلية، إذ توفر مقاييس كمية ونوعية تُمكّن صانعي القرار من رصد مستويات الأداء وتقييمها والمقارنة بينها عبر فترات زمنية مختلفة</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 xml:space="preserve">وتتنوع مؤشرات الأداء الرئيسية من حيث طبيعتها بين مؤشرات مالية وتشغيلية وإنتاجية وخدمية، كما تتفاوت من حيث توقيتها بين مؤشرات قائدة تستشرف الأداء المستقبلي ومؤشرات تابعة ترصد النتائج المتحققة. وقد أكد </w:t>
      </w:r>
      <w:r w:rsidRPr="00AD2516">
        <w:rPr>
          <w:rFonts w:ascii="Simplified Arabic" w:eastAsia="Times New Roman" w:hAnsi="Simplified Arabic" w:cs="Simplified Arabic"/>
          <w:color w:val="000000" w:themeColor="text1"/>
          <w:kern w:val="0"/>
          <w:sz w:val="28"/>
          <w:szCs w:val="28"/>
          <w14:ligatures w14:val="none"/>
        </w:rPr>
        <w:t xml:space="preserve">(Ghahremani-Nahr &amp; </w:t>
      </w:r>
      <w:proofErr w:type="spellStart"/>
      <w:r w:rsidRPr="00AD2516">
        <w:rPr>
          <w:rFonts w:ascii="Simplified Arabic" w:eastAsia="Times New Roman" w:hAnsi="Simplified Arabic" w:cs="Simplified Arabic"/>
          <w:color w:val="000000" w:themeColor="text1"/>
          <w:kern w:val="0"/>
          <w:sz w:val="28"/>
          <w:szCs w:val="28"/>
          <w14:ligatures w14:val="none"/>
        </w:rPr>
        <w:t>Nozari</w:t>
      </w:r>
      <w:proofErr w:type="spellEnd"/>
      <w:r w:rsidRPr="00AD2516">
        <w:rPr>
          <w:rFonts w:ascii="Simplified Arabic" w:eastAsia="Times New Roman" w:hAnsi="Simplified Arabic" w:cs="Simplified Arabic"/>
          <w:color w:val="000000" w:themeColor="text1"/>
          <w:kern w:val="0"/>
          <w:sz w:val="28"/>
          <w:szCs w:val="28"/>
          <w14:ligatures w14:val="none"/>
        </w:rPr>
        <w:t xml:space="preserve">, 2021) </w:t>
      </w:r>
      <w:r w:rsidRPr="00AD2516">
        <w:rPr>
          <w:rFonts w:ascii="Simplified Arabic" w:eastAsia="Times New Roman" w:hAnsi="Simplified Arabic" w:cs="Simplified Arabic"/>
          <w:color w:val="000000" w:themeColor="text1"/>
          <w:kern w:val="0"/>
          <w:sz w:val="28"/>
          <w:szCs w:val="28"/>
          <w:rtl/>
          <w14:ligatures w14:val="none"/>
        </w:rPr>
        <w:t>أن تحديد مؤشرات الأداء الرئيسية وترتيبها وفق أولوياتها يُسهم في تحسين فاعلية استراتيجيات المنظمات وتوجيه قراراتها بدقة أعلى. كما أوضح</w:t>
      </w:r>
      <w:r w:rsidRPr="00AD2516">
        <w:rPr>
          <w:rFonts w:ascii="Simplified Arabic" w:eastAsia="Times New Roman" w:hAnsi="Simplified Arabic" w:cs="Simplified Arabic"/>
          <w:color w:val="000000" w:themeColor="text1"/>
          <w:kern w:val="0"/>
          <w:sz w:val="28"/>
          <w:szCs w:val="28"/>
          <w14:ligatures w14:val="none"/>
        </w:rPr>
        <w:t xml:space="preserve"> (Serrano et al., 2022) </w:t>
      </w:r>
      <w:r w:rsidRPr="00AD2516">
        <w:rPr>
          <w:rFonts w:ascii="Simplified Arabic" w:eastAsia="Times New Roman" w:hAnsi="Simplified Arabic" w:cs="Simplified Arabic"/>
          <w:color w:val="000000" w:themeColor="text1"/>
          <w:kern w:val="0"/>
          <w:sz w:val="28"/>
          <w:szCs w:val="28"/>
          <w:rtl/>
          <w14:ligatures w14:val="none"/>
        </w:rPr>
        <w:t>أن مؤشرات الأداء التقليدية تعاني من عدة محدوديات تتمثل في تركيزها على المخرجات دون التنبؤ، واقتصارها على القطاعات المنفردة دون تكامل، وعجزها عن مراعاة الخصائص الفريدة للبيئات التشغيلية المختلفة</w:t>
      </w:r>
      <w:r w:rsidRPr="00AD2516">
        <w:rPr>
          <w:rFonts w:ascii="Simplified Arabic" w:eastAsia="Times New Roman" w:hAnsi="Simplified Arabic" w:cs="Simplified Arabic"/>
          <w:color w:val="000000" w:themeColor="text1"/>
          <w:kern w:val="0"/>
          <w:sz w:val="28"/>
          <w:szCs w:val="28"/>
          <w14:ligatures w14:val="none"/>
        </w:rPr>
        <w:t>.</w:t>
      </w:r>
    </w:p>
    <w:p w14:paraId="55CA3DE6" w14:textId="77777777" w:rsidR="00CD49B1" w:rsidRPr="00AD2516" w:rsidRDefault="00CD49B1" w:rsidP="0071413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4117810"/>
      <w:r w:rsidRPr="00AD2516">
        <w:rPr>
          <w:rFonts w:ascii="Simplified Arabic" w:eastAsia="Times New Roman" w:hAnsi="Simplified Arabic" w:cs="Simplified Arabic"/>
          <w:b/>
          <w:bCs/>
          <w:color w:val="000000" w:themeColor="text1"/>
          <w:kern w:val="0"/>
          <w:sz w:val="32"/>
          <w:szCs w:val="32"/>
          <w:rtl/>
          <w14:ligatures w14:val="none"/>
        </w:rPr>
        <w:t>مفهوم التحليلات التنبؤية</w:t>
      </w:r>
      <w:r w:rsidRPr="00AD2516">
        <w:rPr>
          <w:rFonts w:ascii="Simplified Arabic" w:eastAsia="Times New Roman" w:hAnsi="Simplified Arabic" w:cs="Simplified Arabic"/>
          <w:b/>
          <w:bCs/>
          <w:color w:val="000000" w:themeColor="text1"/>
          <w:kern w:val="0"/>
          <w:sz w:val="32"/>
          <w:szCs w:val="32"/>
          <w14:ligatures w14:val="none"/>
        </w:rPr>
        <w:t xml:space="preserve"> (Predictive Analytics)</w:t>
      </w:r>
      <w:bookmarkEnd w:id="18"/>
    </w:p>
    <w:p w14:paraId="4AB5802A" w14:textId="77777777" w:rsidR="00CD49B1" w:rsidRPr="00AD2516" w:rsidRDefault="00CD49B1"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 xml:space="preserve">تُعرّف التحليلات التنبؤية بأنها مجموعة من التقنيات الإحصائية المتقدمة وخوارزميات التعلم الآلي ونماذج استخراج البيانات التي تستخدم البيانات التاريخية والآنية لبناء نماذج رياضية قادرة على التنبؤ بالأحداث والاتجاهات المستقبلية واحتمالات وقوعها. وتتجاوز التحليلات التنبؤية التحليلات الوصفية التي تقتصر على الإجابة عن سؤال </w:t>
      </w:r>
      <w:r w:rsidRPr="00AD2516">
        <w:rPr>
          <w:rFonts w:ascii="Simplified Arabic" w:eastAsia="Times New Roman" w:hAnsi="Simplified Arabic" w:cs="Simplified Arabic"/>
          <w:color w:val="000000" w:themeColor="text1"/>
          <w:kern w:val="0"/>
          <w:sz w:val="28"/>
          <w:szCs w:val="28"/>
          <w14:ligatures w14:val="none"/>
        </w:rPr>
        <w:t>"</w:t>
      </w:r>
      <w:r w:rsidRPr="00AD2516">
        <w:rPr>
          <w:rFonts w:ascii="Simplified Arabic" w:eastAsia="Times New Roman" w:hAnsi="Simplified Arabic" w:cs="Simplified Arabic"/>
          <w:color w:val="000000" w:themeColor="text1"/>
          <w:kern w:val="0"/>
          <w:sz w:val="28"/>
          <w:szCs w:val="28"/>
          <w:rtl/>
          <w14:ligatures w14:val="none"/>
        </w:rPr>
        <w:t>ماذا حدث؟" والتحليلات التشخيصية التي تجيب عن سؤال "لماذا حدث؟"، لتجيب عن السؤال الأكثر أهمية وهو "ماذا سيحدث؟"، مما يتيح للمنظمات اتخاذ إجراءات استباقية قبل وقوع المشكلات. وقد أوضح (سحنون وبعلاش، 2025) أن التحليلات التنبؤية تمثل أداة استراتيجية فاعلة تدعم عملية اتخاذ القرارات المبنية على البيانات في المؤسسات، فيما أكد</w:t>
      </w:r>
      <w:r w:rsidRPr="00AD2516">
        <w:rPr>
          <w:rFonts w:ascii="Simplified Arabic" w:eastAsia="Times New Roman" w:hAnsi="Simplified Arabic" w:cs="Simplified Arabic"/>
          <w:color w:val="000000" w:themeColor="text1"/>
          <w:kern w:val="0"/>
          <w:sz w:val="28"/>
          <w:szCs w:val="28"/>
          <w14:ligatures w14:val="none"/>
        </w:rPr>
        <w:t xml:space="preserve"> (Saleh et al., 2024) </w:t>
      </w:r>
      <w:r w:rsidRPr="00AD2516">
        <w:rPr>
          <w:rFonts w:ascii="Simplified Arabic" w:eastAsia="Times New Roman" w:hAnsi="Simplified Arabic" w:cs="Simplified Arabic"/>
          <w:color w:val="000000" w:themeColor="text1"/>
          <w:kern w:val="0"/>
          <w:sz w:val="28"/>
          <w:szCs w:val="28"/>
          <w:rtl/>
          <w14:ligatures w14:val="none"/>
        </w:rPr>
        <w:t>أنها تشمل تقنيات متعددة كتحليل الانحدار والتنبؤ بالسلاسل الزمنية وخوارزميات التعلم الآلي التي تُمكّن المنظمات من اكتشاف الأنماط والتنبؤ بالاتجاهات المستقبلية</w:t>
      </w:r>
      <w:r w:rsidRPr="00AD2516">
        <w:rPr>
          <w:rFonts w:ascii="Simplified Arabic" w:eastAsia="Times New Roman" w:hAnsi="Simplified Arabic" w:cs="Simplified Arabic"/>
          <w:color w:val="000000" w:themeColor="text1"/>
          <w:kern w:val="0"/>
          <w:sz w:val="28"/>
          <w:szCs w:val="28"/>
          <w14:ligatures w14:val="none"/>
        </w:rPr>
        <w:t>.</w:t>
      </w:r>
    </w:p>
    <w:p w14:paraId="30029C68" w14:textId="77777777" w:rsidR="00CD49B1" w:rsidRPr="00AD2516" w:rsidRDefault="00CD49B1" w:rsidP="0071413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4117811"/>
      <w:r w:rsidRPr="00AD2516">
        <w:rPr>
          <w:rFonts w:ascii="Simplified Arabic" w:eastAsia="Times New Roman" w:hAnsi="Simplified Arabic" w:cs="Simplified Arabic"/>
          <w:b/>
          <w:bCs/>
          <w:color w:val="000000" w:themeColor="text1"/>
          <w:kern w:val="0"/>
          <w:sz w:val="32"/>
          <w:szCs w:val="32"/>
          <w:rtl/>
          <w14:ligatures w14:val="none"/>
        </w:rPr>
        <w:t>مفهوم مؤشرات الأداء الذكية المعتمدة على التحليلات التنبؤية</w:t>
      </w:r>
      <w:bookmarkEnd w:id="19"/>
    </w:p>
    <w:p w14:paraId="6F3710C1" w14:textId="77777777" w:rsidR="00CD49B1" w:rsidRPr="00AD2516" w:rsidRDefault="00CD49B1"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 xml:space="preserve">في ضوء ما سبق، يمكن تعريف مؤشرات الأداء الذكية المعتمدة على التحليلات التنبؤية إجرائيًا بأنها منظومة متطورة من مقاييس الأداء التي تدمج بين مؤشرات الأداء الرئيسية التقليدية وتقنيات التحليلات التنبؤية المتقدمة، بحيث تنتقل من الرصد اللاحق والوصف التاريخي إلى التنبؤ الاستباقي والإنذار المبكر، مما يُمكّن المنظمات من استشراف الانحرافات التشغيلية قبل وقوعها واتخاذ إجراءات تصحيحية استباقية. </w:t>
      </w:r>
      <w:r w:rsidRPr="00AD2516">
        <w:rPr>
          <w:rFonts w:ascii="Simplified Arabic" w:eastAsia="Times New Roman" w:hAnsi="Simplified Arabic" w:cs="Simplified Arabic"/>
          <w:color w:val="000000" w:themeColor="text1"/>
          <w:kern w:val="0"/>
          <w:sz w:val="28"/>
          <w:szCs w:val="28"/>
          <w:rtl/>
          <w14:ligatures w14:val="none"/>
        </w:rPr>
        <w:lastRenderedPageBreak/>
        <w:t>وقد أشار</w:t>
      </w:r>
      <w:r w:rsidRPr="00AD2516">
        <w:rPr>
          <w:rFonts w:ascii="Simplified Arabic" w:eastAsia="Times New Roman" w:hAnsi="Simplified Arabic" w:cs="Simplified Arabic"/>
          <w:color w:val="000000" w:themeColor="text1"/>
          <w:kern w:val="0"/>
          <w:sz w:val="28"/>
          <w:szCs w:val="28"/>
          <w14:ligatures w14:val="none"/>
        </w:rPr>
        <w:t xml:space="preserve"> (Selvik et al., 2021) </w:t>
      </w:r>
      <w:r w:rsidRPr="00AD2516">
        <w:rPr>
          <w:rFonts w:ascii="Simplified Arabic" w:eastAsia="Times New Roman" w:hAnsi="Simplified Arabic" w:cs="Simplified Arabic"/>
          <w:color w:val="000000" w:themeColor="text1"/>
          <w:kern w:val="0"/>
          <w:sz w:val="28"/>
          <w:szCs w:val="28"/>
          <w:rtl/>
          <w14:ligatures w14:val="none"/>
        </w:rPr>
        <w:t>إلى أن جودة مؤشرات الأداء ترتبط بمدى استيفائها لمعايير</w:t>
      </w:r>
      <w:r w:rsidRPr="00AD2516">
        <w:rPr>
          <w:rFonts w:ascii="Simplified Arabic" w:eastAsia="Times New Roman" w:hAnsi="Simplified Arabic" w:cs="Simplified Arabic"/>
          <w:color w:val="000000" w:themeColor="text1"/>
          <w:kern w:val="0"/>
          <w:sz w:val="28"/>
          <w:szCs w:val="28"/>
          <w14:ligatures w14:val="none"/>
        </w:rPr>
        <w:t xml:space="preserve"> SMART </w:t>
      </w:r>
      <w:r w:rsidRPr="00AD2516">
        <w:rPr>
          <w:rFonts w:ascii="Simplified Arabic" w:eastAsia="Times New Roman" w:hAnsi="Simplified Arabic" w:cs="Simplified Arabic"/>
          <w:color w:val="000000" w:themeColor="text1"/>
          <w:kern w:val="0"/>
          <w:sz w:val="28"/>
          <w:szCs w:val="28"/>
          <w:rtl/>
          <w14:ligatures w14:val="none"/>
        </w:rPr>
        <w:t>من حيث المحددية والقابلية للقياس والتحقيق والملاءمة والتقييد الزمني، وهو ما تحققه المؤشرات الذكية بدرجة أعلى من نظيراتها التقليدية. وتتمثل أبعاد هذا المتغير في الدراسة الحالية في أربعة أبعاد هي</w:t>
      </w:r>
      <w:r w:rsidRPr="00AD2516">
        <w:rPr>
          <w:rFonts w:ascii="Simplified Arabic" w:eastAsia="Times New Roman" w:hAnsi="Simplified Arabic" w:cs="Simplified Arabic"/>
          <w:color w:val="000000" w:themeColor="text1"/>
          <w:kern w:val="0"/>
          <w:sz w:val="28"/>
          <w:szCs w:val="28"/>
          <w14:ligatures w14:val="none"/>
        </w:rPr>
        <w:t>:</w:t>
      </w:r>
    </w:p>
    <w:p w14:paraId="2E8AA730" w14:textId="77777777" w:rsidR="00CD49B1" w:rsidRPr="00AD2516" w:rsidRDefault="00CD49B1"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البُعد الأول: مؤشرات الأداء التنبؤية في الوقت الفعلي</w:t>
      </w:r>
      <w:r w:rsidRPr="00AD2516">
        <w:rPr>
          <w:rFonts w:ascii="Simplified Arabic" w:eastAsia="Times New Roman" w:hAnsi="Simplified Arabic" w:cs="Simplified Arabic"/>
          <w:color w:val="000000" w:themeColor="text1"/>
          <w:kern w:val="0"/>
          <w:sz w:val="28"/>
          <w:szCs w:val="28"/>
          <w14:ligatures w14:val="none"/>
        </w:rPr>
        <w:t xml:space="preserve"> (Real-Time Predictive KPIs): </w:t>
      </w:r>
      <w:r w:rsidRPr="00AD2516">
        <w:rPr>
          <w:rFonts w:ascii="Simplified Arabic" w:eastAsia="Times New Roman" w:hAnsi="Simplified Arabic" w:cs="Simplified Arabic"/>
          <w:color w:val="000000" w:themeColor="text1"/>
          <w:kern w:val="0"/>
          <w:sz w:val="28"/>
          <w:szCs w:val="28"/>
          <w:rtl/>
          <w14:ligatures w14:val="none"/>
        </w:rPr>
        <w:t>وتُعرّف إجرائيًا بأنها مؤشرات أداء ذكية تعمل على تحليل البيانات التشغيلية لحظيًا فور توليدها باستخدام خوارزميات تنبؤية متقدمة، بما يتيح رصد الأداء اللوجستي آنيًا والتنبؤ بمساراته المستقبلية القريبة وتقديم تنبيهات فورية عند اقتراب المؤشرات من الحدود الحرجة</w:t>
      </w:r>
      <w:r w:rsidRPr="00AD2516">
        <w:rPr>
          <w:rFonts w:ascii="Simplified Arabic" w:eastAsia="Times New Roman" w:hAnsi="Simplified Arabic" w:cs="Simplified Arabic"/>
          <w:color w:val="000000" w:themeColor="text1"/>
          <w:kern w:val="0"/>
          <w:sz w:val="28"/>
          <w:szCs w:val="28"/>
          <w14:ligatures w14:val="none"/>
        </w:rPr>
        <w:t>.</w:t>
      </w:r>
    </w:p>
    <w:p w14:paraId="183CA5A5" w14:textId="77777777" w:rsidR="00CD49B1" w:rsidRPr="00AD2516" w:rsidRDefault="00CD49B1"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البُعد الثاني: التحليلات التنبؤية لإدارة الموارد</w:t>
      </w:r>
      <w:r w:rsidRPr="00AD2516">
        <w:rPr>
          <w:rFonts w:ascii="Simplified Arabic" w:eastAsia="Times New Roman" w:hAnsi="Simplified Arabic" w:cs="Simplified Arabic"/>
          <w:color w:val="000000" w:themeColor="text1"/>
          <w:kern w:val="0"/>
          <w:sz w:val="28"/>
          <w:szCs w:val="28"/>
          <w14:ligatures w14:val="none"/>
        </w:rPr>
        <w:t xml:space="preserve"> (Predictive Analytics for Resource Management): </w:t>
      </w:r>
      <w:r w:rsidRPr="00AD2516">
        <w:rPr>
          <w:rFonts w:ascii="Simplified Arabic" w:eastAsia="Times New Roman" w:hAnsi="Simplified Arabic" w:cs="Simplified Arabic"/>
          <w:color w:val="000000" w:themeColor="text1"/>
          <w:kern w:val="0"/>
          <w:sz w:val="28"/>
          <w:szCs w:val="28"/>
          <w:rtl/>
          <w14:ligatures w14:val="none"/>
        </w:rPr>
        <w:t>وتُعرّف إجرائيًا بأنها توظيف نماذج التحليلات التنبؤية في التنبؤ بمستويات الطلب المستقبلي على الموارد اللوجستية المختلفة كالأسطول والقوى العاملة والمخزون والمساحات التخزينية، بما يضمن التخصيص الأمثل لهذه الموارد وتقليل الفائض والعجز فيها</w:t>
      </w:r>
      <w:r w:rsidRPr="00AD2516">
        <w:rPr>
          <w:rFonts w:ascii="Simplified Arabic" w:eastAsia="Times New Roman" w:hAnsi="Simplified Arabic" w:cs="Simplified Arabic"/>
          <w:color w:val="000000" w:themeColor="text1"/>
          <w:kern w:val="0"/>
          <w:sz w:val="28"/>
          <w:szCs w:val="28"/>
          <w14:ligatures w14:val="none"/>
        </w:rPr>
        <w:t>.</w:t>
      </w:r>
    </w:p>
    <w:p w14:paraId="69AB702C" w14:textId="77777777" w:rsidR="00CD49B1" w:rsidRPr="00AD2516" w:rsidRDefault="00CD49B1"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البُعد الثالث: مؤشرات الإنذار المبكر الذكية</w:t>
      </w:r>
      <w:r w:rsidRPr="00AD2516">
        <w:rPr>
          <w:rFonts w:ascii="Simplified Arabic" w:eastAsia="Times New Roman" w:hAnsi="Simplified Arabic" w:cs="Simplified Arabic"/>
          <w:color w:val="000000" w:themeColor="text1"/>
          <w:kern w:val="0"/>
          <w:sz w:val="28"/>
          <w:szCs w:val="28"/>
          <w14:ligatures w14:val="none"/>
        </w:rPr>
        <w:t xml:space="preserve"> (Smart Early Warning Indicators): </w:t>
      </w:r>
      <w:r w:rsidRPr="00AD2516">
        <w:rPr>
          <w:rFonts w:ascii="Simplified Arabic" w:eastAsia="Times New Roman" w:hAnsi="Simplified Arabic" w:cs="Simplified Arabic"/>
          <w:color w:val="000000" w:themeColor="text1"/>
          <w:kern w:val="0"/>
          <w:sz w:val="28"/>
          <w:szCs w:val="28"/>
          <w:rtl/>
          <w14:ligatures w14:val="none"/>
        </w:rPr>
        <w:t>وتُعرّف إجرائيًا بأنها مؤشرات تنبؤية مصممة للكشف المبكر عن العلامات والإشارات التي تسبق حدوث الاختلالات والانحرافات التشغيلية في العمليات اللوجستية، وذلك من خلال تحليل الأنماط التاريخية والبيانات الآنية وإصدار تنبيهات استباقية تُمكّن الإدارة من اتخاذ إجراءات وقائية قبل تفاقم المشكلات</w:t>
      </w:r>
      <w:r w:rsidRPr="00AD2516">
        <w:rPr>
          <w:rFonts w:ascii="Simplified Arabic" w:eastAsia="Times New Roman" w:hAnsi="Simplified Arabic" w:cs="Simplified Arabic"/>
          <w:color w:val="000000" w:themeColor="text1"/>
          <w:kern w:val="0"/>
          <w:sz w:val="28"/>
          <w:szCs w:val="28"/>
          <w14:ligatures w14:val="none"/>
        </w:rPr>
        <w:t>.</w:t>
      </w:r>
    </w:p>
    <w:p w14:paraId="70FB41E4" w14:textId="77777777" w:rsidR="00CD49B1" w:rsidRPr="00AD2516" w:rsidRDefault="00CD49B1"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البُعد الرابع: لوحات القيادة التنبؤية الديناميكية</w:t>
      </w:r>
      <w:r w:rsidRPr="00AD2516">
        <w:rPr>
          <w:rFonts w:ascii="Simplified Arabic" w:eastAsia="Times New Roman" w:hAnsi="Simplified Arabic" w:cs="Simplified Arabic"/>
          <w:color w:val="000000" w:themeColor="text1"/>
          <w:kern w:val="0"/>
          <w:sz w:val="28"/>
          <w:szCs w:val="28"/>
          <w14:ligatures w14:val="none"/>
        </w:rPr>
        <w:t xml:space="preserve"> (Dynamic Predictive Dashboards): </w:t>
      </w:r>
      <w:r w:rsidRPr="00AD2516">
        <w:rPr>
          <w:rFonts w:ascii="Simplified Arabic" w:eastAsia="Times New Roman" w:hAnsi="Simplified Arabic" w:cs="Simplified Arabic"/>
          <w:color w:val="000000" w:themeColor="text1"/>
          <w:kern w:val="0"/>
          <w:sz w:val="28"/>
          <w:szCs w:val="28"/>
          <w:rtl/>
          <w14:ligatures w14:val="none"/>
        </w:rPr>
        <w:t>وتُعرّف إجرائيًا بأنها واجهات عرض رقمية تفاعلية تدمج بين تصور البيانات التشغيلية الحالية ونتائج النماذج التنبؤية في شاشات موحدة تتحدث ذاتيًا، بما يوفر لصانعي القرار رؤية شاملة وديناميكية للأداء الحالي والمتوقع ويُمكّنهم من محاكاة السيناريوهات واتخاذ قرارات مبنية على البيانات</w:t>
      </w:r>
      <w:r w:rsidRPr="00AD2516">
        <w:rPr>
          <w:rFonts w:ascii="Simplified Arabic" w:eastAsia="Times New Roman" w:hAnsi="Simplified Arabic" w:cs="Simplified Arabic"/>
          <w:color w:val="000000" w:themeColor="text1"/>
          <w:kern w:val="0"/>
          <w:sz w:val="28"/>
          <w:szCs w:val="28"/>
          <w14:ligatures w14:val="none"/>
        </w:rPr>
        <w:t>.</w:t>
      </w:r>
    </w:p>
    <w:p w14:paraId="06069353" w14:textId="77777777" w:rsidR="00CD49B1" w:rsidRPr="00AD2516" w:rsidRDefault="00CD49B1" w:rsidP="0071413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4117812"/>
      <w:r w:rsidRPr="00AD2516">
        <w:rPr>
          <w:rFonts w:ascii="Simplified Arabic" w:eastAsia="Times New Roman" w:hAnsi="Simplified Arabic" w:cs="Simplified Arabic"/>
          <w:b/>
          <w:bCs/>
          <w:color w:val="000000" w:themeColor="text1"/>
          <w:kern w:val="0"/>
          <w:sz w:val="32"/>
          <w:szCs w:val="32"/>
          <w:rtl/>
          <w14:ligatures w14:val="none"/>
        </w:rPr>
        <w:t>مفهوم كفاءة العمليات</w:t>
      </w:r>
      <w:r w:rsidRPr="00AD2516">
        <w:rPr>
          <w:rFonts w:ascii="Simplified Arabic" w:eastAsia="Times New Roman" w:hAnsi="Simplified Arabic" w:cs="Simplified Arabic"/>
          <w:b/>
          <w:bCs/>
          <w:color w:val="000000" w:themeColor="text1"/>
          <w:kern w:val="0"/>
          <w:sz w:val="32"/>
          <w:szCs w:val="32"/>
          <w14:ligatures w14:val="none"/>
        </w:rPr>
        <w:t xml:space="preserve"> (Operations Efficiency)</w:t>
      </w:r>
      <w:bookmarkEnd w:id="20"/>
    </w:p>
    <w:p w14:paraId="454E968B" w14:textId="77777777" w:rsidR="00CD49B1" w:rsidRPr="00AD2516" w:rsidRDefault="00CD49B1"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 xml:space="preserve">تُعرّف كفاءة العمليات بأنها قدرة المنظمة على تحقيق أقصى المخرجات بأقل قدر ممكن من المدخلات والموارد المستخدمة، مع المحافظة على مستوى الجودة المطلوب وتلبية توقعات العملاء. وقد أوضح (حسن وآخرون، 2025) أن كفاءة إدارة العمليات تتضمن تحسين جودة الخدمات المقدمة وتعزيز المزايا التنافسية </w:t>
      </w:r>
      <w:r w:rsidRPr="00AD2516">
        <w:rPr>
          <w:rFonts w:ascii="Simplified Arabic" w:eastAsia="Times New Roman" w:hAnsi="Simplified Arabic" w:cs="Simplified Arabic"/>
          <w:color w:val="000000" w:themeColor="text1"/>
          <w:kern w:val="0"/>
          <w:sz w:val="28"/>
          <w:szCs w:val="28"/>
          <w:rtl/>
          <w14:ligatures w14:val="none"/>
        </w:rPr>
        <w:lastRenderedPageBreak/>
        <w:t>للمنظمات من خلال الاستغلال الأمثل للموارد المتاحة. كما أكد (الشمري، 2025) أن توظيف التقنيات الذكية كالذكاء الاصطناعي يُسهم في أتمتة المهام الروتينية وتسريع الإجراءات وتقليل الأخطاء البشرية بما ينعكس إيجابيًا على الكفاءة الكلية للعمليات. وقد أشارت دراسة (بيلي وداود، 2023) إلى أن كفاءة إدارة المكونات التشغيلية كدورة التحول النقدي وفترات التخزين والسداد والتحصيل تؤثر تأثيرًا معنويًا على مستوى الكفاءة التشغيلية الكلية للمنظمات</w:t>
      </w:r>
      <w:r w:rsidRPr="00AD2516">
        <w:rPr>
          <w:rFonts w:ascii="Simplified Arabic" w:eastAsia="Times New Roman" w:hAnsi="Simplified Arabic" w:cs="Simplified Arabic"/>
          <w:color w:val="000000" w:themeColor="text1"/>
          <w:kern w:val="0"/>
          <w:sz w:val="28"/>
          <w:szCs w:val="28"/>
          <w14:ligatures w14:val="none"/>
        </w:rPr>
        <w:t>.</w:t>
      </w:r>
    </w:p>
    <w:p w14:paraId="72F21F98" w14:textId="77777777" w:rsidR="00CD49B1" w:rsidRPr="00AD2516" w:rsidRDefault="00CD49B1" w:rsidP="0071413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4117813"/>
      <w:r w:rsidRPr="00AD2516">
        <w:rPr>
          <w:rFonts w:ascii="Simplified Arabic" w:eastAsia="Times New Roman" w:hAnsi="Simplified Arabic" w:cs="Simplified Arabic"/>
          <w:b/>
          <w:bCs/>
          <w:color w:val="000000" w:themeColor="text1"/>
          <w:kern w:val="0"/>
          <w:sz w:val="32"/>
          <w:szCs w:val="32"/>
          <w:rtl/>
          <w14:ligatures w14:val="none"/>
        </w:rPr>
        <w:t>مفهوم تقليل الهدر</w:t>
      </w:r>
      <w:r w:rsidRPr="00AD2516">
        <w:rPr>
          <w:rFonts w:ascii="Simplified Arabic" w:eastAsia="Times New Roman" w:hAnsi="Simplified Arabic" w:cs="Simplified Arabic"/>
          <w:b/>
          <w:bCs/>
          <w:color w:val="000000" w:themeColor="text1"/>
          <w:kern w:val="0"/>
          <w:sz w:val="32"/>
          <w:szCs w:val="32"/>
          <w14:ligatures w14:val="none"/>
        </w:rPr>
        <w:t xml:space="preserve"> (Waste Reduction)</w:t>
      </w:r>
      <w:bookmarkEnd w:id="21"/>
    </w:p>
    <w:p w14:paraId="4DB306E6" w14:textId="77777777" w:rsidR="00CD49B1" w:rsidRPr="00AD2516" w:rsidRDefault="00CD49B1"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يُعدّ مفهوم تقليل الهدر من المفاهيم الجوهرية في فلسفة الإنتاج الرشيق</w:t>
      </w:r>
      <w:r w:rsidRPr="00AD2516">
        <w:rPr>
          <w:rFonts w:ascii="Simplified Arabic" w:eastAsia="Times New Roman" w:hAnsi="Simplified Arabic" w:cs="Simplified Arabic"/>
          <w:color w:val="000000" w:themeColor="text1"/>
          <w:kern w:val="0"/>
          <w:sz w:val="28"/>
          <w:szCs w:val="28"/>
          <w14:ligatures w14:val="none"/>
        </w:rPr>
        <w:t xml:space="preserve"> (Lean Production) </w:t>
      </w:r>
      <w:r w:rsidRPr="00AD2516">
        <w:rPr>
          <w:rFonts w:ascii="Simplified Arabic" w:eastAsia="Times New Roman" w:hAnsi="Simplified Arabic" w:cs="Simplified Arabic"/>
          <w:color w:val="000000" w:themeColor="text1"/>
          <w:kern w:val="0"/>
          <w:sz w:val="28"/>
          <w:szCs w:val="28"/>
          <w:rtl/>
          <w14:ligatures w14:val="none"/>
        </w:rPr>
        <w:t>التي طورتها شركة تويوتا اليابانية، ويُقصد به التخلص المنهجي من كل نشاط أو عملية لا تُضيف قيمة للعميل النهائي. ويشمل الهدر في قطاع الخدمات اللوجستية أشكالًا متعددة منها: هدر الوقت الناتج عن فترات الانتظار والتأخير في الشحنات، وهدر الموارد الناجم عن سوء تخصيص الأسطول والقوى العاملة، وهدر الحركة المتمثل في المسارات غير المُحسّنة والتنقلات غير الضرورية، وهدر المخزون بسبب التخزين الزائد أو النقص في المواد. وقد أكدت دراسة (علي، 2022) أن تطبيق ممارسات تقليل الهدر كممارسات 5</w:t>
      </w:r>
      <w:r w:rsidRPr="00AD2516">
        <w:rPr>
          <w:rFonts w:ascii="Simplified Arabic" w:eastAsia="Times New Roman" w:hAnsi="Simplified Arabic" w:cs="Simplified Arabic"/>
          <w:color w:val="000000" w:themeColor="text1"/>
          <w:kern w:val="0"/>
          <w:sz w:val="28"/>
          <w:szCs w:val="28"/>
          <w14:ligatures w14:val="none"/>
        </w:rPr>
        <w:t xml:space="preserve">S </w:t>
      </w:r>
      <w:r w:rsidRPr="00AD2516">
        <w:rPr>
          <w:rFonts w:ascii="Simplified Arabic" w:eastAsia="Times New Roman" w:hAnsi="Simplified Arabic" w:cs="Simplified Arabic"/>
          <w:color w:val="000000" w:themeColor="text1"/>
          <w:kern w:val="0"/>
          <w:sz w:val="28"/>
          <w:szCs w:val="28"/>
          <w:rtl/>
          <w14:ligatures w14:val="none"/>
        </w:rPr>
        <w:t>يُسهم في تخفيض الهدر وتقليل أوقات الانتظار والاستغلال الأمثل للموارد المتاحة وتحسين إدارة المخزون</w:t>
      </w:r>
      <w:r w:rsidRPr="00AD2516">
        <w:rPr>
          <w:rFonts w:ascii="Simplified Arabic" w:eastAsia="Times New Roman" w:hAnsi="Simplified Arabic" w:cs="Simplified Arabic"/>
          <w:color w:val="000000" w:themeColor="text1"/>
          <w:kern w:val="0"/>
          <w:sz w:val="28"/>
          <w:szCs w:val="28"/>
          <w14:ligatures w14:val="none"/>
        </w:rPr>
        <w:t>.</w:t>
      </w:r>
    </w:p>
    <w:p w14:paraId="00B60768" w14:textId="552C49BE" w:rsidR="0071413D" w:rsidRPr="00AD2516" w:rsidRDefault="0071413D" w:rsidP="0071413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233934656"/>
      <w:bookmarkStart w:id="23" w:name="_Toc169790506"/>
      <w:bookmarkEnd w:id="17"/>
      <w:r w:rsidRPr="00AD2516">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2"/>
    </w:p>
    <w:p w14:paraId="1D31D9A9" w14:textId="77777777" w:rsidR="00CD49B1" w:rsidRPr="00AD2516" w:rsidRDefault="00CD49B1"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الأكثر ملاءمة لطبيعة الدراسة وأهدافها، حيث سيُستخدم هذا المنهج في وصف وتحليل أثر تطبيق مؤشرات الأداء الذكية المعتمدة على التحليلات التنبؤية بأبعادها الأربعة (مؤشرات الأداء التنبؤية في الوقت الفعلي، التحليلات التنبؤية لإدارة الموارد، مؤشرات الإنذار المبكر الذكية، لوحات القيادة التنبؤية الديناميكية) على رفع كفاءة العمليات وتقليل الهدر في شركات الخدمات اللوجستية بالمنطقة الشرقية. وسيتيح هذا المنهج جمع البيانات والمعلومات من الظاهرة المدروسة كما هي في الواقع دون تدخل الباحث، ومن ثم تحليلها وتفسيرها للوصول إلى استنتاجات علمية دقيقة</w:t>
      </w:r>
      <w:r w:rsidRPr="00AD2516">
        <w:rPr>
          <w:rFonts w:ascii="Simplified Arabic" w:eastAsia="Times New Roman" w:hAnsi="Simplified Arabic" w:cs="Simplified Arabic"/>
          <w:color w:val="000000" w:themeColor="text1"/>
          <w:kern w:val="0"/>
          <w:sz w:val="28"/>
          <w:szCs w:val="28"/>
          <w14:ligatures w14:val="none"/>
        </w:rPr>
        <w:t>.</w:t>
      </w:r>
    </w:p>
    <w:p w14:paraId="1C77FBF1" w14:textId="77777777" w:rsidR="00CD49B1" w:rsidRPr="00AD2516" w:rsidRDefault="00CD49B1" w:rsidP="0071413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 xml:space="preserve">كما ستستعين الدراسة بالأسلوب الكمي من خلال تصميم استبانة كأداة رئيسية لجمع البيانات الأولية من أفراد عينة الدراسة، وسيتم تحليل هذه البيانات باستخدام الأساليب الإحصائية المناسبة لاختبار فروض </w:t>
      </w:r>
      <w:r w:rsidRPr="00AD2516">
        <w:rPr>
          <w:rFonts w:ascii="Simplified Arabic" w:eastAsia="Times New Roman" w:hAnsi="Simplified Arabic" w:cs="Simplified Arabic"/>
          <w:color w:val="000000" w:themeColor="text1"/>
          <w:kern w:val="0"/>
          <w:sz w:val="28"/>
          <w:szCs w:val="28"/>
          <w:rtl/>
          <w14:ligatures w14:val="none"/>
        </w:rPr>
        <w:lastRenderedPageBreak/>
        <w:t>الدراسة والإجابة عن أسئلتها. وسيُوظَّف الجانب الوصفي في رصد واقع تطبيق مؤشرات الأداء الذكية ومستوى كفاءة العمليات وتقليل الهدر، فيما سيُوظَّف الجانب التحليلي في قياس العلاقات السببية بين متغيرات الدراسة واختبار دلالتها الإحصائية</w:t>
      </w:r>
      <w:r w:rsidRPr="00AD2516">
        <w:rPr>
          <w:rFonts w:ascii="Simplified Arabic" w:eastAsia="Times New Roman" w:hAnsi="Simplified Arabic" w:cs="Simplified Arabic"/>
          <w:color w:val="000000" w:themeColor="text1"/>
          <w:kern w:val="0"/>
          <w:sz w:val="28"/>
          <w:szCs w:val="28"/>
          <w14:ligatures w14:val="none"/>
        </w:rPr>
        <w:t>.</w:t>
      </w:r>
    </w:p>
    <w:p w14:paraId="715DDB2A" w14:textId="6513AC7A" w:rsidR="00CD49B1" w:rsidRPr="00AD2516" w:rsidRDefault="0071413D" w:rsidP="0080301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4" w:name="_Toc224117815"/>
      <w:bookmarkStart w:id="25" w:name="_Toc233934657"/>
      <w:r w:rsidRPr="00AD2516">
        <w:rPr>
          <w:rFonts w:ascii="Simplified Arabic" w:eastAsia="Times New Roman" w:hAnsi="Simplified Arabic" w:cs="Simplified Arabic" w:hint="cs"/>
          <w:b/>
          <w:bCs/>
          <w:color w:val="000000" w:themeColor="text1"/>
          <w:kern w:val="0"/>
          <w:sz w:val="36"/>
          <w:szCs w:val="36"/>
          <w:rtl/>
          <w14:ligatures w14:val="none"/>
        </w:rPr>
        <w:t xml:space="preserve">11.1 </w:t>
      </w:r>
      <w:r w:rsidR="00CD49B1" w:rsidRPr="00AD2516">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4"/>
      <w:bookmarkEnd w:id="25"/>
    </w:p>
    <w:p w14:paraId="38ADD5BE" w14:textId="77777777" w:rsidR="00CD49B1" w:rsidRPr="00AD2516" w:rsidRDefault="00CD49B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المستويات الإدارية (العليا والوسطى والإشرافية) في شركات الخدمات اللوجستية العاملة بالمنطقة الشرقية بالمملكة العربية السعودية، والمسجلة لدى الهيئة العامة للنقل. ووفقًا لبيانات الهيئة العامة للنقل ووزارة الموارد البشرية والتنمية الاجتماعية، يبلغ عدد شركات الخدمات اللوجستية المرخصة والعاملة في المنطقة الشرقية ما يقارب (85) شركة تشمل شركات النقل البري والتخزين وإدارة سلاسل الإمداد والتوزيع والشحن، ويُقدّر عدد العاملين في المستويات الإدارية المستهدفة بنحو (1200) موظف وموظفة</w:t>
      </w:r>
      <w:r w:rsidRPr="00AD2516">
        <w:rPr>
          <w:rFonts w:ascii="Simplified Arabic" w:eastAsia="Times New Roman" w:hAnsi="Simplified Arabic" w:cs="Simplified Arabic"/>
          <w:color w:val="000000" w:themeColor="text1"/>
          <w:kern w:val="0"/>
          <w:sz w:val="28"/>
          <w:szCs w:val="28"/>
          <w14:ligatures w14:val="none"/>
        </w:rPr>
        <w:t>.</w:t>
      </w:r>
    </w:p>
    <w:p w14:paraId="7FED9AAF" w14:textId="77777777" w:rsidR="00CD49B1" w:rsidRPr="00AD2516" w:rsidRDefault="00CD49B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وستعتمد الدراسة أسلوب العينة العشوائية الطبقية التناسبية لضمان تمثيل جميع المستويات الإدارية وأحجام الشركات المختلفة بشكل متوازن. وسيتم تحديد حجم العينة وفقًا لجدول</w:t>
      </w:r>
      <w:r w:rsidRPr="00AD2516">
        <w:rPr>
          <w:rFonts w:ascii="Simplified Arabic" w:eastAsia="Times New Roman" w:hAnsi="Simplified Arabic" w:cs="Simplified Arabic"/>
          <w:color w:val="000000" w:themeColor="text1"/>
          <w:kern w:val="0"/>
          <w:sz w:val="28"/>
          <w:szCs w:val="28"/>
          <w14:ligatures w14:val="none"/>
        </w:rPr>
        <w:t xml:space="preserve"> (</w:t>
      </w:r>
      <w:proofErr w:type="spellStart"/>
      <w:r w:rsidRPr="00AD2516">
        <w:rPr>
          <w:rFonts w:ascii="Simplified Arabic" w:eastAsia="Times New Roman" w:hAnsi="Simplified Arabic" w:cs="Simplified Arabic"/>
          <w:color w:val="000000" w:themeColor="text1"/>
          <w:kern w:val="0"/>
          <w:sz w:val="28"/>
          <w:szCs w:val="28"/>
          <w14:ligatures w14:val="none"/>
        </w:rPr>
        <w:t>Krejcie</w:t>
      </w:r>
      <w:proofErr w:type="spellEnd"/>
      <w:r w:rsidRPr="00AD2516">
        <w:rPr>
          <w:rFonts w:ascii="Simplified Arabic" w:eastAsia="Times New Roman" w:hAnsi="Simplified Arabic" w:cs="Simplified Arabic"/>
          <w:color w:val="000000" w:themeColor="text1"/>
          <w:kern w:val="0"/>
          <w:sz w:val="28"/>
          <w:szCs w:val="28"/>
          <w14:ligatures w14:val="none"/>
        </w:rPr>
        <w:t xml:space="preserve"> &amp; Morgan, 1970) </w:t>
      </w:r>
      <w:r w:rsidRPr="00AD2516">
        <w:rPr>
          <w:rFonts w:ascii="Simplified Arabic" w:eastAsia="Times New Roman" w:hAnsi="Simplified Arabic" w:cs="Simplified Arabic"/>
          <w:color w:val="000000" w:themeColor="text1"/>
          <w:kern w:val="0"/>
          <w:sz w:val="28"/>
          <w:szCs w:val="28"/>
          <w:rtl/>
          <w14:ligatures w14:val="none"/>
        </w:rPr>
        <w:t>لتحديد حجم العينات، حيث يُقابل مجتمعًا قوامه (1200) مفردة عينة لا تقل عن (291) مفردة. وستسعى الدراسة إلى توزيع (350) استبانة لضمان الحصول على عدد كافٍ من الاستجابات الصالحة للتحليل الإحصائي بعد استبعاد الاستبانات غير المكتملة أو غير الصالحة، وسيتم التوزيع إلكترونيًا عبر الاستبانة الرقمية وورقيًا لضمان أعلى معدل استجابة ممكن</w:t>
      </w:r>
      <w:r w:rsidRPr="00AD2516">
        <w:rPr>
          <w:rFonts w:ascii="Simplified Arabic" w:eastAsia="Times New Roman" w:hAnsi="Simplified Arabic" w:cs="Simplified Arabic"/>
          <w:color w:val="000000" w:themeColor="text1"/>
          <w:kern w:val="0"/>
          <w:sz w:val="28"/>
          <w:szCs w:val="28"/>
          <w14:ligatures w14:val="none"/>
        </w:rPr>
        <w:t>.</w:t>
      </w:r>
    </w:p>
    <w:p w14:paraId="0BB8F349" w14:textId="5E9F75A7" w:rsidR="00CD49B1" w:rsidRPr="00AD2516" w:rsidRDefault="00803014" w:rsidP="0080301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24117816"/>
      <w:bookmarkStart w:id="27" w:name="_Toc233934658"/>
      <w:r w:rsidRPr="00AD2516">
        <w:rPr>
          <w:rFonts w:ascii="Simplified Arabic" w:eastAsia="Times New Roman" w:hAnsi="Simplified Arabic" w:cs="Simplified Arabic" w:hint="cs"/>
          <w:b/>
          <w:bCs/>
          <w:color w:val="000000" w:themeColor="text1"/>
          <w:kern w:val="0"/>
          <w:sz w:val="36"/>
          <w:szCs w:val="36"/>
          <w:rtl/>
          <w14:ligatures w14:val="none"/>
        </w:rPr>
        <w:t xml:space="preserve">12.1 </w:t>
      </w:r>
      <w:r w:rsidR="00CD49B1" w:rsidRPr="00AD2516">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6"/>
      <w:bookmarkEnd w:id="27"/>
    </w:p>
    <w:p w14:paraId="5159E287" w14:textId="77777777" w:rsidR="00CD49B1" w:rsidRPr="00AD2516" w:rsidRDefault="00CD49B1"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ستعتمد الدراسة على مصدرين أساسيين لجمع البيانات</w:t>
      </w:r>
      <w:r w:rsidRPr="00AD2516">
        <w:rPr>
          <w:rFonts w:ascii="Simplified Arabic" w:eastAsia="Times New Roman" w:hAnsi="Simplified Arabic" w:cs="Simplified Arabic"/>
          <w:b/>
          <w:bCs/>
          <w:color w:val="000000" w:themeColor="text1"/>
          <w:kern w:val="0"/>
          <w:sz w:val="28"/>
          <w:szCs w:val="28"/>
          <w14:ligatures w14:val="none"/>
        </w:rPr>
        <w:t>:</w:t>
      </w:r>
    </w:p>
    <w:p w14:paraId="005438ED" w14:textId="77777777" w:rsidR="00CD49B1" w:rsidRPr="00AD2516" w:rsidRDefault="00CD49B1" w:rsidP="00803014">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المصادر الثانوية</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والرسائل الجامعية (الماجستير والدكتوراه) والدوريات والمجلات العلمية المحكمة العربية والأجنبية والتقارير والنشرات الصادرة عن الهيئة العامة للنقل والجهات ذات العلاقة وقواعد البيانات الإلكترونية العلمية مثل دار المنظومة و</w:t>
      </w:r>
      <w:r w:rsidRPr="00AD2516">
        <w:rPr>
          <w:rFonts w:ascii="Simplified Arabic" w:eastAsia="Times New Roman" w:hAnsi="Simplified Arabic" w:cs="Simplified Arabic"/>
          <w:color w:val="000000" w:themeColor="text1"/>
          <w:kern w:val="0"/>
          <w:sz w:val="28"/>
          <w:szCs w:val="28"/>
          <w14:ligatures w14:val="none"/>
        </w:rPr>
        <w:t xml:space="preserve">Scopus </w:t>
      </w:r>
      <w:r w:rsidRPr="00AD2516">
        <w:rPr>
          <w:rFonts w:ascii="Simplified Arabic" w:eastAsia="Times New Roman" w:hAnsi="Simplified Arabic" w:cs="Simplified Arabic"/>
          <w:color w:val="000000" w:themeColor="text1"/>
          <w:kern w:val="0"/>
          <w:sz w:val="28"/>
          <w:szCs w:val="28"/>
          <w:rtl/>
          <w14:ligatures w14:val="none"/>
        </w:rPr>
        <w:t>و</w:t>
      </w:r>
      <w:r w:rsidRPr="00AD2516">
        <w:rPr>
          <w:rFonts w:ascii="Simplified Arabic" w:eastAsia="Times New Roman" w:hAnsi="Simplified Arabic" w:cs="Simplified Arabic"/>
          <w:color w:val="000000" w:themeColor="text1"/>
          <w:kern w:val="0"/>
          <w:sz w:val="28"/>
          <w:szCs w:val="28"/>
          <w14:ligatures w14:val="none"/>
        </w:rPr>
        <w:t xml:space="preserve">Web of Science </w:t>
      </w:r>
      <w:r w:rsidRPr="00AD2516">
        <w:rPr>
          <w:rFonts w:ascii="Simplified Arabic" w:eastAsia="Times New Roman" w:hAnsi="Simplified Arabic" w:cs="Simplified Arabic"/>
          <w:color w:val="000000" w:themeColor="text1"/>
          <w:kern w:val="0"/>
          <w:sz w:val="28"/>
          <w:szCs w:val="28"/>
          <w:rtl/>
          <w14:ligatures w14:val="none"/>
        </w:rPr>
        <w:t>و</w:t>
      </w:r>
      <w:r w:rsidRPr="00AD2516">
        <w:rPr>
          <w:rFonts w:ascii="Simplified Arabic" w:eastAsia="Times New Roman" w:hAnsi="Simplified Arabic" w:cs="Simplified Arabic"/>
          <w:color w:val="000000" w:themeColor="text1"/>
          <w:kern w:val="0"/>
          <w:sz w:val="28"/>
          <w:szCs w:val="28"/>
          <w14:ligatures w14:val="none"/>
        </w:rPr>
        <w:t>Google Scholar</w:t>
      </w:r>
      <w:r w:rsidRPr="00AD2516">
        <w:rPr>
          <w:rFonts w:ascii="Simplified Arabic" w:eastAsia="Times New Roman" w:hAnsi="Simplified Arabic" w:cs="Simplified Arabic"/>
          <w:color w:val="000000" w:themeColor="text1"/>
          <w:kern w:val="0"/>
          <w:sz w:val="28"/>
          <w:szCs w:val="28"/>
          <w:rtl/>
          <w14:ligatures w14:val="none"/>
        </w:rPr>
        <w:t>، وذلك بهدف بناء الإطار النظري للدراسة وصياغة أداة القياس</w:t>
      </w:r>
      <w:r w:rsidRPr="00AD2516">
        <w:rPr>
          <w:rFonts w:ascii="Simplified Arabic" w:eastAsia="Times New Roman" w:hAnsi="Simplified Arabic" w:cs="Simplified Arabic"/>
          <w:color w:val="000000" w:themeColor="text1"/>
          <w:kern w:val="0"/>
          <w:sz w:val="28"/>
          <w:szCs w:val="28"/>
          <w14:ligatures w14:val="none"/>
        </w:rPr>
        <w:t>.</w:t>
      </w:r>
    </w:p>
    <w:p w14:paraId="3A189472" w14:textId="77777777" w:rsidR="00CD49B1" w:rsidRPr="00AD2516" w:rsidRDefault="00CD49B1" w:rsidP="00803014">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lastRenderedPageBreak/>
        <w:t>المصادر الأولية</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وتشمل البيانات التي سيتم جمعها ميدانيًا من خلال الاستبانة التي ستُصمَّم خصيصًا لأغراض هذه الدراسة، والتي ستُوزَّع على أفراد عينة الدراسة من العاملين في المستويات الإدارية بشركات الخدمات اللوجستية بالمنطقة الشرقية</w:t>
      </w:r>
      <w:r w:rsidRPr="00AD2516">
        <w:rPr>
          <w:rFonts w:ascii="Simplified Arabic" w:eastAsia="Times New Roman" w:hAnsi="Simplified Arabic" w:cs="Simplified Arabic"/>
          <w:color w:val="000000" w:themeColor="text1"/>
          <w:kern w:val="0"/>
          <w:sz w:val="28"/>
          <w:szCs w:val="28"/>
          <w14:ligatures w14:val="none"/>
        </w:rPr>
        <w:t>.</w:t>
      </w:r>
    </w:p>
    <w:p w14:paraId="12AABF93" w14:textId="60997978" w:rsidR="00CD49B1" w:rsidRPr="00AD2516" w:rsidRDefault="00803014" w:rsidP="0080301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24117817"/>
      <w:bookmarkStart w:id="29" w:name="_Toc233934659"/>
      <w:r w:rsidRPr="00AD2516">
        <w:rPr>
          <w:rFonts w:ascii="Simplified Arabic" w:eastAsia="Times New Roman" w:hAnsi="Simplified Arabic" w:cs="Simplified Arabic" w:hint="cs"/>
          <w:b/>
          <w:bCs/>
          <w:color w:val="000000" w:themeColor="text1"/>
          <w:kern w:val="0"/>
          <w:sz w:val="36"/>
          <w:szCs w:val="36"/>
          <w:rtl/>
          <w14:ligatures w14:val="none"/>
        </w:rPr>
        <w:t xml:space="preserve">13.1 </w:t>
      </w:r>
      <w:r w:rsidR="00CD49B1" w:rsidRPr="00AD2516">
        <w:rPr>
          <w:rFonts w:ascii="Simplified Arabic" w:eastAsia="Times New Roman" w:hAnsi="Simplified Arabic" w:cs="Simplified Arabic"/>
          <w:b/>
          <w:bCs/>
          <w:color w:val="000000" w:themeColor="text1"/>
          <w:kern w:val="0"/>
          <w:sz w:val="36"/>
          <w:szCs w:val="36"/>
          <w:rtl/>
          <w14:ligatures w14:val="none"/>
        </w:rPr>
        <w:t>أداة الدراسة</w:t>
      </w:r>
      <w:bookmarkEnd w:id="28"/>
      <w:bookmarkEnd w:id="29"/>
    </w:p>
    <w:p w14:paraId="3B8425D2" w14:textId="77777777" w:rsidR="00CD49B1" w:rsidRPr="00AD2516" w:rsidRDefault="00CD49B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ستعتمد الدراسة على الاستبانة كأداة رئيسية لجمع البيانات الأولية، وسيتم تصميمها بناءً على مراجعة شاملة للأدبيات والدراسات السابقة ذات الصلة، وستتكون الاستبانة من ثلاثة أقسام رئيسية على النحو التالي</w:t>
      </w:r>
      <w:r w:rsidRPr="00AD2516">
        <w:rPr>
          <w:rFonts w:ascii="Simplified Arabic" w:eastAsia="Times New Roman" w:hAnsi="Simplified Arabic" w:cs="Simplified Arabic"/>
          <w:color w:val="000000" w:themeColor="text1"/>
          <w:kern w:val="0"/>
          <w:sz w:val="28"/>
          <w:szCs w:val="28"/>
          <w14:ligatures w14:val="none"/>
        </w:rPr>
        <w:t>:</w:t>
      </w:r>
    </w:p>
    <w:p w14:paraId="57ABC4B3" w14:textId="77777777" w:rsidR="00CD49B1" w:rsidRPr="00AD2516" w:rsidRDefault="00CD49B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والوظيفية، ويتضمن بيانات عن المؤهل العلمي وسنوات الخبرة والمستوى الوظيفي وحجم الشركة</w:t>
      </w:r>
      <w:r w:rsidRPr="00AD2516">
        <w:rPr>
          <w:rFonts w:ascii="Simplified Arabic" w:eastAsia="Times New Roman" w:hAnsi="Simplified Arabic" w:cs="Simplified Arabic"/>
          <w:color w:val="000000" w:themeColor="text1"/>
          <w:kern w:val="0"/>
          <w:sz w:val="28"/>
          <w:szCs w:val="28"/>
          <w14:ligatures w14:val="none"/>
        </w:rPr>
        <w:t>.</w:t>
      </w:r>
    </w:p>
    <w:p w14:paraId="73A5F7F1" w14:textId="77777777" w:rsidR="00CD49B1" w:rsidRPr="00AD2516" w:rsidRDefault="00CD49B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القسم الثاني: المتغير المستقل (مؤشرات الأداء الذكية المعتمدة على التحليلات التنبؤية)، ويتكون من (16) فقرة موزعة على أربعة أبعاد كالتالي</w:t>
      </w:r>
      <w:r w:rsidRPr="00AD2516">
        <w:rPr>
          <w:rFonts w:ascii="Simplified Arabic" w:eastAsia="Times New Roman" w:hAnsi="Simplified Arabic" w:cs="Simplified Arabic"/>
          <w:color w:val="000000" w:themeColor="text1"/>
          <w:kern w:val="0"/>
          <w:sz w:val="28"/>
          <w:szCs w:val="28"/>
          <w14:ligatures w14:val="none"/>
        </w:rPr>
        <w:t>:</w:t>
      </w:r>
    </w:p>
    <w:p w14:paraId="4125CE7D" w14:textId="77777777" w:rsidR="00CD49B1" w:rsidRPr="00AD2516" w:rsidRDefault="00CD49B1" w:rsidP="00803014">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البُعد الأول</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مؤشرات الأداء التنبؤية في الوقت الفعلي، ويتضمن (4) فقرات</w:t>
      </w:r>
      <w:r w:rsidRPr="00AD2516">
        <w:rPr>
          <w:rFonts w:ascii="Simplified Arabic" w:eastAsia="Times New Roman" w:hAnsi="Simplified Arabic" w:cs="Simplified Arabic"/>
          <w:color w:val="000000" w:themeColor="text1"/>
          <w:kern w:val="0"/>
          <w:sz w:val="28"/>
          <w:szCs w:val="28"/>
          <w14:ligatures w14:val="none"/>
        </w:rPr>
        <w:t>.</w:t>
      </w:r>
    </w:p>
    <w:p w14:paraId="626F67A7" w14:textId="77777777" w:rsidR="00CD49B1" w:rsidRPr="00AD2516" w:rsidRDefault="00CD49B1" w:rsidP="00803014">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البُعد الثاني</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التحليلات التنبؤية لإدارة الموارد، ويتضمن (4) فقرات</w:t>
      </w:r>
      <w:r w:rsidRPr="00AD2516">
        <w:rPr>
          <w:rFonts w:ascii="Simplified Arabic" w:eastAsia="Times New Roman" w:hAnsi="Simplified Arabic" w:cs="Simplified Arabic"/>
          <w:color w:val="000000" w:themeColor="text1"/>
          <w:kern w:val="0"/>
          <w:sz w:val="28"/>
          <w:szCs w:val="28"/>
          <w14:ligatures w14:val="none"/>
        </w:rPr>
        <w:t>.</w:t>
      </w:r>
    </w:p>
    <w:p w14:paraId="66E84E21" w14:textId="77777777" w:rsidR="00CD49B1" w:rsidRPr="00AD2516" w:rsidRDefault="00CD49B1" w:rsidP="00803014">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البُعد الثالث</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مؤشرات الإنذار المبكر الذكية، ويتضمن (4) فقرات</w:t>
      </w:r>
      <w:r w:rsidRPr="00AD2516">
        <w:rPr>
          <w:rFonts w:ascii="Simplified Arabic" w:eastAsia="Times New Roman" w:hAnsi="Simplified Arabic" w:cs="Simplified Arabic"/>
          <w:color w:val="000000" w:themeColor="text1"/>
          <w:kern w:val="0"/>
          <w:sz w:val="28"/>
          <w:szCs w:val="28"/>
          <w14:ligatures w14:val="none"/>
        </w:rPr>
        <w:t>.</w:t>
      </w:r>
    </w:p>
    <w:p w14:paraId="790A275E" w14:textId="77777777" w:rsidR="00CD49B1" w:rsidRPr="00AD2516" w:rsidRDefault="00CD49B1" w:rsidP="00803014">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البُعد الرابع</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لوحات القيادة التنبؤية الديناميكية، ويتضمن (4) فقرات</w:t>
      </w:r>
      <w:r w:rsidRPr="00AD2516">
        <w:rPr>
          <w:rFonts w:ascii="Simplified Arabic" w:eastAsia="Times New Roman" w:hAnsi="Simplified Arabic" w:cs="Simplified Arabic"/>
          <w:color w:val="000000" w:themeColor="text1"/>
          <w:kern w:val="0"/>
          <w:sz w:val="28"/>
          <w:szCs w:val="28"/>
          <w14:ligatures w14:val="none"/>
        </w:rPr>
        <w:t>.</w:t>
      </w:r>
    </w:p>
    <w:p w14:paraId="15954A1F" w14:textId="77777777" w:rsidR="00CD49B1" w:rsidRPr="00AD2516" w:rsidRDefault="00CD49B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القسم الثالث: المتغير التابع (رفع كفاءة العمليات وتقليل الهدر)، وهو محور أحادي يتضمن (10) فقرات تقيس مستوى كفاءة العمليات وتقليل الهدر في شركات الخدمات اللوجستية</w:t>
      </w:r>
      <w:r w:rsidRPr="00AD2516">
        <w:rPr>
          <w:rFonts w:ascii="Simplified Arabic" w:eastAsia="Times New Roman" w:hAnsi="Simplified Arabic" w:cs="Simplified Arabic"/>
          <w:color w:val="000000" w:themeColor="text1"/>
          <w:kern w:val="0"/>
          <w:sz w:val="28"/>
          <w:szCs w:val="28"/>
          <w14:ligatures w14:val="none"/>
        </w:rPr>
        <w:t>.</w:t>
      </w:r>
    </w:p>
    <w:p w14:paraId="1B493C3D" w14:textId="77777777" w:rsidR="00CD49B1" w:rsidRPr="00AD2516" w:rsidRDefault="00CD49B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 xml:space="preserve">وبذلك يكون إجمالي فقرات الاستبانة (26) فقرة بالإضافة إلى البيانات الديموغرافية. وسيتم قياس استجابات أفراد العينة باستخدام مقياس ليكرت الخماسي (1= غير موافق بشدة، 2= غير موافق، 3= محايد، </w:t>
      </w:r>
      <w:r w:rsidRPr="00AD2516">
        <w:rPr>
          <w:rFonts w:ascii="Simplified Arabic" w:eastAsia="Times New Roman" w:hAnsi="Simplified Arabic" w:cs="Simplified Arabic"/>
          <w:color w:val="000000" w:themeColor="text1"/>
          <w:kern w:val="0"/>
          <w:sz w:val="28"/>
          <w:szCs w:val="28"/>
          <w14:ligatures w14:val="none"/>
        </w:rPr>
        <w:t xml:space="preserve">4= </w:t>
      </w:r>
      <w:r w:rsidRPr="00AD2516">
        <w:rPr>
          <w:rFonts w:ascii="Simplified Arabic" w:eastAsia="Times New Roman" w:hAnsi="Simplified Arabic" w:cs="Simplified Arabic"/>
          <w:color w:val="000000" w:themeColor="text1"/>
          <w:kern w:val="0"/>
          <w:sz w:val="28"/>
          <w:szCs w:val="28"/>
          <w:rtl/>
          <w14:ligatures w14:val="none"/>
        </w:rPr>
        <w:t>موافق، 5= موافق بشدة). وسيتم التحقق من صدق الأداة من خلال الصدق الظاهري بعرضها على مجموعة من المحكمين المتخصصين، والصدق البنائي من خلال التحليل العاملي التوكيدي، فيما سيتم التحقق من ثباتها باستخدام معامل ألفا كرونباخ</w:t>
      </w:r>
      <w:r w:rsidRPr="00AD2516">
        <w:rPr>
          <w:rFonts w:ascii="Simplified Arabic" w:eastAsia="Times New Roman" w:hAnsi="Simplified Arabic" w:cs="Simplified Arabic"/>
          <w:color w:val="000000" w:themeColor="text1"/>
          <w:kern w:val="0"/>
          <w:sz w:val="28"/>
          <w:szCs w:val="28"/>
          <w14:ligatures w14:val="none"/>
        </w:rPr>
        <w:t xml:space="preserve"> (Cronbach's Alpha).</w:t>
      </w:r>
    </w:p>
    <w:p w14:paraId="74347A14" w14:textId="20966424" w:rsidR="00CD49B1" w:rsidRPr="00AD2516" w:rsidRDefault="00803014" w:rsidP="0080301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4117818"/>
      <w:bookmarkStart w:id="31" w:name="_Toc233934660"/>
      <w:r w:rsidRPr="00AD2516">
        <w:rPr>
          <w:rFonts w:ascii="Simplified Arabic" w:eastAsia="Times New Roman" w:hAnsi="Simplified Arabic" w:cs="Simplified Arabic" w:hint="cs"/>
          <w:b/>
          <w:bCs/>
          <w:color w:val="000000" w:themeColor="text1"/>
          <w:kern w:val="0"/>
          <w:sz w:val="36"/>
          <w:szCs w:val="36"/>
          <w:rtl/>
          <w14:ligatures w14:val="none"/>
        </w:rPr>
        <w:lastRenderedPageBreak/>
        <w:t xml:space="preserve">14.1 </w:t>
      </w:r>
      <w:r w:rsidR="00CD49B1" w:rsidRPr="00AD2516">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0"/>
      <w:bookmarkEnd w:id="31"/>
    </w:p>
    <w:p w14:paraId="1C3C4D59" w14:textId="77777777" w:rsidR="00CD49B1" w:rsidRPr="00AD2516" w:rsidRDefault="00CD49B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الحزمة الإحصائية للعلوم الاجتماعية</w:t>
      </w:r>
      <w:r w:rsidRPr="00AD2516">
        <w:rPr>
          <w:rFonts w:ascii="Simplified Arabic" w:eastAsia="Times New Roman" w:hAnsi="Simplified Arabic" w:cs="Simplified Arabic"/>
          <w:color w:val="000000" w:themeColor="text1"/>
          <w:kern w:val="0"/>
          <w:sz w:val="28"/>
          <w:szCs w:val="28"/>
          <w14:ligatures w14:val="none"/>
        </w:rPr>
        <w:t xml:space="preserve"> (SPSS) </w:t>
      </w:r>
      <w:r w:rsidRPr="00AD2516">
        <w:rPr>
          <w:rFonts w:ascii="Simplified Arabic" w:eastAsia="Times New Roman" w:hAnsi="Simplified Arabic" w:cs="Simplified Arabic"/>
          <w:color w:val="000000" w:themeColor="text1"/>
          <w:kern w:val="0"/>
          <w:sz w:val="28"/>
          <w:szCs w:val="28"/>
          <w:rtl/>
          <w14:ligatures w14:val="none"/>
        </w:rPr>
        <w:t>وبرنامج</w:t>
      </w:r>
      <w:r w:rsidRPr="00AD2516">
        <w:rPr>
          <w:rFonts w:ascii="Simplified Arabic" w:eastAsia="Times New Roman" w:hAnsi="Simplified Arabic" w:cs="Simplified Arabic"/>
          <w:color w:val="000000" w:themeColor="text1"/>
          <w:kern w:val="0"/>
          <w:sz w:val="28"/>
          <w:szCs w:val="28"/>
          <w14:ligatures w14:val="none"/>
        </w:rPr>
        <w:t xml:space="preserve"> (AMOS) </w:t>
      </w:r>
      <w:r w:rsidRPr="00AD2516">
        <w:rPr>
          <w:rFonts w:ascii="Simplified Arabic" w:eastAsia="Times New Roman" w:hAnsi="Simplified Arabic" w:cs="Simplified Arabic"/>
          <w:color w:val="000000" w:themeColor="text1"/>
          <w:kern w:val="0"/>
          <w:sz w:val="28"/>
          <w:szCs w:val="28"/>
          <w:rtl/>
          <w14:ligatures w14:val="none"/>
        </w:rPr>
        <w:t>للنمذجة بالمعادلات البنائية، وستُستخدم الأساليب الإحصائية التالية</w:t>
      </w:r>
      <w:r w:rsidRPr="00AD2516">
        <w:rPr>
          <w:rFonts w:ascii="Simplified Arabic" w:eastAsia="Times New Roman" w:hAnsi="Simplified Arabic" w:cs="Simplified Arabic"/>
          <w:color w:val="000000" w:themeColor="text1"/>
          <w:kern w:val="0"/>
          <w:sz w:val="28"/>
          <w:szCs w:val="28"/>
          <w14:ligatures w14:val="none"/>
        </w:rPr>
        <w:t>:</w:t>
      </w:r>
    </w:p>
    <w:p w14:paraId="50702161" w14:textId="77777777" w:rsidR="00CD49B1" w:rsidRPr="00AD2516" w:rsidRDefault="00CD49B1" w:rsidP="00803014">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أساليب الإحصاء الوصفي</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والمتوسطات الحسابية والانحرافات المعيارية لتحديد مستوى استجابات أفراد العينة على محاور الاستبانة وترتيب أهميتها النسبية</w:t>
      </w:r>
      <w:r w:rsidRPr="00AD2516">
        <w:rPr>
          <w:rFonts w:ascii="Simplified Arabic" w:eastAsia="Times New Roman" w:hAnsi="Simplified Arabic" w:cs="Simplified Arabic"/>
          <w:color w:val="000000" w:themeColor="text1"/>
          <w:kern w:val="0"/>
          <w:sz w:val="28"/>
          <w:szCs w:val="28"/>
          <w14:ligatures w14:val="none"/>
        </w:rPr>
        <w:t>.</w:t>
      </w:r>
    </w:p>
    <w:p w14:paraId="78BD5C1A" w14:textId="77777777" w:rsidR="00CD49B1" w:rsidRPr="00AD2516" w:rsidRDefault="00CD49B1" w:rsidP="00803014">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وتشمل معامل ألفا كرونباخ</w:t>
      </w:r>
      <w:r w:rsidRPr="00AD2516">
        <w:rPr>
          <w:rFonts w:ascii="Simplified Arabic" w:eastAsia="Times New Roman" w:hAnsi="Simplified Arabic" w:cs="Simplified Arabic"/>
          <w:color w:val="000000" w:themeColor="text1"/>
          <w:kern w:val="0"/>
          <w:sz w:val="28"/>
          <w:szCs w:val="28"/>
          <w14:ligatures w14:val="none"/>
        </w:rPr>
        <w:t xml:space="preserve"> (Cronbach's Alpha) </w:t>
      </w:r>
      <w:r w:rsidRPr="00AD2516">
        <w:rPr>
          <w:rFonts w:ascii="Simplified Arabic" w:eastAsia="Times New Roman" w:hAnsi="Simplified Arabic" w:cs="Simplified Arabic"/>
          <w:color w:val="000000" w:themeColor="text1"/>
          <w:kern w:val="0"/>
          <w:sz w:val="28"/>
          <w:szCs w:val="28"/>
          <w:rtl/>
          <w14:ligatures w14:val="none"/>
        </w:rPr>
        <w:t>للتحقق من ثبات أداة الدراسة، ومعامل ارتباط بيرسون</w:t>
      </w:r>
      <w:r w:rsidRPr="00AD2516">
        <w:rPr>
          <w:rFonts w:ascii="Simplified Arabic" w:eastAsia="Times New Roman" w:hAnsi="Simplified Arabic" w:cs="Simplified Arabic"/>
          <w:color w:val="000000" w:themeColor="text1"/>
          <w:kern w:val="0"/>
          <w:sz w:val="28"/>
          <w:szCs w:val="28"/>
          <w14:ligatures w14:val="none"/>
        </w:rPr>
        <w:t xml:space="preserve"> (Pearson Correlation) </w:t>
      </w:r>
      <w:r w:rsidRPr="00AD2516">
        <w:rPr>
          <w:rFonts w:ascii="Simplified Arabic" w:eastAsia="Times New Roman" w:hAnsi="Simplified Arabic" w:cs="Simplified Arabic"/>
          <w:color w:val="000000" w:themeColor="text1"/>
          <w:kern w:val="0"/>
          <w:sz w:val="28"/>
          <w:szCs w:val="28"/>
          <w:rtl/>
          <w14:ligatures w14:val="none"/>
        </w:rPr>
        <w:t xml:space="preserve">للتحقق من صدق الاتساق الداخلي للاستبانة وقياس العلاقة بين المتغيرات، وتحليل الانحدار المتعدد </w:t>
      </w:r>
      <w:r w:rsidRPr="00AD2516">
        <w:rPr>
          <w:rFonts w:ascii="Simplified Arabic" w:eastAsia="Times New Roman" w:hAnsi="Simplified Arabic" w:cs="Simplified Arabic"/>
          <w:color w:val="000000" w:themeColor="text1"/>
          <w:kern w:val="0"/>
          <w:sz w:val="28"/>
          <w:szCs w:val="28"/>
          <w14:ligatures w14:val="none"/>
        </w:rPr>
        <w:t xml:space="preserve">(Multiple Regression Analysis) </w:t>
      </w:r>
      <w:r w:rsidRPr="00AD2516">
        <w:rPr>
          <w:rFonts w:ascii="Simplified Arabic" w:eastAsia="Times New Roman" w:hAnsi="Simplified Arabic" w:cs="Simplified Arabic"/>
          <w:color w:val="000000" w:themeColor="text1"/>
          <w:kern w:val="0"/>
          <w:sz w:val="28"/>
          <w:szCs w:val="28"/>
          <w:rtl/>
          <w14:ligatures w14:val="none"/>
        </w:rPr>
        <w:t>لقياس أثر أبعاد المتغير المستقل على المتغير التابع واختبار فروض الدراسة الرئيسية والفرعية، وتحليل الانحدار التدريجي</w:t>
      </w:r>
      <w:r w:rsidRPr="00AD2516">
        <w:rPr>
          <w:rFonts w:ascii="Simplified Arabic" w:eastAsia="Times New Roman" w:hAnsi="Simplified Arabic" w:cs="Simplified Arabic"/>
          <w:color w:val="000000" w:themeColor="text1"/>
          <w:kern w:val="0"/>
          <w:sz w:val="28"/>
          <w:szCs w:val="28"/>
          <w14:ligatures w14:val="none"/>
        </w:rPr>
        <w:t xml:space="preserve"> (Stepwise Regression) </w:t>
      </w:r>
      <w:r w:rsidRPr="00AD2516">
        <w:rPr>
          <w:rFonts w:ascii="Simplified Arabic" w:eastAsia="Times New Roman" w:hAnsi="Simplified Arabic" w:cs="Simplified Arabic"/>
          <w:color w:val="000000" w:themeColor="text1"/>
          <w:kern w:val="0"/>
          <w:sz w:val="28"/>
          <w:szCs w:val="28"/>
          <w:rtl/>
          <w14:ligatures w14:val="none"/>
        </w:rPr>
        <w:t>لتحديد الأهمية النسبية لكل بُعد من أبعاد المتغير المستقل، واختبار</w:t>
      </w:r>
      <w:r w:rsidRPr="00AD2516">
        <w:rPr>
          <w:rFonts w:ascii="Simplified Arabic" w:eastAsia="Times New Roman" w:hAnsi="Simplified Arabic" w:cs="Simplified Arabic"/>
          <w:color w:val="000000" w:themeColor="text1"/>
          <w:kern w:val="0"/>
          <w:sz w:val="28"/>
          <w:szCs w:val="28"/>
          <w14:ligatures w14:val="none"/>
        </w:rPr>
        <w:t xml:space="preserve"> (T-Test) </w:t>
      </w:r>
      <w:r w:rsidRPr="00AD2516">
        <w:rPr>
          <w:rFonts w:ascii="Simplified Arabic" w:eastAsia="Times New Roman" w:hAnsi="Simplified Arabic" w:cs="Simplified Arabic"/>
          <w:color w:val="000000" w:themeColor="text1"/>
          <w:kern w:val="0"/>
          <w:sz w:val="28"/>
          <w:szCs w:val="28"/>
          <w:rtl/>
          <w14:ligatures w14:val="none"/>
        </w:rPr>
        <w:t>لعينة واحدة لاختبار مستوى تطبيق المتغيرات، واختبار</w:t>
      </w:r>
      <w:r w:rsidRPr="00AD2516">
        <w:rPr>
          <w:rFonts w:ascii="Simplified Arabic" w:eastAsia="Times New Roman" w:hAnsi="Simplified Arabic" w:cs="Simplified Arabic"/>
          <w:color w:val="000000" w:themeColor="text1"/>
          <w:kern w:val="0"/>
          <w:sz w:val="28"/>
          <w:szCs w:val="28"/>
          <w14:ligatures w14:val="none"/>
        </w:rPr>
        <w:t xml:space="preserve"> (T-Test) </w:t>
      </w:r>
      <w:r w:rsidRPr="00AD2516">
        <w:rPr>
          <w:rFonts w:ascii="Simplified Arabic" w:eastAsia="Times New Roman" w:hAnsi="Simplified Arabic" w:cs="Simplified Arabic"/>
          <w:color w:val="000000" w:themeColor="text1"/>
          <w:kern w:val="0"/>
          <w:sz w:val="28"/>
          <w:szCs w:val="28"/>
          <w:rtl/>
          <w14:ligatures w14:val="none"/>
        </w:rPr>
        <w:t>لعينتين مستقلتين واختبار تحليل التباين الأحادي</w:t>
      </w:r>
      <w:r w:rsidRPr="00AD2516">
        <w:rPr>
          <w:rFonts w:ascii="Simplified Arabic" w:eastAsia="Times New Roman" w:hAnsi="Simplified Arabic" w:cs="Simplified Arabic"/>
          <w:color w:val="000000" w:themeColor="text1"/>
          <w:kern w:val="0"/>
          <w:sz w:val="28"/>
          <w:szCs w:val="28"/>
          <w14:ligatures w14:val="none"/>
        </w:rPr>
        <w:t xml:space="preserve"> (One-Way ANOVA) </w:t>
      </w:r>
      <w:r w:rsidRPr="00AD2516">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وفقًا للمتغيرات الديموغرافية، واختبار</w:t>
      </w:r>
      <w:r w:rsidRPr="00AD2516">
        <w:rPr>
          <w:rFonts w:ascii="Simplified Arabic" w:eastAsia="Times New Roman" w:hAnsi="Simplified Arabic" w:cs="Simplified Arabic"/>
          <w:color w:val="000000" w:themeColor="text1"/>
          <w:kern w:val="0"/>
          <w:sz w:val="28"/>
          <w:szCs w:val="28"/>
          <w14:ligatures w14:val="none"/>
        </w:rPr>
        <w:t xml:space="preserve"> (LSD) </w:t>
      </w:r>
      <w:r w:rsidRPr="00AD2516">
        <w:rPr>
          <w:rFonts w:ascii="Simplified Arabic" w:eastAsia="Times New Roman" w:hAnsi="Simplified Arabic" w:cs="Simplified Arabic"/>
          <w:color w:val="000000" w:themeColor="text1"/>
          <w:kern w:val="0"/>
          <w:sz w:val="28"/>
          <w:szCs w:val="28"/>
          <w:rtl/>
          <w14:ligatures w14:val="none"/>
        </w:rPr>
        <w:t>للمقارنات البعدية في حالة وجود فروق ذات دلالة إحصائية، ومعامل تضخم التباين</w:t>
      </w:r>
      <w:r w:rsidRPr="00AD2516">
        <w:rPr>
          <w:rFonts w:ascii="Simplified Arabic" w:eastAsia="Times New Roman" w:hAnsi="Simplified Arabic" w:cs="Simplified Arabic"/>
          <w:color w:val="000000" w:themeColor="text1"/>
          <w:kern w:val="0"/>
          <w:sz w:val="28"/>
          <w:szCs w:val="28"/>
          <w14:ligatures w14:val="none"/>
        </w:rPr>
        <w:t xml:space="preserve"> (VIF) </w:t>
      </w:r>
      <w:r w:rsidRPr="00AD2516">
        <w:rPr>
          <w:rFonts w:ascii="Simplified Arabic" w:eastAsia="Times New Roman" w:hAnsi="Simplified Arabic" w:cs="Simplified Arabic"/>
          <w:color w:val="000000" w:themeColor="text1"/>
          <w:kern w:val="0"/>
          <w:sz w:val="28"/>
          <w:szCs w:val="28"/>
          <w:rtl/>
          <w14:ligatures w14:val="none"/>
        </w:rPr>
        <w:t>واختبار التباين المسموح</w:t>
      </w:r>
      <w:r w:rsidRPr="00AD2516">
        <w:rPr>
          <w:rFonts w:ascii="Simplified Arabic" w:eastAsia="Times New Roman" w:hAnsi="Simplified Arabic" w:cs="Simplified Arabic"/>
          <w:color w:val="000000" w:themeColor="text1"/>
          <w:kern w:val="0"/>
          <w:sz w:val="28"/>
          <w:szCs w:val="28"/>
          <w14:ligatures w14:val="none"/>
        </w:rPr>
        <w:t xml:space="preserve"> (Tolerance) </w:t>
      </w:r>
      <w:r w:rsidRPr="00AD2516">
        <w:rPr>
          <w:rFonts w:ascii="Simplified Arabic" w:eastAsia="Times New Roman" w:hAnsi="Simplified Arabic" w:cs="Simplified Arabic"/>
          <w:color w:val="000000" w:themeColor="text1"/>
          <w:kern w:val="0"/>
          <w:sz w:val="28"/>
          <w:szCs w:val="28"/>
          <w:rtl/>
          <w14:ligatures w14:val="none"/>
        </w:rPr>
        <w:t>للتحقق من عدم وجود مشكلة الازدواج الخطي بين المتغيرات المستقلة</w:t>
      </w:r>
      <w:r w:rsidRPr="00AD2516">
        <w:rPr>
          <w:rFonts w:ascii="Simplified Arabic" w:eastAsia="Times New Roman" w:hAnsi="Simplified Arabic" w:cs="Simplified Arabic"/>
          <w:color w:val="000000" w:themeColor="text1"/>
          <w:kern w:val="0"/>
          <w:sz w:val="28"/>
          <w:szCs w:val="28"/>
          <w14:ligatures w14:val="none"/>
        </w:rPr>
        <w:t>.</w:t>
      </w:r>
    </w:p>
    <w:p w14:paraId="30CBD473" w14:textId="0005A19B" w:rsidR="00CD49B1" w:rsidRPr="00AD2516" w:rsidRDefault="00803014" w:rsidP="0080301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2" w:name="_Toc224117819"/>
      <w:bookmarkStart w:id="33" w:name="_Toc233934661"/>
      <w:r w:rsidRPr="00AD2516">
        <w:rPr>
          <w:rFonts w:ascii="Simplified Arabic" w:eastAsia="Times New Roman" w:hAnsi="Simplified Arabic" w:cs="Simplified Arabic" w:hint="cs"/>
          <w:b/>
          <w:bCs/>
          <w:color w:val="000000" w:themeColor="text1"/>
          <w:kern w:val="0"/>
          <w:sz w:val="36"/>
          <w:szCs w:val="36"/>
          <w:rtl/>
          <w14:ligatures w14:val="none"/>
        </w:rPr>
        <w:t xml:space="preserve">15.1 </w:t>
      </w:r>
      <w:r w:rsidR="00CD49B1" w:rsidRPr="00AD2516">
        <w:rPr>
          <w:rFonts w:ascii="Simplified Arabic" w:eastAsia="Times New Roman" w:hAnsi="Simplified Arabic" w:cs="Simplified Arabic"/>
          <w:b/>
          <w:bCs/>
          <w:color w:val="000000" w:themeColor="text1"/>
          <w:kern w:val="0"/>
          <w:sz w:val="36"/>
          <w:szCs w:val="36"/>
          <w:rtl/>
          <w14:ligatures w14:val="none"/>
        </w:rPr>
        <w:t>حدود الدراسة</w:t>
      </w:r>
      <w:bookmarkEnd w:id="32"/>
      <w:bookmarkEnd w:id="33"/>
    </w:p>
    <w:p w14:paraId="16A2011E" w14:textId="77777777" w:rsidR="00CD49B1" w:rsidRPr="00AD2516" w:rsidRDefault="00CD49B1" w:rsidP="00803014">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الحدود الموضوعية</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ستقتصر الدراسة على دراسة أثر تطبيق مؤشرات الأداء الذكية المعتمدة على التحليلات التنبؤية بأبعادها الأربعة (مؤشرات الأداء التنبؤية في الوقت الفعلي، التحليلات التنبؤية لإدارة الموارد، مؤشرات الإنذار المبكر الذكية، لوحات القيادة التنبؤية الديناميكية) على رفع كفاءة العمليات وتقليل الهدر</w:t>
      </w:r>
      <w:r w:rsidRPr="00AD2516">
        <w:rPr>
          <w:rFonts w:ascii="Simplified Arabic" w:eastAsia="Times New Roman" w:hAnsi="Simplified Arabic" w:cs="Simplified Arabic"/>
          <w:color w:val="000000" w:themeColor="text1"/>
          <w:kern w:val="0"/>
          <w:sz w:val="28"/>
          <w:szCs w:val="28"/>
          <w14:ligatures w14:val="none"/>
        </w:rPr>
        <w:t>.</w:t>
      </w:r>
    </w:p>
    <w:p w14:paraId="60119E5C" w14:textId="77777777" w:rsidR="00CD49B1" w:rsidRPr="00AD2516" w:rsidRDefault="00CD49B1" w:rsidP="00803014">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الحدود المكانية</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ستُطبَّق الدراسة على شركات الخدمات اللوجستية العاملة بالمنطقة الشرقية بالمملكة العربية السعودية والمسجلة لدى الهيئة العامة للنقل</w:t>
      </w:r>
      <w:r w:rsidRPr="00AD2516">
        <w:rPr>
          <w:rFonts w:ascii="Simplified Arabic" w:eastAsia="Times New Roman" w:hAnsi="Simplified Arabic" w:cs="Simplified Arabic"/>
          <w:color w:val="000000" w:themeColor="text1"/>
          <w:kern w:val="0"/>
          <w:sz w:val="28"/>
          <w:szCs w:val="28"/>
          <w14:ligatures w14:val="none"/>
        </w:rPr>
        <w:t>.</w:t>
      </w:r>
    </w:p>
    <w:p w14:paraId="1EF50DAF" w14:textId="77777777" w:rsidR="00CD49B1" w:rsidRPr="00AD2516" w:rsidRDefault="00CD49B1" w:rsidP="00803014">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lastRenderedPageBreak/>
        <w:t>الحدود البشرية</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ستستهدف الدراسة العاملين في المستويات الإدارية (العليا والوسطى والإشرافية) في شركات الخدمات اللوجستية بالمنطقة الشرقية، باعتبارهم الأكثر دراية بمؤشرات الأداء وكفاءة العمليات واتخاذ القرارات التشغيلية</w:t>
      </w:r>
      <w:r w:rsidRPr="00AD2516">
        <w:rPr>
          <w:rFonts w:ascii="Simplified Arabic" w:eastAsia="Times New Roman" w:hAnsi="Simplified Arabic" w:cs="Simplified Arabic"/>
          <w:color w:val="000000" w:themeColor="text1"/>
          <w:kern w:val="0"/>
          <w:sz w:val="28"/>
          <w:szCs w:val="28"/>
          <w14:ligatures w14:val="none"/>
        </w:rPr>
        <w:t>.</w:t>
      </w:r>
    </w:p>
    <w:p w14:paraId="3A1AB962" w14:textId="77777777" w:rsidR="00CD49B1" w:rsidRPr="00AD2516" w:rsidRDefault="00CD49B1" w:rsidP="00803014">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AD2516">
        <w:rPr>
          <w:rFonts w:ascii="Simplified Arabic" w:eastAsia="Times New Roman" w:hAnsi="Simplified Arabic" w:cs="Simplified Arabic"/>
          <w:color w:val="000000" w:themeColor="text1"/>
          <w:kern w:val="0"/>
          <w:sz w:val="28"/>
          <w:szCs w:val="28"/>
          <w:rtl/>
          <w14:ligatures w14:val="none"/>
        </w:rPr>
        <w:t>الحدود الزمانية</w:t>
      </w:r>
      <w:r w:rsidRPr="00AD2516">
        <w:rPr>
          <w:rFonts w:ascii="Simplified Arabic" w:eastAsia="Times New Roman" w:hAnsi="Simplified Arabic" w:cs="Simplified Arabic"/>
          <w:color w:val="000000" w:themeColor="text1"/>
          <w:kern w:val="0"/>
          <w:sz w:val="28"/>
          <w:szCs w:val="28"/>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سيتم جمع البيانات الأولية للدراسة وتطبيق أداتها خلال الفصل الدراسي الثاني من العام الجامعي 1447/1448هـ الموافق 2025/2026م</w:t>
      </w:r>
      <w:r w:rsidRPr="00AD2516">
        <w:rPr>
          <w:rFonts w:ascii="Simplified Arabic" w:eastAsia="Times New Roman" w:hAnsi="Simplified Arabic" w:cs="Simplified Arabic"/>
          <w:color w:val="000000" w:themeColor="text1"/>
          <w:kern w:val="0"/>
          <w:sz w:val="28"/>
          <w:szCs w:val="28"/>
          <w14:ligatures w14:val="none"/>
        </w:rPr>
        <w:t>.</w:t>
      </w:r>
    </w:p>
    <w:p w14:paraId="1649F671" w14:textId="1F032840" w:rsidR="00404CF1" w:rsidRPr="00AD2516" w:rsidRDefault="00803014" w:rsidP="00803014">
      <w:pPr>
        <w:jc w:val="center"/>
        <w:outlineLvl w:val="0"/>
        <w:rPr>
          <w:rFonts w:ascii="Simplified Arabic" w:eastAsia="Times New Roman" w:hAnsi="Simplified Arabic" w:cs="Simplified Arabic"/>
          <w:b/>
          <w:bCs/>
          <w:color w:val="000000" w:themeColor="text1"/>
          <w:kern w:val="0"/>
          <w:sz w:val="40"/>
          <w:szCs w:val="40"/>
          <w14:ligatures w14:val="none"/>
        </w:rPr>
      </w:pPr>
      <w:r w:rsidRPr="00AD2516">
        <w:rPr>
          <w:rFonts w:ascii="Simplified Arabic" w:eastAsia="Times New Roman" w:hAnsi="Simplified Arabic" w:cs="Simplified Arabic"/>
          <w:b/>
          <w:bCs/>
          <w:color w:val="000000" w:themeColor="text1"/>
          <w:kern w:val="0"/>
          <w:sz w:val="40"/>
          <w:szCs w:val="40"/>
          <w:rtl/>
          <w14:ligatures w14:val="none"/>
        </w:rPr>
        <w:br w:type="page"/>
      </w:r>
      <w:bookmarkStart w:id="34" w:name="_Toc233934662"/>
      <w:r w:rsidRPr="00AD2516">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404CF1" w:rsidRPr="00AD2516">
        <w:rPr>
          <w:rFonts w:ascii="Simplified Arabic" w:eastAsia="Times New Roman" w:hAnsi="Simplified Arabic" w:cs="Simplified Arabic"/>
          <w:b/>
          <w:bCs/>
          <w:color w:val="000000" w:themeColor="text1"/>
          <w:kern w:val="0"/>
          <w:sz w:val="40"/>
          <w:szCs w:val="40"/>
          <w:rtl/>
          <w14:ligatures w14:val="none"/>
        </w:rPr>
        <w:t>الإطـار النظـري للدراسـة</w:t>
      </w:r>
      <w:bookmarkEnd w:id="34"/>
    </w:p>
    <w:p w14:paraId="2E800DDD" w14:textId="77777777" w:rsidR="00404CF1" w:rsidRPr="00AD2516" w:rsidRDefault="00404CF1" w:rsidP="00803014">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5" w:name="_Toc233934663"/>
      <w:r w:rsidRPr="00AD2516">
        <w:rPr>
          <w:rFonts w:ascii="Simplified Arabic" w:eastAsia="Times New Roman" w:hAnsi="Simplified Arabic" w:cs="Simplified Arabic"/>
          <w:b/>
          <w:bCs/>
          <w:color w:val="000000" w:themeColor="text1"/>
          <w:kern w:val="0"/>
          <w:sz w:val="36"/>
          <w:szCs w:val="36"/>
          <w:rtl/>
          <w14:ligatures w14:val="none"/>
        </w:rPr>
        <w:t>المبحث الأول: مؤشرات الأداء الذكية المعتمدة على التحليلات التنبؤية</w:t>
      </w:r>
      <w:bookmarkEnd w:id="35"/>
    </w:p>
    <w:p w14:paraId="01A0B5B3" w14:textId="0AEFD3AA" w:rsidR="00404CF1" w:rsidRPr="00AD2516" w:rsidRDefault="00803014" w:rsidP="0080301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934664"/>
      <w:r w:rsidRPr="00AD2516">
        <w:rPr>
          <w:rFonts w:ascii="Simplified Arabic" w:eastAsia="Times New Roman" w:hAnsi="Simplified Arabic" w:cs="Simplified Arabic" w:hint="cs"/>
          <w:b/>
          <w:bCs/>
          <w:color w:val="000000" w:themeColor="text1"/>
          <w:kern w:val="0"/>
          <w:sz w:val="32"/>
          <w:szCs w:val="32"/>
          <w:rtl/>
          <w14:ligatures w14:val="none"/>
        </w:rPr>
        <w:t xml:space="preserve">1.1.2 </w:t>
      </w:r>
      <w:r w:rsidR="00404CF1" w:rsidRPr="00AD2516">
        <w:rPr>
          <w:rFonts w:ascii="Simplified Arabic" w:eastAsia="Times New Roman" w:hAnsi="Simplified Arabic" w:cs="Simplified Arabic"/>
          <w:b/>
          <w:bCs/>
          <w:color w:val="000000" w:themeColor="text1"/>
          <w:kern w:val="0"/>
          <w:sz w:val="32"/>
          <w:szCs w:val="32"/>
          <w:rtl/>
          <w14:ligatures w14:val="none"/>
        </w:rPr>
        <w:t>تمهيد</w:t>
      </w:r>
      <w:bookmarkEnd w:id="36"/>
    </w:p>
    <w:p w14:paraId="0D674269"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يشهد الفكر الإداري المعاصر تحولًا جوهريًا في طريقة قياس الأداء التنظيمي، إذ لم تعد المؤشرات التقليدية القائمة على البيانات التاريخية الوصفية كافيةً لاستيعاب التعقيد المتزايد في بيئات الأعمال، ولا لمواكبة السرعة التي تتغير بها المتغيرات الداخلية والخارجية للمنظمات. وقد أفرز هذا التحول جيلًا جديدًا من المؤشرات الذكية التي تستند إلى التحليلات التنبؤية بوصفها منظومة تحليلية تربط البيانات الضخمة بالخوارزميات الإحصائية وتقنيات تعلّم الآلة، بما يمكّن المنظمة من استشراف الأحداث قبل وقوعها، والانتقال من ردّ الفعل إلى المبادأة الاستراتيجية. ويكتسب هذا التحول أهميةً مضاعفةً في قطاع الخدمات اللوجستية الذي يتسم بتشابك سلاسله وتعدد أطرافه وحساسيته الشديدة لعوامل الوقت والتكلفة والجودة، وهو ما جعل الباحثين ينظرون إلى مؤشرات الأداء الذكية باعتبارها ركيزةً لبناء منظمات مرنة ومستدامة قادرة على التكيّف مع اضطرابات الأسواق وتقلبات الطلب</w:t>
      </w:r>
      <w:r w:rsidRPr="00AD2516">
        <w:rPr>
          <w:rFonts w:ascii="Simplified Arabic" w:eastAsia="Times New Roman" w:hAnsi="Simplified Arabic" w:cs="Simplified Arabic"/>
          <w:color w:val="000000" w:themeColor="text1"/>
          <w:kern w:val="0"/>
          <w:sz w:val="28"/>
          <w:szCs w:val="28"/>
          <w14:ligatures w14:val="none"/>
        </w:rPr>
        <w:t>.</w:t>
      </w:r>
    </w:p>
    <w:p w14:paraId="4D6B7A54"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ويرتبط هذا التحول ارتباطًا وثيقًا بموجة الثورة الصناعية الرابعة وما رافقها من تقنيات إنترنت الأشياء والحوسبة السحابية والذكاء الاصطناعي، إذ باتت المؤشرات لا تقيس ما حدث فحسب، بل تُنبئ بما سيحدث، وتوجّه القرار الإداري نحو المسارات الأكثر كفاءة</w:t>
      </w:r>
      <w:r w:rsidRPr="00AD2516">
        <w:rPr>
          <w:rFonts w:ascii="Simplified Arabic" w:eastAsia="Times New Roman" w:hAnsi="Simplified Arabic" w:cs="Simplified Arabic"/>
          <w:color w:val="000000" w:themeColor="text1"/>
          <w:kern w:val="0"/>
          <w:sz w:val="28"/>
          <w:szCs w:val="28"/>
          <w14:ligatures w14:val="none"/>
        </w:rPr>
        <w:t xml:space="preserve"> (</w:t>
      </w:r>
      <w:proofErr w:type="spellStart"/>
      <w:r w:rsidRPr="00AD2516">
        <w:rPr>
          <w:rFonts w:ascii="Simplified Arabic" w:eastAsia="Times New Roman" w:hAnsi="Simplified Arabic" w:cs="Simplified Arabic"/>
          <w:color w:val="000000" w:themeColor="text1"/>
          <w:kern w:val="0"/>
          <w:sz w:val="28"/>
          <w:szCs w:val="28"/>
          <w14:ligatures w14:val="none"/>
        </w:rPr>
        <w:t>Marinagi</w:t>
      </w:r>
      <w:proofErr w:type="spellEnd"/>
      <w:r w:rsidRPr="00AD2516">
        <w:rPr>
          <w:rFonts w:ascii="Simplified Arabic" w:eastAsia="Times New Roman" w:hAnsi="Simplified Arabic" w:cs="Simplified Arabic"/>
          <w:color w:val="000000" w:themeColor="text1"/>
          <w:kern w:val="0"/>
          <w:sz w:val="28"/>
          <w:szCs w:val="28"/>
          <w14:ligatures w14:val="none"/>
        </w:rPr>
        <w:t xml:space="preserve"> et al., 2023). </w:t>
      </w:r>
      <w:r w:rsidRPr="00AD2516">
        <w:rPr>
          <w:rFonts w:ascii="Simplified Arabic" w:eastAsia="Times New Roman" w:hAnsi="Simplified Arabic" w:cs="Simplified Arabic"/>
          <w:color w:val="000000" w:themeColor="text1"/>
          <w:kern w:val="0"/>
          <w:sz w:val="28"/>
          <w:szCs w:val="28"/>
          <w:rtl/>
          <w14:ligatures w14:val="none"/>
        </w:rPr>
        <w:t>ومن ثمّ فإن الحديث عن مؤشرات الأداء الذكية المعتمدة على التحليلات التنبؤية ليس ترفًا معرفيًا، بل استجابة منهجية لضغوط تنافسية وتشغيلية تفرض على المنظمة أن تعيد هندسة منظومتها القياسية بحيث تتحول من أداة رقابية لاحقة إلى أداة قيادية استباقية. ويُفرد هذا المبحث لتفكيك هذا المفهوم المركّب عبر تناول مفهومه وأهميته وأهدافه وأبعاده، ثم استعراض المداخل النظرية المفسّرة له، وعرض عناوين بحثية موازية توضّح مواقع المفهوم في الإنتاج العلمي الحديث</w:t>
      </w:r>
      <w:r w:rsidRPr="00AD2516">
        <w:rPr>
          <w:rFonts w:ascii="Simplified Arabic" w:eastAsia="Times New Roman" w:hAnsi="Simplified Arabic" w:cs="Simplified Arabic"/>
          <w:color w:val="000000" w:themeColor="text1"/>
          <w:kern w:val="0"/>
          <w:sz w:val="28"/>
          <w:szCs w:val="28"/>
          <w14:ligatures w14:val="none"/>
        </w:rPr>
        <w:t>.</w:t>
      </w:r>
    </w:p>
    <w:p w14:paraId="2F40D919" w14:textId="20A3C8D7" w:rsidR="00404CF1" w:rsidRPr="00AD2516" w:rsidRDefault="00803014" w:rsidP="0080301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934665"/>
      <w:r w:rsidRPr="00AD2516">
        <w:rPr>
          <w:rFonts w:ascii="Simplified Arabic" w:eastAsia="Times New Roman" w:hAnsi="Simplified Arabic" w:cs="Simplified Arabic" w:hint="cs"/>
          <w:b/>
          <w:bCs/>
          <w:color w:val="000000" w:themeColor="text1"/>
          <w:kern w:val="0"/>
          <w:sz w:val="32"/>
          <w:szCs w:val="32"/>
          <w:rtl/>
          <w14:ligatures w14:val="none"/>
        </w:rPr>
        <w:t>2.1.2</w:t>
      </w:r>
      <w:r w:rsidR="00404CF1" w:rsidRPr="00AD2516">
        <w:rPr>
          <w:rFonts w:ascii="Simplified Arabic" w:eastAsia="Times New Roman" w:hAnsi="Simplified Arabic" w:cs="Simplified Arabic"/>
          <w:b/>
          <w:bCs/>
          <w:color w:val="000000" w:themeColor="text1"/>
          <w:kern w:val="0"/>
          <w:sz w:val="32"/>
          <w:szCs w:val="32"/>
          <w:rtl/>
          <w14:ligatures w14:val="none"/>
        </w:rPr>
        <w:t xml:space="preserve"> مفهوم مؤشرات الأداء الذكية المعتمدة على التحليلات التنبؤية</w:t>
      </w:r>
      <w:bookmarkEnd w:id="37"/>
    </w:p>
    <w:p w14:paraId="65D55784"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lastRenderedPageBreak/>
        <w:t>يقف الباحث أمام مفهوم مركّب يتقاطع فيه حقلان معرفيان؛ حقل مؤشرات الأداء بوصفها أداةً لقياس مدى تحقيق الأهداف، وحقل التحليلات التنبؤية بوصفها منهجًا لاستقراء المستقبل من البيانات. وقد تعدّدت زوايا التعريف بحسب طبيعة الحقل ومجال التطبيق، غير أن ثمة قاسمًا مشتركًا يجمع هذه التعريفات، هو انتقال المؤشر من كونه رقمًا وصفيًا إلى كونه إشارةً استشرافية موجِّهة للقرار</w:t>
      </w:r>
      <w:r w:rsidRPr="00AD2516">
        <w:rPr>
          <w:rFonts w:ascii="Simplified Arabic" w:eastAsia="Times New Roman" w:hAnsi="Simplified Arabic" w:cs="Simplified Arabic"/>
          <w:color w:val="000000" w:themeColor="text1"/>
          <w:kern w:val="0"/>
          <w:sz w:val="28"/>
          <w:szCs w:val="28"/>
          <w14:ligatures w14:val="none"/>
        </w:rPr>
        <w:t>.</w:t>
      </w:r>
    </w:p>
    <w:p w14:paraId="448B4F13"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ففي الأدبيات المتعلقة بأنظمة القياس الصناعي، يُنظر إلى مؤشرات الأداء الذكية باعتبارها معايير قابلة للقياس تُصاغ وفق ضوابط محددة تضمن دقتها وقابليتها للتحقق ومحدوديتها الزمنية، بحيث تتجاوز الوصف الكمي إلى تقييم جودة العملية الإدارية ذاتها</w:t>
      </w:r>
      <w:r w:rsidRPr="00AD2516">
        <w:rPr>
          <w:rFonts w:ascii="Simplified Arabic" w:eastAsia="Times New Roman" w:hAnsi="Simplified Arabic" w:cs="Simplified Arabic"/>
          <w:color w:val="000000" w:themeColor="text1"/>
          <w:kern w:val="0"/>
          <w:sz w:val="28"/>
          <w:szCs w:val="28"/>
          <w14:ligatures w14:val="none"/>
        </w:rPr>
        <w:t xml:space="preserve"> (Selvik et al., 2021). </w:t>
      </w:r>
      <w:r w:rsidRPr="00AD2516">
        <w:rPr>
          <w:rFonts w:ascii="Simplified Arabic" w:eastAsia="Times New Roman" w:hAnsi="Simplified Arabic" w:cs="Simplified Arabic"/>
          <w:color w:val="000000" w:themeColor="text1"/>
          <w:kern w:val="0"/>
          <w:sz w:val="28"/>
          <w:szCs w:val="28"/>
          <w:rtl/>
          <w14:ligatures w14:val="none"/>
        </w:rPr>
        <w:t>ويقترب من هذا الطرح التصور الذي يربط ذكاء المؤشر بقدرته على العمل داخل بيئة رقمية متكاملة تدمج البيانات من مصادرها المتعددة وتحوّلها إلى معرفة قابلة للفعل في سياقات المدن الذكية والخدمات العامة</w:t>
      </w:r>
      <w:r w:rsidRPr="00AD2516">
        <w:rPr>
          <w:rFonts w:ascii="Simplified Arabic" w:eastAsia="Times New Roman" w:hAnsi="Simplified Arabic" w:cs="Simplified Arabic"/>
          <w:color w:val="000000" w:themeColor="text1"/>
          <w:kern w:val="0"/>
          <w:sz w:val="28"/>
          <w:szCs w:val="28"/>
          <w14:ligatures w14:val="none"/>
        </w:rPr>
        <w:t xml:space="preserve"> (Serrano et al., 2022). </w:t>
      </w:r>
      <w:r w:rsidRPr="00AD2516">
        <w:rPr>
          <w:rFonts w:ascii="Simplified Arabic" w:eastAsia="Times New Roman" w:hAnsi="Simplified Arabic" w:cs="Simplified Arabic"/>
          <w:color w:val="000000" w:themeColor="text1"/>
          <w:kern w:val="0"/>
          <w:sz w:val="28"/>
          <w:szCs w:val="28"/>
          <w:rtl/>
          <w14:ligatures w14:val="none"/>
        </w:rPr>
        <w:t>وينتقل تعريف آخر بالمفهوم إلى مجال التسويق الرقمي، حيث تُوصف المؤشرات الذكية بأنها منظومة قياس متعددة الأبعاد تربط سلوك المستهلك الرقمي بالنتائج التشغيلية والاستراتيجية للمنظمة</w:t>
      </w:r>
      <w:r w:rsidRPr="00AD2516">
        <w:rPr>
          <w:rFonts w:ascii="Simplified Arabic" w:eastAsia="Times New Roman" w:hAnsi="Simplified Arabic" w:cs="Simplified Arabic"/>
          <w:color w:val="000000" w:themeColor="text1"/>
          <w:kern w:val="0"/>
          <w:sz w:val="28"/>
          <w:szCs w:val="28"/>
          <w14:ligatures w14:val="none"/>
        </w:rPr>
        <w:t xml:space="preserve"> (Ghahremani-Nahr &amp; </w:t>
      </w:r>
      <w:proofErr w:type="spellStart"/>
      <w:r w:rsidRPr="00AD2516">
        <w:rPr>
          <w:rFonts w:ascii="Simplified Arabic" w:eastAsia="Times New Roman" w:hAnsi="Simplified Arabic" w:cs="Simplified Arabic"/>
          <w:color w:val="000000" w:themeColor="text1"/>
          <w:kern w:val="0"/>
          <w:sz w:val="28"/>
          <w:szCs w:val="28"/>
          <w14:ligatures w14:val="none"/>
        </w:rPr>
        <w:t>Nozari</w:t>
      </w:r>
      <w:proofErr w:type="spellEnd"/>
      <w:r w:rsidRPr="00AD2516">
        <w:rPr>
          <w:rFonts w:ascii="Simplified Arabic" w:eastAsia="Times New Roman" w:hAnsi="Simplified Arabic" w:cs="Simplified Arabic"/>
          <w:color w:val="000000" w:themeColor="text1"/>
          <w:kern w:val="0"/>
          <w:sz w:val="28"/>
          <w:szCs w:val="28"/>
          <w14:ligatures w14:val="none"/>
        </w:rPr>
        <w:t>, 2021).</w:t>
      </w:r>
    </w:p>
    <w:p w14:paraId="2F6569DD"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أما في حقل التحليلات التنبؤية بوصفها الشق الثاني للمفهوم، فيُعرّفها فريق من الباحثين بأنها مجموعة من الأساليب الإحصائية وخوارزميات تعلّم الآلة التي تستثمر البيانات التاريخية والراهنة لإنتاج تقديرات محتملة عن أحداث مستقبلية داخل بيئة الأعمال</w:t>
      </w:r>
      <w:r w:rsidRPr="00AD2516">
        <w:rPr>
          <w:rFonts w:ascii="Simplified Arabic" w:eastAsia="Times New Roman" w:hAnsi="Simplified Arabic" w:cs="Simplified Arabic"/>
          <w:color w:val="000000" w:themeColor="text1"/>
          <w:kern w:val="0"/>
          <w:sz w:val="28"/>
          <w:szCs w:val="28"/>
          <w14:ligatures w14:val="none"/>
        </w:rPr>
        <w:t xml:space="preserve"> (Saleh et al., 2024). </w:t>
      </w:r>
      <w:r w:rsidRPr="00AD2516">
        <w:rPr>
          <w:rFonts w:ascii="Simplified Arabic" w:eastAsia="Times New Roman" w:hAnsi="Simplified Arabic" w:cs="Simplified Arabic"/>
          <w:color w:val="000000" w:themeColor="text1"/>
          <w:kern w:val="0"/>
          <w:sz w:val="28"/>
          <w:szCs w:val="28"/>
          <w:rtl/>
          <w14:ligatures w14:val="none"/>
        </w:rPr>
        <w:t>ويوسّع باحثون آخرون هذا التعريف ليشمل قدرة التحليلات التنبؤية على إعادة تشكيل منظومة المعرفة والابتكار داخل المنظمة، بحيث تصبح البيانات موردًا استراتيجيًا لا مجرد سجلّ للأداء</w:t>
      </w:r>
      <w:r w:rsidRPr="00AD2516">
        <w:rPr>
          <w:rFonts w:ascii="Simplified Arabic" w:eastAsia="Times New Roman" w:hAnsi="Simplified Arabic" w:cs="Simplified Arabic"/>
          <w:color w:val="000000" w:themeColor="text1"/>
          <w:kern w:val="0"/>
          <w:sz w:val="28"/>
          <w:szCs w:val="28"/>
          <w14:ligatures w14:val="none"/>
        </w:rPr>
        <w:t xml:space="preserve"> (Zong &amp; Guan, 2025). </w:t>
      </w:r>
      <w:r w:rsidRPr="00AD2516">
        <w:rPr>
          <w:rFonts w:ascii="Simplified Arabic" w:eastAsia="Times New Roman" w:hAnsi="Simplified Arabic" w:cs="Simplified Arabic"/>
          <w:color w:val="000000" w:themeColor="text1"/>
          <w:kern w:val="0"/>
          <w:sz w:val="28"/>
          <w:szCs w:val="28"/>
          <w:rtl/>
          <w14:ligatures w14:val="none"/>
        </w:rPr>
        <w:t>ومن زاوية قطاعية أخرى، يُنظر إليها باعتبارها أداةً لتوجيه القرار في قطاع الخدمات المالية والمصرفية عبر بناء نماذج تفسيرية واستشرافية للسلوك المالي (سحنون وبعلاش، ٢٠٢٥</w:t>
      </w:r>
      <w:r w:rsidRPr="00AD2516">
        <w:rPr>
          <w:rFonts w:ascii="Simplified Arabic" w:eastAsia="Times New Roman" w:hAnsi="Simplified Arabic" w:cs="Simplified Arabic"/>
          <w:color w:val="000000" w:themeColor="text1"/>
          <w:kern w:val="0"/>
          <w:sz w:val="28"/>
          <w:szCs w:val="28"/>
          <w14:ligatures w14:val="none"/>
        </w:rPr>
        <w:t>).</w:t>
      </w:r>
    </w:p>
    <w:p w14:paraId="609B1495"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AD2516">
        <w:rPr>
          <w:rFonts w:ascii="Simplified Arabic" w:eastAsia="Times New Roman" w:hAnsi="Simplified Arabic" w:cs="Simplified Arabic"/>
          <w:color w:val="000000" w:themeColor="text1"/>
          <w:kern w:val="0"/>
          <w:sz w:val="28"/>
          <w:szCs w:val="28"/>
          <w:rtl/>
          <w14:ligatures w14:val="none"/>
        </w:rPr>
        <w:t>وحين يُدمج الحقلان يتشكّل مفهوم «مؤشرات الأداء الذكية المعتمدة على التحليلات التنبؤية» بوصفه منظومةً متكاملة تجمع بين دقة القياس واستشراف المستقبل، إذ تُعرَّف بأنها مؤشرات مُشتقّة من نماذج تنبؤية تعمل على بيانات آنية ومتدفقة، وتُقدّم للإدارة إشارات مبكرة توجّه قرارات التخطيط والتشغيل والرقابة</w:t>
      </w:r>
      <w:r w:rsidRPr="00AD2516">
        <w:rPr>
          <w:rFonts w:ascii="Simplified Arabic" w:eastAsia="Times New Roman" w:hAnsi="Simplified Arabic" w:cs="Simplified Arabic"/>
          <w:color w:val="000000" w:themeColor="text1"/>
          <w:kern w:val="0"/>
          <w:sz w:val="28"/>
          <w:szCs w:val="28"/>
          <w14:ligatures w14:val="none"/>
        </w:rPr>
        <w:t xml:space="preserve"> (</w:t>
      </w:r>
      <w:proofErr w:type="spellStart"/>
      <w:r w:rsidRPr="00AD2516">
        <w:rPr>
          <w:rFonts w:ascii="Simplified Arabic" w:eastAsia="Times New Roman" w:hAnsi="Simplified Arabic" w:cs="Simplified Arabic"/>
          <w:color w:val="000000" w:themeColor="text1"/>
          <w:kern w:val="0"/>
          <w:sz w:val="28"/>
          <w:szCs w:val="28"/>
          <w14:ligatures w14:val="none"/>
        </w:rPr>
        <w:t>Wuennenberg</w:t>
      </w:r>
      <w:proofErr w:type="spellEnd"/>
      <w:r w:rsidRPr="00AD2516">
        <w:rPr>
          <w:rFonts w:ascii="Simplified Arabic" w:eastAsia="Times New Roman" w:hAnsi="Simplified Arabic" w:cs="Simplified Arabic"/>
          <w:color w:val="000000" w:themeColor="text1"/>
          <w:kern w:val="0"/>
          <w:sz w:val="28"/>
          <w:szCs w:val="28"/>
          <w14:ligatures w14:val="none"/>
        </w:rPr>
        <w:t xml:space="preserve"> et al., 2023). </w:t>
      </w:r>
      <w:r w:rsidRPr="00AD2516">
        <w:rPr>
          <w:rFonts w:ascii="Simplified Arabic" w:eastAsia="Times New Roman" w:hAnsi="Simplified Arabic" w:cs="Simplified Arabic"/>
          <w:color w:val="000000" w:themeColor="text1"/>
          <w:kern w:val="0"/>
          <w:sz w:val="28"/>
          <w:szCs w:val="28"/>
          <w:rtl/>
          <w14:ligatures w14:val="none"/>
        </w:rPr>
        <w:t>ويُضيف اتجاه آخر بُعدًا آليًا لهذا المفهوم من خلال ربطه بتقنيات تعلّم الآلة القادرة على التنبؤ بقيم المؤشرات في بيئات التصنيع الذكي، بحيث لا يقتصر دور المؤشر على العرض بل يمتد إلى التوقّع</w:t>
      </w:r>
      <w:r w:rsidRPr="00AD2516">
        <w:rPr>
          <w:rFonts w:ascii="Simplified Arabic" w:eastAsia="Times New Roman" w:hAnsi="Simplified Arabic" w:cs="Simplified Arabic"/>
          <w:color w:val="000000" w:themeColor="text1"/>
          <w:kern w:val="0"/>
          <w:sz w:val="28"/>
          <w:szCs w:val="28"/>
          <w14:ligatures w14:val="none"/>
        </w:rPr>
        <w:t xml:space="preserve"> (Misra et al., 2024). </w:t>
      </w:r>
      <w:r w:rsidRPr="00AD2516">
        <w:rPr>
          <w:rFonts w:ascii="Simplified Arabic" w:eastAsia="Times New Roman" w:hAnsi="Simplified Arabic" w:cs="Simplified Arabic"/>
          <w:color w:val="000000" w:themeColor="text1"/>
          <w:kern w:val="0"/>
          <w:sz w:val="28"/>
          <w:szCs w:val="28"/>
          <w:rtl/>
          <w14:ligatures w14:val="none"/>
        </w:rPr>
        <w:t xml:space="preserve">ويُقارب هذا الطرح ما ذهب إليه اتجاه رابع من أن </w:t>
      </w:r>
      <w:r w:rsidRPr="00AD2516">
        <w:rPr>
          <w:rFonts w:ascii="Simplified Arabic" w:eastAsia="Times New Roman" w:hAnsi="Simplified Arabic" w:cs="Simplified Arabic"/>
          <w:color w:val="000000" w:themeColor="text1"/>
          <w:kern w:val="0"/>
          <w:sz w:val="28"/>
          <w:szCs w:val="28"/>
          <w:rtl/>
          <w14:ligatures w14:val="none"/>
        </w:rPr>
        <w:lastRenderedPageBreak/>
        <w:t>المؤشرات التنبؤية في اللوجستيات الداخلية تُبنى وفق منهج قائم على البيانات يُحدّد بدقة المؤشر الذي يستحق التنبؤ به وفق أولويات القيمة التشغيلية، وليس وفق التوافر البياني وحده</w:t>
      </w:r>
      <w:r w:rsidRPr="00AD2516">
        <w:rPr>
          <w:rFonts w:ascii="Simplified Arabic" w:eastAsia="Times New Roman" w:hAnsi="Simplified Arabic" w:cs="Simplified Arabic"/>
          <w:color w:val="000000" w:themeColor="text1"/>
          <w:kern w:val="0"/>
          <w:sz w:val="28"/>
          <w:szCs w:val="28"/>
          <w14:ligatures w14:val="none"/>
        </w:rPr>
        <w:t xml:space="preserve"> (</w:t>
      </w:r>
      <w:proofErr w:type="spellStart"/>
      <w:r w:rsidRPr="00AD2516">
        <w:rPr>
          <w:rFonts w:ascii="Simplified Arabic" w:eastAsia="Times New Roman" w:hAnsi="Simplified Arabic" w:cs="Simplified Arabic"/>
          <w:color w:val="000000" w:themeColor="text1"/>
          <w:kern w:val="0"/>
          <w:sz w:val="28"/>
          <w:szCs w:val="28"/>
          <w14:ligatures w14:val="none"/>
        </w:rPr>
        <w:t>Marinagi</w:t>
      </w:r>
      <w:proofErr w:type="spellEnd"/>
      <w:r w:rsidRPr="00AD2516">
        <w:rPr>
          <w:rFonts w:ascii="Simplified Arabic" w:eastAsia="Times New Roman" w:hAnsi="Simplified Arabic" w:cs="Simplified Arabic"/>
          <w:color w:val="000000" w:themeColor="text1"/>
          <w:kern w:val="0"/>
          <w:sz w:val="28"/>
          <w:szCs w:val="28"/>
          <w14:ligatures w14:val="none"/>
        </w:rPr>
        <w:t xml:space="preserve"> et al., 2023).</w:t>
      </w:r>
    </w:p>
    <w:p w14:paraId="3871750A"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ويلاحظ الباحث أن التعريفات السابقة تتوزع على ثلاث مدارس؛ مدرسة أولى تركّز على البُعد القياسي وتُعرّف المؤشر الذكي بضوابط جودته، ومدرسة ثانية تركّز على البُعد التقني وتُعرّفه بأدواته الخوارزمية، ومدرسة ثالثة تركّز على البُعد الوظيفي وتُعرّفه بمخرجاته القرارية. وبناءً على هذا الاستقراء، يرى الباحث أن مؤشرات الأداء الذكية المعتمدة على التحليلات التنبؤية يمكن تعريفها إجرائيًا بأنها: «منظومة متكاملة من المقاييس الكمية والنوعية المستمدّة من نماذج تحليلية متقدمة تعمل على بيانات آنية ومتراكمة، تتجاوز التوصيف اللاحق للأداء إلى استشراف مساراته المحتملة، بما يوفّر لإدارة العمليات في شركات الخدمات اللوجستية قاعدةً معرفيةً استباقيةً لاتخاذ قرارات تحسين الكفاءة وضبط الهدر». ويتميز هذا التعريف بأنه يجمع بين ضبط القياس، وذكاء الأداة، ووظيفية المخرَج، ويربطها بالسياق التطبيقي للدراسة الحالية</w:t>
      </w:r>
      <w:r w:rsidRPr="00AD2516">
        <w:rPr>
          <w:rFonts w:ascii="Simplified Arabic" w:eastAsia="Times New Roman" w:hAnsi="Simplified Arabic" w:cs="Simplified Arabic"/>
          <w:color w:val="000000" w:themeColor="text1"/>
          <w:kern w:val="0"/>
          <w:sz w:val="28"/>
          <w:szCs w:val="28"/>
          <w14:ligatures w14:val="none"/>
        </w:rPr>
        <w:t>.</w:t>
      </w:r>
    </w:p>
    <w:p w14:paraId="73A3E376" w14:textId="0683FD36" w:rsidR="00404CF1" w:rsidRPr="00AD2516" w:rsidRDefault="00803014" w:rsidP="0080301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934666"/>
      <w:r w:rsidRPr="00AD2516">
        <w:rPr>
          <w:rFonts w:ascii="Simplified Arabic" w:eastAsia="Times New Roman" w:hAnsi="Simplified Arabic" w:cs="Simplified Arabic" w:hint="cs"/>
          <w:b/>
          <w:bCs/>
          <w:color w:val="000000" w:themeColor="text1"/>
          <w:kern w:val="0"/>
          <w:sz w:val="32"/>
          <w:szCs w:val="32"/>
          <w:rtl/>
          <w14:ligatures w14:val="none"/>
        </w:rPr>
        <w:t>3.1.2</w:t>
      </w:r>
      <w:r w:rsidR="00404CF1" w:rsidRPr="00AD2516">
        <w:rPr>
          <w:rFonts w:ascii="Simplified Arabic" w:eastAsia="Times New Roman" w:hAnsi="Simplified Arabic" w:cs="Simplified Arabic"/>
          <w:b/>
          <w:bCs/>
          <w:color w:val="000000" w:themeColor="text1"/>
          <w:kern w:val="0"/>
          <w:sz w:val="32"/>
          <w:szCs w:val="32"/>
          <w:rtl/>
          <w14:ligatures w14:val="none"/>
        </w:rPr>
        <w:t xml:space="preserve"> أهمية مؤشرات الأداء الذكية المعتمدة على التحليلات التنبؤية</w:t>
      </w:r>
      <w:bookmarkEnd w:id="38"/>
    </w:p>
    <w:p w14:paraId="715A161B"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تنبع أهمية مؤشرات الأداء الذكية المعتمدة على التحليلات التنبؤية من كونها تُعيد تعريف علاقة المنظمة بالبيانات، إذ تحوّل هذه البيانات من أرشيف تاريخي إلى رأس مال معرفي مُنتِج للقرار. وقد أدى الاعتماد المتزايد على البيئات الرقمية وسلاسل التوريد الممتدة إلى أن يصبح تأخر المؤشر عن الحدث كلفةً مباشرة على الكفاءة والربحية، ومن ثمّ برزت الحاجة إلى مؤشرات استباقية تُختصر بها المسافة بين الرصد والفعل. وتتضح هذه الأهمية في مستويات متعددة تتصل بالتخطيط الاستراتيجي، وضبط العمليات، وترشيد الموارد، وإدارة المخاطر، فضلًا عن دورها في بناء ميزة تنافسية مستدامة</w:t>
      </w:r>
      <w:r w:rsidRPr="00AD2516">
        <w:rPr>
          <w:rFonts w:ascii="Simplified Arabic" w:eastAsia="Times New Roman" w:hAnsi="Simplified Arabic" w:cs="Simplified Arabic"/>
          <w:color w:val="000000" w:themeColor="text1"/>
          <w:kern w:val="0"/>
          <w:sz w:val="28"/>
          <w:szCs w:val="28"/>
          <w14:ligatures w14:val="none"/>
        </w:rPr>
        <w:t>.</w:t>
      </w:r>
    </w:p>
    <w:p w14:paraId="280F0DE9"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ويشير</w:t>
      </w:r>
      <w:r w:rsidRPr="00AD2516">
        <w:rPr>
          <w:rFonts w:ascii="Simplified Arabic" w:eastAsia="Times New Roman" w:hAnsi="Simplified Arabic" w:cs="Simplified Arabic"/>
          <w:color w:val="000000" w:themeColor="text1"/>
          <w:kern w:val="0"/>
          <w:sz w:val="28"/>
          <w:szCs w:val="28"/>
          <w14:ligatures w14:val="none"/>
        </w:rPr>
        <w:t xml:space="preserve"> (Adeshina, 2023) </w:t>
      </w:r>
      <w:r w:rsidRPr="00AD2516">
        <w:rPr>
          <w:rFonts w:ascii="Simplified Arabic" w:eastAsia="Times New Roman" w:hAnsi="Simplified Arabic" w:cs="Simplified Arabic"/>
          <w:color w:val="000000" w:themeColor="text1"/>
          <w:kern w:val="0"/>
          <w:sz w:val="28"/>
          <w:szCs w:val="28"/>
          <w:rtl/>
          <w14:ligatures w14:val="none"/>
        </w:rPr>
        <w:t xml:space="preserve">إلى أن أهمية هذه المؤشرات في القطاعات كثيفة الخدمات تتبلور من خلال جملة من الجوانب؛ أولها أنها تُمكّن المنظمة من تحويل استراتيجيتها إلى مؤشرات قابلة للقياس والمتابعة الآنية، بحيث لا تظل الأهداف الاستراتيجية عبارات عامة بل تنعكس على شكل إشارات كمية موجّهة. وثانيها أنها تُعزّز مبدأ القيمة مقابل الأداء عبر ربط المخرجات التشغيلية بالمنفعة النهائية لمتلقي الخدمة، وهو ما يخلق نظامًا قائمًا على القيمة لا على مجرد الإنجاز الكمي. وثالثها أنها تُقلل من عشوائية القرار من خلال إخضاعه لسند بياني تنبؤي، وهو ما يعزّز من عقلانية الإدارة ويقلل من الاعتماد على </w:t>
      </w:r>
      <w:r w:rsidRPr="00AD2516">
        <w:rPr>
          <w:rFonts w:ascii="Simplified Arabic" w:eastAsia="Times New Roman" w:hAnsi="Simplified Arabic" w:cs="Simplified Arabic"/>
          <w:color w:val="000000" w:themeColor="text1"/>
          <w:kern w:val="0"/>
          <w:sz w:val="28"/>
          <w:szCs w:val="28"/>
          <w:rtl/>
          <w14:ligatures w14:val="none"/>
        </w:rPr>
        <w:lastRenderedPageBreak/>
        <w:t>الحدس. ورابعها أنها تُنشئ ذاكرة تحليلية للمنظمة تتراكم مع الزمن، بحيث يصبح كل قرار جديد مبنيًا على ثروة معرفية سابقة</w:t>
      </w:r>
      <w:r w:rsidRPr="00AD2516">
        <w:rPr>
          <w:rFonts w:ascii="Simplified Arabic" w:eastAsia="Times New Roman" w:hAnsi="Simplified Arabic" w:cs="Simplified Arabic"/>
          <w:color w:val="000000" w:themeColor="text1"/>
          <w:kern w:val="0"/>
          <w:sz w:val="28"/>
          <w:szCs w:val="28"/>
          <w14:ligatures w14:val="none"/>
        </w:rPr>
        <w:t>.</w:t>
      </w:r>
    </w:p>
    <w:p w14:paraId="6495601C"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ويرى</w:t>
      </w:r>
      <w:r w:rsidRPr="00AD2516">
        <w:rPr>
          <w:rFonts w:ascii="Simplified Arabic" w:eastAsia="Times New Roman" w:hAnsi="Simplified Arabic" w:cs="Simplified Arabic"/>
          <w:color w:val="000000" w:themeColor="text1"/>
          <w:kern w:val="0"/>
          <w:sz w:val="28"/>
          <w:szCs w:val="28"/>
          <w14:ligatures w14:val="none"/>
        </w:rPr>
        <w:t xml:space="preserve"> (Zong &amp; Guan, 2025) </w:t>
      </w:r>
      <w:r w:rsidRPr="00AD2516">
        <w:rPr>
          <w:rFonts w:ascii="Simplified Arabic" w:eastAsia="Times New Roman" w:hAnsi="Simplified Arabic" w:cs="Simplified Arabic"/>
          <w:color w:val="000000" w:themeColor="text1"/>
          <w:kern w:val="0"/>
          <w:sz w:val="28"/>
          <w:szCs w:val="28"/>
          <w:rtl/>
          <w14:ligatures w14:val="none"/>
        </w:rPr>
        <w:t>أن أهمية المؤشرات التنبؤية في سياق الثورة الصناعية الرابعة تتجاوز البُعد القياسي إلى بُعد ابتكاري، إذ تُسهم هذه المؤشرات في تنشيط عمليات توليد المعرفة داخل المنظمة، وتفتح المجال أمام أنماط جديدة من الابتكار التشغيلي المدفوع بالبيانات، كما تُقيم جسورًا بين وحدات المنظمة المختلفة عبر توحيد لغة القياس وربط مخرجات كل وحدة بمخرجات باقي الوحدات. ويُضيف أن هذه المؤشرات ترفع من كفاءة استثمار رأس المال المعرفي للمنظمة من خلال تحويل البيانات المتناثرة إلى معرفة مركّزة قابلة للتوظيف</w:t>
      </w:r>
      <w:r w:rsidRPr="00AD2516">
        <w:rPr>
          <w:rFonts w:ascii="Simplified Arabic" w:eastAsia="Times New Roman" w:hAnsi="Simplified Arabic" w:cs="Simplified Arabic"/>
          <w:color w:val="000000" w:themeColor="text1"/>
          <w:kern w:val="0"/>
          <w:sz w:val="28"/>
          <w:szCs w:val="28"/>
          <w14:ligatures w14:val="none"/>
        </w:rPr>
        <w:t>.</w:t>
      </w:r>
    </w:p>
    <w:p w14:paraId="5195026A"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ويوضح</w:t>
      </w:r>
      <w:r w:rsidRPr="00AD2516">
        <w:rPr>
          <w:rFonts w:ascii="Simplified Arabic" w:eastAsia="Times New Roman" w:hAnsi="Simplified Arabic" w:cs="Simplified Arabic"/>
          <w:color w:val="000000" w:themeColor="text1"/>
          <w:kern w:val="0"/>
          <w:sz w:val="28"/>
          <w:szCs w:val="28"/>
          <w14:ligatures w14:val="none"/>
        </w:rPr>
        <w:t xml:space="preserve"> (Val et al., 2024) </w:t>
      </w:r>
      <w:r w:rsidRPr="00AD2516">
        <w:rPr>
          <w:rFonts w:ascii="Simplified Arabic" w:eastAsia="Times New Roman" w:hAnsi="Simplified Arabic" w:cs="Simplified Arabic"/>
          <w:color w:val="000000" w:themeColor="text1"/>
          <w:kern w:val="0"/>
          <w:sz w:val="28"/>
          <w:szCs w:val="28"/>
          <w:rtl/>
          <w14:ligatures w14:val="none"/>
        </w:rPr>
        <w:t>أن أهمية هذه المؤشرات تتضح بصفة خاصة في البيئات الصناعية والخدمية التي تعتمد على المستشعرات الذكية والبيانات الآنية، إذ تُتيح رصد الأداء لحظة بلحظة، وتُنبّه إلى الانحرافات قبل أن تتحول إلى أعطال، وتُقدّم للإدارة صورةً حيّة ومتجدّدة للواقع التشغيلي. كما تُسهم في تعزيز قدرة المنظمة على اتخاذ قرارات ميدانية سريعة تستند إلى بيانات مُعالجة آليًا، وهو ما يرفع من مرونة العمليات ويقلل من فجوة المعلومات بين المستويات الإدارية</w:t>
      </w:r>
      <w:r w:rsidRPr="00AD2516">
        <w:rPr>
          <w:rFonts w:ascii="Simplified Arabic" w:eastAsia="Times New Roman" w:hAnsi="Simplified Arabic" w:cs="Simplified Arabic"/>
          <w:color w:val="000000" w:themeColor="text1"/>
          <w:kern w:val="0"/>
          <w:sz w:val="28"/>
          <w:szCs w:val="28"/>
          <w14:ligatures w14:val="none"/>
        </w:rPr>
        <w:t>.</w:t>
      </w:r>
    </w:p>
    <w:p w14:paraId="5C8A7A18"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ويُبرز</w:t>
      </w:r>
      <w:r w:rsidRPr="00AD2516">
        <w:rPr>
          <w:rFonts w:ascii="Simplified Arabic" w:eastAsia="Times New Roman" w:hAnsi="Simplified Arabic" w:cs="Simplified Arabic"/>
          <w:color w:val="000000" w:themeColor="text1"/>
          <w:kern w:val="0"/>
          <w:sz w:val="28"/>
          <w:szCs w:val="28"/>
          <w14:ligatures w14:val="none"/>
        </w:rPr>
        <w:t xml:space="preserve"> (Islam &amp; </w:t>
      </w:r>
      <w:proofErr w:type="spellStart"/>
      <w:r w:rsidRPr="00AD2516">
        <w:rPr>
          <w:rFonts w:ascii="Simplified Arabic" w:eastAsia="Times New Roman" w:hAnsi="Simplified Arabic" w:cs="Simplified Arabic"/>
          <w:color w:val="000000" w:themeColor="text1"/>
          <w:kern w:val="0"/>
          <w:sz w:val="28"/>
          <w:szCs w:val="28"/>
          <w14:ligatures w14:val="none"/>
        </w:rPr>
        <w:t>Dhanekula</w:t>
      </w:r>
      <w:proofErr w:type="spellEnd"/>
      <w:r w:rsidRPr="00AD2516">
        <w:rPr>
          <w:rFonts w:ascii="Simplified Arabic" w:eastAsia="Times New Roman" w:hAnsi="Simplified Arabic" w:cs="Simplified Arabic"/>
          <w:color w:val="000000" w:themeColor="text1"/>
          <w:kern w:val="0"/>
          <w:sz w:val="28"/>
          <w:szCs w:val="28"/>
          <w14:ligatures w14:val="none"/>
        </w:rPr>
        <w:t xml:space="preserve">, 2024) </w:t>
      </w:r>
      <w:r w:rsidRPr="00AD2516">
        <w:rPr>
          <w:rFonts w:ascii="Simplified Arabic" w:eastAsia="Times New Roman" w:hAnsi="Simplified Arabic" w:cs="Simplified Arabic"/>
          <w:color w:val="000000" w:themeColor="text1"/>
          <w:kern w:val="0"/>
          <w:sz w:val="28"/>
          <w:szCs w:val="28"/>
          <w:rtl/>
          <w14:ligatures w14:val="none"/>
        </w:rPr>
        <w:t>بُعدًا آخر للأهمية يتصل بكفاءة الأنظمة الرقمية المتكاملة، إذ يرى أن المؤشرات التنبؤية تُشكّل عصب القرار داخل الأنظمة المعقدة متعددة الطبقات، وتُساعد على استكشاف الاختناقات قبل تفاقمها، وتوجيه الموارد الحوسبية والبشرية نحو النقاط الأكثر حاجةً إلى التدخل. ويرى الباحث أن هذه الأهمية تنعكس على قطاع الخدمات اللوجستية بصورة مضاعفة، إذ إن طبيعة العمل اللوجستي القائمة على تدفق مستمر للبضائع والمعلومات والأموال تجعل أي انحراف في المؤشر ذا كلفة مباشرة، ومن ثم فإن الذكاء التنبؤي لهذه المؤشرات يتحول إلى شرط بقاء لا إلى رفاهية تنظيمية</w:t>
      </w:r>
      <w:r w:rsidRPr="00AD2516">
        <w:rPr>
          <w:rFonts w:ascii="Simplified Arabic" w:eastAsia="Times New Roman" w:hAnsi="Simplified Arabic" w:cs="Simplified Arabic"/>
          <w:color w:val="000000" w:themeColor="text1"/>
          <w:kern w:val="0"/>
          <w:sz w:val="28"/>
          <w:szCs w:val="28"/>
          <w14:ligatures w14:val="none"/>
        </w:rPr>
        <w:t>.</w:t>
      </w:r>
    </w:p>
    <w:p w14:paraId="477ABF8A" w14:textId="429C38A5" w:rsidR="00404CF1" w:rsidRPr="00AD2516" w:rsidRDefault="00803014" w:rsidP="0080301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934667"/>
      <w:r w:rsidRPr="00AD2516">
        <w:rPr>
          <w:rFonts w:ascii="Simplified Arabic" w:eastAsia="Times New Roman" w:hAnsi="Simplified Arabic" w:cs="Simplified Arabic" w:hint="cs"/>
          <w:b/>
          <w:bCs/>
          <w:color w:val="000000" w:themeColor="text1"/>
          <w:kern w:val="0"/>
          <w:sz w:val="32"/>
          <w:szCs w:val="32"/>
          <w:rtl/>
          <w14:ligatures w14:val="none"/>
        </w:rPr>
        <w:t>4.1.2</w:t>
      </w:r>
      <w:r w:rsidR="00404CF1" w:rsidRPr="00AD2516">
        <w:rPr>
          <w:rFonts w:ascii="Simplified Arabic" w:eastAsia="Times New Roman" w:hAnsi="Simplified Arabic" w:cs="Simplified Arabic"/>
          <w:b/>
          <w:bCs/>
          <w:color w:val="000000" w:themeColor="text1"/>
          <w:kern w:val="0"/>
          <w:sz w:val="32"/>
          <w:szCs w:val="32"/>
          <w:rtl/>
          <w14:ligatures w14:val="none"/>
        </w:rPr>
        <w:t xml:space="preserve"> أهداف مؤشرات الأداء الذكية المعتمدة على التحليلات التنبؤية</w:t>
      </w:r>
      <w:bookmarkEnd w:id="39"/>
    </w:p>
    <w:p w14:paraId="4B12DC49"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تبنّي مؤشرات الأداء الذكية المعتمدة على التحليلات التنبؤية، وتتوزع هذه الأهداف بين ما هو استراتيجي وما هو تشغيلي، وبين ما يخدم الرقابة وما يخدم التطوير. وقد قارب الباحثون هذه الأهداف من زوايا متباينة تعكس ثراء المفهوم واتساع مجالات تطبيقه</w:t>
      </w:r>
      <w:r w:rsidRPr="00AD2516">
        <w:rPr>
          <w:rFonts w:ascii="Simplified Arabic" w:eastAsia="Times New Roman" w:hAnsi="Simplified Arabic" w:cs="Simplified Arabic"/>
          <w:color w:val="000000" w:themeColor="text1"/>
          <w:kern w:val="0"/>
          <w:sz w:val="28"/>
          <w:szCs w:val="28"/>
          <w14:ligatures w14:val="none"/>
        </w:rPr>
        <w:t>.</w:t>
      </w:r>
    </w:p>
    <w:p w14:paraId="2D99BD7A" w14:textId="0EAEE01D"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lastRenderedPageBreak/>
        <w:t>فمن منظور</w:t>
      </w:r>
      <w:r w:rsidRPr="00AD2516">
        <w:rPr>
          <w:rFonts w:ascii="Simplified Arabic" w:eastAsia="Times New Roman" w:hAnsi="Simplified Arabic" w:cs="Simplified Arabic"/>
          <w:color w:val="000000" w:themeColor="text1"/>
          <w:kern w:val="0"/>
          <w:sz w:val="28"/>
          <w:szCs w:val="28"/>
          <w14:ligatures w14:val="none"/>
        </w:rPr>
        <w:t xml:space="preserve"> (Lundgren et al., 2021)</w:t>
      </w:r>
      <w:r w:rsidRPr="00AD2516">
        <w:rPr>
          <w:rFonts w:ascii="Simplified Arabic" w:eastAsia="Times New Roman" w:hAnsi="Simplified Arabic" w:cs="Simplified Arabic"/>
          <w:color w:val="000000" w:themeColor="text1"/>
          <w:kern w:val="0"/>
          <w:sz w:val="28"/>
          <w:szCs w:val="28"/>
          <w:rtl/>
          <w14:ligatures w14:val="none"/>
        </w:rPr>
        <w:t>، تتمحور الأهداف حول: قياس الأثر الفعلي لمبادرات التحديث والصيانة الذكية على منظومة الإنتاج والخدمة، بما يسمح بتقييم عائد الاستثمار في التحول الرقمي؛ توفير مرجعية موضوعية لمقارنة الأداء عبر الزمن وعبر الوحدات، مما يُنهي حالة التقدير الانطباعي؛ توجيه استثمارات المنظمة نحو المجالات التي تُ</w:t>
      </w:r>
      <w:r w:rsidR="00803014" w:rsidRPr="00AD2516">
        <w:rPr>
          <w:rFonts w:ascii="Simplified Arabic" w:eastAsia="Times New Roman" w:hAnsi="Simplified Arabic" w:cs="Simplified Arabic"/>
          <w:color w:val="000000" w:themeColor="text1"/>
          <w:kern w:val="0"/>
          <w:sz w:val="28"/>
          <w:szCs w:val="28"/>
          <w:rtl/>
          <w14:ligatures w14:val="none"/>
        </w:rPr>
        <w:t>حقّق أكبر تحسّن نسبي في الأداء؛</w:t>
      </w:r>
      <w:r w:rsidRPr="00AD2516">
        <w:rPr>
          <w:rFonts w:ascii="Simplified Arabic" w:eastAsia="Times New Roman" w:hAnsi="Simplified Arabic" w:cs="Simplified Arabic"/>
          <w:color w:val="000000" w:themeColor="text1"/>
          <w:kern w:val="0"/>
          <w:sz w:val="28"/>
          <w:szCs w:val="28"/>
          <w:rtl/>
          <w14:ligatures w14:val="none"/>
        </w:rPr>
        <w:t xml:space="preserve"> دعم عمليات التعلم التنظيمي عبر تحليل أنماط الأداء واستنباط الدروس منها</w:t>
      </w:r>
      <w:r w:rsidRPr="00AD2516">
        <w:rPr>
          <w:rFonts w:ascii="Simplified Arabic" w:eastAsia="Times New Roman" w:hAnsi="Simplified Arabic" w:cs="Simplified Arabic"/>
          <w:color w:val="000000" w:themeColor="text1"/>
          <w:kern w:val="0"/>
          <w:sz w:val="28"/>
          <w:szCs w:val="28"/>
          <w14:ligatures w14:val="none"/>
        </w:rPr>
        <w:t>.</w:t>
      </w:r>
    </w:p>
    <w:p w14:paraId="7E06CCCE" w14:textId="54A51E08"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ويحدّد</w:t>
      </w:r>
      <w:r w:rsidRPr="00AD2516">
        <w:rPr>
          <w:rFonts w:ascii="Simplified Arabic" w:eastAsia="Times New Roman" w:hAnsi="Simplified Arabic" w:cs="Simplified Arabic"/>
          <w:color w:val="000000" w:themeColor="text1"/>
          <w:kern w:val="0"/>
          <w:sz w:val="28"/>
          <w:szCs w:val="28"/>
          <w14:ligatures w14:val="none"/>
        </w:rPr>
        <w:t xml:space="preserve"> (Ramesh et al., 2022) </w:t>
      </w:r>
      <w:r w:rsidRPr="00AD2516">
        <w:rPr>
          <w:rFonts w:ascii="Simplified Arabic" w:eastAsia="Times New Roman" w:hAnsi="Simplified Arabic" w:cs="Simplified Arabic"/>
          <w:color w:val="000000" w:themeColor="text1"/>
          <w:kern w:val="0"/>
          <w:sz w:val="28"/>
          <w:szCs w:val="28"/>
          <w:rtl/>
          <w14:ligatures w14:val="none"/>
        </w:rPr>
        <w:t>جملةً من الأهداف من زاوية التحليل التنبؤي بوصفه أداةً للاستقراء المبكر، أبرزها: الكشف المبكر عن المخاطر والانحرافات قبل تحوّلها إلى أزمات، وهو ما يُقلل من التكاليف اللاحقة للمعالجة؛ تخصيص الموارد بصورة أكثر دقةً بناءً على ت</w:t>
      </w:r>
      <w:r w:rsidR="00803014" w:rsidRPr="00AD2516">
        <w:rPr>
          <w:rFonts w:ascii="Simplified Arabic" w:eastAsia="Times New Roman" w:hAnsi="Simplified Arabic" w:cs="Simplified Arabic"/>
          <w:color w:val="000000" w:themeColor="text1"/>
          <w:kern w:val="0"/>
          <w:sz w:val="28"/>
          <w:szCs w:val="28"/>
          <w:rtl/>
          <w14:ligatures w14:val="none"/>
        </w:rPr>
        <w:t>قدير احتمالات الطلب والاستخدام؛</w:t>
      </w:r>
      <w:r w:rsidRPr="00AD2516">
        <w:rPr>
          <w:rFonts w:ascii="Simplified Arabic" w:eastAsia="Times New Roman" w:hAnsi="Simplified Arabic" w:cs="Simplified Arabic"/>
          <w:color w:val="000000" w:themeColor="text1"/>
          <w:kern w:val="0"/>
          <w:sz w:val="28"/>
          <w:szCs w:val="28"/>
          <w:rtl/>
          <w14:ligatures w14:val="none"/>
        </w:rPr>
        <w:t xml:space="preserve"> تحسين جودة القرار بربطه بنماذج احتمالية تُقدّر مخاطر البدائل ومن</w:t>
      </w:r>
      <w:r w:rsidR="00803014" w:rsidRPr="00AD2516">
        <w:rPr>
          <w:rFonts w:ascii="Simplified Arabic" w:eastAsia="Times New Roman" w:hAnsi="Simplified Arabic" w:cs="Simplified Arabic"/>
          <w:color w:val="000000" w:themeColor="text1"/>
          <w:kern w:val="0"/>
          <w:sz w:val="28"/>
          <w:szCs w:val="28"/>
          <w:rtl/>
          <w14:ligatures w14:val="none"/>
        </w:rPr>
        <w:t>افعها؛</w:t>
      </w:r>
      <w:r w:rsidRPr="00AD2516">
        <w:rPr>
          <w:rFonts w:ascii="Simplified Arabic" w:eastAsia="Times New Roman" w:hAnsi="Simplified Arabic" w:cs="Simplified Arabic"/>
          <w:color w:val="000000" w:themeColor="text1"/>
          <w:kern w:val="0"/>
          <w:sz w:val="28"/>
          <w:szCs w:val="28"/>
          <w:rtl/>
          <w14:ligatures w14:val="none"/>
        </w:rPr>
        <w:t xml:space="preserve"> بناء نماذج تفسيرية تُوضح العلاقات بين المتغيرات، وتُساعد على فهم أعمق للظواهر التشغيلية</w:t>
      </w:r>
      <w:r w:rsidRPr="00AD2516">
        <w:rPr>
          <w:rFonts w:ascii="Simplified Arabic" w:eastAsia="Times New Roman" w:hAnsi="Simplified Arabic" w:cs="Simplified Arabic"/>
          <w:color w:val="000000" w:themeColor="text1"/>
          <w:kern w:val="0"/>
          <w:sz w:val="28"/>
          <w:szCs w:val="28"/>
          <w14:ligatures w14:val="none"/>
        </w:rPr>
        <w:t>.</w:t>
      </w:r>
    </w:p>
    <w:p w14:paraId="65EBF2B8" w14:textId="3A05FA54"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ويُضيف</w:t>
      </w:r>
      <w:r w:rsidRPr="00AD2516">
        <w:rPr>
          <w:rFonts w:ascii="Simplified Arabic" w:eastAsia="Times New Roman" w:hAnsi="Simplified Arabic" w:cs="Simplified Arabic"/>
          <w:color w:val="000000" w:themeColor="text1"/>
          <w:kern w:val="0"/>
          <w:sz w:val="28"/>
          <w:szCs w:val="28"/>
          <w14:ligatures w14:val="none"/>
        </w:rPr>
        <w:t xml:space="preserve"> (Adepoju et al., 2022) </w:t>
      </w:r>
      <w:r w:rsidRPr="00AD2516">
        <w:rPr>
          <w:rFonts w:ascii="Simplified Arabic" w:eastAsia="Times New Roman" w:hAnsi="Simplified Arabic" w:cs="Simplified Arabic"/>
          <w:color w:val="000000" w:themeColor="text1"/>
          <w:kern w:val="0"/>
          <w:sz w:val="28"/>
          <w:szCs w:val="28"/>
          <w:rtl/>
          <w14:ligatures w14:val="none"/>
        </w:rPr>
        <w:t>بُعدًا يتصل بأتمتة تدفق العمل بين الفرق المتعددة، إذ يرى أن أهداف المؤشرات الذكية تشمل: القضاء على الازدواجية في معالجة البيانات بين الوحدات، بما يقلل الهدر المعلوماتي؛ توحيد لغة الأداء بين الإدارات المختلفة، وضمان اتساق تفسير المؤشر عبرها؛ تسريع دورة اتخاذ القرار عبر تقليص زمن الحصول على البيانات وتحليلها</w:t>
      </w:r>
      <w:proofErr w:type="gramStart"/>
      <w:r w:rsidRPr="00AD2516">
        <w:rPr>
          <w:rFonts w:ascii="Simplified Arabic" w:eastAsia="Times New Roman" w:hAnsi="Simplified Arabic" w:cs="Simplified Arabic"/>
          <w:color w:val="000000" w:themeColor="text1"/>
          <w:kern w:val="0"/>
          <w:sz w:val="28"/>
          <w:szCs w:val="28"/>
          <w:rtl/>
          <w14:ligatures w14:val="none"/>
        </w:rPr>
        <w:t>؛  رفع</w:t>
      </w:r>
      <w:proofErr w:type="gramEnd"/>
      <w:r w:rsidRPr="00AD2516">
        <w:rPr>
          <w:rFonts w:ascii="Simplified Arabic" w:eastAsia="Times New Roman" w:hAnsi="Simplified Arabic" w:cs="Simplified Arabic"/>
          <w:color w:val="000000" w:themeColor="text1"/>
          <w:kern w:val="0"/>
          <w:sz w:val="28"/>
          <w:szCs w:val="28"/>
          <w:rtl/>
          <w14:ligatures w14:val="none"/>
        </w:rPr>
        <w:t xml:space="preserve"> مستوى المساءلة داخل الفرق بربط كل مهمة بمؤشر واضح ومتفق عليه</w:t>
      </w:r>
      <w:r w:rsidRPr="00AD2516">
        <w:rPr>
          <w:rFonts w:ascii="Simplified Arabic" w:eastAsia="Times New Roman" w:hAnsi="Simplified Arabic" w:cs="Simplified Arabic"/>
          <w:color w:val="000000" w:themeColor="text1"/>
          <w:kern w:val="0"/>
          <w:sz w:val="28"/>
          <w:szCs w:val="28"/>
          <w14:ligatures w14:val="none"/>
        </w:rPr>
        <w:t>.</w:t>
      </w:r>
    </w:p>
    <w:p w14:paraId="27CB6EA9" w14:textId="7C7FF1DA"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ويرى (سحنون وبعلاش، ٢٠٢٥) أن أهداف التحليلات التنبؤية في القطاعات الخدمية المرتبطة بالتدفقات المالية والتشغيلية تنصرف إلى: تعزيز القدرة على استشراف السلوك المستقبلي للعملاء والأسواق؛ تحسين إدارة المخاطر عبر بناء نماذج تُقدّر احتمالات التعثر والانحراف؛ رفع كفاءة عمليات التخطيط عبر إسنادها إلى قواعد بيانية متينة بدلًا من الاجتهاد الشخصي؛ دعم الميزة التنافسية للمنظمة عبر التمايز في سرعة الاستجابة ودقتها</w:t>
      </w:r>
      <w:r w:rsidRPr="00AD2516">
        <w:rPr>
          <w:rFonts w:ascii="Simplified Arabic" w:eastAsia="Times New Roman" w:hAnsi="Simplified Arabic" w:cs="Simplified Arabic"/>
          <w:color w:val="000000" w:themeColor="text1"/>
          <w:kern w:val="0"/>
          <w:sz w:val="28"/>
          <w:szCs w:val="28"/>
          <w14:ligatures w14:val="none"/>
        </w:rPr>
        <w:t>.</w:t>
      </w:r>
    </w:p>
    <w:p w14:paraId="42611FDD" w14:textId="00EA6FC1"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 xml:space="preserve">وتُشير (الشمري، ٢٠٢٥) إلى أن الأهداف التي تسعى المنظمات لتحقيقها من خلال توظيف الأدوات الذكية في العمليات الإدارية تتضمن: رفع كفاءة استخدام الموارد المتاحة وترشيد استهلاكها؛  تقليص الفجوة بين التخطيط والتنفيذ عبر متابعة آنية للأداء؛ تحسين جودة الخدمة المقدَّمة للمستفيد عبر إخضاعها لمعايير قياس دقيقة ومتجددة؛ تمكين القيادات الإدارية من اتخاذ قرارات مستنيرة تستند إلى مخرجات تحليلية موثوقة. </w:t>
      </w:r>
      <w:r w:rsidRPr="00AD2516">
        <w:rPr>
          <w:rFonts w:ascii="Simplified Arabic" w:eastAsia="Times New Roman" w:hAnsi="Simplified Arabic" w:cs="Simplified Arabic"/>
          <w:color w:val="000000" w:themeColor="text1"/>
          <w:kern w:val="0"/>
          <w:sz w:val="28"/>
          <w:szCs w:val="28"/>
          <w:rtl/>
          <w14:ligatures w14:val="none"/>
        </w:rPr>
        <w:lastRenderedPageBreak/>
        <w:t>ويرى الباحث أن الأهداف السابقة تتكامل لتُشكّل منظومةً موحّدة تتحرك من مستوى القياس إلى مستوى التحكم، ومن مستوى التحكم إلى مستوى الاستشراف، بما يتسق مع طبيعة قطاع الخدمات اللوجستية الذي يفرض على المنظمة أن تتحرك في هذه المستويات الثلاثة في آنٍ واحد</w:t>
      </w:r>
      <w:r w:rsidRPr="00AD2516">
        <w:rPr>
          <w:rFonts w:ascii="Simplified Arabic" w:eastAsia="Times New Roman" w:hAnsi="Simplified Arabic" w:cs="Simplified Arabic"/>
          <w:color w:val="000000" w:themeColor="text1"/>
          <w:kern w:val="0"/>
          <w:sz w:val="28"/>
          <w:szCs w:val="28"/>
          <w14:ligatures w14:val="none"/>
        </w:rPr>
        <w:t>.</w:t>
      </w:r>
    </w:p>
    <w:p w14:paraId="23102C4A" w14:textId="55B22692" w:rsidR="00404CF1" w:rsidRPr="00AD2516" w:rsidRDefault="00803014" w:rsidP="0080301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934668"/>
      <w:r w:rsidRPr="00AD2516">
        <w:rPr>
          <w:rFonts w:ascii="Simplified Arabic" w:eastAsia="Times New Roman" w:hAnsi="Simplified Arabic" w:cs="Simplified Arabic" w:hint="cs"/>
          <w:b/>
          <w:bCs/>
          <w:color w:val="000000" w:themeColor="text1"/>
          <w:kern w:val="0"/>
          <w:sz w:val="32"/>
          <w:szCs w:val="32"/>
          <w:rtl/>
          <w14:ligatures w14:val="none"/>
        </w:rPr>
        <w:t>5.1.2</w:t>
      </w:r>
      <w:r w:rsidR="00404CF1" w:rsidRPr="00AD2516">
        <w:rPr>
          <w:rFonts w:ascii="Simplified Arabic" w:eastAsia="Times New Roman" w:hAnsi="Simplified Arabic" w:cs="Simplified Arabic"/>
          <w:b/>
          <w:bCs/>
          <w:color w:val="000000" w:themeColor="text1"/>
          <w:kern w:val="0"/>
          <w:sz w:val="32"/>
          <w:szCs w:val="32"/>
          <w:rtl/>
          <w14:ligatures w14:val="none"/>
        </w:rPr>
        <w:t xml:space="preserve"> أبعاد مؤشرات الأداء الذكية المعتمدة على التحليلات التنبؤية</w:t>
      </w:r>
      <w:bookmarkEnd w:id="40"/>
    </w:p>
    <w:p w14:paraId="3E7FE5E7"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تم تحديد الأبعاد الأربعة لهذا المتغير في ضوء دراستي</w:t>
      </w:r>
      <w:r w:rsidRPr="00AD2516">
        <w:rPr>
          <w:rFonts w:ascii="Simplified Arabic" w:eastAsia="Times New Roman" w:hAnsi="Simplified Arabic" w:cs="Simplified Arabic"/>
          <w:color w:val="000000" w:themeColor="text1"/>
          <w:kern w:val="0"/>
          <w:sz w:val="28"/>
          <w:szCs w:val="28"/>
          <w14:ligatures w14:val="none"/>
        </w:rPr>
        <w:t xml:space="preserve"> (</w:t>
      </w:r>
      <w:proofErr w:type="spellStart"/>
      <w:r w:rsidRPr="00AD2516">
        <w:rPr>
          <w:rFonts w:ascii="Simplified Arabic" w:eastAsia="Times New Roman" w:hAnsi="Simplified Arabic" w:cs="Simplified Arabic"/>
          <w:color w:val="000000" w:themeColor="text1"/>
          <w:kern w:val="0"/>
          <w:sz w:val="28"/>
          <w:szCs w:val="28"/>
          <w14:ligatures w14:val="none"/>
        </w:rPr>
        <w:t>Wuennenberg</w:t>
      </w:r>
      <w:proofErr w:type="spellEnd"/>
      <w:r w:rsidRPr="00AD2516">
        <w:rPr>
          <w:rFonts w:ascii="Simplified Arabic" w:eastAsia="Times New Roman" w:hAnsi="Simplified Arabic" w:cs="Simplified Arabic"/>
          <w:color w:val="000000" w:themeColor="text1"/>
          <w:kern w:val="0"/>
          <w:sz w:val="28"/>
          <w:szCs w:val="28"/>
          <w14:ligatures w14:val="none"/>
        </w:rPr>
        <w:t xml:space="preserve"> et al., 2023) </w:t>
      </w:r>
      <w:r w:rsidRPr="00AD2516">
        <w:rPr>
          <w:rFonts w:ascii="Simplified Arabic" w:eastAsia="Times New Roman" w:hAnsi="Simplified Arabic" w:cs="Simplified Arabic"/>
          <w:color w:val="000000" w:themeColor="text1"/>
          <w:kern w:val="0"/>
          <w:sz w:val="28"/>
          <w:szCs w:val="28"/>
          <w:rtl/>
          <w14:ligatures w14:val="none"/>
        </w:rPr>
        <w:t>و</w:t>
      </w:r>
      <w:r w:rsidRPr="00AD2516">
        <w:rPr>
          <w:rFonts w:ascii="Simplified Arabic" w:eastAsia="Times New Roman" w:hAnsi="Simplified Arabic" w:cs="Simplified Arabic"/>
          <w:color w:val="000000" w:themeColor="text1"/>
          <w:kern w:val="0"/>
          <w:sz w:val="28"/>
          <w:szCs w:val="28"/>
          <w14:ligatures w14:val="none"/>
        </w:rPr>
        <w:t xml:space="preserve">(Misra et al., 2024) </w:t>
      </w:r>
      <w:r w:rsidRPr="00AD2516">
        <w:rPr>
          <w:rFonts w:ascii="Simplified Arabic" w:eastAsia="Times New Roman" w:hAnsi="Simplified Arabic" w:cs="Simplified Arabic"/>
          <w:color w:val="000000" w:themeColor="text1"/>
          <w:kern w:val="0"/>
          <w:sz w:val="28"/>
          <w:szCs w:val="28"/>
          <w:rtl/>
          <w14:ligatures w14:val="none"/>
        </w:rPr>
        <w:t>بوصفهما من أكثر الأطر ملاءمةً لسياق الخدمات اللوجستية، إذ تقدّم الأولى منهجيةً لتحديد المؤشرات التنبؤية في اللوجستيات الداخلية اعتمادًا على البيانات، وتقدّم الثانية إطارًا لتوظيف تعلّم الآلة في التنبؤ بقيم المؤشرات داخل بيئات التصنيع الذكي. وقد جاءت هذه الأبعاد على النحو الآتي</w:t>
      </w:r>
      <w:r w:rsidRPr="00AD2516">
        <w:rPr>
          <w:rFonts w:ascii="Simplified Arabic" w:eastAsia="Times New Roman" w:hAnsi="Simplified Arabic" w:cs="Simplified Arabic"/>
          <w:color w:val="000000" w:themeColor="text1"/>
          <w:kern w:val="0"/>
          <w:sz w:val="28"/>
          <w:szCs w:val="28"/>
          <w14:ligatures w14:val="none"/>
        </w:rPr>
        <w:t>:</w:t>
      </w:r>
    </w:p>
    <w:p w14:paraId="4BA3B2A6" w14:textId="77777777" w:rsidR="00404CF1" w:rsidRPr="00AD2516" w:rsidRDefault="00404CF1"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البُعد الأول: مؤشرات الأداء التنبؤية في الوقت الفعلي</w:t>
      </w:r>
    </w:p>
    <w:p w14:paraId="62095B13"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يُشير هذا البُعد إلى تلك المؤشرات التي تعمل على بيانات متدفقة ومتجدّدة لحظيًا، بحيث تُعطي الإدارة صورةً حيّة للأداء لا صورةً مؤجّلة. وتقوم فكرة هذه المؤشرات على استثمار قدرات المستشعرات الذكية وتقنيات إنترنت الأشياء لجمع البيانات من مصادرها الميدانية دون وسيط، ثم تمريرها عبر خوارزميات تنبؤية تُنتج قراءات آنية تُدمَج مباشرة في منظومة اتخاذ القرار</w:t>
      </w:r>
      <w:r w:rsidRPr="00AD2516">
        <w:rPr>
          <w:rFonts w:ascii="Simplified Arabic" w:eastAsia="Times New Roman" w:hAnsi="Simplified Arabic" w:cs="Simplified Arabic"/>
          <w:color w:val="000000" w:themeColor="text1"/>
          <w:kern w:val="0"/>
          <w:sz w:val="28"/>
          <w:szCs w:val="28"/>
          <w14:ligatures w14:val="none"/>
        </w:rPr>
        <w:t xml:space="preserve"> (Val et al., 2024). </w:t>
      </w:r>
      <w:r w:rsidRPr="00AD2516">
        <w:rPr>
          <w:rFonts w:ascii="Simplified Arabic" w:eastAsia="Times New Roman" w:hAnsi="Simplified Arabic" w:cs="Simplified Arabic"/>
          <w:color w:val="000000" w:themeColor="text1"/>
          <w:kern w:val="0"/>
          <w:sz w:val="28"/>
          <w:szCs w:val="28"/>
          <w:rtl/>
          <w14:ligatures w14:val="none"/>
        </w:rPr>
        <w:t>ويتميّز هذا النمط من المؤشرات بأنه يُقلص الفجوة الزمنية بين وقوع الحدث ورصده، ومن ثم يُقلّص الفجوة بين الرصد والاستجابة، وهو ما يُعدّ ميزةً حاسمةً في العمليات اللوجستية التي تتحرك ضمن نوافذ زمنية ضيقة. ويُضيف هذا البُعد قدرةً على الاستشعار السياقي، إذ لا تكتفي المؤشرات بعرض الرقم بل تُقدّم قراءةً مصحوبةً بسياقها التشغيلي والبيئي، بما يعزّز فهم المدير للحالة الراهنة ويوجهه نحو التدخل المناسب</w:t>
      </w:r>
      <w:r w:rsidRPr="00AD2516">
        <w:rPr>
          <w:rFonts w:ascii="Simplified Arabic" w:eastAsia="Times New Roman" w:hAnsi="Simplified Arabic" w:cs="Simplified Arabic"/>
          <w:color w:val="000000" w:themeColor="text1"/>
          <w:kern w:val="0"/>
          <w:sz w:val="28"/>
          <w:szCs w:val="28"/>
          <w14:ligatures w14:val="none"/>
        </w:rPr>
        <w:t>.</w:t>
      </w:r>
    </w:p>
    <w:p w14:paraId="1BF7E0C4" w14:textId="77777777" w:rsidR="00404CF1" w:rsidRPr="00AD2516" w:rsidRDefault="00404CF1"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البُعد الثاني: التحليلات التنبؤية لإدارة الموارد</w:t>
      </w:r>
    </w:p>
    <w:p w14:paraId="0F767228"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يتناول هذا البُعد توظيف النماذج التنبؤية في ترشيد استخدام الموارد المتاحة للمنظمة، سواءٌ أكانت موارد مادية كالمخزون والأسطول، أم موارد بشرية كالكوادر التشغيلية، أم موارد مالية كرأس المال العامل. ويقوم على فكرة أن استخدام البيانات التاريخية والراهنة في بناء نماذج تنبؤية يُمكّن المنظمة من تقدير احتياجاتها المستقبلية بدقة، وبالتالي تحديد الحجم الأمثل من كل مورد في كل نقطة زمنية، بما يُجنّبها كلفة الفائض وكلفة النقص في آنٍ واحد</w:t>
      </w:r>
      <w:r w:rsidRPr="00AD2516">
        <w:rPr>
          <w:rFonts w:ascii="Simplified Arabic" w:eastAsia="Times New Roman" w:hAnsi="Simplified Arabic" w:cs="Simplified Arabic"/>
          <w:color w:val="000000" w:themeColor="text1"/>
          <w:kern w:val="0"/>
          <w:sz w:val="28"/>
          <w:szCs w:val="28"/>
          <w14:ligatures w14:val="none"/>
        </w:rPr>
        <w:t xml:space="preserve"> (Misra et al., 2024). </w:t>
      </w:r>
      <w:r w:rsidRPr="00AD2516">
        <w:rPr>
          <w:rFonts w:ascii="Simplified Arabic" w:eastAsia="Times New Roman" w:hAnsi="Simplified Arabic" w:cs="Simplified Arabic"/>
          <w:color w:val="000000" w:themeColor="text1"/>
          <w:kern w:val="0"/>
          <w:sz w:val="28"/>
          <w:szCs w:val="28"/>
          <w:rtl/>
          <w14:ligatures w14:val="none"/>
        </w:rPr>
        <w:t xml:space="preserve">ويرتبط هذا البُعد بمفهوم كفاءة إدارة رأس </w:t>
      </w:r>
      <w:r w:rsidRPr="00AD2516">
        <w:rPr>
          <w:rFonts w:ascii="Simplified Arabic" w:eastAsia="Times New Roman" w:hAnsi="Simplified Arabic" w:cs="Simplified Arabic"/>
          <w:color w:val="000000" w:themeColor="text1"/>
          <w:kern w:val="0"/>
          <w:sz w:val="28"/>
          <w:szCs w:val="28"/>
          <w:rtl/>
          <w14:ligatures w14:val="none"/>
        </w:rPr>
        <w:lastRenderedPageBreak/>
        <w:t>المال العامل بوصفها أحد أهم مداخل رفع الكفاءة التشغيلية، إذ إن التنبؤ الدقيق بحركة الأصول قصيرة الأجل يُتيح للمنظمة تحسين دورة تشغيلها وتقليل الأعباء المالية المصاحبة لها (بيلي وداود، ٢٠٢٣). ويتسع هذا البُعد ليشمل التنبؤ بالطلب والتنبؤ بجداول الصيانة والتنبؤ بحركة المخزون، وهي جميعها مجالات مركزية في نشاط شركات الخدمات اللوجستية</w:t>
      </w:r>
      <w:r w:rsidRPr="00AD2516">
        <w:rPr>
          <w:rFonts w:ascii="Simplified Arabic" w:eastAsia="Times New Roman" w:hAnsi="Simplified Arabic" w:cs="Simplified Arabic"/>
          <w:color w:val="000000" w:themeColor="text1"/>
          <w:kern w:val="0"/>
          <w:sz w:val="28"/>
          <w:szCs w:val="28"/>
          <w14:ligatures w14:val="none"/>
        </w:rPr>
        <w:t>.</w:t>
      </w:r>
    </w:p>
    <w:p w14:paraId="4E062FCA" w14:textId="77777777" w:rsidR="00404CF1" w:rsidRPr="00AD2516" w:rsidRDefault="00404CF1"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البُعد الثالث: مؤشرات الإنذار المبكر الذكية</w:t>
      </w:r>
    </w:p>
    <w:p w14:paraId="5E642841"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يشير هذا البُعد إلى تلك المؤشرات المصمَّمة لاستشعار الإشارات الضعيفة التي تسبق وقوع الأحداث السلبية، سواء أكانت أعطالًا فنية أم اختناقات تشغيلية أم انحرافات مالية أم اضطرابات في سلسلة التوريد. وتقوم فلسفة هذه المؤشرات على أن كل حدث كبير تسبقه مؤشرات صغيرة قابلة للرصد إذا ما توفّرت الأدوات التحليلية المناسبة، ومن ثم فإن ذكاء المؤشر يكمن في قدرته على التقاط هذه الإشارات وتضخيمها وتحويلها إلى تنبيهات قابلة للتصرف</w:t>
      </w:r>
      <w:r w:rsidRPr="00AD2516">
        <w:rPr>
          <w:rFonts w:ascii="Simplified Arabic" w:eastAsia="Times New Roman" w:hAnsi="Simplified Arabic" w:cs="Simplified Arabic"/>
          <w:color w:val="000000" w:themeColor="text1"/>
          <w:kern w:val="0"/>
          <w:sz w:val="28"/>
          <w:szCs w:val="28"/>
          <w14:ligatures w14:val="none"/>
        </w:rPr>
        <w:t xml:space="preserve"> (Ramesh et al., 2022). </w:t>
      </w:r>
      <w:r w:rsidRPr="00AD2516">
        <w:rPr>
          <w:rFonts w:ascii="Simplified Arabic" w:eastAsia="Times New Roman" w:hAnsi="Simplified Arabic" w:cs="Simplified Arabic"/>
          <w:color w:val="000000" w:themeColor="text1"/>
          <w:kern w:val="0"/>
          <w:sz w:val="28"/>
          <w:szCs w:val="28"/>
          <w:rtl/>
          <w14:ligatures w14:val="none"/>
        </w:rPr>
        <w:t>ويُميّز هذا البُعد اعتماده على تعلّم الآلة في اكتشاف أنماط الشذوذ داخل تدفقات البيانات، بحيث تُصبح المنظمة قادرةً على التمييز بين التذبذبات الطبيعية والإشارات الفعلية للخطر. وينسجم هذا البُعد مع منطق الرقابة الاستباقية التي تُعيد توجيه الجهد الإداري من معالجة الأخطاء إلى منع وقوعها، وهو منطق بالغ الأهمية في القطاع اللوجستي حيث تتضاعف كلفة الأزمات بمقدار تشعبها عبر أطراف السلسلة</w:t>
      </w:r>
      <w:r w:rsidRPr="00AD2516">
        <w:rPr>
          <w:rFonts w:ascii="Simplified Arabic" w:eastAsia="Times New Roman" w:hAnsi="Simplified Arabic" w:cs="Simplified Arabic"/>
          <w:color w:val="000000" w:themeColor="text1"/>
          <w:kern w:val="0"/>
          <w:sz w:val="28"/>
          <w:szCs w:val="28"/>
          <w14:ligatures w14:val="none"/>
        </w:rPr>
        <w:t>.</w:t>
      </w:r>
    </w:p>
    <w:p w14:paraId="43693794" w14:textId="77777777" w:rsidR="00404CF1" w:rsidRPr="00AD2516" w:rsidRDefault="00404CF1"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البُعد الرابع: لوحات القيادة التنبؤية الديناميكية</w:t>
      </w:r>
    </w:p>
    <w:p w14:paraId="36860D2C"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يتناول هذا البُعد الواجهات التفاعلية التي تُترجم مخرجات التحليلات التنبؤية إلى تمثيلات بصرية قابلة للفهم والتفسير من قِبل متخذي القرار. وتتميّز هذه اللوحات بأنها ليست عرضًا ثابتًا للبيانات، بل بيئة تفاعلية ديناميكية تُتيح للمستخدم استكشاف السيناريوهات المختلفة، وإجراء اختبارات «ماذا لو»، ومقارنة البدائل، وضبط المعايير وفق أولوياته</w:t>
      </w:r>
      <w:r w:rsidRPr="00AD2516">
        <w:rPr>
          <w:rFonts w:ascii="Simplified Arabic" w:eastAsia="Times New Roman" w:hAnsi="Simplified Arabic" w:cs="Simplified Arabic"/>
          <w:color w:val="000000" w:themeColor="text1"/>
          <w:kern w:val="0"/>
          <w:sz w:val="28"/>
          <w:szCs w:val="28"/>
          <w14:ligatures w14:val="none"/>
        </w:rPr>
        <w:t xml:space="preserve"> (Serrano et al., 2022). </w:t>
      </w:r>
      <w:r w:rsidRPr="00AD2516">
        <w:rPr>
          <w:rFonts w:ascii="Simplified Arabic" w:eastAsia="Times New Roman" w:hAnsi="Simplified Arabic" w:cs="Simplified Arabic"/>
          <w:color w:val="000000" w:themeColor="text1"/>
          <w:kern w:val="0"/>
          <w:sz w:val="28"/>
          <w:szCs w:val="28"/>
          <w:rtl/>
          <w14:ligatures w14:val="none"/>
        </w:rPr>
        <w:t>ويُضاف إلى ذلك أن اللوحات التنبؤية الحديثة تعتمد على قدرات الحوسبة السحابية في دمج البيانات من مصادرها المتعددة وعرضها في واجهة موحّدة، بما يُلغي الحواجز التقليدية بين الوحدات التنظيمية ويُنشئ رؤية شاملة للأداء (الجنيدي وآخرون، ٢٠٢٥). ويُعزّز هذا البُعد قيمة المؤشرات الذكية بتحويلها من أرقام مجرّدة إلى قصص بيانية توجّه القرار، وتجعل التحليلات التنبؤية جزءًا من الروتين الإداري اليومي لا نشاطًا تقنيًا منفصلًا</w:t>
      </w:r>
      <w:r w:rsidRPr="00AD2516">
        <w:rPr>
          <w:rFonts w:ascii="Simplified Arabic" w:eastAsia="Times New Roman" w:hAnsi="Simplified Arabic" w:cs="Simplified Arabic"/>
          <w:color w:val="000000" w:themeColor="text1"/>
          <w:kern w:val="0"/>
          <w:sz w:val="28"/>
          <w:szCs w:val="28"/>
          <w14:ligatures w14:val="none"/>
        </w:rPr>
        <w:t>.</w:t>
      </w:r>
    </w:p>
    <w:p w14:paraId="4FB413BF" w14:textId="72E54C32" w:rsidR="00404CF1" w:rsidRPr="00AD2516" w:rsidRDefault="00803014" w:rsidP="0080301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934669"/>
      <w:r w:rsidRPr="00AD2516">
        <w:rPr>
          <w:rFonts w:ascii="Simplified Arabic" w:eastAsia="Times New Roman" w:hAnsi="Simplified Arabic" w:cs="Simplified Arabic" w:hint="cs"/>
          <w:b/>
          <w:bCs/>
          <w:color w:val="000000" w:themeColor="text1"/>
          <w:kern w:val="0"/>
          <w:sz w:val="32"/>
          <w:szCs w:val="32"/>
          <w:rtl/>
          <w14:ligatures w14:val="none"/>
        </w:rPr>
        <w:t>6.1.2</w:t>
      </w:r>
      <w:r w:rsidR="00404CF1" w:rsidRPr="00AD2516">
        <w:rPr>
          <w:rFonts w:ascii="Simplified Arabic" w:eastAsia="Times New Roman" w:hAnsi="Simplified Arabic" w:cs="Simplified Arabic"/>
          <w:b/>
          <w:bCs/>
          <w:color w:val="000000" w:themeColor="text1"/>
          <w:kern w:val="0"/>
          <w:sz w:val="32"/>
          <w:szCs w:val="32"/>
          <w:rtl/>
          <w14:ligatures w14:val="none"/>
        </w:rPr>
        <w:t xml:space="preserve"> المداخل النظرية المفسّرة للمفهوم</w:t>
      </w:r>
      <w:bookmarkEnd w:id="41"/>
    </w:p>
    <w:p w14:paraId="481D58B3" w14:textId="017CDBA9"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lastRenderedPageBreak/>
        <w:t>يمكن مقاربة مؤشرات الأداء الذكية المعتمدة على التحليلات التنبؤية من خلال جملة من المداخل النظرية التي يُثري كل منها فهم المفهوم من زاوية مختلفة. فمن مدخل جودة القياس، يُشترط في المؤشر أن يستوفي جملةً من الخصائص تضمن دقته وقابليته للتحقق ومحدوديته الزمنية وارتباطه بالأهداف، وهو ما يشكّل أساسًا نظريًا لتقييم مدى «ذكاء» المؤشر</w:t>
      </w:r>
      <w:r w:rsidRPr="00AD2516">
        <w:rPr>
          <w:rFonts w:ascii="Simplified Arabic" w:eastAsia="Times New Roman" w:hAnsi="Simplified Arabic" w:cs="Simplified Arabic"/>
          <w:color w:val="000000" w:themeColor="text1"/>
          <w:kern w:val="0"/>
          <w:sz w:val="28"/>
          <w:szCs w:val="28"/>
          <w14:ligatures w14:val="none"/>
        </w:rPr>
        <w:t xml:space="preserve"> (Selvik et al., 2021). </w:t>
      </w:r>
      <w:r w:rsidRPr="00AD2516">
        <w:rPr>
          <w:rFonts w:ascii="Simplified Arabic" w:eastAsia="Times New Roman" w:hAnsi="Simplified Arabic" w:cs="Simplified Arabic"/>
          <w:color w:val="000000" w:themeColor="text1"/>
          <w:kern w:val="0"/>
          <w:sz w:val="28"/>
          <w:szCs w:val="28"/>
          <w:rtl/>
          <w14:ligatures w14:val="none"/>
        </w:rPr>
        <w:t>ومن مدخل الثورة الصناعية الرابعة، تُفهم هذه المؤشرات باعتبارها مخرجًا طبيعيًا للتقاء تقنيات إنترنت الأشياء والذكاء الاصطناعي والبيانات الضخمة داخل بيئة الأعمال، بحيث تُشكّل عصب سلاسل التوريد المرنة</w:t>
      </w:r>
      <w:r w:rsidRPr="00AD2516">
        <w:rPr>
          <w:rFonts w:ascii="Simplified Arabic" w:eastAsia="Times New Roman" w:hAnsi="Simplified Arabic" w:cs="Simplified Arabic"/>
          <w:color w:val="000000" w:themeColor="text1"/>
          <w:kern w:val="0"/>
          <w:sz w:val="28"/>
          <w:szCs w:val="28"/>
          <w14:ligatures w14:val="none"/>
        </w:rPr>
        <w:t xml:space="preserve"> (</w:t>
      </w:r>
      <w:proofErr w:type="spellStart"/>
      <w:r w:rsidRPr="00AD2516">
        <w:rPr>
          <w:rFonts w:ascii="Simplified Arabic" w:eastAsia="Times New Roman" w:hAnsi="Simplified Arabic" w:cs="Simplified Arabic"/>
          <w:color w:val="000000" w:themeColor="text1"/>
          <w:kern w:val="0"/>
          <w:sz w:val="28"/>
          <w:szCs w:val="28"/>
          <w14:ligatures w14:val="none"/>
        </w:rPr>
        <w:t>Marinagi</w:t>
      </w:r>
      <w:proofErr w:type="spellEnd"/>
      <w:r w:rsidRPr="00AD2516">
        <w:rPr>
          <w:rFonts w:ascii="Simplified Arabic" w:eastAsia="Times New Roman" w:hAnsi="Simplified Arabic" w:cs="Simplified Arabic"/>
          <w:color w:val="000000" w:themeColor="text1"/>
          <w:kern w:val="0"/>
          <w:sz w:val="28"/>
          <w:szCs w:val="28"/>
          <w14:ligatures w14:val="none"/>
        </w:rPr>
        <w:t xml:space="preserve"> et al., 2023). </w:t>
      </w:r>
      <w:r w:rsidRPr="00AD2516">
        <w:rPr>
          <w:rFonts w:ascii="Simplified Arabic" w:eastAsia="Times New Roman" w:hAnsi="Simplified Arabic" w:cs="Simplified Arabic"/>
          <w:color w:val="000000" w:themeColor="text1"/>
          <w:kern w:val="0"/>
          <w:sz w:val="28"/>
          <w:szCs w:val="28"/>
          <w:rtl/>
          <w14:ligatures w14:val="none"/>
        </w:rPr>
        <w:t>ومن مدخل الابتكار المدفوع بالبيانات، تُنظر هذه المؤشرات بوصفها محفزًا لتوليد المعرفة وإعادة تشكيل نماذج الأعمال</w:t>
      </w:r>
      <w:r w:rsidRPr="00AD2516">
        <w:rPr>
          <w:rFonts w:ascii="Simplified Arabic" w:eastAsia="Times New Roman" w:hAnsi="Simplified Arabic" w:cs="Simplified Arabic"/>
          <w:color w:val="000000" w:themeColor="text1"/>
          <w:kern w:val="0"/>
          <w:sz w:val="28"/>
          <w:szCs w:val="28"/>
          <w14:ligatures w14:val="none"/>
        </w:rPr>
        <w:t xml:space="preserve"> (Zong &amp; Guan, 2025). </w:t>
      </w:r>
      <w:r w:rsidRPr="00AD2516">
        <w:rPr>
          <w:rFonts w:ascii="Simplified Arabic" w:eastAsia="Times New Roman" w:hAnsi="Simplified Arabic" w:cs="Simplified Arabic"/>
          <w:color w:val="000000" w:themeColor="text1"/>
          <w:kern w:val="0"/>
          <w:sz w:val="28"/>
          <w:szCs w:val="28"/>
          <w:rtl/>
          <w14:ligatures w14:val="none"/>
        </w:rPr>
        <w:t>ومن مدخل الأتمتة وسيولة العمل، تُقارَب باعتبارها أداةً لإعادة تنظيم تدفق العمل بين الفرق وتقليل الازدواجية</w:t>
      </w:r>
      <w:r w:rsidRPr="00AD2516">
        <w:rPr>
          <w:rFonts w:ascii="Simplified Arabic" w:eastAsia="Times New Roman" w:hAnsi="Simplified Arabic" w:cs="Simplified Arabic"/>
          <w:color w:val="000000" w:themeColor="text1"/>
          <w:kern w:val="0"/>
          <w:sz w:val="28"/>
          <w:szCs w:val="28"/>
          <w14:ligatures w14:val="none"/>
        </w:rPr>
        <w:t xml:space="preserve"> (Adepoju et al., 2022). </w:t>
      </w:r>
      <w:r w:rsidRPr="00AD2516">
        <w:rPr>
          <w:rFonts w:ascii="Simplified Arabic" w:eastAsia="Times New Roman" w:hAnsi="Simplified Arabic" w:cs="Simplified Arabic"/>
          <w:color w:val="000000" w:themeColor="text1"/>
          <w:kern w:val="0"/>
          <w:sz w:val="28"/>
          <w:szCs w:val="28"/>
          <w:rtl/>
          <w14:ligatures w14:val="none"/>
        </w:rPr>
        <w:t>ويرى الباحث أن هذه المداخل لا تتنافى بل تتكامل، وأن الإطار المفاهيمي المتكامل للمؤشرات الذكية لا يكتمل إلا بجمعها معًا في نسق واحد</w:t>
      </w:r>
      <w:r w:rsidRPr="00AD2516">
        <w:rPr>
          <w:rFonts w:ascii="Simplified Arabic" w:eastAsia="Times New Roman" w:hAnsi="Simplified Arabic" w:cs="Simplified Arabic"/>
          <w:color w:val="000000" w:themeColor="text1"/>
          <w:kern w:val="0"/>
          <w:sz w:val="28"/>
          <w:szCs w:val="28"/>
          <w14:ligatures w14:val="none"/>
        </w:rPr>
        <w:t>.</w:t>
      </w:r>
    </w:p>
    <w:p w14:paraId="28E098A8" w14:textId="2CF52B17" w:rsidR="00404CF1" w:rsidRPr="00AD2516" w:rsidRDefault="00803014" w:rsidP="00803014">
      <w:pPr>
        <w:jc w:val="center"/>
        <w:outlineLvl w:val="1"/>
        <w:rPr>
          <w:rFonts w:ascii="Simplified Arabic" w:eastAsia="Times New Roman" w:hAnsi="Simplified Arabic" w:cs="Simplified Arabic"/>
          <w:b/>
          <w:bCs/>
          <w:color w:val="000000" w:themeColor="text1"/>
          <w:kern w:val="0"/>
          <w:sz w:val="36"/>
          <w:szCs w:val="36"/>
          <w14:ligatures w14:val="none"/>
        </w:rPr>
      </w:pPr>
      <w:r w:rsidRPr="00AD2516">
        <w:rPr>
          <w:rFonts w:ascii="Simplified Arabic" w:eastAsia="Times New Roman" w:hAnsi="Simplified Arabic" w:cs="Simplified Arabic"/>
          <w:b/>
          <w:bCs/>
          <w:color w:val="000000" w:themeColor="text1"/>
          <w:kern w:val="0"/>
          <w:sz w:val="36"/>
          <w:szCs w:val="36"/>
          <w:rtl/>
          <w14:ligatures w14:val="none"/>
        </w:rPr>
        <w:br w:type="page"/>
      </w:r>
      <w:bookmarkStart w:id="42" w:name="_Toc233934670"/>
      <w:r w:rsidR="00404CF1" w:rsidRPr="00AD2516">
        <w:rPr>
          <w:rFonts w:ascii="Simplified Arabic" w:eastAsia="Times New Roman" w:hAnsi="Simplified Arabic" w:cs="Simplified Arabic"/>
          <w:b/>
          <w:bCs/>
          <w:color w:val="000000" w:themeColor="text1"/>
          <w:kern w:val="0"/>
          <w:sz w:val="36"/>
          <w:szCs w:val="36"/>
          <w:rtl/>
          <w14:ligatures w14:val="none"/>
        </w:rPr>
        <w:lastRenderedPageBreak/>
        <w:t>المبحث الثاني: رفع كفاءة العمليات وتقليل الهدر</w:t>
      </w:r>
      <w:bookmarkEnd w:id="42"/>
    </w:p>
    <w:p w14:paraId="4B4D1F66" w14:textId="3AD36819" w:rsidR="00404CF1" w:rsidRPr="00AD2516" w:rsidRDefault="00803014" w:rsidP="0080301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934671"/>
      <w:r w:rsidRPr="00AD2516">
        <w:rPr>
          <w:rFonts w:ascii="Simplified Arabic" w:eastAsia="Times New Roman" w:hAnsi="Simplified Arabic" w:cs="Simplified Arabic" w:hint="cs"/>
          <w:b/>
          <w:bCs/>
          <w:color w:val="000000" w:themeColor="text1"/>
          <w:kern w:val="0"/>
          <w:sz w:val="32"/>
          <w:szCs w:val="32"/>
          <w:rtl/>
          <w14:ligatures w14:val="none"/>
        </w:rPr>
        <w:t xml:space="preserve">1.2.2 </w:t>
      </w:r>
      <w:r w:rsidR="00404CF1" w:rsidRPr="00AD2516">
        <w:rPr>
          <w:rFonts w:ascii="Simplified Arabic" w:eastAsia="Times New Roman" w:hAnsi="Simplified Arabic" w:cs="Simplified Arabic"/>
          <w:b/>
          <w:bCs/>
          <w:color w:val="000000" w:themeColor="text1"/>
          <w:kern w:val="0"/>
          <w:sz w:val="32"/>
          <w:szCs w:val="32"/>
          <w:rtl/>
          <w14:ligatures w14:val="none"/>
        </w:rPr>
        <w:t>تمهيد</w:t>
      </w:r>
      <w:bookmarkEnd w:id="43"/>
    </w:p>
    <w:p w14:paraId="68BA7900"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يمثّل رفع كفاءة العمليات وتقليل الهدر أحد أعمق المفاهيم رسوخًا في الفكر الإداري المعاصر، إذ يُشكّل الغاية النهائية التي تسعى إليها جميع مبادرات التطوير والتحول الرقمي والابتكار التنظيمي. فالمنظمة التي لا تُترجم استثماراتها التقنية والإدارية إلى تحسّن ملموس في كفاءة عملياتها، وإلى تراجع ملحوظ في مستويات الهدر لديها، تبقى استثماراتها في حيّز الشكل دون المضمون. وقد تطوّر مفهوم كفاءة العمليات من كونه مفهومًا يتصل بالنسبة بين المخرجات والمدخلات في إطارها الضيق، إلى مفهوم مركّب متعدد الأبعاد يشمل الكفاءة الاقتصادية، والكفاءة التشغيلية، والكفاءة البيئية، والكفاءة الإدارية، بحيث أصبح يُقاس بمنظومة متكاملة من المؤشرات تعكس أداء المنظمة في جميع جوانبها</w:t>
      </w:r>
      <w:r w:rsidRPr="00AD2516">
        <w:rPr>
          <w:rFonts w:ascii="Simplified Arabic" w:eastAsia="Times New Roman" w:hAnsi="Simplified Arabic" w:cs="Simplified Arabic"/>
          <w:color w:val="000000" w:themeColor="text1"/>
          <w:kern w:val="0"/>
          <w:sz w:val="28"/>
          <w:szCs w:val="28"/>
          <w14:ligatures w14:val="none"/>
        </w:rPr>
        <w:t>.</w:t>
      </w:r>
    </w:p>
    <w:p w14:paraId="54C0D2E2"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ويكتسب هذا المفهوم حساسيةً خاصةً في قطاع الخدمات اللوجستية، إذ إن طبيعة العمل اللوجستي القائمة على إدارة تدفقات معقدة للسلع والمعلومات والأموال عبر شبكات ممتدة تجعل أي هدر في الوقت أو الموارد أو الطاقة كلفةً مركّبة تنعكس على أطراف السلسلة جميعًا. ومن ثم فإن رفع كفاءة العمليات في هذا القطاع لا يُنظر إليه بوصفه هدفًا داخليًا للشركة اللوجستية وحدها، بل بوصفه ركيزةً لمنظومة اقتصادية أوسع تشمل الموردين والعملاء والوسطاء. ويُفرد هذا المبحث لتحليل هذا المفهوم بتناول مفهومه وأهميته وأهدافه وأبعاده، وربطه بمداخله النظرية، ثم استعراض عناوين بحثية موازية تُبيّن مواقعه في الإنتاج العلمي الحديث</w:t>
      </w:r>
      <w:r w:rsidRPr="00AD2516">
        <w:rPr>
          <w:rFonts w:ascii="Simplified Arabic" w:eastAsia="Times New Roman" w:hAnsi="Simplified Arabic" w:cs="Simplified Arabic"/>
          <w:color w:val="000000" w:themeColor="text1"/>
          <w:kern w:val="0"/>
          <w:sz w:val="28"/>
          <w:szCs w:val="28"/>
          <w14:ligatures w14:val="none"/>
        </w:rPr>
        <w:t>.</w:t>
      </w:r>
    </w:p>
    <w:p w14:paraId="046718CC" w14:textId="00EC3779" w:rsidR="00404CF1" w:rsidRPr="00AD2516" w:rsidRDefault="00803014" w:rsidP="0080301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934672"/>
      <w:r w:rsidRPr="00AD2516">
        <w:rPr>
          <w:rFonts w:ascii="Simplified Arabic" w:eastAsia="Times New Roman" w:hAnsi="Simplified Arabic" w:cs="Simplified Arabic" w:hint="cs"/>
          <w:b/>
          <w:bCs/>
          <w:color w:val="000000" w:themeColor="text1"/>
          <w:kern w:val="0"/>
          <w:sz w:val="32"/>
          <w:szCs w:val="32"/>
          <w:rtl/>
          <w14:ligatures w14:val="none"/>
        </w:rPr>
        <w:t>2.2.2</w:t>
      </w:r>
      <w:r w:rsidR="00404CF1" w:rsidRPr="00AD2516">
        <w:rPr>
          <w:rFonts w:ascii="Simplified Arabic" w:eastAsia="Times New Roman" w:hAnsi="Simplified Arabic" w:cs="Simplified Arabic"/>
          <w:b/>
          <w:bCs/>
          <w:color w:val="000000" w:themeColor="text1"/>
          <w:kern w:val="0"/>
          <w:sz w:val="32"/>
          <w:szCs w:val="32"/>
          <w:rtl/>
          <w14:ligatures w14:val="none"/>
        </w:rPr>
        <w:t xml:space="preserve"> مفهوم رفع كفاءة العمليات وتقليل الهدر</w:t>
      </w:r>
      <w:bookmarkEnd w:id="44"/>
    </w:p>
    <w:p w14:paraId="022F04C8"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تُقارَب كفاءة العمليات في الأدبيات الإدارية من زوايا متعددة تتنوع بحسب المدرسة الفكرية ومجال التطبيق، وقد اجتمعت هذه الزوايا حول جوهر مشترك، هو تحسين علاقة المدخلات بالمخرجات، مع تقليص كل ما لا يُضيف قيمة داخل مسار العملية</w:t>
      </w:r>
      <w:r w:rsidRPr="00AD2516">
        <w:rPr>
          <w:rFonts w:ascii="Simplified Arabic" w:eastAsia="Times New Roman" w:hAnsi="Simplified Arabic" w:cs="Simplified Arabic"/>
          <w:color w:val="000000" w:themeColor="text1"/>
          <w:kern w:val="0"/>
          <w:sz w:val="28"/>
          <w:szCs w:val="28"/>
          <w14:ligatures w14:val="none"/>
        </w:rPr>
        <w:t>.</w:t>
      </w:r>
    </w:p>
    <w:p w14:paraId="60D728BF"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 xml:space="preserve">ويُعرّف (علي، ٢٠٢٢) الكفاءة الإنتاجية والتشغيلية بأنها القدرة على تحقيق الأهداف المرسومة بأقل ما يمكن من الموارد، وضمن أقصر زمن ممكن، مع الحفاظ على مستوى الجودة المطلوب، وذلك من خلال ترشيد استخدام الموارد وضبط بيئة العمل وترتيب أولوياتها وفق منطق تنظيمي متكامل. ويقترب من هذا </w:t>
      </w:r>
      <w:r w:rsidRPr="00AD2516">
        <w:rPr>
          <w:rFonts w:ascii="Simplified Arabic" w:eastAsia="Times New Roman" w:hAnsi="Simplified Arabic" w:cs="Simplified Arabic"/>
          <w:color w:val="000000" w:themeColor="text1"/>
          <w:kern w:val="0"/>
          <w:sz w:val="28"/>
          <w:szCs w:val="28"/>
          <w:rtl/>
          <w14:ligatures w14:val="none"/>
        </w:rPr>
        <w:lastRenderedPageBreak/>
        <w:t>الطرح (حسن وآخرون، ٢٠٢٥) إذ يرى أن كفاءة إدارة العمليات تتحدد بمدى قدرة المنظمة على أداء أنشطتها بأعلى مستوى من الفاعلية وأقل قدر من الفاقد، سواءٌ أكان ذلك عبر إعادة توزيع الأنشطة داخليًا، أم عبر إسناد بعضها إلى جهات خارجية أكثر تخصصًا</w:t>
      </w:r>
      <w:r w:rsidRPr="00AD2516">
        <w:rPr>
          <w:rFonts w:ascii="Simplified Arabic" w:eastAsia="Times New Roman" w:hAnsi="Simplified Arabic" w:cs="Simplified Arabic"/>
          <w:color w:val="000000" w:themeColor="text1"/>
          <w:kern w:val="0"/>
          <w:sz w:val="28"/>
          <w:szCs w:val="28"/>
          <w14:ligatures w14:val="none"/>
        </w:rPr>
        <w:t>.</w:t>
      </w:r>
    </w:p>
    <w:p w14:paraId="39431B27"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ويرى (الشمري، ٢٠٢٥) أن كفاءة العمليات الإدارية في السياق الرقمي تُعرَّف بأنها القدرة على أداء المهام الإدارية بسرعة ودقة وجودة عالية بمساعدة الأدوات الذكية، مع تقليص الأخطاء البشرية وتحسين تجربة المستفيد. ومن زاوية مالية، تُعرَّف الكفاءة التشغيلية عند (بيلي وداود، ٢٠٢٣) بأنها انعكاس لكفاءة إدارة رأس المال العامل، إذ تُقاس بمدى قدرة المنظمة على إدارة أصولها والتزاماتها قصيرة الأجل بطريقة تُعظّم عائد التشغيل وتقلّص كلفته</w:t>
      </w:r>
      <w:r w:rsidRPr="00AD2516">
        <w:rPr>
          <w:rFonts w:ascii="Simplified Arabic" w:eastAsia="Times New Roman" w:hAnsi="Simplified Arabic" w:cs="Simplified Arabic"/>
          <w:color w:val="000000" w:themeColor="text1"/>
          <w:kern w:val="0"/>
          <w:sz w:val="28"/>
          <w:szCs w:val="28"/>
          <w14:ligatures w14:val="none"/>
        </w:rPr>
        <w:t>.</w:t>
      </w:r>
    </w:p>
    <w:p w14:paraId="5E7589FF"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ومن زاوية استراتيجية، يُقدّم</w:t>
      </w:r>
      <w:r w:rsidRPr="00AD2516">
        <w:rPr>
          <w:rFonts w:ascii="Simplified Arabic" w:eastAsia="Times New Roman" w:hAnsi="Simplified Arabic" w:cs="Simplified Arabic"/>
          <w:color w:val="000000" w:themeColor="text1"/>
          <w:kern w:val="0"/>
          <w:sz w:val="28"/>
          <w:szCs w:val="28"/>
          <w14:ligatures w14:val="none"/>
        </w:rPr>
        <w:t xml:space="preserve"> (</w:t>
      </w:r>
      <w:proofErr w:type="spellStart"/>
      <w:r w:rsidRPr="00AD2516">
        <w:rPr>
          <w:rFonts w:ascii="Simplified Arabic" w:eastAsia="Times New Roman" w:hAnsi="Simplified Arabic" w:cs="Simplified Arabic"/>
          <w:color w:val="000000" w:themeColor="text1"/>
          <w:kern w:val="0"/>
          <w:sz w:val="28"/>
          <w:szCs w:val="28"/>
          <w14:ligatures w14:val="none"/>
        </w:rPr>
        <w:t>Hoces-Antesana</w:t>
      </w:r>
      <w:proofErr w:type="spellEnd"/>
      <w:r w:rsidRPr="00AD2516">
        <w:rPr>
          <w:rFonts w:ascii="Simplified Arabic" w:eastAsia="Times New Roman" w:hAnsi="Simplified Arabic" w:cs="Simplified Arabic"/>
          <w:color w:val="000000" w:themeColor="text1"/>
          <w:kern w:val="0"/>
          <w:sz w:val="28"/>
          <w:szCs w:val="28"/>
          <w14:ligatures w14:val="none"/>
        </w:rPr>
        <w:t xml:space="preserve"> &amp; Guerrero-Villa, 2024) </w:t>
      </w:r>
      <w:r w:rsidRPr="00AD2516">
        <w:rPr>
          <w:rFonts w:ascii="Simplified Arabic" w:eastAsia="Times New Roman" w:hAnsi="Simplified Arabic" w:cs="Simplified Arabic"/>
          <w:color w:val="000000" w:themeColor="text1"/>
          <w:kern w:val="0"/>
          <w:sz w:val="28"/>
          <w:szCs w:val="28"/>
          <w:rtl/>
          <w14:ligatures w14:val="none"/>
        </w:rPr>
        <w:t>تعريفًا لكفاءة العمليات في ضوء منهجية اللين وستة سيغما، حيث يُنظر إليها بوصفها حالةً تنظيمية تتحقق حين تنجح المنظمة في التخلص من الأنشطة عديمة القيمة، وتقليل التباين في أدائها، وتحسين تدفق العمليات، وذلك من خلال منهج تحسين مستمر يستند إلى البيانات. ويربط هذا التعريف الكفاءة بتقليل الهدر ربطًا عضويًا، بحيث لا يمكن فصل الحديث عن أحدهما عن الآخر</w:t>
      </w:r>
      <w:r w:rsidRPr="00AD2516">
        <w:rPr>
          <w:rFonts w:ascii="Simplified Arabic" w:eastAsia="Times New Roman" w:hAnsi="Simplified Arabic" w:cs="Simplified Arabic"/>
          <w:color w:val="000000" w:themeColor="text1"/>
          <w:kern w:val="0"/>
          <w:sz w:val="28"/>
          <w:szCs w:val="28"/>
          <w14:ligatures w14:val="none"/>
        </w:rPr>
        <w:t>.</w:t>
      </w:r>
    </w:p>
    <w:p w14:paraId="5E3BEBE1"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أما مفهوم الهدر، فيُعرّفه</w:t>
      </w:r>
      <w:r w:rsidRPr="00AD2516">
        <w:rPr>
          <w:rFonts w:ascii="Simplified Arabic" w:eastAsia="Times New Roman" w:hAnsi="Simplified Arabic" w:cs="Simplified Arabic"/>
          <w:color w:val="000000" w:themeColor="text1"/>
          <w:kern w:val="0"/>
          <w:sz w:val="28"/>
          <w:szCs w:val="28"/>
          <w14:ligatures w14:val="none"/>
        </w:rPr>
        <w:t xml:space="preserve"> (Mishra, 2024) </w:t>
      </w:r>
      <w:r w:rsidRPr="00AD2516">
        <w:rPr>
          <w:rFonts w:ascii="Simplified Arabic" w:eastAsia="Times New Roman" w:hAnsi="Simplified Arabic" w:cs="Simplified Arabic"/>
          <w:color w:val="000000" w:themeColor="text1"/>
          <w:kern w:val="0"/>
          <w:sz w:val="28"/>
          <w:szCs w:val="28"/>
          <w:rtl/>
          <w14:ligatures w14:val="none"/>
        </w:rPr>
        <w:t>في سياق الاستدامة بأنه أي استخدام للموارد لا يُنتج قيمةً مقابلة، سواءٌ أكان هذا الاستخدام مقصودًا أم غير مقصود، ويشمل ذلك هدر المواد والطاقة والوقت والمساحة والجهد البشري. ويُوسّع هذا التعريف مفهوم الهدر ليتجاوز البُعد المادي إلى بُعد بيئي واقتصادي أشمل، بحيث يصبح تقليل الهدر جزءًا من مسؤولية المنظمة تجاه محيطها الأوسع لا مجرد هدف داخلي لخفض التكلفة</w:t>
      </w:r>
      <w:r w:rsidRPr="00AD2516">
        <w:rPr>
          <w:rFonts w:ascii="Simplified Arabic" w:eastAsia="Times New Roman" w:hAnsi="Simplified Arabic" w:cs="Simplified Arabic"/>
          <w:color w:val="000000" w:themeColor="text1"/>
          <w:kern w:val="0"/>
          <w:sz w:val="28"/>
          <w:szCs w:val="28"/>
          <w14:ligatures w14:val="none"/>
        </w:rPr>
        <w:t>.</w:t>
      </w:r>
    </w:p>
    <w:p w14:paraId="3BD4F453"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ويقدّم (علي، ٢٠٢٥) رؤيةً تكاملية تربط بين كفاءة العمليات والإدارة المالية للمنظمة، إذ يرى أن كفاءة العمليات لا تتحقق بمعزل عن سلامة القرارات المالية التي توجّه تخصيص الموارد وتضبط تدفقاتها، وأن الإدارة المالية الرشيدة تشكّل شرطًا مسبقًا لأي ارتفاع حقيقي في مستوى الكفاءة التشغيلية. ويُضيف (الجنيدي وآخرون، ٢٠٢٥) بُعدًا تقنيًا لهذا التعريف حين يرى أن كفاءة العمليات التشغيلية في العصر الحالي تتوقف على قدرة المنظمة على توظيف النظم السحابية في ربط عملياتها وتوحيد بياناتها، بما يُلغي الحواجز التقنية بين الوحدات ويُتيح تدفقًا سلسًا للمعلومات</w:t>
      </w:r>
      <w:r w:rsidRPr="00AD2516">
        <w:rPr>
          <w:rFonts w:ascii="Simplified Arabic" w:eastAsia="Times New Roman" w:hAnsi="Simplified Arabic" w:cs="Simplified Arabic"/>
          <w:color w:val="000000" w:themeColor="text1"/>
          <w:kern w:val="0"/>
          <w:sz w:val="28"/>
          <w:szCs w:val="28"/>
          <w14:ligatures w14:val="none"/>
        </w:rPr>
        <w:t>.</w:t>
      </w:r>
    </w:p>
    <w:p w14:paraId="73ADE8F8"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lastRenderedPageBreak/>
        <w:t>ويلاحظ الباحث أن التعريفات السابقة تتوزع على ثلاث مدارس؛ مدرسة كلاسيكية تُعرّف الكفاءة بنسبة المخرجات إلى المدخلات، ومدرسة إدارية-تشغيلية تُعرّفها بتحسين تدفق العمليات وتقليل الفاقد، ومدرسة رقمية-معاصرة تُعرّفها بالاستفادة من الأدوات الذكية في رفع مستوى الأداء. وبناءً على ذلك، يرى الباحث أن رفع كفاءة العمليات وتقليل الهدر يمكن تعريفه إجرائيًا بأنه: «المسار المنظّم الذي تتبعه شركات الخدمات اللوجستية لتعظيم المخرجات ذات القيمة المضافة مقابل ما تستخدمه من موارد بشرية ومادية ومعلوماتية وزمنية، من خلال ضبط تدفق العمليات، وإلغاء الأنشطة غير المنتجة، وترشيد استهلاك الموارد، والاستفادة من الأدوات التحليلية الذكية في اتخاذ القرار التشغيلي». ويجمع هذا التعريف بين المكوّن الكمي للكفاءة، والمكوّن التنظيمي للعمليات، والمكوّن التقني الذي يُميّز البيئة اللوجستية الحديثة</w:t>
      </w:r>
      <w:r w:rsidRPr="00AD2516">
        <w:rPr>
          <w:rFonts w:ascii="Simplified Arabic" w:eastAsia="Times New Roman" w:hAnsi="Simplified Arabic" w:cs="Simplified Arabic"/>
          <w:color w:val="000000" w:themeColor="text1"/>
          <w:kern w:val="0"/>
          <w:sz w:val="28"/>
          <w:szCs w:val="28"/>
          <w14:ligatures w14:val="none"/>
        </w:rPr>
        <w:t>.</w:t>
      </w:r>
    </w:p>
    <w:p w14:paraId="71CF639B" w14:textId="5AF3BA84" w:rsidR="00404CF1" w:rsidRPr="00AD2516" w:rsidRDefault="00803014" w:rsidP="0080301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934673"/>
      <w:r w:rsidRPr="00AD2516">
        <w:rPr>
          <w:rFonts w:ascii="Simplified Arabic" w:eastAsia="Times New Roman" w:hAnsi="Simplified Arabic" w:cs="Simplified Arabic" w:hint="cs"/>
          <w:b/>
          <w:bCs/>
          <w:color w:val="000000" w:themeColor="text1"/>
          <w:kern w:val="0"/>
          <w:sz w:val="32"/>
          <w:szCs w:val="32"/>
          <w:rtl/>
          <w14:ligatures w14:val="none"/>
        </w:rPr>
        <w:t>3.2.2</w:t>
      </w:r>
      <w:r w:rsidR="00404CF1" w:rsidRPr="00AD2516">
        <w:rPr>
          <w:rFonts w:ascii="Simplified Arabic" w:eastAsia="Times New Roman" w:hAnsi="Simplified Arabic" w:cs="Simplified Arabic"/>
          <w:b/>
          <w:bCs/>
          <w:color w:val="000000" w:themeColor="text1"/>
          <w:kern w:val="0"/>
          <w:sz w:val="32"/>
          <w:szCs w:val="32"/>
          <w:rtl/>
          <w14:ligatures w14:val="none"/>
        </w:rPr>
        <w:t xml:space="preserve"> أهمية رفع كفاءة العمليات وتقليل الهدر</w:t>
      </w:r>
      <w:bookmarkEnd w:id="45"/>
    </w:p>
    <w:p w14:paraId="3C2D38B4"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تنبع أهمية رفع كفاءة العمليات وتقليل الهدر من كونها المدخل الأكثر مباشرةً لتعزيز القدرة التنافسية للمنظمة وضمان استدامتها في بيئة تشتد فيها المنافسة وتتقلب فيها الأسعار وترتفع فيها توقعات العملاء. فالمنظمة التي تُنجز أنشطتها بكفاءة أعلى تحصل على هامش أكبر للمناورة السعرية، وتستطيع أن تستثمر الفائض في التطوير والابتكار، وتُقلّل من هشاشتها أمام الصدمات الخارجية. ويكتسب هذا الأمر خصوصيةً في قطاع الخدمات اللوجستية الذي تُقاس الميزة التنافسية فيه بالفروق الدقيقة في التوقيت والدقة والتكلفة</w:t>
      </w:r>
      <w:r w:rsidRPr="00AD2516">
        <w:rPr>
          <w:rFonts w:ascii="Simplified Arabic" w:eastAsia="Times New Roman" w:hAnsi="Simplified Arabic" w:cs="Simplified Arabic"/>
          <w:color w:val="000000" w:themeColor="text1"/>
          <w:kern w:val="0"/>
          <w:sz w:val="28"/>
          <w:szCs w:val="28"/>
          <w14:ligatures w14:val="none"/>
        </w:rPr>
        <w:t>.</w:t>
      </w:r>
    </w:p>
    <w:p w14:paraId="2DE533EC"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ويشير (حسن وآخرون، ٢٠٢٥) إلى أن أهمية كفاءة إدارة العمليات تتجلى في جوانب متعددة؛ أولها أنها تُتيح للمنظمة التركيز على أنشطتها الأساسية عبر إعادة توزيع الأنشطة الأقل جوهريةً بما يخدم أهدافها الاستراتيجية. وثانيها أنها تُخفّض التكاليف التشغيلية من خلال تبنّي نماذج تشغيلية أكثر رشاقة. وثالثها أنها تُحسّن مستوى الخدمة المقدَّمة للعميل من خلال التخصص الوظيفي وتوزيع الأدوار على أساس الكفاءة. ورابعها أنها تُعزّز قدرة المنظمة على التكيّف مع تقلبات الطلب من خلال بنية تشغيلية أكثر مرونة</w:t>
      </w:r>
      <w:r w:rsidRPr="00AD2516">
        <w:rPr>
          <w:rFonts w:ascii="Simplified Arabic" w:eastAsia="Times New Roman" w:hAnsi="Simplified Arabic" w:cs="Simplified Arabic"/>
          <w:color w:val="000000" w:themeColor="text1"/>
          <w:kern w:val="0"/>
          <w:sz w:val="28"/>
          <w:szCs w:val="28"/>
          <w14:ligatures w14:val="none"/>
        </w:rPr>
        <w:t>.</w:t>
      </w:r>
    </w:p>
    <w:p w14:paraId="4D05B91A" w14:textId="5D4225FF"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ويرى (علي، ٢٠٢٢) أن أهمية رفع الكفاءة الإنتاجية تظهر من خلال: تحسين بيئة العمل المادية بما يعزّز إنتاجية العاملين ويُقلل من الفاقد؛ تعزيز ثقافة النظام والانضباط داخل المنظمة، وهي ثقافة ذات آثار ممتدة على جودة ال</w:t>
      </w:r>
      <w:r w:rsidR="00803014" w:rsidRPr="00AD2516">
        <w:rPr>
          <w:rFonts w:ascii="Simplified Arabic" w:eastAsia="Times New Roman" w:hAnsi="Simplified Arabic" w:cs="Simplified Arabic"/>
          <w:color w:val="000000" w:themeColor="text1"/>
          <w:kern w:val="0"/>
          <w:sz w:val="28"/>
          <w:szCs w:val="28"/>
          <w:rtl/>
          <w14:ligatures w14:val="none"/>
        </w:rPr>
        <w:t xml:space="preserve">قرار وسرعة التنفيذ؛ </w:t>
      </w:r>
      <w:r w:rsidRPr="00AD2516">
        <w:rPr>
          <w:rFonts w:ascii="Simplified Arabic" w:eastAsia="Times New Roman" w:hAnsi="Simplified Arabic" w:cs="Simplified Arabic"/>
          <w:color w:val="000000" w:themeColor="text1"/>
          <w:kern w:val="0"/>
          <w:sz w:val="28"/>
          <w:szCs w:val="28"/>
          <w:rtl/>
          <w14:ligatures w14:val="none"/>
        </w:rPr>
        <w:t>تقليل زمن الدورة التشغيلية عبر ترتيب مسارات العمل وتبسيطها؛ تحسين استغلال المساحات والموارد المتاحة، وهو ما يُنعكس على الكلفة الإجمالية للتشغيل</w:t>
      </w:r>
      <w:r w:rsidRPr="00AD2516">
        <w:rPr>
          <w:rFonts w:ascii="Simplified Arabic" w:eastAsia="Times New Roman" w:hAnsi="Simplified Arabic" w:cs="Simplified Arabic"/>
          <w:color w:val="000000" w:themeColor="text1"/>
          <w:kern w:val="0"/>
          <w:sz w:val="28"/>
          <w:szCs w:val="28"/>
          <w14:ligatures w14:val="none"/>
        </w:rPr>
        <w:t>.</w:t>
      </w:r>
    </w:p>
    <w:p w14:paraId="6F9B0883"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lastRenderedPageBreak/>
        <w:t>ويرى</w:t>
      </w:r>
      <w:r w:rsidRPr="00AD2516">
        <w:rPr>
          <w:rFonts w:ascii="Simplified Arabic" w:eastAsia="Times New Roman" w:hAnsi="Simplified Arabic" w:cs="Simplified Arabic"/>
          <w:color w:val="000000" w:themeColor="text1"/>
          <w:kern w:val="0"/>
          <w:sz w:val="28"/>
          <w:szCs w:val="28"/>
          <w14:ligatures w14:val="none"/>
        </w:rPr>
        <w:t xml:space="preserve"> (</w:t>
      </w:r>
      <w:proofErr w:type="spellStart"/>
      <w:r w:rsidRPr="00AD2516">
        <w:rPr>
          <w:rFonts w:ascii="Simplified Arabic" w:eastAsia="Times New Roman" w:hAnsi="Simplified Arabic" w:cs="Simplified Arabic"/>
          <w:color w:val="000000" w:themeColor="text1"/>
          <w:kern w:val="0"/>
          <w:sz w:val="28"/>
          <w:szCs w:val="28"/>
          <w14:ligatures w14:val="none"/>
        </w:rPr>
        <w:t>Hoces-Antesana</w:t>
      </w:r>
      <w:proofErr w:type="spellEnd"/>
      <w:r w:rsidRPr="00AD2516">
        <w:rPr>
          <w:rFonts w:ascii="Simplified Arabic" w:eastAsia="Times New Roman" w:hAnsi="Simplified Arabic" w:cs="Simplified Arabic"/>
          <w:color w:val="000000" w:themeColor="text1"/>
          <w:kern w:val="0"/>
          <w:sz w:val="28"/>
          <w:szCs w:val="28"/>
          <w14:ligatures w14:val="none"/>
        </w:rPr>
        <w:t xml:space="preserve"> &amp; Guerrero-Villa, 2024) </w:t>
      </w:r>
      <w:r w:rsidRPr="00AD2516">
        <w:rPr>
          <w:rFonts w:ascii="Simplified Arabic" w:eastAsia="Times New Roman" w:hAnsi="Simplified Arabic" w:cs="Simplified Arabic"/>
          <w:color w:val="000000" w:themeColor="text1"/>
          <w:kern w:val="0"/>
          <w:sz w:val="28"/>
          <w:szCs w:val="28"/>
          <w:rtl/>
          <w14:ligatures w14:val="none"/>
        </w:rPr>
        <w:t>أن أهمية تقليل الهدر تتجاوز البُعد الاقتصادي لتشمل أبعادًا استراتيجية أعمق؛ إذ يُسهم تقليل الهدر في تعزيز استدامة المنظمة، ورفع مستوى رضا العاملين لعملهم في بيئة أكثر تنظيمًا، وتحسين صورة المنظمة في نظر العملاء والشركاء، وتقليل مخاطر التوقف التشغيلي الناتج عن سوء إدارة الموارد. ويُضيف أن منهجية اللين وستة سيغما تُسهم في توفير إطار عمل منظم لتحديد الهدر بأنواعه المختلفة، وقياسه، ومعالجته بطريقة منهجية قابلة للتكرار</w:t>
      </w:r>
      <w:r w:rsidRPr="00AD2516">
        <w:rPr>
          <w:rFonts w:ascii="Simplified Arabic" w:eastAsia="Times New Roman" w:hAnsi="Simplified Arabic" w:cs="Simplified Arabic"/>
          <w:color w:val="000000" w:themeColor="text1"/>
          <w:kern w:val="0"/>
          <w:sz w:val="28"/>
          <w:szCs w:val="28"/>
          <w14:ligatures w14:val="none"/>
        </w:rPr>
        <w:t>.</w:t>
      </w:r>
    </w:p>
    <w:p w14:paraId="29A28346"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ويوضّح</w:t>
      </w:r>
      <w:r w:rsidRPr="00AD2516">
        <w:rPr>
          <w:rFonts w:ascii="Simplified Arabic" w:eastAsia="Times New Roman" w:hAnsi="Simplified Arabic" w:cs="Simplified Arabic"/>
          <w:color w:val="000000" w:themeColor="text1"/>
          <w:kern w:val="0"/>
          <w:sz w:val="28"/>
          <w:szCs w:val="28"/>
          <w14:ligatures w14:val="none"/>
        </w:rPr>
        <w:t xml:space="preserve"> (Mishra, 2024) </w:t>
      </w:r>
      <w:r w:rsidRPr="00AD2516">
        <w:rPr>
          <w:rFonts w:ascii="Simplified Arabic" w:eastAsia="Times New Roman" w:hAnsi="Simplified Arabic" w:cs="Simplified Arabic"/>
          <w:color w:val="000000" w:themeColor="text1"/>
          <w:kern w:val="0"/>
          <w:sz w:val="28"/>
          <w:szCs w:val="28"/>
          <w:rtl/>
          <w14:ligatures w14:val="none"/>
        </w:rPr>
        <w:t>أن أهمية تقليل الهدر في السياق البيئي المعاصر تكتسب بُعدًا مضاعفًا يتصل بمسؤولية المنظمة تجاه المجتمع والبيئة، إذ لم يعد الهدر مجرد كلفة داخلية بل تحوّل إلى أثر خارجي يُحاسَب عليه المنظمة من قِبل الجهات التنظيمية والعملاء المهتمين بالاستدامة. ومن ثمّ فإن تقليل الهدر يُصبح جزءًا من رأس المال السمعوي للمنظمة، لا مجرد بند في حساباتها التشغيلية</w:t>
      </w:r>
      <w:r w:rsidRPr="00AD2516">
        <w:rPr>
          <w:rFonts w:ascii="Simplified Arabic" w:eastAsia="Times New Roman" w:hAnsi="Simplified Arabic" w:cs="Simplified Arabic"/>
          <w:color w:val="000000" w:themeColor="text1"/>
          <w:kern w:val="0"/>
          <w:sz w:val="28"/>
          <w:szCs w:val="28"/>
          <w14:ligatures w14:val="none"/>
        </w:rPr>
        <w:t>.</w:t>
      </w:r>
    </w:p>
    <w:p w14:paraId="5A92EDAB"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ويرى الباحث أن أهمية هذا المتغير في سياق شركات الخدمات اللوجستية بالمنطقة الشرقية تتضاعف لسببين؛ الأول أن هذه الشركات تعمل في بيئة تتسم بارتفاع كثافة العمليات وضغط توقعات العملاء، والثاني أن نموّ الاقتصاد الرقمي وتوسع منصات التجارة الإلكترونية جعلا الكفاءة اللوجستية عنصرًا مركزيًا في سلسلة القيمة الوطنية، لا مجرد شأن داخلي للشركة</w:t>
      </w:r>
      <w:r w:rsidRPr="00AD2516">
        <w:rPr>
          <w:rFonts w:ascii="Simplified Arabic" w:eastAsia="Times New Roman" w:hAnsi="Simplified Arabic" w:cs="Simplified Arabic"/>
          <w:color w:val="000000" w:themeColor="text1"/>
          <w:kern w:val="0"/>
          <w:sz w:val="28"/>
          <w:szCs w:val="28"/>
          <w14:ligatures w14:val="none"/>
        </w:rPr>
        <w:t>.</w:t>
      </w:r>
    </w:p>
    <w:p w14:paraId="51B49FC6" w14:textId="74951150" w:rsidR="00404CF1" w:rsidRPr="00AD2516" w:rsidRDefault="00803014" w:rsidP="0080301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934674"/>
      <w:r w:rsidRPr="00AD2516">
        <w:rPr>
          <w:rFonts w:ascii="Simplified Arabic" w:eastAsia="Times New Roman" w:hAnsi="Simplified Arabic" w:cs="Simplified Arabic" w:hint="cs"/>
          <w:b/>
          <w:bCs/>
          <w:color w:val="000000" w:themeColor="text1"/>
          <w:kern w:val="0"/>
          <w:sz w:val="32"/>
          <w:szCs w:val="32"/>
          <w:rtl/>
          <w14:ligatures w14:val="none"/>
        </w:rPr>
        <w:t>4.2.2</w:t>
      </w:r>
      <w:r w:rsidR="00404CF1" w:rsidRPr="00AD2516">
        <w:rPr>
          <w:rFonts w:ascii="Simplified Arabic" w:eastAsia="Times New Roman" w:hAnsi="Simplified Arabic" w:cs="Simplified Arabic"/>
          <w:b/>
          <w:bCs/>
          <w:color w:val="000000" w:themeColor="text1"/>
          <w:kern w:val="0"/>
          <w:sz w:val="32"/>
          <w:szCs w:val="32"/>
          <w:rtl/>
          <w14:ligatures w14:val="none"/>
        </w:rPr>
        <w:t xml:space="preserve"> أهداف رفع كفاءة العمليات وتقليل الهدر</w:t>
      </w:r>
      <w:bookmarkEnd w:id="46"/>
    </w:p>
    <w:p w14:paraId="196242ED"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تتشعب الأهداف التي تسعى المنظمات إلى تحقيقها من وراء رفع كفاءة عملياتها وتقليل الهدر لديها، وتتوزع هذه الأهداف بين ما هو مباشر يتصل بالتكلفة، وما هو غير مباشر يتصل بالجودة وسمعة المنظمة وقدرتها على النمو</w:t>
      </w:r>
      <w:r w:rsidRPr="00AD2516">
        <w:rPr>
          <w:rFonts w:ascii="Simplified Arabic" w:eastAsia="Times New Roman" w:hAnsi="Simplified Arabic" w:cs="Simplified Arabic"/>
          <w:color w:val="000000" w:themeColor="text1"/>
          <w:kern w:val="0"/>
          <w:sz w:val="28"/>
          <w:szCs w:val="28"/>
          <w14:ligatures w14:val="none"/>
        </w:rPr>
        <w:t>.</w:t>
      </w:r>
    </w:p>
    <w:p w14:paraId="69AE4953" w14:textId="144904D3"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 xml:space="preserve">فمن منظور (الشمري، ٢٠٢٥)، تشمل الأهداف الرئيسية: تحسين سرعة إنجاز المهام الإدارية والتشغيلية، وهو ما يخدم </w:t>
      </w:r>
      <w:r w:rsidR="00803014" w:rsidRPr="00AD2516">
        <w:rPr>
          <w:rFonts w:ascii="Simplified Arabic" w:eastAsia="Times New Roman" w:hAnsi="Simplified Arabic" w:cs="Simplified Arabic"/>
          <w:color w:val="000000" w:themeColor="text1"/>
          <w:kern w:val="0"/>
          <w:sz w:val="28"/>
          <w:szCs w:val="28"/>
          <w:rtl/>
          <w14:ligatures w14:val="none"/>
        </w:rPr>
        <w:t>استجابة المنظمة لطلبات عملائها؛</w:t>
      </w:r>
      <w:r w:rsidRPr="00AD2516">
        <w:rPr>
          <w:rFonts w:ascii="Simplified Arabic" w:eastAsia="Times New Roman" w:hAnsi="Simplified Arabic" w:cs="Simplified Arabic"/>
          <w:color w:val="000000" w:themeColor="text1"/>
          <w:kern w:val="0"/>
          <w:sz w:val="28"/>
          <w:szCs w:val="28"/>
          <w:rtl/>
          <w14:ligatures w14:val="none"/>
        </w:rPr>
        <w:t xml:space="preserve"> تقليص الأخطاء البشرية عبر أتمتة المهام الروتينية وترك المهام ذات الطابع الحكمي للعنصر البشري؛ تحسين تجربة المستفيد النهائي عبر تقديم خدمة أكثر دقةً واتساقًا؛ تعزيز شفافية العمليات من خلال إخضاعها لأنظمة تتبّع ومتابعة قابلة للتدقيق</w:t>
      </w:r>
      <w:r w:rsidRPr="00AD2516">
        <w:rPr>
          <w:rFonts w:ascii="Simplified Arabic" w:eastAsia="Times New Roman" w:hAnsi="Simplified Arabic" w:cs="Simplified Arabic"/>
          <w:color w:val="000000" w:themeColor="text1"/>
          <w:kern w:val="0"/>
          <w:sz w:val="28"/>
          <w:szCs w:val="28"/>
          <w14:ligatures w14:val="none"/>
        </w:rPr>
        <w:t>.</w:t>
      </w:r>
    </w:p>
    <w:p w14:paraId="5E3FDD14" w14:textId="4567F680"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 xml:space="preserve">ويرى (علي، ٢٠٢٢) أن أهداف رفع الكفاءة الإنتاجية عبر ممارسات النظام والانضباط في بيئة العمل تتضمن: ترتيب موقع العمل وتبسيط مساراته لتقليل الحركة غير الضرورية؛ القضاء على الفاقد الناتج عن </w:t>
      </w:r>
      <w:r w:rsidRPr="00AD2516">
        <w:rPr>
          <w:rFonts w:ascii="Simplified Arabic" w:eastAsia="Times New Roman" w:hAnsi="Simplified Arabic" w:cs="Simplified Arabic"/>
          <w:color w:val="000000" w:themeColor="text1"/>
          <w:kern w:val="0"/>
          <w:sz w:val="28"/>
          <w:szCs w:val="28"/>
          <w:rtl/>
          <w14:ligatures w14:val="none"/>
        </w:rPr>
        <w:lastRenderedPageBreak/>
        <w:t xml:space="preserve">التخزين غير </w:t>
      </w:r>
      <w:r w:rsidR="00803014" w:rsidRPr="00AD2516">
        <w:rPr>
          <w:rFonts w:ascii="Simplified Arabic" w:eastAsia="Times New Roman" w:hAnsi="Simplified Arabic" w:cs="Simplified Arabic"/>
          <w:color w:val="000000" w:themeColor="text1"/>
          <w:kern w:val="0"/>
          <w:sz w:val="28"/>
          <w:szCs w:val="28"/>
          <w:rtl/>
          <w14:ligatures w14:val="none"/>
        </w:rPr>
        <w:t>المنظم وإعادة البحث عن الأدوات؛</w:t>
      </w:r>
      <w:r w:rsidR="00803014" w:rsidRPr="00AD2516">
        <w:rPr>
          <w:rFonts w:ascii="Simplified Arabic" w:eastAsia="Times New Roman" w:hAnsi="Simplified Arabic" w:cs="Simplified Arabic" w:hint="cs"/>
          <w:color w:val="000000" w:themeColor="text1"/>
          <w:kern w:val="0"/>
          <w:sz w:val="28"/>
          <w:szCs w:val="28"/>
          <w:rtl/>
          <w14:ligatures w14:val="none"/>
        </w:rPr>
        <w:t xml:space="preserve"> </w:t>
      </w:r>
      <w:r w:rsidRPr="00AD2516">
        <w:rPr>
          <w:rFonts w:ascii="Simplified Arabic" w:eastAsia="Times New Roman" w:hAnsi="Simplified Arabic" w:cs="Simplified Arabic"/>
          <w:color w:val="000000" w:themeColor="text1"/>
          <w:kern w:val="0"/>
          <w:sz w:val="28"/>
          <w:szCs w:val="28"/>
          <w:rtl/>
          <w14:ligatures w14:val="none"/>
        </w:rPr>
        <w:t>رفع مستوى السلامة المهنية عبر تقليل مصادر المخاطر الناتجة عن الفوضى؛ بناء ثقافة تحسين مستمر يشارك فيها جميع العاملين على اختلاف مستوياتهم</w:t>
      </w:r>
      <w:r w:rsidRPr="00AD2516">
        <w:rPr>
          <w:rFonts w:ascii="Simplified Arabic" w:eastAsia="Times New Roman" w:hAnsi="Simplified Arabic" w:cs="Simplified Arabic"/>
          <w:color w:val="000000" w:themeColor="text1"/>
          <w:kern w:val="0"/>
          <w:sz w:val="28"/>
          <w:szCs w:val="28"/>
          <w14:ligatures w14:val="none"/>
        </w:rPr>
        <w:t>.</w:t>
      </w:r>
    </w:p>
    <w:p w14:paraId="53111FA2" w14:textId="64F95250"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ويحدّد</w:t>
      </w:r>
      <w:r w:rsidRPr="00AD2516">
        <w:rPr>
          <w:rFonts w:ascii="Simplified Arabic" w:eastAsia="Times New Roman" w:hAnsi="Simplified Arabic" w:cs="Simplified Arabic"/>
          <w:color w:val="000000" w:themeColor="text1"/>
          <w:kern w:val="0"/>
          <w:sz w:val="28"/>
          <w:szCs w:val="28"/>
          <w14:ligatures w14:val="none"/>
        </w:rPr>
        <w:t xml:space="preserve"> (</w:t>
      </w:r>
      <w:proofErr w:type="spellStart"/>
      <w:r w:rsidRPr="00AD2516">
        <w:rPr>
          <w:rFonts w:ascii="Simplified Arabic" w:eastAsia="Times New Roman" w:hAnsi="Simplified Arabic" w:cs="Simplified Arabic"/>
          <w:color w:val="000000" w:themeColor="text1"/>
          <w:kern w:val="0"/>
          <w:sz w:val="28"/>
          <w:szCs w:val="28"/>
          <w14:ligatures w14:val="none"/>
        </w:rPr>
        <w:t>Hoces-Antesana</w:t>
      </w:r>
      <w:proofErr w:type="spellEnd"/>
      <w:r w:rsidRPr="00AD2516">
        <w:rPr>
          <w:rFonts w:ascii="Simplified Arabic" w:eastAsia="Times New Roman" w:hAnsi="Simplified Arabic" w:cs="Simplified Arabic"/>
          <w:color w:val="000000" w:themeColor="text1"/>
          <w:kern w:val="0"/>
          <w:sz w:val="28"/>
          <w:szCs w:val="28"/>
          <w14:ligatures w14:val="none"/>
        </w:rPr>
        <w:t xml:space="preserve"> &amp; Guerrero-Villa, 2024) </w:t>
      </w:r>
      <w:r w:rsidRPr="00AD2516">
        <w:rPr>
          <w:rFonts w:ascii="Simplified Arabic" w:eastAsia="Times New Roman" w:hAnsi="Simplified Arabic" w:cs="Simplified Arabic"/>
          <w:color w:val="000000" w:themeColor="text1"/>
          <w:kern w:val="0"/>
          <w:sz w:val="28"/>
          <w:szCs w:val="28"/>
          <w:rtl/>
          <w14:ligatures w14:val="none"/>
        </w:rPr>
        <w:t>جملةً من الأهداف من منظور اللين وستة سيغما، أبرزها: تحديد الأنشطة عديمة الق</w:t>
      </w:r>
      <w:r w:rsidR="00803014" w:rsidRPr="00AD2516">
        <w:rPr>
          <w:rFonts w:ascii="Simplified Arabic" w:eastAsia="Times New Roman" w:hAnsi="Simplified Arabic" w:cs="Simplified Arabic"/>
          <w:color w:val="000000" w:themeColor="text1"/>
          <w:kern w:val="0"/>
          <w:sz w:val="28"/>
          <w:szCs w:val="28"/>
          <w:rtl/>
          <w14:ligatures w14:val="none"/>
        </w:rPr>
        <w:t>يمة والقضاء عليها بصورة منهجية؛</w:t>
      </w:r>
      <w:r w:rsidRPr="00AD2516">
        <w:rPr>
          <w:rFonts w:ascii="Simplified Arabic" w:eastAsia="Times New Roman" w:hAnsi="Simplified Arabic" w:cs="Simplified Arabic"/>
          <w:color w:val="000000" w:themeColor="text1"/>
          <w:kern w:val="0"/>
          <w:sz w:val="28"/>
          <w:szCs w:val="28"/>
          <w:rtl/>
          <w14:ligatures w14:val="none"/>
        </w:rPr>
        <w:t xml:space="preserve"> تقليل التباين في الأداء بين الدورات المتتالية للعملية الواحدة؛ تقصير الزمن الكلي للدورة التشغيلية بما يُتيح خدمة عدد أكبر من العملاء بالموارد ذاتها؛ تحسين مستوى جودة المخرَج النهائي من خلال ضبط جودة المدخلات وجودة العملية معًا</w:t>
      </w:r>
      <w:r w:rsidRPr="00AD2516">
        <w:rPr>
          <w:rFonts w:ascii="Simplified Arabic" w:eastAsia="Times New Roman" w:hAnsi="Simplified Arabic" w:cs="Simplified Arabic"/>
          <w:color w:val="000000" w:themeColor="text1"/>
          <w:kern w:val="0"/>
          <w:sz w:val="28"/>
          <w:szCs w:val="28"/>
          <w14:ligatures w14:val="none"/>
        </w:rPr>
        <w:t>.</w:t>
      </w:r>
    </w:p>
    <w:p w14:paraId="52F75BBF" w14:textId="4BD7C312"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 xml:space="preserve">ويشير (علي، ٢٠٢٥) إلى أن الأهداف المرتبطة بالإدارة المالية بوصفها محرّكًا لكفاءة العمليات تشمل: ترشيد النفقات التشغيلية عبر ضبط قرارات الإنفاق وإخضاعها لمعايير عائد واضحة؛  تحسين إدارة السيولة بما يضمن </w:t>
      </w:r>
      <w:r w:rsidR="00803014" w:rsidRPr="00AD2516">
        <w:rPr>
          <w:rFonts w:ascii="Simplified Arabic" w:eastAsia="Times New Roman" w:hAnsi="Simplified Arabic" w:cs="Simplified Arabic"/>
          <w:color w:val="000000" w:themeColor="text1"/>
          <w:kern w:val="0"/>
          <w:sz w:val="28"/>
          <w:szCs w:val="28"/>
          <w:rtl/>
          <w14:ligatures w14:val="none"/>
        </w:rPr>
        <w:t>استمرار تدفق العمليات دون توقف؛</w:t>
      </w:r>
      <w:r w:rsidRPr="00AD2516">
        <w:rPr>
          <w:rFonts w:ascii="Simplified Arabic" w:eastAsia="Times New Roman" w:hAnsi="Simplified Arabic" w:cs="Simplified Arabic"/>
          <w:color w:val="000000" w:themeColor="text1"/>
          <w:kern w:val="0"/>
          <w:sz w:val="28"/>
          <w:szCs w:val="28"/>
          <w:rtl/>
          <w14:ligatures w14:val="none"/>
        </w:rPr>
        <w:t xml:space="preserve"> تعزيز قدرة المنظمة على تمويل مبادرات</w:t>
      </w:r>
      <w:r w:rsidR="00803014" w:rsidRPr="00AD2516">
        <w:rPr>
          <w:rFonts w:ascii="Simplified Arabic" w:eastAsia="Times New Roman" w:hAnsi="Simplified Arabic" w:cs="Simplified Arabic"/>
          <w:color w:val="000000" w:themeColor="text1"/>
          <w:kern w:val="0"/>
          <w:sz w:val="28"/>
          <w:szCs w:val="28"/>
          <w:rtl/>
          <w14:ligatures w14:val="none"/>
        </w:rPr>
        <w:t xml:space="preserve"> التطوير من فوائض التشغيل ذاته؛</w:t>
      </w:r>
      <w:r w:rsidRPr="00AD2516">
        <w:rPr>
          <w:rFonts w:ascii="Simplified Arabic" w:eastAsia="Times New Roman" w:hAnsi="Simplified Arabic" w:cs="Simplified Arabic"/>
          <w:color w:val="000000" w:themeColor="text1"/>
          <w:kern w:val="0"/>
          <w:sz w:val="28"/>
          <w:szCs w:val="28"/>
          <w:rtl/>
          <w14:ligatures w14:val="none"/>
        </w:rPr>
        <w:t xml:space="preserve"> تقليل الاعتماد على التمويل الخارجي مرتفع الكلفة من خلال تحسين دورة النقد التشغيلية</w:t>
      </w:r>
      <w:r w:rsidRPr="00AD2516">
        <w:rPr>
          <w:rFonts w:ascii="Simplified Arabic" w:eastAsia="Times New Roman" w:hAnsi="Simplified Arabic" w:cs="Simplified Arabic"/>
          <w:color w:val="000000" w:themeColor="text1"/>
          <w:kern w:val="0"/>
          <w:sz w:val="28"/>
          <w:szCs w:val="28"/>
          <w14:ligatures w14:val="none"/>
        </w:rPr>
        <w:t>.</w:t>
      </w:r>
    </w:p>
    <w:p w14:paraId="76879CAE" w14:textId="53FB3C8C"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ويضيف</w:t>
      </w:r>
      <w:r w:rsidRPr="00AD2516">
        <w:rPr>
          <w:rFonts w:ascii="Simplified Arabic" w:eastAsia="Times New Roman" w:hAnsi="Simplified Arabic" w:cs="Simplified Arabic"/>
          <w:color w:val="000000" w:themeColor="text1"/>
          <w:kern w:val="0"/>
          <w:sz w:val="28"/>
          <w:szCs w:val="28"/>
          <w14:ligatures w14:val="none"/>
        </w:rPr>
        <w:t xml:space="preserve"> (Mishra, 2024) </w:t>
      </w:r>
      <w:r w:rsidRPr="00AD2516">
        <w:rPr>
          <w:rFonts w:ascii="Simplified Arabic" w:eastAsia="Times New Roman" w:hAnsi="Simplified Arabic" w:cs="Simplified Arabic"/>
          <w:color w:val="000000" w:themeColor="text1"/>
          <w:kern w:val="0"/>
          <w:sz w:val="28"/>
          <w:szCs w:val="28"/>
          <w:rtl/>
          <w14:ligatures w14:val="none"/>
        </w:rPr>
        <w:t>بُعدًا يتصل بالاستدامة، حيث تشمل أهداف تقليل الهدر: خفض البصمة البيئية للمنظمة عبر ترشيد استهلاك الموارد الطبيعية؛ تعزيز ممارسات إعادة الاستخدام وإعادة التدوير داخل حلقات الإنتاج والخدمة؛ الالتزام بالمعايير التنظيمية والتشريعية المتعلقة بالإدارة البيئية للنفايات والمخرجات؛ بناء نموذج أعمال دائري يُحوّل الهدر المحتمل إلى مورد جديد يمكن استثماره. ويرى الباحث أن هذه الأهداف تتكامل في نسق واحد يتحرك من الاقتصاد إلى البيئة إلى السمعة، بما يجعل رفع الكفاءة وتقليل الهدر مشروعًا استراتيجيًا شاملًا لا برنامجًا تشغيليًا محدودًا</w:t>
      </w:r>
      <w:r w:rsidRPr="00AD2516">
        <w:rPr>
          <w:rFonts w:ascii="Simplified Arabic" w:eastAsia="Times New Roman" w:hAnsi="Simplified Arabic" w:cs="Simplified Arabic"/>
          <w:color w:val="000000" w:themeColor="text1"/>
          <w:kern w:val="0"/>
          <w:sz w:val="28"/>
          <w:szCs w:val="28"/>
          <w14:ligatures w14:val="none"/>
        </w:rPr>
        <w:t>.</w:t>
      </w:r>
    </w:p>
    <w:p w14:paraId="4B92A770" w14:textId="377254C7" w:rsidR="00404CF1" w:rsidRPr="00AD2516" w:rsidRDefault="00803014" w:rsidP="0080301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934675"/>
      <w:r w:rsidRPr="00AD2516">
        <w:rPr>
          <w:rFonts w:ascii="Simplified Arabic" w:eastAsia="Times New Roman" w:hAnsi="Simplified Arabic" w:cs="Simplified Arabic" w:hint="cs"/>
          <w:b/>
          <w:bCs/>
          <w:color w:val="000000" w:themeColor="text1"/>
          <w:kern w:val="0"/>
          <w:sz w:val="32"/>
          <w:szCs w:val="32"/>
          <w:rtl/>
          <w14:ligatures w14:val="none"/>
        </w:rPr>
        <w:t>5.2.2</w:t>
      </w:r>
      <w:r w:rsidR="00404CF1" w:rsidRPr="00AD2516">
        <w:rPr>
          <w:rFonts w:ascii="Simplified Arabic" w:eastAsia="Times New Roman" w:hAnsi="Simplified Arabic" w:cs="Simplified Arabic"/>
          <w:b/>
          <w:bCs/>
          <w:color w:val="000000" w:themeColor="text1"/>
          <w:kern w:val="0"/>
          <w:sz w:val="32"/>
          <w:szCs w:val="32"/>
          <w:rtl/>
          <w14:ligatures w14:val="none"/>
        </w:rPr>
        <w:t xml:space="preserve"> أبعاد رفع كفاءة العمليات وتقليل الهدر</w:t>
      </w:r>
      <w:bookmarkEnd w:id="47"/>
    </w:p>
    <w:p w14:paraId="542E40A3"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على الرغم من أن المتغير التابع في الدراسة الحالية جاء أحادي المحور من حيث القياس، فإن ذلك لا يعني أنه مفهوم بسيط، بل هو مفهوم مركّب يمكن تحليله إلى جملة من الأبعاد الفرعية التي تُغني الإطار النظري وتوضّح الجوانب التي تعمل عليها المؤشرات العشرة المستخدمة في القياس. وقد تم تحديد هذه الأبعاد الفرعية بناءً على دراستي</w:t>
      </w:r>
      <w:r w:rsidRPr="00AD2516">
        <w:rPr>
          <w:rFonts w:ascii="Simplified Arabic" w:eastAsia="Times New Roman" w:hAnsi="Simplified Arabic" w:cs="Simplified Arabic"/>
          <w:color w:val="000000" w:themeColor="text1"/>
          <w:kern w:val="0"/>
          <w:sz w:val="28"/>
          <w:szCs w:val="28"/>
          <w14:ligatures w14:val="none"/>
        </w:rPr>
        <w:t xml:space="preserve"> (</w:t>
      </w:r>
      <w:proofErr w:type="spellStart"/>
      <w:r w:rsidRPr="00AD2516">
        <w:rPr>
          <w:rFonts w:ascii="Simplified Arabic" w:eastAsia="Times New Roman" w:hAnsi="Simplified Arabic" w:cs="Simplified Arabic"/>
          <w:color w:val="000000" w:themeColor="text1"/>
          <w:kern w:val="0"/>
          <w:sz w:val="28"/>
          <w:szCs w:val="28"/>
          <w14:ligatures w14:val="none"/>
        </w:rPr>
        <w:t>Hoces-Antesana</w:t>
      </w:r>
      <w:proofErr w:type="spellEnd"/>
      <w:r w:rsidRPr="00AD2516">
        <w:rPr>
          <w:rFonts w:ascii="Simplified Arabic" w:eastAsia="Times New Roman" w:hAnsi="Simplified Arabic" w:cs="Simplified Arabic"/>
          <w:color w:val="000000" w:themeColor="text1"/>
          <w:kern w:val="0"/>
          <w:sz w:val="28"/>
          <w:szCs w:val="28"/>
          <w14:ligatures w14:val="none"/>
        </w:rPr>
        <w:t xml:space="preserve"> &amp; Guerrero-Villa, 2024) </w:t>
      </w:r>
      <w:r w:rsidRPr="00AD2516">
        <w:rPr>
          <w:rFonts w:ascii="Simplified Arabic" w:eastAsia="Times New Roman" w:hAnsi="Simplified Arabic" w:cs="Simplified Arabic"/>
          <w:color w:val="000000" w:themeColor="text1"/>
          <w:kern w:val="0"/>
          <w:sz w:val="28"/>
          <w:szCs w:val="28"/>
          <w:rtl/>
          <w14:ligatures w14:val="none"/>
        </w:rPr>
        <w:t xml:space="preserve">و(علي، ٢٠٢٢) </w:t>
      </w:r>
      <w:r w:rsidRPr="00AD2516">
        <w:rPr>
          <w:rFonts w:ascii="Simplified Arabic" w:eastAsia="Times New Roman" w:hAnsi="Simplified Arabic" w:cs="Simplified Arabic"/>
          <w:color w:val="000000" w:themeColor="text1"/>
          <w:kern w:val="0"/>
          <w:sz w:val="28"/>
          <w:szCs w:val="28"/>
          <w:rtl/>
          <w14:ligatures w14:val="none"/>
        </w:rPr>
        <w:lastRenderedPageBreak/>
        <w:t>بوصفهما من أبرز الدراسات التي عالجت البنية الداخلية لمفهوم الكفاءة والهدر، مع الاسترشاد بالمداخل الإضافية التي وفّرتها المراجع الأخرى</w:t>
      </w:r>
      <w:r w:rsidRPr="00AD2516">
        <w:rPr>
          <w:rFonts w:ascii="Simplified Arabic" w:eastAsia="Times New Roman" w:hAnsi="Simplified Arabic" w:cs="Simplified Arabic"/>
          <w:color w:val="000000" w:themeColor="text1"/>
          <w:kern w:val="0"/>
          <w:sz w:val="28"/>
          <w:szCs w:val="28"/>
          <w14:ligatures w14:val="none"/>
        </w:rPr>
        <w:t>.</w:t>
      </w:r>
    </w:p>
    <w:p w14:paraId="0D729BF6" w14:textId="77777777" w:rsidR="00404CF1" w:rsidRPr="00AD2516" w:rsidRDefault="00404CF1"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البُعد الفرعي الأول: كفاءة استخدام الموارد</w:t>
      </w:r>
    </w:p>
    <w:p w14:paraId="00D5F1AE"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يُشير هذا البُعد إلى قدرة المنظمة على تحقيق أقصى قدر من المخرجات من كل وحدة تُنفَق من الموارد المادية والبشرية والمالية والزمنية. ويقوم هذا البُعد على منطق أن الموارد شحيحة بطبيعتها، وأن التفوق التشغيلي يتحقق حين تُنجز المنظمة أعمالها بأقل قدر ممكن من الاستهلاك مع الحفاظ على مستوى الجودة المطلوب (علي، ٢٠٢٢). ويشمل هذا البُعد أيضًا كفاءة إدارة رأس المال العامل بوصفه موردًا ماليًا تشغيليًا حاسمًا، إذ إن الإدارة الرشيدة للمخزون والذمم المدينة والدائنة والنقد تُقلّص كلفة التشغيل وتُسرّع دورة التحويل النقدي (بيلي وداود، ٢٠٢٣). ويُضاف إلى ذلك البُعد المالي الأشمل الذي يربط بين قرارات التمويل والاستثمار وكفاءة العمليات، بحيث تُصبح كل قرارات التخصيص المالي مسنودةً بمنطق الكفاءة (علي، ٢٠٢٥)</w:t>
      </w:r>
      <w:r w:rsidRPr="00AD2516">
        <w:rPr>
          <w:rFonts w:ascii="Simplified Arabic" w:eastAsia="Times New Roman" w:hAnsi="Simplified Arabic" w:cs="Simplified Arabic"/>
          <w:color w:val="000000" w:themeColor="text1"/>
          <w:kern w:val="0"/>
          <w:sz w:val="28"/>
          <w:szCs w:val="28"/>
          <w14:ligatures w14:val="none"/>
        </w:rPr>
        <w:t>.</w:t>
      </w:r>
    </w:p>
    <w:p w14:paraId="2AA5545D" w14:textId="77777777" w:rsidR="00404CF1" w:rsidRPr="00AD2516" w:rsidRDefault="00404CF1"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البُعد الفرعي الثاني: كفاءة تدفق العمليات</w:t>
      </w:r>
    </w:p>
    <w:p w14:paraId="23A23773"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يتناول هذا البُعد الطريقة التي تنتقل بها العملية من مرحلة إلى أخرى داخل المنظمة، وما إذا كانت هذه الحركة سلسة أم متعثرة، وهل تتخللها اختناقات وتأخيرات وأعمال معادة أم أنها تسير بانسيابية من نقطة البدء إلى نقطة النهاية. ويقوم هذا البُعد على مبدأ أن قيمة المخرج النهائي لا تعتمد فقط على جودة المدخلات، بل على جودة المسار الذي قطعته المدخلات في طريقها إلى المخرج</w:t>
      </w:r>
      <w:r w:rsidRPr="00AD2516">
        <w:rPr>
          <w:rFonts w:ascii="Simplified Arabic" w:eastAsia="Times New Roman" w:hAnsi="Simplified Arabic" w:cs="Simplified Arabic"/>
          <w:color w:val="000000" w:themeColor="text1"/>
          <w:kern w:val="0"/>
          <w:sz w:val="28"/>
          <w:szCs w:val="28"/>
          <w14:ligatures w14:val="none"/>
        </w:rPr>
        <w:t xml:space="preserve"> (</w:t>
      </w:r>
      <w:proofErr w:type="spellStart"/>
      <w:r w:rsidRPr="00AD2516">
        <w:rPr>
          <w:rFonts w:ascii="Simplified Arabic" w:eastAsia="Times New Roman" w:hAnsi="Simplified Arabic" w:cs="Simplified Arabic"/>
          <w:color w:val="000000" w:themeColor="text1"/>
          <w:kern w:val="0"/>
          <w:sz w:val="28"/>
          <w:szCs w:val="28"/>
          <w14:ligatures w14:val="none"/>
        </w:rPr>
        <w:t>Hoces-Antesana</w:t>
      </w:r>
      <w:proofErr w:type="spellEnd"/>
      <w:r w:rsidRPr="00AD2516">
        <w:rPr>
          <w:rFonts w:ascii="Simplified Arabic" w:eastAsia="Times New Roman" w:hAnsi="Simplified Arabic" w:cs="Simplified Arabic"/>
          <w:color w:val="000000" w:themeColor="text1"/>
          <w:kern w:val="0"/>
          <w:sz w:val="28"/>
          <w:szCs w:val="28"/>
          <w14:ligatures w14:val="none"/>
        </w:rPr>
        <w:t xml:space="preserve"> &amp; Guerrero-Villa, 2024). </w:t>
      </w:r>
      <w:r w:rsidRPr="00AD2516">
        <w:rPr>
          <w:rFonts w:ascii="Simplified Arabic" w:eastAsia="Times New Roman" w:hAnsi="Simplified Arabic" w:cs="Simplified Arabic"/>
          <w:color w:val="000000" w:themeColor="text1"/>
          <w:kern w:val="0"/>
          <w:sz w:val="28"/>
          <w:szCs w:val="28"/>
          <w:rtl/>
          <w14:ligatures w14:val="none"/>
        </w:rPr>
        <w:t>ويشمل هذا البُعد تقليل زمن الانتظار بين المراحل، والقضاء على الأنشطة عديمة القيمة، وتقليل التباين بين الدورات المتتالية للعملية الواحدة، وضبط جودة كل مرحلة لتقليل الأعمال المعادة</w:t>
      </w:r>
      <w:r w:rsidRPr="00AD2516">
        <w:rPr>
          <w:rFonts w:ascii="Simplified Arabic" w:eastAsia="Times New Roman" w:hAnsi="Simplified Arabic" w:cs="Simplified Arabic"/>
          <w:color w:val="000000" w:themeColor="text1"/>
          <w:kern w:val="0"/>
          <w:sz w:val="28"/>
          <w:szCs w:val="28"/>
          <w14:ligatures w14:val="none"/>
        </w:rPr>
        <w:t>.</w:t>
      </w:r>
    </w:p>
    <w:p w14:paraId="2135F695" w14:textId="77777777" w:rsidR="00404CF1" w:rsidRPr="00AD2516" w:rsidRDefault="00404CF1"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البُعد الفرعي الثالث: تقليل الهدر بأنواعه المختلفة</w:t>
      </w:r>
    </w:p>
    <w:p w14:paraId="2E416C03"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يتناول هذا البُعد الجهد المنظّم للتعرف على مظاهر الهدر داخل المنظمة والقضاء عليها بصورة منهجية. ويُعرَّف الهدر هنا بوصفه أي استخدام للموارد لا يُنتج قيمةً مقابلة، ويشمل ذلك هدر المواد والوقت والحركة والطاقة والمخزون الزائد والأعمال المعادة والانتظار</w:t>
      </w:r>
      <w:r w:rsidRPr="00AD2516">
        <w:rPr>
          <w:rFonts w:ascii="Simplified Arabic" w:eastAsia="Times New Roman" w:hAnsi="Simplified Arabic" w:cs="Simplified Arabic"/>
          <w:color w:val="000000" w:themeColor="text1"/>
          <w:kern w:val="0"/>
          <w:sz w:val="28"/>
          <w:szCs w:val="28"/>
          <w14:ligatures w14:val="none"/>
        </w:rPr>
        <w:t xml:space="preserve"> (Mishra, 2024). </w:t>
      </w:r>
      <w:r w:rsidRPr="00AD2516">
        <w:rPr>
          <w:rFonts w:ascii="Simplified Arabic" w:eastAsia="Times New Roman" w:hAnsi="Simplified Arabic" w:cs="Simplified Arabic"/>
          <w:color w:val="000000" w:themeColor="text1"/>
          <w:kern w:val="0"/>
          <w:sz w:val="28"/>
          <w:szCs w:val="28"/>
          <w:rtl/>
          <w14:ligatures w14:val="none"/>
        </w:rPr>
        <w:t xml:space="preserve">ويتميّز هذا البُعد بأنه </w:t>
      </w:r>
      <w:r w:rsidRPr="00AD2516">
        <w:rPr>
          <w:rFonts w:ascii="Simplified Arabic" w:eastAsia="Times New Roman" w:hAnsi="Simplified Arabic" w:cs="Simplified Arabic"/>
          <w:color w:val="000000" w:themeColor="text1"/>
          <w:kern w:val="0"/>
          <w:sz w:val="28"/>
          <w:szCs w:val="28"/>
          <w:rtl/>
          <w14:ligatures w14:val="none"/>
        </w:rPr>
        <w:lastRenderedPageBreak/>
        <w:t>يمتد ليشمل الجانب البيئي، إذ يُنظر إلى المخرجات غير المستثمرة بوصفها هدرًا يستحق التخفيض والمعالجة، وليس مجرد ناتج ثانوي للعملية. ويرتبط تقليل الهدر ارتباطًا مباشرًا بمنهجيات التحسين المستمر التي تجعل من مواجهة الهدر ممارسةً يومية لا حدثًا استثنائيًا</w:t>
      </w:r>
      <w:r w:rsidRPr="00AD2516">
        <w:rPr>
          <w:rFonts w:ascii="Simplified Arabic" w:eastAsia="Times New Roman" w:hAnsi="Simplified Arabic" w:cs="Simplified Arabic"/>
          <w:color w:val="000000" w:themeColor="text1"/>
          <w:kern w:val="0"/>
          <w:sz w:val="28"/>
          <w:szCs w:val="28"/>
          <w14:ligatures w14:val="none"/>
        </w:rPr>
        <w:t>.</w:t>
      </w:r>
    </w:p>
    <w:p w14:paraId="1ED981ED" w14:textId="77777777" w:rsidR="00404CF1" w:rsidRPr="00AD2516" w:rsidRDefault="00404CF1"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البُعد الفرعي الرابع: كفاءة الاستجابة والمرونة</w:t>
      </w:r>
    </w:p>
    <w:p w14:paraId="195A203A"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يُشير هذا البُعد إلى قدرة المنظمة على الاستجابة السريعة للمتغيرات الخارجية سواءٌ أكانت تقلبات في الطلب، أم اضطرابات في التوريد، أم تحوّلات في تفضيلات العملاء. ويقوم هذا البُعد على أن الكفاءة الحقيقية لا تُقاس في الأوضاع المستقرة فحسب، بل تظهر بوضوح في القدرة على الحفاظ على الأداء عند تغيّر الظروف. ويرتبط هذا البُعد بمرونة سلاسل التوريد بوصفها إحدى ثمار تبني تقنيات الثورة الصناعية الرابعة</w:t>
      </w:r>
      <w:r w:rsidRPr="00AD2516">
        <w:rPr>
          <w:rFonts w:ascii="Simplified Arabic" w:eastAsia="Times New Roman" w:hAnsi="Simplified Arabic" w:cs="Simplified Arabic"/>
          <w:color w:val="000000" w:themeColor="text1"/>
          <w:kern w:val="0"/>
          <w:sz w:val="28"/>
          <w:szCs w:val="28"/>
          <w14:ligatures w14:val="none"/>
        </w:rPr>
        <w:t xml:space="preserve"> (</w:t>
      </w:r>
      <w:proofErr w:type="spellStart"/>
      <w:r w:rsidRPr="00AD2516">
        <w:rPr>
          <w:rFonts w:ascii="Simplified Arabic" w:eastAsia="Times New Roman" w:hAnsi="Simplified Arabic" w:cs="Simplified Arabic"/>
          <w:color w:val="000000" w:themeColor="text1"/>
          <w:kern w:val="0"/>
          <w:sz w:val="28"/>
          <w:szCs w:val="28"/>
          <w14:ligatures w14:val="none"/>
        </w:rPr>
        <w:t>Marinagi</w:t>
      </w:r>
      <w:proofErr w:type="spellEnd"/>
      <w:r w:rsidRPr="00AD2516">
        <w:rPr>
          <w:rFonts w:ascii="Simplified Arabic" w:eastAsia="Times New Roman" w:hAnsi="Simplified Arabic" w:cs="Simplified Arabic"/>
          <w:color w:val="000000" w:themeColor="text1"/>
          <w:kern w:val="0"/>
          <w:sz w:val="28"/>
          <w:szCs w:val="28"/>
          <w14:ligatures w14:val="none"/>
        </w:rPr>
        <w:t xml:space="preserve"> et al., 2023). </w:t>
      </w:r>
      <w:r w:rsidRPr="00AD2516">
        <w:rPr>
          <w:rFonts w:ascii="Simplified Arabic" w:eastAsia="Times New Roman" w:hAnsi="Simplified Arabic" w:cs="Simplified Arabic"/>
          <w:color w:val="000000" w:themeColor="text1"/>
          <w:kern w:val="0"/>
          <w:sz w:val="28"/>
          <w:szCs w:val="28"/>
          <w:rtl/>
          <w14:ligatures w14:val="none"/>
        </w:rPr>
        <w:t>كما يرتبط بقدرة المنظمة على تعديل تخصيص مواردها بسرعة وفق ما تُمليه المتغيرات، وهو ما يُميّز المنظمة الرشيقة عن المنظمة الجامدة</w:t>
      </w:r>
      <w:r w:rsidRPr="00AD2516">
        <w:rPr>
          <w:rFonts w:ascii="Simplified Arabic" w:eastAsia="Times New Roman" w:hAnsi="Simplified Arabic" w:cs="Simplified Arabic"/>
          <w:color w:val="000000" w:themeColor="text1"/>
          <w:kern w:val="0"/>
          <w:sz w:val="28"/>
          <w:szCs w:val="28"/>
          <w14:ligatures w14:val="none"/>
        </w:rPr>
        <w:t>.</w:t>
      </w:r>
    </w:p>
    <w:p w14:paraId="319318F7" w14:textId="77777777" w:rsidR="00404CF1" w:rsidRPr="00AD2516" w:rsidRDefault="00404CF1" w:rsidP="0099780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D2516">
        <w:rPr>
          <w:rFonts w:ascii="Simplified Arabic" w:eastAsia="Times New Roman" w:hAnsi="Simplified Arabic" w:cs="Simplified Arabic"/>
          <w:b/>
          <w:bCs/>
          <w:color w:val="000000" w:themeColor="text1"/>
          <w:kern w:val="0"/>
          <w:sz w:val="28"/>
          <w:szCs w:val="28"/>
          <w:rtl/>
          <w14:ligatures w14:val="none"/>
        </w:rPr>
        <w:t>البُعد الفرعي الخامس: كفاءة القرار الإداري وأتمتة العمليات</w:t>
      </w:r>
    </w:p>
    <w:p w14:paraId="73318D4A"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يتناول هذا البُعد الجانب الإداري-المعلوماتي لكفاءة العمليات، ويُشير إلى مدى قدرة المنظمة على اتخاذ قرارات دقيقة وسريعة مسنودة بمعطيات موثوقة، وعلى أتمتة المهام الروتينية بحيث يتفرغ العنصر البشري للمهام الأعلى قيمة. ويعتمد هذا البُعد على توظيف الأدوات الذكية في العمليات الإدارية، بحيث تتحوّل المنظمة من نموذج إداري بطيء يعتمد على المعالجة اليدوية للبيانات إلى نموذج مرن يعتمد على المعالجة الذكية (الشمري، ٢٠٢٥). ويرتبط هذا البُعد أيضًا بأتمتة تدفقات العمل بين الفرق المتعددة بما يقلل الازدواجية ويُسرّع دورة الإنجاز</w:t>
      </w:r>
      <w:r w:rsidRPr="00AD2516">
        <w:rPr>
          <w:rFonts w:ascii="Simplified Arabic" w:eastAsia="Times New Roman" w:hAnsi="Simplified Arabic" w:cs="Simplified Arabic"/>
          <w:color w:val="000000" w:themeColor="text1"/>
          <w:kern w:val="0"/>
          <w:sz w:val="28"/>
          <w:szCs w:val="28"/>
          <w14:ligatures w14:val="none"/>
        </w:rPr>
        <w:t xml:space="preserve"> (Adepoju et al., 2022).</w:t>
      </w:r>
    </w:p>
    <w:p w14:paraId="4F063200" w14:textId="7D0CAA08" w:rsidR="00404CF1" w:rsidRPr="00AD2516" w:rsidRDefault="00803014" w:rsidP="0080301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934676"/>
      <w:r w:rsidRPr="00AD2516">
        <w:rPr>
          <w:rFonts w:ascii="Simplified Arabic" w:eastAsia="Times New Roman" w:hAnsi="Simplified Arabic" w:cs="Simplified Arabic" w:hint="cs"/>
          <w:b/>
          <w:bCs/>
          <w:color w:val="000000" w:themeColor="text1"/>
          <w:kern w:val="0"/>
          <w:sz w:val="32"/>
          <w:szCs w:val="32"/>
          <w:rtl/>
          <w14:ligatures w14:val="none"/>
        </w:rPr>
        <w:t>6.2.2</w:t>
      </w:r>
      <w:r w:rsidR="00404CF1" w:rsidRPr="00AD2516">
        <w:rPr>
          <w:rFonts w:ascii="Simplified Arabic" w:eastAsia="Times New Roman" w:hAnsi="Simplified Arabic" w:cs="Simplified Arabic"/>
          <w:b/>
          <w:bCs/>
          <w:color w:val="000000" w:themeColor="text1"/>
          <w:kern w:val="0"/>
          <w:sz w:val="32"/>
          <w:szCs w:val="32"/>
          <w:rtl/>
          <w14:ligatures w14:val="none"/>
        </w:rPr>
        <w:t xml:space="preserve"> المداخل النظرية المفسّرة للمفهوم</w:t>
      </w:r>
      <w:bookmarkEnd w:id="48"/>
    </w:p>
    <w:p w14:paraId="3BB911A0" w14:textId="77777777" w:rsidR="00404CF1" w:rsidRPr="00AD2516" w:rsidRDefault="00404CF1" w:rsidP="0080301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D2516">
        <w:rPr>
          <w:rFonts w:ascii="Simplified Arabic" w:eastAsia="Times New Roman" w:hAnsi="Simplified Arabic" w:cs="Simplified Arabic"/>
          <w:color w:val="000000" w:themeColor="text1"/>
          <w:kern w:val="0"/>
          <w:sz w:val="28"/>
          <w:szCs w:val="28"/>
          <w:rtl/>
          <w14:ligatures w14:val="none"/>
        </w:rPr>
        <w:t>يمكن مقاربة رفع كفاءة العمليات وتقليل الهدر من خلال عدة مداخل نظرية متكاملة. فمن مدخل اللين وستة سيغما، يُنظر إلى الكفاءة بوصفها ثمرةً لعملية منهجية لتحديد الهدر والقضاء عليه</w:t>
      </w:r>
      <w:r w:rsidRPr="00AD2516">
        <w:rPr>
          <w:rFonts w:ascii="Simplified Arabic" w:eastAsia="Times New Roman" w:hAnsi="Simplified Arabic" w:cs="Simplified Arabic"/>
          <w:color w:val="000000" w:themeColor="text1"/>
          <w:kern w:val="0"/>
          <w:sz w:val="28"/>
          <w:szCs w:val="28"/>
          <w14:ligatures w14:val="none"/>
        </w:rPr>
        <w:t xml:space="preserve"> (</w:t>
      </w:r>
      <w:proofErr w:type="spellStart"/>
      <w:r w:rsidRPr="00AD2516">
        <w:rPr>
          <w:rFonts w:ascii="Simplified Arabic" w:eastAsia="Times New Roman" w:hAnsi="Simplified Arabic" w:cs="Simplified Arabic"/>
          <w:color w:val="000000" w:themeColor="text1"/>
          <w:kern w:val="0"/>
          <w:sz w:val="28"/>
          <w:szCs w:val="28"/>
          <w14:ligatures w14:val="none"/>
        </w:rPr>
        <w:t>Hoces-Antesana</w:t>
      </w:r>
      <w:proofErr w:type="spellEnd"/>
      <w:r w:rsidRPr="00AD2516">
        <w:rPr>
          <w:rFonts w:ascii="Simplified Arabic" w:eastAsia="Times New Roman" w:hAnsi="Simplified Arabic" w:cs="Simplified Arabic"/>
          <w:color w:val="000000" w:themeColor="text1"/>
          <w:kern w:val="0"/>
          <w:sz w:val="28"/>
          <w:szCs w:val="28"/>
          <w14:ligatures w14:val="none"/>
        </w:rPr>
        <w:t xml:space="preserve"> &amp; Guerrero-Villa, 2024). </w:t>
      </w:r>
      <w:r w:rsidRPr="00AD2516">
        <w:rPr>
          <w:rFonts w:ascii="Simplified Arabic" w:eastAsia="Times New Roman" w:hAnsi="Simplified Arabic" w:cs="Simplified Arabic"/>
          <w:color w:val="000000" w:themeColor="text1"/>
          <w:kern w:val="0"/>
          <w:sz w:val="28"/>
          <w:szCs w:val="28"/>
          <w:rtl/>
          <w14:ligatures w14:val="none"/>
        </w:rPr>
        <w:t xml:space="preserve">ومن مدخل ممارسات النظام والانضباط في بيئة العمل، يُنظر إليها باعتبارها مخرجًا لثقافة تنظيمية تُقدّس الترتيب وتُبغض الفوضى (علي، ٢٠٢٢). ومن مدخل التعهيد وإعادة توزيع الأنشطة، تُقارب الكفاءة بوصفها ناتجًا لقرارات استراتيجية بشأن ما تحتفظ به المنظمة </w:t>
      </w:r>
      <w:r w:rsidRPr="00AD2516">
        <w:rPr>
          <w:rFonts w:ascii="Simplified Arabic" w:eastAsia="Times New Roman" w:hAnsi="Simplified Arabic" w:cs="Simplified Arabic"/>
          <w:color w:val="000000" w:themeColor="text1"/>
          <w:kern w:val="0"/>
          <w:sz w:val="28"/>
          <w:szCs w:val="28"/>
          <w:rtl/>
          <w14:ligatures w14:val="none"/>
        </w:rPr>
        <w:lastRenderedPageBreak/>
        <w:t>داخليًا وما تُسنده لغيرها (حسن وآخرون، ٢٠٢٥). ومن مدخل التحول الرقمي، تُنظر باعتبارها ثمرةً لتوظيف النظم السحابية والذكاء الاصطناعي (الجنيدي وآخرون، ٢٠٢٥؛ الشمري، ٢٠٢٥). ومن مدخل الإدارة المالية، تُقارَب بوصفها انعكاسًا لجودة القرارات المالية التي توجّه تخصيص الموارد (علي، ٢٠٢٥؛ بيلي وداود، ٢٠٢٣). ومن مدخل الاستدامة، تُنظر باعتبارها التزامًا تجاه المحيط الأوسع للمنظمة</w:t>
      </w:r>
      <w:r w:rsidRPr="00AD2516">
        <w:rPr>
          <w:rFonts w:ascii="Simplified Arabic" w:eastAsia="Times New Roman" w:hAnsi="Simplified Arabic" w:cs="Simplified Arabic"/>
          <w:color w:val="000000" w:themeColor="text1"/>
          <w:kern w:val="0"/>
          <w:sz w:val="28"/>
          <w:szCs w:val="28"/>
          <w14:ligatures w14:val="none"/>
        </w:rPr>
        <w:t xml:space="preserve"> (Mishra, 2024). </w:t>
      </w:r>
      <w:r w:rsidRPr="00AD2516">
        <w:rPr>
          <w:rFonts w:ascii="Simplified Arabic" w:eastAsia="Times New Roman" w:hAnsi="Simplified Arabic" w:cs="Simplified Arabic"/>
          <w:color w:val="000000" w:themeColor="text1"/>
          <w:kern w:val="0"/>
          <w:sz w:val="28"/>
          <w:szCs w:val="28"/>
          <w:rtl/>
          <w14:ligatures w14:val="none"/>
        </w:rPr>
        <w:t>ويرى الباحث أن هذه المداخل تُشكّل شبكةً متكاملة، وأن أي محاولة لفهم كفاءة العمليات في شركات الخدمات اللوجستية لا بد أن تدمج بينها بدلًا من الاقتصار على أحدها</w:t>
      </w:r>
      <w:r w:rsidRPr="00AD2516">
        <w:rPr>
          <w:rFonts w:ascii="Simplified Arabic" w:eastAsia="Times New Roman" w:hAnsi="Simplified Arabic" w:cs="Simplified Arabic"/>
          <w:color w:val="000000" w:themeColor="text1"/>
          <w:kern w:val="0"/>
          <w:sz w:val="28"/>
          <w:szCs w:val="28"/>
          <w14:ligatures w14:val="none"/>
        </w:rPr>
        <w:t>.</w:t>
      </w:r>
    </w:p>
    <w:p w14:paraId="0455CFE0" w14:textId="5D34E24C" w:rsidR="00654B7B" w:rsidRPr="00AD2516" w:rsidRDefault="00803014" w:rsidP="00D55ECD">
      <w:pPr>
        <w:jc w:val="center"/>
        <w:outlineLvl w:val="0"/>
        <w:rPr>
          <w:rFonts w:ascii="Simplified Arabic" w:hAnsi="Simplified Arabic" w:cs="Simplified Arabic"/>
          <w:b/>
          <w:bCs/>
          <w:color w:val="000000" w:themeColor="text1"/>
          <w:szCs w:val="28"/>
          <w:rtl/>
        </w:rPr>
        <w:sectPr w:rsidR="00654B7B" w:rsidRPr="00AD2516" w:rsidSect="00997804">
          <w:footerReference w:type="default" r:id="rId10"/>
          <w:pgSz w:w="11906" w:h="16838" w:code="9"/>
          <w:pgMar w:top="1134" w:right="1701" w:bottom="1134" w:left="1134" w:header="720" w:footer="720" w:gutter="0"/>
          <w:pgNumType w:start="1"/>
          <w:cols w:space="708"/>
          <w:bidi/>
          <w:rtlGutter/>
          <w:docGrid w:linePitch="360"/>
        </w:sectPr>
      </w:pPr>
      <w:r w:rsidRPr="00AD2516">
        <w:rPr>
          <w:rFonts w:ascii="Simplified Arabic" w:eastAsia="Times New Roman" w:hAnsi="Simplified Arabic" w:cs="Simplified Arabic"/>
          <w:b/>
          <w:bCs/>
          <w:color w:val="000000" w:themeColor="text1"/>
          <w:kern w:val="0"/>
          <w:sz w:val="40"/>
          <w:szCs w:val="40"/>
          <w14:ligatures w14:val="none"/>
        </w:rPr>
        <w:br w:type="page"/>
      </w:r>
      <w:bookmarkEnd w:id="23"/>
    </w:p>
    <w:p w14:paraId="29D4231B" w14:textId="6B3A547A" w:rsidR="0081623B" w:rsidRPr="00AD2516" w:rsidRDefault="00E27D3B" w:rsidP="0099780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D2516">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5D2D2CFD">
            <wp:simplePos x="0" y="0"/>
            <wp:positionH relativeFrom="column">
              <wp:posOffset>4293870</wp:posOffset>
            </wp:positionH>
            <wp:positionV relativeFrom="paragraph">
              <wp:posOffset>0</wp:posOffset>
            </wp:positionV>
            <wp:extent cx="1346835" cy="1247140"/>
            <wp:effectExtent l="0" t="0" r="5715" b="0"/>
            <wp:wrapTight wrapText="bothSides">
              <wp:wrapPolygon edited="0">
                <wp:start x="0" y="0"/>
                <wp:lineTo x="0" y="21116"/>
                <wp:lineTo x="21386" y="21116"/>
                <wp:lineTo x="2138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6835" cy="124714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AD2516">
        <w:rPr>
          <w:rFonts w:asciiTheme="majorBidi" w:eastAsia="Calibri" w:hAnsiTheme="majorBidi" w:cstheme="majorBidi"/>
          <w:b/>
          <w:bCs/>
          <w:color w:val="000000" w:themeColor="text1"/>
          <w:kern w:val="0"/>
          <w:sz w:val="32"/>
          <w:szCs w:val="32"/>
          <w:lang w:bidi="ar-EG"/>
          <w14:ligatures w14:val="none"/>
        </w:rPr>
        <w:t>Mid</w:t>
      </w:r>
      <w:r w:rsidR="000D353F" w:rsidRPr="00AD2516">
        <w:rPr>
          <w:rFonts w:asciiTheme="majorBidi" w:eastAsia="Calibri" w:hAnsiTheme="majorBidi" w:cstheme="majorBidi"/>
          <w:b/>
          <w:bCs/>
          <w:color w:val="000000" w:themeColor="text1"/>
          <w:kern w:val="0"/>
          <w:sz w:val="32"/>
          <w:szCs w:val="32"/>
          <w:lang w:bidi="ar-EG"/>
          <w14:ligatures w14:val="none"/>
        </w:rPr>
        <w:t xml:space="preserve"> </w:t>
      </w:r>
      <w:r w:rsidR="0081623B" w:rsidRPr="00AD2516">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AD2516" w:rsidRDefault="0081623B" w:rsidP="0099780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D2516">
        <w:rPr>
          <w:rFonts w:asciiTheme="majorBidi" w:eastAsia="Calibri" w:hAnsiTheme="majorBidi" w:cstheme="majorBidi"/>
          <w:b/>
          <w:bCs/>
          <w:color w:val="000000" w:themeColor="text1"/>
          <w:kern w:val="0"/>
          <w:sz w:val="32"/>
          <w:szCs w:val="32"/>
          <w:lang w:bidi="ar-EG"/>
          <w14:ligatures w14:val="none"/>
        </w:rPr>
        <w:t>College of Management</w:t>
      </w:r>
    </w:p>
    <w:p w14:paraId="04411127" w14:textId="34192C8E" w:rsidR="00E27D3B" w:rsidRPr="00AD2516" w:rsidRDefault="00734767" w:rsidP="0099780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AD2516">
        <w:rPr>
          <w:rFonts w:asciiTheme="majorBidi" w:eastAsia="Calibri" w:hAnsiTheme="majorBidi" w:cstheme="majorBidi"/>
          <w:b/>
          <w:bCs/>
          <w:color w:val="000000" w:themeColor="text1"/>
          <w:kern w:val="0"/>
          <w:sz w:val="32"/>
          <w:szCs w:val="32"/>
          <w:lang w:bidi="ar-EG"/>
          <w14:ligatures w14:val="none"/>
        </w:rPr>
        <w:t xml:space="preserve">Master of </w:t>
      </w:r>
      <w:r w:rsidR="002E19C7" w:rsidRPr="00AD2516">
        <w:rPr>
          <w:rFonts w:asciiTheme="majorBidi" w:eastAsia="Calibri" w:hAnsiTheme="majorBidi" w:cstheme="majorBidi"/>
          <w:b/>
          <w:bCs/>
          <w:color w:val="000000" w:themeColor="text1"/>
          <w:kern w:val="0"/>
          <w:sz w:val="32"/>
          <w:szCs w:val="32"/>
          <w:lang w:bidi="ar-EG"/>
          <w14:ligatures w14:val="none"/>
        </w:rPr>
        <w:t>business</w:t>
      </w:r>
      <w:r w:rsidRPr="00AD2516">
        <w:rPr>
          <w:rFonts w:asciiTheme="majorBidi" w:eastAsia="Calibri" w:hAnsiTheme="majorBidi" w:cstheme="majorBidi"/>
          <w:b/>
          <w:bCs/>
          <w:color w:val="000000" w:themeColor="text1"/>
          <w:kern w:val="0"/>
          <w:sz w:val="32"/>
          <w:szCs w:val="32"/>
          <w:lang w:bidi="ar-EG"/>
          <w14:ligatures w14:val="none"/>
        </w:rPr>
        <w:t xml:space="preserve"> Administration</w:t>
      </w:r>
    </w:p>
    <w:p w14:paraId="68E9861C" w14:textId="77777777" w:rsidR="00734767" w:rsidRPr="00AD2516" w:rsidRDefault="00734767" w:rsidP="0099780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14:ligatures w14:val="none"/>
        </w:rPr>
      </w:pPr>
    </w:p>
    <w:p w14:paraId="79035E6D" w14:textId="77777777" w:rsidR="004F2A3D" w:rsidRPr="00AD2516" w:rsidRDefault="004F2A3D" w:rsidP="00654B7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14:ligatures w14:val="none"/>
        </w:rPr>
      </w:pPr>
      <w:r w:rsidRPr="00AD2516">
        <w:rPr>
          <w:rFonts w:asciiTheme="majorBidi" w:eastAsia="Calibri" w:hAnsiTheme="majorBidi" w:cstheme="majorBidi"/>
          <w:b/>
          <w:bCs/>
          <w:color w:val="000000" w:themeColor="text1"/>
          <w:kern w:val="0"/>
          <w:sz w:val="36"/>
          <w:szCs w:val="36"/>
          <w14:ligatures w14:val="none"/>
        </w:rPr>
        <w:t>The Impact of Implementing Smart Performance Indicators Based on Predictive Analytics on Enhancing Operational Efficiency and Reducing Waste: An Applied Study on Logistics Companies in the Eastern Province</w:t>
      </w:r>
    </w:p>
    <w:p w14:paraId="1ACEE752" w14:textId="77777777" w:rsidR="00654B7B" w:rsidRPr="00AD2516" w:rsidRDefault="00654B7B" w:rsidP="00654B7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57076D83" w:rsidR="000D353F" w:rsidRPr="00AD2516" w:rsidRDefault="000D353F" w:rsidP="00654B7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AD2516">
        <w:rPr>
          <w:rFonts w:asciiTheme="majorBidi" w:eastAsia="Calibri" w:hAnsiTheme="majorBidi" w:cstheme="majorBidi"/>
          <w:b/>
          <w:bCs/>
          <w:color w:val="000000" w:themeColor="text1"/>
          <w:kern w:val="0"/>
          <w:sz w:val="36"/>
          <w:szCs w:val="36"/>
          <w:lang w:bidi="ar-EG"/>
          <w14:ligatures w14:val="none"/>
        </w:rPr>
        <w:t>Prepared by:</w:t>
      </w:r>
    </w:p>
    <w:p w14:paraId="2E481325" w14:textId="77777777" w:rsidR="00CE4929" w:rsidRPr="00A50EFF" w:rsidRDefault="00CE4929" w:rsidP="00CE4929">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A50EFF">
        <w:rPr>
          <w:rFonts w:asciiTheme="majorBidi" w:eastAsia="Calibri" w:hAnsiTheme="majorBidi" w:cstheme="majorBidi"/>
          <w:color w:val="000000" w:themeColor="text1"/>
          <w:kern w:val="0"/>
          <w:sz w:val="36"/>
          <w:szCs w:val="36"/>
          <w:lang w:bidi="ar-EG"/>
          <w14:ligatures w14:val="none"/>
        </w:rPr>
        <w:t xml:space="preserve">Anas Muneer </w:t>
      </w:r>
      <w:proofErr w:type="spellStart"/>
      <w:r w:rsidRPr="00A50EFF">
        <w:rPr>
          <w:rFonts w:asciiTheme="majorBidi" w:eastAsia="Calibri" w:hAnsiTheme="majorBidi" w:cstheme="majorBidi"/>
          <w:color w:val="000000" w:themeColor="text1"/>
          <w:kern w:val="0"/>
          <w:sz w:val="36"/>
          <w:szCs w:val="36"/>
          <w:lang w:bidi="ar-EG"/>
          <w14:ligatures w14:val="none"/>
        </w:rPr>
        <w:t>AlHindi</w:t>
      </w:r>
      <w:proofErr w:type="spellEnd"/>
    </w:p>
    <w:p w14:paraId="1E1349E3" w14:textId="77777777" w:rsidR="00CE4929" w:rsidRPr="00A50EFF" w:rsidRDefault="00CE4929" w:rsidP="00CE4929">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A50EFF">
        <w:rPr>
          <w:rFonts w:ascii="Simplified Arabic" w:hAnsi="Simplified Arabic" w:cs="Simplified Arabic"/>
          <w:color w:val="000000" w:themeColor="text1"/>
          <w:sz w:val="36"/>
          <w:szCs w:val="36"/>
          <w:lang w:bidi="ar-EG"/>
        </w:rPr>
        <w:t>253001450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54B7B" w:rsidRPr="00AD2516" w14:paraId="209750D2" w14:textId="77777777" w:rsidTr="00654B7B">
        <w:tc>
          <w:tcPr>
            <w:tcW w:w="4530" w:type="dxa"/>
          </w:tcPr>
          <w:p w14:paraId="48A95088" w14:textId="77777777" w:rsidR="00654B7B" w:rsidRPr="00AD2516" w:rsidRDefault="00654B7B" w:rsidP="00654B7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D2516">
              <w:rPr>
                <w:rFonts w:asciiTheme="majorBidi" w:eastAsia="Calibri" w:hAnsiTheme="majorBidi" w:cstheme="majorBidi"/>
                <w:b/>
                <w:bCs/>
                <w:color w:val="000000" w:themeColor="text1"/>
                <w:kern w:val="0"/>
                <w:sz w:val="36"/>
                <w:szCs w:val="36"/>
                <w:lang w:bidi="ar-EG"/>
                <w14:ligatures w14:val="none"/>
              </w:rPr>
              <w:t>Main supervisor</w:t>
            </w:r>
            <w:r w:rsidRPr="00AD251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2834268" w14:textId="77777777" w:rsidR="00654B7B" w:rsidRPr="00AD2516" w:rsidRDefault="00654B7B" w:rsidP="00654B7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D2516">
              <w:rPr>
                <w:rFonts w:asciiTheme="majorBidi" w:eastAsia="Calibri" w:hAnsiTheme="majorBidi" w:cstheme="majorBidi"/>
                <w:b/>
                <w:bCs/>
                <w:color w:val="000000" w:themeColor="text1"/>
                <w:kern w:val="0"/>
                <w:sz w:val="36"/>
                <w:szCs w:val="36"/>
                <w:lang w:bidi="ar-EG"/>
                <w14:ligatures w14:val="none"/>
              </w:rPr>
              <w:t>Second supervisor</w:t>
            </w:r>
            <w:r w:rsidRPr="00AD2516">
              <w:rPr>
                <w:rFonts w:asciiTheme="majorBidi" w:eastAsia="Calibri" w:hAnsiTheme="majorBidi" w:cstheme="majorBidi"/>
                <w:b/>
                <w:bCs/>
                <w:color w:val="000000" w:themeColor="text1"/>
                <w:kern w:val="0"/>
                <w:sz w:val="36"/>
                <w:szCs w:val="36"/>
                <w:rtl/>
                <w:lang w:bidi="ar-EG"/>
                <w14:ligatures w14:val="none"/>
              </w:rPr>
              <w:t>/</w:t>
            </w:r>
          </w:p>
        </w:tc>
      </w:tr>
      <w:tr w:rsidR="00654B7B" w:rsidRPr="00AD2516" w14:paraId="0207D098" w14:textId="77777777" w:rsidTr="00654B7B">
        <w:tc>
          <w:tcPr>
            <w:tcW w:w="4530" w:type="dxa"/>
          </w:tcPr>
          <w:p w14:paraId="6804553D" w14:textId="77777777" w:rsidR="00654B7B" w:rsidRPr="00AD2516" w:rsidRDefault="00654B7B" w:rsidP="00654B7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D251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946F3E8" w14:textId="77777777" w:rsidR="00654B7B" w:rsidRPr="00AD2516" w:rsidRDefault="00654B7B" w:rsidP="00654B7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D2516">
              <w:rPr>
                <w:rFonts w:asciiTheme="majorBidi" w:eastAsia="Calibri" w:hAnsiTheme="majorBidi" w:cstheme="majorBidi"/>
                <w:color w:val="000000" w:themeColor="text1"/>
                <w:kern w:val="0"/>
                <w:sz w:val="36"/>
                <w:szCs w:val="36"/>
                <w:lang w:bidi="ar-EG"/>
                <w14:ligatures w14:val="none"/>
              </w:rPr>
              <w:t>Dr. Fayez Jarad</w:t>
            </w:r>
          </w:p>
        </w:tc>
      </w:tr>
    </w:tbl>
    <w:p w14:paraId="00DA0B5F" w14:textId="77777777" w:rsidR="00654B7B" w:rsidRPr="00AD2516" w:rsidRDefault="00654B7B" w:rsidP="00654B7B">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47F2FF2D" w14:textId="77777777" w:rsidR="00654B7B" w:rsidRPr="00AD2516" w:rsidRDefault="00654B7B" w:rsidP="00654B7B">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AD2516">
        <w:rPr>
          <w:rFonts w:asciiTheme="majorBidi" w:eastAsia="Calibri" w:hAnsiTheme="majorBidi" w:cstheme="majorBidi"/>
          <w:color w:val="000000" w:themeColor="text1"/>
          <w:kern w:val="0"/>
          <w:sz w:val="36"/>
          <w:szCs w:val="36"/>
          <w:rtl/>
          <w:lang w:bidi="ar-EG"/>
          <w14:ligatures w14:val="none"/>
        </w:rPr>
        <w:t>1448 – 2026</w:t>
      </w:r>
    </w:p>
    <w:p w14:paraId="314BEBFF" w14:textId="77777777" w:rsidR="00654B7B" w:rsidRPr="00AD2516" w:rsidRDefault="00654B7B" w:rsidP="00654B7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042CC512" w14:textId="77777777" w:rsidR="00205810" w:rsidRPr="00AD2516" w:rsidRDefault="00205810" w:rsidP="0099780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2D96E1A" w14:textId="77777777" w:rsidR="00EA15E2" w:rsidRPr="00AD2516" w:rsidRDefault="00EA15E2" w:rsidP="0099780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0E8D0112" w:rsidR="009125CE" w:rsidRPr="00AD2516" w:rsidRDefault="009125CE" w:rsidP="00997804">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AD2516" w:rsidSect="00997804">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43DCF" w14:textId="77777777" w:rsidR="00ED3322" w:rsidRDefault="00ED3322" w:rsidP="009125CE">
      <w:pPr>
        <w:spacing w:after="0" w:line="240" w:lineRule="auto"/>
      </w:pPr>
      <w:r>
        <w:separator/>
      </w:r>
    </w:p>
  </w:endnote>
  <w:endnote w:type="continuationSeparator" w:id="0">
    <w:p w14:paraId="64183862" w14:textId="77777777" w:rsidR="00ED3322" w:rsidRDefault="00ED332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026BC" w14:textId="77777777" w:rsidR="00654B7B" w:rsidRPr="002B1076" w:rsidRDefault="00654B7B" w:rsidP="00997804">
    <w:pPr>
      <w:pStyle w:val="Footer"/>
      <w:jc w:val="center"/>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69646312"/>
      <w:docPartObj>
        <w:docPartGallery w:val="Page Numbers (Bottom of Page)"/>
        <w:docPartUnique/>
      </w:docPartObj>
    </w:sdtPr>
    <w:sdtEndPr>
      <w:rPr>
        <w:rFonts w:ascii="Simplified Arabic" w:hAnsi="Simplified Arabic" w:cs="Simplified Arabic"/>
        <w:b/>
        <w:bCs/>
        <w:noProof/>
        <w:sz w:val="24"/>
        <w:szCs w:val="24"/>
      </w:rPr>
    </w:sdtEndPr>
    <w:sdtContent>
      <w:p w14:paraId="4C17E4A5" w14:textId="77777777" w:rsidR="00654B7B" w:rsidRDefault="00654B7B">
        <w:pPr>
          <w:pStyle w:val="Footer"/>
          <w:jc w:val="center"/>
        </w:pPr>
        <w:r>
          <w:rPr>
            <w:noProof/>
          </w:rPr>
          <mc:AlternateContent>
            <mc:Choice Requires="wps">
              <w:drawing>
                <wp:inline distT="0" distB="0" distL="0" distR="0" wp14:anchorId="07D08B51" wp14:editId="667D5F7E">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59F80F8"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anchorlock/>
                </v:shape>
              </w:pict>
            </mc:Fallback>
          </mc:AlternateContent>
        </w:r>
      </w:p>
      <w:p w14:paraId="4BAB5B0B" w14:textId="77777777" w:rsidR="00654B7B" w:rsidRPr="00997804" w:rsidRDefault="00654B7B" w:rsidP="00997804">
        <w:pPr>
          <w:pStyle w:val="Footer"/>
          <w:jc w:val="center"/>
          <w:rPr>
            <w:rFonts w:ascii="Simplified Arabic" w:hAnsi="Simplified Arabic" w:cs="Simplified Arabic"/>
            <w:b/>
            <w:bCs/>
            <w:sz w:val="24"/>
            <w:szCs w:val="24"/>
          </w:rPr>
        </w:pPr>
        <w:r w:rsidRPr="00997804">
          <w:rPr>
            <w:rFonts w:ascii="Simplified Arabic" w:hAnsi="Simplified Arabic" w:cs="Simplified Arabic"/>
            <w:b/>
            <w:bCs/>
            <w:sz w:val="24"/>
            <w:szCs w:val="24"/>
          </w:rPr>
          <w:fldChar w:fldCharType="begin"/>
        </w:r>
        <w:r w:rsidRPr="00997804">
          <w:rPr>
            <w:rFonts w:ascii="Simplified Arabic" w:hAnsi="Simplified Arabic" w:cs="Simplified Arabic"/>
            <w:b/>
            <w:bCs/>
            <w:sz w:val="24"/>
            <w:szCs w:val="24"/>
          </w:rPr>
          <w:instrText xml:space="preserve"> PAGE    \* MERGEFORMAT </w:instrText>
        </w:r>
        <w:r w:rsidRPr="00997804">
          <w:rPr>
            <w:rFonts w:ascii="Simplified Arabic" w:hAnsi="Simplified Arabic" w:cs="Simplified Arabic"/>
            <w:b/>
            <w:bCs/>
            <w:sz w:val="24"/>
            <w:szCs w:val="24"/>
          </w:rPr>
          <w:fldChar w:fldCharType="separate"/>
        </w:r>
        <w:r w:rsidR="00D55ECD">
          <w:rPr>
            <w:rFonts w:ascii="Simplified Arabic" w:hAnsi="Simplified Arabic" w:cs="Simplified Arabic"/>
            <w:b/>
            <w:bCs/>
            <w:noProof/>
            <w:sz w:val="24"/>
            <w:szCs w:val="24"/>
            <w:rtl/>
          </w:rPr>
          <w:t>3</w:t>
        </w:r>
        <w:r w:rsidR="00D55ECD">
          <w:rPr>
            <w:rFonts w:ascii="Simplified Arabic" w:hAnsi="Simplified Arabic" w:cs="Simplified Arabic"/>
            <w:b/>
            <w:bCs/>
            <w:noProof/>
            <w:sz w:val="24"/>
            <w:szCs w:val="24"/>
            <w:rtl/>
          </w:rPr>
          <w:t>6</w:t>
        </w:r>
        <w:r w:rsidRPr="00997804">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41532116"/>
      <w:docPartObj>
        <w:docPartGallery w:val="Page Numbers (Bottom of Page)"/>
        <w:docPartUnique/>
      </w:docPartObj>
    </w:sdtPr>
    <w:sdtEndPr>
      <w:rPr>
        <w:rFonts w:ascii="Simplified Arabic" w:hAnsi="Simplified Arabic" w:cs="Simplified Arabic"/>
        <w:b/>
        <w:bCs/>
        <w:noProof/>
        <w:sz w:val="24"/>
        <w:szCs w:val="24"/>
      </w:rPr>
    </w:sdtEndPr>
    <w:sdtContent>
      <w:p w14:paraId="63E0BA5E" w14:textId="771CCEDE" w:rsidR="00654B7B" w:rsidRDefault="00654B7B">
        <w:pPr>
          <w:pStyle w:val="Footer"/>
          <w:jc w:val="center"/>
        </w:pPr>
      </w:p>
      <w:p w14:paraId="3F5AA5F4" w14:textId="5A00876B" w:rsidR="00654B7B" w:rsidRPr="00997804" w:rsidRDefault="00000000" w:rsidP="00654B7B">
        <w:pPr>
          <w:pStyle w:val="Footer"/>
          <w:tabs>
            <w:tab w:val="left" w:pos="4331"/>
            <w:tab w:val="center" w:pos="4535"/>
          </w:tabs>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493CD" w14:textId="77777777" w:rsidR="00ED3322" w:rsidRDefault="00ED3322" w:rsidP="009125CE">
      <w:pPr>
        <w:spacing w:after="0" w:line="240" w:lineRule="auto"/>
      </w:pPr>
      <w:r>
        <w:separator/>
      </w:r>
    </w:p>
  </w:footnote>
  <w:footnote w:type="continuationSeparator" w:id="0">
    <w:p w14:paraId="5A6B0168" w14:textId="77777777" w:rsidR="00ED3322" w:rsidRDefault="00ED332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F1D84"/>
    <w:multiLevelType w:val="hybridMultilevel"/>
    <w:tmpl w:val="EBB40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5E1C32"/>
    <w:multiLevelType w:val="hybridMultilevel"/>
    <w:tmpl w:val="AE94F02C"/>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1C6BC9"/>
    <w:multiLevelType w:val="hybridMultilevel"/>
    <w:tmpl w:val="8B7C969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E00168"/>
    <w:multiLevelType w:val="hybridMultilevel"/>
    <w:tmpl w:val="5F546D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12F760C"/>
    <w:multiLevelType w:val="multilevel"/>
    <w:tmpl w:val="A59E2E5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340AE4"/>
    <w:multiLevelType w:val="hybridMultilevel"/>
    <w:tmpl w:val="F15CF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404C71"/>
    <w:multiLevelType w:val="hybridMultilevel"/>
    <w:tmpl w:val="863C5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4F6E09"/>
    <w:multiLevelType w:val="multilevel"/>
    <w:tmpl w:val="493AC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A40013"/>
    <w:multiLevelType w:val="hybridMultilevel"/>
    <w:tmpl w:val="166466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6C735EB"/>
    <w:multiLevelType w:val="multilevel"/>
    <w:tmpl w:val="71B23CC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2" w15:restartNumberingAfterBreak="0">
    <w:nsid w:val="685020BC"/>
    <w:multiLevelType w:val="hybridMultilevel"/>
    <w:tmpl w:val="F25AEC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794A00"/>
    <w:multiLevelType w:val="hybridMultilevel"/>
    <w:tmpl w:val="7056F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E32A91"/>
    <w:multiLevelType w:val="multilevel"/>
    <w:tmpl w:val="872C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253CEE"/>
    <w:multiLevelType w:val="hybridMultilevel"/>
    <w:tmpl w:val="879019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AC5641"/>
    <w:multiLevelType w:val="hybridMultilevel"/>
    <w:tmpl w:val="F118A73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02F7D8C"/>
    <w:multiLevelType w:val="hybridMultilevel"/>
    <w:tmpl w:val="95708F9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696014"/>
    <w:multiLevelType w:val="multilevel"/>
    <w:tmpl w:val="3618A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5C6B44"/>
    <w:multiLevelType w:val="hybridMultilevel"/>
    <w:tmpl w:val="D9A2C0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C4757A"/>
    <w:multiLevelType w:val="multilevel"/>
    <w:tmpl w:val="4DEE2F7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4850044">
    <w:abstractNumId w:val="16"/>
  </w:num>
  <w:num w:numId="2" w16cid:durableId="224611737">
    <w:abstractNumId w:val="18"/>
  </w:num>
  <w:num w:numId="3" w16cid:durableId="1202401766">
    <w:abstractNumId w:val="8"/>
  </w:num>
  <w:num w:numId="4" w16cid:durableId="1237134969">
    <w:abstractNumId w:val="3"/>
  </w:num>
  <w:num w:numId="5" w16cid:durableId="1925139854">
    <w:abstractNumId w:val="20"/>
  </w:num>
  <w:num w:numId="6" w16cid:durableId="20673006">
    <w:abstractNumId w:val="5"/>
  </w:num>
  <w:num w:numId="7" w16cid:durableId="1938438089">
    <w:abstractNumId w:val="14"/>
  </w:num>
  <w:num w:numId="8" w16cid:durableId="432825574">
    <w:abstractNumId w:val="15"/>
  </w:num>
  <w:num w:numId="9" w16cid:durableId="473331627">
    <w:abstractNumId w:val="17"/>
  </w:num>
  <w:num w:numId="10" w16cid:durableId="999889230">
    <w:abstractNumId w:val="10"/>
  </w:num>
  <w:num w:numId="11" w16cid:durableId="1369456407">
    <w:abstractNumId w:val="1"/>
  </w:num>
  <w:num w:numId="12" w16cid:durableId="1958639118">
    <w:abstractNumId w:val="7"/>
  </w:num>
  <w:num w:numId="13" w16cid:durableId="938758848">
    <w:abstractNumId w:val="4"/>
  </w:num>
  <w:num w:numId="14" w16cid:durableId="1399282828">
    <w:abstractNumId w:val="13"/>
  </w:num>
  <w:num w:numId="15" w16cid:durableId="284314842">
    <w:abstractNumId w:val="0"/>
  </w:num>
  <w:num w:numId="16" w16cid:durableId="1848516449">
    <w:abstractNumId w:val="6"/>
  </w:num>
  <w:num w:numId="17" w16cid:durableId="1610963140">
    <w:abstractNumId w:val="9"/>
  </w:num>
  <w:num w:numId="18" w16cid:durableId="503980624">
    <w:abstractNumId w:val="12"/>
  </w:num>
  <w:num w:numId="19" w16cid:durableId="646517008">
    <w:abstractNumId w:val="19"/>
  </w:num>
  <w:num w:numId="20" w16cid:durableId="2130776179">
    <w:abstractNumId w:val="2"/>
  </w:num>
  <w:num w:numId="21" w16cid:durableId="23943296">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0EBF"/>
    <w:rsid w:val="0004554E"/>
    <w:rsid w:val="00052AB0"/>
    <w:rsid w:val="00053122"/>
    <w:rsid w:val="000543EF"/>
    <w:rsid w:val="000602CA"/>
    <w:rsid w:val="000610C9"/>
    <w:rsid w:val="00061FA2"/>
    <w:rsid w:val="00064FF1"/>
    <w:rsid w:val="00067938"/>
    <w:rsid w:val="0007370A"/>
    <w:rsid w:val="000769E1"/>
    <w:rsid w:val="000837BE"/>
    <w:rsid w:val="000842EB"/>
    <w:rsid w:val="00092C10"/>
    <w:rsid w:val="00093973"/>
    <w:rsid w:val="00094E98"/>
    <w:rsid w:val="000A06E6"/>
    <w:rsid w:val="000A2ED4"/>
    <w:rsid w:val="000A2F2C"/>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97AAF"/>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05810"/>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19C7"/>
    <w:rsid w:val="002E360D"/>
    <w:rsid w:val="002E36BC"/>
    <w:rsid w:val="002E4629"/>
    <w:rsid w:val="002F54F4"/>
    <w:rsid w:val="002F5FA3"/>
    <w:rsid w:val="00301731"/>
    <w:rsid w:val="003026D4"/>
    <w:rsid w:val="00303BF8"/>
    <w:rsid w:val="00304304"/>
    <w:rsid w:val="00306594"/>
    <w:rsid w:val="0031075C"/>
    <w:rsid w:val="00310B47"/>
    <w:rsid w:val="00311651"/>
    <w:rsid w:val="00314324"/>
    <w:rsid w:val="00323FD3"/>
    <w:rsid w:val="00333A26"/>
    <w:rsid w:val="0033775D"/>
    <w:rsid w:val="00341565"/>
    <w:rsid w:val="0034173E"/>
    <w:rsid w:val="00341900"/>
    <w:rsid w:val="00343EE8"/>
    <w:rsid w:val="00347ADE"/>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213B"/>
    <w:rsid w:val="003B30A9"/>
    <w:rsid w:val="003B45FF"/>
    <w:rsid w:val="003B48BD"/>
    <w:rsid w:val="003B51C3"/>
    <w:rsid w:val="003C2495"/>
    <w:rsid w:val="003D5D45"/>
    <w:rsid w:val="003D6376"/>
    <w:rsid w:val="003E29FB"/>
    <w:rsid w:val="003E3EBB"/>
    <w:rsid w:val="003E7CB6"/>
    <w:rsid w:val="00401DBE"/>
    <w:rsid w:val="00402123"/>
    <w:rsid w:val="00403383"/>
    <w:rsid w:val="00404CF1"/>
    <w:rsid w:val="004130C0"/>
    <w:rsid w:val="00413CBD"/>
    <w:rsid w:val="00413DF8"/>
    <w:rsid w:val="00413F36"/>
    <w:rsid w:val="004215C5"/>
    <w:rsid w:val="004260FE"/>
    <w:rsid w:val="00433FD4"/>
    <w:rsid w:val="0043649D"/>
    <w:rsid w:val="00436FA3"/>
    <w:rsid w:val="00446ED1"/>
    <w:rsid w:val="004475C8"/>
    <w:rsid w:val="00450CB3"/>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A1930"/>
    <w:rsid w:val="004B118D"/>
    <w:rsid w:val="004B1EF3"/>
    <w:rsid w:val="004B352F"/>
    <w:rsid w:val="004C0303"/>
    <w:rsid w:val="004C3BAD"/>
    <w:rsid w:val="004C4331"/>
    <w:rsid w:val="004D1DC4"/>
    <w:rsid w:val="004D23E7"/>
    <w:rsid w:val="004D6581"/>
    <w:rsid w:val="004D6B08"/>
    <w:rsid w:val="004E2DDF"/>
    <w:rsid w:val="004E439C"/>
    <w:rsid w:val="004E4F78"/>
    <w:rsid w:val="004F1444"/>
    <w:rsid w:val="004F2475"/>
    <w:rsid w:val="004F2A3D"/>
    <w:rsid w:val="004F3AF6"/>
    <w:rsid w:val="00505B9A"/>
    <w:rsid w:val="00513B3A"/>
    <w:rsid w:val="005146DA"/>
    <w:rsid w:val="0051585E"/>
    <w:rsid w:val="00522010"/>
    <w:rsid w:val="00523E13"/>
    <w:rsid w:val="0052581D"/>
    <w:rsid w:val="005423FA"/>
    <w:rsid w:val="00544E3F"/>
    <w:rsid w:val="00545455"/>
    <w:rsid w:val="005459E0"/>
    <w:rsid w:val="00545E45"/>
    <w:rsid w:val="00550EC8"/>
    <w:rsid w:val="005527F0"/>
    <w:rsid w:val="00557A05"/>
    <w:rsid w:val="00557B85"/>
    <w:rsid w:val="005632BD"/>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2F1D"/>
    <w:rsid w:val="005E37C2"/>
    <w:rsid w:val="005E4AF3"/>
    <w:rsid w:val="005F2722"/>
    <w:rsid w:val="006020A6"/>
    <w:rsid w:val="006044AD"/>
    <w:rsid w:val="006112DD"/>
    <w:rsid w:val="0061146E"/>
    <w:rsid w:val="00617C5B"/>
    <w:rsid w:val="00625CAD"/>
    <w:rsid w:val="0062761F"/>
    <w:rsid w:val="00633F50"/>
    <w:rsid w:val="006344B4"/>
    <w:rsid w:val="006352B0"/>
    <w:rsid w:val="00636F27"/>
    <w:rsid w:val="00642229"/>
    <w:rsid w:val="006450DB"/>
    <w:rsid w:val="00647482"/>
    <w:rsid w:val="00654B7B"/>
    <w:rsid w:val="0066191A"/>
    <w:rsid w:val="00663FD3"/>
    <w:rsid w:val="00666183"/>
    <w:rsid w:val="00667140"/>
    <w:rsid w:val="006716C2"/>
    <w:rsid w:val="0068067A"/>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21F2"/>
    <w:rsid w:val="0070333D"/>
    <w:rsid w:val="00703F29"/>
    <w:rsid w:val="00705AF7"/>
    <w:rsid w:val="00706E7F"/>
    <w:rsid w:val="0071413D"/>
    <w:rsid w:val="00714D8B"/>
    <w:rsid w:val="0071504C"/>
    <w:rsid w:val="007178EE"/>
    <w:rsid w:val="007301E5"/>
    <w:rsid w:val="00731DC0"/>
    <w:rsid w:val="007323CE"/>
    <w:rsid w:val="00734767"/>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3014"/>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1DCC"/>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3FA"/>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97804"/>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2C47"/>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48D8"/>
    <w:rsid w:val="00A55EF3"/>
    <w:rsid w:val="00A57461"/>
    <w:rsid w:val="00A65828"/>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2516"/>
    <w:rsid w:val="00AD722B"/>
    <w:rsid w:val="00AE3C7A"/>
    <w:rsid w:val="00AE69D0"/>
    <w:rsid w:val="00AF24F6"/>
    <w:rsid w:val="00AF31BE"/>
    <w:rsid w:val="00AF46DF"/>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F35D5"/>
    <w:rsid w:val="00C01C2B"/>
    <w:rsid w:val="00C032FE"/>
    <w:rsid w:val="00C1175F"/>
    <w:rsid w:val="00C14286"/>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D49B1"/>
    <w:rsid w:val="00CE4929"/>
    <w:rsid w:val="00CF1F0B"/>
    <w:rsid w:val="00CF4901"/>
    <w:rsid w:val="00CF552E"/>
    <w:rsid w:val="00CF6CEC"/>
    <w:rsid w:val="00D043D4"/>
    <w:rsid w:val="00D07D1F"/>
    <w:rsid w:val="00D1053F"/>
    <w:rsid w:val="00D10F38"/>
    <w:rsid w:val="00D1454F"/>
    <w:rsid w:val="00D16AF6"/>
    <w:rsid w:val="00D216C5"/>
    <w:rsid w:val="00D22171"/>
    <w:rsid w:val="00D274B5"/>
    <w:rsid w:val="00D27AED"/>
    <w:rsid w:val="00D30845"/>
    <w:rsid w:val="00D3210F"/>
    <w:rsid w:val="00D32470"/>
    <w:rsid w:val="00D32C83"/>
    <w:rsid w:val="00D417B5"/>
    <w:rsid w:val="00D47EDC"/>
    <w:rsid w:val="00D55ECD"/>
    <w:rsid w:val="00D5653F"/>
    <w:rsid w:val="00D57D04"/>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52E7"/>
    <w:rsid w:val="00E97126"/>
    <w:rsid w:val="00EA15E2"/>
    <w:rsid w:val="00EA6B5D"/>
    <w:rsid w:val="00EB46EF"/>
    <w:rsid w:val="00EB60A5"/>
    <w:rsid w:val="00EC10F6"/>
    <w:rsid w:val="00EC5DCF"/>
    <w:rsid w:val="00ED1918"/>
    <w:rsid w:val="00ED24E8"/>
    <w:rsid w:val="00ED2B59"/>
    <w:rsid w:val="00ED2F10"/>
    <w:rsid w:val="00ED3322"/>
    <w:rsid w:val="00ED5DB0"/>
    <w:rsid w:val="00EE0BB8"/>
    <w:rsid w:val="00EE0BD0"/>
    <w:rsid w:val="00EE7B86"/>
    <w:rsid w:val="00EF118F"/>
    <w:rsid w:val="00EF3F71"/>
    <w:rsid w:val="00EF5F43"/>
    <w:rsid w:val="00F00FB8"/>
    <w:rsid w:val="00F10C89"/>
    <w:rsid w:val="00F11345"/>
    <w:rsid w:val="00F12EEC"/>
    <w:rsid w:val="00F1646F"/>
    <w:rsid w:val="00F30BD7"/>
    <w:rsid w:val="00F310F2"/>
    <w:rsid w:val="00F33937"/>
    <w:rsid w:val="00F3442D"/>
    <w:rsid w:val="00F37E6B"/>
    <w:rsid w:val="00F4304F"/>
    <w:rsid w:val="00F450D5"/>
    <w:rsid w:val="00F540A1"/>
    <w:rsid w:val="00F546CE"/>
    <w:rsid w:val="00F563E2"/>
    <w:rsid w:val="00F642A4"/>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C72FA"/>
    <w:rsid w:val="00FD1591"/>
    <w:rsid w:val="00FD1CCA"/>
    <w:rsid w:val="00FD4AA8"/>
    <w:rsid w:val="00FD4AC0"/>
    <w:rsid w:val="00FD52D9"/>
    <w:rsid w:val="00FD5F5A"/>
    <w:rsid w:val="00FD7B84"/>
    <w:rsid w:val="00FE0443"/>
    <w:rsid w:val="00FE1E71"/>
    <w:rsid w:val="00FE22A8"/>
    <w:rsid w:val="00FF0880"/>
    <w:rsid w:val="00FF1D40"/>
    <w:rsid w:val="00FF21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table" w:styleId="GridTable1Light-Accent1">
    <w:name w:val="Grid Table 1 Light Accent 1"/>
    <w:basedOn w:val="TableNormal"/>
    <w:uiPriority w:val="46"/>
    <w:rsid w:val="0099780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654B7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8333735">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99489968">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450481">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36136806">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042601">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469947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2625829">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1936238">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256613">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212821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1209654">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4311807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4622207">
      <w:bodyDiv w:val="1"/>
      <w:marLeft w:val="0"/>
      <w:marRight w:val="0"/>
      <w:marTop w:val="0"/>
      <w:marBottom w:val="0"/>
      <w:divBdr>
        <w:top w:val="none" w:sz="0" w:space="0" w:color="auto"/>
        <w:left w:val="none" w:sz="0" w:space="0" w:color="auto"/>
        <w:bottom w:val="none" w:sz="0" w:space="0" w:color="auto"/>
        <w:right w:val="none" w:sz="0" w:space="0" w:color="auto"/>
      </w:divBdr>
      <w:divsChild>
        <w:div w:id="1528904403">
          <w:marLeft w:val="0"/>
          <w:marRight w:val="0"/>
          <w:marTop w:val="0"/>
          <w:marBottom w:val="0"/>
          <w:divBdr>
            <w:top w:val="none" w:sz="0" w:space="0" w:color="auto"/>
            <w:left w:val="none" w:sz="0" w:space="0" w:color="auto"/>
            <w:bottom w:val="none" w:sz="0" w:space="0" w:color="auto"/>
            <w:right w:val="none" w:sz="0" w:space="0" w:color="auto"/>
          </w:divBdr>
        </w:div>
        <w:div w:id="242103017">
          <w:marLeft w:val="0"/>
          <w:marRight w:val="0"/>
          <w:marTop w:val="0"/>
          <w:marBottom w:val="0"/>
          <w:divBdr>
            <w:top w:val="none" w:sz="0" w:space="0" w:color="auto"/>
            <w:left w:val="none" w:sz="0" w:space="0" w:color="auto"/>
            <w:bottom w:val="none" w:sz="0" w:space="0" w:color="auto"/>
            <w:right w:val="none" w:sz="0" w:space="0" w:color="auto"/>
          </w:divBdr>
        </w:div>
        <w:div w:id="1219584533">
          <w:marLeft w:val="0"/>
          <w:marRight w:val="0"/>
          <w:marTop w:val="0"/>
          <w:marBottom w:val="0"/>
          <w:divBdr>
            <w:top w:val="none" w:sz="0" w:space="0" w:color="auto"/>
            <w:left w:val="none" w:sz="0" w:space="0" w:color="auto"/>
            <w:bottom w:val="none" w:sz="0" w:space="0" w:color="auto"/>
            <w:right w:val="none" w:sz="0" w:space="0" w:color="auto"/>
          </w:divBdr>
        </w:div>
      </w:divsChild>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889211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39933587">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1592775">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2858284">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7713677">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394220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1948092">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5451979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58562892">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9135981">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006828">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487331-1020-4CF1-BB99-D1B2C1470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10102</Words>
  <Characters>57588</Characters>
  <Application>Microsoft Office Word</Application>
  <DocSecurity>0</DocSecurity>
  <Lines>479</Lines>
  <Paragraphs>135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sarah alhindi</cp:lastModifiedBy>
  <cp:revision>4</cp:revision>
  <cp:lastPrinted>2026-07-02T22:40:00Z</cp:lastPrinted>
  <dcterms:created xsi:type="dcterms:W3CDTF">2026-07-02T22:38:00Z</dcterms:created>
  <dcterms:modified xsi:type="dcterms:W3CDTF">2026-07-17T16:51:00Z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