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F107E80" w:rsidR="009125CE" w:rsidRPr="00AC2418" w:rsidRDefault="00AF6B87" w:rsidP="00AF6B8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C2418">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0A9CC0C">
            <wp:simplePos x="0" y="0"/>
            <wp:positionH relativeFrom="margin">
              <wp:posOffset>205740</wp:posOffset>
            </wp:positionH>
            <wp:positionV relativeFrom="margin">
              <wp:posOffset>-110490</wp:posOffset>
            </wp:positionV>
            <wp:extent cx="1452880" cy="13487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2880" cy="1348740"/>
                    </a:xfrm>
                    <a:prstGeom prst="rect">
                      <a:avLst/>
                    </a:prstGeom>
                  </pic:spPr>
                </pic:pic>
              </a:graphicData>
            </a:graphic>
            <wp14:sizeRelH relativeFrom="margin">
              <wp14:pctWidth>0</wp14:pctWidth>
            </wp14:sizeRelH>
            <wp14:sizeRelV relativeFrom="margin">
              <wp14:pctHeight>0</wp14:pctHeight>
            </wp14:sizeRelV>
          </wp:anchor>
        </w:drawing>
      </w:r>
      <w:r w:rsidR="009125CE" w:rsidRPr="00AC2418">
        <w:rPr>
          <w:rFonts w:ascii="Simplified Arabic" w:hAnsi="Simplified Arabic" w:cs="Simplified Arabic"/>
          <w:b/>
          <w:bCs/>
          <w:color w:val="000000" w:themeColor="text1"/>
          <w:sz w:val="32"/>
          <w:szCs w:val="32"/>
          <w:rtl/>
          <w:lang w:bidi="ar-EG"/>
        </w:rPr>
        <w:t xml:space="preserve">جامعة ميدأوشن </w:t>
      </w:r>
    </w:p>
    <w:p w14:paraId="1E957002" w14:textId="081F97D5" w:rsidR="00F546CE" w:rsidRPr="00AC2418" w:rsidRDefault="009125CE" w:rsidP="00AF6B8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C2418">
        <w:rPr>
          <w:rFonts w:ascii="Simplified Arabic" w:hAnsi="Simplified Arabic" w:cs="Simplified Arabic"/>
          <w:b/>
          <w:bCs/>
          <w:color w:val="000000" w:themeColor="text1"/>
          <w:sz w:val="32"/>
          <w:szCs w:val="32"/>
          <w:rtl/>
          <w:lang w:bidi="ar-EG"/>
        </w:rPr>
        <w:t xml:space="preserve">كلية </w:t>
      </w:r>
      <w:r w:rsidR="008C42C1" w:rsidRPr="00AC2418">
        <w:rPr>
          <w:rFonts w:ascii="Simplified Arabic" w:hAnsi="Simplified Arabic" w:cs="Simplified Arabic"/>
          <w:b/>
          <w:bCs/>
          <w:color w:val="000000" w:themeColor="text1"/>
          <w:sz w:val="32"/>
          <w:szCs w:val="32"/>
          <w:rtl/>
          <w:lang w:bidi="ar-EG"/>
        </w:rPr>
        <w:t>الإدارة</w:t>
      </w:r>
      <w:r w:rsidRPr="00AC2418">
        <w:rPr>
          <w:rFonts w:ascii="Simplified Arabic" w:hAnsi="Simplified Arabic" w:cs="Simplified Arabic"/>
          <w:b/>
          <w:bCs/>
          <w:color w:val="000000" w:themeColor="text1"/>
          <w:sz w:val="32"/>
          <w:szCs w:val="32"/>
          <w:rtl/>
          <w:lang w:bidi="ar-EG"/>
        </w:rPr>
        <w:t xml:space="preserve"> </w:t>
      </w:r>
    </w:p>
    <w:p w14:paraId="0A25F43C" w14:textId="5469A794" w:rsidR="008C7BB4" w:rsidRPr="00AC2418" w:rsidRDefault="00054375" w:rsidP="00AF6B8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C2418">
        <w:rPr>
          <w:rFonts w:ascii="Simplified Arabic" w:hAnsi="Simplified Arabic" w:cs="Simplified Arabic"/>
          <w:b/>
          <w:bCs/>
          <w:color w:val="000000" w:themeColor="text1"/>
          <w:sz w:val="32"/>
          <w:szCs w:val="32"/>
          <w:rtl/>
          <w:lang w:bidi="ar-EG"/>
        </w:rPr>
        <w:t>ماجستير الإدارة الصحية</w:t>
      </w:r>
    </w:p>
    <w:p w14:paraId="5F6542BF" w14:textId="77777777" w:rsidR="009125CE" w:rsidRPr="00AC2418" w:rsidRDefault="009125CE" w:rsidP="00AF6B8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4ED60E" w14:textId="77777777" w:rsidR="00054375" w:rsidRPr="00AC2418" w:rsidRDefault="00054375" w:rsidP="00AF6B8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AC2418">
        <w:rPr>
          <w:rFonts w:ascii="Simplified Arabic" w:hAnsi="Simplified Arabic" w:cs="Simplified Arabic"/>
          <w:b/>
          <w:bCs/>
          <w:color w:val="000000" w:themeColor="text1"/>
          <w:sz w:val="40"/>
          <w:szCs w:val="40"/>
          <w:rtl/>
        </w:rPr>
        <w:t>أثر استخدام تقنيات الذكاء الاصطناعي في إدارة المخاطر الصحية على سلامة المرضى: دراسة ميدانية على المستشفيات السعودية.</w:t>
      </w:r>
    </w:p>
    <w:p w14:paraId="751A7E65" w14:textId="05F724E3" w:rsidR="009125CE" w:rsidRPr="00AC2418" w:rsidRDefault="009125CE" w:rsidP="00AF6B8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2418">
        <w:rPr>
          <w:rFonts w:ascii="Simplified Arabic" w:hAnsi="Simplified Arabic" w:cs="Simplified Arabic"/>
          <w:b/>
          <w:bCs/>
          <w:color w:val="000000" w:themeColor="text1"/>
          <w:sz w:val="36"/>
          <w:szCs w:val="36"/>
          <w:rtl/>
          <w:lang w:bidi="ar-EG"/>
        </w:rPr>
        <w:t>إعداد الطالب/</w:t>
      </w:r>
    </w:p>
    <w:p w14:paraId="7FD9DC96" w14:textId="772F483F" w:rsidR="00054375" w:rsidRPr="00AC2418" w:rsidRDefault="00054375" w:rsidP="00AF6B8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C2418">
        <w:rPr>
          <w:rFonts w:ascii="Simplified Arabic" w:hAnsi="Simplified Arabic" w:cs="Simplified Arabic"/>
          <w:color w:val="000000" w:themeColor="text1"/>
          <w:sz w:val="36"/>
          <w:szCs w:val="36"/>
          <w:rtl/>
          <w:lang w:bidi="ar-EG"/>
        </w:rPr>
        <w:t>ماجده حسن فقيهي</w:t>
      </w:r>
    </w:p>
    <w:p w14:paraId="10DBE1E7" w14:textId="1A60F83D" w:rsidR="00854B0B" w:rsidRPr="00AC2418" w:rsidRDefault="00054375" w:rsidP="00AF6B8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C2418">
        <w:rPr>
          <w:rFonts w:ascii="Simplified Arabic" w:hAnsi="Simplified Arabic" w:cs="Simplified Arabic"/>
          <w:color w:val="000000" w:themeColor="text1"/>
          <w:sz w:val="36"/>
          <w:szCs w:val="36"/>
          <w:rtl/>
          <w:lang w:bidi="ar-EG"/>
        </w:rPr>
        <w:t>253002121</w:t>
      </w:r>
    </w:p>
    <w:p w14:paraId="5725FDEE" w14:textId="77777777" w:rsidR="00AF6B87" w:rsidRPr="00AC2418" w:rsidRDefault="00AF6B87" w:rsidP="00AF6B8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F6B87" w:rsidRPr="00AC2418" w14:paraId="4AAD7177" w14:textId="77777777" w:rsidTr="00CC2A88">
        <w:tc>
          <w:tcPr>
            <w:tcW w:w="4530" w:type="dxa"/>
          </w:tcPr>
          <w:p w14:paraId="2214D8B9" w14:textId="77777777" w:rsidR="00AF6B87" w:rsidRPr="00AC2418" w:rsidRDefault="00AF6B87" w:rsidP="00CC2A8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2418">
              <w:rPr>
                <w:rFonts w:ascii="Simplified Arabic" w:hAnsi="Simplified Arabic" w:cs="Simplified Arabic"/>
                <w:b/>
                <w:bCs/>
                <w:color w:val="000000" w:themeColor="text1"/>
                <w:sz w:val="36"/>
                <w:szCs w:val="36"/>
                <w:rtl/>
                <w:lang w:bidi="ar-EG"/>
              </w:rPr>
              <w:t>المشرف الرئيسي/</w:t>
            </w:r>
          </w:p>
        </w:tc>
        <w:tc>
          <w:tcPr>
            <w:tcW w:w="4531" w:type="dxa"/>
          </w:tcPr>
          <w:p w14:paraId="14CAFF36" w14:textId="77777777" w:rsidR="00AF6B87" w:rsidRPr="00AC2418" w:rsidRDefault="00AF6B87" w:rsidP="00CC2A8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2418">
              <w:rPr>
                <w:rFonts w:ascii="Simplified Arabic" w:hAnsi="Simplified Arabic" w:cs="Simplified Arabic"/>
                <w:b/>
                <w:bCs/>
                <w:color w:val="000000" w:themeColor="text1"/>
                <w:sz w:val="36"/>
                <w:szCs w:val="36"/>
                <w:rtl/>
                <w:lang w:bidi="ar-EG"/>
              </w:rPr>
              <w:t>المشرف الثاني/</w:t>
            </w:r>
          </w:p>
        </w:tc>
      </w:tr>
      <w:tr w:rsidR="00AF6B87" w:rsidRPr="00AC2418" w14:paraId="3BC53B58" w14:textId="77777777" w:rsidTr="00CC2A88">
        <w:tc>
          <w:tcPr>
            <w:tcW w:w="4530" w:type="dxa"/>
          </w:tcPr>
          <w:p w14:paraId="7AE6BA91" w14:textId="77777777" w:rsidR="00AF6B87" w:rsidRPr="00AC2418" w:rsidRDefault="00AF6B87" w:rsidP="00CC2A8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241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09052CD" w14:textId="77777777" w:rsidR="00AF6B87" w:rsidRPr="00AC2418" w:rsidRDefault="00AF6B87" w:rsidP="00CC2A8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2418">
              <w:rPr>
                <w:rFonts w:ascii="Simplified Arabic" w:eastAsia="Calibri" w:hAnsi="Simplified Arabic" w:cs="Simplified Arabic"/>
                <w:color w:val="000000" w:themeColor="text1"/>
                <w:kern w:val="0"/>
                <w:sz w:val="36"/>
                <w:szCs w:val="36"/>
                <w:rtl/>
                <w:lang w:bidi="ar-EG"/>
                <w14:ligatures w14:val="none"/>
              </w:rPr>
              <w:t>د.فايز جراد</w:t>
            </w:r>
          </w:p>
        </w:tc>
      </w:tr>
    </w:tbl>
    <w:p w14:paraId="188273A4" w14:textId="77777777" w:rsidR="00AF6B87" w:rsidRPr="00AC2418" w:rsidRDefault="00AF6B87" w:rsidP="00AF6B8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2418">
        <w:rPr>
          <w:rFonts w:ascii="Simplified Arabic" w:hAnsi="Simplified Arabic" w:cs="Simplified Arabic"/>
          <w:b/>
          <w:bCs/>
          <w:color w:val="000000" w:themeColor="text1"/>
          <w:sz w:val="36"/>
          <w:szCs w:val="36"/>
          <w:rtl/>
          <w:lang w:bidi="ar-EG"/>
        </w:rPr>
        <w:t>العام الدراسي:</w:t>
      </w:r>
    </w:p>
    <w:p w14:paraId="5F9B2342" w14:textId="77777777" w:rsidR="00AF6B87" w:rsidRPr="00AC2418" w:rsidRDefault="00AF6B87" w:rsidP="00AF6B8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C2418">
        <w:rPr>
          <w:rFonts w:ascii="Simplified Arabic" w:hAnsi="Simplified Arabic" w:cs="Simplified Arabic"/>
          <w:color w:val="000000" w:themeColor="text1"/>
          <w:sz w:val="36"/>
          <w:szCs w:val="36"/>
          <w:rtl/>
          <w:lang w:bidi="ar-EG"/>
        </w:rPr>
        <w:t>1448 – 2026</w:t>
      </w:r>
    </w:p>
    <w:p w14:paraId="78BB157C" w14:textId="77777777" w:rsidR="00AF6B87" w:rsidRPr="00AC2418" w:rsidRDefault="00AF6B87" w:rsidP="00AF6B8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F6B87" w:rsidRPr="00AC2418" w:rsidSect="00AF6B87">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B0DF96E" w14:textId="578FADBA" w:rsidR="00AF6B87" w:rsidRPr="00AC2418" w:rsidRDefault="009720E7" w:rsidP="009720E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537586"/>
      <w:r w:rsidRPr="00AC2418">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6C1D7119" w14:textId="554A1B2D" w:rsidR="00E04E1C" w:rsidRPr="00E04E1C" w:rsidRDefault="00E04E1C" w:rsidP="00E04E1C">
      <w:pPr>
        <w:outlineLvl w:val="1"/>
        <w:rPr>
          <w:rFonts w:ascii="Simplified Arabic" w:eastAsiaTheme="majorEastAsia" w:hAnsi="Simplified Arabic" w:cs="Simplified Arabic"/>
          <w:b/>
          <w:bCs/>
          <w:color w:val="000000" w:themeColor="text1"/>
          <w:sz w:val="36"/>
          <w:szCs w:val="36"/>
          <w:rtl/>
        </w:rPr>
      </w:pPr>
      <w:bookmarkStart w:id="1" w:name="_Toc169790506"/>
      <w:bookmarkStart w:id="2" w:name="_Toc234514377"/>
      <w:bookmarkStart w:id="3" w:name="_Toc234537587"/>
      <w:r w:rsidRPr="00E04E1C">
        <w:rPr>
          <w:rFonts w:ascii="Simplified Arabic" w:eastAsiaTheme="majorEastAsia" w:hAnsi="Simplified Arabic" w:cs="Simplified Arabic" w:hint="cs"/>
          <w:b/>
          <w:bCs/>
          <w:color w:val="000000" w:themeColor="text1"/>
          <w:sz w:val="36"/>
          <w:szCs w:val="36"/>
          <w:rtl/>
        </w:rPr>
        <w:t xml:space="preserve">1.1 </w:t>
      </w:r>
      <w:r w:rsidRPr="00E04E1C">
        <w:rPr>
          <w:rFonts w:ascii="Simplified Arabic" w:eastAsiaTheme="majorEastAsia" w:hAnsi="Simplified Arabic" w:cs="Simplified Arabic"/>
          <w:b/>
          <w:bCs/>
          <w:color w:val="000000" w:themeColor="text1"/>
          <w:sz w:val="36"/>
          <w:szCs w:val="36"/>
          <w:rtl/>
        </w:rPr>
        <w:t>مقدمة</w:t>
      </w:r>
      <w:r w:rsidRPr="00E04E1C">
        <w:rPr>
          <w:rFonts w:ascii="Simplified Arabic" w:eastAsiaTheme="majorEastAsia" w:hAnsi="Simplified Arabic" w:cs="Simplified Arabic"/>
          <w:b/>
          <w:bCs/>
          <w:color w:val="000000" w:themeColor="text1"/>
          <w:sz w:val="36"/>
          <w:szCs w:val="36"/>
        </w:rPr>
        <w:t>:</w:t>
      </w:r>
      <w:bookmarkEnd w:id="3"/>
    </w:p>
    <w:p w14:paraId="4088B91A"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يشهد العالم المعاصر تحولات تقنية متسارعة أعادت تشكيل مختلف القطاعات الحيوية، ويُعدّ القطاع الصحي من أبرز القطاعات التي تأثرت بهذه الموجة التقنية، إذ أصبح الذكاء الاصطناعي ركيزة محورية في تطوير منظومات الرعاية الصحية الحديثة وتعزيز كفاءتها التشغيلية، وقد تنامى الاهتمام العالمي بتوظيف تقنيات الذكاء الاصطناعي في المجال الصحي بشكل لافت خلال السنوات الأخيرة، حيث أصبحت خوارزميات التعلم الآلي ومعالجة اللغة الطبيعية والتحليلات التنبؤية أدوات فاعلة في دعم القرار الطبي وتحسين مخرجات الرعاية الصحية</w:t>
      </w:r>
      <w:r w:rsidRPr="00E04E1C">
        <w:rPr>
          <w:rFonts w:ascii="Simplified Arabic" w:eastAsiaTheme="majorEastAsia" w:hAnsi="Simplified Arabic" w:cs="Simplified Arabic"/>
          <w:color w:val="000000" w:themeColor="text1"/>
          <w:sz w:val="28"/>
          <w:szCs w:val="28"/>
        </w:rPr>
        <w:t xml:space="preserve"> (Baurasien et al., 2023).</w:t>
      </w:r>
    </w:p>
    <w:p w14:paraId="5831FF5F"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Pr>
      </w:pPr>
      <w:r w:rsidRPr="00E04E1C">
        <w:rPr>
          <w:rFonts w:ascii="Simplified Arabic" w:eastAsiaTheme="majorEastAsia" w:hAnsi="Simplified Arabic" w:cs="Simplified Arabic"/>
          <w:color w:val="000000" w:themeColor="text1"/>
          <w:sz w:val="28"/>
          <w:szCs w:val="28"/>
          <w:rtl/>
        </w:rPr>
        <w:t>وفي سياق إدارة المخاطر الصحية تحديداً، برزت تقنيات الذكاء الاصطناعي بوصفها أداة استراتيجية قادرة على إحداث نقلة نوعية في أساليب تحديد المخاطر وتقييمها ومراقبتها والسيطرة عليها داخل المؤسسات الصحية، فقد أتاحت هذه التقنيات إمكانية بناء أنظمة إنذار مبكر تتنبأ بالمضاعفات الصحية قبل وقوعها، وأنظمة دعم قرار سريري ذكية تُرشد الممارسين الصحيين نحو قرارات تشخيصية وعلاجية أكثر دقة، فضلاً عن أنظمة مراقبة لحظية تُحلّل البيانات الصحية الضخمة في الوقت الحقيقي، وأنظمة كشف تلقائي عن الأخطاء الطبية وتصنيفها والإبلاغ عنها</w:t>
      </w:r>
      <w:r w:rsidRPr="00E04E1C">
        <w:rPr>
          <w:rFonts w:ascii="Simplified Arabic" w:eastAsiaTheme="majorEastAsia" w:hAnsi="Simplified Arabic" w:cs="Simplified Arabic"/>
          <w:color w:val="000000" w:themeColor="text1"/>
          <w:sz w:val="28"/>
          <w:szCs w:val="28"/>
        </w:rPr>
        <w:t xml:space="preserve"> (Darwiesh et al., 2022).</w:t>
      </w:r>
    </w:p>
    <w:p w14:paraId="111ED30E"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 تحتل سلامة المرضى مكانة محورية في أولويات المنظومات الصحية على المستويين الدولي والمحلي، إذ تُعرَّف بأنها الوقاية من الأخطاء والأحداث الضارة التي قد يتعرض لها المرضى أثناء تلقيهم الرعاية الصحية. وقد أولت منظمة الصحة العالمية واللجنة الدولية المشتركة لاعتماد المستشفيات</w:t>
      </w:r>
      <w:r w:rsidRPr="00E04E1C">
        <w:rPr>
          <w:rFonts w:ascii="Simplified Arabic" w:eastAsiaTheme="majorEastAsia" w:hAnsi="Simplified Arabic" w:cs="Simplified Arabic"/>
          <w:color w:val="000000" w:themeColor="text1"/>
          <w:sz w:val="28"/>
          <w:szCs w:val="28"/>
        </w:rPr>
        <w:t xml:space="preserve"> (JCI) </w:t>
      </w:r>
      <w:r w:rsidRPr="00E04E1C">
        <w:rPr>
          <w:rFonts w:ascii="Simplified Arabic" w:eastAsiaTheme="majorEastAsia" w:hAnsi="Simplified Arabic" w:cs="Simplified Arabic"/>
          <w:color w:val="000000" w:themeColor="text1"/>
          <w:sz w:val="28"/>
          <w:szCs w:val="28"/>
          <w:rtl/>
        </w:rPr>
        <w:t>اهتماماً بالغاً بوضع معايير وأهداف دولية لسلامة المرضى تسعى المؤسسات الصحية حول العالم إلى تحقيقها والالتزام بها (قبج وخليف، 2023)</w:t>
      </w:r>
      <w:r w:rsidRPr="00E04E1C">
        <w:rPr>
          <w:rFonts w:ascii="Simplified Arabic" w:eastAsiaTheme="majorEastAsia" w:hAnsi="Simplified Arabic" w:cs="Simplified Arabic"/>
          <w:color w:val="000000" w:themeColor="text1"/>
          <w:sz w:val="28"/>
          <w:szCs w:val="28"/>
        </w:rPr>
        <w:t>.</w:t>
      </w:r>
    </w:p>
    <w:p w14:paraId="66937702"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وتُشكّل ثقافة سلامة المرضى الإطار القيمي والسلوكي الذي يُوجّه ممارسات العاملين الصحيين نحو تقليل المخاطر وتعزيز بيئة آمنة للمرضى، وتتضمّن أبعاداً متعددة كالعمل الجماعي وفعالية التواصل ودعم الإدارة والتعلم المؤسسي والاستجابة غير العقابية للأخطاء والإبلاغ عن الأحداث، وقد حظي قياس هذه الثقافة وتعزيزها باهتمام بحثي واسع في المستشفيات السعودية والعربية، حيث أسهمت أدوات مثل مقياس</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التابع لوكالة</w:t>
      </w:r>
      <w:r w:rsidRPr="00E04E1C">
        <w:rPr>
          <w:rFonts w:ascii="Simplified Arabic" w:eastAsiaTheme="majorEastAsia" w:hAnsi="Simplified Arabic" w:cs="Simplified Arabic"/>
          <w:color w:val="000000" w:themeColor="text1"/>
          <w:sz w:val="28"/>
          <w:szCs w:val="28"/>
        </w:rPr>
        <w:t xml:space="preserve"> AHRQ </w:t>
      </w:r>
      <w:r w:rsidRPr="00E04E1C">
        <w:rPr>
          <w:rFonts w:ascii="Simplified Arabic" w:eastAsiaTheme="majorEastAsia" w:hAnsi="Simplified Arabic" w:cs="Simplified Arabic"/>
          <w:color w:val="000000" w:themeColor="text1"/>
          <w:sz w:val="28"/>
          <w:szCs w:val="28"/>
          <w:rtl/>
        </w:rPr>
        <w:t>في توفير إطار موحّد لتقييم أبعاد السلامة ومقارنتها بين المؤسسات الصحية المختلفة</w:t>
      </w:r>
      <w:r w:rsidRPr="00E04E1C">
        <w:rPr>
          <w:rFonts w:ascii="Simplified Arabic" w:eastAsiaTheme="majorEastAsia" w:hAnsi="Simplified Arabic" w:cs="Simplified Arabic"/>
          <w:color w:val="000000" w:themeColor="text1"/>
          <w:sz w:val="28"/>
          <w:szCs w:val="28"/>
        </w:rPr>
        <w:t xml:space="preserve"> (Alsulami et al., 2022).</w:t>
      </w:r>
    </w:p>
    <w:p w14:paraId="42496709"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lastRenderedPageBreak/>
        <w:t>وتتقاطع تقنيات الذكاء الاصطناعي في إدارة المخاطر الصحية مع سلامة المرضى في علاقة تكاملية وثيقة، إذ إن توظيف هذه التقنيات في رصد المخاطر والتنبؤ بها والحد منها يُفضي بالضرورة إلى تعزيز مستوى السلامة وتقليل الأحداث الضارة</w:t>
      </w:r>
      <w:r w:rsidRPr="00E04E1C">
        <w:rPr>
          <w:rFonts w:ascii="Simplified Arabic" w:eastAsiaTheme="majorEastAsia" w:hAnsi="Simplified Arabic" w:cs="Simplified Arabic"/>
          <w:color w:val="000000" w:themeColor="text1"/>
          <w:sz w:val="28"/>
          <w:szCs w:val="28"/>
        </w:rPr>
        <w:t xml:space="preserve"> (Eldesoky &amp; AlThubaity, 2025).</w:t>
      </w:r>
    </w:p>
    <w:p w14:paraId="15029FE9"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وفي ضوء ما تقدّم، وانطلاقاً من التوجه الاستراتيجي للمملكة العربية السعودية ضمن رؤية 2030 نحو تبنّي الذكاء الاصطناعي في القطاع الصحي، تأتي هذه الدراسة لتبحث في أثر استخدام تقنيات الذكاء الاصطناعي في إدارة المخاطر الصحية بأبعاده الأربعة على سلامة المرضى في المستشفيات السعودية، سعياً إلى تقديم أدلة ميدانية تُسهم في توجيه جهود التحول الرقمي الصحي نحو تحقيق بيئة صحية أكثر أماناً وفاعلية</w:t>
      </w:r>
      <w:r w:rsidRPr="00E04E1C">
        <w:rPr>
          <w:rFonts w:ascii="Simplified Arabic" w:eastAsiaTheme="majorEastAsia" w:hAnsi="Simplified Arabic" w:cs="Simplified Arabic"/>
          <w:color w:val="000000" w:themeColor="text1"/>
          <w:sz w:val="28"/>
          <w:szCs w:val="28"/>
        </w:rPr>
        <w:t xml:space="preserve"> .</w:t>
      </w:r>
    </w:p>
    <w:p w14:paraId="20BD66BE" w14:textId="7872EAEC"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4" w:name="_Toc234537588"/>
      <w:r w:rsidRPr="00E04E1C">
        <w:rPr>
          <w:rFonts w:ascii="Simplified Arabic" w:eastAsiaTheme="majorEastAsia" w:hAnsi="Simplified Arabic" w:cs="Simplified Arabic" w:hint="cs"/>
          <w:b/>
          <w:bCs/>
          <w:color w:val="000000" w:themeColor="text1"/>
          <w:sz w:val="36"/>
          <w:szCs w:val="36"/>
          <w:rtl/>
        </w:rPr>
        <w:t xml:space="preserve">2.1 </w:t>
      </w:r>
      <w:r w:rsidRPr="00E04E1C">
        <w:rPr>
          <w:rFonts w:ascii="Simplified Arabic" w:eastAsiaTheme="majorEastAsia" w:hAnsi="Simplified Arabic" w:cs="Simplified Arabic"/>
          <w:b/>
          <w:bCs/>
          <w:color w:val="000000" w:themeColor="text1"/>
          <w:sz w:val="36"/>
          <w:szCs w:val="36"/>
          <w:rtl/>
        </w:rPr>
        <w:t>مشكلة الدراسة</w:t>
      </w:r>
      <w:bookmarkEnd w:id="4"/>
    </w:p>
    <w:p w14:paraId="1D1B4A3D"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يشهد القطاع الصحي على المستوى العالمي تحولات جوهرية مدفوعة بالتطور المتسارع في تقنيات الذكاء الاصطناعي التي باتت تُعيد تشكيل ملامح الرعاية الصحية وأنماط إدارتها، غير أن هذا التحول التقني لم يُواكبه بالضرورة تراجع مماثل في معدلات المخاطر الصحية والأحداث الضارة التي تُهدد سلامة المرضى، فقد أشارت منظمة الصحة العالمية إلى أن واحداً من كل عشرة مرضى يتعرض لحدث ضار أثناء تلقيه الرعاية الصحية في المستشفيات، وأن ما يزيد عن 50% من هذه الأحداث كان يمكن تفاديها لو توافرت أنظمة رصد وإنذار فعّالة، كما قدّر معهد الطب الأمريكي أن الأخطاء الطبية تحتل المرتبة الثالثة بين أسباب الوفاة في الولايات المتحدة بنحو 98,000 حالة وفاة سنوياً، وهو ما يُرسّخ الحاجة الملحّة لتبنّي مقاربات تقنية متقدمة في إدارة المخاطر الصحية وحماية المرضى</w:t>
      </w:r>
      <w:r w:rsidRPr="00E04E1C">
        <w:rPr>
          <w:rFonts w:ascii="Simplified Arabic" w:eastAsiaTheme="majorEastAsia" w:hAnsi="Simplified Arabic" w:cs="Simplified Arabic"/>
          <w:color w:val="000000" w:themeColor="text1"/>
          <w:sz w:val="28"/>
          <w:szCs w:val="28"/>
        </w:rPr>
        <w:t>.</w:t>
      </w:r>
    </w:p>
    <w:p w14:paraId="3AFBB704"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 تُولي المملكة العربية السعودية في إطار رؤية 2030 اهتماماً استراتيجياً بالغاً بالتحول الرقمي في القطاع الصحي وتبنّي تقنيات الذكاء الاصطناعي، حيث أُنشئت الهيئة السعودية للبيانات والذكاء الاصطناعي (سدايا) وخُصّصت استثمارات ضخمة في البنية التحتية الرقمية الصحية. بيد أن الواقع الميداني يكشف عن فجوة واضحة بين الطموحات الاستراتيجية والتطبيق الفعلي لهذه التقنيات في مستشفيات المملكة، إذ أظهرت دراسة حديثة أن 39% فقط من مقدمي الرعاية الصحية السعوديين يشعرون بالثقة في قدرتهم على استخدام أدوات الذكاء الاصطناعي، كما كشفت دراسة</w:t>
      </w:r>
      <w:r w:rsidRPr="00E04E1C">
        <w:rPr>
          <w:rFonts w:ascii="Simplified Arabic" w:eastAsiaTheme="majorEastAsia" w:hAnsi="Simplified Arabic" w:cs="Simplified Arabic"/>
          <w:color w:val="000000" w:themeColor="text1"/>
          <w:sz w:val="28"/>
          <w:szCs w:val="28"/>
        </w:rPr>
        <w:t xml:space="preserve"> Eldesoky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AlThubaity (2025) </w:t>
      </w:r>
      <w:r w:rsidRPr="00E04E1C">
        <w:rPr>
          <w:rFonts w:ascii="Simplified Arabic" w:eastAsiaTheme="majorEastAsia" w:hAnsi="Simplified Arabic" w:cs="Simplified Arabic"/>
          <w:color w:val="000000" w:themeColor="text1"/>
          <w:sz w:val="28"/>
          <w:szCs w:val="28"/>
          <w:rtl/>
        </w:rPr>
        <w:t>أن مستوى المعرفة بالذكاء الاصطناعي لدى العاملين الصحيين في المستشفيات السعودية لا يزال متوسطاً بنسبة 63.46%، وأن ثقافة سلامة المرضى لم تتجاوز مستوى 54.89%. ويتّسق ذلك مع ما أكّدته دراسات</w:t>
      </w:r>
      <w:r w:rsidRPr="00E04E1C">
        <w:rPr>
          <w:rFonts w:ascii="Simplified Arabic" w:eastAsiaTheme="majorEastAsia" w:hAnsi="Simplified Arabic" w:cs="Simplified Arabic"/>
          <w:color w:val="000000" w:themeColor="text1"/>
          <w:sz w:val="28"/>
          <w:szCs w:val="28"/>
        </w:rPr>
        <w:t xml:space="preserve"> Alghaithami etal.,(2024)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Alsulami etal.</w:t>
      </w:r>
      <w:proofErr w:type="gramStart"/>
      <w:r w:rsidRPr="00E04E1C">
        <w:rPr>
          <w:rFonts w:ascii="Simplified Arabic" w:eastAsiaTheme="majorEastAsia" w:hAnsi="Simplified Arabic" w:cs="Simplified Arabic"/>
          <w:color w:val="000000" w:themeColor="text1"/>
          <w:sz w:val="28"/>
          <w:szCs w:val="28"/>
        </w:rPr>
        <w:t>,  (</w:t>
      </w:r>
      <w:proofErr w:type="gramEnd"/>
      <w:r w:rsidRPr="00E04E1C">
        <w:rPr>
          <w:rFonts w:ascii="Simplified Arabic" w:eastAsiaTheme="majorEastAsia" w:hAnsi="Simplified Arabic" w:cs="Simplified Arabic"/>
          <w:color w:val="000000" w:themeColor="text1"/>
          <w:sz w:val="28"/>
          <w:szCs w:val="28"/>
        </w:rPr>
        <w:t xml:space="preserve">2022) </w:t>
      </w:r>
      <w:r w:rsidRPr="00E04E1C">
        <w:rPr>
          <w:rFonts w:ascii="Simplified Arabic" w:eastAsiaTheme="majorEastAsia" w:hAnsi="Simplified Arabic" w:cs="Simplified Arabic"/>
          <w:color w:val="000000" w:themeColor="text1"/>
          <w:sz w:val="28"/>
          <w:szCs w:val="28"/>
          <w:rtl/>
        </w:rPr>
        <w:t xml:space="preserve">من أن المستشفيات السعودية </w:t>
      </w:r>
      <w:r w:rsidRPr="00E04E1C">
        <w:rPr>
          <w:rFonts w:ascii="Simplified Arabic" w:eastAsiaTheme="majorEastAsia" w:hAnsi="Simplified Arabic" w:cs="Simplified Arabic"/>
          <w:color w:val="000000" w:themeColor="text1"/>
          <w:sz w:val="28"/>
          <w:szCs w:val="28"/>
          <w:rtl/>
        </w:rPr>
        <w:lastRenderedPageBreak/>
        <w:t>تُعاني من تحديات هيكلية في أبعاد جوهرية لثقافة السلامة كالاستجابة غير العقابية للأخطاء وكفاية الملاك الوظيفي وفعالية أنظمة الإبلاغ</w:t>
      </w:r>
      <w:r w:rsidRPr="00E04E1C">
        <w:rPr>
          <w:rFonts w:ascii="Simplified Arabic" w:eastAsiaTheme="majorEastAsia" w:hAnsi="Simplified Arabic" w:cs="Simplified Arabic"/>
          <w:color w:val="000000" w:themeColor="text1"/>
          <w:sz w:val="28"/>
          <w:szCs w:val="28"/>
        </w:rPr>
        <w:t>.</w:t>
      </w:r>
    </w:p>
    <w:p w14:paraId="65A8D869"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وانطلاقاً مما سبق، ومن خلال الملاحظات الميدانية واستقراء الفجوة البحثية في الأدبيات العربية والسعودية، تتبلور مشكلة الدراسة الحالية في التساؤل الرئيس التالي: ما أثر استخدام تقنيات الذكاء الاصطناعي في إدارة المخاطر الصحية بأبعاده (أنظمة الإنذار والتنبؤ المبكر بالمخاطر، وأنظمة دعم القرار السريري الذكية، وأنظمة المراقبة اللحظية وتحليل البيانات الصحية، وأنظمة الكشف التلقائي عن الأخطاء الطبية والإبلاغ عنها) على سلامة المرضى في المستشفيات السعودية؟</w:t>
      </w:r>
    </w:p>
    <w:p w14:paraId="19832AAF" w14:textId="07E9106D" w:rsidR="00E04E1C" w:rsidRPr="00E04E1C" w:rsidRDefault="00E04E1C" w:rsidP="00E04E1C">
      <w:pPr>
        <w:jc w:val="both"/>
        <w:outlineLvl w:val="1"/>
        <w:rPr>
          <w:rFonts w:ascii="Simplified Arabic" w:eastAsiaTheme="majorEastAsia" w:hAnsi="Simplified Arabic" w:cs="Simplified Arabic"/>
          <w:color w:val="000000" w:themeColor="text1"/>
          <w:sz w:val="36"/>
          <w:szCs w:val="36"/>
          <w:rtl/>
        </w:rPr>
      </w:pPr>
      <w:bookmarkStart w:id="5" w:name="_Toc234537589"/>
      <w:r w:rsidRPr="00E04E1C">
        <w:rPr>
          <w:rFonts w:ascii="Simplified Arabic" w:eastAsiaTheme="majorEastAsia" w:hAnsi="Simplified Arabic" w:cs="Simplified Arabic" w:hint="cs"/>
          <w:color w:val="000000" w:themeColor="text1"/>
          <w:sz w:val="36"/>
          <w:szCs w:val="36"/>
          <w:rtl/>
        </w:rPr>
        <w:t xml:space="preserve">3.1 </w:t>
      </w:r>
      <w:r w:rsidRPr="00E04E1C">
        <w:rPr>
          <w:rFonts w:ascii="Simplified Arabic" w:eastAsiaTheme="majorEastAsia" w:hAnsi="Simplified Arabic" w:cs="Simplified Arabic"/>
          <w:color w:val="000000" w:themeColor="text1"/>
          <w:sz w:val="36"/>
          <w:szCs w:val="36"/>
          <w:rtl/>
        </w:rPr>
        <w:t>أهداف الدراسة</w:t>
      </w:r>
      <w:bookmarkEnd w:id="5"/>
    </w:p>
    <w:p w14:paraId="58093CB0"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الهدف الرئيس</w:t>
      </w:r>
    </w:p>
    <w:p w14:paraId="7569FFDB"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تهدف هذه الدراسة إلى التعرف على أثر استخدام تقنيات الذكاء الاصطناعي في إدارة المخاطر الصحية بأبعاده (أنظمة الإنذار والتنبؤ المبكر بالمخاطر، وأنظمة دعم القرار السريري الذكية، وأنظمة المراقبة اللحظية وتحليل البيانات الصحية، وأنظمة الكشف التلقائي عن الأخطاء الطبية والإبلاغ عنها)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7E895F2E"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ويتفرع من هذا الهدف الرئيس الأهداف الفرعية التالية</w:t>
      </w:r>
      <w:r w:rsidRPr="00E04E1C">
        <w:rPr>
          <w:rFonts w:ascii="Simplified Arabic" w:eastAsiaTheme="majorEastAsia" w:hAnsi="Simplified Arabic" w:cs="Simplified Arabic"/>
          <w:b/>
          <w:bCs/>
          <w:color w:val="000000" w:themeColor="text1"/>
          <w:sz w:val="28"/>
          <w:szCs w:val="28"/>
        </w:rPr>
        <w:t>:</w:t>
      </w:r>
    </w:p>
    <w:p w14:paraId="771553D4" w14:textId="5FECDD9D" w:rsidR="00E04E1C" w:rsidRPr="00E04E1C" w:rsidRDefault="00E04E1C" w:rsidP="00B72FBD">
      <w:pPr>
        <w:pStyle w:val="ListParagraph"/>
        <w:numPr>
          <w:ilvl w:val="0"/>
          <w:numId w:val="1"/>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التعرف على أثر استخدام أنظمة الإنذار والتنبؤ المبكر بالمخاطر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083DF06B" w14:textId="53BA11E1" w:rsidR="00E04E1C" w:rsidRPr="00E04E1C" w:rsidRDefault="00E04E1C" w:rsidP="00B72FBD">
      <w:pPr>
        <w:pStyle w:val="ListParagraph"/>
        <w:numPr>
          <w:ilvl w:val="0"/>
          <w:numId w:val="1"/>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التعرف على أثر استخدام أنظمة دعم القرار السريري الذكية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4B3CEAD9" w14:textId="2BAAD067" w:rsidR="00E04E1C" w:rsidRPr="00E04E1C" w:rsidRDefault="00E04E1C" w:rsidP="00B72FBD">
      <w:pPr>
        <w:pStyle w:val="ListParagraph"/>
        <w:numPr>
          <w:ilvl w:val="0"/>
          <w:numId w:val="1"/>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التعرف على أثر استخدام أنظمة المراقبة اللحظية وتحليل البيانات الصحية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7B0A6696" w14:textId="4E225625" w:rsidR="00E04E1C" w:rsidRPr="00E04E1C" w:rsidRDefault="00E04E1C" w:rsidP="00B72FBD">
      <w:pPr>
        <w:pStyle w:val="ListParagraph"/>
        <w:numPr>
          <w:ilvl w:val="0"/>
          <w:numId w:val="1"/>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التعرف على أثر استخدام أنظمة الكشف التلقائي عن الأخطاء الطبية والإبلاغ عنها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590E8DF0" w14:textId="2C0267C3" w:rsidR="00E04E1C" w:rsidRPr="00E04E1C" w:rsidRDefault="00E04E1C" w:rsidP="00B72FBD">
      <w:pPr>
        <w:pStyle w:val="ListParagraph"/>
        <w:numPr>
          <w:ilvl w:val="0"/>
          <w:numId w:val="1"/>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تقديم توصيات ومقترحات عملية للمستشفيات السعودية لتعزيز استخدام تقنيات الذكاء الاصطناعي في إدارة المخاطر الصحية بما يُسهم في رفع مستوى سلامة المرضى تماشياً مع مستهدفات رؤية المملكة 2030</w:t>
      </w:r>
      <w:r w:rsidRPr="00E04E1C">
        <w:rPr>
          <w:rFonts w:ascii="Simplified Arabic" w:eastAsiaTheme="majorEastAsia" w:hAnsi="Simplified Arabic" w:cs="Simplified Arabic"/>
          <w:color w:val="000000" w:themeColor="text1"/>
          <w:sz w:val="28"/>
          <w:szCs w:val="28"/>
        </w:rPr>
        <w:t>.</w:t>
      </w:r>
    </w:p>
    <w:p w14:paraId="1E681D5C" w14:textId="27C5662E"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6" w:name="_Toc234537590"/>
      <w:r w:rsidRPr="00E04E1C">
        <w:rPr>
          <w:rFonts w:ascii="Simplified Arabic" w:eastAsiaTheme="majorEastAsia" w:hAnsi="Simplified Arabic" w:cs="Simplified Arabic" w:hint="cs"/>
          <w:b/>
          <w:bCs/>
          <w:color w:val="000000" w:themeColor="text1"/>
          <w:sz w:val="36"/>
          <w:szCs w:val="36"/>
          <w:rtl/>
        </w:rPr>
        <w:lastRenderedPageBreak/>
        <w:t xml:space="preserve">4.1 </w:t>
      </w:r>
      <w:r w:rsidRPr="00E04E1C">
        <w:rPr>
          <w:rFonts w:ascii="Simplified Arabic" w:eastAsiaTheme="majorEastAsia" w:hAnsi="Simplified Arabic" w:cs="Simplified Arabic"/>
          <w:b/>
          <w:bCs/>
          <w:color w:val="000000" w:themeColor="text1"/>
          <w:sz w:val="36"/>
          <w:szCs w:val="36"/>
          <w:rtl/>
        </w:rPr>
        <w:t>أسئلة الدراسة</w:t>
      </w:r>
      <w:bookmarkEnd w:id="6"/>
    </w:p>
    <w:p w14:paraId="1B3B1EDA"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السؤال الرئيس</w:t>
      </w:r>
    </w:p>
    <w:p w14:paraId="461B4F29" w14:textId="77777777" w:rsidR="00E04E1C" w:rsidRPr="00E04E1C" w:rsidRDefault="00E04E1C" w:rsidP="00B72FBD">
      <w:pPr>
        <w:pStyle w:val="ListParagraph"/>
        <w:numPr>
          <w:ilvl w:val="0"/>
          <w:numId w:val="2"/>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ما أثر استخدام تقنيات الذكاء الاصطناعي في إدارة المخاطر الصحية على سلامة المرضى في المستشفيات السعودية؟</w:t>
      </w:r>
    </w:p>
    <w:p w14:paraId="20B8BA0E"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ويتفرع من هذا السؤال الرئيس الأسئلة الفرعية التالية</w:t>
      </w:r>
      <w:r w:rsidRPr="00E04E1C">
        <w:rPr>
          <w:rFonts w:ascii="Simplified Arabic" w:eastAsiaTheme="majorEastAsia" w:hAnsi="Simplified Arabic" w:cs="Simplified Arabic"/>
          <w:b/>
          <w:bCs/>
          <w:color w:val="000000" w:themeColor="text1"/>
          <w:sz w:val="28"/>
          <w:szCs w:val="28"/>
        </w:rPr>
        <w:t>:</w:t>
      </w:r>
    </w:p>
    <w:p w14:paraId="69C65C9C" w14:textId="018056BA" w:rsidR="00E04E1C" w:rsidRPr="00E04E1C" w:rsidRDefault="00E04E1C" w:rsidP="00B72FBD">
      <w:pPr>
        <w:pStyle w:val="ListParagraph"/>
        <w:numPr>
          <w:ilvl w:val="0"/>
          <w:numId w:val="2"/>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ما أثر استخدام أنظمة الإنذار والتنبؤ المبكر بالمخاطر على سلامة المرضى في المستشفيات السعودية؟</w:t>
      </w:r>
    </w:p>
    <w:p w14:paraId="79DBCF58" w14:textId="2C19DB5F" w:rsidR="00E04E1C" w:rsidRPr="00E04E1C" w:rsidRDefault="00E04E1C" w:rsidP="00B72FBD">
      <w:pPr>
        <w:pStyle w:val="ListParagraph"/>
        <w:numPr>
          <w:ilvl w:val="0"/>
          <w:numId w:val="2"/>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ما أثر استخدام أنظمة دعم القرار السريري الذكية على سلامة المرضى في المستشفيات السعودية؟</w:t>
      </w:r>
    </w:p>
    <w:p w14:paraId="00AE5AC9" w14:textId="1A3D6216" w:rsidR="00E04E1C" w:rsidRPr="00E04E1C" w:rsidRDefault="00E04E1C" w:rsidP="00B72FBD">
      <w:pPr>
        <w:pStyle w:val="ListParagraph"/>
        <w:numPr>
          <w:ilvl w:val="0"/>
          <w:numId w:val="2"/>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ما أثر استخدام أنظمة المراقبة اللحظية وتحليل البيانات الصحية على سلامة المرضى في المستشفيات السعودية؟</w:t>
      </w:r>
    </w:p>
    <w:p w14:paraId="3BDD6F37" w14:textId="4CB36E9F" w:rsidR="00E04E1C" w:rsidRPr="00E04E1C" w:rsidRDefault="00E04E1C" w:rsidP="00B72FBD">
      <w:pPr>
        <w:pStyle w:val="ListParagraph"/>
        <w:numPr>
          <w:ilvl w:val="0"/>
          <w:numId w:val="2"/>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ما أثر استخدام أنظمة الكشف التلقائي عن الأخطاء الطبية والإبلاغ عنها على سلامة المرضى في المستشفيات السعودية؟</w:t>
      </w:r>
    </w:p>
    <w:p w14:paraId="3900728A" w14:textId="4075CB06"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7" w:name="_Toc234537591"/>
      <w:r w:rsidRPr="00E04E1C">
        <w:rPr>
          <w:rFonts w:ascii="Simplified Arabic" w:eastAsiaTheme="majorEastAsia" w:hAnsi="Simplified Arabic" w:cs="Simplified Arabic" w:hint="cs"/>
          <w:b/>
          <w:bCs/>
          <w:color w:val="000000" w:themeColor="text1"/>
          <w:sz w:val="36"/>
          <w:szCs w:val="36"/>
          <w:rtl/>
        </w:rPr>
        <w:t xml:space="preserve">5.1 </w:t>
      </w:r>
      <w:r w:rsidRPr="00E04E1C">
        <w:rPr>
          <w:rFonts w:ascii="Simplified Arabic" w:eastAsiaTheme="majorEastAsia" w:hAnsi="Simplified Arabic" w:cs="Simplified Arabic"/>
          <w:b/>
          <w:bCs/>
          <w:color w:val="000000" w:themeColor="text1"/>
          <w:sz w:val="36"/>
          <w:szCs w:val="36"/>
          <w:rtl/>
        </w:rPr>
        <w:t>فروض الدراسة</w:t>
      </w:r>
      <w:bookmarkEnd w:id="7"/>
    </w:p>
    <w:p w14:paraId="6136EA1A"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الفرض الرئيس</w:t>
      </w:r>
    </w:p>
    <w:p w14:paraId="12BFDCB6" w14:textId="77777777" w:rsidR="00E04E1C" w:rsidRPr="00E04E1C" w:rsidRDefault="00E04E1C" w:rsidP="00B72FBD">
      <w:pPr>
        <w:pStyle w:val="ListParagraph"/>
        <w:numPr>
          <w:ilvl w:val="0"/>
          <w:numId w:val="3"/>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لا يوجد أثر ذو دلالة إحصائية عند مستوى معنوية</w:t>
      </w:r>
      <w:r w:rsidRPr="00E04E1C">
        <w:rPr>
          <w:rFonts w:ascii="Simplified Arabic" w:eastAsiaTheme="majorEastAsia" w:hAnsi="Simplified Arabic" w:cs="Simplified Arabic"/>
          <w:color w:val="000000" w:themeColor="text1"/>
          <w:sz w:val="28"/>
          <w:szCs w:val="28"/>
        </w:rPr>
        <w:t xml:space="preserve"> (</w:t>
      </w:r>
      <w:r w:rsidRPr="00E04E1C">
        <w:rPr>
          <w:rFonts w:ascii="Cambria" w:eastAsiaTheme="majorEastAsia" w:hAnsi="Cambria" w:cs="Cambria"/>
          <w:color w:val="000000" w:themeColor="text1"/>
          <w:sz w:val="28"/>
          <w:szCs w:val="28"/>
        </w:rPr>
        <w:t>α</w:t>
      </w:r>
      <w:r w:rsidRPr="00E04E1C">
        <w:rPr>
          <w:rFonts w:ascii="Simplified Arabic" w:eastAsiaTheme="majorEastAsia" w:hAnsi="Simplified Arabic" w:cs="Simplified Arabic"/>
          <w:color w:val="000000" w:themeColor="text1"/>
          <w:sz w:val="28"/>
          <w:szCs w:val="28"/>
        </w:rPr>
        <w:t xml:space="preserve"> </w:t>
      </w:r>
      <w:r w:rsidRPr="00E04E1C">
        <w:rPr>
          <w:rFonts w:ascii="Times New Roman" w:eastAsiaTheme="majorEastAsia" w:hAnsi="Times New Roman" w:cs="Times New Roman"/>
          <w:color w:val="000000" w:themeColor="text1"/>
          <w:sz w:val="28"/>
          <w:szCs w:val="28"/>
        </w:rPr>
        <w:t>≤</w:t>
      </w:r>
      <w:r w:rsidRPr="00E04E1C">
        <w:rPr>
          <w:rFonts w:ascii="Simplified Arabic" w:eastAsiaTheme="majorEastAsia" w:hAnsi="Simplified Arabic" w:cs="Simplified Arabic"/>
          <w:color w:val="000000" w:themeColor="text1"/>
          <w:sz w:val="28"/>
          <w:szCs w:val="28"/>
        </w:rPr>
        <w:t xml:space="preserve"> 0.05) </w:t>
      </w:r>
      <w:r w:rsidRPr="00E04E1C">
        <w:rPr>
          <w:rFonts w:ascii="Simplified Arabic" w:eastAsiaTheme="majorEastAsia" w:hAnsi="Simplified Arabic" w:cs="Simplified Arabic"/>
          <w:color w:val="000000" w:themeColor="text1"/>
          <w:sz w:val="28"/>
          <w:szCs w:val="28"/>
          <w:rtl/>
        </w:rPr>
        <w:t>لاستخدام تقنيات الذكاء الاصطناعي في إدارة المخاطر الصحية بأبعاده مجتمعة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6582EFDB"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ويتفرع من هذا الفرض الرئيس الفروض الفرعية التالية</w:t>
      </w:r>
      <w:r w:rsidRPr="00E04E1C">
        <w:rPr>
          <w:rFonts w:ascii="Simplified Arabic" w:eastAsiaTheme="majorEastAsia" w:hAnsi="Simplified Arabic" w:cs="Simplified Arabic"/>
          <w:b/>
          <w:bCs/>
          <w:color w:val="000000" w:themeColor="text1"/>
          <w:sz w:val="28"/>
          <w:szCs w:val="28"/>
        </w:rPr>
        <w:t>:</w:t>
      </w:r>
    </w:p>
    <w:p w14:paraId="6B38982C" w14:textId="7794C65D" w:rsidR="00E04E1C" w:rsidRPr="00E04E1C" w:rsidRDefault="00E04E1C" w:rsidP="00B72FBD">
      <w:pPr>
        <w:pStyle w:val="ListParagraph"/>
        <w:numPr>
          <w:ilvl w:val="0"/>
          <w:numId w:val="3"/>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الفرض الفرعي الأول: لا يوجد أثر ذو دلالة إحصائية عند مستوى معنوية</w:t>
      </w:r>
      <w:r w:rsidRPr="00E04E1C">
        <w:rPr>
          <w:rFonts w:ascii="Simplified Arabic" w:eastAsiaTheme="majorEastAsia" w:hAnsi="Simplified Arabic" w:cs="Simplified Arabic"/>
          <w:color w:val="000000" w:themeColor="text1"/>
          <w:sz w:val="28"/>
          <w:szCs w:val="28"/>
        </w:rPr>
        <w:t xml:space="preserve"> (</w:t>
      </w:r>
      <w:r w:rsidRPr="00E04E1C">
        <w:rPr>
          <w:rFonts w:ascii="Cambria" w:eastAsiaTheme="majorEastAsia" w:hAnsi="Cambria" w:cs="Cambria"/>
          <w:color w:val="000000" w:themeColor="text1"/>
          <w:sz w:val="28"/>
          <w:szCs w:val="28"/>
        </w:rPr>
        <w:t>α</w:t>
      </w:r>
      <w:r w:rsidRPr="00E04E1C">
        <w:rPr>
          <w:rFonts w:ascii="Simplified Arabic" w:eastAsiaTheme="majorEastAsia" w:hAnsi="Simplified Arabic" w:cs="Simplified Arabic"/>
          <w:color w:val="000000" w:themeColor="text1"/>
          <w:sz w:val="28"/>
          <w:szCs w:val="28"/>
        </w:rPr>
        <w:t xml:space="preserve"> </w:t>
      </w:r>
      <w:r w:rsidRPr="00E04E1C">
        <w:rPr>
          <w:rFonts w:ascii="Times New Roman" w:eastAsiaTheme="majorEastAsia" w:hAnsi="Times New Roman" w:cs="Times New Roman"/>
          <w:color w:val="000000" w:themeColor="text1"/>
          <w:sz w:val="28"/>
          <w:szCs w:val="28"/>
        </w:rPr>
        <w:t>≤</w:t>
      </w:r>
      <w:r w:rsidRPr="00E04E1C">
        <w:rPr>
          <w:rFonts w:ascii="Simplified Arabic" w:eastAsiaTheme="majorEastAsia" w:hAnsi="Simplified Arabic" w:cs="Simplified Arabic"/>
          <w:color w:val="000000" w:themeColor="text1"/>
          <w:sz w:val="28"/>
          <w:szCs w:val="28"/>
        </w:rPr>
        <w:t xml:space="preserve"> 0.05) </w:t>
      </w:r>
      <w:r w:rsidRPr="00E04E1C">
        <w:rPr>
          <w:rFonts w:ascii="Simplified Arabic" w:eastAsiaTheme="majorEastAsia" w:hAnsi="Simplified Arabic" w:cs="Simplified Arabic"/>
          <w:color w:val="000000" w:themeColor="text1"/>
          <w:sz w:val="28"/>
          <w:szCs w:val="28"/>
          <w:rtl/>
        </w:rPr>
        <w:t>لاستخدام أنظمة الإنذار والتنبؤ المبكر بالمخاطر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7532B43C" w14:textId="71602026" w:rsidR="00E04E1C" w:rsidRPr="00E04E1C" w:rsidRDefault="00E04E1C" w:rsidP="00B72FBD">
      <w:pPr>
        <w:pStyle w:val="ListParagraph"/>
        <w:numPr>
          <w:ilvl w:val="0"/>
          <w:numId w:val="3"/>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الفرض الفرعي الثاني: لا يوجد أثر ذو دلالة إحصائية عند مستوى معنوية</w:t>
      </w:r>
      <w:r w:rsidRPr="00E04E1C">
        <w:rPr>
          <w:rFonts w:ascii="Simplified Arabic" w:eastAsiaTheme="majorEastAsia" w:hAnsi="Simplified Arabic" w:cs="Simplified Arabic"/>
          <w:color w:val="000000" w:themeColor="text1"/>
          <w:sz w:val="28"/>
          <w:szCs w:val="28"/>
        </w:rPr>
        <w:t xml:space="preserve"> (</w:t>
      </w:r>
      <w:r w:rsidRPr="00E04E1C">
        <w:rPr>
          <w:rFonts w:ascii="Cambria" w:eastAsiaTheme="majorEastAsia" w:hAnsi="Cambria" w:cs="Cambria"/>
          <w:color w:val="000000" w:themeColor="text1"/>
          <w:sz w:val="28"/>
          <w:szCs w:val="28"/>
        </w:rPr>
        <w:t>α</w:t>
      </w:r>
      <w:r w:rsidRPr="00E04E1C">
        <w:rPr>
          <w:rFonts w:ascii="Simplified Arabic" w:eastAsiaTheme="majorEastAsia" w:hAnsi="Simplified Arabic" w:cs="Simplified Arabic"/>
          <w:color w:val="000000" w:themeColor="text1"/>
          <w:sz w:val="28"/>
          <w:szCs w:val="28"/>
        </w:rPr>
        <w:t xml:space="preserve"> </w:t>
      </w:r>
      <w:r w:rsidRPr="00E04E1C">
        <w:rPr>
          <w:rFonts w:ascii="Times New Roman" w:eastAsiaTheme="majorEastAsia" w:hAnsi="Times New Roman" w:cs="Times New Roman"/>
          <w:color w:val="000000" w:themeColor="text1"/>
          <w:sz w:val="28"/>
          <w:szCs w:val="28"/>
        </w:rPr>
        <w:t>≤</w:t>
      </w:r>
      <w:r w:rsidRPr="00E04E1C">
        <w:rPr>
          <w:rFonts w:ascii="Simplified Arabic" w:eastAsiaTheme="majorEastAsia" w:hAnsi="Simplified Arabic" w:cs="Simplified Arabic"/>
          <w:color w:val="000000" w:themeColor="text1"/>
          <w:sz w:val="28"/>
          <w:szCs w:val="28"/>
        </w:rPr>
        <w:t xml:space="preserve"> 0.05) </w:t>
      </w:r>
      <w:r w:rsidRPr="00E04E1C">
        <w:rPr>
          <w:rFonts w:ascii="Simplified Arabic" w:eastAsiaTheme="majorEastAsia" w:hAnsi="Simplified Arabic" w:cs="Simplified Arabic"/>
          <w:color w:val="000000" w:themeColor="text1"/>
          <w:sz w:val="28"/>
          <w:szCs w:val="28"/>
          <w:rtl/>
        </w:rPr>
        <w:t>لاستخدام أنظمة دعم القرار السريري الذكية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35396380" w14:textId="2D561F9B" w:rsidR="00E04E1C" w:rsidRPr="00E04E1C" w:rsidRDefault="00E04E1C" w:rsidP="00B72FBD">
      <w:pPr>
        <w:pStyle w:val="ListParagraph"/>
        <w:numPr>
          <w:ilvl w:val="0"/>
          <w:numId w:val="3"/>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الفرض الفرعي الثالث: لا يوجد أثر ذو دلالة إحصائية عند مستوى معنوية</w:t>
      </w:r>
      <w:r w:rsidRPr="00E04E1C">
        <w:rPr>
          <w:rFonts w:ascii="Simplified Arabic" w:eastAsiaTheme="majorEastAsia" w:hAnsi="Simplified Arabic" w:cs="Simplified Arabic"/>
          <w:color w:val="000000" w:themeColor="text1"/>
          <w:sz w:val="28"/>
          <w:szCs w:val="28"/>
        </w:rPr>
        <w:t xml:space="preserve"> (</w:t>
      </w:r>
      <w:r w:rsidRPr="00E04E1C">
        <w:rPr>
          <w:rFonts w:ascii="Cambria" w:eastAsiaTheme="majorEastAsia" w:hAnsi="Cambria" w:cs="Cambria"/>
          <w:color w:val="000000" w:themeColor="text1"/>
          <w:sz w:val="28"/>
          <w:szCs w:val="28"/>
        </w:rPr>
        <w:t>α</w:t>
      </w:r>
      <w:r w:rsidRPr="00E04E1C">
        <w:rPr>
          <w:rFonts w:ascii="Simplified Arabic" w:eastAsiaTheme="majorEastAsia" w:hAnsi="Simplified Arabic" w:cs="Simplified Arabic"/>
          <w:color w:val="000000" w:themeColor="text1"/>
          <w:sz w:val="28"/>
          <w:szCs w:val="28"/>
        </w:rPr>
        <w:t xml:space="preserve"> </w:t>
      </w:r>
      <w:r w:rsidRPr="00E04E1C">
        <w:rPr>
          <w:rFonts w:ascii="Times New Roman" w:eastAsiaTheme="majorEastAsia" w:hAnsi="Times New Roman" w:cs="Times New Roman"/>
          <w:color w:val="000000" w:themeColor="text1"/>
          <w:sz w:val="28"/>
          <w:szCs w:val="28"/>
        </w:rPr>
        <w:t>≤</w:t>
      </w:r>
      <w:r w:rsidRPr="00E04E1C">
        <w:rPr>
          <w:rFonts w:ascii="Simplified Arabic" w:eastAsiaTheme="majorEastAsia" w:hAnsi="Simplified Arabic" w:cs="Simplified Arabic"/>
          <w:color w:val="000000" w:themeColor="text1"/>
          <w:sz w:val="28"/>
          <w:szCs w:val="28"/>
        </w:rPr>
        <w:t xml:space="preserve"> 0.05) </w:t>
      </w:r>
      <w:r w:rsidRPr="00E04E1C">
        <w:rPr>
          <w:rFonts w:ascii="Simplified Arabic" w:eastAsiaTheme="majorEastAsia" w:hAnsi="Simplified Arabic" w:cs="Simplified Arabic"/>
          <w:color w:val="000000" w:themeColor="text1"/>
          <w:sz w:val="28"/>
          <w:szCs w:val="28"/>
          <w:rtl/>
        </w:rPr>
        <w:t>لاستخدام أنظمة المراقبة اللحظية وتحليل البيانات الصحية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75AAE928" w14:textId="11C5CF07" w:rsidR="00E04E1C" w:rsidRPr="00E04E1C" w:rsidRDefault="00E04E1C" w:rsidP="00B72FBD">
      <w:pPr>
        <w:pStyle w:val="ListParagraph"/>
        <w:numPr>
          <w:ilvl w:val="0"/>
          <w:numId w:val="3"/>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lastRenderedPageBreak/>
        <w:t>الفرض الفرعي الرابع: لا يوجد أثر ذو دلالة إحصائية عند مستوى معنوية</w:t>
      </w:r>
      <w:r w:rsidRPr="00E04E1C">
        <w:rPr>
          <w:rFonts w:ascii="Simplified Arabic" w:eastAsiaTheme="majorEastAsia" w:hAnsi="Simplified Arabic" w:cs="Simplified Arabic"/>
          <w:color w:val="000000" w:themeColor="text1"/>
          <w:sz w:val="28"/>
          <w:szCs w:val="28"/>
        </w:rPr>
        <w:t xml:space="preserve"> (</w:t>
      </w:r>
      <w:r w:rsidRPr="00E04E1C">
        <w:rPr>
          <w:rFonts w:ascii="Cambria" w:eastAsiaTheme="majorEastAsia" w:hAnsi="Cambria" w:cs="Cambria"/>
          <w:color w:val="000000" w:themeColor="text1"/>
          <w:sz w:val="28"/>
          <w:szCs w:val="28"/>
        </w:rPr>
        <w:t>α</w:t>
      </w:r>
      <w:r w:rsidRPr="00E04E1C">
        <w:rPr>
          <w:rFonts w:ascii="Simplified Arabic" w:eastAsiaTheme="majorEastAsia" w:hAnsi="Simplified Arabic" w:cs="Simplified Arabic"/>
          <w:color w:val="000000" w:themeColor="text1"/>
          <w:sz w:val="28"/>
          <w:szCs w:val="28"/>
        </w:rPr>
        <w:t xml:space="preserve"> </w:t>
      </w:r>
      <w:r w:rsidRPr="00E04E1C">
        <w:rPr>
          <w:rFonts w:ascii="Times New Roman" w:eastAsiaTheme="majorEastAsia" w:hAnsi="Times New Roman" w:cs="Times New Roman"/>
          <w:color w:val="000000" w:themeColor="text1"/>
          <w:sz w:val="28"/>
          <w:szCs w:val="28"/>
        </w:rPr>
        <w:t>≤</w:t>
      </w:r>
      <w:r w:rsidRPr="00E04E1C">
        <w:rPr>
          <w:rFonts w:ascii="Simplified Arabic" w:eastAsiaTheme="majorEastAsia" w:hAnsi="Simplified Arabic" w:cs="Simplified Arabic"/>
          <w:color w:val="000000" w:themeColor="text1"/>
          <w:sz w:val="28"/>
          <w:szCs w:val="28"/>
        </w:rPr>
        <w:t xml:space="preserve"> 0.05) </w:t>
      </w:r>
      <w:r w:rsidRPr="00E04E1C">
        <w:rPr>
          <w:rFonts w:ascii="Simplified Arabic" w:eastAsiaTheme="majorEastAsia" w:hAnsi="Simplified Arabic" w:cs="Simplified Arabic"/>
          <w:color w:val="000000" w:themeColor="text1"/>
          <w:sz w:val="28"/>
          <w:szCs w:val="28"/>
          <w:rtl/>
        </w:rPr>
        <w:t>لاستخدام أنظمة الكشف التلقائي عن الأخطاء الطبية والإبلاغ عنها على سلامة المرضى في المستشفيات السعودية</w:t>
      </w:r>
      <w:r w:rsidRPr="00E04E1C">
        <w:rPr>
          <w:rFonts w:ascii="Simplified Arabic" w:eastAsiaTheme="majorEastAsia" w:hAnsi="Simplified Arabic" w:cs="Simplified Arabic"/>
          <w:color w:val="000000" w:themeColor="text1"/>
          <w:sz w:val="28"/>
          <w:szCs w:val="28"/>
        </w:rPr>
        <w:t>.</w:t>
      </w:r>
    </w:p>
    <w:p w14:paraId="38BFA48F" w14:textId="1B49C1CA"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8" w:name="_Toc234537592"/>
      <w:r w:rsidRPr="00E04E1C">
        <w:rPr>
          <w:rFonts w:ascii="Simplified Arabic" w:eastAsiaTheme="majorEastAsia" w:hAnsi="Simplified Arabic" w:cs="Simplified Arabic" w:hint="cs"/>
          <w:b/>
          <w:bCs/>
          <w:color w:val="000000" w:themeColor="text1"/>
          <w:sz w:val="36"/>
          <w:szCs w:val="36"/>
          <w:rtl/>
        </w:rPr>
        <w:t xml:space="preserve">6.1 </w:t>
      </w:r>
      <w:r w:rsidRPr="00E04E1C">
        <w:rPr>
          <w:rFonts w:ascii="Simplified Arabic" w:eastAsiaTheme="majorEastAsia" w:hAnsi="Simplified Arabic" w:cs="Simplified Arabic"/>
          <w:b/>
          <w:bCs/>
          <w:color w:val="000000" w:themeColor="text1"/>
          <w:sz w:val="36"/>
          <w:szCs w:val="36"/>
          <w:rtl/>
        </w:rPr>
        <w:t>أهمية الدراسة</w:t>
      </w:r>
      <w:bookmarkEnd w:id="8"/>
    </w:p>
    <w:p w14:paraId="2B18D3B3"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الأهمية العلمية (النظرية)</w:t>
      </w:r>
    </w:p>
    <w:p w14:paraId="727E3405" w14:textId="3A3E8A0A" w:rsidR="00E04E1C" w:rsidRPr="00E04E1C" w:rsidRDefault="00E04E1C" w:rsidP="00B72FBD">
      <w:pPr>
        <w:pStyle w:val="ListParagraph"/>
        <w:numPr>
          <w:ilvl w:val="0"/>
          <w:numId w:val="4"/>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تُسهم هذه الدراسة في إثراء الأدب النظري المتعلق بالعلاقة بين تقنيات الذكاء الاصطناعي في إدارة المخاطر الصحية وسلامة المرضى، وهو مجال بحثي ناشئ لا يزال يفتقر إلى دراسات كافية خاصة في السياق العربي والسعودي، مما يُمثّل إضافة معرفية نوعية للمكتبة البحثية العربية</w:t>
      </w:r>
      <w:r w:rsidRPr="00E04E1C">
        <w:rPr>
          <w:rFonts w:ascii="Simplified Arabic" w:eastAsiaTheme="majorEastAsia" w:hAnsi="Simplified Arabic" w:cs="Simplified Arabic"/>
          <w:color w:val="000000" w:themeColor="text1"/>
          <w:sz w:val="28"/>
          <w:szCs w:val="28"/>
        </w:rPr>
        <w:t>.</w:t>
      </w:r>
    </w:p>
    <w:p w14:paraId="6E9E9448" w14:textId="3B09C625" w:rsidR="00E04E1C" w:rsidRPr="00E04E1C" w:rsidRDefault="00E04E1C" w:rsidP="00B72FBD">
      <w:pPr>
        <w:pStyle w:val="ListParagraph"/>
        <w:numPr>
          <w:ilvl w:val="0"/>
          <w:numId w:val="4"/>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تُقدّم الدراسة إطاراً نظرياً متكاملاً يربط بين أبعاد تقنيات الذكاء الاصطناعي في إدارة المخاطر الصحية (أنظمة الإنذار والتنبؤ المبكر، وأنظمة دعم القرار السريري الذكية، وأنظمة المراقبة اللحظية وتحليل البيانات، وأنظمة الكشف التلقائي عن الأخطاء) وسلامة المرضى، وهو ما يُتيح للباحثين بناء نماذج بحثية مستقبلية أكثر شمولاً</w:t>
      </w:r>
      <w:r w:rsidRPr="00E04E1C">
        <w:rPr>
          <w:rFonts w:ascii="Simplified Arabic" w:eastAsiaTheme="majorEastAsia" w:hAnsi="Simplified Arabic" w:cs="Simplified Arabic"/>
          <w:color w:val="000000" w:themeColor="text1"/>
          <w:sz w:val="28"/>
          <w:szCs w:val="28"/>
        </w:rPr>
        <w:t>.</w:t>
      </w:r>
    </w:p>
    <w:p w14:paraId="54AB80B8" w14:textId="18909D28" w:rsidR="00E04E1C" w:rsidRPr="00E04E1C" w:rsidRDefault="00E04E1C" w:rsidP="00B72FBD">
      <w:pPr>
        <w:pStyle w:val="ListParagraph"/>
        <w:numPr>
          <w:ilvl w:val="0"/>
          <w:numId w:val="4"/>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تُوفّر الدراسة قاعدة بيانات علمية موثّقة حول واقع تطبيق تقنيات الذكاء الاصطناعي في إدارة المخاطر الصحية بالمستشفيات السعودية، يمكن أن تُشكّل مرجعاً أساسياً للدراسات المقارنة والبحوث المستقبلية في المنطقة العربية والخليجية</w:t>
      </w:r>
      <w:r w:rsidRPr="00E04E1C">
        <w:rPr>
          <w:rFonts w:ascii="Simplified Arabic" w:eastAsiaTheme="majorEastAsia" w:hAnsi="Simplified Arabic" w:cs="Simplified Arabic"/>
          <w:color w:val="000000" w:themeColor="text1"/>
          <w:sz w:val="28"/>
          <w:szCs w:val="28"/>
        </w:rPr>
        <w:t>.</w:t>
      </w:r>
    </w:p>
    <w:p w14:paraId="527608B5" w14:textId="37BC8F87" w:rsidR="00E04E1C" w:rsidRPr="00E04E1C" w:rsidRDefault="00E04E1C" w:rsidP="00B72FBD">
      <w:pPr>
        <w:pStyle w:val="ListParagraph"/>
        <w:numPr>
          <w:ilvl w:val="0"/>
          <w:numId w:val="4"/>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تُسهم الدراسة في سد الفجوة البحثية الواضحة في الأدبيات العربية التي ركّزت غالباً على تقنيات الذكاء الاصطناعي أو سلامة المرضى كلٌّ على حدة، دون دراسة العلاقة التكاملية بينهما في إطار إدارة المخاطر الصحية ضمن نموذج بحثي واحد</w:t>
      </w:r>
      <w:r w:rsidRPr="00E04E1C">
        <w:rPr>
          <w:rFonts w:ascii="Simplified Arabic" w:eastAsiaTheme="majorEastAsia" w:hAnsi="Simplified Arabic" w:cs="Simplified Arabic"/>
          <w:color w:val="000000" w:themeColor="text1"/>
          <w:sz w:val="28"/>
          <w:szCs w:val="28"/>
        </w:rPr>
        <w:t>.</w:t>
      </w:r>
    </w:p>
    <w:p w14:paraId="1538D6E2" w14:textId="3B5FD688" w:rsidR="00E04E1C" w:rsidRPr="00E04E1C" w:rsidRDefault="00E04E1C" w:rsidP="00B72FBD">
      <w:pPr>
        <w:pStyle w:val="ListParagraph"/>
        <w:numPr>
          <w:ilvl w:val="0"/>
          <w:numId w:val="4"/>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تستند الدراسة إلى مراجعة شاملة للنظريات والنماذج ذات الصلة مثل نموذج قبول التكنولوجيا</w:t>
      </w:r>
      <w:r w:rsidRPr="00E04E1C">
        <w:rPr>
          <w:rFonts w:ascii="Simplified Arabic" w:eastAsiaTheme="majorEastAsia" w:hAnsi="Simplified Arabic" w:cs="Simplified Arabic"/>
          <w:color w:val="000000" w:themeColor="text1"/>
          <w:sz w:val="28"/>
          <w:szCs w:val="28"/>
        </w:rPr>
        <w:t xml:space="preserve"> (TAM) </w:t>
      </w:r>
      <w:r w:rsidRPr="00E04E1C">
        <w:rPr>
          <w:rFonts w:ascii="Simplified Arabic" w:eastAsiaTheme="majorEastAsia" w:hAnsi="Simplified Arabic" w:cs="Simplified Arabic"/>
          <w:color w:val="000000" w:themeColor="text1"/>
          <w:sz w:val="28"/>
          <w:szCs w:val="28"/>
          <w:rtl/>
        </w:rPr>
        <w:t>ونظرية الفعل المعقول</w:t>
      </w:r>
      <w:r w:rsidRPr="00E04E1C">
        <w:rPr>
          <w:rFonts w:ascii="Simplified Arabic" w:eastAsiaTheme="majorEastAsia" w:hAnsi="Simplified Arabic" w:cs="Simplified Arabic"/>
          <w:color w:val="000000" w:themeColor="text1"/>
          <w:sz w:val="28"/>
          <w:szCs w:val="28"/>
        </w:rPr>
        <w:t xml:space="preserve"> (TRA) </w:t>
      </w:r>
      <w:r w:rsidRPr="00E04E1C">
        <w:rPr>
          <w:rFonts w:ascii="Simplified Arabic" w:eastAsiaTheme="majorEastAsia" w:hAnsi="Simplified Arabic" w:cs="Simplified Arabic"/>
          <w:color w:val="000000" w:themeColor="text1"/>
          <w:sz w:val="28"/>
          <w:szCs w:val="28"/>
          <w:rtl/>
        </w:rPr>
        <w:t>وتطبيقها في السياق الصحي السعودي، مما يُثري الجانب النظري لهذا الحقل البحثي</w:t>
      </w:r>
      <w:r w:rsidRPr="00E04E1C">
        <w:rPr>
          <w:rFonts w:ascii="Simplified Arabic" w:eastAsiaTheme="majorEastAsia" w:hAnsi="Simplified Arabic" w:cs="Simplified Arabic"/>
          <w:color w:val="000000" w:themeColor="text1"/>
          <w:sz w:val="28"/>
          <w:szCs w:val="28"/>
        </w:rPr>
        <w:t>.</w:t>
      </w:r>
    </w:p>
    <w:p w14:paraId="40984862" w14:textId="7EDC5644" w:rsidR="00E04E1C" w:rsidRPr="00E04E1C" w:rsidRDefault="00E04E1C" w:rsidP="00B72FBD">
      <w:pPr>
        <w:pStyle w:val="ListParagraph"/>
        <w:numPr>
          <w:ilvl w:val="0"/>
          <w:numId w:val="4"/>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تُعزّز الدراسة الفهم الأكاديمي لطبيعة التحديات الاجتماعية-التقنية التي تواجه تبنّي الذكاء الاصطناعي في المنظومة الصحية، وتُقدّم تحليلاً علمياً لأثر كل بُعد من أبعاد التقنية على مستوى سلامة المرضى</w:t>
      </w:r>
      <w:r w:rsidRPr="00E04E1C">
        <w:rPr>
          <w:rFonts w:ascii="Simplified Arabic" w:eastAsiaTheme="majorEastAsia" w:hAnsi="Simplified Arabic" w:cs="Simplified Arabic"/>
          <w:color w:val="000000" w:themeColor="text1"/>
          <w:sz w:val="28"/>
          <w:szCs w:val="28"/>
        </w:rPr>
        <w:t>.</w:t>
      </w:r>
    </w:p>
    <w:p w14:paraId="2D1DBEDB"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الأهمية العملية (التطبيقية)</w:t>
      </w:r>
    </w:p>
    <w:p w14:paraId="692F9692" w14:textId="32C5B330"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lastRenderedPageBreak/>
        <w:t>تُقدّم الدراسة نتائج تطبيقية يمكن أن تُفيد صانعي القرار في وزارة الصحة السعودية والمستشفيات في صياغة سياسات واستراتيجيات فعّالة لتبنّي تقنيات الذكاء الاصطناعي في إدارة المخاطر الصحية بما يتوافق مع مستهدفات رؤية المملكة 2030 والتحول الرقمي الصحي</w:t>
      </w:r>
      <w:r w:rsidRPr="00E04E1C">
        <w:rPr>
          <w:rFonts w:ascii="Simplified Arabic" w:eastAsiaTheme="majorEastAsia" w:hAnsi="Simplified Arabic" w:cs="Simplified Arabic"/>
          <w:color w:val="000000" w:themeColor="text1"/>
          <w:sz w:val="28"/>
          <w:szCs w:val="28"/>
        </w:rPr>
        <w:t>.</w:t>
      </w:r>
    </w:p>
    <w:p w14:paraId="61B05606" w14:textId="110AF88E"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تُساعد نتائج الدراسة القيادات الإدارية والطبية في المستشفيات السعودية على تحديد أولويات الاستثمار في تقنيات الذكاء الاصطناعي الأكثر تأثيراً في تعزيز سلامة المرضى، من خلال الكشف عن البُعد الأكثر فاعلية من بين الأبعاد الأربعة المدروسة</w:t>
      </w:r>
      <w:r w:rsidRPr="00E04E1C">
        <w:rPr>
          <w:rFonts w:ascii="Simplified Arabic" w:eastAsiaTheme="majorEastAsia" w:hAnsi="Simplified Arabic" w:cs="Simplified Arabic"/>
          <w:color w:val="000000" w:themeColor="text1"/>
          <w:sz w:val="28"/>
          <w:szCs w:val="28"/>
        </w:rPr>
        <w:t>.</w:t>
      </w:r>
    </w:p>
    <w:p w14:paraId="44E10F1A" w14:textId="5D11D083"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توفّر الدراسة توصيات عملية قابلة للتطبيق لتصميم برامج تدريبية وتأهيلية للكوادر الصحية في مجال استخدام تقنيات الذكاء الاصطناعي، مما يُسهم في رفع مستوى الجاهزية الرقمية للقوى العاملة الصحية في المملكة</w:t>
      </w:r>
      <w:r w:rsidRPr="00E04E1C">
        <w:rPr>
          <w:rFonts w:ascii="Simplified Arabic" w:eastAsiaTheme="majorEastAsia" w:hAnsi="Simplified Arabic" w:cs="Simplified Arabic"/>
          <w:color w:val="000000" w:themeColor="text1"/>
          <w:sz w:val="28"/>
          <w:szCs w:val="28"/>
        </w:rPr>
        <w:t>.</w:t>
      </w:r>
    </w:p>
    <w:p w14:paraId="090D3A01" w14:textId="30AE3FB8"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تُسهم الدراسة في تحسين ممارسات إدارة المخاطر الصحية في المستشفيات السعودية من خلال تسليط الضوء على الفجوات الحالية في تطبيق تقنيات الذكاء الاصطناعي واقتراح حلول عملية لمعالجتها</w:t>
      </w:r>
      <w:r w:rsidRPr="00E04E1C">
        <w:rPr>
          <w:rFonts w:ascii="Simplified Arabic" w:eastAsiaTheme="majorEastAsia" w:hAnsi="Simplified Arabic" w:cs="Simplified Arabic"/>
          <w:color w:val="000000" w:themeColor="text1"/>
          <w:sz w:val="28"/>
          <w:szCs w:val="28"/>
        </w:rPr>
        <w:t>.</w:t>
      </w:r>
    </w:p>
    <w:p w14:paraId="5B76FEDF" w14:textId="5C5F6C51"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تُوجّه الدراسة اهتمام الهيئات التنظيمية والرقابية مثل الهيئة السعودية للتخصصات الصحية ووزارة الصحة والهيئة السعودية للبيانات والذكاء الاصطناعي (سدايا) نحو أهمية وضع أطر تنظيمية وأخلاقية واضحة لتطبيق الذكاء الاصطناعي في المجال الصحي بما يضمن خصوصية بيانات المرضى وشفافية الخوارزميات</w:t>
      </w:r>
      <w:r w:rsidRPr="00E04E1C">
        <w:rPr>
          <w:rFonts w:ascii="Simplified Arabic" w:eastAsiaTheme="majorEastAsia" w:hAnsi="Simplified Arabic" w:cs="Simplified Arabic"/>
          <w:color w:val="000000" w:themeColor="text1"/>
          <w:sz w:val="28"/>
          <w:szCs w:val="28"/>
        </w:rPr>
        <w:t>.</w:t>
      </w:r>
    </w:p>
    <w:p w14:paraId="7F1C87ED" w14:textId="38FC5696"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تُقدّم الدراسة مؤشرات عملية حول مستوى تقبّل العاملين في المستشفيات السعودية لتقنيات الذكاء الاصطناعي والعوامل المؤثرة في ذلك، مما يُساعد في تصميم استراتيجيات تغيير تنظيمي فعّالة تُراعي البُعد الإنساني في عملية التحول الرقمي</w:t>
      </w:r>
      <w:r w:rsidRPr="00E04E1C">
        <w:rPr>
          <w:rFonts w:ascii="Simplified Arabic" w:eastAsiaTheme="majorEastAsia" w:hAnsi="Simplified Arabic" w:cs="Simplified Arabic"/>
          <w:color w:val="000000" w:themeColor="text1"/>
          <w:sz w:val="28"/>
          <w:szCs w:val="28"/>
        </w:rPr>
        <w:t>.</w:t>
      </w:r>
    </w:p>
    <w:p w14:paraId="049783EA" w14:textId="6A444DF4"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يمكن أن تُفيد نتائج الدراسة شركات التقنية الصحية ومزوّدي حلول الذكاء الاصطناعي في فهم احتياجات المستشفيات السعودية وتطوير منتجات وحلول تتوافق مع متطلبات بيئة العمل الصحي المحلية</w:t>
      </w:r>
      <w:r w:rsidRPr="00E04E1C">
        <w:rPr>
          <w:rFonts w:ascii="Simplified Arabic" w:eastAsiaTheme="majorEastAsia" w:hAnsi="Simplified Arabic" w:cs="Simplified Arabic"/>
          <w:color w:val="000000" w:themeColor="text1"/>
          <w:sz w:val="28"/>
          <w:szCs w:val="28"/>
        </w:rPr>
        <w:t>.</w:t>
      </w:r>
    </w:p>
    <w:p w14:paraId="43AC6261" w14:textId="1B19AD54" w:rsidR="00E04E1C" w:rsidRPr="00E04E1C" w:rsidRDefault="00E04E1C" w:rsidP="00B72FBD">
      <w:pPr>
        <w:pStyle w:val="ListParagraph"/>
        <w:numPr>
          <w:ilvl w:val="0"/>
          <w:numId w:val="5"/>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تدعم الدراسة جهود المملكة العربية السعودية في تحقيق أهداف التنمية المستدامة المتعلقة بالصحة والرفاهية من خلال تقديم أدلة تجريبية على دور التقنيات الذكية في تعزيز جودة الرعاية الصحية وسلامة المرضى</w:t>
      </w:r>
      <w:r w:rsidRPr="00E04E1C">
        <w:rPr>
          <w:rFonts w:ascii="Simplified Arabic" w:eastAsiaTheme="majorEastAsia" w:hAnsi="Simplified Arabic" w:cs="Simplified Arabic"/>
          <w:color w:val="000000" w:themeColor="text1"/>
          <w:sz w:val="28"/>
          <w:szCs w:val="28"/>
        </w:rPr>
        <w:t>.</w:t>
      </w:r>
    </w:p>
    <w:p w14:paraId="4746E9D2" w14:textId="717B36C0"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9" w:name="_Toc234537593"/>
      <w:r w:rsidRPr="00E04E1C">
        <w:rPr>
          <w:rFonts w:ascii="Simplified Arabic" w:eastAsiaTheme="majorEastAsia" w:hAnsi="Simplified Arabic" w:cs="Simplified Arabic" w:hint="cs"/>
          <w:b/>
          <w:bCs/>
          <w:color w:val="000000" w:themeColor="text1"/>
          <w:sz w:val="36"/>
          <w:szCs w:val="36"/>
          <w:rtl/>
        </w:rPr>
        <w:t xml:space="preserve">7.1 </w:t>
      </w:r>
      <w:r w:rsidRPr="00E04E1C">
        <w:rPr>
          <w:rFonts w:ascii="Simplified Arabic" w:eastAsiaTheme="majorEastAsia" w:hAnsi="Simplified Arabic" w:cs="Simplified Arabic"/>
          <w:b/>
          <w:bCs/>
          <w:color w:val="000000" w:themeColor="text1"/>
          <w:sz w:val="36"/>
          <w:szCs w:val="36"/>
          <w:rtl/>
        </w:rPr>
        <w:t>الدراسات السابقة</w:t>
      </w:r>
      <w:r w:rsidRPr="00E04E1C">
        <w:rPr>
          <w:rFonts w:ascii="Simplified Arabic" w:eastAsiaTheme="majorEastAsia" w:hAnsi="Simplified Arabic" w:cs="Simplified Arabic"/>
          <w:b/>
          <w:bCs/>
          <w:color w:val="000000" w:themeColor="text1"/>
          <w:sz w:val="36"/>
          <w:szCs w:val="36"/>
        </w:rPr>
        <w:t>:</w:t>
      </w:r>
      <w:bookmarkEnd w:id="9"/>
    </w:p>
    <w:p w14:paraId="0684FB2E"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المحور الأول: الدراسات المتعلقة بالمتغير المستقل (تقنيات الذكاء الاصطناعي في إدارة المخاطر الصحية)</w:t>
      </w:r>
      <w:r w:rsidRPr="00E04E1C">
        <w:rPr>
          <w:rFonts w:ascii="Simplified Arabic" w:eastAsiaTheme="majorEastAsia" w:hAnsi="Simplified Arabic" w:cs="Simplified Arabic"/>
          <w:b/>
          <w:bCs/>
          <w:color w:val="000000" w:themeColor="text1"/>
          <w:sz w:val="32"/>
          <w:szCs w:val="32"/>
        </w:rPr>
        <w:t xml:space="preserve"> </w:t>
      </w:r>
    </w:p>
    <w:p w14:paraId="51405BE9"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lastRenderedPageBreak/>
        <w:t>دراسة حمودة والعقل (2022) بعنوان "الكفاءة الذاتية للأطباء الاستشاريين وسلامة المرضى: دراسة حالة في مستشفى الإمام الصادق التعليمي بمحافظة بابل</w:t>
      </w:r>
      <w:r w:rsidRPr="00E04E1C">
        <w:rPr>
          <w:rFonts w:ascii="Simplified Arabic" w:eastAsiaTheme="majorEastAsia" w:hAnsi="Simplified Arabic" w:cs="Simplified Arabic"/>
          <w:b/>
          <w:bCs/>
          <w:color w:val="000000" w:themeColor="text1"/>
          <w:sz w:val="28"/>
          <w:szCs w:val="28"/>
        </w:rPr>
        <w:t xml:space="preserve">". </w:t>
      </w:r>
    </w:p>
    <w:p w14:paraId="6D683183" w14:textId="465F0CAF" w:rsid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أثر الكفاءة الذاتية للأطباء الاستشاريين بأبعادها على سلامة المرضى في مستشفى الإمام الصادق التعليمي بمحافظة بابل بالعراق. واستخدمت الدراسة المنهج الوصفي التحليلي، والاستبانة أداةً رئيسة لجمع البيانات. وتكوّنت العينة من 100 استبانة صالحة للتحليل من أصل 130 استبانة وُزّعت على الأطباء الاستشاريين في المستشفى بمعدل استرداد بلغ 86%، وحُلّلت البيانات باستخدام</w:t>
      </w:r>
      <w:r w:rsidRPr="00E04E1C">
        <w:rPr>
          <w:rFonts w:ascii="Simplified Arabic" w:eastAsiaTheme="majorEastAsia" w:hAnsi="Simplified Arabic" w:cs="Simplified Arabic"/>
          <w:color w:val="000000" w:themeColor="text1"/>
          <w:sz w:val="28"/>
          <w:szCs w:val="28"/>
        </w:rPr>
        <w:t xml:space="preserve"> SPSS V24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AMOS V24. </w:t>
      </w:r>
      <w:r w:rsidRPr="00E04E1C">
        <w:rPr>
          <w:rFonts w:ascii="Simplified Arabic" w:eastAsiaTheme="majorEastAsia" w:hAnsi="Simplified Arabic" w:cs="Simplified Arabic"/>
          <w:color w:val="000000" w:themeColor="text1"/>
          <w:sz w:val="28"/>
          <w:szCs w:val="28"/>
          <w:rtl/>
        </w:rPr>
        <w:t>وتوصلت نتائج الدراسة إلى وجود علاقة إيجابية ذات دلالة إحصائية بين الكفاءة الذاتية للأطباء الاستشاريين وتحسين سلامة المرضى، مما يُبرز أهمية تعزيز ثقة الأطباء بقدراتهم المهنية لتحقيق مستويات أعلى من السلامة. وأوصت الدراسة بضرورة تنفيذ برامج تدريبية لتعزيز الكفاءة الذاتية للأطباء، والاستثمار في بيئة العمل الداعمة التي ترفع من مستوى الثقة المهنية، وربط أنظمة تقييم الأداء بمعايير سلامة المرضى</w:t>
      </w:r>
      <w:r w:rsidRPr="00E04E1C">
        <w:rPr>
          <w:rFonts w:ascii="Simplified Arabic" w:eastAsiaTheme="majorEastAsia" w:hAnsi="Simplified Arabic" w:cs="Simplified Arabic"/>
          <w:color w:val="000000" w:themeColor="text1"/>
          <w:sz w:val="28"/>
          <w:szCs w:val="28"/>
        </w:rPr>
        <w:t>.</w:t>
      </w:r>
    </w:p>
    <w:p w14:paraId="36A4B7AD"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 العتيبي واليوبي (2024) بعنوان "أثر الذكاء الاصطناعي في إدارة المشاريع الصحية: دراسة تطبيقية على وزارة الصحة بالمملكة العربية السعودية</w:t>
      </w:r>
      <w:r w:rsidRPr="00E04E1C">
        <w:rPr>
          <w:rFonts w:ascii="Simplified Arabic" w:eastAsiaTheme="majorEastAsia" w:hAnsi="Simplified Arabic" w:cs="Simplified Arabic"/>
          <w:b/>
          <w:bCs/>
          <w:color w:val="000000" w:themeColor="text1"/>
          <w:sz w:val="28"/>
          <w:szCs w:val="28"/>
        </w:rPr>
        <w:t xml:space="preserve">". </w:t>
      </w:r>
    </w:p>
    <w:p w14:paraId="682748E1"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أثر تقنيات الذكاء الاصطناعي بأبعاده (النظم الخبيرة، والشبكات العصبية الاصطناعية، والخوارزميات الجينية، والمنطق الضبابي) على إدارة المشاريع الصحية في وزارة الصحة السعودية في إطار رؤية المملكة 2030. واستخدمت الدراسة المنهج الوصفي التحليلي، والاستبانة أداةً لجمع البيانات. وتكوّنت العينة من العاملين في وزارة الصحة السعودية المعنيين بإدارة المشاريع الصحية. وتوصلت نتائج الدراسة إلى وجود أثر ذي دلالة إحصائية لتقنيات الذكاء الاصطناعي بأبعادها الأربعة في إدارة المشاريع الصحية، وأن هذه التقنيات تُسهم في تحسين عمليات التخطيط واتخاذ القرار والرقابة على المشاريع الصحية. وأوصت الدراسة بضرورة تعزيز البنية التحتية الرقمية في وزارة الصحة لدعم تطبيقات الذكاء الاصطناعي، وتدريب الكوادر البشرية على استخدام هذه التقنيات، والتوسع في تبنّي الذكاء الاصطناعي في مختلف مجالات إدارة المشاريع الصحية تماشياً مع مستهدفات رؤية 2030</w:t>
      </w:r>
      <w:r w:rsidRPr="00E04E1C">
        <w:rPr>
          <w:rFonts w:ascii="Simplified Arabic" w:eastAsiaTheme="majorEastAsia" w:hAnsi="Simplified Arabic" w:cs="Simplified Arabic"/>
          <w:color w:val="000000" w:themeColor="text1"/>
          <w:sz w:val="28"/>
          <w:szCs w:val="28"/>
        </w:rPr>
        <w:t>.</w:t>
      </w:r>
    </w:p>
    <w:p w14:paraId="4623C232"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 فراج وأبو زيد (2024) بعنوان "أثر تطبيق تقنيات الذكاء الاصطناعي على جودة الخدمات الصحية: بالتطبيق على مستشفيات جامعة طنطا</w:t>
      </w:r>
      <w:r w:rsidRPr="00E04E1C">
        <w:rPr>
          <w:rFonts w:ascii="Simplified Arabic" w:eastAsiaTheme="majorEastAsia" w:hAnsi="Simplified Arabic" w:cs="Simplified Arabic"/>
          <w:b/>
          <w:bCs/>
          <w:color w:val="000000" w:themeColor="text1"/>
          <w:sz w:val="28"/>
          <w:szCs w:val="28"/>
        </w:rPr>
        <w:t xml:space="preserve">". </w:t>
      </w:r>
    </w:p>
    <w:p w14:paraId="64DDC590"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 xml:space="preserve">هدفت الدراسة إلى التعرف على أثر تطبيق تقنيات الذكاء الاصطناعي بأبعاده (أنظمة دعم القرار الذكية، والتعلم الآلي، ومعالجة اللغة الطبيعية) على جودة الخدمات الصحية المقدَّمة في مستشفيات جامعة طنطا بمصر. واستخدمت الدراسة المنهج الوصفي التحليلي، وجُمعت البيانات عبر الاستبانة. وتكوّنت </w:t>
      </w:r>
      <w:r w:rsidRPr="00E04E1C">
        <w:rPr>
          <w:rFonts w:ascii="Simplified Arabic" w:eastAsiaTheme="majorEastAsia" w:hAnsi="Simplified Arabic" w:cs="Simplified Arabic"/>
          <w:color w:val="000000" w:themeColor="text1"/>
          <w:sz w:val="28"/>
          <w:szCs w:val="28"/>
          <w:rtl/>
        </w:rPr>
        <w:lastRenderedPageBreak/>
        <w:t>العينة من العاملين في مستشفيات جامعة طنطا من أطباء وممرضين وإداريين. وتوصلت نتائج الدراسة إلى وجود أثر إيجابي ذي دلالة إحصائية لتطبيق تقنيات الذكاء الاصطناعي على جودة الخدمات الصحية، وأن أنظمة دعم القرار الذكية تُسهم بشكل ملحوظ في تحسين دقة التشخيص وسرعة تقديم الخدمة. وأوصت الدراسة بزيادة الاستثمار في البنية التقنية لمستشفيات الجامعة، وتأهيل الكوادر الطبية والإدارية لاستخدام تقنيات الذكاء الاصطناعي، وتطوير سياسات واضحة لحوكمة البيانات الصحية</w:t>
      </w:r>
      <w:r w:rsidRPr="00E04E1C">
        <w:rPr>
          <w:rFonts w:ascii="Simplified Arabic" w:eastAsiaTheme="majorEastAsia" w:hAnsi="Simplified Arabic" w:cs="Simplified Arabic"/>
          <w:color w:val="000000" w:themeColor="text1"/>
          <w:sz w:val="28"/>
          <w:szCs w:val="28"/>
        </w:rPr>
        <w:t>.</w:t>
      </w:r>
    </w:p>
    <w:p w14:paraId="2AF11781"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 الحكيم والخفاف (2024) بعنوان "أثر عمليات الصحة الإلكترونية في تحسين سلامة المرضى: دراسة حالة في مستشفى الإمام الصادق التعليمي بمحافظة بابل</w:t>
      </w:r>
      <w:r w:rsidRPr="00E04E1C">
        <w:rPr>
          <w:rFonts w:ascii="Simplified Arabic" w:eastAsiaTheme="majorEastAsia" w:hAnsi="Simplified Arabic" w:cs="Simplified Arabic"/>
          <w:b/>
          <w:bCs/>
          <w:color w:val="000000" w:themeColor="text1"/>
          <w:sz w:val="28"/>
          <w:szCs w:val="28"/>
        </w:rPr>
        <w:t>".</w:t>
      </w:r>
    </w:p>
    <w:p w14:paraId="7E1F82CE"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Pr>
        <w:t xml:space="preserve"> </w:t>
      </w:r>
      <w:r w:rsidRPr="00E04E1C">
        <w:rPr>
          <w:rFonts w:ascii="Simplified Arabic" w:eastAsiaTheme="majorEastAsia" w:hAnsi="Simplified Arabic" w:cs="Simplified Arabic"/>
          <w:color w:val="000000" w:themeColor="text1"/>
          <w:sz w:val="28"/>
          <w:szCs w:val="28"/>
          <w:rtl/>
        </w:rPr>
        <w:t>هدفت الدراسة إلى التعرف على أثر عمليات الصحة الإلكترونية بأبعادها (السجلات الصحية الإلكترونية، وأنظمة الوصفات الطبية الإلكترونية، وأنظمة دعم القرار السريري) على تحسين سلامة المرضى في مستشفى الإمام الصادق التعليمي بمحافظة بابل بالعراق. واستخدمت الدراسة المنهج الوصفي التحليلي بأسلوب دراسة الحالة، وجُمعت البيانات عبر الاستبانة. وتكوّنت العينة من 100 استبانة صالحة للتحليل من أصل 130 استبانة وُزّعت على الأطباء الاستشاريين في المستشفى بمعدل استرداد بلغ 86%، وحُلّلت البيانات باستخدام برنامجي</w:t>
      </w:r>
      <w:r w:rsidRPr="00E04E1C">
        <w:rPr>
          <w:rFonts w:ascii="Simplified Arabic" w:eastAsiaTheme="majorEastAsia" w:hAnsi="Simplified Arabic" w:cs="Simplified Arabic"/>
          <w:color w:val="000000" w:themeColor="text1"/>
          <w:sz w:val="28"/>
          <w:szCs w:val="28"/>
        </w:rPr>
        <w:t xml:space="preserve"> SPSS V24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AMOS V24. </w:t>
      </w:r>
      <w:r w:rsidRPr="00E04E1C">
        <w:rPr>
          <w:rFonts w:ascii="Simplified Arabic" w:eastAsiaTheme="majorEastAsia" w:hAnsi="Simplified Arabic" w:cs="Simplified Arabic"/>
          <w:color w:val="000000" w:themeColor="text1"/>
          <w:sz w:val="28"/>
          <w:szCs w:val="28"/>
          <w:rtl/>
        </w:rPr>
        <w:t>وتوصلت نتائج الدراسة إلى وجود أثر إيجابي ذي دلالة إحصائية لعمليات الصحة الإلكترونية في تحسين سلامة المرضى، مما يُشير إلى أن تبنّي التقنيات الصحية الرقمية يُسهم في تقليل الأخطاء الطبية وتعزيز جودة الرعاية. وأوصت الدراسة بتوسيع نطاق تطبيق الصحة الإلكترونية في جميع أقسام المستشفى، وتوفير التدريب اللازم للكوادر الطبية على استخدام الأنظمة الإلكترونية، وتعزيز البنية التحتية التقنية</w:t>
      </w:r>
      <w:r w:rsidRPr="00E04E1C">
        <w:rPr>
          <w:rFonts w:ascii="Simplified Arabic" w:eastAsiaTheme="majorEastAsia" w:hAnsi="Simplified Arabic" w:cs="Simplified Arabic"/>
          <w:color w:val="000000" w:themeColor="text1"/>
          <w:sz w:val="28"/>
          <w:szCs w:val="28"/>
        </w:rPr>
        <w:t>.</w:t>
      </w:r>
    </w:p>
    <w:p w14:paraId="78D93B08" w14:textId="490251F9"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Darwiesh etal.,(2022)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"Artificial Intelligence Model for Risk Management in Healthcare Institutions: Towards Sustainable Development" </w:t>
      </w:r>
      <w:r w:rsidRPr="00E04E1C">
        <w:rPr>
          <w:rFonts w:ascii="Simplified Arabic" w:eastAsiaTheme="majorEastAsia" w:hAnsi="Simplified Arabic" w:cs="Simplified Arabic"/>
          <w:b/>
          <w:bCs/>
          <w:color w:val="000000" w:themeColor="text1"/>
          <w:sz w:val="28"/>
          <w:szCs w:val="28"/>
          <w:rtl/>
        </w:rPr>
        <w:t>نموذج ذكاء اصطناعي لإدارة المخاطر في المؤسسات الصحية: نحو التنمية المستدامة</w:t>
      </w:r>
      <w:r w:rsidRPr="00E04E1C">
        <w:rPr>
          <w:rFonts w:ascii="Simplified Arabic" w:eastAsiaTheme="majorEastAsia" w:hAnsi="Simplified Arabic" w:cs="Simplified Arabic"/>
          <w:b/>
          <w:bCs/>
          <w:color w:val="000000" w:themeColor="text1"/>
          <w:sz w:val="28"/>
          <w:szCs w:val="28"/>
        </w:rPr>
        <w:t xml:space="preserve"> </w:t>
      </w:r>
    </w:p>
    <w:p w14:paraId="40BA924D"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إمكانية بناء نموذج قائم على الذكاء الاصطناعي لإدارة المخاطر الصحية بأبعاده (تحديد المخاطر، وتقييم المخاطر، والسيطرة على المخاطر، ومراقبة المخاطر) في المؤسسات الصحية، وذلك باستخدام تقنيات معالجة اللغة الطبيعية وتحليل البيانات الضخمة المستخرجة من وسائل التواصل الاجتماعي. واستخدمت الدراسة المنهج التطبيقي التجريبي، حيث بُني نموذج رياضي واشتُقّت صيغ مغلقة لتحليل المخاطر وتحديدها وتقييمها. وتكوّنت العينة من أكثر من 28,000 تغريدة جُمعت من مؤسسة</w:t>
      </w:r>
      <w:r w:rsidRPr="00E04E1C">
        <w:rPr>
          <w:rFonts w:ascii="Simplified Arabic" w:eastAsiaTheme="majorEastAsia" w:hAnsi="Simplified Arabic" w:cs="Simplified Arabic"/>
          <w:color w:val="000000" w:themeColor="text1"/>
          <w:sz w:val="28"/>
          <w:szCs w:val="28"/>
        </w:rPr>
        <w:t xml:space="preserve"> CVS Health </w:t>
      </w:r>
      <w:r w:rsidRPr="00E04E1C">
        <w:rPr>
          <w:rFonts w:ascii="Simplified Arabic" w:eastAsiaTheme="majorEastAsia" w:hAnsi="Simplified Arabic" w:cs="Simplified Arabic"/>
          <w:color w:val="000000" w:themeColor="text1"/>
          <w:sz w:val="28"/>
          <w:szCs w:val="28"/>
          <w:rtl/>
        </w:rPr>
        <w:t xml:space="preserve">في الولايات المتحدة الأمريكية على مدار ستة أشهر من فبراير إلى </w:t>
      </w:r>
      <w:r w:rsidRPr="00E04E1C">
        <w:rPr>
          <w:rFonts w:ascii="Simplified Arabic" w:eastAsiaTheme="majorEastAsia" w:hAnsi="Simplified Arabic" w:cs="Simplified Arabic"/>
          <w:color w:val="000000" w:themeColor="text1"/>
          <w:sz w:val="28"/>
          <w:szCs w:val="28"/>
          <w:rtl/>
        </w:rPr>
        <w:lastRenderedPageBreak/>
        <w:t>أغسطس 2022. وتوصلت نتائج الدراسة إلى أن نحو ربع تغريدات المرضى تُشير إلى مخاطر في الخدمات الصحية، وتوزّعت حدّة هذه المخاطر بين مخاطر عالية بنسبة 19% ومخاطر متوسطة بنسبة 80.4% ومخاطر منخفضة بنسبة 0.6%، وحقّق النموذج مستويات عالية في مقاييس الأداء من حيث الدقة والاسترجاع. وأوصت الدراسة بتوظيف وسائل التواصل الاجتماعي مصدراً حديثاً لرصد المخاطر الصحية في الوقت الحقيقي، وتطوير أنظمة ذكاء اصطناعي متكاملة تجمع بين معالجة اللغة الطبيعية وتحليل البيانات الضخمة لدعم اتخاذ القرار في إدارة المخاطر الصحية</w:t>
      </w:r>
      <w:r w:rsidRPr="00E04E1C">
        <w:rPr>
          <w:rFonts w:ascii="Simplified Arabic" w:eastAsiaTheme="majorEastAsia" w:hAnsi="Simplified Arabic" w:cs="Simplified Arabic"/>
          <w:color w:val="000000" w:themeColor="text1"/>
          <w:sz w:val="28"/>
          <w:szCs w:val="28"/>
        </w:rPr>
        <w:t>.</w:t>
      </w:r>
    </w:p>
    <w:p w14:paraId="508B5921" w14:textId="1647DC4B"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Baurasien etal.,(2023)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"Medical Errors and Patient Safety: Strategies for Reducing Errors Using Artificial Intelligence" </w:t>
      </w:r>
      <w:r w:rsidRPr="00E04E1C">
        <w:rPr>
          <w:rFonts w:ascii="Simplified Arabic" w:eastAsiaTheme="majorEastAsia" w:hAnsi="Simplified Arabic" w:cs="Simplified Arabic"/>
          <w:b/>
          <w:bCs/>
          <w:color w:val="000000" w:themeColor="text1"/>
          <w:sz w:val="28"/>
          <w:szCs w:val="28"/>
          <w:rtl/>
        </w:rPr>
        <w:t>الأخطاء الطبية وسلامة المرضى: استراتيجيات الحد من الأخطاء باستخدام الذكاء الاصطناعي</w:t>
      </w:r>
      <w:r w:rsidRPr="00E04E1C">
        <w:rPr>
          <w:rFonts w:ascii="Simplified Arabic" w:eastAsiaTheme="majorEastAsia" w:hAnsi="Simplified Arabic" w:cs="Simplified Arabic"/>
          <w:b/>
          <w:bCs/>
          <w:color w:val="000000" w:themeColor="text1"/>
          <w:sz w:val="28"/>
          <w:szCs w:val="28"/>
        </w:rPr>
        <w:t xml:space="preserve"> </w:t>
      </w:r>
    </w:p>
    <w:p w14:paraId="0CE739EF"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دور الذكاء الاصطناعي بأبعاده (دعم التشخيص، وإدارة الأدوية وسلامتها، والدقة الجراحية، ومراقبة المرضى في الوقت الحقيقي، والكشف المبكر عن الأحداث الضارة، والحد من المخاطر الطبية) في الحد من الأخطاء الطبية وتحسين سلامة المرضى. واستخدمت الدراسة المنهج الوصفي المراجعي القائم على مراجعة الأدبيات الحديثة المتعلقة بتطبيقات الذكاء الاصطناعي في المجال الصحي. وتكوّنت العينة من مجموعة واسعة من الدراسات المنشورة في المجلات العلمية المحكّمة المتعلقة بتقنيات التعلم الآلي وأنظمة دعم القرار والمراقبة اللحظية في الرعاية الصحية. وتوصلت نتائج الدراسة إلى أن تقنيات الذكاء الاصطناعي بما في ذلك خوارزميات التعلم الآلي وأنظمة دعم القرار لديها إمكانات كبيرة في تعزيز دقة التشخيص ومنع الأخطاء الدوائية وتحسين النتائج الجراحية، كما أثبتت أنظمة المراقبة اللحظية المدعومة بالذكاء الاصطناعي فعاليتها في الكشف المبكر عن الأحداث الضارة، لكن تحديات تتعلق بخصوصية البيانات وشفافية الخوارزميات والدمج في بيئة العمل السريري لا تزال قائمة. وأوصت الدراسة بضرورة وضع أطر تنظيمية وأخلاقية واضحة لنشر تقنيات الذكاء الاصطناعي في المجال الصحي، وتعزيز التعاون بين المتخصصين في التقنية والرعاية الصحية، وإجراء مزيد من الأبحاث حول فاعلية هذه التقنيات في بيئات سريرية متنوعة</w:t>
      </w:r>
      <w:r w:rsidRPr="00E04E1C">
        <w:rPr>
          <w:rFonts w:ascii="Simplified Arabic" w:eastAsiaTheme="majorEastAsia" w:hAnsi="Simplified Arabic" w:cs="Simplified Arabic"/>
          <w:color w:val="000000" w:themeColor="text1"/>
          <w:sz w:val="28"/>
          <w:szCs w:val="28"/>
        </w:rPr>
        <w:t>.</w:t>
      </w:r>
    </w:p>
    <w:p w14:paraId="30547934" w14:textId="6B9A41BF"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Ferrara </w:t>
      </w:r>
      <w:r w:rsidRPr="00E04E1C">
        <w:rPr>
          <w:rFonts w:ascii="Simplified Arabic" w:eastAsiaTheme="majorEastAsia" w:hAnsi="Simplified Arabic" w:cs="Simplified Arabic"/>
          <w:b/>
          <w:bCs/>
          <w:color w:val="000000" w:themeColor="text1"/>
          <w:sz w:val="28"/>
          <w:szCs w:val="28"/>
          <w:rtl/>
        </w:rPr>
        <w:t>وآخرون (2024) بعنوان</w:t>
      </w:r>
      <w:r w:rsidRPr="00E04E1C">
        <w:rPr>
          <w:rFonts w:ascii="Simplified Arabic" w:eastAsiaTheme="majorEastAsia" w:hAnsi="Simplified Arabic" w:cs="Simplified Arabic"/>
          <w:b/>
          <w:bCs/>
          <w:color w:val="000000" w:themeColor="text1"/>
          <w:sz w:val="28"/>
          <w:szCs w:val="28"/>
        </w:rPr>
        <w:t xml:space="preserve"> "Risk Management and Patient Safety in the Artificial Intelligence Era: A Systematic Review" </w:t>
      </w:r>
      <w:r w:rsidRPr="00E04E1C">
        <w:rPr>
          <w:rFonts w:ascii="Simplified Arabic" w:eastAsiaTheme="majorEastAsia" w:hAnsi="Simplified Arabic" w:cs="Simplified Arabic"/>
          <w:b/>
          <w:bCs/>
          <w:color w:val="000000" w:themeColor="text1"/>
          <w:sz w:val="28"/>
          <w:szCs w:val="28"/>
          <w:rtl/>
        </w:rPr>
        <w:t>إدارة المخاطر وسلامة المرضى في عصر الذكاء الاصطناعي: مراجعة منهجية</w:t>
      </w:r>
      <w:r w:rsidRPr="00E04E1C">
        <w:rPr>
          <w:rFonts w:ascii="Simplified Arabic" w:eastAsiaTheme="majorEastAsia" w:hAnsi="Simplified Arabic" w:cs="Simplified Arabic"/>
          <w:b/>
          <w:bCs/>
          <w:color w:val="000000" w:themeColor="text1"/>
          <w:sz w:val="28"/>
          <w:szCs w:val="28"/>
        </w:rPr>
        <w:t xml:space="preserve"> </w:t>
      </w:r>
    </w:p>
    <w:p w14:paraId="33BA947C"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 xml:space="preserve">هدفت الدراسة إلى التعرف على أثر الذكاء الاصطناعي بأبعاده (الكشف عن الأحداث الضارة وتصنيفها، والتنبؤ بمخاطر السقوط، والتنبؤ بإصابات الضغط، وتصنيف الحوادث بمعالجة اللغة الطبيعية، </w:t>
      </w:r>
      <w:r w:rsidRPr="00E04E1C">
        <w:rPr>
          <w:rFonts w:ascii="Simplified Arabic" w:eastAsiaTheme="majorEastAsia" w:hAnsi="Simplified Arabic" w:cs="Simplified Arabic"/>
          <w:color w:val="000000" w:themeColor="text1"/>
          <w:sz w:val="28"/>
          <w:szCs w:val="28"/>
          <w:rtl/>
        </w:rPr>
        <w:lastRenderedPageBreak/>
        <w:t>والأخطاء الدوائية) على عمليات إدارة المخاطر السريرية وسلامة المرضى. واستخدمت الدراسة منهج المراجعة المنهجية وفق إرشادات</w:t>
      </w:r>
      <w:r w:rsidRPr="00E04E1C">
        <w:rPr>
          <w:rFonts w:ascii="Simplified Arabic" w:eastAsiaTheme="majorEastAsia" w:hAnsi="Simplified Arabic" w:cs="Simplified Arabic"/>
          <w:color w:val="000000" w:themeColor="text1"/>
          <w:sz w:val="28"/>
          <w:szCs w:val="28"/>
        </w:rPr>
        <w:t xml:space="preserve"> PRISMA 2020</w:t>
      </w:r>
      <w:r w:rsidRPr="00E04E1C">
        <w:rPr>
          <w:rFonts w:ascii="Simplified Arabic" w:eastAsiaTheme="majorEastAsia" w:hAnsi="Simplified Arabic" w:cs="Simplified Arabic"/>
          <w:color w:val="000000" w:themeColor="text1"/>
          <w:sz w:val="28"/>
          <w:szCs w:val="28"/>
          <w:rtl/>
        </w:rPr>
        <w:t>، حيث فُحصت 662 مقالة من قواعد بيانات</w:t>
      </w:r>
      <w:r w:rsidRPr="00E04E1C">
        <w:rPr>
          <w:rFonts w:ascii="Simplified Arabic" w:eastAsiaTheme="majorEastAsia" w:hAnsi="Simplified Arabic" w:cs="Simplified Arabic"/>
          <w:color w:val="000000" w:themeColor="text1"/>
          <w:sz w:val="28"/>
          <w:szCs w:val="28"/>
        </w:rPr>
        <w:t xml:space="preserve"> PubMed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Scopus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Web of Science. </w:t>
      </w:r>
      <w:r w:rsidRPr="00E04E1C">
        <w:rPr>
          <w:rFonts w:ascii="Simplified Arabic" w:eastAsiaTheme="majorEastAsia" w:hAnsi="Simplified Arabic" w:cs="Simplified Arabic"/>
          <w:color w:val="000000" w:themeColor="text1"/>
          <w:sz w:val="28"/>
          <w:szCs w:val="28"/>
          <w:rtl/>
        </w:rPr>
        <w:t>وتكوّنت العينة من 68 دراسة تجريبية منشورة بين عامي 2007 و2024 استوفت معايير الإدراج. وتوصلت نتائج الدراسة إلى أن تقنيات الذكاء الاصطناعي بما فيها التعلم الآلي ومعالجة اللغة الطبيعية تُظهر نتائج واعدة في الكشف عن الأحداث الضارة والتنبؤ بالأخطاء الدوائية وتقييم مخاطر السقوط ومنع إصابات الضغط، غير أن التحديات الاجتماعية-التقنية وغياب المعايير الموحّدة والمتطلبات التنظيمية لا تزال تُشكّل عوائق أمام التبنّي الواسع. وأوصت الدراسة بتوحيد معايير الإبلاغ عن أداء نماذج الذكاء الاصطناعي في بيئات سريرية حقيقية، وتطوير أطر تنظيمية واضحة لاعتماد هذه الأدوات، وإجراء دراسات تحقق مستقبلية لتأكيد فعالية هذه النماذج في سياقات سريرية متنوعة</w:t>
      </w:r>
      <w:r w:rsidRPr="00E04E1C">
        <w:rPr>
          <w:rFonts w:ascii="Simplified Arabic" w:eastAsiaTheme="majorEastAsia" w:hAnsi="Simplified Arabic" w:cs="Simplified Arabic"/>
          <w:color w:val="000000" w:themeColor="text1"/>
          <w:sz w:val="28"/>
          <w:szCs w:val="28"/>
        </w:rPr>
        <w:t>.</w:t>
      </w:r>
    </w:p>
    <w:p w14:paraId="76254FAC" w14:textId="11FF84AA"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Eldesoky &amp;AlThubaity (2025)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"Solicitude Toward Artificial Intelligence Among Health Care Providers and Its Relation to Their Patient's Safety Culture in Saudi Arabia" </w:t>
      </w:r>
      <w:r w:rsidRPr="00E04E1C">
        <w:rPr>
          <w:rFonts w:ascii="Simplified Arabic" w:eastAsiaTheme="majorEastAsia" w:hAnsi="Simplified Arabic" w:cs="Simplified Arabic"/>
          <w:b/>
          <w:bCs/>
          <w:color w:val="000000" w:themeColor="text1"/>
          <w:sz w:val="28"/>
          <w:szCs w:val="28"/>
          <w:rtl/>
        </w:rPr>
        <w:t>الاهتمام بالذكاء الاصطناعي لدى مقدمي الرعاية الصحية وعلاقته بثقافة سلامة المرضى في المملكة العربية السعودية</w:t>
      </w:r>
      <w:r w:rsidRPr="00E04E1C">
        <w:rPr>
          <w:rFonts w:ascii="Simplified Arabic" w:eastAsiaTheme="majorEastAsia" w:hAnsi="Simplified Arabic" w:cs="Simplified Arabic"/>
          <w:b/>
          <w:bCs/>
          <w:color w:val="000000" w:themeColor="text1"/>
          <w:sz w:val="28"/>
          <w:szCs w:val="28"/>
        </w:rPr>
        <w:t xml:space="preserve"> </w:t>
      </w:r>
    </w:p>
    <w:p w14:paraId="106E70B3"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العلاقة بين معرفة واتجاهات مقدمي الرعاية الصحية تجاه الذكاء الاصطناعي بأبعاده (المعرفة بخمسة أبعاد فرعية هي: الفوائد، والمكونات الأساسية، والأدوار والاستراتيجيات، والعوائق والتحديات، والمبادئ والتطبيقات؛ والاتجاهات نحو الذكاء الاصطناعي) على ثقافة سلامة المرضى بأبعادها الاثني عشر وفق مقياس</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 xml:space="preserve">في المملكة العربية السعودية. واستخدمت الدراسة المنهج الوصفي الارتباطي المقطعي، واعتمدت على استبانة إلكترونية تضمنت مقياس المعرفة والاتجاه نحو الذكاء الاصطناعي ومقياس ثقافة سلامة المرضى، وطُبّق معامل ارتباط بيرسون وتحليل الانحدار المتعدد. وتكوّنت العينة من 238 من مقدمي الرعاية الصحية من أطباء وممرضين وفنيين في مستشفى جامعة نجران بالمملكة العربية السعودية، وقد أفاد 59.2% منهم بحصولهم على تدريب في الذكاء الاصطناعي. وتوصلت نتائج الدراسة إلى أن مستوى المعرفة بالذكاء الاصطناعي بلغ درجة متوسطة بنسبة 63.46%، وكانت الاتجاهات إيجابية بشكل معتدل بنسبة 60.59%، وبلغ مستوى ثقافة سلامة المرضى مستوى متوسطاً بنسبة 54.89%، كما كشف تحليل الارتباط عن علاقة إيجابية قوية بين المعرفة بالذكاء الاصطناعي وثقافة سلامة المرضى بمعامل ارتباط بلغ 0.695 وبين الاتجاهات وثقافة السلامة بمعامل ارتباط بلغ 0.739، وأوضح تحليل الانحدار المتعدد أن المعرفة والاتجاهات معاً تُفسّران 60% من التباين في ثقافة سلامة المرضى وكان للاتجاهات تأثير أكبر مقارنة بالمعرفة. وأوصت الدراسة بتعزيز برامج </w:t>
      </w:r>
      <w:r w:rsidRPr="00E04E1C">
        <w:rPr>
          <w:rFonts w:ascii="Simplified Arabic" w:eastAsiaTheme="majorEastAsia" w:hAnsi="Simplified Arabic" w:cs="Simplified Arabic"/>
          <w:color w:val="000000" w:themeColor="text1"/>
          <w:sz w:val="28"/>
          <w:szCs w:val="28"/>
          <w:rtl/>
        </w:rPr>
        <w:lastRenderedPageBreak/>
        <w:t>التثقيف والتدريب في الذكاء الاصطناعي لمقدمي الرعاية الصحية مع التركيز على تعزيز الفائدة المُدركة والثقة الأخلاقية، وتطوير سياسات مؤسسية تدعم تبنّي الذكاء الاصطناعي بشكل آمن ومسؤول</w:t>
      </w:r>
      <w:r w:rsidRPr="00E04E1C">
        <w:rPr>
          <w:rFonts w:ascii="Simplified Arabic" w:eastAsiaTheme="majorEastAsia" w:hAnsi="Simplified Arabic" w:cs="Simplified Arabic"/>
          <w:color w:val="000000" w:themeColor="text1"/>
          <w:sz w:val="28"/>
          <w:szCs w:val="28"/>
        </w:rPr>
        <w:t>.</w:t>
      </w:r>
    </w:p>
    <w:p w14:paraId="77E63633"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المحور الثاني: الدراسات المتعلقة بالمتغير التابع (سلامة المرضى)</w:t>
      </w:r>
      <w:r w:rsidRPr="00E04E1C">
        <w:rPr>
          <w:rFonts w:ascii="Simplified Arabic" w:eastAsiaTheme="majorEastAsia" w:hAnsi="Simplified Arabic" w:cs="Simplified Arabic"/>
          <w:b/>
          <w:bCs/>
          <w:color w:val="000000" w:themeColor="text1"/>
          <w:sz w:val="32"/>
          <w:szCs w:val="32"/>
        </w:rPr>
        <w:t xml:space="preserve"> </w:t>
      </w:r>
    </w:p>
    <w:p w14:paraId="173BB677"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 نشوان وأبو النور (2022) بعنوان "ثقافة سلامة المرضى لدى الممرضين العاملين في وحدات العناية المركزة للأطفال في قطاع غزة</w:t>
      </w:r>
      <w:r w:rsidRPr="00E04E1C">
        <w:rPr>
          <w:rFonts w:ascii="Simplified Arabic" w:eastAsiaTheme="majorEastAsia" w:hAnsi="Simplified Arabic" w:cs="Simplified Arabic"/>
          <w:b/>
          <w:bCs/>
          <w:color w:val="000000" w:themeColor="text1"/>
          <w:sz w:val="28"/>
          <w:szCs w:val="28"/>
        </w:rPr>
        <w:t xml:space="preserve">". </w:t>
      </w:r>
    </w:p>
    <w:p w14:paraId="68D3A3B5"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مستوى ثقافة سلامة المرضى بأبعادها (العمل الجماعي داخل الوحدات، وتوقعات المشرفين وأفعالهم، والتعلم المؤسسي والتحسين المستمر، ودعم الإدارة لسلامة المرضى، والاستجابة غير العقابية للأخطاء، والملاك الوظيفي، والتقارير عن الأحداث) لدى الممرضين العاملين في وحدات العناية المركزة للأطفال في مستشفيات قطاع غزة بفلسطين. واستخدمت الدراسة المنهج الوصفي التحليلي، وجُمعت البيانات عبر استبانة موجّهة للممرضين. وتكوّنت العينة من الممرضين العاملين في وحدات العناية المركزة للأطفال في مستشفيات قطاع غزة. وتوصلت نتائج الدراسة إلى وجود تفاوت في مستوى ثقافة سلامة المرضى بين أبعادها المختلفة مع وجود نقاط قوة في بُعد العمل الجماعي داخل الوحدات ونقاط ضعف في بُعد الاستجابة غير العقابية للأخطاء والإبلاغ عن الأحداث. وأوصت الدراسة بتعزيز ثقافة الإبلاغ عن الأخطاء بعيداً عن العقاب، وتطوير برامج تدريبية مستمرة للممرضين حول سلامة المرضى، وتعزيز دور الإدارة في دعم بيئة السلامة</w:t>
      </w:r>
      <w:r w:rsidRPr="00E04E1C">
        <w:rPr>
          <w:rFonts w:ascii="Simplified Arabic" w:eastAsiaTheme="majorEastAsia" w:hAnsi="Simplified Arabic" w:cs="Simplified Arabic"/>
          <w:color w:val="000000" w:themeColor="text1"/>
          <w:sz w:val="28"/>
          <w:szCs w:val="28"/>
        </w:rPr>
        <w:t>.</w:t>
      </w:r>
    </w:p>
    <w:p w14:paraId="1A3C449A"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 xml:space="preserve">دراسة قبج وخليف (2023) بعنوان "أثر تطبيق الأهداف الدولية للسلامة على ثقافة سلامة المرضى لدى المهنيين الصحيين الفلسطينيين". </w:t>
      </w:r>
    </w:p>
    <w:p w14:paraId="55BA450D" w14:textId="1520865D"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أثر تطبيق الأهداف الدولية لسلامة المرضى بأبعادها الستة (تحديد هوية المرضى بشكل صحيح، وتحسين فعالية التواصل، وتحسين سلامة الأدوية عالية الخطورة، وضمان الجراحة الآمنة، والحد من مخاطر العدوى المرتبطة بالرعاية الصحية، والحد من مخاطر سقوط المرضى) على ثقافة سلامة المرضى بأبعادها التسعة وفق مقياس</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 xml:space="preserve">في المستشفيات الفلسطينية. واستخدمت الدراسة المنهج الكمي الوصفي التحليلي، واستُخدمت استبانة مُهيكلة أداةً لجمع البيانات. وتكوّنت العينة من 337 فرداً من الكوادر الطبية في 10 مستشفيات حكومية وخاصة موزعة على أنحاء الضفة الغربية بفلسطين اختِيرت بأسلوب العينة الميسّرة. وتوصلت نتائج الدراسة إلى أن درجة تطبيق الأهداف الدولية للسلامة في المستشفيات الفلسطينية كانت مرتفعة وترتّبت حسب مستوى التطبيق: تحديد هوية المرضى ثم الحد من العدوى ثم الجراحة الآمنة ثم الحد من السقوط ثم فعالية التواصل وأخيراً سلامة الأدوية </w:t>
      </w:r>
      <w:r w:rsidRPr="00E04E1C">
        <w:rPr>
          <w:rFonts w:ascii="Simplified Arabic" w:eastAsiaTheme="majorEastAsia" w:hAnsi="Simplified Arabic" w:cs="Simplified Arabic"/>
          <w:color w:val="000000" w:themeColor="text1"/>
          <w:sz w:val="28"/>
          <w:szCs w:val="28"/>
          <w:rtl/>
        </w:rPr>
        <w:lastRenderedPageBreak/>
        <w:t>عالية الخطورة، كما وُجد أثر إيجابي دال إحصائياً للأهداف من الأول إلى الخامس على ثقافة سلامة المرضى بينما لم يكن لهدف الحد من السقوط أثر دال إحصائياً رغم ارتفاع مستوى تطبيقه. وأوصت الدراسة بضرورة سعي مزيد من المستشفيات الفلسطينية للحصول على اعتماد</w:t>
      </w:r>
      <w:r w:rsidRPr="00E04E1C">
        <w:rPr>
          <w:rFonts w:ascii="Simplified Arabic" w:eastAsiaTheme="majorEastAsia" w:hAnsi="Simplified Arabic" w:cs="Simplified Arabic"/>
          <w:color w:val="000000" w:themeColor="text1"/>
          <w:sz w:val="28"/>
          <w:szCs w:val="28"/>
        </w:rPr>
        <w:t xml:space="preserve"> JCI </w:t>
      </w:r>
      <w:r w:rsidRPr="00E04E1C">
        <w:rPr>
          <w:rFonts w:ascii="Simplified Arabic" w:eastAsiaTheme="majorEastAsia" w:hAnsi="Simplified Arabic" w:cs="Simplified Arabic"/>
          <w:color w:val="000000" w:themeColor="text1"/>
          <w:sz w:val="28"/>
          <w:szCs w:val="28"/>
          <w:rtl/>
        </w:rPr>
        <w:t>والالتزام بمعايير الأهداف الدولية للسلامة بشكل أكثر احترافية، مع ضمان توحيد آليات تحديد هوية المرضى في مختلف المرافق الصحية</w:t>
      </w:r>
      <w:r w:rsidRPr="00E04E1C">
        <w:rPr>
          <w:rFonts w:ascii="Simplified Arabic" w:eastAsiaTheme="majorEastAsia" w:hAnsi="Simplified Arabic" w:cs="Simplified Arabic"/>
          <w:color w:val="000000" w:themeColor="text1"/>
          <w:sz w:val="28"/>
          <w:szCs w:val="28"/>
        </w:rPr>
        <w:t>.</w:t>
      </w:r>
    </w:p>
    <w:p w14:paraId="17FDAF91" w14:textId="1929C4AF"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Alsulami etal.,(2022)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"Patient Safety Culture Awareness Among Healthcare Providers in a Tertiary Hospital in Riyadh, Saudi Arabia" </w:t>
      </w:r>
      <w:r w:rsidRPr="00E04E1C">
        <w:rPr>
          <w:rFonts w:ascii="Simplified Arabic" w:eastAsiaTheme="majorEastAsia" w:hAnsi="Simplified Arabic" w:cs="Simplified Arabic"/>
          <w:b/>
          <w:bCs/>
          <w:color w:val="000000" w:themeColor="text1"/>
          <w:sz w:val="28"/>
          <w:szCs w:val="28"/>
          <w:rtl/>
        </w:rPr>
        <w:t>الوعي بثقافة سلامة المرضى لدى مقدمي الرعاية الصحية في مستشفى تخصصي بالرياض</w:t>
      </w:r>
      <w:r w:rsidRPr="00E04E1C">
        <w:rPr>
          <w:rFonts w:ascii="Simplified Arabic" w:eastAsiaTheme="majorEastAsia" w:hAnsi="Simplified Arabic" w:cs="Simplified Arabic"/>
          <w:b/>
          <w:bCs/>
          <w:color w:val="000000" w:themeColor="text1"/>
          <w:sz w:val="28"/>
          <w:szCs w:val="28"/>
        </w:rPr>
        <w:t xml:space="preserve"> </w:t>
      </w:r>
    </w:p>
    <w:p w14:paraId="43BBD596" w14:textId="4324D408" w:rsid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مستوى الوعي بثقافة سلامة المرضى بأبعادها وفق مقياس</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(العمل الجماعي، والتواصل المفتوح، والتعلم المؤسسي، ودعم الإدارة، والاستجابة غير العقابية للأخطاء، والإبلاغ عن الأحداث، وغيرها) لدى مقدمي الرعاية الصحية في أحد المستشفيات التخصصية بمدينة الرياض بالمملكة العربية السعودية. واستخدمت الدراسة المنهج الوصفي المقطعي. وتكوّنت العينة من مقدمي الرعاية الصحية العاملين في المستشفى التخصصي بالرياض. وتوصلت نتائج الدراسة إلى أن مستوى الوعي بثقافة سلامة المرضى كان متوسطاً بشكل عام مع تسجيل أعلى مستويات الوعي لدى الفئة العمرية 31-40 عاماً ووجود تفاوت بين أبعاد ثقافة السلامة المختلفة. وأوصت الدراسة بتطوير برامج توعوية وتدريبية مستمرة لتعزيز ثقافة سلامة المرضى واستهداف الفئات الأقل وعياً بخطط تدريب مخصصة ودعم ثقافة الإبلاغ غير العقابي عن الأخطاء</w:t>
      </w:r>
      <w:r w:rsidRPr="00E04E1C">
        <w:rPr>
          <w:rFonts w:ascii="Simplified Arabic" w:eastAsiaTheme="majorEastAsia" w:hAnsi="Simplified Arabic" w:cs="Simplified Arabic"/>
          <w:color w:val="000000" w:themeColor="text1"/>
          <w:sz w:val="28"/>
          <w:szCs w:val="28"/>
        </w:rPr>
        <w:t>.</w:t>
      </w:r>
    </w:p>
    <w:p w14:paraId="719E676C" w14:textId="7777777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Alghaithami etal.,(2024)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"Patient Safety Culture in a Tertiary Care Hospital in Makkah, Saudi Arabia: A Cross-Sectional Study" </w:t>
      </w:r>
      <w:r w:rsidRPr="00E04E1C">
        <w:rPr>
          <w:rFonts w:ascii="Simplified Arabic" w:eastAsiaTheme="majorEastAsia" w:hAnsi="Simplified Arabic" w:cs="Simplified Arabic"/>
          <w:b/>
          <w:bCs/>
          <w:color w:val="000000" w:themeColor="text1"/>
          <w:sz w:val="28"/>
          <w:szCs w:val="28"/>
          <w:rtl/>
        </w:rPr>
        <w:t>ثقافة سلامة المرضى في مستشفى رعاية تخصصية بمكة المكرمة</w:t>
      </w:r>
      <w:r w:rsidRPr="00E04E1C">
        <w:rPr>
          <w:rFonts w:ascii="Simplified Arabic" w:eastAsiaTheme="majorEastAsia" w:hAnsi="Simplified Arabic" w:cs="Simplified Arabic"/>
          <w:b/>
          <w:bCs/>
          <w:color w:val="000000" w:themeColor="text1"/>
          <w:sz w:val="28"/>
          <w:szCs w:val="28"/>
        </w:rPr>
        <w:t xml:space="preserve"> </w:t>
      </w:r>
    </w:p>
    <w:p w14:paraId="64F2817C"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مستوى ثقافة سلامة المرضى بأبعادها الاثني عشر وفق مقياس</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 xml:space="preserve">(العمل الجماعي داخل الوحدات وبينها، وتوقعات المشرفين، والتعلم المؤسسي، ودعم الإدارة، والتواصل المفتوح، والتغذية الراجعة عن الأخطاء، والاستجابة غير العقابية، والملاك الوظيفي، وعمليات التسليم والانتقال، والتصورات العامة لسلامة المرضى، والإبلاغ عن الأحداث) في أحد المستشفيات التخصصية بمكة المكرمة بالمملكة العربية السعودية. واستخدمت الدراسة المنهج الوصفي المقطعي. وتكوّنت العينة من مقدمي الرعاية الصحية العاملين في المستشفى التخصصي بمكة المكرمة. وتوصلت نتائج الدراسة إلى وجود تباين في مستويات ثقافة سلامة المرضى بين الأبعاد المختلفة مع وجود نقاط قوة في بُعد العمل </w:t>
      </w:r>
      <w:r w:rsidRPr="00E04E1C">
        <w:rPr>
          <w:rFonts w:ascii="Simplified Arabic" w:eastAsiaTheme="majorEastAsia" w:hAnsi="Simplified Arabic" w:cs="Simplified Arabic"/>
          <w:color w:val="000000" w:themeColor="text1"/>
          <w:sz w:val="28"/>
          <w:szCs w:val="28"/>
          <w:rtl/>
        </w:rPr>
        <w:lastRenderedPageBreak/>
        <w:t>الجماعي وتحديات في أبعاد الاستجابة غير العقابية للأخطاء والملاك الوظيفي. وأوصت الدراسة بتطوير استراتيجيات مؤسسية لتعزيز ثقافة سلامة المرضى والتركيز على الأبعاد ذات الأداء المنخفض من خلال برامج تدريبية وسياسات داعمة</w:t>
      </w:r>
      <w:r w:rsidRPr="00E04E1C">
        <w:rPr>
          <w:rFonts w:ascii="Simplified Arabic" w:eastAsiaTheme="majorEastAsia" w:hAnsi="Simplified Arabic" w:cs="Simplified Arabic"/>
          <w:color w:val="000000" w:themeColor="text1"/>
          <w:sz w:val="28"/>
          <w:szCs w:val="28"/>
        </w:rPr>
        <w:t>.</w:t>
      </w:r>
    </w:p>
    <w:p w14:paraId="465E5793" w14:textId="021EEA07"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Albsoul &amp;Alshyyab (2024)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"Baseline Assessment and Benchmarking of Patient Safety Culture in Jordan: A Cross-Sectional Study" </w:t>
      </w:r>
      <w:r w:rsidRPr="00E04E1C">
        <w:rPr>
          <w:rFonts w:ascii="Simplified Arabic" w:eastAsiaTheme="majorEastAsia" w:hAnsi="Simplified Arabic" w:cs="Simplified Arabic"/>
          <w:b/>
          <w:bCs/>
          <w:color w:val="000000" w:themeColor="text1"/>
          <w:sz w:val="28"/>
          <w:szCs w:val="28"/>
          <w:rtl/>
        </w:rPr>
        <w:t>التقييم المرجعي والمقارنة المعيارية لثقافة سلامة المرضى في الأردن</w:t>
      </w:r>
      <w:r w:rsidRPr="00E04E1C">
        <w:rPr>
          <w:rFonts w:ascii="Simplified Arabic" w:eastAsiaTheme="majorEastAsia" w:hAnsi="Simplified Arabic" w:cs="Simplified Arabic"/>
          <w:b/>
          <w:bCs/>
          <w:color w:val="000000" w:themeColor="text1"/>
          <w:sz w:val="28"/>
          <w:szCs w:val="28"/>
        </w:rPr>
        <w:t xml:space="preserve"> </w:t>
      </w:r>
    </w:p>
    <w:p w14:paraId="2C5280F7"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مستوى ثقافة سلامة المرضى بأبعادها الاثني عشر وفق مقياس</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(العمل الجماعي، وفعالية التواصل، والتعلم المؤسسي، ودعم الإدارة، وعمليات التسليم والانتقال، والاستجابة غير العقابية للأخطاء، والملاك الوظيفي، وغيرها) في مستشفى تعليمي بالأردن واستكشاف العوامل الديموغرافية والمهنية المرتبطة بتصورات ثقافة السلامة. واستخدمت الدراسة المنهج الوصفي المقطعي. وتكوّنت العينة من مقدمي الرعاية الصحية العاملين في مستشفى تعليمي بالأردن. وتوصلت نتائج الدراسة إلى أن مستوى ثقافة سلامة المرضى كان متوسطاً بشكل عام مع وجود نقاط قوة في أبعاد العمل الجماعي والتعلم المؤسسي وتحديات في أبعاد الملاك الوظيفي والاستجابة غير العقابية للأخطاء، كما كشفت عن ارتباط بعض العوامل الديموغرافية والمهنية بتصورات ثقافة السلامة. وأوصت الدراسة بتوظيف نتائج التقييم المرجعي لتصميم تدخلات مؤسسية مستهدفة لتحسين الأبعاد الأضعف في ثقافة سلامة المرضى وإجراء تقييمات دورية لقياس التطور وتعزيز ثقافة التعلم من الأخطاء</w:t>
      </w:r>
      <w:r w:rsidRPr="00E04E1C">
        <w:rPr>
          <w:rFonts w:ascii="Simplified Arabic" w:eastAsiaTheme="majorEastAsia" w:hAnsi="Simplified Arabic" w:cs="Simplified Arabic"/>
          <w:color w:val="000000" w:themeColor="text1"/>
          <w:sz w:val="28"/>
          <w:szCs w:val="28"/>
        </w:rPr>
        <w:t>.</w:t>
      </w:r>
    </w:p>
    <w:p w14:paraId="0DDE2B53" w14:textId="20E02DAA" w:rsidR="00E04E1C" w:rsidRPr="00E04E1C" w:rsidRDefault="00E04E1C" w:rsidP="00B72FBD">
      <w:pPr>
        <w:pStyle w:val="ListParagraph"/>
        <w:numPr>
          <w:ilvl w:val="0"/>
          <w:numId w:val="6"/>
        </w:numPr>
        <w:ind w:left="424"/>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دراسة</w:t>
      </w:r>
      <w:r w:rsidRPr="00E04E1C">
        <w:rPr>
          <w:rFonts w:ascii="Simplified Arabic" w:eastAsiaTheme="majorEastAsia" w:hAnsi="Simplified Arabic" w:cs="Simplified Arabic"/>
          <w:b/>
          <w:bCs/>
          <w:color w:val="000000" w:themeColor="text1"/>
          <w:sz w:val="28"/>
          <w:szCs w:val="28"/>
        </w:rPr>
        <w:t xml:space="preserve"> Al-Sofyani (2025) </w:t>
      </w:r>
      <w:r w:rsidRPr="00E04E1C">
        <w:rPr>
          <w:rFonts w:ascii="Simplified Arabic" w:eastAsiaTheme="majorEastAsia" w:hAnsi="Simplified Arabic" w:cs="Simplified Arabic"/>
          <w:b/>
          <w:bCs/>
          <w:color w:val="000000" w:themeColor="text1"/>
          <w:sz w:val="28"/>
          <w:szCs w:val="28"/>
          <w:rtl/>
        </w:rPr>
        <w:t>بعنوان</w:t>
      </w:r>
      <w:r w:rsidRPr="00E04E1C">
        <w:rPr>
          <w:rFonts w:ascii="Simplified Arabic" w:eastAsiaTheme="majorEastAsia" w:hAnsi="Simplified Arabic" w:cs="Simplified Arabic"/>
          <w:b/>
          <w:bCs/>
          <w:color w:val="000000" w:themeColor="text1"/>
          <w:sz w:val="28"/>
          <w:szCs w:val="28"/>
        </w:rPr>
        <w:t xml:space="preserve"> "Role of Artificial Intelligence in Pediatric Intensive Care" </w:t>
      </w:r>
      <w:r w:rsidRPr="00E04E1C">
        <w:rPr>
          <w:rFonts w:ascii="Simplified Arabic" w:eastAsiaTheme="majorEastAsia" w:hAnsi="Simplified Arabic" w:cs="Simplified Arabic"/>
          <w:b/>
          <w:bCs/>
          <w:color w:val="000000" w:themeColor="text1"/>
          <w:sz w:val="28"/>
          <w:szCs w:val="28"/>
          <w:rtl/>
        </w:rPr>
        <w:t>دور الذكاء الاصطناعي في وحدات العناية المركزة للأطفال</w:t>
      </w:r>
    </w:p>
    <w:p w14:paraId="1F30BB4A"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هدفت الدراسة إلى التعرف على تصورات واستعداد مقدمي الرعاية الصحية لتبنّي الذكاء الاصطناعي بأبعاده (الإلمام بالذكاء الاصطناعي وتطبيقاته، ومستوى الثقة في القرارات المدعومة بالذكاء الاصطناعي، ودوره في تعزيز دقة التشخيص وتحسين مخرجات المرضى، والمخاوف الأخلاقية وخصوصية البيانات) على سلامة المرضى في وحدات العناية المركزة للأطفال في المملكة العربية السعودية. واستخدمت الدراسة المنهج الوصفي المقطعي، وصُمّمت استبانة إلكترونية وفق إرشادات</w:t>
      </w:r>
      <w:r w:rsidRPr="00E04E1C">
        <w:rPr>
          <w:rFonts w:ascii="Simplified Arabic" w:eastAsiaTheme="majorEastAsia" w:hAnsi="Simplified Arabic" w:cs="Simplified Arabic"/>
          <w:color w:val="000000" w:themeColor="text1"/>
          <w:sz w:val="28"/>
          <w:szCs w:val="28"/>
        </w:rPr>
        <w:t xml:space="preserve"> CHERRIES </w:t>
      </w:r>
      <w:r w:rsidRPr="00E04E1C">
        <w:rPr>
          <w:rFonts w:ascii="Simplified Arabic" w:eastAsiaTheme="majorEastAsia" w:hAnsi="Simplified Arabic" w:cs="Simplified Arabic"/>
          <w:color w:val="000000" w:themeColor="text1"/>
          <w:sz w:val="28"/>
          <w:szCs w:val="28"/>
          <w:rtl/>
        </w:rPr>
        <w:t>تضمّنت 21 سؤالاً وحُلّلت البيانات باستخدام</w:t>
      </w:r>
      <w:r w:rsidRPr="00E04E1C">
        <w:rPr>
          <w:rFonts w:ascii="Simplified Arabic" w:eastAsiaTheme="majorEastAsia" w:hAnsi="Simplified Arabic" w:cs="Simplified Arabic"/>
          <w:color w:val="000000" w:themeColor="text1"/>
          <w:sz w:val="28"/>
          <w:szCs w:val="28"/>
        </w:rPr>
        <w:t xml:space="preserve"> SPSS </w:t>
      </w:r>
      <w:r w:rsidRPr="00E04E1C">
        <w:rPr>
          <w:rFonts w:ascii="Simplified Arabic" w:eastAsiaTheme="majorEastAsia" w:hAnsi="Simplified Arabic" w:cs="Simplified Arabic"/>
          <w:color w:val="000000" w:themeColor="text1"/>
          <w:sz w:val="28"/>
          <w:szCs w:val="28"/>
          <w:rtl/>
        </w:rPr>
        <w:t xml:space="preserve">الإصدار 21. وتكوّنت العينة من 44 ممارساً صحياً في مستشفى الملك عبد العزيز الجامعي بجدة منهم ممرضون بنسبة 65.9% وأطباء بنسبة 25% وفنيون ومديرون. وتوصلت نتائج الدراسة إلى أن معظم المشاركين بنسبة 59.1% لم يكونوا على دراية بالذكاء الاصطناعي بشكل عام لكن 59.1% كانوا على دراية بتطبيقاته في وحدات العناية المركزة للأطفال، وأبدى 77.3% ثقة جزئية </w:t>
      </w:r>
      <w:r w:rsidRPr="00E04E1C">
        <w:rPr>
          <w:rFonts w:ascii="Simplified Arabic" w:eastAsiaTheme="majorEastAsia" w:hAnsi="Simplified Arabic" w:cs="Simplified Arabic"/>
          <w:color w:val="000000" w:themeColor="text1"/>
          <w:sz w:val="28"/>
          <w:szCs w:val="28"/>
          <w:rtl/>
        </w:rPr>
        <w:lastRenderedPageBreak/>
        <w:t>في القرارات المدعومة بالذكاء الاصطناعي، وفضّل 65% استخدامه في المهام الروتينية، وأعرب 93.2% عن قلقهم بشأن مخاطر تسريب البيانات الصحية الحساسة، وأكّد 90.1% على ضرورة وجود حوكمة قوية. وأوصت الدراسة بضرورة معالجة المخاوف الأخلاقية المتعلقة بخصوصية البيانات قبل التوسع في تبنّي الذكاء الاصطناعي في رعاية الأطفال الحرجة، وتنفيذ برامج تعليمية لسد فجوة المعرفة، وإنشاء أطر تنظيمية فعّالة</w:t>
      </w:r>
      <w:r w:rsidRPr="00E04E1C">
        <w:rPr>
          <w:rFonts w:ascii="Simplified Arabic" w:eastAsiaTheme="majorEastAsia" w:hAnsi="Simplified Arabic" w:cs="Simplified Arabic"/>
          <w:color w:val="000000" w:themeColor="text1"/>
          <w:sz w:val="28"/>
          <w:szCs w:val="28"/>
        </w:rPr>
        <w:t>.</w:t>
      </w:r>
    </w:p>
    <w:p w14:paraId="129A9A2D" w14:textId="059085F1"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0" w:name="_Toc234537594"/>
      <w:r w:rsidRPr="00E04E1C">
        <w:rPr>
          <w:rFonts w:ascii="Simplified Arabic" w:eastAsiaTheme="majorEastAsia" w:hAnsi="Simplified Arabic" w:cs="Simplified Arabic" w:hint="cs"/>
          <w:b/>
          <w:bCs/>
          <w:color w:val="000000" w:themeColor="text1"/>
          <w:sz w:val="36"/>
          <w:szCs w:val="36"/>
          <w:rtl/>
        </w:rPr>
        <w:t xml:space="preserve">8.1 </w:t>
      </w:r>
      <w:r w:rsidRPr="00E04E1C">
        <w:rPr>
          <w:rFonts w:ascii="Simplified Arabic" w:eastAsiaTheme="majorEastAsia" w:hAnsi="Simplified Arabic" w:cs="Simplified Arabic"/>
          <w:b/>
          <w:bCs/>
          <w:color w:val="000000" w:themeColor="text1"/>
          <w:sz w:val="36"/>
          <w:szCs w:val="36"/>
          <w:rtl/>
        </w:rPr>
        <w:t>الفجوة البحثية</w:t>
      </w:r>
      <w:bookmarkEnd w:id="10"/>
    </w:p>
    <w:p w14:paraId="50197E46"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تتفق الدراسة الحالية مع عدد كبير من الدراسات السابقة في جوانب جوهرية متعددة، إذ تتقاطع مع دراسة العتيبي واليوبي (2024) ودراسة</w:t>
      </w:r>
      <w:r w:rsidRPr="00E04E1C">
        <w:rPr>
          <w:rFonts w:ascii="Simplified Arabic" w:eastAsiaTheme="majorEastAsia" w:hAnsi="Simplified Arabic" w:cs="Simplified Arabic"/>
          <w:color w:val="000000" w:themeColor="text1"/>
          <w:sz w:val="28"/>
          <w:szCs w:val="28"/>
        </w:rPr>
        <w:t xml:space="preserve"> Eldesoky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AlThubaity (2025) </w:t>
      </w:r>
      <w:r w:rsidRPr="00E04E1C">
        <w:rPr>
          <w:rFonts w:ascii="Simplified Arabic" w:eastAsiaTheme="majorEastAsia" w:hAnsi="Simplified Arabic" w:cs="Simplified Arabic"/>
          <w:color w:val="000000" w:themeColor="text1"/>
          <w:sz w:val="28"/>
          <w:szCs w:val="28"/>
          <w:rtl/>
        </w:rPr>
        <w:t>في التركيز على البيئة الصحية السعودية بوصفها ميداناً للبحث، وفي تبني المنهج الوصفي التحليلي القائم على الاستبانة أداةً رئيسة لجمع البيانات، كما تلتقي مع دراسة</w:t>
      </w:r>
      <w:r w:rsidRPr="00E04E1C">
        <w:rPr>
          <w:rFonts w:ascii="Simplified Arabic" w:eastAsiaTheme="majorEastAsia" w:hAnsi="Simplified Arabic" w:cs="Simplified Arabic"/>
          <w:color w:val="000000" w:themeColor="text1"/>
          <w:sz w:val="28"/>
          <w:szCs w:val="28"/>
        </w:rPr>
        <w:t xml:space="preserve"> Ferrara et al. (2024) </w:t>
      </w:r>
      <w:r w:rsidRPr="00E04E1C">
        <w:rPr>
          <w:rFonts w:ascii="Simplified Arabic" w:eastAsiaTheme="majorEastAsia" w:hAnsi="Simplified Arabic" w:cs="Simplified Arabic"/>
          <w:color w:val="000000" w:themeColor="text1"/>
          <w:sz w:val="28"/>
          <w:szCs w:val="28"/>
          <w:rtl/>
        </w:rPr>
        <w:t>ودراسة</w:t>
      </w:r>
      <w:r w:rsidRPr="00E04E1C">
        <w:rPr>
          <w:rFonts w:ascii="Simplified Arabic" w:eastAsiaTheme="majorEastAsia" w:hAnsi="Simplified Arabic" w:cs="Simplified Arabic"/>
          <w:color w:val="000000" w:themeColor="text1"/>
          <w:sz w:val="28"/>
          <w:szCs w:val="28"/>
        </w:rPr>
        <w:t xml:space="preserve"> Baurasien et al. (2023) </w:t>
      </w:r>
      <w:r w:rsidRPr="00E04E1C">
        <w:rPr>
          <w:rFonts w:ascii="Simplified Arabic" w:eastAsiaTheme="majorEastAsia" w:hAnsi="Simplified Arabic" w:cs="Simplified Arabic"/>
          <w:color w:val="000000" w:themeColor="text1"/>
          <w:sz w:val="28"/>
          <w:szCs w:val="28"/>
          <w:rtl/>
        </w:rPr>
        <w:t>في الاهتمام بالعلاقة بين تقنيات الذكاء الاصطناعي وسلامة المرضى بوصفها إشكالية بحثية محورية. وتتوافق كذلك مع دراسة الحكيم والخفاف (2024) ودراسة فراج وأبو زيد (2024) في تناول أنظمة دعم القرار السريري والسجلات الإلكترونية كأدوات تقنية مؤثرة في جودة الرعاية، فيما تشترك مع دراسة</w:t>
      </w:r>
      <w:r w:rsidRPr="00E04E1C">
        <w:rPr>
          <w:rFonts w:ascii="Simplified Arabic" w:eastAsiaTheme="majorEastAsia" w:hAnsi="Simplified Arabic" w:cs="Simplified Arabic"/>
          <w:color w:val="000000" w:themeColor="text1"/>
          <w:sz w:val="28"/>
          <w:szCs w:val="28"/>
        </w:rPr>
        <w:t xml:space="preserve"> Alsulami et al. (2022) </w:t>
      </w:r>
      <w:r w:rsidRPr="00E04E1C">
        <w:rPr>
          <w:rFonts w:ascii="Simplified Arabic" w:eastAsiaTheme="majorEastAsia" w:hAnsi="Simplified Arabic" w:cs="Simplified Arabic"/>
          <w:color w:val="000000" w:themeColor="text1"/>
          <w:sz w:val="28"/>
          <w:szCs w:val="28"/>
          <w:rtl/>
        </w:rPr>
        <w:t>ودراسة</w:t>
      </w:r>
      <w:r w:rsidRPr="00E04E1C">
        <w:rPr>
          <w:rFonts w:ascii="Simplified Arabic" w:eastAsiaTheme="majorEastAsia" w:hAnsi="Simplified Arabic" w:cs="Simplified Arabic"/>
          <w:color w:val="000000" w:themeColor="text1"/>
          <w:sz w:val="28"/>
          <w:szCs w:val="28"/>
        </w:rPr>
        <w:t xml:space="preserve"> Alghaithami et al. (2024) </w:t>
      </w:r>
      <w:r w:rsidRPr="00E04E1C">
        <w:rPr>
          <w:rFonts w:ascii="Simplified Arabic" w:eastAsiaTheme="majorEastAsia" w:hAnsi="Simplified Arabic" w:cs="Simplified Arabic"/>
          <w:color w:val="000000" w:themeColor="text1"/>
          <w:sz w:val="28"/>
          <w:szCs w:val="28"/>
          <w:rtl/>
        </w:rPr>
        <w:t>ودراسة نشوان وأبو النور (2022) في قياس ثقافة سلامة المرضى باعتبارها متغيراً تابعاً، وفي الاعتماد على مقاييس مشتقة من أداة</w:t>
      </w:r>
      <w:r w:rsidRPr="00E04E1C">
        <w:rPr>
          <w:rFonts w:ascii="Simplified Arabic" w:eastAsiaTheme="majorEastAsia" w:hAnsi="Simplified Arabic" w:cs="Simplified Arabic"/>
          <w:color w:val="000000" w:themeColor="text1"/>
          <w:sz w:val="28"/>
          <w:szCs w:val="28"/>
        </w:rPr>
        <w:t xml:space="preserve"> HSOPSC </w:t>
      </w:r>
      <w:r w:rsidRPr="00E04E1C">
        <w:rPr>
          <w:rFonts w:ascii="Simplified Arabic" w:eastAsiaTheme="majorEastAsia" w:hAnsi="Simplified Arabic" w:cs="Simplified Arabic"/>
          <w:color w:val="000000" w:themeColor="text1"/>
          <w:sz w:val="28"/>
          <w:szCs w:val="28"/>
          <w:rtl/>
        </w:rPr>
        <w:t>المعتمدة دولياً. كما تتفق مع دراسة</w:t>
      </w:r>
      <w:r w:rsidRPr="00E04E1C">
        <w:rPr>
          <w:rFonts w:ascii="Simplified Arabic" w:eastAsiaTheme="majorEastAsia" w:hAnsi="Simplified Arabic" w:cs="Simplified Arabic"/>
          <w:color w:val="000000" w:themeColor="text1"/>
          <w:sz w:val="28"/>
          <w:szCs w:val="28"/>
        </w:rPr>
        <w:t xml:space="preserve"> Darwiesh et al. (2022) </w:t>
      </w:r>
      <w:r w:rsidRPr="00E04E1C">
        <w:rPr>
          <w:rFonts w:ascii="Simplified Arabic" w:eastAsiaTheme="majorEastAsia" w:hAnsi="Simplified Arabic" w:cs="Simplified Arabic"/>
          <w:color w:val="000000" w:themeColor="text1"/>
          <w:sz w:val="28"/>
          <w:szCs w:val="28"/>
          <w:rtl/>
        </w:rPr>
        <w:t>في الإيمان بقدرة الذكاء الاصطناعي على تصنيف المخاطر الصحية وتحديد مستوياتها، ومع دراسة حمودة والعقل (2022) في التأكيد على أن العامل البشري يظل عنصراً حاسماً في منظومة السلامة إلى جانب التقنية</w:t>
      </w:r>
      <w:r w:rsidRPr="00E04E1C">
        <w:rPr>
          <w:rFonts w:ascii="Simplified Arabic" w:eastAsiaTheme="majorEastAsia" w:hAnsi="Simplified Arabic" w:cs="Simplified Arabic"/>
          <w:color w:val="000000" w:themeColor="text1"/>
          <w:sz w:val="28"/>
          <w:szCs w:val="28"/>
        </w:rPr>
        <w:t>.</w:t>
      </w:r>
    </w:p>
    <w:p w14:paraId="7D0E19AB"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غير أن الدراسة الحالية تتميز عن الدراسات السابقة وتختلف عنها في عدة أبعاد جوهرية، فهي تنفرد بتناول تقنيات الذكاء الاصطناعي في إدارة المخاطر الصحية من خلال أربعة أبعاد متكاملة ومحددة بدقة هي أنظمة الإنذار المبكر وأنظمة دعم القرار السريري وأنظمة المراقبة اللحظية وأنظمة الكشف التلقائي عن الأخطاء، في حين ركزت دراسة العتيبي واليوبي (2024) على أبعاد تقنية عامة كالنظم الخبيرة والخوارزميات الجينية، واقتصرت دراسة الحكيم والخفاف (2024) على أدوات الصحة الإلكترونية دون تخصيص لتقنيات الذكاء الاصطناعي تحديداً. كما تختلف الدراسة الحالية في نطاقها الجغرافي الأوسع بتغطيتها أربع مستشفيات حكومية كبرى موزعة على مناطق مختلفة في المملكة العربية السعودية، بخلاف معظم الدراسات السابقة التي اقتصرت على مستشفى واحد أو مدينة واحدة كدراسة</w:t>
      </w:r>
      <w:r w:rsidRPr="00E04E1C">
        <w:rPr>
          <w:rFonts w:ascii="Simplified Arabic" w:eastAsiaTheme="majorEastAsia" w:hAnsi="Simplified Arabic" w:cs="Simplified Arabic"/>
          <w:color w:val="000000" w:themeColor="text1"/>
          <w:sz w:val="28"/>
          <w:szCs w:val="28"/>
        </w:rPr>
        <w:t xml:space="preserve"> Eldesoky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AlThubaity (2025) </w:t>
      </w:r>
      <w:r w:rsidRPr="00E04E1C">
        <w:rPr>
          <w:rFonts w:ascii="Simplified Arabic" w:eastAsiaTheme="majorEastAsia" w:hAnsi="Simplified Arabic" w:cs="Simplified Arabic"/>
          <w:color w:val="000000" w:themeColor="text1"/>
          <w:sz w:val="28"/>
          <w:szCs w:val="28"/>
          <w:rtl/>
        </w:rPr>
        <w:t>في نجران ودراسة</w:t>
      </w:r>
      <w:r w:rsidRPr="00E04E1C">
        <w:rPr>
          <w:rFonts w:ascii="Simplified Arabic" w:eastAsiaTheme="majorEastAsia" w:hAnsi="Simplified Arabic" w:cs="Simplified Arabic"/>
          <w:color w:val="000000" w:themeColor="text1"/>
          <w:sz w:val="28"/>
          <w:szCs w:val="28"/>
        </w:rPr>
        <w:t xml:space="preserve"> Alghaithami et al. (2024) </w:t>
      </w:r>
      <w:r w:rsidRPr="00E04E1C">
        <w:rPr>
          <w:rFonts w:ascii="Simplified Arabic" w:eastAsiaTheme="majorEastAsia" w:hAnsi="Simplified Arabic" w:cs="Simplified Arabic"/>
          <w:color w:val="000000" w:themeColor="text1"/>
          <w:sz w:val="28"/>
          <w:szCs w:val="28"/>
          <w:rtl/>
        </w:rPr>
        <w:t>في مكة المكرمة. فضلاً عن ذلك، تختلف عن دراسة</w:t>
      </w:r>
      <w:r w:rsidRPr="00E04E1C">
        <w:rPr>
          <w:rFonts w:ascii="Simplified Arabic" w:eastAsiaTheme="majorEastAsia" w:hAnsi="Simplified Arabic" w:cs="Simplified Arabic"/>
          <w:color w:val="000000" w:themeColor="text1"/>
          <w:sz w:val="28"/>
          <w:szCs w:val="28"/>
        </w:rPr>
        <w:t xml:space="preserve"> </w:t>
      </w:r>
      <w:r w:rsidRPr="00E04E1C">
        <w:rPr>
          <w:rFonts w:ascii="Simplified Arabic" w:eastAsiaTheme="majorEastAsia" w:hAnsi="Simplified Arabic" w:cs="Simplified Arabic"/>
          <w:color w:val="000000" w:themeColor="text1"/>
          <w:sz w:val="28"/>
          <w:szCs w:val="28"/>
        </w:rPr>
        <w:lastRenderedPageBreak/>
        <w:t xml:space="preserve">Ferrara et al. (2024) </w:t>
      </w:r>
      <w:r w:rsidRPr="00E04E1C">
        <w:rPr>
          <w:rFonts w:ascii="Simplified Arabic" w:eastAsiaTheme="majorEastAsia" w:hAnsi="Simplified Arabic" w:cs="Simplified Arabic"/>
          <w:color w:val="000000" w:themeColor="text1"/>
          <w:sz w:val="28"/>
          <w:szCs w:val="28"/>
          <w:rtl/>
        </w:rPr>
        <w:t>التي اعتمدت المراجعة المنهجية للأدبيات ودراسة</w:t>
      </w:r>
      <w:r w:rsidRPr="00E04E1C">
        <w:rPr>
          <w:rFonts w:ascii="Simplified Arabic" w:eastAsiaTheme="majorEastAsia" w:hAnsi="Simplified Arabic" w:cs="Simplified Arabic"/>
          <w:color w:val="000000" w:themeColor="text1"/>
          <w:sz w:val="28"/>
          <w:szCs w:val="28"/>
        </w:rPr>
        <w:t xml:space="preserve"> Baurasien et al. (2023) </w:t>
      </w:r>
      <w:r w:rsidRPr="00E04E1C">
        <w:rPr>
          <w:rFonts w:ascii="Simplified Arabic" w:eastAsiaTheme="majorEastAsia" w:hAnsi="Simplified Arabic" w:cs="Simplified Arabic"/>
          <w:color w:val="000000" w:themeColor="text1"/>
          <w:sz w:val="28"/>
          <w:szCs w:val="28"/>
          <w:rtl/>
        </w:rPr>
        <w:t>ذات الطابع النظري المراجعي، بكونها دراسة ميدانية تطبيقية تسعى إلى قياس التأثير الفعلي من واقع الممارسة اليومية، كما تتمايز عن دراسة</w:t>
      </w:r>
      <w:r w:rsidRPr="00E04E1C">
        <w:rPr>
          <w:rFonts w:ascii="Simplified Arabic" w:eastAsiaTheme="majorEastAsia" w:hAnsi="Simplified Arabic" w:cs="Simplified Arabic"/>
          <w:color w:val="000000" w:themeColor="text1"/>
          <w:sz w:val="28"/>
          <w:szCs w:val="28"/>
        </w:rPr>
        <w:t xml:space="preserve"> Darwiesh et al. (2022) </w:t>
      </w:r>
      <w:r w:rsidRPr="00E04E1C">
        <w:rPr>
          <w:rFonts w:ascii="Simplified Arabic" w:eastAsiaTheme="majorEastAsia" w:hAnsi="Simplified Arabic" w:cs="Simplified Arabic"/>
          <w:color w:val="000000" w:themeColor="text1"/>
          <w:sz w:val="28"/>
          <w:szCs w:val="28"/>
          <w:rtl/>
        </w:rPr>
        <w:t>التي استخدمت بيانات وسائل التواصل الاجتماعي مصدراً للتحليل بينما تعتمد الدراسة الحالية على استجابات مقدمي الرعاية الصحية أنفسهم بوصفهم الأقدر على تقييم واقع التطبيق وأثره المباشر على سلامة المرضى</w:t>
      </w:r>
      <w:r w:rsidRPr="00E04E1C">
        <w:rPr>
          <w:rFonts w:ascii="Simplified Arabic" w:eastAsiaTheme="majorEastAsia" w:hAnsi="Simplified Arabic" w:cs="Simplified Arabic"/>
          <w:color w:val="000000" w:themeColor="text1"/>
          <w:sz w:val="28"/>
          <w:szCs w:val="28"/>
        </w:rPr>
        <w:t>.</w:t>
      </w:r>
    </w:p>
    <w:p w14:paraId="20FBB7F3" w14:textId="5C99D20F"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1" w:name="_Toc234537595"/>
      <w:r w:rsidRPr="00E04E1C">
        <w:rPr>
          <w:rFonts w:ascii="Simplified Arabic" w:eastAsiaTheme="majorEastAsia" w:hAnsi="Simplified Arabic" w:cs="Simplified Arabic" w:hint="cs"/>
          <w:b/>
          <w:bCs/>
          <w:color w:val="000000" w:themeColor="text1"/>
          <w:sz w:val="36"/>
          <w:szCs w:val="36"/>
          <w:rtl/>
        </w:rPr>
        <w:t xml:space="preserve">9.1 </w:t>
      </w:r>
      <w:r w:rsidRPr="00E04E1C">
        <w:rPr>
          <w:rFonts w:ascii="Simplified Arabic" w:eastAsiaTheme="majorEastAsia" w:hAnsi="Simplified Arabic" w:cs="Simplified Arabic"/>
          <w:b/>
          <w:bCs/>
          <w:color w:val="000000" w:themeColor="text1"/>
          <w:sz w:val="36"/>
          <w:szCs w:val="36"/>
          <w:rtl/>
        </w:rPr>
        <w:t>المنطلقات النظرية للدراسة</w:t>
      </w:r>
      <w:r w:rsidRPr="00E04E1C">
        <w:rPr>
          <w:rFonts w:ascii="Simplified Arabic" w:eastAsiaTheme="majorEastAsia" w:hAnsi="Simplified Arabic" w:cs="Simplified Arabic"/>
          <w:b/>
          <w:bCs/>
          <w:color w:val="000000" w:themeColor="text1"/>
          <w:sz w:val="36"/>
          <w:szCs w:val="36"/>
        </w:rPr>
        <w:t>:</w:t>
      </w:r>
      <w:bookmarkEnd w:id="11"/>
    </w:p>
    <w:p w14:paraId="73CC9E72"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أولاً: الإطار المفاهيمي للذكاء الاصطناعي في إدارة المخاطر الصحية</w:t>
      </w:r>
    </w:p>
    <w:p w14:paraId="0BE76BF6"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شهد القطاع الصحي خلال العقدين الأخيرين تحولات جوهرية مدفوعة بالتقدم المتسارع في تقنيات الذكاء الاصطناعي، إذ أصبحت هذه التقنيات ركيزة أساسية في إعادة هندسة العمليات السريرية والإدارية داخل المؤسسات الاستشفائية. ويُعرَّف الذكاء الاصطناعي في السياق الصحي بأنه مجموعة من الأنظمة الحاسوبية القادرة على محاكاة القدرات الإدراكية البشرية كالتعلم والاستدلال والتعرف على الأنماط واتخاذ القرارات، وذلك من خلال تحليل كميات ضخمة من البيانات الطبية والسريرية بسرعة ودقة تفوقان في كثير من الأحيان القدرات البشرية التقليدية</w:t>
      </w:r>
      <w:r w:rsidRPr="00E04E1C">
        <w:rPr>
          <w:rFonts w:ascii="Simplified Arabic" w:eastAsiaTheme="majorEastAsia" w:hAnsi="Simplified Arabic" w:cs="Simplified Arabic"/>
          <w:color w:val="000000" w:themeColor="text1"/>
          <w:sz w:val="28"/>
          <w:szCs w:val="28"/>
        </w:rPr>
        <w:t xml:space="preserve"> (Baurasien et al., 2023). </w:t>
      </w:r>
      <w:r w:rsidRPr="00E04E1C">
        <w:rPr>
          <w:rFonts w:ascii="Simplified Arabic" w:eastAsiaTheme="majorEastAsia" w:hAnsi="Simplified Arabic" w:cs="Simplified Arabic"/>
          <w:color w:val="000000" w:themeColor="text1"/>
          <w:sz w:val="28"/>
          <w:szCs w:val="28"/>
          <w:rtl/>
        </w:rPr>
        <w:t>ويتفرع عن هذا المفهوم العام عدة تقنيات فرعية تشمل التعلم الآلي الذي يُمكّن الأنظمة من تحسين أدائها ذاتياً بالاستناد إلى البيانات التاريخية، ومعالجة اللغة الطبيعية التي تتيح استخلاص المعلومات من النصوص الطبية غير المهيكلة كالتقارير السريرية والملاحظات الطبية، والشبكات العصبية العميقة التي تستطيع التعرف على الأنماط المعقدة في الصور الطبية والبيانات الجينية</w:t>
      </w:r>
      <w:r w:rsidRPr="00E04E1C">
        <w:rPr>
          <w:rFonts w:ascii="Simplified Arabic" w:eastAsiaTheme="majorEastAsia" w:hAnsi="Simplified Arabic" w:cs="Simplified Arabic"/>
          <w:color w:val="000000" w:themeColor="text1"/>
          <w:sz w:val="28"/>
          <w:szCs w:val="28"/>
        </w:rPr>
        <w:t xml:space="preserve"> (Ferrara et al., 2024).</w:t>
      </w:r>
    </w:p>
    <w:p w14:paraId="48256940"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أما إدارة المخاطر الصحية فتُعرَّف بأنها عملية منهجية ومستمرة تهدف إلى تحديد المخاطر المحتملة التي قد تُهدد سلامة المرضى والعاملين في المنشآت الصحية، وتقييم احتمالية وقوعها وشدة تأثيرها، ثم وضع استراتيجيات استباقية للوقاية منها أو تخفيف آثارها عند حدوثها. وقد طوّر</w:t>
      </w:r>
      <w:r w:rsidRPr="00E04E1C">
        <w:rPr>
          <w:rFonts w:ascii="Simplified Arabic" w:eastAsiaTheme="majorEastAsia" w:hAnsi="Simplified Arabic" w:cs="Simplified Arabic"/>
          <w:color w:val="000000" w:themeColor="text1"/>
          <w:sz w:val="28"/>
          <w:szCs w:val="28"/>
        </w:rPr>
        <w:t xml:space="preserve"> Darwiesh et al. (2022) </w:t>
      </w:r>
      <w:r w:rsidRPr="00E04E1C">
        <w:rPr>
          <w:rFonts w:ascii="Simplified Arabic" w:eastAsiaTheme="majorEastAsia" w:hAnsi="Simplified Arabic" w:cs="Simplified Arabic"/>
          <w:color w:val="000000" w:themeColor="text1"/>
          <w:sz w:val="28"/>
          <w:szCs w:val="28"/>
          <w:rtl/>
        </w:rPr>
        <w:t>إطاراً رباعي المراحل لإدارة المخاطر باستخدام الذكاء الاصطناعي يتضمن: تحديد المخاطر من خلال جمع البيانات وتنقيتها وتخزينها، وتقييم المخاطر عبر تصنيفها واستخلاص السمات المميزة باستخدام تقنيات مثل آلات المتجهات الداعمة الكمية وخوارزميات أقرب جار، والتحكم في المخاطر من خلال التحليلات الوصفية والتشخيصية والتنبؤية والتوجيهية، وأخيراً مراقبة المخاطر عبر لوحات بيانات مرئية تُمكّن صانعي القرار من المتابعة اللحظية</w:t>
      </w:r>
      <w:r w:rsidRPr="00E04E1C">
        <w:rPr>
          <w:rFonts w:ascii="Simplified Arabic" w:eastAsiaTheme="majorEastAsia" w:hAnsi="Simplified Arabic" w:cs="Simplified Arabic"/>
          <w:color w:val="000000" w:themeColor="text1"/>
          <w:sz w:val="28"/>
          <w:szCs w:val="28"/>
        </w:rPr>
        <w:t>.</w:t>
      </w:r>
    </w:p>
    <w:p w14:paraId="5E438E85"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lastRenderedPageBreak/>
        <w:t>وفي سياق هذه الدراسة، يتجسد المتغير المستقل "تقنيات الذكاء الاصطناعي في إدارة المخاطر الصحية" في أربعة أبعاد محددة. البُعد الأول هو أنظمة الإنذار المبكر، وهي أنظمة حاسوبية تعتمد على خوارزميات التعلم الآلي لرصد المؤشرات الحيوية والبيانات المخبرية للمرضى بشكل مستمر، وتنبيه الفريق الطبي تلقائياً عند اكتشاف أي انحراف يُنذر بتدهور الحالة الصحية قبل وقوعه فعلياً. البُعد الثاني هو أنظمة دعم القرار السريري، وتُعرَّف بأنها تطبيقات ذكية مدمجة في أنظمة المعلومات الصحية تُزوّد الأطباء والممارسين الصحيين بتوصيات مبنية على الأدلة العلمية في الوقت المناسب، سواء في مجال التشخيص أو وصف الأدوية أو اختيار البروتوكولات العلاجية المناسبة (العتيبي واليوبي، 2024). البُعد الثالث هو أنظمة المراقبة اللحظية، وتشير إلى المنصات التقنية التي تجمع البيانات السريرية والتشغيلية من مصادر متعددة داخل المستشفى في الزمن الحقيقي، وتُحللها آنياً لاكتشاف أي خلل أو تهديد لسلامة المرضى فور حدوثه. البُعد الرابع هو أنظمة الكشف التلقائي عن الأخطاء الطبية، وهي خوارزميات متقدمة تفحص السجلات الصحية الإلكترونية والوصفات الطبية والإجراءات السريرية بحثاً عن أي تناقضات أو أخطاء محتملة كالتداخلات الدوائية الخطيرة أو الجرعات غير الملائمة أو الأخطاء التشخيصية، وتُبلّغ عنها تلقائياً (الحكيم والخفاف، 2024)</w:t>
      </w:r>
      <w:r w:rsidRPr="00E04E1C">
        <w:rPr>
          <w:rFonts w:ascii="Simplified Arabic" w:eastAsiaTheme="majorEastAsia" w:hAnsi="Simplified Arabic" w:cs="Simplified Arabic"/>
          <w:color w:val="000000" w:themeColor="text1"/>
          <w:sz w:val="28"/>
          <w:szCs w:val="28"/>
        </w:rPr>
        <w:t>.</w:t>
      </w:r>
    </w:p>
    <w:p w14:paraId="60BF6F16"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ثانياً: الإطار المفاهيمي لسلامة المرضى</w:t>
      </w:r>
    </w:p>
    <w:p w14:paraId="2B1598FA"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تُعرَّف سلامة المرضى بأنها الوقاية من الأضرار التي يمكن تجنبها والتي تلحق بالمرضى أثناء تلقيهم الرعاية الصحية، وتخفيض المخاطر المرتبطة بالأخطاء الطبية إلى أدنى حد مقبول. وتتجاوز سلامة المرضى مجرد غياب الضرر لتشمل بناء ثقافة مؤسسية تتبنى التعلم المستمر من الأخطاء والإبلاغ الطوعي عن الحوادث والعمل الجماعي المتناسق والتواصل الفعّال بين أعضاء الفريق الصحي</w:t>
      </w:r>
      <w:r w:rsidRPr="00E04E1C">
        <w:rPr>
          <w:rFonts w:ascii="Simplified Arabic" w:eastAsiaTheme="majorEastAsia" w:hAnsi="Simplified Arabic" w:cs="Simplified Arabic"/>
          <w:color w:val="000000" w:themeColor="text1"/>
          <w:sz w:val="28"/>
          <w:szCs w:val="28"/>
        </w:rPr>
        <w:t xml:space="preserve"> (Alsulami et al., 2022). </w:t>
      </w:r>
      <w:r w:rsidRPr="00E04E1C">
        <w:rPr>
          <w:rFonts w:ascii="Simplified Arabic" w:eastAsiaTheme="majorEastAsia" w:hAnsi="Simplified Arabic" w:cs="Simplified Arabic"/>
          <w:color w:val="000000" w:themeColor="text1"/>
          <w:sz w:val="28"/>
          <w:szCs w:val="28"/>
          <w:rtl/>
        </w:rPr>
        <w:t>وقد استقر الأدب العلمي على قياس هذا المفهوم من خلال أداة مسح ثقافة سلامة المرضى في المستشفيات التي طورتها وكالة أبحاث الرعاية الصحية وجودتها الأمريكية، والتي تُغطي أبعاداً متعددة كتوقعات المشرفين وإجراءاتهم لتعزيز السلامة، والتعلم التنظيمي والتحسين المستمر، والعمل الجماعي داخل الأقسام وبين الأقسام، والانفتاح في التواصل، والتغذية الراجعة حول الأخطاء، والاستجابة غير العقابية للأخطاء، وكفاية الملاك الوظيفي، ودعم الإدارة العليا لسلامة المرضى</w:t>
      </w:r>
      <w:r w:rsidRPr="00E04E1C">
        <w:rPr>
          <w:rFonts w:ascii="Simplified Arabic" w:eastAsiaTheme="majorEastAsia" w:hAnsi="Simplified Arabic" w:cs="Simplified Arabic"/>
          <w:color w:val="000000" w:themeColor="text1"/>
          <w:sz w:val="28"/>
          <w:szCs w:val="28"/>
        </w:rPr>
        <w:t xml:space="preserve"> (Alghaithami et al., 2024). </w:t>
      </w:r>
      <w:r w:rsidRPr="00E04E1C">
        <w:rPr>
          <w:rFonts w:ascii="Simplified Arabic" w:eastAsiaTheme="majorEastAsia" w:hAnsi="Simplified Arabic" w:cs="Simplified Arabic"/>
          <w:color w:val="000000" w:themeColor="text1"/>
          <w:sz w:val="28"/>
          <w:szCs w:val="28"/>
          <w:rtl/>
        </w:rPr>
        <w:t>وقد أظهرت الدراسات الميدانية في المستشفيات السعودية أن مستوى ثقافة سلامة المرضى يتراوح بين المتوسط والمقبول، مع تفاوت ملحوظ بين الأبعاد المختلفة، حيث يُسجّل العمل الجماعي داخل القسم مستويات مرتفعة نسبياً، بينما تظهر أبعاد الاستجابة غير العقابية للأخطاء وكفاية الملاك الوظيفي مستويات متدنية تستدعي التدخل (نشوان وأبو النور، 2022)</w:t>
      </w:r>
    </w:p>
    <w:p w14:paraId="769A7D91" w14:textId="6B531415"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2" w:name="_Toc234537596"/>
      <w:r w:rsidRPr="00E04E1C">
        <w:rPr>
          <w:rFonts w:ascii="Simplified Arabic" w:eastAsiaTheme="majorEastAsia" w:hAnsi="Simplified Arabic" w:cs="Simplified Arabic" w:hint="cs"/>
          <w:b/>
          <w:bCs/>
          <w:color w:val="000000" w:themeColor="text1"/>
          <w:sz w:val="36"/>
          <w:szCs w:val="36"/>
          <w:rtl/>
        </w:rPr>
        <w:lastRenderedPageBreak/>
        <w:t xml:space="preserve">10.1 </w:t>
      </w:r>
      <w:r w:rsidRPr="00E04E1C">
        <w:rPr>
          <w:rFonts w:ascii="Simplified Arabic" w:eastAsiaTheme="majorEastAsia" w:hAnsi="Simplified Arabic" w:cs="Simplified Arabic"/>
          <w:b/>
          <w:bCs/>
          <w:color w:val="000000" w:themeColor="text1"/>
          <w:sz w:val="36"/>
          <w:szCs w:val="36"/>
          <w:rtl/>
        </w:rPr>
        <w:t>المنهجية وطرق البحث</w:t>
      </w:r>
      <w:r w:rsidRPr="00E04E1C">
        <w:rPr>
          <w:rFonts w:ascii="Simplified Arabic" w:eastAsiaTheme="majorEastAsia" w:hAnsi="Simplified Arabic" w:cs="Simplified Arabic"/>
          <w:b/>
          <w:bCs/>
          <w:color w:val="000000" w:themeColor="text1"/>
          <w:sz w:val="36"/>
          <w:szCs w:val="36"/>
        </w:rPr>
        <w:t>:</w:t>
      </w:r>
      <w:bookmarkEnd w:id="12"/>
    </w:p>
    <w:p w14:paraId="1FD02035"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سوف تعتمد هذه الدراسة على المنهج الوصفي التحليلي باعتباره المنهج الأكثر ملاءمة لطبيعة الدراسة وأهدافها، إذ يُتيح هذا المنهج وصف الظاهرة المدروسة كما هي في الواقع وتحليلها تحليلاً كمياً من خلال جمع البيانات من الميدان وتنظيمها وتبويبها ومعالجتها إحصائياً للوصول إلى نتائج علمية دقيقة. وسيُستخدم هذا المنهج لوصف واقع استخدام تقنيات الذكاء الاصطناعي في إدارة المخاطر الصحية بأبعاده الأربعة في المستشفيات السعودية، وتحديد مستوى سلامة المرضى، ثم تحليل العلاقة بين المتغيرين واختبار فروض الدراسة</w:t>
      </w:r>
      <w:r w:rsidRPr="00E04E1C">
        <w:rPr>
          <w:rFonts w:ascii="Simplified Arabic" w:eastAsiaTheme="majorEastAsia" w:hAnsi="Simplified Arabic" w:cs="Simplified Arabic"/>
          <w:color w:val="000000" w:themeColor="text1"/>
          <w:sz w:val="28"/>
          <w:szCs w:val="28"/>
        </w:rPr>
        <w:t>.</w:t>
      </w:r>
    </w:p>
    <w:p w14:paraId="0E7066E6"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وسوف تعتمد الدراسة في جانبها الميداني على الاستبانة بوصفها الأداة الرئيسة لجمع البيانات الأولية من أفراد العينة، حيث ستُصمَّم استبانة مُهيكلة وفق مقياس ليكرت الخماسي تتضمّن محاور تُغطي أبعاد المتغير المستقل والمتغير التابع والبيانات الديموغرافية. كما سيُستكمل الجانب النظري بالمصادر الثانوية من كتب ودوريات ورسائل علمية وقواعد بيانات إلكترونية عربية وأجنبية ذات صلة بموضوع الدراسة</w:t>
      </w:r>
      <w:r w:rsidRPr="00E04E1C">
        <w:rPr>
          <w:rFonts w:ascii="Simplified Arabic" w:eastAsiaTheme="majorEastAsia" w:hAnsi="Simplified Arabic" w:cs="Simplified Arabic"/>
          <w:color w:val="000000" w:themeColor="text1"/>
          <w:sz w:val="28"/>
          <w:szCs w:val="28"/>
        </w:rPr>
        <w:t>.</w:t>
      </w:r>
    </w:p>
    <w:p w14:paraId="092850A3" w14:textId="20118FFF"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3" w:name="_Toc234537597"/>
      <w:r w:rsidRPr="00E04E1C">
        <w:rPr>
          <w:rFonts w:ascii="Simplified Arabic" w:eastAsiaTheme="majorEastAsia" w:hAnsi="Simplified Arabic" w:cs="Simplified Arabic" w:hint="cs"/>
          <w:b/>
          <w:bCs/>
          <w:color w:val="000000" w:themeColor="text1"/>
          <w:sz w:val="36"/>
          <w:szCs w:val="36"/>
          <w:rtl/>
        </w:rPr>
        <w:t xml:space="preserve">11.1 </w:t>
      </w:r>
      <w:r w:rsidRPr="00E04E1C">
        <w:rPr>
          <w:rFonts w:ascii="Simplified Arabic" w:eastAsiaTheme="majorEastAsia" w:hAnsi="Simplified Arabic" w:cs="Simplified Arabic"/>
          <w:b/>
          <w:bCs/>
          <w:color w:val="000000" w:themeColor="text1"/>
          <w:sz w:val="36"/>
          <w:szCs w:val="36"/>
          <w:rtl/>
        </w:rPr>
        <w:t>مجتمع الدراسة وعينتها</w:t>
      </w:r>
      <w:bookmarkEnd w:id="13"/>
    </w:p>
    <w:p w14:paraId="6AAA30D7"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سيتكوّن مجتمع الدراسة من جميع العاملين في القطاع الصحي بالمستشفيات الحكومية الكبرى في المملكة العربية السعودية، ويشمل ذلك الأطباء والممرضين والفنيين الصحيين والإداريين العاملين في أقسام إدارة المخاطر وإدارة الجودة وسلامة المرضى وتقنية المعلومات الصحية. وسوف تُركّز الدراسة على المستشفيات التي بدأت فعلياً في تبنّي تقنيات الذكاء الاصطناعي أو التي لديها خطط قائمة لذلك، وتحديداً المستشفيات الواقعة في المدن الرئيسة كالرياض وجدة والدمام ومكة المكرمة، نظراً لتقدّم بنيتها التحتية الرقمية ومواردها البشرية المؤهلة. ويُقدَّر حجم المجتمع الكلي بنحو 1200 فرد من العاملين المعنيين في هذه المستشفيات</w:t>
      </w:r>
      <w:r w:rsidRPr="00E04E1C">
        <w:rPr>
          <w:rFonts w:ascii="Simplified Arabic" w:eastAsiaTheme="majorEastAsia" w:hAnsi="Simplified Arabic" w:cs="Simplified Arabic"/>
          <w:color w:val="000000" w:themeColor="text1"/>
          <w:sz w:val="28"/>
          <w:szCs w:val="28"/>
        </w:rPr>
        <w:t>.</w:t>
      </w:r>
    </w:p>
    <w:p w14:paraId="1E2087B7"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وسوف تُستخدم طريقة العينة العشوائية الطبقية التناسبية لضمان تمثيل جميع الفئات الوظيفية والمستشفيات المستهدفة تمثيلاً عادلاً. واستناداً إلى جداول تحديد حجم العينة عند مستوى ثقة 95% وهامش خطأ 5%، سيُحدَّد حجم العينة بنحو 300 مفردة تُوزَّع تناسبياً على المستشفيات والفئات الوظيفية المختلفة. وسوف تُوزَّع الاستبانات إلكترونياً عبر منصة</w:t>
      </w:r>
      <w:r w:rsidRPr="00E04E1C">
        <w:rPr>
          <w:rFonts w:ascii="Simplified Arabic" w:eastAsiaTheme="majorEastAsia" w:hAnsi="Simplified Arabic" w:cs="Simplified Arabic"/>
          <w:color w:val="000000" w:themeColor="text1"/>
          <w:sz w:val="28"/>
          <w:szCs w:val="28"/>
        </w:rPr>
        <w:t xml:space="preserve"> Google Forms </w:t>
      </w:r>
      <w:r w:rsidRPr="00E04E1C">
        <w:rPr>
          <w:rFonts w:ascii="Simplified Arabic" w:eastAsiaTheme="majorEastAsia" w:hAnsi="Simplified Arabic" w:cs="Simplified Arabic"/>
          <w:color w:val="000000" w:themeColor="text1"/>
          <w:sz w:val="28"/>
          <w:szCs w:val="28"/>
          <w:rtl/>
        </w:rPr>
        <w:t>لتسهيل عملية الجمع وضمان سرعة الاستجابة، مع مراعاة شروط الإدراج التي تتضمن أن يكون المستجيب قد أمضى مدة لا تقل عن ستة أشهر في العمل بالمستشفى وأن يكون على اطلاع بتطبيقات الذكاء الاصطناعي أو إدارة المخاطر الصحية أو سلامة المرضى في بيئة عمله</w:t>
      </w:r>
      <w:r w:rsidRPr="00E04E1C">
        <w:rPr>
          <w:rFonts w:ascii="Simplified Arabic" w:eastAsiaTheme="majorEastAsia" w:hAnsi="Simplified Arabic" w:cs="Simplified Arabic"/>
          <w:color w:val="000000" w:themeColor="text1"/>
          <w:sz w:val="28"/>
          <w:szCs w:val="28"/>
        </w:rPr>
        <w:t>.</w:t>
      </w:r>
    </w:p>
    <w:p w14:paraId="610348A0" w14:textId="4E46179C"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r w:rsidRPr="00E04E1C">
        <w:rPr>
          <w:rFonts w:ascii="Simplified Arabic" w:eastAsiaTheme="majorEastAsia" w:hAnsi="Simplified Arabic" w:cs="Simplified Arabic"/>
          <w:b/>
          <w:bCs/>
          <w:color w:val="000000" w:themeColor="text1"/>
          <w:sz w:val="36"/>
          <w:szCs w:val="36"/>
        </w:rPr>
        <w:lastRenderedPageBreak/>
        <w:t xml:space="preserve"> </w:t>
      </w:r>
      <w:bookmarkStart w:id="14" w:name="_Toc234537598"/>
      <w:r w:rsidRPr="00E04E1C">
        <w:rPr>
          <w:rFonts w:ascii="Simplified Arabic" w:eastAsiaTheme="majorEastAsia" w:hAnsi="Simplified Arabic" w:cs="Simplified Arabic" w:hint="cs"/>
          <w:b/>
          <w:bCs/>
          <w:color w:val="000000" w:themeColor="text1"/>
          <w:sz w:val="36"/>
          <w:szCs w:val="36"/>
          <w:rtl/>
        </w:rPr>
        <w:t>12.1</w:t>
      </w:r>
      <w:r w:rsidRPr="00E04E1C">
        <w:rPr>
          <w:rFonts w:ascii="Simplified Arabic" w:eastAsiaTheme="majorEastAsia" w:hAnsi="Simplified Arabic" w:cs="Simplified Arabic"/>
          <w:b/>
          <w:bCs/>
          <w:color w:val="000000" w:themeColor="text1"/>
          <w:sz w:val="36"/>
          <w:szCs w:val="36"/>
          <w:rtl/>
        </w:rPr>
        <w:t>مصادر جمع البيانات</w:t>
      </w:r>
      <w:bookmarkEnd w:id="14"/>
    </w:p>
    <w:p w14:paraId="56061776"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المصادر الأولية</w:t>
      </w:r>
    </w:p>
    <w:p w14:paraId="42BEF4F1" w14:textId="77777777" w:rsidR="00E04E1C" w:rsidRPr="00E04E1C" w:rsidRDefault="00E04E1C" w:rsidP="00B72FBD">
      <w:pPr>
        <w:pStyle w:val="ListParagraph"/>
        <w:numPr>
          <w:ilvl w:val="0"/>
          <w:numId w:val="7"/>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سوف تُجمع البيانات الأولية من خلال الاستبانة المُصمَّمة خصيصاً لأغراض هذه الدراسة، والتي ستُوزَّع على أفراد العينة من العاملين في المستشفيات السعودية المستهدفة لجمع آرائهم وتصوراتهم حول واقع استخدام تقنيات الذكاء الاصطناعي في إدارة المخاطر الصحية ومستوى سلامة المرضى</w:t>
      </w:r>
      <w:r w:rsidRPr="00E04E1C">
        <w:rPr>
          <w:rFonts w:ascii="Simplified Arabic" w:eastAsiaTheme="majorEastAsia" w:hAnsi="Simplified Arabic" w:cs="Simplified Arabic"/>
          <w:color w:val="000000" w:themeColor="text1"/>
          <w:sz w:val="28"/>
          <w:szCs w:val="28"/>
        </w:rPr>
        <w:t>.</w:t>
      </w:r>
    </w:p>
    <w:p w14:paraId="32C78AAF" w14:textId="77777777" w:rsidR="00E04E1C" w:rsidRPr="00E04E1C" w:rsidRDefault="00E04E1C" w:rsidP="00E04E1C">
      <w:pPr>
        <w:jc w:val="both"/>
        <w:rPr>
          <w:rFonts w:ascii="Simplified Arabic" w:eastAsiaTheme="majorEastAsia" w:hAnsi="Simplified Arabic" w:cs="Simplified Arabic"/>
          <w:b/>
          <w:bCs/>
          <w:color w:val="000000" w:themeColor="text1"/>
          <w:sz w:val="32"/>
          <w:szCs w:val="32"/>
          <w:rtl/>
        </w:rPr>
      </w:pPr>
      <w:r w:rsidRPr="00E04E1C">
        <w:rPr>
          <w:rFonts w:ascii="Simplified Arabic" w:eastAsiaTheme="majorEastAsia" w:hAnsi="Simplified Arabic" w:cs="Simplified Arabic"/>
          <w:b/>
          <w:bCs/>
          <w:color w:val="000000" w:themeColor="text1"/>
          <w:sz w:val="32"/>
          <w:szCs w:val="32"/>
          <w:rtl/>
        </w:rPr>
        <w:t>المصادر الثانوية</w:t>
      </w:r>
    </w:p>
    <w:p w14:paraId="2C2019D7" w14:textId="77777777" w:rsidR="00E04E1C" w:rsidRPr="00E04E1C" w:rsidRDefault="00E04E1C" w:rsidP="00B72FBD">
      <w:pPr>
        <w:pStyle w:val="ListParagraph"/>
        <w:numPr>
          <w:ilvl w:val="0"/>
          <w:numId w:val="7"/>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سوف تُستخدم المصادر الثانوية لبناء الإطار النظري والدراسات السابقة، وتشمل الكتب والمراجع العلمية المتخصصة، والدوريات والمجلات العلمية المحكّمة العربية والأجنبية، والرسائل الجامعية (ماجستير ودكتوراه)، والتقارير والمنشورات الرسمية الصادرة عن وزارة الصحة السعودية والهيئة السعودية للبيانات والذكاء الاصطناعي (سدايا) ومنظمة الصحة العالمية، وقواعد البيانات الإلكترونية مثل</w:t>
      </w:r>
      <w:r w:rsidRPr="00E04E1C">
        <w:rPr>
          <w:rFonts w:ascii="Simplified Arabic" w:eastAsiaTheme="majorEastAsia" w:hAnsi="Simplified Arabic" w:cs="Simplified Arabic"/>
          <w:color w:val="000000" w:themeColor="text1"/>
          <w:sz w:val="28"/>
          <w:szCs w:val="28"/>
        </w:rPr>
        <w:t xml:space="preserve"> PubMed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Scopus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 xml:space="preserve">Web of Science </w:t>
      </w:r>
      <w:r w:rsidRPr="00E04E1C">
        <w:rPr>
          <w:rFonts w:ascii="Simplified Arabic" w:eastAsiaTheme="majorEastAsia" w:hAnsi="Simplified Arabic" w:cs="Simplified Arabic"/>
          <w:color w:val="000000" w:themeColor="text1"/>
          <w:sz w:val="28"/>
          <w:szCs w:val="28"/>
          <w:rtl/>
        </w:rPr>
        <w:t>و</w:t>
      </w:r>
      <w:r w:rsidRPr="00E04E1C">
        <w:rPr>
          <w:rFonts w:ascii="Simplified Arabic" w:eastAsiaTheme="majorEastAsia" w:hAnsi="Simplified Arabic" w:cs="Simplified Arabic"/>
          <w:color w:val="000000" w:themeColor="text1"/>
          <w:sz w:val="28"/>
          <w:szCs w:val="28"/>
        </w:rPr>
        <w:t>Google Scholar.</w:t>
      </w:r>
    </w:p>
    <w:p w14:paraId="668C24C5" w14:textId="20D343DF"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5" w:name="_Toc234537599"/>
      <w:r w:rsidRPr="00E04E1C">
        <w:rPr>
          <w:rFonts w:ascii="Simplified Arabic" w:eastAsiaTheme="majorEastAsia" w:hAnsi="Simplified Arabic" w:cs="Simplified Arabic" w:hint="cs"/>
          <w:b/>
          <w:bCs/>
          <w:color w:val="000000" w:themeColor="text1"/>
          <w:sz w:val="36"/>
          <w:szCs w:val="36"/>
          <w:rtl/>
        </w:rPr>
        <w:t xml:space="preserve">13.1 </w:t>
      </w:r>
      <w:r w:rsidRPr="00E04E1C">
        <w:rPr>
          <w:rFonts w:ascii="Simplified Arabic" w:eastAsiaTheme="majorEastAsia" w:hAnsi="Simplified Arabic" w:cs="Simplified Arabic"/>
          <w:b/>
          <w:bCs/>
          <w:color w:val="000000" w:themeColor="text1"/>
          <w:sz w:val="36"/>
          <w:szCs w:val="36"/>
          <w:rtl/>
        </w:rPr>
        <w:t>أداة الدراسة</w:t>
      </w:r>
      <w:bookmarkEnd w:id="15"/>
    </w:p>
    <w:p w14:paraId="296B8757"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سوف تتكوّن أداة الدراسة (الاستبانة) من ثلاثة أقسام رئيسة على النحو التالي</w:t>
      </w:r>
      <w:r w:rsidRPr="00E04E1C">
        <w:rPr>
          <w:rFonts w:ascii="Simplified Arabic" w:eastAsiaTheme="majorEastAsia" w:hAnsi="Simplified Arabic" w:cs="Simplified Arabic"/>
          <w:b/>
          <w:bCs/>
          <w:color w:val="000000" w:themeColor="text1"/>
          <w:sz w:val="28"/>
          <w:szCs w:val="28"/>
        </w:rPr>
        <w:t>:</w:t>
      </w:r>
    </w:p>
    <w:p w14:paraId="1D33CC0E"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القسم الأول: البيانات الديموغرافية والوظيفية</w:t>
      </w:r>
    </w:p>
    <w:p w14:paraId="6727F872"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يتضمّن هذا القسم البيانات الشخصية والوظيفية لأفراد العينة وتشمل: الجنس، والفئة العمرية، والمؤهل العلمي، والتخصص الوظيفي (طبيب، ممرض، فني صحي، إداري)، وسنوات الخبرة، واسم المستشفى، والحصول على تدريب في مجال الذكاء الاصطناعي</w:t>
      </w:r>
      <w:r w:rsidRPr="00E04E1C">
        <w:rPr>
          <w:rFonts w:ascii="Simplified Arabic" w:eastAsiaTheme="majorEastAsia" w:hAnsi="Simplified Arabic" w:cs="Simplified Arabic"/>
          <w:color w:val="000000" w:themeColor="text1"/>
          <w:sz w:val="28"/>
          <w:szCs w:val="28"/>
        </w:rPr>
        <w:t>.</w:t>
      </w:r>
    </w:p>
    <w:p w14:paraId="03731292"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القسم الثاني: المتغير المستقل — تقنيات الذكاء الاصطناعي في إدارة المخاطر الصحية (16 فقرة)</w:t>
      </w:r>
    </w:p>
    <w:p w14:paraId="709C26C1"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يتكوّن هذا القسم من أربعة أبعاد يتضمّن كل بُعد منها 4 فقرات، وذلك على النحو التالي</w:t>
      </w:r>
      <w:r w:rsidRPr="00E04E1C">
        <w:rPr>
          <w:rFonts w:ascii="Simplified Arabic" w:eastAsiaTheme="majorEastAsia" w:hAnsi="Simplified Arabic" w:cs="Simplified Arabic"/>
          <w:b/>
          <w:bCs/>
          <w:color w:val="000000" w:themeColor="text1"/>
          <w:sz w:val="28"/>
          <w:szCs w:val="28"/>
        </w:rPr>
        <w:t>:</w:t>
      </w:r>
    </w:p>
    <w:p w14:paraId="3187B166" w14:textId="77777777" w:rsidR="00E04E1C" w:rsidRPr="00E04E1C" w:rsidRDefault="00E04E1C" w:rsidP="00B72FBD">
      <w:pPr>
        <w:pStyle w:val="ListParagraph"/>
        <w:numPr>
          <w:ilvl w:val="0"/>
          <w:numId w:val="7"/>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البُعد الأول: أنظمة الإنذار والتنبؤ المبكر بالمخاطر — ويتضمّن (4) فقرات تقيس مدى استخدام المستشفى لأنظمة الذكاء الاصطناعي القادرة على التنبؤ بالمضاعفات الصحية قبل حدوثها والإنذار المبكر بتدهور حالة المرضى واستباق المخاطر السريرية</w:t>
      </w:r>
      <w:r w:rsidRPr="00E04E1C">
        <w:rPr>
          <w:rFonts w:ascii="Simplified Arabic" w:eastAsiaTheme="majorEastAsia" w:hAnsi="Simplified Arabic" w:cs="Simplified Arabic"/>
          <w:color w:val="000000" w:themeColor="text1"/>
          <w:sz w:val="28"/>
          <w:szCs w:val="28"/>
        </w:rPr>
        <w:t>.</w:t>
      </w:r>
    </w:p>
    <w:p w14:paraId="3DAD767D" w14:textId="77777777" w:rsidR="00E04E1C" w:rsidRPr="00E04E1C" w:rsidRDefault="00E04E1C" w:rsidP="00B72FBD">
      <w:pPr>
        <w:pStyle w:val="ListParagraph"/>
        <w:numPr>
          <w:ilvl w:val="0"/>
          <w:numId w:val="7"/>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lastRenderedPageBreak/>
        <w:t>البُعد الثاني: أنظمة دعم القرار السريري الذكية — ويتضمّن (4) فقرات تقيس مدى استخدام المستشفى لأنظمة ذكية تُساعد الأطباء والممارسين الصحيين في اتخاذ قرارات تشخيصية وعلاجية أكثر دقة من خلال تحليل البيانات الطبية وتقديم توصيات قائمة على الأدلة</w:t>
      </w:r>
      <w:r w:rsidRPr="00E04E1C">
        <w:rPr>
          <w:rFonts w:ascii="Simplified Arabic" w:eastAsiaTheme="majorEastAsia" w:hAnsi="Simplified Arabic" w:cs="Simplified Arabic"/>
          <w:color w:val="000000" w:themeColor="text1"/>
          <w:sz w:val="28"/>
          <w:szCs w:val="28"/>
        </w:rPr>
        <w:t>.</w:t>
      </w:r>
    </w:p>
    <w:p w14:paraId="42A76A7C" w14:textId="77777777" w:rsidR="00E04E1C" w:rsidRPr="00E04E1C" w:rsidRDefault="00E04E1C" w:rsidP="00B72FBD">
      <w:pPr>
        <w:pStyle w:val="ListParagraph"/>
        <w:numPr>
          <w:ilvl w:val="0"/>
          <w:numId w:val="7"/>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البُعد الثالث: أنظمة المراقبة اللحظية وتحليل البيانات الصحية — ويتضمّن (4) فقرات تقيس مدى استخدام المستشفى لأنظمة ذكاء اصطناعي تعمل على مراقبة المؤشرات الحيوية للمرضى بشكل مستمر وتحليل البيانات الصحية الضخمة في الوقت الحقيقي للكشف عن الأنماط غير الطبيعية</w:t>
      </w:r>
      <w:r w:rsidRPr="00E04E1C">
        <w:rPr>
          <w:rFonts w:ascii="Simplified Arabic" w:eastAsiaTheme="majorEastAsia" w:hAnsi="Simplified Arabic" w:cs="Simplified Arabic"/>
          <w:color w:val="000000" w:themeColor="text1"/>
          <w:sz w:val="28"/>
          <w:szCs w:val="28"/>
        </w:rPr>
        <w:t>.</w:t>
      </w:r>
    </w:p>
    <w:p w14:paraId="2BACDF0E" w14:textId="77777777" w:rsidR="00E04E1C" w:rsidRPr="00E04E1C" w:rsidRDefault="00E04E1C" w:rsidP="00B72FBD">
      <w:pPr>
        <w:pStyle w:val="ListParagraph"/>
        <w:numPr>
          <w:ilvl w:val="0"/>
          <w:numId w:val="7"/>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البُعد الرابع: أنظمة الكشف التلقائي عن الأخطاء الطبية والإبلاغ عنها — ويتضمّن (4) فقرات تقيس مدى استخدام المستشفى لأنظمة ذكية قادرة على الكشف التلقائي عن الأخطاء الدوائية والتشخيصية والإجرائية وتصنيفها والإبلاغ عنها لتعزيز الشفافية والتعلم المؤسسي</w:t>
      </w:r>
      <w:r w:rsidRPr="00E04E1C">
        <w:rPr>
          <w:rFonts w:ascii="Simplified Arabic" w:eastAsiaTheme="majorEastAsia" w:hAnsi="Simplified Arabic" w:cs="Simplified Arabic"/>
          <w:color w:val="000000" w:themeColor="text1"/>
          <w:sz w:val="28"/>
          <w:szCs w:val="28"/>
        </w:rPr>
        <w:t>.</w:t>
      </w:r>
    </w:p>
    <w:p w14:paraId="21F5E4EB" w14:textId="77777777" w:rsidR="00E04E1C" w:rsidRPr="00E04E1C" w:rsidRDefault="00E04E1C" w:rsidP="00E04E1C">
      <w:pPr>
        <w:jc w:val="both"/>
        <w:rPr>
          <w:rFonts w:ascii="Simplified Arabic" w:eastAsiaTheme="majorEastAsia" w:hAnsi="Simplified Arabic" w:cs="Simplified Arabic"/>
          <w:b/>
          <w:bCs/>
          <w:color w:val="000000" w:themeColor="text1"/>
          <w:sz w:val="28"/>
          <w:szCs w:val="28"/>
          <w:rtl/>
        </w:rPr>
      </w:pPr>
      <w:r w:rsidRPr="00E04E1C">
        <w:rPr>
          <w:rFonts w:ascii="Simplified Arabic" w:eastAsiaTheme="majorEastAsia" w:hAnsi="Simplified Arabic" w:cs="Simplified Arabic"/>
          <w:b/>
          <w:bCs/>
          <w:color w:val="000000" w:themeColor="text1"/>
          <w:sz w:val="28"/>
          <w:szCs w:val="28"/>
          <w:rtl/>
        </w:rPr>
        <w:t>القسم الثالث: المتغير التابع — سلامة المرضى (10 فقرات)</w:t>
      </w:r>
    </w:p>
    <w:p w14:paraId="715BD420"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يتكوّن هذا القسم من محور واحد يتضمّن (10) فقرات تقيس مستوى سلامة المرضى في المستشفى من حيث الحد من الأخطاء الطبية والأحداث الضارة، وتعزيز ثقافة الإبلاغ عن الحوادث، وفعالية التواصل بين الفريق الصحي، وجودة عمليات التسليم والانتقال، ودعم الإدارة لبيئة آمنة، والتعلم المؤسسي من الأخطاء والتحسين المستمر</w:t>
      </w:r>
      <w:r w:rsidRPr="00E04E1C">
        <w:rPr>
          <w:rFonts w:ascii="Simplified Arabic" w:eastAsiaTheme="majorEastAsia" w:hAnsi="Simplified Arabic" w:cs="Simplified Arabic"/>
          <w:color w:val="000000" w:themeColor="text1"/>
          <w:sz w:val="28"/>
          <w:szCs w:val="28"/>
        </w:rPr>
        <w:t>.</w:t>
      </w:r>
    </w:p>
    <w:p w14:paraId="6AE5B7C6"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وبذلك يبلغ إجمالي فقرات الاستبانة (26) فقرة موزعة على المحاور المذكورة، وسوف تُقاس جميع الفقرات وفق مقياس ليكرت الخماسي المتدرّج من (1) بشدة غير موافق إلى (5) موافق بشدة</w:t>
      </w:r>
      <w:r w:rsidRPr="00E04E1C">
        <w:rPr>
          <w:rFonts w:ascii="Simplified Arabic" w:eastAsiaTheme="majorEastAsia" w:hAnsi="Simplified Arabic" w:cs="Simplified Arabic"/>
          <w:color w:val="000000" w:themeColor="text1"/>
          <w:sz w:val="28"/>
          <w:szCs w:val="28"/>
        </w:rPr>
        <w:t>.</w:t>
      </w:r>
    </w:p>
    <w:p w14:paraId="09C8135B" w14:textId="72F8968D"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6" w:name="_Toc234537600"/>
      <w:r w:rsidRPr="00E04E1C">
        <w:rPr>
          <w:rFonts w:ascii="Simplified Arabic" w:eastAsiaTheme="majorEastAsia" w:hAnsi="Simplified Arabic" w:cs="Simplified Arabic" w:hint="cs"/>
          <w:b/>
          <w:bCs/>
          <w:color w:val="000000" w:themeColor="text1"/>
          <w:sz w:val="36"/>
          <w:szCs w:val="36"/>
          <w:rtl/>
        </w:rPr>
        <w:t xml:space="preserve">14.1 </w:t>
      </w:r>
      <w:r w:rsidRPr="00E04E1C">
        <w:rPr>
          <w:rFonts w:ascii="Simplified Arabic" w:eastAsiaTheme="majorEastAsia" w:hAnsi="Simplified Arabic" w:cs="Simplified Arabic"/>
          <w:b/>
          <w:bCs/>
          <w:color w:val="000000" w:themeColor="text1"/>
          <w:sz w:val="36"/>
          <w:szCs w:val="36"/>
          <w:rtl/>
        </w:rPr>
        <w:t>الأساليب الإحصائية المستخدمة</w:t>
      </w:r>
      <w:bookmarkEnd w:id="16"/>
    </w:p>
    <w:p w14:paraId="5B9B373D" w14:textId="77777777" w:rsidR="00E04E1C" w:rsidRPr="00E04E1C" w:rsidRDefault="00E04E1C" w:rsidP="00E04E1C">
      <w:pPr>
        <w:ind w:firstLine="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سوف تُعالَج البيانات وتُحلَّل باستخدام برنامج الحزمة الإحصائية للعلوم الاجتماعية</w:t>
      </w:r>
      <w:r w:rsidRPr="00E04E1C">
        <w:rPr>
          <w:rFonts w:ascii="Simplified Arabic" w:eastAsiaTheme="majorEastAsia" w:hAnsi="Simplified Arabic" w:cs="Simplified Arabic"/>
          <w:color w:val="000000" w:themeColor="text1"/>
          <w:sz w:val="28"/>
          <w:szCs w:val="28"/>
        </w:rPr>
        <w:t xml:space="preserve"> (SPSS)</w:t>
      </w:r>
      <w:r w:rsidRPr="00E04E1C">
        <w:rPr>
          <w:rFonts w:ascii="Simplified Arabic" w:eastAsiaTheme="majorEastAsia" w:hAnsi="Simplified Arabic" w:cs="Simplified Arabic"/>
          <w:color w:val="000000" w:themeColor="text1"/>
          <w:sz w:val="28"/>
          <w:szCs w:val="28"/>
          <w:rtl/>
        </w:rPr>
        <w:t>، وسيتم الاستعانة بالأساليب الإحصائية التالية</w:t>
      </w:r>
      <w:r w:rsidRPr="00E04E1C">
        <w:rPr>
          <w:rFonts w:ascii="Simplified Arabic" w:eastAsiaTheme="majorEastAsia" w:hAnsi="Simplified Arabic" w:cs="Simplified Arabic"/>
          <w:color w:val="000000" w:themeColor="text1"/>
          <w:sz w:val="28"/>
          <w:szCs w:val="28"/>
        </w:rPr>
        <w:t>:</w:t>
      </w:r>
    </w:p>
    <w:p w14:paraId="6CA30D4D" w14:textId="2FAF136B"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معامل ألفا كرونباخ</w:t>
      </w:r>
      <w:r w:rsidRPr="00E04E1C">
        <w:rPr>
          <w:rFonts w:ascii="Simplified Arabic" w:eastAsiaTheme="majorEastAsia" w:hAnsi="Simplified Arabic" w:cs="Simplified Arabic"/>
          <w:color w:val="000000" w:themeColor="text1"/>
          <w:sz w:val="28"/>
          <w:szCs w:val="28"/>
        </w:rPr>
        <w:t xml:space="preserve"> (Cronbach's Alpha): </w:t>
      </w:r>
      <w:r w:rsidRPr="00E04E1C">
        <w:rPr>
          <w:rFonts w:ascii="Simplified Arabic" w:eastAsiaTheme="majorEastAsia" w:hAnsi="Simplified Arabic" w:cs="Simplified Arabic"/>
          <w:color w:val="000000" w:themeColor="text1"/>
          <w:sz w:val="28"/>
          <w:szCs w:val="28"/>
          <w:rtl/>
        </w:rPr>
        <w:t>للتحقق من ثبات أداة الدراسة واتساقها الداخلي</w:t>
      </w:r>
      <w:r w:rsidRPr="00E04E1C">
        <w:rPr>
          <w:rFonts w:ascii="Simplified Arabic" w:eastAsiaTheme="majorEastAsia" w:hAnsi="Simplified Arabic" w:cs="Simplified Arabic"/>
          <w:color w:val="000000" w:themeColor="text1"/>
          <w:sz w:val="28"/>
          <w:szCs w:val="28"/>
        </w:rPr>
        <w:t>.</w:t>
      </w:r>
    </w:p>
    <w:p w14:paraId="464243A0" w14:textId="4AC4ECA3"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التكرارات والنسب المئوية: لوصف خصائص عينة الدراسة الديموغرافية والوظيفية</w:t>
      </w:r>
      <w:r w:rsidRPr="00E04E1C">
        <w:rPr>
          <w:rFonts w:ascii="Simplified Arabic" w:eastAsiaTheme="majorEastAsia" w:hAnsi="Simplified Arabic" w:cs="Simplified Arabic"/>
          <w:color w:val="000000" w:themeColor="text1"/>
          <w:sz w:val="28"/>
          <w:szCs w:val="28"/>
        </w:rPr>
        <w:t>.</w:t>
      </w:r>
    </w:p>
    <w:p w14:paraId="77292651" w14:textId="337B08F3"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المتوسطات الحسابية والانحرافات المعيارية: لتحديد مستوى استجابات أفراد العينة على محاور الاستبانة وترتيب الأبعاد حسب أهميتها النسبية</w:t>
      </w:r>
      <w:r w:rsidRPr="00E04E1C">
        <w:rPr>
          <w:rFonts w:ascii="Simplified Arabic" w:eastAsiaTheme="majorEastAsia" w:hAnsi="Simplified Arabic" w:cs="Simplified Arabic"/>
          <w:color w:val="000000" w:themeColor="text1"/>
          <w:sz w:val="28"/>
          <w:szCs w:val="28"/>
        </w:rPr>
        <w:t>.</w:t>
      </w:r>
    </w:p>
    <w:p w14:paraId="00AFDF6D" w14:textId="45C5D620"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معامل ارتباط بيرسون</w:t>
      </w:r>
      <w:r w:rsidRPr="00E04E1C">
        <w:rPr>
          <w:rFonts w:ascii="Simplified Arabic" w:eastAsiaTheme="majorEastAsia" w:hAnsi="Simplified Arabic" w:cs="Simplified Arabic"/>
          <w:color w:val="000000" w:themeColor="text1"/>
          <w:sz w:val="28"/>
          <w:szCs w:val="28"/>
        </w:rPr>
        <w:t xml:space="preserve"> (Pearson Correlation): </w:t>
      </w:r>
      <w:r w:rsidRPr="00E04E1C">
        <w:rPr>
          <w:rFonts w:ascii="Simplified Arabic" w:eastAsiaTheme="majorEastAsia" w:hAnsi="Simplified Arabic" w:cs="Simplified Arabic"/>
          <w:color w:val="000000" w:themeColor="text1"/>
          <w:sz w:val="28"/>
          <w:szCs w:val="28"/>
          <w:rtl/>
        </w:rPr>
        <w:t>لقياس قوة واتجاه العلاقة بين المتغير المستقل بأبعاده والمتغير التابع</w:t>
      </w:r>
      <w:r w:rsidRPr="00E04E1C">
        <w:rPr>
          <w:rFonts w:ascii="Simplified Arabic" w:eastAsiaTheme="majorEastAsia" w:hAnsi="Simplified Arabic" w:cs="Simplified Arabic"/>
          <w:color w:val="000000" w:themeColor="text1"/>
          <w:sz w:val="28"/>
          <w:szCs w:val="28"/>
        </w:rPr>
        <w:t>.</w:t>
      </w:r>
    </w:p>
    <w:p w14:paraId="761AFE95" w14:textId="68668BD1"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lastRenderedPageBreak/>
        <w:t>تحليل الانحدار المتعدد</w:t>
      </w:r>
      <w:r w:rsidRPr="00E04E1C">
        <w:rPr>
          <w:rFonts w:ascii="Simplified Arabic" w:eastAsiaTheme="majorEastAsia" w:hAnsi="Simplified Arabic" w:cs="Simplified Arabic"/>
          <w:color w:val="000000" w:themeColor="text1"/>
          <w:sz w:val="28"/>
          <w:szCs w:val="28"/>
        </w:rPr>
        <w:t xml:space="preserve"> (Multiple Regression Analysis): </w:t>
      </w:r>
      <w:r w:rsidRPr="00E04E1C">
        <w:rPr>
          <w:rFonts w:ascii="Simplified Arabic" w:eastAsiaTheme="majorEastAsia" w:hAnsi="Simplified Arabic" w:cs="Simplified Arabic"/>
          <w:color w:val="000000" w:themeColor="text1"/>
          <w:sz w:val="28"/>
          <w:szCs w:val="28"/>
          <w:rtl/>
        </w:rPr>
        <w:t>لاختبار أثر أبعاد المتغير المستقل مجتمعة ومنفردة على المتغير التابع وتحديد القدرة التنبؤية لكل بُعد</w:t>
      </w:r>
      <w:r w:rsidRPr="00E04E1C">
        <w:rPr>
          <w:rFonts w:ascii="Simplified Arabic" w:eastAsiaTheme="majorEastAsia" w:hAnsi="Simplified Arabic" w:cs="Simplified Arabic"/>
          <w:color w:val="000000" w:themeColor="text1"/>
          <w:sz w:val="28"/>
          <w:szCs w:val="28"/>
        </w:rPr>
        <w:t>.</w:t>
      </w:r>
    </w:p>
    <w:p w14:paraId="04A59DDC" w14:textId="3EFACDD1"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تحليل الانحدار البسيط</w:t>
      </w:r>
      <w:r w:rsidRPr="00E04E1C">
        <w:rPr>
          <w:rFonts w:ascii="Simplified Arabic" w:eastAsiaTheme="majorEastAsia" w:hAnsi="Simplified Arabic" w:cs="Simplified Arabic"/>
          <w:color w:val="000000" w:themeColor="text1"/>
          <w:sz w:val="28"/>
          <w:szCs w:val="28"/>
        </w:rPr>
        <w:t xml:space="preserve"> (Simple Regression Analysis): </w:t>
      </w:r>
      <w:r w:rsidRPr="00E04E1C">
        <w:rPr>
          <w:rFonts w:ascii="Simplified Arabic" w:eastAsiaTheme="majorEastAsia" w:hAnsi="Simplified Arabic" w:cs="Simplified Arabic"/>
          <w:color w:val="000000" w:themeColor="text1"/>
          <w:sz w:val="28"/>
          <w:szCs w:val="28"/>
          <w:rtl/>
        </w:rPr>
        <w:t>لاختبار أثر كل بُعد من أبعاد المتغير المستقل على حدة على المتغير التابع</w:t>
      </w:r>
      <w:r w:rsidRPr="00E04E1C">
        <w:rPr>
          <w:rFonts w:ascii="Simplified Arabic" w:eastAsiaTheme="majorEastAsia" w:hAnsi="Simplified Arabic" w:cs="Simplified Arabic"/>
          <w:color w:val="000000" w:themeColor="text1"/>
          <w:sz w:val="28"/>
          <w:szCs w:val="28"/>
        </w:rPr>
        <w:t>.</w:t>
      </w:r>
    </w:p>
    <w:p w14:paraId="60A5A602" w14:textId="2B38E67F"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اختبار (ت) للعينات المستقلة</w:t>
      </w:r>
      <w:r w:rsidRPr="00E04E1C">
        <w:rPr>
          <w:rFonts w:ascii="Simplified Arabic" w:eastAsiaTheme="majorEastAsia" w:hAnsi="Simplified Arabic" w:cs="Simplified Arabic"/>
          <w:color w:val="000000" w:themeColor="text1"/>
          <w:sz w:val="28"/>
          <w:szCs w:val="28"/>
        </w:rPr>
        <w:t xml:space="preserve"> (Independent Samples T-Test): </w:t>
      </w:r>
      <w:r w:rsidRPr="00E04E1C">
        <w:rPr>
          <w:rFonts w:ascii="Simplified Arabic" w:eastAsiaTheme="majorEastAsia" w:hAnsi="Simplified Arabic" w:cs="Simplified Arabic"/>
          <w:color w:val="000000" w:themeColor="text1"/>
          <w:sz w:val="28"/>
          <w:szCs w:val="28"/>
          <w:rtl/>
        </w:rPr>
        <w:t>للكشف عن الفروق ذات الدلالة الإحصائية في استجابات أفراد العينة تُعزى للمتغيرات الديموغرافية ثنائية الفئات كالجنس والحصول على تدريب</w:t>
      </w:r>
      <w:r w:rsidRPr="00E04E1C">
        <w:rPr>
          <w:rFonts w:ascii="Simplified Arabic" w:eastAsiaTheme="majorEastAsia" w:hAnsi="Simplified Arabic" w:cs="Simplified Arabic"/>
          <w:color w:val="000000" w:themeColor="text1"/>
          <w:sz w:val="28"/>
          <w:szCs w:val="28"/>
        </w:rPr>
        <w:t>.</w:t>
      </w:r>
    </w:p>
    <w:p w14:paraId="4DDE978E" w14:textId="5DF8C2DC"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تحليل التباين الأحادي</w:t>
      </w:r>
      <w:r w:rsidRPr="00E04E1C">
        <w:rPr>
          <w:rFonts w:ascii="Simplified Arabic" w:eastAsiaTheme="majorEastAsia" w:hAnsi="Simplified Arabic" w:cs="Simplified Arabic"/>
          <w:color w:val="000000" w:themeColor="text1"/>
          <w:sz w:val="28"/>
          <w:szCs w:val="28"/>
        </w:rPr>
        <w:t xml:space="preserve"> (One-Way ANOVA): </w:t>
      </w:r>
      <w:r w:rsidRPr="00E04E1C">
        <w:rPr>
          <w:rFonts w:ascii="Simplified Arabic" w:eastAsiaTheme="majorEastAsia" w:hAnsi="Simplified Arabic" w:cs="Simplified Arabic"/>
          <w:color w:val="000000" w:themeColor="text1"/>
          <w:sz w:val="28"/>
          <w:szCs w:val="28"/>
          <w:rtl/>
        </w:rPr>
        <w:t>للكشف عن الفروق ذات الدلالة الإحصائية في استجابات أفراد العينة تُعزى للمتغيرات الديموغرافية متعددة الفئات كالمؤهل العلمي وسنوات الخبرة والتخصص الوظيفي</w:t>
      </w:r>
      <w:r w:rsidRPr="00E04E1C">
        <w:rPr>
          <w:rFonts w:ascii="Simplified Arabic" w:eastAsiaTheme="majorEastAsia" w:hAnsi="Simplified Arabic" w:cs="Simplified Arabic"/>
          <w:color w:val="000000" w:themeColor="text1"/>
          <w:sz w:val="28"/>
          <w:szCs w:val="28"/>
        </w:rPr>
        <w:t>.</w:t>
      </w:r>
    </w:p>
    <w:p w14:paraId="6F6913F3" w14:textId="4D960809" w:rsidR="00E04E1C" w:rsidRPr="00E04E1C" w:rsidRDefault="00E04E1C" w:rsidP="00B72FBD">
      <w:pPr>
        <w:pStyle w:val="ListParagraph"/>
        <w:numPr>
          <w:ilvl w:val="0"/>
          <w:numId w:val="8"/>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اختبار شيفيه</w:t>
      </w:r>
      <w:r w:rsidRPr="00E04E1C">
        <w:rPr>
          <w:rFonts w:ascii="Simplified Arabic" w:eastAsiaTheme="majorEastAsia" w:hAnsi="Simplified Arabic" w:cs="Simplified Arabic"/>
          <w:color w:val="000000" w:themeColor="text1"/>
          <w:sz w:val="28"/>
          <w:szCs w:val="28"/>
        </w:rPr>
        <w:t xml:space="preserve"> (Scheffé) </w:t>
      </w:r>
      <w:r w:rsidRPr="00E04E1C">
        <w:rPr>
          <w:rFonts w:ascii="Simplified Arabic" w:eastAsiaTheme="majorEastAsia" w:hAnsi="Simplified Arabic" w:cs="Simplified Arabic"/>
          <w:color w:val="000000" w:themeColor="text1"/>
          <w:sz w:val="28"/>
          <w:szCs w:val="28"/>
          <w:rtl/>
        </w:rPr>
        <w:t>للمقارنات البعدية: لتحديد اتجاه الفروق ولصالح أي فئة في حالة وجود دلالة إحصائية في تحليل التباين الأحادي</w:t>
      </w:r>
      <w:r w:rsidRPr="00E04E1C">
        <w:rPr>
          <w:rFonts w:ascii="Simplified Arabic" w:eastAsiaTheme="majorEastAsia" w:hAnsi="Simplified Arabic" w:cs="Simplified Arabic"/>
          <w:color w:val="000000" w:themeColor="text1"/>
          <w:sz w:val="28"/>
          <w:szCs w:val="28"/>
        </w:rPr>
        <w:t>.</w:t>
      </w:r>
    </w:p>
    <w:p w14:paraId="2D2F4AAA" w14:textId="4D2DD49F" w:rsidR="00E04E1C" w:rsidRPr="00E04E1C" w:rsidRDefault="00E04E1C" w:rsidP="00E04E1C">
      <w:pPr>
        <w:jc w:val="both"/>
        <w:outlineLvl w:val="1"/>
        <w:rPr>
          <w:rFonts w:ascii="Simplified Arabic" w:eastAsiaTheme="majorEastAsia" w:hAnsi="Simplified Arabic" w:cs="Simplified Arabic"/>
          <w:b/>
          <w:bCs/>
          <w:color w:val="000000" w:themeColor="text1"/>
          <w:sz w:val="36"/>
          <w:szCs w:val="36"/>
          <w:rtl/>
        </w:rPr>
      </w:pPr>
      <w:bookmarkStart w:id="17" w:name="_Toc234537601"/>
      <w:r w:rsidRPr="00E04E1C">
        <w:rPr>
          <w:rFonts w:ascii="Simplified Arabic" w:eastAsiaTheme="majorEastAsia" w:hAnsi="Simplified Arabic" w:cs="Simplified Arabic" w:hint="cs"/>
          <w:b/>
          <w:bCs/>
          <w:color w:val="000000" w:themeColor="text1"/>
          <w:sz w:val="36"/>
          <w:szCs w:val="36"/>
          <w:rtl/>
        </w:rPr>
        <w:t xml:space="preserve">15.1 </w:t>
      </w:r>
      <w:r w:rsidRPr="00E04E1C">
        <w:rPr>
          <w:rFonts w:ascii="Simplified Arabic" w:eastAsiaTheme="majorEastAsia" w:hAnsi="Simplified Arabic" w:cs="Simplified Arabic"/>
          <w:b/>
          <w:bCs/>
          <w:color w:val="000000" w:themeColor="text1"/>
          <w:sz w:val="36"/>
          <w:szCs w:val="36"/>
          <w:rtl/>
        </w:rPr>
        <w:t>حدود الدراسة</w:t>
      </w:r>
      <w:bookmarkEnd w:id="17"/>
    </w:p>
    <w:p w14:paraId="0A501921" w14:textId="54D15B28" w:rsidR="00E04E1C" w:rsidRPr="00E04E1C" w:rsidRDefault="00E04E1C" w:rsidP="00B72FBD">
      <w:pPr>
        <w:pStyle w:val="ListParagraph"/>
        <w:numPr>
          <w:ilvl w:val="0"/>
          <w:numId w:val="9"/>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الحدود الموضوعية: ستقتصر الدراسة على دراسة أثر استخدام تقنيات الذكاء الاصطناعي في إدارة المخاطر الصحية بأبعاده الأربعة (أنظمة الإنذار والتنبؤ المبكر بالمخاطر، وأنظمة دعم القرار السريري الذكية، وأنظمة المراقبة اللحظية وتحليل البيانات الصحية، وأنظمة الكشف التلقائي عن الأخطاء الطبية والإبلاغ عنها) على سلامة المرضى</w:t>
      </w:r>
      <w:r w:rsidRPr="00E04E1C">
        <w:rPr>
          <w:rFonts w:ascii="Simplified Arabic" w:eastAsiaTheme="majorEastAsia" w:hAnsi="Simplified Arabic" w:cs="Simplified Arabic"/>
          <w:color w:val="000000" w:themeColor="text1"/>
          <w:sz w:val="28"/>
          <w:szCs w:val="28"/>
        </w:rPr>
        <w:t>.</w:t>
      </w:r>
    </w:p>
    <w:p w14:paraId="3DE0B166" w14:textId="32C466E1" w:rsidR="00E04E1C" w:rsidRPr="00E04E1C" w:rsidRDefault="00E04E1C" w:rsidP="00B72FBD">
      <w:pPr>
        <w:pStyle w:val="ListParagraph"/>
        <w:numPr>
          <w:ilvl w:val="0"/>
          <w:numId w:val="9"/>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الحدود المكانية: ستُطبَّق الدراسة على المستشفيات الحكومية الكبرى في المملكة العربية السعودية الواقعة في المدن الرئيسة (الرياض، وجدة، والدمام، ومكة المكرمة)</w:t>
      </w:r>
      <w:r w:rsidRPr="00E04E1C">
        <w:rPr>
          <w:rFonts w:ascii="Simplified Arabic" w:eastAsiaTheme="majorEastAsia" w:hAnsi="Simplified Arabic" w:cs="Simplified Arabic"/>
          <w:color w:val="000000" w:themeColor="text1"/>
          <w:sz w:val="28"/>
          <w:szCs w:val="28"/>
        </w:rPr>
        <w:t>.</w:t>
      </w:r>
    </w:p>
    <w:p w14:paraId="7002688C" w14:textId="3A3F0417" w:rsidR="00E04E1C" w:rsidRPr="00E04E1C" w:rsidRDefault="00E04E1C" w:rsidP="00B72FBD">
      <w:pPr>
        <w:pStyle w:val="ListParagraph"/>
        <w:numPr>
          <w:ilvl w:val="0"/>
          <w:numId w:val="9"/>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الحدود الزمانية: سوف تُجرى الدراسة الميدانية خلال الفصل الدراسي الثاني من العام الجامعي 1447هـ / 2026م</w:t>
      </w:r>
      <w:r w:rsidRPr="00E04E1C">
        <w:rPr>
          <w:rFonts w:ascii="Simplified Arabic" w:eastAsiaTheme="majorEastAsia" w:hAnsi="Simplified Arabic" w:cs="Simplified Arabic"/>
          <w:color w:val="000000" w:themeColor="text1"/>
          <w:sz w:val="28"/>
          <w:szCs w:val="28"/>
        </w:rPr>
        <w:t>.</w:t>
      </w:r>
    </w:p>
    <w:p w14:paraId="1B48B3E3" w14:textId="467235BE" w:rsidR="00E04E1C" w:rsidRPr="00E04E1C" w:rsidRDefault="00E04E1C" w:rsidP="00B72FBD">
      <w:pPr>
        <w:pStyle w:val="ListParagraph"/>
        <w:numPr>
          <w:ilvl w:val="0"/>
          <w:numId w:val="9"/>
        </w:numPr>
        <w:ind w:left="424"/>
        <w:jc w:val="both"/>
        <w:rPr>
          <w:rFonts w:ascii="Simplified Arabic" w:eastAsiaTheme="majorEastAsia" w:hAnsi="Simplified Arabic" w:cs="Simplified Arabic"/>
          <w:color w:val="000000" w:themeColor="text1"/>
          <w:sz w:val="28"/>
          <w:szCs w:val="28"/>
          <w:rtl/>
        </w:rPr>
      </w:pPr>
      <w:r w:rsidRPr="00E04E1C">
        <w:rPr>
          <w:rFonts w:ascii="Simplified Arabic" w:eastAsiaTheme="majorEastAsia" w:hAnsi="Simplified Arabic" w:cs="Simplified Arabic"/>
          <w:color w:val="000000" w:themeColor="text1"/>
          <w:sz w:val="28"/>
          <w:szCs w:val="28"/>
          <w:rtl/>
        </w:rPr>
        <w:t>الحدود البشرية: ستقتصر الدراسة على العاملين في المستشفيات المستهدفة من أطباء وممرضين وفنيين صحيين وإداريين في أقسام إدارة المخاطر والجودة وسلامة المرضى وتقنية المعلومات الصحية</w:t>
      </w:r>
      <w:r w:rsidRPr="00E04E1C">
        <w:rPr>
          <w:rFonts w:ascii="Simplified Arabic" w:eastAsiaTheme="majorEastAsia" w:hAnsi="Simplified Arabic" w:cs="Simplified Arabic"/>
          <w:color w:val="000000" w:themeColor="text1"/>
          <w:sz w:val="28"/>
          <w:szCs w:val="28"/>
        </w:rPr>
        <w:t>.</w:t>
      </w:r>
      <w:r w:rsidRPr="00E04E1C">
        <w:rPr>
          <w:rFonts w:ascii="Simplified Arabic" w:eastAsiaTheme="majorEastAsia" w:hAnsi="Simplified Arabic" w:cs="Simplified Arabic"/>
          <w:color w:val="000000" w:themeColor="text1"/>
          <w:sz w:val="28"/>
          <w:szCs w:val="28"/>
          <w:rtl/>
        </w:rPr>
        <w:br w:type="page"/>
      </w:r>
    </w:p>
    <w:p w14:paraId="0B1390C5" w14:textId="5F6AB258" w:rsidR="005750C3" w:rsidRPr="00AC2418" w:rsidRDefault="00AF6B87" w:rsidP="00AC2418">
      <w:pPr>
        <w:ind w:firstLine="425"/>
        <w:jc w:val="center"/>
        <w:outlineLvl w:val="0"/>
        <w:rPr>
          <w:rFonts w:ascii="Simplified Arabic" w:eastAsia="Times New Roman" w:hAnsi="Simplified Arabic" w:cs="Simplified Arabic"/>
          <w:b/>
          <w:bCs/>
          <w:color w:val="000000" w:themeColor="text1"/>
          <w:kern w:val="0"/>
          <w:sz w:val="40"/>
          <w:szCs w:val="40"/>
          <w14:ligatures w14:val="none"/>
        </w:rPr>
      </w:pPr>
      <w:bookmarkStart w:id="18" w:name="_Toc234537602"/>
      <w:r w:rsidRPr="00AC2418">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5750C3" w:rsidRPr="00AC2418">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
      <w:bookmarkEnd w:id="18"/>
    </w:p>
    <w:p w14:paraId="08A59329" w14:textId="4C6B6F1D" w:rsidR="005750C3" w:rsidRPr="00AC2418" w:rsidRDefault="005750C3" w:rsidP="00AF6B87">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19" w:name="_Toc234537603"/>
      <w:r w:rsidRPr="00AC2418">
        <w:rPr>
          <w:rFonts w:ascii="Simplified Arabic" w:eastAsia="Times New Roman" w:hAnsi="Simplified Arabic" w:cs="Simplified Arabic"/>
          <w:b/>
          <w:bCs/>
          <w:color w:val="000000" w:themeColor="text1"/>
          <w:kern w:val="0"/>
          <w:sz w:val="36"/>
          <w:szCs w:val="36"/>
          <w:rtl/>
          <w14:ligatures w14:val="none"/>
        </w:rPr>
        <w:t>المبحث الأول: تقنيات الذكاء الاصطناعي في إدارة المخاطر الصحية</w:t>
      </w:r>
      <w:bookmarkEnd w:id="19"/>
    </w:p>
    <w:p w14:paraId="530B4B35" w14:textId="1CDCDE06"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lang w:bidi="ar-EG"/>
          <w14:ligatures w14:val="none"/>
        </w:rPr>
      </w:pPr>
      <w:bookmarkStart w:id="20" w:name="_Toc234537604"/>
      <w:r w:rsidRPr="00AC2418">
        <w:rPr>
          <w:rFonts w:ascii="Simplified Arabic" w:eastAsia="Times New Roman" w:hAnsi="Simplified Arabic" w:cs="Simplified Arabic" w:hint="cs"/>
          <w:b/>
          <w:bCs/>
          <w:color w:val="000000" w:themeColor="text1"/>
          <w:kern w:val="0"/>
          <w:sz w:val="32"/>
          <w:szCs w:val="32"/>
          <w:rtl/>
          <w14:ligatures w14:val="none"/>
        </w:rPr>
        <w:t xml:space="preserve">1.1.2 </w:t>
      </w:r>
      <w:r w:rsidR="005750C3" w:rsidRPr="00AC2418">
        <w:rPr>
          <w:rFonts w:ascii="Simplified Arabic" w:eastAsia="Times New Roman" w:hAnsi="Simplified Arabic" w:cs="Simplified Arabic"/>
          <w:b/>
          <w:bCs/>
          <w:color w:val="000000" w:themeColor="text1"/>
          <w:kern w:val="0"/>
          <w:sz w:val="32"/>
          <w:szCs w:val="32"/>
          <w:rtl/>
          <w14:ligatures w14:val="none"/>
        </w:rPr>
        <w:t>تمهيد</w:t>
      </w:r>
      <w:bookmarkEnd w:id="20"/>
    </w:p>
    <w:p w14:paraId="73511CBF"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يشهد القطاع الصحي تحولات جوهرية متسارعة تفرضها الثورة الرقمية الرابعة، إذ باتت المؤسسات الصحية تواجه ضغوطاً متزايدة تتصل بارتفاع كلفة الخدمات، وتنامي توقعات المستفيدين، وتشعّب المخاطر السريرية والتشغيلية. وفي ظل هذا الواقع، برزت تقنيات الذكاء الاصطناعي بوصفها مدخلاً استراتيجياً لإعادة هندسة العمليات الصحية على نحو يعزز القدرة على استباق المخاطر وإدارتها بكفاءة أعلى. فقد انتقل الحديث عن الذكاء الاصطناعي في البيئة الصحية من كونه أداة مساندة على هامش الممارسة الطبية، إلى كونه ركيزة محورية في منظومة الحوكمة السريرية وإدارة الجودة وسلامة المرضى، بحيث أصبح جزءاً أصيلاً من البنية التحتية الرقمية للمستشفيات الحديثة</w:t>
      </w:r>
      <w:r w:rsidRPr="00AC2418">
        <w:rPr>
          <w:rFonts w:ascii="Simplified Arabic" w:eastAsia="Times New Roman" w:hAnsi="Simplified Arabic" w:cs="Simplified Arabic"/>
          <w:color w:val="000000" w:themeColor="text1"/>
          <w:kern w:val="0"/>
          <w:sz w:val="28"/>
          <w:szCs w:val="28"/>
          <w14:ligatures w14:val="none"/>
        </w:rPr>
        <w:t>.</w:t>
      </w:r>
    </w:p>
    <w:p w14:paraId="09C8CC31"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ويكتسب هذا المتغير أهمية مضاعفة حين يُنظر إليه من زاوية إدارة المخاطر الصحية، إذ يُتيح توظيف الخوارزميات الذكية وتقنيات التعلم الآلي وشبكات التحليل التنبؤي فرصة حقيقية للانتقال من نموذج الاستجابة الارتجاعية للحوادث إلى نموذج استباقي يقوم على التنبؤ والوقاية. وقد أشارت الأدبيات الإدارية والصحية الحديثة إلى أن هذا التحول لا يقتصر على الجانب التقني، بل يمتد ليطال الثقافة التنظيمية وأنماط اتخاذ القرار وهياكل المسؤولية المهنية داخل المستشفيات</w:t>
      </w:r>
      <w:r w:rsidRPr="00AC2418">
        <w:rPr>
          <w:rFonts w:ascii="Simplified Arabic" w:eastAsia="Times New Roman" w:hAnsi="Simplified Arabic" w:cs="Simplified Arabic"/>
          <w:color w:val="000000" w:themeColor="text1"/>
          <w:kern w:val="0"/>
          <w:sz w:val="28"/>
          <w:szCs w:val="28"/>
          <w14:ligatures w14:val="none"/>
        </w:rPr>
        <w:t xml:space="preserve"> (Ferrara et al., 2024). </w:t>
      </w:r>
      <w:r w:rsidRPr="00AC2418">
        <w:rPr>
          <w:rFonts w:ascii="Simplified Arabic" w:eastAsia="Times New Roman" w:hAnsi="Simplified Arabic" w:cs="Simplified Arabic"/>
          <w:color w:val="000000" w:themeColor="text1"/>
          <w:kern w:val="0"/>
          <w:sz w:val="28"/>
          <w:szCs w:val="28"/>
          <w:rtl/>
          <w14:ligatures w14:val="none"/>
        </w:rPr>
        <w:t>ومن هنا، يسعى هذا المبحث إلى تفكيك المتغير المستقل عبر تناول مفهومه، وأهميته، وأهدافه، وأبعاده الأربعة، ثم استعراض أطر تطبيقية مرتبطة به</w:t>
      </w:r>
      <w:r w:rsidRPr="00AC2418">
        <w:rPr>
          <w:rFonts w:ascii="Simplified Arabic" w:eastAsia="Times New Roman" w:hAnsi="Simplified Arabic" w:cs="Simplified Arabic"/>
          <w:color w:val="000000" w:themeColor="text1"/>
          <w:kern w:val="0"/>
          <w:sz w:val="28"/>
          <w:szCs w:val="28"/>
          <w14:ligatures w14:val="none"/>
        </w:rPr>
        <w:t>.</w:t>
      </w:r>
    </w:p>
    <w:p w14:paraId="774E3091" w14:textId="7E8B088C"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34537605"/>
      <w:r w:rsidRPr="00AC2418">
        <w:rPr>
          <w:rFonts w:ascii="Simplified Arabic" w:eastAsia="Times New Roman" w:hAnsi="Simplified Arabic" w:cs="Simplified Arabic" w:hint="cs"/>
          <w:b/>
          <w:bCs/>
          <w:color w:val="000000" w:themeColor="text1"/>
          <w:kern w:val="0"/>
          <w:sz w:val="32"/>
          <w:szCs w:val="32"/>
          <w:rtl/>
          <w14:ligatures w14:val="none"/>
        </w:rPr>
        <w:t>2.1.2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مفهوم تقنيات الذكاء الاصطناعي في إدارة المخاطر الصحية</w:t>
      </w:r>
      <w:bookmarkEnd w:id="21"/>
    </w:p>
    <w:p w14:paraId="0DAA106F"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 xml:space="preserve">تتعدد التعريفات التي قدّمها الباحثون لتقنيات الذكاء الاصطناعي في السياق الصحي، وتتباين وفق الزاوية التي ينطلق منها كل باحث؛ فبينما يُركّز بعضهم على الجانب الوظيفي المتصل بمعالجة البيانات، ينصرف بعضهم الآخر إلى الجانب الإداري والتنظيمي المرتبط بتوظيف هذه التقنيات في ضبط المخاطر. وقد عرّفها حامد (2025) بوصفها منظومة من الأنظمة الحاسوبية القادرة على محاكاة العمليات الذهنية </w:t>
      </w:r>
      <w:r w:rsidRPr="00AC2418">
        <w:rPr>
          <w:rFonts w:ascii="Simplified Arabic" w:eastAsia="Times New Roman" w:hAnsi="Simplified Arabic" w:cs="Simplified Arabic"/>
          <w:color w:val="000000" w:themeColor="text1"/>
          <w:kern w:val="0"/>
          <w:sz w:val="28"/>
          <w:szCs w:val="28"/>
          <w:rtl/>
          <w14:ligatures w14:val="none"/>
        </w:rPr>
        <w:lastRenderedPageBreak/>
        <w:t>للإنسان في التحليل والاستدلال واتخاذ القرار، بحيث تُتيح للعاملين في القطاعات المهنية معالجة كميات ضخمة من البيانات بسرعة ودقة يصعب على العنصر البشري تحقيقها منفرداً</w:t>
      </w:r>
      <w:r w:rsidRPr="00AC2418">
        <w:rPr>
          <w:rFonts w:ascii="Simplified Arabic" w:eastAsia="Times New Roman" w:hAnsi="Simplified Arabic" w:cs="Simplified Arabic"/>
          <w:color w:val="000000" w:themeColor="text1"/>
          <w:kern w:val="0"/>
          <w:sz w:val="28"/>
          <w:szCs w:val="28"/>
          <w14:ligatures w14:val="none"/>
        </w:rPr>
        <w:t>.</w:t>
      </w:r>
    </w:p>
    <w:p w14:paraId="50451936"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ويُقدّم حمودة والعقل (2022) تعريفاً أكثر ارتباطاً بالبيئة التنظيمية، إذ يريان أن تقنيات الذكاء الاصطناعي تمثّل مجموعة متكاملة من التطبيقات والخوارزميات التي تُمكّن المؤسسة من أتمتة المهام المعقدة وتحويلها إلى عمليات ذكية قادرة على التعلم الذاتي والتكيف مع المستجدات، بما يخدم الأهداف الاستراتيجية للمنظمة. ومن زاوية قريبة، يذهب أزيبي (2024) إلى أن الذكاء الاصطناعي في القطاع الصحي هو منظومة تقنية متقدمة تجمع بين التعلم الآلي والتعلم العميق ومعالجة اللغة الطبيعية، وتوظَّف لدعم مقدمي الخدمة الصحية في مراحل التشخيص والعلاج والمتابعة، مما يُسهم في إعادة تشكيل نموذج تقديم الرعاية</w:t>
      </w:r>
      <w:r w:rsidRPr="00AC2418">
        <w:rPr>
          <w:rFonts w:ascii="Simplified Arabic" w:eastAsia="Times New Roman" w:hAnsi="Simplified Arabic" w:cs="Simplified Arabic"/>
          <w:color w:val="000000" w:themeColor="text1"/>
          <w:kern w:val="0"/>
          <w:sz w:val="28"/>
          <w:szCs w:val="28"/>
          <w14:ligatures w14:val="none"/>
        </w:rPr>
        <w:t>.</w:t>
      </w:r>
    </w:p>
    <w:p w14:paraId="05E510E0"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منظور ينحاز إلى إدارة المخاطر، يُعرّف</w:t>
      </w:r>
      <w:r w:rsidRPr="00AC2418">
        <w:rPr>
          <w:rFonts w:ascii="Simplified Arabic" w:eastAsia="Times New Roman" w:hAnsi="Simplified Arabic" w:cs="Simplified Arabic"/>
          <w:color w:val="000000" w:themeColor="text1"/>
          <w:kern w:val="0"/>
          <w:sz w:val="28"/>
          <w:szCs w:val="28"/>
          <w14:ligatures w14:val="none"/>
        </w:rPr>
        <w:t xml:space="preserve"> Darwiesh et al. (2022) </w:t>
      </w:r>
      <w:r w:rsidRPr="00AC2418">
        <w:rPr>
          <w:rFonts w:ascii="Simplified Arabic" w:eastAsia="Times New Roman" w:hAnsi="Simplified Arabic" w:cs="Simplified Arabic"/>
          <w:color w:val="000000" w:themeColor="text1"/>
          <w:kern w:val="0"/>
          <w:sz w:val="28"/>
          <w:szCs w:val="28"/>
          <w:rtl/>
          <w14:ligatures w14:val="none"/>
        </w:rPr>
        <w:t>تقنيات الذكاء الاصطناعي في المؤسسات الصحية بأنها إطار نمذجي يعتمد على معالجة البيانات الضخمة وتوليد سيناريوهات تنبؤية للمخاطر المحتملة، بحيث تُتيح لمتخذي القرار رؤية استباقية للتهديدات السريرية والتشغيلية قبل تحوّلها إلى أحداث ضارة. وفي السياق ذاته، يُعرّفها</w:t>
      </w:r>
      <w:r w:rsidRPr="00AC2418">
        <w:rPr>
          <w:rFonts w:ascii="Simplified Arabic" w:eastAsia="Times New Roman" w:hAnsi="Simplified Arabic" w:cs="Simplified Arabic"/>
          <w:color w:val="000000" w:themeColor="text1"/>
          <w:kern w:val="0"/>
          <w:sz w:val="28"/>
          <w:szCs w:val="28"/>
          <w14:ligatures w14:val="none"/>
        </w:rPr>
        <w:t xml:space="preserve"> Guerra (2024) </w:t>
      </w:r>
      <w:r w:rsidRPr="00AC2418">
        <w:rPr>
          <w:rFonts w:ascii="Simplified Arabic" w:eastAsia="Times New Roman" w:hAnsi="Simplified Arabic" w:cs="Simplified Arabic"/>
          <w:color w:val="000000" w:themeColor="text1"/>
          <w:kern w:val="0"/>
          <w:sz w:val="28"/>
          <w:szCs w:val="28"/>
          <w:rtl/>
          <w14:ligatures w14:val="none"/>
        </w:rPr>
        <w:t>بأنها منظومة أدوات ذكية تُدمج ضمن دورة إدارة المخاطر الاستشفائية بهدف تحسين قدرات المؤسسة على التعرف على المخاطر وتقييمها ومعالجتها ومراقبتها بصورة أكثر شمولاً ودقة</w:t>
      </w:r>
      <w:r w:rsidRPr="00AC2418">
        <w:rPr>
          <w:rFonts w:ascii="Simplified Arabic" w:eastAsia="Times New Roman" w:hAnsi="Simplified Arabic" w:cs="Simplified Arabic"/>
          <w:color w:val="000000" w:themeColor="text1"/>
          <w:kern w:val="0"/>
          <w:sz w:val="28"/>
          <w:szCs w:val="28"/>
          <w14:ligatures w14:val="none"/>
        </w:rPr>
        <w:t>.</w:t>
      </w:r>
    </w:p>
    <w:p w14:paraId="3FC51633"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ويُوسّع</w:t>
      </w:r>
      <w:r w:rsidRPr="00AC2418">
        <w:rPr>
          <w:rFonts w:ascii="Simplified Arabic" w:eastAsia="Times New Roman" w:hAnsi="Simplified Arabic" w:cs="Simplified Arabic"/>
          <w:color w:val="000000" w:themeColor="text1"/>
          <w:kern w:val="0"/>
          <w:sz w:val="28"/>
          <w:szCs w:val="28"/>
          <w14:ligatures w14:val="none"/>
        </w:rPr>
        <w:t xml:space="preserve"> De Micco et al. (2025) </w:t>
      </w:r>
      <w:r w:rsidRPr="00AC2418">
        <w:rPr>
          <w:rFonts w:ascii="Simplified Arabic" w:eastAsia="Times New Roman" w:hAnsi="Simplified Arabic" w:cs="Simplified Arabic"/>
          <w:color w:val="000000" w:themeColor="text1"/>
          <w:kern w:val="0"/>
          <w:sz w:val="28"/>
          <w:szCs w:val="28"/>
          <w:rtl/>
          <w14:ligatures w14:val="none"/>
        </w:rPr>
        <w:t>دائرة المفهوم حين يصفون الذكاء الاصطناعي بأنه تحوّل معرفي شامل يُعيد تعريف علاقة العنصر البشري بالتكنولوجيا داخل بيئة الرعاية الصحية، إذ لا يقتصر دوره على الأتمتة، بل يمتد إلى إعادة هيكلة مسارات العمل السريري وتوليد معرفة إكلينيكية جديدة تُسهم في تعزيز سلامة المرضى. ويُكمل</w:t>
      </w:r>
      <w:r w:rsidRPr="00AC2418">
        <w:rPr>
          <w:rFonts w:ascii="Simplified Arabic" w:eastAsia="Times New Roman" w:hAnsi="Simplified Arabic" w:cs="Simplified Arabic"/>
          <w:color w:val="000000" w:themeColor="text1"/>
          <w:kern w:val="0"/>
          <w:sz w:val="28"/>
          <w:szCs w:val="28"/>
          <w14:ligatures w14:val="none"/>
        </w:rPr>
        <w:t xml:space="preserve"> Nawawi et al. (2025) </w:t>
      </w:r>
      <w:r w:rsidRPr="00AC2418">
        <w:rPr>
          <w:rFonts w:ascii="Simplified Arabic" w:eastAsia="Times New Roman" w:hAnsi="Simplified Arabic" w:cs="Simplified Arabic"/>
          <w:color w:val="000000" w:themeColor="text1"/>
          <w:kern w:val="0"/>
          <w:sz w:val="28"/>
          <w:szCs w:val="28"/>
          <w:rtl/>
          <w14:ligatures w14:val="none"/>
        </w:rPr>
        <w:t>هذا التصور بالإشارة إلى أن الذكاء الاصطناعي في السياق الصحي يمثّل تقاطعاً بين تحسين الجودة وإدارة المخاطر، إذ يُشكّل رافداً معرفياً وتقنياً يدعم مسارات التحسين المستمر عبر التحليل التنبؤي والتوصيات القائمة على الأدلة</w:t>
      </w:r>
      <w:r w:rsidRPr="00AC2418">
        <w:rPr>
          <w:rFonts w:ascii="Simplified Arabic" w:eastAsia="Times New Roman" w:hAnsi="Simplified Arabic" w:cs="Simplified Arabic"/>
          <w:color w:val="000000" w:themeColor="text1"/>
          <w:kern w:val="0"/>
          <w:sz w:val="28"/>
          <w:szCs w:val="28"/>
          <w14:ligatures w14:val="none"/>
        </w:rPr>
        <w:t>.</w:t>
      </w:r>
    </w:p>
    <w:p w14:paraId="06F17E8B" w14:textId="3B214419"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 xml:space="preserve">ويتضح مما سبق أن التعريفات، على تنوعها، تتقاطع في التأكيد على ثلاثة عناصر جوهرية: القدرة على محاكاة الذكاء البشري، والاعتماد على البيانات الضخمة، وتوليد قرارات أو توصيات ذات قيمة عملية. غير أن  الباحث  ترى أن تقنيات الذكاء الاصطناعي في إدارة المخاطر الصحية يمكن تعريفها إجرائياً بأنها </w:t>
      </w:r>
      <w:r w:rsidRPr="00AC2418">
        <w:rPr>
          <w:rFonts w:ascii="Simplified Arabic" w:eastAsia="Times New Roman" w:hAnsi="Simplified Arabic" w:cs="Simplified Arabic"/>
          <w:color w:val="000000" w:themeColor="text1"/>
          <w:kern w:val="0"/>
          <w:sz w:val="28"/>
          <w:szCs w:val="28"/>
          <w:rtl/>
          <w14:ligatures w14:val="none"/>
        </w:rPr>
        <w:lastRenderedPageBreak/>
        <w:t>منظومة متكاملة من الخوارزميات الذكية وأنظمة التعلم الآلي المدمجة في البنية التشغيلية للمستشفى، والتي تُوظَّف بصورة استباقية للتنبؤ بالمخاطر السريرية والإدارية، ودعم القرار التشخيصي والعلاجي، ومراقبة المؤشرات الحيوية آنياً، والكشف التلقائي عن الأخطاء الطبية، بحيث تُشكّل رافداً معرفياً وتقنياً يُعزز قدرة المؤسسة الصحية على حماية المرضى وتحسين جودة الخدمة المقدمة</w:t>
      </w:r>
      <w:r w:rsidRPr="00AC2418">
        <w:rPr>
          <w:rFonts w:ascii="Simplified Arabic" w:eastAsia="Times New Roman" w:hAnsi="Simplified Arabic" w:cs="Simplified Arabic"/>
          <w:color w:val="000000" w:themeColor="text1"/>
          <w:kern w:val="0"/>
          <w:sz w:val="28"/>
          <w:szCs w:val="28"/>
          <w14:ligatures w14:val="none"/>
        </w:rPr>
        <w:t>.</w:t>
      </w:r>
    </w:p>
    <w:p w14:paraId="79905011" w14:textId="52655C36"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2" w:name="_Toc234537606"/>
      <w:r w:rsidRPr="00AC2418">
        <w:rPr>
          <w:rFonts w:ascii="Simplified Arabic" w:eastAsia="Times New Roman" w:hAnsi="Simplified Arabic" w:cs="Simplified Arabic" w:hint="cs"/>
          <w:b/>
          <w:bCs/>
          <w:color w:val="000000" w:themeColor="text1"/>
          <w:kern w:val="0"/>
          <w:sz w:val="32"/>
          <w:szCs w:val="32"/>
          <w:rtl/>
          <w14:ligatures w14:val="none"/>
        </w:rPr>
        <w:t>3.1.2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أهمية تقنيات الذكاء الاصطناعي في إدارة المخاطر الصحية</w:t>
      </w:r>
      <w:bookmarkEnd w:id="22"/>
    </w:p>
    <w:p w14:paraId="305C9782"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تتجلّى أهمية توظيف تقنيات الذكاء الاصطناعي في إدارة المخاطر الصحية في كونها استجابة عملية للتحديات المتصاعدة التي تواجه المؤسسات الصحية، والتي لم تعد الأدوات الإدارية التقليدية قادرة على التعامل معها بكفاءة. فالتوسع في حجم البيانات السريرية، وتنامي تعقيد الحالات المرضية، وتشابك مسارات الرعاية، جميعها عوامل جعلت من الحلول الذكية ضرورة استراتيجية لا خياراً ترفياً. ومن هنا، فإن الحديث عن أهمية هذه التقنيات لا ينفصل عن الحديث عن استدامة القطاع الصحي وقدرته على أداء وظيفته الاجتماعية</w:t>
      </w:r>
      <w:r w:rsidRPr="00AC2418">
        <w:rPr>
          <w:rFonts w:ascii="Simplified Arabic" w:eastAsia="Times New Roman" w:hAnsi="Simplified Arabic" w:cs="Simplified Arabic"/>
          <w:color w:val="000000" w:themeColor="text1"/>
          <w:kern w:val="0"/>
          <w:sz w:val="28"/>
          <w:szCs w:val="28"/>
          <w14:ligatures w14:val="none"/>
        </w:rPr>
        <w:t>.</w:t>
      </w:r>
    </w:p>
    <w:p w14:paraId="6B2D2F77"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ويُشير هني وشاشوة (2026) إلى أن أهمية توظيف الذكاء الاصطناعي في البيئة الصحية تنبثق من جملة اعتبارات، أبرزها: أولاً، إسهامه في رفع كفاءة العمليات التشخيصية والعلاجية من خلال معالجة البيانات بسرعة تفوق القدرات البشرية؛ ثانياً، تعزيز قدرة المؤسسة على التكيف مع البيئة الديناميكية للرعاية الصحية عبر توفير أدوات تحليلية مرنة؛ ثالثاً، دعم منظومة الجودة الشاملة من خلال ربط مؤشرات الأداء بالمخرجات السريرية المباشرة؛ رابعاً، الإسهام في ترشيد استخدام الموارد الصحية النادرة وتحقيق الاستدامة المالية للمؤسسة</w:t>
      </w:r>
      <w:r w:rsidRPr="00AC2418">
        <w:rPr>
          <w:rFonts w:ascii="Simplified Arabic" w:eastAsia="Times New Roman" w:hAnsi="Simplified Arabic" w:cs="Simplified Arabic"/>
          <w:color w:val="000000" w:themeColor="text1"/>
          <w:kern w:val="0"/>
          <w:sz w:val="28"/>
          <w:szCs w:val="28"/>
          <w14:ligatures w14:val="none"/>
        </w:rPr>
        <w:t>.</w:t>
      </w:r>
    </w:p>
    <w:p w14:paraId="3F82CEE2"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ويرى شريف (2024) أن الأهمية تتخذ بُعداً مغايراً حين يُنظر إليها من زاوية جودة الخدمة الصحية، إذ إن الذكاء الاصطناعي يُتيح تقديم رعاية أكثر تخصيصاً وملاءمة لاحتياجات كل مريض على حدة، مما يُعزز مبدأ الرعاية المتمحورة حول المريض، ويرفع من مستوى الرضا لدى المستفيدين، ويُقلّص الفجوة بين الخدمة المقدمة والخدمة المتوقعة. ويُضيف هذا الاتجاه بُعداً إنسانياً للأهمية التقنية، ويربطها بجوهر رسالة القطاع الصحي</w:t>
      </w:r>
      <w:r w:rsidRPr="00AC2418">
        <w:rPr>
          <w:rFonts w:ascii="Simplified Arabic" w:eastAsia="Times New Roman" w:hAnsi="Simplified Arabic" w:cs="Simplified Arabic"/>
          <w:color w:val="000000" w:themeColor="text1"/>
          <w:kern w:val="0"/>
          <w:sz w:val="28"/>
          <w:szCs w:val="28"/>
          <w14:ligatures w14:val="none"/>
        </w:rPr>
        <w:t>.</w:t>
      </w:r>
    </w:p>
    <w:p w14:paraId="18478840"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منظور إدارة المخاطر تحديداً، يُبرز</w:t>
      </w:r>
      <w:r w:rsidRPr="00AC2418">
        <w:rPr>
          <w:rFonts w:ascii="Simplified Arabic" w:eastAsia="Times New Roman" w:hAnsi="Simplified Arabic" w:cs="Simplified Arabic"/>
          <w:color w:val="000000" w:themeColor="text1"/>
          <w:kern w:val="0"/>
          <w:sz w:val="28"/>
          <w:szCs w:val="28"/>
          <w14:ligatures w14:val="none"/>
        </w:rPr>
        <w:t xml:space="preserve"> Guerra (2024) </w:t>
      </w:r>
      <w:r w:rsidRPr="00AC2418">
        <w:rPr>
          <w:rFonts w:ascii="Simplified Arabic" w:eastAsia="Times New Roman" w:hAnsi="Simplified Arabic" w:cs="Simplified Arabic"/>
          <w:color w:val="000000" w:themeColor="text1"/>
          <w:kern w:val="0"/>
          <w:sz w:val="28"/>
          <w:szCs w:val="28"/>
          <w:rtl/>
          <w14:ligatures w14:val="none"/>
        </w:rPr>
        <w:t xml:space="preserve">أن أهمية الذكاء الاصطناعي تنبع من قدرته على إعادة صياغة دورة إدارة المخاطر برمّتها؛ فبدلاً من الاعتماد على أدوات التقييم اليدوي والتقارير </w:t>
      </w:r>
      <w:r w:rsidRPr="00AC2418">
        <w:rPr>
          <w:rFonts w:ascii="Simplified Arabic" w:eastAsia="Times New Roman" w:hAnsi="Simplified Arabic" w:cs="Simplified Arabic"/>
          <w:color w:val="000000" w:themeColor="text1"/>
          <w:kern w:val="0"/>
          <w:sz w:val="28"/>
          <w:szCs w:val="28"/>
          <w:rtl/>
          <w14:ligatures w14:val="none"/>
        </w:rPr>
        <w:lastRenderedPageBreak/>
        <w:t>الدورية، تُوفّر هذه التقنيات رصداً مستمراً وتحليلاً لحظياً يُتيح تحديد المخاطر الناشئة في مراحلها الأولى، وتصنيفها وفق درجة الخطورة، وترتيب أولويات التدخل بناءً على معايير موضوعية مستمدة من البيانات ذاتها. ويُدعم هذا الطرح</w:t>
      </w:r>
      <w:r w:rsidRPr="00AC2418">
        <w:rPr>
          <w:rFonts w:ascii="Simplified Arabic" w:eastAsia="Times New Roman" w:hAnsi="Simplified Arabic" w:cs="Simplified Arabic"/>
          <w:color w:val="000000" w:themeColor="text1"/>
          <w:kern w:val="0"/>
          <w:sz w:val="28"/>
          <w:szCs w:val="28"/>
          <w14:ligatures w14:val="none"/>
        </w:rPr>
        <w:t xml:space="preserve"> Ratwani et al. (2024) </w:t>
      </w:r>
      <w:r w:rsidRPr="00AC2418">
        <w:rPr>
          <w:rFonts w:ascii="Simplified Arabic" w:eastAsia="Times New Roman" w:hAnsi="Simplified Arabic" w:cs="Simplified Arabic"/>
          <w:color w:val="000000" w:themeColor="text1"/>
          <w:kern w:val="0"/>
          <w:sz w:val="28"/>
          <w:szCs w:val="28"/>
          <w:rtl/>
          <w14:ligatures w14:val="none"/>
        </w:rPr>
        <w:t>الذين يرون أن الأهمية تكمن في تحقيق التوازن بين الابتكار والحوكمة، بحيث تُوظَّف التقنية دون أن تُفضي إلى نشوء مخاطر جديدة مرتبطة بالتحيز الخوارزمي أو ضعف الشفافية</w:t>
      </w:r>
      <w:r w:rsidRPr="00AC2418">
        <w:rPr>
          <w:rFonts w:ascii="Simplified Arabic" w:eastAsia="Times New Roman" w:hAnsi="Simplified Arabic" w:cs="Simplified Arabic"/>
          <w:color w:val="000000" w:themeColor="text1"/>
          <w:kern w:val="0"/>
          <w:sz w:val="28"/>
          <w:szCs w:val="28"/>
          <w14:ligatures w14:val="none"/>
        </w:rPr>
        <w:t>.</w:t>
      </w:r>
    </w:p>
    <w:p w14:paraId="0B42B20E"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ويُشير أبو ضيف وآخرون (2025) إلى أن أهمية الذكاء الاصطناعي تمتد إلى تحسين البيئة الداخلية للمنشآت الصحية بوصفها بيئة تشغيلية مؤثرة على سلامة المرضى، وذلك من خلال توظيف تقنيات تُسهم في إعادة تصميم مسارات العمل، وضبط تدفق الحركة داخل المستشفى، وتقليص فرص التعرض للمخاطر البيئية والوبائية. ويُضيف الهمص (2026) بُعداً نفسياً وإكلينيكياً، إذ يرى أن الأهمية تتجلى في دعم مسارات التشخيص والعلاج في المجالات الحساسة كالصحة النفسية، بما يُقلص هامش الخطأ التشخيصي ويُعزز جودة التدخل العلاجي</w:t>
      </w:r>
      <w:r w:rsidRPr="00AC2418">
        <w:rPr>
          <w:rFonts w:ascii="Simplified Arabic" w:eastAsia="Times New Roman" w:hAnsi="Simplified Arabic" w:cs="Simplified Arabic"/>
          <w:color w:val="000000" w:themeColor="text1"/>
          <w:kern w:val="0"/>
          <w:sz w:val="28"/>
          <w:szCs w:val="28"/>
          <w14:ligatures w14:val="none"/>
        </w:rPr>
        <w:t>.</w:t>
      </w:r>
    </w:p>
    <w:p w14:paraId="18B57C69" w14:textId="1C56AB39"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وتتكامل هذه الرؤى مع ما يطرحه</w:t>
      </w:r>
      <w:r w:rsidRPr="00AC2418">
        <w:rPr>
          <w:rFonts w:ascii="Simplified Arabic" w:eastAsia="Times New Roman" w:hAnsi="Simplified Arabic" w:cs="Simplified Arabic"/>
          <w:color w:val="000000" w:themeColor="text1"/>
          <w:kern w:val="0"/>
          <w:sz w:val="28"/>
          <w:szCs w:val="28"/>
          <w14:ligatures w14:val="none"/>
        </w:rPr>
        <w:t xml:space="preserve"> Al-Sofyani (2025) </w:t>
      </w:r>
      <w:r w:rsidRPr="00AC2418">
        <w:rPr>
          <w:rFonts w:ascii="Simplified Arabic" w:eastAsia="Times New Roman" w:hAnsi="Simplified Arabic" w:cs="Simplified Arabic"/>
          <w:color w:val="000000" w:themeColor="text1"/>
          <w:kern w:val="0"/>
          <w:sz w:val="28"/>
          <w:szCs w:val="28"/>
          <w:rtl/>
          <w14:ligatures w14:val="none"/>
        </w:rPr>
        <w:t>الذي يُبرز أن الأهمية تتجلى بصورة أوضح في الأقسام عالية الخطورة كوحدات العناية المركزة، حيث تُشكّل السرعة والدقة في اتخاذ القرار عاملاً فاصلاً بين الحياة والموت. وترى  الباحث  أن هذه الاعتبارات مجتمعة تُرسّخ قناعة بأن الذكاء الاصطناعي لم يعد مجرد أداة داعمة، بل تحوّل إلى بنية تحتية معرفية تُعيد تشكيل منظومة إدارة المخاطر الصحية من جذورها، وتفرض على الإدارات الصحية إعادة النظر في هياكلها التنظيمية وسياساتها التشغيلية بما يتلاءم مع هذا التحول</w:t>
      </w:r>
      <w:r w:rsidRPr="00AC2418">
        <w:rPr>
          <w:rFonts w:ascii="Simplified Arabic" w:eastAsia="Times New Roman" w:hAnsi="Simplified Arabic" w:cs="Simplified Arabic"/>
          <w:color w:val="000000" w:themeColor="text1"/>
          <w:kern w:val="0"/>
          <w:sz w:val="28"/>
          <w:szCs w:val="28"/>
          <w14:ligatures w14:val="none"/>
        </w:rPr>
        <w:t>.</w:t>
      </w:r>
    </w:p>
    <w:p w14:paraId="057279E7" w14:textId="07D0F28F"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3" w:name="_Toc234537607"/>
      <w:r w:rsidRPr="00AC2418">
        <w:rPr>
          <w:rFonts w:ascii="Simplified Arabic" w:eastAsia="Times New Roman" w:hAnsi="Simplified Arabic" w:cs="Simplified Arabic" w:hint="cs"/>
          <w:b/>
          <w:bCs/>
          <w:color w:val="000000" w:themeColor="text1"/>
          <w:kern w:val="0"/>
          <w:sz w:val="32"/>
          <w:szCs w:val="32"/>
          <w:rtl/>
          <w14:ligatures w14:val="none"/>
        </w:rPr>
        <w:t>4.1.2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أهداف توظيف تقنيات الذكاء الاصطناعي في إدارة المخاطر الصحية</w:t>
      </w:r>
      <w:bookmarkEnd w:id="23"/>
    </w:p>
    <w:p w14:paraId="13BB3769"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تتمحور أهداف توظيف الذكاء الاصطناعي في إدارة المخاطر الصحية حول جملة من الغايات المتشابكة التي تخدم رؤية المؤسسة الصحية على المستويين الاستراتيجي والتشغيلي. وقد تناول الباحثون هذه الأهداف من زوايا متعددة تعكس تنوع مداخل التطبيق. ويُحدد</w:t>
      </w:r>
      <w:r w:rsidRPr="00AC2418">
        <w:rPr>
          <w:rFonts w:ascii="Simplified Arabic" w:eastAsia="Times New Roman" w:hAnsi="Simplified Arabic" w:cs="Simplified Arabic"/>
          <w:color w:val="000000" w:themeColor="text1"/>
          <w:kern w:val="0"/>
          <w:sz w:val="28"/>
          <w:szCs w:val="28"/>
          <w14:ligatures w14:val="none"/>
        </w:rPr>
        <w:t xml:space="preserve"> Baurasien et al. (2023) </w:t>
      </w:r>
      <w:r w:rsidRPr="00AC2418">
        <w:rPr>
          <w:rFonts w:ascii="Simplified Arabic" w:eastAsia="Times New Roman" w:hAnsi="Simplified Arabic" w:cs="Simplified Arabic"/>
          <w:color w:val="000000" w:themeColor="text1"/>
          <w:kern w:val="0"/>
          <w:sz w:val="28"/>
          <w:szCs w:val="28"/>
          <w:rtl/>
          <w14:ligatures w14:val="none"/>
        </w:rPr>
        <w:t>الأهداف في ثلاث غايات محورية، تتمثل في: تقليص معدلات الأخطاء الطبية عبر أتمتة عمليات التحقق والمراجعة؛ وتحسين جودة القرارات الإكلينيكية من خلال دعمها بأدلة مستخلصة من قواعد بيانات ضخمة؛ وتعزيز ثقافة السلامة المؤسسية من خلال توفير أدوات إبلاغ ذكية وتحليل مسبِّبات جذور الأخطاء</w:t>
      </w:r>
      <w:r w:rsidRPr="00AC2418">
        <w:rPr>
          <w:rFonts w:ascii="Simplified Arabic" w:eastAsia="Times New Roman" w:hAnsi="Simplified Arabic" w:cs="Simplified Arabic"/>
          <w:color w:val="000000" w:themeColor="text1"/>
          <w:kern w:val="0"/>
          <w:sz w:val="28"/>
          <w:szCs w:val="28"/>
          <w14:ligatures w14:val="none"/>
        </w:rPr>
        <w:t>.</w:t>
      </w:r>
    </w:p>
    <w:p w14:paraId="10497C3B"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lastRenderedPageBreak/>
        <w:t>ويطرح المطيري (2023) مجموعة أخرى من الأهداف من منظور إدارة المخاطر التنظيمية، تشمل: بناء منظومة إنذار مبكر قادرة على استشعار المخاطر قبل تفاقمها؛ وتطوير آليات موضوعية لتقييم درجة الخطورة وترتيب أولويات المعالجة؛ وتمكين الإدارة العليا من اتخاذ قرارات مبنية على معطيات دقيقة بدلاً من الاجتهادات الشخصية؛ وربط أنظمة إدارة المخاطر بأنظمة الجودة الشاملة داخل المستشفى ضمن منظومة حوكمة متكاملة</w:t>
      </w:r>
      <w:r w:rsidRPr="00AC2418">
        <w:rPr>
          <w:rFonts w:ascii="Simplified Arabic" w:eastAsia="Times New Roman" w:hAnsi="Simplified Arabic" w:cs="Simplified Arabic"/>
          <w:color w:val="000000" w:themeColor="text1"/>
          <w:kern w:val="0"/>
          <w:sz w:val="28"/>
          <w:szCs w:val="28"/>
          <w14:ligatures w14:val="none"/>
        </w:rPr>
        <w:t>.</w:t>
      </w:r>
    </w:p>
    <w:p w14:paraId="6E2FA90A"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منظور مغاير، يُوجز عودة والخشالي (2025) الأهداف في محاور تتصل بالرشاقة الاستراتيجية، إذ يرون أن توظيف التقنيات الذكية يستهدف: تعزيز قدرة المؤسسة الصحية على الاستجابة السريعة للتغيرات في بيئتها؛ وبناء ميزة تنافسية مستدامة في سوق الخدمات الصحية؛ ودعم عمليات التعلم التنظيمي من خلال تحويل البيانات إلى معرفة قابلة للتوظيف. ويُكمل هذه الصورة داخل وآخرون (2022) بالإشارة إلى أهداف مرتبطة بالتخطيط الاستراتيجي، أبرزها: تحقيق التكامل بين إدارة الأزمات وإدارة المخاطر ضمن رؤية استراتيجية موحدة؛ وتمكين المؤسسة من صياغة سيناريوهات استباقية للتعامل مع الأحداث غير المتوقعة</w:t>
      </w:r>
      <w:r w:rsidRPr="00AC2418">
        <w:rPr>
          <w:rFonts w:ascii="Simplified Arabic" w:eastAsia="Times New Roman" w:hAnsi="Simplified Arabic" w:cs="Simplified Arabic"/>
          <w:color w:val="000000" w:themeColor="text1"/>
          <w:kern w:val="0"/>
          <w:sz w:val="28"/>
          <w:szCs w:val="28"/>
          <w14:ligatures w14:val="none"/>
        </w:rPr>
        <w:t>.</w:t>
      </w:r>
    </w:p>
    <w:p w14:paraId="3574DB05" w14:textId="6CAC0A54"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ويُضيف</w:t>
      </w:r>
      <w:r w:rsidRPr="00AC2418">
        <w:rPr>
          <w:rFonts w:ascii="Simplified Arabic" w:eastAsia="Times New Roman" w:hAnsi="Simplified Arabic" w:cs="Simplified Arabic"/>
          <w:color w:val="000000" w:themeColor="text1"/>
          <w:kern w:val="0"/>
          <w:sz w:val="28"/>
          <w:szCs w:val="28"/>
          <w14:ligatures w14:val="none"/>
        </w:rPr>
        <w:t xml:space="preserve"> Eldesoky et al. (2025) </w:t>
      </w:r>
      <w:r w:rsidRPr="00AC2418">
        <w:rPr>
          <w:rFonts w:ascii="Simplified Arabic" w:eastAsia="Times New Roman" w:hAnsi="Simplified Arabic" w:cs="Simplified Arabic"/>
          <w:color w:val="000000" w:themeColor="text1"/>
          <w:kern w:val="0"/>
          <w:sz w:val="28"/>
          <w:szCs w:val="28"/>
          <w:rtl/>
          <w14:ligatures w14:val="none"/>
        </w:rPr>
        <w:t>أهدافاً ترتبط بثقافة السلامة، تتمثل في تعزيز الوعي التنظيمي بأهمية الحلول الذكية، ورفع مستوى الثقة بين مقدمي الرعاية وهذه الأنظمة، وضمان توافق التطبيقات التقنية مع القيم المهنية والأخلاقية للممارسة الصحية. وترى  الباحث  أن هذه الأهداف مجتمعة تتقاطع في غاية كبرى مفادها بناء منظومة صحية استباقية ذكية قادرة على حماية المرضى وتحقيق كفاءة تشغيلية مرتفعة، ضمن إطار حوكمي يضمن الاستخدام المسؤول للتقنية</w:t>
      </w:r>
      <w:r w:rsidRPr="00AC2418">
        <w:rPr>
          <w:rFonts w:ascii="Simplified Arabic" w:eastAsia="Times New Roman" w:hAnsi="Simplified Arabic" w:cs="Simplified Arabic"/>
          <w:color w:val="000000" w:themeColor="text1"/>
          <w:kern w:val="0"/>
          <w:sz w:val="28"/>
          <w:szCs w:val="28"/>
          <w14:ligatures w14:val="none"/>
        </w:rPr>
        <w:t>.</w:t>
      </w:r>
    </w:p>
    <w:p w14:paraId="5F03285B" w14:textId="5BF5205B"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4537608"/>
      <w:r w:rsidRPr="00AC2418">
        <w:rPr>
          <w:rFonts w:ascii="Simplified Arabic" w:eastAsia="Times New Roman" w:hAnsi="Simplified Arabic" w:cs="Simplified Arabic" w:hint="cs"/>
          <w:b/>
          <w:bCs/>
          <w:color w:val="000000" w:themeColor="text1"/>
          <w:kern w:val="0"/>
          <w:sz w:val="32"/>
          <w:szCs w:val="32"/>
          <w:rtl/>
          <w14:ligatures w14:val="none"/>
        </w:rPr>
        <w:t>5.1.2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أبعاد تقنيات الذكاء الاصطناعي في إدارة المخاطر الصحية</w:t>
      </w:r>
      <w:bookmarkEnd w:id="24"/>
    </w:p>
    <w:p w14:paraId="17300739"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تم تحديد أبعاد المتغير المستقل في هذه الدراسة استناداً إلى مراجعة معمّقة لعدد من الدراسات ذات الصلة، وفي مقدمتها دراسة</w:t>
      </w:r>
      <w:r w:rsidRPr="00AC2418">
        <w:rPr>
          <w:rFonts w:ascii="Simplified Arabic" w:eastAsia="Times New Roman" w:hAnsi="Simplified Arabic" w:cs="Simplified Arabic"/>
          <w:color w:val="000000" w:themeColor="text1"/>
          <w:kern w:val="0"/>
          <w:sz w:val="28"/>
          <w:szCs w:val="28"/>
          <w14:ligatures w14:val="none"/>
        </w:rPr>
        <w:t xml:space="preserve"> Ferrara et al. (2024) </w:t>
      </w:r>
      <w:r w:rsidRPr="00AC2418">
        <w:rPr>
          <w:rFonts w:ascii="Simplified Arabic" w:eastAsia="Times New Roman" w:hAnsi="Simplified Arabic" w:cs="Simplified Arabic"/>
          <w:color w:val="000000" w:themeColor="text1"/>
          <w:kern w:val="0"/>
          <w:sz w:val="28"/>
          <w:szCs w:val="28"/>
          <w:rtl/>
          <w14:ligatures w14:val="none"/>
        </w:rPr>
        <w:t>التي قدّمت مراجعة منهجية لتطبيقات الذكاء الاصطناعي في إدارة المخاطر وسلامة المرضى، ودراسة</w:t>
      </w:r>
      <w:r w:rsidRPr="00AC2418">
        <w:rPr>
          <w:rFonts w:ascii="Simplified Arabic" w:eastAsia="Times New Roman" w:hAnsi="Simplified Arabic" w:cs="Simplified Arabic"/>
          <w:color w:val="000000" w:themeColor="text1"/>
          <w:kern w:val="0"/>
          <w:sz w:val="28"/>
          <w:szCs w:val="28"/>
          <w14:ligatures w14:val="none"/>
        </w:rPr>
        <w:t xml:space="preserve"> De Micco et al. (2025) </w:t>
      </w:r>
      <w:r w:rsidRPr="00AC2418">
        <w:rPr>
          <w:rFonts w:ascii="Simplified Arabic" w:eastAsia="Times New Roman" w:hAnsi="Simplified Arabic" w:cs="Simplified Arabic"/>
          <w:color w:val="000000" w:themeColor="text1"/>
          <w:kern w:val="0"/>
          <w:sz w:val="28"/>
          <w:szCs w:val="28"/>
          <w:rtl/>
          <w14:ligatures w14:val="none"/>
        </w:rPr>
        <w:t>التي حللت التحولات التي يُحدثها الذكاء الاصطناعي في منظومة سلامة المرضى، إضافة إلى دراسة</w:t>
      </w:r>
      <w:r w:rsidRPr="00AC2418">
        <w:rPr>
          <w:rFonts w:ascii="Simplified Arabic" w:eastAsia="Times New Roman" w:hAnsi="Simplified Arabic" w:cs="Simplified Arabic"/>
          <w:color w:val="000000" w:themeColor="text1"/>
          <w:kern w:val="0"/>
          <w:sz w:val="28"/>
          <w:szCs w:val="28"/>
          <w14:ligatures w14:val="none"/>
        </w:rPr>
        <w:t xml:space="preserve"> Darwiesh et al. (2022) </w:t>
      </w:r>
      <w:r w:rsidRPr="00AC2418">
        <w:rPr>
          <w:rFonts w:ascii="Simplified Arabic" w:eastAsia="Times New Roman" w:hAnsi="Simplified Arabic" w:cs="Simplified Arabic"/>
          <w:color w:val="000000" w:themeColor="text1"/>
          <w:kern w:val="0"/>
          <w:sz w:val="28"/>
          <w:szCs w:val="28"/>
          <w:rtl/>
          <w14:ligatures w14:val="none"/>
        </w:rPr>
        <w:t>التي طوّرت نموذجاً تنبؤياً لإدارة المخاطر في المؤسسات الصحية، ودراسة</w:t>
      </w:r>
      <w:r w:rsidRPr="00AC2418">
        <w:rPr>
          <w:rFonts w:ascii="Simplified Arabic" w:eastAsia="Times New Roman" w:hAnsi="Simplified Arabic" w:cs="Simplified Arabic"/>
          <w:color w:val="000000" w:themeColor="text1"/>
          <w:kern w:val="0"/>
          <w:sz w:val="28"/>
          <w:szCs w:val="28"/>
          <w14:ligatures w14:val="none"/>
        </w:rPr>
        <w:t xml:space="preserve"> Nawawi </w:t>
      </w:r>
      <w:r w:rsidRPr="00AC2418">
        <w:rPr>
          <w:rFonts w:ascii="Simplified Arabic" w:eastAsia="Times New Roman" w:hAnsi="Simplified Arabic" w:cs="Simplified Arabic"/>
          <w:color w:val="000000" w:themeColor="text1"/>
          <w:kern w:val="0"/>
          <w:sz w:val="28"/>
          <w:szCs w:val="28"/>
          <w14:ligatures w14:val="none"/>
        </w:rPr>
        <w:lastRenderedPageBreak/>
        <w:t xml:space="preserve">et al. (2025) </w:t>
      </w:r>
      <w:r w:rsidRPr="00AC2418">
        <w:rPr>
          <w:rFonts w:ascii="Simplified Arabic" w:eastAsia="Times New Roman" w:hAnsi="Simplified Arabic" w:cs="Simplified Arabic"/>
          <w:color w:val="000000" w:themeColor="text1"/>
          <w:kern w:val="0"/>
          <w:sz w:val="28"/>
          <w:szCs w:val="28"/>
          <w:rtl/>
          <w14:ligatures w14:val="none"/>
        </w:rPr>
        <w:t>التي بحثت التقاطع بين تحسين الجودة والذكاء الاصطناعي وسلامة المرضى. وقد أفضت هذه المراجعة إلى تحديد أربعة أبعاد رئيسة تُشكّل البنية القياسية للمتغير المستقل</w:t>
      </w:r>
      <w:r w:rsidRPr="00AC2418">
        <w:rPr>
          <w:rFonts w:ascii="Simplified Arabic" w:eastAsia="Times New Roman" w:hAnsi="Simplified Arabic" w:cs="Simplified Arabic"/>
          <w:color w:val="000000" w:themeColor="text1"/>
          <w:kern w:val="0"/>
          <w:sz w:val="28"/>
          <w:szCs w:val="28"/>
          <w14:ligatures w14:val="none"/>
        </w:rPr>
        <w:t>.</w:t>
      </w:r>
    </w:p>
    <w:p w14:paraId="2891D938"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الأول: أنظمة الإنذار والتنبؤ المبكر بالمخاطر</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يُمثّل هذا البُعد الركيزة الأولى في منظومة إدارة المخاطر الذكية، إذ يعتمد على توظيف خوارزميات التعلم الآلي في تحليل البيانات السريرية التاريخية والآنية لاستخلاص أنماط تُنبئ بتدهور محتمل في حالة المريض قبل حدوثه. ويُشير</w:t>
      </w:r>
      <w:r w:rsidRPr="00AC2418">
        <w:rPr>
          <w:rFonts w:ascii="Simplified Arabic" w:eastAsia="Times New Roman" w:hAnsi="Simplified Arabic" w:cs="Simplified Arabic"/>
          <w:color w:val="000000" w:themeColor="text1"/>
          <w:kern w:val="0"/>
          <w:sz w:val="28"/>
          <w:szCs w:val="28"/>
          <w14:ligatures w14:val="none"/>
        </w:rPr>
        <w:t xml:space="preserve"> Guerra (2024) </w:t>
      </w:r>
      <w:r w:rsidRPr="00AC2418">
        <w:rPr>
          <w:rFonts w:ascii="Simplified Arabic" w:eastAsia="Times New Roman" w:hAnsi="Simplified Arabic" w:cs="Simplified Arabic"/>
          <w:color w:val="000000" w:themeColor="text1"/>
          <w:kern w:val="0"/>
          <w:sz w:val="28"/>
          <w:szCs w:val="28"/>
          <w:rtl/>
          <w14:ligatures w14:val="none"/>
        </w:rPr>
        <w:t>إلى أن هذه الأنظمة تُعيد تشكيل مفهوم الإنذار داخل المستشفى، فتنقله من كونه استجابة لمؤشر متجاوز للعتبة الطبيعية، إلى كونه تنبؤاً استباقياً يُتيح للفريق الطبي التدخل المبكر. وتشمل تطبيقاتها التنبؤ بتفاقم حالات الإنتان الدموي، والفشل التنفسي، والسكتات القلبية، وحالات التدهور في وحدات العناية المركزة. ويرتبط هذا البُعد ارتباطاً وثيقاً بمفهوم الطب الاستباقي، الذي يرى فيه</w:t>
      </w:r>
      <w:r w:rsidRPr="00AC2418">
        <w:rPr>
          <w:rFonts w:ascii="Simplified Arabic" w:eastAsia="Times New Roman" w:hAnsi="Simplified Arabic" w:cs="Simplified Arabic"/>
          <w:color w:val="000000" w:themeColor="text1"/>
          <w:kern w:val="0"/>
          <w:sz w:val="28"/>
          <w:szCs w:val="28"/>
          <w14:ligatures w14:val="none"/>
        </w:rPr>
        <w:t xml:space="preserve"> Al-Sofyani (2025) </w:t>
      </w:r>
      <w:r w:rsidRPr="00AC2418">
        <w:rPr>
          <w:rFonts w:ascii="Simplified Arabic" w:eastAsia="Times New Roman" w:hAnsi="Simplified Arabic" w:cs="Simplified Arabic"/>
          <w:color w:val="000000" w:themeColor="text1"/>
          <w:kern w:val="0"/>
          <w:sz w:val="28"/>
          <w:szCs w:val="28"/>
          <w:rtl/>
          <w14:ligatures w14:val="none"/>
        </w:rPr>
        <w:t>تحولاً جوهرياً في فلسفة تقديم الرعاية، خاصة في الأقسام عالية الخطورة كوحدات العناية المركزة للأطفال</w:t>
      </w:r>
      <w:r w:rsidRPr="00AC2418">
        <w:rPr>
          <w:rFonts w:ascii="Simplified Arabic" w:eastAsia="Times New Roman" w:hAnsi="Simplified Arabic" w:cs="Simplified Arabic"/>
          <w:color w:val="000000" w:themeColor="text1"/>
          <w:kern w:val="0"/>
          <w:sz w:val="28"/>
          <w:szCs w:val="28"/>
          <w14:ligatures w14:val="none"/>
        </w:rPr>
        <w:t>.</w:t>
      </w:r>
    </w:p>
    <w:p w14:paraId="7E470611"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الثاني: أنظمة دعم القرار السريري الذكية</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يتناول هذا البُعد التطبيقات التي تُسهم في مساندة الأطباء والممارسين الصحيين في اتخاذ قرارات تشخيصية وعلاجية أكثر دقة، عبر تحليل السجلات الطبية للمريض ومقارنتها بقواعد المعرفة الطبية العالمية وتقديم توصيات مبنية على الأدلة. ويرى</w:t>
      </w:r>
      <w:r w:rsidRPr="00AC2418">
        <w:rPr>
          <w:rFonts w:ascii="Simplified Arabic" w:eastAsia="Times New Roman" w:hAnsi="Simplified Arabic" w:cs="Simplified Arabic"/>
          <w:color w:val="000000" w:themeColor="text1"/>
          <w:kern w:val="0"/>
          <w:sz w:val="28"/>
          <w:szCs w:val="28"/>
          <w14:ligatures w14:val="none"/>
        </w:rPr>
        <w:t xml:space="preserve"> Ratwani et al. (2024) </w:t>
      </w:r>
      <w:r w:rsidRPr="00AC2418">
        <w:rPr>
          <w:rFonts w:ascii="Simplified Arabic" w:eastAsia="Times New Roman" w:hAnsi="Simplified Arabic" w:cs="Simplified Arabic"/>
          <w:color w:val="000000" w:themeColor="text1"/>
          <w:kern w:val="0"/>
          <w:sz w:val="28"/>
          <w:szCs w:val="28"/>
          <w:rtl/>
          <w14:ligatures w14:val="none"/>
        </w:rPr>
        <w:t>أن هذه الأنظمة تُشكّل حلقة الوصل بين المعرفة الطبية المتراكمة والممارسة الإكلينيكية اليومية، بحيث تُقلّص الفجوة بين ما هو متاح في الأدبيات الطبية وما يُطبَّق فعلياً على سرير المريض. ويتّسع نطاق هذه الأنظمة ليشمل توصيات الوصفات الدوائية، ومسارات التشخيص التفريقي، وخطط العلاج المخصصة، والتنبيه إلى التداخلات الدوائية الخطيرة. ويُبرز الهمص (2026) خصوصية هذه الأنظمة في المجالات الحساسة كالصحة النفسية، إذ تتحول من أداة تقنية إلى شريك معرفي يُساند الممارس في مواقف تتسم بعدم اليقين</w:t>
      </w:r>
      <w:r w:rsidRPr="00AC2418">
        <w:rPr>
          <w:rFonts w:ascii="Simplified Arabic" w:eastAsia="Times New Roman" w:hAnsi="Simplified Arabic" w:cs="Simplified Arabic"/>
          <w:color w:val="000000" w:themeColor="text1"/>
          <w:kern w:val="0"/>
          <w:sz w:val="28"/>
          <w:szCs w:val="28"/>
          <w14:ligatures w14:val="none"/>
        </w:rPr>
        <w:t>.</w:t>
      </w:r>
    </w:p>
    <w:p w14:paraId="05C0BA62"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الثالث: أنظمة المراقبة اللحظية وتحليل البيانات الصحية</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 xml:space="preserve">يعكس هذا البُعد قدرة الذكاء الاصطناعي على معالجة تدفقات البيانات المستمرة من الأجهزة الطبية والمستشعرات الحيوية بصورة آنية، بحيث يُتيح رصد أي انحراف عن الأنماط الطبيعية فور حدوثه. ويُشير الحكيم والخفاف (2024) إلى أن العمليات الصحية الإلكترونية تُشكّل بنية تحتية جوهرية لتفعيل هذا النوع من المراقبة، إذ تُوفّر البيئة الرقمية اللازمة لتدفق البيانات وتكاملها. ويُضيف هذا البُعد قيمة نوعية في وحدات الرعاية المكثفة وأقسام الطوارئ، حيث تُشكّل السرعة عنصراً حاسماً في تحسين المخرجات السريرية. كما يمتد هذا البُعد ليشمل تحليل </w:t>
      </w:r>
      <w:r w:rsidRPr="00AC2418">
        <w:rPr>
          <w:rFonts w:ascii="Simplified Arabic" w:eastAsia="Times New Roman" w:hAnsi="Simplified Arabic" w:cs="Simplified Arabic"/>
          <w:color w:val="000000" w:themeColor="text1"/>
          <w:kern w:val="0"/>
          <w:sz w:val="28"/>
          <w:szCs w:val="28"/>
          <w:rtl/>
          <w14:ligatures w14:val="none"/>
        </w:rPr>
        <w:lastRenderedPageBreak/>
        <w:t>البيانات الصحية الضخمة على مستوى المستشفى ككل، بما يُتيح رصد الأنماط الوبائية والاتجاهات المرضية داخل المؤسسة، وتوظيف هذه المعرفة في تطوير سياسات وقائية استباقية</w:t>
      </w:r>
      <w:r w:rsidRPr="00AC2418">
        <w:rPr>
          <w:rFonts w:ascii="Simplified Arabic" w:eastAsia="Times New Roman" w:hAnsi="Simplified Arabic" w:cs="Simplified Arabic"/>
          <w:color w:val="000000" w:themeColor="text1"/>
          <w:kern w:val="0"/>
          <w:sz w:val="28"/>
          <w:szCs w:val="28"/>
          <w14:ligatures w14:val="none"/>
        </w:rPr>
        <w:t>.</w:t>
      </w:r>
    </w:p>
    <w:p w14:paraId="4DBAECFC"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الرابع: أنظمة الكشف التلقائي عن الأخطاء الطبية والإبلاغ عنها</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يُمثّل هذا البُعد الحلقة التي تربط بين التقنية وثقافة السلامة، إذ يعتمد على توظيف الخوارزميات في تحليل مسارات الرعاية للكشف عن الأخطاء الدوائية والتشخيصية والإجرائية وتصنيفها والإبلاغ عنها تلقائياً. ويرى</w:t>
      </w:r>
      <w:r w:rsidRPr="00AC2418">
        <w:rPr>
          <w:rFonts w:ascii="Simplified Arabic" w:eastAsia="Times New Roman" w:hAnsi="Simplified Arabic" w:cs="Simplified Arabic"/>
          <w:color w:val="000000" w:themeColor="text1"/>
          <w:kern w:val="0"/>
          <w:sz w:val="28"/>
          <w:szCs w:val="28"/>
          <w14:ligatures w14:val="none"/>
        </w:rPr>
        <w:t xml:space="preserve"> Baurasien et al. (2023) </w:t>
      </w:r>
      <w:r w:rsidRPr="00AC2418">
        <w:rPr>
          <w:rFonts w:ascii="Simplified Arabic" w:eastAsia="Times New Roman" w:hAnsi="Simplified Arabic" w:cs="Simplified Arabic"/>
          <w:color w:val="000000" w:themeColor="text1"/>
          <w:kern w:val="0"/>
          <w:sz w:val="28"/>
          <w:szCs w:val="28"/>
          <w:rtl/>
          <w14:ligatures w14:val="none"/>
        </w:rPr>
        <w:t>أن هذه الأنظمة تُعيد تعريف مفهوم الإبلاغ عن الأخطاء، فتنقله من فعل طوعي يعتمد على مبادرة الممارس، إلى عملية منهجية موضوعية تعمل بصورة مستمرة دون تدخل بشري مباشر. ويرتبط هذا البُعد بفكرة التعلم المؤسسي، إذ إن الكشف المنهجي عن الأخطاء يُوفّر قاعدة معرفية غنية يُمكن توظيفها في تطوير السياسات والإجراءات ومنع تكرار الحوادث. ويُبرز</w:t>
      </w:r>
      <w:r w:rsidRPr="00AC2418">
        <w:rPr>
          <w:rFonts w:ascii="Simplified Arabic" w:eastAsia="Times New Roman" w:hAnsi="Simplified Arabic" w:cs="Simplified Arabic"/>
          <w:color w:val="000000" w:themeColor="text1"/>
          <w:kern w:val="0"/>
          <w:sz w:val="28"/>
          <w:szCs w:val="28"/>
          <w14:ligatures w14:val="none"/>
        </w:rPr>
        <w:t xml:space="preserve"> Nawawi et al. (2025) </w:t>
      </w:r>
      <w:r w:rsidRPr="00AC2418">
        <w:rPr>
          <w:rFonts w:ascii="Simplified Arabic" w:eastAsia="Times New Roman" w:hAnsi="Simplified Arabic" w:cs="Simplified Arabic"/>
          <w:color w:val="000000" w:themeColor="text1"/>
          <w:kern w:val="0"/>
          <w:sz w:val="28"/>
          <w:szCs w:val="28"/>
          <w:rtl/>
          <w14:ligatures w14:val="none"/>
        </w:rPr>
        <w:t>أن هذا البُعد يُشكّل نقطة تقاطع بين إدارة الجودة وإدارة المخاطر، إذ تتحول البيانات المستخلصة من عمليات الكشف إلى مدخلات جوهرية لمسارات التحسين المستمر</w:t>
      </w:r>
      <w:r w:rsidRPr="00AC2418">
        <w:rPr>
          <w:rFonts w:ascii="Simplified Arabic" w:eastAsia="Times New Roman" w:hAnsi="Simplified Arabic" w:cs="Simplified Arabic"/>
          <w:color w:val="000000" w:themeColor="text1"/>
          <w:kern w:val="0"/>
          <w:sz w:val="28"/>
          <w:szCs w:val="28"/>
          <w14:ligatures w14:val="none"/>
        </w:rPr>
        <w:t>.</w:t>
      </w:r>
    </w:p>
    <w:p w14:paraId="17225FE8" w14:textId="386447E8"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4537609"/>
      <w:r w:rsidRPr="00AC2418">
        <w:rPr>
          <w:rFonts w:ascii="Simplified Arabic" w:eastAsia="Times New Roman" w:hAnsi="Simplified Arabic" w:cs="Simplified Arabic" w:hint="cs"/>
          <w:b/>
          <w:bCs/>
          <w:color w:val="000000" w:themeColor="text1"/>
          <w:kern w:val="0"/>
          <w:sz w:val="32"/>
          <w:szCs w:val="32"/>
          <w:rtl/>
          <w14:ligatures w14:val="none"/>
        </w:rPr>
        <w:t>6.1.2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متطلبات تطبيق تقنيات الذكاء الاصطناعي في إدارة المخاطر الصحية</w:t>
      </w:r>
      <w:bookmarkEnd w:id="25"/>
    </w:p>
    <w:p w14:paraId="1CC61163"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يستلزم التطبيق الفاعل لتقنيات الذكاء الاصطناعي في إدارة المخاطر الصحية توفر جملة من المتطلبات التي تتقاطع فيها الأبعاد التقنية والتنظيمية والبشرية. ويرى العتيبي واليوبي (2024) أن البنية التحتية الرقمية تُشكّل الحجر الأساس لأي تطبيق ناجح، إذ لا يُمكن للحلول الذكية أن تعمل بكفاءة في بيئة تفتقر إلى الأنظمة المعلوماتية المتكاملة وقواعد البيانات الموحدة. ويُضاف إلى ذلك ضرورة توفر رأس مال بشري مؤهل قادر على التعامل مع هذه التقنيات وتفسير مخرجاتها، وهو ما يستوجب برامج تدريبية متخصصة تستهدف مختلف الفئات المهنية داخل المستشفى</w:t>
      </w:r>
      <w:r w:rsidRPr="00AC2418">
        <w:rPr>
          <w:rFonts w:ascii="Simplified Arabic" w:eastAsia="Times New Roman" w:hAnsi="Simplified Arabic" w:cs="Simplified Arabic"/>
          <w:color w:val="000000" w:themeColor="text1"/>
          <w:kern w:val="0"/>
          <w:sz w:val="28"/>
          <w:szCs w:val="28"/>
          <w14:ligatures w14:val="none"/>
        </w:rPr>
        <w:t>.</w:t>
      </w:r>
    </w:p>
    <w:p w14:paraId="7595CF17"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الناحية التنظيمية، يُبرز فراج وأبو زيد (2024) أهمية وجود إطار حوكمي واضح ينظّم استخدام الذكاء الاصطناعي داخل المؤسسة الصحية، ويُحدد المسؤوليات المرتبطة بمخرجاته، ويضبط العلاقة بين القرار الآلي والقرار البشري. ويتكامل مع ذلك ما يُشير إليه</w:t>
      </w:r>
      <w:r w:rsidRPr="00AC2418">
        <w:rPr>
          <w:rFonts w:ascii="Simplified Arabic" w:eastAsia="Times New Roman" w:hAnsi="Simplified Arabic" w:cs="Simplified Arabic"/>
          <w:color w:val="000000" w:themeColor="text1"/>
          <w:kern w:val="0"/>
          <w:sz w:val="28"/>
          <w:szCs w:val="28"/>
          <w14:ligatures w14:val="none"/>
        </w:rPr>
        <w:t xml:space="preserve"> De Micco et al. (2025) </w:t>
      </w:r>
      <w:r w:rsidRPr="00AC2418">
        <w:rPr>
          <w:rFonts w:ascii="Simplified Arabic" w:eastAsia="Times New Roman" w:hAnsi="Simplified Arabic" w:cs="Simplified Arabic"/>
          <w:color w:val="000000" w:themeColor="text1"/>
          <w:kern w:val="0"/>
          <w:sz w:val="28"/>
          <w:szCs w:val="28"/>
          <w:rtl/>
          <w14:ligatures w14:val="none"/>
        </w:rPr>
        <w:t>من ضرورة تبنّي منظومة أخلاقية تحكم استخدام هذه التقنيات، تضمن حماية خصوصية المرضى، وتُحقق العدالة الخوارزمية، وتُعزز الشفافية في آليات اتخاذ القرار الآلي</w:t>
      </w:r>
      <w:r w:rsidRPr="00AC2418">
        <w:rPr>
          <w:rFonts w:ascii="Simplified Arabic" w:eastAsia="Times New Roman" w:hAnsi="Simplified Arabic" w:cs="Simplified Arabic"/>
          <w:color w:val="000000" w:themeColor="text1"/>
          <w:kern w:val="0"/>
          <w:sz w:val="28"/>
          <w:szCs w:val="28"/>
          <w14:ligatures w14:val="none"/>
        </w:rPr>
        <w:t>.</w:t>
      </w:r>
    </w:p>
    <w:p w14:paraId="0F36942D" w14:textId="72D8B947"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4537610"/>
      <w:r w:rsidRPr="00AC2418">
        <w:rPr>
          <w:rFonts w:ascii="Simplified Arabic" w:eastAsia="Times New Roman" w:hAnsi="Simplified Arabic" w:cs="Simplified Arabic" w:hint="cs"/>
          <w:b/>
          <w:bCs/>
          <w:color w:val="000000" w:themeColor="text1"/>
          <w:kern w:val="0"/>
          <w:sz w:val="32"/>
          <w:szCs w:val="32"/>
          <w:rtl/>
          <w14:ligatures w14:val="none"/>
        </w:rPr>
        <w:t>7.1.2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تحديات توظيف الذكاء الاصطناعي في إدارة المخاطر الصحية</w:t>
      </w:r>
      <w:bookmarkEnd w:id="26"/>
    </w:p>
    <w:p w14:paraId="3BDF4EB3"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lastRenderedPageBreak/>
        <w:t>لا يُمكن تناول المتغير المستقل بمعزل عن التحديات التي تعترض تطبيقه في البيئة الصحية. وتتصدر هذه التحديات إشكاليات جودة البيانات، إذ تعتمد كفاءة الأنظمة الذكية اعتماداً مباشراً على جودة البيانات التي تُدرَّب عليها. ويُشير</w:t>
      </w:r>
      <w:r w:rsidRPr="00AC2418">
        <w:rPr>
          <w:rFonts w:ascii="Simplified Arabic" w:eastAsia="Times New Roman" w:hAnsi="Simplified Arabic" w:cs="Simplified Arabic"/>
          <w:color w:val="000000" w:themeColor="text1"/>
          <w:kern w:val="0"/>
          <w:sz w:val="28"/>
          <w:szCs w:val="28"/>
          <w14:ligatures w14:val="none"/>
        </w:rPr>
        <w:t xml:space="preserve"> Ratwani et al. (2024) </w:t>
      </w:r>
      <w:r w:rsidRPr="00AC2418">
        <w:rPr>
          <w:rFonts w:ascii="Simplified Arabic" w:eastAsia="Times New Roman" w:hAnsi="Simplified Arabic" w:cs="Simplified Arabic"/>
          <w:color w:val="000000" w:themeColor="text1"/>
          <w:kern w:val="0"/>
          <w:sz w:val="28"/>
          <w:szCs w:val="28"/>
          <w:rtl/>
          <w14:ligatures w14:val="none"/>
        </w:rPr>
        <w:t>إلى أن ضعف جودة البيانات أو انحيازها يُنتج مخرجات مشوّهة قد تُفضي إلى قرارات خاطئة تُشكّل بحد ذاتها مصدراً جديداً للمخاطر. ويُضاف إلى ذلك تحديات مرتبطة بمقاومة التغيير من قِبل الكوادر الصحية، إذ قد يُنظر إلى الأنظمة الذكية بوصفها تهديداً للاستقلالية المهنية، وهو ما يستوجب استراتيجيات تغيير تنظيمي مدروسة</w:t>
      </w:r>
      <w:r w:rsidRPr="00AC2418">
        <w:rPr>
          <w:rFonts w:ascii="Simplified Arabic" w:eastAsia="Times New Roman" w:hAnsi="Simplified Arabic" w:cs="Simplified Arabic"/>
          <w:color w:val="000000" w:themeColor="text1"/>
          <w:kern w:val="0"/>
          <w:sz w:val="28"/>
          <w:szCs w:val="28"/>
          <w14:ligatures w14:val="none"/>
        </w:rPr>
        <w:t>.</w:t>
      </w:r>
    </w:p>
    <w:p w14:paraId="00DB0664"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وعلى صعيد آخر، تبرز تحديات تشريعية وقانونية تتصل بالمساءلة عن الأخطاء الناجمة عن القرارات الآلية، إذ إن الأطر التشريعية التقليدية لم تعد كافية لمعالجة الحالات التي يتقاسم فيها الإنسان والآلة مسؤولية القرار السريري. ويرى</w:t>
      </w:r>
      <w:r w:rsidRPr="00AC2418">
        <w:rPr>
          <w:rFonts w:ascii="Simplified Arabic" w:eastAsia="Times New Roman" w:hAnsi="Simplified Arabic" w:cs="Simplified Arabic"/>
          <w:color w:val="000000" w:themeColor="text1"/>
          <w:kern w:val="0"/>
          <w:sz w:val="28"/>
          <w:szCs w:val="28"/>
          <w14:ligatures w14:val="none"/>
        </w:rPr>
        <w:t xml:space="preserve"> Nawawi et al. (2025) </w:t>
      </w:r>
      <w:r w:rsidRPr="00AC2418">
        <w:rPr>
          <w:rFonts w:ascii="Simplified Arabic" w:eastAsia="Times New Roman" w:hAnsi="Simplified Arabic" w:cs="Simplified Arabic"/>
          <w:color w:val="000000" w:themeColor="text1"/>
          <w:kern w:val="0"/>
          <w:sz w:val="28"/>
          <w:szCs w:val="28"/>
          <w:rtl/>
          <w14:ligatures w14:val="none"/>
        </w:rPr>
        <w:t>أن هذه التحديات تفرض على المؤسسات الصحية بناء منظومة حوكمة داخلية تُوازن بين تشجيع الابتكار وضبط المخاطر المصاحبة له، بما يضمن أن يظل الذكاء الاصطناعي أداة لتعزيز سلامة المرضى لا مصدراً جديداً لتهديدها</w:t>
      </w:r>
      <w:r w:rsidRPr="00AC2418">
        <w:rPr>
          <w:rFonts w:ascii="Simplified Arabic" w:eastAsia="Times New Roman" w:hAnsi="Simplified Arabic" w:cs="Simplified Arabic"/>
          <w:color w:val="000000" w:themeColor="text1"/>
          <w:kern w:val="0"/>
          <w:sz w:val="28"/>
          <w:szCs w:val="28"/>
          <w14:ligatures w14:val="none"/>
        </w:rPr>
        <w:t>.</w:t>
      </w:r>
    </w:p>
    <w:p w14:paraId="6B77240A" w14:textId="4556F6A7" w:rsidR="005750C3" w:rsidRPr="00AC2418" w:rsidRDefault="00AF6B87" w:rsidP="00AF6B87">
      <w:pPr>
        <w:jc w:val="center"/>
        <w:outlineLvl w:val="1"/>
        <w:rPr>
          <w:rFonts w:ascii="Simplified Arabic" w:eastAsia="Times New Roman" w:hAnsi="Simplified Arabic" w:cs="Simplified Arabic"/>
          <w:b/>
          <w:bCs/>
          <w:color w:val="000000" w:themeColor="text1"/>
          <w:kern w:val="0"/>
          <w:sz w:val="36"/>
          <w:szCs w:val="36"/>
          <w14:ligatures w14:val="none"/>
        </w:rPr>
      </w:pPr>
      <w:r w:rsidRPr="00AC2418">
        <w:rPr>
          <w:rFonts w:ascii="Simplified Arabic" w:eastAsia="Times New Roman" w:hAnsi="Simplified Arabic" w:cs="Simplified Arabic"/>
          <w:b/>
          <w:bCs/>
          <w:color w:val="000000" w:themeColor="text1"/>
          <w:kern w:val="0"/>
          <w:sz w:val="36"/>
          <w:szCs w:val="36"/>
          <w14:ligatures w14:val="none"/>
        </w:rPr>
        <w:br w:type="page"/>
      </w:r>
      <w:bookmarkStart w:id="27" w:name="_Toc234537611"/>
      <w:r w:rsidR="005750C3" w:rsidRPr="00AC2418">
        <w:rPr>
          <w:rFonts w:ascii="Simplified Arabic" w:eastAsia="Times New Roman" w:hAnsi="Simplified Arabic" w:cs="Simplified Arabic"/>
          <w:b/>
          <w:bCs/>
          <w:color w:val="000000" w:themeColor="text1"/>
          <w:kern w:val="0"/>
          <w:sz w:val="36"/>
          <w:szCs w:val="36"/>
          <w:rtl/>
          <w14:ligatures w14:val="none"/>
        </w:rPr>
        <w:lastRenderedPageBreak/>
        <w:t>المبحث الثاني: المتغير التابع — سلامة المرضى</w:t>
      </w:r>
      <w:bookmarkEnd w:id="27"/>
    </w:p>
    <w:p w14:paraId="54AE7F01" w14:textId="3D7D241F"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4537612"/>
      <w:r w:rsidRPr="00AC2418">
        <w:rPr>
          <w:rFonts w:ascii="Simplified Arabic" w:eastAsia="Times New Roman" w:hAnsi="Simplified Arabic" w:cs="Simplified Arabic" w:hint="cs"/>
          <w:b/>
          <w:bCs/>
          <w:color w:val="000000" w:themeColor="text1"/>
          <w:kern w:val="0"/>
          <w:sz w:val="32"/>
          <w:szCs w:val="32"/>
          <w:rtl/>
          <w14:ligatures w14:val="none"/>
        </w:rPr>
        <w:t xml:space="preserve">1.2.2 </w:t>
      </w:r>
      <w:r w:rsidR="005750C3" w:rsidRPr="00AC2418">
        <w:rPr>
          <w:rFonts w:ascii="Simplified Arabic" w:eastAsia="Times New Roman" w:hAnsi="Simplified Arabic" w:cs="Simplified Arabic"/>
          <w:b/>
          <w:bCs/>
          <w:color w:val="000000" w:themeColor="text1"/>
          <w:kern w:val="0"/>
          <w:sz w:val="32"/>
          <w:szCs w:val="32"/>
          <w:rtl/>
          <w14:ligatures w14:val="none"/>
        </w:rPr>
        <w:t>تمهيد</w:t>
      </w:r>
      <w:bookmarkEnd w:id="28"/>
    </w:p>
    <w:p w14:paraId="454B2E71"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تحتل سلامة المرضى مكانة مركزية في منظومة الرعاية الصحية المعاصرة، إذ تُعدّ الغاية النهائية التي تُقاس على أساسها كفاءة النظم الصحية وجودة الخدمات المقدمة. وقد فرضت التحولات المتسارعة في تعقيد الحالات المرضية، وتشعّب مسارات الرعاية، وتنوّع أنماط التدخل العلاجي، إعادة النظر في المفهوم التقليدي لسلامة المرضى، ليتحول من مجرد تجنب الأخطاء الطبية إلى منظومة إدارية شاملة تتناول الثقافة التنظيمية، والقيادة، والاتصال، والتعلم المؤسسي، والحوكمة السريرية. ولم يعد يُنظر إلى سلامة المرضى بوصفها مسؤولية فردية تقع على عاتق الممارس، بل أصبحت مسؤولية جماعية موزّعة عبر مستويات المؤسسة الصحية كافة</w:t>
      </w:r>
      <w:r w:rsidRPr="00AC2418">
        <w:rPr>
          <w:rFonts w:ascii="Simplified Arabic" w:eastAsia="Times New Roman" w:hAnsi="Simplified Arabic" w:cs="Simplified Arabic"/>
          <w:color w:val="000000" w:themeColor="text1"/>
          <w:kern w:val="0"/>
          <w:sz w:val="28"/>
          <w:szCs w:val="28"/>
          <w14:ligatures w14:val="none"/>
        </w:rPr>
        <w:t>.</w:t>
      </w:r>
    </w:p>
    <w:p w14:paraId="70418029"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ويتزامن هذا التوسع في المفهوم مع تحولات تكنولوجية وتنظيمية عميقة تُعيد تشكيل بيئة الرعاية الصحية، فتفتح آفاقاً جديدة أمام تعزيز سلامة المرضى، وتفرض في الوقت ذاته تحديات نوعية تتطلب أدوات إدارية متطورة. ويسعى هذا المبحث إلى تقديم معالجة نظرية معمّقة للمتغير التابع من خلال استعراض مفهومه، وأهميته، وأهدافه، وأبعاده، ومقوماته، ومؤشرات قياسه</w:t>
      </w:r>
      <w:r w:rsidRPr="00AC2418">
        <w:rPr>
          <w:rFonts w:ascii="Simplified Arabic" w:eastAsia="Times New Roman" w:hAnsi="Simplified Arabic" w:cs="Simplified Arabic"/>
          <w:color w:val="000000" w:themeColor="text1"/>
          <w:kern w:val="0"/>
          <w:sz w:val="28"/>
          <w:szCs w:val="28"/>
          <w14:ligatures w14:val="none"/>
        </w:rPr>
        <w:t>.</w:t>
      </w:r>
    </w:p>
    <w:p w14:paraId="1BDEA04E" w14:textId="63C06559"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4537613"/>
      <w:r w:rsidRPr="00AC2418">
        <w:rPr>
          <w:rFonts w:ascii="Simplified Arabic" w:eastAsia="Times New Roman" w:hAnsi="Simplified Arabic" w:cs="Simplified Arabic" w:hint="cs"/>
          <w:b/>
          <w:bCs/>
          <w:color w:val="000000" w:themeColor="text1"/>
          <w:kern w:val="0"/>
          <w:sz w:val="32"/>
          <w:szCs w:val="32"/>
          <w:rtl/>
          <w14:ligatures w14:val="none"/>
        </w:rPr>
        <w:t>2.2.2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مفهوم سلامة المرضى</w:t>
      </w:r>
      <w:bookmarkEnd w:id="29"/>
    </w:p>
    <w:p w14:paraId="46B88A1B"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تتنوع التعريفات التي قدّمها الباحثون لمفهوم سلامة المرضى بحسب المدرسة الفكرية التي ينتمون إليها والزاوية التي يقاربون بها الموضوع. وقد عرّفها الحكيم والخفاف (2024) بوصفها منظومة متكاملة من السياسات والإجراءات والممارسات التي تستهدف حماية المريض من أي ضرر محتمل قد يلحق به خلال تلقيه الخدمة الصحية، سواء أكان هذا الضرر ناجماً عن خطأ بشري أم عن قصور نظامي أم عن تفاعلات معقدة بين مكونات بيئة الرعاية. ويُقدّم هذا التعريف رؤية شاملة تُخرج المفهوم من الإطار الضيق للخطأ الطبي إلى الإطار الأوسع لإدارة النظم</w:t>
      </w:r>
      <w:r w:rsidRPr="00AC2418">
        <w:rPr>
          <w:rFonts w:ascii="Simplified Arabic" w:eastAsia="Times New Roman" w:hAnsi="Simplified Arabic" w:cs="Simplified Arabic"/>
          <w:color w:val="000000" w:themeColor="text1"/>
          <w:kern w:val="0"/>
          <w:sz w:val="28"/>
          <w:szCs w:val="28"/>
          <w14:ligatures w14:val="none"/>
        </w:rPr>
        <w:t>.</w:t>
      </w:r>
    </w:p>
    <w:p w14:paraId="3097095F"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 xml:space="preserve">ومن منظور مغاير، يرى قبج وخليف (2023) أن سلامة المرضى تُمثّل ثقافة مؤسسية تسود بيئة العمل الصحي، تقوم على قيم مشتركة تُعزز الالتزام بالمعايير الدولية للسلامة، وتُشجّع الإبلاغ عن الأخطاء والحوادث دون خوف من العقاب، وتُرسّخ التعلم المستمر من الحوادث الوشيكة والفعلية. ويُقدّم نشوان وأبو </w:t>
      </w:r>
      <w:r w:rsidRPr="00AC2418">
        <w:rPr>
          <w:rFonts w:ascii="Simplified Arabic" w:eastAsia="Times New Roman" w:hAnsi="Simplified Arabic" w:cs="Simplified Arabic"/>
          <w:color w:val="000000" w:themeColor="text1"/>
          <w:kern w:val="0"/>
          <w:sz w:val="28"/>
          <w:szCs w:val="28"/>
          <w:rtl/>
          <w14:ligatures w14:val="none"/>
        </w:rPr>
        <w:lastRenderedPageBreak/>
        <w:t>النور (2022) تعريفاً يتّسق مع هذا التوجه، إذ يعتبران أن سلامة المرضى منظومة سلوكية وقيمية تحكم أداء الفرق الصحية، وتنعكس في نمط الاتصال والعلاقات المهنية داخل بيئة العمل، خاصة في الأقسام عالية الخطورة كوحدات العناية المركزة</w:t>
      </w:r>
      <w:r w:rsidRPr="00AC2418">
        <w:rPr>
          <w:rFonts w:ascii="Simplified Arabic" w:eastAsia="Times New Roman" w:hAnsi="Simplified Arabic" w:cs="Simplified Arabic"/>
          <w:color w:val="000000" w:themeColor="text1"/>
          <w:kern w:val="0"/>
          <w:sz w:val="28"/>
          <w:szCs w:val="28"/>
          <w14:ligatures w14:val="none"/>
        </w:rPr>
        <w:t>.</w:t>
      </w:r>
    </w:p>
    <w:p w14:paraId="2D4F5A01"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الزاوية الإدارية، يُعرّف</w:t>
      </w:r>
      <w:r w:rsidRPr="00AC2418">
        <w:rPr>
          <w:rFonts w:ascii="Simplified Arabic" w:eastAsia="Times New Roman" w:hAnsi="Simplified Arabic" w:cs="Simplified Arabic"/>
          <w:color w:val="000000" w:themeColor="text1"/>
          <w:kern w:val="0"/>
          <w:sz w:val="28"/>
          <w:szCs w:val="28"/>
          <w14:ligatures w14:val="none"/>
        </w:rPr>
        <w:t xml:space="preserve"> Ferrara et al. (2024) </w:t>
      </w:r>
      <w:r w:rsidRPr="00AC2418">
        <w:rPr>
          <w:rFonts w:ascii="Simplified Arabic" w:eastAsia="Times New Roman" w:hAnsi="Simplified Arabic" w:cs="Simplified Arabic"/>
          <w:color w:val="000000" w:themeColor="text1"/>
          <w:kern w:val="0"/>
          <w:sz w:val="28"/>
          <w:szCs w:val="28"/>
          <w:rtl/>
          <w14:ligatures w14:val="none"/>
        </w:rPr>
        <w:t>سلامة المرضى بأنها الغاية الجوهرية لعمليات إدارة المخاطر الصحية، والمعيار النهائي الذي تُقاس على أساسه فاعلية أي تدخل تقني أو تنظيمي في البيئة الاستشفائية. ويتّسع هذا التعريف ليشمل الأبعاد الوقائية والعلاجية والتعافيّة معاً، بحيث لا تقتصر السلامة على تجنب حدوث الضرر، بل تمتد لتشمل حسن إدارة الحوادث حال وقوعها وتعافي المؤسسة منها بأقل خسائر ممكنة. ويُقدّم</w:t>
      </w:r>
      <w:r w:rsidRPr="00AC2418">
        <w:rPr>
          <w:rFonts w:ascii="Simplified Arabic" w:eastAsia="Times New Roman" w:hAnsi="Simplified Arabic" w:cs="Simplified Arabic"/>
          <w:color w:val="000000" w:themeColor="text1"/>
          <w:kern w:val="0"/>
          <w:sz w:val="28"/>
          <w:szCs w:val="28"/>
          <w14:ligatures w14:val="none"/>
        </w:rPr>
        <w:t xml:space="preserve"> De Micco et al. (2025) </w:t>
      </w:r>
      <w:r w:rsidRPr="00AC2418">
        <w:rPr>
          <w:rFonts w:ascii="Simplified Arabic" w:eastAsia="Times New Roman" w:hAnsi="Simplified Arabic" w:cs="Simplified Arabic"/>
          <w:color w:val="000000" w:themeColor="text1"/>
          <w:kern w:val="0"/>
          <w:sz w:val="28"/>
          <w:szCs w:val="28"/>
          <w:rtl/>
          <w14:ligatures w14:val="none"/>
        </w:rPr>
        <w:t>قراءة أكثر تكاملية للمفهوم، إذ يرون أن سلامة المرضى منظومة معرفية وتقنية وسلوكية متشابكة، تُشكّل الأنظمة الذكية أحد روافدها الحديثة القادرة على إعادة صياغة معايير الأداء داخلها</w:t>
      </w:r>
      <w:r w:rsidRPr="00AC2418">
        <w:rPr>
          <w:rFonts w:ascii="Simplified Arabic" w:eastAsia="Times New Roman" w:hAnsi="Simplified Arabic" w:cs="Simplified Arabic"/>
          <w:color w:val="000000" w:themeColor="text1"/>
          <w:kern w:val="0"/>
          <w:sz w:val="28"/>
          <w:szCs w:val="28"/>
          <w14:ligatures w14:val="none"/>
        </w:rPr>
        <w:t>.</w:t>
      </w:r>
    </w:p>
    <w:p w14:paraId="583C9FB2"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ويُبرز</w:t>
      </w:r>
      <w:r w:rsidRPr="00AC2418">
        <w:rPr>
          <w:rFonts w:ascii="Simplified Arabic" w:eastAsia="Times New Roman" w:hAnsi="Simplified Arabic" w:cs="Simplified Arabic"/>
          <w:color w:val="000000" w:themeColor="text1"/>
          <w:kern w:val="0"/>
          <w:sz w:val="28"/>
          <w:szCs w:val="28"/>
          <w14:ligatures w14:val="none"/>
        </w:rPr>
        <w:t xml:space="preserve"> Eldesoky et al. (2025) </w:t>
      </w:r>
      <w:r w:rsidRPr="00AC2418">
        <w:rPr>
          <w:rFonts w:ascii="Simplified Arabic" w:eastAsia="Times New Roman" w:hAnsi="Simplified Arabic" w:cs="Simplified Arabic"/>
          <w:color w:val="000000" w:themeColor="text1"/>
          <w:kern w:val="0"/>
          <w:sz w:val="28"/>
          <w:szCs w:val="28"/>
          <w:rtl/>
          <w14:ligatures w14:val="none"/>
        </w:rPr>
        <w:t>الطابع الثقافي للمفهوم، إذ يرون أن سلامة المرضى لا يمكن اختزالها في مجموعة إجراءات موثقة، بل تتجلى في ثقافة تنظيمية تربط بين اتجاهات مقدمي الرعاية نحو التقنيات الحديثة والتزامهم بمعايير حماية المريض. ويستكمل شحاتة وبدير (2021) هذه المقاربة من زاوية مجاورة، إذ يُقدّمان مفهوم إدارة المخاطر الصحية والبيئية بوصفها إطاراً حاضناً لسلامة المرضى، يمتد ليشمل البيئة المحيطة بالخدمة الصحية وليس الخدمة ذاتها فحسب</w:t>
      </w:r>
      <w:r w:rsidRPr="00AC2418">
        <w:rPr>
          <w:rFonts w:ascii="Simplified Arabic" w:eastAsia="Times New Roman" w:hAnsi="Simplified Arabic" w:cs="Simplified Arabic"/>
          <w:color w:val="000000" w:themeColor="text1"/>
          <w:kern w:val="0"/>
          <w:sz w:val="28"/>
          <w:szCs w:val="28"/>
          <w14:ligatures w14:val="none"/>
        </w:rPr>
        <w:t>.</w:t>
      </w:r>
    </w:p>
    <w:p w14:paraId="28C74682" w14:textId="25FF8F93"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وتُلاحظ  الباحث  أن هذه التعريفات، على تنوعها، تتلاقى في التأكيد على ثلاثة عناصر جوهرية: الحماية من الضرر، والطابع النظامي للسلامة، والبعد الثقافي المؤسسي. وترى  الباحث  أن سلامة المرضى يُمكن تعريفها إجرائياً بأنها منظومة متكاملة من السياسات والإجراءات والممارسات والقيم التي تتبناها المؤسسة الصحية بهدف حماية المريض من أي ضرر يمكن تجنبه خلال رحلته العلاجية، عبر بناء بيئة عمل تُقلّص فرص وقوع الأخطاء، وتُتيح رصدها المبكر والاستجابة لها بفاعلية، وتُرسّخ ثقافة تعلم مؤسسي تُحوّل الأحداث السلبية إلى فرص لتحسين النظام</w:t>
      </w:r>
      <w:r w:rsidRPr="00AC2418">
        <w:rPr>
          <w:rFonts w:ascii="Simplified Arabic" w:eastAsia="Times New Roman" w:hAnsi="Simplified Arabic" w:cs="Simplified Arabic"/>
          <w:color w:val="000000" w:themeColor="text1"/>
          <w:kern w:val="0"/>
          <w:sz w:val="28"/>
          <w:szCs w:val="28"/>
          <w14:ligatures w14:val="none"/>
        </w:rPr>
        <w:t>.</w:t>
      </w:r>
    </w:p>
    <w:p w14:paraId="7FE8B0B4" w14:textId="3EE27CEF"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4537614"/>
      <w:r w:rsidRPr="00AC2418">
        <w:rPr>
          <w:rFonts w:ascii="Simplified Arabic" w:eastAsia="Times New Roman" w:hAnsi="Simplified Arabic" w:cs="Simplified Arabic" w:hint="cs"/>
          <w:b/>
          <w:bCs/>
          <w:color w:val="000000" w:themeColor="text1"/>
          <w:kern w:val="0"/>
          <w:sz w:val="32"/>
          <w:szCs w:val="32"/>
          <w:rtl/>
          <w14:ligatures w14:val="none"/>
        </w:rPr>
        <w:t>3.2.2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أهمية سلامة المرضى</w:t>
      </w:r>
      <w:bookmarkEnd w:id="30"/>
    </w:p>
    <w:p w14:paraId="1CCFF489"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 xml:space="preserve">تكتسب سلامة المرضى أهميتها من كونها المؤشر الأكثر تعبيراً عن نضج المنظومة الصحية وقدرتها على أداء وظيفتها الأساسية. فالمؤسسة الصحية التي لا تضمن سلامة مرضاها تفقد شرعيتها المهنية </w:t>
      </w:r>
      <w:r w:rsidRPr="00AC2418">
        <w:rPr>
          <w:rFonts w:ascii="Simplified Arabic" w:eastAsia="Times New Roman" w:hAnsi="Simplified Arabic" w:cs="Simplified Arabic"/>
          <w:color w:val="000000" w:themeColor="text1"/>
          <w:kern w:val="0"/>
          <w:sz w:val="28"/>
          <w:szCs w:val="28"/>
          <w:rtl/>
          <w14:ligatures w14:val="none"/>
        </w:rPr>
        <w:lastRenderedPageBreak/>
        <w:t>والاجتماعية، مهما بلغت من التقدم التقني أو التنوع الخدمي. وتتشعّب أبعاد هذه الأهمية لتشمل الجوانب الإنسانية والاقتصادية والقانونية والتنظيمية معاً، مما يجعلها قضية مركزية في السياسات الصحية على المستويين المؤسسي والوطني</w:t>
      </w:r>
      <w:r w:rsidRPr="00AC2418">
        <w:rPr>
          <w:rFonts w:ascii="Simplified Arabic" w:eastAsia="Times New Roman" w:hAnsi="Simplified Arabic" w:cs="Simplified Arabic"/>
          <w:color w:val="000000" w:themeColor="text1"/>
          <w:kern w:val="0"/>
          <w:sz w:val="28"/>
          <w:szCs w:val="28"/>
          <w14:ligatures w14:val="none"/>
        </w:rPr>
        <w:t>.</w:t>
      </w:r>
    </w:p>
    <w:p w14:paraId="70E4EB15"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ويُشير الحكيم والخفاف (2024) في دراسة لهما إلى أن أهمية سلامة المرضى تتجلى في عدة محاور: أولاً، صون كرامة المريض وحقه الإنساني في تلقي رعاية آمنة تحفظ حياته وسلامته الجسدية والنفسية؛ ثانياً، تعزيز ثقة المجتمع بالمؤسسات الصحية بوصفها فضاءات للشفاء لا للأذى؛ ثالثاً، تحقيق الكفاءة الاقتصادية من خلال تقليص التكاليف الناجمة عن الحوادث الطبية والمضاعفات المرتبطة بالرعاية؛ رابعاً، حماية المؤسسة من المخاطر القانونية والسمعة السلبية الناتجة عن الأخطاء الجسيمة</w:t>
      </w:r>
      <w:r w:rsidRPr="00AC2418">
        <w:rPr>
          <w:rFonts w:ascii="Simplified Arabic" w:eastAsia="Times New Roman" w:hAnsi="Simplified Arabic" w:cs="Simplified Arabic"/>
          <w:color w:val="000000" w:themeColor="text1"/>
          <w:kern w:val="0"/>
          <w:sz w:val="28"/>
          <w:szCs w:val="28"/>
          <w14:ligatures w14:val="none"/>
        </w:rPr>
        <w:t>.</w:t>
      </w:r>
    </w:p>
    <w:p w14:paraId="191B7121"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ويرى الحكيمي وأبو طالب (2025) أن الأهمية تتخذ بُعداً جودياً حين يُنظر إليها بوصفها المحك الحقيقي لجودة الخدمات الصحية، إذ لا معنى للحديث عن جودة الرعاية في غياب ضمانات كافية لسلامة المريض. ومن هذا المنطلق، فإن الاستثمار في منظومة السلامة يُمثّل استثماراً مباشراً في جودة الخدمة وسمعة المؤسسة وموقعها التنافسي في سوق الرعاية الصحية</w:t>
      </w:r>
      <w:r w:rsidRPr="00AC2418">
        <w:rPr>
          <w:rFonts w:ascii="Simplified Arabic" w:eastAsia="Times New Roman" w:hAnsi="Simplified Arabic" w:cs="Simplified Arabic"/>
          <w:color w:val="000000" w:themeColor="text1"/>
          <w:kern w:val="0"/>
          <w:sz w:val="28"/>
          <w:szCs w:val="28"/>
          <w14:ligatures w14:val="none"/>
        </w:rPr>
        <w:t>.</w:t>
      </w:r>
    </w:p>
    <w:p w14:paraId="4CCFB310"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منظور إدارة المخاطر، يُبرز الرويلي والنيف (2025) أن أهمية سلامة المرضى تنبع من كونها تُشكّل نقطة الالتقاء بين إدارة المخاطر وإدارة تجربة المستفيد، إذ إن المريض الذي يشعر بالأمان يُبدي مستويات أعلى من الرضا والالتزام بالخطة العلاجية، وهو ما ينعكس إيجاباً على المخرجات السريرية. ويُدعم هذا التوجه معياش وراشدي (2021) اللذان يُبرزان أن الأهمية تتضح بصورة أعمق في أوقات الأزمات الصحية، حين تتحول سلامة المرضى إلى قضية مجتمعية تتصل باتصال المخاطر وإدارة الوعي الجماعي بها</w:t>
      </w:r>
      <w:r w:rsidRPr="00AC2418">
        <w:rPr>
          <w:rFonts w:ascii="Simplified Arabic" w:eastAsia="Times New Roman" w:hAnsi="Simplified Arabic" w:cs="Simplified Arabic"/>
          <w:color w:val="000000" w:themeColor="text1"/>
          <w:kern w:val="0"/>
          <w:sz w:val="28"/>
          <w:szCs w:val="28"/>
          <w14:ligatures w14:val="none"/>
        </w:rPr>
        <w:t>.</w:t>
      </w:r>
    </w:p>
    <w:p w14:paraId="57154FDE" w14:textId="54C45E54"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 xml:space="preserve">ويُضيف بدير (2023) بُعداً وقائياً للأهمية، إذ يربطها بمنظومة إدارة المخاطر الصحية والبيئية والسكانية، مبرزاً أن ضمان سلامة المستفيدين من الخدمات المؤسسية لا يقتصر على البيئة الاستشفائية بل يمتد ليشمل مختلف البيئات الخدمية التي يتفاعل معها الأفراد. ويرى عثمان وآل جحني (2023) أن الأهمية تتصاعد في السياقات الاستثنائية كالأحداث الرياضية الكبرى وغيرها من التجمعات الجماهيرية، حيث تُشكّل إدارة المخاطر الصحية شرطاً لضمان سلامة الأعداد الضخمة من المستفيدين. وترى  الباحث  </w:t>
      </w:r>
      <w:r w:rsidRPr="00AC2418">
        <w:rPr>
          <w:rFonts w:ascii="Simplified Arabic" w:eastAsia="Times New Roman" w:hAnsi="Simplified Arabic" w:cs="Simplified Arabic"/>
          <w:color w:val="000000" w:themeColor="text1"/>
          <w:kern w:val="0"/>
          <w:sz w:val="28"/>
          <w:szCs w:val="28"/>
          <w:rtl/>
          <w14:ligatures w14:val="none"/>
        </w:rPr>
        <w:lastRenderedPageBreak/>
        <w:t>أن هذه المحاور مجتمعة تُرسّخ قناعة بأن سلامة المرضى ليست مجرد هدف تشغيلي، بل قيمة استراتيجية تحدد هوية المؤسسة الصحية ومكانتها</w:t>
      </w:r>
      <w:r w:rsidRPr="00AC2418">
        <w:rPr>
          <w:rFonts w:ascii="Simplified Arabic" w:eastAsia="Times New Roman" w:hAnsi="Simplified Arabic" w:cs="Simplified Arabic"/>
          <w:color w:val="000000" w:themeColor="text1"/>
          <w:kern w:val="0"/>
          <w:sz w:val="28"/>
          <w:szCs w:val="28"/>
          <w14:ligatures w14:val="none"/>
        </w:rPr>
        <w:t>.</w:t>
      </w:r>
    </w:p>
    <w:p w14:paraId="67A5D66E" w14:textId="56FE9445"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4537615"/>
      <w:r w:rsidRPr="00AC2418">
        <w:rPr>
          <w:rFonts w:ascii="Simplified Arabic" w:eastAsia="Times New Roman" w:hAnsi="Simplified Arabic" w:cs="Simplified Arabic" w:hint="cs"/>
          <w:b/>
          <w:bCs/>
          <w:color w:val="000000" w:themeColor="text1"/>
          <w:kern w:val="0"/>
          <w:sz w:val="32"/>
          <w:szCs w:val="32"/>
          <w:rtl/>
          <w14:ligatures w14:val="none"/>
        </w:rPr>
        <w:t>4.2.2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أهداف تحقيق سلامة المرضى</w:t>
      </w:r>
      <w:bookmarkEnd w:id="31"/>
    </w:p>
    <w:p w14:paraId="6020318B"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تتمحور الأهداف التي تسعى المؤسسات الصحية إلى تحقيقها من خلال منظومة سلامة المرضى حول جملة من الغايات المتشابكة التي تتناول المريض والفريق الصحي والمؤسسة والمجتمع في آن واحد. وقد تناول الباحثون هذه الأهداف من زوايا متعددة تعكس تنوع مداخل التطبيق. ويُحدد الحكيمي وأبو طالب (2025) الأهداف الرئيسة في: تقليص معدلات الأحداث الضارة والمضاعفات المرتبطة بالرعاية الصحية؛ ورفع مستوى الوعي المؤسسي بمفهوم السلامة عبر مختلف المستويات التنظيمية؛ وبناء منظومة إبلاغ آمنة تُشجّع على الشفافية وتنبذ ثقافة اللوم؛ وتعزيز التعلم المؤسسي من الأخطاء لضمان عدم تكرارها</w:t>
      </w:r>
      <w:r w:rsidRPr="00AC2418">
        <w:rPr>
          <w:rFonts w:ascii="Simplified Arabic" w:eastAsia="Times New Roman" w:hAnsi="Simplified Arabic" w:cs="Simplified Arabic"/>
          <w:color w:val="000000" w:themeColor="text1"/>
          <w:kern w:val="0"/>
          <w:sz w:val="28"/>
          <w:szCs w:val="28"/>
          <w14:ligatures w14:val="none"/>
        </w:rPr>
        <w:t>.</w:t>
      </w:r>
    </w:p>
    <w:p w14:paraId="4E199DCD"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ويطرح الرويلي والنيف (2025) أهدافاً مرتبطة بتجربة المستفيد، تتضمن: تحسين مستوى الرضا الكلي للمرضى عن الخدمة الصحية؛ وبناء علاقة ثقة مستدامة بين المريض والمؤسسة الصحية؛ وتعزيز الشعور بالطمأنينة خلال مراحل التقييم والتشخيص والعلاج؛ وضمان استمرارية الرعاية بعد التعافي عبر متابعة منظمة تُقلّص فرص الانتكاسة</w:t>
      </w:r>
      <w:r w:rsidRPr="00AC2418">
        <w:rPr>
          <w:rFonts w:ascii="Simplified Arabic" w:eastAsia="Times New Roman" w:hAnsi="Simplified Arabic" w:cs="Simplified Arabic"/>
          <w:color w:val="000000" w:themeColor="text1"/>
          <w:kern w:val="0"/>
          <w:sz w:val="28"/>
          <w:szCs w:val="28"/>
          <w14:ligatures w14:val="none"/>
        </w:rPr>
        <w:t>.</w:t>
      </w:r>
    </w:p>
    <w:p w14:paraId="47C7A86D"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منظور إدارة المخاطر، يُبرز داخل وآخرون (2022) أهدافاً تتصل بالتخطيط الاستراتيجي، تشمل: دمج منظومة السلامة ضمن الخطط الاستراتيجية للمؤسسة؛ وتحقيق التكامل بين إدارة الجودة وإدارة المخاطر ضمن رؤية موحدة؛ وبناء قدرات مؤسسية للاستجابة الفاعلة للأزمات دون الإخلال بمعايير السلامة. ويُضيف</w:t>
      </w:r>
      <w:r w:rsidRPr="00AC2418">
        <w:rPr>
          <w:rFonts w:ascii="Simplified Arabic" w:eastAsia="Times New Roman" w:hAnsi="Simplified Arabic" w:cs="Simplified Arabic"/>
          <w:color w:val="000000" w:themeColor="text1"/>
          <w:kern w:val="0"/>
          <w:sz w:val="28"/>
          <w:szCs w:val="28"/>
          <w14:ligatures w14:val="none"/>
        </w:rPr>
        <w:t xml:space="preserve"> Ferrara et al. (2024) </w:t>
      </w:r>
      <w:r w:rsidRPr="00AC2418">
        <w:rPr>
          <w:rFonts w:ascii="Simplified Arabic" w:eastAsia="Times New Roman" w:hAnsi="Simplified Arabic" w:cs="Simplified Arabic"/>
          <w:color w:val="000000" w:themeColor="text1"/>
          <w:kern w:val="0"/>
          <w:sz w:val="28"/>
          <w:szCs w:val="28"/>
          <w:rtl/>
          <w14:ligatures w14:val="none"/>
        </w:rPr>
        <w:t>أهدافاً مرتبطة بالحوكمة، أبرزها: ضمان توافق الممارسات المؤسسية مع المعايير الدولية للسلامة؛ وتفعيل آليات المساءلة الداخلية بصورة تحفظ حقوق المرضى والعاملين معاً</w:t>
      </w:r>
      <w:r w:rsidRPr="00AC2418">
        <w:rPr>
          <w:rFonts w:ascii="Simplified Arabic" w:eastAsia="Times New Roman" w:hAnsi="Simplified Arabic" w:cs="Simplified Arabic"/>
          <w:color w:val="000000" w:themeColor="text1"/>
          <w:kern w:val="0"/>
          <w:sz w:val="28"/>
          <w:szCs w:val="28"/>
          <w14:ligatures w14:val="none"/>
        </w:rPr>
        <w:t>.</w:t>
      </w:r>
    </w:p>
    <w:p w14:paraId="5195271A" w14:textId="63A5D191"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ويُبرز نشوان وأبو النور (2022) أهدافاً ترتبط بثقافة السلامة داخل الأقسام الحرجة، من أبرزها: بناء بيئة عمل داعمة نفسياً للفرق الصحية، وتعزيز الاتصال الفعّال بين أعضاء الفريق متعدد التخصصات، وترسيخ قيم العمل الجماعي بوصفها ضمانة أساسية لتقليص فرص الخطأ. وتخلص  الباحث  إلى أن هذه الأهداف تتقاطع في غاية كبرى مفادها بناء منظومة صحية تُعلي من قيمة الإنسان وحقه في رعاية آمنة، وتُحوّل الأخطاء إلى فرص للتعلم والتحسين المستمر</w:t>
      </w:r>
      <w:r w:rsidRPr="00AC2418">
        <w:rPr>
          <w:rFonts w:ascii="Simplified Arabic" w:eastAsia="Times New Roman" w:hAnsi="Simplified Arabic" w:cs="Simplified Arabic"/>
          <w:color w:val="000000" w:themeColor="text1"/>
          <w:kern w:val="0"/>
          <w:sz w:val="28"/>
          <w:szCs w:val="28"/>
          <w14:ligatures w14:val="none"/>
        </w:rPr>
        <w:t>.</w:t>
      </w:r>
    </w:p>
    <w:p w14:paraId="6209F18D" w14:textId="5B5A7E9A"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4537616"/>
      <w:r w:rsidRPr="00AC2418">
        <w:rPr>
          <w:rFonts w:ascii="Simplified Arabic" w:eastAsia="Times New Roman" w:hAnsi="Simplified Arabic" w:cs="Simplified Arabic" w:hint="cs"/>
          <w:b/>
          <w:bCs/>
          <w:color w:val="000000" w:themeColor="text1"/>
          <w:kern w:val="0"/>
          <w:sz w:val="32"/>
          <w:szCs w:val="32"/>
          <w:rtl/>
          <w14:ligatures w14:val="none"/>
        </w:rPr>
        <w:lastRenderedPageBreak/>
        <w:t>5.2.2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أبعاد سلامة المرضى</w:t>
      </w:r>
      <w:bookmarkEnd w:id="32"/>
    </w:p>
    <w:p w14:paraId="328497A6"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تم تحديد أبعاد سلامة المرضى في هذه الدراسة استناداً إلى مراجعة تحليلية لعدد من الدراسات المرجعية، أبرزها دراسة نشوان وأبو النور (2022) التي تناولت ثقافة سلامة المرضى في وحدات العناية المركزة للأطفال، ودراسة قبج وخليف (2023) التي بحثت أثر تطبيق أهداف السلامة الدولية على ثقافة سلامة المرضى، ودراسة</w:t>
      </w:r>
      <w:r w:rsidRPr="00AC2418">
        <w:rPr>
          <w:rFonts w:ascii="Simplified Arabic" w:eastAsia="Times New Roman" w:hAnsi="Simplified Arabic" w:cs="Simplified Arabic"/>
          <w:color w:val="000000" w:themeColor="text1"/>
          <w:kern w:val="0"/>
          <w:sz w:val="28"/>
          <w:szCs w:val="28"/>
          <w14:ligatures w14:val="none"/>
        </w:rPr>
        <w:t xml:space="preserve"> De Micco et al. (2025) </w:t>
      </w:r>
      <w:r w:rsidRPr="00AC2418">
        <w:rPr>
          <w:rFonts w:ascii="Simplified Arabic" w:eastAsia="Times New Roman" w:hAnsi="Simplified Arabic" w:cs="Simplified Arabic"/>
          <w:color w:val="000000" w:themeColor="text1"/>
          <w:kern w:val="0"/>
          <w:sz w:val="28"/>
          <w:szCs w:val="28"/>
          <w:rtl/>
          <w14:ligatures w14:val="none"/>
        </w:rPr>
        <w:t>التي حلّلت التحولات التي تُحدثها الأنظمة الذكية في منظومة السلامة، إضافة إلى دراسة</w:t>
      </w:r>
      <w:r w:rsidRPr="00AC2418">
        <w:rPr>
          <w:rFonts w:ascii="Simplified Arabic" w:eastAsia="Times New Roman" w:hAnsi="Simplified Arabic" w:cs="Simplified Arabic"/>
          <w:color w:val="000000" w:themeColor="text1"/>
          <w:kern w:val="0"/>
          <w:sz w:val="28"/>
          <w:szCs w:val="28"/>
          <w14:ligatures w14:val="none"/>
        </w:rPr>
        <w:t xml:space="preserve"> Eldesoky et al. (2025) </w:t>
      </w:r>
      <w:r w:rsidRPr="00AC2418">
        <w:rPr>
          <w:rFonts w:ascii="Simplified Arabic" w:eastAsia="Times New Roman" w:hAnsi="Simplified Arabic" w:cs="Simplified Arabic"/>
          <w:color w:val="000000" w:themeColor="text1"/>
          <w:kern w:val="0"/>
          <w:sz w:val="28"/>
          <w:szCs w:val="28"/>
          <w:rtl/>
          <w14:ligatures w14:val="none"/>
        </w:rPr>
        <w:t>التي ربطت بين اتجاهات مقدمي الرعاية نحو الذكاء الاصطناعي وثقافة السلامة. وتنتظم هذه الأبعاد ضمن رؤية متكاملة تتناول السلامة من زوايا مترابطة</w:t>
      </w:r>
      <w:r w:rsidRPr="00AC2418">
        <w:rPr>
          <w:rFonts w:ascii="Simplified Arabic" w:eastAsia="Times New Roman" w:hAnsi="Simplified Arabic" w:cs="Simplified Arabic"/>
          <w:color w:val="000000" w:themeColor="text1"/>
          <w:kern w:val="0"/>
          <w:sz w:val="28"/>
          <w:szCs w:val="28"/>
          <w14:ligatures w14:val="none"/>
        </w:rPr>
        <w:t>.</w:t>
      </w:r>
    </w:p>
    <w:p w14:paraId="23BA8496"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الأول: ثقافة السلامة المؤسسية</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يُشكّل هذا البُعد الأساس القيمي الذي تنبني عليه بقية الأبعاد، إذ يتضمّن منظومة القيم والمعتقدات والممارسات المشتركة التي تُوجّه سلوك العاملين نحو حماية المرضى. ويرى قبج وخليف (2023) أن ثقافة السلامة تتجلى في مؤشرات عدة، أبرزها: مدى شيوع قيم الشفافية والمساءلة داخل المؤسسة، ودرجة الالتزام بالإبلاغ عن الأحداث والأخطاء، ومستوى الدعم القيادي للممارسات الآمنة. ويرتبط هذا البُعد بمفهوم “بيئة العمل النفسية الآمنة” التي تُتيح للعاملين الإفصاح عن مخاوفهم دون الخشية من اللوم أو العقاب، وهو ما يُشكّل شرطاً جوهرياً لبناء منظومة تعلم مؤسسي فاعلة</w:t>
      </w:r>
      <w:r w:rsidRPr="00AC2418">
        <w:rPr>
          <w:rFonts w:ascii="Simplified Arabic" w:eastAsia="Times New Roman" w:hAnsi="Simplified Arabic" w:cs="Simplified Arabic"/>
          <w:color w:val="000000" w:themeColor="text1"/>
          <w:kern w:val="0"/>
          <w:sz w:val="28"/>
          <w:szCs w:val="28"/>
          <w14:ligatures w14:val="none"/>
        </w:rPr>
        <w:t>.</w:t>
      </w:r>
    </w:p>
    <w:p w14:paraId="457D3AB2"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الثاني: منع الأخطاء الطبية والحد منها</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يتناول هذا البُعد الممارسات الوقائية التي تستهدف تقليص فرص وقوع الأخطاء التشخيصية والدوائية والإجرائية. ويُشير</w:t>
      </w:r>
      <w:r w:rsidRPr="00AC2418">
        <w:rPr>
          <w:rFonts w:ascii="Simplified Arabic" w:eastAsia="Times New Roman" w:hAnsi="Simplified Arabic" w:cs="Simplified Arabic"/>
          <w:color w:val="000000" w:themeColor="text1"/>
          <w:kern w:val="0"/>
          <w:sz w:val="28"/>
          <w:szCs w:val="28"/>
          <w14:ligatures w14:val="none"/>
        </w:rPr>
        <w:t xml:space="preserve"> Baurasien et al. (2023) </w:t>
      </w:r>
      <w:r w:rsidRPr="00AC2418">
        <w:rPr>
          <w:rFonts w:ascii="Simplified Arabic" w:eastAsia="Times New Roman" w:hAnsi="Simplified Arabic" w:cs="Simplified Arabic"/>
          <w:color w:val="000000" w:themeColor="text1"/>
          <w:kern w:val="0"/>
          <w:sz w:val="28"/>
          <w:szCs w:val="28"/>
          <w:rtl/>
          <w14:ligatures w14:val="none"/>
        </w:rPr>
        <w:t>إلى أن هذا البُعد يستوجب توظيف استراتيجيات متعددة المستويات تشمل: تصميم أنظمة عمل مقاومة للخطأ، وأتمتة عمليات التحقق من الوصفات الدوائية، وبناء بروتوكولات إجرائية موحدة تُقلّص فرص التباين في الممارسة. ويتّسع هذا البُعد ليشمل الأخطاء الوشيكة أيضاً، بوصفها مؤشرات مبكرة تُتيح للمؤسسة اتخاذ إجراءات تصحيحية قبل تحوّل الخطأ إلى ضرر فعلي</w:t>
      </w:r>
      <w:r w:rsidRPr="00AC2418">
        <w:rPr>
          <w:rFonts w:ascii="Simplified Arabic" w:eastAsia="Times New Roman" w:hAnsi="Simplified Arabic" w:cs="Simplified Arabic"/>
          <w:color w:val="000000" w:themeColor="text1"/>
          <w:kern w:val="0"/>
          <w:sz w:val="28"/>
          <w:szCs w:val="28"/>
          <w14:ligatures w14:val="none"/>
        </w:rPr>
        <w:t>.</w:t>
      </w:r>
    </w:p>
    <w:p w14:paraId="70418E16"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الثالث: الاستجابة السريعة للحوادث والأحداث الضارة</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يتناول هذا البُعد كفاءة المنظومة الصحية في التعامل مع الحوادث عند وقوعها، بحيث يُقلَّص الضرر الناجم عنها ويُوقف تسلسلها إلى أضرار إضافية. ويُشير</w:t>
      </w:r>
      <w:r w:rsidRPr="00AC2418">
        <w:rPr>
          <w:rFonts w:ascii="Simplified Arabic" w:eastAsia="Times New Roman" w:hAnsi="Simplified Arabic" w:cs="Simplified Arabic"/>
          <w:color w:val="000000" w:themeColor="text1"/>
          <w:kern w:val="0"/>
          <w:sz w:val="28"/>
          <w:szCs w:val="28"/>
          <w14:ligatures w14:val="none"/>
        </w:rPr>
        <w:t xml:space="preserve"> Al-Sofyani (2025) </w:t>
      </w:r>
      <w:r w:rsidRPr="00AC2418">
        <w:rPr>
          <w:rFonts w:ascii="Simplified Arabic" w:eastAsia="Times New Roman" w:hAnsi="Simplified Arabic" w:cs="Simplified Arabic"/>
          <w:color w:val="000000" w:themeColor="text1"/>
          <w:kern w:val="0"/>
          <w:sz w:val="28"/>
          <w:szCs w:val="28"/>
          <w:rtl/>
          <w14:ligatures w14:val="none"/>
        </w:rPr>
        <w:t xml:space="preserve">إلى أن هذا البُعد يكتسب أهمية استثنائية في الأقسام الحرجة كوحدات العناية المركزة، حيث تُشكّل السرعة عاملاً حاسماً في تحديد مصير المريض. ويشمل هذا البُعد جاهزية </w:t>
      </w:r>
      <w:r w:rsidRPr="00AC2418">
        <w:rPr>
          <w:rFonts w:ascii="Simplified Arabic" w:eastAsia="Times New Roman" w:hAnsi="Simplified Arabic" w:cs="Simplified Arabic"/>
          <w:color w:val="000000" w:themeColor="text1"/>
          <w:kern w:val="0"/>
          <w:sz w:val="28"/>
          <w:szCs w:val="28"/>
          <w:rtl/>
          <w14:ligatures w14:val="none"/>
        </w:rPr>
        <w:lastRenderedPageBreak/>
        <w:t>الفرق الطبية، وسلاسة مسارات الإحالة الداخلية، وكفاءة أنظمة الاتصال بين الأقسام، والقدرة على اتخاذ قرارات علاجية سريعة ومدروسة تحت ضغط الوقت</w:t>
      </w:r>
      <w:r w:rsidRPr="00AC2418">
        <w:rPr>
          <w:rFonts w:ascii="Simplified Arabic" w:eastAsia="Times New Roman" w:hAnsi="Simplified Arabic" w:cs="Simplified Arabic"/>
          <w:color w:val="000000" w:themeColor="text1"/>
          <w:kern w:val="0"/>
          <w:sz w:val="28"/>
          <w:szCs w:val="28"/>
          <w14:ligatures w14:val="none"/>
        </w:rPr>
        <w:t>.</w:t>
      </w:r>
    </w:p>
    <w:p w14:paraId="1DF4D084"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الرابع: التعلم المؤسسي وتحسين النظم</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يُمثّل هذا البُعد الحلقة التي تُغلق دائرة إدارة السلامة، إذ يُحوّل الحوادث والأخطاء إلى مدخلات معرفية تُوظَّف في تطوير السياسات والإجراءات ومنع تكرار الحوادث. ويرى</w:t>
      </w:r>
      <w:r w:rsidRPr="00AC2418">
        <w:rPr>
          <w:rFonts w:ascii="Simplified Arabic" w:eastAsia="Times New Roman" w:hAnsi="Simplified Arabic" w:cs="Simplified Arabic"/>
          <w:color w:val="000000" w:themeColor="text1"/>
          <w:kern w:val="0"/>
          <w:sz w:val="28"/>
          <w:szCs w:val="28"/>
          <w14:ligatures w14:val="none"/>
        </w:rPr>
        <w:t xml:space="preserve"> Nawawi et al. (2025) </w:t>
      </w:r>
      <w:r w:rsidRPr="00AC2418">
        <w:rPr>
          <w:rFonts w:ascii="Simplified Arabic" w:eastAsia="Times New Roman" w:hAnsi="Simplified Arabic" w:cs="Simplified Arabic"/>
          <w:color w:val="000000" w:themeColor="text1"/>
          <w:kern w:val="0"/>
          <w:sz w:val="28"/>
          <w:szCs w:val="28"/>
          <w:rtl/>
          <w14:ligatures w14:val="none"/>
        </w:rPr>
        <w:t>أن هذا البُعد يُشكّل نقطة التقاء جوهرية بين منظومة السلامة ومنظومة تحسين الجودة المستمر، إذ يُتيح للمؤسسة التعلم من تجاربها وبناء ذاكرة مؤسسية غنية تُشكّل مرجعية للممارسات المستقبلية. ويشمل هذا البُعد أنظمة تحليل مسبِّبات الجذور، ومراجعة الحوادث الوشيكة، وتقييم فاعلية الإجراءات التصحيحية المُطبَّقة</w:t>
      </w:r>
      <w:r w:rsidRPr="00AC2418">
        <w:rPr>
          <w:rFonts w:ascii="Simplified Arabic" w:eastAsia="Times New Roman" w:hAnsi="Simplified Arabic" w:cs="Simplified Arabic"/>
          <w:color w:val="000000" w:themeColor="text1"/>
          <w:kern w:val="0"/>
          <w:sz w:val="28"/>
          <w:szCs w:val="28"/>
          <w14:ligatures w14:val="none"/>
        </w:rPr>
        <w:t>.</w:t>
      </w:r>
    </w:p>
    <w:p w14:paraId="53F0086E"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البُعد الخامس: مشاركة المريض في منظومة السلامة</w:t>
      </w:r>
      <w:r w:rsidRPr="00AC2418">
        <w:rPr>
          <w:rFonts w:ascii="Simplified Arabic" w:eastAsia="Times New Roman" w:hAnsi="Simplified Arabic" w:cs="Simplified Arabic"/>
          <w:color w:val="000000" w:themeColor="text1"/>
          <w:kern w:val="0"/>
          <w:sz w:val="28"/>
          <w:szCs w:val="28"/>
          <w14:ligatures w14:val="none"/>
        </w:rPr>
        <w:t xml:space="preserve">. </w:t>
      </w:r>
      <w:r w:rsidRPr="00AC2418">
        <w:rPr>
          <w:rFonts w:ascii="Simplified Arabic" w:eastAsia="Times New Roman" w:hAnsi="Simplified Arabic" w:cs="Simplified Arabic"/>
          <w:color w:val="000000" w:themeColor="text1"/>
          <w:kern w:val="0"/>
          <w:sz w:val="28"/>
          <w:szCs w:val="28"/>
          <w:rtl/>
          <w14:ligatures w14:val="none"/>
        </w:rPr>
        <w:t>يُضاف هذا البُعد بوصفه اتجاهاً حديثاً في أدبيات سلامة المرضى، يقوم على تمكين المريض من أن يكون شريكاً فاعلاً في حماية سلامته، لا مجرد متلقٍّ سلبي للخدمة. ويُبرز أزيبي (2024) أن مشاركة المريض تشمل تزويده بمعلومات وافية عن حالته وخطته العلاجية، وتشجيعه على طرح الأسئلة والإفصاح عن مخاوفه، وإشراكه في القرارات التي تخص جسده وحياته</w:t>
      </w:r>
      <w:r w:rsidRPr="00AC2418">
        <w:rPr>
          <w:rFonts w:ascii="Simplified Arabic" w:eastAsia="Times New Roman" w:hAnsi="Simplified Arabic" w:cs="Simplified Arabic"/>
          <w:color w:val="000000" w:themeColor="text1"/>
          <w:kern w:val="0"/>
          <w:sz w:val="28"/>
          <w:szCs w:val="28"/>
          <w14:ligatures w14:val="none"/>
        </w:rPr>
        <w:t>.</w:t>
      </w:r>
    </w:p>
    <w:p w14:paraId="3A8051CE" w14:textId="5BABF49F"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4537617"/>
      <w:r w:rsidRPr="00AC2418">
        <w:rPr>
          <w:rFonts w:ascii="Simplified Arabic" w:eastAsia="Times New Roman" w:hAnsi="Simplified Arabic" w:cs="Simplified Arabic" w:hint="cs"/>
          <w:b/>
          <w:bCs/>
          <w:color w:val="000000" w:themeColor="text1"/>
          <w:kern w:val="0"/>
          <w:sz w:val="32"/>
          <w:szCs w:val="32"/>
          <w:rtl/>
          <w14:ligatures w14:val="none"/>
        </w:rPr>
        <w:t>6.2.2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مقومات تعزيز سلامة المرضى</w:t>
      </w:r>
      <w:bookmarkEnd w:id="33"/>
    </w:p>
    <w:p w14:paraId="67CF309D"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يستلزم بناء منظومة فاعلة لسلامة المرضى توفر جملة من المقومات الأساسية التي تتقاطع فيها الأبعاد القيادية والتنظيمية والتقنية. وتتصدر هذه المقومات القيادة الملتزمة، إذ لا يُمكن لأي مبادرة للسلامة أن تحقق أثراً مستداماً في غياب دعم قيادي واضح يُخصص الموارد اللازمة ويُرسّخ السلامة بوصفها أولوية استراتيجية. ويرتبط بذلك ما يُشير إليه الحكيم والخفاف (2024) في دراسة أخرى لهما حول الكفاءة الذاتية للطبيب الاستشاري ودورها في تحسين سلامة المرضى، إذ إن بناء كفاءات مهنية متقدمة يُشكّل أحد المقومات الجوهرية لتحقيق السلامة على المستوى التشغيلي</w:t>
      </w:r>
      <w:r w:rsidRPr="00AC2418">
        <w:rPr>
          <w:rFonts w:ascii="Simplified Arabic" w:eastAsia="Times New Roman" w:hAnsi="Simplified Arabic" w:cs="Simplified Arabic"/>
          <w:color w:val="000000" w:themeColor="text1"/>
          <w:kern w:val="0"/>
          <w:sz w:val="28"/>
          <w:szCs w:val="28"/>
          <w14:ligatures w14:val="none"/>
        </w:rPr>
        <w:t>.</w:t>
      </w:r>
    </w:p>
    <w:p w14:paraId="1288DCA4"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ومن الناحية التنظيمية، يُبرز شحاتة وبدير (2021) أهمية وجود هياكل تنظيمية واضحة تُحدد المسؤوليات المرتبطة بالسلامة عبر مختلف المستويات، بحيث لا تتحول إلى مسؤولية غامضة لا يتحمّلها أحد. ويتكامل مع ذلك ضرورة وجود سياسات وإجراءات موثقة تُوجّه الممارسة اليومية، وأنظمة إبلاغ سهلة الاستخدام تُشجّع على الشفافية</w:t>
      </w:r>
      <w:r w:rsidRPr="00AC2418">
        <w:rPr>
          <w:rFonts w:ascii="Simplified Arabic" w:eastAsia="Times New Roman" w:hAnsi="Simplified Arabic" w:cs="Simplified Arabic"/>
          <w:color w:val="000000" w:themeColor="text1"/>
          <w:kern w:val="0"/>
          <w:sz w:val="28"/>
          <w:szCs w:val="28"/>
          <w14:ligatures w14:val="none"/>
        </w:rPr>
        <w:t>.</w:t>
      </w:r>
    </w:p>
    <w:p w14:paraId="27853EBF"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lastRenderedPageBreak/>
        <w:t>ومن الناحية التقنية، يُشير أبو ضيف وآخرون (2025) إلى أن البيئة الفيزيقية للمستشفى تُشكّل أحد المقومات المؤثرة على السلامة، إذ إن التصميم المدروس للفضاءات الاستشفائية، وتوظيف تقنيات مثل الواقع المعزز في تحسين البيئة الداخلية، يُسهم في تقليص فرص التعرض للمخاطر البيئية والنفسية. ويُدعم هذا التوجه شريف (2024) الذي يُبرز أن توظيف التقنيات المتقدمة كالطباعة ثلاثية الأبعاد يُشكّل رافداً نوعياً لتحسين جودة الخدمة الصحية، بما ينعكس مباشرة على سلامة المرضى</w:t>
      </w:r>
      <w:r w:rsidRPr="00AC2418">
        <w:rPr>
          <w:rFonts w:ascii="Simplified Arabic" w:eastAsia="Times New Roman" w:hAnsi="Simplified Arabic" w:cs="Simplified Arabic"/>
          <w:color w:val="000000" w:themeColor="text1"/>
          <w:kern w:val="0"/>
          <w:sz w:val="28"/>
          <w:szCs w:val="28"/>
          <w14:ligatures w14:val="none"/>
        </w:rPr>
        <w:t>.</w:t>
      </w:r>
    </w:p>
    <w:p w14:paraId="3DC4DD95" w14:textId="557C6BE0" w:rsidR="005750C3" w:rsidRPr="00AC2418" w:rsidRDefault="00AF6B87" w:rsidP="00AF6B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4537618"/>
      <w:r w:rsidRPr="00AC2418">
        <w:rPr>
          <w:rFonts w:ascii="Simplified Arabic" w:eastAsia="Times New Roman" w:hAnsi="Simplified Arabic" w:cs="Simplified Arabic" w:hint="cs"/>
          <w:b/>
          <w:bCs/>
          <w:color w:val="000000" w:themeColor="text1"/>
          <w:kern w:val="0"/>
          <w:sz w:val="32"/>
          <w:szCs w:val="32"/>
          <w:rtl/>
          <w14:ligatures w14:val="none"/>
        </w:rPr>
        <w:t>7.2.2</w:t>
      </w:r>
      <w:r w:rsidR="005750C3" w:rsidRPr="00AC2418">
        <w:rPr>
          <w:rFonts w:ascii="Simplified Arabic" w:eastAsia="Times New Roman" w:hAnsi="Simplified Arabic" w:cs="Simplified Arabic"/>
          <w:b/>
          <w:bCs/>
          <w:color w:val="000000" w:themeColor="text1"/>
          <w:kern w:val="0"/>
          <w:sz w:val="32"/>
          <w:szCs w:val="32"/>
          <w:rtl/>
          <w14:ligatures w14:val="none"/>
        </w:rPr>
        <w:t xml:space="preserve"> التحديات التي تواجه منظومة سلامة المرضى</w:t>
      </w:r>
      <w:bookmarkEnd w:id="34"/>
    </w:p>
    <w:p w14:paraId="44757FCF"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على الرغم من التقدم الملحوظ في مقاربات سلامة المرضى، فإن ثمة تحديات جوهرية تعترض بناء منظومة فاعلة ومستدامة. وتتصدر هذه التحديات الفجوات الثقافية، إذ لا تزال ثقافة اللوم سائدة في كثير من البيئات الصحية، مما يُعيق الإبلاغ الشفاف عن الأخطاء ويحرم المؤسسة من فرص التعلم منها. ويُشير</w:t>
      </w:r>
      <w:r w:rsidRPr="00AC2418">
        <w:rPr>
          <w:rFonts w:ascii="Simplified Arabic" w:eastAsia="Times New Roman" w:hAnsi="Simplified Arabic" w:cs="Simplified Arabic"/>
          <w:color w:val="000000" w:themeColor="text1"/>
          <w:kern w:val="0"/>
          <w:sz w:val="28"/>
          <w:szCs w:val="28"/>
          <w14:ligatures w14:val="none"/>
        </w:rPr>
        <w:t xml:space="preserve"> Ratwani et al. (2024) </w:t>
      </w:r>
      <w:r w:rsidRPr="00AC2418">
        <w:rPr>
          <w:rFonts w:ascii="Simplified Arabic" w:eastAsia="Times New Roman" w:hAnsi="Simplified Arabic" w:cs="Simplified Arabic"/>
          <w:color w:val="000000" w:themeColor="text1"/>
          <w:kern w:val="0"/>
          <w:sz w:val="28"/>
          <w:szCs w:val="28"/>
          <w:rtl/>
          <w14:ligatures w14:val="none"/>
        </w:rPr>
        <w:t>إلى أن التحول من ثقافة اللوم إلى ثقافة التعلم يستوجب جهوداً منظّمة طويلة الأمد تتناول القيادة والحوافز وأنظمة التقييم</w:t>
      </w:r>
      <w:r w:rsidRPr="00AC2418">
        <w:rPr>
          <w:rFonts w:ascii="Simplified Arabic" w:eastAsia="Times New Roman" w:hAnsi="Simplified Arabic" w:cs="Simplified Arabic"/>
          <w:color w:val="000000" w:themeColor="text1"/>
          <w:kern w:val="0"/>
          <w:sz w:val="28"/>
          <w:szCs w:val="28"/>
          <w14:ligatures w14:val="none"/>
        </w:rPr>
        <w:t>.</w:t>
      </w:r>
    </w:p>
    <w:p w14:paraId="6AB50A81" w14:textId="77777777" w:rsidR="005750C3"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ويُبرز داخل وآخرون (2022) تحديات مرتبطة بضعف التخطيط الاستراتيجي في بعض المنظمات الصحية، حيث تُعامَل السلامة بوصفها قضية تشغيلية تنفيذية بدلاً من كونها ركيزة استراتيجية. ويُضاف إلى ذلك تحديات مرتبطة بمحدودية الموارد المالية والبشرية، خاصة في السياقات التي تعاني من ضغوط ديموغرافية أو اقتصادية عالية، وهو ما يُبرزه معياش وراشدي (2021) في دراستهما حول اتصال المخاطر في سياق الأزمات الصحية</w:t>
      </w:r>
      <w:r w:rsidRPr="00AC2418">
        <w:rPr>
          <w:rFonts w:ascii="Simplified Arabic" w:eastAsia="Times New Roman" w:hAnsi="Simplified Arabic" w:cs="Simplified Arabic"/>
          <w:color w:val="000000" w:themeColor="text1"/>
          <w:kern w:val="0"/>
          <w:sz w:val="28"/>
          <w:szCs w:val="28"/>
          <w14:ligatures w14:val="none"/>
        </w:rPr>
        <w:t>.</w:t>
      </w:r>
    </w:p>
    <w:p w14:paraId="6511630E" w14:textId="77777777" w:rsidR="00AF6B87" w:rsidRPr="00AC2418" w:rsidRDefault="005750C3" w:rsidP="00AF6B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2418">
        <w:rPr>
          <w:rFonts w:ascii="Simplified Arabic" w:eastAsia="Times New Roman" w:hAnsi="Simplified Arabic" w:cs="Simplified Arabic"/>
          <w:color w:val="000000" w:themeColor="text1"/>
          <w:kern w:val="0"/>
          <w:sz w:val="28"/>
          <w:szCs w:val="28"/>
          <w:rtl/>
          <w14:ligatures w14:val="none"/>
        </w:rPr>
        <w:t>وعلى صعيد آخر، تبرز تحديات مرتبطة بإدماج التقنيات الحديثة ضمن منظومة السلامة دون أن تُشكّل مصدراً جديداً للمخاطر. ويرى</w:t>
      </w:r>
      <w:r w:rsidRPr="00AC2418">
        <w:rPr>
          <w:rFonts w:ascii="Simplified Arabic" w:eastAsia="Times New Roman" w:hAnsi="Simplified Arabic" w:cs="Simplified Arabic"/>
          <w:color w:val="000000" w:themeColor="text1"/>
          <w:kern w:val="0"/>
          <w:sz w:val="28"/>
          <w:szCs w:val="28"/>
          <w14:ligatures w14:val="none"/>
        </w:rPr>
        <w:t xml:space="preserve"> Eldesoky et al. (2025) </w:t>
      </w:r>
      <w:r w:rsidRPr="00AC2418">
        <w:rPr>
          <w:rFonts w:ascii="Simplified Arabic" w:eastAsia="Times New Roman" w:hAnsi="Simplified Arabic" w:cs="Simplified Arabic"/>
          <w:color w:val="000000" w:themeColor="text1"/>
          <w:kern w:val="0"/>
          <w:sz w:val="28"/>
          <w:szCs w:val="28"/>
          <w:rtl/>
          <w14:ligatures w14:val="none"/>
        </w:rPr>
        <w:t>أن ضمان توافق التقنيات الذكية مع ثقافة السلامة يستوجب استراتيجيات مدروسة لإدارة التغيير، تشمل التدريب المكثف، والاتصال المفتوح، وبناء الثقة بين الكوادر البشرية والأنظمة الجديدة</w:t>
      </w:r>
      <w:r w:rsidRPr="00AC2418">
        <w:rPr>
          <w:rFonts w:ascii="Simplified Arabic" w:eastAsia="Times New Roman" w:hAnsi="Simplified Arabic" w:cs="Simplified Arabic"/>
          <w:color w:val="000000" w:themeColor="text1"/>
          <w:kern w:val="0"/>
          <w:sz w:val="28"/>
          <w:szCs w:val="28"/>
          <w14:ligatures w14:val="none"/>
        </w:rPr>
        <w:t>.</w:t>
      </w:r>
    </w:p>
    <w:p w14:paraId="2021A648" w14:textId="0EA5B17C" w:rsidR="002035B9" w:rsidRPr="00AC2418" w:rsidRDefault="00AF6B87" w:rsidP="004070EB">
      <w:pPr>
        <w:jc w:val="center"/>
        <w:outlineLvl w:val="0"/>
        <w:rPr>
          <w:rFonts w:ascii="Simplified Arabic" w:hAnsi="Simplified Arabic" w:cs="Simplified Arabic"/>
          <w:b/>
          <w:bCs/>
          <w:color w:val="000000" w:themeColor="text1"/>
          <w:szCs w:val="28"/>
          <w:rtl/>
        </w:rPr>
        <w:sectPr w:rsidR="002035B9" w:rsidRPr="00AC2418" w:rsidSect="00AF6B87">
          <w:footerReference w:type="default" r:id="rId10"/>
          <w:pgSz w:w="11906" w:h="16838" w:code="9"/>
          <w:pgMar w:top="1134" w:right="1701" w:bottom="1134" w:left="1134" w:header="720" w:footer="720" w:gutter="0"/>
          <w:pgNumType w:start="1"/>
          <w:cols w:space="708"/>
          <w:bidi/>
          <w:rtlGutter/>
          <w:docGrid w:linePitch="360"/>
        </w:sectPr>
      </w:pPr>
      <w:r w:rsidRPr="00AC2418">
        <w:rPr>
          <w:rFonts w:ascii="Simplified Arabic" w:eastAsia="Times New Roman" w:hAnsi="Simplified Arabic" w:cs="Simplified Arabic"/>
          <w:b/>
          <w:bCs/>
          <w:color w:val="000000" w:themeColor="text1"/>
          <w:kern w:val="0"/>
          <w:sz w:val="40"/>
          <w:szCs w:val="40"/>
          <w14:ligatures w14:val="none"/>
        </w:rPr>
        <w:br w:type="page"/>
      </w:r>
      <w:bookmarkStart w:id="35" w:name="_GoBack"/>
      <w:bookmarkEnd w:id="1"/>
      <w:bookmarkEnd w:id="35"/>
    </w:p>
    <w:p w14:paraId="29D4231B" w14:textId="71AF7253" w:rsidR="0081623B" w:rsidRPr="00AC2418" w:rsidRDefault="00E27D3B" w:rsidP="00AF6B8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C2418">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308C81D">
            <wp:simplePos x="0" y="0"/>
            <wp:positionH relativeFrom="column">
              <wp:posOffset>4377690</wp:posOffset>
            </wp:positionH>
            <wp:positionV relativeFrom="paragraph">
              <wp:posOffset>0</wp:posOffset>
            </wp:positionV>
            <wp:extent cx="1263015" cy="1169670"/>
            <wp:effectExtent l="0" t="0" r="0" b="0"/>
            <wp:wrapTight wrapText="bothSides">
              <wp:wrapPolygon edited="0">
                <wp:start x="0" y="0"/>
                <wp:lineTo x="0" y="21107"/>
                <wp:lineTo x="21176" y="21107"/>
                <wp:lineTo x="2117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3015" cy="1169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C2418">
        <w:rPr>
          <w:rFonts w:asciiTheme="majorBidi" w:eastAsia="Calibri" w:hAnsiTheme="majorBidi" w:cstheme="majorBidi"/>
          <w:b/>
          <w:bCs/>
          <w:color w:val="000000" w:themeColor="text1"/>
          <w:kern w:val="0"/>
          <w:sz w:val="32"/>
          <w:szCs w:val="32"/>
          <w:lang w:bidi="ar-EG"/>
          <w14:ligatures w14:val="none"/>
        </w:rPr>
        <w:t>Mid</w:t>
      </w:r>
      <w:r w:rsidR="000D353F" w:rsidRPr="00AC2418">
        <w:rPr>
          <w:rFonts w:asciiTheme="majorBidi" w:eastAsia="Calibri" w:hAnsiTheme="majorBidi" w:cstheme="majorBidi"/>
          <w:b/>
          <w:bCs/>
          <w:color w:val="000000" w:themeColor="text1"/>
          <w:kern w:val="0"/>
          <w:sz w:val="32"/>
          <w:szCs w:val="32"/>
          <w:lang w:bidi="ar-EG"/>
          <w14:ligatures w14:val="none"/>
        </w:rPr>
        <w:t xml:space="preserve"> </w:t>
      </w:r>
      <w:r w:rsidR="0081623B" w:rsidRPr="00AC2418">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C2418" w:rsidRDefault="0081623B" w:rsidP="00AF6B8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C2418">
        <w:rPr>
          <w:rFonts w:asciiTheme="majorBidi" w:eastAsia="Calibri" w:hAnsiTheme="majorBidi" w:cstheme="majorBidi"/>
          <w:b/>
          <w:bCs/>
          <w:color w:val="000000" w:themeColor="text1"/>
          <w:kern w:val="0"/>
          <w:sz w:val="32"/>
          <w:szCs w:val="32"/>
          <w:lang w:bidi="ar-EG"/>
          <w14:ligatures w14:val="none"/>
        </w:rPr>
        <w:t>College of Management</w:t>
      </w:r>
    </w:p>
    <w:p w14:paraId="7F1106F3" w14:textId="52F1C71E" w:rsidR="00E27D3B" w:rsidRPr="00AC2418" w:rsidRDefault="002035B9" w:rsidP="002035B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C2418">
        <w:rPr>
          <w:rFonts w:asciiTheme="majorBidi" w:eastAsia="Calibri" w:hAnsiTheme="majorBidi" w:cstheme="majorBidi"/>
          <w:b/>
          <w:bCs/>
          <w:color w:val="000000" w:themeColor="text1"/>
          <w:kern w:val="0"/>
          <w:sz w:val="32"/>
          <w:szCs w:val="32"/>
          <w:lang w:bidi="ar-EG"/>
          <w14:ligatures w14:val="none"/>
        </w:rPr>
        <w:t>Master of Health Administration</w:t>
      </w:r>
    </w:p>
    <w:p w14:paraId="0CBE22B0" w14:textId="77777777" w:rsidR="00CC6261" w:rsidRPr="00AC2418" w:rsidRDefault="00CC6261" w:rsidP="00AF6B8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FD49B4D" w14:textId="77777777" w:rsidR="00054375" w:rsidRPr="00AC2418" w:rsidRDefault="00054375" w:rsidP="002035B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C2418">
        <w:rPr>
          <w:rFonts w:asciiTheme="majorBidi" w:eastAsia="Calibri" w:hAnsiTheme="majorBidi" w:cstheme="majorBidi"/>
          <w:b/>
          <w:bCs/>
          <w:color w:val="000000" w:themeColor="text1"/>
          <w:kern w:val="0"/>
          <w:sz w:val="40"/>
          <w:szCs w:val="40"/>
          <w:lang w:bidi="ar-EG"/>
          <w14:ligatures w14:val="none"/>
        </w:rPr>
        <w:t>The impact of using artificial intelligence techniques in health risk management on patient safety: a field study on Saudi hospitals.</w:t>
      </w:r>
    </w:p>
    <w:p w14:paraId="55A2FFA6" w14:textId="77777777" w:rsidR="002035B9" w:rsidRPr="00AC2418" w:rsidRDefault="002035B9" w:rsidP="002035B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41CA1000" w:rsidR="000D353F" w:rsidRPr="00AC2418" w:rsidRDefault="000D353F" w:rsidP="002035B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2418">
        <w:rPr>
          <w:rFonts w:asciiTheme="majorBidi" w:eastAsia="Calibri" w:hAnsiTheme="majorBidi" w:cstheme="majorBidi"/>
          <w:b/>
          <w:bCs/>
          <w:color w:val="000000" w:themeColor="text1"/>
          <w:kern w:val="0"/>
          <w:sz w:val="36"/>
          <w:szCs w:val="36"/>
          <w:lang w:bidi="ar-EG"/>
          <w14:ligatures w14:val="none"/>
        </w:rPr>
        <w:t>Prepared by:</w:t>
      </w:r>
    </w:p>
    <w:p w14:paraId="0B204CBE" w14:textId="4FE30685" w:rsidR="00054375" w:rsidRPr="00AC2418" w:rsidRDefault="00054375" w:rsidP="002035B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AC2418">
        <w:rPr>
          <w:rFonts w:asciiTheme="majorBidi" w:eastAsia="Calibri" w:hAnsiTheme="majorBidi" w:cstheme="majorBidi"/>
          <w:color w:val="000000" w:themeColor="text1"/>
          <w:kern w:val="0"/>
          <w:sz w:val="36"/>
          <w:szCs w:val="36"/>
          <w:lang w:bidi="ar-EG"/>
          <w14:ligatures w14:val="none"/>
        </w:rPr>
        <w:t>Majidh Hassan faqihi</w:t>
      </w:r>
    </w:p>
    <w:p w14:paraId="342E308E" w14:textId="18CF41B5" w:rsidR="00E27D3B" w:rsidRPr="00AC2418" w:rsidRDefault="00054375" w:rsidP="002035B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AC2418">
        <w:rPr>
          <w:rFonts w:asciiTheme="majorBidi" w:eastAsia="Calibri" w:hAnsiTheme="majorBidi" w:cstheme="majorBidi"/>
          <w:color w:val="000000" w:themeColor="text1"/>
          <w:kern w:val="0"/>
          <w:sz w:val="36"/>
          <w:szCs w:val="36"/>
          <w:lang w:bidi="ar-EG"/>
          <w14:ligatures w14:val="none"/>
        </w:rPr>
        <w:t>253002121</w:t>
      </w:r>
    </w:p>
    <w:p w14:paraId="725E40A4" w14:textId="77777777" w:rsidR="002035B9" w:rsidRPr="00AC2418" w:rsidRDefault="002035B9" w:rsidP="002035B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C2418" w:rsidRPr="00AC2418" w14:paraId="7895DB3E" w14:textId="77777777" w:rsidTr="00603F23">
        <w:tc>
          <w:tcPr>
            <w:tcW w:w="4530" w:type="dxa"/>
          </w:tcPr>
          <w:p w14:paraId="2BD25D9E" w14:textId="77777777" w:rsidR="002035B9" w:rsidRPr="00AC2418" w:rsidRDefault="002035B9" w:rsidP="00603F2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2418">
              <w:rPr>
                <w:rFonts w:asciiTheme="majorBidi" w:eastAsia="Calibri" w:hAnsiTheme="majorBidi" w:cstheme="majorBidi"/>
                <w:b/>
                <w:bCs/>
                <w:color w:val="000000" w:themeColor="text1"/>
                <w:kern w:val="0"/>
                <w:sz w:val="36"/>
                <w:szCs w:val="36"/>
                <w:lang w:bidi="ar-EG"/>
                <w14:ligatures w14:val="none"/>
              </w:rPr>
              <w:t>Main supervisor</w:t>
            </w:r>
            <w:r w:rsidRPr="00AC2418">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05E314B" w14:textId="77777777" w:rsidR="002035B9" w:rsidRPr="00AC2418" w:rsidRDefault="002035B9" w:rsidP="00603F2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2418">
              <w:rPr>
                <w:rFonts w:asciiTheme="majorBidi" w:eastAsia="Calibri" w:hAnsiTheme="majorBidi" w:cstheme="majorBidi"/>
                <w:b/>
                <w:bCs/>
                <w:color w:val="000000" w:themeColor="text1"/>
                <w:kern w:val="0"/>
                <w:sz w:val="36"/>
                <w:szCs w:val="36"/>
                <w:lang w:bidi="ar-EG"/>
                <w14:ligatures w14:val="none"/>
              </w:rPr>
              <w:t>Second supervisor</w:t>
            </w:r>
            <w:r w:rsidRPr="00AC2418">
              <w:rPr>
                <w:rFonts w:asciiTheme="majorBidi" w:eastAsia="Calibri" w:hAnsiTheme="majorBidi" w:cstheme="majorBidi"/>
                <w:b/>
                <w:bCs/>
                <w:color w:val="000000" w:themeColor="text1"/>
                <w:kern w:val="0"/>
                <w:sz w:val="36"/>
                <w:szCs w:val="36"/>
                <w:rtl/>
                <w:lang w:bidi="ar-EG"/>
                <w14:ligatures w14:val="none"/>
              </w:rPr>
              <w:t>/</w:t>
            </w:r>
          </w:p>
        </w:tc>
      </w:tr>
      <w:tr w:rsidR="00AC2418" w:rsidRPr="00AC2418" w14:paraId="4C40E81A" w14:textId="77777777" w:rsidTr="00603F23">
        <w:tc>
          <w:tcPr>
            <w:tcW w:w="4530" w:type="dxa"/>
          </w:tcPr>
          <w:p w14:paraId="2808C0ED" w14:textId="77777777" w:rsidR="002035B9" w:rsidRPr="00AC2418" w:rsidRDefault="002035B9" w:rsidP="00603F2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241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2DE110C" w14:textId="77777777" w:rsidR="002035B9" w:rsidRPr="00AC2418" w:rsidRDefault="002035B9" w:rsidP="00603F2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2418">
              <w:rPr>
                <w:rFonts w:asciiTheme="majorBidi" w:eastAsia="Calibri" w:hAnsiTheme="majorBidi" w:cstheme="majorBidi"/>
                <w:color w:val="000000" w:themeColor="text1"/>
                <w:kern w:val="0"/>
                <w:sz w:val="36"/>
                <w:szCs w:val="36"/>
                <w:lang w:bidi="ar-EG"/>
                <w14:ligatures w14:val="none"/>
              </w:rPr>
              <w:t>Dr. Fayez Jarad</w:t>
            </w:r>
          </w:p>
        </w:tc>
      </w:tr>
    </w:tbl>
    <w:p w14:paraId="71151944" w14:textId="77777777" w:rsidR="002035B9" w:rsidRPr="00AC2418" w:rsidRDefault="002035B9" w:rsidP="002035B9">
      <w:pPr>
        <w:bidi w:val="0"/>
        <w:spacing w:line="276" w:lineRule="auto"/>
        <w:jc w:val="center"/>
        <w:rPr>
          <w:rFonts w:ascii="Simplified Arabic" w:eastAsia="Calibri" w:hAnsi="Simplified Arabic" w:cs="Simplified Arabic"/>
          <w:b/>
          <w:bCs/>
          <w:color w:val="000000" w:themeColor="text1"/>
          <w:kern w:val="0"/>
          <w:sz w:val="28"/>
          <w:szCs w:val="28"/>
          <w:rtl/>
          <w:lang w:bidi="ar-EG"/>
          <w14:ligatures w14:val="none"/>
        </w:rPr>
      </w:pPr>
    </w:p>
    <w:p w14:paraId="51772E27" w14:textId="77777777" w:rsidR="002035B9" w:rsidRPr="00AC2418" w:rsidRDefault="002035B9" w:rsidP="002035B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C2418">
        <w:rPr>
          <w:rFonts w:asciiTheme="majorBidi" w:hAnsiTheme="majorBidi" w:cstheme="majorBidi"/>
          <w:color w:val="000000" w:themeColor="text1"/>
          <w:kern w:val="0"/>
          <w:sz w:val="36"/>
          <w:szCs w:val="36"/>
          <w:rtl/>
          <w:lang w:bidi="ar-EG"/>
          <w14:ligatures w14:val="none"/>
        </w:rPr>
        <w:t>1448 – 2026</w:t>
      </w:r>
    </w:p>
    <w:p w14:paraId="24E2CCAA" w14:textId="77777777" w:rsidR="002035B9" w:rsidRPr="00AC2418" w:rsidRDefault="002035B9" w:rsidP="002035B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27307412" w14:textId="77777777" w:rsidR="00EA15E2" w:rsidRPr="00AC2418" w:rsidRDefault="00EA15E2" w:rsidP="00AF6B8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96D620" w14:textId="77777777" w:rsidR="00EA15E2" w:rsidRPr="00AC2418" w:rsidRDefault="00EA15E2" w:rsidP="00AF6B8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93658DF" w:rsidR="009125CE" w:rsidRPr="00AC2418" w:rsidRDefault="009125CE" w:rsidP="00AF6B8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C2418" w:rsidSect="00AF6B87">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C650B" w14:textId="77777777" w:rsidR="00B72FBD" w:rsidRDefault="00B72FBD" w:rsidP="009125CE">
      <w:pPr>
        <w:spacing w:after="0" w:line="240" w:lineRule="auto"/>
      </w:pPr>
      <w:r>
        <w:separator/>
      </w:r>
    </w:p>
  </w:endnote>
  <w:endnote w:type="continuationSeparator" w:id="0">
    <w:p w14:paraId="127EBE35" w14:textId="77777777" w:rsidR="00B72FBD" w:rsidRDefault="00B72FB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9071431"/>
      <w:docPartObj>
        <w:docPartGallery w:val="Page Numbers (Bottom of Page)"/>
        <w:docPartUnique/>
      </w:docPartObj>
    </w:sdtPr>
    <w:sdtEndPr>
      <w:rPr>
        <w:rFonts w:ascii="Simplified Arabic" w:hAnsi="Simplified Arabic" w:cs="Simplified Arabic"/>
        <w:b/>
        <w:bCs/>
        <w:noProof/>
        <w:sz w:val="24"/>
        <w:szCs w:val="24"/>
      </w:rPr>
    </w:sdtEndPr>
    <w:sdtContent>
      <w:p w14:paraId="27B7F67F" w14:textId="2FB34976" w:rsidR="00CC2A88" w:rsidRDefault="00CC2A88">
        <w:pPr>
          <w:pStyle w:val="Footer"/>
          <w:jc w:val="center"/>
        </w:pPr>
      </w:p>
      <w:p w14:paraId="13047AE1" w14:textId="673F055C" w:rsidR="00CC2A88" w:rsidRPr="00AF6B87" w:rsidRDefault="00CC2A88" w:rsidP="00AF6B87">
        <w:pPr>
          <w:pStyle w:val="Footer"/>
          <w:tabs>
            <w:tab w:val="left" w:pos="4451"/>
            <w:tab w:val="center" w:pos="4535"/>
          </w:tabs>
          <w:rPr>
            <w:rFonts w:ascii="Simplified Arabic" w:hAnsi="Simplified Arabic" w:cs="Simplified Arabic"/>
            <w:b/>
            <w:bCs/>
            <w:sz w:val="24"/>
            <w:szCs w:val="24"/>
          </w:rPr>
        </w:pPr>
        <w:r w:rsidRPr="00AF6B87">
          <w:rPr>
            <w:rFonts w:ascii="Simplified Arabic" w:hAnsi="Simplified Arabic" w:cs="Simplified Arabic"/>
            <w:b/>
            <w:bCs/>
            <w:sz w:val="24"/>
            <w:szCs w:val="24"/>
          </w:rPr>
          <w:tab/>
        </w:r>
        <w:r w:rsidRPr="00AF6B87">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2311575"/>
      <w:docPartObj>
        <w:docPartGallery w:val="Page Numbers (Bottom of Page)"/>
        <w:docPartUnique/>
      </w:docPartObj>
    </w:sdtPr>
    <w:sdtEndPr>
      <w:rPr>
        <w:rFonts w:ascii="Simplified Arabic" w:hAnsi="Simplified Arabic" w:cs="Simplified Arabic"/>
        <w:b/>
        <w:bCs/>
        <w:noProof/>
        <w:sz w:val="24"/>
        <w:szCs w:val="24"/>
      </w:rPr>
    </w:sdtEndPr>
    <w:sdtContent>
      <w:p w14:paraId="1F941A46" w14:textId="77777777" w:rsidR="00CC2A88" w:rsidRDefault="00CC2A88">
        <w:pPr>
          <w:pStyle w:val="Footer"/>
          <w:jc w:val="center"/>
        </w:pPr>
        <w:r>
          <w:rPr>
            <w:noProof/>
          </w:rPr>
          <mc:AlternateContent>
            <mc:Choice Requires="wps">
              <w:drawing>
                <wp:inline distT="0" distB="0" distL="0" distR="0" wp14:anchorId="7058405C" wp14:editId="04A9F4C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85DA23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0FC0BE7B" w14:textId="77777777" w:rsidR="00CC2A88" w:rsidRPr="00AF6B87" w:rsidRDefault="00CC2A88" w:rsidP="00AF6B87">
        <w:pPr>
          <w:pStyle w:val="Footer"/>
          <w:tabs>
            <w:tab w:val="left" w:pos="4451"/>
            <w:tab w:val="center" w:pos="4535"/>
          </w:tabs>
          <w:rPr>
            <w:rFonts w:ascii="Simplified Arabic" w:hAnsi="Simplified Arabic" w:cs="Simplified Arabic"/>
            <w:b/>
            <w:bCs/>
            <w:sz w:val="24"/>
            <w:szCs w:val="24"/>
          </w:rPr>
        </w:pPr>
        <w:r w:rsidRPr="00AF6B87">
          <w:rPr>
            <w:rFonts w:ascii="Simplified Arabic" w:hAnsi="Simplified Arabic" w:cs="Simplified Arabic"/>
            <w:b/>
            <w:bCs/>
            <w:sz w:val="24"/>
            <w:szCs w:val="24"/>
          </w:rPr>
          <w:tab/>
        </w:r>
        <w:r w:rsidRPr="00AF6B87">
          <w:rPr>
            <w:rFonts w:ascii="Simplified Arabic" w:hAnsi="Simplified Arabic" w:cs="Simplified Arabic"/>
            <w:b/>
            <w:bCs/>
            <w:sz w:val="24"/>
            <w:szCs w:val="24"/>
          </w:rPr>
          <w:tab/>
        </w:r>
        <w:r w:rsidRPr="00AF6B87">
          <w:rPr>
            <w:rFonts w:ascii="Simplified Arabic" w:hAnsi="Simplified Arabic" w:cs="Simplified Arabic"/>
            <w:b/>
            <w:bCs/>
            <w:sz w:val="24"/>
            <w:szCs w:val="24"/>
          </w:rPr>
          <w:tab/>
        </w:r>
        <w:r w:rsidRPr="00AF6B87">
          <w:rPr>
            <w:rFonts w:ascii="Simplified Arabic" w:hAnsi="Simplified Arabic" w:cs="Simplified Arabic"/>
            <w:b/>
            <w:bCs/>
            <w:sz w:val="24"/>
            <w:szCs w:val="24"/>
          </w:rPr>
          <w:fldChar w:fldCharType="begin"/>
        </w:r>
        <w:r w:rsidRPr="00AF6B87">
          <w:rPr>
            <w:rFonts w:ascii="Simplified Arabic" w:hAnsi="Simplified Arabic" w:cs="Simplified Arabic"/>
            <w:b/>
            <w:bCs/>
            <w:sz w:val="24"/>
            <w:szCs w:val="24"/>
          </w:rPr>
          <w:instrText xml:space="preserve"> PAGE    \* MERGEFORMAT </w:instrText>
        </w:r>
        <w:r w:rsidRPr="00AF6B87">
          <w:rPr>
            <w:rFonts w:ascii="Simplified Arabic" w:hAnsi="Simplified Arabic" w:cs="Simplified Arabic"/>
            <w:b/>
            <w:bCs/>
            <w:sz w:val="24"/>
            <w:szCs w:val="24"/>
          </w:rPr>
          <w:fldChar w:fldCharType="separate"/>
        </w:r>
        <w:r w:rsidR="004070EB">
          <w:rPr>
            <w:rFonts w:ascii="Simplified Arabic" w:hAnsi="Simplified Arabic" w:cs="Simplified Arabic"/>
            <w:b/>
            <w:bCs/>
            <w:noProof/>
            <w:sz w:val="24"/>
            <w:szCs w:val="24"/>
            <w:rtl/>
          </w:rPr>
          <w:t>35</w:t>
        </w:r>
        <w:r w:rsidRPr="00AF6B87">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A00D9" w14:textId="6B538700" w:rsidR="002035B9" w:rsidRPr="00AF6B87" w:rsidRDefault="002035B9" w:rsidP="002035B9">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16E1B0" w14:textId="77777777" w:rsidR="00B72FBD" w:rsidRDefault="00B72FBD" w:rsidP="009125CE">
      <w:pPr>
        <w:spacing w:after="0" w:line="240" w:lineRule="auto"/>
      </w:pPr>
      <w:r>
        <w:separator/>
      </w:r>
    </w:p>
  </w:footnote>
  <w:footnote w:type="continuationSeparator" w:id="0">
    <w:p w14:paraId="072816A9" w14:textId="77777777" w:rsidR="00B72FBD" w:rsidRDefault="00B72FB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E4942"/>
    <w:multiLevelType w:val="hybridMultilevel"/>
    <w:tmpl w:val="4A6206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255F7236"/>
    <w:multiLevelType w:val="hybridMultilevel"/>
    <w:tmpl w:val="CAEE96CC"/>
    <w:lvl w:ilvl="0" w:tplc="04090005">
      <w:start w:val="1"/>
      <w:numFmt w:val="bullet"/>
      <w:lvlText w:val=""/>
      <w:lvlJc w:val="left"/>
      <w:pPr>
        <w:ind w:left="1080" w:hanging="360"/>
      </w:pPr>
      <w:rPr>
        <w:rFonts w:ascii="Wingdings" w:hAnsi="Wingdings" w:hint="default"/>
      </w:rPr>
    </w:lvl>
    <w:lvl w:ilvl="1" w:tplc="BF3260E4">
      <w:numFmt w:val="bullet"/>
      <w:lvlText w:val="•"/>
      <w:lvlJc w:val="left"/>
      <w:pPr>
        <w:ind w:left="2160" w:hanging="720"/>
      </w:pPr>
      <w:rPr>
        <w:rFonts w:ascii="Simplified Arabic" w:eastAsiaTheme="majorEastAsia"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906945"/>
    <w:multiLevelType w:val="hybridMultilevel"/>
    <w:tmpl w:val="4ED261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BB0A0D"/>
    <w:multiLevelType w:val="hybridMultilevel"/>
    <w:tmpl w:val="F13AF486"/>
    <w:lvl w:ilvl="0" w:tplc="04090001">
      <w:start w:val="1"/>
      <w:numFmt w:val="bullet"/>
      <w:lvlText w:val=""/>
      <w:lvlJc w:val="left"/>
      <w:pPr>
        <w:ind w:left="720" w:hanging="360"/>
      </w:pPr>
      <w:rPr>
        <w:rFonts w:ascii="Symbol" w:hAnsi="Symbol" w:hint="default"/>
      </w:rPr>
    </w:lvl>
    <w:lvl w:ilvl="1" w:tplc="CF86E3CE">
      <w:numFmt w:val="bullet"/>
      <w:lvlText w:val="•"/>
      <w:lvlJc w:val="left"/>
      <w:pPr>
        <w:ind w:left="1800" w:hanging="720"/>
      </w:pPr>
      <w:rPr>
        <w:rFonts w:ascii="Simplified Arabic" w:eastAsiaTheme="majorEastAsia"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B14541"/>
    <w:multiLevelType w:val="hybridMultilevel"/>
    <w:tmpl w:val="AEF0E166"/>
    <w:lvl w:ilvl="0" w:tplc="04090001">
      <w:start w:val="1"/>
      <w:numFmt w:val="bullet"/>
      <w:lvlText w:val=""/>
      <w:lvlJc w:val="left"/>
      <w:pPr>
        <w:ind w:left="720" w:hanging="360"/>
      </w:pPr>
      <w:rPr>
        <w:rFonts w:ascii="Symbol" w:hAnsi="Symbol" w:hint="default"/>
      </w:rPr>
    </w:lvl>
    <w:lvl w:ilvl="1" w:tplc="2482DB7C">
      <w:numFmt w:val="bullet"/>
      <w:lvlText w:val="•"/>
      <w:lvlJc w:val="left"/>
      <w:pPr>
        <w:ind w:left="1800" w:hanging="720"/>
      </w:pPr>
      <w:rPr>
        <w:rFonts w:ascii="Simplified Arabic" w:eastAsiaTheme="majorEastAsia"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F73869"/>
    <w:multiLevelType w:val="hybridMultilevel"/>
    <w:tmpl w:val="C39CD48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5E261070"/>
    <w:multiLevelType w:val="hybridMultilevel"/>
    <w:tmpl w:val="EE0618C0"/>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205B70"/>
    <w:multiLevelType w:val="hybridMultilevel"/>
    <w:tmpl w:val="251289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00A09C4"/>
    <w:multiLevelType w:val="hybridMultilevel"/>
    <w:tmpl w:val="AE487E6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7"/>
  </w:num>
  <w:num w:numId="2">
    <w:abstractNumId w:val="4"/>
  </w:num>
  <w:num w:numId="3">
    <w:abstractNumId w:val="3"/>
  </w:num>
  <w:num w:numId="4">
    <w:abstractNumId w:val="1"/>
  </w:num>
  <w:num w:numId="5">
    <w:abstractNumId w:val="8"/>
  </w:num>
  <w:num w:numId="6">
    <w:abstractNumId w:val="6"/>
  </w:num>
  <w:num w:numId="7">
    <w:abstractNumId w:val="2"/>
  </w:num>
  <w:num w:numId="8">
    <w:abstractNumId w:val="5"/>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32DFE"/>
    <w:rsid w:val="00035B85"/>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37FD"/>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35B9"/>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6E6B"/>
    <w:rsid w:val="002C205F"/>
    <w:rsid w:val="002C21BB"/>
    <w:rsid w:val="002C5EE0"/>
    <w:rsid w:val="002D0190"/>
    <w:rsid w:val="002D30A7"/>
    <w:rsid w:val="002D3120"/>
    <w:rsid w:val="002D5C0C"/>
    <w:rsid w:val="002E36BC"/>
    <w:rsid w:val="002E4629"/>
    <w:rsid w:val="002F5FA3"/>
    <w:rsid w:val="00301731"/>
    <w:rsid w:val="00303A9A"/>
    <w:rsid w:val="00303BF8"/>
    <w:rsid w:val="00304304"/>
    <w:rsid w:val="0031075C"/>
    <w:rsid w:val="00310B47"/>
    <w:rsid w:val="00311651"/>
    <w:rsid w:val="003152CB"/>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4195"/>
    <w:rsid w:val="003D5D45"/>
    <w:rsid w:val="003D6376"/>
    <w:rsid w:val="003E29FB"/>
    <w:rsid w:val="003E3EBB"/>
    <w:rsid w:val="003E7CB6"/>
    <w:rsid w:val="00401DBE"/>
    <w:rsid w:val="00402123"/>
    <w:rsid w:val="00403383"/>
    <w:rsid w:val="004070EB"/>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5A56"/>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46DD9"/>
    <w:rsid w:val="00550EC8"/>
    <w:rsid w:val="005527F0"/>
    <w:rsid w:val="00557A05"/>
    <w:rsid w:val="00557B85"/>
    <w:rsid w:val="005750C3"/>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004"/>
    <w:rsid w:val="006A3B5F"/>
    <w:rsid w:val="006A6C3D"/>
    <w:rsid w:val="006B07CD"/>
    <w:rsid w:val="006B3A4B"/>
    <w:rsid w:val="006B40EF"/>
    <w:rsid w:val="006B4F02"/>
    <w:rsid w:val="006D0A16"/>
    <w:rsid w:val="006D4C88"/>
    <w:rsid w:val="006E4126"/>
    <w:rsid w:val="006E41F3"/>
    <w:rsid w:val="006E65A3"/>
    <w:rsid w:val="006E6DC8"/>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401"/>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20E7"/>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0C0C"/>
    <w:rsid w:val="00A823EC"/>
    <w:rsid w:val="00A840CF"/>
    <w:rsid w:val="00A86E11"/>
    <w:rsid w:val="00A97576"/>
    <w:rsid w:val="00AA005F"/>
    <w:rsid w:val="00AA79E9"/>
    <w:rsid w:val="00AB0A70"/>
    <w:rsid w:val="00AB3E18"/>
    <w:rsid w:val="00AB41F1"/>
    <w:rsid w:val="00AB5A3B"/>
    <w:rsid w:val="00AB6A7C"/>
    <w:rsid w:val="00AC2418"/>
    <w:rsid w:val="00AD0E94"/>
    <w:rsid w:val="00AD722B"/>
    <w:rsid w:val="00AE3C7A"/>
    <w:rsid w:val="00AF24F6"/>
    <w:rsid w:val="00AF31BE"/>
    <w:rsid w:val="00AF46DF"/>
    <w:rsid w:val="00AF49EF"/>
    <w:rsid w:val="00AF6B87"/>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2FBD"/>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2A88"/>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26B6"/>
    <w:rsid w:val="00E042AB"/>
    <w:rsid w:val="00E04D94"/>
    <w:rsid w:val="00E04E1C"/>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6761"/>
    <w:rsid w:val="00F91846"/>
    <w:rsid w:val="00F95872"/>
    <w:rsid w:val="00FA0A03"/>
    <w:rsid w:val="00FA24AF"/>
    <w:rsid w:val="00FA4282"/>
    <w:rsid w:val="00FA44AF"/>
    <w:rsid w:val="00FB094D"/>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table" w:styleId="GridTable1Light-Accent1">
    <w:name w:val="Grid Table 1 Light Accent 1"/>
    <w:basedOn w:val="TableNormal"/>
    <w:uiPriority w:val="46"/>
    <w:rsid w:val="00AF6B87"/>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C2A88"/>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035B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5495157">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92067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4074908">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224976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73831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864615">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39989083">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6446292">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09D7C4-B696-498D-8ADC-E26D9D590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10367</Words>
  <Characters>59093</Characters>
  <Application>Microsoft Office Word</Application>
  <DocSecurity>0</DocSecurity>
  <Lines>492</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4</cp:revision>
  <cp:lastPrinted>2026-07-09T22:02:00Z</cp:lastPrinted>
  <dcterms:created xsi:type="dcterms:W3CDTF">2026-07-09T22:01:00Z</dcterms:created>
  <dcterms:modified xsi:type="dcterms:W3CDTF">2026-07-09T22:02:00Z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