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25D76" w:rsidRDefault="009125CE" w:rsidP="00525D76">
      <w:pPr>
        <w:spacing w:line="276" w:lineRule="auto"/>
        <w:jc w:val="both"/>
        <w:rPr>
          <w:rFonts w:ascii="Simplified Arabic" w:hAnsi="Simplified Arabic" w:cs="Simplified Arabic"/>
          <w:sz w:val="28"/>
          <w:szCs w:val="28"/>
          <w:lang w:bidi="ar-EG"/>
        </w:rPr>
      </w:pPr>
      <w:r w:rsidRPr="00525D76">
        <w:rPr>
          <w:rFonts w:ascii="Simplified Arabic" w:hAnsi="Simplified Arabic" w:cs="Simplified Arabic" w:hint="cs"/>
          <w:sz w:val="28"/>
          <w:szCs w:val="28"/>
          <w:rtl/>
          <w:lang w:bidi="ar-EG"/>
        </w:rPr>
        <w:t xml:space="preserve">جامعة ميدأوشن </w:t>
      </w:r>
    </w:p>
    <w:p w14:paraId="1E957002" w14:textId="349B34A9" w:rsidR="00F546CE" w:rsidRPr="00525D76" w:rsidRDefault="009125CE" w:rsidP="00525D76">
      <w:pPr>
        <w:spacing w:line="276" w:lineRule="auto"/>
        <w:jc w:val="both"/>
        <w:rPr>
          <w:rFonts w:ascii="Simplified Arabic" w:hAnsi="Simplified Arabic" w:cs="Simplified Arabic"/>
          <w:sz w:val="28"/>
          <w:szCs w:val="28"/>
          <w:rtl/>
          <w:lang w:bidi="ar-EG"/>
        </w:rPr>
      </w:pPr>
      <w:r w:rsidRPr="00525D76">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25D76">
        <w:rPr>
          <w:rFonts w:ascii="Simplified Arabic" w:hAnsi="Simplified Arabic" w:cs="Simplified Arabic" w:hint="cs"/>
          <w:sz w:val="28"/>
          <w:szCs w:val="28"/>
          <w:lang w:bidi="ar-EG"/>
        </w:rPr>
        <w:t xml:space="preserve">    </w:t>
      </w:r>
      <w:r w:rsidRPr="00525D76">
        <w:rPr>
          <w:rFonts w:ascii="Simplified Arabic" w:hAnsi="Simplified Arabic" w:cs="Simplified Arabic" w:hint="cs"/>
          <w:sz w:val="28"/>
          <w:szCs w:val="28"/>
          <w:rtl/>
          <w:lang w:bidi="ar-EG"/>
        </w:rPr>
        <w:t xml:space="preserve">كلية </w:t>
      </w:r>
      <w:r w:rsidR="008C42C1" w:rsidRPr="00525D76">
        <w:rPr>
          <w:rFonts w:ascii="Simplified Arabic" w:hAnsi="Simplified Arabic" w:cs="Simplified Arabic" w:hint="cs"/>
          <w:sz w:val="28"/>
          <w:szCs w:val="28"/>
          <w:rtl/>
          <w:lang w:bidi="ar-EG"/>
        </w:rPr>
        <w:t>الإدارة</w:t>
      </w:r>
      <w:r w:rsidRPr="00525D76">
        <w:rPr>
          <w:rFonts w:ascii="Simplified Arabic" w:hAnsi="Simplified Arabic" w:cs="Simplified Arabic" w:hint="cs"/>
          <w:sz w:val="28"/>
          <w:szCs w:val="28"/>
          <w:rtl/>
          <w:lang w:bidi="ar-EG"/>
        </w:rPr>
        <w:t xml:space="preserve"> </w:t>
      </w:r>
    </w:p>
    <w:p w14:paraId="5F6542BF" w14:textId="0E552D0E" w:rsidR="009125CE" w:rsidRPr="00525D76" w:rsidRDefault="00F86421" w:rsidP="00525D76">
      <w:pPr>
        <w:spacing w:line="276" w:lineRule="auto"/>
        <w:jc w:val="both"/>
        <w:rPr>
          <w:rFonts w:ascii="Simplified Arabic" w:hAnsi="Simplified Arabic" w:cs="Simplified Arabic"/>
          <w:sz w:val="28"/>
          <w:szCs w:val="28"/>
          <w:rtl/>
          <w:lang w:bidi="ar-EG"/>
        </w:rPr>
      </w:pPr>
      <w:r w:rsidRPr="00525D76">
        <w:rPr>
          <w:rFonts w:ascii="Simplified Arabic" w:hAnsi="Simplified Arabic" w:cs="Simplified Arabic" w:hint="cs"/>
          <w:sz w:val="28"/>
          <w:szCs w:val="28"/>
          <w:rtl/>
          <w:lang w:bidi="ar-EG"/>
        </w:rPr>
        <w:t>ماجستير ادارة اعمال</w:t>
      </w:r>
    </w:p>
    <w:p w14:paraId="6B449BCF" w14:textId="77777777" w:rsidR="00CC6261" w:rsidRPr="00525D76" w:rsidRDefault="00CC6261" w:rsidP="00525D76">
      <w:pPr>
        <w:spacing w:line="276" w:lineRule="auto"/>
        <w:jc w:val="both"/>
        <w:rPr>
          <w:rFonts w:ascii="Simplified Arabic" w:hAnsi="Simplified Arabic" w:cs="Simplified Arabic"/>
          <w:sz w:val="28"/>
          <w:szCs w:val="28"/>
          <w:rtl/>
        </w:rPr>
      </w:pPr>
    </w:p>
    <w:p w14:paraId="5DCF5A82" w14:textId="77777777" w:rsidR="001138AC" w:rsidRPr="00525D76" w:rsidRDefault="001138AC" w:rsidP="00525D76">
      <w:pPr>
        <w:spacing w:line="276" w:lineRule="auto"/>
        <w:jc w:val="both"/>
        <w:rPr>
          <w:rFonts w:ascii="Simplified Arabic" w:hAnsi="Simplified Arabic" w:cs="Simplified Arabic"/>
          <w:b/>
          <w:bCs/>
          <w:sz w:val="28"/>
          <w:szCs w:val="28"/>
          <w:rtl/>
        </w:rPr>
      </w:pPr>
    </w:p>
    <w:p w14:paraId="09119C07" w14:textId="61928F93" w:rsidR="00FE7055" w:rsidRPr="00525D76" w:rsidRDefault="00B1082E" w:rsidP="00525D76">
      <w:pPr>
        <w:spacing w:line="276" w:lineRule="auto"/>
        <w:jc w:val="center"/>
        <w:rPr>
          <w:rFonts w:ascii="Simplified Arabic" w:hAnsi="Simplified Arabic" w:cs="Simplified Arabic"/>
          <w:b/>
          <w:bCs/>
          <w:sz w:val="36"/>
          <w:szCs w:val="36"/>
          <w:rtl/>
        </w:rPr>
      </w:pPr>
      <w:r w:rsidRPr="00525D76">
        <w:rPr>
          <w:rFonts w:ascii="Simplified Arabic" w:hAnsi="Simplified Arabic" w:cs="Simplified Arabic" w:hint="cs"/>
          <w:b/>
          <w:bCs/>
          <w:sz w:val="36"/>
          <w:szCs w:val="36"/>
          <w:rtl/>
        </w:rPr>
        <w:t>أثر التخطيط التشغيلي للفعاليات على الكفاءة التشغيلية: دراسة ميدانية على شركات تنظيم الفعاليات في المملكة العربية السعودية</w:t>
      </w:r>
      <w:r w:rsidR="0075261E" w:rsidRPr="00525D76">
        <w:rPr>
          <w:rFonts w:ascii="Simplified Arabic" w:hAnsi="Simplified Arabic" w:cs="Simplified Arabic" w:hint="cs"/>
          <w:b/>
          <w:bCs/>
          <w:sz w:val="36"/>
          <w:szCs w:val="36"/>
          <w:rtl/>
        </w:rPr>
        <w:t>.</w:t>
      </w:r>
    </w:p>
    <w:p w14:paraId="751A7E65" w14:textId="511E0E26" w:rsidR="009125CE" w:rsidRPr="00525D76" w:rsidRDefault="009125CE" w:rsidP="00525D76">
      <w:pPr>
        <w:spacing w:line="276" w:lineRule="auto"/>
        <w:jc w:val="center"/>
        <w:rPr>
          <w:rFonts w:ascii="Simplified Arabic" w:hAnsi="Simplified Arabic" w:cs="Simplified Arabic"/>
          <w:b/>
          <w:bCs/>
          <w:sz w:val="36"/>
          <w:szCs w:val="36"/>
          <w:rtl/>
          <w:lang w:bidi="ar-EG"/>
        </w:rPr>
      </w:pPr>
      <w:r w:rsidRPr="00525D76">
        <w:rPr>
          <w:rFonts w:ascii="Simplified Arabic" w:hAnsi="Simplified Arabic" w:cs="Simplified Arabic" w:hint="cs"/>
          <w:b/>
          <w:bCs/>
          <w:sz w:val="36"/>
          <w:szCs w:val="36"/>
          <w:rtl/>
          <w:lang w:bidi="ar-EG"/>
        </w:rPr>
        <w:t>إعداد الطالب/</w:t>
      </w:r>
    </w:p>
    <w:p w14:paraId="19161BE9" w14:textId="70A54349" w:rsidR="0075261E" w:rsidRPr="00525D76" w:rsidRDefault="00EE6FC9" w:rsidP="00525D76">
      <w:pPr>
        <w:spacing w:line="276" w:lineRule="auto"/>
        <w:jc w:val="center"/>
        <w:rPr>
          <w:rFonts w:ascii="Simplified Arabic" w:hAnsi="Simplified Arabic" w:cs="Simplified Arabic" w:hint="cs"/>
          <w:b/>
          <w:bCs/>
          <w:sz w:val="36"/>
          <w:szCs w:val="36"/>
          <w:rtl/>
        </w:rPr>
      </w:pPr>
      <w:r w:rsidRPr="00EE6FC9">
        <w:rPr>
          <w:rFonts w:ascii="Simplified Arabic" w:hAnsi="Simplified Arabic" w:cs="Simplified Arabic"/>
          <w:b/>
          <w:bCs/>
          <w:sz w:val="36"/>
          <w:szCs w:val="36"/>
          <w:rtl/>
        </w:rPr>
        <w:t>عبدالرحمن شميلان العازمي</w:t>
      </w:r>
    </w:p>
    <w:p w14:paraId="399A07B7" w14:textId="77777777" w:rsidR="0075261E" w:rsidRPr="00525D76" w:rsidRDefault="0075261E" w:rsidP="00525D76">
      <w:pPr>
        <w:spacing w:line="276" w:lineRule="auto"/>
        <w:jc w:val="center"/>
        <w:rPr>
          <w:rFonts w:ascii="Simplified Arabic" w:hAnsi="Simplified Arabic" w:cs="Simplified Arabic"/>
          <w:b/>
          <w:bCs/>
          <w:sz w:val="36"/>
          <w:szCs w:val="36"/>
          <w:rtl/>
        </w:rPr>
      </w:pPr>
    </w:p>
    <w:p w14:paraId="1ACF12A8" w14:textId="77777777" w:rsidR="0075261E" w:rsidRPr="00525D76" w:rsidRDefault="0075261E" w:rsidP="00525D76">
      <w:pPr>
        <w:spacing w:line="276" w:lineRule="auto"/>
        <w:jc w:val="center"/>
        <w:rPr>
          <w:rFonts w:ascii="Simplified Arabic" w:hAnsi="Simplified Arabic" w:cs="Simplified Arabic"/>
          <w:sz w:val="36"/>
          <w:szCs w:val="36"/>
          <w:rtl/>
        </w:rPr>
      </w:pPr>
    </w:p>
    <w:p w14:paraId="5F4EE2DE" w14:textId="30273303" w:rsidR="009125CE" w:rsidRPr="00525D76" w:rsidRDefault="009125CE" w:rsidP="00525D76">
      <w:pPr>
        <w:spacing w:line="276" w:lineRule="auto"/>
        <w:jc w:val="center"/>
        <w:rPr>
          <w:rFonts w:ascii="Simplified Arabic" w:hAnsi="Simplified Arabic" w:cs="Simplified Arabic"/>
          <w:sz w:val="36"/>
          <w:szCs w:val="36"/>
          <w:rtl/>
          <w:lang w:bidi="ar-EG"/>
        </w:rPr>
      </w:pPr>
      <w:r w:rsidRPr="00525D76">
        <w:rPr>
          <w:rFonts w:ascii="Simplified Arabic" w:hAnsi="Simplified Arabic" w:cs="Simplified Arabic" w:hint="cs"/>
          <w:sz w:val="36"/>
          <w:szCs w:val="36"/>
          <w:rtl/>
          <w:lang w:bidi="ar-EG"/>
        </w:rPr>
        <w:t>إشراف</w:t>
      </w:r>
      <w:r w:rsidR="002E166D" w:rsidRPr="00525D76">
        <w:rPr>
          <w:rFonts w:ascii="Simplified Arabic" w:hAnsi="Simplified Arabic" w:cs="Simplified Arabic" w:hint="cs"/>
          <w:sz w:val="36"/>
          <w:szCs w:val="36"/>
          <w:rtl/>
          <w:lang w:bidi="ar-EG"/>
        </w:rPr>
        <w:t xml:space="preserve"> الدكتور </w:t>
      </w:r>
      <w:r w:rsidRPr="00525D76">
        <w:rPr>
          <w:rFonts w:ascii="Simplified Arabic" w:hAnsi="Simplified Arabic" w:cs="Simplified Arabic" w:hint="cs"/>
          <w:sz w:val="36"/>
          <w:szCs w:val="36"/>
          <w:rtl/>
          <w:lang w:bidi="ar-EG"/>
        </w:rPr>
        <w:t>/</w:t>
      </w:r>
    </w:p>
    <w:p w14:paraId="1510917D" w14:textId="77777777" w:rsidR="00EA4D81" w:rsidRPr="00525D76" w:rsidRDefault="00EA4D81" w:rsidP="00525D76">
      <w:pPr>
        <w:spacing w:line="276" w:lineRule="auto"/>
        <w:ind w:firstLine="720"/>
        <w:jc w:val="center"/>
        <w:rPr>
          <w:rFonts w:ascii="Simplified Arabic" w:eastAsia="Calibri" w:hAnsi="Simplified Arabic" w:cs="Simplified Arabic"/>
          <w:kern w:val="0"/>
          <w:sz w:val="36"/>
          <w:szCs w:val="36"/>
          <w:rtl/>
          <w:lang w:bidi="ar-EG"/>
          <w14:ligatures w14:val="none"/>
        </w:rPr>
      </w:pPr>
      <w:r w:rsidRPr="00525D76">
        <w:rPr>
          <w:rFonts w:ascii="Simplified Arabic" w:eastAsia="Calibri" w:hAnsi="Simplified Arabic" w:cs="Simplified Arabic" w:hint="cs"/>
          <w:kern w:val="0"/>
          <w:sz w:val="36"/>
          <w:szCs w:val="36"/>
          <w:rtl/>
          <w:lang w:bidi="ar-EG"/>
          <w14:ligatures w14:val="none"/>
        </w:rPr>
        <w:t>د. الفيصل عبد الحميد محمد حسن</w:t>
      </w:r>
    </w:p>
    <w:p w14:paraId="37AA1A2A" w14:textId="77777777" w:rsidR="00EA4D81" w:rsidRPr="00525D76" w:rsidRDefault="00EA4D81" w:rsidP="00525D76">
      <w:pPr>
        <w:spacing w:line="276" w:lineRule="auto"/>
        <w:ind w:firstLine="720"/>
        <w:jc w:val="center"/>
        <w:rPr>
          <w:rFonts w:ascii="Simplified Arabic" w:eastAsia="Calibri" w:hAnsi="Simplified Arabic" w:cs="Simplified Arabic"/>
          <w:kern w:val="0"/>
          <w:sz w:val="36"/>
          <w:szCs w:val="36"/>
          <w:rtl/>
          <w:lang w:bidi="ar-EG"/>
          <w14:ligatures w14:val="none"/>
        </w:rPr>
      </w:pPr>
      <w:r w:rsidRPr="00525D76">
        <w:rPr>
          <w:rFonts w:ascii="Simplified Arabic" w:eastAsia="Calibri" w:hAnsi="Simplified Arabic" w:cs="Simplified Arabic" w:hint="cs"/>
          <w:kern w:val="0"/>
          <w:sz w:val="36"/>
          <w:szCs w:val="36"/>
          <w:rtl/>
          <w:lang w:bidi="ar-EG"/>
          <w14:ligatures w14:val="none"/>
        </w:rPr>
        <w:t>د.فايز جراد</w:t>
      </w:r>
    </w:p>
    <w:p w14:paraId="7604859E" w14:textId="77777777" w:rsidR="00EA4D81" w:rsidRPr="00525D76" w:rsidRDefault="00EA4D81" w:rsidP="00525D76">
      <w:pPr>
        <w:spacing w:line="276" w:lineRule="auto"/>
        <w:ind w:firstLine="720"/>
        <w:jc w:val="center"/>
        <w:rPr>
          <w:rFonts w:ascii="Simplified Arabic" w:eastAsia="Calibri" w:hAnsi="Simplified Arabic" w:cs="Simplified Arabic"/>
          <w:kern w:val="0"/>
          <w:sz w:val="36"/>
          <w:szCs w:val="36"/>
          <w:rtl/>
          <w:lang w:bidi="ar-EG"/>
          <w14:ligatures w14:val="none"/>
        </w:rPr>
      </w:pPr>
    </w:p>
    <w:p w14:paraId="2686EA5F" w14:textId="77777777" w:rsidR="00EA4D81" w:rsidRPr="00525D76" w:rsidRDefault="00EA4D81" w:rsidP="00525D76">
      <w:pPr>
        <w:spacing w:line="276" w:lineRule="auto"/>
        <w:jc w:val="center"/>
        <w:rPr>
          <w:rFonts w:ascii="Simplified Arabic" w:hAnsi="Simplified Arabic" w:cs="Simplified Arabic"/>
          <w:sz w:val="36"/>
          <w:szCs w:val="36"/>
          <w:rtl/>
        </w:rPr>
      </w:pPr>
      <w:r w:rsidRPr="00525D76">
        <w:rPr>
          <w:rFonts w:ascii="Simplified Arabic" w:hAnsi="Simplified Arabic" w:cs="Simplified Arabic" w:hint="cs"/>
          <w:sz w:val="36"/>
          <w:szCs w:val="36"/>
          <w:rtl/>
          <w:lang w:bidi="ar-EG"/>
        </w:rPr>
        <w:t>العام الدراسي:</w:t>
      </w:r>
      <w:r w:rsidRPr="00525D76">
        <w:rPr>
          <w:rFonts w:ascii="Simplified Arabic" w:hAnsi="Simplified Arabic" w:cs="Simplified Arabic" w:hint="cs"/>
          <w:sz w:val="36"/>
          <w:szCs w:val="36"/>
          <w:lang w:bidi="ar-EG"/>
        </w:rPr>
        <w:t>2026</w:t>
      </w:r>
    </w:p>
    <w:p w14:paraId="238BA608" w14:textId="77777777" w:rsidR="00404331" w:rsidRPr="00525D76" w:rsidRDefault="00404331" w:rsidP="00525D76">
      <w:pPr>
        <w:spacing w:line="276" w:lineRule="auto"/>
        <w:jc w:val="center"/>
        <w:rPr>
          <w:rFonts w:ascii="Simplified Arabic" w:hAnsi="Simplified Arabic" w:cs="Simplified Arabic"/>
          <w:sz w:val="36"/>
          <w:szCs w:val="36"/>
          <w:rtl/>
        </w:rPr>
      </w:pPr>
    </w:p>
    <w:sdt>
      <w:sdtPr>
        <w:rPr>
          <w:rFonts w:ascii="Simplified Arabic" w:hAnsi="Simplified Arabic" w:cs="Simplified Arabic" w:hint="cs"/>
          <w:b/>
          <w:bCs/>
          <w:sz w:val="28"/>
          <w:szCs w:val="28"/>
          <w:rtl/>
        </w:rPr>
        <w:id w:val="879445717"/>
        <w:docPartObj>
          <w:docPartGallery w:val="Table of Contents"/>
          <w:docPartUnique/>
        </w:docPartObj>
      </w:sdtPr>
      <w:sdtEndPr>
        <w:rPr>
          <w:b w:val="0"/>
          <w:bCs w:val="0"/>
          <w:noProof/>
        </w:rPr>
      </w:sdtEndPr>
      <w:sdtContent>
        <w:p w14:paraId="0A30ECFB" w14:textId="41C7BBA7" w:rsidR="00525D76" w:rsidRDefault="00377D51" w:rsidP="00525D76">
          <w:pPr>
            <w:pStyle w:val="10"/>
            <w:tabs>
              <w:tab w:val="left" w:pos="1680"/>
              <w:tab w:val="right" w:leader="dot" w:pos="8822"/>
            </w:tabs>
            <w:rPr>
              <w:rFonts w:eastAsiaTheme="minorEastAsia"/>
              <w:noProof/>
              <w:sz w:val="24"/>
              <w:szCs w:val="24"/>
              <w:rtl/>
            </w:rPr>
          </w:pPr>
          <w:r w:rsidRPr="00525D76">
            <w:rPr>
              <w:rFonts w:ascii="Simplified Arabic" w:hAnsi="Simplified Arabic" w:cs="Simplified Arabic" w:hint="cs"/>
              <w:sz w:val="28"/>
              <w:szCs w:val="28"/>
            </w:rPr>
            <w:fldChar w:fldCharType="begin"/>
          </w:r>
          <w:r w:rsidRPr="00525D76">
            <w:rPr>
              <w:rFonts w:ascii="Simplified Arabic" w:hAnsi="Simplified Arabic" w:cs="Simplified Arabic" w:hint="cs"/>
              <w:sz w:val="28"/>
              <w:szCs w:val="28"/>
            </w:rPr>
            <w:instrText xml:space="preserve"> TOC \o "1-3" \h \z \u </w:instrText>
          </w:r>
          <w:r w:rsidRPr="00525D76">
            <w:rPr>
              <w:rFonts w:ascii="Simplified Arabic" w:hAnsi="Simplified Arabic" w:cs="Simplified Arabic" w:hint="cs"/>
              <w:sz w:val="28"/>
              <w:szCs w:val="28"/>
            </w:rPr>
            <w:fldChar w:fldCharType="separate"/>
          </w:r>
        </w:p>
        <w:p w14:paraId="12001DBF" w14:textId="252F6CEC" w:rsidR="00525D76" w:rsidRDefault="00525D76">
          <w:pPr>
            <w:pStyle w:val="10"/>
            <w:tabs>
              <w:tab w:val="right" w:leader="dot" w:pos="8822"/>
            </w:tabs>
            <w:rPr>
              <w:rFonts w:eastAsiaTheme="minorEastAsia"/>
              <w:noProof/>
              <w:sz w:val="24"/>
              <w:szCs w:val="24"/>
              <w:rtl/>
            </w:rPr>
          </w:pPr>
          <w:hyperlink w:anchor="_Toc226203795" w:history="1">
            <w:r w:rsidRPr="00B62943">
              <w:rPr>
                <w:rStyle w:val="Hyperlink"/>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Toc226203795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3</w:t>
            </w:r>
            <w:r>
              <w:rPr>
                <w:rStyle w:val="Hyperlink"/>
                <w:noProof/>
                <w:rtl/>
              </w:rPr>
              <w:fldChar w:fldCharType="end"/>
            </w:r>
          </w:hyperlink>
        </w:p>
        <w:p w14:paraId="2981E395" w14:textId="67229DA3" w:rsidR="00525D76" w:rsidRDefault="00525D76">
          <w:pPr>
            <w:pStyle w:val="10"/>
            <w:tabs>
              <w:tab w:val="right" w:leader="dot" w:pos="8822"/>
            </w:tabs>
            <w:rPr>
              <w:rFonts w:eastAsiaTheme="minorEastAsia"/>
              <w:noProof/>
              <w:sz w:val="24"/>
              <w:szCs w:val="24"/>
              <w:rtl/>
            </w:rPr>
          </w:pPr>
          <w:hyperlink w:anchor="_Toc226203796" w:history="1">
            <w:r w:rsidRPr="00B62943">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Toc226203796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4</w:t>
            </w:r>
            <w:r>
              <w:rPr>
                <w:rStyle w:val="Hyperlink"/>
                <w:noProof/>
                <w:rtl/>
              </w:rPr>
              <w:fldChar w:fldCharType="end"/>
            </w:r>
          </w:hyperlink>
        </w:p>
        <w:p w14:paraId="770491A2" w14:textId="2BD813A5" w:rsidR="00525D76" w:rsidRDefault="00525D76">
          <w:pPr>
            <w:pStyle w:val="10"/>
            <w:tabs>
              <w:tab w:val="right" w:leader="dot" w:pos="8822"/>
            </w:tabs>
            <w:rPr>
              <w:rFonts w:eastAsiaTheme="minorEastAsia"/>
              <w:noProof/>
              <w:sz w:val="24"/>
              <w:szCs w:val="24"/>
              <w:rtl/>
            </w:rPr>
          </w:pPr>
          <w:hyperlink w:anchor="_Toc226203797" w:history="1">
            <w:r w:rsidRPr="00B62943">
              <w:rPr>
                <w:rStyle w:val="Hyperlink"/>
                <w:rFonts w:ascii="Simplified Arabic" w:eastAsia="Times New Roman" w:hAnsi="Simplified Arabic" w:cs="Simplified Arabic"/>
                <w:b/>
                <w:bCs/>
                <w:noProof/>
                <w:kern w:val="36"/>
                <w:rtl/>
                <w14:ligatures w14:val="none"/>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Toc226203797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6</w:t>
            </w:r>
            <w:r>
              <w:rPr>
                <w:rStyle w:val="Hyperlink"/>
                <w:noProof/>
                <w:rtl/>
              </w:rPr>
              <w:fldChar w:fldCharType="end"/>
            </w:r>
          </w:hyperlink>
        </w:p>
        <w:p w14:paraId="0553F123" w14:textId="2BC6F707" w:rsidR="00525D76" w:rsidRDefault="00525D76">
          <w:pPr>
            <w:pStyle w:val="10"/>
            <w:tabs>
              <w:tab w:val="right" w:leader="dot" w:pos="8822"/>
            </w:tabs>
            <w:rPr>
              <w:rFonts w:eastAsiaTheme="minorEastAsia"/>
              <w:noProof/>
              <w:sz w:val="24"/>
              <w:szCs w:val="24"/>
              <w:rtl/>
            </w:rPr>
          </w:pPr>
          <w:hyperlink w:anchor="_Toc226203798" w:history="1">
            <w:r w:rsidRPr="00B62943">
              <w:rPr>
                <w:rStyle w:val="Hyperlink"/>
                <w:rFonts w:ascii="Simplified Arabic" w:eastAsia="Times New Roman" w:hAnsi="Simplified Arabic" w:cs="Simplified Arabic"/>
                <w:b/>
                <w:bCs/>
                <w:noProof/>
                <w:kern w:val="36"/>
                <w:rtl/>
                <w14:ligatures w14:val="none"/>
              </w:rPr>
              <w:t>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Toc226203798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7</w:t>
            </w:r>
            <w:r>
              <w:rPr>
                <w:rStyle w:val="Hyperlink"/>
                <w:noProof/>
                <w:rtl/>
              </w:rPr>
              <w:fldChar w:fldCharType="end"/>
            </w:r>
          </w:hyperlink>
        </w:p>
        <w:p w14:paraId="005673CE" w14:textId="097AB9D3" w:rsidR="00525D76" w:rsidRDefault="00525D76">
          <w:pPr>
            <w:pStyle w:val="20"/>
            <w:tabs>
              <w:tab w:val="right" w:leader="dot" w:pos="8822"/>
            </w:tabs>
            <w:rPr>
              <w:rFonts w:eastAsiaTheme="minorEastAsia"/>
              <w:noProof/>
              <w:sz w:val="24"/>
              <w:szCs w:val="24"/>
              <w:rtl/>
            </w:rPr>
          </w:pPr>
          <w:hyperlink w:anchor="_Toc226203799" w:history="1">
            <w:r w:rsidRPr="00B62943">
              <w:rPr>
                <w:rStyle w:val="Hyperlink"/>
                <w:rFonts w:ascii="Simplified Arabic" w:eastAsia="Times New Roman" w:hAnsi="Simplified Arabic" w:cs="Simplified Arabic"/>
                <w:b/>
                <w:bCs/>
                <w:noProof/>
                <w:kern w:val="0"/>
                <w:rtl/>
                <w14:ligatures w14:val="none"/>
              </w:rPr>
              <w:t>السؤال الرئيسي</w:t>
            </w:r>
            <w:r w:rsidRPr="00B62943">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Toc226203799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7</w:t>
            </w:r>
            <w:r>
              <w:rPr>
                <w:rStyle w:val="Hyperlink"/>
                <w:noProof/>
                <w:rtl/>
              </w:rPr>
              <w:fldChar w:fldCharType="end"/>
            </w:r>
          </w:hyperlink>
        </w:p>
        <w:p w14:paraId="0FA56022" w14:textId="20873754" w:rsidR="00525D76" w:rsidRDefault="00525D76">
          <w:pPr>
            <w:pStyle w:val="10"/>
            <w:tabs>
              <w:tab w:val="right" w:leader="dot" w:pos="8822"/>
            </w:tabs>
            <w:rPr>
              <w:rFonts w:eastAsiaTheme="minorEastAsia"/>
              <w:noProof/>
              <w:sz w:val="24"/>
              <w:szCs w:val="24"/>
              <w:rtl/>
            </w:rPr>
          </w:pPr>
          <w:hyperlink w:anchor="_Toc226203800" w:history="1">
            <w:r w:rsidRPr="00B62943">
              <w:rPr>
                <w:rStyle w:val="Hyperlink"/>
                <w:rFonts w:ascii="Simplified Arabic" w:eastAsia="Times New Roman" w:hAnsi="Simplified Arabic" w:cs="Simplified Arabic"/>
                <w:b/>
                <w:bCs/>
                <w:noProof/>
                <w:kern w:val="36"/>
                <w:rtl/>
                <w14:ligatures w14:val="none"/>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Toc226203800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7</w:t>
            </w:r>
            <w:r>
              <w:rPr>
                <w:rStyle w:val="Hyperlink"/>
                <w:noProof/>
                <w:rtl/>
              </w:rPr>
              <w:fldChar w:fldCharType="end"/>
            </w:r>
          </w:hyperlink>
        </w:p>
        <w:p w14:paraId="5665B7F7" w14:textId="1C0EA9A9" w:rsidR="00525D76" w:rsidRDefault="00525D76">
          <w:pPr>
            <w:pStyle w:val="20"/>
            <w:tabs>
              <w:tab w:val="right" w:leader="dot" w:pos="8822"/>
            </w:tabs>
            <w:rPr>
              <w:rFonts w:eastAsiaTheme="minorEastAsia"/>
              <w:noProof/>
              <w:sz w:val="24"/>
              <w:szCs w:val="24"/>
              <w:rtl/>
            </w:rPr>
          </w:pPr>
          <w:hyperlink w:anchor="_Toc226203801" w:history="1">
            <w:r w:rsidRPr="00B62943">
              <w:rPr>
                <w:rStyle w:val="Hyperlink"/>
                <w:rFonts w:ascii="Simplified Arabic" w:eastAsia="Times New Roman" w:hAnsi="Simplified Arabic" w:cs="Simplified Arabic"/>
                <w:b/>
                <w:bCs/>
                <w:noProof/>
                <w:kern w:val="0"/>
                <w:rtl/>
                <w14:ligatures w14:val="none"/>
              </w:rPr>
              <w:t>الفرض الرئيسي</w:t>
            </w:r>
            <w:r w:rsidRPr="00B62943">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Toc226203801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7</w:t>
            </w:r>
            <w:r>
              <w:rPr>
                <w:rStyle w:val="Hyperlink"/>
                <w:noProof/>
                <w:rtl/>
              </w:rPr>
              <w:fldChar w:fldCharType="end"/>
            </w:r>
          </w:hyperlink>
        </w:p>
        <w:p w14:paraId="174F6F1B" w14:textId="12ADA7B3" w:rsidR="00525D76" w:rsidRDefault="00525D76">
          <w:pPr>
            <w:pStyle w:val="10"/>
            <w:tabs>
              <w:tab w:val="right" w:leader="dot" w:pos="8822"/>
            </w:tabs>
            <w:rPr>
              <w:rFonts w:eastAsiaTheme="minorEastAsia"/>
              <w:noProof/>
              <w:sz w:val="24"/>
              <w:szCs w:val="24"/>
              <w:rtl/>
            </w:rPr>
          </w:pPr>
          <w:hyperlink w:anchor="_Toc226203802" w:history="1">
            <w:r w:rsidRPr="00B62943">
              <w:rPr>
                <w:rStyle w:val="Hyperlink"/>
                <w:rFonts w:ascii="Simplified Arabic" w:eastAsia="Times New Roman" w:hAnsi="Simplified Arabic" w:cs="Simplified Arabic"/>
                <w:b/>
                <w:bCs/>
                <w:noProof/>
                <w:kern w:val="36"/>
                <w:rtl/>
                <w14:ligatures w14:val="none"/>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Toc226203802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8</w:t>
            </w:r>
            <w:r>
              <w:rPr>
                <w:rStyle w:val="Hyperlink"/>
                <w:noProof/>
                <w:rtl/>
              </w:rPr>
              <w:fldChar w:fldCharType="end"/>
            </w:r>
          </w:hyperlink>
        </w:p>
        <w:p w14:paraId="5D662BD5" w14:textId="4CE38078" w:rsidR="00525D76" w:rsidRDefault="00525D76">
          <w:pPr>
            <w:pStyle w:val="20"/>
            <w:tabs>
              <w:tab w:val="right" w:leader="dot" w:pos="8822"/>
            </w:tabs>
            <w:rPr>
              <w:rFonts w:eastAsiaTheme="minorEastAsia"/>
              <w:noProof/>
              <w:sz w:val="24"/>
              <w:szCs w:val="24"/>
              <w:rtl/>
            </w:rPr>
          </w:pPr>
          <w:hyperlink w:anchor="_Toc226203803" w:history="1">
            <w:r w:rsidRPr="00B62943">
              <w:rPr>
                <w:rStyle w:val="Hyperlink"/>
                <w:rFonts w:ascii="Simplified Arabic" w:eastAsia="Times New Roman" w:hAnsi="Simplified Arabic" w:cs="Simplified Arabic"/>
                <w:b/>
                <w:bCs/>
                <w:noProof/>
                <w:kern w:val="0"/>
                <w:rtl/>
                <w14:ligatures w14:val="none"/>
              </w:rPr>
              <w:t>أولاً: الأهمية العلمية (النظرية)</w:t>
            </w:r>
            <w:r w:rsidRPr="00B62943">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Toc226203803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8</w:t>
            </w:r>
            <w:r>
              <w:rPr>
                <w:rStyle w:val="Hyperlink"/>
                <w:noProof/>
                <w:rtl/>
              </w:rPr>
              <w:fldChar w:fldCharType="end"/>
            </w:r>
          </w:hyperlink>
        </w:p>
        <w:p w14:paraId="33AC8018" w14:textId="5B81A6D7" w:rsidR="00525D76" w:rsidRDefault="00525D76">
          <w:pPr>
            <w:pStyle w:val="20"/>
            <w:tabs>
              <w:tab w:val="right" w:leader="dot" w:pos="8822"/>
            </w:tabs>
            <w:rPr>
              <w:rFonts w:eastAsiaTheme="minorEastAsia"/>
              <w:noProof/>
              <w:sz w:val="24"/>
              <w:szCs w:val="24"/>
              <w:rtl/>
            </w:rPr>
          </w:pPr>
          <w:hyperlink w:anchor="_Toc226203804" w:history="1">
            <w:r w:rsidRPr="00B62943">
              <w:rPr>
                <w:rStyle w:val="Hyperlink"/>
                <w:rFonts w:ascii="Simplified Arabic" w:eastAsia="Times New Roman" w:hAnsi="Simplified Arabic" w:cs="Simplified Arabic"/>
                <w:b/>
                <w:bCs/>
                <w:noProof/>
                <w:kern w:val="0"/>
                <w:rtl/>
                <w14:ligatures w14:val="none"/>
              </w:rPr>
              <w:t>ثانياً: الأهمية العملية (التطبيقية)</w:t>
            </w:r>
            <w:r w:rsidRPr="00B62943">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Toc226203804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9</w:t>
            </w:r>
            <w:r>
              <w:rPr>
                <w:rStyle w:val="Hyperlink"/>
                <w:noProof/>
                <w:rtl/>
              </w:rPr>
              <w:fldChar w:fldCharType="end"/>
            </w:r>
          </w:hyperlink>
        </w:p>
        <w:p w14:paraId="7BBAD9E7" w14:textId="1A1B62CA" w:rsidR="00525D76" w:rsidRDefault="00525D76">
          <w:pPr>
            <w:pStyle w:val="10"/>
            <w:tabs>
              <w:tab w:val="right" w:leader="dot" w:pos="8822"/>
            </w:tabs>
            <w:rPr>
              <w:rFonts w:eastAsiaTheme="minorEastAsia"/>
              <w:noProof/>
              <w:sz w:val="24"/>
              <w:szCs w:val="24"/>
              <w:rtl/>
            </w:rPr>
          </w:pPr>
          <w:hyperlink w:anchor="_Toc226203805" w:history="1">
            <w:r w:rsidRPr="00B62943">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Toc226203805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10</w:t>
            </w:r>
            <w:r>
              <w:rPr>
                <w:rStyle w:val="Hyperlink"/>
                <w:noProof/>
                <w:rtl/>
              </w:rPr>
              <w:fldChar w:fldCharType="end"/>
            </w:r>
          </w:hyperlink>
        </w:p>
        <w:p w14:paraId="4A46742B" w14:textId="312E7FAE" w:rsidR="00525D76" w:rsidRDefault="00525D76">
          <w:pPr>
            <w:pStyle w:val="20"/>
            <w:tabs>
              <w:tab w:val="right" w:leader="dot" w:pos="8822"/>
            </w:tabs>
            <w:rPr>
              <w:rFonts w:eastAsiaTheme="minorEastAsia"/>
              <w:noProof/>
              <w:sz w:val="24"/>
              <w:szCs w:val="24"/>
              <w:rtl/>
            </w:rPr>
          </w:pPr>
          <w:hyperlink w:anchor="_Toc226203806" w:history="1">
            <w:r w:rsidRPr="00B62943">
              <w:rPr>
                <w:rStyle w:val="Hyperlink"/>
                <w:rFonts w:ascii="Simplified Arabic" w:eastAsia="Times New Roman" w:hAnsi="Simplified Arabic" w:cs="Simplified Arabic"/>
                <w:b/>
                <w:bCs/>
                <w:noProof/>
                <w:kern w:val="0"/>
                <w:rtl/>
                <w14:ligatures w14:val="none"/>
              </w:rPr>
              <w:t>أولاً: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Toc226203806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10</w:t>
            </w:r>
            <w:r>
              <w:rPr>
                <w:rStyle w:val="Hyperlink"/>
                <w:noProof/>
                <w:rtl/>
              </w:rPr>
              <w:fldChar w:fldCharType="end"/>
            </w:r>
          </w:hyperlink>
        </w:p>
        <w:p w14:paraId="0BE37C34" w14:textId="6E75391F" w:rsidR="00525D76" w:rsidRDefault="00525D76">
          <w:pPr>
            <w:pStyle w:val="20"/>
            <w:tabs>
              <w:tab w:val="right" w:leader="dot" w:pos="8822"/>
            </w:tabs>
            <w:rPr>
              <w:rFonts w:eastAsiaTheme="minorEastAsia"/>
              <w:noProof/>
              <w:sz w:val="24"/>
              <w:szCs w:val="24"/>
              <w:rtl/>
            </w:rPr>
          </w:pPr>
          <w:hyperlink w:anchor="_Toc226203807" w:history="1">
            <w:r w:rsidRPr="00B62943">
              <w:rPr>
                <w:rStyle w:val="Hyperlink"/>
                <w:rFonts w:ascii="Simplified Arabic" w:eastAsia="Times New Roman" w:hAnsi="Simplified Arabic" w:cs="Simplified Arabic"/>
                <w:b/>
                <w:bCs/>
                <w:noProof/>
                <w:kern w:val="0"/>
                <w:rtl/>
                <w14:ligatures w14:val="none"/>
              </w:rPr>
              <w:t>ثانياً: 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Toc226203807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15</w:t>
            </w:r>
            <w:r>
              <w:rPr>
                <w:rStyle w:val="Hyperlink"/>
                <w:noProof/>
                <w:rtl/>
              </w:rPr>
              <w:fldChar w:fldCharType="end"/>
            </w:r>
          </w:hyperlink>
        </w:p>
        <w:p w14:paraId="31207D8E" w14:textId="583EBA58" w:rsidR="00525D76" w:rsidRDefault="00525D76">
          <w:pPr>
            <w:pStyle w:val="10"/>
            <w:tabs>
              <w:tab w:val="right" w:leader="dot" w:pos="8822"/>
            </w:tabs>
            <w:rPr>
              <w:rFonts w:eastAsiaTheme="minorEastAsia"/>
              <w:noProof/>
              <w:sz w:val="24"/>
              <w:szCs w:val="24"/>
              <w:rtl/>
            </w:rPr>
          </w:pPr>
          <w:hyperlink w:anchor="_Toc226203808" w:history="1">
            <w:r w:rsidRPr="00B62943">
              <w:rPr>
                <w:rStyle w:val="Hyperlink"/>
                <w:rFonts w:ascii="Simplified Arabic" w:eastAsia="Times New Roman" w:hAnsi="Simplified Arabic" w:cs="Simplified Arabic"/>
                <w:b/>
                <w:bCs/>
                <w:noProof/>
                <w:kern w:val="36"/>
                <w:rtl/>
                <w14:ligatures w14:val="none"/>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Toc226203808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19</w:t>
            </w:r>
            <w:r>
              <w:rPr>
                <w:rStyle w:val="Hyperlink"/>
                <w:noProof/>
                <w:rtl/>
              </w:rPr>
              <w:fldChar w:fldCharType="end"/>
            </w:r>
          </w:hyperlink>
        </w:p>
        <w:p w14:paraId="57A1DB60" w14:textId="2EDF8D81" w:rsidR="00525D76" w:rsidRDefault="00525D76">
          <w:pPr>
            <w:pStyle w:val="10"/>
            <w:tabs>
              <w:tab w:val="right" w:leader="dot" w:pos="8822"/>
            </w:tabs>
            <w:rPr>
              <w:rFonts w:eastAsiaTheme="minorEastAsia"/>
              <w:noProof/>
              <w:sz w:val="24"/>
              <w:szCs w:val="24"/>
              <w:rtl/>
            </w:rPr>
          </w:pPr>
          <w:hyperlink w:anchor="_Toc226203810" w:history="1">
            <w:r w:rsidRPr="00B62943">
              <w:rPr>
                <w:rStyle w:val="Hyperlink"/>
                <w:rFonts w:eastAsia="Times New Roman"/>
                <w:noProof/>
                <w:kern w:val="0"/>
                <w:rtl/>
                <w14:ligatures w14:val="none"/>
              </w:rPr>
              <w:t>أولاً</w:t>
            </w:r>
            <w:r w:rsidRPr="00B62943">
              <w:rPr>
                <w:rStyle w:val="Hyperlink"/>
                <w:rFonts w:eastAsia="Times New Roman"/>
                <w:noProof/>
                <w:kern w:val="36"/>
                <w:rtl/>
                <w14:ligatures w14:val="none"/>
              </w:rPr>
              <w:t xml:space="preserve"> 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Toc226203810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20</w:t>
            </w:r>
            <w:r>
              <w:rPr>
                <w:rStyle w:val="Hyperlink"/>
                <w:noProof/>
                <w:rtl/>
              </w:rPr>
              <w:fldChar w:fldCharType="end"/>
            </w:r>
          </w:hyperlink>
        </w:p>
        <w:p w14:paraId="7769CCC3" w14:textId="446E628D" w:rsidR="00525D76" w:rsidRDefault="00525D76">
          <w:pPr>
            <w:pStyle w:val="20"/>
            <w:tabs>
              <w:tab w:val="right" w:leader="dot" w:pos="8822"/>
            </w:tabs>
            <w:rPr>
              <w:rFonts w:eastAsiaTheme="minorEastAsia"/>
              <w:noProof/>
              <w:sz w:val="24"/>
              <w:szCs w:val="24"/>
              <w:rtl/>
            </w:rPr>
          </w:pPr>
          <w:hyperlink w:anchor="_Toc226203811" w:history="1">
            <w:r w:rsidRPr="00B62943">
              <w:rPr>
                <w:rStyle w:val="Hyperlink"/>
                <w:rFonts w:ascii="Simplified Arabic" w:eastAsia="Times New Roman" w:hAnsi="Simplified Arabic" w:cs="Simplified Arabic"/>
                <w:b/>
                <w:bCs/>
                <w:noProof/>
                <w:kern w:val="0"/>
                <w:rtl/>
                <w14:ligatures w14:val="none"/>
              </w:rPr>
              <w:t>أولاً: مفهوم التخطيط التشغيلي للفعاليات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Toc226203811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20</w:t>
            </w:r>
            <w:r>
              <w:rPr>
                <w:rStyle w:val="Hyperlink"/>
                <w:noProof/>
                <w:rtl/>
              </w:rPr>
              <w:fldChar w:fldCharType="end"/>
            </w:r>
          </w:hyperlink>
        </w:p>
        <w:p w14:paraId="30E13B58" w14:textId="58581C5D" w:rsidR="00525D76" w:rsidRDefault="00525D76">
          <w:pPr>
            <w:pStyle w:val="20"/>
            <w:tabs>
              <w:tab w:val="right" w:leader="dot" w:pos="8822"/>
            </w:tabs>
            <w:rPr>
              <w:rFonts w:eastAsiaTheme="minorEastAsia"/>
              <w:noProof/>
              <w:sz w:val="24"/>
              <w:szCs w:val="24"/>
              <w:rtl/>
            </w:rPr>
          </w:pPr>
          <w:hyperlink w:anchor="_Toc226203812" w:history="1">
            <w:r w:rsidRPr="00B62943">
              <w:rPr>
                <w:rStyle w:val="Hyperlink"/>
                <w:rFonts w:ascii="Simplified Arabic" w:eastAsia="Times New Roman" w:hAnsi="Simplified Arabic" w:cs="Simplified Arabic"/>
                <w:b/>
                <w:bCs/>
                <w:noProof/>
                <w:kern w:val="0"/>
                <w:rtl/>
                <w14:ligatures w14:val="none"/>
              </w:rPr>
              <w:t>أبعاد التخطيط التشغيلي للفعاليات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Toc226203812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21</w:t>
            </w:r>
            <w:r>
              <w:rPr>
                <w:rStyle w:val="Hyperlink"/>
                <w:noProof/>
                <w:rtl/>
              </w:rPr>
              <w:fldChar w:fldCharType="end"/>
            </w:r>
          </w:hyperlink>
        </w:p>
        <w:p w14:paraId="4BAE6507" w14:textId="3CC63ED5" w:rsidR="00525D76" w:rsidRDefault="00525D76">
          <w:pPr>
            <w:pStyle w:val="20"/>
            <w:tabs>
              <w:tab w:val="right" w:leader="dot" w:pos="8822"/>
            </w:tabs>
            <w:rPr>
              <w:rFonts w:eastAsiaTheme="minorEastAsia"/>
              <w:noProof/>
              <w:sz w:val="24"/>
              <w:szCs w:val="24"/>
              <w:rtl/>
            </w:rPr>
          </w:pPr>
          <w:hyperlink w:anchor="_Toc226203813" w:history="1">
            <w:r w:rsidRPr="00B62943">
              <w:rPr>
                <w:rStyle w:val="Hyperlink"/>
                <w:rFonts w:ascii="Simplified Arabic" w:eastAsia="Times New Roman" w:hAnsi="Simplified Arabic" w:cs="Simplified Arabic"/>
                <w:b/>
                <w:bCs/>
                <w:noProof/>
                <w:kern w:val="0"/>
                <w:rtl/>
                <w14:ligatures w14:val="none"/>
              </w:rPr>
              <w:t>ثانياً: مفهوم الكفاءة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Toc226203813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22</w:t>
            </w:r>
            <w:r>
              <w:rPr>
                <w:rStyle w:val="Hyperlink"/>
                <w:noProof/>
                <w:rtl/>
              </w:rPr>
              <w:fldChar w:fldCharType="end"/>
            </w:r>
          </w:hyperlink>
        </w:p>
        <w:p w14:paraId="7C669102" w14:textId="717CDD9F" w:rsidR="00525D76" w:rsidRDefault="00525D76">
          <w:pPr>
            <w:pStyle w:val="20"/>
            <w:tabs>
              <w:tab w:val="right" w:leader="dot" w:pos="8822"/>
            </w:tabs>
            <w:rPr>
              <w:rFonts w:eastAsiaTheme="minorEastAsia"/>
              <w:noProof/>
              <w:sz w:val="24"/>
              <w:szCs w:val="24"/>
              <w:rtl/>
            </w:rPr>
          </w:pPr>
          <w:hyperlink w:anchor="_Toc226203814" w:history="1">
            <w:r w:rsidRPr="00B62943">
              <w:rPr>
                <w:rStyle w:val="Hyperlink"/>
                <w:rFonts w:ascii="Simplified Arabic" w:eastAsia="Times New Roman" w:hAnsi="Simplified Arabic" w:cs="Simplified Arabic"/>
                <w:b/>
                <w:bCs/>
                <w:noProof/>
                <w:kern w:val="0"/>
                <w:rtl/>
                <w14:ligatures w14:val="none"/>
              </w:rPr>
              <w:t>ثالثاً: العلاقة النظرية بين التخطيط التشغيلي للفعاليات والكفاءة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Toc226203814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23</w:t>
            </w:r>
            <w:r>
              <w:rPr>
                <w:rStyle w:val="Hyperlink"/>
                <w:noProof/>
                <w:rtl/>
              </w:rPr>
              <w:fldChar w:fldCharType="end"/>
            </w:r>
          </w:hyperlink>
        </w:p>
        <w:p w14:paraId="05D60745" w14:textId="1A79141A" w:rsidR="00525D76" w:rsidRDefault="00525D76">
          <w:pPr>
            <w:pStyle w:val="10"/>
            <w:tabs>
              <w:tab w:val="right" w:leader="dot" w:pos="8822"/>
            </w:tabs>
            <w:rPr>
              <w:rFonts w:eastAsiaTheme="minorEastAsia"/>
              <w:noProof/>
              <w:sz w:val="24"/>
              <w:szCs w:val="24"/>
              <w:rtl/>
            </w:rPr>
          </w:pPr>
          <w:hyperlink w:anchor="_Toc226203815" w:history="1">
            <w:r w:rsidRPr="00B62943">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Toc226203815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23</w:t>
            </w:r>
            <w:r>
              <w:rPr>
                <w:rStyle w:val="Hyperlink"/>
                <w:noProof/>
                <w:rtl/>
              </w:rPr>
              <w:fldChar w:fldCharType="end"/>
            </w:r>
          </w:hyperlink>
        </w:p>
        <w:p w14:paraId="7EE19A2F" w14:textId="0348111F" w:rsidR="00525D76" w:rsidRDefault="00525D76">
          <w:pPr>
            <w:pStyle w:val="10"/>
            <w:tabs>
              <w:tab w:val="right" w:leader="dot" w:pos="8822"/>
            </w:tabs>
            <w:rPr>
              <w:rFonts w:eastAsiaTheme="minorEastAsia"/>
              <w:noProof/>
              <w:sz w:val="24"/>
              <w:szCs w:val="24"/>
              <w:rtl/>
            </w:rPr>
          </w:pPr>
          <w:hyperlink w:anchor="_Toc226203816" w:history="1">
            <w:r w:rsidRPr="00B62943">
              <w:rPr>
                <w:rStyle w:val="Hyperlink"/>
                <w:rFonts w:ascii="Simplified Arabic" w:eastAsia="Times New Roman" w:hAnsi="Simplified Arabic" w:cs="Simplified Arabic"/>
                <w:b/>
                <w:bCs/>
                <w:noProof/>
                <w:kern w:val="36"/>
                <w:rtl/>
                <w14:ligatures w14:val="none"/>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Toc226203816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24</w:t>
            </w:r>
            <w:r>
              <w:rPr>
                <w:rStyle w:val="Hyperlink"/>
                <w:noProof/>
                <w:rtl/>
              </w:rPr>
              <w:fldChar w:fldCharType="end"/>
            </w:r>
          </w:hyperlink>
        </w:p>
        <w:p w14:paraId="2FE4FF27" w14:textId="79DC5E83" w:rsidR="00525D76" w:rsidRDefault="00525D76">
          <w:pPr>
            <w:pStyle w:val="10"/>
            <w:tabs>
              <w:tab w:val="right" w:leader="dot" w:pos="8822"/>
            </w:tabs>
            <w:rPr>
              <w:rFonts w:eastAsiaTheme="minorEastAsia"/>
              <w:noProof/>
              <w:sz w:val="24"/>
              <w:szCs w:val="24"/>
              <w:rtl/>
            </w:rPr>
          </w:pPr>
          <w:hyperlink w:anchor="_Toc226203817" w:history="1">
            <w:r w:rsidRPr="00B62943">
              <w:rPr>
                <w:rStyle w:val="Hyperlink"/>
                <w:rFonts w:ascii="Simplified Arabic" w:eastAsia="Times New Roman" w:hAnsi="Simplified Arabic" w:cs="Simplified Arabic"/>
                <w:b/>
                <w:bCs/>
                <w:noProof/>
                <w:kern w:val="36"/>
                <w:rtl/>
                <w14:ligatures w14:val="none"/>
              </w:rPr>
              <w:t>مصادر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Toc226203817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24</w:t>
            </w:r>
            <w:r>
              <w:rPr>
                <w:rStyle w:val="Hyperlink"/>
                <w:noProof/>
                <w:rtl/>
              </w:rPr>
              <w:fldChar w:fldCharType="end"/>
            </w:r>
          </w:hyperlink>
        </w:p>
        <w:p w14:paraId="7F1D3B3A" w14:textId="5093BA44" w:rsidR="00525D76" w:rsidRDefault="00525D76">
          <w:pPr>
            <w:pStyle w:val="10"/>
            <w:tabs>
              <w:tab w:val="right" w:leader="dot" w:pos="8822"/>
            </w:tabs>
            <w:rPr>
              <w:rFonts w:eastAsiaTheme="minorEastAsia"/>
              <w:noProof/>
              <w:sz w:val="24"/>
              <w:szCs w:val="24"/>
              <w:rtl/>
            </w:rPr>
          </w:pPr>
          <w:hyperlink w:anchor="_Toc226203818" w:history="1">
            <w:r w:rsidRPr="00B62943">
              <w:rPr>
                <w:rStyle w:val="Hyperlink"/>
                <w:rFonts w:ascii="Simplified Arabic" w:eastAsia="Times New Roman" w:hAnsi="Simplified Arabic" w:cs="Simplified Arabic"/>
                <w:b/>
                <w:bCs/>
                <w:noProof/>
                <w:kern w:val="36"/>
                <w:rtl/>
                <w14:ligatures w14:val="none"/>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Toc226203818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25</w:t>
            </w:r>
            <w:r>
              <w:rPr>
                <w:rStyle w:val="Hyperlink"/>
                <w:noProof/>
                <w:rtl/>
              </w:rPr>
              <w:fldChar w:fldCharType="end"/>
            </w:r>
          </w:hyperlink>
        </w:p>
        <w:p w14:paraId="1F762BE4" w14:textId="7A539AC2" w:rsidR="00525D76" w:rsidRDefault="00525D76">
          <w:pPr>
            <w:pStyle w:val="10"/>
            <w:tabs>
              <w:tab w:val="right" w:leader="dot" w:pos="8822"/>
            </w:tabs>
            <w:rPr>
              <w:rFonts w:eastAsiaTheme="minorEastAsia"/>
              <w:noProof/>
              <w:sz w:val="24"/>
              <w:szCs w:val="24"/>
              <w:rtl/>
            </w:rPr>
          </w:pPr>
          <w:hyperlink w:anchor="_Toc226203819" w:history="1">
            <w:r w:rsidRPr="00B62943">
              <w:rPr>
                <w:rStyle w:val="Hyperlink"/>
                <w:rFonts w:ascii="Simplified Arabic" w:eastAsia="Times New Roman" w:hAnsi="Simplified Arabic" w:cs="Simplified Arabic"/>
                <w:b/>
                <w:bCs/>
                <w:noProof/>
                <w:kern w:val="36"/>
                <w:rtl/>
                <w14:ligatures w14:val="none"/>
              </w:rPr>
              <w:t>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Toc226203819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26</w:t>
            </w:r>
            <w:r>
              <w:rPr>
                <w:rStyle w:val="Hyperlink"/>
                <w:noProof/>
                <w:rtl/>
              </w:rPr>
              <w:fldChar w:fldCharType="end"/>
            </w:r>
          </w:hyperlink>
        </w:p>
        <w:p w14:paraId="137E7B35" w14:textId="5FD3972A" w:rsidR="00525D76" w:rsidRDefault="00525D76">
          <w:pPr>
            <w:pStyle w:val="10"/>
            <w:tabs>
              <w:tab w:val="right" w:leader="dot" w:pos="8822"/>
            </w:tabs>
            <w:rPr>
              <w:rFonts w:eastAsiaTheme="minorEastAsia"/>
              <w:noProof/>
              <w:sz w:val="24"/>
              <w:szCs w:val="24"/>
              <w:rtl/>
            </w:rPr>
          </w:pPr>
          <w:hyperlink w:anchor="_Toc226203820" w:history="1">
            <w:r w:rsidRPr="00B62943">
              <w:rPr>
                <w:rStyle w:val="Hyperlink"/>
                <w:rFonts w:ascii="Simplified Arabic" w:eastAsia="Times New Roman" w:hAnsi="Simplified Arabic" w:cs="Simplified Arabic"/>
                <w:b/>
                <w:bCs/>
                <w:noProof/>
                <w:kern w:val="36"/>
                <w:rtl/>
                <w14:ligatures w14:val="none"/>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Toc226203820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27</w:t>
            </w:r>
            <w:r>
              <w:rPr>
                <w:rStyle w:val="Hyperlink"/>
                <w:noProof/>
                <w:rtl/>
              </w:rPr>
              <w:fldChar w:fldCharType="end"/>
            </w:r>
          </w:hyperlink>
        </w:p>
        <w:p w14:paraId="76496EA0" w14:textId="6752F767" w:rsidR="00525D76" w:rsidRDefault="00525D76">
          <w:pPr>
            <w:pStyle w:val="10"/>
            <w:tabs>
              <w:tab w:val="right" w:leader="dot" w:pos="8822"/>
            </w:tabs>
            <w:rPr>
              <w:rFonts w:eastAsiaTheme="minorEastAsia"/>
              <w:noProof/>
              <w:sz w:val="24"/>
              <w:szCs w:val="24"/>
              <w:rtl/>
            </w:rPr>
          </w:pPr>
          <w:hyperlink w:anchor="_Toc226203821" w:history="1">
            <w:r w:rsidRPr="00B62943">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Toc226203821 \h</w:instrText>
            </w:r>
            <w:r>
              <w:rPr>
                <w:noProof/>
                <w:webHidden/>
                <w:rtl/>
              </w:rPr>
              <w:instrText xml:space="preserve"> </w:instrText>
            </w:r>
            <w:r>
              <w:rPr>
                <w:rStyle w:val="Hyperlink"/>
                <w:noProof/>
                <w:rtl/>
              </w:rPr>
            </w:r>
            <w:r>
              <w:rPr>
                <w:rStyle w:val="Hyperlink"/>
                <w:noProof/>
                <w:rtl/>
              </w:rPr>
              <w:fldChar w:fldCharType="separate"/>
            </w:r>
            <w:r w:rsidR="000F68FD">
              <w:rPr>
                <w:noProof/>
                <w:webHidden/>
                <w:rtl/>
              </w:rPr>
              <w:t>28</w:t>
            </w:r>
            <w:r>
              <w:rPr>
                <w:rStyle w:val="Hyperlink"/>
                <w:noProof/>
                <w:rtl/>
              </w:rPr>
              <w:fldChar w:fldCharType="end"/>
            </w:r>
          </w:hyperlink>
        </w:p>
        <w:p w14:paraId="2791013A" w14:textId="562E4EFD" w:rsidR="00377D51" w:rsidRPr="00525D76" w:rsidRDefault="00377D51" w:rsidP="00525D76">
          <w:pPr>
            <w:spacing w:line="276" w:lineRule="auto"/>
            <w:jc w:val="both"/>
            <w:rPr>
              <w:rFonts w:ascii="Simplified Arabic" w:hAnsi="Simplified Arabic" w:cs="Simplified Arabic"/>
              <w:sz w:val="28"/>
              <w:szCs w:val="28"/>
            </w:rPr>
          </w:pPr>
          <w:r w:rsidRPr="00525D76">
            <w:rPr>
              <w:rFonts w:ascii="Simplified Arabic" w:hAnsi="Simplified Arabic" w:cs="Simplified Arabic" w:hint="cs"/>
              <w:noProof/>
              <w:sz w:val="28"/>
              <w:szCs w:val="28"/>
            </w:rPr>
            <w:fldChar w:fldCharType="end"/>
          </w:r>
        </w:p>
      </w:sdtContent>
    </w:sdt>
    <w:p w14:paraId="035BF540" w14:textId="12A5BBF8" w:rsidR="009125CE" w:rsidRPr="00525D76" w:rsidRDefault="00A74F76" w:rsidP="00525D76">
      <w:pPr>
        <w:pStyle w:val="1"/>
        <w:jc w:val="both"/>
        <w:rPr>
          <w:sz w:val="28"/>
          <w:szCs w:val="28"/>
          <w:rtl/>
        </w:rPr>
      </w:pPr>
      <w:bookmarkStart w:id="0" w:name="_Toc169790487"/>
      <w:bookmarkStart w:id="1" w:name="_Toc226203795"/>
      <w:r w:rsidRPr="00525D76">
        <w:rPr>
          <w:rFonts w:hint="cs"/>
          <w:sz w:val="28"/>
          <w:szCs w:val="28"/>
          <w:rtl/>
        </w:rPr>
        <w:lastRenderedPageBreak/>
        <w:t>مقدمة</w:t>
      </w:r>
      <w:r w:rsidR="009125CE" w:rsidRPr="00525D76">
        <w:rPr>
          <w:rFonts w:hint="cs"/>
          <w:sz w:val="28"/>
          <w:szCs w:val="28"/>
          <w:rtl/>
        </w:rPr>
        <w:t>:</w:t>
      </w:r>
      <w:bookmarkEnd w:id="0"/>
      <w:bookmarkEnd w:id="1"/>
    </w:p>
    <w:p w14:paraId="11AC5415"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2" w:name="_Hlk172151144"/>
      <w:bookmarkStart w:id="3" w:name="_Toc169790489"/>
      <w:r w:rsidRPr="006B1A48">
        <w:rPr>
          <w:rFonts w:ascii="Simplified Arabic" w:eastAsia="Times New Roman" w:hAnsi="Simplified Arabic" w:cs="Simplified Arabic" w:hint="cs"/>
          <w:kern w:val="0"/>
          <w:sz w:val="28"/>
          <w:szCs w:val="28"/>
          <w:rtl/>
          <w14:ligatures w14:val="none"/>
        </w:rPr>
        <w:t>تُمثل صناعة الفعاليات أحد أسرع القطاعات الخدمية نمواً على المستوى العالمي، حيث تحولت من كونها نشاطاً هامشياً مرتبطاً بالمناسبات الاجتماعية إلى صناعة اقتصادية ضخمة تستقطب استثمارات بمليارات الدولارات وتشمل تنظيم المؤتمرات والمعارض والحفلات والفعاليات الرياضية والثقافية والترفيهية. وقد أسهمت التحولات الاقتصادية والاجتماعية المعاصرة في تعاظم الطلب على الفعاليات بمختلف أنواعها، مما فرض على شركات تنظيم الفعاليات تحديات تشغيلية متزايدة تستلزم تبني أُطر إدارية وتخطيطية أكثر تطوراً ومنهجية لضمان تقديم فعاليات عالية الجودة تُلبي تطلعات الأسواق المتنامية</w:t>
      </w:r>
      <w:r w:rsidRPr="006B1A48">
        <w:rPr>
          <w:rFonts w:ascii="Simplified Arabic" w:eastAsia="Times New Roman" w:hAnsi="Simplified Arabic" w:cs="Simplified Arabic" w:hint="cs"/>
          <w:kern w:val="0"/>
          <w:sz w:val="28"/>
          <w:szCs w:val="28"/>
          <w14:ligatures w14:val="none"/>
        </w:rPr>
        <w:t xml:space="preserve"> (Greco &amp; Mallen, 2024).</w:t>
      </w:r>
    </w:p>
    <w:p w14:paraId="1B22570A"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وفي السياق السعودي تحديداً، أضحى قطاع الفعاليات والترفيه من الركائز الاستراتيجية لرؤية المملكة 2030 التي استهدفت تنويع مصادر الدخل الوطني وتعزيز جودة الحياة، حيث شهدت المملكة العربية السعودية خلال السنوات الأخيرة طفرة غير مسبوقة في حجم الفعاليات المُنظمة وتنوعها، بدءاً من الفعاليات الرياضية الكبرى ومروراً بالمهرجانات الثقافية والترفيهية ووصولاً إلى المؤتمرات والمعارض الدولية. وقد أفرز هذا النمو المتسارع حاجة ملحة لدى شركات تنظيم الفعاليات إلى رفع مستوى عملياتها وتبني ممارسات تخطيطية احترافية تُمكنها من مواكبة حجم الطلب المتزايد والمنافسة المتصاعدة محلياً ودولياً (شكوري والرايسي، 2023)</w:t>
      </w:r>
      <w:r w:rsidRPr="006B1A48">
        <w:rPr>
          <w:rFonts w:ascii="Simplified Arabic" w:eastAsia="Times New Roman" w:hAnsi="Simplified Arabic" w:cs="Simplified Arabic" w:hint="cs"/>
          <w:kern w:val="0"/>
          <w:sz w:val="28"/>
          <w:szCs w:val="28"/>
          <w14:ligatures w14:val="none"/>
        </w:rPr>
        <w:t>.</w:t>
      </w:r>
    </w:p>
    <w:p w14:paraId="0F71D0F6" w14:textId="4DB2AF91"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ويُعد التخطيط التشغيلي للفعاليات من المفاهيم الإدارية الجوهرية التي تُعنى بترجمة الأهداف الاستراتيجية إلى خطط تنفيذية تفصيلية تشمل تحديد الموارد اللازمة وتخصيص الميزانيات ووضع الجداول الزمنية وتوزيع المهام على فرق العمل والموردين، بما يضمن تنفيذ الفعالية بالشكل المطلوب ضمن الوقت والتكلفة المحددين</w:t>
      </w:r>
      <w:r w:rsidR="00525D76">
        <w:rPr>
          <w:rFonts w:ascii="Simplified Arabic" w:eastAsia="Times New Roman" w:hAnsi="Simplified Arabic" w:cs="Simplified Arabic" w:hint="cs"/>
          <w:kern w:val="0"/>
          <w:sz w:val="28"/>
          <w:szCs w:val="28"/>
          <w:rtl/>
          <w14:ligatures w14:val="none"/>
        </w:rPr>
        <w:t>،</w:t>
      </w:r>
      <w:r w:rsidRPr="006B1A48">
        <w:rPr>
          <w:rFonts w:ascii="Simplified Arabic" w:eastAsia="Times New Roman" w:hAnsi="Simplified Arabic" w:cs="Simplified Arabic" w:hint="cs"/>
          <w:kern w:val="0"/>
          <w:sz w:val="28"/>
          <w:szCs w:val="28"/>
          <w:rtl/>
          <w14:ligatures w14:val="none"/>
        </w:rPr>
        <w:t xml:space="preserve"> وقد أكد</w:t>
      </w:r>
      <w:r w:rsidRPr="006B1A48">
        <w:rPr>
          <w:rFonts w:ascii="Simplified Arabic" w:eastAsia="Times New Roman" w:hAnsi="Simplified Arabic" w:cs="Simplified Arabic" w:hint="cs"/>
          <w:kern w:val="0"/>
          <w:sz w:val="28"/>
          <w:szCs w:val="28"/>
          <w14:ligatures w14:val="none"/>
        </w:rPr>
        <w:t xml:space="preserve"> Mallen (2024) </w:t>
      </w:r>
      <w:r w:rsidRPr="006B1A48">
        <w:rPr>
          <w:rFonts w:ascii="Simplified Arabic" w:eastAsia="Times New Roman" w:hAnsi="Simplified Arabic" w:cs="Simplified Arabic" w:hint="cs"/>
          <w:kern w:val="0"/>
          <w:sz w:val="28"/>
          <w:szCs w:val="28"/>
          <w:rtl/>
          <w14:ligatures w14:val="none"/>
        </w:rPr>
        <w:t>أن مرحلة التخطيط التشغيلي تُشكل العمود الفقري لنموذج تخطيط الفعاليات، وأنها المرحلة الأكثر تعقيداً وحساسية في دورة حياة الفعالية، إذ تتطلب تنسيقاً دقيقاً بين مكونات متعددة تتفاعل في بيئة ديناميكية سريعة التغير</w:t>
      </w:r>
      <w:r w:rsidRPr="006B1A48">
        <w:rPr>
          <w:rFonts w:ascii="Simplified Arabic" w:eastAsia="Times New Roman" w:hAnsi="Simplified Arabic" w:cs="Simplified Arabic" w:hint="cs"/>
          <w:kern w:val="0"/>
          <w:sz w:val="28"/>
          <w:szCs w:val="28"/>
          <w14:ligatures w14:val="none"/>
        </w:rPr>
        <w:t>.</w:t>
      </w:r>
    </w:p>
    <w:p w14:paraId="1C6A14EF" w14:textId="2F596B72"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 xml:space="preserve">تحظى الكفاءة التشغيلية باهتمام متزايد في الأدبيات الإدارية والاقتصادية باعتبارها مؤشراً جوهرياً على قدرة المنظمة على تحقيق أقصى مخرجات ممكنة بأقل قدر من المدخلات والموارد المستهلكة، وهي تعكس مدى نجاح المنظمة في إدارة عملياتها الداخلية وتقليل الهدر وتحسين الإنتاجية وضبط التكاليف. </w:t>
      </w:r>
      <w:r w:rsidRPr="006B1A48">
        <w:rPr>
          <w:rFonts w:ascii="Simplified Arabic" w:eastAsia="Times New Roman" w:hAnsi="Simplified Arabic" w:cs="Simplified Arabic" w:hint="cs"/>
          <w:kern w:val="0"/>
          <w:sz w:val="28"/>
          <w:szCs w:val="28"/>
          <w:rtl/>
          <w14:ligatures w14:val="none"/>
        </w:rPr>
        <w:lastRenderedPageBreak/>
        <w:t>وقد أشارت دراسة الأحمد والرقيبات (2020) إلى أن الكفاءة التشغيلية تتأثر بمجموعة من المحددات التنظيمية والمالية التي ينبغي على المنظمات إدارتها بعناية لتحقيق الأداء الأمثل. كما أوضحت دراسة بيلي وداود (2023) أن كفاءة إدارة الموارد تنعكس بشكل مباشر على مستوى الكفاءة التشغيلية، وأن المنظمات التي تتبنى سياسات واضحة في تخطيط مواردها تُحقق مستويات أعلى من الكفاءة في عملياتها</w:t>
      </w:r>
      <w:r w:rsidRPr="006B1A48">
        <w:rPr>
          <w:rFonts w:ascii="Simplified Arabic" w:eastAsia="Times New Roman" w:hAnsi="Simplified Arabic" w:cs="Simplified Arabic" w:hint="cs"/>
          <w:kern w:val="0"/>
          <w:sz w:val="28"/>
          <w:szCs w:val="28"/>
          <w14:ligatures w14:val="none"/>
        </w:rPr>
        <w:t>.</w:t>
      </w:r>
    </w:p>
    <w:p w14:paraId="2CB1C4B4"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وفي ضوء ذلك، يتضح أن ثمة علاقة وثيقة بين التخطيط التشغيلي والكفاءة التشغيلية، إذ إن جودة التخطيط المُسبق للعمليات من حيث تخطيط الموارد والجدولة الزمنية وإدارة المخاطر وتنسيق فرق العمل تُسهم في رفع مستوى الكفاءة التشغيلية من خلال تقليل الفاقد وتسريع العمليات وتحسين جودة المخرجات. وقد أكدت دراسة</w:t>
      </w:r>
      <w:r w:rsidRPr="006B1A48">
        <w:rPr>
          <w:rFonts w:ascii="Simplified Arabic" w:eastAsia="Times New Roman" w:hAnsi="Simplified Arabic" w:cs="Simplified Arabic" w:hint="cs"/>
          <w:kern w:val="0"/>
          <w:sz w:val="28"/>
          <w:szCs w:val="28"/>
          <w14:ligatures w14:val="none"/>
        </w:rPr>
        <w:t xml:space="preserve"> Iuliia (2026) </w:t>
      </w:r>
      <w:r w:rsidRPr="006B1A48">
        <w:rPr>
          <w:rFonts w:ascii="Simplified Arabic" w:eastAsia="Times New Roman" w:hAnsi="Simplified Arabic" w:cs="Simplified Arabic" w:hint="cs"/>
          <w:kern w:val="0"/>
          <w:sz w:val="28"/>
          <w:szCs w:val="28"/>
          <w:rtl/>
          <w14:ligatures w14:val="none"/>
        </w:rPr>
        <w:t>أن التخطيط التشغيلي المتكامل المدعوم بالتقنيات الحديثة يُمثل عاملاً حاسماً في تحقيق الكفاءة التشغيلية للفعاليات، وأن المنظمات التي تتبنى نماذج تخطيطية منهجية تتفوق تشغيلياً على نظيراتها التي تعتمد على الأساليب التقليدية</w:t>
      </w:r>
      <w:r w:rsidRPr="006B1A48">
        <w:rPr>
          <w:rFonts w:ascii="Simplified Arabic" w:eastAsia="Times New Roman" w:hAnsi="Simplified Arabic" w:cs="Simplified Arabic" w:hint="cs"/>
          <w:kern w:val="0"/>
          <w:sz w:val="28"/>
          <w:szCs w:val="28"/>
          <w14:ligatures w14:val="none"/>
        </w:rPr>
        <w:t>.</w:t>
      </w:r>
    </w:p>
    <w:p w14:paraId="3AD409DA" w14:textId="57DEC1AC"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وانطلاقاً مما تقدم، تأتي هذه الدراسة لتسلط الضوء على أثر التخطيط التشغيلي للفعاليات بأبعاده المتمثلة في 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w:t>
      </w:r>
      <w:r w:rsidR="00525D76">
        <w:rPr>
          <w:rFonts w:ascii="Simplified Arabic" w:eastAsia="Times New Roman" w:hAnsi="Simplified Arabic" w:cs="Simplified Arabic" w:hint="cs"/>
          <w:kern w:val="0"/>
          <w:sz w:val="28"/>
          <w:szCs w:val="28"/>
          <w:rtl/>
          <w14:ligatures w14:val="none"/>
        </w:rPr>
        <w:t>.</w:t>
      </w:r>
    </w:p>
    <w:p w14:paraId="287BEB69" w14:textId="2AD5EDBF" w:rsidR="00EE0BB8" w:rsidRPr="00525D76" w:rsidRDefault="00EE0BB8" w:rsidP="00525D76">
      <w:pPr>
        <w:pStyle w:val="1"/>
        <w:jc w:val="both"/>
        <w:rPr>
          <w:sz w:val="28"/>
          <w:szCs w:val="28"/>
          <w:rtl/>
        </w:rPr>
      </w:pPr>
      <w:bookmarkStart w:id="4" w:name="_Toc226203796"/>
      <w:r w:rsidRPr="00525D76">
        <w:rPr>
          <w:rFonts w:hint="cs"/>
          <w:sz w:val="28"/>
          <w:szCs w:val="28"/>
          <w:rtl/>
        </w:rPr>
        <w:t>مشكلة الدراسة</w:t>
      </w:r>
      <w:bookmarkEnd w:id="4"/>
    </w:p>
    <w:p w14:paraId="56188A5D" w14:textId="77777777" w:rsidR="006B1A48" w:rsidRPr="00525D76" w:rsidRDefault="006B1A48" w:rsidP="00525D76">
      <w:pPr>
        <w:pStyle w:val="a9"/>
        <w:bidi/>
        <w:spacing w:line="276" w:lineRule="auto"/>
        <w:jc w:val="both"/>
        <w:rPr>
          <w:rFonts w:ascii="Simplified Arabic" w:hAnsi="Simplified Arabic" w:cs="Simplified Arabic"/>
          <w:sz w:val="28"/>
          <w:szCs w:val="28"/>
        </w:rPr>
      </w:pPr>
      <w:bookmarkStart w:id="5" w:name="_Toc169790500"/>
      <w:bookmarkEnd w:id="2"/>
      <w:bookmarkEnd w:id="3"/>
      <w:r w:rsidRPr="00525D76">
        <w:rPr>
          <w:rFonts w:ascii="Simplified Arabic" w:hAnsi="Simplified Arabic" w:cs="Simplified Arabic" w:hint="cs"/>
          <w:sz w:val="28"/>
          <w:szCs w:val="28"/>
          <w:rtl/>
        </w:rPr>
        <w:t xml:space="preserve">يشهد قطاع تنظيم الفعاليات في المملكة العربية السعودية نمواً متسارعاً وغير مسبوق، مدفوعاً بالتحولات الجذرية التي أفرزتها رؤية المملكة 2030 التي وضعت قطاع الترفيه والفعاليات في صدارة القطاعات الاستراتيجية المستهدفة بالتنويع الاقتصادي، حيث تُشير التقديرات إلى أن حجم سوق الفعاليات والمعارض والمؤتمرات في المملكة قد تجاوز عشرات المليارات من الريالات سنوياً، مع توقعات باستمرار هذا النمو مع تزايد الطلب على الفعاليات الثقافية والرياضية والترفيهية والتجارية. غير أن هذا النمو الكمي المتسارع لم يُقابله بالضرورة تطور نوعي مماثل في مستوى الممارسات التشغيلية لشركات تنظيم الفعاليات، إذ تُشير الشواهد الميدانية والتقارير القطاعية إلى أن كثيراً من هذه الشركات تواجه تحديات جوهرية في تحقيق الكفاءة التشغيلية المطلوبة، تتجلى في تجاوز الميزانيات المرصودة، والتأخر في الجداول الزمنية، </w:t>
      </w:r>
      <w:r w:rsidRPr="00525D76">
        <w:rPr>
          <w:rFonts w:ascii="Simplified Arabic" w:hAnsi="Simplified Arabic" w:cs="Simplified Arabic" w:hint="cs"/>
          <w:sz w:val="28"/>
          <w:szCs w:val="28"/>
          <w:rtl/>
        </w:rPr>
        <w:lastRenderedPageBreak/>
        <w:t>وضعف التنسيق بين فرق العمل والموردين، وقصور في التعامل مع المخاطر التشغيلية الطارئة، وهو ما ينعكس سلباً على جودة الفعاليات المُنفذة ورضا العملاء والقدرة التنافسية لهذه الشركات</w:t>
      </w:r>
      <w:r w:rsidRPr="00525D76">
        <w:rPr>
          <w:rFonts w:ascii="Simplified Arabic" w:hAnsi="Simplified Arabic" w:cs="Simplified Arabic" w:hint="cs"/>
          <w:sz w:val="28"/>
          <w:szCs w:val="28"/>
        </w:rPr>
        <w:t>.</w:t>
      </w:r>
    </w:p>
    <w:p w14:paraId="0680FA50" w14:textId="77777777" w:rsidR="006B1A48" w:rsidRPr="00525D76" w:rsidRDefault="006B1A48" w:rsidP="00525D76">
      <w:pPr>
        <w:pStyle w:val="a9"/>
        <w:bidi/>
        <w:spacing w:line="276" w:lineRule="auto"/>
        <w:jc w:val="both"/>
        <w:rPr>
          <w:rFonts w:ascii="Simplified Arabic" w:hAnsi="Simplified Arabic" w:cs="Simplified Arabic"/>
          <w:sz w:val="28"/>
          <w:szCs w:val="28"/>
        </w:rPr>
      </w:pPr>
      <w:r w:rsidRPr="00525D76">
        <w:rPr>
          <w:rFonts w:ascii="Simplified Arabic" w:hAnsi="Simplified Arabic" w:cs="Simplified Arabic" w:hint="cs"/>
          <w:sz w:val="28"/>
          <w:szCs w:val="28"/>
          <w:rtl/>
        </w:rPr>
        <w:t>وتتأصل جذور هذه الإشكالية في غياب منهجية واضحة ومتكاملة للتخطيط التشغيلي لدى شريحة واسعة من شركات تنظيم الفعاليات، حيث لا تزال كثير منها تعتمد على الأساليب التقليدية والخبرات الشخصية المتراكمة في إدارة عملياتها التشغيلية، دون تبني أُطر تخطيطية منهجية تضمن الاستغلال الأمثل للموارد المتاحة وضبط العمليات وتقليل الهدر والحد من المخاطر. وقد أكدت دراسة</w:t>
      </w:r>
      <w:r w:rsidRPr="00525D76">
        <w:rPr>
          <w:rFonts w:ascii="Simplified Arabic" w:hAnsi="Simplified Arabic" w:cs="Simplified Arabic" w:hint="cs"/>
          <w:sz w:val="28"/>
          <w:szCs w:val="28"/>
        </w:rPr>
        <w:t xml:space="preserve"> Greco and Mallen (2024) </w:t>
      </w:r>
      <w:r w:rsidRPr="00525D76">
        <w:rPr>
          <w:rFonts w:ascii="Simplified Arabic" w:hAnsi="Simplified Arabic" w:cs="Simplified Arabic" w:hint="cs"/>
          <w:sz w:val="28"/>
          <w:szCs w:val="28"/>
          <w:rtl/>
        </w:rPr>
        <w:t>أن غياب التخطيط التشغيلي المنهجي يُعد من أبرز أسباب فشل الفعاليات أو تراجع جودتها، في حين أشارت دراسة</w:t>
      </w:r>
      <w:r w:rsidRPr="00525D76">
        <w:rPr>
          <w:rFonts w:ascii="Simplified Arabic" w:hAnsi="Simplified Arabic" w:cs="Simplified Arabic" w:hint="cs"/>
          <w:sz w:val="28"/>
          <w:szCs w:val="28"/>
        </w:rPr>
        <w:t xml:space="preserve"> Mallen (2024) </w:t>
      </w:r>
      <w:r w:rsidRPr="00525D76">
        <w:rPr>
          <w:rFonts w:ascii="Simplified Arabic" w:hAnsi="Simplified Arabic" w:cs="Simplified Arabic" w:hint="cs"/>
          <w:sz w:val="28"/>
          <w:szCs w:val="28"/>
          <w:rtl/>
        </w:rPr>
        <w:t>إلى أن مرحلة التخطيط التشغيلي هي المرحلة الأكثر حساسية وتعقيداً في دورة حياة الفعالية وأن جودتها تنعكس مباشرة على كفاءة التنفيذ. كما أوضحت دراسة</w:t>
      </w:r>
      <w:r w:rsidRPr="00525D76">
        <w:rPr>
          <w:rFonts w:ascii="Simplified Arabic" w:hAnsi="Simplified Arabic" w:cs="Simplified Arabic" w:hint="cs"/>
          <w:sz w:val="28"/>
          <w:szCs w:val="28"/>
        </w:rPr>
        <w:t xml:space="preserve"> Iuliia (2026) </w:t>
      </w:r>
      <w:r w:rsidRPr="00525D76">
        <w:rPr>
          <w:rFonts w:ascii="Simplified Arabic" w:hAnsi="Simplified Arabic" w:cs="Simplified Arabic" w:hint="cs"/>
          <w:sz w:val="28"/>
          <w:szCs w:val="28"/>
          <w:rtl/>
        </w:rPr>
        <w:t>أن التقنيات الحديثة والذكاء الاصطناعي يمكن أن تُحدث نقلة نوعية في الكفاءة التشغيلية للفعاليات، إلا أن الاستفادة منها تظل مرهونة بوجود تخطيط تشغيلي محكم ومتكامل يستوعب هذه الأدوات ويُوظفها بفاعلية</w:t>
      </w:r>
      <w:r w:rsidRPr="00525D76">
        <w:rPr>
          <w:rFonts w:ascii="Simplified Arabic" w:hAnsi="Simplified Arabic" w:cs="Simplified Arabic" w:hint="cs"/>
          <w:sz w:val="28"/>
          <w:szCs w:val="28"/>
        </w:rPr>
        <w:t>.</w:t>
      </w:r>
    </w:p>
    <w:p w14:paraId="1D0F9174" w14:textId="2799CFED" w:rsidR="006B1A48" w:rsidRPr="00525D76" w:rsidRDefault="00525D76" w:rsidP="00525D76">
      <w:pPr>
        <w:pStyle w:val="a9"/>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006B1A48" w:rsidRPr="00525D76">
        <w:rPr>
          <w:rFonts w:ascii="Simplified Arabic" w:hAnsi="Simplified Arabic" w:cs="Simplified Arabic" w:hint="cs"/>
          <w:sz w:val="28"/>
          <w:szCs w:val="28"/>
          <w:rtl/>
        </w:rPr>
        <w:t xml:space="preserve"> أكدت دراسة شكوري والرايسي </w:t>
      </w:r>
      <w:r w:rsidR="006B1A48" w:rsidRPr="00525D76">
        <w:rPr>
          <w:rFonts w:ascii="Simplified Arabic" w:hAnsi="Simplified Arabic" w:cs="Simplified Arabic" w:hint="cs"/>
          <w:sz w:val="28"/>
          <w:szCs w:val="28"/>
        </w:rPr>
        <w:t xml:space="preserve">(2023) </w:t>
      </w:r>
      <w:r w:rsidR="006B1A48" w:rsidRPr="00525D76">
        <w:rPr>
          <w:rFonts w:ascii="Simplified Arabic" w:hAnsi="Simplified Arabic" w:cs="Simplified Arabic" w:hint="cs"/>
          <w:sz w:val="28"/>
          <w:szCs w:val="28"/>
          <w:rtl/>
        </w:rPr>
        <w:t xml:space="preserve">على أهمية البنية التشغيلية المتينة في نجاح الشركات الناشئة في المملكة العربية السعودية، كما أظهرت دراسة الديب والسقطي وعبدالحافظ </w:t>
      </w:r>
      <w:r w:rsidR="006B1A48" w:rsidRPr="00525D76">
        <w:rPr>
          <w:rFonts w:ascii="Simplified Arabic" w:hAnsi="Simplified Arabic" w:cs="Simplified Arabic" w:hint="cs"/>
          <w:sz w:val="28"/>
          <w:szCs w:val="28"/>
        </w:rPr>
        <w:t xml:space="preserve">(2025) </w:t>
      </w:r>
      <w:r w:rsidR="006B1A48" w:rsidRPr="00525D76">
        <w:rPr>
          <w:rFonts w:ascii="Simplified Arabic" w:hAnsi="Simplified Arabic" w:cs="Simplified Arabic" w:hint="cs"/>
          <w:sz w:val="28"/>
          <w:szCs w:val="28"/>
          <w:rtl/>
        </w:rPr>
        <w:t>أن الكفاءة التشغيلية تتأثر بشكل جوهري بمستوى التخطيط والتنظيم المُسبق للعمليات. ورغم هذه المؤشرات الواضحة، فإن المتتبع للإنتاج البحثي العربي يلحظ ندرة ملحوظة في الدراسات التي تناولت التخطيط التشغيلي للفعاليات وعلاقته بالكفاءة التشغيلية في قطاع تنظيم الفعاليات تحديداً، حيث تركزت معظم الدراسات السابقة على قطاعات أخرى كالقطاع المصرفي والصناعي والصحي، مما يُفرز فجوة بحثية حقيقية تستدعي معالجتها من خلال دراسة علمية متخصصة</w:t>
      </w:r>
      <w:r w:rsidR="006B1A48" w:rsidRPr="00525D76">
        <w:rPr>
          <w:rFonts w:ascii="Simplified Arabic" w:hAnsi="Simplified Arabic" w:cs="Simplified Arabic" w:hint="cs"/>
          <w:sz w:val="28"/>
          <w:szCs w:val="28"/>
        </w:rPr>
        <w:t>.</w:t>
      </w:r>
    </w:p>
    <w:p w14:paraId="794BC011" w14:textId="77777777" w:rsidR="006B1A48" w:rsidRPr="00525D76" w:rsidRDefault="006B1A48" w:rsidP="00525D76">
      <w:pPr>
        <w:pStyle w:val="a9"/>
        <w:bidi/>
        <w:spacing w:line="276" w:lineRule="auto"/>
        <w:jc w:val="both"/>
        <w:rPr>
          <w:rFonts w:ascii="Simplified Arabic" w:hAnsi="Simplified Arabic" w:cs="Simplified Arabic"/>
          <w:sz w:val="28"/>
          <w:szCs w:val="28"/>
        </w:rPr>
      </w:pPr>
      <w:r w:rsidRPr="00525D76">
        <w:rPr>
          <w:rFonts w:ascii="Simplified Arabic" w:hAnsi="Simplified Arabic" w:cs="Simplified Arabic" w:hint="cs"/>
          <w:sz w:val="28"/>
          <w:szCs w:val="28"/>
          <w:rtl/>
        </w:rPr>
        <w:t xml:space="preserve">ومن هنا، تتبلور مشكلة الدراسة الحالية في التساؤل الجوهري حول طبيعة ومدى أثر التخطيط التشغيلي للفعاليات بأبعاده المتمثلة في 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 وتسعى هذه الدراسة إلى ردم هذه الفجوة البحثية من خلال تقديم إطار تحليلي متكامل يُمكّن من فهم العلاقة بين هذين المتغيرين فهماً معمقاً، وتوفير أدلة تجريبية تُرشد صانعي القرار في </w:t>
      </w:r>
      <w:r w:rsidRPr="00525D76">
        <w:rPr>
          <w:rFonts w:ascii="Simplified Arabic" w:hAnsi="Simplified Arabic" w:cs="Simplified Arabic" w:hint="cs"/>
          <w:sz w:val="28"/>
          <w:szCs w:val="28"/>
          <w:rtl/>
        </w:rPr>
        <w:lastRenderedPageBreak/>
        <w:t>قطاع الفعاليات نحو تبني ممارسات تخطيطية أكثر كفاءة وفاعلية، بما يُسهم في الارتقاء بمستوى صناعة الفعاليات في المملكة العربية السعودية ويُعزز تنافسيتها إقليمياً ودولياً</w:t>
      </w:r>
    </w:p>
    <w:p w14:paraId="4F4C021C" w14:textId="6F9B80C3" w:rsidR="00DB60D5" w:rsidRPr="00525D76" w:rsidRDefault="00DB60D5"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6" w:name="_Toc226203797"/>
      <w:r w:rsidRPr="00525D76">
        <w:rPr>
          <w:rFonts w:ascii="Simplified Arabic" w:eastAsia="Times New Roman" w:hAnsi="Simplified Arabic" w:cs="Simplified Arabic" w:hint="cs"/>
          <w:b/>
          <w:bCs/>
          <w:kern w:val="36"/>
          <w:sz w:val="28"/>
          <w:szCs w:val="28"/>
          <w:rtl/>
          <w14:ligatures w14:val="none"/>
        </w:rPr>
        <w:t>أهداف الدراسة</w:t>
      </w:r>
      <w:bookmarkEnd w:id="6"/>
    </w:p>
    <w:p w14:paraId="3001327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تهدف هذه الدراسة إلى التعرف على أثر التخطيط التشغيلي للفعاليات بأبعاده (تخطيط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08FD4F9A"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ويتفرع من هذا الهدف الرئيسي عدة أهداف فرعية على النحو التالي</w:t>
      </w:r>
      <w:r w:rsidRPr="006B1A48">
        <w:rPr>
          <w:rFonts w:ascii="Simplified Arabic" w:eastAsia="Times New Roman" w:hAnsi="Simplified Arabic" w:cs="Simplified Arabic" w:hint="cs"/>
          <w:kern w:val="0"/>
          <w:sz w:val="28"/>
          <w:szCs w:val="28"/>
          <w14:ligatures w14:val="none"/>
        </w:rPr>
        <w:t>:</w:t>
      </w:r>
    </w:p>
    <w:p w14:paraId="78E38C2D" w14:textId="77777777" w:rsidR="006B1A48" w:rsidRPr="006B1A48" w:rsidRDefault="006B1A48">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التعرف على مستوى ممارسة التخطيط التشغيلي للفعاليات بأبعاده المختلفة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4C859441" w14:textId="77777777" w:rsidR="006B1A48" w:rsidRPr="006B1A48" w:rsidRDefault="006B1A48">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التعرف على مستوى الكفاءة التشغيلية السائد في شركات تنظيم الفعاليات في المملكة العربية السعودية من وجهة نظر العاملين فيها</w:t>
      </w:r>
      <w:r w:rsidRPr="006B1A48">
        <w:rPr>
          <w:rFonts w:ascii="Simplified Arabic" w:eastAsia="Times New Roman" w:hAnsi="Simplified Arabic" w:cs="Simplified Arabic" w:hint="cs"/>
          <w:kern w:val="0"/>
          <w:sz w:val="28"/>
          <w:szCs w:val="28"/>
          <w14:ligatures w14:val="none"/>
        </w:rPr>
        <w:t>.</w:t>
      </w:r>
    </w:p>
    <w:p w14:paraId="3B956FD5" w14:textId="77777777" w:rsidR="006B1A48" w:rsidRPr="006B1A48" w:rsidRDefault="006B1A48">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قياس أثر بُعد تخطيط الموارد والميزانيات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6EF01FA2" w14:textId="77777777" w:rsidR="006B1A48" w:rsidRPr="006B1A48" w:rsidRDefault="006B1A48">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قياس أثر بُعد الجدولة الزمنية وإدارة المهام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0CFA8137" w14:textId="77777777" w:rsidR="006B1A48" w:rsidRPr="006B1A48" w:rsidRDefault="006B1A48">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قياس أثر بُعد إدارة المخاطر التشغيلية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013BDC19" w14:textId="77777777" w:rsidR="006B1A48" w:rsidRPr="006B1A48" w:rsidRDefault="006B1A48">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قياس أثر بُعد تنسيق فرق العمل والموردين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707758A3" w14:textId="77777777" w:rsidR="006B1A48" w:rsidRPr="006B1A48" w:rsidRDefault="006B1A48">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تحديد الأهمية النسبية لأبعاد التخطيط التشغيلي للفعاليات في التأثير على الكفاءة التشغيلية وترتيبها وفقاً لدرجة تأثيرها</w:t>
      </w:r>
      <w:r w:rsidRPr="006B1A48">
        <w:rPr>
          <w:rFonts w:ascii="Simplified Arabic" w:eastAsia="Times New Roman" w:hAnsi="Simplified Arabic" w:cs="Simplified Arabic" w:hint="cs"/>
          <w:kern w:val="0"/>
          <w:sz w:val="28"/>
          <w:szCs w:val="28"/>
          <w14:ligatures w14:val="none"/>
        </w:rPr>
        <w:t>.</w:t>
      </w:r>
    </w:p>
    <w:p w14:paraId="1453BC68" w14:textId="77777777" w:rsidR="006B1A48" w:rsidRPr="006B1A48" w:rsidRDefault="006B1A48">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تقديم توصيات عملية ومقترحات قابلة للتطبيق تُسهم في تعزيز ممارسات التخطيط التشغيلي ورفع مستوى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3333B159" w14:textId="77777777" w:rsidR="006B1A48" w:rsidRPr="006B1A48"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7" w:name="_Toc226203798"/>
      <w:r w:rsidRPr="006B1A48">
        <w:rPr>
          <w:rFonts w:ascii="Simplified Arabic" w:eastAsia="Times New Roman" w:hAnsi="Simplified Arabic" w:cs="Simplified Arabic" w:hint="cs"/>
          <w:b/>
          <w:bCs/>
          <w:kern w:val="36"/>
          <w:sz w:val="28"/>
          <w:szCs w:val="28"/>
          <w:rtl/>
          <w14:ligatures w14:val="none"/>
        </w:rPr>
        <w:lastRenderedPageBreak/>
        <w:t>أسئلة الدراسة</w:t>
      </w:r>
      <w:bookmarkEnd w:id="7"/>
    </w:p>
    <w:p w14:paraId="61276D49"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8" w:name="_Toc226203799"/>
      <w:r w:rsidRPr="006B1A48">
        <w:rPr>
          <w:rFonts w:ascii="Simplified Arabic" w:eastAsia="Times New Roman" w:hAnsi="Simplified Arabic" w:cs="Simplified Arabic" w:hint="cs"/>
          <w:b/>
          <w:bCs/>
          <w:kern w:val="0"/>
          <w:sz w:val="28"/>
          <w:szCs w:val="28"/>
          <w:rtl/>
          <w14:ligatures w14:val="none"/>
        </w:rPr>
        <w:t>السؤال الرئيسي</w:t>
      </w:r>
      <w:r w:rsidRPr="006B1A48">
        <w:rPr>
          <w:rFonts w:ascii="Simplified Arabic" w:eastAsia="Times New Roman" w:hAnsi="Simplified Arabic" w:cs="Simplified Arabic" w:hint="cs"/>
          <w:b/>
          <w:bCs/>
          <w:kern w:val="0"/>
          <w:sz w:val="28"/>
          <w:szCs w:val="28"/>
          <w14:ligatures w14:val="none"/>
        </w:rPr>
        <w:t>:</w:t>
      </w:r>
      <w:bookmarkEnd w:id="8"/>
    </w:p>
    <w:p w14:paraId="40986E13"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ما أثر التخطيط التشغيلي للفعاليات بأبعاده (تخطيط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w:t>
      </w:r>
    </w:p>
    <w:p w14:paraId="15CEA27A"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ويتفرع من هذا السؤال الرئيسي الأسئلة الفرعية التالية</w:t>
      </w:r>
      <w:r w:rsidRPr="006B1A48">
        <w:rPr>
          <w:rFonts w:ascii="Simplified Arabic" w:eastAsia="Times New Roman" w:hAnsi="Simplified Arabic" w:cs="Simplified Arabic" w:hint="cs"/>
          <w:kern w:val="0"/>
          <w:sz w:val="28"/>
          <w:szCs w:val="28"/>
          <w14:ligatures w14:val="none"/>
        </w:rPr>
        <w:t>:</w:t>
      </w:r>
    </w:p>
    <w:p w14:paraId="333BD965" w14:textId="77777777" w:rsidR="006B1A48" w:rsidRPr="006B1A48" w:rsidRDefault="006B1A48">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ما مستوى ممارسة التخطيط التشغيلي للفعاليات بأبعاده المختلفة في شركات تنظيم الفعاليات في المملكة العربية السعودية؟</w:t>
      </w:r>
    </w:p>
    <w:p w14:paraId="1A0FBE94" w14:textId="77777777" w:rsidR="006B1A48" w:rsidRPr="006B1A48" w:rsidRDefault="006B1A48">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ما مستوى الكفاءة التشغيلية في شركات تنظيم الفعاليات في المملكة العربية السعودية من وجهة نظر العاملين فيها؟</w:t>
      </w:r>
    </w:p>
    <w:p w14:paraId="690EE0CC" w14:textId="77777777" w:rsidR="006B1A48" w:rsidRPr="006B1A48" w:rsidRDefault="006B1A48">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ما أثر تخطيط الموارد والميزانيات على الكفاءة التشغيلية في شركات تنظيم الفعاليات في المملكة العربية السعودية؟</w:t>
      </w:r>
    </w:p>
    <w:p w14:paraId="7AD2D250" w14:textId="77777777" w:rsidR="006B1A48" w:rsidRPr="006B1A48" w:rsidRDefault="006B1A48">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ما أثر الجدولة الزمنية وإدارة المهام على الكفاءة التشغيلية في شركات تنظيم الفعاليات في المملكة العربية السعودية؟</w:t>
      </w:r>
    </w:p>
    <w:p w14:paraId="04DB4FF6" w14:textId="77777777" w:rsidR="006B1A48" w:rsidRPr="006B1A48" w:rsidRDefault="006B1A48">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ما أثر إدارة المخاطر التشغيلية على الكفاءة التشغيلية في شركات تنظيم الفعاليات في المملكة العربية السعودية؟</w:t>
      </w:r>
    </w:p>
    <w:p w14:paraId="6C973E72" w14:textId="77777777" w:rsidR="006B1A48" w:rsidRPr="006B1A48" w:rsidRDefault="006B1A48">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ما أثر تنسيق فرق العمل والموردين على الكفاءة التشغيلية في شركات تنظيم الفعاليات في المملكة العربية السعودية؟</w:t>
      </w:r>
    </w:p>
    <w:p w14:paraId="01439075" w14:textId="77777777" w:rsidR="006B1A48" w:rsidRPr="006B1A48" w:rsidRDefault="006B1A48">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ما البُعد الأكثر تأثيراً من أبعاد التخطيط التشغيلي للفعاليات على الكفاءة التشغيلية في شركات تنظيم الفعاليات في المملكة العربية السعودية؟</w:t>
      </w:r>
    </w:p>
    <w:p w14:paraId="4A6EE6C2" w14:textId="77777777" w:rsidR="006B1A48" w:rsidRPr="006B1A48"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9" w:name="_Toc226203800"/>
      <w:r w:rsidRPr="006B1A48">
        <w:rPr>
          <w:rFonts w:ascii="Simplified Arabic" w:eastAsia="Times New Roman" w:hAnsi="Simplified Arabic" w:cs="Simplified Arabic" w:hint="cs"/>
          <w:b/>
          <w:bCs/>
          <w:kern w:val="36"/>
          <w:sz w:val="28"/>
          <w:szCs w:val="28"/>
          <w:rtl/>
          <w14:ligatures w14:val="none"/>
        </w:rPr>
        <w:t>فروض الدراسة</w:t>
      </w:r>
      <w:bookmarkEnd w:id="9"/>
    </w:p>
    <w:p w14:paraId="1B976F4E"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0" w:name="_Toc226203801"/>
      <w:r w:rsidRPr="006B1A48">
        <w:rPr>
          <w:rFonts w:ascii="Simplified Arabic" w:eastAsia="Times New Roman" w:hAnsi="Simplified Arabic" w:cs="Simplified Arabic" w:hint="cs"/>
          <w:b/>
          <w:bCs/>
          <w:kern w:val="0"/>
          <w:sz w:val="28"/>
          <w:szCs w:val="28"/>
          <w:rtl/>
          <w14:ligatures w14:val="none"/>
        </w:rPr>
        <w:t>الفرض الرئيسي</w:t>
      </w:r>
      <w:r w:rsidRPr="006B1A48">
        <w:rPr>
          <w:rFonts w:ascii="Simplified Arabic" w:eastAsia="Times New Roman" w:hAnsi="Simplified Arabic" w:cs="Simplified Arabic" w:hint="cs"/>
          <w:b/>
          <w:bCs/>
          <w:kern w:val="0"/>
          <w:sz w:val="28"/>
          <w:szCs w:val="28"/>
          <w14:ligatures w14:val="none"/>
        </w:rPr>
        <w:t>:</w:t>
      </w:r>
      <w:bookmarkEnd w:id="10"/>
    </w:p>
    <w:p w14:paraId="1B95BA1C"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14:ligatures w14:val="none"/>
        </w:rPr>
        <w:lastRenderedPageBreak/>
        <w:t>H0:</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6B1A48">
        <w:rPr>
          <w:rFonts w:ascii="Simplified Arabic" w:eastAsia="Times New Roman" w:hAnsi="Simplified Arabic" w:cs="Simplified Arabic" w:hint="cs"/>
          <w:kern w:val="0"/>
          <w:sz w:val="28"/>
          <w:szCs w:val="28"/>
          <w14:ligatures w14:val="none"/>
        </w:rPr>
        <w:t xml:space="preserve"> (</w:t>
      </w:r>
      <w:r w:rsidRPr="006B1A48">
        <w:rPr>
          <w:rFonts w:ascii="Cambria" w:eastAsia="Times New Roman" w:hAnsi="Cambria" w:cs="Cambria"/>
          <w:kern w:val="0"/>
          <w:sz w:val="28"/>
          <w:szCs w:val="28"/>
          <w14:ligatures w14:val="none"/>
        </w:rPr>
        <w:t>α</w:t>
      </w:r>
      <w:r w:rsidRPr="006B1A48">
        <w:rPr>
          <w:rFonts w:ascii="Simplified Arabic" w:eastAsia="Times New Roman" w:hAnsi="Simplified Arabic" w:cs="Simplified Arabic" w:hint="cs"/>
          <w:kern w:val="0"/>
          <w:sz w:val="28"/>
          <w:szCs w:val="28"/>
          <w14:ligatures w14:val="none"/>
        </w:rPr>
        <w:t xml:space="preserve"> </w:t>
      </w:r>
      <w:r w:rsidRPr="006B1A48">
        <w:rPr>
          <w:rFonts w:ascii="Cambria Math" w:eastAsia="Times New Roman" w:hAnsi="Cambria Math" w:cs="Cambria Math"/>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0.05) </w:t>
      </w:r>
      <w:r w:rsidRPr="006B1A48">
        <w:rPr>
          <w:rFonts w:ascii="Simplified Arabic" w:eastAsia="Times New Roman" w:hAnsi="Simplified Arabic" w:cs="Simplified Arabic" w:hint="cs"/>
          <w:kern w:val="0"/>
          <w:sz w:val="28"/>
          <w:szCs w:val="28"/>
          <w:rtl/>
          <w14:ligatures w14:val="none"/>
        </w:rPr>
        <w:t xml:space="preserve">للتخطيط التشغيلي للفعاليات بأبعاده </w:t>
      </w:r>
      <w:r w:rsidRPr="006B1A48">
        <w:rPr>
          <w:rFonts w:ascii="Simplified Arabic" w:eastAsia="Times New Roman" w:hAnsi="Simplified Arabic" w:cs="Simplified Arabic" w:hint="cs"/>
          <w:kern w:val="0"/>
          <w:sz w:val="28"/>
          <w:szCs w:val="28"/>
          <w14:ligatures w14:val="none"/>
        </w:rPr>
        <w:t>(</w:t>
      </w:r>
      <w:r w:rsidRPr="006B1A48">
        <w:rPr>
          <w:rFonts w:ascii="Simplified Arabic" w:eastAsia="Times New Roman" w:hAnsi="Simplified Arabic" w:cs="Simplified Arabic" w:hint="cs"/>
          <w:kern w:val="0"/>
          <w:sz w:val="28"/>
          <w:szCs w:val="28"/>
          <w:rtl/>
          <w14:ligatures w14:val="none"/>
        </w:rPr>
        <w:t>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6FA2D95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ويتفرع من الفرض الرئيسي الفروض الفرعية التالية</w:t>
      </w:r>
      <w:r w:rsidRPr="006B1A48">
        <w:rPr>
          <w:rFonts w:ascii="Simplified Arabic" w:eastAsia="Times New Roman" w:hAnsi="Simplified Arabic" w:cs="Simplified Arabic" w:hint="cs"/>
          <w:kern w:val="0"/>
          <w:sz w:val="28"/>
          <w:szCs w:val="28"/>
          <w14:ligatures w14:val="none"/>
        </w:rPr>
        <w:t>:</w:t>
      </w:r>
    </w:p>
    <w:p w14:paraId="557A1695"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14:ligatures w14:val="none"/>
        </w:rPr>
        <w:t>H0-1:</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6B1A48">
        <w:rPr>
          <w:rFonts w:ascii="Simplified Arabic" w:eastAsia="Times New Roman" w:hAnsi="Simplified Arabic" w:cs="Simplified Arabic" w:hint="cs"/>
          <w:kern w:val="0"/>
          <w:sz w:val="28"/>
          <w:szCs w:val="28"/>
          <w14:ligatures w14:val="none"/>
        </w:rPr>
        <w:t xml:space="preserve"> (</w:t>
      </w:r>
      <w:r w:rsidRPr="006B1A48">
        <w:rPr>
          <w:rFonts w:ascii="Cambria" w:eastAsia="Times New Roman" w:hAnsi="Cambria" w:cs="Cambria"/>
          <w:kern w:val="0"/>
          <w:sz w:val="28"/>
          <w:szCs w:val="28"/>
          <w14:ligatures w14:val="none"/>
        </w:rPr>
        <w:t>α</w:t>
      </w:r>
      <w:r w:rsidRPr="006B1A48">
        <w:rPr>
          <w:rFonts w:ascii="Simplified Arabic" w:eastAsia="Times New Roman" w:hAnsi="Simplified Arabic" w:cs="Simplified Arabic" w:hint="cs"/>
          <w:kern w:val="0"/>
          <w:sz w:val="28"/>
          <w:szCs w:val="28"/>
          <w14:ligatures w14:val="none"/>
        </w:rPr>
        <w:t xml:space="preserve"> </w:t>
      </w:r>
      <w:r w:rsidRPr="006B1A48">
        <w:rPr>
          <w:rFonts w:ascii="Cambria Math" w:eastAsia="Times New Roman" w:hAnsi="Cambria Math" w:cs="Cambria Math"/>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0.05) </w:t>
      </w:r>
      <w:r w:rsidRPr="006B1A48">
        <w:rPr>
          <w:rFonts w:ascii="Simplified Arabic" w:eastAsia="Times New Roman" w:hAnsi="Simplified Arabic" w:cs="Simplified Arabic" w:hint="cs"/>
          <w:kern w:val="0"/>
          <w:sz w:val="28"/>
          <w:szCs w:val="28"/>
          <w:rtl/>
          <w14:ligatures w14:val="none"/>
        </w:rPr>
        <w:t>لتخطيط الموارد والميزانيات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47C142B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14:ligatures w14:val="none"/>
        </w:rPr>
        <w:t>H0-2:</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6B1A48">
        <w:rPr>
          <w:rFonts w:ascii="Simplified Arabic" w:eastAsia="Times New Roman" w:hAnsi="Simplified Arabic" w:cs="Simplified Arabic" w:hint="cs"/>
          <w:kern w:val="0"/>
          <w:sz w:val="28"/>
          <w:szCs w:val="28"/>
          <w14:ligatures w14:val="none"/>
        </w:rPr>
        <w:t xml:space="preserve"> (</w:t>
      </w:r>
      <w:r w:rsidRPr="006B1A48">
        <w:rPr>
          <w:rFonts w:ascii="Cambria" w:eastAsia="Times New Roman" w:hAnsi="Cambria" w:cs="Cambria"/>
          <w:kern w:val="0"/>
          <w:sz w:val="28"/>
          <w:szCs w:val="28"/>
          <w14:ligatures w14:val="none"/>
        </w:rPr>
        <w:t>α</w:t>
      </w:r>
      <w:r w:rsidRPr="006B1A48">
        <w:rPr>
          <w:rFonts w:ascii="Simplified Arabic" w:eastAsia="Times New Roman" w:hAnsi="Simplified Arabic" w:cs="Simplified Arabic" w:hint="cs"/>
          <w:kern w:val="0"/>
          <w:sz w:val="28"/>
          <w:szCs w:val="28"/>
          <w14:ligatures w14:val="none"/>
        </w:rPr>
        <w:t xml:space="preserve"> </w:t>
      </w:r>
      <w:r w:rsidRPr="006B1A48">
        <w:rPr>
          <w:rFonts w:ascii="Cambria Math" w:eastAsia="Times New Roman" w:hAnsi="Cambria Math" w:cs="Cambria Math"/>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0.05) </w:t>
      </w:r>
      <w:r w:rsidRPr="006B1A48">
        <w:rPr>
          <w:rFonts w:ascii="Simplified Arabic" w:eastAsia="Times New Roman" w:hAnsi="Simplified Arabic" w:cs="Simplified Arabic" w:hint="cs"/>
          <w:kern w:val="0"/>
          <w:sz w:val="28"/>
          <w:szCs w:val="28"/>
          <w:rtl/>
          <w14:ligatures w14:val="none"/>
        </w:rPr>
        <w:t>للجدولة الزمنية وإدارة المهام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5C2A7373"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14:ligatures w14:val="none"/>
        </w:rPr>
        <w:t>H0-3:</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6B1A48">
        <w:rPr>
          <w:rFonts w:ascii="Simplified Arabic" w:eastAsia="Times New Roman" w:hAnsi="Simplified Arabic" w:cs="Simplified Arabic" w:hint="cs"/>
          <w:kern w:val="0"/>
          <w:sz w:val="28"/>
          <w:szCs w:val="28"/>
          <w14:ligatures w14:val="none"/>
        </w:rPr>
        <w:t xml:space="preserve"> (</w:t>
      </w:r>
      <w:r w:rsidRPr="006B1A48">
        <w:rPr>
          <w:rFonts w:ascii="Cambria" w:eastAsia="Times New Roman" w:hAnsi="Cambria" w:cs="Cambria"/>
          <w:kern w:val="0"/>
          <w:sz w:val="28"/>
          <w:szCs w:val="28"/>
          <w14:ligatures w14:val="none"/>
        </w:rPr>
        <w:t>α</w:t>
      </w:r>
      <w:r w:rsidRPr="006B1A48">
        <w:rPr>
          <w:rFonts w:ascii="Simplified Arabic" w:eastAsia="Times New Roman" w:hAnsi="Simplified Arabic" w:cs="Simplified Arabic" w:hint="cs"/>
          <w:kern w:val="0"/>
          <w:sz w:val="28"/>
          <w:szCs w:val="28"/>
          <w14:ligatures w14:val="none"/>
        </w:rPr>
        <w:t xml:space="preserve"> </w:t>
      </w:r>
      <w:r w:rsidRPr="006B1A48">
        <w:rPr>
          <w:rFonts w:ascii="Cambria Math" w:eastAsia="Times New Roman" w:hAnsi="Cambria Math" w:cs="Cambria Math"/>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0.05) </w:t>
      </w:r>
      <w:r w:rsidRPr="006B1A48">
        <w:rPr>
          <w:rFonts w:ascii="Simplified Arabic" w:eastAsia="Times New Roman" w:hAnsi="Simplified Arabic" w:cs="Simplified Arabic" w:hint="cs"/>
          <w:kern w:val="0"/>
          <w:sz w:val="28"/>
          <w:szCs w:val="28"/>
          <w:rtl/>
          <w14:ligatures w14:val="none"/>
        </w:rPr>
        <w:t>لإدارة المخاطر التشغيلية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639BE95A"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14:ligatures w14:val="none"/>
        </w:rPr>
        <w:t>H0-4:</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6B1A48">
        <w:rPr>
          <w:rFonts w:ascii="Simplified Arabic" w:eastAsia="Times New Roman" w:hAnsi="Simplified Arabic" w:cs="Simplified Arabic" w:hint="cs"/>
          <w:kern w:val="0"/>
          <w:sz w:val="28"/>
          <w:szCs w:val="28"/>
          <w14:ligatures w14:val="none"/>
        </w:rPr>
        <w:t xml:space="preserve"> (</w:t>
      </w:r>
      <w:r w:rsidRPr="006B1A48">
        <w:rPr>
          <w:rFonts w:ascii="Cambria" w:eastAsia="Times New Roman" w:hAnsi="Cambria" w:cs="Cambria"/>
          <w:kern w:val="0"/>
          <w:sz w:val="28"/>
          <w:szCs w:val="28"/>
          <w14:ligatures w14:val="none"/>
        </w:rPr>
        <w:t>α</w:t>
      </w:r>
      <w:r w:rsidRPr="006B1A48">
        <w:rPr>
          <w:rFonts w:ascii="Simplified Arabic" w:eastAsia="Times New Roman" w:hAnsi="Simplified Arabic" w:cs="Simplified Arabic" w:hint="cs"/>
          <w:kern w:val="0"/>
          <w:sz w:val="28"/>
          <w:szCs w:val="28"/>
          <w14:ligatures w14:val="none"/>
        </w:rPr>
        <w:t xml:space="preserve"> </w:t>
      </w:r>
      <w:r w:rsidRPr="006B1A48">
        <w:rPr>
          <w:rFonts w:ascii="Cambria Math" w:eastAsia="Times New Roman" w:hAnsi="Cambria Math" w:cs="Cambria Math"/>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0.05) </w:t>
      </w:r>
      <w:r w:rsidRPr="006B1A48">
        <w:rPr>
          <w:rFonts w:ascii="Simplified Arabic" w:eastAsia="Times New Roman" w:hAnsi="Simplified Arabic" w:cs="Simplified Arabic" w:hint="cs"/>
          <w:kern w:val="0"/>
          <w:sz w:val="28"/>
          <w:szCs w:val="28"/>
          <w:rtl/>
          <w14:ligatures w14:val="none"/>
        </w:rPr>
        <w:t>لتنسيق فرق العمل والموردين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4E7B9DE0" w14:textId="77777777" w:rsidR="006B1A48" w:rsidRPr="006B1A48"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1" w:name="_Toc226203802"/>
      <w:r w:rsidRPr="006B1A48">
        <w:rPr>
          <w:rFonts w:ascii="Simplified Arabic" w:eastAsia="Times New Roman" w:hAnsi="Simplified Arabic" w:cs="Simplified Arabic" w:hint="cs"/>
          <w:b/>
          <w:bCs/>
          <w:kern w:val="36"/>
          <w:sz w:val="28"/>
          <w:szCs w:val="28"/>
          <w:rtl/>
          <w14:ligatures w14:val="none"/>
        </w:rPr>
        <w:t>أهمية الدراسة</w:t>
      </w:r>
      <w:bookmarkEnd w:id="11"/>
    </w:p>
    <w:p w14:paraId="77648871"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2" w:name="_Toc226203803"/>
      <w:r w:rsidRPr="006B1A48">
        <w:rPr>
          <w:rFonts w:ascii="Simplified Arabic" w:eastAsia="Times New Roman" w:hAnsi="Simplified Arabic" w:cs="Simplified Arabic" w:hint="cs"/>
          <w:b/>
          <w:bCs/>
          <w:kern w:val="0"/>
          <w:sz w:val="28"/>
          <w:szCs w:val="28"/>
          <w:rtl/>
          <w14:ligatures w14:val="none"/>
        </w:rPr>
        <w:t>أولاً: الأهمية العلمية (النظرية)</w:t>
      </w:r>
      <w:r w:rsidRPr="006B1A48">
        <w:rPr>
          <w:rFonts w:ascii="Simplified Arabic" w:eastAsia="Times New Roman" w:hAnsi="Simplified Arabic" w:cs="Simplified Arabic" w:hint="cs"/>
          <w:b/>
          <w:bCs/>
          <w:kern w:val="0"/>
          <w:sz w:val="28"/>
          <w:szCs w:val="28"/>
          <w14:ligatures w14:val="none"/>
        </w:rPr>
        <w:t>:</w:t>
      </w:r>
      <w:bookmarkEnd w:id="12"/>
    </w:p>
    <w:p w14:paraId="66D350BB" w14:textId="77777777" w:rsidR="006B1A48" w:rsidRPr="006B1A48" w:rsidRDefault="006B1A48">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تُسهم هذه الدراسة في إثراء المكتبة العربية بإطار نظري متكامل يربط بين مفهومي التخطيط التشغيلي للفعاليات والكفاءة التشغيلية، وهو ما يُمثل إضافة علمية نوعية في ظل ندرة الدراسات العربية التي تناولت هذا الربط في قطاع تنظيم الفعاليات تحديداً</w:t>
      </w:r>
      <w:r w:rsidRPr="006B1A48">
        <w:rPr>
          <w:rFonts w:ascii="Simplified Arabic" w:eastAsia="Times New Roman" w:hAnsi="Simplified Arabic" w:cs="Simplified Arabic" w:hint="cs"/>
          <w:kern w:val="0"/>
          <w:sz w:val="28"/>
          <w:szCs w:val="28"/>
          <w14:ligatures w14:val="none"/>
        </w:rPr>
        <w:t>.</w:t>
      </w:r>
    </w:p>
    <w:p w14:paraId="53CD1589" w14:textId="77777777" w:rsidR="006B1A48" w:rsidRPr="006B1A48" w:rsidRDefault="006B1A48">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تُقدم الدراسة نموذجاً بحثياً يُحدد أبعاد التخطيط التشغيلي للفعاليات (تخطيط الموارد والميزانيات، والجدولة الزمنية وإدارة المهام، وإدارة المخاطر التشغيلية، وتنسيق فرق العمل والموردين</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بشكل متكامل ومترابط، مما يُوفر أساساً نظرياً يمكن للباحثين البناء عليه في دراسات مستقبلية</w:t>
      </w:r>
      <w:r w:rsidRPr="006B1A48">
        <w:rPr>
          <w:rFonts w:ascii="Simplified Arabic" w:eastAsia="Times New Roman" w:hAnsi="Simplified Arabic" w:cs="Simplified Arabic" w:hint="cs"/>
          <w:kern w:val="0"/>
          <w:sz w:val="28"/>
          <w:szCs w:val="28"/>
          <w14:ligatures w14:val="none"/>
        </w:rPr>
        <w:t>.</w:t>
      </w:r>
    </w:p>
    <w:p w14:paraId="7DC00F6B" w14:textId="77777777" w:rsidR="006B1A48" w:rsidRPr="006B1A48" w:rsidRDefault="006B1A48">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lastRenderedPageBreak/>
        <w:t>تُسهم الدراسة في سد الفجوة البحثية القائمة في الأدبيات الأكاديمية المتعلقة بصناعة الفعاليات في المملكة العربية السعودية، خاصة في ظل النمو المتسارع لهذا القطاع ضمن رؤية المملكة 2030 والحاجة الماسة لتأسيس قاعدة علمية تواكب هذا التطور</w:t>
      </w:r>
      <w:r w:rsidRPr="006B1A48">
        <w:rPr>
          <w:rFonts w:ascii="Simplified Arabic" w:eastAsia="Times New Roman" w:hAnsi="Simplified Arabic" w:cs="Simplified Arabic" w:hint="cs"/>
          <w:kern w:val="0"/>
          <w:sz w:val="28"/>
          <w:szCs w:val="28"/>
          <w14:ligatures w14:val="none"/>
        </w:rPr>
        <w:t>.</w:t>
      </w:r>
    </w:p>
    <w:p w14:paraId="4C1C763B" w14:textId="77777777" w:rsidR="006B1A48" w:rsidRPr="006B1A48" w:rsidRDefault="006B1A48">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تُقدم الدراسة مراجعة شاملة ومعمقة للأدبيات والدراسات السابقة العربية والأجنبية المتعلقة بالتخطيط التشغيلي والكفاءة التشغيلية، مما يُوفر مرجعاً علمياً متكاملاً للباحثين والمهتمين بهذا المجال</w:t>
      </w:r>
      <w:r w:rsidRPr="006B1A48">
        <w:rPr>
          <w:rFonts w:ascii="Simplified Arabic" w:eastAsia="Times New Roman" w:hAnsi="Simplified Arabic" w:cs="Simplified Arabic" w:hint="cs"/>
          <w:kern w:val="0"/>
          <w:sz w:val="28"/>
          <w:szCs w:val="28"/>
          <w14:ligatures w14:val="none"/>
        </w:rPr>
        <w:t>.</w:t>
      </w:r>
    </w:p>
    <w:p w14:paraId="7AF080BC" w14:textId="77777777" w:rsidR="006B1A48" w:rsidRPr="006B1A48" w:rsidRDefault="006B1A48">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تُسهم الدراسة في تطوير أداة قياس (استبانة) محكمة ومُختبرة إحصائياً لقياس مستوى التخطيط التشغيلي للفعاليات والكفاءة التشغيلية، يمكن أن يستفيد منها الباحثون في دراسات مشابهة لاحقة</w:t>
      </w:r>
      <w:r w:rsidRPr="006B1A48">
        <w:rPr>
          <w:rFonts w:ascii="Simplified Arabic" w:eastAsia="Times New Roman" w:hAnsi="Simplified Arabic" w:cs="Simplified Arabic" w:hint="cs"/>
          <w:kern w:val="0"/>
          <w:sz w:val="28"/>
          <w:szCs w:val="28"/>
          <w14:ligatures w14:val="none"/>
        </w:rPr>
        <w:t>.</w:t>
      </w:r>
    </w:p>
    <w:p w14:paraId="77879B30" w14:textId="77777777" w:rsidR="006B1A48" w:rsidRPr="006B1A48" w:rsidRDefault="006B1A48">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تُعزز الدراسة التأصيل النظري لمفهوم الكفاءة التشغيلية في سياق صناعة الخدمات عموماً وصناعة الفعاليات خصوصاً، من خلال ربطه بالأبعاد التخطيطية التشغيلية المؤثرة فيه</w:t>
      </w:r>
      <w:r w:rsidRPr="006B1A48">
        <w:rPr>
          <w:rFonts w:ascii="Simplified Arabic" w:eastAsia="Times New Roman" w:hAnsi="Simplified Arabic" w:cs="Simplified Arabic" w:hint="cs"/>
          <w:kern w:val="0"/>
          <w:sz w:val="28"/>
          <w:szCs w:val="28"/>
          <w14:ligatures w14:val="none"/>
        </w:rPr>
        <w:t>.</w:t>
      </w:r>
    </w:p>
    <w:p w14:paraId="28597A0C"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3" w:name="_Toc226203804"/>
      <w:r w:rsidRPr="006B1A48">
        <w:rPr>
          <w:rFonts w:ascii="Simplified Arabic" w:eastAsia="Times New Roman" w:hAnsi="Simplified Arabic" w:cs="Simplified Arabic" w:hint="cs"/>
          <w:b/>
          <w:bCs/>
          <w:kern w:val="0"/>
          <w:sz w:val="28"/>
          <w:szCs w:val="28"/>
          <w:rtl/>
          <w14:ligatures w14:val="none"/>
        </w:rPr>
        <w:t>ثانياً: الأهمية العملية (التطبيقية)</w:t>
      </w:r>
      <w:r w:rsidRPr="006B1A48">
        <w:rPr>
          <w:rFonts w:ascii="Simplified Arabic" w:eastAsia="Times New Roman" w:hAnsi="Simplified Arabic" w:cs="Simplified Arabic" w:hint="cs"/>
          <w:b/>
          <w:bCs/>
          <w:kern w:val="0"/>
          <w:sz w:val="28"/>
          <w:szCs w:val="28"/>
          <w14:ligatures w14:val="none"/>
        </w:rPr>
        <w:t>:</w:t>
      </w:r>
      <w:bookmarkEnd w:id="13"/>
    </w:p>
    <w:p w14:paraId="0BABF0B6" w14:textId="77777777" w:rsidR="006B1A48" w:rsidRPr="006B1A48" w:rsidRDefault="006B1A48">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تُقدم الدراسة نتائج وتوصيات عملية تُساعد أصحاب القرار والمديرين التنفيذيين في شركات تنظيم الفعاليات في المملكة العربية السعودية على تحديد أولويات التحسين في ممارسات التخطيط التشغيلي بما ينعكس إيجاباً على الكفاءة التشغيلية</w:t>
      </w:r>
      <w:r w:rsidRPr="006B1A48">
        <w:rPr>
          <w:rFonts w:ascii="Simplified Arabic" w:eastAsia="Times New Roman" w:hAnsi="Simplified Arabic" w:cs="Simplified Arabic" w:hint="cs"/>
          <w:kern w:val="0"/>
          <w:sz w:val="28"/>
          <w:szCs w:val="28"/>
          <w14:ligatures w14:val="none"/>
        </w:rPr>
        <w:t>.</w:t>
      </w:r>
    </w:p>
    <w:p w14:paraId="5E3E1B21" w14:textId="77777777" w:rsidR="006B1A48" w:rsidRPr="006B1A48" w:rsidRDefault="006B1A48">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تُساعد الدراسة شركات تنظيم الفعاليات على التعرف على البُعد الأكثر تأثيراً من أبعاد التخطيط التشغيلي على الكفاءة التشغيلية، مما يُمكنها من توجيه استثماراتها ومواردها نحو الجوانب الأكثر فاعلية وأثراً</w:t>
      </w:r>
      <w:r w:rsidRPr="006B1A48">
        <w:rPr>
          <w:rFonts w:ascii="Simplified Arabic" w:eastAsia="Times New Roman" w:hAnsi="Simplified Arabic" w:cs="Simplified Arabic" w:hint="cs"/>
          <w:kern w:val="0"/>
          <w:sz w:val="28"/>
          <w:szCs w:val="28"/>
          <w14:ligatures w14:val="none"/>
        </w:rPr>
        <w:t>.</w:t>
      </w:r>
    </w:p>
    <w:p w14:paraId="0FA3B6DB" w14:textId="77777777" w:rsidR="006B1A48" w:rsidRPr="006B1A48" w:rsidRDefault="006B1A48">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تكتسب الدراسة أهمية عملية خاصة في ظل التحولات الاقتصادية والاجتماعية الكبرى التي تشهدها المملكة العربية السعودية ضمن رؤية 2030، حيث أصبح قطاع الفعاليات والترفيه من القطاعات الاستراتيجية المستهدفة بالتطوير والنمو، مما يستلزم رفع مستوى الكفاءة التشغيلية لشركاته</w:t>
      </w:r>
      <w:r w:rsidRPr="006B1A48">
        <w:rPr>
          <w:rFonts w:ascii="Simplified Arabic" w:eastAsia="Times New Roman" w:hAnsi="Simplified Arabic" w:cs="Simplified Arabic" w:hint="cs"/>
          <w:kern w:val="0"/>
          <w:sz w:val="28"/>
          <w:szCs w:val="28"/>
          <w14:ligatures w14:val="none"/>
        </w:rPr>
        <w:t>.</w:t>
      </w:r>
    </w:p>
    <w:p w14:paraId="16AA9853" w14:textId="77777777" w:rsidR="006B1A48" w:rsidRPr="006B1A48" w:rsidRDefault="006B1A48">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تُوفر الدراسة مؤشرات كمية ونوعية يمكن أن تستفيد منها الجهات التنظيمية والرقابية في المملكة مثل هيئة الترفيه والهيئة العامة للسياحة في وضع معايير ومتطلبات للتخطيط التشغيلي في قطاع تنظيم الفعاليات</w:t>
      </w:r>
      <w:r w:rsidRPr="006B1A48">
        <w:rPr>
          <w:rFonts w:ascii="Simplified Arabic" w:eastAsia="Times New Roman" w:hAnsi="Simplified Arabic" w:cs="Simplified Arabic" w:hint="cs"/>
          <w:kern w:val="0"/>
          <w:sz w:val="28"/>
          <w:szCs w:val="28"/>
          <w14:ligatures w14:val="none"/>
        </w:rPr>
        <w:t>.</w:t>
      </w:r>
    </w:p>
    <w:p w14:paraId="29A25470" w14:textId="77777777" w:rsidR="006B1A48" w:rsidRPr="006B1A48" w:rsidRDefault="006B1A48">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lastRenderedPageBreak/>
        <w:t>تُسهم الدراسة في تعزيز القدرة التنافسية لشركات تنظيم الفعاليات السعودية من خلال تقديم رؤية واضحة حول كيفية تحسين تخطيطها التشغيلي ورفع كفاءتها في ظل تزايد المنافسة المحلية والدولية في هذا القطاع</w:t>
      </w:r>
      <w:r w:rsidRPr="006B1A48">
        <w:rPr>
          <w:rFonts w:ascii="Simplified Arabic" w:eastAsia="Times New Roman" w:hAnsi="Simplified Arabic" w:cs="Simplified Arabic" w:hint="cs"/>
          <w:kern w:val="0"/>
          <w:sz w:val="28"/>
          <w:szCs w:val="28"/>
          <w14:ligatures w14:val="none"/>
        </w:rPr>
        <w:t>.</w:t>
      </w:r>
    </w:p>
    <w:p w14:paraId="538E0D93" w14:textId="77777777" w:rsidR="006B1A48" w:rsidRPr="006B1A48" w:rsidRDefault="006B1A48">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تُفيد الدراسة المستثمرين وروّاد الأعمال الراغبين في دخول قطاع تنظيم الفعاليات في المملكة العربية السعودية من خلال تزويدهم بمعرفة معمقة حول عوامل النجاح التشغيلي ومتطلبات التخطيط الفعّال في هذا المجال</w:t>
      </w:r>
      <w:r w:rsidRPr="006B1A48">
        <w:rPr>
          <w:rFonts w:ascii="Simplified Arabic" w:eastAsia="Times New Roman" w:hAnsi="Simplified Arabic" w:cs="Simplified Arabic" w:hint="cs"/>
          <w:kern w:val="0"/>
          <w:sz w:val="28"/>
          <w:szCs w:val="28"/>
          <w14:ligatures w14:val="none"/>
        </w:rPr>
        <w:t>.</w:t>
      </w:r>
    </w:p>
    <w:p w14:paraId="0BABA5C9" w14:textId="77777777" w:rsidR="006B1A48" w:rsidRPr="006B1A48" w:rsidRDefault="006B1A48">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تُقدم الدراسة إطاراً تطبيقياً يمكن أن تتبناه شركات تنظيم الفعاليات كدليل عملي لتطوير منظومة التخطيط التشغيلي لديها، بما يشمل إدارة الموارد والجدولة الزمنية وإدارة المخاطر وتنسيق العمل مع الموردين وفرق العمل الداخلية والخارجية</w:t>
      </w:r>
      <w:r w:rsidRPr="006B1A48">
        <w:rPr>
          <w:rFonts w:ascii="Simplified Arabic" w:eastAsia="Times New Roman" w:hAnsi="Simplified Arabic" w:cs="Simplified Arabic" w:hint="cs"/>
          <w:kern w:val="0"/>
          <w:sz w:val="28"/>
          <w:szCs w:val="28"/>
          <w14:ligatures w14:val="none"/>
        </w:rPr>
        <w:t>.</w:t>
      </w:r>
    </w:p>
    <w:p w14:paraId="2376397F" w14:textId="362EEA94" w:rsidR="001C42F9" w:rsidRPr="00525D76" w:rsidRDefault="00D22171" w:rsidP="00525D76">
      <w:pPr>
        <w:pStyle w:val="1"/>
        <w:jc w:val="both"/>
        <w:rPr>
          <w:sz w:val="28"/>
          <w:szCs w:val="28"/>
          <w:rtl/>
        </w:rPr>
      </w:pPr>
      <w:bookmarkStart w:id="14" w:name="_Toc226203805"/>
      <w:r w:rsidRPr="00525D76">
        <w:rPr>
          <w:rFonts w:hint="cs"/>
          <w:sz w:val="28"/>
          <w:szCs w:val="28"/>
          <w:rtl/>
        </w:rPr>
        <w:t>الدراسات السابقة</w:t>
      </w:r>
      <w:r w:rsidR="00A74F76" w:rsidRPr="00525D76">
        <w:rPr>
          <w:rFonts w:hint="cs"/>
          <w:sz w:val="28"/>
          <w:szCs w:val="28"/>
          <w:rtl/>
        </w:rPr>
        <w:t>:</w:t>
      </w:r>
      <w:bookmarkStart w:id="15" w:name="_Toc170243312"/>
      <w:bookmarkEnd w:id="5"/>
      <w:bookmarkEnd w:id="14"/>
    </w:p>
    <w:p w14:paraId="22955CE5"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6" w:name="_Toc226203806"/>
      <w:bookmarkStart w:id="17" w:name="_Toc169790501"/>
      <w:bookmarkEnd w:id="15"/>
      <w:r w:rsidRPr="006B1A48">
        <w:rPr>
          <w:rFonts w:ascii="Simplified Arabic" w:eastAsia="Times New Roman" w:hAnsi="Simplified Arabic" w:cs="Simplified Arabic" w:hint="cs"/>
          <w:b/>
          <w:bCs/>
          <w:kern w:val="0"/>
          <w:sz w:val="28"/>
          <w:szCs w:val="28"/>
          <w:rtl/>
          <w14:ligatures w14:val="none"/>
        </w:rPr>
        <w:t>أولاً: الدراسات العربية</w:t>
      </w:r>
      <w:bookmarkEnd w:id="16"/>
    </w:p>
    <w:p w14:paraId="0B28A691"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(اليونس وكنعان، 2020): "أثر سياسة التوظيف والمخاطر الائتمانية في الكفاءة التشغيلية للمصارف الإسلامية: دراسة تطبيقية على المصارف الإسلامية المدرجة في سوق دمشق للأوراق المالية خلال الفترة 2012-2018</w:t>
      </w:r>
      <w:r w:rsidRPr="006B1A48">
        <w:rPr>
          <w:rFonts w:ascii="Simplified Arabic" w:eastAsia="Times New Roman" w:hAnsi="Simplified Arabic" w:cs="Simplified Arabic" w:hint="cs"/>
          <w:b/>
          <w:bCs/>
          <w:kern w:val="0"/>
          <w:sz w:val="28"/>
          <w:szCs w:val="28"/>
          <w14:ligatures w14:val="none"/>
        </w:rPr>
        <w:t>"</w:t>
      </w:r>
    </w:p>
    <w:p w14:paraId="318AB40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 xml:space="preserve">هدفت الدراسة إلى التعرف على أثر سياسة التوظيف والمخاطر الائتمانية بأبعادهما (نسبة القروض إلى الودائع، ونسبة الديون المتعثرة) على الكفاءة التشغيلية للمصارف الإسلامية المدرجة في سوق دمشق للأوراق المالية. واستخدمت الدراسة المنهج التحليلي الكمي من خلال مجموعة من الأساليب الإحصائية المتقدمة كاختبار التكامل المشترك، حيث تم التعبير عن الكفاءة التشغيلية بنسبة التكاليف التشغيلية إلى الإيرادات التشغيلية. وتكونت عينة الدراسة من المصارف الإسلامية المدرجة في سوق دمشق للأوراق المالية خلال الفترة 2012-2018 على أساس ربعي. وتوصلت نتائج الدراسة إلى وجود أثر إيجابي لنسبة المخاطر الائتمانية في نسبة الكفاءة التشغيلية على المدى قصير الأجل، في حين يتحول إلى أثر سلبي على المدى طويل الأجل، كما تبين أن نسبة التوظيف لها أثر إيجابي على المدى القصير إلا أنه </w:t>
      </w:r>
      <w:r w:rsidRPr="006B1A48">
        <w:rPr>
          <w:rFonts w:ascii="Simplified Arabic" w:eastAsia="Times New Roman" w:hAnsi="Simplified Arabic" w:cs="Simplified Arabic" w:hint="cs"/>
          <w:kern w:val="0"/>
          <w:sz w:val="28"/>
          <w:szCs w:val="28"/>
          <w:rtl/>
          <w14:ligatures w14:val="none"/>
        </w:rPr>
        <w:lastRenderedPageBreak/>
        <w:t>يختفي على المدى الطويل. وأوصت الدراسة بضرورة اهتمام المصارف الإسلامية بإدارة المخاطر الائتمانية ورسم سياسات توظيف فعالة تحافظ على الكفاءة التشغيلية في الأجل الطويل</w:t>
      </w:r>
      <w:r w:rsidRPr="006B1A48">
        <w:rPr>
          <w:rFonts w:ascii="Simplified Arabic" w:eastAsia="Times New Roman" w:hAnsi="Simplified Arabic" w:cs="Simplified Arabic" w:hint="cs"/>
          <w:kern w:val="0"/>
          <w:sz w:val="28"/>
          <w:szCs w:val="28"/>
          <w14:ligatures w14:val="none"/>
        </w:rPr>
        <w:t>.</w:t>
      </w:r>
    </w:p>
    <w:p w14:paraId="470F664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(السردية واللوزي، 2021): "أثر تطبيق نظام تخطيط موارد المؤسسة على الأداء التشغيلي في المستشفيات الأردنية الخاصة</w:t>
      </w:r>
      <w:r w:rsidRPr="006B1A48">
        <w:rPr>
          <w:rFonts w:ascii="Simplified Arabic" w:eastAsia="Times New Roman" w:hAnsi="Simplified Arabic" w:cs="Simplified Arabic" w:hint="cs"/>
          <w:b/>
          <w:bCs/>
          <w:kern w:val="0"/>
          <w:sz w:val="28"/>
          <w:szCs w:val="28"/>
          <w14:ligatures w14:val="none"/>
        </w:rPr>
        <w:t>"</w:t>
      </w:r>
    </w:p>
    <w:p w14:paraId="34D48A77"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أثر تطبيق نظام تخطيط موارد المؤسسة</w:t>
      </w:r>
      <w:r w:rsidRPr="006B1A48">
        <w:rPr>
          <w:rFonts w:ascii="Simplified Arabic" w:eastAsia="Times New Roman" w:hAnsi="Simplified Arabic" w:cs="Simplified Arabic" w:hint="cs"/>
          <w:kern w:val="0"/>
          <w:sz w:val="28"/>
          <w:szCs w:val="28"/>
          <w14:ligatures w14:val="none"/>
        </w:rPr>
        <w:t xml:space="preserve"> (ERP) </w:t>
      </w:r>
      <w:r w:rsidRPr="006B1A48">
        <w:rPr>
          <w:rFonts w:ascii="Simplified Arabic" w:eastAsia="Times New Roman" w:hAnsi="Simplified Arabic" w:cs="Simplified Arabic" w:hint="cs"/>
          <w:kern w:val="0"/>
          <w:sz w:val="28"/>
          <w:szCs w:val="28"/>
          <w:rtl/>
          <w14:ligatures w14:val="none"/>
        </w:rPr>
        <w:t>بأبعاده (التكامل، والمرونة، وجودة المعلومات، وكفاءة العمليات) على الأداء التشغيلي في المستشفيات الأردنية الخاصة</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واستخدمت الدراسة المنهج الوصفي التحليلي معتمدةً على الاستبانة كأداة رئيسية لجمع البيانات. وتكونت عينة الدراسة من العاملين في المستشفيات الأردنية الخاصة التي تطبق نظام تخطيط موارد المؤسسة. وتوصلت نتائج الدراسة إلى وجود أثر ذي دلالة إحصائية لتطبيق نظام تخطيط موارد المؤسسة على تحسين الأداء التشغيلي في المستشفيات الأردنية الخاصة. وأوصت الدراسة بضرورة تعزيز الاستثمار في أنظمة تخطيط الموارد وتطوير البنية التحتية التكنولوجية للمستشفيات لتحقيق أعلى مستويات الأداء التشغيلي</w:t>
      </w:r>
      <w:r w:rsidRPr="006B1A48">
        <w:rPr>
          <w:rFonts w:ascii="Simplified Arabic" w:eastAsia="Times New Roman" w:hAnsi="Simplified Arabic" w:cs="Simplified Arabic" w:hint="cs"/>
          <w:kern w:val="0"/>
          <w:sz w:val="28"/>
          <w:szCs w:val="28"/>
          <w14:ligatures w14:val="none"/>
        </w:rPr>
        <w:t>.</w:t>
      </w:r>
    </w:p>
    <w:p w14:paraId="5B568F37"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(محمد وفرحات، 2020): "أثر فاعلية تطبيق نظام تخطيط موارد المؤسسة على تميز الأداء التشغيلي في شركات السياحة</w:t>
      </w:r>
      <w:r w:rsidRPr="006B1A48">
        <w:rPr>
          <w:rFonts w:ascii="Simplified Arabic" w:eastAsia="Times New Roman" w:hAnsi="Simplified Arabic" w:cs="Simplified Arabic" w:hint="cs"/>
          <w:b/>
          <w:bCs/>
          <w:kern w:val="0"/>
          <w:sz w:val="28"/>
          <w:szCs w:val="28"/>
          <w14:ligatures w14:val="none"/>
        </w:rPr>
        <w:t>"</w:t>
      </w:r>
    </w:p>
    <w:p w14:paraId="22C10760"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أثر فاعلية تطبيق نظام تخطيط موارد المؤسسة</w:t>
      </w:r>
      <w:r w:rsidRPr="006B1A48">
        <w:rPr>
          <w:rFonts w:ascii="Simplified Arabic" w:eastAsia="Times New Roman" w:hAnsi="Simplified Arabic" w:cs="Simplified Arabic" w:hint="cs"/>
          <w:kern w:val="0"/>
          <w:sz w:val="28"/>
          <w:szCs w:val="28"/>
          <w14:ligatures w14:val="none"/>
        </w:rPr>
        <w:t xml:space="preserve"> (ERP) </w:t>
      </w:r>
      <w:r w:rsidRPr="006B1A48">
        <w:rPr>
          <w:rFonts w:ascii="Simplified Arabic" w:eastAsia="Times New Roman" w:hAnsi="Simplified Arabic" w:cs="Simplified Arabic" w:hint="cs"/>
          <w:kern w:val="0"/>
          <w:sz w:val="28"/>
          <w:szCs w:val="28"/>
          <w:rtl/>
          <w14:ligatures w14:val="none"/>
        </w:rPr>
        <w:t>بأبعاده (تخطيط الموارد البشرية، وإدارة علاقات العملاء، وإدارة سلسلة التوريد، والتخطيط المالي) على تميز الأداء التشغيلي في شركات السياحة المصرية. واستخدمت الدراسة المنهج الوصفي التحليلي معتمدةً على الاستبانة كأداة لجمع البيانات من العاملين في شركات السياحة. وتكونت عينة الدراسة من مجموعة من العاملين في شركات السياحة الفئة (أ) بالقاهرة. وتوصلت نتائج الدراسة إلى وجود تأثير ذي دلالة إحصائية لفاعلية تطبيق نظام تخطيط موارد المؤسسة على تميز الأداء التشغيلي، وأن مستوى التطبيق الفعلي لهذه الأنظمة لا يزال بحاجة إلى تطوير. وأوصت الدراسة بضرورة تبني شركات السياحة لأنظمة تخطيط الموارد المتكاملة وتدريب العاملين على استخدامها بكفاءة لتحقيق التميز في الأداء التشغيلي</w:t>
      </w:r>
      <w:r w:rsidRPr="006B1A48">
        <w:rPr>
          <w:rFonts w:ascii="Simplified Arabic" w:eastAsia="Times New Roman" w:hAnsi="Simplified Arabic" w:cs="Simplified Arabic" w:hint="cs"/>
          <w:kern w:val="0"/>
          <w:sz w:val="28"/>
          <w:szCs w:val="28"/>
          <w14:ligatures w14:val="none"/>
        </w:rPr>
        <w:t>.</w:t>
      </w:r>
    </w:p>
    <w:p w14:paraId="6244B1E8" w14:textId="17AC157B" w:rsidR="006B1A48" w:rsidRPr="006B1A48" w:rsidRDefault="006B1A48" w:rsidP="00525D76">
      <w:pPr>
        <w:spacing w:after="0" w:line="276" w:lineRule="auto"/>
        <w:jc w:val="both"/>
        <w:rPr>
          <w:rFonts w:ascii="Simplified Arabic" w:eastAsia="Times New Roman" w:hAnsi="Simplified Arabic" w:cs="Simplified Arabic"/>
          <w:kern w:val="0"/>
          <w:sz w:val="28"/>
          <w:szCs w:val="28"/>
          <w14:ligatures w14:val="none"/>
        </w:rPr>
      </w:pPr>
    </w:p>
    <w:p w14:paraId="006A0ECA"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lastRenderedPageBreak/>
        <w:t>دراسة (زغلول وعرفه، 2024): "إطار مقترح للتكامل بين نظام تخطيط موارد المنشأة ونظام التكلفة على أساس النشاط وأثر ذلك على إدارة الأداء: دراسة ميدانية</w:t>
      </w:r>
      <w:r w:rsidRPr="006B1A48">
        <w:rPr>
          <w:rFonts w:ascii="Simplified Arabic" w:eastAsia="Times New Roman" w:hAnsi="Simplified Arabic" w:cs="Simplified Arabic" w:hint="cs"/>
          <w:b/>
          <w:bCs/>
          <w:kern w:val="0"/>
          <w:sz w:val="28"/>
          <w:szCs w:val="28"/>
          <w14:ligatures w14:val="none"/>
        </w:rPr>
        <w:t>"</w:t>
      </w:r>
    </w:p>
    <w:p w14:paraId="7FC6185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إمكانية تقديم إطار مقترح للتكامل بين نظام تخطيط موارد المنشأة</w:t>
      </w:r>
      <w:r w:rsidRPr="006B1A48">
        <w:rPr>
          <w:rFonts w:ascii="Simplified Arabic" w:eastAsia="Times New Roman" w:hAnsi="Simplified Arabic" w:cs="Simplified Arabic" w:hint="cs"/>
          <w:kern w:val="0"/>
          <w:sz w:val="28"/>
          <w:szCs w:val="28"/>
          <w14:ligatures w14:val="none"/>
        </w:rPr>
        <w:t xml:space="preserve"> (ERP) </w:t>
      </w:r>
      <w:r w:rsidRPr="006B1A48">
        <w:rPr>
          <w:rFonts w:ascii="Simplified Arabic" w:eastAsia="Times New Roman" w:hAnsi="Simplified Arabic" w:cs="Simplified Arabic" w:hint="cs"/>
          <w:kern w:val="0"/>
          <w:sz w:val="28"/>
          <w:szCs w:val="28"/>
          <w:rtl/>
          <w14:ligatures w14:val="none"/>
        </w:rPr>
        <w:t>ونظام التكلفة على أساس النشاط</w:t>
      </w:r>
      <w:r w:rsidRPr="006B1A48">
        <w:rPr>
          <w:rFonts w:ascii="Simplified Arabic" w:eastAsia="Times New Roman" w:hAnsi="Simplified Arabic" w:cs="Simplified Arabic" w:hint="cs"/>
          <w:kern w:val="0"/>
          <w:sz w:val="28"/>
          <w:szCs w:val="28"/>
          <w14:ligatures w14:val="none"/>
        </w:rPr>
        <w:t xml:space="preserve"> (ABC) </w:t>
      </w:r>
      <w:r w:rsidRPr="006B1A48">
        <w:rPr>
          <w:rFonts w:ascii="Simplified Arabic" w:eastAsia="Times New Roman" w:hAnsi="Simplified Arabic" w:cs="Simplified Arabic" w:hint="cs"/>
          <w:kern w:val="0"/>
          <w:sz w:val="28"/>
          <w:szCs w:val="28"/>
          <w:rtl/>
          <w14:ligatures w14:val="none"/>
        </w:rPr>
        <w:t>وبيان أثر المعلومات الناتجة من هذا التكامل على إدارة الأداء في المنشآت الصناعية المصرية. واستخدمت الدراسة المنهج الوصفي التحليلي والمنهج الميداني من خلال استمارة استقصاء وُزعت على العاملين في الشركات الصناعية. وتكونت عينة الدراسة من مجموعة من الشركات الصناعية المصرية المطبقة لنظام تخطيط موارد المنشأة. وتوصلت نتائج الدراسة إلى أن التكامل بين النظامين يُسهم في توفير معلومات أكثر دقة وشمولية تُمكن الإدارة من تحسين أدائها واتخاذ قرارات أفضل. وأوصت الدراسة بتبني الشركات الصناعية لإطار التكامل المقترح بين النظامين لتحقيق كفاءة أعلى في إدارة الأداء</w:t>
      </w:r>
      <w:r w:rsidRPr="006B1A48">
        <w:rPr>
          <w:rFonts w:ascii="Simplified Arabic" w:eastAsia="Times New Roman" w:hAnsi="Simplified Arabic" w:cs="Simplified Arabic" w:hint="cs"/>
          <w:kern w:val="0"/>
          <w:sz w:val="28"/>
          <w:szCs w:val="28"/>
          <w14:ligatures w14:val="none"/>
        </w:rPr>
        <w:t>.</w:t>
      </w:r>
    </w:p>
    <w:p w14:paraId="78613A2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(اليوسفي والخفاف، 2020): "أثر التخطيط الاستراتيجي في التميز المنظمي: الدور المعدل للاعتماد الأكاديمي وضمان الجودة: دراسة حالة جامعة الكويت</w:t>
      </w:r>
      <w:r w:rsidRPr="006B1A48">
        <w:rPr>
          <w:rFonts w:ascii="Simplified Arabic" w:eastAsia="Times New Roman" w:hAnsi="Simplified Arabic" w:cs="Simplified Arabic" w:hint="cs"/>
          <w:b/>
          <w:bCs/>
          <w:kern w:val="0"/>
          <w:sz w:val="28"/>
          <w:szCs w:val="28"/>
          <w14:ligatures w14:val="none"/>
        </w:rPr>
        <w:t>"</w:t>
      </w:r>
    </w:p>
    <w:p w14:paraId="4501F6C3"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أثر التخطيط الاستراتيجي بأبعاده (الرؤية والرسالة، والأهداف الاستراتيجية، والتحليل البيئي، والخيارات الاستراتيجية) في التميز المنظمي بجامعة الكويت، مع بيان الدور المعدل للاعتماد الأكاديمي وضمان الجودة في هذه العلاقة. واستخدمت الدراسة المنهج الوصفي التحليلي ومنهج دراسة الحالة، معتمدةً على الاستبانة كأداة رئيسية لجمع البيانات. وتكونت عينة الدراسة من أعضاء الهيئتين الأكاديمية والإدارية في جامعة الكويت. وتوصلت نتائج الدراسة إلى وجود أثر ذي دلالة إحصائية للتخطيط الاستراتيجي في تحقيق التميز المنظمي، وأن الاعتماد الأكاديمي وضمان الجودة يؤديان دوراً معدلاً في تعزيز هذه العلاقة. وأوصت الدراسة بضرورة تعزيز ممارسات التخطيط الاستراتيجي في الجامعة وربطها بمعايير الاعتماد الأكاديمي لتحقيق التميز المؤسسي</w:t>
      </w:r>
      <w:r w:rsidRPr="006B1A48">
        <w:rPr>
          <w:rFonts w:ascii="Simplified Arabic" w:eastAsia="Times New Roman" w:hAnsi="Simplified Arabic" w:cs="Simplified Arabic" w:hint="cs"/>
          <w:kern w:val="0"/>
          <w:sz w:val="28"/>
          <w:szCs w:val="28"/>
          <w14:ligatures w14:val="none"/>
        </w:rPr>
        <w:t>.</w:t>
      </w:r>
    </w:p>
    <w:p w14:paraId="65B638B0"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(سليمان، 2026): "الكفاءة التشغيلية كمعدل استراتيجي: أثر إدارة رأس المال العامل على علاقة النمو بالربحية في الشركات المصرية</w:t>
      </w:r>
      <w:r w:rsidRPr="006B1A48">
        <w:rPr>
          <w:rFonts w:ascii="Simplified Arabic" w:eastAsia="Times New Roman" w:hAnsi="Simplified Arabic" w:cs="Simplified Arabic" w:hint="cs"/>
          <w:b/>
          <w:bCs/>
          <w:kern w:val="0"/>
          <w:sz w:val="28"/>
          <w:szCs w:val="28"/>
          <w14:ligatures w14:val="none"/>
        </w:rPr>
        <w:t>"</w:t>
      </w:r>
    </w:p>
    <w:p w14:paraId="1AA9A7A8"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lastRenderedPageBreak/>
        <w:t>هدفت الدراسة إلى التعرف على الدور المعدل للكفاءة التشغيلية في العلاقة بين إدارة رأس المال العامل بأبعادها (دورة التحول النقدي، ومعدل دوران المخزون، ومعدل دوران الذمم المدينة والدائنة</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وبين النمو والربحية في الشركات المصرية المدرجة في البورصة. واستخدمت الدراسة المنهج التحليلي الكمي بالاعتماد على بيانات مالية مستخرجة من القوائم المالية المنشورة. وتكونت عينة الدراسة من مجموعة من الشركات المصرية المدرجة في البورصة المصرية. وتوصلت نتائج الدراسة إلى أن الكفاءة التشغيلية تلعب دوراً معدلاً محورياً في تعزيز العلاقة الإيجابية بين إدارة رأس المال العامل والربحية، وأن الشركات الأكثر كفاءة تشغيلياً تحقق عوائد أعلى من نموها. وأوصت الدراسة بضرورة اهتمام الشركات المصرية بتحسين كفاءتها التشغيلية كمدخل استراتيجي لتعزيز الربحية</w:t>
      </w:r>
      <w:r w:rsidRPr="006B1A48">
        <w:rPr>
          <w:rFonts w:ascii="Simplified Arabic" w:eastAsia="Times New Roman" w:hAnsi="Simplified Arabic" w:cs="Simplified Arabic" w:hint="cs"/>
          <w:kern w:val="0"/>
          <w:sz w:val="28"/>
          <w:szCs w:val="28"/>
          <w14:ligatures w14:val="none"/>
        </w:rPr>
        <w:t>.</w:t>
      </w:r>
    </w:p>
    <w:p w14:paraId="6461B531"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(طلال ورزقية، 2020): "قياس الكفاءة التشغيلية في البنوك التجارية الجزائرية: دراسة تطبيقية خلال الفترة</w:t>
      </w:r>
      <w:r w:rsidRPr="006B1A48">
        <w:rPr>
          <w:rFonts w:ascii="Simplified Arabic" w:eastAsia="Times New Roman" w:hAnsi="Simplified Arabic" w:cs="Simplified Arabic" w:hint="cs"/>
          <w:b/>
          <w:bCs/>
          <w:kern w:val="0"/>
          <w:sz w:val="28"/>
          <w:szCs w:val="28"/>
          <w14:ligatures w14:val="none"/>
        </w:rPr>
        <w:t xml:space="preserve"> (2012-2017)"</w:t>
      </w:r>
    </w:p>
    <w:p w14:paraId="137107C6"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مستوى الكفاءة التشغيلية في البنوك التجارية الجزائرية ومدى قدرتها على التحكم في تكاليفها التشغيلية. واستخدمت الدراسة المنهج التحليلي الوصفي من خلال أسلوب التحليل المالي بالنسب المالية وبرنامج</w:t>
      </w:r>
      <w:r w:rsidRPr="006B1A48">
        <w:rPr>
          <w:rFonts w:ascii="Simplified Arabic" w:eastAsia="Times New Roman" w:hAnsi="Simplified Arabic" w:cs="Simplified Arabic" w:hint="cs"/>
          <w:kern w:val="0"/>
          <w:sz w:val="28"/>
          <w:szCs w:val="28"/>
          <w14:ligatures w14:val="none"/>
        </w:rPr>
        <w:t xml:space="preserve"> Excel. </w:t>
      </w:r>
      <w:r w:rsidRPr="006B1A48">
        <w:rPr>
          <w:rFonts w:ascii="Simplified Arabic" w:eastAsia="Times New Roman" w:hAnsi="Simplified Arabic" w:cs="Simplified Arabic" w:hint="cs"/>
          <w:kern w:val="0"/>
          <w:sz w:val="28"/>
          <w:szCs w:val="28"/>
          <w:rtl/>
          <w14:ligatures w14:val="none"/>
        </w:rPr>
        <w:t>وتكونت عينة الدراسة من ستة بنوك عاملة في الجزائر، منها بنكان عموميان وبنك أجنبي وثلاثة بنوك عربية خلال الفترة (2012-2017). وتوصلت نتائج الدراسة إلى أن البنوك صغيرة الحجم تتمتع بكفاءة تشغيلية عالية في الإدارة والتحكم في تكاليفها مقارنة بالبنوك العمومية كبيرة الحجم. وأوصت الدراسة بضرورة عمل البنوك العمومية الكبيرة على تحسين إدارة تكاليفها التشغيلية وتبني آليات فعالة لرفع كفاءتها التشغيلية</w:t>
      </w:r>
      <w:r w:rsidRPr="006B1A48">
        <w:rPr>
          <w:rFonts w:ascii="Simplified Arabic" w:eastAsia="Times New Roman" w:hAnsi="Simplified Arabic" w:cs="Simplified Arabic" w:hint="cs"/>
          <w:kern w:val="0"/>
          <w:sz w:val="28"/>
          <w:szCs w:val="28"/>
          <w14:ligatures w14:val="none"/>
        </w:rPr>
        <w:t>.</w:t>
      </w:r>
    </w:p>
    <w:p w14:paraId="3292C8C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(الديب والسقطي وعبدالحافظ، 2025): "تأثير التحول الرقمي على الكفاءة التشغيلية: دراسة حالة ميناء سفاجا</w:t>
      </w:r>
      <w:r w:rsidRPr="006B1A48">
        <w:rPr>
          <w:rFonts w:ascii="Simplified Arabic" w:eastAsia="Times New Roman" w:hAnsi="Simplified Arabic" w:cs="Simplified Arabic" w:hint="cs"/>
          <w:b/>
          <w:bCs/>
          <w:kern w:val="0"/>
          <w:sz w:val="28"/>
          <w:szCs w:val="28"/>
          <w14:ligatures w14:val="none"/>
        </w:rPr>
        <w:t>"</w:t>
      </w:r>
    </w:p>
    <w:p w14:paraId="442E720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تأثير التحول الرقمي بأبعاده (البنية التحتية الرقمية، والأتمتة، وتحليل البيانات، والأنظمة الذكية) على تحسين الكفاءة التشغيلية في ميناء سفاجا المصري</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 xml:space="preserve">واستخدمت الدراسة المنهج الوصفي التحليلي بالاعتماد على أسلوب العينة العشوائية والاستبانة كأداة لجمع البيانات. وتكونت عينة الدراسة من العاملين في ميناء سفاجا. وتوصلت نتائج الدراسة إلى وجود تأثير إيجابي ذي دلالة إحصائية للتحول الرقمي على الكفاءة التشغيلية بالميناء، وأن الأتمتة والأنظمة الذكية تُسهم بشكل كبير </w:t>
      </w:r>
      <w:r w:rsidRPr="006B1A48">
        <w:rPr>
          <w:rFonts w:ascii="Simplified Arabic" w:eastAsia="Times New Roman" w:hAnsi="Simplified Arabic" w:cs="Simplified Arabic" w:hint="cs"/>
          <w:kern w:val="0"/>
          <w:sz w:val="28"/>
          <w:szCs w:val="28"/>
          <w:rtl/>
          <w14:ligatures w14:val="none"/>
        </w:rPr>
        <w:lastRenderedPageBreak/>
        <w:t>في تسريع العمليات وتقليل التكاليف. وأوصت الدراسة بتعزيز الاستثمار في التحول الرقمي وتطوير البنية التحتية التقنية للموانئ المصرية</w:t>
      </w:r>
      <w:r w:rsidRPr="006B1A48">
        <w:rPr>
          <w:rFonts w:ascii="Simplified Arabic" w:eastAsia="Times New Roman" w:hAnsi="Simplified Arabic" w:cs="Simplified Arabic" w:hint="cs"/>
          <w:kern w:val="0"/>
          <w:sz w:val="28"/>
          <w:szCs w:val="28"/>
          <w14:ligatures w14:val="none"/>
        </w:rPr>
        <w:t>.</w:t>
      </w:r>
    </w:p>
    <w:p w14:paraId="0D812458"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(بيلي وداود، 2023): "أثر كفاءة إدارة رأس المال العامل في رفع الكفاءة التشغيلية: دراسة تطبيقية على شركات المواد الأساسية المدرجة في سوق الأوراق المالية السعودي</w:t>
      </w:r>
      <w:r w:rsidRPr="006B1A48">
        <w:rPr>
          <w:rFonts w:ascii="Simplified Arabic" w:eastAsia="Times New Roman" w:hAnsi="Simplified Arabic" w:cs="Simplified Arabic" w:hint="cs"/>
          <w:b/>
          <w:bCs/>
          <w:kern w:val="0"/>
          <w:sz w:val="28"/>
          <w:szCs w:val="28"/>
          <w14:ligatures w14:val="none"/>
        </w:rPr>
        <w:t>"</w:t>
      </w:r>
    </w:p>
    <w:p w14:paraId="2E5BF606"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أثر كفاءة رأس المال العامل بأبعادها (دورة التحول النقدي، وفترة التخزين، وفترة السداد، وفترة التحصيل) في رفع الكفاءة التشغيلية لشركات المواد الأساسية المدرجة في السوق السعودي للأوراق المالية خلال الفترة (2010-2019). واستخدمت الدراسة المنهج التحليلي الكمي بأسلوب الدمج بين بيانات السلاسل الزمنية وبيانات المقاطع العرضية</w:t>
      </w:r>
      <w:r w:rsidRPr="006B1A48">
        <w:rPr>
          <w:rFonts w:ascii="Simplified Arabic" w:eastAsia="Times New Roman" w:hAnsi="Simplified Arabic" w:cs="Simplified Arabic" w:hint="cs"/>
          <w:kern w:val="0"/>
          <w:sz w:val="28"/>
          <w:szCs w:val="28"/>
          <w14:ligatures w14:val="none"/>
        </w:rPr>
        <w:t xml:space="preserve"> (Panel Data). </w:t>
      </w:r>
      <w:r w:rsidRPr="006B1A48">
        <w:rPr>
          <w:rFonts w:ascii="Simplified Arabic" w:eastAsia="Times New Roman" w:hAnsi="Simplified Arabic" w:cs="Simplified Arabic" w:hint="cs"/>
          <w:kern w:val="0"/>
          <w:sz w:val="28"/>
          <w:szCs w:val="28"/>
          <w:rtl/>
          <w14:ligatures w14:val="none"/>
        </w:rPr>
        <w:t>وتكونت عينة الدراسة من شركات المواد الأساسية المدرجة في السوق السعودي. وتوصلت نتائج الدراسة إلى وجود تأثير معنوي إيجابي لدورة التحول النقدي ومتوسط فترة التخزين ومتوسط فترة السداد على الكفاءة التشغيلية، بينما وُجد تأثير سلبي غير معنوي لمتوسط فترة التحصيل. وأوصت الدراسة بضرورة وضوح سياسات رأس المال العامل والعمليات التشغيلية في الشركات المدرجة في السوق السعودي</w:t>
      </w:r>
      <w:r w:rsidRPr="006B1A48">
        <w:rPr>
          <w:rFonts w:ascii="Simplified Arabic" w:eastAsia="Times New Roman" w:hAnsi="Simplified Arabic" w:cs="Simplified Arabic" w:hint="cs"/>
          <w:kern w:val="0"/>
          <w:sz w:val="28"/>
          <w:szCs w:val="28"/>
          <w14:ligatures w14:val="none"/>
        </w:rPr>
        <w:t>.</w:t>
      </w:r>
    </w:p>
    <w:p w14:paraId="4A8D2375"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(الأحمد والرقيبات، 2020): "أثر المحددات المالية على الكفاءة التشغيلية للبنوك التجارية الأردنية</w:t>
      </w:r>
      <w:r w:rsidRPr="006B1A48">
        <w:rPr>
          <w:rFonts w:ascii="Simplified Arabic" w:eastAsia="Times New Roman" w:hAnsi="Simplified Arabic" w:cs="Simplified Arabic" w:hint="cs"/>
          <w:b/>
          <w:bCs/>
          <w:kern w:val="0"/>
          <w:sz w:val="28"/>
          <w:szCs w:val="28"/>
          <w14:ligatures w14:val="none"/>
        </w:rPr>
        <w:t>"</w:t>
      </w:r>
    </w:p>
    <w:p w14:paraId="23962CFA"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أثر المحددات المالية بأبعادها (جودة الأصول، وكفاية هيكل رأس المال، ومخاطر الائتمان، والسيولة، والربحية) على الكفاءة التشغيلية في البنوك التجارية الأردنية خلال الفترة (2013-2018). واستخدمت الدراسة المنهج التحليلي الوصفي من خلال أسلوب تحليل السلاسل الزمنية ذات الطبيعة المقطعية بطريقة التقديرات الثابتة. وتكونت عينة الدراسة من البنوك التجارية الأردنية المدرجة في بورصة عمان. وتوصلت نتائج الدراسة إلى وجود أثر إيجابي ذي دلالة إحصائية للربحية على الكفاءة التشغيلية، ووجود أثر سلبي ذي دلالة إحصائية لمخاطر الائتمان على الكفاءة التشغيلية، في حين لم يُوجد أثر ذو دلالة إحصائية لكل من السيولة وكفاية رأس المال وجودة الأصول. وأوصت الدراسة بضرورة زيادة اهتمام البنوك التجارية الأردنية بتقليص نسبة القروض المتعثرة لتحسين كفاءتها التشغيلية</w:t>
      </w:r>
      <w:r w:rsidRPr="006B1A48">
        <w:rPr>
          <w:rFonts w:ascii="Simplified Arabic" w:eastAsia="Times New Roman" w:hAnsi="Simplified Arabic" w:cs="Simplified Arabic" w:hint="cs"/>
          <w:kern w:val="0"/>
          <w:sz w:val="28"/>
          <w:szCs w:val="28"/>
          <w14:ligatures w14:val="none"/>
        </w:rPr>
        <w:t>.</w:t>
      </w:r>
    </w:p>
    <w:p w14:paraId="141CCA53"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lastRenderedPageBreak/>
        <w:t>دراسة (عمري، 2022): "أثر رأس المال البشري على الكفاءة التشغيلية للتأمين التكافلي: دراسة تطبيقية لشركة العامة للتأمينات المتوسطية: ولايات الشرق نموذجاً</w:t>
      </w:r>
      <w:r w:rsidRPr="006B1A48">
        <w:rPr>
          <w:rFonts w:ascii="Simplified Arabic" w:eastAsia="Times New Roman" w:hAnsi="Simplified Arabic" w:cs="Simplified Arabic" w:hint="cs"/>
          <w:b/>
          <w:bCs/>
          <w:kern w:val="0"/>
          <w:sz w:val="28"/>
          <w:szCs w:val="28"/>
          <w14:ligatures w14:val="none"/>
        </w:rPr>
        <w:t>"</w:t>
      </w:r>
    </w:p>
    <w:p w14:paraId="2F8A8F72"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مكونات رأس المال البشري بأبعادها (المعرفة، والمهارة، والقدرة) وأثرها على كفاءة تشغيل التأمين التكافلي في شركة العامة للتأمينات المتوسطية بولايات الشرق الجزائري. واستخدمت الدراسة المنهج الوصفي التحليلي معتمدةً على الاستبانة كأداة لجمع البيانات وبرنامج</w:t>
      </w:r>
      <w:r w:rsidRPr="006B1A48">
        <w:rPr>
          <w:rFonts w:ascii="Simplified Arabic" w:eastAsia="Times New Roman" w:hAnsi="Simplified Arabic" w:cs="Simplified Arabic" w:hint="cs"/>
          <w:kern w:val="0"/>
          <w:sz w:val="28"/>
          <w:szCs w:val="28"/>
          <w14:ligatures w14:val="none"/>
        </w:rPr>
        <w:t xml:space="preserve"> SPSS </w:t>
      </w:r>
      <w:r w:rsidRPr="006B1A48">
        <w:rPr>
          <w:rFonts w:ascii="Simplified Arabic" w:eastAsia="Times New Roman" w:hAnsi="Simplified Arabic" w:cs="Simplified Arabic" w:hint="cs"/>
          <w:kern w:val="0"/>
          <w:sz w:val="28"/>
          <w:szCs w:val="28"/>
          <w:rtl/>
          <w14:ligatures w14:val="none"/>
        </w:rPr>
        <w:t>للمعالجة الإحصائية. وتكونت عينة الدراسة من (220) عميلاً من عملاء التأمين التكافلي في الشركة محل الدراسة. وتوصلت نتائج الدراسة إلى وجود علاقة ارتباط وتأثير إحصائية موجبة ومرتفعة بين مكونات رأس المال البشري وكفاءة تشغيل التأمين التكافلي. وأوصت الدراسة بتبني برامج تدريبية لتطوير مهارات العاملين في مجال التأمين التكافلي متضمنة الضوابط الشرعية لتوفير درجة عالية من المصداقية والثقة لدى العملاء</w:t>
      </w:r>
      <w:r w:rsidRPr="006B1A48">
        <w:rPr>
          <w:rFonts w:ascii="Simplified Arabic" w:eastAsia="Times New Roman" w:hAnsi="Simplified Arabic" w:cs="Simplified Arabic" w:hint="cs"/>
          <w:kern w:val="0"/>
          <w:sz w:val="28"/>
          <w:szCs w:val="28"/>
          <w14:ligatures w14:val="none"/>
        </w:rPr>
        <w:t>.</w:t>
      </w:r>
    </w:p>
    <w:p w14:paraId="346684F6"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 (شكوري والرايسي، 2023): "أثر حاضنات الأعمال في قطاع التقنية على الكفاءة التشغيلية: دراسة حالة الشركات الناشئة بالمملكة العربية السعودية</w:t>
      </w:r>
      <w:r w:rsidRPr="006B1A48">
        <w:rPr>
          <w:rFonts w:ascii="Simplified Arabic" w:eastAsia="Times New Roman" w:hAnsi="Simplified Arabic" w:cs="Simplified Arabic" w:hint="cs"/>
          <w:b/>
          <w:bCs/>
          <w:kern w:val="0"/>
          <w:sz w:val="28"/>
          <w:szCs w:val="28"/>
          <w14:ligatures w14:val="none"/>
        </w:rPr>
        <w:t>"</w:t>
      </w:r>
    </w:p>
    <w:p w14:paraId="5C07AA4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تأثير حاضنات الأعمال بأبعادها (الدعم التقني، والدعم المالي، والتوجيه والإرشاد، والبنية التحتية) على الكفاءة التشغيلية في الشركات التقنية الناشئة بالمملكة العربية السعودية. واستخدمت الدراسة المنهج الوصفي التحليلي ومنهج دراسة الحالة معتمدةً على الاستبانة كأداة لجمع البيانات. وتكونت عينة الدراسة من مجموعة من الشركات الناشئة في قطاع التقنية المستفيدة من حاضنات الأعمال في المملكة العربية السعودية. وتوصلت نتائج الدراسة إلى وجود تأثير إيجابي ذي دلالة إحصائية لحاضنات الأعمال على الكفاءة التشغيلية للشركات الناشئة، وأن الدعم التقني والتوجيه يُعدان من أبرز العوامل المؤثرة. وأوصت الدراسة بتعزيز دور حاضنات الأعمال في المملكة وتوسيع خدماتها لتشمل مزيداً من الشركات الناشئة</w:t>
      </w:r>
      <w:r w:rsidRPr="006B1A48">
        <w:rPr>
          <w:rFonts w:ascii="Simplified Arabic" w:eastAsia="Times New Roman" w:hAnsi="Simplified Arabic" w:cs="Simplified Arabic" w:hint="cs"/>
          <w:kern w:val="0"/>
          <w:sz w:val="28"/>
          <w:szCs w:val="28"/>
          <w14:ligatures w14:val="none"/>
        </w:rPr>
        <w:t>.</w:t>
      </w:r>
    </w:p>
    <w:p w14:paraId="5B7E23CC"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8" w:name="_Toc226203807"/>
      <w:r w:rsidRPr="006B1A48">
        <w:rPr>
          <w:rFonts w:ascii="Simplified Arabic" w:eastAsia="Times New Roman" w:hAnsi="Simplified Arabic" w:cs="Simplified Arabic" w:hint="cs"/>
          <w:b/>
          <w:bCs/>
          <w:kern w:val="0"/>
          <w:sz w:val="28"/>
          <w:szCs w:val="28"/>
          <w:rtl/>
          <w14:ligatures w14:val="none"/>
        </w:rPr>
        <w:t>ثانياً: الدراسات الأجنبية</w:t>
      </w:r>
      <w:bookmarkEnd w:id="18"/>
    </w:p>
    <w:p w14:paraId="020F4F8B"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w:t>
      </w:r>
      <w:r w:rsidRPr="006B1A48">
        <w:rPr>
          <w:rFonts w:ascii="Simplified Arabic" w:eastAsia="Times New Roman" w:hAnsi="Simplified Arabic" w:cs="Simplified Arabic" w:hint="cs"/>
          <w:b/>
          <w:bCs/>
          <w:kern w:val="0"/>
          <w:sz w:val="28"/>
          <w:szCs w:val="28"/>
          <w14:ligatures w14:val="none"/>
        </w:rPr>
        <w:t xml:space="preserve"> (Iuliia, 2026): "Impact of Modern Technologies on the Operational Efficiency and Emotional Perception of Events"</w:t>
      </w:r>
    </w:p>
    <w:p w14:paraId="206B3E32"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lastRenderedPageBreak/>
        <w:t>هدفت الدراسة إلى التعرف على تأثير التقنيات الحديثة بأبعادها (الذكاء الاصطناعي، والتقنيات الغامرة، وأنظمة التحليل الرقمي، وأدوات إدارة الجمهور) على الكفاءة التشغيلية والإدراك العاطفي للفعاليات في صناعة الفعاليات المعاصرة. واستخدمت الدراسة المنهج الوصفي التحليلي القائم على تحليل تقارير السوق والأدبيات العلمية، إضافة إلى أسلوب التصميم والنمذجة. وتكونت عينة الدراسة من بيانات سوق الفعاليات في أمريكا الشمالية والولايات المتحدة وتقارير صناعية متعددة. وتوصلت نتائج الدراسة إلى أن دمج الذكاء الاصطناعي في عملية تنظيم الفعاليات يُمكّن من تشكيل ديناميكية عاطفية مُتحكم بها لدى المشاركين ويحقق مستوى نوعياً جديداً من التجربة، كما قدمت الدراسة نموذجاً تقنياً لتنظيم فعاليات عالية الجودة من خلال الإدراك العاطفي المتعزز تقنياً. وأوصت الدراسة بتبني صناعة الفعاليات لنماذج إدارة مُتقدمة تقنياً تجمع بين الكفاءة التشغيلية والتصميم العاطفي لتحقيق ميزة تنافسية</w:t>
      </w:r>
      <w:r w:rsidRPr="006B1A48">
        <w:rPr>
          <w:rFonts w:ascii="Simplified Arabic" w:eastAsia="Times New Roman" w:hAnsi="Simplified Arabic" w:cs="Simplified Arabic" w:hint="cs"/>
          <w:kern w:val="0"/>
          <w:sz w:val="28"/>
          <w:szCs w:val="28"/>
          <w14:ligatures w14:val="none"/>
        </w:rPr>
        <w:t>.</w:t>
      </w:r>
    </w:p>
    <w:p w14:paraId="572A8FA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w:t>
      </w:r>
      <w:r w:rsidRPr="006B1A48">
        <w:rPr>
          <w:rFonts w:ascii="Simplified Arabic" w:eastAsia="Times New Roman" w:hAnsi="Simplified Arabic" w:cs="Simplified Arabic" w:hint="cs"/>
          <w:b/>
          <w:bCs/>
          <w:kern w:val="0"/>
          <w:sz w:val="28"/>
          <w:szCs w:val="28"/>
          <w14:ligatures w14:val="none"/>
        </w:rPr>
        <w:t xml:space="preserve"> (Greco &amp; Mallen, 2024): "Issues and Management Strategies in Event Operational Planning"</w:t>
      </w:r>
    </w:p>
    <w:p w14:paraId="16D6DB7B"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 xml:space="preserve">هدفت الدراسة إلى التعرف على القضايا الرئيسية واستراتيجيات الإدارة في مرحلة التخطيط التشغيلي للفعاليات بأبعادها </w:t>
      </w:r>
      <w:r w:rsidRPr="006B1A48">
        <w:rPr>
          <w:rFonts w:ascii="Simplified Arabic" w:eastAsia="Times New Roman" w:hAnsi="Simplified Arabic" w:cs="Simplified Arabic" w:hint="cs"/>
          <w:kern w:val="0"/>
          <w:sz w:val="28"/>
          <w:szCs w:val="28"/>
          <w14:ligatures w14:val="none"/>
        </w:rPr>
        <w:t>(</w:t>
      </w:r>
      <w:r w:rsidRPr="006B1A48">
        <w:rPr>
          <w:rFonts w:ascii="Simplified Arabic" w:eastAsia="Times New Roman" w:hAnsi="Simplified Arabic" w:cs="Simplified Arabic" w:hint="cs"/>
          <w:kern w:val="0"/>
          <w:sz w:val="28"/>
          <w:szCs w:val="28"/>
          <w:rtl/>
          <w14:ligatures w14:val="none"/>
        </w:rPr>
        <w:t>تحديد المخاطر، وإدارة الأزمات، واستراتيجيات التخطيط المسبق، وآليات الاستجابة) في مجال إدارة الفعاليات الرياضية والترفيهية والسياحية</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واستخدمت الدراسة المنهج الوصفي التحليلي القائم على مراجعة الأدبيات وتحليل الحالات العملية. وتمثلت عينة الدراسة في نماذج تطبيقية من فعاليات رياضية وترفيهية وسياحية متنوعة. وتوصلت نتائج الدراسة إلى أن إدارة القضايا التشغيلية بشكل استباقي تُعد عنصراً حاسماً في نجاح التخطيط التشغيلي للفعاليات، وأن الفشل في التعامل معها يؤدي إلى تراجع كبير في جودة التنفيذ. وأوصت الدراسة بضرورة تبني منظمي الفعاليات لأُطر منهجية واضحة لإدارة القضايا التشغيلية تتضمن خطط طوارئ واستراتيجيات استجابة مرنة</w:t>
      </w:r>
      <w:r w:rsidRPr="006B1A48">
        <w:rPr>
          <w:rFonts w:ascii="Simplified Arabic" w:eastAsia="Times New Roman" w:hAnsi="Simplified Arabic" w:cs="Simplified Arabic" w:hint="cs"/>
          <w:kern w:val="0"/>
          <w:sz w:val="28"/>
          <w:szCs w:val="28"/>
          <w14:ligatures w14:val="none"/>
        </w:rPr>
        <w:t>.</w:t>
      </w:r>
    </w:p>
    <w:p w14:paraId="0BDFD4C1"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w:t>
      </w:r>
      <w:r w:rsidRPr="006B1A48">
        <w:rPr>
          <w:rFonts w:ascii="Simplified Arabic" w:eastAsia="Times New Roman" w:hAnsi="Simplified Arabic" w:cs="Simplified Arabic" w:hint="cs"/>
          <w:b/>
          <w:bCs/>
          <w:kern w:val="0"/>
          <w:sz w:val="28"/>
          <w:szCs w:val="28"/>
          <w14:ligatures w14:val="none"/>
        </w:rPr>
        <w:t xml:space="preserve"> (Mallen, 2024): "The Event Operational Planning Phase of the Event Planning Model"</w:t>
      </w:r>
    </w:p>
    <w:p w14:paraId="24F1A77D"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مرحلة التخطيط التشغيلي للفعاليات ضمن نموذج تخطيط الفعاليات بآلياتها (بناء شبكة التخطيط التشغيلي، وتطبيق التخطيط القائم على العمليات، وصقل الخطة التشغيلية، وتنسيق الموارد) في سياق إدارة الفعاليات الرياضية والترفيهية والسياحية</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 xml:space="preserve">واستخدمت الدراسة المنهج </w:t>
      </w:r>
      <w:r w:rsidRPr="006B1A48">
        <w:rPr>
          <w:rFonts w:ascii="Simplified Arabic" w:eastAsia="Times New Roman" w:hAnsi="Simplified Arabic" w:cs="Simplified Arabic" w:hint="cs"/>
          <w:kern w:val="0"/>
          <w:sz w:val="28"/>
          <w:szCs w:val="28"/>
          <w:rtl/>
          <w14:ligatures w14:val="none"/>
        </w:rPr>
        <w:lastRenderedPageBreak/>
        <w:t>الوصفي التحليلي القائم على بناء نموذج نظري تطبيقي مدعوم بأمثلة عملية. وتمثلت عينة الدراسة في حالات وتطبيقات عملية متنوعة من صناعة الفعاليات. وتوصلت نتائج الدراسة إلى أن مرحلة التخطيط التشغيلي هي المرحلة الأكثر تعقيداً في نموذج تخطيط الفعاليات وتتطلب تنسيقاً دقيقاً بين جميع الأطراف المعنية، وأن جودة هذه المرحلة تنعكس مباشرة على كفاءة تنفيذ الفعالية. وأوصت الدراسة بضرورة اتباع منهجية منظمة في التخطيط التشغيلي تشمل بناء شبكات تواصل فعالة وعمليات صقل مستمرة للخطط</w:t>
      </w:r>
      <w:r w:rsidRPr="006B1A48">
        <w:rPr>
          <w:rFonts w:ascii="Simplified Arabic" w:eastAsia="Times New Roman" w:hAnsi="Simplified Arabic" w:cs="Simplified Arabic" w:hint="cs"/>
          <w:kern w:val="0"/>
          <w:sz w:val="28"/>
          <w:szCs w:val="28"/>
          <w14:ligatures w14:val="none"/>
        </w:rPr>
        <w:t>.</w:t>
      </w:r>
    </w:p>
    <w:p w14:paraId="244AFBC0"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w:t>
      </w:r>
      <w:r w:rsidRPr="006B1A48">
        <w:rPr>
          <w:rFonts w:ascii="Simplified Arabic" w:eastAsia="Times New Roman" w:hAnsi="Simplified Arabic" w:cs="Simplified Arabic" w:hint="cs"/>
          <w:b/>
          <w:bCs/>
          <w:kern w:val="0"/>
          <w:sz w:val="28"/>
          <w:szCs w:val="28"/>
          <w14:ligatures w14:val="none"/>
        </w:rPr>
        <w:t xml:space="preserve"> (Yao et al., 2022): "Capacity Planning and Production Scheduling Integration: Improving Operational Efficiency via Detailed Modelling"</w:t>
      </w:r>
    </w:p>
    <w:p w14:paraId="6BA8B017"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أثر التكامل بين تخطيط القدرة الإنتاجية وجدولة الإنتاج بأبعاده (النمذجة التفصيلية، وتحسين تخصيص الموارد، ومزامنة العمليات) على تحسين الكفاءة التشغيلية في بيئات التصنيع المعقدة. واستخدمت الدراسة المنهج الكمي التجريبي القائم على بناء نماذج رياضية محاكاة وتحسين عمليات التخطيط. وتكونت عينة الدراسة من بيانات تشغيلية من منشآت صناعية تعمل في بيئات إنتاج متعددة المراحل</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وتوصلت نتائج الدراسة إلى أن التكامل بين تخطيط القدرة والجدولة عبر النمذجة التفصيلية يُحقق تحسينات جوهرية في الكفاءة التشغيلية ويُقلل من الهدر في الموارد. وأوصت الدراسة بتبني المنشآت الصناعية لأساليب النمذجة التكاملية في التخطيط لتحقيق أقصى كفاءة تشغيلية</w:t>
      </w:r>
      <w:r w:rsidRPr="006B1A48">
        <w:rPr>
          <w:rFonts w:ascii="Simplified Arabic" w:eastAsia="Times New Roman" w:hAnsi="Simplified Arabic" w:cs="Simplified Arabic" w:hint="cs"/>
          <w:kern w:val="0"/>
          <w:sz w:val="28"/>
          <w:szCs w:val="28"/>
          <w14:ligatures w14:val="none"/>
        </w:rPr>
        <w:t>.</w:t>
      </w:r>
    </w:p>
    <w:p w14:paraId="419AE302"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w:t>
      </w:r>
      <w:r w:rsidRPr="006B1A48">
        <w:rPr>
          <w:rFonts w:ascii="Simplified Arabic" w:eastAsia="Times New Roman" w:hAnsi="Simplified Arabic" w:cs="Simplified Arabic" w:hint="cs"/>
          <w:b/>
          <w:bCs/>
          <w:kern w:val="0"/>
          <w:sz w:val="28"/>
          <w:szCs w:val="28"/>
          <w14:ligatures w14:val="none"/>
        </w:rPr>
        <w:t xml:space="preserve"> (Li, Li &amp; Sethi, 2021): "Does CSR Reduce Idiosyncratic Risk? Roles of Operational Efficiency and AI Innovation"</w:t>
      </w:r>
    </w:p>
    <w:p w14:paraId="6E0399E4"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أثر المسؤولية الاجتماعية للشركات</w:t>
      </w:r>
      <w:r w:rsidRPr="006B1A48">
        <w:rPr>
          <w:rFonts w:ascii="Simplified Arabic" w:eastAsia="Times New Roman" w:hAnsi="Simplified Arabic" w:cs="Simplified Arabic" w:hint="cs"/>
          <w:kern w:val="0"/>
          <w:sz w:val="28"/>
          <w:szCs w:val="28"/>
          <w14:ligatures w14:val="none"/>
        </w:rPr>
        <w:t xml:space="preserve"> (CSR) </w:t>
      </w:r>
      <w:r w:rsidRPr="006B1A48">
        <w:rPr>
          <w:rFonts w:ascii="Simplified Arabic" w:eastAsia="Times New Roman" w:hAnsi="Simplified Arabic" w:cs="Simplified Arabic" w:hint="cs"/>
          <w:kern w:val="0"/>
          <w:sz w:val="28"/>
          <w:szCs w:val="28"/>
          <w:rtl/>
          <w14:ligatures w14:val="none"/>
        </w:rPr>
        <w:t>في الحد من المخاطر الفردية، مع بيان الأدوار الوسيطة للكفاءة التشغيلية والابتكار في الذكاء الاصطناعي بأبعادها (كفاءة استخدام الموارد، وتبني التقنيات الذكية، والأداء البيئي والاجتماعي</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واستخدمت الدراسة المنهج الكمي التحليلي بالاعتماد على بيانات مالية من الشركات المدرجة في الأسواق المالية. وتكونت عينة الدراسة من مجموعة كبيرة من الشركات متعددة القطاعات في الأسواق المالية الدولية. وتوصلت نتائج الدراسة إلى أن المسؤولية الاجتماعية تُسهم في تقليل المخاطر الفردية للشركات، وأن الكفاءة التشغيلية والابتكار في الذكاء الاصطناعي يلعبان دوراً وسيطاً مهماً في هذه العلاقة. وأوصت الدراسة بأن تستثمر الشركات في أنشطة المسؤولية الاجتماعية بالتوازي مع تحسين الكفاءة التشغيلية وتبني تقنيات الذكاء الاصطناعي</w:t>
      </w:r>
      <w:r w:rsidRPr="006B1A48">
        <w:rPr>
          <w:rFonts w:ascii="Simplified Arabic" w:eastAsia="Times New Roman" w:hAnsi="Simplified Arabic" w:cs="Simplified Arabic" w:hint="cs"/>
          <w:kern w:val="0"/>
          <w:sz w:val="28"/>
          <w:szCs w:val="28"/>
          <w14:ligatures w14:val="none"/>
        </w:rPr>
        <w:t>.</w:t>
      </w:r>
    </w:p>
    <w:p w14:paraId="2AB40C28"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lastRenderedPageBreak/>
        <w:t>دراسة</w:t>
      </w:r>
      <w:r w:rsidRPr="006B1A48">
        <w:rPr>
          <w:rFonts w:ascii="Simplified Arabic" w:eastAsia="Times New Roman" w:hAnsi="Simplified Arabic" w:cs="Simplified Arabic" w:hint="cs"/>
          <w:b/>
          <w:bCs/>
          <w:kern w:val="0"/>
          <w:sz w:val="28"/>
          <w:szCs w:val="28"/>
          <w14:ligatures w14:val="none"/>
        </w:rPr>
        <w:t xml:space="preserve"> (Fantozzi et al., 2025): "Digital Twins: Strategic Guide to Utilize Digital Twins to Improve Operational Efficiency in Industry 4.0"</w:t>
      </w:r>
    </w:p>
    <w:p w14:paraId="58431D5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كيفية استخدام التوائم الرقمية</w:t>
      </w:r>
      <w:r w:rsidRPr="006B1A48">
        <w:rPr>
          <w:rFonts w:ascii="Simplified Arabic" w:eastAsia="Times New Roman" w:hAnsi="Simplified Arabic" w:cs="Simplified Arabic" w:hint="cs"/>
          <w:kern w:val="0"/>
          <w:sz w:val="28"/>
          <w:szCs w:val="28"/>
          <w14:ligatures w14:val="none"/>
        </w:rPr>
        <w:t xml:space="preserve"> (Digital Twins) </w:t>
      </w:r>
      <w:r w:rsidRPr="006B1A48">
        <w:rPr>
          <w:rFonts w:ascii="Simplified Arabic" w:eastAsia="Times New Roman" w:hAnsi="Simplified Arabic" w:cs="Simplified Arabic" w:hint="cs"/>
          <w:kern w:val="0"/>
          <w:sz w:val="28"/>
          <w:szCs w:val="28"/>
          <w:rtl/>
          <w14:ligatures w14:val="none"/>
        </w:rPr>
        <w:t>بأبعادها (المحاكاة الافتراضية، والمراقبة اللحظية، والصيانة التنبؤية، وتحسين العمليات) كدليل استراتيجي لتحسين الكفاءة التشغيلية في ظل الثورة الصناعية الرابعة. واستخدمت الدراسة المنهج الوصفي التحليلي القائم على مراجعة شاملة للأدبيات وتحليل حالات تطبيقية في مجال الصناعة. وتمثلت عينة الدراسة في مجموعة من التطبيقات والحالات الصناعية في قطاعات مختلفة تُوظف تقنية التوائم الرقمية. وتوصلت نتائج الدراسة إلى أن التوائم الرقمية تُمثل أداة استراتيجية فعالة لتحسين الكفاءة التشغيلية من خلال تمكين المنشآت من محاكاة عملياتها وتحسينها قبل التنفيذ الفعلي، مما يُقلل التكاليف ويُسرّع الابتكار. وأوصت الدراسة بتبني تقنية التوائم الرقمية كجزء من الاستراتيجية الرقمية للمنظمات الصناعية</w:t>
      </w:r>
      <w:r w:rsidRPr="006B1A48">
        <w:rPr>
          <w:rFonts w:ascii="Simplified Arabic" w:eastAsia="Times New Roman" w:hAnsi="Simplified Arabic" w:cs="Simplified Arabic" w:hint="cs"/>
          <w:kern w:val="0"/>
          <w:sz w:val="28"/>
          <w:szCs w:val="28"/>
          <w14:ligatures w14:val="none"/>
        </w:rPr>
        <w:t>.</w:t>
      </w:r>
    </w:p>
    <w:p w14:paraId="6FB2D207"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دراسة</w:t>
      </w:r>
      <w:r w:rsidRPr="006B1A48">
        <w:rPr>
          <w:rFonts w:ascii="Simplified Arabic" w:eastAsia="Times New Roman" w:hAnsi="Simplified Arabic" w:cs="Simplified Arabic" w:hint="cs"/>
          <w:b/>
          <w:bCs/>
          <w:kern w:val="0"/>
          <w:sz w:val="28"/>
          <w:szCs w:val="28"/>
          <w14:ligatures w14:val="none"/>
        </w:rPr>
        <w:t xml:space="preserve"> (Helo &amp; Hao, 2022): "Artificial Intelligence in Operations Management and Supply Chain Management: An Exploratory Case Study"</w:t>
      </w:r>
    </w:p>
    <w:p w14:paraId="3A304B35"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دور الذكاء الاصطناعي بأبعاده (التعلم الآلي، ومعالجة اللغة الطبيعية، والتحليلات التنبؤية، وأتمتة القرارات) في إدارة العمليات وسلسلة التوريد وأثره على الكفاءة التشغيلية. واستخدمت الدراسة المنهج الاستكشافي القائم على دراسة الحالة. وتكونت عينة الدراسة من شركات عاملة في مجال إدارة سلاسل التوريد وإدارة العمليات تطبق تقنيات الذكاء الاصطناعي. وتوصلت نتائج الدراسة إلى أن تطبيقات الذكاء الاصطناعي تُسهم بشكل فاعل في تحسين التنبؤ بالطلب وتحسين إدارة المخزون وتسريع عمليات اتخاذ القرار، مما ينعكس إيجاباً على الكفاءة التشغيلية الشاملة. وأوصت الدراسة بتوسيع نطاق تبني الذكاء الاصطناعي في عمليات سلاسل التوريد مع الاهتمام بجودة البيانات والبنية التحتية التقنية</w:t>
      </w:r>
      <w:r w:rsidRPr="006B1A48">
        <w:rPr>
          <w:rFonts w:ascii="Simplified Arabic" w:eastAsia="Times New Roman" w:hAnsi="Simplified Arabic" w:cs="Simplified Arabic" w:hint="cs"/>
          <w:kern w:val="0"/>
          <w:sz w:val="28"/>
          <w:szCs w:val="28"/>
          <w14:ligatures w14:val="none"/>
        </w:rPr>
        <w:t>.</w:t>
      </w:r>
    </w:p>
    <w:p w14:paraId="69C2030C" w14:textId="149531C2" w:rsidR="006B1A48" w:rsidRPr="006B1A48" w:rsidRDefault="006B1A48" w:rsidP="00525D76">
      <w:pPr>
        <w:spacing w:after="0" w:line="276" w:lineRule="auto"/>
        <w:jc w:val="both"/>
        <w:rPr>
          <w:rFonts w:ascii="Simplified Arabic" w:eastAsia="Times New Roman" w:hAnsi="Simplified Arabic" w:cs="Simplified Arabic"/>
          <w:kern w:val="0"/>
          <w:sz w:val="28"/>
          <w:szCs w:val="28"/>
          <w14:ligatures w14:val="none"/>
        </w:rPr>
      </w:pPr>
    </w:p>
    <w:p w14:paraId="52FBD88C"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lastRenderedPageBreak/>
        <w:t>دراسة</w:t>
      </w:r>
      <w:r w:rsidRPr="006B1A48">
        <w:rPr>
          <w:rFonts w:ascii="Simplified Arabic" w:eastAsia="Times New Roman" w:hAnsi="Simplified Arabic" w:cs="Simplified Arabic" w:hint="cs"/>
          <w:b/>
          <w:bCs/>
          <w:kern w:val="0"/>
          <w:sz w:val="28"/>
          <w:szCs w:val="28"/>
          <w14:ligatures w14:val="none"/>
        </w:rPr>
        <w:t xml:space="preserve"> (Jackson et al., 2024): "Generative Artificial Intelligence in Supply Chain and Operations Management: A Capability-Based Framework for Analysis and Implementation"</w:t>
      </w:r>
    </w:p>
    <w:p w14:paraId="22AF4FF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هدفت الدراسة إلى التعرف على دور الذكاء الاصطناعي التوليدي بأبعاده (توليد المحتوى، والتصميم التلقائي، والتحليل التنبؤي المتقدم، وتحسين القرارات) في إدارة سلاسل التوريد والعمليات، وتقديم إطار قائم على القدرات لتحليله وتنفيذه. واستخدمت الدراسة المنهج الوصفي التحليلي القائم على بناء إطار نظري مفاهيمي مدعوم بمراجعة شاملة للأدبيات. وتمثلت عينة الدراسة في الأدبيات والتطبيقات المعاصرة للذكاء الاصطناعي التوليدي في مجال إدارة سلاسل التوريد والعمليات. وتوصلت نتائج الدراسة إلى أن الذكاء الاصطناعي التوليدي يمتلك إمكانات تحويلية كبيرة في تحسين الكفاءة التشغيلية لسلاسل التوريد من خلال أتمتة العمليات المعرفية وتوليد حلول إبداعية للمشكلات التشغيلية المعقدة. وأوصت الدراسة بضرورة تطوير إطار قدرات مؤسسية متكامل يدعم التبني الفعال للذكاء الاصطناعي التوليدي في العمليات</w:t>
      </w:r>
      <w:r w:rsidRPr="006B1A48">
        <w:rPr>
          <w:rFonts w:ascii="Simplified Arabic" w:eastAsia="Times New Roman" w:hAnsi="Simplified Arabic" w:cs="Simplified Arabic" w:hint="cs"/>
          <w:kern w:val="0"/>
          <w:sz w:val="28"/>
          <w:szCs w:val="28"/>
          <w14:ligatures w14:val="none"/>
        </w:rPr>
        <w:t>.</w:t>
      </w:r>
    </w:p>
    <w:p w14:paraId="6FA6B7BD" w14:textId="77777777" w:rsidR="00CC6261" w:rsidRPr="00525D76" w:rsidRDefault="00CC6261"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rtl/>
          <w14:ligatures w14:val="none"/>
        </w:rPr>
      </w:pPr>
      <w:bookmarkStart w:id="19" w:name="_Toc226203808"/>
      <w:r w:rsidRPr="00525D76">
        <w:rPr>
          <w:rFonts w:ascii="Simplified Arabic" w:eastAsia="Times New Roman" w:hAnsi="Simplified Arabic" w:cs="Simplified Arabic" w:hint="cs"/>
          <w:b/>
          <w:bCs/>
          <w:kern w:val="36"/>
          <w:sz w:val="28"/>
          <w:szCs w:val="28"/>
          <w:rtl/>
          <w14:ligatures w14:val="none"/>
        </w:rPr>
        <w:t>الفجوة البحثية</w:t>
      </w:r>
      <w:bookmarkEnd w:id="19"/>
    </w:p>
    <w:p w14:paraId="4F5C2BC8" w14:textId="44254179" w:rsidR="001F55EF" w:rsidRPr="00525D76"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20" w:name="_Toc226203809"/>
      <w:bookmarkStart w:id="21" w:name="_Toc169790502"/>
      <w:bookmarkEnd w:id="17"/>
      <w:r w:rsidRPr="00525D76">
        <w:rPr>
          <w:rFonts w:ascii="Simplified Arabic" w:hAnsi="Simplified Arabic" w:cs="Simplified Arabic" w:hint="cs"/>
          <w:sz w:val="28"/>
          <w:szCs w:val="28"/>
          <w:rtl/>
        </w:rPr>
        <w:t>من خلال استعراض الدراسات السابقة العربية والأجنبية ذات الصلة بموضوع الدراسة الحالية، يتضح أن الأدبيات الأكاديمية قد أولت اهتماماً ملحوظاً بموضوعي التخطيط التشغيلي والكفاءة التشغيلية، إلا أن هذا الاهتمام جاء متفرقاً ومتوزعاً على قطاعات متباينة دون أن يتقاطع بشكل مباشر مع صناعة تنظيم الفعاليات في البيئة السعودية، وهو ما يُفرز فجوة بحثية واضحة تسعى الدراسة الحالية إلى سدها. فعلى صعيد الكفاءة التشغيلية، تركزت الدراسات العربية على القطاع المصرفي كدراسة اليونس وكنعان (2020) ودراسة طلال ورزقية (2020) ودراسة الأحمد والرقيبات (2020)، وعلى قطاع التأمين كدراسة عمري (2022)، وعلى القطاع الصناعي والتجاري كدراسة بيلي وداود</w:t>
      </w:r>
      <w:r w:rsidRPr="00525D76">
        <w:rPr>
          <w:rFonts w:ascii="Simplified Arabic" w:hAnsi="Simplified Arabic" w:cs="Simplified Arabic" w:hint="cs"/>
          <w:sz w:val="28"/>
          <w:szCs w:val="28"/>
        </w:rPr>
        <w:t xml:space="preserve"> (2023) </w:t>
      </w:r>
      <w:r w:rsidRPr="00525D76">
        <w:rPr>
          <w:rFonts w:ascii="Simplified Arabic" w:hAnsi="Simplified Arabic" w:cs="Simplified Arabic" w:hint="cs"/>
          <w:sz w:val="28"/>
          <w:szCs w:val="28"/>
          <w:rtl/>
        </w:rPr>
        <w:t xml:space="preserve">ودراسة سليمان (2026)، وعلى قطاع الموانئ كدراسة الديب والسقطي وعبدالحافظ </w:t>
      </w:r>
      <w:r w:rsidRPr="00525D76">
        <w:rPr>
          <w:rFonts w:ascii="Simplified Arabic" w:hAnsi="Simplified Arabic" w:cs="Simplified Arabic" w:hint="cs"/>
          <w:sz w:val="28"/>
          <w:szCs w:val="28"/>
        </w:rPr>
        <w:t>(2025)</w:t>
      </w:r>
      <w:r w:rsidRPr="00525D76">
        <w:rPr>
          <w:rFonts w:ascii="Simplified Arabic" w:hAnsi="Simplified Arabic" w:cs="Simplified Arabic" w:hint="cs"/>
          <w:sz w:val="28"/>
          <w:szCs w:val="28"/>
          <w:rtl/>
        </w:rPr>
        <w:t>، في حين لم تتناول أيٌّ منها الكفاءة التشغيلية في سياق شركات تنظيم الفعاليات. وعلى صعيد التخطيط التشغيلي، تناولت بعض الدراسات تخطيط الموارد المؤسسية في قطاعات السياحة والصحة كدراسة محمد وفرحات</w:t>
      </w:r>
      <w:r w:rsidRPr="00525D76">
        <w:rPr>
          <w:rFonts w:ascii="Simplified Arabic" w:hAnsi="Simplified Arabic" w:cs="Simplified Arabic" w:hint="cs"/>
          <w:sz w:val="28"/>
          <w:szCs w:val="28"/>
        </w:rPr>
        <w:t xml:space="preserve"> (2020) </w:t>
      </w:r>
      <w:r w:rsidRPr="00525D76">
        <w:rPr>
          <w:rFonts w:ascii="Simplified Arabic" w:hAnsi="Simplified Arabic" w:cs="Simplified Arabic" w:hint="cs"/>
          <w:sz w:val="28"/>
          <w:szCs w:val="28"/>
          <w:rtl/>
        </w:rPr>
        <w:t xml:space="preserve">ودراسة السردية واللوزي (2021)، بينما عالجت الدراسات الأجنبية التخطيط التشغيلي للفعاليات من </w:t>
      </w:r>
      <w:r w:rsidRPr="00525D76">
        <w:rPr>
          <w:rFonts w:ascii="Simplified Arabic" w:hAnsi="Simplified Arabic" w:cs="Simplified Arabic" w:hint="cs"/>
          <w:sz w:val="28"/>
          <w:szCs w:val="28"/>
          <w:rtl/>
        </w:rPr>
        <w:lastRenderedPageBreak/>
        <w:t>منظور نظري عام كدراسة</w:t>
      </w:r>
      <w:r w:rsidRPr="00525D76">
        <w:rPr>
          <w:rFonts w:ascii="Simplified Arabic" w:hAnsi="Simplified Arabic" w:cs="Simplified Arabic" w:hint="cs"/>
          <w:sz w:val="28"/>
          <w:szCs w:val="28"/>
        </w:rPr>
        <w:t xml:space="preserve"> Mallen (2024) </w:t>
      </w:r>
      <w:r w:rsidRPr="00525D76">
        <w:rPr>
          <w:rFonts w:ascii="Simplified Arabic" w:hAnsi="Simplified Arabic" w:cs="Simplified Arabic" w:hint="cs"/>
          <w:sz w:val="28"/>
          <w:szCs w:val="28"/>
          <w:rtl/>
        </w:rPr>
        <w:t>ودراسة</w:t>
      </w:r>
      <w:r w:rsidRPr="00525D76">
        <w:rPr>
          <w:rFonts w:ascii="Simplified Arabic" w:hAnsi="Simplified Arabic" w:cs="Simplified Arabic" w:hint="cs"/>
          <w:sz w:val="28"/>
          <w:szCs w:val="28"/>
        </w:rPr>
        <w:t xml:space="preserve"> Greco and Mallen (2024) </w:t>
      </w:r>
      <w:r w:rsidRPr="00525D76">
        <w:rPr>
          <w:rFonts w:ascii="Simplified Arabic" w:hAnsi="Simplified Arabic" w:cs="Simplified Arabic" w:hint="cs"/>
          <w:sz w:val="28"/>
          <w:szCs w:val="28"/>
          <w:rtl/>
        </w:rPr>
        <w:t>ودراسة</w:t>
      </w:r>
      <w:r w:rsidRPr="00525D76">
        <w:rPr>
          <w:rFonts w:ascii="Simplified Arabic" w:hAnsi="Simplified Arabic" w:cs="Simplified Arabic" w:hint="cs"/>
          <w:sz w:val="28"/>
          <w:szCs w:val="28"/>
        </w:rPr>
        <w:t xml:space="preserve"> Iuliia (2026)</w:t>
      </w:r>
      <w:r w:rsidRPr="00525D76">
        <w:rPr>
          <w:rFonts w:ascii="Simplified Arabic" w:hAnsi="Simplified Arabic" w:cs="Simplified Arabic" w:hint="cs"/>
          <w:sz w:val="28"/>
          <w:szCs w:val="28"/>
          <w:rtl/>
        </w:rPr>
        <w:t xml:space="preserve">، دون تقديم أدلة تجريبية ميدانية تربط بين أبعاد التخطيط التشغيلي للفعاليات والكفاءة التشغيلية في بيئة عمل فعلية. وعليه، فإن الفجوة البحثية تتمحور حول غياب دراسة عربية أو أجنبية تناولت بشكل مباشر ومتكامل أثر التخطيط التشغيلي للفعاليات بأبعاده مجتمعة </w:t>
      </w:r>
      <w:r w:rsidRPr="00525D76">
        <w:rPr>
          <w:rFonts w:ascii="Simplified Arabic" w:hAnsi="Simplified Arabic" w:cs="Simplified Arabic" w:hint="cs"/>
          <w:sz w:val="28"/>
          <w:szCs w:val="28"/>
        </w:rPr>
        <w:t>(</w:t>
      </w:r>
      <w:r w:rsidRPr="00525D76">
        <w:rPr>
          <w:rFonts w:ascii="Simplified Arabic" w:hAnsi="Simplified Arabic" w:cs="Simplified Arabic" w:hint="cs"/>
          <w:sz w:val="28"/>
          <w:szCs w:val="28"/>
          <w:rtl/>
        </w:rPr>
        <w:t>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تحديداً، فضلاً عن غياب هذا النوع من الدراسات في البيئة السعودية التي تشهد نمواً استثنائياً في هذا القطاع ضمن مستهدفات رؤية 2030، مما يجعل الدراسة الحالية إسهاماً علمياً أصيلاً يُثري المكتبة العربية ويُقدم أدلة تجريبية ميدانية في مجال بحثي لم يُطرق من قبل</w:t>
      </w:r>
      <w:r w:rsidRPr="00525D76">
        <w:rPr>
          <w:rFonts w:ascii="Simplified Arabic" w:hAnsi="Simplified Arabic" w:cs="Simplified Arabic" w:hint="cs"/>
          <w:sz w:val="28"/>
          <w:szCs w:val="28"/>
        </w:rPr>
        <w:t>.</w:t>
      </w:r>
      <w:r w:rsidR="001F55EF" w:rsidRPr="00525D76">
        <w:rPr>
          <w:rFonts w:ascii="Simplified Arabic" w:eastAsia="Times New Roman" w:hAnsi="Simplified Arabic" w:cs="Simplified Arabic" w:hint="cs"/>
          <w:b/>
          <w:bCs/>
          <w:kern w:val="36"/>
          <w:sz w:val="28"/>
          <w:szCs w:val="28"/>
          <w:rtl/>
          <w14:ligatures w14:val="none"/>
        </w:rPr>
        <w:t>المنطلقات النظرية للدراسة</w:t>
      </w:r>
      <w:bookmarkEnd w:id="20"/>
    </w:p>
    <w:p w14:paraId="7375AFD4" w14:textId="1FE9F424" w:rsidR="006B1A48" w:rsidRPr="00525D76" w:rsidRDefault="00FB3364" w:rsidP="00525D76">
      <w:pPr>
        <w:pStyle w:val="1"/>
        <w:jc w:val="both"/>
        <w:rPr>
          <w:rFonts w:eastAsia="Times New Roman"/>
          <w:kern w:val="36"/>
          <w:sz w:val="28"/>
          <w:szCs w:val="28"/>
          <w14:ligatures w14:val="none"/>
        </w:rPr>
      </w:pPr>
      <w:bookmarkStart w:id="22" w:name="_Toc226141188"/>
      <w:bookmarkStart w:id="23" w:name="_Toc226203810"/>
      <w:r w:rsidRPr="00525D76">
        <w:rPr>
          <w:rFonts w:eastAsia="Times New Roman" w:hint="cs"/>
          <w:kern w:val="0"/>
          <w:sz w:val="28"/>
          <w:szCs w:val="28"/>
          <w:rtl/>
          <w14:ligatures w14:val="none"/>
        </w:rPr>
        <w:t>أولاً</w:t>
      </w:r>
      <w:bookmarkEnd w:id="22"/>
      <w:r w:rsidR="006B1A48" w:rsidRPr="00525D76">
        <w:rPr>
          <w:rFonts w:eastAsia="Times New Roman" w:hint="cs"/>
          <w:kern w:val="36"/>
          <w:sz w:val="28"/>
          <w:szCs w:val="28"/>
          <w:rtl/>
          <w14:ligatures w14:val="none"/>
        </w:rPr>
        <w:t xml:space="preserve"> المنطلقات النظرية للدراسة</w:t>
      </w:r>
      <w:bookmarkEnd w:id="23"/>
    </w:p>
    <w:p w14:paraId="04E752E7"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4" w:name="_Toc226203811"/>
      <w:r w:rsidRPr="006B1A48">
        <w:rPr>
          <w:rFonts w:ascii="Simplified Arabic" w:eastAsia="Times New Roman" w:hAnsi="Simplified Arabic" w:cs="Simplified Arabic" w:hint="cs"/>
          <w:b/>
          <w:bCs/>
          <w:kern w:val="0"/>
          <w:sz w:val="28"/>
          <w:szCs w:val="28"/>
          <w:rtl/>
          <w14:ligatures w14:val="none"/>
        </w:rPr>
        <w:t>أولاً: مفهوم التخطيط التشغيلي للفعاليات</w:t>
      </w:r>
      <w:bookmarkEnd w:id="24"/>
    </w:p>
    <w:p w14:paraId="39641733"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يُعد التخطيط التشغيلي من المفاهيم الإدارية الراسخة التي تطورت جذورها النظرية عبر عقود من البحث في علوم الإدارة والتنظيم، وهو يُمثل الحلقة الوسيطة التي تربط بين التخطيط الاستراتيجي الذي يُحدد التوجهات الكبرى للمنظمة وبين التنفيذ الفعلي للعمليات على أرض الواقع. ويُشير التخطيط التشغيلي في مفهومه العام إلى عملية تحويل الأهداف والخطط الاستراتيجية إلى برامج عمل تفصيلية قابلة للتنفيذ، تتضمن تحديد الموارد المطلوبة والأنشطة الواجب إنجازها والأُطر الزمنية المحددة لكل نشاط والمسؤوليات الموكلة لكل طرف من أطراف العملية التشغيلية (اليوسفي والخفاف، 2020). وعندما يُوظف هذا المفهوم في سياق صناعة الفعاليات تحديداً، فإنه يكتسب أبعاداً خاصة تتصل بطبيعة هذه الصناعة الفريدة التي تتسم بكونها محدودة زمنياً وتتطلب تنسيقاً فورياً بين أطراف متعددة في بيئة ديناميكية لا تحتمل التأجيل أو إعادة التنفيذ، حيث أكد</w:t>
      </w:r>
      <w:r w:rsidRPr="006B1A48">
        <w:rPr>
          <w:rFonts w:ascii="Simplified Arabic" w:eastAsia="Times New Roman" w:hAnsi="Simplified Arabic" w:cs="Simplified Arabic" w:hint="cs"/>
          <w:kern w:val="0"/>
          <w:sz w:val="28"/>
          <w:szCs w:val="28"/>
          <w14:ligatures w14:val="none"/>
        </w:rPr>
        <w:t xml:space="preserve"> Mallen (2024) </w:t>
      </w:r>
      <w:r w:rsidRPr="006B1A48">
        <w:rPr>
          <w:rFonts w:ascii="Simplified Arabic" w:eastAsia="Times New Roman" w:hAnsi="Simplified Arabic" w:cs="Simplified Arabic" w:hint="cs"/>
          <w:kern w:val="0"/>
          <w:sz w:val="28"/>
          <w:szCs w:val="28"/>
          <w:rtl/>
          <w14:ligatures w14:val="none"/>
        </w:rPr>
        <w:t>أن التخطيط التشغيلي للفعاليات يُشكل المرحلة الأكثر تعقيداً في نموذج تخطيط الفعاليات لأنه يتعامل مع متغيرات متشابكة ومتزامنة تتطلب دقة عالية في التنسيق والتنفيذ</w:t>
      </w:r>
      <w:r w:rsidRPr="006B1A48">
        <w:rPr>
          <w:rFonts w:ascii="Simplified Arabic" w:eastAsia="Times New Roman" w:hAnsi="Simplified Arabic" w:cs="Simplified Arabic" w:hint="cs"/>
          <w:kern w:val="0"/>
          <w:sz w:val="28"/>
          <w:szCs w:val="28"/>
          <w14:ligatures w14:val="none"/>
        </w:rPr>
        <w:t>.</w:t>
      </w:r>
    </w:p>
    <w:p w14:paraId="4FDACA9B"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lastRenderedPageBreak/>
        <w:t>وفي إطار هذه الدراسة، يُعرّف التخطيط التشغيلي للفعاليات إجرائياً بأنه مجموعة العمليات والممارسات المنهجية التي تقوم بها شركات تنظيم الفعاليات لتحويل فكرة الفعالية إلى واقع تنفيذي، وذلك من خلال أربعة أبعاد رئيسية تم تحديدها استناداً إلى الأدبيات النظرية والدراسات السابقة ذات الصلة</w:t>
      </w:r>
      <w:r w:rsidRPr="006B1A48">
        <w:rPr>
          <w:rFonts w:ascii="Simplified Arabic" w:eastAsia="Times New Roman" w:hAnsi="Simplified Arabic" w:cs="Simplified Arabic" w:hint="cs"/>
          <w:kern w:val="0"/>
          <w:sz w:val="28"/>
          <w:szCs w:val="28"/>
          <w14:ligatures w14:val="none"/>
        </w:rPr>
        <w:t>.</w:t>
      </w:r>
    </w:p>
    <w:p w14:paraId="179B764D"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5" w:name="_Toc226203812"/>
      <w:r w:rsidRPr="006B1A48">
        <w:rPr>
          <w:rFonts w:ascii="Simplified Arabic" w:eastAsia="Times New Roman" w:hAnsi="Simplified Arabic" w:cs="Simplified Arabic" w:hint="cs"/>
          <w:b/>
          <w:bCs/>
          <w:kern w:val="0"/>
          <w:sz w:val="28"/>
          <w:szCs w:val="28"/>
          <w:rtl/>
          <w14:ligatures w14:val="none"/>
        </w:rPr>
        <w:t>أبعاد التخطيط التشغيلي للفعاليات</w:t>
      </w:r>
      <w:bookmarkEnd w:id="25"/>
    </w:p>
    <w:p w14:paraId="42162138"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البُعد الأول: تخطيط الموارد والميزانيات</w:t>
      </w:r>
      <w:r w:rsidRPr="006B1A48">
        <w:rPr>
          <w:rFonts w:ascii="Simplified Arabic" w:eastAsia="Times New Roman" w:hAnsi="Simplified Arabic" w:cs="Simplified Arabic" w:hint="cs"/>
          <w:kern w:val="0"/>
          <w:sz w:val="28"/>
          <w:szCs w:val="28"/>
          <w:rtl/>
          <w14:ligatures w14:val="none"/>
        </w:rPr>
        <w:t xml:space="preserve">، ويُقصد به العملية المنهجية لتحديد وتقدير وتخصيص جميع الموارد المادية والبشرية والمالية اللازمة لتنفيذ الفعالية وفقاً لمتطلباتها ونطاقها، بما يشمل إعداد الميزانيات التفصيلية ورصد الاعتمادات المالية لكل بند تشغيلي وتوزيع الموارد على مراحل التنفيذ المختلفة. وقد أشارت دراسة محمد وفرحات </w:t>
      </w:r>
      <w:r w:rsidRPr="006B1A48">
        <w:rPr>
          <w:rFonts w:ascii="Simplified Arabic" w:eastAsia="Times New Roman" w:hAnsi="Simplified Arabic" w:cs="Simplified Arabic" w:hint="cs"/>
          <w:kern w:val="0"/>
          <w:sz w:val="28"/>
          <w:szCs w:val="28"/>
          <w14:ligatures w14:val="none"/>
        </w:rPr>
        <w:t xml:space="preserve">(2020) </w:t>
      </w:r>
      <w:r w:rsidRPr="006B1A48">
        <w:rPr>
          <w:rFonts w:ascii="Simplified Arabic" w:eastAsia="Times New Roman" w:hAnsi="Simplified Arabic" w:cs="Simplified Arabic" w:hint="cs"/>
          <w:kern w:val="0"/>
          <w:sz w:val="28"/>
          <w:szCs w:val="28"/>
          <w:rtl/>
          <w14:ligatures w14:val="none"/>
        </w:rPr>
        <w:t>إلى أن فاعلية تخطيط الموارد تُعد من المحددات الأساسية لتميز الأداء التشغيلي في المنظمات الخدمية، وأن المنظمات التي تتبنى أنظمة متكاملة لتخطيط مواردها تُحقق مستويات أعلى من الكفاءة في توظيف إمكاناتها</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كما أكدت دراسة بيلي وداود (2023) أن كفاءة إدارة الموارد وخاصة رأس المال العامل تنعكس بشكل مباشر على الكفاءة التشغيلية للمنظمات</w:t>
      </w:r>
      <w:r w:rsidRPr="006B1A48">
        <w:rPr>
          <w:rFonts w:ascii="Simplified Arabic" w:eastAsia="Times New Roman" w:hAnsi="Simplified Arabic" w:cs="Simplified Arabic" w:hint="cs"/>
          <w:kern w:val="0"/>
          <w:sz w:val="28"/>
          <w:szCs w:val="28"/>
          <w14:ligatures w14:val="none"/>
        </w:rPr>
        <w:t>.</w:t>
      </w:r>
    </w:p>
    <w:p w14:paraId="6605327D"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البُعد الثاني: الجدولة الزمنية وإدارة المهام</w:t>
      </w:r>
      <w:r w:rsidRPr="006B1A48">
        <w:rPr>
          <w:rFonts w:ascii="Simplified Arabic" w:eastAsia="Times New Roman" w:hAnsi="Simplified Arabic" w:cs="Simplified Arabic" w:hint="cs"/>
          <w:kern w:val="0"/>
          <w:sz w:val="28"/>
          <w:szCs w:val="28"/>
          <w:rtl/>
          <w14:ligatures w14:val="none"/>
        </w:rPr>
        <w:t>، ويُشير إلى عملية وضع إطار زمني تفصيلي يحدد مواعيد بدء وانتهاء كل نشاط من أنشطة الفعالية، وتوزيع المهام على الجهات المنفذة مع تحديد أولويات التنفيذ والتسلسل المنطقي للعمليات والمراحل الحرجة التي لا تحتمل التأخير</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وقد أوضح</w:t>
      </w:r>
      <w:r w:rsidRPr="006B1A48">
        <w:rPr>
          <w:rFonts w:ascii="Simplified Arabic" w:eastAsia="Times New Roman" w:hAnsi="Simplified Arabic" w:cs="Simplified Arabic" w:hint="cs"/>
          <w:kern w:val="0"/>
          <w:sz w:val="28"/>
          <w:szCs w:val="28"/>
          <w14:ligatures w14:val="none"/>
        </w:rPr>
        <w:t xml:space="preserve"> Yao et al. (2022) </w:t>
      </w:r>
      <w:r w:rsidRPr="006B1A48">
        <w:rPr>
          <w:rFonts w:ascii="Simplified Arabic" w:eastAsia="Times New Roman" w:hAnsi="Simplified Arabic" w:cs="Simplified Arabic" w:hint="cs"/>
          <w:kern w:val="0"/>
          <w:sz w:val="28"/>
          <w:szCs w:val="28"/>
          <w:rtl/>
          <w14:ligatures w14:val="none"/>
        </w:rPr>
        <w:t>أن التكامل بين تخطيط القدرات وجدولة العمليات يُحقق تحسينات جوهرية في الكفاءة التشغيلية، وأن النمذجة التفصيلية للجداول الزمنية تُقلل من الهدر في الموارد وتُسرّع العمليات. كما أكدت دراسة زغلول وعرفه (2024) أن التكامل بين أنظمة تخطيط الموارد وأنظمة إدارة الأنشطة يُوفر معلومات أكثر دقة تُمكّن من تحسين إدارة الأداء</w:t>
      </w:r>
      <w:r w:rsidRPr="006B1A48">
        <w:rPr>
          <w:rFonts w:ascii="Simplified Arabic" w:eastAsia="Times New Roman" w:hAnsi="Simplified Arabic" w:cs="Simplified Arabic" w:hint="cs"/>
          <w:kern w:val="0"/>
          <w:sz w:val="28"/>
          <w:szCs w:val="28"/>
          <w14:ligatures w14:val="none"/>
        </w:rPr>
        <w:t>.</w:t>
      </w:r>
    </w:p>
    <w:p w14:paraId="706EDAB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البُعد الثالث: إدارة المخاطر التشغيلية</w:t>
      </w:r>
      <w:r w:rsidRPr="006B1A48">
        <w:rPr>
          <w:rFonts w:ascii="Simplified Arabic" w:eastAsia="Times New Roman" w:hAnsi="Simplified Arabic" w:cs="Simplified Arabic" w:hint="cs"/>
          <w:kern w:val="0"/>
          <w:sz w:val="28"/>
          <w:szCs w:val="28"/>
          <w:rtl/>
          <w14:ligatures w14:val="none"/>
        </w:rPr>
        <w:t>، ويُعرّف بأنه العملية الاستباقية لتحديد المخاطر المحتملة التي قد تُهدد سير الفعالية وتقييم احتمالية وقوعها ودرجة تأثيرها، ووضع خطط طوارئ واستراتيجيات استجابة مُسبقة للتعامل مع هذه المخاطر وتقليل آثارها السلبية على العمليات التشغيلية. وقد أشار</w:t>
      </w:r>
      <w:r w:rsidRPr="006B1A48">
        <w:rPr>
          <w:rFonts w:ascii="Simplified Arabic" w:eastAsia="Times New Roman" w:hAnsi="Simplified Arabic" w:cs="Simplified Arabic" w:hint="cs"/>
          <w:kern w:val="0"/>
          <w:sz w:val="28"/>
          <w:szCs w:val="28"/>
          <w14:ligatures w14:val="none"/>
        </w:rPr>
        <w:t xml:space="preserve"> Greco and Mallen (2024) </w:t>
      </w:r>
      <w:r w:rsidRPr="006B1A48">
        <w:rPr>
          <w:rFonts w:ascii="Simplified Arabic" w:eastAsia="Times New Roman" w:hAnsi="Simplified Arabic" w:cs="Simplified Arabic" w:hint="cs"/>
          <w:kern w:val="0"/>
          <w:sz w:val="28"/>
          <w:szCs w:val="28"/>
          <w:rtl/>
          <w14:ligatures w14:val="none"/>
        </w:rPr>
        <w:t xml:space="preserve">إلى أن إدارة القضايا والمخاطر التشغيلية بشكل استباقي تُعد عنصراً حاسماً في نجاح التخطيط التشغيلي للفعاليات، وأن الفعاليات التي تفتقر إلى خطط واضحة لإدارة المخاطر تكون أكثر </w:t>
      </w:r>
      <w:r w:rsidRPr="006B1A48">
        <w:rPr>
          <w:rFonts w:ascii="Simplified Arabic" w:eastAsia="Times New Roman" w:hAnsi="Simplified Arabic" w:cs="Simplified Arabic" w:hint="cs"/>
          <w:kern w:val="0"/>
          <w:sz w:val="28"/>
          <w:szCs w:val="28"/>
          <w:rtl/>
          <w14:ligatures w14:val="none"/>
        </w:rPr>
        <w:lastRenderedPageBreak/>
        <w:t>عرضة للفشل أو التراجع النوعي. كما أوضحت دراسة اليونس وكنعان (2020) أن المخاطر التشغيلية تؤثر بشكل جوهري على مستوى الكفاءة التشغيلية للمنظمات على المديين القصير والطويل</w:t>
      </w:r>
      <w:r w:rsidRPr="006B1A48">
        <w:rPr>
          <w:rFonts w:ascii="Simplified Arabic" w:eastAsia="Times New Roman" w:hAnsi="Simplified Arabic" w:cs="Simplified Arabic" w:hint="cs"/>
          <w:kern w:val="0"/>
          <w:sz w:val="28"/>
          <w:szCs w:val="28"/>
          <w14:ligatures w14:val="none"/>
        </w:rPr>
        <w:t>.</w:t>
      </w:r>
    </w:p>
    <w:p w14:paraId="67CABC75"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البُعد الرابع: تنسيق فرق العمل والموردين</w:t>
      </w:r>
      <w:r w:rsidRPr="006B1A48">
        <w:rPr>
          <w:rFonts w:ascii="Simplified Arabic" w:eastAsia="Times New Roman" w:hAnsi="Simplified Arabic" w:cs="Simplified Arabic" w:hint="cs"/>
          <w:kern w:val="0"/>
          <w:sz w:val="28"/>
          <w:szCs w:val="28"/>
          <w:rtl/>
          <w14:ligatures w14:val="none"/>
        </w:rPr>
        <w:t>، ويُقصد به مجموعة الآليات والممارسات التي تضمن التواصل الفعّال والتكامل المنسق بين فرق العمل الداخلية والموردين والمقاولين والشركاء الخارجيين المشاركين في تنفيذ الفعالية، بما يشمل تحديد قنوات الاتصال وتوزيع الأدوار والصلاحيات وآليات المتابعة والرقابة. وقد أكدت دراسة</w:t>
      </w:r>
      <w:r w:rsidRPr="006B1A48">
        <w:rPr>
          <w:rFonts w:ascii="Simplified Arabic" w:eastAsia="Times New Roman" w:hAnsi="Simplified Arabic" w:cs="Simplified Arabic" w:hint="cs"/>
          <w:kern w:val="0"/>
          <w:sz w:val="28"/>
          <w:szCs w:val="28"/>
          <w14:ligatures w14:val="none"/>
        </w:rPr>
        <w:t xml:space="preserve"> Helo and Hao (2022) </w:t>
      </w:r>
      <w:r w:rsidRPr="006B1A48">
        <w:rPr>
          <w:rFonts w:ascii="Simplified Arabic" w:eastAsia="Times New Roman" w:hAnsi="Simplified Arabic" w:cs="Simplified Arabic" w:hint="cs"/>
          <w:kern w:val="0"/>
          <w:sz w:val="28"/>
          <w:szCs w:val="28"/>
          <w:rtl/>
          <w14:ligatures w14:val="none"/>
        </w:rPr>
        <w:t>أن كفاءة التنسيق بين أطراف سلسلة العمليات تُسهم بشكل فاعل في تحسين الأداء التشغيلي الشامل، وأن تبني أدوات ذكية لتسهيل التنسيق يرفع من سرعة الاستجابة وجودة التنفيذ. كما أوضحت دراسة السردية واللوزي (2021) أن تكامل الأنظمة وتنسيق العمليات بين الأطراف المختلفة ينعكس إيجاباً على الأداء التشغيلي للمنظمات</w:t>
      </w:r>
      <w:r w:rsidRPr="006B1A48">
        <w:rPr>
          <w:rFonts w:ascii="Simplified Arabic" w:eastAsia="Times New Roman" w:hAnsi="Simplified Arabic" w:cs="Simplified Arabic" w:hint="cs"/>
          <w:kern w:val="0"/>
          <w:sz w:val="28"/>
          <w:szCs w:val="28"/>
          <w14:ligatures w14:val="none"/>
        </w:rPr>
        <w:t>.</w:t>
      </w:r>
    </w:p>
    <w:p w14:paraId="67ACC412"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6" w:name="_Toc226203813"/>
      <w:r w:rsidRPr="006B1A48">
        <w:rPr>
          <w:rFonts w:ascii="Simplified Arabic" w:eastAsia="Times New Roman" w:hAnsi="Simplified Arabic" w:cs="Simplified Arabic" w:hint="cs"/>
          <w:b/>
          <w:bCs/>
          <w:kern w:val="0"/>
          <w:sz w:val="28"/>
          <w:szCs w:val="28"/>
          <w:rtl/>
          <w14:ligatures w14:val="none"/>
        </w:rPr>
        <w:t>ثانياً: مفهوم الكفاءة التشغيلية</w:t>
      </w:r>
      <w:bookmarkEnd w:id="26"/>
    </w:p>
    <w:p w14:paraId="69EAD222"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تُعد الكفاءة التشغيلية من المفاهيم المحورية في الفكر الإداري المعاصر، وتُعبّر عن قدرة المنظمة على تحقيق أقصى قدر ممكن من المخرجات بأقل قدر من المدخلات والموارد المستهلكة، أو بمعنى آخر قدرتها على تنفيذ عملياتها الداخلية بأعلى مستويات الجودة والسرعة وأدنى مستويات التكلفة والهدر. وقد عرّفتها دراسة طلال ورزقية (2020) بأنها النسبة بين التكاليف التشغيلية والإيرادات التشغيلية التي تعكس مدى تحكم المنظمة في تكاليفها وقدرتها على إدارة عملياتها بفاعلية. كما أشارت دراسة الأحمد والرقيبات (2020) إلى أن الكفاءة التشغيلية تتأثر بمجموعة من المحددات تشمل جودة الأصول والربحية وإدارة المخاطر، مما يؤكد طبيعتها المتعددة الأبعاد. وفي سياق صناعة الفعاليات، تتجلى الكفاءة التشغيلية في قدرة شركة التنظيم على تنفيذ الفعالية وفقاً للمواصفات المتفق عليها ضمن الميزانية المحددة والإطار الزمني المرسوم، مع تحقيق أعلى مستويات رضا العملاء والاستغلال الأمثل للموارد المتاحة وتقليل الفاقد والأخطاء التشغيلية</w:t>
      </w:r>
      <w:r w:rsidRPr="006B1A48">
        <w:rPr>
          <w:rFonts w:ascii="Simplified Arabic" w:eastAsia="Times New Roman" w:hAnsi="Simplified Arabic" w:cs="Simplified Arabic" w:hint="cs"/>
          <w:kern w:val="0"/>
          <w:sz w:val="28"/>
          <w:szCs w:val="28"/>
          <w14:ligatures w14:val="none"/>
        </w:rPr>
        <w:t xml:space="preserve"> (Iuliia, 2026).</w:t>
      </w:r>
    </w:p>
    <w:p w14:paraId="708C5C42"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 xml:space="preserve">وتُعرّف الكفاءة التشغيلية إجرائياً في هذه الدراسة بأنها الدرجة التي تُحققها شركات تنظيم الفعاليات في المملكة العربية السعودية في تنفيذ عملياتها التشغيلية بأعلى جودة ممكنة وأقل تكلفة وزمن، من حيث جودة تنفيذ الفعاليات، وسرعة الإنجاز والالتزام بالجداول الزمنية، والتحكم في التكاليف التشغيلية، والاستغلال الأمثل للموارد المادية والبشرية، وتحقيق رضا العملاء. وقد أكدت دراسة عمري (2022) أن </w:t>
      </w:r>
      <w:r w:rsidRPr="006B1A48">
        <w:rPr>
          <w:rFonts w:ascii="Simplified Arabic" w:eastAsia="Times New Roman" w:hAnsi="Simplified Arabic" w:cs="Simplified Arabic" w:hint="cs"/>
          <w:kern w:val="0"/>
          <w:sz w:val="28"/>
          <w:szCs w:val="28"/>
          <w:rtl/>
          <w14:ligatures w14:val="none"/>
        </w:rPr>
        <w:lastRenderedPageBreak/>
        <w:t>رأس المال البشري بمكوناته يؤثر تأثيراً جوهرياً في مستوى الكفاءة التشغيلية، كما أوضحت دراسة سليمان (2026) أن الكفاءة التشغيلية تلعب دوراً معدلاً محورياً في تعزيز أداء المنظمات وربحيتها، مما يُبرز أهميتها الاستراتيجية كمؤشر حاكم لنجاح المنظمات واستدامتها</w:t>
      </w:r>
      <w:r w:rsidRPr="006B1A48">
        <w:rPr>
          <w:rFonts w:ascii="Simplified Arabic" w:eastAsia="Times New Roman" w:hAnsi="Simplified Arabic" w:cs="Simplified Arabic" w:hint="cs"/>
          <w:kern w:val="0"/>
          <w:sz w:val="28"/>
          <w:szCs w:val="28"/>
          <w14:ligatures w14:val="none"/>
        </w:rPr>
        <w:t>.</w:t>
      </w:r>
    </w:p>
    <w:p w14:paraId="53BC3E1F" w14:textId="77777777" w:rsidR="006B1A48" w:rsidRPr="006B1A48" w:rsidRDefault="006B1A48" w:rsidP="00525D76">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7" w:name="_Toc226203814"/>
      <w:r w:rsidRPr="006B1A48">
        <w:rPr>
          <w:rFonts w:ascii="Simplified Arabic" w:eastAsia="Times New Roman" w:hAnsi="Simplified Arabic" w:cs="Simplified Arabic" w:hint="cs"/>
          <w:b/>
          <w:bCs/>
          <w:kern w:val="0"/>
          <w:sz w:val="28"/>
          <w:szCs w:val="28"/>
          <w:rtl/>
          <w14:ligatures w14:val="none"/>
        </w:rPr>
        <w:t>ثالثاً: العلاقة النظرية بين التخطيط التشغيلي للفعاليات والكفاءة التشغيلية</w:t>
      </w:r>
      <w:bookmarkEnd w:id="27"/>
    </w:p>
    <w:p w14:paraId="77A805B2"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 xml:space="preserve">تستند العلاقة بين التخطيط التشغيلي والكفاءة التشغيلية إلى عدة نظريات إدارية راسخة، أبرزها نظرية الموارد </w:t>
      </w:r>
      <w:r w:rsidRPr="006B1A48">
        <w:rPr>
          <w:rFonts w:ascii="Simplified Arabic" w:eastAsia="Times New Roman" w:hAnsi="Simplified Arabic" w:cs="Simplified Arabic" w:hint="cs"/>
          <w:kern w:val="0"/>
          <w:sz w:val="28"/>
          <w:szCs w:val="28"/>
          <w14:ligatures w14:val="none"/>
        </w:rPr>
        <w:t xml:space="preserve">(Resource-Based View) </w:t>
      </w:r>
      <w:r w:rsidRPr="006B1A48">
        <w:rPr>
          <w:rFonts w:ascii="Simplified Arabic" w:eastAsia="Times New Roman" w:hAnsi="Simplified Arabic" w:cs="Simplified Arabic" w:hint="cs"/>
          <w:kern w:val="0"/>
          <w:sz w:val="28"/>
          <w:szCs w:val="28"/>
          <w:rtl/>
          <w14:ligatures w14:val="none"/>
        </w:rPr>
        <w:t>التي ترى أن قدرة المنظمة على تنظيم مواردها وتوظيفها بكفاءة من خلال التخطيط المحكم يُمثل مصدراً رئيسياً للميزة التنافسية، ونظرية الطوارئ</w:t>
      </w:r>
      <w:r w:rsidRPr="006B1A48">
        <w:rPr>
          <w:rFonts w:ascii="Simplified Arabic" w:eastAsia="Times New Roman" w:hAnsi="Simplified Arabic" w:cs="Simplified Arabic" w:hint="cs"/>
          <w:kern w:val="0"/>
          <w:sz w:val="28"/>
          <w:szCs w:val="28"/>
          <w14:ligatures w14:val="none"/>
        </w:rPr>
        <w:t xml:space="preserve"> (Contingency Theory) </w:t>
      </w:r>
      <w:r w:rsidRPr="006B1A48">
        <w:rPr>
          <w:rFonts w:ascii="Simplified Arabic" w:eastAsia="Times New Roman" w:hAnsi="Simplified Arabic" w:cs="Simplified Arabic" w:hint="cs"/>
          <w:kern w:val="0"/>
          <w:sz w:val="28"/>
          <w:szCs w:val="28"/>
          <w:rtl/>
          <w14:ligatures w14:val="none"/>
        </w:rPr>
        <w:t>التي تؤكد أن فاعلية التخطيط ترتبط بقدرة المنظمة على التكيف مع المتغيرات البيئية من خلال خطط مرنة واستباقية. وقد أكدت دراسة</w:t>
      </w:r>
      <w:r w:rsidRPr="006B1A48">
        <w:rPr>
          <w:rFonts w:ascii="Simplified Arabic" w:eastAsia="Times New Roman" w:hAnsi="Simplified Arabic" w:cs="Simplified Arabic" w:hint="cs"/>
          <w:kern w:val="0"/>
          <w:sz w:val="28"/>
          <w:szCs w:val="28"/>
          <w14:ligatures w14:val="none"/>
        </w:rPr>
        <w:t xml:space="preserve"> Fantozzi et al. (2025) </w:t>
      </w:r>
      <w:r w:rsidRPr="006B1A48">
        <w:rPr>
          <w:rFonts w:ascii="Simplified Arabic" w:eastAsia="Times New Roman" w:hAnsi="Simplified Arabic" w:cs="Simplified Arabic" w:hint="cs"/>
          <w:kern w:val="0"/>
          <w:sz w:val="28"/>
          <w:szCs w:val="28"/>
          <w:rtl/>
          <w14:ligatures w14:val="none"/>
        </w:rPr>
        <w:t>أن التخطيط المُسبق المدعوم بأدوات المحاكاة والنمذجة يُمكّن المنظمات من تحسين عملياتها وتقليل تكاليفها قبل التنفيذ الفعلي، كما أشارت دراسة</w:t>
      </w:r>
      <w:r w:rsidRPr="006B1A48">
        <w:rPr>
          <w:rFonts w:ascii="Simplified Arabic" w:eastAsia="Times New Roman" w:hAnsi="Simplified Arabic" w:cs="Simplified Arabic" w:hint="cs"/>
          <w:kern w:val="0"/>
          <w:sz w:val="28"/>
          <w:szCs w:val="28"/>
          <w14:ligatures w14:val="none"/>
        </w:rPr>
        <w:t xml:space="preserve"> Jackson et al. (2024) </w:t>
      </w:r>
      <w:r w:rsidRPr="006B1A48">
        <w:rPr>
          <w:rFonts w:ascii="Simplified Arabic" w:eastAsia="Times New Roman" w:hAnsi="Simplified Arabic" w:cs="Simplified Arabic" w:hint="cs"/>
          <w:kern w:val="0"/>
          <w:sz w:val="28"/>
          <w:szCs w:val="28"/>
          <w:rtl/>
          <w14:ligatures w14:val="none"/>
        </w:rPr>
        <w:t>إلى أن تبني أُطر تخطيطية متكاملة قائمة على القدرات يُعزز الكفاءة التشغيلية ويُمكّن المنظمات من مواجهة التعقيدات التشغيلية بفاعلية أكبر</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وفي السياق ذاته، أوضحت دراسة الديب والسقطي وعبدالحافظ (2025) أن المنظمات التي تتبنى ممارسات تخطيطية وتشغيلية متقدمة تُحقق مستويات أعلى من الكفاءة التشغيلية مقارنة بنظيراتها، كما أشارت دراسة</w:t>
      </w:r>
      <w:r w:rsidRPr="006B1A48">
        <w:rPr>
          <w:rFonts w:ascii="Simplified Arabic" w:eastAsia="Times New Roman" w:hAnsi="Simplified Arabic" w:cs="Simplified Arabic" w:hint="cs"/>
          <w:kern w:val="0"/>
          <w:sz w:val="28"/>
          <w:szCs w:val="28"/>
          <w14:ligatures w14:val="none"/>
        </w:rPr>
        <w:t xml:space="preserve"> Li, Li and Sethi (2021) </w:t>
      </w:r>
      <w:r w:rsidRPr="006B1A48">
        <w:rPr>
          <w:rFonts w:ascii="Simplified Arabic" w:eastAsia="Times New Roman" w:hAnsi="Simplified Arabic" w:cs="Simplified Arabic" w:hint="cs"/>
          <w:kern w:val="0"/>
          <w:sz w:val="28"/>
          <w:szCs w:val="28"/>
          <w:rtl/>
          <w14:ligatures w14:val="none"/>
        </w:rPr>
        <w:t>إلى أن الكفاءة التشغيلية تتعزز من خلال تبني ممارسات إدارية منظمة تُحسّن من كفاءة استخدام الموارد وتُقلل من المخاطر التشغيلية. وتنطلق هذه الدراسة من هذه المنطلقات النظرية لاختبار أثر أبعاد التخطيط التشغيلي للفعاليات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2E715580" w14:textId="0E6BB174" w:rsidR="00D22171" w:rsidRPr="00525D76" w:rsidRDefault="00304304" w:rsidP="00525D76">
      <w:pPr>
        <w:pStyle w:val="1"/>
        <w:jc w:val="both"/>
        <w:rPr>
          <w:sz w:val="28"/>
          <w:szCs w:val="28"/>
          <w:rtl/>
        </w:rPr>
      </w:pPr>
      <w:bookmarkStart w:id="28" w:name="_Toc226203815"/>
      <w:r w:rsidRPr="00525D76">
        <w:rPr>
          <w:rFonts w:hint="cs"/>
          <w:sz w:val="28"/>
          <w:szCs w:val="28"/>
          <w:rtl/>
        </w:rPr>
        <w:t>ا</w:t>
      </w:r>
      <w:r w:rsidR="00D22171" w:rsidRPr="00525D76">
        <w:rPr>
          <w:rFonts w:hint="cs"/>
          <w:sz w:val="28"/>
          <w:szCs w:val="28"/>
          <w:rtl/>
        </w:rPr>
        <w:t>لمنهجية وطرق البحث</w:t>
      </w:r>
      <w:r w:rsidR="00A74F76" w:rsidRPr="00525D76">
        <w:rPr>
          <w:rFonts w:hint="cs"/>
          <w:sz w:val="28"/>
          <w:szCs w:val="28"/>
          <w:rtl/>
        </w:rPr>
        <w:t>:</w:t>
      </w:r>
      <w:bookmarkEnd w:id="21"/>
      <w:bookmarkEnd w:id="28"/>
    </w:p>
    <w:p w14:paraId="4F38BC6A"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29" w:name="_Toc169790506"/>
      <w:r w:rsidRPr="006B1A48">
        <w:rPr>
          <w:rFonts w:ascii="Simplified Arabic" w:eastAsia="Times New Roman" w:hAnsi="Simplified Arabic" w:cs="Simplified Arabic" w:hint="cs"/>
          <w:kern w:val="0"/>
          <w:sz w:val="28"/>
          <w:szCs w:val="28"/>
          <w:rtl/>
          <w14:ligatures w14:val="none"/>
        </w:rPr>
        <w:t xml:space="preserve">سوف تعتمد هذه الدراسة على المنهج الوصفي التحليلي باعتباره المنهج الأكثر ملاءمة لطبيعة الدراسة وأهدافها، حيث يُمكّن هذا المنهج من وصف الظاهرة محل الدراسة وصفاً دقيقاً وتحليل العلاقات بين متغيراتها تحليلاً كمياً، وذلك من خلال جمع البيانات والمعلومات من الواقع الفعلي لشركات تنظيم </w:t>
      </w:r>
      <w:r w:rsidRPr="006B1A48">
        <w:rPr>
          <w:rFonts w:ascii="Simplified Arabic" w:eastAsia="Times New Roman" w:hAnsi="Simplified Arabic" w:cs="Simplified Arabic" w:hint="cs"/>
          <w:kern w:val="0"/>
          <w:sz w:val="28"/>
          <w:szCs w:val="28"/>
          <w:rtl/>
          <w14:ligatures w14:val="none"/>
        </w:rPr>
        <w:lastRenderedPageBreak/>
        <w:t>الفعاليات في المملكة العربية السعودية، وتحليلها إحصائياً للوصول إلى نتائج علمية موثوقة تُمكّن من اختبار فروض الدراسة والإجابة عن أسئلتها</w:t>
      </w:r>
      <w:r w:rsidRPr="006B1A48">
        <w:rPr>
          <w:rFonts w:ascii="Simplified Arabic" w:eastAsia="Times New Roman" w:hAnsi="Simplified Arabic" w:cs="Simplified Arabic" w:hint="cs"/>
          <w:kern w:val="0"/>
          <w:sz w:val="28"/>
          <w:szCs w:val="28"/>
          <w14:ligatures w14:val="none"/>
        </w:rPr>
        <w:t>.</w:t>
      </w:r>
    </w:p>
    <w:p w14:paraId="4EA10DAB"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كما ستستند الدراسة إلى شقين رئيسيين في منهجيتها: الشق النظري الذي سيتناول مراجعة الأدبيات والدراسات السابقة العربية والأجنبية المتعلقة بالتخطيط التشغيلي للفعاليات والكفاءة التشغيلية لبناء الإطار النظري للدراسة، والشق التطبيقي (الميداني) الذي سيعتمد على تصميم استبانة محكمة وتوزيعها على عينة الدراسة لجمع البيانات الأولية وتحليلها باستخدام الأساليب الإحصائية المناسبة، بما يُمكّن من قياس أثر التخطيط التشغيلي للفعاليات بأبعاده الأربعة على الكفاءة التشغيلية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025C2DFE" w14:textId="77777777" w:rsidR="006B1A48" w:rsidRPr="006B1A48"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0" w:name="_Toc226203816"/>
      <w:r w:rsidRPr="006B1A48">
        <w:rPr>
          <w:rFonts w:ascii="Simplified Arabic" w:eastAsia="Times New Roman" w:hAnsi="Simplified Arabic" w:cs="Simplified Arabic" w:hint="cs"/>
          <w:b/>
          <w:bCs/>
          <w:kern w:val="36"/>
          <w:sz w:val="28"/>
          <w:szCs w:val="28"/>
          <w:rtl/>
          <w14:ligatures w14:val="none"/>
        </w:rPr>
        <w:t>مجتمع وعينة الدراسة</w:t>
      </w:r>
      <w:bookmarkEnd w:id="30"/>
    </w:p>
    <w:p w14:paraId="255D2BBD"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سيتكون مجتمع الدراسة من جميع العاملين في شركات تنظيم الفعاليات المرخصة في المملكة العربية السعودية، والتي يبلغ عددها وفقاً لبيانات وزارة التجارة وهيئة الترفيه ما يقارب (850) شركة تعمل في مجال تنظيم الفعاليات والمؤتمرات والمعارض والحفلات والأنشطة الترفيهية والثقافية، وتتركز غالبيتها في المدن الرئيسية الثلاث: الرياض وجدة والدمام. ويشمل مجتمع الدراسة المديرين التنفيذيين، ومديري العمليات، ومديري المشاريع، ومنسقي الفعاليات، والمشرفين التشغيليين، وذلك باعتبارهم الأكثر اطلاعاً وإلماماً بممارسات التخطيط التشغيلي والكفاءة التشغيلية في شركاتهم</w:t>
      </w:r>
      <w:r w:rsidRPr="006B1A48">
        <w:rPr>
          <w:rFonts w:ascii="Simplified Arabic" w:eastAsia="Times New Roman" w:hAnsi="Simplified Arabic" w:cs="Simplified Arabic" w:hint="cs"/>
          <w:kern w:val="0"/>
          <w:sz w:val="28"/>
          <w:szCs w:val="28"/>
          <w14:ligatures w14:val="none"/>
        </w:rPr>
        <w:t>.</w:t>
      </w:r>
    </w:p>
    <w:p w14:paraId="0263A990"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وسيتم اختيار عينة الدراسة بأسلوب العينة العشوائية الطبقية لضمان تمثيل متوازن لشركات تنظيم الفعاليات وفقاً لحجمها وموقعها الجغرافي، حيث سيُستهدف ما لا يقل عن (384) مفردة وفقاً لمعادلة تحديد حجم العينة عند مستوى ثقة (95%) وهامش خطأ (5%)، وسيتم التواصل مع أفراد العينة من خلال الاستبانة الإلكترونية المصممة عبر منصات الاستبيانات الرقمية، مع الحرص على توزيع العينة بشكل يشمل المدن الرئيسية الثلاث وفئات الشركات المختلفة (صغيرة ومتوسطة وكبيرة) لتحقيق أعلى درجات التمثيل والموثوقية في النتائج</w:t>
      </w:r>
      <w:r w:rsidRPr="006B1A48">
        <w:rPr>
          <w:rFonts w:ascii="Simplified Arabic" w:eastAsia="Times New Roman" w:hAnsi="Simplified Arabic" w:cs="Simplified Arabic" w:hint="cs"/>
          <w:kern w:val="0"/>
          <w:sz w:val="28"/>
          <w:szCs w:val="28"/>
          <w14:ligatures w14:val="none"/>
        </w:rPr>
        <w:t>.</w:t>
      </w:r>
    </w:p>
    <w:p w14:paraId="18C5EC35" w14:textId="77777777" w:rsidR="006B1A48" w:rsidRPr="006B1A48"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1" w:name="_Toc226203817"/>
      <w:r w:rsidRPr="006B1A48">
        <w:rPr>
          <w:rFonts w:ascii="Simplified Arabic" w:eastAsia="Times New Roman" w:hAnsi="Simplified Arabic" w:cs="Simplified Arabic" w:hint="cs"/>
          <w:b/>
          <w:bCs/>
          <w:kern w:val="36"/>
          <w:sz w:val="28"/>
          <w:szCs w:val="28"/>
          <w:rtl/>
          <w14:ligatures w14:val="none"/>
        </w:rPr>
        <w:t>مصادر جمع البيانات</w:t>
      </w:r>
      <w:bookmarkEnd w:id="31"/>
    </w:p>
    <w:p w14:paraId="7C035CA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ستعتمد الدراسة على مصدرين رئيسيين لجمع البيانات</w:t>
      </w:r>
      <w:r w:rsidRPr="006B1A48">
        <w:rPr>
          <w:rFonts w:ascii="Simplified Arabic" w:eastAsia="Times New Roman" w:hAnsi="Simplified Arabic" w:cs="Simplified Arabic" w:hint="cs"/>
          <w:kern w:val="0"/>
          <w:sz w:val="28"/>
          <w:szCs w:val="28"/>
          <w14:ligatures w14:val="none"/>
        </w:rPr>
        <w:t>:</w:t>
      </w:r>
    </w:p>
    <w:p w14:paraId="28077E97" w14:textId="77777777" w:rsidR="006B1A48" w:rsidRPr="006B1A48" w:rsidRDefault="006B1A48">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lastRenderedPageBreak/>
        <w:t>المصادر الثانوية</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وتشمل الكتب والمراجع العلمية، والدوريات والمجلات المحكمة، والرسائل الجامعية (ماجستير ودكتوراه)، والتقارير والمنشورات الرسمية، وقواعد البيانات الإلكترونية العربية والأجنبية، وذلك لبناء الإطار النظري للدراسة ومراجعة الدراسات السابقة ذات الصلة بمتغيرات الدراسة</w:t>
      </w:r>
      <w:r w:rsidRPr="006B1A48">
        <w:rPr>
          <w:rFonts w:ascii="Simplified Arabic" w:eastAsia="Times New Roman" w:hAnsi="Simplified Arabic" w:cs="Simplified Arabic" w:hint="cs"/>
          <w:kern w:val="0"/>
          <w:sz w:val="28"/>
          <w:szCs w:val="28"/>
          <w14:ligatures w14:val="none"/>
        </w:rPr>
        <w:t>.</w:t>
      </w:r>
    </w:p>
    <w:p w14:paraId="4290389A" w14:textId="77777777" w:rsidR="006B1A48" w:rsidRPr="006B1A48" w:rsidRDefault="006B1A48">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المصادر الأولية</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وتتمثل في البيانات التي سيتم جمعها ميدانياً من خلال أداة الاستبانة المصممة خصيصاً لأغراض هذه الدراسة، والتي ستُوزع على أفراد عينة الدراسة من العاملين في شركات تنظيم الفعاليات في المملكة العربية السعودية</w:t>
      </w:r>
      <w:r w:rsidRPr="006B1A48">
        <w:rPr>
          <w:rFonts w:ascii="Simplified Arabic" w:eastAsia="Times New Roman" w:hAnsi="Simplified Arabic" w:cs="Simplified Arabic" w:hint="cs"/>
          <w:kern w:val="0"/>
          <w:sz w:val="28"/>
          <w:szCs w:val="28"/>
          <w14:ligatures w14:val="none"/>
        </w:rPr>
        <w:t>.</w:t>
      </w:r>
    </w:p>
    <w:p w14:paraId="51F41670" w14:textId="77777777" w:rsidR="006B1A48" w:rsidRPr="006B1A48"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2" w:name="_Toc226203818"/>
      <w:r w:rsidRPr="006B1A48">
        <w:rPr>
          <w:rFonts w:ascii="Simplified Arabic" w:eastAsia="Times New Roman" w:hAnsi="Simplified Arabic" w:cs="Simplified Arabic" w:hint="cs"/>
          <w:b/>
          <w:bCs/>
          <w:kern w:val="36"/>
          <w:sz w:val="28"/>
          <w:szCs w:val="28"/>
          <w:rtl/>
          <w14:ligatures w14:val="none"/>
        </w:rPr>
        <w:t>أداة الدراسة</w:t>
      </w:r>
      <w:bookmarkEnd w:id="32"/>
    </w:p>
    <w:p w14:paraId="1C0DB92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ستعتمد الدراسة على الاستبانة كأداة رئيسية لجمع البيانات الأولية، وسيتم تصميمها وفقاً لمقياس ليكرت الخماسي (موافق بشدة، موافق، محايد، غير موافق، غير موافق بشدة)، وستتكون الاستبانة من ثلاثة أقسام رئيسية على النحو التالي</w:t>
      </w:r>
      <w:r w:rsidRPr="006B1A48">
        <w:rPr>
          <w:rFonts w:ascii="Simplified Arabic" w:eastAsia="Times New Roman" w:hAnsi="Simplified Arabic" w:cs="Simplified Arabic" w:hint="cs"/>
          <w:kern w:val="0"/>
          <w:sz w:val="28"/>
          <w:szCs w:val="28"/>
          <w14:ligatures w14:val="none"/>
        </w:rPr>
        <w:t>:</w:t>
      </w:r>
    </w:p>
    <w:p w14:paraId="5585E22A"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القسم الأول: البيانات الديموغرافية والوظيفية</w:t>
      </w:r>
      <w:r w:rsidRPr="006B1A48">
        <w:rPr>
          <w:rFonts w:ascii="Simplified Arabic" w:eastAsia="Times New Roman" w:hAnsi="Simplified Arabic" w:cs="Simplified Arabic" w:hint="cs"/>
          <w:kern w:val="0"/>
          <w:sz w:val="28"/>
          <w:szCs w:val="28"/>
          <w:rtl/>
          <w14:ligatures w14:val="none"/>
        </w:rPr>
        <w:t>، ويشمل معلومات عن الجنس، والمؤهل العلمي، وسنوات الخبرة، وحجم الشركة</w:t>
      </w:r>
      <w:r w:rsidRPr="006B1A48">
        <w:rPr>
          <w:rFonts w:ascii="Simplified Arabic" w:eastAsia="Times New Roman" w:hAnsi="Simplified Arabic" w:cs="Simplified Arabic" w:hint="cs"/>
          <w:kern w:val="0"/>
          <w:sz w:val="28"/>
          <w:szCs w:val="28"/>
          <w14:ligatures w14:val="none"/>
        </w:rPr>
        <w:t>.</w:t>
      </w:r>
    </w:p>
    <w:p w14:paraId="0C4257E7"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القسم الثاني: المتغير المستقل (التخطيط التشغيلي للفعاليات)</w:t>
      </w:r>
      <w:r w:rsidRPr="006B1A48">
        <w:rPr>
          <w:rFonts w:ascii="Simplified Arabic" w:eastAsia="Times New Roman" w:hAnsi="Simplified Arabic" w:cs="Simplified Arabic" w:hint="cs"/>
          <w:kern w:val="0"/>
          <w:sz w:val="28"/>
          <w:szCs w:val="28"/>
          <w:rtl/>
          <w14:ligatures w14:val="none"/>
        </w:rPr>
        <w:t>، ويتكون من (4) أبعاد تضم (16) فقرة موزعة كالتالي</w:t>
      </w:r>
      <w:r w:rsidRPr="006B1A48">
        <w:rPr>
          <w:rFonts w:ascii="Simplified Arabic" w:eastAsia="Times New Roman" w:hAnsi="Simplified Arabic" w:cs="Simplified Arabic" w:hint="cs"/>
          <w:kern w:val="0"/>
          <w:sz w:val="28"/>
          <w:szCs w:val="28"/>
          <w14:ligatures w14:val="none"/>
        </w:rPr>
        <w:t>:</w:t>
      </w:r>
    </w:p>
    <w:p w14:paraId="6832E8F2" w14:textId="77777777" w:rsidR="006B1A48" w:rsidRPr="006B1A48" w:rsidRDefault="006B1A48">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البُعد الأول: تخطيط الموارد والميزانيات</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ويتكون من (4) فقرات تقيس مستوى ممارسة تخطيط الموارد المادية والبشرية والمالية اللازمة لتنفيذ الفعاليات</w:t>
      </w:r>
      <w:r w:rsidRPr="006B1A48">
        <w:rPr>
          <w:rFonts w:ascii="Simplified Arabic" w:eastAsia="Times New Roman" w:hAnsi="Simplified Arabic" w:cs="Simplified Arabic" w:hint="cs"/>
          <w:kern w:val="0"/>
          <w:sz w:val="28"/>
          <w:szCs w:val="28"/>
          <w14:ligatures w14:val="none"/>
        </w:rPr>
        <w:t>.</w:t>
      </w:r>
    </w:p>
    <w:p w14:paraId="041F7651" w14:textId="77777777" w:rsidR="006B1A48" w:rsidRPr="006B1A48" w:rsidRDefault="006B1A48">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البُعد الثاني: الجدولة الزمنية وإدارة المهام</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ويتكون من (4) فقرات تقيس مستوى ممارسة وضع الجداول الزمنية وتوزيع المهام ومتابعة تنفيذها</w:t>
      </w:r>
      <w:r w:rsidRPr="006B1A48">
        <w:rPr>
          <w:rFonts w:ascii="Simplified Arabic" w:eastAsia="Times New Roman" w:hAnsi="Simplified Arabic" w:cs="Simplified Arabic" w:hint="cs"/>
          <w:kern w:val="0"/>
          <w:sz w:val="28"/>
          <w:szCs w:val="28"/>
          <w14:ligatures w14:val="none"/>
        </w:rPr>
        <w:t>.</w:t>
      </w:r>
    </w:p>
    <w:p w14:paraId="460AB234" w14:textId="77777777" w:rsidR="006B1A48" w:rsidRPr="006B1A48" w:rsidRDefault="006B1A48">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البُعد الثالث: إدارة المخاطر التشغيلية</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ويتكون من (4) فقرات تقيس مستوى ممارسة تحديد المخاطر التشغيلية المحتملة وتقييمها ووضع خطط الطوارئ والاستجابة</w:t>
      </w:r>
      <w:r w:rsidRPr="006B1A48">
        <w:rPr>
          <w:rFonts w:ascii="Simplified Arabic" w:eastAsia="Times New Roman" w:hAnsi="Simplified Arabic" w:cs="Simplified Arabic" w:hint="cs"/>
          <w:kern w:val="0"/>
          <w:sz w:val="28"/>
          <w:szCs w:val="28"/>
          <w14:ligatures w14:val="none"/>
        </w:rPr>
        <w:t>.</w:t>
      </w:r>
    </w:p>
    <w:p w14:paraId="2363583F" w14:textId="77777777" w:rsidR="006B1A48" w:rsidRPr="006B1A48" w:rsidRDefault="006B1A48">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البُعد الرابع: تنسيق فرق العمل والموردين</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ويتكون من (4) فقرات تقيس مستوى ممارسة التنسيق والتكامل بين فرق العمل الداخلية والموردين الخارجيين</w:t>
      </w:r>
      <w:r w:rsidRPr="006B1A48">
        <w:rPr>
          <w:rFonts w:ascii="Simplified Arabic" w:eastAsia="Times New Roman" w:hAnsi="Simplified Arabic" w:cs="Simplified Arabic" w:hint="cs"/>
          <w:kern w:val="0"/>
          <w:sz w:val="28"/>
          <w:szCs w:val="28"/>
          <w14:ligatures w14:val="none"/>
        </w:rPr>
        <w:t>.</w:t>
      </w:r>
    </w:p>
    <w:p w14:paraId="353D3D2F"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lastRenderedPageBreak/>
        <w:t>القسم الثالث: المتغير التابع (الكفاءة التشغيلية)</w:t>
      </w:r>
      <w:r w:rsidRPr="006B1A48">
        <w:rPr>
          <w:rFonts w:ascii="Simplified Arabic" w:eastAsia="Times New Roman" w:hAnsi="Simplified Arabic" w:cs="Simplified Arabic" w:hint="cs"/>
          <w:kern w:val="0"/>
          <w:sz w:val="28"/>
          <w:szCs w:val="28"/>
          <w:rtl/>
          <w14:ligatures w14:val="none"/>
        </w:rPr>
        <w:t>، وهو محور أحادي يتكون من (10) فقرات تقيس مستوى الكفاءة التشغيلية في شركات تنظيم الفعاليات من حيث جودة التنفيذ وسرعته والتحكم في التكاليف والاستغلال الأمثل للموارد ورضا العملاء</w:t>
      </w:r>
      <w:r w:rsidRPr="006B1A48">
        <w:rPr>
          <w:rFonts w:ascii="Simplified Arabic" w:eastAsia="Times New Roman" w:hAnsi="Simplified Arabic" w:cs="Simplified Arabic" w:hint="cs"/>
          <w:kern w:val="0"/>
          <w:sz w:val="28"/>
          <w:szCs w:val="28"/>
          <w14:ligatures w14:val="none"/>
        </w:rPr>
        <w:t>.</w:t>
      </w:r>
    </w:p>
    <w:p w14:paraId="0960F4D1"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وبذلك يكون إجمالي فقرات الاستبانة (26) فقرة بالإضافة إلى البيانات الديموغرافية. وسيتم التحقق من صدق الأداة من خلال الصدق الظاهري بعرضها على مجموعة من المحكمين المتخصصين، والصدق البنائي باستخدام التحليل العاملي، كما سيتم التحقق من ثباتها باستخدام معامل ألفا كرونباخ</w:t>
      </w:r>
      <w:r w:rsidRPr="006B1A48">
        <w:rPr>
          <w:rFonts w:ascii="Simplified Arabic" w:eastAsia="Times New Roman" w:hAnsi="Simplified Arabic" w:cs="Simplified Arabic" w:hint="cs"/>
          <w:kern w:val="0"/>
          <w:sz w:val="28"/>
          <w:szCs w:val="28"/>
          <w14:ligatures w14:val="none"/>
        </w:rPr>
        <w:t>.</w:t>
      </w:r>
    </w:p>
    <w:p w14:paraId="7FBFAA3A" w14:textId="77777777" w:rsidR="006B1A48" w:rsidRPr="006B1A48"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3" w:name="_Toc226203819"/>
      <w:r w:rsidRPr="006B1A48">
        <w:rPr>
          <w:rFonts w:ascii="Simplified Arabic" w:eastAsia="Times New Roman" w:hAnsi="Simplified Arabic" w:cs="Simplified Arabic" w:hint="cs"/>
          <w:b/>
          <w:bCs/>
          <w:kern w:val="36"/>
          <w:sz w:val="28"/>
          <w:szCs w:val="28"/>
          <w:rtl/>
          <w14:ligatures w14:val="none"/>
        </w:rPr>
        <w:t>الأساليب الإحصائية المستخدمة</w:t>
      </w:r>
      <w:bookmarkEnd w:id="33"/>
    </w:p>
    <w:p w14:paraId="76F25D3E" w14:textId="77777777" w:rsidR="006B1A48" w:rsidRPr="006B1A48" w:rsidRDefault="006B1A48" w:rsidP="00525D76">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kern w:val="0"/>
          <w:sz w:val="28"/>
          <w:szCs w:val="28"/>
          <w:rtl/>
          <w14:ligatures w14:val="none"/>
        </w:rPr>
        <w:t>سيتم تحليل بيانات الدراسة باستخدام برنامج الحزمة الإحصائية للعلوم الاجتماعية</w:t>
      </w:r>
      <w:r w:rsidRPr="006B1A48">
        <w:rPr>
          <w:rFonts w:ascii="Simplified Arabic" w:eastAsia="Times New Roman" w:hAnsi="Simplified Arabic" w:cs="Simplified Arabic" w:hint="cs"/>
          <w:kern w:val="0"/>
          <w:sz w:val="28"/>
          <w:szCs w:val="28"/>
          <w14:ligatures w14:val="none"/>
        </w:rPr>
        <w:t xml:space="preserve"> (SPSS)</w:t>
      </w:r>
      <w:r w:rsidRPr="006B1A48">
        <w:rPr>
          <w:rFonts w:ascii="Simplified Arabic" w:eastAsia="Times New Roman" w:hAnsi="Simplified Arabic" w:cs="Simplified Arabic" w:hint="cs"/>
          <w:kern w:val="0"/>
          <w:sz w:val="28"/>
          <w:szCs w:val="28"/>
          <w:rtl/>
          <w14:ligatures w14:val="none"/>
        </w:rPr>
        <w:t>، وستُستخدم الأساليب الإحصائية التالية</w:t>
      </w:r>
      <w:r w:rsidRPr="006B1A48">
        <w:rPr>
          <w:rFonts w:ascii="Simplified Arabic" w:eastAsia="Times New Roman" w:hAnsi="Simplified Arabic" w:cs="Simplified Arabic" w:hint="cs"/>
          <w:kern w:val="0"/>
          <w:sz w:val="28"/>
          <w:szCs w:val="28"/>
          <w14:ligatures w14:val="none"/>
        </w:rPr>
        <w:t>:</w:t>
      </w:r>
    </w:p>
    <w:p w14:paraId="4AEFFC33"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أساليب الإحصاء الوصفي</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أبعادها وفقراتها</w:t>
      </w:r>
      <w:r w:rsidRPr="006B1A48">
        <w:rPr>
          <w:rFonts w:ascii="Simplified Arabic" w:eastAsia="Times New Roman" w:hAnsi="Simplified Arabic" w:cs="Simplified Arabic" w:hint="cs"/>
          <w:kern w:val="0"/>
          <w:sz w:val="28"/>
          <w:szCs w:val="28"/>
          <w14:ligatures w14:val="none"/>
        </w:rPr>
        <w:t>.</w:t>
      </w:r>
    </w:p>
    <w:p w14:paraId="73AB00EC"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معامل ألفا كرونباخ</w:t>
      </w:r>
      <w:r w:rsidRPr="006B1A48">
        <w:rPr>
          <w:rFonts w:ascii="Simplified Arabic" w:eastAsia="Times New Roman" w:hAnsi="Simplified Arabic" w:cs="Simplified Arabic" w:hint="cs"/>
          <w:b/>
          <w:bCs/>
          <w:kern w:val="0"/>
          <w:sz w:val="28"/>
          <w:szCs w:val="28"/>
          <w14:ligatures w14:val="none"/>
        </w:rPr>
        <w:t xml:space="preserve"> (Cronbach's Alpha):</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للتحقق من ثبات أداة الدراسة ومدى اتساقها الداخلي</w:t>
      </w:r>
      <w:r w:rsidRPr="006B1A48">
        <w:rPr>
          <w:rFonts w:ascii="Simplified Arabic" w:eastAsia="Times New Roman" w:hAnsi="Simplified Arabic" w:cs="Simplified Arabic" w:hint="cs"/>
          <w:kern w:val="0"/>
          <w:sz w:val="28"/>
          <w:szCs w:val="28"/>
          <w14:ligatures w14:val="none"/>
        </w:rPr>
        <w:t>.</w:t>
      </w:r>
    </w:p>
    <w:p w14:paraId="024F5A1F"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معامل ارتباط بيرسون</w:t>
      </w:r>
      <w:r w:rsidRPr="006B1A48">
        <w:rPr>
          <w:rFonts w:ascii="Simplified Arabic" w:eastAsia="Times New Roman" w:hAnsi="Simplified Arabic" w:cs="Simplified Arabic" w:hint="cs"/>
          <w:b/>
          <w:bCs/>
          <w:kern w:val="0"/>
          <w:sz w:val="28"/>
          <w:szCs w:val="28"/>
          <w14:ligatures w14:val="none"/>
        </w:rPr>
        <w:t xml:space="preserve"> (Pearson Correlation):</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لقياس درجة الارتباط بين أبعاد المتغير المستقل والمتغير التابع، والتحقق من الصدق البنائي لأداة الدراسة</w:t>
      </w:r>
      <w:r w:rsidRPr="006B1A48">
        <w:rPr>
          <w:rFonts w:ascii="Simplified Arabic" w:eastAsia="Times New Roman" w:hAnsi="Simplified Arabic" w:cs="Simplified Arabic" w:hint="cs"/>
          <w:kern w:val="0"/>
          <w:sz w:val="28"/>
          <w:szCs w:val="28"/>
          <w14:ligatures w14:val="none"/>
        </w:rPr>
        <w:t>.</w:t>
      </w:r>
    </w:p>
    <w:p w14:paraId="3940F875"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تحليل الانحدار الخطي البسيط</w:t>
      </w:r>
      <w:r w:rsidRPr="006B1A48">
        <w:rPr>
          <w:rFonts w:ascii="Simplified Arabic" w:eastAsia="Times New Roman" w:hAnsi="Simplified Arabic" w:cs="Simplified Arabic" w:hint="cs"/>
          <w:b/>
          <w:bCs/>
          <w:kern w:val="0"/>
          <w:sz w:val="28"/>
          <w:szCs w:val="28"/>
          <w14:ligatures w14:val="none"/>
        </w:rPr>
        <w:t xml:space="preserve"> (Simple Linear Regression):</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لقياس أثر كل بُعد من أبعاد التخطيط التشغيلي للفعاليات على حدة على الكفاءة التشغيلية</w:t>
      </w:r>
      <w:r w:rsidRPr="006B1A48">
        <w:rPr>
          <w:rFonts w:ascii="Simplified Arabic" w:eastAsia="Times New Roman" w:hAnsi="Simplified Arabic" w:cs="Simplified Arabic" w:hint="cs"/>
          <w:kern w:val="0"/>
          <w:sz w:val="28"/>
          <w:szCs w:val="28"/>
          <w14:ligatures w14:val="none"/>
        </w:rPr>
        <w:t>.</w:t>
      </w:r>
    </w:p>
    <w:p w14:paraId="0C8865E5"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تحليل الانحدار الخطي المتعدد</w:t>
      </w:r>
      <w:r w:rsidRPr="006B1A48">
        <w:rPr>
          <w:rFonts w:ascii="Simplified Arabic" w:eastAsia="Times New Roman" w:hAnsi="Simplified Arabic" w:cs="Simplified Arabic" w:hint="cs"/>
          <w:b/>
          <w:bCs/>
          <w:kern w:val="0"/>
          <w:sz w:val="28"/>
          <w:szCs w:val="28"/>
          <w14:ligatures w14:val="none"/>
        </w:rPr>
        <w:t xml:space="preserve"> (Multiple Linear Regression):</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لقياس الأثر المشترك لأبعاد التخطيط التشغيلي للفعاليات مجتمعة على الكفاءة التشغيلية وتحديد الأهمية النسبية لكل بُعد</w:t>
      </w:r>
      <w:r w:rsidRPr="006B1A48">
        <w:rPr>
          <w:rFonts w:ascii="Simplified Arabic" w:eastAsia="Times New Roman" w:hAnsi="Simplified Arabic" w:cs="Simplified Arabic" w:hint="cs"/>
          <w:kern w:val="0"/>
          <w:sz w:val="28"/>
          <w:szCs w:val="28"/>
          <w14:ligatures w14:val="none"/>
        </w:rPr>
        <w:t>.</w:t>
      </w:r>
    </w:p>
    <w:p w14:paraId="67B9ADF3"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اختبار</w:t>
      </w:r>
      <w:r w:rsidRPr="006B1A48">
        <w:rPr>
          <w:rFonts w:ascii="Simplified Arabic" w:eastAsia="Times New Roman" w:hAnsi="Simplified Arabic" w:cs="Simplified Arabic" w:hint="cs"/>
          <w:b/>
          <w:bCs/>
          <w:kern w:val="0"/>
          <w:sz w:val="28"/>
          <w:szCs w:val="28"/>
          <w14:ligatures w14:val="none"/>
        </w:rPr>
        <w:t xml:space="preserve"> (T-Test) </w:t>
      </w:r>
      <w:r w:rsidRPr="006B1A48">
        <w:rPr>
          <w:rFonts w:ascii="Simplified Arabic" w:eastAsia="Times New Roman" w:hAnsi="Simplified Arabic" w:cs="Simplified Arabic" w:hint="cs"/>
          <w:b/>
          <w:bCs/>
          <w:kern w:val="0"/>
          <w:sz w:val="28"/>
          <w:szCs w:val="28"/>
          <w:rtl/>
          <w14:ligatures w14:val="none"/>
        </w:rPr>
        <w:t>للعينات المستقلة</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للكشف عن الفروق ذات الدلالة الإحصائية في استجابات أفراد العينة تُعزى لمتغير الجنس</w:t>
      </w:r>
      <w:r w:rsidRPr="006B1A48">
        <w:rPr>
          <w:rFonts w:ascii="Simplified Arabic" w:eastAsia="Times New Roman" w:hAnsi="Simplified Arabic" w:cs="Simplified Arabic" w:hint="cs"/>
          <w:kern w:val="0"/>
          <w:sz w:val="28"/>
          <w:szCs w:val="28"/>
          <w14:ligatures w14:val="none"/>
        </w:rPr>
        <w:t>.</w:t>
      </w:r>
    </w:p>
    <w:p w14:paraId="5953201D"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lastRenderedPageBreak/>
        <w:t>تحليل التباين الأحادي</w:t>
      </w:r>
      <w:r w:rsidRPr="006B1A48">
        <w:rPr>
          <w:rFonts w:ascii="Simplified Arabic" w:eastAsia="Times New Roman" w:hAnsi="Simplified Arabic" w:cs="Simplified Arabic" w:hint="cs"/>
          <w:b/>
          <w:bCs/>
          <w:kern w:val="0"/>
          <w:sz w:val="28"/>
          <w:szCs w:val="28"/>
          <w14:ligatures w14:val="none"/>
        </w:rPr>
        <w:t xml:space="preserve"> (One-Way ANOVA):</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للكشف عن الفروق ذات الدلالة الإحصائية في استجابات أفراد العينة تُعزى للمتغيرات الديموغرافية متعددة الفئات (المؤهل العلمي، وسنوات الخبرة، وحجم الشركة</w:t>
      </w:r>
      <w:r w:rsidRPr="006B1A48">
        <w:rPr>
          <w:rFonts w:ascii="Simplified Arabic" w:eastAsia="Times New Roman" w:hAnsi="Simplified Arabic" w:cs="Simplified Arabic" w:hint="cs"/>
          <w:kern w:val="0"/>
          <w:sz w:val="28"/>
          <w:szCs w:val="28"/>
          <w14:ligatures w14:val="none"/>
        </w:rPr>
        <w:t>).</w:t>
      </w:r>
    </w:p>
    <w:p w14:paraId="6503D465"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اختبار المقارنات البعدية</w:t>
      </w:r>
      <w:r w:rsidRPr="006B1A48">
        <w:rPr>
          <w:rFonts w:ascii="Simplified Arabic" w:eastAsia="Times New Roman" w:hAnsi="Simplified Arabic" w:cs="Simplified Arabic" w:hint="cs"/>
          <w:b/>
          <w:bCs/>
          <w:kern w:val="0"/>
          <w:sz w:val="28"/>
          <w:szCs w:val="28"/>
          <w14:ligatures w14:val="none"/>
        </w:rPr>
        <w:t xml:space="preserve"> (Post Hoc Tests - Scheffe):</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لتحديد مصدر الفروق واتجاهها في حال ثبوت دلالتها الإحصائية في اختبار تحليل التباين الأحادي</w:t>
      </w:r>
      <w:r w:rsidRPr="006B1A48">
        <w:rPr>
          <w:rFonts w:ascii="Simplified Arabic" w:eastAsia="Times New Roman" w:hAnsi="Simplified Arabic" w:cs="Simplified Arabic" w:hint="cs"/>
          <w:kern w:val="0"/>
          <w:sz w:val="28"/>
          <w:szCs w:val="28"/>
          <w14:ligatures w14:val="none"/>
        </w:rPr>
        <w:t>.</w:t>
      </w:r>
    </w:p>
    <w:p w14:paraId="5EF81B0E" w14:textId="77777777" w:rsidR="006B1A48" w:rsidRPr="006B1A48" w:rsidRDefault="006B1A48">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معامل تضخم التباين</w:t>
      </w:r>
      <w:r w:rsidRPr="006B1A48">
        <w:rPr>
          <w:rFonts w:ascii="Simplified Arabic" w:eastAsia="Times New Roman" w:hAnsi="Simplified Arabic" w:cs="Simplified Arabic" w:hint="cs"/>
          <w:b/>
          <w:bCs/>
          <w:kern w:val="0"/>
          <w:sz w:val="28"/>
          <w:szCs w:val="28"/>
          <w14:ligatures w14:val="none"/>
        </w:rPr>
        <w:t xml:space="preserve"> (VIF) </w:t>
      </w:r>
      <w:r w:rsidRPr="006B1A48">
        <w:rPr>
          <w:rFonts w:ascii="Simplified Arabic" w:eastAsia="Times New Roman" w:hAnsi="Simplified Arabic" w:cs="Simplified Arabic" w:hint="cs"/>
          <w:b/>
          <w:bCs/>
          <w:kern w:val="0"/>
          <w:sz w:val="28"/>
          <w:szCs w:val="28"/>
          <w:rtl/>
          <w14:ligatures w14:val="none"/>
        </w:rPr>
        <w:t>واختبار التحمل</w:t>
      </w:r>
      <w:r w:rsidRPr="006B1A48">
        <w:rPr>
          <w:rFonts w:ascii="Simplified Arabic" w:eastAsia="Times New Roman" w:hAnsi="Simplified Arabic" w:cs="Simplified Arabic" w:hint="cs"/>
          <w:b/>
          <w:bCs/>
          <w:kern w:val="0"/>
          <w:sz w:val="28"/>
          <w:szCs w:val="28"/>
          <w14:ligatures w14:val="none"/>
        </w:rPr>
        <w:t xml:space="preserve"> (Tolerance):</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للتحقق من عدم وجود مشكلة الازدواج الخطي بين المتغيرات المستقلة</w:t>
      </w:r>
      <w:r w:rsidRPr="006B1A48">
        <w:rPr>
          <w:rFonts w:ascii="Simplified Arabic" w:eastAsia="Times New Roman" w:hAnsi="Simplified Arabic" w:cs="Simplified Arabic" w:hint="cs"/>
          <w:kern w:val="0"/>
          <w:sz w:val="28"/>
          <w:szCs w:val="28"/>
          <w14:ligatures w14:val="none"/>
        </w:rPr>
        <w:t>.</w:t>
      </w:r>
    </w:p>
    <w:p w14:paraId="09C7CCF4" w14:textId="77777777" w:rsidR="006B1A48" w:rsidRPr="006B1A48" w:rsidRDefault="006B1A48" w:rsidP="00525D76">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4" w:name="_Toc226203820"/>
      <w:r w:rsidRPr="006B1A48">
        <w:rPr>
          <w:rFonts w:ascii="Simplified Arabic" w:eastAsia="Times New Roman" w:hAnsi="Simplified Arabic" w:cs="Simplified Arabic" w:hint="cs"/>
          <w:b/>
          <w:bCs/>
          <w:kern w:val="36"/>
          <w:sz w:val="28"/>
          <w:szCs w:val="28"/>
          <w:rtl/>
          <w14:ligatures w14:val="none"/>
        </w:rPr>
        <w:t>حدود الدراسة</w:t>
      </w:r>
      <w:bookmarkEnd w:id="34"/>
    </w:p>
    <w:p w14:paraId="510E661C" w14:textId="77777777" w:rsidR="006B1A48" w:rsidRPr="006B1A48" w:rsidRDefault="006B1A48">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الحدود الموضوعية</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ستقتصر الدراسة على دراسة أثر التخطيط التشغيلي للفعاليات بأبعاده الأربعة (تخطيط الموارد والميزانيات، والجدولة الزمنية وإدارة المهام، وإدارة المخاطر التشغيلية، وتنسيق فرق العمل والموردين) على الكفاءة التشغيلية</w:t>
      </w:r>
      <w:r w:rsidRPr="006B1A48">
        <w:rPr>
          <w:rFonts w:ascii="Simplified Arabic" w:eastAsia="Times New Roman" w:hAnsi="Simplified Arabic" w:cs="Simplified Arabic" w:hint="cs"/>
          <w:kern w:val="0"/>
          <w:sz w:val="28"/>
          <w:szCs w:val="28"/>
          <w14:ligatures w14:val="none"/>
        </w:rPr>
        <w:t>.</w:t>
      </w:r>
    </w:p>
    <w:p w14:paraId="3070263A" w14:textId="77777777" w:rsidR="006B1A48" w:rsidRPr="006B1A48" w:rsidRDefault="006B1A48">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الحدود المكانية</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ستُطبق الدراسة على شركات تنظيم الفعاليات المرخصة والعاملة في المملكة العربية السعودية، مع التركيز على المدن الرئيسية الثلاث (الرياض، وجدة، والدمام)</w:t>
      </w:r>
      <w:r w:rsidRPr="006B1A48">
        <w:rPr>
          <w:rFonts w:ascii="Simplified Arabic" w:eastAsia="Times New Roman" w:hAnsi="Simplified Arabic" w:cs="Simplified Arabic" w:hint="cs"/>
          <w:kern w:val="0"/>
          <w:sz w:val="28"/>
          <w:szCs w:val="28"/>
          <w14:ligatures w14:val="none"/>
        </w:rPr>
        <w:t>.</w:t>
      </w:r>
    </w:p>
    <w:p w14:paraId="597741AE" w14:textId="77777777" w:rsidR="006B1A48" w:rsidRPr="006B1A48" w:rsidRDefault="006B1A48">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الحدود الزمانية</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سيتم جمع بيانات الدراسة الميدانية خلال الفصل الدراسي الثاني من العام الجامعي 2025/2026م</w:t>
      </w:r>
      <w:r w:rsidRPr="006B1A48">
        <w:rPr>
          <w:rFonts w:ascii="Simplified Arabic" w:eastAsia="Times New Roman" w:hAnsi="Simplified Arabic" w:cs="Simplified Arabic" w:hint="cs"/>
          <w:kern w:val="0"/>
          <w:sz w:val="28"/>
          <w:szCs w:val="28"/>
          <w14:ligatures w14:val="none"/>
        </w:rPr>
        <w:t>.</w:t>
      </w:r>
    </w:p>
    <w:p w14:paraId="4F1F9C68" w14:textId="77777777" w:rsidR="006B1A48" w:rsidRPr="006B1A48" w:rsidRDefault="006B1A48">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B1A48">
        <w:rPr>
          <w:rFonts w:ascii="Simplified Arabic" w:eastAsia="Times New Roman" w:hAnsi="Simplified Arabic" w:cs="Simplified Arabic" w:hint="cs"/>
          <w:b/>
          <w:bCs/>
          <w:kern w:val="0"/>
          <w:sz w:val="28"/>
          <w:szCs w:val="28"/>
          <w:rtl/>
          <w14:ligatures w14:val="none"/>
        </w:rPr>
        <w:t>الحدود البشرية</w:t>
      </w:r>
      <w:r w:rsidRPr="006B1A48">
        <w:rPr>
          <w:rFonts w:ascii="Simplified Arabic" w:eastAsia="Times New Roman" w:hAnsi="Simplified Arabic" w:cs="Simplified Arabic" w:hint="cs"/>
          <w:b/>
          <w:bCs/>
          <w:kern w:val="0"/>
          <w:sz w:val="28"/>
          <w:szCs w:val="28"/>
          <w14:ligatures w14:val="none"/>
        </w:rPr>
        <w:t>:</w:t>
      </w:r>
      <w:r w:rsidRPr="006B1A48">
        <w:rPr>
          <w:rFonts w:ascii="Simplified Arabic" w:eastAsia="Times New Roman" w:hAnsi="Simplified Arabic" w:cs="Simplified Arabic" w:hint="cs"/>
          <w:kern w:val="0"/>
          <w:sz w:val="28"/>
          <w:szCs w:val="28"/>
          <w14:ligatures w14:val="none"/>
        </w:rPr>
        <w:t xml:space="preserve"> </w:t>
      </w:r>
      <w:r w:rsidRPr="006B1A48">
        <w:rPr>
          <w:rFonts w:ascii="Simplified Arabic" w:eastAsia="Times New Roman" w:hAnsi="Simplified Arabic" w:cs="Simplified Arabic" w:hint="cs"/>
          <w:kern w:val="0"/>
          <w:sz w:val="28"/>
          <w:szCs w:val="28"/>
          <w:rtl/>
          <w14:ligatures w14:val="none"/>
        </w:rPr>
        <w:t>ستقتصر الدراسة على العاملين في شركات تنظيم الفعاليات من المديرين التنفيذيين ومديري العمليات ومديري المشاريع ومنسقي الفعاليات والمشرفين التشغيليين</w:t>
      </w:r>
      <w:r w:rsidRPr="006B1A48">
        <w:rPr>
          <w:rFonts w:ascii="Simplified Arabic" w:eastAsia="Times New Roman" w:hAnsi="Simplified Arabic" w:cs="Simplified Arabic" w:hint="cs"/>
          <w:kern w:val="0"/>
          <w:sz w:val="28"/>
          <w:szCs w:val="28"/>
          <w14:ligatures w14:val="none"/>
        </w:rPr>
        <w:t>.</w:t>
      </w:r>
    </w:p>
    <w:p w14:paraId="39E8E35B" w14:textId="77777777" w:rsidR="00901B9B" w:rsidRPr="00525D76" w:rsidRDefault="00901B9B" w:rsidP="00525D76">
      <w:pPr>
        <w:spacing w:line="276" w:lineRule="auto"/>
        <w:jc w:val="both"/>
        <w:rPr>
          <w:rFonts w:ascii="Simplified Arabic" w:eastAsiaTheme="majorEastAsia" w:hAnsi="Simplified Arabic" w:cs="Simplified Arabic"/>
          <w:b/>
          <w:bCs/>
          <w:sz w:val="28"/>
          <w:szCs w:val="28"/>
          <w:rtl/>
        </w:rPr>
      </w:pPr>
      <w:r w:rsidRPr="00525D76">
        <w:rPr>
          <w:rFonts w:ascii="Simplified Arabic" w:hAnsi="Simplified Arabic" w:cs="Simplified Arabic" w:hint="cs"/>
          <w:sz w:val="28"/>
          <w:szCs w:val="28"/>
          <w:rtl/>
        </w:rPr>
        <w:br w:type="page"/>
      </w:r>
    </w:p>
    <w:p w14:paraId="11238A06" w14:textId="01050DA3" w:rsidR="00B57582" w:rsidRPr="00525D76" w:rsidRDefault="00A74F76" w:rsidP="00525D76">
      <w:pPr>
        <w:pStyle w:val="1"/>
        <w:jc w:val="both"/>
        <w:rPr>
          <w:sz w:val="28"/>
          <w:szCs w:val="28"/>
          <w:rtl/>
        </w:rPr>
      </w:pPr>
      <w:bookmarkStart w:id="35" w:name="_Toc226203821"/>
      <w:r w:rsidRPr="00525D76">
        <w:rPr>
          <w:rFonts w:hint="cs"/>
          <w:sz w:val="28"/>
          <w:szCs w:val="28"/>
          <w:rtl/>
        </w:rPr>
        <w:lastRenderedPageBreak/>
        <w:t>المراجع:</w:t>
      </w:r>
      <w:bookmarkEnd w:id="29"/>
      <w:bookmarkEnd w:id="35"/>
      <w:r w:rsidRPr="00525D76">
        <w:rPr>
          <w:rFonts w:hint="cs"/>
          <w:sz w:val="28"/>
          <w:szCs w:val="28"/>
          <w:rtl/>
        </w:rPr>
        <w:t xml:space="preserve"> </w:t>
      </w:r>
    </w:p>
    <w:p w14:paraId="3AEA4699" w14:textId="77777777" w:rsidR="00FF4634" w:rsidRPr="00525D76" w:rsidRDefault="00FF4634" w:rsidP="00525D76">
      <w:pPr>
        <w:pStyle w:val="1"/>
        <w:jc w:val="both"/>
        <w:rPr>
          <w:rFonts w:eastAsia="Times New Roman"/>
          <w:kern w:val="0"/>
          <w:sz w:val="28"/>
          <w:szCs w:val="28"/>
          <w14:ligatures w14:val="none"/>
        </w:rPr>
      </w:pPr>
      <w:bookmarkStart w:id="36" w:name="_Toc224289535"/>
      <w:bookmarkStart w:id="37" w:name="_Toc224314316"/>
      <w:bookmarkStart w:id="38" w:name="_Toc224811268"/>
      <w:bookmarkStart w:id="39" w:name="_Toc225370755"/>
      <w:bookmarkStart w:id="40" w:name="_Toc226141199"/>
      <w:bookmarkStart w:id="41" w:name="_Toc226203822"/>
      <w:r w:rsidRPr="00525D76">
        <w:rPr>
          <w:rFonts w:eastAsia="Times New Roman" w:hint="cs"/>
          <w:kern w:val="0"/>
          <w:sz w:val="28"/>
          <w:szCs w:val="28"/>
          <w:rtl/>
          <w14:ligatures w14:val="none"/>
        </w:rPr>
        <w:t>أولاً: المراجع العربية</w:t>
      </w:r>
      <w:bookmarkEnd w:id="36"/>
      <w:bookmarkEnd w:id="37"/>
      <w:bookmarkEnd w:id="38"/>
      <w:bookmarkEnd w:id="39"/>
      <w:bookmarkEnd w:id="40"/>
      <w:bookmarkEnd w:id="41"/>
    </w:p>
    <w:p w14:paraId="6AA85E8D" w14:textId="1C4510EE" w:rsidR="0075261E" w:rsidRPr="00525D76" w:rsidRDefault="004C289E">
      <w:pPr>
        <w:pStyle w:val="a6"/>
        <w:numPr>
          <w:ilvl w:val="0"/>
          <w:numId w:val="10"/>
        </w:numPr>
        <w:spacing w:line="276" w:lineRule="auto"/>
        <w:jc w:val="both"/>
        <w:rPr>
          <w:rFonts w:ascii="Simplified Arabic" w:hAnsi="Simplified Arabic" w:cs="Simplified Arabic"/>
          <w:sz w:val="28"/>
          <w:szCs w:val="28"/>
          <w:rtl/>
        </w:rPr>
      </w:pPr>
      <w:bookmarkStart w:id="42" w:name="_Toc224001041"/>
      <w:bookmarkStart w:id="43" w:name="_Toc224116819"/>
      <w:bookmarkStart w:id="44" w:name="_Toc224218410"/>
      <w:bookmarkStart w:id="45" w:name="_Toc224289536"/>
      <w:bookmarkStart w:id="46" w:name="_Toc224314317"/>
      <w:bookmarkStart w:id="47" w:name="_Toc224672118"/>
      <w:bookmarkStart w:id="48" w:name="_Toc224811269"/>
      <w:bookmarkStart w:id="49" w:name="_Toc225370756"/>
      <w:r w:rsidRPr="00525D76">
        <w:rPr>
          <w:rFonts w:ascii="Simplified Arabic" w:hAnsi="Simplified Arabic" w:cs="Simplified Arabic" w:hint="cs"/>
          <w:sz w:val="28"/>
          <w:szCs w:val="28"/>
          <w:rtl/>
        </w:rPr>
        <w:t xml:space="preserve">اليونس، رامى عبدالجبار، و كنعان، علي محمد. (2020). أثر سياسة التوظيف والمخاطر الإئتمانية فى الكفاءة التشغيلية للمصارف الإسلامية: دراسة تطبيقية على المصارف الإسلامية المدرجة فى سوق دمشق للأوراق المالية خلال الفترة 2012-2018. مجلة جامعة البعث سلسلة العلوم الاقتصادية، مج42, ع3 ، 97 - 115. مسترجع من </w:t>
      </w:r>
      <w:hyperlink r:id="rId9" w:history="1">
        <w:r w:rsidRPr="00525D76">
          <w:rPr>
            <w:rStyle w:val="Hyperlink"/>
            <w:rFonts w:ascii="Simplified Arabic" w:hAnsi="Simplified Arabic" w:cs="Simplified Arabic" w:hint="cs"/>
            <w:sz w:val="28"/>
            <w:szCs w:val="28"/>
          </w:rPr>
          <w:t>http://search.mandumah.com/Record/1062992</w:t>
        </w:r>
      </w:hyperlink>
    </w:p>
    <w:p w14:paraId="693FA11C" w14:textId="13D6EB43"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السردية، إيمان محمود علي، و اللوزي، سليمان أحمد. (2021). أثر تطبيق نظام تخطيط موارد المؤسسة على الأداء التشغيلي في المستشفيات الأردنية الخاصة (رسالة ماجستير غير منشورة). جامعة البلقاء التطبيقية، السلط. مسترجع من </w:t>
      </w:r>
      <w:hyperlink r:id="rId10" w:history="1">
        <w:r w:rsidRPr="00525D76">
          <w:rPr>
            <w:rStyle w:val="Hyperlink"/>
            <w:rFonts w:ascii="Simplified Arabic" w:hAnsi="Simplified Arabic" w:cs="Simplified Arabic" w:hint="cs"/>
            <w:sz w:val="28"/>
            <w:szCs w:val="28"/>
          </w:rPr>
          <w:t>http://search.mandumah.com/Record/1299322</w:t>
        </w:r>
      </w:hyperlink>
    </w:p>
    <w:p w14:paraId="672D70A0" w14:textId="29EF6110"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محمد، غادة عبدالله، و فرحات، إسراء رضا حسن. (2020). أثر فاعلية تطبيق نظام تخطيط موارد المؤسسة على تميز الأداء التشغيلي في شركات السياحة. المجلة الدولية للتراث والسياحة والضيافة، مج14, ع1 ، 72 - 94. مسترجع من </w:t>
      </w:r>
      <w:hyperlink r:id="rId11" w:history="1">
        <w:r w:rsidRPr="00525D76">
          <w:rPr>
            <w:rStyle w:val="Hyperlink"/>
            <w:rFonts w:ascii="Simplified Arabic" w:hAnsi="Simplified Arabic" w:cs="Simplified Arabic" w:hint="cs"/>
            <w:sz w:val="28"/>
            <w:szCs w:val="28"/>
          </w:rPr>
          <w:t>http://search.mandumah.com/Record/1090201</w:t>
        </w:r>
      </w:hyperlink>
    </w:p>
    <w:p w14:paraId="5BD7CEC1" w14:textId="2E98AFCA"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زغلول، جودة عبدالرءوف محمد، و عرفه، سارة جمال سعد. (2024). إطار مقترح للتكامل بين نظام تخطيط موارد المنشأة ونظام التكلفة على أساس النشاط وأثر ذلك على إدارة الأداء: دراسة ميدانية. المجلة العلمية للبحوث التجارية، س11, ع4 ، 595 - 648. مسترجع من </w:t>
      </w:r>
      <w:hyperlink r:id="rId12" w:history="1">
        <w:r w:rsidRPr="00525D76">
          <w:rPr>
            <w:rStyle w:val="Hyperlink"/>
            <w:rFonts w:ascii="Simplified Arabic" w:hAnsi="Simplified Arabic" w:cs="Simplified Arabic" w:hint="cs"/>
            <w:sz w:val="28"/>
            <w:szCs w:val="28"/>
          </w:rPr>
          <w:t>http://search.mandumah.com/Record/1510907</w:t>
        </w:r>
      </w:hyperlink>
    </w:p>
    <w:p w14:paraId="63E3BB4F" w14:textId="4BFB4D26"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اليوسفي، معالي محمد رضا، و الخفاف، مها مهدي قاسم. (2020). أثر التخطيط الاستراتيجي في التميز المنظمي: الدور المعدل للاعتماد الأكاديمي وضمان الجودة: دراسة حالة جامعة الكويت (رسالة دكتوراه غير منشورة). جامعة العلوم الإسلامية العالمية، عمان. مسترجع من </w:t>
      </w:r>
      <w:hyperlink r:id="rId13" w:history="1">
        <w:r w:rsidRPr="00525D76">
          <w:rPr>
            <w:rStyle w:val="Hyperlink"/>
            <w:rFonts w:ascii="Simplified Arabic" w:hAnsi="Simplified Arabic" w:cs="Simplified Arabic" w:hint="cs"/>
            <w:sz w:val="28"/>
            <w:szCs w:val="28"/>
          </w:rPr>
          <w:t>http://search.mandumah.com/Record/1219166</w:t>
        </w:r>
      </w:hyperlink>
    </w:p>
    <w:p w14:paraId="48241B96" w14:textId="31EB9E33"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lastRenderedPageBreak/>
        <w:t xml:space="preserve">سليمان، محمد سعيد علي حسين. (2026). الكفاءة التشغيلية كمعدل استراتيجي: أثر إدارة رأس المال العامل على علاقة النمو بالربحية في الشركات المصرية. مجلة البحوث المالية والتجارية، ع1 ، 92 - 150. مسترجع من </w:t>
      </w:r>
      <w:hyperlink r:id="rId14" w:history="1">
        <w:r w:rsidRPr="00525D76">
          <w:rPr>
            <w:rStyle w:val="Hyperlink"/>
            <w:rFonts w:ascii="Simplified Arabic" w:hAnsi="Simplified Arabic" w:cs="Simplified Arabic" w:hint="cs"/>
            <w:sz w:val="28"/>
            <w:szCs w:val="28"/>
          </w:rPr>
          <w:t>http://search.mandumah.com/Record/1662926</w:t>
        </w:r>
      </w:hyperlink>
    </w:p>
    <w:p w14:paraId="3F440221" w14:textId="07F24441"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طلال، زغبة، و رزقية، أحلام نعيجة. (2020). قياس الكفاءة التشغيلية في البنوك التجارية الجزائرية: دراسة تطبيقية خلال الفترة (2012-2017). أبحاث اقتصادية وإدارية، مج14, ع2 ، 287 - 306. مسترجع من </w:t>
      </w:r>
      <w:hyperlink r:id="rId15" w:history="1">
        <w:r w:rsidRPr="00525D76">
          <w:rPr>
            <w:rStyle w:val="Hyperlink"/>
            <w:rFonts w:ascii="Simplified Arabic" w:hAnsi="Simplified Arabic" w:cs="Simplified Arabic" w:hint="cs"/>
            <w:sz w:val="28"/>
            <w:szCs w:val="28"/>
          </w:rPr>
          <w:t>http://search.mandumah.com/Record/1219240</w:t>
        </w:r>
      </w:hyperlink>
    </w:p>
    <w:p w14:paraId="05576442" w14:textId="395B6417"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الديب، مروة محمد فكري، السقطي، خالد جابر عبدالله، و عبدالحافظ، مصطفى. (2025). تأثير التحول الرقمي على الكفاءة التشغيلية: دراسة حالة ميناء سفاجا. مجلة جامعة الإسكندرية للعلوم الإدارية، مج62, ع4 ، 117 - 166. مسترجع من </w:t>
      </w:r>
      <w:hyperlink r:id="rId16" w:history="1">
        <w:r w:rsidRPr="00525D76">
          <w:rPr>
            <w:rStyle w:val="Hyperlink"/>
            <w:rFonts w:ascii="Simplified Arabic" w:hAnsi="Simplified Arabic" w:cs="Simplified Arabic" w:hint="cs"/>
            <w:sz w:val="28"/>
            <w:szCs w:val="28"/>
          </w:rPr>
          <w:t>http://search.mandumah.com/Record/1605823</w:t>
        </w:r>
      </w:hyperlink>
    </w:p>
    <w:p w14:paraId="6D4FDADB" w14:textId="07307632"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بيلي، مريم آدم عمر، و داود، سناء داود ذكي. (2023). أثر كفاءة إدارة رأس المال العامل في رفع الكفاءة التشغيلية: دراسة تطبيقية على شركات المواد الأساسية المدرجة في سوق الأوراق المالية السعودي. أماراباك، مج13, ع45 ، 27 - 51. مسترجع من </w:t>
      </w:r>
      <w:hyperlink r:id="rId17" w:history="1">
        <w:r w:rsidRPr="00525D76">
          <w:rPr>
            <w:rStyle w:val="Hyperlink"/>
            <w:rFonts w:ascii="Simplified Arabic" w:hAnsi="Simplified Arabic" w:cs="Simplified Arabic" w:hint="cs"/>
            <w:sz w:val="28"/>
            <w:szCs w:val="28"/>
          </w:rPr>
          <w:t>http://search.mandumah.com/Record/1368350</w:t>
        </w:r>
      </w:hyperlink>
    </w:p>
    <w:p w14:paraId="69EDFDF0" w14:textId="236C9535"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الأحمد، ديالا هشام حسني علي، و الرقيبات، غازي عبدالمجيد سهو. (2020). أثر المحددات المالية على الكفاءة التشغيلية للبنوك التجارية الأردنية (رسالة ماجستير غير منشورة). جامعة آل البيت، المفرق. مسترجع من </w:t>
      </w:r>
      <w:hyperlink r:id="rId18" w:history="1">
        <w:r w:rsidRPr="00525D76">
          <w:rPr>
            <w:rStyle w:val="Hyperlink"/>
            <w:rFonts w:ascii="Simplified Arabic" w:hAnsi="Simplified Arabic" w:cs="Simplified Arabic" w:hint="cs"/>
            <w:sz w:val="28"/>
            <w:szCs w:val="28"/>
          </w:rPr>
          <w:t>http://search.mandumah.com/Record/1167300</w:t>
        </w:r>
      </w:hyperlink>
    </w:p>
    <w:p w14:paraId="17FF5FDA" w14:textId="710C7B9D"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عمري، سامي. (2022). أثر رأس المال البشري على الكفاءة التشغيلية للتأمين التكافلي: دراسة تطبيقية لشركة العامة للتأمينات المتوسطية: ولايات الشرق نموذجا. مجلة أبحاث ودراسات التنمية، مج9, ع2 ، 172 - 192. مسترجع من </w:t>
      </w:r>
      <w:hyperlink r:id="rId19" w:history="1">
        <w:r w:rsidRPr="00525D76">
          <w:rPr>
            <w:rStyle w:val="Hyperlink"/>
            <w:rFonts w:ascii="Simplified Arabic" w:hAnsi="Simplified Arabic" w:cs="Simplified Arabic" w:hint="cs"/>
            <w:sz w:val="28"/>
            <w:szCs w:val="28"/>
          </w:rPr>
          <w:t>http://search.mandumah.com/Record/1362429</w:t>
        </w:r>
      </w:hyperlink>
    </w:p>
    <w:p w14:paraId="0475AEF2" w14:textId="35AF4372" w:rsidR="004C289E" w:rsidRPr="00525D76" w:rsidRDefault="004C289E">
      <w:pPr>
        <w:pStyle w:val="a6"/>
        <w:numPr>
          <w:ilvl w:val="0"/>
          <w:numId w:val="10"/>
        </w:numPr>
        <w:spacing w:line="276" w:lineRule="auto"/>
        <w:jc w:val="both"/>
        <w:rPr>
          <w:rFonts w:ascii="Simplified Arabic" w:hAnsi="Simplified Arabic" w:cs="Simplified Arabic"/>
          <w:sz w:val="28"/>
          <w:szCs w:val="28"/>
          <w:rtl/>
        </w:rPr>
      </w:pPr>
      <w:r w:rsidRPr="00525D76">
        <w:rPr>
          <w:rFonts w:ascii="Simplified Arabic" w:hAnsi="Simplified Arabic" w:cs="Simplified Arabic" w:hint="cs"/>
          <w:sz w:val="28"/>
          <w:szCs w:val="28"/>
          <w:rtl/>
        </w:rPr>
        <w:t xml:space="preserve">شكوري، محمد فوزي سليمان، و الرايسي، نزار بن عمارة. (2023). أثر حاضنات الأعمال في قطاع التقنية على الكفاءة التشغيلية: دراسة حالة الشركات الناشئة بالمملكة العربية السعودية. المجلة العلمية للدراسات التجارية والبيئية، مج14, ع4 ، 630 - 658. مسترجع من </w:t>
      </w:r>
      <w:hyperlink r:id="rId20" w:history="1">
        <w:r w:rsidRPr="00525D76">
          <w:rPr>
            <w:rStyle w:val="Hyperlink"/>
            <w:rFonts w:ascii="Simplified Arabic" w:hAnsi="Simplified Arabic" w:cs="Simplified Arabic" w:hint="cs"/>
            <w:sz w:val="28"/>
            <w:szCs w:val="28"/>
          </w:rPr>
          <w:t>http://search.mandumah.com/Record/1505563</w:t>
        </w:r>
      </w:hyperlink>
    </w:p>
    <w:p w14:paraId="1AC6C761" w14:textId="134C5CC7" w:rsidR="008F750F" w:rsidRPr="00525D76" w:rsidRDefault="008F750F" w:rsidP="00525D76">
      <w:pPr>
        <w:pStyle w:val="3"/>
        <w:spacing w:line="276" w:lineRule="auto"/>
        <w:ind w:left="360"/>
        <w:jc w:val="both"/>
        <w:rPr>
          <w:rFonts w:ascii="Simplified Arabic" w:hAnsi="Simplified Arabic" w:cs="Simplified Arabic"/>
          <w:b/>
          <w:bCs/>
          <w:sz w:val="28"/>
          <w:szCs w:val="28"/>
          <w:rtl/>
        </w:rPr>
      </w:pPr>
      <w:bookmarkStart w:id="50" w:name="_Toc225615847"/>
      <w:bookmarkStart w:id="51" w:name="_Toc226141201"/>
      <w:bookmarkStart w:id="52" w:name="_Toc226203823"/>
      <w:r w:rsidRPr="00525D76">
        <w:rPr>
          <w:rFonts w:ascii="Simplified Arabic" w:hAnsi="Simplified Arabic" w:cs="Simplified Arabic" w:hint="cs"/>
          <w:b/>
          <w:bCs/>
          <w:sz w:val="28"/>
          <w:szCs w:val="28"/>
          <w:rtl/>
        </w:rPr>
        <w:lastRenderedPageBreak/>
        <w:t>المراجع الأجنبية</w:t>
      </w:r>
      <w:bookmarkEnd w:id="42"/>
      <w:bookmarkEnd w:id="43"/>
      <w:bookmarkEnd w:id="44"/>
      <w:bookmarkEnd w:id="45"/>
      <w:bookmarkEnd w:id="46"/>
      <w:bookmarkEnd w:id="47"/>
      <w:bookmarkEnd w:id="48"/>
      <w:bookmarkEnd w:id="49"/>
      <w:bookmarkEnd w:id="50"/>
      <w:bookmarkEnd w:id="51"/>
      <w:bookmarkEnd w:id="52"/>
    </w:p>
    <w:p w14:paraId="626F56D2" w14:textId="764688D9" w:rsidR="005A243A" w:rsidRPr="00525D76" w:rsidRDefault="005A243A" w:rsidP="00525D76">
      <w:pPr>
        <w:pStyle w:val="a6"/>
        <w:spacing w:line="276" w:lineRule="auto"/>
        <w:jc w:val="both"/>
        <w:rPr>
          <w:rFonts w:ascii="Simplified Arabic" w:eastAsia="Calibri" w:hAnsi="Simplified Arabic" w:cs="Simplified Arabic"/>
          <w:sz w:val="28"/>
          <w:szCs w:val="28"/>
          <w:rtl/>
          <w:lang w:bidi="ar-EG"/>
        </w:rPr>
      </w:pPr>
    </w:p>
    <w:p w14:paraId="3A0120E3" w14:textId="04A778EB" w:rsidR="0075261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lang w:bidi="ar-EG"/>
        </w:rPr>
        <w:t xml:space="preserve">Iuliia, S. (2026). IMPACT OF MODERN TECHNOLOGIES ON THE OPERATIONAL EFFICIENCY AND EMOTIONAL PERCEPTION OF EVENTS. </w:t>
      </w:r>
      <w:r w:rsidRPr="00525D76">
        <w:rPr>
          <w:rFonts w:ascii="Simplified Arabic" w:eastAsia="Calibri" w:hAnsi="Simplified Arabic" w:cs="Simplified Arabic" w:hint="cs"/>
          <w:i/>
          <w:iCs/>
          <w:sz w:val="28"/>
          <w:szCs w:val="28"/>
          <w:lang w:bidi="ar-EG"/>
        </w:rPr>
        <w:t xml:space="preserve">Universum: </w:t>
      </w:r>
      <w:r w:rsidRPr="00525D76">
        <w:rPr>
          <w:rFonts w:ascii="Cambria" w:eastAsia="Calibri" w:hAnsi="Cambria" w:cs="Cambria"/>
          <w:i/>
          <w:iCs/>
          <w:sz w:val="28"/>
          <w:szCs w:val="28"/>
          <w:lang w:bidi="ar-EG"/>
        </w:rPr>
        <w:t>экономика</w:t>
      </w:r>
      <w:r w:rsidRPr="00525D76">
        <w:rPr>
          <w:rFonts w:ascii="Simplified Arabic" w:eastAsia="Calibri" w:hAnsi="Simplified Arabic" w:cs="Simplified Arabic" w:hint="cs"/>
          <w:i/>
          <w:iCs/>
          <w:sz w:val="28"/>
          <w:szCs w:val="28"/>
          <w:lang w:bidi="ar-EG"/>
        </w:rPr>
        <w:t xml:space="preserve"> </w:t>
      </w:r>
      <w:r w:rsidRPr="00525D76">
        <w:rPr>
          <w:rFonts w:ascii="Cambria" w:eastAsia="Calibri" w:hAnsi="Cambria" w:cs="Cambria"/>
          <w:i/>
          <w:iCs/>
          <w:sz w:val="28"/>
          <w:szCs w:val="28"/>
          <w:lang w:bidi="ar-EG"/>
        </w:rPr>
        <w:t>и</w:t>
      </w:r>
      <w:r w:rsidRPr="00525D76">
        <w:rPr>
          <w:rFonts w:ascii="Simplified Arabic" w:eastAsia="Calibri" w:hAnsi="Simplified Arabic" w:cs="Simplified Arabic" w:hint="cs"/>
          <w:i/>
          <w:iCs/>
          <w:sz w:val="28"/>
          <w:szCs w:val="28"/>
          <w:lang w:bidi="ar-EG"/>
        </w:rPr>
        <w:t xml:space="preserve"> </w:t>
      </w:r>
      <w:r w:rsidRPr="00525D76">
        <w:rPr>
          <w:rFonts w:ascii="Cambria" w:eastAsia="Calibri" w:hAnsi="Cambria" w:cs="Cambria"/>
          <w:i/>
          <w:iCs/>
          <w:sz w:val="28"/>
          <w:szCs w:val="28"/>
          <w:lang w:bidi="ar-EG"/>
        </w:rPr>
        <w:t>юриспруденция</w:t>
      </w:r>
      <w:r w:rsidRPr="00525D76">
        <w:rPr>
          <w:rFonts w:ascii="Simplified Arabic" w:eastAsia="Calibri" w:hAnsi="Simplified Arabic" w:cs="Simplified Arabic" w:hint="cs"/>
          <w:sz w:val="28"/>
          <w:szCs w:val="28"/>
          <w:lang w:bidi="ar-EG"/>
        </w:rPr>
        <w:t xml:space="preserve">, </w:t>
      </w:r>
      <w:r w:rsidRPr="00525D76">
        <w:rPr>
          <w:rFonts w:ascii="Simplified Arabic" w:eastAsia="Calibri" w:hAnsi="Simplified Arabic" w:cs="Simplified Arabic" w:hint="cs"/>
          <w:i/>
          <w:iCs/>
          <w:sz w:val="28"/>
          <w:szCs w:val="28"/>
          <w:lang w:bidi="ar-EG"/>
        </w:rPr>
        <w:t>2</w:t>
      </w:r>
      <w:r w:rsidRPr="00525D76">
        <w:rPr>
          <w:rFonts w:ascii="Simplified Arabic" w:eastAsia="Calibri" w:hAnsi="Simplified Arabic" w:cs="Simplified Arabic" w:hint="cs"/>
          <w:sz w:val="28"/>
          <w:szCs w:val="28"/>
          <w:lang w:bidi="ar-EG"/>
        </w:rPr>
        <w:t>(1 (135)), 15-20.</w:t>
      </w:r>
      <w:r w:rsidRPr="00525D76">
        <w:rPr>
          <w:rFonts w:ascii="Simplified Arabic" w:eastAsia="Calibri" w:hAnsi="Simplified Arabic" w:cs="Simplified Arabic" w:hint="cs"/>
          <w:sz w:val="28"/>
          <w:szCs w:val="28"/>
          <w:rtl/>
        </w:rPr>
        <w:t>‏</w:t>
      </w:r>
    </w:p>
    <w:p w14:paraId="3E14C37D" w14:textId="228591E2" w:rsidR="00B1082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rPr>
        <w:t xml:space="preserve">Greco, N., &amp; Mallen, C. (2024). Issues and management strategies in event operational planning. In </w:t>
      </w:r>
      <w:r w:rsidRPr="00525D76">
        <w:rPr>
          <w:rFonts w:ascii="Simplified Arabic" w:eastAsia="Calibri" w:hAnsi="Simplified Arabic" w:cs="Simplified Arabic" w:hint="cs"/>
          <w:i/>
          <w:iCs/>
          <w:sz w:val="28"/>
          <w:szCs w:val="28"/>
        </w:rPr>
        <w:t>Event Management in Sport, Recreation, and Tourism</w:t>
      </w:r>
      <w:r w:rsidRPr="00525D76">
        <w:rPr>
          <w:rFonts w:ascii="Simplified Arabic" w:eastAsia="Calibri" w:hAnsi="Simplified Arabic" w:cs="Simplified Arabic" w:hint="cs"/>
          <w:sz w:val="28"/>
          <w:szCs w:val="28"/>
        </w:rPr>
        <w:t xml:space="preserve"> (pp. 115-135). Routledge.</w:t>
      </w:r>
      <w:r w:rsidRPr="00525D76">
        <w:rPr>
          <w:rFonts w:ascii="Simplified Arabic" w:eastAsia="Calibri" w:hAnsi="Simplified Arabic" w:cs="Simplified Arabic" w:hint="cs"/>
          <w:sz w:val="28"/>
          <w:szCs w:val="28"/>
          <w:rtl/>
        </w:rPr>
        <w:t>‏</w:t>
      </w:r>
    </w:p>
    <w:p w14:paraId="50A4C658" w14:textId="6452F1A5" w:rsidR="00B1082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rPr>
        <w:t xml:space="preserve">Mallen, C. (2024). The event operational planning phase of the event planning model. In </w:t>
      </w:r>
      <w:r w:rsidRPr="00525D76">
        <w:rPr>
          <w:rFonts w:ascii="Simplified Arabic" w:eastAsia="Calibri" w:hAnsi="Simplified Arabic" w:cs="Simplified Arabic" w:hint="cs"/>
          <w:i/>
          <w:iCs/>
          <w:sz w:val="28"/>
          <w:szCs w:val="28"/>
        </w:rPr>
        <w:t>Event Management in Sport, Recreation, and Tourism</w:t>
      </w:r>
      <w:r w:rsidRPr="00525D76">
        <w:rPr>
          <w:rFonts w:ascii="Simplified Arabic" w:eastAsia="Calibri" w:hAnsi="Simplified Arabic" w:cs="Simplified Arabic" w:hint="cs"/>
          <w:sz w:val="28"/>
          <w:szCs w:val="28"/>
        </w:rPr>
        <w:t xml:space="preserve"> (pp. 67-114). Routledge.</w:t>
      </w:r>
      <w:r w:rsidRPr="00525D76">
        <w:rPr>
          <w:rFonts w:ascii="Simplified Arabic" w:eastAsia="Calibri" w:hAnsi="Simplified Arabic" w:cs="Simplified Arabic" w:hint="cs"/>
          <w:sz w:val="28"/>
          <w:szCs w:val="28"/>
          <w:rtl/>
        </w:rPr>
        <w:t>‏</w:t>
      </w:r>
    </w:p>
    <w:p w14:paraId="28F5160B" w14:textId="6C5B1389" w:rsidR="00B1082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rPr>
        <w:t xml:space="preserve">Yao, X., Almatooq, N., Askin, R. G., &amp; Gruber, G. (2022). Capacity planning and production scheduling integration: improving operational efficiency via detailed modelling. </w:t>
      </w:r>
      <w:r w:rsidRPr="00525D76">
        <w:rPr>
          <w:rFonts w:ascii="Simplified Arabic" w:eastAsia="Calibri" w:hAnsi="Simplified Arabic" w:cs="Simplified Arabic" w:hint="cs"/>
          <w:i/>
          <w:iCs/>
          <w:sz w:val="28"/>
          <w:szCs w:val="28"/>
        </w:rPr>
        <w:t>International Journal of Production Research</w:t>
      </w:r>
      <w:r w:rsidRPr="00525D76">
        <w:rPr>
          <w:rFonts w:ascii="Simplified Arabic" w:eastAsia="Calibri" w:hAnsi="Simplified Arabic" w:cs="Simplified Arabic" w:hint="cs"/>
          <w:sz w:val="28"/>
          <w:szCs w:val="28"/>
        </w:rPr>
        <w:t xml:space="preserve">, </w:t>
      </w:r>
      <w:r w:rsidRPr="00525D76">
        <w:rPr>
          <w:rFonts w:ascii="Simplified Arabic" w:eastAsia="Calibri" w:hAnsi="Simplified Arabic" w:cs="Simplified Arabic" w:hint="cs"/>
          <w:i/>
          <w:iCs/>
          <w:sz w:val="28"/>
          <w:szCs w:val="28"/>
        </w:rPr>
        <w:t>60</w:t>
      </w:r>
      <w:r w:rsidRPr="00525D76">
        <w:rPr>
          <w:rFonts w:ascii="Simplified Arabic" w:eastAsia="Calibri" w:hAnsi="Simplified Arabic" w:cs="Simplified Arabic" w:hint="cs"/>
          <w:sz w:val="28"/>
          <w:szCs w:val="28"/>
        </w:rPr>
        <w:t>(24), 7239-7261.</w:t>
      </w:r>
      <w:r w:rsidRPr="00525D76">
        <w:rPr>
          <w:rFonts w:ascii="Simplified Arabic" w:eastAsia="Calibri" w:hAnsi="Simplified Arabic" w:cs="Simplified Arabic" w:hint="cs"/>
          <w:sz w:val="28"/>
          <w:szCs w:val="28"/>
          <w:rtl/>
        </w:rPr>
        <w:t>‏</w:t>
      </w:r>
    </w:p>
    <w:p w14:paraId="5A50D12D" w14:textId="340D1DC9" w:rsidR="00B1082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rPr>
        <w:t xml:space="preserve">Li, G., Li, N., &amp; Sethi, S. P. (2021). Does CSR reduce idiosyncratic risk? Roles of operational efficiency and AI innovation. </w:t>
      </w:r>
      <w:r w:rsidRPr="00525D76">
        <w:rPr>
          <w:rFonts w:ascii="Simplified Arabic" w:eastAsia="Calibri" w:hAnsi="Simplified Arabic" w:cs="Simplified Arabic" w:hint="cs"/>
          <w:i/>
          <w:iCs/>
          <w:sz w:val="28"/>
          <w:szCs w:val="28"/>
        </w:rPr>
        <w:t>Production and Operations Management</w:t>
      </w:r>
      <w:r w:rsidRPr="00525D76">
        <w:rPr>
          <w:rFonts w:ascii="Simplified Arabic" w:eastAsia="Calibri" w:hAnsi="Simplified Arabic" w:cs="Simplified Arabic" w:hint="cs"/>
          <w:sz w:val="28"/>
          <w:szCs w:val="28"/>
        </w:rPr>
        <w:t xml:space="preserve">, </w:t>
      </w:r>
      <w:r w:rsidRPr="00525D76">
        <w:rPr>
          <w:rFonts w:ascii="Simplified Arabic" w:eastAsia="Calibri" w:hAnsi="Simplified Arabic" w:cs="Simplified Arabic" w:hint="cs"/>
          <w:i/>
          <w:iCs/>
          <w:sz w:val="28"/>
          <w:szCs w:val="28"/>
        </w:rPr>
        <w:t>30</w:t>
      </w:r>
      <w:r w:rsidRPr="00525D76">
        <w:rPr>
          <w:rFonts w:ascii="Simplified Arabic" w:eastAsia="Calibri" w:hAnsi="Simplified Arabic" w:cs="Simplified Arabic" w:hint="cs"/>
          <w:sz w:val="28"/>
          <w:szCs w:val="28"/>
        </w:rPr>
        <w:t>(7), 2027-2045.</w:t>
      </w:r>
      <w:r w:rsidRPr="00525D76">
        <w:rPr>
          <w:rFonts w:ascii="Simplified Arabic" w:eastAsia="Calibri" w:hAnsi="Simplified Arabic" w:cs="Simplified Arabic" w:hint="cs"/>
          <w:sz w:val="28"/>
          <w:szCs w:val="28"/>
          <w:rtl/>
        </w:rPr>
        <w:t>‏</w:t>
      </w:r>
    </w:p>
    <w:p w14:paraId="7E76D9AA" w14:textId="518BC432" w:rsidR="00B1082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rPr>
        <w:t xml:space="preserve">Downar, B., Ernstberger, J., Reichelstein, S., Schwenen, S., &amp; Zaklan, A. (2021). The impact of carbon disclosure mandates on emissions and financial operating performance: B. Downar et al. </w:t>
      </w:r>
      <w:r w:rsidRPr="00525D76">
        <w:rPr>
          <w:rFonts w:ascii="Simplified Arabic" w:eastAsia="Calibri" w:hAnsi="Simplified Arabic" w:cs="Simplified Arabic" w:hint="cs"/>
          <w:i/>
          <w:iCs/>
          <w:sz w:val="28"/>
          <w:szCs w:val="28"/>
        </w:rPr>
        <w:t>Review of Accounting Studies</w:t>
      </w:r>
      <w:r w:rsidRPr="00525D76">
        <w:rPr>
          <w:rFonts w:ascii="Simplified Arabic" w:eastAsia="Calibri" w:hAnsi="Simplified Arabic" w:cs="Simplified Arabic" w:hint="cs"/>
          <w:sz w:val="28"/>
          <w:szCs w:val="28"/>
        </w:rPr>
        <w:t xml:space="preserve">, </w:t>
      </w:r>
      <w:r w:rsidRPr="00525D76">
        <w:rPr>
          <w:rFonts w:ascii="Simplified Arabic" w:eastAsia="Calibri" w:hAnsi="Simplified Arabic" w:cs="Simplified Arabic" w:hint="cs"/>
          <w:i/>
          <w:iCs/>
          <w:sz w:val="28"/>
          <w:szCs w:val="28"/>
        </w:rPr>
        <w:t>26</w:t>
      </w:r>
      <w:r w:rsidRPr="00525D76">
        <w:rPr>
          <w:rFonts w:ascii="Simplified Arabic" w:eastAsia="Calibri" w:hAnsi="Simplified Arabic" w:cs="Simplified Arabic" w:hint="cs"/>
          <w:sz w:val="28"/>
          <w:szCs w:val="28"/>
        </w:rPr>
        <w:t>(3), 1137-1175.</w:t>
      </w:r>
    </w:p>
    <w:p w14:paraId="20EB2D3B" w14:textId="4102FB1D" w:rsidR="00B1082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rPr>
        <w:t xml:space="preserve">Fantozzi, I. C., Santolamazza, A., Loy, G., &amp; Schiraldi, M. M. (2025). Digital twins: Strategic guide to utilize digital twins to improve operational efficiency in Industry 4.0. </w:t>
      </w:r>
      <w:r w:rsidRPr="00525D76">
        <w:rPr>
          <w:rFonts w:ascii="Simplified Arabic" w:eastAsia="Calibri" w:hAnsi="Simplified Arabic" w:cs="Simplified Arabic" w:hint="cs"/>
          <w:i/>
          <w:iCs/>
          <w:sz w:val="28"/>
          <w:szCs w:val="28"/>
        </w:rPr>
        <w:t>Future Internet</w:t>
      </w:r>
      <w:r w:rsidRPr="00525D76">
        <w:rPr>
          <w:rFonts w:ascii="Simplified Arabic" w:eastAsia="Calibri" w:hAnsi="Simplified Arabic" w:cs="Simplified Arabic" w:hint="cs"/>
          <w:sz w:val="28"/>
          <w:szCs w:val="28"/>
        </w:rPr>
        <w:t xml:space="preserve">, </w:t>
      </w:r>
      <w:r w:rsidRPr="00525D76">
        <w:rPr>
          <w:rFonts w:ascii="Simplified Arabic" w:eastAsia="Calibri" w:hAnsi="Simplified Arabic" w:cs="Simplified Arabic" w:hint="cs"/>
          <w:i/>
          <w:iCs/>
          <w:sz w:val="28"/>
          <w:szCs w:val="28"/>
        </w:rPr>
        <w:t>17</w:t>
      </w:r>
      <w:r w:rsidRPr="00525D76">
        <w:rPr>
          <w:rFonts w:ascii="Simplified Arabic" w:eastAsia="Calibri" w:hAnsi="Simplified Arabic" w:cs="Simplified Arabic" w:hint="cs"/>
          <w:sz w:val="28"/>
          <w:szCs w:val="28"/>
        </w:rPr>
        <w:t>(1), 41.</w:t>
      </w:r>
      <w:r w:rsidRPr="00525D76">
        <w:rPr>
          <w:rFonts w:ascii="Simplified Arabic" w:eastAsia="Calibri" w:hAnsi="Simplified Arabic" w:cs="Simplified Arabic" w:hint="cs"/>
          <w:sz w:val="28"/>
          <w:szCs w:val="28"/>
          <w:rtl/>
        </w:rPr>
        <w:t>‏</w:t>
      </w:r>
    </w:p>
    <w:p w14:paraId="2B6FE046" w14:textId="53B7AA21" w:rsidR="00B1082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rPr>
        <w:lastRenderedPageBreak/>
        <w:t xml:space="preserve">Helo, P., &amp; Hao, Y. (2022). Artificial intelligence in operations management and supply chain management: an exploratory case study. </w:t>
      </w:r>
      <w:r w:rsidRPr="00525D76">
        <w:rPr>
          <w:rFonts w:ascii="Simplified Arabic" w:eastAsia="Calibri" w:hAnsi="Simplified Arabic" w:cs="Simplified Arabic" w:hint="cs"/>
          <w:i/>
          <w:iCs/>
          <w:sz w:val="28"/>
          <w:szCs w:val="28"/>
        </w:rPr>
        <w:t>Production planning &amp; control</w:t>
      </w:r>
      <w:r w:rsidRPr="00525D76">
        <w:rPr>
          <w:rFonts w:ascii="Simplified Arabic" w:eastAsia="Calibri" w:hAnsi="Simplified Arabic" w:cs="Simplified Arabic" w:hint="cs"/>
          <w:sz w:val="28"/>
          <w:szCs w:val="28"/>
        </w:rPr>
        <w:t xml:space="preserve">, </w:t>
      </w:r>
      <w:r w:rsidRPr="00525D76">
        <w:rPr>
          <w:rFonts w:ascii="Simplified Arabic" w:eastAsia="Calibri" w:hAnsi="Simplified Arabic" w:cs="Simplified Arabic" w:hint="cs"/>
          <w:i/>
          <w:iCs/>
          <w:sz w:val="28"/>
          <w:szCs w:val="28"/>
        </w:rPr>
        <w:t>33</w:t>
      </w:r>
      <w:r w:rsidRPr="00525D76">
        <w:rPr>
          <w:rFonts w:ascii="Simplified Arabic" w:eastAsia="Calibri" w:hAnsi="Simplified Arabic" w:cs="Simplified Arabic" w:hint="cs"/>
          <w:sz w:val="28"/>
          <w:szCs w:val="28"/>
        </w:rPr>
        <w:t>(16), 1573-1590</w:t>
      </w:r>
    </w:p>
    <w:p w14:paraId="4DBF2A01" w14:textId="5BEEF8E7" w:rsidR="00B1082E" w:rsidRPr="00525D76" w:rsidRDefault="00B1082E">
      <w:pPr>
        <w:pStyle w:val="a6"/>
        <w:numPr>
          <w:ilvl w:val="0"/>
          <w:numId w:val="11"/>
        </w:numPr>
        <w:bidi w:val="0"/>
        <w:spacing w:line="276" w:lineRule="auto"/>
        <w:jc w:val="both"/>
        <w:rPr>
          <w:rFonts w:ascii="Simplified Arabic" w:eastAsia="Calibri" w:hAnsi="Simplified Arabic" w:cs="Simplified Arabic"/>
          <w:sz w:val="28"/>
          <w:szCs w:val="28"/>
        </w:rPr>
      </w:pPr>
      <w:r w:rsidRPr="00525D76">
        <w:rPr>
          <w:rFonts w:ascii="Simplified Arabic" w:eastAsia="Calibri" w:hAnsi="Simplified Arabic" w:cs="Simplified Arabic" w:hint="cs"/>
          <w:sz w:val="28"/>
          <w:szCs w:val="28"/>
        </w:rPr>
        <w:t xml:space="preserve">Jackson, I., Ivanov, D., Dolgui, A., &amp; Namdar, J. (2024). Generative artificial intelligence in supply chain and operations management: a capability-based framework for analysis and implementation. </w:t>
      </w:r>
      <w:r w:rsidRPr="00525D76">
        <w:rPr>
          <w:rFonts w:ascii="Simplified Arabic" w:eastAsia="Calibri" w:hAnsi="Simplified Arabic" w:cs="Simplified Arabic" w:hint="cs"/>
          <w:i/>
          <w:iCs/>
          <w:sz w:val="28"/>
          <w:szCs w:val="28"/>
        </w:rPr>
        <w:t>International Journal of Production Research</w:t>
      </w:r>
      <w:r w:rsidRPr="00525D76">
        <w:rPr>
          <w:rFonts w:ascii="Simplified Arabic" w:eastAsia="Calibri" w:hAnsi="Simplified Arabic" w:cs="Simplified Arabic" w:hint="cs"/>
          <w:sz w:val="28"/>
          <w:szCs w:val="28"/>
        </w:rPr>
        <w:t xml:space="preserve">, </w:t>
      </w:r>
      <w:r w:rsidRPr="00525D76">
        <w:rPr>
          <w:rFonts w:ascii="Simplified Arabic" w:eastAsia="Calibri" w:hAnsi="Simplified Arabic" w:cs="Simplified Arabic" w:hint="cs"/>
          <w:i/>
          <w:iCs/>
          <w:sz w:val="28"/>
          <w:szCs w:val="28"/>
        </w:rPr>
        <w:t>62</w:t>
      </w:r>
      <w:r w:rsidRPr="00525D76">
        <w:rPr>
          <w:rFonts w:ascii="Simplified Arabic" w:eastAsia="Calibri" w:hAnsi="Simplified Arabic" w:cs="Simplified Arabic" w:hint="cs"/>
          <w:sz w:val="28"/>
          <w:szCs w:val="28"/>
        </w:rPr>
        <w:t>(17), 6120-6145</w:t>
      </w:r>
    </w:p>
    <w:p w14:paraId="2B603E94" w14:textId="77777777" w:rsidR="00B1082E" w:rsidRPr="00525D76" w:rsidRDefault="00B1082E" w:rsidP="00525D76">
      <w:pPr>
        <w:bidi w:val="0"/>
        <w:spacing w:line="276" w:lineRule="auto"/>
        <w:ind w:left="360"/>
        <w:jc w:val="both"/>
        <w:rPr>
          <w:rFonts w:ascii="Simplified Arabic" w:eastAsia="Calibri" w:hAnsi="Simplified Arabic" w:cs="Simplified Arabic"/>
          <w:sz w:val="28"/>
          <w:szCs w:val="28"/>
        </w:rPr>
      </w:pPr>
    </w:p>
    <w:p w14:paraId="30E7CA09" w14:textId="25185A56" w:rsidR="00E11F17" w:rsidRPr="00525D76" w:rsidRDefault="00E11F17">
      <w:pPr>
        <w:pStyle w:val="a6"/>
        <w:numPr>
          <w:ilvl w:val="0"/>
          <w:numId w:val="1"/>
        </w:numPr>
        <w:spacing w:line="276" w:lineRule="auto"/>
        <w:jc w:val="both"/>
        <w:rPr>
          <w:rFonts w:ascii="Simplified Arabic" w:eastAsia="Calibri" w:hAnsi="Simplified Arabic" w:cs="Simplified Arabic"/>
          <w:sz w:val="28"/>
          <w:szCs w:val="28"/>
          <w:rtl/>
        </w:rPr>
      </w:pPr>
      <w:r w:rsidRPr="00525D76">
        <w:rPr>
          <w:rFonts w:ascii="Simplified Arabic" w:eastAsia="Calibri" w:hAnsi="Simplified Arabic" w:cs="Simplified Arabic" w:hint="cs"/>
          <w:sz w:val="28"/>
          <w:szCs w:val="28"/>
          <w:rtl/>
        </w:rPr>
        <w:br w:type="page"/>
      </w:r>
    </w:p>
    <w:p w14:paraId="29D4231B" w14:textId="71AF7253" w:rsidR="0081623B" w:rsidRPr="00525D76" w:rsidRDefault="00E27D3B" w:rsidP="00525D76">
      <w:pPr>
        <w:bidi w:val="0"/>
        <w:spacing w:line="276" w:lineRule="auto"/>
        <w:jc w:val="both"/>
        <w:rPr>
          <w:rFonts w:ascii="Simplified Arabic" w:eastAsia="Calibri" w:hAnsi="Simplified Arabic" w:cs="Simplified Arabic"/>
          <w:kern w:val="0"/>
          <w:sz w:val="28"/>
          <w:szCs w:val="28"/>
          <w:lang w:bidi="ar-EG"/>
          <w14:ligatures w14:val="none"/>
        </w:rPr>
      </w:pPr>
      <w:r w:rsidRPr="00525D76">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525D76">
        <w:rPr>
          <w:rFonts w:ascii="Simplified Arabic" w:eastAsia="Calibri" w:hAnsi="Simplified Arabic" w:cs="Simplified Arabic" w:hint="cs"/>
          <w:kern w:val="0"/>
          <w:sz w:val="28"/>
          <w:szCs w:val="28"/>
          <w:lang w:bidi="ar-EG"/>
          <w14:ligatures w14:val="none"/>
        </w:rPr>
        <w:t>Mid</w:t>
      </w:r>
      <w:r w:rsidR="000D353F" w:rsidRPr="00525D76">
        <w:rPr>
          <w:rFonts w:ascii="Simplified Arabic" w:eastAsia="Calibri" w:hAnsi="Simplified Arabic" w:cs="Simplified Arabic" w:hint="cs"/>
          <w:kern w:val="0"/>
          <w:sz w:val="28"/>
          <w:szCs w:val="28"/>
          <w:lang w:bidi="ar-EG"/>
          <w14:ligatures w14:val="none"/>
        </w:rPr>
        <w:t xml:space="preserve"> </w:t>
      </w:r>
      <w:r w:rsidR="0081623B" w:rsidRPr="00525D76">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525D76" w:rsidRDefault="0081623B" w:rsidP="00525D76">
      <w:pPr>
        <w:bidi w:val="0"/>
        <w:spacing w:line="276" w:lineRule="auto"/>
        <w:jc w:val="both"/>
        <w:rPr>
          <w:rFonts w:ascii="Simplified Arabic" w:eastAsia="Calibri" w:hAnsi="Simplified Arabic" w:cs="Simplified Arabic"/>
          <w:kern w:val="0"/>
          <w:sz w:val="28"/>
          <w:szCs w:val="28"/>
          <w:lang w:bidi="ar-EG"/>
          <w14:ligatures w14:val="none"/>
        </w:rPr>
      </w:pPr>
      <w:r w:rsidRPr="00525D76">
        <w:rPr>
          <w:rFonts w:ascii="Simplified Arabic" w:eastAsia="Calibri" w:hAnsi="Simplified Arabic" w:cs="Simplified Arabic" w:hint="cs"/>
          <w:kern w:val="0"/>
          <w:sz w:val="28"/>
          <w:szCs w:val="28"/>
          <w:lang w:bidi="ar-EG"/>
          <w14:ligatures w14:val="none"/>
        </w:rPr>
        <w:t>College of Management</w:t>
      </w:r>
    </w:p>
    <w:p w14:paraId="7DB263AA" w14:textId="77777777" w:rsidR="002C04F8" w:rsidRPr="00525D76" w:rsidRDefault="00857739" w:rsidP="00525D76">
      <w:pPr>
        <w:bidi w:val="0"/>
        <w:spacing w:line="276" w:lineRule="auto"/>
        <w:jc w:val="both"/>
        <w:rPr>
          <w:rFonts w:ascii="Simplified Arabic" w:eastAsia="Calibri" w:hAnsi="Simplified Arabic" w:cs="Simplified Arabic"/>
          <w:b/>
          <w:bCs/>
          <w:kern w:val="0"/>
          <w:sz w:val="28"/>
          <w:szCs w:val="28"/>
          <w14:ligatures w14:val="none"/>
        </w:rPr>
      </w:pPr>
      <w:r w:rsidRPr="00525D76">
        <w:rPr>
          <w:rFonts w:ascii="Simplified Arabic" w:eastAsia="Calibri" w:hAnsi="Simplified Arabic" w:cs="Simplified Arabic" w:hint="cs"/>
          <w:kern w:val="0"/>
          <w:sz w:val="28"/>
          <w:szCs w:val="28"/>
          <w:lang w:bidi="ar-EG"/>
          <w14:ligatures w14:val="none"/>
        </w:rPr>
        <w:t xml:space="preserve">Department of </w:t>
      </w:r>
      <w:r w:rsidR="002C04F8" w:rsidRPr="00525D76">
        <w:rPr>
          <w:rFonts w:ascii="Simplified Arabic" w:eastAsia="Calibri" w:hAnsi="Simplified Arabic" w:cs="Simplified Arabic" w:hint="cs"/>
          <w:kern w:val="0"/>
          <w:sz w:val="28"/>
          <w:szCs w:val="28"/>
          <w14:ligatures w14:val="none"/>
        </w:rPr>
        <w:t>Business Administration</w:t>
      </w:r>
    </w:p>
    <w:p w14:paraId="0479A04F" w14:textId="3FA65AB5" w:rsidR="0081623B" w:rsidRPr="00525D76" w:rsidRDefault="0081623B" w:rsidP="00525D76">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525D76" w:rsidRDefault="00E27D3B" w:rsidP="00525D76">
      <w:pPr>
        <w:bidi w:val="0"/>
        <w:spacing w:line="276" w:lineRule="auto"/>
        <w:jc w:val="both"/>
        <w:rPr>
          <w:rFonts w:ascii="Simplified Arabic" w:eastAsia="Calibri" w:hAnsi="Simplified Arabic" w:cs="Simplified Arabic"/>
          <w:kern w:val="0"/>
          <w:sz w:val="28"/>
          <w:szCs w:val="28"/>
          <w14:ligatures w14:val="none"/>
        </w:rPr>
      </w:pPr>
    </w:p>
    <w:p w14:paraId="62398B36" w14:textId="160CDECF" w:rsidR="0075261E" w:rsidRPr="00525D76" w:rsidRDefault="00B1082E" w:rsidP="00525D76">
      <w:pPr>
        <w:bidi w:val="0"/>
        <w:spacing w:line="276" w:lineRule="auto"/>
        <w:jc w:val="center"/>
        <w:rPr>
          <w:rFonts w:ascii="Simplified Arabic" w:eastAsia="Calibri" w:hAnsi="Simplified Arabic" w:cs="Simplified Arabic"/>
          <w:kern w:val="0"/>
          <w:sz w:val="32"/>
          <w:szCs w:val="32"/>
          <w:lang w:bidi="ar-EG"/>
          <w14:ligatures w14:val="none"/>
        </w:rPr>
      </w:pPr>
      <w:r w:rsidRPr="00525D76">
        <w:rPr>
          <w:rFonts w:ascii="Simplified Arabic" w:eastAsia="Calibri" w:hAnsi="Simplified Arabic" w:cs="Simplified Arabic" w:hint="cs"/>
          <w:b/>
          <w:bCs/>
          <w:kern w:val="0"/>
          <w:sz w:val="32"/>
          <w:szCs w:val="32"/>
          <w:lang w:bidi="ar-EG"/>
          <w14:ligatures w14:val="none"/>
        </w:rPr>
        <w:t>The Impact of Operational Event Planning on Operational Efficiency: A Field Study on Event Management Companies in the Kingdom of Saudi Arabia</w:t>
      </w:r>
    </w:p>
    <w:p w14:paraId="24532F5F" w14:textId="43A9C00D" w:rsidR="000D353F" w:rsidRPr="00525D76" w:rsidRDefault="000D353F" w:rsidP="00525D76">
      <w:pPr>
        <w:bidi w:val="0"/>
        <w:spacing w:line="276" w:lineRule="auto"/>
        <w:jc w:val="center"/>
        <w:rPr>
          <w:rFonts w:ascii="Simplified Arabic" w:eastAsia="Calibri" w:hAnsi="Simplified Arabic" w:cs="Simplified Arabic"/>
          <w:kern w:val="0"/>
          <w:sz w:val="32"/>
          <w:szCs w:val="32"/>
          <w:lang w:bidi="ar-EG"/>
          <w14:ligatures w14:val="none"/>
        </w:rPr>
      </w:pPr>
      <w:r w:rsidRPr="00525D76">
        <w:rPr>
          <w:rFonts w:ascii="Simplified Arabic" w:eastAsia="Calibri" w:hAnsi="Simplified Arabic" w:cs="Simplified Arabic" w:hint="cs"/>
          <w:kern w:val="0"/>
          <w:sz w:val="32"/>
          <w:szCs w:val="32"/>
          <w:lang w:bidi="ar-EG"/>
          <w14:ligatures w14:val="none"/>
        </w:rPr>
        <w:t>Prepared by:</w:t>
      </w:r>
    </w:p>
    <w:p w14:paraId="3CD6D2EC" w14:textId="40632635" w:rsidR="0075261E" w:rsidRPr="00525D76" w:rsidRDefault="00EE6FC9" w:rsidP="00EE6FC9">
      <w:pPr>
        <w:bidi w:val="0"/>
        <w:spacing w:line="276" w:lineRule="auto"/>
        <w:jc w:val="center"/>
        <w:rPr>
          <w:rFonts w:ascii="Simplified Arabic" w:eastAsia="Calibri" w:hAnsi="Simplified Arabic" w:cs="Simplified Arabic"/>
          <w:b/>
          <w:bCs/>
          <w:kern w:val="0"/>
          <w:sz w:val="32"/>
          <w:szCs w:val="32"/>
          <w:rtl/>
          <w:lang w:bidi="ar-EG"/>
          <w14:ligatures w14:val="none"/>
        </w:rPr>
      </w:pPr>
      <w:r w:rsidRPr="00EE6FC9">
        <w:rPr>
          <w:rFonts w:ascii="Simplified Arabic" w:eastAsia="Calibri" w:hAnsi="Simplified Arabic" w:cs="Simplified Arabic"/>
          <w:b/>
          <w:bCs/>
          <w:kern w:val="0"/>
          <w:sz w:val="32"/>
          <w:szCs w:val="32"/>
          <w:lang w:bidi="ar-EG"/>
          <w14:ligatures w14:val="none"/>
        </w:rPr>
        <w:t>Abdulrahman Shmelan Al-Azmi</w:t>
      </w:r>
    </w:p>
    <w:p w14:paraId="2FB973BF" w14:textId="77777777" w:rsidR="0075261E" w:rsidRPr="00525D76" w:rsidRDefault="0075261E" w:rsidP="00525D76">
      <w:pPr>
        <w:bidi w:val="0"/>
        <w:spacing w:line="276" w:lineRule="auto"/>
        <w:jc w:val="center"/>
        <w:rPr>
          <w:rFonts w:ascii="Simplified Arabic" w:eastAsia="Calibri" w:hAnsi="Simplified Arabic" w:cs="Simplified Arabic"/>
          <w:b/>
          <w:bCs/>
          <w:kern w:val="0"/>
          <w:sz w:val="32"/>
          <w:szCs w:val="32"/>
          <w:rtl/>
          <w:lang w:bidi="ar-EG"/>
          <w14:ligatures w14:val="none"/>
        </w:rPr>
      </w:pPr>
    </w:p>
    <w:p w14:paraId="7E38C557" w14:textId="186682ED" w:rsidR="00EA4D81" w:rsidRPr="00525D76" w:rsidRDefault="00EA4D81" w:rsidP="00525D76">
      <w:pPr>
        <w:bidi w:val="0"/>
        <w:spacing w:line="276" w:lineRule="auto"/>
        <w:jc w:val="center"/>
        <w:rPr>
          <w:rFonts w:ascii="Simplified Arabic" w:eastAsia="Calibri" w:hAnsi="Simplified Arabic" w:cs="Simplified Arabic"/>
          <w:kern w:val="0"/>
          <w:sz w:val="32"/>
          <w:szCs w:val="32"/>
          <w:lang w:bidi="ar-EG"/>
          <w14:ligatures w14:val="none"/>
        </w:rPr>
      </w:pPr>
      <w:r w:rsidRPr="00525D76">
        <w:rPr>
          <w:rFonts w:ascii="Simplified Arabic" w:eastAsia="Calibri" w:hAnsi="Simplified Arabic" w:cs="Simplified Arabic" w:hint="cs"/>
          <w:b/>
          <w:bCs/>
          <w:kern w:val="0"/>
          <w:sz w:val="32"/>
          <w:szCs w:val="32"/>
          <w:lang w:bidi="ar-EG"/>
          <w14:ligatures w14:val="none"/>
        </w:rPr>
        <w:t>Supervised by:</w:t>
      </w:r>
    </w:p>
    <w:p w14:paraId="62F7A90B" w14:textId="77777777" w:rsidR="00EA4D81" w:rsidRPr="00525D76" w:rsidRDefault="00EA4D81" w:rsidP="00525D76">
      <w:pPr>
        <w:bidi w:val="0"/>
        <w:spacing w:line="276" w:lineRule="auto"/>
        <w:jc w:val="center"/>
        <w:rPr>
          <w:rFonts w:ascii="Simplified Arabic" w:eastAsia="Calibri" w:hAnsi="Simplified Arabic" w:cs="Simplified Arabic"/>
          <w:kern w:val="0"/>
          <w:sz w:val="32"/>
          <w:szCs w:val="32"/>
          <w:lang w:bidi="ar-EG"/>
          <w14:ligatures w14:val="none"/>
        </w:rPr>
      </w:pPr>
      <w:r w:rsidRPr="00525D76">
        <w:rPr>
          <w:rFonts w:ascii="Simplified Arabic" w:eastAsia="Calibri" w:hAnsi="Simplified Arabic" w:cs="Simplified Arabic" w:hint="cs"/>
          <w:b/>
          <w:bCs/>
          <w:kern w:val="0"/>
          <w:sz w:val="32"/>
          <w:szCs w:val="32"/>
          <w:lang w:bidi="ar-EG"/>
          <w14:ligatures w14:val="none"/>
        </w:rPr>
        <w:t>Dr. Al-Faisal Abdulhamid Mohammed Hassan</w:t>
      </w:r>
    </w:p>
    <w:p w14:paraId="521CF060" w14:textId="77777777" w:rsidR="00EA4D81" w:rsidRPr="00525D76" w:rsidRDefault="00EA4D81" w:rsidP="00525D76">
      <w:pPr>
        <w:bidi w:val="0"/>
        <w:spacing w:line="276" w:lineRule="auto"/>
        <w:jc w:val="center"/>
        <w:rPr>
          <w:rFonts w:ascii="Simplified Arabic" w:eastAsia="Calibri" w:hAnsi="Simplified Arabic" w:cs="Simplified Arabic"/>
          <w:kern w:val="0"/>
          <w:sz w:val="32"/>
          <w:szCs w:val="32"/>
          <w:lang w:bidi="ar-EG"/>
          <w14:ligatures w14:val="none"/>
        </w:rPr>
      </w:pPr>
      <w:r w:rsidRPr="00525D76">
        <w:rPr>
          <w:rFonts w:ascii="Simplified Arabic" w:eastAsia="Calibri" w:hAnsi="Simplified Arabic" w:cs="Simplified Arabic" w:hint="cs"/>
          <w:b/>
          <w:bCs/>
          <w:kern w:val="0"/>
          <w:sz w:val="32"/>
          <w:szCs w:val="32"/>
          <w:lang w:bidi="ar-EG"/>
          <w14:ligatures w14:val="none"/>
        </w:rPr>
        <w:t>Dr. Fayez Jarrad</w:t>
      </w:r>
    </w:p>
    <w:p w14:paraId="6E2FB9A4" w14:textId="77777777" w:rsidR="006C3A4B" w:rsidRPr="00525D76" w:rsidRDefault="006C3A4B" w:rsidP="00525D76">
      <w:pPr>
        <w:bidi w:val="0"/>
        <w:spacing w:line="276" w:lineRule="auto"/>
        <w:jc w:val="center"/>
        <w:rPr>
          <w:rFonts w:ascii="Simplified Arabic" w:eastAsia="Calibri" w:hAnsi="Simplified Arabic" w:cs="Simplified Arabic"/>
          <w:kern w:val="0"/>
          <w:sz w:val="32"/>
          <w:szCs w:val="32"/>
          <w:rtl/>
          <w14:ligatures w14:val="none"/>
        </w:rPr>
      </w:pPr>
    </w:p>
    <w:p w14:paraId="6E52896B" w14:textId="147B8B11" w:rsidR="009125CE" w:rsidRPr="00525D76" w:rsidRDefault="0081623B" w:rsidP="00525D76">
      <w:pPr>
        <w:bidi w:val="0"/>
        <w:spacing w:line="276" w:lineRule="auto"/>
        <w:jc w:val="center"/>
        <w:rPr>
          <w:rFonts w:ascii="Simplified Arabic" w:hAnsi="Simplified Arabic" w:cs="Simplified Arabic"/>
          <w:sz w:val="32"/>
          <w:szCs w:val="32"/>
          <w:rtl/>
        </w:rPr>
      </w:pPr>
      <w:r w:rsidRPr="00525D76">
        <w:rPr>
          <w:rFonts w:ascii="Simplified Arabic" w:eastAsia="Calibri" w:hAnsi="Simplified Arabic" w:cs="Simplified Arabic" w:hint="cs"/>
          <w:kern w:val="0"/>
          <w:sz w:val="32"/>
          <w:szCs w:val="32"/>
          <w:lang w:bidi="ar-EG"/>
          <w14:ligatures w14:val="none"/>
        </w:rPr>
        <w:t>144</w:t>
      </w:r>
      <w:r w:rsidR="008C300E" w:rsidRPr="00525D76">
        <w:rPr>
          <w:rFonts w:ascii="Simplified Arabic" w:eastAsia="Calibri" w:hAnsi="Simplified Arabic" w:cs="Simplified Arabic" w:hint="cs"/>
          <w:kern w:val="0"/>
          <w:sz w:val="32"/>
          <w:szCs w:val="32"/>
          <w:lang w:bidi="ar-EG"/>
          <w14:ligatures w14:val="none"/>
        </w:rPr>
        <w:t>7</w:t>
      </w:r>
      <w:r w:rsidRPr="00525D76">
        <w:rPr>
          <w:rFonts w:ascii="Simplified Arabic" w:eastAsia="Calibri" w:hAnsi="Simplified Arabic" w:cs="Simplified Arabic" w:hint="cs"/>
          <w:kern w:val="0"/>
          <w:sz w:val="32"/>
          <w:szCs w:val="32"/>
          <w:lang w:bidi="ar-EG"/>
          <w14:ligatures w14:val="none"/>
        </w:rPr>
        <w:t>-202</w:t>
      </w:r>
      <w:r w:rsidR="00E27D3B" w:rsidRPr="00525D76">
        <w:rPr>
          <w:rFonts w:ascii="Simplified Arabic" w:eastAsia="Calibri" w:hAnsi="Simplified Arabic" w:cs="Simplified Arabic" w:hint="cs"/>
          <w:kern w:val="0"/>
          <w:sz w:val="32"/>
          <w:szCs w:val="32"/>
          <w:lang w:bidi="ar-EG"/>
          <w14:ligatures w14:val="none"/>
        </w:rPr>
        <w:t>6</w:t>
      </w:r>
    </w:p>
    <w:sectPr w:rsidR="009125CE" w:rsidRPr="00525D76" w:rsidSect="00E27D3B">
      <w:footerReference w:type="default" r:id="rId22"/>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B7602" w14:textId="77777777" w:rsidR="00C408C1" w:rsidRDefault="00C408C1" w:rsidP="009125CE">
      <w:pPr>
        <w:spacing w:after="0" w:line="240" w:lineRule="auto"/>
      </w:pPr>
      <w:r>
        <w:separator/>
      </w:r>
    </w:p>
  </w:endnote>
  <w:endnote w:type="continuationSeparator" w:id="0">
    <w:p w14:paraId="3767E02A" w14:textId="77777777" w:rsidR="00C408C1" w:rsidRDefault="00C408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9FB29" w14:textId="77777777" w:rsidR="00C408C1" w:rsidRDefault="00C408C1" w:rsidP="009125CE">
      <w:pPr>
        <w:spacing w:after="0" w:line="240" w:lineRule="auto"/>
      </w:pPr>
      <w:r>
        <w:separator/>
      </w:r>
    </w:p>
  </w:footnote>
  <w:footnote w:type="continuationSeparator" w:id="0">
    <w:p w14:paraId="0970400B" w14:textId="77777777" w:rsidR="00C408C1" w:rsidRDefault="00C408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5369"/>
    <w:multiLevelType w:val="hybridMultilevel"/>
    <w:tmpl w:val="4DD0BE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B13892"/>
    <w:multiLevelType w:val="multilevel"/>
    <w:tmpl w:val="D4B4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E586C"/>
    <w:multiLevelType w:val="hybridMultilevel"/>
    <w:tmpl w:val="CDB42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C0956"/>
    <w:multiLevelType w:val="multilevel"/>
    <w:tmpl w:val="CB6C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9A2EB3"/>
    <w:multiLevelType w:val="multilevel"/>
    <w:tmpl w:val="950E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791AB5"/>
    <w:multiLevelType w:val="hybridMultilevel"/>
    <w:tmpl w:val="988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54AEF"/>
    <w:multiLevelType w:val="multilevel"/>
    <w:tmpl w:val="D782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E13AD4"/>
    <w:multiLevelType w:val="multilevel"/>
    <w:tmpl w:val="3440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3C2B7B"/>
    <w:multiLevelType w:val="multilevel"/>
    <w:tmpl w:val="91D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354AB0"/>
    <w:multiLevelType w:val="multilevel"/>
    <w:tmpl w:val="05AC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0868DF"/>
    <w:multiLevelType w:val="multilevel"/>
    <w:tmpl w:val="0E84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5613266">
    <w:abstractNumId w:val="5"/>
  </w:num>
  <w:num w:numId="2" w16cid:durableId="1760328299">
    <w:abstractNumId w:val="8"/>
  </w:num>
  <w:num w:numId="3" w16cid:durableId="946884721">
    <w:abstractNumId w:val="4"/>
  </w:num>
  <w:num w:numId="4" w16cid:durableId="2070379934">
    <w:abstractNumId w:val="7"/>
  </w:num>
  <w:num w:numId="5" w16cid:durableId="79453178">
    <w:abstractNumId w:val="9"/>
  </w:num>
  <w:num w:numId="6" w16cid:durableId="206770394">
    <w:abstractNumId w:val="6"/>
  </w:num>
  <w:num w:numId="7" w16cid:durableId="942031602">
    <w:abstractNumId w:val="3"/>
  </w:num>
  <w:num w:numId="8" w16cid:durableId="1480148022">
    <w:abstractNumId w:val="10"/>
  </w:num>
  <w:num w:numId="9" w16cid:durableId="1647737495">
    <w:abstractNumId w:val="1"/>
  </w:num>
  <w:num w:numId="10" w16cid:durableId="1914198666">
    <w:abstractNumId w:val="2"/>
  </w:num>
  <w:num w:numId="11" w16cid:durableId="1260867035">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0F68FD"/>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2D0E"/>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2AE5"/>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41C9"/>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A345A"/>
    <w:rsid w:val="004B118D"/>
    <w:rsid w:val="004B1EF3"/>
    <w:rsid w:val="004B352F"/>
    <w:rsid w:val="004C0303"/>
    <w:rsid w:val="004C202F"/>
    <w:rsid w:val="004C289E"/>
    <w:rsid w:val="004C3BAD"/>
    <w:rsid w:val="004C4331"/>
    <w:rsid w:val="004D1DC4"/>
    <w:rsid w:val="004D23E7"/>
    <w:rsid w:val="004D6581"/>
    <w:rsid w:val="004D6B08"/>
    <w:rsid w:val="004E0760"/>
    <w:rsid w:val="004E07E7"/>
    <w:rsid w:val="004E439C"/>
    <w:rsid w:val="004F1444"/>
    <w:rsid w:val="004F2475"/>
    <w:rsid w:val="004F3AF6"/>
    <w:rsid w:val="00513B3A"/>
    <w:rsid w:val="005146DA"/>
    <w:rsid w:val="0051585E"/>
    <w:rsid w:val="00522010"/>
    <w:rsid w:val="0052581D"/>
    <w:rsid w:val="00525D76"/>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610F"/>
    <w:rsid w:val="005B7D85"/>
    <w:rsid w:val="005D0E3A"/>
    <w:rsid w:val="005D25AE"/>
    <w:rsid w:val="005D2620"/>
    <w:rsid w:val="005D5DB7"/>
    <w:rsid w:val="005E37C2"/>
    <w:rsid w:val="005E4AF3"/>
    <w:rsid w:val="005F2722"/>
    <w:rsid w:val="006020A6"/>
    <w:rsid w:val="006044AD"/>
    <w:rsid w:val="006112DD"/>
    <w:rsid w:val="0061146E"/>
    <w:rsid w:val="00613CE3"/>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1B6"/>
    <w:rsid w:val="006B07CD"/>
    <w:rsid w:val="006B1A48"/>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97D"/>
    <w:rsid w:val="00731DC0"/>
    <w:rsid w:val="00741B9A"/>
    <w:rsid w:val="00745B8C"/>
    <w:rsid w:val="007501C6"/>
    <w:rsid w:val="0075261E"/>
    <w:rsid w:val="007526FA"/>
    <w:rsid w:val="0075485F"/>
    <w:rsid w:val="00754DB9"/>
    <w:rsid w:val="00755053"/>
    <w:rsid w:val="00756A6F"/>
    <w:rsid w:val="00757802"/>
    <w:rsid w:val="00760A35"/>
    <w:rsid w:val="00761868"/>
    <w:rsid w:val="00766D40"/>
    <w:rsid w:val="007739B3"/>
    <w:rsid w:val="007753A5"/>
    <w:rsid w:val="00775634"/>
    <w:rsid w:val="00780E8F"/>
    <w:rsid w:val="0078216A"/>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06"/>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9F7A93"/>
    <w:rsid w:val="00A02DBC"/>
    <w:rsid w:val="00A03FC3"/>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97A"/>
    <w:rsid w:val="00A53CB9"/>
    <w:rsid w:val="00A55EF3"/>
    <w:rsid w:val="00A57461"/>
    <w:rsid w:val="00A71BCE"/>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261A"/>
    <w:rsid w:val="00AE3C7A"/>
    <w:rsid w:val="00AF24F6"/>
    <w:rsid w:val="00AF31BE"/>
    <w:rsid w:val="00AF46DF"/>
    <w:rsid w:val="00AF49EF"/>
    <w:rsid w:val="00B00E95"/>
    <w:rsid w:val="00B04BD9"/>
    <w:rsid w:val="00B05F9C"/>
    <w:rsid w:val="00B1082E"/>
    <w:rsid w:val="00B134E7"/>
    <w:rsid w:val="00B13E94"/>
    <w:rsid w:val="00B15A9E"/>
    <w:rsid w:val="00B15E39"/>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08C1"/>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0306"/>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6FC9"/>
    <w:rsid w:val="00EE7B86"/>
    <w:rsid w:val="00EF118F"/>
    <w:rsid w:val="00EF1733"/>
    <w:rsid w:val="00EF1E9B"/>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3364"/>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 w:type="table" w:styleId="4-5">
    <w:name w:val="Grid Table 4 Accent 5"/>
    <w:basedOn w:val="a1"/>
    <w:uiPriority w:val="49"/>
    <w:rsid w:val="00B00E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932398">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62667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2148">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6957679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754414">
      <w:bodyDiv w:val="1"/>
      <w:marLeft w:val="0"/>
      <w:marRight w:val="0"/>
      <w:marTop w:val="0"/>
      <w:marBottom w:val="0"/>
      <w:divBdr>
        <w:top w:val="none" w:sz="0" w:space="0" w:color="auto"/>
        <w:left w:val="none" w:sz="0" w:space="0" w:color="auto"/>
        <w:bottom w:val="none" w:sz="0" w:space="0" w:color="auto"/>
        <w:right w:val="none" w:sz="0" w:space="0" w:color="auto"/>
      </w:divBdr>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5490828">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744000">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9191983">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06277022">
      <w:bodyDiv w:val="1"/>
      <w:marLeft w:val="0"/>
      <w:marRight w:val="0"/>
      <w:marTop w:val="0"/>
      <w:marBottom w:val="0"/>
      <w:divBdr>
        <w:top w:val="none" w:sz="0" w:space="0" w:color="auto"/>
        <w:left w:val="none" w:sz="0" w:space="0" w:color="auto"/>
        <w:bottom w:val="none" w:sz="0" w:space="0" w:color="auto"/>
        <w:right w:val="none" w:sz="0" w:space="0" w:color="auto"/>
      </w:divBdr>
    </w:div>
    <w:div w:id="131657047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578301">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235330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219166" TargetMode="External"/><Relationship Id="rId18" Type="http://schemas.openxmlformats.org/officeDocument/2006/relationships/hyperlink" Target="http://search.mandumah.com/Record/1167300"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earch.mandumah.com/Record/1510907" TargetMode="External"/><Relationship Id="rId17" Type="http://schemas.openxmlformats.org/officeDocument/2006/relationships/hyperlink" Target="http://search.mandumah.com/Record/1368350" TargetMode="External"/><Relationship Id="rId2" Type="http://schemas.openxmlformats.org/officeDocument/2006/relationships/numbering" Target="numbering.xml"/><Relationship Id="rId16" Type="http://schemas.openxmlformats.org/officeDocument/2006/relationships/hyperlink" Target="http://search.mandumah.com/Record/1605823" TargetMode="External"/><Relationship Id="rId20" Type="http://schemas.openxmlformats.org/officeDocument/2006/relationships/hyperlink" Target="http://search.mandumah.com/Record/15055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09020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219240" TargetMode="External"/><Relationship Id="rId23" Type="http://schemas.openxmlformats.org/officeDocument/2006/relationships/fontTable" Target="fontTable.xml"/><Relationship Id="rId10" Type="http://schemas.openxmlformats.org/officeDocument/2006/relationships/hyperlink" Target="http://search.mandumah.com/Record/1299322" TargetMode="External"/><Relationship Id="rId19" Type="http://schemas.openxmlformats.org/officeDocument/2006/relationships/hyperlink" Target="http://search.mandumah.com/Record/1362429" TargetMode="External"/><Relationship Id="rId4" Type="http://schemas.openxmlformats.org/officeDocument/2006/relationships/settings" Target="settings.xml"/><Relationship Id="rId9" Type="http://schemas.openxmlformats.org/officeDocument/2006/relationships/hyperlink" Target="http://search.mandumah.com/Record/1062992" TargetMode="External"/><Relationship Id="rId14" Type="http://schemas.openxmlformats.org/officeDocument/2006/relationships/hyperlink" Target="http://search.mandumah.com/Record/166292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7941</Words>
  <Characters>45264</Characters>
  <Application>Microsoft Office Word</Application>
  <DocSecurity>0</DocSecurity>
  <Lines>377</Lines>
  <Paragraphs>106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7</cp:revision>
  <cp:lastPrinted>2026-04-04T15:28:00Z</cp:lastPrinted>
  <dcterms:created xsi:type="dcterms:W3CDTF">2026-04-04T10:26:00Z</dcterms:created>
  <dcterms:modified xsi:type="dcterms:W3CDTF">2026-04-04T15:28:00Z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