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D925F" w14:textId="77777777" w:rsidR="00374F08" w:rsidRDefault="00374F08" w:rsidP="00374F08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  <w:t>سليمان الحربي</w:t>
      </w:r>
    </w:p>
    <w:p w14:paraId="2C252393" w14:textId="27555310" w:rsidR="00374F08" w:rsidRPr="00374F08" w:rsidRDefault="00374F08" w:rsidP="00374F08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rtl/>
          <w:lang w:val="en-US"/>
        </w:rPr>
      </w:pPr>
      <w:r w:rsidRPr="00374F08">
        <w:rPr>
          <w:rFonts w:ascii="Times New Roman" w:eastAsia="Times New Roman" w:hAnsi="Times New Roman" w:cs="Times New Roman" w:hint="cs"/>
          <w:b/>
          <w:bCs/>
          <w:sz w:val="28"/>
          <w:szCs w:val="28"/>
          <w:highlight w:val="yellow"/>
          <w:rtl/>
          <w:lang w:val="en-US"/>
        </w:rPr>
        <w:t xml:space="preserve">54 </w:t>
      </w:r>
      <w:proofErr w:type="gramStart"/>
      <w:r w:rsidRPr="00374F08">
        <w:rPr>
          <w:rFonts w:ascii="Times New Roman" w:eastAsia="Times New Roman" w:hAnsi="Times New Roman" w:cs="Times New Roman" w:hint="cs"/>
          <w:b/>
          <w:bCs/>
          <w:sz w:val="28"/>
          <w:szCs w:val="28"/>
          <w:highlight w:val="yellow"/>
          <w:rtl/>
          <w:lang w:val="en-US"/>
        </w:rPr>
        <w:t>صفحة  بدون</w:t>
      </w:r>
      <w:proofErr w:type="gramEnd"/>
      <w:r w:rsidRPr="00374F08">
        <w:rPr>
          <w:rFonts w:ascii="Times New Roman" w:eastAsia="Times New Roman" w:hAnsi="Times New Roman" w:cs="Times New Roman" w:hint="cs"/>
          <w:b/>
          <w:bCs/>
          <w:sz w:val="28"/>
          <w:szCs w:val="28"/>
          <w:highlight w:val="yellow"/>
          <w:rtl/>
          <w:lang w:val="en-US"/>
        </w:rPr>
        <w:t xml:space="preserve"> </w:t>
      </w:r>
      <w:proofErr w:type="spellStart"/>
      <w:r w:rsidRPr="00374F08">
        <w:rPr>
          <w:rFonts w:ascii="Times New Roman" w:eastAsia="Times New Roman" w:hAnsi="Times New Roman" w:cs="Times New Roman" w:hint="cs"/>
          <w:b/>
          <w:bCs/>
          <w:sz w:val="28"/>
          <w:szCs w:val="28"/>
          <w:highlight w:val="yellow"/>
          <w:rtl/>
          <w:lang w:val="en-US"/>
        </w:rPr>
        <w:t>عنوان</w:t>
      </w:r>
      <w:proofErr w:type="gramStart"/>
      <w:r w:rsidRPr="00374F08">
        <w:rPr>
          <w:rFonts w:ascii="Times New Roman" w:eastAsia="Times New Roman" w:hAnsi="Times New Roman" w:cs="Times New Roman" w:hint="cs"/>
          <w:b/>
          <w:bCs/>
          <w:sz w:val="28"/>
          <w:szCs w:val="28"/>
          <w:highlight w:val="yellow"/>
          <w:rtl/>
          <w:lang w:val="en-US"/>
        </w:rPr>
        <w:t>..ما</w:t>
      </w:r>
      <w:proofErr w:type="spellEnd"/>
      <w:proofErr w:type="gramEnd"/>
      <w:r>
        <w:rPr>
          <w:rFonts w:ascii="Times New Roman" w:eastAsia="Times New Roman" w:hAnsi="Times New Roman" w:cs="Times New Roman" w:hint="cs"/>
          <w:b/>
          <w:bCs/>
          <w:sz w:val="28"/>
          <w:szCs w:val="28"/>
          <w:highlight w:val="yellow"/>
          <w:rtl/>
          <w:lang w:val="en-US"/>
        </w:rPr>
        <w:t xml:space="preserve"> </w:t>
      </w:r>
      <w:r w:rsidRPr="00374F08">
        <w:rPr>
          <w:rFonts w:ascii="Times New Roman" w:eastAsia="Times New Roman" w:hAnsi="Times New Roman" w:cs="Times New Roman" w:hint="cs"/>
          <w:b/>
          <w:bCs/>
          <w:sz w:val="28"/>
          <w:szCs w:val="28"/>
          <w:highlight w:val="yellow"/>
          <w:rtl/>
          <w:lang w:val="en-US"/>
        </w:rPr>
        <w:t>هذا؟؟؟؟</w:t>
      </w:r>
    </w:p>
    <w:p w14:paraId="27D288CF" w14:textId="77777777" w:rsidR="00374F08" w:rsidRPr="00374F08" w:rsidRDefault="00374F08" w:rsidP="00374F08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highlight w:val="yellow"/>
          <w:rtl/>
          <w:lang w:val="en-US"/>
        </w:rPr>
      </w:pPr>
      <w:r w:rsidRPr="00374F08">
        <w:rPr>
          <w:rFonts w:ascii="Times New Roman" w:eastAsia="Times New Roman" w:hAnsi="Times New Roman" w:cs="Times New Roman" w:hint="cs"/>
          <w:b/>
          <w:bCs/>
          <w:kern w:val="36"/>
          <w:sz w:val="28"/>
          <w:szCs w:val="28"/>
          <w:highlight w:val="yellow"/>
          <w:rtl/>
          <w:lang w:val="en-US"/>
        </w:rPr>
        <w:t>يجب ومن المهم ان يضع الطالب ما قام به</w:t>
      </w:r>
      <w:r>
        <w:rPr>
          <w:rFonts w:ascii="Times New Roman" w:eastAsia="Times New Roman" w:hAnsi="Times New Roman" w:cs="Times New Roman" w:hint="cs"/>
          <w:b/>
          <w:bCs/>
          <w:kern w:val="36"/>
          <w:sz w:val="28"/>
          <w:szCs w:val="28"/>
          <w:highlight w:val="yellow"/>
          <w:rtl/>
          <w:lang w:val="en-US"/>
        </w:rPr>
        <w:t xml:space="preserve"> ن تعديلات </w:t>
      </w:r>
      <w:r w:rsidRPr="00374F08">
        <w:rPr>
          <w:rFonts w:ascii="Times New Roman" w:eastAsia="Times New Roman" w:hAnsi="Times New Roman" w:cs="Times New Roman" w:hint="cs"/>
          <w:b/>
          <w:bCs/>
          <w:kern w:val="36"/>
          <w:sz w:val="28"/>
          <w:szCs w:val="28"/>
          <w:highlight w:val="yellow"/>
          <w:rtl/>
          <w:lang w:val="en-US"/>
        </w:rPr>
        <w:t xml:space="preserve"> في العامود الاخير </w:t>
      </w:r>
      <w:r w:rsidRPr="00374F08">
        <w:rPr>
          <w:rFonts w:ascii="Times New Roman" w:eastAsia="Times New Roman" w:hAnsi="Times New Roman" w:cs="Times New Roman" w:hint="cs"/>
          <w:b/>
          <w:bCs/>
          <w:kern w:val="36"/>
          <w:sz w:val="28"/>
          <w:szCs w:val="28"/>
          <w:highlight w:val="yellow"/>
          <w:u w:val="single"/>
          <w:rtl/>
          <w:lang w:val="en-US"/>
        </w:rPr>
        <w:t>وداخل متن البحث</w:t>
      </w:r>
      <w:r w:rsidRPr="00374F08">
        <w:rPr>
          <w:rFonts w:ascii="Times New Roman" w:eastAsia="Times New Roman" w:hAnsi="Times New Roman" w:cs="Times New Roman" w:hint="cs"/>
          <w:b/>
          <w:bCs/>
          <w:kern w:val="36"/>
          <w:sz w:val="28"/>
          <w:szCs w:val="28"/>
          <w:highlight w:val="yellow"/>
          <w:rtl/>
          <w:lang w:val="en-US"/>
        </w:rPr>
        <w:t xml:space="preserve"> ايضا باللون الاصفر</w:t>
      </w:r>
    </w:p>
    <w:p w14:paraId="52D72ED6" w14:textId="77777777" w:rsidR="00374F08" w:rsidRPr="00374F08" w:rsidRDefault="00374F08" w:rsidP="00374F08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/>
        </w:rPr>
      </w:pPr>
      <w:r w:rsidRPr="00374F08">
        <w:rPr>
          <w:rFonts w:ascii="Times New Roman" w:eastAsia="Times New Roman" w:hAnsi="Times New Roman" w:cs="Times New Roman" w:hint="cs"/>
          <w:b/>
          <w:bCs/>
          <w:kern w:val="36"/>
          <w:sz w:val="28"/>
          <w:szCs w:val="28"/>
          <w:highlight w:val="yellow"/>
          <w:rtl/>
          <w:lang w:val="en-US"/>
        </w:rPr>
        <w:t>كثير من الامور لم يتم مراجعتها الان لنني لا افهم التقسيم اين من وكيف ولماذا؟؟؟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576"/>
        <w:gridCol w:w="1834"/>
        <w:gridCol w:w="2424"/>
        <w:gridCol w:w="2977"/>
        <w:gridCol w:w="1526"/>
      </w:tblGrid>
      <w:tr w:rsidR="00374F08" w:rsidRPr="00374F08" w14:paraId="4194A655" w14:textId="77777777" w:rsidTr="00374F08">
        <w:tc>
          <w:tcPr>
            <w:tcW w:w="0" w:type="auto"/>
            <w:hideMark/>
          </w:tcPr>
          <w:p w14:paraId="242CA614" w14:textId="77777777" w:rsidR="00374F08" w:rsidRPr="00374F08" w:rsidRDefault="00374F08" w:rsidP="00374F08">
            <w:pPr>
              <w:bidi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رقم</w:t>
            </w:r>
          </w:p>
        </w:tc>
        <w:tc>
          <w:tcPr>
            <w:tcW w:w="0" w:type="auto"/>
            <w:hideMark/>
          </w:tcPr>
          <w:p w14:paraId="5FEC1B0A" w14:textId="77777777" w:rsidR="00374F08" w:rsidRPr="00374F08" w:rsidRDefault="00374F08" w:rsidP="00374F08">
            <w:pPr>
              <w:bidi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النقطة المنتقدة</w:t>
            </w:r>
          </w:p>
        </w:tc>
        <w:tc>
          <w:tcPr>
            <w:tcW w:w="2424" w:type="dxa"/>
            <w:hideMark/>
          </w:tcPr>
          <w:p w14:paraId="7FD63D4C" w14:textId="77777777" w:rsidR="00374F08" w:rsidRPr="00374F08" w:rsidRDefault="00374F08" w:rsidP="00374F08">
            <w:pPr>
              <w:bidi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وصف النقد</w:t>
            </w:r>
          </w:p>
        </w:tc>
        <w:tc>
          <w:tcPr>
            <w:tcW w:w="2977" w:type="dxa"/>
            <w:hideMark/>
          </w:tcPr>
          <w:p w14:paraId="58FA97AD" w14:textId="77777777" w:rsidR="00374F08" w:rsidRPr="00374F08" w:rsidRDefault="00374F08" w:rsidP="00374F08">
            <w:pPr>
              <w:bidi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التوصية والتحسين المطلوب</w:t>
            </w:r>
          </w:p>
        </w:tc>
        <w:tc>
          <w:tcPr>
            <w:tcW w:w="1526" w:type="dxa"/>
          </w:tcPr>
          <w:p w14:paraId="2099A67C" w14:textId="77777777" w:rsidR="00374F08" w:rsidRPr="00374F08" w:rsidRDefault="00374F08" w:rsidP="00374F08">
            <w:pPr>
              <w:bidi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</w:pPr>
            <w:r>
              <w:rPr>
                <w:rFonts w:asciiTheme="majorBidi" w:eastAsia="Times New Roman" w:hAnsiTheme="majorBidi" w:cstheme="majorBidi" w:hint="cs"/>
                <w:b/>
                <w:bCs/>
                <w:sz w:val="32"/>
                <w:szCs w:val="32"/>
                <w:rtl/>
                <w:lang w:val="en-US"/>
              </w:rPr>
              <w:t>ما قام الطاب بعملة</w:t>
            </w:r>
          </w:p>
        </w:tc>
      </w:tr>
      <w:tr w:rsidR="00374F08" w:rsidRPr="00374F08" w14:paraId="3B5AFBEC" w14:textId="77777777" w:rsidTr="00374F08">
        <w:tc>
          <w:tcPr>
            <w:tcW w:w="0" w:type="auto"/>
            <w:hideMark/>
          </w:tcPr>
          <w:p w14:paraId="7EBDE90F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١</w:t>
            </w:r>
          </w:p>
        </w:tc>
        <w:tc>
          <w:tcPr>
            <w:tcW w:w="0" w:type="auto"/>
            <w:hideMark/>
          </w:tcPr>
          <w:p w14:paraId="56A2F103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الفصل بلا بداية ولا نهاية</w:t>
            </w:r>
          </w:p>
        </w:tc>
        <w:tc>
          <w:tcPr>
            <w:tcW w:w="2424" w:type="dxa"/>
            <w:hideMark/>
          </w:tcPr>
          <w:p w14:paraId="4404F700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الفصل يبدأ فجأة وينتهي فجأة، دون مقدمة للفصل أو تمهيد أو تحديد لمحتواه، ودون خاتمة تلخص ما ورد فيه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977" w:type="dxa"/>
            <w:hideMark/>
          </w:tcPr>
          <w:p w14:paraId="0D849EF5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كتابة مقدمة منهجية للفصل وخاتمة تربط الإطار النظري بالدراسة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526" w:type="dxa"/>
          </w:tcPr>
          <w:p w14:paraId="33D2DC52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</w:pPr>
          </w:p>
        </w:tc>
      </w:tr>
      <w:tr w:rsidR="00374F08" w:rsidRPr="00374F08" w14:paraId="6CBDF658" w14:textId="77777777" w:rsidTr="00374F08">
        <w:tc>
          <w:tcPr>
            <w:tcW w:w="0" w:type="auto"/>
            <w:hideMark/>
          </w:tcPr>
          <w:p w14:paraId="2C7F672D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٢</w:t>
            </w:r>
          </w:p>
        </w:tc>
        <w:tc>
          <w:tcPr>
            <w:tcW w:w="0" w:type="auto"/>
            <w:hideMark/>
          </w:tcPr>
          <w:p w14:paraId="2EA5E60A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غياب العناوين الرئيسية والفرعية</w:t>
            </w:r>
          </w:p>
        </w:tc>
        <w:tc>
          <w:tcPr>
            <w:tcW w:w="2424" w:type="dxa"/>
            <w:hideMark/>
          </w:tcPr>
          <w:p w14:paraId="2D76EC6B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لا توجد عناوين واضحة أو تقسيمات علمية، مما يجعل الفصل كتلة نصية واحدة غير مفهومة وغير قابلة للمتابعة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 xml:space="preserve">. </w:t>
            </w:r>
            <w:r w:rsidRPr="00374F08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حقًا… ما هذا؟</w:t>
            </w:r>
          </w:p>
        </w:tc>
        <w:tc>
          <w:tcPr>
            <w:tcW w:w="2977" w:type="dxa"/>
            <w:hideMark/>
          </w:tcPr>
          <w:p w14:paraId="46589618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وضع عناوين رئيسية وفرعية مرتبة حسب المحاور والمنهجية العلمية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526" w:type="dxa"/>
          </w:tcPr>
          <w:p w14:paraId="4F82ECA9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</w:pPr>
          </w:p>
        </w:tc>
      </w:tr>
      <w:tr w:rsidR="00374F08" w:rsidRPr="00374F08" w14:paraId="3DDBC181" w14:textId="77777777" w:rsidTr="00374F08">
        <w:tc>
          <w:tcPr>
            <w:tcW w:w="0" w:type="auto"/>
            <w:hideMark/>
          </w:tcPr>
          <w:p w14:paraId="4EA07DD6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٣</w:t>
            </w:r>
          </w:p>
        </w:tc>
        <w:tc>
          <w:tcPr>
            <w:tcW w:w="0" w:type="auto"/>
            <w:hideMark/>
          </w:tcPr>
          <w:p w14:paraId="7E085BEC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ضعف الهيكلة والبناء العلمي</w:t>
            </w:r>
          </w:p>
        </w:tc>
        <w:tc>
          <w:tcPr>
            <w:tcW w:w="2424" w:type="dxa"/>
            <w:hideMark/>
          </w:tcPr>
          <w:p w14:paraId="21BB5D21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الفصل يبدو كمحتوى مجمّع ومتناقض بلا تنظيم أو منطق تسلسلي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977" w:type="dxa"/>
            <w:hideMark/>
          </w:tcPr>
          <w:p w14:paraId="2BF08026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إعادة بناء الفصل وفق هيكل أكاديمي واضح مقبول في رسائل الدكتوراه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526" w:type="dxa"/>
          </w:tcPr>
          <w:p w14:paraId="4470FE62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</w:pPr>
          </w:p>
        </w:tc>
      </w:tr>
      <w:tr w:rsidR="00374F08" w:rsidRPr="00374F08" w14:paraId="33777D8E" w14:textId="77777777" w:rsidTr="00374F08">
        <w:tc>
          <w:tcPr>
            <w:tcW w:w="0" w:type="auto"/>
            <w:hideMark/>
          </w:tcPr>
          <w:p w14:paraId="329B4BC7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٤</w:t>
            </w:r>
          </w:p>
        </w:tc>
        <w:tc>
          <w:tcPr>
            <w:tcW w:w="0" w:type="auto"/>
            <w:hideMark/>
          </w:tcPr>
          <w:p w14:paraId="0AB6E9F0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عدم الرضا عن الهيكلية العامة</w:t>
            </w:r>
          </w:p>
        </w:tc>
        <w:tc>
          <w:tcPr>
            <w:tcW w:w="2424" w:type="dxa"/>
            <w:hideMark/>
          </w:tcPr>
          <w:p w14:paraId="26394B18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الفصل لا يشبه فصلًا نظريًا لرسالة دكتوراه، ويفتقر تمامًا إلى المعايير العلمية الأساسية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977" w:type="dxa"/>
            <w:hideMark/>
          </w:tcPr>
          <w:p w14:paraId="7F02A651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إعادة صياغة الهيكل العام للفصل واتباع تسلسل منطقي أكاديمي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526" w:type="dxa"/>
          </w:tcPr>
          <w:p w14:paraId="23B36006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</w:pPr>
          </w:p>
        </w:tc>
      </w:tr>
      <w:tr w:rsidR="00374F08" w:rsidRPr="00374F08" w14:paraId="59D8518E" w14:textId="77777777" w:rsidTr="00374F08">
        <w:tc>
          <w:tcPr>
            <w:tcW w:w="0" w:type="auto"/>
            <w:hideMark/>
          </w:tcPr>
          <w:p w14:paraId="0A186CFB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٥</w:t>
            </w:r>
          </w:p>
        </w:tc>
        <w:tc>
          <w:tcPr>
            <w:tcW w:w="0" w:type="auto"/>
            <w:hideMark/>
          </w:tcPr>
          <w:p w14:paraId="66199C18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سوء تقسيم المحتوى</w:t>
            </w:r>
          </w:p>
        </w:tc>
        <w:tc>
          <w:tcPr>
            <w:tcW w:w="2424" w:type="dxa"/>
            <w:hideMark/>
          </w:tcPr>
          <w:p w14:paraId="7F86266C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دمج موضوعات عديدة في فقرات طويلة دون فصل بين 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lastRenderedPageBreak/>
              <w:t>المفاهيم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977" w:type="dxa"/>
            <w:hideMark/>
          </w:tcPr>
          <w:p w14:paraId="587CF80A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lastRenderedPageBreak/>
              <w:t>تقسيم المحتوى إلى وحدات مترابطة مع عناوين فرعية واضحة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526" w:type="dxa"/>
          </w:tcPr>
          <w:p w14:paraId="4D448CBF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</w:pPr>
          </w:p>
        </w:tc>
      </w:tr>
      <w:tr w:rsidR="00374F08" w:rsidRPr="00374F08" w14:paraId="27617329" w14:textId="77777777" w:rsidTr="00374F08">
        <w:tc>
          <w:tcPr>
            <w:tcW w:w="0" w:type="auto"/>
            <w:hideMark/>
          </w:tcPr>
          <w:p w14:paraId="5ABD8A14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٦</w:t>
            </w:r>
          </w:p>
        </w:tc>
        <w:tc>
          <w:tcPr>
            <w:tcW w:w="0" w:type="auto"/>
            <w:hideMark/>
          </w:tcPr>
          <w:p w14:paraId="346704C5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وجود أجزاء غير مفهومة</w:t>
            </w:r>
          </w:p>
        </w:tc>
        <w:tc>
          <w:tcPr>
            <w:tcW w:w="2424" w:type="dxa"/>
            <w:hideMark/>
          </w:tcPr>
          <w:p w14:paraId="6F2EDBCB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بعض الأقسام لا معنى لها أو غير مترابطة أو غير متناسقة مع بقية المحتوى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977" w:type="dxa"/>
            <w:hideMark/>
          </w:tcPr>
          <w:p w14:paraId="73B2FFF7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حذف الأجزاء غير المفهومة أو إعادة صياغتها وربطها بالدراسة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526" w:type="dxa"/>
          </w:tcPr>
          <w:p w14:paraId="3512A56F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</w:pPr>
          </w:p>
        </w:tc>
      </w:tr>
      <w:tr w:rsidR="00374F08" w:rsidRPr="00374F08" w14:paraId="5256DDB4" w14:textId="77777777" w:rsidTr="00374F08">
        <w:tc>
          <w:tcPr>
            <w:tcW w:w="0" w:type="auto"/>
            <w:hideMark/>
          </w:tcPr>
          <w:p w14:paraId="608BAB95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٧</w:t>
            </w:r>
          </w:p>
        </w:tc>
        <w:tc>
          <w:tcPr>
            <w:tcW w:w="0" w:type="auto"/>
            <w:hideMark/>
          </w:tcPr>
          <w:p w14:paraId="69425C1A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طريقة تقسيم الدراسات السابقة غير مفهومة</w:t>
            </w:r>
          </w:p>
        </w:tc>
        <w:tc>
          <w:tcPr>
            <w:tcW w:w="2424" w:type="dxa"/>
            <w:hideMark/>
          </w:tcPr>
          <w:p w14:paraId="31D43DA5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لا يوجد أي نظام تقسيم أو تصنيف للدراسات، والطريقة عشوائية وغير بحثية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977" w:type="dxa"/>
            <w:hideMark/>
          </w:tcPr>
          <w:p w14:paraId="364DA182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تصنيف الدراسات حسب المتغيرات (التحول الرقمي – الشفافية – كفاءة الخدمة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…).</w:t>
            </w:r>
          </w:p>
        </w:tc>
        <w:tc>
          <w:tcPr>
            <w:tcW w:w="1526" w:type="dxa"/>
          </w:tcPr>
          <w:p w14:paraId="5B39C567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</w:pPr>
          </w:p>
        </w:tc>
      </w:tr>
      <w:tr w:rsidR="00374F08" w:rsidRPr="00374F08" w14:paraId="61A87FCB" w14:textId="77777777" w:rsidTr="00374F08">
        <w:tc>
          <w:tcPr>
            <w:tcW w:w="0" w:type="auto"/>
            <w:hideMark/>
          </w:tcPr>
          <w:p w14:paraId="698421B2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٨</w:t>
            </w:r>
          </w:p>
        </w:tc>
        <w:tc>
          <w:tcPr>
            <w:tcW w:w="0" w:type="auto"/>
            <w:hideMark/>
          </w:tcPr>
          <w:p w14:paraId="0D0DABAB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عرض الدراسات السابقة سيئ للغاية</w:t>
            </w:r>
          </w:p>
        </w:tc>
        <w:tc>
          <w:tcPr>
            <w:tcW w:w="2424" w:type="dxa"/>
            <w:hideMark/>
          </w:tcPr>
          <w:p w14:paraId="607F7837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العرض ضعيف، غير أكاديمي، بلا تحليل، ولا مقارنة، ولا تسلسل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977" w:type="dxa"/>
            <w:hideMark/>
          </w:tcPr>
          <w:p w14:paraId="1533BF8F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إعادة كتابة الدراسات بأسلوب أكاديمي تحليلي مهني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526" w:type="dxa"/>
          </w:tcPr>
          <w:p w14:paraId="7D4881CD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</w:pPr>
          </w:p>
        </w:tc>
      </w:tr>
      <w:tr w:rsidR="00374F08" w:rsidRPr="00374F08" w14:paraId="32824BF2" w14:textId="77777777" w:rsidTr="00374F08">
        <w:tc>
          <w:tcPr>
            <w:tcW w:w="0" w:type="auto"/>
            <w:hideMark/>
          </w:tcPr>
          <w:p w14:paraId="183B855C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٩</w:t>
            </w:r>
          </w:p>
        </w:tc>
        <w:tc>
          <w:tcPr>
            <w:tcW w:w="0" w:type="auto"/>
            <w:hideMark/>
          </w:tcPr>
          <w:p w14:paraId="3E77E281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عدم وجود نقد للدراسات</w:t>
            </w:r>
          </w:p>
        </w:tc>
        <w:tc>
          <w:tcPr>
            <w:tcW w:w="2424" w:type="dxa"/>
            <w:hideMark/>
          </w:tcPr>
          <w:p w14:paraId="18393EAA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جميع الدراسات تُعرض كملخصات سطحية بلا أي تقييم علمي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977" w:type="dxa"/>
            <w:hideMark/>
          </w:tcPr>
          <w:p w14:paraId="6725C464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إضافة نقد منهجي يوضح نقاط القوة والضعف لكل دراسة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526" w:type="dxa"/>
          </w:tcPr>
          <w:p w14:paraId="2EEC18DB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</w:pPr>
          </w:p>
        </w:tc>
      </w:tr>
      <w:tr w:rsidR="00374F08" w:rsidRPr="00374F08" w14:paraId="7AF0ACDC" w14:textId="77777777" w:rsidTr="00374F08">
        <w:tc>
          <w:tcPr>
            <w:tcW w:w="0" w:type="auto"/>
            <w:hideMark/>
          </w:tcPr>
          <w:p w14:paraId="4BA85A35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١٠</w:t>
            </w:r>
          </w:p>
        </w:tc>
        <w:tc>
          <w:tcPr>
            <w:tcW w:w="0" w:type="auto"/>
            <w:hideMark/>
          </w:tcPr>
          <w:p w14:paraId="14996E2F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غياب المنهجية والأداة والعينة والمكان</w:t>
            </w:r>
          </w:p>
        </w:tc>
        <w:tc>
          <w:tcPr>
            <w:tcW w:w="2424" w:type="dxa"/>
            <w:hideMark/>
          </w:tcPr>
          <w:p w14:paraId="5D24CD20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الدراسات معروضة بلا تفاصيل منهجية أساسية مما يجعلها غير مفيدة علميًا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977" w:type="dxa"/>
            <w:hideMark/>
          </w:tcPr>
          <w:p w14:paraId="67DE2C79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ذكر (المنهج – الأدوات – المجتمع – العينة – الدولة – النتائج الأساسية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).</w:t>
            </w:r>
          </w:p>
        </w:tc>
        <w:tc>
          <w:tcPr>
            <w:tcW w:w="1526" w:type="dxa"/>
          </w:tcPr>
          <w:p w14:paraId="515D14B8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</w:pPr>
          </w:p>
        </w:tc>
      </w:tr>
      <w:tr w:rsidR="00374F08" w:rsidRPr="00374F08" w14:paraId="009E18C7" w14:textId="77777777" w:rsidTr="00374F08">
        <w:tc>
          <w:tcPr>
            <w:tcW w:w="0" w:type="auto"/>
            <w:hideMark/>
          </w:tcPr>
          <w:p w14:paraId="7E2461D7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١١</w:t>
            </w:r>
          </w:p>
        </w:tc>
        <w:tc>
          <w:tcPr>
            <w:tcW w:w="0" w:type="auto"/>
            <w:hideMark/>
          </w:tcPr>
          <w:p w14:paraId="54CA60ED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خلط الإطار النظري بالدراسات</w:t>
            </w:r>
          </w:p>
        </w:tc>
        <w:tc>
          <w:tcPr>
            <w:tcW w:w="2424" w:type="dxa"/>
            <w:hideMark/>
          </w:tcPr>
          <w:p w14:paraId="72F54C9F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المفاهيم العلمية ممزوجة مع الدراسات السابقة في سياق واحد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977" w:type="dxa"/>
            <w:hideMark/>
          </w:tcPr>
          <w:p w14:paraId="47895883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الفصل الكامل بين الإطار النظري والدراسات السابقة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526" w:type="dxa"/>
          </w:tcPr>
          <w:p w14:paraId="7B157107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</w:pPr>
          </w:p>
        </w:tc>
      </w:tr>
      <w:tr w:rsidR="00374F08" w:rsidRPr="00374F08" w14:paraId="0DC46EBB" w14:textId="77777777" w:rsidTr="00374F08">
        <w:tc>
          <w:tcPr>
            <w:tcW w:w="0" w:type="auto"/>
            <w:hideMark/>
          </w:tcPr>
          <w:p w14:paraId="4C2927E4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١٢</w:t>
            </w:r>
          </w:p>
        </w:tc>
        <w:tc>
          <w:tcPr>
            <w:tcW w:w="0" w:type="auto"/>
            <w:hideMark/>
          </w:tcPr>
          <w:p w14:paraId="61EC2600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عدم ارتباط كبير بموضوع الدراسة</w:t>
            </w:r>
          </w:p>
        </w:tc>
        <w:tc>
          <w:tcPr>
            <w:tcW w:w="2424" w:type="dxa"/>
            <w:hideMark/>
          </w:tcPr>
          <w:p w14:paraId="3B7AC0F1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الكثير من الدراسات لا علاقة لها بقطاع المياه ولا بالتحول الرقمي الحكومي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977" w:type="dxa"/>
            <w:hideMark/>
          </w:tcPr>
          <w:p w14:paraId="6F48A973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حذف الدراسات غير المرتبطة وإضافة دراسات تخدم المتغيرات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526" w:type="dxa"/>
          </w:tcPr>
          <w:p w14:paraId="5199A10E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</w:pPr>
          </w:p>
        </w:tc>
      </w:tr>
      <w:tr w:rsidR="00374F08" w:rsidRPr="00374F08" w14:paraId="6FC783EB" w14:textId="77777777" w:rsidTr="00374F08">
        <w:tc>
          <w:tcPr>
            <w:tcW w:w="0" w:type="auto"/>
            <w:hideMark/>
          </w:tcPr>
          <w:p w14:paraId="43D8AAD7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١٣</w:t>
            </w:r>
          </w:p>
        </w:tc>
        <w:tc>
          <w:tcPr>
            <w:tcW w:w="0" w:type="auto"/>
            <w:hideMark/>
          </w:tcPr>
          <w:p w14:paraId="6A1EC8B4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الإفراط الكبير في عدد الدراسات</w:t>
            </w:r>
          </w:p>
        </w:tc>
        <w:tc>
          <w:tcPr>
            <w:tcW w:w="2424" w:type="dxa"/>
            <w:hideMark/>
          </w:tcPr>
          <w:p w14:paraId="3A068FFC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أكثر من ثلاثين دراسة بلا تنظيم أو حاجة بحثية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977" w:type="dxa"/>
            <w:hideMark/>
          </w:tcPr>
          <w:p w14:paraId="28CE9449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الاختصار والانتقاء بناءً على صلة الدراسة بالموضوع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526" w:type="dxa"/>
          </w:tcPr>
          <w:p w14:paraId="181B70EA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</w:pPr>
          </w:p>
        </w:tc>
      </w:tr>
      <w:tr w:rsidR="00374F08" w:rsidRPr="00374F08" w14:paraId="609D9BF4" w14:textId="77777777" w:rsidTr="00374F08">
        <w:tc>
          <w:tcPr>
            <w:tcW w:w="0" w:type="auto"/>
            <w:hideMark/>
          </w:tcPr>
          <w:p w14:paraId="541CB014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١٤</w:t>
            </w:r>
          </w:p>
        </w:tc>
        <w:tc>
          <w:tcPr>
            <w:tcW w:w="0" w:type="auto"/>
            <w:hideMark/>
          </w:tcPr>
          <w:p w14:paraId="6B9BC3B5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غياب الأساس النظري</w:t>
            </w:r>
          </w:p>
        </w:tc>
        <w:tc>
          <w:tcPr>
            <w:tcW w:w="2424" w:type="dxa"/>
            <w:hideMark/>
          </w:tcPr>
          <w:p w14:paraId="51AFEBCB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عدم استخدام أي نموذج أو نظرية مثل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 xml:space="preserve"> 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lastRenderedPageBreak/>
              <w:t xml:space="preserve">TAM 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أو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 xml:space="preserve"> UTAUT 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أو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 xml:space="preserve"> SERVQUAL.</w:t>
            </w:r>
          </w:p>
        </w:tc>
        <w:tc>
          <w:tcPr>
            <w:tcW w:w="2977" w:type="dxa"/>
            <w:hideMark/>
          </w:tcPr>
          <w:p w14:paraId="64F59A18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lastRenderedPageBreak/>
              <w:t>إدراج النظريات المناسبة وربطها بالمتغيرات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526" w:type="dxa"/>
          </w:tcPr>
          <w:p w14:paraId="3D257245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</w:pPr>
          </w:p>
        </w:tc>
      </w:tr>
      <w:tr w:rsidR="00374F08" w:rsidRPr="00374F08" w14:paraId="3EBE2B11" w14:textId="77777777" w:rsidTr="00374F08">
        <w:tc>
          <w:tcPr>
            <w:tcW w:w="0" w:type="auto"/>
            <w:hideMark/>
          </w:tcPr>
          <w:p w14:paraId="1974C625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١٥</w:t>
            </w:r>
          </w:p>
        </w:tc>
        <w:tc>
          <w:tcPr>
            <w:tcW w:w="0" w:type="auto"/>
            <w:hideMark/>
          </w:tcPr>
          <w:p w14:paraId="2FE23F80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فقرات طويلة وغير أكاديمية</w:t>
            </w:r>
          </w:p>
        </w:tc>
        <w:tc>
          <w:tcPr>
            <w:tcW w:w="2424" w:type="dxa"/>
            <w:hideMark/>
          </w:tcPr>
          <w:p w14:paraId="15AAE4F9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فقرات تمتد لصفحة كاملة بلا تنسيق أو ترابط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977" w:type="dxa"/>
            <w:hideMark/>
          </w:tcPr>
          <w:p w14:paraId="581EE545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إعادة تقسيم الفقرات وصياغتها بلغة أكاديمية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526" w:type="dxa"/>
          </w:tcPr>
          <w:p w14:paraId="344E667A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</w:pPr>
          </w:p>
        </w:tc>
      </w:tr>
      <w:tr w:rsidR="00374F08" w:rsidRPr="00374F08" w14:paraId="535101BF" w14:textId="77777777" w:rsidTr="00374F08">
        <w:tc>
          <w:tcPr>
            <w:tcW w:w="0" w:type="auto"/>
            <w:hideMark/>
          </w:tcPr>
          <w:p w14:paraId="2086EF5D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١٦</w:t>
            </w:r>
          </w:p>
        </w:tc>
        <w:tc>
          <w:tcPr>
            <w:tcW w:w="0" w:type="auto"/>
            <w:hideMark/>
          </w:tcPr>
          <w:p w14:paraId="7399817F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ضعف الصياغة الأكاديمية</w:t>
            </w:r>
          </w:p>
        </w:tc>
        <w:tc>
          <w:tcPr>
            <w:tcW w:w="2424" w:type="dxa"/>
            <w:hideMark/>
          </w:tcPr>
          <w:p w14:paraId="6309E69C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الأسلوب أقرب للسرد والإنشاء، وليس للطرح العلمي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977" w:type="dxa"/>
            <w:hideMark/>
          </w:tcPr>
          <w:p w14:paraId="0DE0EA15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الكتابة بأسلوب علمي رصين مختصر وواضح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526" w:type="dxa"/>
          </w:tcPr>
          <w:p w14:paraId="0880E154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</w:pPr>
          </w:p>
        </w:tc>
      </w:tr>
      <w:tr w:rsidR="00374F08" w:rsidRPr="00374F08" w14:paraId="06B48C3E" w14:textId="77777777" w:rsidTr="00374F08">
        <w:tc>
          <w:tcPr>
            <w:tcW w:w="0" w:type="auto"/>
            <w:hideMark/>
          </w:tcPr>
          <w:p w14:paraId="65BCD8FF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١٧</w:t>
            </w:r>
          </w:p>
        </w:tc>
        <w:tc>
          <w:tcPr>
            <w:tcW w:w="0" w:type="auto"/>
            <w:hideMark/>
          </w:tcPr>
          <w:p w14:paraId="18DD9BF6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عدم وجود جدول للدراسات</w:t>
            </w:r>
          </w:p>
        </w:tc>
        <w:tc>
          <w:tcPr>
            <w:tcW w:w="2424" w:type="dxa"/>
            <w:hideMark/>
          </w:tcPr>
          <w:p w14:paraId="08B4E05F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غياب جدول تلخيصي يعرض أهم المعلومات لكل دراسة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977" w:type="dxa"/>
            <w:hideMark/>
          </w:tcPr>
          <w:p w14:paraId="1E10523D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إعداد جدول دراسات احترافي وفق المعايير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526" w:type="dxa"/>
          </w:tcPr>
          <w:p w14:paraId="732FAAB3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</w:pPr>
          </w:p>
        </w:tc>
      </w:tr>
      <w:tr w:rsidR="00374F08" w:rsidRPr="00374F08" w14:paraId="2F08BB75" w14:textId="77777777" w:rsidTr="00374F08">
        <w:tc>
          <w:tcPr>
            <w:tcW w:w="0" w:type="auto"/>
            <w:hideMark/>
          </w:tcPr>
          <w:p w14:paraId="5774D9B3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١٨</w:t>
            </w:r>
          </w:p>
        </w:tc>
        <w:tc>
          <w:tcPr>
            <w:tcW w:w="0" w:type="auto"/>
            <w:hideMark/>
          </w:tcPr>
          <w:p w14:paraId="38D08431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غياب الفجوة البحثية</w:t>
            </w:r>
          </w:p>
        </w:tc>
        <w:tc>
          <w:tcPr>
            <w:tcW w:w="2424" w:type="dxa"/>
            <w:hideMark/>
          </w:tcPr>
          <w:p w14:paraId="326C0F50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لا توجد فقرة تحدد ما الذي لم تُغطِّه الدراسات وما الذي ستضيفه الدراسة الحالية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977" w:type="dxa"/>
            <w:hideMark/>
          </w:tcPr>
          <w:p w14:paraId="76943CC9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كتابة فقرة الفجوة البحثية بشكل دقيق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526" w:type="dxa"/>
          </w:tcPr>
          <w:p w14:paraId="2FECEB39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</w:pPr>
          </w:p>
        </w:tc>
      </w:tr>
      <w:tr w:rsidR="00374F08" w:rsidRPr="00374F08" w14:paraId="20D72071" w14:textId="77777777" w:rsidTr="00374F08">
        <w:tc>
          <w:tcPr>
            <w:tcW w:w="0" w:type="auto"/>
            <w:hideMark/>
          </w:tcPr>
          <w:p w14:paraId="7D0C317F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١٩</w:t>
            </w:r>
          </w:p>
        </w:tc>
        <w:tc>
          <w:tcPr>
            <w:tcW w:w="0" w:type="auto"/>
            <w:hideMark/>
          </w:tcPr>
          <w:p w14:paraId="57D3C59A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غياب خلاصة الفصل</w:t>
            </w:r>
          </w:p>
        </w:tc>
        <w:tc>
          <w:tcPr>
            <w:tcW w:w="2424" w:type="dxa"/>
            <w:hideMark/>
          </w:tcPr>
          <w:p w14:paraId="72509782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الفصل ينتهي دون ربط أو خلاصة توضح ما تم الوصول إليه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977" w:type="dxa"/>
            <w:hideMark/>
          </w:tcPr>
          <w:p w14:paraId="18D14C04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كتابة خاتمة تحليلية للفصل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526" w:type="dxa"/>
          </w:tcPr>
          <w:p w14:paraId="305DFD9C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</w:pPr>
          </w:p>
        </w:tc>
      </w:tr>
      <w:tr w:rsidR="00374F08" w:rsidRPr="00374F08" w14:paraId="4E71E972" w14:textId="77777777" w:rsidTr="00374F08">
        <w:tc>
          <w:tcPr>
            <w:tcW w:w="0" w:type="auto"/>
            <w:hideMark/>
          </w:tcPr>
          <w:p w14:paraId="78044F90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٢٠</w:t>
            </w:r>
          </w:p>
        </w:tc>
        <w:tc>
          <w:tcPr>
            <w:tcW w:w="0" w:type="auto"/>
            <w:hideMark/>
          </w:tcPr>
          <w:p w14:paraId="586D3036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إدراج دراسات غير ذات صلة</w:t>
            </w:r>
          </w:p>
        </w:tc>
        <w:tc>
          <w:tcPr>
            <w:tcW w:w="2424" w:type="dxa"/>
            <w:hideMark/>
          </w:tcPr>
          <w:p w14:paraId="6FDF6CD8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وجود دراسات من التسويق والأغذية والطاقة وغيرها بلا علاقة بموضوع الرسالة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977" w:type="dxa"/>
            <w:hideMark/>
          </w:tcPr>
          <w:p w14:paraId="695F8384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حذفها بالكامل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526" w:type="dxa"/>
          </w:tcPr>
          <w:p w14:paraId="10455245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</w:pPr>
          </w:p>
        </w:tc>
      </w:tr>
      <w:tr w:rsidR="00374F08" w:rsidRPr="00374F08" w14:paraId="63E72158" w14:textId="77777777" w:rsidTr="00374F08">
        <w:tc>
          <w:tcPr>
            <w:tcW w:w="0" w:type="auto"/>
            <w:hideMark/>
          </w:tcPr>
          <w:p w14:paraId="0315A617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٢١</w:t>
            </w:r>
          </w:p>
        </w:tc>
        <w:tc>
          <w:tcPr>
            <w:tcW w:w="0" w:type="auto"/>
            <w:hideMark/>
          </w:tcPr>
          <w:p w14:paraId="70917481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غياب الربط بالقطاع الحكومي</w:t>
            </w:r>
          </w:p>
        </w:tc>
        <w:tc>
          <w:tcPr>
            <w:tcW w:w="2424" w:type="dxa"/>
            <w:hideMark/>
          </w:tcPr>
          <w:p w14:paraId="172F62E4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الاعتماد على دراسات مصرفية وتجارية بدلاً من دراسات حكومية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977" w:type="dxa"/>
            <w:hideMark/>
          </w:tcPr>
          <w:p w14:paraId="0FF19022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إدراج دراسات سعودية وخليجية عن التحول الرقمي في الخدمات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526" w:type="dxa"/>
          </w:tcPr>
          <w:p w14:paraId="413330E2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</w:pPr>
          </w:p>
        </w:tc>
      </w:tr>
      <w:tr w:rsidR="00374F08" w:rsidRPr="00374F08" w14:paraId="3AEF9122" w14:textId="77777777" w:rsidTr="00374F08">
        <w:tc>
          <w:tcPr>
            <w:tcW w:w="0" w:type="auto"/>
            <w:hideMark/>
          </w:tcPr>
          <w:p w14:paraId="34F7259B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٢٢</w:t>
            </w:r>
          </w:p>
        </w:tc>
        <w:tc>
          <w:tcPr>
            <w:tcW w:w="0" w:type="auto"/>
            <w:hideMark/>
          </w:tcPr>
          <w:p w14:paraId="086A6FB9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محتوى زائد وغير ضروري</w:t>
            </w:r>
          </w:p>
        </w:tc>
        <w:tc>
          <w:tcPr>
            <w:tcW w:w="2424" w:type="dxa"/>
            <w:hideMark/>
          </w:tcPr>
          <w:p w14:paraId="764CB976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إدراج تكنولوجيا متعددة لا علاقة لها بالبحث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977" w:type="dxa"/>
            <w:hideMark/>
          </w:tcPr>
          <w:p w14:paraId="7873D8FA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التركيز على المتغيرات فقط</w:t>
            </w:r>
            <w:r w:rsidRPr="00374F08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526" w:type="dxa"/>
          </w:tcPr>
          <w:p w14:paraId="0F57EB6E" w14:textId="77777777" w:rsidR="00374F08" w:rsidRPr="00374F08" w:rsidRDefault="00374F08" w:rsidP="00374F08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</w:pPr>
          </w:p>
        </w:tc>
      </w:tr>
    </w:tbl>
    <w:p w14:paraId="139FABB5" w14:textId="77777777" w:rsidR="00374F08" w:rsidRPr="00374F08" w:rsidRDefault="00374F08" w:rsidP="00374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F8AF6DF" w14:textId="77777777" w:rsidR="007419CC" w:rsidRDefault="007419CC" w:rsidP="00374F08">
      <w:pPr>
        <w:bidi/>
        <w:rPr>
          <w:rtl/>
        </w:rPr>
      </w:pPr>
    </w:p>
    <w:p w14:paraId="412DCB16" w14:textId="77777777" w:rsidR="00374F08" w:rsidRDefault="00374F08" w:rsidP="00374F08">
      <w:pPr>
        <w:bidi/>
        <w:rPr>
          <w:rtl/>
        </w:rPr>
      </w:pPr>
    </w:p>
    <w:p w14:paraId="14D4F16C" w14:textId="77777777" w:rsidR="00374F08" w:rsidRPr="00374F08" w:rsidRDefault="00374F08" w:rsidP="00374F08">
      <w:pPr>
        <w:bidi/>
        <w:rPr>
          <w:b/>
          <w:bCs/>
          <w:sz w:val="32"/>
          <w:szCs w:val="32"/>
          <w:lang w:val="en-US"/>
        </w:rPr>
      </w:pPr>
      <w:r w:rsidRPr="00374F08">
        <w:rPr>
          <w:rFonts w:hint="cs"/>
          <w:b/>
          <w:bCs/>
          <w:sz w:val="32"/>
          <w:szCs w:val="32"/>
          <w:highlight w:val="yellow"/>
          <w:rtl/>
          <w:lang w:val="en-US"/>
        </w:rPr>
        <w:lastRenderedPageBreak/>
        <w:t>اتبع تقسيم مثل هذا</w:t>
      </w:r>
    </w:p>
    <w:p w14:paraId="483E7B53" w14:textId="77777777" w:rsidR="00374F08" w:rsidRDefault="00374F08" w:rsidP="00374F08">
      <w:pPr>
        <w:bidi/>
        <w:rPr>
          <w:rFonts w:asciiTheme="majorBidi" w:hAnsiTheme="majorBidi" w:cstheme="majorBidi"/>
          <w:sz w:val="24"/>
          <w:szCs w:val="24"/>
          <w:rtl/>
        </w:rPr>
      </w:pPr>
    </w:p>
    <w:p w14:paraId="200DF6BF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rtl/>
        </w:rPr>
        <w:t>التقسيم المنهجي المثالي للفصل الثاني</w:t>
      </w:r>
    </w:p>
    <w:p w14:paraId="52BFBDD3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rtl/>
        </w:rPr>
        <w:t>المحور الأول: الإطار النظري للدراسة</w:t>
      </w:r>
    </w:p>
    <w:p w14:paraId="20E22996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rtl/>
        </w:rPr>
        <w:t>١</w:t>
      </w: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. </w:t>
      </w:r>
      <w:r w:rsidRPr="00374F08">
        <w:rPr>
          <w:rFonts w:asciiTheme="majorBidi" w:hAnsiTheme="majorBidi" w:cstheme="majorBidi"/>
          <w:sz w:val="24"/>
          <w:szCs w:val="24"/>
          <w:rtl/>
        </w:rPr>
        <w:t>التحول الرقمي</w:t>
      </w: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 Digital Transformation</w:t>
      </w:r>
    </w:p>
    <w:p w14:paraId="1F62227B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• </w:t>
      </w:r>
      <w:r w:rsidRPr="00374F08">
        <w:rPr>
          <w:rFonts w:asciiTheme="majorBidi" w:hAnsiTheme="majorBidi" w:cstheme="majorBidi"/>
          <w:sz w:val="24"/>
          <w:szCs w:val="24"/>
          <w:rtl/>
        </w:rPr>
        <w:t>مفهوم التحول الرقمي</w:t>
      </w:r>
    </w:p>
    <w:p w14:paraId="12D18B00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• </w:t>
      </w:r>
      <w:r w:rsidRPr="00374F08">
        <w:rPr>
          <w:rFonts w:asciiTheme="majorBidi" w:hAnsiTheme="majorBidi" w:cstheme="majorBidi"/>
          <w:sz w:val="24"/>
          <w:szCs w:val="24"/>
          <w:rtl/>
        </w:rPr>
        <w:t>أهمية التحول الرقمي في الخدمات الحكومية</w:t>
      </w:r>
    </w:p>
    <w:p w14:paraId="0BCE28F7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• </w:t>
      </w:r>
      <w:r w:rsidRPr="00374F08">
        <w:rPr>
          <w:rFonts w:asciiTheme="majorBidi" w:hAnsiTheme="majorBidi" w:cstheme="majorBidi"/>
          <w:sz w:val="24"/>
          <w:szCs w:val="24"/>
          <w:rtl/>
        </w:rPr>
        <w:t>مجالات وتطبيقات التحول الرقمي في قطاع المياه</w:t>
      </w:r>
    </w:p>
    <w:p w14:paraId="7F06346A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• </w:t>
      </w:r>
      <w:r w:rsidRPr="00374F08">
        <w:rPr>
          <w:rFonts w:asciiTheme="majorBidi" w:hAnsiTheme="majorBidi" w:cstheme="majorBidi"/>
          <w:sz w:val="24"/>
          <w:szCs w:val="24"/>
          <w:rtl/>
        </w:rPr>
        <w:t>متطلبات نجاح التحول الرقمي</w:t>
      </w:r>
    </w:p>
    <w:p w14:paraId="2C15B88D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• </w:t>
      </w:r>
      <w:r w:rsidRPr="00374F08">
        <w:rPr>
          <w:rFonts w:asciiTheme="majorBidi" w:hAnsiTheme="majorBidi" w:cstheme="majorBidi"/>
          <w:sz w:val="24"/>
          <w:szCs w:val="24"/>
          <w:rtl/>
        </w:rPr>
        <w:t>تحديات التحول الرقمي في المؤسسات الخدمية</w:t>
      </w:r>
    </w:p>
    <w:p w14:paraId="5855BE61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</w:p>
    <w:p w14:paraId="6C75822D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rtl/>
        </w:rPr>
        <w:t>٢</w:t>
      </w: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. </w:t>
      </w:r>
      <w:r w:rsidRPr="00374F08">
        <w:rPr>
          <w:rFonts w:asciiTheme="majorBidi" w:hAnsiTheme="majorBidi" w:cstheme="majorBidi"/>
          <w:sz w:val="24"/>
          <w:szCs w:val="24"/>
          <w:rtl/>
        </w:rPr>
        <w:t>التطبيقات الذكية</w:t>
      </w: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 Smart Applications</w:t>
      </w:r>
    </w:p>
    <w:p w14:paraId="730FEA9C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• </w:t>
      </w:r>
      <w:r w:rsidRPr="00374F08">
        <w:rPr>
          <w:rFonts w:asciiTheme="majorBidi" w:hAnsiTheme="majorBidi" w:cstheme="majorBidi"/>
          <w:sz w:val="24"/>
          <w:szCs w:val="24"/>
          <w:rtl/>
        </w:rPr>
        <w:t>مفهوم التطبيقات الذكية</w:t>
      </w:r>
    </w:p>
    <w:p w14:paraId="44A86306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• </w:t>
      </w:r>
      <w:r w:rsidRPr="00374F08">
        <w:rPr>
          <w:rFonts w:asciiTheme="majorBidi" w:hAnsiTheme="majorBidi" w:cstheme="majorBidi"/>
          <w:sz w:val="24"/>
          <w:szCs w:val="24"/>
          <w:rtl/>
        </w:rPr>
        <w:t>خصائص التطبيقات الذكية في الخدمة الحكومية</w:t>
      </w:r>
    </w:p>
    <w:p w14:paraId="0AEBBCDE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• </w:t>
      </w:r>
      <w:r w:rsidRPr="00374F08">
        <w:rPr>
          <w:rFonts w:asciiTheme="majorBidi" w:hAnsiTheme="majorBidi" w:cstheme="majorBidi"/>
          <w:sz w:val="24"/>
          <w:szCs w:val="24"/>
          <w:rtl/>
        </w:rPr>
        <w:t>دور التطبيقات الذكية في تحسين تجربة المستفيد</w:t>
      </w:r>
    </w:p>
    <w:p w14:paraId="10B94267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• </w:t>
      </w:r>
      <w:r w:rsidRPr="00374F08">
        <w:rPr>
          <w:rFonts w:asciiTheme="majorBidi" w:hAnsiTheme="majorBidi" w:cstheme="majorBidi"/>
          <w:sz w:val="24"/>
          <w:szCs w:val="24"/>
          <w:rtl/>
        </w:rPr>
        <w:t>التطبيقات الذكية في قطاع المياه (نماذج – أمثلة – استخدامات</w:t>
      </w:r>
      <w:r w:rsidRPr="00374F08">
        <w:rPr>
          <w:rFonts w:asciiTheme="majorBidi" w:hAnsiTheme="majorBidi" w:cstheme="majorBidi"/>
          <w:sz w:val="24"/>
          <w:szCs w:val="24"/>
          <w:lang w:val="en-US"/>
        </w:rPr>
        <w:t>)</w:t>
      </w:r>
    </w:p>
    <w:p w14:paraId="2E353446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</w:p>
    <w:p w14:paraId="4A232683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rtl/>
        </w:rPr>
        <w:t>٣</w:t>
      </w: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. </w:t>
      </w:r>
      <w:r w:rsidRPr="00374F08">
        <w:rPr>
          <w:rFonts w:asciiTheme="majorBidi" w:hAnsiTheme="majorBidi" w:cstheme="majorBidi"/>
          <w:sz w:val="24"/>
          <w:szCs w:val="24"/>
          <w:rtl/>
        </w:rPr>
        <w:t>الشفافية الإلكترونية</w:t>
      </w: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 Digital Transparency</w:t>
      </w:r>
    </w:p>
    <w:p w14:paraId="41895B90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• </w:t>
      </w:r>
      <w:r w:rsidRPr="00374F08">
        <w:rPr>
          <w:rFonts w:asciiTheme="majorBidi" w:hAnsiTheme="majorBidi" w:cstheme="majorBidi"/>
          <w:sz w:val="24"/>
          <w:szCs w:val="24"/>
          <w:rtl/>
        </w:rPr>
        <w:t>مفهوم الشفافية الإلكترونية</w:t>
      </w:r>
    </w:p>
    <w:p w14:paraId="4D8A7356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• </w:t>
      </w:r>
      <w:r w:rsidRPr="00374F08">
        <w:rPr>
          <w:rFonts w:asciiTheme="majorBidi" w:hAnsiTheme="majorBidi" w:cstheme="majorBidi"/>
          <w:sz w:val="24"/>
          <w:szCs w:val="24"/>
          <w:rtl/>
        </w:rPr>
        <w:t>أهمية الشفافية في الخدمات العامة</w:t>
      </w:r>
    </w:p>
    <w:p w14:paraId="537783C8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• </w:t>
      </w:r>
      <w:r w:rsidRPr="00374F08">
        <w:rPr>
          <w:rFonts w:asciiTheme="majorBidi" w:hAnsiTheme="majorBidi" w:cstheme="majorBidi"/>
          <w:sz w:val="24"/>
          <w:szCs w:val="24"/>
          <w:rtl/>
        </w:rPr>
        <w:t>دور التحول الرقمي في تعزيز الشفافية</w:t>
      </w:r>
    </w:p>
    <w:p w14:paraId="2B076BD2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• </w:t>
      </w:r>
      <w:r w:rsidRPr="00374F08">
        <w:rPr>
          <w:rFonts w:asciiTheme="majorBidi" w:hAnsiTheme="majorBidi" w:cstheme="majorBidi"/>
          <w:sz w:val="24"/>
          <w:szCs w:val="24"/>
          <w:rtl/>
        </w:rPr>
        <w:t>الشفافية في مؤسسات المياه</w:t>
      </w:r>
    </w:p>
    <w:p w14:paraId="56C01ACC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</w:p>
    <w:p w14:paraId="22D0F734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rtl/>
        </w:rPr>
        <w:t>٤</w:t>
      </w: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. </w:t>
      </w:r>
      <w:r w:rsidRPr="00374F08">
        <w:rPr>
          <w:rFonts w:asciiTheme="majorBidi" w:hAnsiTheme="majorBidi" w:cstheme="majorBidi"/>
          <w:sz w:val="24"/>
          <w:szCs w:val="24"/>
          <w:rtl/>
        </w:rPr>
        <w:t>كفاءة خدمة العملاء</w:t>
      </w: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 Customer Service Efficiency</w:t>
      </w:r>
    </w:p>
    <w:p w14:paraId="45A8395E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lang w:val="en-US"/>
        </w:rPr>
        <w:lastRenderedPageBreak/>
        <w:t xml:space="preserve">• </w:t>
      </w:r>
      <w:r w:rsidRPr="00374F08">
        <w:rPr>
          <w:rFonts w:asciiTheme="majorBidi" w:hAnsiTheme="majorBidi" w:cstheme="majorBidi"/>
          <w:sz w:val="24"/>
          <w:szCs w:val="24"/>
          <w:rtl/>
        </w:rPr>
        <w:t>مفهوم كفاءة خدمة العملاء</w:t>
      </w:r>
    </w:p>
    <w:p w14:paraId="61AD9CD2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• </w:t>
      </w:r>
      <w:r w:rsidRPr="00374F08">
        <w:rPr>
          <w:rFonts w:asciiTheme="majorBidi" w:hAnsiTheme="majorBidi" w:cstheme="majorBidi"/>
          <w:sz w:val="24"/>
          <w:szCs w:val="24"/>
          <w:rtl/>
        </w:rPr>
        <w:t>جودة الخدمة الإلكترونية</w:t>
      </w: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 (E-Service Quality)</w:t>
      </w:r>
    </w:p>
    <w:p w14:paraId="5C65FDAD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• </w:t>
      </w:r>
      <w:r w:rsidRPr="00374F08">
        <w:rPr>
          <w:rFonts w:asciiTheme="majorBidi" w:hAnsiTheme="majorBidi" w:cstheme="majorBidi"/>
          <w:sz w:val="24"/>
          <w:szCs w:val="24"/>
          <w:rtl/>
        </w:rPr>
        <w:t>مؤشرات قياس الكفاءة</w:t>
      </w:r>
    </w:p>
    <w:p w14:paraId="4FC1CA6F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• </w:t>
      </w:r>
      <w:r w:rsidRPr="00374F08">
        <w:rPr>
          <w:rFonts w:asciiTheme="majorBidi" w:hAnsiTheme="majorBidi" w:cstheme="majorBidi"/>
          <w:sz w:val="24"/>
          <w:szCs w:val="24"/>
          <w:rtl/>
        </w:rPr>
        <w:t>العلاقة بين الكفاءة الرقمية ورضا المستفيد</w:t>
      </w:r>
    </w:p>
    <w:p w14:paraId="587FF670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</w:p>
    <w:p w14:paraId="401E1907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rtl/>
        </w:rPr>
        <w:t>٥</w:t>
      </w: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. </w:t>
      </w:r>
      <w:r w:rsidRPr="00374F08">
        <w:rPr>
          <w:rFonts w:asciiTheme="majorBidi" w:hAnsiTheme="majorBidi" w:cstheme="majorBidi"/>
          <w:sz w:val="24"/>
          <w:szCs w:val="24"/>
          <w:rtl/>
        </w:rPr>
        <w:t>العلاقة بين المتغيرات</w:t>
      </w:r>
    </w:p>
    <w:p w14:paraId="5DB3026C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• </w:t>
      </w:r>
      <w:r w:rsidRPr="00374F08">
        <w:rPr>
          <w:rFonts w:asciiTheme="majorBidi" w:hAnsiTheme="majorBidi" w:cstheme="majorBidi"/>
          <w:sz w:val="24"/>
          <w:szCs w:val="24"/>
          <w:rtl/>
        </w:rPr>
        <w:t>العلاقة بين التحول الرقمي وكفاءة الخدمة</w:t>
      </w:r>
    </w:p>
    <w:p w14:paraId="3770E41E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• </w:t>
      </w:r>
      <w:r w:rsidRPr="00374F08">
        <w:rPr>
          <w:rFonts w:asciiTheme="majorBidi" w:hAnsiTheme="majorBidi" w:cstheme="majorBidi"/>
          <w:sz w:val="24"/>
          <w:szCs w:val="24"/>
          <w:rtl/>
        </w:rPr>
        <w:t>العلاقة بين التطبيقات الذكية وكفاءة الخدمة</w:t>
      </w:r>
    </w:p>
    <w:p w14:paraId="00EC288C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• </w:t>
      </w:r>
      <w:r w:rsidRPr="00374F08">
        <w:rPr>
          <w:rFonts w:asciiTheme="majorBidi" w:hAnsiTheme="majorBidi" w:cstheme="majorBidi"/>
          <w:sz w:val="24"/>
          <w:szCs w:val="24"/>
          <w:rtl/>
        </w:rPr>
        <w:t>العلاقة بين الشفافية والتحسين المؤسسي</w:t>
      </w:r>
    </w:p>
    <w:p w14:paraId="7EDC2792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• </w:t>
      </w:r>
      <w:r w:rsidRPr="00374F08">
        <w:rPr>
          <w:rFonts w:asciiTheme="majorBidi" w:hAnsiTheme="majorBidi" w:cstheme="majorBidi"/>
          <w:sz w:val="24"/>
          <w:szCs w:val="24"/>
          <w:rtl/>
        </w:rPr>
        <w:t>النموذج النظري للدراسة</w:t>
      </w: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 (TAM / UTAUT / SERVQUAL </w:t>
      </w:r>
      <w:r w:rsidRPr="00374F08">
        <w:rPr>
          <w:rFonts w:asciiTheme="majorBidi" w:hAnsiTheme="majorBidi" w:cstheme="majorBidi"/>
          <w:sz w:val="24"/>
          <w:szCs w:val="24"/>
          <w:rtl/>
        </w:rPr>
        <w:t>أو حسب النموذج المعتمد</w:t>
      </w:r>
      <w:r w:rsidRPr="00374F08">
        <w:rPr>
          <w:rFonts w:asciiTheme="majorBidi" w:hAnsiTheme="majorBidi" w:cstheme="majorBidi"/>
          <w:sz w:val="24"/>
          <w:szCs w:val="24"/>
          <w:lang w:val="en-US"/>
        </w:rPr>
        <w:t>)</w:t>
      </w:r>
    </w:p>
    <w:p w14:paraId="5EE70C64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</w:p>
    <w:p w14:paraId="60D3438D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rtl/>
        </w:rPr>
        <w:t>المحور الثاني: الدراسات السابقة</w:t>
      </w:r>
    </w:p>
    <w:p w14:paraId="23D34F4B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rtl/>
        </w:rPr>
        <w:t>١</w:t>
      </w: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. </w:t>
      </w:r>
      <w:r w:rsidRPr="00374F08">
        <w:rPr>
          <w:rFonts w:asciiTheme="majorBidi" w:hAnsiTheme="majorBidi" w:cstheme="majorBidi"/>
          <w:sz w:val="24"/>
          <w:szCs w:val="24"/>
          <w:rtl/>
        </w:rPr>
        <w:t>دراسات حول التحول الرقمي والخدمات العامة</w:t>
      </w:r>
    </w:p>
    <w:p w14:paraId="7C95A644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lang w:val="en-US"/>
        </w:rPr>
        <w:t>(</w:t>
      </w:r>
      <w:r w:rsidRPr="00374F08">
        <w:rPr>
          <w:rFonts w:asciiTheme="majorBidi" w:hAnsiTheme="majorBidi" w:cstheme="majorBidi"/>
          <w:sz w:val="24"/>
          <w:szCs w:val="24"/>
          <w:rtl/>
        </w:rPr>
        <w:t>الدراسات المرتبطة مباشرة بوزارة المياه أو الخدمات الحكومية المشابهة</w:t>
      </w:r>
      <w:r w:rsidRPr="00374F08">
        <w:rPr>
          <w:rFonts w:asciiTheme="majorBidi" w:hAnsiTheme="majorBidi" w:cstheme="majorBidi"/>
          <w:sz w:val="24"/>
          <w:szCs w:val="24"/>
          <w:lang w:val="en-US"/>
        </w:rPr>
        <w:t>)</w:t>
      </w:r>
    </w:p>
    <w:p w14:paraId="14187D7C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rtl/>
        </w:rPr>
        <w:t>٢</w:t>
      </w: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. </w:t>
      </w:r>
      <w:r w:rsidRPr="00374F08">
        <w:rPr>
          <w:rFonts w:asciiTheme="majorBidi" w:hAnsiTheme="majorBidi" w:cstheme="majorBidi"/>
          <w:sz w:val="24"/>
          <w:szCs w:val="24"/>
          <w:rtl/>
        </w:rPr>
        <w:t>دراسات حول التطبيقات الذكية وتحسين الخدمة</w:t>
      </w:r>
    </w:p>
    <w:p w14:paraId="0A92BE6A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lang w:val="en-US"/>
        </w:rPr>
        <w:t>(</w:t>
      </w:r>
      <w:r w:rsidRPr="00374F08">
        <w:rPr>
          <w:rFonts w:asciiTheme="majorBidi" w:hAnsiTheme="majorBidi" w:cstheme="majorBidi"/>
          <w:sz w:val="24"/>
          <w:szCs w:val="24"/>
          <w:rtl/>
        </w:rPr>
        <w:t>دراسات عن دور التطبيقات في تحسين الخدمة في القطاعات الحكومية والخدمية</w:t>
      </w:r>
      <w:r w:rsidRPr="00374F08">
        <w:rPr>
          <w:rFonts w:asciiTheme="majorBidi" w:hAnsiTheme="majorBidi" w:cstheme="majorBidi"/>
          <w:sz w:val="24"/>
          <w:szCs w:val="24"/>
          <w:lang w:val="en-US"/>
        </w:rPr>
        <w:t>)</w:t>
      </w:r>
    </w:p>
    <w:p w14:paraId="3A9F9D1C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rtl/>
        </w:rPr>
        <w:t>٣</w:t>
      </w: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. </w:t>
      </w:r>
      <w:r w:rsidRPr="00374F08">
        <w:rPr>
          <w:rFonts w:asciiTheme="majorBidi" w:hAnsiTheme="majorBidi" w:cstheme="majorBidi"/>
          <w:sz w:val="24"/>
          <w:szCs w:val="24"/>
          <w:rtl/>
        </w:rPr>
        <w:t>دراسات حول الشفافية الإلكترونية</w:t>
      </w:r>
    </w:p>
    <w:p w14:paraId="185B0248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lang w:val="en-US"/>
        </w:rPr>
        <w:t>(</w:t>
      </w:r>
      <w:r w:rsidRPr="00374F08">
        <w:rPr>
          <w:rFonts w:asciiTheme="majorBidi" w:hAnsiTheme="majorBidi" w:cstheme="majorBidi"/>
          <w:sz w:val="24"/>
          <w:szCs w:val="24"/>
          <w:rtl/>
        </w:rPr>
        <w:t>دراسات تناولت الشفافية في الخدمات الإلكترونية</w:t>
      </w:r>
      <w:r w:rsidRPr="00374F08">
        <w:rPr>
          <w:rFonts w:asciiTheme="majorBidi" w:hAnsiTheme="majorBidi" w:cstheme="majorBidi"/>
          <w:sz w:val="24"/>
          <w:szCs w:val="24"/>
          <w:lang w:val="en-US"/>
        </w:rPr>
        <w:t>)</w:t>
      </w:r>
    </w:p>
    <w:p w14:paraId="76734617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rtl/>
        </w:rPr>
        <w:t>٤</w:t>
      </w: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. </w:t>
      </w:r>
      <w:r w:rsidRPr="00374F08">
        <w:rPr>
          <w:rFonts w:asciiTheme="majorBidi" w:hAnsiTheme="majorBidi" w:cstheme="majorBidi"/>
          <w:sz w:val="24"/>
          <w:szCs w:val="24"/>
          <w:rtl/>
        </w:rPr>
        <w:t>دراسات حول كفاءة خدمة العملاء وجودة الخدمة</w:t>
      </w:r>
    </w:p>
    <w:p w14:paraId="3F54DA90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lang w:val="en-US"/>
        </w:rPr>
        <w:t>(</w:t>
      </w:r>
      <w:r w:rsidRPr="00374F08">
        <w:rPr>
          <w:rFonts w:asciiTheme="majorBidi" w:hAnsiTheme="majorBidi" w:cstheme="majorBidi"/>
          <w:sz w:val="24"/>
          <w:szCs w:val="24"/>
          <w:rtl/>
        </w:rPr>
        <w:t>دراسات تناولت مؤشرات الكفاءة في الخدمات الإلكترونية</w:t>
      </w:r>
      <w:r w:rsidRPr="00374F08">
        <w:rPr>
          <w:rFonts w:asciiTheme="majorBidi" w:hAnsiTheme="majorBidi" w:cstheme="majorBidi"/>
          <w:sz w:val="24"/>
          <w:szCs w:val="24"/>
          <w:lang w:val="en-US"/>
        </w:rPr>
        <w:t>)</w:t>
      </w:r>
    </w:p>
    <w:p w14:paraId="3551AA0B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rtl/>
        </w:rPr>
        <w:t>٥</w:t>
      </w: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. </w:t>
      </w:r>
      <w:r w:rsidRPr="00374F08">
        <w:rPr>
          <w:rFonts w:asciiTheme="majorBidi" w:hAnsiTheme="majorBidi" w:cstheme="majorBidi"/>
          <w:sz w:val="24"/>
          <w:szCs w:val="24"/>
          <w:rtl/>
        </w:rPr>
        <w:t>دراسات ربطت بين المتغيرات الثلاثة</w:t>
      </w:r>
    </w:p>
    <w:p w14:paraId="18F538C6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lang w:val="en-US"/>
        </w:rPr>
        <w:t>(</w:t>
      </w:r>
      <w:r w:rsidRPr="00374F08">
        <w:rPr>
          <w:rFonts w:asciiTheme="majorBidi" w:hAnsiTheme="majorBidi" w:cstheme="majorBidi"/>
          <w:sz w:val="24"/>
          <w:szCs w:val="24"/>
          <w:rtl/>
        </w:rPr>
        <w:t>دراسات دمجت التحول الرقمي + الشفافية + الكفاءة</w:t>
      </w:r>
      <w:r w:rsidRPr="00374F08">
        <w:rPr>
          <w:rFonts w:asciiTheme="majorBidi" w:hAnsiTheme="majorBidi" w:cstheme="majorBidi"/>
          <w:sz w:val="24"/>
          <w:szCs w:val="24"/>
          <w:lang w:val="en-US"/>
        </w:rPr>
        <w:t>)</w:t>
      </w:r>
    </w:p>
    <w:p w14:paraId="128FB011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</w:p>
    <w:p w14:paraId="2D622F21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rtl/>
        </w:rPr>
        <w:t>المحور الثالث: التعليق على الدراسات السابقة</w:t>
      </w:r>
    </w:p>
    <w:p w14:paraId="2AB6CC3F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• </w:t>
      </w:r>
      <w:r w:rsidRPr="00374F08">
        <w:rPr>
          <w:rFonts w:asciiTheme="majorBidi" w:hAnsiTheme="majorBidi" w:cstheme="majorBidi"/>
          <w:sz w:val="24"/>
          <w:szCs w:val="24"/>
          <w:rtl/>
        </w:rPr>
        <w:t>أوجه الاتفاق</w:t>
      </w:r>
    </w:p>
    <w:p w14:paraId="41C65CC3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lang w:val="en-US"/>
        </w:rPr>
        <w:lastRenderedPageBreak/>
        <w:t xml:space="preserve">• </w:t>
      </w:r>
      <w:r w:rsidRPr="00374F08">
        <w:rPr>
          <w:rFonts w:asciiTheme="majorBidi" w:hAnsiTheme="majorBidi" w:cstheme="majorBidi"/>
          <w:sz w:val="24"/>
          <w:szCs w:val="24"/>
          <w:rtl/>
        </w:rPr>
        <w:t>أوجه الاختلاف</w:t>
      </w:r>
    </w:p>
    <w:p w14:paraId="71E17071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• </w:t>
      </w:r>
      <w:r w:rsidRPr="00374F08">
        <w:rPr>
          <w:rFonts w:asciiTheme="majorBidi" w:hAnsiTheme="majorBidi" w:cstheme="majorBidi"/>
          <w:sz w:val="24"/>
          <w:szCs w:val="24"/>
          <w:rtl/>
        </w:rPr>
        <w:t>الاتجاهات العامة في الدراسات</w:t>
      </w:r>
    </w:p>
    <w:p w14:paraId="70A38374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• </w:t>
      </w:r>
      <w:r w:rsidRPr="00374F08">
        <w:rPr>
          <w:rFonts w:asciiTheme="majorBidi" w:hAnsiTheme="majorBidi" w:cstheme="majorBidi"/>
          <w:sz w:val="24"/>
          <w:szCs w:val="24"/>
          <w:rtl/>
        </w:rPr>
        <w:t>الفجوة البحثية</w:t>
      </w:r>
    </w:p>
    <w:p w14:paraId="4BF6E244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r w:rsidRPr="00374F08">
        <w:rPr>
          <w:rFonts w:asciiTheme="majorBidi" w:hAnsiTheme="majorBidi" w:cstheme="majorBidi"/>
          <w:sz w:val="24"/>
          <w:szCs w:val="24"/>
          <w:lang w:val="en-US"/>
        </w:rPr>
        <w:t xml:space="preserve">• </w:t>
      </w:r>
      <w:r w:rsidRPr="00374F08">
        <w:rPr>
          <w:rFonts w:asciiTheme="majorBidi" w:hAnsiTheme="majorBidi" w:cstheme="majorBidi"/>
          <w:sz w:val="24"/>
          <w:szCs w:val="24"/>
          <w:rtl/>
        </w:rPr>
        <w:t>موقع الدراسة الحالية من الدراسات السابقة</w:t>
      </w:r>
    </w:p>
    <w:p w14:paraId="59531E8C" w14:textId="77777777" w:rsidR="00374F08" w:rsidRPr="00374F08" w:rsidRDefault="00374F08" w:rsidP="00374F08">
      <w:pPr>
        <w:bidi/>
        <w:rPr>
          <w:rFonts w:asciiTheme="majorBidi" w:hAnsiTheme="majorBidi" w:cstheme="majorBidi"/>
          <w:sz w:val="24"/>
          <w:szCs w:val="24"/>
          <w:lang w:val="en-US"/>
        </w:rPr>
      </w:pPr>
    </w:p>
    <w:sectPr w:rsidR="00374F08" w:rsidRPr="00374F08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5847CF"/>
    <w:multiLevelType w:val="multilevel"/>
    <w:tmpl w:val="05981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D559F4"/>
    <w:multiLevelType w:val="multilevel"/>
    <w:tmpl w:val="5394D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25612349">
    <w:abstractNumId w:val="1"/>
  </w:num>
  <w:num w:numId="2" w16cid:durableId="224725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7ABC"/>
    <w:rsid w:val="001E4DDA"/>
    <w:rsid w:val="002C64E3"/>
    <w:rsid w:val="00374F08"/>
    <w:rsid w:val="00436844"/>
    <w:rsid w:val="006E04B6"/>
    <w:rsid w:val="007419CC"/>
    <w:rsid w:val="00BA7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5C3A8"/>
  <w15:docId w15:val="{83F2DC25-EF51-40B7-9B60-1A1F71A54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4F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1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794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Sara Mahmoud</cp:lastModifiedBy>
  <cp:revision>5</cp:revision>
  <dcterms:created xsi:type="dcterms:W3CDTF">2025-11-13T16:02:00Z</dcterms:created>
  <dcterms:modified xsi:type="dcterms:W3CDTF">2025-11-16T09:26:00Z</dcterms:modified>
</cp:coreProperties>
</file>