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hint="cs"/>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w:t>
      </w:r>
      <w:proofErr w:type="spellStart"/>
      <w:r w:rsidRPr="0074361C">
        <w:rPr>
          <w:rFonts w:ascii="Sakkal Majalla" w:hAnsi="Sakkal Majalla" w:cs="Sakkal Majalla"/>
          <w:b/>
          <w:bCs/>
          <w:sz w:val="28"/>
          <w:szCs w:val="28"/>
          <w:rtl/>
        </w:rPr>
        <w:t>ميدأوشن</w:t>
      </w:r>
      <w:proofErr w:type="spellEnd"/>
      <w:r w:rsidRPr="0074361C">
        <w:rPr>
          <w:rFonts w:ascii="Sakkal Majalla" w:hAnsi="Sakkal Majalla" w:cs="Sakkal Majalla"/>
          <w:b/>
          <w:bCs/>
          <w:sz w:val="28"/>
          <w:szCs w:val="28"/>
          <w:rtl/>
        </w:rPr>
        <w:t xml:space="preserve">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2AFB5C9D" w14:textId="77777777" w:rsidR="00BB6B96" w:rsidRPr="009125CE" w:rsidRDefault="00BB6B96" w:rsidP="00BB6B9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sidRPr="00DB1BD8">
        <w:rPr>
          <w:rFonts w:ascii="Sakkal Majalla" w:hAnsi="Sakkal Majalla" w:cs="Sakkal Majalla"/>
          <w:b/>
          <w:bCs/>
          <w:sz w:val="28"/>
          <w:szCs w:val="28"/>
          <w:rtl/>
          <w:lang w:bidi="ar-EG"/>
        </w:rPr>
        <w:t>دارة</w:t>
      </w:r>
      <w:r>
        <w:rPr>
          <w:rFonts w:ascii="Sakkal Majalla" w:hAnsi="Sakkal Majalla" w:cs="Sakkal Majalla" w:hint="cs"/>
          <w:b/>
          <w:bCs/>
          <w:sz w:val="28"/>
          <w:szCs w:val="28"/>
          <w:rtl/>
          <w:lang w:bidi="ar-EG"/>
        </w:rPr>
        <w:t xml:space="preserve"> أعمال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Pr="0074361C" w:rsidRDefault="003F5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68101A54" w14:textId="456A5DDB" w:rsidR="00BB6B96" w:rsidRPr="0074361C" w:rsidRDefault="00BB6B96" w:rsidP="00BB6B96">
      <w:pPr>
        <w:spacing w:line="360" w:lineRule="auto"/>
        <w:jc w:val="center"/>
        <w:rPr>
          <w:rFonts w:ascii="Sakkal Majalla" w:hAnsi="Sakkal Majalla" w:cs="Sakkal Majalla"/>
          <w:b/>
          <w:bCs/>
          <w:sz w:val="28"/>
          <w:szCs w:val="28"/>
          <w:rtl/>
          <w:lang w:bidi="ar-EG"/>
        </w:rPr>
      </w:pPr>
      <w:r w:rsidRPr="008C01D6">
        <w:rPr>
          <w:rFonts w:ascii="Sakkal Majalla" w:hAnsi="Sakkal Majalla" w:cs="Sakkal Majalla"/>
          <w:b/>
          <w:bCs/>
          <w:sz w:val="28"/>
          <w:szCs w:val="28"/>
          <w:rtl/>
          <w:lang w:bidi="ar-EG"/>
        </w:rPr>
        <w:t>أثر استراتيجيات التنويع الاقتصادي على استدامة الأعمال في القطاع الخاص بالمملكة العربية السعودية دراسة تحليلية وتطبيقية</w:t>
      </w:r>
    </w:p>
    <w:p w14:paraId="673813A0" w14:textId="0B6F308D"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sidR="00D461B3">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2CB4398E" w14:textId="10220FB3" w:rsidR="00BB6B96" w:rsidRPr="00481A10" w:rsidRDefault="00BB6B96" w:rsidP="00BB6B96">
      <w:pPr>
        <w:jc w:val="center"/>
        <w:rPr>
          <w:sz w:val="24"/>
          <w:szCs w:val="24"/>
          <w:rtl/>
        </w:rPr>
      </w:pPr>
      <w:r w:rsidRPr="00481A10">
        <w:rPr>
          <w:sz w:val="24"/>
          <w:szCs w:val="24"/>
          <w:rtl/>
        </w:rPr>
        <w:t xml:space="preserve">مشعل بن خالد بن محمد </w:t>
      </w:r>
      <w:proofErr w:type="spellStart"/>
      <w:r w:rsidRPr="00481A10">
        <w:rPr>
          <w:sz w:val="24"/>
          <w:szCs w:val="24"/>
          <w:rtl/>
        </w:rPr>
        <w:t>بوعبيد</w:t>
      </w:r>
      <w:proofErr w:type="spellEnd"/>
      <w:r w:rsidRPr="00481A10">
        <w:rPr>
          <w:sz w:val="24"/>
          <w:szCs w:val="24"/>
          <w:rtl/>
        </w:rPr>
        <w:t xml:space="preserve"> </w:t>
      </w:r>
    </w:p>
    <w:p w14:paraId="6D55DDA7" w14:textId="777DFDB1" w:rsidR="003F51C1" w:rsidRDefault="003F51C1"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p>
    <w:p w14:paraId="1C4BF5FA" w14:textId="77777777" w:rsidR="00BB6B96" w:rsidRPr="00481A10" w:rsidRDefault="00BB6B96" w:rsidP="00BB6B96">
      <w:pPr>
        <w:jc w:val="center"/>
        <w:rPr>
          <w:rFonts w:ascii="Sakkal Majalla" w:hAnsi="Sakkal Majalla" w:cs="Sakkal Majalla"/>
          <w:sz w:val="24"/>
          <w:szCs w:val="24"/>
          <w:rtl/>
          <w:lang w:bidi="ar-EG"/>
        </w:rPr>
      </w:pPr>
      <w:r w:rsidRPr="00481A10">
        <w:rPr>
          <w:sz w:val="24"/>
          <w:szCs w:val="24"/>
          <w:rtl/>
        </w:rPr>
        <w:br/>
        <w:t>242000220</w:t>
      </w:r>
    </w:p>
    <w:p w14:paraId="12254B87" w14:textId="77777777" w:rsidR="003F51C1" w:rsidRPr="0074361C" w:rsidRDefault="003F51C1" w:rsidP="00BB6B96">
      <w:pPr>
        <w:bidi w:val="0"/>
        <w:rPr>
          <w:rFonts w:ascii="Sakkal Majalla" w:hAnsi="Sakkal Majalla" w:cs="Sakkal Majalla"/>
          <w:b/>
          <w:bCs/>
          <w:sz w:val="28"/>
          <w:szCs w:val="28"/>
          <w:lang w:bidi="ar-EG"/>
        </w:rPr>
      </w:pPr>
    </w:p>
    <w:p w14:paraId="1787C82E"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1621E37B" w14:textId="0F58076A" w:rsidR="00EC2611" w:rsidRDefault="00BB6B96" w:rsidP="00BB6B96">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w:t>
      </w:r>
      <w:r w:rsidR="00EC2611">
        <w:rPr>
          <w:rFonts w:ascii="Sakkal Majalla" w:hAnsi="Sakkal Majalla" w:cs="Sakkal Majalla"/>
          <w:b/>
          <w:bCs/>
          <w:sz w:val="28"/>
          <w:szCs w:val="28"/>
          <w:rtl/>
          <w:lang w:bidi="ar-EG"/>
        </w:rPr>
        <w:t>أسماء</w:t>
      </w:r>
      <w:proofErr w:type="spellEnd"/>
      <w:r w:rsidR="00EC2611">
        <w:rPr>
          <w:rFonts w:ascii="Sakkal Majalla" w:hAnsi="Sakkal Majalla" w:cs="Sakkal Majalla"/>
          <w:b/>
          <w:bCs/>
          <w:sz w:val="28"/>
          <w:szCs w:val="28"/>
          <w:rtl/>
          <w:lang w:bidi="ar-EG"/>
        </w:rPr>
        <w:t xml:space="preserve"> </w:t>
      </w:r>
      <w:proofErr w:type="spellStart"/>
      <w:r w:rsidR="00EC2611">
        <w:rPr>
          <w:rFonts w:ascii="Sakkal Majalla" w:hAnsi="Sakkal Majalla" w:cs="Sakkal Majalla"/>
          <w:b/>
          <w:bCs/>
          <w:sz w:val="28"/>
          <w:szCs w:val="28"/>
          <w:rtl/>
          <w:lang w:bidi="ar-EG"/>
        </w:rPr>
        <w:t>أبوعنزة</w:t>
      </w:r>
      <w:proofErr w:type="spellEnd"/>
      <w:r w:rsidR="00EC2611">
        <w:rPr>
          <w:rFonts w:ascii="Sakkal Majalla" w:hAnsi="Sakkal Majalla" w:cs="Sakkal Majalla"/>
          <w:b/>
          <w:bCs/>
          <w:sz w:val="28"/>
          <w:szCs w:val="28"/>
          <w:rtl/>
          <w:lang w:bidi="ar-EG"/>
        </w:rPr>
        <w:t xml:space="preserve"> </w:t>
      </w:r>
    </w:p>
    <w:p w14:paraId="1669804B" w14:textId="3F212F98" w:rsidR="00BB6B96" w:rsidRPr="001902DB" w:rsidRDefault="00EC2611" w:rsidP="00BB6B96">
      <w:pPr>
        <w:jc w:val="center"/>
        <w:rPr>
          <w:rFonts w:ascii="Sakkal Majalla" w:hAnsi="Sakkal Majalla" w:cs="Sakkal Majalla"/>
          <w:b/>
          <w:bCs/>
          <w:sz w:val="28"/>
          <w:szCs w:val="28"/>
          <w:rtl/>
        </w:rPr>
      </w:pPr>
      <w:r>
        <w:rPr>
          <w:rFonts w:ascii="Sakkal Majalla" w:hAnsi="Sakkal Majalla" w:cs="Sakkal Majalla"/>
          <w:b/>
          <w:bCs/>
          <w:sz w:val="28"/>
          <w:szCs w:val="28"/>
          <w:rtl/>
          <w:lang w:bidi="ar-EG"/>
        </w:rPr>
        <w:t>د. احمد راجح اسماعيل</w:t>
      </w:r>
      <w:r w:rsidR="00BB6B96">
        <w:rPr>
          <w:rFonts w:ascii="Sakkal Majalla" w:hAnsi="Sakkal Majalla" w:cs="Sakkal Majalla" w:hint="cs"/>
          <w:b/>
          <w:bCs/>
          <w:sz w:val="28"/>
          <w:szCs w:val="28"/>
          <w:rtl/>
          <w:lang w:bidi="ar-EG"/>
        </w:rPr>
        <w:t xml:space="preserve"> </w:t>
      </w:r>
    </w:p>
    <w:p w14:paraId="7AAD1E4F" w14:textId="77777777" w:rsidR="003F51C1" w:rsidRPr="0074361C" w:rsidRDefault="003F51C1" w:rsidP="003F51C1">
      <w:pPr>
        <w:bidi w:val="0"/>
        <w:jc w:val="center"/>
        <w:rPr>
          <w:rFonts w:ascii="Sakkal Majalla" w:hAnsi="Sakkal Majalla" w:cs="Sakkal Majalla"/>
          <w:b/>
          <w:bCs/>
          <w:sz w:val="28"/>
          <w:szCs w:val="28"/>
        </w:rPr>
      </w:pP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27284EF0" w14:textId="5DF65C6E" w:rsidR="003F51C1" w:rsidRPr="0074361C" w:rsidRDefault="00BB6B96" w:rsidP="003F51C1">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7F30DA34" w14:textId="77777777" w:rsidR="009E74BA" w:rsidRDefault="009E74BA" w:rsidP="009E74BA">
      <w:pPr>
        <w:pStyle w:val="a5"/>
        <w:bidi/>
        <w:spacing w:before="0" w:line="240" w:lineRule="auto"/>
        <w:rPr>
          <w:rFonts w:ascii="Simplified Arabic" w:hAnsi="Simplified Arabic" w:cs="Simplified Arabic"/>
          <w:b/>
          <w:bCs/>
          <w:color w:val="000000" w:themeColor="text1"/>
          <w:sz w:val="36"/>
          <w:szCs w:val="36"/>
          <w:rtl/>
          <w:lang w:bidi="ar-EG"/>
        </w:rPr>
      </w:pPr>
    </w:p>
    <w:p w14:paraId="2D66E80C" w14:textId="77777777" w:rsidR="00481A10" w:rsidRPr="00481A10" w:rsidRDefault="00481A10" w:rsidP="00481A10">
      <w:pPr>
        <w:rPr>
          <w:lang w:bidi="ar-EG"/>
        </w:rPr>
      </w:pPr>
    </w:p>
    <w:p w14:paraId="0B94CF60" w14:textId="20312AE3" w:rsidR="00E54842" w:rsidRPr="004C647D" w:rsidRDefault="00E54842" w:rsidP="004C647D">
      <w:pPr>
        <w:pStyle w:val="a5"/>
        <w:bidi/>
        <w:spacing w:before="0" w:line="240" w:lineRule="auto"/>
        <w:rPr>
          <w:rFonts w:ascii="Simplified Arabic" w:hAnsi="Simplified Arabic" w:cs="Simplified Arabic"/>
          <w:sz w:val="10"/>
          <w:szCs w:val="10"/>
          <w:rtl/>
        </w:rPr>
      </w:pPr>
    </w:p>
    <w:p w14:paraId="5FCA88C3" w14:textId="77777777" w:rsidR="00E54842" w:rsidRDefault="00E54842" w:rsidP="009125CE">
      <w:pPr>
        <w:rPr>
          <w:rFonts w:ascii="Sakkal Majalla" w:hAnsi="Sakkal Majalla" w:cs="Sakkal Majalla"/>
          <w:sz w:val="28"/>
          <w:szCs w:val="28"/>
          <w:rtl/>
        </w:rPr>
      </w:pPr>
    </w:p>
    <w:p w14:paraId="6D90AAFB" w14:textId="77777777" w:rsidR="00E54842" w:rsidRDefault="00E54842" w:rsidP="009125CE">
      <w:pPr>
        <w:rPr>
          <w:rFonts w:ascii="Sakkal Majalla" w:hAnsi="Sakkal Majalla" w:cs="Sakkal Majalla"/>
          <w:sz w:val="28"/>
          <w:szCs w:val="28"/>
          <w:rtl/>
        </w:rPr>
      </w:pPr>
    </w:p>
    <w:p w14:paraId="2A852379" w14:textId="77777777" w:rsidR="00E54842" w:rsidRDefault="00E54842" w:rsidP="009125CE">
      <w:pPr>
        <w:rPr>
          <w:rFonts w:ascii="Sakkal Majalla" w:hAnsi="Sakkal Majalla" w:cs="Sakkal Majalla"/>
          <w:sz w:val="28"/>
          <w:szCs w:val="28"/>
          <w:rtl/>
        </w:rPr>
      </w:pPr>
      <w:bookmarkStart w:id="0" w:name="_Hlk191140068"/>
    </w:p>
    <w:p w14:paraId="2AF9D099" w14:textId="77777777" w:rsidR="00761647" w:rsidRDefault="00761647" w:rsidP="009125CE">
      <w:pPr>
        <w:rPr>
          <w:rFonts w:ascii="Sakkal Majalla" w:hAnsi="Sakkal Majalla" w:cs="Sakkal Majalla"/>
          <w:sz w:val="28"/>
          <w:szCs w:val="28"/>
          <w:rtl/>
        </w:rPr>
      </w:pPr>
    </w:p>
    <w:p w14:paraId="099FB984" w14:textId="77777777" w:rsidR="00216DB4" w:rsidRDefault="00216DB4" w:rsidP="009125CE">
      <w:pPr>
        <w:rPr>
          <w:rFonts w:ascii="Sakkal Majalla" w:hAnsi="Sakkal Majalla" w:cs="Sakkal Majalla"/>
          <w:sz w:val="28"/>
          <w:szCs w:val="28"/>
          <w:rtl/>
        </w:rPr>
      </w:pPr>
    </w:p>
    <w:p w14:paraId="498DD91B" w14:textId="77777777" w:rsidR="00216DB4" w:rsidRDefault="00216DB4" w:rsidP="009125CE">
      <w:pPr>
        <w:rPr>
          <w:rFonts w:ascii="Sakkal Majalla" w:hAnsi="Sakkal Majalla" w:cs="Sakkal Majalla"/>
          <w:sz w:val="28"/>
          <w:szCs w:val="28"/>
          <w:rtl/>
        </w:rPr>
      </w:pPr>
    </w:p>
    <w:p w14:paraId="542B94D8" w14:textId="77777777" w:rsidR="00216DB4" w:rsidRDefault="00216DB4" w:rsidP="009125CE">
      <w:pPr>
        <w:rPr>
          <w:rFonts w:ascii="Sakkal Majalla" w:hAnsi="Sakkal Majalla" w:cs="Sakkal Majalla"/>
          <w:sz w:val="28"/>
          <w:szCs w:val="28"/>
          <w:rtl/>
        </w:rPr>
      </w:pPr>
    </w:p>
    <w:p w14:paraId="61BB3890" w14:textId="77777777" w:rsidR="00216DB4" w:rsidRDefault="00216DB4" w:rsidP="009125CE">
      <w:pPr>
        <w:rPr>
          <w:rFonts w:ascii="Sakkal Majalla" w:hAnsi="Sakkal Majalla" w:cs="Sakkal Majalla"/>
          <w:sz w:val="28"/>
          <w:szCs w:val="28"/>
          <w:rtl/>
        </w:rPr>
      </w:pPr>
    </w:p>
    <w:p w14:paraId="54613CBD" w14:textId="77777777" w:rsidR="00216DB4" w:rsidRDefault="00216DB4" w:rsidP="009125CE">
      <w:pPr>
        <w:rPr>
          <w:rFonts w:ascii="Sakkal Majalla" w:hAnsi="Sakkal Majalla" w:cs="Sakkal Majalla"/>
          <w:sz w:val="28"/>
          <w:szCs w:val="28"/>
          <w:rtl/>
        </w:rPr>
      </w:pPr>
    </w:p>
    <w:p w14:paraId="62A8BF06" w14:textId="77777777" w:rsidR="00216DB4" w:rsidRDefault="00216DB4" w:rsidP="009125CE">
      <w:pPr>
        <w:rPr>
          <w:rFonts w:ascii="Sakkal Majalla" w:hAnsi="Sakkal Majalla" w:cs="Sakkal Majalla"/>
          <w:sz w:val="28"/>
          <w:szCs w:val="28"/>
          <w:rtl/>
        </w:rPr>
      </w:pPr>
    </w:p>
    <w:p w14:paraId="09F87B5B" w14:textId="77777777" w:rsidR="00216DB4" w:rsidRDefault="00216DB4" w:rsidP="009125CE">
      <w:pPr>
        <w:rPr>
          <w:rFonts w:ascii="Sakkal Majalla" w:hAnsi="Sakkal Majalla" w:cs="Sakkal Majalla"/>
          <w:sz w:val="28"/>
          <w:szCs w:val="28"/>
          <w:rtl/>
        </w:rPr>
      </w:pPr>
    </w:p>
    <w:p w14:paraId="6B3E0955" w14:textId="77777777" w:rsidR="00216DB4" w:rsidRDefault="00216DB4" w:rsidP="009125CE">
      <w:pPr>
        <w:rPr>
          <w:rFonts w:ascii="Sakkal Majalla" w:hAnsi="Sakkal Majalla" w:cs="Sakkal Majalla"/>
          <w:sz w:val="28"/>
          <w:szCs w:val="28"/>
          <w:rtl/>
        </w:rPr>
      </w:pPr>
    </w:p>
    <w:p w14:paraId="79E09341" w14:textId="77777777" w:rsidR="00216DB4" w:rsidRDefault="00216DB4" w:rsidP="009125CE">
      <w:pPr>
        <w:rPr>
          <w:rFonts w:ascii="Sakkal Majalla" w:hAnsi="Sakkal Majalla" w:cs="Sakkal Majalla"/>
          <w:sz w:val="28"/>
          <w:szCs w:val="28"/>
          <w:rtl/>
        </w:rPr>
      </w:pPr>
    </w:p>
    <w:p w14:paraId="7DC67621" w14:textId="77777777" w:rsidR="00761647" w:rsidRDefault="00761647" w:rsidP="009125CE">
      <w:pPr>
        <w:rPr>
          <w:rFonts w:ascii="Sakkal Majalla" w:hAnsi="Sakkal Majalla" w:cs="Sakkal Majalla"/>
          <w:sz w:val="28"/>
          <w:szCs w:val="28"/>
          <w:rtl/>
        </w:rPr>
      </w:pPr>
    </w:p>
    <w:p w14:paraId="627066D3" w14:textId="77777777" w:rsidR="00761647" w:rsidRDefault="0076164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91138768"/>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lang w:bidi="ar-EG"/>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Pr="009F738B" w:rsidRDefault="009125CE" w:rsidP="00E70586">
      <w:pPr>
        <w:pStyle w:val="2"/>
        <w:rPr>
          <w:rtl/>
        </w:rPr>
      </w:pPr>
      <w:bookmarkStart w:id="4" w:name="_Toc172397776"/>
      <w:bookmarkStart w:id="5" w:name="_Toc172746089"/>
      <w:bookmarkStart w:id="6" w:name="_Toc191138769"/>
      <w:r w:rsidRPr="009F738B">
        <w:rPr>
          <w:rtl/>
        </w:rPr>
        <w:t>المقدمة</w:t>
      </w:r>
      <w:bookmarkEnd w:id="4"/>
      <w:bookmarkEnd w:id="5"/>
      <w:bookmarkEnd w:id="6"/>
    </w:p>
    <w:p w14:paraId="14CB277A" w14:textId="77777777" w:rsidR="00BB6B96" w:rsidRPr="00A9348F" w:rsidRDefault="00BB6B96" w:rsidP="00481A10">
      <w:pPr>
        <w:pStyle w:val="af1"/>
        <w:rPr>
          <w:rtl/>
        </w:rPr>
      </w:pPr>
      <w:r w:rsidRPr="00A9348F">
        <w:rPr>
          <w:rtl/>
        </w:rPr>
        <w:t>شهدت المملكة العربية السعودية في السنوات الأخيرة تحولات اقتصادية كبيرة، كان من أبرزها الجهود المبذولة لتحقيق التنويع الاقتصادي بعيدًا عن الاعتماد المفرط على قطاع النفط. يُعد النفط لسنوات طويلة الركيزة الأساسية للاقتصاد السعودي، حيث أسهم بشكل رئيسي في تحقيق النمو الاقتصادي والازدهار المالي. ومع ذلك، أدركت القيادة السعودية أهمية تقليل الاعتماد على هذا المورد غير المتجدد، وضرورة تبني استراتيجيات جديدة تسهم في تحقيق اقتصاد متنوع ومستدام. وقد جاءت رؤية المملكة 2030 كخطة شاملة تهدف إلى تعزيز تنويع الاقتصاد، وتوجيه الاستثمارات نحو قطاعات أخرى مثل الصناعة، والسياحة، والطاقة المتجددة، والخدمات المالية، وغيرها من القطاعات الحيوية.</w:t>
      </w:r>
    </w:p>
    <w:p w14:paraId="50B634CF" w14:textId="77777777" w:rsidR="00BB6B96" w:rsidRPr="00A9348F" w:rsidRDefault="00BB6B96" w:rsidP="00481A10">
      <w:pPr>
        <w:pStyle w:val="af1"/>
        <w:rPr>
          <w:rtl/>
        </w:rPr>
      </w:pPr>
      <w:r w:rsidRPr="00A9348F">
        <w:rPr>
          <w:rtl/>
        </w:rPr>
        <w:t>يُعد القطاع الخاص أحد الأعمدة الرئيسية التي ترتكز عليها هذه الاستراتيجية الطموحة، حيث إنه يلعب دورًا محوريًا في تحقيق النمو الاقتصادي المستدام. فبفضل مبادرات الحكومة الرامية إلى تحسين بيئة الأعمال وتقديم التسهيلات الاستثمارية، باتت هناك فرص متزايدة للشركات المحلية والأجنبية للاستفادة من الإصلاحات الاقتصادية. ومن خلال تحفيز القطاع الخاص على الابتكار والتنويع في أعماله، يتزايد التوجه نحو تحقيق بيئة أعمال مستقرة ومستدامة تتيح للشركات النمو والازدهار على المدى الطويل</w:t>
      </w:r>
      <w:r>
        <w:rPr>
          <w:rFonts w:hint="cs"/>
          <w:rtl/>
        </w:rPr>
        <w:t xml:space="preserve"> </w:t>
      </w:r>
      <w:sdt>
        <w:sdtPr>
          <w:rPr>
            <w:rFonts w:hint="cs"/>
            <w:rtl/>
          </w:rPr>
          <w:id w:val="182338517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Ism24 \l 3073</w:instrText>
          </w:r>
          <w:r>
            <w:rPr>
              <w:rtl/>
            </w:rPr>
            <w:instrText xml:space="preserve"> </w:instrText>
          </w:r>
          <w:r>
            <w:rPr>
              <w:rtl/>
            </w:rPr>
            <w:fldChar w:fldCharType="separate"/>
          </w:r>
          <w:r w:rsidRPr="000F0732">
            <w:rPr>
              <w:rFonts w:hint="cs"/>
              <w:noProof/>
              <w:rtl/>
            </w:rPr>
            <w:t>(</w:t>
          </w:r>
          <w:r w:rsidRPr="000F0732">
            <w:rPr>
              <w:rFonts w:hint="cs"/>
              <w:noProof/>
            </w:rPr>
            <w:t>Ismail</w:t>
          </w:r>
          <w:r w:rsidRPr="000F0732">
            <w:rPr>
              <w:rFonts w:hint="cs"/>
              <w:noProof/>
              <w:rtl/>
            </w:rPr>
            <w:t>، 2024)</w:t>
          </w:r>
          <w:r>
            <w:rPr>
              <w:rtl/>
            </w:rPr>
            <w:fldChar w:fldCharType="end"/>
          </w:r>
        </w:sdtContent>
      </w:sdt>
      <w:r w:rsidRPr="00A9348F">
        <w:rPr>
          <w:rtl/>
        </w:rPr>
        <w:t>.</w:t>
      </w:r>
    </w:p>
    <w:p w14:paraId="7914B998" w14:textId="77777777" w:rsidR="00BB6B96" w:rsidRPr="00A9348F" w:rsidRDefault="00BB6B96" w:rsidP="00481A10">
      <w:pPr>
        <w:pStyle w:val="af1"/>
        <w:rPr>
          <w:rtl/>
        </w:rPr>
      </w:pPr>
      <w:r w:rsidRPr="00A9348F">
        <w:rPr>
          <w:rtl/>
        </w:rPr>
        <w:t>إن استدامة الأعمال في القطاع الخاص ترتبط ارتباطًا وثيقًا بقدرة الشركات على التكيف مع التحولات الاقتصادية والمخاطر المحتملة. وبالتالي، فإن استراتيجيات التنويع الاقتصادي تلعب دورًا حاسمًا في تعزيز هذا التكيف، سواء من خلال تنويع مصادر الدخل، أو تطوير المنتجات والخدمات الجديدة، أو الدخول في شراكات وتحالفات استراتيجية على الصعيدين المحلي والدولي. وبذلك، يصبح القطاع الخاص السعودي قادرًا على مواجهة التحديات المستقبلية وتحقيق استدامة أعماله في ظل بيئة اقتصادية متغيرة.</w:t>
      </w:r>
    </w:p>
    <w:p w14:paraId="2B20F89A" w14:textId="77777777" w:rsidR="00BB6B96" w:rsidRPr="00A9348F" w:rsidRDefault="00BB6B96" w:rsidP="00481A10">
      <w:pPr>
        <w:pStyle w:val="af1"/>
        <w:rPr>
          <w:rtl/>
        </w:rPr>
      </w:pPr>
      <w:r w:rsidRPr="00A9348F">
        <w:rPr>
          <w:rtl/>
        </w:rPr>
        <w:t xml:space="preserve">على ضوء ما سبق، تأتي هذه الدراسة لتسلط الضوء على أثر استراتيجيات التنويع الاقتصادي على استدامة الأعمال في القطاع الخاص السعودي. فهي تسعى إلى تحليل مدى نجاح هذه الاستراتيجيات في تعزيز مرونة الشركات وقدرتها على النمو والتكيف مع المتغيرات الاقتصادية المحلية والدولية. كما تهدف إلى تقديم رؤية شاملة حول التحديات التي </w:t>
      </w:r>
      <w:r w:rsidRPr="00A9348F">
        <w:rPr>
          <w:rtl/>
        </w:rPr>
        <w:lastRenderedPageBreak/>
        <w:t>قد تواجه الشركات الخاصة في تطبيق استراتيجيات التنويع، واقتراح الحلول المناسبة التي تمكنها من تحقيق استدامة طويلة الأجل في أعمالها</w:t>
      </w:r>
      <w:r>
        <w:rPr>
          <w:rFonts w:hint="cs"/>
          <w:rtl/>
        </w:rPr>
        <w:t xml:space="preserve"> </w:t>
      </w:r>
      <w:sdt>
        <w:sdtPr>
          <w:rPr>
            <w:rFonts w:hint="cs"/>
            <w:rtl/>
          </w:rPr>
          <w:id w:val="172147501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Pra19 \l 3073</w:instrText>
          </w:r>
          <w:r>
            <w:rPr>
              <w:rtl/>
            </w:rPr>
            <w:instrText xml:space="preserve"> </w:instrText>
          </w:r>
          <w:r>
            <w:rPr>
              <w:rtl/>
            </w:rPr>
            <w:fldChar w:fldCharType="separate"/>
          </w:r>
          <w:r w:rsidRPr="000F0732">
            <w:rPr>
              <w:rFonts w:hint="cs"/>
              <w:noProof/>
              <w:rtl/>
            </w:rPr>
            <w:t>(</w:t>
          </w:r>
          <w:r w:rsidRPr="000F0732">
            <w:rPr>
              <w:rFonts w:hint="cs"/>
              <w:noProof/>
            </w:rPr>
            <w:t>Prasanna</w:t>
          </w:r>
          <w:r w:rsidRPr="000F0732">
            <w:rPr>
              <w:rFonts w:hint="cs"/>
              <w:noProof/>
              <w:rtl/>
            </w:rPr>
            <w:t>، 2019)</w:t>
          </w:r>
          <w:r>
            <w:rPr>
              <w:rtl/>
            </w:rPr>
            <w:fldChar w:fldCharType="end"/>
          </w:r>
        </w:sdtContent>
      </w:sdt>
      <w:r w:rsidRPr="00A9348F">
        <w:rPr>
          <w:rtl/>
        </w:rPr>
        <w:t>.</w:t>
      </w:r>
    </w:p>
    <w:p w14:paraId="2AEDF381" w14:textId="77777777" w:rsidR="00BB6B96" w:rsidRPr="00A9348F" w:rsidRDefault="00BB6B96" w:rsidP="00481A10">
      <w:pPr>
        <w:pStyle w:val="af1"/>
        <w:rPr>
          <w:rtl/>
        </w:rPr>
      </w:pPr>
      <w:r w:rsidRPr="00A9348F">
        <w:rPr>
          <w:rtl/>
        </w:rPr>
        <w:t xml:space="preserve">يعد التنويع الاقتصادي مفهومًا مركزيًا في الفكر الاقتصادي الحديث، حيث يسهم في توزيع المخاطر وتخفيف الاعتماد على قطاع واحد، وبالتالي تحسين استقرار الاقتصاد الوطني. في هذا السياق، تحاول الدراسة الإجابة على عدة تساؤلات رئيسية: ما هي الآليات التي تتبعها الشركات الخاصة السعودية لتطبيق استراتيجيات التنويع؟ وما هو الأثر الذي يتركه هذا التنويع على قدرتها على تحقيق استدامة مالية وتشغيلية؟ وكيف يمكن تحسين هذه الاستراتيجيات لمواجهة التحديات المستمرة في السوق المحلي والعالمي؟ </w:t>
      </w:r>
    </w:p>
    <w:p w14:paraId="5BA37A01" w14:textId="51F61976" w:rsidR="009E74BA" w:rsidRDefault="00BB6B96" w:rsidP="00481A10">
      <w:pPr>
        <w:pStyle w:val="af1"/>
        <w:rPr>
          <w:rtl/>
        </w:rPr>
      </w:pPr>
      <w:r w:rsidRPr="00A9348F">
        <w:rPr>
          <w:rtl/>
        </w:rPr>
        <w:t>من خلال تحليل شامل لمجموعة من الشركات الخاصة في مختلف القطاعات الاقتصادية، ستتيح هذه الدراسة تقديم صورة واضحة عن كيفية تطبيق استراتيجيات التنويع الاقتصادي، وأثرها على استدامة الأعمال، مع تقديم توصيات عملية تساعد الشركات على تحسين أدائها وتحقيق أهدافها الاستراتيجية</w:t>
      </w:r>
      <w:r>
        <w:rPr>
          <w:rFonts w:hint="cs"/>
          <w:rtl/>
        </w:rPr>
        <w:t xml:space="preserve"> </w:t>
      </w:r>
      <w:sdt>
        <w:sdtPr>
          <w:rPr>
            <w:rFonts w:hint="cs"/>
            <w:rtl/>
          </w:rPr>
          <w:id w:val="41375066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Usm21 \l 3073</w:instrText>
          </w:r>
          <w:r>
            <w:rPr>
              <w:rtl/>
            </w:rPr>
            <w:instrText xml:space="preserve"> </w:instrText>
          </w:r>
          <w:r>
            <w:rPr>
              <w:rtl/>
            </w:rPr>
            <w:fldChar w:fldCharType="separate"/>
          </w:r>
          <w:r w:rsidRPr="000F0732">
            <w:rPr>
              <w:rFonts w:hint="cs"/>
              <w:noProof/>
              <w:rtl/>
            </w:rPr>
            <w:t>(</w:t>
          </w:r>
          <w:r w:rsidRPr="000F0732">
            <w:rPr>
              <w:rFonts w:hint="cs"/>
              <w:noProof/>
            </w:rPr>
            <w:t>Usman</w:t>
          </w:r>
          <w:r w:rsidRPr="000F0732">
            <w:rPr>
              <w:rFonts w:hint="cs"/>
              <w:noProof/>
              <w:rtl/>
            </w:rPr>
            <w:t>، 2021)</w:t>
          </w:r>
          <w:r>
            <w:rPr>
              <w:rtl/>
            </w:rPr>
            <w:fldChar w:fldCharType="end"/>
          </w:r>
        </w:sdtContent>
      </w:sdt>
      <w:r w:rsidRPr="00A9348F">
        <w:rPr>
          <w:rtl/>
        </w:rPr>
        <w:t>.</w:t>
      </w:r>
      <w:bookmarkStart w:id="7" w:name="_Toc169370865"/>
      <w:bookmarkStart w:id="8" w:name="_Toc169565909"/>
      <w:bookmarkStart w:id="9" w:name="_Toc171440855"/>
      <w:bookmarkStart w:id="10" w:name="_Toc191138770"/>
    </w:p>
    <w:p w14:paraId="2E718230" w14:textId="77777777" w:rsidR="00BB6B96" w:rsidRPr="00BB6B96" w:rsidRDefault="00BB6B96" w:rsidP="00BB6B96">
      <w:pPr>
        <w:spacing w:line="360" w:lineRule="auto"/>
        <w:jc w:val="both"/>
        <w:rPr>
          <w:rFonts w:ascii="Sakkal Majalla" w:hAnsi="Sakkal Majalla" w:cs="Sakkal Majalla"/>
          <w:sz w:val="28"/>
          <w:szCs w:val="28"/>
          <w:rtl/>
          <w:lang w:bidi="ar-EG"/>
        </w:rPr>
      </w:pPr>
    </w:p>
    <w:p w14:paraId="7B19045D" w14:textId="4BB0E08E" w:rsidR="00D56BD7" w:rsidRPr="00DE5E70" w:rsidRDefault="00D56BD7" w:rsidP="00D56BD7">
      <w:pPr>
        <w:pStyle w:val="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74DAE0DD" w14:textId="77777777" w:rsidR="00BB6B96" w:rsidRPr="00A9348F" w:rsidRDefault="00BB6B96" w:rsidP="00481A10">
      <w:pPr>
        <w:pStyle w:val="af1"/>
        <w:rPr>
          <w:rtl/>
        </w:rPr>
      </w:pPr>
      <w:r w:rsidRPr="00A9348F">
        <w:rPr>
          <w:rtl/>
        </w:rPr>
        <w:t>تتمثل المشكلة الأساسية التي تعالجها هذه الدراسة في الاعتماد المفرط للقطاع الخاص السعودي على قطاع النفط بشكل مباشر أو غير مباشر. هذا الاعتماد يُعتبر نقطة ضعف رئيسية، حيث إن تقلّبات أسعار النفط العالمية تؤثر بشكل مباشر على الشركات التي تعتمد عليه سواء في توريد المواد الخام أو كمصدر رئيسي للطاقة. وفي ظل هذه التقلبات، تصبح الشركات عرضة للتأثر السلبي نتيجة لانخفاض الأرباح وزيادة التكاليف التشغيلية، مما يهدد استمرارية أعمالها ويجعلها غير قادرة على الصمود أمام التحديات الاقتصادية المفاجئة.</w:t>
      </w:r>
    </w:p>
    <w:p w14:paraId="0BF186A8"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t>ضعف استدامة الأعمال:</w:t>
      </w:r>
    </w:p>
    <w:p w14:paraId="4BC7A4FC" w14:textId="77777777" w:rsidR="00BB6B96" w:rsidRPr="00A9348F" w:rsidRDefault="00BB6B96" w:rsidP="00481A10">
      <w:pPr>
        <w:pStyle w:val="af1"/>
        <w:rPr>
          <w:rtl/>
        </w:rPr>
      </w:pPr>
      <w:r w:rsidRPr="00A9348F">
        <w:rPr>
          <w:rtl/>
        </w:rPr>
        <w:t>من بين المشاكل المترتبة على الاعتماد على قطاع أو نشاط اقتصادي واحد هو ضعف استدامة الأعمال. الشركات التي لم تطور استراتيجيات التنويع تتعرض لمخاطر الإفلاس أو التراجع في حالات الأزمات الاقتصادية أو التحولات السوقية. في مثل هذه الظروف، تتعرض هذه الشركات إلى تراجع في الإيرادات، وانخفاض في حصتها السوقية، مما يؤدي إلى عدم قدرتها على تغطية التكاليف التشغيلية على المدى الطويل. هذه الحالة تمثل تهديداً حقيقياً لاستدامة الأعمال وتخلق حالة من عدم الاستقرار في الاقتصاد المحلي</w:t>
      </w:r>
      <w:r>
        <w:rPr>
          <w:rFonts w:hint="cs"/>
          <w:rtl/>
        </w:rPr>
        <w:t xml:space="preserve"> </w:t>
      </w:r>
      <w:sdt>
        <w:sdtPr>
          <w:rPr>
            <w:rFonts w:hint="cs"/>
            <w:rtl/>
          </w:rPr>
          <w:id w:val="36895847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Gle22 \l 3073</w:instrText>
          </w:r>
          <w:r>
            <w:rPr>
              <w:rtl/>
            </w:rPr>
            <w:instrText xml:space="preserve"> </w:instrText>
          </w:r>
          <w:r>
            <w:rPr>
              <w:rtl/>
            </w:rPr>
            <w:fldChar w:fldCharType="separate"/>
          </w:r>
          <w:r w:rsidRPr="000F0732">
            <w:rPr>
              <w:rFonts w:hint="cs"/>
              <w:noProof/>
              <w:rtl/>
            </w:rPr>
            <w:t>(</w:t>
          </w:r>
          <w:r w:rsidRPr="000F0732">
            <w:rPr>
              <w:rFonts w:hint="cs"/>
              <w:noProof/>
            </w:rPr>
            <w:t>Gleißner</w:t>
          </w:r>
          <w:r w:rsidRPr="000F0732">
            <w:rPr>
              <w:rFonts w:hint="cs"/>
              <w:noProof/>
              <w:rtl/>
            </w:rPr>
            <w:t>، 2022)</w:t>
          </w:r>
          <w:r>
            <w:rPr>
              <w:rtl/>
            </w:rPr>
            <w:fldChar w:fldCharType="end"/>
          </w:r>
        </w:sdtContent>
      </w:sdt>
      <w:r w:rsidRPr="00A9348F">
        <w:rPr>
          <w:rtl/>
        </w:rPr>
        <w:t>.</w:t>
      </w:r>
    </w:p>
    <w:p w14:paraId="45113C1A"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lastRenderedPageBreak/>
        <w:t>التحديات المتعلقة بتطبيق استراتيجيات التنويع:</w:t>
      </w:r>
    </w:p>
    <w:p w14:paraId="413B8225" w14:textId="77777777" w:rsidR="00BB6B96" w:rsidRPr="00A9348F" w:rsidRDefault="00BB6B96" w:rsidP="00481A10">
      <w:pPr>
        <w:pStyle w:val="af1"/>
        <w:rPr>
          <w:rtl/>
        </w:rPr>
      </w:pPr>
      <w:r w:rsidRPr="00A9348F">
        <w:rPr>
          <w:rtl/>
        </w:rPr>
        <w:t>على الرغم من الجهود الحكومية المبذولة لتعزيز التنويع الاقتصادي، تواجه الشركات الخاصة تحديات عديدة في تنفيذ هذه الاستراتيجيات. واحدة من أهم هذه التحديات هي ضعف البنية التحتية الاقتصادية، خصوصاً فيما يتعلق بالابتكار الرقمي وتوفير التكنولوجيا المتقدمة. الكثير من الشركات تجد صعوبة في الاستثمار في هذه المجالات نظراً لارتفاع التكلفة أو قلة الموارد المتاحة، مما يحد من قدرتها على تنويع أعمالها والاعتماد على أسواق ومنتجات جديدة</w:t>
      </w:r>
      <w:r>
        <w:rPr>
          <w:rFonts w:hint="cs"/>
          <w:rtl/>
        </w:rPr>
        <w:t xml:space="preserve"> </w:t>
      </w:r>
      <w:sdt>
        <w:sdtPr>
          <w:rPr>
            <w:rFonts w:hint="cs"/>
            <w:rtl/>
          </w:rPr>
          <w:id w:val="95429631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Kab21 \l 3073</w:instrText>
          </w:r>
          <w:r>
            <w:rPr>
              <w:rtl/>
            </w:rPr>
            <w:instrText xml:space="preserve"> </w:instrText>
          </w:r>
          <w:r>
            <w:rPr>
              <w:rtl/>
            </w:rPr>
            <w:fldChar w:fldCharType="separate"/>
          </w:r>
          <w:r w:rsidRPr="000F0732">
            <w:rPr>
              <w:rFonts w:hint="cs"/>
              <w:noProof/>
              <w:rtl/>
            </w:rPr>
            <w:t>(</w:t>
          </w:r>
          <w:r w:rsidRPr="000F0732">
            <w:rPr>
              <w:rFonts w:hint="cs"/>
              <w:noProof/>
            </w:rPr>
            <w:t>Kabbani</w:t>
          </w:r>
          <w:r w:rsidRPr="000F0732">
            <w:rPr>
              <w:rFonts w:hint="cs"/>
              <w:noProof/>
              <w:rtl/>
            </w:rPr>
            <w:t>، 2021)</w:t>
          </w:r>
          <w:r>
            <w:rPr>
              <w:rtl/>
            </w:rPr>
            <w:fldChar w:fldCharType="end"/>
          </w:r>
        </w:sdtContent>
      </w:sdt>
      <w:r w:rsidRPr="00A9348F">
        <w:rPr>
          <w:rtl/>
        </w:rPr>
        <w:t>.</w:t>
      </w:r>
    </w:p>
    <w:p w14:paraId="22FC90F9"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t>نقص الكفاءات والموارد البشرية المؤهلة:</w:t>
      </w:r>
    </w:p>
    <w:p w14:paraId="4E525787" w14:textId="77777777" w:rsidR="00BB6B96" w:rsidRPr="00A9348F" w:rsidRDefault="00BB6B96" w:rsidP="00481A10">
      <w:pPr>
        <w:pStyle w:val="af1"/>
        <w:rPr>
          <w:rtl/>
        </w:rPr>
      </w:pPr>
      <w:r w:rsidRPr="00A9348F">
        <w:rPr>
          <w:rtl/>
        </w:rPr>
        <w:t>نقص الكفاءات البشرية المؤهلة يمثل مشكلة أخرى تعوق قدرة الشركات الخاصة على تحقيق التنويع الاقتصادي. العديد من الشركات تجد صعوبة في إيجاد وتوظيف الخبرات المتخصصة في مجالات مثل التكنولوجيا، والطاقة المتجددة، والتصنيع المتقدم. هذا النقص يحد من قدرة الشركات على تنفيذ استراتيجيات التنويع بشكل فعال ويجعلها أقل تنافسية في السوق المحلي والدولي</w:t>
      </w:r>
      <w:r>
        <w:rPr>
          <w:rFonts w:hint="cs"/>
          <w:rtl/>
        </w:rPr>
        <w:t xml:space="preserve"> </w:t>
      </w:r>
      <w:sdt>
        <w:sdtPr>
          <w:rPr>
            <w:rFonts w:hint="cs"/>
            <w:rtl/>
          </w:rPr>
          <w:id w:val="-72290697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Her23 \l 3073</w:instrText>
          </w:r>
          <w:r>
            <w:rPr>
              <w:rtl/>
            </w:rPr>
            <w:instrText xml:space="preserve"> </w:instrText>
          </w:r>
          <w:r>
            <w:rPr>
              <w:rtl/>
            </w:rPr>
            <w:fldChar w:fldCharType="separate"/>
          </w:r>
          <w:r w:rsidRPr="000F0732">
            <w:rPr>
              <w:rFonts w:hint="cs"/>
              <w:noProof/>
              <w:rtl/>
            </w:rPr>
            <w:t>(</w:t>
          </w:r>
          <w:r w:rsidRPr="000F0732">
            <w:rPr>
              <w:rFonts w:hint="cs"/>
              <w:noProof/>
            </w:rPr>
            <w:t>Hernita</w:t>
          </w:r>
          <w:r w:rsidRPr="000F0732">
            <w:rPr>
              <w:rFonts w:hint="cs"/>
              <w:noProof/>
              <w:rtl/>
            </w:rPr>
            <w:t>، 2023)</w:t>
          </w:r>
          <w:r>
            <w:rPr>
              <w:rtl/>
            </w:rPr>
            <w:fldChar w:fldCharType="end"/>
          </w:r>
        </w:sdtContent>
      </w:sdt>
      <w:r w:rsidRPr="00A9348F">
        <w:rPr>
          <w:rtl/>
        </w:rPr>
        <w:t>.</w:t>
      </w:r>
    </w:p>
    <w:p w14:paraId="47F4C34A"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t>الفجوة بين السياسات الاقتصادية والواقع العملي:</w:t>
      </w:r>
    </w:p>
    <w:p w14:paraId="13F4C148" w14:textId="77777777" w:rsidR="00BB6B96" w:rsidRPr="00A9348F" w:rsidRDefault="00BB6B96" w:rsidP="00481A10">
      <w:pPr>
        <w:pStyle w:val="af1"/>
        <w:rPr>
          <w:rtl/>
        </w:rPr>
      </w:pPr>
      <w:r w:rsidRPr="00A9348F">
        <w:rPr>
          <w:rtl/>
        </w:rPr>
        <w:t>رغم وجود رؤية واضحة من قبل الحكومة السعودية لتعزيز دور القطاع الخاص في التنويع الاقتصادي من خلال رؤية 2030، إلا أن هناك فجوة بين السياسات الحكومية والقدرة العملية للشركات على تنفيذها. غالباً ما تصطدم الشركات بتعقيدات إدارية وتشريعية تجعل من الصعب عليها الاستفادة الكاملة من الحوافز المتاحة. بالإضافة إلى ذلك، فإن بعض القطاعات لا تزال تحتاج إلى مزيد من التنظيم والدعم لتكون جذابة للاستثمار من قبل القطاع الخاص</w:t>
      </w:r>
      <w:r>
        <w:rPr>
          <w:rFonts w:hint="cs"/>
          <w:rtl/>
        </w:rPr>
        <w:t xml:space="preserve"> </w:t>
      </w:r>
      <w:sdt>
        <w:sdtPr>
          <w:rPr>
            <w:rFonts w:hint="cs"/>
            <w:rtl/>
          </w:rPr>
          <w:id w:val="24523093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Rah20 \l 3073</w:instrText>
          </w:r>
          <w:r>
            <w:rPr>
              <w:rtl/>
            </w:rPr>
            <w:instrText xml:space="preserve"> </w:instrText>
          </w:r>
          <w:r>
            <w:rPr>
              <w:rtl/>
            </w:rPr>
            <w:fldChar w:fldCharType="separate"/>
          </w:r>
          <w:r w:rsidRPr="000F0732">
            <w:rPr>
              <w:rFonts w:hint="cs"/>
              <w:noProof/>
              <w:rtl/>
            </w:rPr>
            <w:t>(</w:t>
          </w:r>
          <w:r w:rsidRPr="000F0732">
            <w:rPr>
              <w:rFonts w:hint="cs"/>
              <w:noProof/>
            </w:rPr>
            <w:t>Rahman R.</w:t>
          </w:r>
          <w:r w:rsidRPr="000F0732">
            <w:rPr>
              <w:rFonts w:hint="cs"/>
              <w:noProof/>
              <w:rtl/>
            </w:rPr>
            <w:t>، 2020)</w:t>
          </w:r>
          <w:r>
            <w:rPr>
              <w:rtl/>
            </w:rPr>
            <w:fldChar w:fldCharType="end"/>
          </w:r>
        </w:sdtContent>
      </w:sdt>
      <w:r w:rsidRPr="00A9348F">
        <w:rPr>
          <w:rtl/>
        </w:rPr>
        <w:t>.</w:t>
      </w:r>
    </w:p>
    <w:p w14:paraId="2FA7A101"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t>عدم قدرة الشركات على التكيف مع التحولات العالمية:</w:t>
      </w:r>
    </w:p>
    <w:p w14:paraId="4CD85F88" w14:textId="77777777" w:rsidR="00BB6B96" w:rsidRPr="00A9348F" w:rsidRDefault="00BB6B96" w:rsidP="00481A10">
      <w:pPr>
        <w:pStyle w:val="af1"/>
        <w:rPr>
          <w:rtl/>
        </w:rPr>
      </w:pPr>
      <w:r w:rsidRPr="00A9348F">
        <w:rPr>
          <w:rtl/>
        </w:rPr>
        <w:t>مع التحولات السريعة في الاقتصاد العالمي، وخاصة التحول نحو الاقتصاد الرقمي والطاقة المتجددة، تواجه الشركات السعودية التي لم تنجح في تبني استراتيجيات التنويع صعوبة في التكيف مع هذه التغيرات. الاعتماد على نموذج أعمال تقليدي يجعل الشركات غير مستعدة لمواجهة المنافسة العالمية أو الاستفادة من فرص النمو الجديدة في الأسواق العالمية. هذه العوامل تؤدي إلى إضعاف قدرتها على التنافس والبقاء في السوق، خاصة مع دخول منافسين جدد يستخدمون نماذج أعمال مبتكرة</w:t>
      </w:r>
      <w:r>
        <w:rPr>
          <w:rFonts w:hint="cs"/>
          <w:rtl/>
        </w:rPr>
        <w:t xml:space="preserve"> </w:t>
      </w:r>
      <w:sdt>
        <w:sdtPr>
          <w:rPr>
            <w:rFonts w:hint="cs"/>
            <w:rtl/>
          </w:rPr>
          <w:id w:val="-37530839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Ala23 \l 3073</w:instrText>
          </w:r>
          <w:r>
            <w:rPr>
              <w:rtl/>
            </w:rPr>
            <w:instrText xml:space="preserve"> </w:instrText>
          </w:r>
          <w:r>
            <w:rPr>
              <w:rtl/>
            </w:rPr>
            <w:fldChar w:fldCharType="separate"/>
          </w:r>
          <w:r w:rsidRPr="000F0732">
            <w:rPr>
              <w:rFonts w:hint="cs"/>
              <w:noProof/>
              <w:rtl/>
            </w:rPr>
            <w:t>(</w:t>
          </w:r>
          <w:r w:rsidRPr="000F0732">
            <w:rPr>
              <w:rFonts w:hint="cs"/>
              <w:noProof/>
            </w:rPr>
            <w:t>Alayed</w:t>
          </w:r>
          <w:r w:rsidRPr="000F0732">
            <w:rPr>
              <w:rFonts w:hint="cs"/>
              <w:noProof/>
              <w:rtl/>
            </w:rPr>
            <w:t>، 2023)</w:t>
          </w:r>
          <w:r>
            <w:rPr>
              <w:rtl/>
            </w:rPr>
            <w:fldChar w:fldCharType="end"/>
          </w:r>
        </w:sdtContent>
      </w:sdt>
      <w:r w:rsidRPr="00A9348F">
        <w:rPr>
          <w:rtl/>
        </w:rPr>
        <w:t>.</w:t>
      </w:r>
    </w:p>
    <w:p w14:paraId="23D5B8C7"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lang w:bidi="ar-EG"/>
        </w:rPr>
      </w:pPr>
      <w:r w:rsidRPr="00A9348F">
        <w:rPr>
          <w:rFonts w:ascii="Sakkal Majalla" w:hAnsi="Sakkal Majalla" w:cs="Sakkal Majalla"/>
          <w:b/>
          <w:bCs/>
          <w:sz w:val="28"/>
          <w:szCs w:val="28"/>
          <w:rtl/>
          <w:lang w:bidi="ar-EG"/>
        </w:rPr>
        <w:lastRenderedPageBreak/>
        <w:t>النتائج المترتبة على عدم تنويع الأعمال:</w:t>
      </w:r>
    </w:p>
    <w:p w14:paraId="591E7200" w14:textId="77777777" w:rsidR="00BB6B96" w:rsidRPr="00A9348F" w:rsidRDefault="00BB6B96" w:rsidP="00481A10">
      <w:pPr>
        <w:pStyle w:val="af1"/>
        <w:rPr>
          <w:rtl/>
        </w:rPr>
      </w:pPr>
      <w:r w:rsidRPr="00A9348F">
        <w:rPr>
          <w:rtl/>
        </w:rPr>
        <w:t>إن عدم تنويع الأعمال له تأثيرات بعيدة المدى على القطاع الخاص السعودي، حيث إنه يخلق بيئة غير مستقرة تعرقل نمو الأعمال وتضعف قدرتها على التوسع. هذا الأمر يؤثر ليس فقط على الشركات الفردية، بل على الاقتصاد الوطني بشكل عام، حيث إنه يقلل من مرونة الاقتصاد السعودي في مواجهة الصدمات العالمية، ويضعف قدرته على تحقيق نمو اقتصادي مستدام</w:t>
      </w:r>
      <w:r>
        <w:rPr>
          <w:rFonts w:hint="cs"/>
          <w:rtl/>
        </w:rPr>
        <w:t xml:space="preserve"> </w:t>
      </w:r>
      <w:sdt>
        <w:sdtPr>
          <w:rPr>
            <w:rFonts w:hint="cs"/>
            <w:rtl/>
          </w:rPr>
          <w:id w:val="-193720188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Alb151 \l 3073</w:instrText>
          </w:r>
          <w:r>
            <w:rPr>
              <w:rtl/>
            </w:rPr>
            <w:instrText xml:space="preserve"> </w:instrText>
          </w:r>
          <w:r>
            <w:rPr>
              <w:rtl/>
            </w:rPr>
            <w:fldChar w:fldCharType="separate"/>
          </w:r>
          <w:r w:rsidRPr="000F0732">
            <w:rPr>
              <w:rFonts w:hint="cs"/>
              <w:noProof/>
              <w:rtl/>
            </w:rPr>
            <w:t>(</w:t>
          </w:r>
          <w:r w:rsidRPr="000F0732">
            <w:rPr>
              <w:rFonts w:hint="cs"/>
              <w:noProof/>
            </w:rPr>
            <w:t>Albassam B.</w:t>
          </w:r>
          <w:r w:rsidRPr="000F0732">
            <w:rPr>
              <w:rFonts w:hint="cs"/>
              <w:noProof/>
              <w:rtl/>
            </w:rPr>
            <w:t>، 2015)</w:t>
          </w:r>
          <w:r>
            <w:rPr>
              <w:rtl/>
            </w:rPr>
            <w:fldChar w:fldCharType="end"/>
          </w:r>
        </w:sdtContent>
      </w:sdt>
      <w:r w:rsidRPr="00A9348F">
        <w:rPr>
          <w:rtl/>
        </w:rPr>
        <w:t xml:space="preserve">. </w:t>
      </w:r>
    </w:p>
    <w:p w14:paraId="00083D53" w14:textId="77777777" w:rsidR="00BB6B96" w:rsidRDefault="00BB6B96" w:rsidP="00481A10">
      <w:pPr>
        <w:pStyle w:val="af1"/>
        <w:rPr>
          <w:rtl/>
        </w:rPr>
      </w:pPr>
      <w:r w:rsidRPr="00A9348F">
        <w:rPr>
          <w:rtl/>
        </w:rPr>
        <w:t>تتمحور مشكلة الدراسة حول ضعف قدرة الشركات الخاصة في المملكة على تبني استراتيجيات التنويع الاقتصادي بشكل فعال، مما يعيق تحقيق استدامة أعمالها. يُعزى ذلك إلى عدة عوامل منها الاعتماد المفرط على قطاع النفط، وصعوبة الوصول إلى الكفاءات والموارد اللازمة، بالإضافة إلى التحديات التنظيمية والاقتصادية. ومن ثم، تأتي الحاجة الملحة إلى دراسة كيفية تعزيز استراتيجيات التنويع وتطويرها لدعم استدامة الأعمال في القطاع الخاص السعودي.</w:t>
      </w:r>
    </w:p>
    <w:p w14:paraId="52ABDA46" w14:textId="77777777" w:rsidR="00E06C68" w:rsidRPr="00E06C68" w:rsidRDefault="00E06C68" w:rsidP="00E06C68">
      <w:pPr>
        <w:spacing w:after="0" w:line="360" w:lineRule="auto"/>
        <w:rPr>
          <w:rFonts w:ascii="Sakkal Majalla" w:hAnsi="Sakkal Majalla" w:cs="Sakkal Majalla"/>
          <w:sz w:val="28"/>
          <w:szCs w:val="28"/>
          <w:rtl/>
          <w:lang w:bidi="ar-EG"/>
        </w:rPr>
      </w:pPr>
    </w:p>
    <w:p w14:paraId="0475648D" w14:textId="77777777" w:rsidR="00D56BD7" w:rsidRPr="00DE5E70" w:rsidRDefault="00D56BD7" w:rsidP="00D56BD7">
      <w:pPr>
        <w:pStyle w:val="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1A0F259E" w14:textId="77777777" w:rsidR="00BB6B96" w:rsidRPr="00A9348F" w:rsidRDefault="00BB6B96" w:rsidP="00481A10">
      <w:pPr>
        <w:pStyle w:val="af1"/>
        <w:rPr>
          <w:rtl/>
        </w:rPr>
      </w:pPr>
      <w:r w:rsidRPr="00A9348F">
        <w:rPr>
          <w:rtl/>
        </w:rPr>
        <w:t>تُعد هذه الدراسة ذات أهمية كبيرة سواء على الصعيد العلمي أو العملي، حيث تُسهم في تقديم رؤى شاملة حول كيفية تأثير استراتيجيات التنويع الاقتصادي على استدامة الأعمال في القطاع الخاص السعودي. في ظل التحديات الاقتصادية العالمية والمحلية المتزايدة، تأتي أهمية الدراسة من قدرتها على توضيح أبعاد مشكلة الاعتماد على قطاع واحد وأهمية التنويع في تحقيق نمو مستدام طويل الأجل. تتجلى أهمية هذه الدراسة في جوانب عدة:</w:t>
      </w:r>
    </w:p>
    <w:p w14:paraId="5222EE92"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rPr>
      </w:pPr>
      <w:r w:rsidRPr="00A9348F">
        <w:rPr>
          <w:rFonts w:ascii="Sakkal Majalla" w:hAnsi="Sakkal Majalla" w:cs="Sakkal Majalla"/>
          <w:b/>
          <w:bCs/>
          <w:sz w:val="28"/>
          <w:szCs w:val="28"/>
          <w:rtl/>
        </w:rPr>
        <w:t>الأهمية العلمية:</w:t>
      </w:r>
    </w:p>
    <w:p w14:paraId="21273E84" w14:textId="77777777" w:rsidR="00BB6B96" w:rsidRPr="00A9348F" w:rsidRDefault="00BB6B96" w:rsidP="00481A10">
      <w:pPr>
        <w:pStyle w:val="af1"/>
        <w:rPr>
          <w:rtl/>
        </w:rPr>
      </w:pPr>
      <w:r w:rsidRPr="00A9348F">
        <w:rPr>
          <w:rtl/>
        </w:rPr>
        <w:t>على المستوى العلمي، تُسهم هذه الدراسة في سد فجوة في الأدبيات الاقتصادية المتعلقة بتنويع الأعمال واستدامتها في الأسواق الناشئة، خاصةً في المملكة العربية السعودية. فالكثير من الدراسات السابقة تناولت جوانب من التنويع الاقتصادي على مستوى الاقتصاد الكلي أو القطاعات الحكومية، لكن هناك ندرة في الأبحاث التي تستهدف تحديد العلاقة بين استراتيجيات التنويع الاقتصادي وأثرها المباشر على استدامة الأعمال في القطاع الخاص السعودي. لذا، تُعتبر هذه الدراسة إضافة قيمة للأدبيات الاقتصادية، حيث تقدم إطارًا نظريًا وتحليليًا يمكن للباحثين والمهتمين بمجال الاقتصاد والاستدامة الاستناد إليه في دراساتهم المستقبلية.</w:t>
      </w:r>
    </w:p>
    <w:p w14:paraId="799621DF" w14:textId="4245EE23" w:rsidR="00BB6B96" w:rsidRPr="00A9348F" w:rsidRDefault="00BB6B96" w:rsidP="00481A10">
      <w:pPr>
        <w:pStyle w:val="af1"/>
        <w:rPr>
          <w:rtl/>
        </w:rPr>
      </w:pPr>
      <w:r w:rsidRPr="00A9348F">
        <w:rPr>
          <w:rtl/>
        </w:rPr>
        <w:lastRenderedPageBreak/>
        <w:t xml:space="preserve">من الأهمية العلمية أيضًا أن هذه الدراسة تأتي في سياق التحولات الاقتصادية الكبرى التي تمر بها المملكة العربية السعودية في إطار رؤية 2030. تتناول الدراسة بشكل مباشر الآثار المترتبة على تبني استراتيجيات التنويع الاقتصادي ضمن هذه الرؤية الطموحة، مما يعزز من فهم التحديات والفرص التي </w:t>
      </w:r>
      <w:r w:rsidR="00481A10" w:rsidRPr="00A9348F">
        <w:rPr>
          <w:rFonts w:hint="cs"/>
          <w:rtl/>
        </w:rPr>
        <w:t>يواجها</w:t>
      </w:r>
      <w:r w:rsidRPr="00A9348F">
        <w:rPr>
          <w:rtl/>
        </w:rPr>
        <w:t xml:space="preserve"> القطاع الخاص في سياق اقتصاد متحول. هذا يُعد مساهمة علمية فريدة نظرًا للتركيز على بيئة اقتصادية تشهد تغيرات هيكلية واسعة، وتوفر نموذجًا يمكن الاستفادة منه في دول أخرى تسعى لتحقيق تنويع اقتصادي مشابه.</w:t>
      </w:r>
    </w:p>
    <w:p w14:paraId="0F9E52A3" w14:textId="77777777" w:rsidR="00BB6B96" w:rsidRPr="00A9348F" w:rsidRDefault="00BB6B96" w:rsidP="00481A10">
      <w:pPr>
        <w:pStyle w:val="af1"/>
        <w:rPr>
          <w:rtl/>
        </w:rPr>
      </w:pPr>
      <w:r w:rsidRPr="00A9348F">
        <w:rPr>
          <w:rtl/>
        </w:rPr>
        <w:t>إضافةً إلى ذلك، تقدم هذه الدراسة منظورًا علميًا حول كيفية تطبيق استراتيجيات التنويع الاقتصادي من قبل الشركات الخاصة في سوق ناشئة مثل السعودية. هذا التحليل يساعد في فهم الأنماط السلوكية للشركات في مواجهة التقلبات الاقتصادية وكيفية استجابتها للتحولات الهيكلية في الاقتصاد. من خلال التركيز على هذه الجوانب، يمكن للباحثين الاستفادة من النتائج والتوصيات لتطوير استراتيجيات تنويع أكثر فعالية في سياقات مماثلة</w:t>
      </w:r>
      <w:r>
        <w:rPr>
          <w:rFonts w:hint="cs"/>
          <w:rtl/>
        </w:rPr>
        <w:t xml:space="preserve"> </w:t>
      </w:r>
      <w:sdt>
        <w:sdtPr>
          <w:rPr>
            <w:rFonts w:hint="cs"/>
            <w:rtl/>
          </w:rPr>
          <w:id w:val="-117202415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Ban18 \l 3073</w:instrText>
          </w:r>
          <w:r>
            <w:rPr>
              <w:rtl/>
            </w:rPr>
            <w:instrText xml:space="preserve"> </w:instrText>
          </w:r>
          <w:r>
            <w:rPr>
              <w:rtl/>
            </w:rPr>
            <w:fldChar w:fldCharType="separate"/>
          </w:r>
          <w:r w:rsidRPr="00D81055">
            <w:rPr>
              <w:rFonts w:hint="cs"/>
              <w:noProof/>
              <w:rtl/>
            </w:rPr>
            <w:t>(</w:t>
          </w:r>
          <w:r w:rsidRPr="00D81055">
            <w:rPr>
              <w:rFonts w:hint="cs"/>
              <w:noProof/>
            </w:rPr>
            <w:t>Banafea</w:t>
          </w:r>
          <w:r w:rsidRPr="00D81055">
            <w:rPr>
              <w:rFonts w:hint="cs"/>
              <w:noProof/>
              <w:rtl/>
            </w:rPr>
            <w:t>، 2018)</w:t>
          </w:r>
          <w:r>
            <w:rPr>
              <w:rtl/>
            </w:rPr>
            <w:fldChar w:fldCharType="end"/>
          </w:r>
        </w:sdtContent>
      </w:sdt>
      <w:r w:rsidRPr="00A9348F">
        <w:rPr>
          <w:rtl/>
        </w:rPr>
        <w:t>.</w:t>
      </w:r>
    </w:p>
    <w:p w14:paraId="47D4FCF9" w14:textId="77777777" w:rsidR="00BB6B96" w:rsidRPr="00A9348F" w:rsidRDefault="00BB6B96">
      <w:pPr>
        <w:pStyle w:val="a6"/>
        <w:numPr>
          <w:ilvl w:val="0"/>
          <w:numId w:val="3"/>
        </w:numPr>
        <w:spacing w:line="360" w:lineRule="auto"/>
        <w:jc w:val="both"/>
        <w:rPr>
          <w:rFonts w:ascii="Sakkal Majalla" w:hAnsi="Sakkal Majalla" w:cs="Sakkal Majalla"/>
          <w:b/>
          <w:bCs/>
          <w:sz w:val="28"/>
          <w:szCs w:val="28"/>
          <w:rtl/>
        </w:rPr>
      </w:pPr>
      <w:r w:rsidRPr="00A9348F">
        <w:rPr>
          <w:rFonts w:ascii="Sakkal Majalla" w:hAnsi="Sakkal Majalla" w:cs="Sakkal Majalla"/>
          <w:b/>
          <w:bCs/>
          <w:sz w:val="28"/>
          <w:szCs w:val="28"/>
          <w:rtl/>
        </w:rPr>
        <w:t>الأهمية العملية:</w:t>
      </w:r>
    </w:p>
    <w:p w14:paraId="50F9BA6B" w14:textId="77777777" w:rsidR="00BB6B96" w:rsidRPr="00A9348F" w:rsidRDefault="00BB6B96" w:rsidP="00481A10">
      <w:pPr>
        <w:pStyle w:val="af1"/>
        <w:rPr>
          <w:rtl/>
        </w:rPr>
      </w:pPr>
      <w:r w:rsidRPr="00A9348F">
        <w:rPr>
          <w:rtl/>
        </w:rPr>
        <w:t>من الناحية العملية، تُقدم هذه الدراسة توصيات مهمة يمكن أن تساعد الشركات الخاصة السعودية في مواجهة التحديات التي تواجهها في تطبيق استراتيجيات التنويع الاقتصادي. إذ يمكن للشركات الاستفادة من النتائج المطروحة لتطوير نماذج أعمال أكثر تنوعًا، وبالتالي تحسين قدرتها على الاستدامة والمرونة أمام التغيرات الاقتصادية المحلية والعالمية. بفضل هذه الدراسة، ستتمكن الشركات من تطوير خطط طويلة الأمد تركز على التنويع في الأنشطة والمجالات الاستثمارية، مما يسهم في تقليل مخاطر الاعتماد على سوق أو قطاع واحد.</w:t>
      </w:r>
    </w:p>
    <w:p w14:paraId="17716C2C" w14:textId="77777777" w:rsidR="00BB6B96" w:rsidRPr="00A9348F" w:rsidRDefault="00BB6B96" w:rsidP="00481A10">
      <w:pPr>
        <w:pStyle w:val="af1"/>
        <w:rPr>
          <w:rtl/>
        </w:rPr>
      </w:pPr>
      <w:r w:rsidRPr="00A9348F">
        <w:rPr>
          <w:rtl/>
        </w:rPr>
        <w:t>عمليًا، تساهم الدراسة أيضًا في دعم الجهود الحكومية الرامية إلى تحقيق أهداف رؤية 2030، التي تركز بشكل كبير على تعزيز دور القطاع الخاص كقاطرة للنمو الاقتصادي. من خلال تحديد العقبات التي تواجه الشركات في تطبيق استراتيجيات التنويع، وتقديم حلول مبتكرة للتغلب عليها، فإن الدراسة توفر للحكومة معلومات قيمة تساعدها على تحسين السياسات الاقتصادية وتحفيز الشركات على الاستثمار في القطاعات غير النفطية. كما تقدم الدراسة توصيات يمكن أن تساعد صانعي القرار في تطوير مبادرات وتشريعات داعمة للقطاع الخاص تسهم في تحقيق استدامة أكبر لأعماله.</w:t>
      </w:r>
    </w:p>
    <w:p w14:paraId="754F8A87" w14:textId="77777777" w:rsidR="00BB6B96" w:rsidRPr="00A9348F" w:rsidRDefault="00BB6B96" w:rsidP="00481A10">
      <w:pPr>
        <w:pStyle w:val="af1"/>
        <w:rPr>
          <w:rtl/>
        </w:rPr>
      </w:pPr>
      <w:r w:rsidRPr="00A9348F">
        <w:rPr>
          <w:rtl/>
        </w:rPr>
        <w:lastRenderedPageBreak/>
        <w:t>أحد الأهداف العملية الرئيسية لهذه الدراسة هو توجيه انتباه الشركات والمستثمرين إلى الفرص المتاحة في القطاعات غير النفطية، مثل السياحة، والصناعات التحويلية، والتكنولوجيا، والطاقة المتجددة. بفضل التحليل المفصل الذي تقدمه الدراسة حول أهمية التنويع الاقتصادي، ستتمكن الشركات من اكتشاف مجالات جديدة للاستثمار وتعزيز تنافسيتها في السوق المحلي والدولي. هذا التنويع لا يسهم فقط في تحقيق النمو، بل أيضًا في تعزيز الاستقرار المالي وتقليل التعرض للمخاطر الاقتصادية المرتبطة بتقلبات أسعار النفط.</w:t>
      </w:r>
    </w:p>
    <w:p w14:paraId="0782663E" w14:textId="77777777" w:rsidR="00BB6B96" w:rsidRPr="00A9348F" w:rsidRDefault="00BB6B96" w:rsidP="00481A10">
      <w:pPr>
        <w:pStyle w:val="af1"/>
        <w:rPr>
          <w:rtl/>
        </w:rPr>
      </w:pPr>
      <w:r w:rsidRPr="00A9348F">
        <w:rPr>
          <w:rtl/>
        </w:rPr>
        <w:t>من الجوانب العملية الأخرى التي تقدمها الدراسة هي المساهمة في تعزيز استدامة الشركات على المدى الطويل. التنويع الاقتصادي يتيح للشركات مرونة أكبر في مواجهة التغيرات السوقية والتقلبات الاقتصادية. من خلال تنفيذ استراتيجيات التنويع التي تُقدمها الدراسة، يمكن للشركات تحقيق استقرار مالي أكبر، وتحسين أدائها التشغيلي، وبالتالي تأمين مستقبلها في ظل بيئة أعمال متغيرة. هذا النوع من الاستدامة يعزز ثقة المستثمرين، ويزيد من فرص النمو والتوسع في المستقبل.</w:t>
      </w:r>
    </w:p>
    <w:p w14:paraId="3098FC1E" w14:textId="77777777" w:rsidR="00BB6B96" w:rsidRDefault="00BB6B96" w:rsidP="00481A10">
      <w:pPr>
        <w:pStyle w:val="af1"/>
        <w:rPr>
          <w:rtl/>
        </w:rPr>
      </w:pPr>
      <w:r w:rsidRPr="00A9348F">
        <w:rPr>
          <w:rtl/>
        </w:rPr>
        <w:t>أهمية هذه الدراسة تتجلى في إسهامها العلمي الكبير في تطوير الأدبيات المتعلقة بالتنويع الاقتصادي واستدامة الأعمال، وفي قدرتها العملية على تقديم حلول وتوصيات تعزز من قدرة القطاع الخاص السعودي على مواجهة التحديات الاقتصادية. فهي لا تساعد فقط في تحسين أداء الشركات السعودية، بل أيضًا في دعم الجهود الحكومية لتحقيق اقتصاد متنوع ومستدام</w:t>
      </w:r>
      <w:r>
        <w:rPr>
          <w:rFonts w:hint="cs"/>
          <w:rtl/>
        </w:rPr>
        <w:t xml:space="preserve"> </w:t>
      </w:r>
      <w:sdt>
        <w:sdtPr>
          <w:rPr>
            <w:rFonts w:hint="cs"/>
            <w:rtl/>
          </w:rPr>
          <w:id w:val="-30755527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Sin22 \l 3073</w:instrText>
          </w:r>
          <w:r>
            <w:rPr>
              <w:rtl/>
            </w:rPr>
            <w:instrText xml:space="preserve"> </w:instrText>
          </w:r>
          <w:r>
            <w:rPr>
              <w:rtl/>
            </w:rPr>
            <w:fldChar w:fldCharType="separate"/>
          </w:r>
          <w:r w:rsidRPr="000F0732">
            <w:rPr>
              <w:rFonts w:hint="cs"/>
              <w:noProof/>
              <w:rtl/>
            </w:rPr>
            <w:t>(</w:t>
          </w:r>
          <w:r w:rsidRPr="000F0732">
            <w:rPr>
              <w:rFonts w:hint="cs"/>
              <w:noProof/>
            </w:rPr>
            <w:t>Singh</w:t>
          </w:r>
          <w:r w:rsidRPr="000F0732">
            <w:rPr>
              <w:rFonts w:hint="cs"/>
              <w:noProof/>
              <w:rtl/>
            </w:rPr>
            <w:t>، 2022)</w:t>
          </w:r>
          <w:r>
            <w:rPr>
              <w:rtl/>
            </w:rPr>
            <w:fldChar w:fldCharType="end"/>
          </w:r>
        </w:sdtContent>
      </w:sdt>
      <w:r w:rsidRPr="00A9348F">
        <w:rPr>
          <w:rtl/>
        </w:rPr>
        <w:t>.</w:t>
      </w:r>
    </w:p>
    <w:p w14:paraId="5C38D965" w14:textId="77777777" w:rsidR="00BB6B96" w:rsidRPr="00201BD2" w:rsidRDefault="00BB6B96" w:rsidP="00E06C68">
      <w:pPr>
        <w:pStyle w:val="af1"/>
      </w:pPr>
    </w:p>
    <w:p w14:paraId="573E36D1" w14:textId="77777777" w:rsidR="00D56BD7" w:rsidRPr="00DE5E70"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154373F4" w14:textId="77777777" w:rsidR="00BB6B96" w:rsidRPr="005822E9" w:rsidRDefault="00BB6B96">
      <w:pPr>
        <w:pStyle w:val="a6"/>
        <w:numPr>
          <w:ilvl w:val="0"/>
          <w:numId w:val="3"/>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الهدف الرئيسي للدراسة:</w:t>
      </w:r>
    </w:p>
    <w:p w14:paraId="57C42304" w14:textId="77777777" w:rsidR="00BB6B96" w:rsidRPr="00977407" w:rsidRDefault="00BB6B96">
      <w:pPr>
        <w:pStyle w:val="a6"/>
        <w:numPr>
          <w:ilvl w:val="0"/>
          <w:numId w:val="4"/>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تقييم تأثير استراتيجيات التنويع الاقتصادي على استدامة الأعمال في القطاع الخاص السعودي.</w:t>
      </w:r>
    </w:p>
    <w:p w14:paraId="1A804651" w14:textId="77777777" w:rsidR="00BB6B96" w:rsidRPr="00977407" w:rsidRDefault="00BB6B96" w:rsidP="00481A10">
      <w:pPr>
        <w:pStyle w:val="af1"/>
        <w:rPr>
          <w:rtl/>
        </w:rPr>
      </w:pPr>
      <w:r w:rsidRPr="00977407">
        <w:rPr>
          <w:rtl/>
        </w:rPr>
        <w:t xml:space="preserve">يتمثل الهدف الرئيسي للدراسة في فهم كيفية تأثير استراتيجيات التنويع الاقتصادي على استدامة الأعمال في القطاع الخاص السعودي. يُعتبر التنويع الاقتصادي من الأدوات الأساسية التي تستخدمها الشركات للحد من المخاطر وتعزيز قدرتها على التكيف مع التغيرات الاقتصادية. من خلال تقييم هذا التأثير، تسعى الدراسة إلى تقديم رؤى علمية قائمة على الأدلة حول كيفية تعزيز استدامة الأعمال في ظل بيئة اقتصادية متغيرة. يتضمن هذا الهدف الرئيسي دراسة </w:t>
      </w:r>
      <w:r w:rsidRPr="00977407">
        <w:rPr>
          <w:rtl/>
        </w:rPr>
        <w:lastRenderedPageBreak/>
        <w:t>العلاقة بين التنويع ومؤشرات استدامة الأعمال مثل النمو المالي، الربحية، القدرة على التكيف مع التغيرات، والمرونة في مواجهة الأزمات.</w:t>
      </w:r>
    </w:p>
    <w:p w14:paraId="4616608D" w14:textId="77777777" w:rsidR="00BB6B96" w:rsidRPr="00977407" w:rsidRDefault="00BB6B96">
      <w:pPr>
        <w:pStyle w:val="a6"/>
        <w:numPr>
          <w:ilvl w:val="0"/>
          <w:numId w:val="3"/>
        </w:numPr>
        <w:spacing w:after="0" w:line="360" w:lineRule="auto"/>
        <w:jc w:val="both"/>
        <w:rPr>
          <w:rFonts w:ascii="Sakkal Majalla" w:hAnsi="Sakkal Majalla" w:cs="Sakkal Majalla"/>
          <w:sz w:val="28"/>
          <w:szCs w:val="28"/>
          <w:rtl/>
        </w:rPr>
      </w:pPr>
      <w:r w:rsidRPr="00977407">
        <w:rPr>
          <w:rFonts w:ascii="Sakkal Majalla" w:hAnsi="Sakkal Majalla" w:cs="Sakkal Majalla" w:hint="cs"/>
          <w:sz w:val="28"/>
          <w:szCs w:val="28"/>
          <w:rtl/>
        </w:rPr>
        <w:t>الأهداف الفرعية للدراسة:</w:t>
      </w:r>
    </w:p>
    <w:p w14:paraId="6382D3DE" w14:textId="77777777" w:rsidR="00BB6B96" w:rsidRPr="00977407" w:rsidRDefault="00BB6B96">
      <w:pPr>
        <w:pStyle w:val="a6"/>
        <w:numPr>
          <w:ilvl w:val="0"/>
          <w:numId w:val="5"/>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تحليل استراتيجيات التنويع الاقتصادي المستخدمة في القطاع الخاص السعودي.</w:t>
      </w:r>
    </w:p>
    <w:p w14:paraId="2D06D2E7" w14:textId="77777777" w:rsidR="00BB6B96" w:rsidRPr="00977407" w:rsidRDefault="00BB6B96" w:rsidP="00A219D9">
      <w:pPr>
        <w:pStyle w:val="af1"/>
        <w:rPr>
          <w:rtl/>
        </w:rPr>
      </w:pPr>
      <w:r w:rsidRPr="00977407">
        <w:rPr>
          <w:rtl/>
        </w:rPr>
        <w:t>يهدف هذا الهدف إلى استكشاف الأنواع المختلفة لاستراتيجيات التنويع الاقتصادي التي تعتمدها الشركات الخاصة في المملكة. يتضمن ذلك تحليل مدى انتشار استراتيجيات التنويع، مثل التنويع العمودي (الإنتاج أو التوزيع) والتنوع الأفقي (تنويع المنتجات والخدمات)، ودخول أسواق جديدة. من خلال فهم هذه الاستراتيجيات، يمكن للباحثين تقديم توصيات تستند إلى أفضل الممارسات والتوجهات الحديثة في مجال التنويع، مما يسهم في تحسين أداء الشركات واستدامتها. سيشمل التحليل أيضًا العوامل المؤثرة على اختيار استراتيجيات التنويع، مثل حجم الشركة، نوع النشاط، ومتطلبات السوق.</w:t>
      </w:r>
    </w:p>
    <w:p w14:paraId="79D5A6EE" w14:textId="77777777" w:rsidR="00BB6B96" w:rsidRPr="00977407" w:rsidRDefault="00BB6B96">
      <w:pPr>
        <w:pStyle w:val="a6"/>
        <w:numPr>
          <w:ilvl w:val="0"/>
          <w:numId w:val="5"/>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تقييم مستوى استدامة الأعمال في القطاع الخاص السعودي.</w:t>
      </w:r>
    </w:p>
    <w:p w14:paraId="1471EF73" w14:textId="77777777" w:rsidR="00BB6B96" w:rsidRPr="00977407" w:rsidRDefault="00BB6B96" w:rsidP="00BB6B96">
      <w:pPr>
        <w:spacing w:after="0" w:line="360" w:lineRule="auto"/>
        <w:jc w:val="both"/>
        <w:rPr>
          <w:rFonts w:ascii="Sakkal Majalla" w:hAnsi="Sakkal Majalla" w:cs="Sakkal Majalla"/>
          <w:sz w:val="28"/>
          <w:szCs w:val="28"/>
          <w:rtl/>
        </w:rPr>
      </w:pPr>
      <w:r w:rsidRPr="00977407">
        <w:rPr>
          <w:rFonts w:ascii="Sakkal Majalla" w:hAnsi="Sakkal Majalla" w:cs="Sakkal Majalla"/>
          <w:sz w:val="28"/>
          <w:szCs w:val="28"/>
          <w:rtl/>
        </w:rPr>
        <w:t xml:space="preserve">يسعى هذا الهدف إلى قياس مدى استدامة الأعمال في القطاع الخاص السعودي، من خلال تحليل مجموعة من المؤشرات الاقتصادية والاجتماعية. يتضمن ذلك تقييم الأداء المالي، القدرة على النمو، الاستقرار التشغيلي، ومرونة الشركات في مواجهة الأزمات. من خلال هذه التقييمات، يمكن التعرف على نقاط القوة والضعف في استدامة الأعمال وتحديد العوامل التي تعززها أو </w:t>
      </w:r>
      <w:proofErr w:type="spellStart"/>
      <w:r w:rsidRPr="00977407">
        <w:rPr>
          <w:rFonts w:ascii="Sakkal Majalla" w:hAnsi="Sakkal Majalla" w:cs="Sakkal Majalla"/>
          <w:sz w:val="28"/>
          <w:szCs w:val="28"/>
          <w:rtl/>
        </w:rPr>
        <w:t>تعيقها</w:t>
      </w:r>
      <w:proofErr w:type="spellEnd"/>
      <w:r w:rsidRPr="00977407">
        <w:rPr>
          <w:rFonts w:ascii="Sakkal Majalla" w:hAnsi="Sakkal Majalla" w:cs="Sakkal Majalla"/>
          <w:sz w:val="28"/>
          <w:szCs w:val="28"/>
          <w:rtl/>
        </w:rPr>
        <w:t>. يساعد هذا الهدف في وضع إطار يقيس الاستدامة ويحدد المعايير اللازمة لتحقيق النجاح المستدام في السوق السعودي.</w:t>
      </w:r>
    </w:p>
    <w:p w14:paraId="71FBD356" w14:textId="77777777" w:rsidR="00BB6B96" w:rsidRPr="00977407" w:rsidRDefault="00BB6B96">
      <w:pPr>
        <w:pStyle w:val="a6"/>
        <w:numPr>
          <w:ilvl w:val="0"/>
          <w:numId w:val="5"/>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تحليل العلاقة بين استراتيجيات التنويع الاقتصادي ومؤشرات الأداء المالي.</w:t>
      </w:r>
    </w:p>
    <w:p w14:paraId="64E76BCC" w14:textId="77777777" w:rsidR="00BB6B96" w:rsidRPr="00977407" w:rsidRDefault="00BB6B96" w:rsidP="00A219D9">
      <w:pPr>
        <w:pStyle w:val="af1"/>
        <w:rPr>
          <w:rtl/>
        </w:rPr>
      </w:pPr>
      <w:r w:rsidRPr="00977407">
        <w:rPr>
          <w:rtl/>
        </w:rPr>
        <w:t>يهدف هذا الهدف إلى فهم كيفية تأثير استراتيجيات التنويع الاقتصادي على الأداء المالي للشركات في القطاع الخاص. سيتم تحليل البيانات المالية للشركات، مثل الإيرادات، الأرباح، ونسبة العائد على الاستثمار (</w:t>
      </w:r>
      <w:r w:rsidRPr="00977407">
        <w:t>ROI</w:t>
      </w:r>
      <w:r w:rsidRPr="00977407">
        <w:rPr>
          <w:rtl/>
        </w:rPr>
        <w:t>)، لفحص كيف يمكن أن تؤدي استراتيجيات التنويع إلى تحسين الأداء المالي. من خلال دراسة هذه العلاقة، يمكن تقديم دلائل واضحة للشركات حول فوائد اعتماد استراتيجيات التنويع وكيف يمكن أن تسهم في تحسين الوضع المالي والقدرة التنافسية. يهدف هذا التحليل أيضًا إلى تقديم رؤى حول كيفية تحقيق توازن بين التنويع والمخاطر المحتملة المرتبطة به.</w:t>
      </w:r>
    </w:p>
    <w:p w14:paraId="1D1F5E22" w14:textId="77777777" w:rsidR="00BB6B96" w:rsidRPr="00977407" w:rsidRDefault="00BB6B96">
      <w:pPr>
        <w:pStyle w:val="a6"/>
        <w:numPr>
          <w:ilvl w:val="0"/>
          <w:numId w:val="5"/>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استكشاف العوامل المؤثرة على نجاح استراتيجيات التنويع الاقتصادي في القطاع الخاص.</w:t>
      </w:r>
    </w:p>
    <w:p w14:paraId="576AFCD7" w14:textId="77777777" w:rsidR="00BB6B96" w:rsidRPr="00977407" w:rsidRDefault="00BB6B96" w:rsidP="00BB6B96">
      <w:pPr>
        <w:spacing w:after="0" w:line="360" w:lineRule="auto"/>
        <w:jc w:val="both"/>
        <w:rPr>
          <w:rFonts w:ascii="Sakkal Majalla" w:hAnsi="Sakkal Majalla" w:cs="Sakkal Majalla"/>
          <w:sz w:val="28"/>
          <w:szCs w:val="28"/>
          <w:rtl/>
        </w:rPr>
      </w:pPr>
      <w:r w:rsidRPr="00977407">
        <w:rPr>
          <w:rFonts w:ascii="Sakkal Majalla" w:hAnsi="Sakkal Majalla" w:cs="Sakkal Majalla"/>
          <w:sz w:val="28"/>
          <w:szCs w:val="28"/>
          <w:rtl/>
        </w:rPr>
        <w:lastRenderedPageBreak/>
        <w:t>يهدف هذا الهدف إلى تحديد العوامل الداخلية والخارجية التي تؤثر على نجاح استراتيجيات التنويع الاقتصادي. يمكن أن تشمل هذه العوامل ثقافة الشركة، المهارات والقدرات البشرية، الدعم الحكومي، وتوجهات السوق. من خلال دراسة هذه العوامل، يمكن تقديم توصيات حول كيفية تعزيز نجاح استراتيجيات التنويع من خلال تحسين البيئة الداخلية للشركات وتوجيه الموارد بشكل فعال. هذا الهدف مهم لأنه يسلط الضوء على أهمية السياق الذي تعمل فيه الشركات وكيف يمكن أن يؤثر ذلك على استراتيجياتها.</w:t>
      </w:r>
    </w:p>
    <w:p w14:paraId="3E72B0AD" w14:textId="77777777" w:rsidR="00BB6B96" w:rsidRPr="00977407" w:rsidRDefault="00BB6B96">
      <w:pPr>
        <w:pStyle w:val="a6"/>
        <w:numPr>
          <w:ilvl w:val="0"/>
          <w:numId w:val="5"/>
        </w:numPr>
        <w:spacing w:after="0" w:line="360" w:lineRule="auto"/>
        <w:jc w:val="both"/>
        <w:rPr>
          <w:rFonts w:ascii="Sakkal Majalla" w:hAnsi="Sakkal Majalla" w:cs="Sakkal Majalla"/>
          <w:b/>
          <w:bCs/>
          <w:sz w:val="28"/>
          <w:szCs w:val="28"/>
          <w:rtl/>
        </w:rPr>
      </w:pPr>
      <w:r w:rsidRPr="00977407">
        <w:rPr>
          <w:rFonts w:ascii="Sakkal Majalla" w:hAnsi="Sakkal Majalla" w:cs="Sakkal Majalla"/>
          <w:b/>
          <w:bCs/>
          <w:sz w:val="28"/>
          <w:szCs w:val="28"/>
          <w:rtl/>
        </w:rPr>
        <w:t>تقديم توصيات عملية لتحسين استراتيجيات التنويع واستدامة الأعمال في القطاع الخاص السعودي.</w:t>
      </w:r>
    </w:p>
    <w:p w14:paraId="54022D7E" w14:textId="5BAD17E5" w:rsidR="00BB6B96" w:rsidRDefault="00BB6B96" w:rsidP="00A219D9">
      <w:pPr>
        <w:spacing w:after="0" w:line="360" w:lineRule="auto"/>
        <w:jc w:val="both"/>
        <w:rPr>
          <w:rFonts w:ascii="Sakkal Majalla" w:hAnsi="Sakkal Majalla" w:cs="Sakkal Majalla"/>
          <w:sz w:val="28"/>
          <w:szCs w:val="28"/>
          <w:rtl/>
        </w:rPr>
      </w:pPr>
      <w:r w:rsidRPr="00977407">
        <w:rPr>
          <w:rFonts w:ascii="Sakkal Majalla" w:hAnsi="Sakkal Majalla" w:cs="Sakkal Majalla"/>
          <w:sz w:val="28"/>
          <w:szCs w:val="28"/>
          <w:rtl/>
        </w:rPr>
        <w:t>يسعى هذا الهدف إلى تحويل النتائج التي تم الحصول عليها من الدراسة إلى توصيات عملية يمكن أن تسهم في تحسين استراتيجيات التنويع واستدامة الأعمال. سيتم استخدام النتائج المستخلصة من التحليل لتوجيه الشركات في تبني استراتيجيات فعالة تعزز من قدرتها على التكيف والنمو في ظل التحديات الاقتصادية. يتضمن ذلك تقديم إرشادات حول كيفية اختيار استراتيجيات التنويع المناسبة، كيفية قياس استدامة الأعمال، وأفضل الممارسات المتبعة في السوق السعودي. من خلال هذا الهدف، تهدف الدراسة إلى أن تكون لها تأثيرات إيجابية على القطاع الخاص ودعم جهود التنويع الاقتصادي في المملكة.</w:t>
      </w:r>
    </w:p>
    <w:p w14:paraId="022B3997" w14:textId="77777777" w:rsidR="00A219D9" w:rsidRPr="00A219D9" w:rsidRDefault="00A219D9" w:rsidP="00A219D9">
      <w:pPr>
        <w:spacing w:after="0" w:line="360" w:lineRule="auto"/>
        <w:jc w:val="both"/>
        <w:rPr>
          <w:rFonts w:ascii="Sakkal Majalla" w:hAnsi="Sakkal Majalla" w:cs="Sakkal Majalla"/>
          <w:sz w:val="28"/>
          <w:szCs w:val="28"/>
          <w:rtl/>
        </w:rPr>
      </w:pPr>
    </w:p>
    <w:p w14:paraId="40086E37" w14:textId="487A7D90" w:rsidR="00D56BD7" w:rsidRDefault="00D56BD7" w:rsidP="00CF742D">
      <w:pPr>
        <w:pStyle w:val="2"/>
        <w:rPr>
          <w:rtl/>
        </w:rPr>
      </w:pPr>
      <w:bookmarkStart w:id="20" w:name="_Toc171440858"/>
      <w:bookmarkStart w:id="21" w:name="_Toc191138773"/>
      <w:r w:rsidRPr="00DE5E70">
        <w:rPr>
          <w:rtl/>
        </w:rPr>
        <w:t>تساؤلات الدراسة:</w:t>
      </w:r>
      <w:bookmarkEnd w:id="18"/>
      <w:bookmarkEnd w:id="19"/>
      <w:bookmarkEnd w:id="20"/>
      <w:bookmarkEnd w:id="21"/>
    </w:p>
    <w:p w14:paraId="5B6ABE63" w14:textId="77777777" w:rsidR="00BB6B96" w:rsidRPr="005822E9" w:rsidRDefault="00BB6B96">
      <w:pPr>
        <w:pStyle w:val="a6"/>
        <w:numPr>
          <w:ilvl w:val="0"/>
          <w:numId w:val="3"/>
        </w:numPr>
        <w:spacing w:line="360" w:lineRule="auto"/>
        <w:rPr>
          <w:rFonts w:ascii="Sakkal Majalla" w:hAnsi="Sakkal Majalla" w:cs="Sakkal Majalla"/>
          <w:b/>
          <w:bCs/>
          <w:sz w:val="28"/>
          <w:szCs w:val="28"/>
          <w:rtl/>
        </w:rPr>
      </w:pPr>
      <w:r w:rsidRPr="005822E9">
        <w:rPr>
          <w:rFonts w:ascii="Sakkal Majalla" w:hAnsi="Sakkal Majalla" w:cs="Sakkal Majalla"/>
          <w:b/>
          <w:bCs/>
          <w:sz w:val="28"/>
          <w:szCs w:val="28"/>
          <w:rtl/>
        </w:rPr>
        <w:t>السؤال الرئيسي للدراسة:</w:t>
      </w:r>
    </w:p>
    <w:p w14:paraId="2916B9B4" w14:textId="77777777" w:rsidR="00BB6B96" w:rsidRPr="005822E9" w:rsidRDefault="00BB6B96">
      <w:pPr>
        <w:pStyle w:val="a6"/>
        <w:numPr>
          <w:ilvl w:val="0"/>
          <w:numId w:val="4"/>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t>ما هو تأثير استراتيجيات التنويع الاقتصادي على استدامة الأعمال في القطاع الخاص السعودي؟</w:t>
      </w:r>
    </w:p>
    <w:p w14:paraId="67DEEAC8" w14:textId="77777777" w:rsidR="00BB6B96" w:rsidRPr="005822E9" w:rsidRDefault="00BB6B96" w:rsidP="00A219D9">
      <w:pPr>
        <w:pStyle w:val="af1"/>
        <w:rPr>
          <w:rtl/>
        </w:rPr>
      </w:pPr>
      <w:r w:rsidRPr="005822E9">
        <w:rPr>
          <w:rtl/>
        </w:rPr>
        <w:t>يُعتبر هذا السؤال الأساسي محور الدراسة، حيث يسعى الباحث إلى استكشاف العلاقة بين استراتيجيات التنويع الاقتصادي ومؤشرات استدامة الأعمال. يتضمن ذلك تحليل كيفية تأثير هذه الاستراتيجيات على الأداء المالي والتشغيلي للشركات الخاصة، ومدى قدرتها على التكيف مع التغيرات الاقتصادية والاجتماعية. من خلال الإجابة على هذا السؤال، تسعى الدراسة إلى تقديم رؤى شاملة تدعم الفهم الأعمق لهذا التأثير.</w:t>
      </w:r>
    </w:p>
    <w:p w14:paraId="6DE1E3EE" w14:textId="77777777" w:rsidR="00BB6B96" w:rsidRPr="005822E9" w:rsidRDefault="00BB6B96">
      <w:pPr>
        <w:pStyle w:val="a6"/>
        <w:numPr>
          <w:ilvl w:val="0"/>
          <w:numId w:val="3"/>
        </w:numPr>
        <w:spacing w:line="360" w:lineRule="auto"/>
        <w:rPr>
          <w:rFonts w:ascii="Sakkal Majalla" w:hAnsi="Sakkal Majalla" w:cs="Sakkal Majalla"/>
          <w:b/>
          <w:bCs/>
          <w:sz w:val="28"/>
          <w:szCs w:val="28"/>
          <w:rtl/>
        </w:rPr>
      </w:pPr>
      <w:r w:rsidRPr="005822E9">
        <w:rPr>
          <w:rFonts w:ascii="Sakkal Majalla" w:hAnsi="Sakkal Majalla" w:cs="Sakkal Majalla"/>
          <w:b/>
          <w:bCs/>
          <w:sz w:val="28"/>
          <w:szCs w:val="28"/>
          <w:rtl/>
        </w:rPr>
        <w:t>الأسئلة الفرعية للدراسة:</w:t>
      </w:r>
    </w:p>
    <w:p w14:paraId="0DF2032C" w14:textId="77777777" w:rsidR="00BB6B96" w:rsidRPr="005822E9" w:rsidRDefault="00BB6B96">
      <w:pPr>
        <w:pStyle w:val="a6"/>
        <w:numPr>
          <w:ilvl w:val="0"/>
          <w:numId w:val="6"/>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t>ما هي استراتيجيات التنويع الاقتصادي التي تعتمدها الشركات في القطاع الخاص السعودي؟</w:t>
      </w:r>
    </w:p>
    <w:p w14:paraId="18705D11" w14:textId="77777777" w:rsidR="00BB6B96" w:rsidRPr="005822E9" w:rsidRDefault="00BB6B96">
      <w:pPr>
        <w:pStyle w:val="a6"/>
        <w:numPr>
          <w:ilvl w:val="0"/>
          <w:numId w:val="6"/>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t>كيف يمكن قياس مستوى استدامة الأعمال في القطاع الخاص السعودي؟</w:t>
      </w:r>
    </w:p>
    <w:p w14:paraId="29AF23DA" w14:textId="77777777" w:rsidR="00BB6B96" w:rsidRPr="005822E9" w:rsidRDefault="00BB6B96">
      <w:pPr>
        <w:pStyle w:val="a6"/>
        <w:numPr>
          <w:ilvl w:val="0"/>
          <w:numId w:val="6"/>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lastRenderedPageBreak/>
        <w:t>ما هي العلاقة بين استراتيجيات التنويع الاقتصادي والأداء المالي للشركات الخاصة؟</w:t>
      </w:r>
    </w:p>
    <w:p w14:paraId="3EFF3165" w14:textId="77777777" w:rsidR="00BB6B96" w:rsidRPr="005822E9" w:rsidRDefault="00BB6B96">
      <w:pPr>
        <w:pStyle w:val="a6"/>
        <w:numPr>
          <w:ilvl w:val="0"/>
          <w:numId w:val="6"/>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t>ما هي العوامل المؤثرة على نجاح استراتيجيات التنويع الاقتصادي في القطاع الخاص السعودي؟</w:t>
      </w:r>
    </w:p>
    <w:p w14:paraId="5879C135" w14:textId="5DE88FCB" w:rsidR="00BB6B96" w:rsidRPr="00BB6B96" w:rsidRDefault="00BB6B96">
      <w:pPr>
        <w:pStyle w:val="a6"/>
        <w:numPr>
          <w:ilvl w:val="0"/>
          <w:numId w:val="6"/>
        </w:numPr>
        <w:spacing w:line="360" w:lineRule="auto"/>
        <w:rPr>
          <w:rFonts w:ascii="Sakkal Majalla" w:hAnsi="Sakkal Majalla" w:cs="Sakkal Majalla"/>
          <w:sz w:val="28"/>
          <w:szCs w:val="28"/>
          <w:rtl/>
        </w:rPr>
      </w:pPr>
      <w:r w:rsidRPr="005822E9">
        <w:rPr>
          <w:rFonts w:ascii="Sakkal Majalla" w:hAnsi="Sakkal Majalla" w:cs="Sakkal Majalla"/>
          <w:sz w:val="28"/>
          <w:szCs w:val="28"/>
          <w:rtl/>
        </w:rPr>
        <w:t>ما هي التوصيات العملية التي يمكن تقديمها لتحسين استراتيجيات التنويع واستدامة الأعمال في القطاع الخاص السعودي؟</w:t>
      </w:r>
    </w:p>
    <w:p w14:paraId="5F3DA1AE" w14:textId="77777777" w:rsidR="00BB6B96" w:rsidRPr="00BB6B96" w:rsidRDefault="00BB6B96" w:rsidP="00BB6B96">
      <w:pPr>
        <w:rPr>
          <w:rtl/>
          <w:lang w:bidi="ar-EG"/>
        </w:rPr>
      </w:pPr>
    </w:p>
    <w:p w14:paraId="1810EDFC"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1E918FDC" w14:textId="77777777" w:rsidR="00BB6B96" w:rsidRPr="005822E9" w:rsidRDefault="00BB6B96" w:rsidP="00BB6B96">
      <w:p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تسعى هذه الدراسة إلى وضع مجموعة من الفرضيات التي تستند إلى التساؤلات المحددة، والتي تهدف إلى تحليل "أثر استراتيجيات التنويع الاقتصادي على استدامة الأعمال في القطاع الخاص السعودي". تتضمن الفرضيات فرضية رئيسية وأخرى فرعية تساهم في تحديد العلاقة بين التنويع الاقتصادي واستدامة الأعمال. وفيما يلي توضيح لكل فرضية:</w:t>
      </w:r>
    </w:p>
    <w:p w14:paraId="5148A524" w14:textId="77777777" w:rsidR="00BB6B96" w:rsidRPr="005822E9" w:rsidRDefault="00BB6B96">
      <w:pPr>
        <w:pStyle w:val="a6"/>
        <w:numPr>
          <w:ilvl w:val="0"/>
          <w:numId w:val="3"/>
        </w:numPr>
        <w:spacing w:line="360" w:lineRule="auto"/>
        <w:jc w:val="both"/>
        <w:rPr>
          <w:rFonts w:ascii="Sakkal Majalla" w:hAnsi="Sakkal Majalla" w:cs="Sakkal Majalla"/>
          <w:b/>
          <w:bCs/>
          <w:sz w:val="28"/>
          <w:szCs w:val="28"/>
          <w:rtl/>
        </w:rPr>
      </w:pPr>
      <w:r w:rsidRPr="005822E9">
        <w:rPr>
          <w:rFonts w:ascii="Sakkal Majalla" w:hAnsi="Sakkal Majalla" w:cs="Sakkal Majalla"/>
          <w:b/>
          <w:bCs/>
          <w:sz w:val="28"/>
          <w:szCs w:val="28"/>
          <w:rtl/>
        </w:rPr>
        <w:t>الفرضية الرئيسية للدراسة:</w:t>
      </w:r>
    </w:p>
    <w:p w14:paraId="6AF43516" w14:textId="77777777" w:rsidR="00BB6B96" w:rsidRPr="005822E9" w:rsidRDefault="00BB6B96">
      <w:pPr>
        <w:pStyle w:val="a6"/>
        <w:numPr>
          <w:ilvl w:val="0"/>
          <w:numId w:val="4"/>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هناك علاقة إيجابية ذات دلالة إحصائية بين استراتيجيات التنويع الاقتصادي واستدامة الأعمال في القطاع الخاص السعودي.</w:t>
      </w:r>
    </w:p>
    <w:p w14:paraId="35A5731F" w14:textId="77777777" w:rsidR="00BB6B96" w:rsidRPr="005822E9" w:rsidRDefault="00BB6B96">
      <w:pPr>
        <w:pStyle w:val="a6"/>
        <w:numPr>
          <w:ilvl w:val="0"/>
          <w:numId w:val="7"/>
        </w:numPr>
        <w:spacing w:line="360" w:lineRule="auto"/>
        <w:jc w:val="both"/>
        <w:rPr>
          <w:rFonts w:ascii="Sakkal Majalla" w:hAnsi="Sakkal Majalla" w:cs="Sakkal Majalla"/>
          <w:b/>
          <w:bCs/>
          <w:sz w:val="28"/>
          <w:szCs w:val="28"/>
          <w:rtl/>
        </w:rPr>
      </w:pPr>
      <w:r w:rsidRPr="005822E9">
        <w:rPr>
          <w:rFonts w:ascii="Sakkal Majalla" w:hAnsi="Sakkal Majalla" w:cs="Sakkal Majalla"/>
          <w:b/>
          <w:bCs/>
          <w:sz w:val="28"/>
          <w:szCs w:val="28"/>
          <w:rtl/>
        </w:rPr>
        <w:t>الفرضيات الفرعية للدراسة:</w:t>
      </w:r>
    </w:p>
    <w:p w14:paraId="273E35EB" w14:textId="77777777" w:rsidR="00BB6B96" w:rsidRPr="005822E9" w:rsidRDefault="00BB6B96">
      <w:pPr>
        <w:pStyle w:val="a6"/>
        <w:numPr>
          <w:ilvl w:val="0"/>
          <w:numId w:val="8"/>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تتفاوت استراتيجيات التنويع الاقتصادي المستخدمة في القطاع الخاص السعودي بحسب حجم ونوع الشركات.</w:t>
      </w:r>
    </w:p>
    <w:p w14:paraId="18A7410E" w14:textId="77777777" w:rsidR="00BB6B96" w:rsidRPr="005822E9" w:rsidRDefault="00BB6B96">
      <w:pPr>
        <w:pStyle w:val="a6"/>
        <w:numPr>
          <w:ilvl w:val="0"/>
          <w:numId w:val="8"/>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هناك تأثير إيجابي لاستراتيجيات التنويع الأفقي على الأداء المالي للشركات في القطاع الخاص.</w:t>
      </w:r>
    </w:p>
    <w:p w14:paraId="637770E7" w14:textId="77777777" w:rsidR="00BB6B96" w:rsidRPr="005822E9" w:rsidRDefault="00BB6B96">
      <w:pPr>
        <w:pStyle w:val="a6"/>
        <w:numPr>
          <w:ilvl w:val="0"/>
          <w:numId w:val="8"/>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تساهم استراتيجيات التنويع العمودي في تعزيز استدامة الأعمال من خلال تحسين الكفاءة التشغيلية.</w:t>
      </w:r>
    </w:p>
    <w:p w14:paraId="78333E4F" w14:textId="77777777" w:rsidR="00BB6B96" w:rsidRPr="005822E9" w:rsidRDefault="00BB6B96">
      <w:pPr>
        <w:pStyle w:val="a6"/>
        <w:numPr>
          <w:ilvl w:val="0"/>
          <w:numId w:val="8"/>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تؤثر العوامل الخارجية مثل الدعم الحكومي والتوجهات السوقية على نجاح استراتيجيات التنويع الاقتصادي في الشركات.</w:t>
      </w:r>
    </w:p>
    <w:p w14:paraId="48F4A744" w14:textId="216C0C1E" w:rsidR="00BB6B96" w:rsidRPr="00BB6B96" w:rsidRDefault="00BB6B96">
      <w:pPr>
        <w:pStyle w:val="a6"/>
        <w:numPr>
          <w:ilvl w:val="0"/>
          <w:numId w:val="8"/>
        </w:num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يمكن أن تؤدي التوصيات العملية المستندة إلى نتائج الدراسة إلى تحسين استراتيجيات التنويع واستدامة الأعمال في القطاع الخاص السعودي.</w:t>
      </w:r>
    </w:p>
    <w:p w14:paraId="4D426FFD" w14:textId="592410AD" w:rsidR="008A269C" w:rsidRPr="00DC28DB" w:rsidRDefault="008A269C" w:rsidP="009E74BA">
      <w:pPr>
        <w:pStyle w:val="2"/>
        <w:spacing w:line="360" w:lineRule="auto"/>
        <w:rPr>
          <w:rtl/>
        </w:rPr>
      </w:pPr>
      <w:bookmarkStart w:id="26" w:name="_Toc191138775"/>
      <w:r w:rsidRPr="008A269C">
        <w:rPr>
          <w:rtl/>
        </w:rPr>
        <w:lastRenderedPageBreak/>
        <w:t>النظرية العلمية المتبعة لإعداد البحث</w:t>
      </w:r>
      <w:bookmarkEnd w:id="26"/>
      <w:r w:rsidR="00DC28DB" w:rsidRPr="00DC28DB">
        <w:rPr>
          <w:rtl/>
        </w:rPr>
        <w:t>.</w:t>
      </w:r>
    </w:p>
    <w:p w14:paraId="0A739CC6" w14:textId="77777777" w:rsidR="00BB6B96" w:rsidRPr="0009434F"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تشكل المنطلقات النظرية الأساس الذي تبني عليه هذه الدراسة تحليلاتها واستنتاجاتها حول أثر استراتيجيات التنويع الاقتصادي على استدامة الأعمال في القطاع الخاص السعودي. تهدف هذه المنطلقات إلى تقديم إطار نظري واضح يمكّن من فهم العوامل المؤثرة في استدامة الأعمال وكيف يمكن للتنويع الاقتصادي أن يلعب دوراً حيوياً في تعزيزها. لذلك، تستند الدراسة إلى عدة مفاهيم نظرية مهمة تتعلق بالتنويع الاقتصادي، استدامة الأعمال، والمرونة الاقتصادية، مع استعراض بعض النظريات الاقتصادية والإدارية المتعلقة بهذه المفاهيم.</w:t>
      </w:r>
    </w:p>
    <w:p w14:paraId="105207D0" w14:textId="77777777" w:rsidR="00BB6B96" w:rsidRPr="0009434F" w:rsidRDefault="00BB6B96">
      <w:pPr>
        <w:pStyle w:val="a6"/>
        <w:numPr>
          <w:ilvl w:val="0"/>
          <w:numId w:val="9"/>
        </w:numPr>
        <w:spacing w:line="360" w:lineRule="auto"/>
        <w:jc w:val="both"/>
        <w:rPr>
          <w:rFonts w:ascii="Sakkal Majalla" w:hAnsi="Sakkal Majalla" w:cs="Sakkal Majalla"/>
          <w:b/>
          <w:bCs/>
          <w:sz w:val="28"/>
          <w:szCs w:val="28"/>
          <w:rtl/>
        </w:rPr>
      </w:pPr>
      <w:r w:rsidRPr="0009434F">
        <w:rPr>
          <w:rFonts w:ascii="Sakkal Majalla" w:hAnsi="Sakkal Majalla" w:cs="Sakkal Majalla"/>
          <w:b/>
          <w:bCs/>
          <w:sz w:val="28"/>
          <w:szCs w:val="28"/>
          <w:rtl/>
        </w:rPr>
        <w:t>نظرية التنويع الاقتصادي:</w:t>
      </w:r>
    </w:p>
    <w:p w14:paraId="36026CA9" w14:textId="77777777" w:rsidR="00BB6B96" w:rsidRPr="0009434F" w:rsidRDefault="00BB6B96" w:rsidP="00A219D9">
      <w:pPr>
        <w:pStyle w:val="af1"/>
        <w:rPr>
          <w:rtl/>
        </w:rPr>
      </w:pPr>
      <w:r w:rsidRPr="0009434F">
        <w:rPr>
          <w:rtl/>
        </w:rPr>
        <w:t>تعتبر نظرية التنويع الاقتصادي واحدة من أهم الأسس النظرية لهذه الدراسة. في سياق الاقتصاد الكلي، يشير التنويع الاقتصادي إلى انتقال الاقتصاد من الاعتماد على قطاع واحد (مثل النفط) إلى تنويع مصادر الدخل عبر استثمار القطاعات الأخرى مثل الصناعة، والزراعة، والتكنولوجيا، والسياحة. هذه النظرية تؤكد أن التنويع يمكن أن يقلل من المخاطر المرتبطة بالتقلبات الاقتصادية والصدمات التي يمكن أن تؤثر على القطاع الرئيسي. في هذا الإطار، يرتكز تحليل الدراسة على كيفية تطبيق هذه النظرية في سياق القطاع الخاص السعودي، وكيف أن تبني استراتيجيات التنويع يمكن أن يسهم في تعزيز استدامة الأعمال.</w:t>
      </w:r>
    </w:p>
    <w:p w14:paraId="160F6EC8" w14:textId="77777777" w:rsidR="00BB6B96" w:rsidRPr="0009434F" w:rsidRDefault="00BB6B96" w:rsidP="00A219D9">
      <w:pPr>
        <w:pStyle w:val="af1"/>
        <w:rPr>
          <w:rtl/>
        </w:rPr>
      </w:pPr>
      <w:r w:rsidRPr="0009434F">
        <w:rPr>
          <w:rtl/>
        </w:rPr>
        <w:t>على مستوى الشركات، يعد التنويع الاقتصادي استراتيجية أساسية للتخفيف من المخاطر المرتبطة بالاعتماد المفرط على منتجات أو خدمات محددة. وفقًا لهذه النظرية، تستطيع الشركات التي تنجح في تنويع أنشطتها وأسواقها تحقيق استقرار مالي أكبر، وتقليل تقلبات الإيرادات، وتطوير مصادر دخل متعددة تساعدها على تجاوز الأزمات الاقتصادية. لذلك، تستند الدراسة إلى هذه النظرية في تحليل كيفية تأثر استدامة الأعمال باستراتيجيات التنويع في القطاعات المختلفة للقطاع الخاص السعودي</w:t>
      </w:r>
      <w:r>
        <w:rPr>
          <w:rFonts w:hint="cs"/>
          <w:rtl/>
        </w:rPr>
        <w:t xml:space="preserve"> </w:t>
      </w:r>
      <w:sdt>
        <w:sdtPr>
          <w:rPr>
            <w:rFonts w:hint="cs"/>
            <w:rtl/>
          </w:rPr>
          <w:id w:val="47456926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Del24 \l 3073</w:instrText>
          </w:r>
          <w:r>
            <w:rPr>
              <w:rtl/>
            </w:rPr>
            <w:instrText xml:space="preserve"> </w:instrText>
          </w:r>
          <w:r>
            <w:rPr>
              <w:rtl/>
            </w:rPr>
            <w:fldChar w:fldCharType="separate"/>
          </w:r>
          <w:r w:rsidRPr="000F0732">
            <w:rPr>
              <w:rFonts w:hint="cs"/>
              <w:noProof/>
              <w:rtl/>
            </w:rPr>
            <w:t>(</w:t>
          </w:r>
          <w:r w:rsidRPr="000F0732">
            <w:rPr>
              <w:rFonts w:hint="cs"/>
              <w:noProof/>
            </w:rPr>
            <w:t>Delechat</w:t>
          </w:r>
          <w:r w:rsidRPr="000F0732">
            <w:rPr>
              <w:rFonts w:hint="cs"/>
              <w:noProof/>
              <w:rtl/>
            </w:rPr>
            <w:t>، 2024)</w:t>
          </w:r>
          <w:r>
            <w:rPr>
              <w:rtl/>
            </w:rPr>
            <w:fldChar w:fldCharType="end"/>
          </w:r>
        </w:sdtContent>
      </w:sdt>
      <w:r w:rsidRPr="0009434F">
        <w:rPr>
          <w:rtl/>
        </w:rPr>
        <w:t>.</w:t>
      </w:r>
    </w:p>
    <w:p w14:paraId="6919AAE5" w14:textId="77777777" w:rsidR="00BB6B96" w:rsidRPr="0009434F" w:rsidRDefault="00BB6B96">
      <w:pPr>
        <w:pStyle w:val="a6"/>
        <w:numPr>
          <w:ilvl w:val="0"/>
          <w:numId w:val="9"/>
        </w:numPr>
        <w:spacing w:line="360" w:lineRule="auto"/>
        <w:jc w:val="both"/>
        <w:rPr>
          <w:rFonts w:ascii="Sakkal Majalla" w:hAnsi="Sakkal Majalla" w:cs="Sakkal Majalla"/>
          <w:b/>
          <w:bCs/>
          <w:sz w:val="28"/>
          <w:szCs w:val="28"/>
          <w:rtl/>
        </w:rPr>
      </w:pPr>
      <w:r w:rsidRPr="0009434F">
        <w:rPr>
          <w:rFonts w:ascii="Sakkal Majalla" w:hAnsi="Sakkal Majalla" w:cs="Sakkal Majalla"/>
          <w:b/>
          <w:bCs/>
          <w:sz w:val="28"/>
          <w:szCs w:val="28"/>
          <w:rtl/>
        </w:rPr>
        <w:t>نظرية استدامة الأعمال:</w:t>
      </w:r>
    </w:p>
    <w:p w14:paraId="18BE14E5" w14:textId="77777777" w:rsidR="00BB6B96" w:rsidRPr="00A219D9" w:rsidRDefault="00BB6B96" w:rsidP="00A219D9">
      <w:pPr>
        <w:pStyle w:val="af1"/>
        <w:rPr>
          <w:rtl/>
        </w:rPr>
      </w:pPr>
      <w:r w:rsidRPr="00A219D9">
        <w:rPr>
          <w:rtl/>
        </w:rPr>
        <w:t>تعد نظرية استدامة الأعمال من المنطلقات الأساسية للدراسة. تشير هذه النظرية إلى قدرة الشركات على مواصلة أعمالها ونموها على المدى الطويل، مع الأخذ في الاعتبار التحديات الاقتصادية والاجتماعية والبيئية التي تواجهها. تقوم هذه النظرية على عدة مفاهيم رئيسية مثل استدامة الموارد، الابتكار، والقدرة على التكيف مع المتغيرات. وتهدف الشركات التي تسعى إلى تحقيق الاستدامة إلى خلق نماذج أعمال مرنة ومتكيفة تمكنها من مواجهة التقلبات السوقية.</w:t>
      </w:r>
    </w:p>
    <w:p w14:paraId="4F3458C7" w14:textId="77777777" w:rsidR="00BB6B96" w:rsidRPr="0009434F" w:rsidRDefault="00BB6B96" w:rsidP="00A219D9">
      <w:pPr>
        <w:pStyle w:val="af1"/>
        <w:rPr>
          <w:rtl/>
        </w:rPr>
      </w:pPr>
      <w:r w:rsidRPr="0009434F">
        <w:rPr>
          <w:rtl/>
        </w:rPr>
        <w:lastRenderedPageBreak/>
        <w:t>في ضوء هذه النظرية، تقوم الدراسة بتحليل كيف أن الشركات التي تتبنى استراتيجيات تنويع في نشاطاتها وأسواقها تكون أكثر قدرة على تحقيق استدامة أعمالها. فعلى سبيل المثال، الشركات التي تنجح في التوسع إلى أسواق جديدة أو تقديم منتجات جديدة إلى جانب منتجاتها الأساسية يمكنها مواجهة التحديات بشكل أفضل، مما يزيد من فرصها للبقاء والنمو في بيئة اقتصادية غير مستقرة</w:t>
      </w:r>
      <w:r>
        <w:rPr>
          <w:rFonts w:hint="cs"/>
          <w:rtl/>
        </w:rPr>
        <w:t xml:space="preserve"> </w:t>
      </w:r>
      <w:sdt>
        <w:sdtPr>
          <w:rPr>
            <w:rFonts w:hint="cs"/>
            <w:rtl/>
          </w:rPr>
          <w:id w:val="-94923631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Rah23 \l 3073</w:instrText>
          </w:r>
          <w:r>
            <w:rPr>
              <w:rtl/>
            </w:rPr>
            <w:instrText xml:space="preserve"> </w:instrText>
          </w:r>
          <w:r>
            <w:rPr>
              <w:rtl/>
            </w:rPr>
            <w:fldChar w:fldCharType="separate"/>
          </w:r>
          <w:r w:rsidRPr="000F0732">
            <w:rPr>
              <w:rFonts w:hint="cs"/>
              <w:noProof/>
              <w:rtl/>
            </w:rPr>
            <w:t>(</w:t>
          </w:r>
          <w:r w:rsidRPr="000F0732">
            <w:rPr>
              <w:rFonts w:hint="cs"/>
              <w:noProof/>
            </w:rPr>
            <w:t>Rahman</w:t>
          </w:r>
          <w:r w:rsidRPr="000F0732">
            <w:rPr>
              <w:rFonts w:hint="cs"/>
              <w:noProof/>
              <w:rtl/>
            </w:rPr>
            <w:t>، 2023)</w:t>
          </w:r>
          <w:r>
            <w:rPr>
              <w:rtl/>
            </w:rPr>
            <w:fldChar w:fldCharType="end"/>
          </w:r>
        </w:sdtContent>
      </w:sdt>
      <w:r w:rsidRPr="0009434F">
        <w:rPr>
          <w:rtl/>
        </w:rPr>
        <w:t>.</w:t>
      </w:r>
    </w:p>
    <w:p w14:paraId="263E9DFD" w14:textId="77777777" w:rsidR="00BB6B96" w:rsidRPr="0009434F" w:rsidRDefault="00BB6B96">
      <w:pPr>
        <w:pStyle w:val="a6"/>
        <w:numPr>
          <w:ilvl w:val="0"/>
          <w:numId w:val="9"/>
        </w:numPr>
        <w:spacing w:line="360" w:lineRule="auto"/>
        <w:jc w:val="both"/>
        <w:rPr>
          <w:rFonts w:ascii="Sakkal Majalla" w:hAnsi="Sakkal Majalla" w:cs="Sakkal Majalla"/>
          <w:b/>
          <w:bCs/>
          <w:sz w:val="28"/>
          <w:szCs w:val="28"/>
          <w:rtl/>
        </w:rPr>
      </w:pPr>
      <w:r w:rsidRPr="0009434F">
        <w:rPr>
          <w:rFonts w:ascii="Sakkal Majalla" w:hAnsi="Sakkal Majalla" w:cs="Sakkal Majalla"/>
          <w:b/>
          <w:bCs/>
          <w:sz w:val="28"/>
          <w:szCs w:val="28"/>
          <w:rtl/>
        </w:rPr>
        <w:t>نظرية المرونة الاقتصادية:</w:t>
      </w:r>
    </w:p>
    <w:p w14:paraId="4B3FC8A1" w14:textId="77777777" w:rsidR="00BB6B96" w:rsidRPr="0009434F"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تعتبر نظرية المرونة الاقتصادية</w:t>
      </w:r>
      <w:r>
        <w:rPr>
          <w:rFonts w:ascii="Sakkal Majalla" w:hAnsi="Sakkal Majalla" w:cs="Sakkal Majalla" w:hint="cs"/>
          <w:sz w:val="28"/>
          <w:szCs w:val="28"/>
          <w:rtl/>
        </w:rPr>
        <w:t xml:space="preserve"> </w:t>
      </w:r>
      <w:r w:rsidRPr="0009434F">
        <w:rPr>
          <w:rFonts w:ascii="Sakkal Majalla" w:hAnsi="Sakkal Majalla" w:cs="Sakkal Majalla"/>
          <w:sz w:val="28"/>
          <w:szCs w:val="28"/>
          <w:rtl/>
        </w:rPr>
        <w:t>أو القدرة على التكيف من المنطلقات النظرية المهمة التي تدعم هذه الدراسة. المرونة الاقتصادية تشير إلى قدرة الشركات والاقتصاد بشكل عام على التكيف مع التغيرات الاقتصادية المفاجئة والصدمات الخارجية، مثل التقلبات في أسعار النفط، التغيرات في الطلب، أو الأزمات المالية. تستند النظرية إلى فكرة أن الشركات التي تعتمد على مجموعة متنوعة من الأنشطة الاقتصادية تكون أكثر قدرة على التكيف مع هذه التغيرات.</w:t>
      </w:r>
    </w:p>
    <w:p w14:paraId="69009A88" w14:textId="77777777" w:rsidR="00BB6B96" w:rsidRPr="0009434F" w:rsidRDefault="00BB6B96" w:rsidP="00A219D9">
      <w:pPr>
        <w:pStyle w:val="af1"/>
        <w:rPr>
          <w:rtl/>
        </w:rPr>
      </w:pPr>
      <w:r w:rsidRPr="0009434F">
        <w:rPr>
          <w:rtl/>
        </w:rPr>
        <w:t>تُستخدم هذه النظرية لفهم العلاقة بين تنويع الأنشطة الاقتصادية واستدامة الأعمال. في حالة القطاع الخاص السعودي، يمكن أن توفر استراتيجيات التنويع الاقتصادي درجة عالية من المرونة، حيث تستطيع الشركات التحول من قطاع إلى آخر أو من سوق إلى آخر وفقًا للظروف الاقتصادية المتغيرة. هذه المرونة تمكن الشركات من الحفاظ على استقرارها المالي والتشغيلي حتى في ظل الظروف الاقتصادية الصعبة، مما يعزز من استدامة أعمالها على المدى الطويل</w:t>
      </w:r>
      <w:r>
        <w:rPr>
          <w:rFonts w:hint="cs"/>
          <w:rtl/>
        </w:rPr>
        <w:t xml:space="preserve"> </w:t>
      </w:r>
      <w:sdt>
        <w:sdtPr>
          <w:rPr>
            <w:rFonts w:hint="cs"/>
            <w:rtl/>
          </w:rPr>
          <w:id w:val="17183153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Lee22 \l 3073</w:instrText>
          </w:r>
          <w:r>
            <w:rPr>
              <w:rtl/>
            </w:rPr>
            <w:instrText xml:space="preserve"> </w:instrText>
          </w:r>
          <w:r>
            <w:rPr>
              <w:rtl/>
            </w:rPr>
            <w:fldChar w:fldCharType="separate"/>
          </w:r>
          <w:r w:rsidRPr="000F0732">
            <w:rPr>
              <w:rFonts w:hint="cs"/>
              <w:noProof/>
              <w:rtl/>
            </w:rPr>
            <w:t>(</w:t>
          </w:r>
          <w:r w:rsidRPr="000F0732">
            <w:rPr>
              <w:rFonts w:hint="cs"/>
              <w:noProof/>
            </w:rPr>
            <w:t>Lee</w:t>
          </w:r>
          <w:r w:rsidRPr="000F0732">
            <w:rPr>
              <w:rFonts w:hint="cs"/>
              <w:noProof/>
              <w:rtl/>
            </w:rPr>
            <w:t>، 2022)</w:t>
          </w:r>
          <w:r>
            <w:rPr>
              <w:rtl/>
            </w:rPr>
            <w:fldChar w:fldCharType="end"/>
          </w:r>
        </w:sdtContent>
      </w:sdt>
      <w:r w:rsidRPr="0009434F">
        <w:rPr>
          <w:rtl/>
        </w:rPr>
        <w:t>.</w:t>
      </w:r>
    </w:p>
    <w:p w14:paraId="57354FA3" w14:textId="77777777" w:rsidR="00BB6B96" w:rsidRPr="0009434F" w:rsidRDefault="00BB6B96">
      <w:pPr>
        <w:pStyle w:val="a6"/>
        <w:numPr>
          <w:ilvl w:val="0"/>
          <w:numId w:val="9"/>
        </w:numPr>
        <w:spacing w:line="360" w:lineRule="auto"/>
        <w:jc w:val="both"/>
        <w:rPr>
          <w:rFonts w:ascii="Sakkal Majalla" w:hAnsi="Sakkal Majalla" w:cs="Sakkal Majalla"/>
          <w:b/>
          <w:bCs/>
          <w:sz w:val="28"/>
          <w:szCs w:val="28"/>
          <w:rtl/>
        </w:rPr>
      </w:pPr>
      <w:r w:rsidRPr="0009434F">
        <w:rPr>
          <w:rFonts w:ascii="Sakkal Majalla" w:hAnsi="Sakkal Majalla" w:cs="Sakkal Majalla"/>
          <w:b/>
          <w:bCs/>
          <w:sz w:val="28"/>
          <w:szCs w:val="28"/>
          <w:rtl/>
        </w:rPr>
        <w:t xml:space="preserve">نظرية </w:t>
      </w:r>
      <w:proofErr w:type="spellStart"/>
      <w:r w:rsidRPr="0009434F">
        <w:rPr>
          <w:rFonts w:ascii="Sakkal Majalla" w:hAnsi="Sakkal Majalla" w:cs="Sakkal Majalla"/>
          <w:b/>
          <w:bCs/>
          <w:sz w:val="28"/>
          <w:szCs w:val="28"/>
          <w:rtl/>
        </w:rPr>
        <w:t>الحوكمة</w:t>
      </w:r>
      <w:proofErr w:type="spellEnd"/>
      <w:r w:rsidRPr="0009434F">
        <w:rPr>
          <w:rFonts w:ascii="Sakkal Majalla" w:hAnsi="Sakkal Majalla" w:cs="Sakkal Majalla"/>
          <w:b/>
          <w:bCs/>
          <w:sz w:val="28"/>
          <w:szCs w:val="28"/>
          <w:rtl/>
        </w:rPr>
        <w:t xml:space="preserve"> المؤسسية:</w:t>
      </w:r>
    </w:p>
    <w:p w14:paraId="333D0033" w14:textId="2267E6D6" w:rsidR="00BB6B96" w:rsidRPr="0009434F"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 xml:space="preserve">من المنطلقات النظرية الأخرى التي تدعم الدراسة نظرية </w:t>
      </w:r>
      <w:proofErr w:type="spellStart"/>
      <w:r w:rsidRPr="0009434F">
        <w:rPr>
          <w:rFonts w:ascii="Sakkal Majalla" w:hAnsi="Sakkal Majalla" w:cs="Sakkal Majalla"/>
          <w:sz w:val="28"/>
          <w:szCs w:val="28"/>
          <w:rtl/>
        </w:rPr>
        <w:t>الحوكمة</w:t>
      </w:r>
      <w:proofErr w:type="spellEnd"/>
      <w:r w:rsidRPr="0009434F">
        <w:rPr>
          <w:rFonts w:ascii="Sakkal Majalla" w:hAnsi="Sakkal Majalla" w:cs="Sakkal Majalla"/>
          <w:sz w:val="28"/>
          <w:szCs w:val="28"/>
          <w:rtl/>
        </w:rPr>
        <w:t xml:space="preserve"> المؤسسية، والتي تؤكد على أهمية الإدارة الجيدة في تحقيق استدامة الأعمال. تعتمد </w:t>
      </w:r>
      <w:proofErr w:type="spellStart"/>
      <w:r w:rsidRPr="0009434F">
        <w:rPr>
          <w:rFonts w:ascii="Sakkal Majalla" w:hAnsi="Sakkal Majalla" w:cs="Sakkal Majalla"/>
          <w:sz w:val="28"/>
          <w:szCs w:val="28"/>
          <w:rtl/>
        </w:rPr>
        <w:t>الحوكمة</w:t>
      </w:r>
      <w:proofErr w:type="spellEnd"/>
      <w:r w:rsidRPr="0009434F">
        <w:rPr>
          <w:rFonts w:ascii="Sakkal Majalla" w:hAnsi="Sakkal Majalla" w:cs="Sakkal Majalla"/>
          <w:sz w:val="28"/>
          <w:szCs w:val="28"/>
          <w:rtl/>
        </w:rPr>
        <w:t xml:space="preserve"> المؤسسية على وجود إطار قانوني وتنظيمي متين يدعم شفافية الأعمال، ويحسن من قدرة الشركات على اتخاذ قرارات استراتيجية فعالة. في هذا السياق، تركز الدراسة على كيفية تأثير </w:t>
      </w:r>
      <w:proofErr w:type="spellStart"/>
      <w:r w:rsidRPr="0009434F">
        <w:rPr>
          <w:rFonts w:ascii="Sakkal Majalla" w:hAnsi="Sakkal Majalla" w:cs="Sakkal Majalla"/>
          <w:sz w:val="28"/>
          <w:szCs w:val="28"/>
          <w:rtl/>
        </w:rPr>
        <w:t>الحوكمة</w:t>
      </w:r>
      <w:proofErr w:type="spellEnd"/>
      <w:r w:rsidRPr="0009434F">
        <w:rPr>
          <w:rFonts w:ascii="Sakkal Majalla" w:hAnsi="Sakkal Majalla" w:cs="Sakkal Majalla"/>
          <w:sz w:val="28"/>
          <w:szCs w:val="28"/>
          <w:rtl/>
        </w:rPr>
        <w:t xml:space="preserve"> الجيدة على قدرة الشركات على تنفيذ استراتيجيات التنويع بنجاح.</w:t>
      </w:r>
    </w:p>
    <w:p w14:paraId="463D7227" w14:textId="77777777" w:rsidR="00BB6B96" w:rsidRPr="0009434F"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 xml:space="preserve">في السياق السعودي، يشكل تحسين </w:t>
      </w:r>
      <w:proofErr w:type="spellStart"/>
      <w:r w:rsidRPr="0009434F">
        <w:rPr>
          <w:rFonts w:ascii="Sakkal Majalla" w:hAnsi="Sakkal Majalla" w:cs="Sakkal Majalla"/>
          <w:sz w:val="28"/>
          <w:szCs w:val="28"/>
          <w:rtl/>
        </w:rPr>
        <w:t>الحوكمة</w:t>
      </w:r>
      <w:proofErr w:type="spellEnd"/>
      <w:r w:rsidRPr="0009434F">
        <w:rPr>
          <w:rFonts w:ascii="Sakkal Majalla" w:hAnsi="Sakkal Majalla" w:cs="Sakkal Majalla"/>
          <w:sz w:val="28"/>
          <w:szCs w:val="28"/>
          <w:rtl/>
        </w:rPr>
        <w:t xml:space="preserve"> المؤسسية جزءًا أساسيًا من رؤية 2030، حيث يتم تعزيز الإطار التشريعي والمؤسسي لدعم الشركات في تبني استراتيجيات التنويع. ومن ثم، تعتمد الدراسة على هذه النظرية لتحليل مدى تأثير الإصلاحات المؤسسية </w:t>
      </w:r>
      <w:proofErr w:type="spellStart"/>
      <w:r w:rsidRPr="0009434F">
        <w:rPr>
          <w:rFonts w:ascii="Sakkal Majalla" w:hAnsi="Sakkal Majalla" w:cs="Sakkal Majalla"/>
          <w:sz w:val="28"/>
          <w:szCs w:val="28"/>
          <w:rtl/>
        </w:rPr>
        <w:t>والحوكمة</w:t>
      </w:r>
      <w:proofErr w:type="spellEnd"/>
      <w:r w:rsidRPr="0009434F">
        <w:rPr>
          <w:rFonts w:ascii="Sakkal Majalla" w:hAnsi="Sakkal Majalla" w:cs="Sakkal Majalla"/>
          <w:sz w:val="28"/>
          <w:szCs w:val="28"/>
          <w:rtl/>
        </w:rPr>
        <w:t xml:space="preserve"> الجيدة على تسهيل عملية تنويع الأعمال، مما يسهم في تحقيق استدامة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6365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F0732">
            <w:rPr>
              <w:rFonts w:ascii="Sakkal Majalla" w:hAnsi="Sakkal Majalla" w:cs="Sakkal Majalla" w:hint="cs"/>
              <w:noProof/>
              <w:sz w:val="28"/>
              <w:szCs w:val="28"/>
              <w:rtl/>
              <w:lang w:bidi="ar-EG"/>
            </w:rPr>
            <w:t>(</w:t>
          </w:r>
          <w:r w:rsidRPr="000F0732">
            <w:rPr>
              <w:rFonts w:ascii="Sakkal Majalla" w:hAnsi="Sakkal Majalla" w:cs="Sakkal Majalla" w:hint="cs"/>
              <w:noProof/>
              <w:sz w:val="28"/>
              <w:szCs w:val="28"/>
              <w:lang w:bidi="ar-EG"/>
            </w:rPr>
            <w:t>Burak</w:t>
          </w:r>
          <w:r w:rsidRPr="000F0732">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9434F">
        <w:rPr>
          <w:rFonts w:ascii="Sakkal Majalla" w:hAnsi="Sakkal Majalla" w:cs="Sakkal Majalla"/>
          <w:sz w:val="28"/>
          <w:szCs w:val="28"/>
          <w:rtl/>
        </w:rPr>
        <w:t>.</w:t>
      </w:r>
    </w:p>
    <w:p w14:paraId="3E5122E7" w14:textId="77777777" w:rsidR="00BB6B96" w:rsidRPr="0009434F" w:rsidRDefault="00BB6B96">
      <w:pPr>
        <w:pStyle w:val="a6"/>
        <w:numPr>
          <w:ilvl w:val="0"/>
          <w:numId w:val="9"/>
        </w:numPr>
        <w:spacing w:line="360" w:lineRule="auto"/>
        <w:jc w:val="both"/>
        <w:rPr>
          <w:rFonts w:ascii="Sakkal Majalla" w:hAnsi="Sakkal Majalla" w:cs="Sakkal Majalla"/>
          <w:b/>
          <w:bCs/>
          <w:sz w:val="28"/>
          <w:szCs w:val="28"/>
          <w:rtl/>
        </w:rPr>
      </w:pPr>
      <w:r w:rsidRPr="0009434F">
        <w:rPr>
          <w:rFonts w:ascii="Sakkal Majalla" w:hAnsi="Sakkal Majalla" w:cs="Sakkal Majalla"/>
          <w:b/>
          <w:bCs/>
          <w:sz w:val="28"/>
          <w:szCs w:val="28"/>
          <w:rtl/>
        </w:rPr>
        <w:lastRenderedPageBreak/>
        <w:t>نظرية الميزة التنافسية:</w:t>
      </w:r>
    </w:p>
    <w:p w14:paraId="49B4BE80" w14:textId="40C78563" w:rsidR="00BB6B96" w:rsidRPr="0009434F"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 xml:space="preserve">تستخدم الدراسة أيضًا نظرية الميزة </w:t>
      </w:r>
      <w:r w:rsidR="00A219D9" w:rsidRPr="0009434F">
        <w:rPr>
          <w:rFonts w:ascii="Sakkal Majalla" w:hAnsi="Sakkal Majalla" w:cs="Sakkal Majalla" w:hint="cs"/>
          <w:sz w:val="28"/>
          <w:szCs w:val="28"/>
          <w:rtl/>
        </w:rPr>
        <w:t>التنافسية كأح</w:t>
      </w:r>
      <w:r w:rsidR="00A219D9" w:rsidRPr="0009434F">
        <w:rPr>
          <w:rFonts w:ascii="Sakkal Majalla" w:hAnsi="Sakkal Majalla" w:cs="Sakkal Majalla" w:hint="eastAsia"/>
          <w:sz w:val="28"/>
          <w:szCs w:val="28"/>
          <w:rtl/>
        </w:rPr>
        <w:t>د</w:t>
      </w:r>
      <w:r w:rsidRPr="0009434F">
        <w:rPr>
          <w:rFonts w:ascii="Sakkal Majalla" w:hAnsi="Sakkal Majalla" w:cs="Sakkal Majalla"/>
          <w:sz w:val="28"/>
          <w:szCs w:val="28"/>
          <w:rtl/>
        </w:rPr>
        <w:t xml:space="preserve"> المنطلقات النظرية لتحليل كيف يمكن أن يؤدي التنويع الاقتصادي إلى تعزيز تنافسية الشركات. وفقًا لهذه النظرية، تستطيع الشركات تحقيق ميزة تنافسية من خلال الابتكار، وتحسين الكفاءة، وتنويع مصادر الإيرادات. تؤكد النظرية أن الشركات التي تتمكن من تنويع أنشطتها ومنتجاتها تستطيع المنافسة بشكل أفضل في الأسواق المحلية والعالمية، وبالتالي تحسين فرصها في الاستدامة والنمو.</w:t>
      </w:r>
    </w:p>
    <w:p w14:paraId="35FD1263" w14:textId="77777777" w:rsidR="00BB6B96" w:rsidRDefault="00BB6B96" w:rsidP="00BB6B96">
      <w:pPr>
        <w:spacing w:line="360" w:lineRule="auto"/>
        <w:jc w:val="both"/>
        <w:rPr>
          <w:rFonts w:ascii="Sakkal Majalla" w:hAnsi="Sakkal Majalla" w:cs="Sakkal Majalla"/>
          <w:sz w:val="28"/>
          <w:szCs w:val="28"/>
          <w:rtl/>
        </w:rPr>
      </w:pPr>
      <w:r w:rsidRPr="0009434F">
        <w:rPr>
          <w:rFonts w:ascii="Sakkal Majalla" w:hAnsi="Sakkal Majalla" w:cs="Sakkal Majalla"/>
          <w:sz w:val="28"/>
          <w:szCs w:val="28"/>
          <w:rtl/>
        </w:rPr>
        <w:t xml:space="preserve">تعتمد هذه الدراسة على مجموعة من المنطلقات النظرية التي تساعد في تحليل العلاقة بين استراتيجيات التنويع الاقتصادي واستدامة الأعمال في القطاع الخاص السعودي. من خلال استنادها إلى نظرية التنويع الاقتصادي، نظرية استدامة الأعمال، نظرية المرونة الاقتصادية، نظرية </w:t>
      </w:r>
      <w:proofErr w:type="spellStart"/>
      <w:r w:rsidRPr="0009434F">
        <w:rPr>
          <w:rFonts w:ascii="Sakkal Majalla" w:hAnsi="Sakkal Majalla" w:cs="Sakkal Majalla"/>
          <w:sz w:val="28"/>
          <w:szCs w:val="28"/>
          <w:rtl/>
        </w:rPr>
        <w:t>الحوكمة</w:t>
      </w:r>
      <w:proofErr w:type="spellEnd"/>
      <w:r w:rsidRPr="0009434F">
        <w:rPr>
          <w:rFonts w:ascii="Sakkal Majalla" w:hAnsi="Sakkal Majalla" w:cs="Sakkal Majalla"/>
          <w:sz w:val="28"/>
          <w:szCs w:val="28"/>
          <w:rtl/>
        </w:rPr>
        <w:t xml:space="preserve"> المؤسسية، ونظرية الميزة التنافسية، تقدم الدراسة إطارًا شاملًا لتحليل كيفية تحقيق الشركات السعودية استدامة أعمالها في ظل التحولات الاقتصادية الكبيرة التي تشهدها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91843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F0732">
            <w:rPr>
              <w:rFonts w:ascii="Sakkal Majalla" w:hAnsi="Sakkal Majalla" w:cs="Sakkal Majalla" w:hint="cs"/>
              <w:noProof/>
              <w:sz w:val="28"/>
              <w:szCs w:val="28"/>
              <w:rtl/>
              <w:lang w:bidi="ar-EG"/>
            </w:rPr>
            <w:t>(</w:t>
          </w:r>
          <w:r w:rsidRPr="000F0732">
            <w:rPr>
              <w:rFonts w:ascii="Sakkal Majalla" w:hAnsi="Sakkal Majalla" w:cs="Sakkal Majalla" w:hint="cs"/>
              <w:noProof/>
              <w:sz w:val="28"/>
              <w:szCs w:val="28"/>
              <w:lang w:bidi="ar-EG"/>
            </w:rPr>
            <w:t>Farida</w:t>
          </w:r>
          <w:r w:rsidRPr="000F073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9434F">
        <w:rPr>
          <w:rFonts w:ascii="Sakkal Majalla" w:hAnsi="Sakkal Majalla" w:cs="Sakkal Majalla"/>
          <w:sz w:val="28"/>
          <w:szCs w:val="28"/>
          <w:rtl/>
        </w:rPr>
        <w:t>.</w:t>
      </w:r>
    </w:p>
    <w:p w14:paraId="5665B82D" w14:textId="77777777" w:rsidR="008A269C" w:rsidRDefault="008A269C" w:rsidP="00D56BD7">
      <w:pPr>
        <w:spacing w:after="0" w:line="360" w:lineRule="auto"/>
        <w:rPr>
          <w:rFonts w:ascii="Simplified Arabic" w:hAnsi="Simplified Arabic" w:cs="Simplified Arabic"/>
          <w:b/>
          <w:bCs/>
          <w:sz w:val="28"/>
          <w:szCs w:val="28"/>
          <w:rtl/>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75F4CF1A" w14:textId="77777777" w:rsidR="00A219D9" w:rsidRDefault="00A219D9" w:rsidP="00D56BD7">
      <w:pPr>
        <w:spacing w:after="0" w:line="360" w:lineRule="auto"/>
        <w:rPr>
          <w:rFonts w:ascii="Simplified Arabic" w:hAnsi="Simplified Arabic" w:cs="Simplified Arabic"/>
          <w:b/>
          <w:bCs/>
          <w:sz w:val="28"/>
          <w:szCs w:val="28"/>
          <w:rtl/>
        </w:rPr>
      </w:pPr>
    </w:p>
    <w:p w14:paraId="3C78D3AD" w14:textId="77777777" w:rsidR="00A219D9" w:rsidRDefault="00A219D9" w:rsidP="00D56BD7">
      <w:pPr>
        <w:spacing w:after="0" w:line="360" w:lineRule="auto"/>
        <w:rPr>
          <w:rFonts w:ascii="Simplified Arabic" w:hAnsi="Simplified Arabic" w:cs="Simplified Arabic"/>
          <w:b/>
          <w:bCs/>
          <w:sz w:val="28"/>
          <w:szCs w:val="28"/>
          <w:rtl/>
        </w:rPr>
      </w:pPr>
    </w:p>
    <w:p w14:paraId="4FA27D2B" w14:textId="77777777" w:rsidR="00A219D9" w:rsidRDefault="00A219D9" w:rsidP="00D56BD7">
      <w:pPr>
        <w:spacing w:after="0" w:line="360" w:lineRule="auto"/>
        <w:rPr>
          <w:rFonts w:ascii="Simplified Arabic" w:hAnsi="Simplified Arabic" w:cs="Simplified Arabic"/>
          <w:b/>
          <w:bCs/>
          <w:sz w:val="28"/>
          <w:szCs w:val="28"/>
          <w:rtl/>
        </w:rPr>
      </w:pPr>
    </w:p>
    <w:p w14:paraId="4C0F31F7" w14:textId="77777777" w:rsidR="00A219D9" w:rsidRDefault="00A219D9" w:rsidP="00D56BD7">
      <w:pPr>
        <w:spacing w:after="0" w:line="360" w:lineRule="auto"/>
        <w:rPr>
          <w:rFonts w:ascii="Simplified Arabic" w:hAnsi="Simplified Arabic" w:cs="Simplified Arabic"/>
          <w:b/>
          <w:bCs/>
          <w:sz w:val="28"/>
          <w:szCs w:val="28"/>
          <w:rtl/>
        </w:rPr>
      </w:pPr>
    </w:p>
    <w:p w14:paraId="708FBCB6" w14:textId="77777777" w:rsidR="00A219D9" w:rsidRDefault="00A219D9" w:rsidP="00D56BD7">
      <w:pPr>
        <w:spacing w:after="0" w:line="360" w:lineRule="auto"/>
        <w:rPr>
          <w:rFonts w:ascii="Simplified Arabic" w:hAnsi="Simplified Arabic" w:cs="Simplified Arabic"/>
          <w:b/>
          <w:bCs/>
          <w:sz w:val="28"/>
          <w:szCs w:val="28"/>
          <w:rtl/>
        </w:rPr>
      </w:pPr>
    </w:p>
    <w:p w14:paraId="7B0973E0" w14:textId="77777777" w:rsidR="00A219D9" w:rsidRDefault="00A219D9" w:rsidP="00D56BD7">
      <w:pPr>
        <w:spacing w:after="0" w:line="360" w:lineRule="auto"/>
        <w:rPr>
          <w:rFonts w:ascii="Simplified Arabic" w:hAnsi="Simplified Arabic" w:cs="Simplified Arabic"/>
          <w:b/>
          <w:bCs/>
          <w:sz w:val="28"/>
          <w:szCs w:val="28"/>
          <w:rtl/>
        </w:rPr>
      </w:pPr>
    </w:p>
    <w:p w14:paraId="157C8EF0" w14:textId="77777777" w:rsidR="00A219D9" w:rsidRDefault="00A219D9" w:rsidP="00D56BD7">
      <w:pPr>
        <w:spacing w:after="0" w:line="360" w:lineRule="auto"/>
        <w:rPr>
          <w:rFonts w:ascii="Simplified Arabic" w:hAnsi="Simplified Arabic" w:cs="Simplified Arabic"/>
          <w:b/>
          <w:bCs/>
          <w:sz w:val="28"/>
          <w:szCs w:val="28"/>
          <w:rtl/>
        </w:rPr>
      </w:pPr>
    </w:p>
    <w:p w14:paraId="063963AC" w14:textId="77777777" w:rsidR="00A219D9" w:rsidRDefault="00A219D9" w:rsidP="00D56BD7">
      <w:pPr>
        <w:spacing w:after="0" w:line="360" w:lineRule="auto"/>
        <w:rPr>
          <w:rFonts w:ascii="Simplified Arabic" w:hAnsi="Simplified Arabic" w:cs="Simplified Arabic"/>
          <w:b/>
          <w:bCs/>
          <w:sz w:val="28"/>
          <w:szCs w:val="28"/>
          <w:rtl/>
        </w:rPr>
      </w:pPr>
    </w:p>
    <w:p w14:paraId="57C7D708" w14:textId="77777777" w:rsidR="00A219D9" w:rsidRDefault="00A219D9"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sz w:val="40"/>
          <w:szCs w:val="40"/>
          <w:rtl/>
        </w:rPr>
        <w:t>الفصل الثاني</w:t>
      </w:r>
      <w:bookmarkEnd w:id="27"/>
      <w:bookmarkEnd w:id="28"/>
      <w:bookmarkEnd w:id="29"/>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sz w:val="40"/>
          <w:szCs w:val="40"/>
          <w:rtl/>
        </w:rPr>
        <w:t>الدراسات السابقة</w:t>
      </w:r>
      <w:bookmarkEnd w:id="30"/>
      <w:bookmarkEnd w:id="31"/>
      <w:bookmarkEnd w:id="32"/>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6776F0F2" w14:textId="77777777" w:rsidR="004C2B15" w:rsidRDefault="004C2B15" w:rsidP="00D22171">
      <w:pPr>
        <w:rPr>
          <w:rFonts w:ascii="Sakkal Majalla" w:hAnsi="Sakkal Majalla" w:cs="Sakkal Majalla"/>
          <w:sz w:val="28"/>
          <w:szCs w:val="28"/>
          <w:u w:val="single"/>
          <w:rtl/>
        </w:rPr>
      </w:pPr>
    </w:p>
    <w:p w14:paraId="474A3981" w14:textId="77777777" w:rsidR="009E74BA" w:rsidRDefault="009E74BA" w:rsidP="00D22171">
      <w:pPr>
        <w:rPr>
          <w:rFonts w:ascii="Sakkal Majalla" w:hAnsi="Sakkal Majalla" w:cs="Sakkal Majalla"/>
          <w:sz w:val="28"/>
          <w:szCs w:val="28"/>
          <w:u w:val="single"/>
          <w:rtl/>
        </w:rPr>
      </w:pPr>
    </w:p>
    <w:p w14:paraId="0B8FCFD9" w14:textId="77777777" w:rsidR="009E74BA" w:rsidRDefault="009E74BA" w:rsidP="00D22171">
      <w:pPr>
        <w:rPr>
          <w:rFonts w:ascii="Sakkal Majalla" w:hAnsi="Sakkal Majalla" w:cs="Sakkal Majalla"/>
          <w:sz w:val="28"/>
          <w:szCs w:val="28"/>
          <w:u w:val="single"/>
          <w:rtl/>
        </w:rPr>
      </w:pPr>
    </w:p>
    <w:p w14:paraId="604DB5FC" w14:textId="77777777" w:rsidR="009E74BA" w:rsidRDefault="009E74BA"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2"/>
        <w:rPr>
          <w:rtl/>
        </w:rPr>
      </w:pPr>
      <w:bookmarkStart w:id="33" w:name="_Toc172397785"/>
      <w:bookmarkStart w:id="34" w:name="_Toc172746098"/>
      <w:bookmarkStart w:id="35" w:name="_Toc191138778"/>
      <w:r>
        <w:rPr>
          <w:rFonts w:hint="cs"/>
          <w:rtl/>
        </w:rPr>
        <w:t>ال</w:t>
      </w:r>
      <w:r w:rsidR="00F925D0" w:rsidRPr="0048136D">
        <w:rPr>
          <w:rtl/>
        </w:rPr>
        <w:t>مقدمة</w:t>
      </w:r>
      <w:bookmarkEnd w:id="33"/>
      <w:bookmarkEnd w:id="34"/>
      <w:bookmarkEnd w:id="35"/>
    </w:p>
    <w:p w14:paraId="62C9DC70" w14:textId="77777777" w:rsidR="00FB3126" w:rsidRPr="00FB3126" w:rsidRDefault="00FB3126" w:rsidP="00FB3126">
      <w:pPr>
        <w:pStyle w:val="af1"/>
        <w:rPr>
          <w:rtl/>
        </w:rPr>
      </w:pPr>
      <w:r w:rsidRPr="00FB3126">
        <w:rPr>
          <w:rtl/>
        </w:rPr>
        <w:t>ونظراً للتحديات التي تواجهها الأسواق المحلية والتغيرات التي يشهدها الاقتصاد العالمي، فإن التنويع الاقتصادي يعد من أهم العوامل في تحقيق الاستدامة الاقتصادية وتعزيز استمرارية الأعمال. وتشكل استراتيجيات التنويع الاقتصادي جزءاً مهماً من "رؤية السعودية 2030" للمملكة العربية السعودية لأنها تهدف إلى تقليل الاعتماد على صناعة النفط وزيادة نمو القطاعات الإنتاجية والخدمية، وكلاهما يعزز الاستقرار الاقتصادي على المدى الطويل واستدامة أعمال القطاع الخاص. ومن هذا المنطلق، أصبح من الضروري الآن إجراء البحوث حول العلاقة بين تكتيكات التنويع الاقتصادي وكيف تؤثر على استدامة الأعمال. وينبغي أن يركز هذا البحث على العوامل التي تساهم في نجاح هذه الاستراتيجيات وكذلك العوائق المحتملة التي قد تمنعها من تحقيق أهدافها. ويتناول هذا الفصل أهم الدراسات التي بحثت في العلاقة بين استراتيجيات التنويع الاقتصادي واستدامة الشركات. كما يحلل البحوث السابقة حول هذا الموضوع ويسلط الضوء على أهم الاستنتاجات والتوصيات من هذه الدراسات. يتناول هذا الفصل الأسس النظرية لمشكلة الدراسة من خلال استعراض المفاهيم الأساسية للتنويع الاقتصادي والاستراتيجيات الأساسية المستخدمة لتحقيقه، بالإضافة إلى النظر في العوامل التي تؤثر على استدامة الأعمال في القطاع الخاص. بالإضافة إلى ذلك، سيتم إجراء فحص للنظريات الاقتصادية والإدارية ذات الصلة المختلفة التي تصف كيف يؤثر التنويع الاقتصادي على استقرار الشركة ونموها في بيئة أعمال تنافسية.</w:t>
      </w:r>
    </w:p>
    <w:p w14:paraId="751AB2CA" w14:textId="77777777" w:rsidR="00FB3126" w:rsidRPr="00FB3126" w:rsidRDefault="00FB3126" w:rsidP="00FB3126">
      <w:pPr>
        <w:pStyle w:val="af1"/>
        <w:rPr>
          <w:rtl/>
        </w:rPr>
      </w:pPr>
      <w:r w:rsidRPr="00FB3126">
        <w:rPr>
          <w:rtl/>
        </w:rPr>
        <w:t>تعتبر تكتيكات التنويع الاقتصادي، والتي تشمل التنويع القطاعي والجغرافي وتنويع المنتجات، المتغير المستقل، ويركز الفصل أيضًا على تحليل متغيرات البحث. بالإضافة إلى ذلك، فإنه ينظر في كيفية تأثير هذه التكتيكات على استدامة الأعمال، المتغير التابع الذي يشمل الاستمرارية المالية والقدرة التنافسية والقدرة على التكيف مع التغيير الاقتصادي. سنناقش أيضًا كيف يمكن لبرامج المساعدات الحكومية والسياسات الحكومية أن تعزز التنويع الاقتصادي وكيف تتأثر فعالية هذه الاستراتيجيات بالبيئة الاقتصادية والتنظيمية للمملكة.</w:t>
      </w:r>
    </w:p>
    <w:p w14:paraId="09A1B0BE" w14:textId="1C49E420" w:rsidR="00635A39" w:rsidRDefault="00FB3126" w:rsidP="00FB3126">
      <w:pPr>
        <w:pStyle w:val="af1"/>
        <w:rPr>
          <w:rtl/>
        </w:rPr>
      </w:pPr>
      <w:r w:rsidRPr="00FB3126">
        <w:rPr>
          <w:rtl/>
        </w:rPr>
        <w:t xml:space="preserve">من خلال هذا التحليل الشامل، سيتم بناء إطار نظري متكامل يربط بين المكونات النظرية والتطبيقية للبحث من أجل شرح العلاقة بين المتغيرات وإنتاج الفرضيات التي سيتم تقييمها في الفصول التالية. ويهدف هذا الفصل أيضًا إلى توفير </w:t>
      </w:r>
      <w:r w:rsidRPr="00FB3126">
        <w:rPr>
          <w:rtl/>
        </w:rPr>
        <w:lastRenderedPageBreak/>
        <w:t>أساس علمي متين للتحقيق في فعالية استراتيجيات التنويع الاقتصادي في تحقيق الاستدامة المؤسسية، مما سيساعد صناع القرار ورواد الأعمال على تبني سياسات تنويع أكثر فعالية وكفاءة.</w:t>
      </w:r>
    </w:p>
    <w:p w14:paraId="5DA92ECA" w14:textId="63B14D5D" w:rsidR="00E3443E" w:rsidRDefault="00E3443E" w:rsidP="00E3443E">
      <w:pPr>
        <w:pStyle w:val="2"/>
        <w:rPr>
          <w:rtl/>
        </w:rPr>
      </w:pPr>
      <w:bookmarkStart w:id="36" w:name="_Toc191138779"/>
      <w:r>
        <w:rPr>
          <w:rFonts w:hint="cs"/>
          <w:rtl/>
        </w:rPr>
        <w:t>متغيرات الدراسة</w:t>
      </w:r>
      <w:bookmarkEnd w:id="36"/>
    </w:p>
    <w:p w14:paraId="302DF04C" w14:textId="7520CF99" w:rsidR="00BB6B96" w:rsidRDefault="008F65A2" w:rsidP="00FB3126">
      <w:pPr>
        <w:pStyle w:val="af1"/>
        <w:rPr>
          <w:rtl/>
        </w:rPr>
      </w:pPr>
      <w:r w:rsidRPr="008F65A2">
        <w:rPr>
          <w:rtl/>
        </w:rPr>
        <w:t xml:space="preserve">وبما أن الشركات تعتمد على استراتيجيات التوسع الاستثماري لتعزيز نموها وتحقيق أهدافها المالية، فإن متغيرات الدراسة توضح وجود علاقة سببية بين المتغير المستقل لاستراتيجيات التوسع الاستثماري وتأثيراتها على </w:t>
      </w:r>
      <w:r w:rsidR="00A219D9" w:rsidRPr="008F65A2">
        <w:rPr>
          <w:rFonts w:hint="cs"/>
          <w:rtl/>
        </w:rPr>
        <w:t>ثلاث</w:t>
      </w:r>
      <w:r w:rsidRPr="008F65A2">
        <w:rPr>
          <w:rtl/>
        </w:rPr>
        <w:t xml:space="preserve"> متغيرات تابعة: خفض المخاطر المالية، والقدرة التنافسية، واستمرارية الأعمال. ومن خلال توزيع الاستثمارات على العديد من الصناعات، تعمل استراتيجيات التوسع المدروسة بعناية على خفض المخاطر المالية، وتقليل تأثير التغيرات غير المواتية في الاقتصاد، وتحسين استقرار العائدات المالية. وتعتبر هذه التكتيكات بالغة الأهمية لتعزيز القدرة التنافسية لأن التوسع يمنح الشركات فرصة لزيادة حصتها في السوق، وخلق سلع جديدة، وتعزيز الفعالية التشغيلية، وكل ذلك يعزز قدرتها على المنافسة. كما يعمل الاستثمار الاستراتيجي على تحسين استمرارية الأعمال لأن التوسع المخطط له جيدًا يؤدي إلى استدامة مالية قوية، مما يساعد الشركات على تحمل النكسات المستقبلية والبقاء قادرة على المنافسة على المدى الطويل. إن نجاح خطط التوسع يحسن على الفور جميع المتغيرات الثلاثة، مما يدل على الارتباط الواضح بين المتغيرات والدور الحاسم الذي يلعبه التخطيط الاستثماري في تعزيز الاستقرار التنافسي والمالي للمؤسسة.</w:t>
      </w:r>
    </w:p>
    <w:p w14:paraId="59447192" w14:textId="77777777" w:rsidR="00BB6B96" w:rsidRDefault="00BB6B96" w:rsidP="00BB6B96">
      <w:pPr>
        <w:rPr>
          <w:rtl/>
          <w:lang w:bidi="ar-EG"/>
        </w:rPr>
      </w:pPr>
    </w:p>
    <w:p w14:paraId="5BB99B31" w14:textId="77777777" w:rsidR="00BB6B96" w:rsidRDefault="00BB6B96" w:rsidP="00BB6B96">
      <w:pPr>
        <w:rPr>
          <w:rtl/>
          <w:lang w:bidi="ar-EG"/>
        </w:rPr>
      </w:pPr>
    </w:p>
    <w:p w14:paraId="30A89694" w14:textId="77777777" w:rsidR="00BB6B96" w:rsidRDefault="00BB6B96" w:rsidP="00BB6B96">
      <w:pPr>
        <w:rPr>
          <w:rtl/>
          <w:lang w:bidi="ar-EG"/>
        </w:rPr>
      </w:pPr>
    </w:p>
    <w:p w14:paraId="59B69051" w14:textId="77777777" w:rsidR="00BB6B96" w:rsidRDefault="00BB6B96" w:rsidP="00BB6B96">
      <w:pPr>
        <w:rPr>
          <w:rtl/>
          <w:lang w:bidi="ar-EG"/>
        </w:rPr>
      </w:pPr>
    </w:p>
    <w:p w14:paraId="55708C8F" w14:textId="77777777" w:rsidR="00BB6B96" w:rsidRDefault="00BB6B96" w:rsidP="00BB6B96">
      <w:pPr>
        <w:rPr>
          <w:rtl/>
          <w:lang w:bidi="ar-EG"/>
        </w:rPr>
      </w:pPr>
    </w:p>
    <w:p w14:paraId="21208BCD" w14:textId="77777777" w:rsidR="00BB6B96" w:rsidRDefault="00BB6B96" w:rsidP="00BB6B96">
      <w:pPr>
        <w:rPr>
          <w:rtl/>
          <w:lang w:bidi="ar-EG"/>
        </w:rPr>
      </w:pPr>
    </w:p>
    <w:p w14:paraId="5B89F254" w14:textId="77777777" w:rsidR="00BB6B96" w:rsidRDefault="00BB6B96" w:rsidP="00BB6B96">
      <w:pPr>
        <w:rPr>
          <w:rtl/>
          <w:lang w:bidi="ar-EG"/>
        </w:rPr>
      </w:pPr>
    </w:p>
    <w:p w14:paraId="14D8090B" w14:textId="77777777" w:rsidR="00BB6B96" w:rsidRDefault="00BB6B96" w:rsidP="00BB6B96">
      <w:pPr>
        <w:rPr>
          <w:rtl/>
          <w:lang w:bidi="ar-EG"/>
        </w:rPr>
      </w:pPr>
    </w:p>
    <w:p w14:paraId="3BC59FCA" w14:textId="77777777" w:rsidR="00BB6B96" w:rsidRDefault="00BB6B96" w:rsidP="00BB6B96">
      <w:pPr>
        <w:rPr>
          <w:rtl/>
          <w:lang w:bidi="ar-EG"/>
        </w:rPr>
      </w:pPr>
    </w:p>
    <w:p w14:paraId="1466D731" w14:textId="77777777" w:rsidR="00BB6B96" w:rsidRDefault="00BB6B96" w:rsidP="00BB6B96">
      <w:pPr>
        <w:rPr>
          <w:rtl/>
          <w:lang w:bidi="ar-EG"/>
        </w:rPr>
      </w:pPr>
    </w:p>
    <w:p w14:paraId="0513484C" w14:textId="77777777" w:rsidR="00BB6B96" w:rsidRDefault="00BB6B96" w:rsidP="00BB6B96">
      <w:pPr>
        <w:rPr>
          <w:rtl/>
          <w:lang w:bidi="ar-EG"/>
        </w:rPr>
      </w:pPr>
    </w:p>
    <w:p w14:paraId="0E5140BE" w14:textId="77777777" w:rsidR="00BB6B96" w:rsidRDefault="00BB6B96" w:rsidP="00BB6B96">
      <w:pPr>
        <w:rPr>
          <w:rtl/>
          <w:lang w:bidi="ar-EG"/>
        </w:rPr>
      </w:pPr>
    </w:p>
    <w:p w14:paraId="23A3D583" w14:textId="77777777" w:rsidR="00BB6B96" w:rsidRDefault="00BB6B96" w:rsidP="00BB6B96">
      <w:pPr>
        <w:rPr>
          <w:rtl/>
          <w:lang w:bidi="ar-EG"/>
        </w:rPr>
      </w:pPr>
    </w:p>
    <w:p w14:paraId="77291B93" w14:textId="77777777" w:rsidR="00BB6B96" w:rsidRDefault="00BB6B96" w:rsidP="00BB6B96">
      <w:pPr>
        <w:rPr>
          <w:rtl/>
          <w:lang w:bidi="ar-EG"/>
        </w:rPr>
      </w:pPr>
    </w:p>
    <w:p w14:paraId="196769F9" w14:textId="77777777" w:rsidR="00BB6B96" w:rsidRDefault="00BB6B96" w:rsidP="00BB6B96">
      <w:pPr>
        <w:rPr>
          <w:rtl/>
          <w:lang w:bidi="ar-EG"/>
        </w:rPr>
      </w:pPr>
    </w:p>
    <w:p w14:paraId="5F233192" w14:textId="77777777" w:rsidR="00BB6B96" w:rsidRDefault="00BB6B96" w:rsidP="00BB6B96">
      <w:pPr>
        <w:rPr>
          <w:rtl/>
          <w:lang w:bidi="ar-EG"/>
        </w:rPr>
      </w:pPr>
    </w:p>
    <w:p w14:paraId="4AE067E6" w14:textId="77777777" w:rsidR="00BB6B96" w:rsidRDefault="00BB6B96" w:rsidP="00BB6B96">
      <w:pPr>
        <w:rPr>
          <w:rtl/>
          <w:lang w:bidi="ar-EG"/>
        </w:rPr>
      </w:pPr>
    </w:p>
    <w:p w14:paraId="15877340" w14:textId="77777777" w:rsidR="00BB6B96" w:rsidRPr="00BB6B96" w:rsidRDefault="00BB6B96" w:rsidP="00BB6B96">
      <w:pPr>
        <w:rPr>
          <w:rtl/>
          <w:lang w:bidi="ar-EG"/>
        </w:rPr>
      </w:pPr>
    </w:p>
    <w:p w14:paraId="055BFCBB" w14:textId="186497DE" w:rsidR="004C2B15" w:rsidRDefault="00F925D0" w:rsidP="009C7EB0">
      <w:pPr>
        <w:pStyle w:val="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5FF67DF1" w14:textId="0593A1AD" w:rsidR="00BB6B96" w:rsidRDefault="00BB6B96" w:rsidP="00A219D9">
      <w:p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 xml:space="preserve">إن التنويع الاقتصادي مهم لبناء النمو الاقتصادي المستدام. وبالتالي فإن الاقتصاد الذي يعتمد بشكل كبير على الدخل من الموارد الطبيعية معرض لخطر عدم الاستقرار أو حتى الانهيار إذا انخفض سعر هذه السلعة في السوق العالمية. بالإضافة إلى ذلك، يساهم التنويع الاقتصادي بشكل إيجابي في خلق فرص العمل، ومحاربة الفساد، وتحسين جودة المؤسسات في البلدان. </w:t>
      </w:r>
      <w:r w:rsidRPr="005822E9">
        <w:rPr>
          <w:rFonts w:ascii="Times New Roman" w:hAnsi="Times New Roman" w:cs="Times New Roman" w:hint="cs"/>
          <w:sz w:val="28"/>
          <w:szCs w:val="28"/>
          <w:rtl/>
        </w:rPr>
        <w:t>​​</w:t>
      </w:r>
      <w:r w:rsidRPr="005822E9">
        <w:rPr>
          <w:rFonts w:ascii="Sakkal Majalla" w:hAnsi="Sakkal Majalla" w:cs="Sakkal Majalla" w:hint="cs"/>
          <w:sz w:val="28"/>
          <w:szCs w:val="28"/>
          <w:rtl/>
        </w:rPr>
        <w:t>أصدرت</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الحكومة</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السعودية</w:t>
      </w:r>
      <w:r w:rsidRPr="005822E9">
        <w:rPr>
          <w:rFonts w:ascii="Sakkal Majalla" w:hAnsi="Sakkal Majalla" w:cs="Sakkal Majalla"/>
          <w:sz w:val="28"/>
          <w:szCs w:val="28"/>
          <w:rtl/>
        </w:rPr>
        <w:t xml:space="preserve"> 10 </w:t>
      </w:r>
      <w:r w:rsidRPr="005822E9">
        <w:rPr>
          <w:rFonts w:ascii="Sakkal Majalla" w:hAnsi="Sakkal Majalla" w:cs="Sakkal Majalla" w:hint="cs"/>
          <w:sz w:val="28"/>
          <w:szCs w:val="28"/>
          <w:rtl/>
        </w:rPr>
        <w:t>خطط</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تنمية</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منذ</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عام</w:t>
      </w:r>
      <w:r w:rsidRPr="005822E9">
        <w:rPr>
          <w:rFonts w:ascii="Sakkal Majalla" w:hAnsi="Sakkal Majalla" w:cs="Sakkal Majalla"/>
          <w:sz w:val="28"/>
          <w:szCs w:val="28"/>
          <w:rtl/>
        </w:rPr>
        <w:t xml:space="preserve"> 1970</w:t>
      </w:r>
      <w:r w:rsidRPr="005822E9">
        <w:rPr>
          <w:rFonts w:ascii="Sakkal Majalla" w:hAnsi="Sakkal Majalla" w:cs="Sakkal Majalla" w:hint="cs"/>
          <w:sz w:val="28"/>
          <w:szCs w:val="28"/>
          <w:rtl/>
        </w:rPr>
        <w:t>،</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تغطي</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كل</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منها</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خمس</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سنوات،</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والتنويع</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الاقتصادي</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هو</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الهدف</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الرئيسي</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لجميع</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هذه</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الخطط</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تدرس</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هذه</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الورقة</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جهود</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الحكومة</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لتنويع</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الاقتصاد</w:t>
      </w:r>
      <w:r w:rsidRPr="005822E9">
        <w:rPr>
          <w:rFonts w:ascii="Sakkal Majalla" w:hAnsi="Sakkal Majalla" w:cs="Sakkal Majalla"/>
          <w:sz w:val="28"/>
          <w:szCs w:val="28"/>
          <w:rtl/>
        </w:rPr>
        <w:t xml:space="preserve"> </w:t>
      </w:r>
      <w:r w:rsidRPr="005822E9">
        <w:rPr>
          <w:rFonts w:ascii="Sakkal Majalla" w:hAnsi="Sakkal Majalla" w:cs="Sakkal Majalla" w:hint="cs"/>
          <w:sz w:val="28"/>
          <w:szCs w:val="28"/>
          <w:rtl/>
        </w:rPr>
        <w:t>باس</w:t>
      </w:r>
      <w:r w:rsidRPr="005822E9">
        <w:rPr>
          <w:rFonts w:ascii="Sakkal Majalla" w:hAnsi="Sakkal Majalla" w:cs="Sakkal Majalla"/>
          <w:sz w:val="28"/>
          <w:szCs w:val="28"/>
          <w:rtl/>
        </w:rPr>
        <w:t xml:space="preserve">تخدام </w:t>
      </w:r>
      <w:r w:rsidRPr="005822E9">
        <w:rPr>
          <w:rFonts w:ascii="Sakkal Majalla" w:hAnsi="Sakkal Majalla" w:cs="Sakkal Majalla" w:hint="cs"/>
          <w:sz w:val="28"/>
          <w:szCs w:val="28"/>
          <w:rtl/>
        </w:rPr>
        <w:t>أربع</w:t>
      </w:r>
      <w:r w:rsidRPr="005822E9">
        <w:rPr>
          <w:rFonts w:ascii="Sakkal Majalla" w:hAnsi="Sakkal Majalla" w:cs="Sakkal Majalla"/>
          <w:sz w:val="28"/>
          <w:szCs w:val="28"/>
          <w:rtl/>
        </w:rPr>
        <w:t xml:space="preserve"> متغيرات: حصة النفط من الناتج المحلي الإجمالي، وحصة القطاع الخاص في الناتج المحلي الإجمالي، وصادرات النفط كنسبة مئوية من صادرات البلاد، وعائدات النفط كنسبة مئوية من إجمالي الإيرادات. يغطي التحليل الحالي تسع خطط تنمية من عام 1970 حتى عام 2013. ويخلص التحليل إلى أنه بعد أكثر من 40 عامًا من خطط التنمية التي تهدف إلى تنويع الاقتصاد السعودي، لا يزال النفط هو المحرك الرئيسي للاقتصاد. وتحتاج الحكومة السعودية إلى النظر بشكل كامل إلى التنوع الاقتصادي كأداة لتحسين الحكم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22042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2E9">
            <w:rPr>
              <w:rFonts w:ascii="Sakkal Majalla" w:hAnsi="Sakkal Majalla" w:cs="Sakkal Majalla" w:hint="cs"/>
              <w:noProof/>
              <w:sz w:val="28"/>
              <w:szCs w:val="28"/>
              <w:rtl/>
              <w:lang w:bidi="ar-EG"/>
            </w:rPr>
            <w:t>(</w:t>
          </w:r>
          <w:r w:rsidRPr="005822E9">
            <w:rPr>
              <w:rFonts w:ascii="Sakkal Majalla" w:hAnsi="Sakkal Majalla" w:cs="Sakkal Majalla" w:hint="cs"/>
              <w:noProof/>
              <w:sz w:val="28"/>
              <w:szCs w:val="28"/>
              <w:lang w:bidi="ar-EG"/>
            </w:rPr>
            <w:t>Albassam</w:t>
          </w:r>
          <w:r w:rsidRPr="005822E9">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5822E9">
        <w:rPr>
          <w:rFonts w:ascii="Sakkal Majalla" w:hAnsi="Sakkal Majalla" w:cs="Sakkal Majalla"/>
          <w:sz w:val="28"/>
          <w:szCs w:val="28"/>
          <w:rtl/>
        </w:rPr>
        <w:t>.</w:t>
      </w:r>
    </w:p>
    <w:p w14:paraId="0E4A7586" w14:textId="77777777" w:rsidR="00BB6B96" w:rsidRDefault="00BB6B96" w:rsidP="00A219D9">
      <w:p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 xml:space="preserve">الغرض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642316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2E9">
            <w:rPr>
              <w:rFonts w:ascii="Sakkal Majalla" w:hAnsi="Sakkal Majalla" w:cs="Sakkal Majalla" w:hint="cs"/>
              <w:noProof/>
              <w:sz w:val="28"/>
              <w:szCs w:val="28"/>
              <w:rtl/>
              <w:lang w:bidi="ar-EG"/>
            </w:rPr>
            <w:t>(</w:t>
          </w:r>
          <w:r w:rsidRPr="005822E9">
            <w:rPr>
              <w:rFonts w:ascii="Sakkal Majalla" w:hAnsi="Sakkal Majalla" w:cs="Sakkal Majalla" w:hint="cs"/>
              <w:noProof/>
              <w:sz w:val="28"/>
              <w:szCs w:val="28"/>
              <w:lang w:bidi="ar-EG"/>
            </w:rPr>
            <w:t>Guendouz</w:t>
          </w:r>
          <w:r w:rsidRPr="005822E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822E9">
        <w:rPr>
          <w:rFonts w:ascii="Sakkal Majalla" w:hAnsi="Sakkal Majalla" w:cs="Sakkal Majalla"/>
          <w:sz w:val="28"/>
          <w:szCs w:val="28"/>
          <w:rtl/>
        </w:rPr>
        <w:t xml:space="preserve"> هو دراسة العوامل الاقتصادية الكلية الرئيسية التي تؤثر على التنويع الاقتصادي في المملكة العربية السعودية، ودراسة وتحليل الاستراتيجيات المتبعة في تنويع اقتصاد المملكة العربية السعودية، فضلاً عن الحكم على مستوى النجاح الذي تم تحقيقه بعيدًا عن تصدير النفط. أجريت الدراسة التجريبية لتحليل تنويع الاقتصاد السعودي، باستخدام تحليل الانحدار المتعدد للفترة 1991-2016. تشير النتائج إلى وجود علاقة مباشرة بين مؤشر التنويع الاقتصادي والناتج المحلي الإجمالي (</w:t>
      </w:r>
      <w:r w:rsidRPr="005822E9">
        <w:rPr>
          <w:rFonts w:ascii="Sakkal Majalla" w:hAnsi="Sakkal Majalla" w:cs="Sakkal Majalla"/>
          <w:sz w:val="28"/>
          <w:szCs w:val="28"/>
        </w:rPr>
        <w:t>GDP</w:t>
      </w:r>
      <w:r w:rsidRPr="005822E9">
        <w:rPr>
          <w:rFonts w:ascii="Sakkal Majalla" w:hAnsi="Sakkal Majalla" w:cs="Sakkal Majalla"/>
          <w:sz w:val="28"/>
          <w:szCs w:val="28"/>
          <w:rtl/>
        </w:rPr>
        <w:t>)، وتكوين رأس المال الثابت الإجمالي (</w:t>
      </w:r>
      <w:r w:rsidRPr="005822E9">
        <w:rPr>
          <w:rFonts w:ascii="Sakkal Majalla" w:hAnsi="Sakkal Majalla" w:cs="Sakkal Majalla"/>
          <w:sz w:val="28"/>
          <w:szCs w:val="28"/>
        </w:rPr>
        <w:t>GFCF</w:t>
      </w:r>
      <w:r w:rsidRPr="005822E9">
        <w:rPr>
          <w:rFonts w:ascii="Sakkal Majalla" w:hAnsi="Sakkal Majalla" w:cs="Sakkal Majalla"/>
          <w:sz w:val="28"/>
          <w:szCs w:val="28"/>
          <w:rtl/>
        </w:rPr>
        <w:t>)، والنسبة المئوية لمساهمة الاستثمار الأجنبي المباشر في الناتج المحلي الإجمالي (</w:t>
      </w:r>
      <w:r w:rsidRPr="005822E9">
        <w:rPr>
          <w:rFonts w:ascii="Sakkal Majalla" w:hAnsi="Sakkal Majalla" w:cs="Sakkal Majalla"/>
          <w:sz w:val="28"/>
          <w:szCs w:val="28"/>
        </w:rPr>
        <w:t>FDI</w:t>
      </w:r>
      <w:r w:rsidRPr="005822E9">
        <w:rPr>
          <w:rFonts w:ascii="Sakkal Majalla" w:hAnsi="Sakkal Majalla" w:cs="Sakkal Majalla"/>
          <w:sz w:val="28"/>
          <w:szCs w:val="28"/>
          <w:rtl/>
        </w:rPr>
        <w:t>). كما أشارت نسبة الناتج المحلي الإجمالي غير النفطي إلى الناتج المحلي الإجمالي (</w:t>
      </w:r>
      <w:r w:rsidRPr="005822E9">
        <w:rPr>
          <w:rFonts w:ascii="Sakkal Majalla" w:hAnsi="Sakkal Majalla" w:cs="Sakkal Majalla"/>
          <w:sz w:val="28"/>
          <w:szCs w:val="28"/>
        </w:rPr>
        <w:t>NOGDP/GDP</w:t>
      </w:r>
      <w:r w:rsidRPr="005822E9">
        <w:rPr>
          <w:rFonts w:ascii="Sakkal Majalla" w:hAnsi="Sakkal Majalla" w:cs="Sakkal Majalla"/>
          <w:sz w:val="28"/>
          <w:szCs w:val="28"/>
          <w:rtl/>
        </w:rPr>
        <w:t>)، والنسبة المئوية لمساهمة الإيرادات الحكومية غير النفطية كنسبة من إجمالي الإيرادات الحكومية (</w:t>
      </w:r>
      <w:r w:rsidRPr="005822E9">
        <w:rPr>
          <w:rFonts w:ascii="Sakkal Majalla" w:hAnsi="Sakkal Majalla" w:cs="Sakkal Majalla"/>
          <w:sz w:val="28"/>
          <w:szCs w:val="28"/>
        </w:rPr>
        <w:t>NOGOV</w:t>
      </w:r>
      <w:r w:rsidRPr="005822E9">
        <w:rPr>
          <w:rFonts w:ascii="Sakkal Majalla" w:hAnsi="Sakkal Majalla" w:cs="Sakkal Majalla"/>
          <w:sz w:val="28"/>
          <w:szCs w:val="28"/>
          <w:rtl/>
        </w:rPr>
        <w:t>)، والنسبة المئوية لمساهمة القطاع الخاص في الناتج المحلي الإجمالي (</w:t>
      </w:r>
      <w:r w:rsidRPr="005822E9">
        <w:rPr>
          <w:rFonts w:ascii="Sakkal Majalla" w:hAnsi="Sakkal Majalla" w:cs="Sakkal Majalla"/>
          <w:sz w:val="28"/>
          <w:szCs w:val="28"/>
        </w:rPr>
        <w:t>PRIV</w:t>
      </w:r>
      <w:r w:rsidRPr="005822E9">
        <w:rPr>
          <w:rFonts w:ascii="Sakkal Majalla" w:hAnsi="Sakkal Majalla" w:cs="Sakkal Majalla"/>
          <w:sz w:val="28"/>
          <w:szCs w:val="28"/>
          <w:rtl/>
        </w:rPr>
        <w:t xml:space="preserve">) إلى وجود علاقة سلبية مع التنويع. ونحن نعتقد أن النتائج يمكن أن توفر مقياسًا يمكن لصناع </w:t>
      </w:r>
      <w:r w:rsidRPr="005822E9">
        <w:rPr>
          <w:rFonts w:ascii="Sakkal Majalla" w:hAnsi="Sakkal Majalla" w:cs="Sakkal Majalla"/>
          <w:sz w:val="28"/>
          <w:szCs w:val="28"/>
          <w:rtl/>
        </w:rPr>
        <w:lastRenderedPageBreak/>
        <w:t>السياسات استخدامه لوضع الاستراتيجيات اللازمة لقياس التنوع الاقتصادي المستهدف باعتباره ركيزة أساسية لرؤية 2030، وضمان اقتصاد قوي ومستدام.</w:t>
      </w:r>
    </w:p>
    <w:p w14:paraId="598B4987" w14:textId="77777777" w:rsidR="00BB6B96" w:rsidRDefault="00BB6B96" w:rsidP="00A219D9">
      <w:p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إن الاقتصاد الوطني الذي يعتمد على الدخل من مصدر واحد فقط يكون عرضة للخطر، وخاصة عندما يأتي هذا الدخل من موارد غير متجددة. وبالتالي فإن الرخاء المستدام للاقتصاد يعتمد على التنفيذ الناجح للتنويع الاقتصادي. والتنويع هو المفتاح لخلق بيئة جذابة ومزدهرة في الدولة وتحسين جودة مؤسساتها وحياة مواطنيها. وتعمل دول مجلس التعاون الخليجي على تسريع جهودها لتحقيق التنويع الاقتصادي، حيث تعكس رؤاها الوطنية هدفًا مشتركًا يتمثل في تأمين مستويات معيشة عالية دائمة للأجيال القادمة. بعد الطفرة الأولى في أسعار النفط في عام 1970، قدمت حكومة المملكة العربية السعودية خططًا تنموية أولية لتنويع اقتصادها. وفي عام 2016، أعلنت عن رؤيتها لعام 2030 لإرساء النمو المستدام من خلال التنويع الاقتصادي. وتستند استراتيجية التنويع الاقتصادي في المملكة العربية السعودية على عدة ركائز، بما في ذلك الاستثمار في رأس المال البشري والتعليم والاستثمار في القطاعات غير النفطية مثل السياحة. وتهدف هذه الورقة إلى تحليل اتجاهات التنويع الاقتصادي في منطقة دول مجلس التعاون الخليجي مع التركيز بشكل خاص على المملكة العربية السعودية كدراسة حالة. وفي هذا السياق الأوسع، ستركز الورقة على جهود المملكة العربية السعودية لتحقيق التنوع من خلال بناء اقتصاد قائم على المعرفة. والتركيز على جودة التعليم والبحث من شأنه أن يحسن رأس المال البشري المتاح في البلاد مما يساهم في نمو الاقتصاد. وتكشف النتائج أنه على الرغم من أن المملكة العربية السعودية قد شرعت في خططها للتنويع، إلا أن الوضع الحالي لأسعار النفط، والعجز في الميزانية العامة السعودية، والنظام التعليمي التقليدي في البلاد من شأنه أن يعيق ويبطئ هذه العملية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2756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2E9">
            <w:rPr>
              <w:rFonts w:ascii="Sakkal Majalla" w:hAnsi="Sakkal Majalla" w:cs="Sakkal Majalla" w:hint="cs"/>
              <w:noProof/>
              <w:sz w:val="28"/>
              <w:szCs w:val="28"/>
              <w:rtl/>
              <w:lang w:bidi="ar-EG"/>
            </w:rPr>
            <w:t>(</w:t>
          </w:r>
          <w:r w:rsidRPr="005822E9">
            <w:rPr>
              <w:rFonts w:ascii="Sakkal Majalla" w:hAnsi="Sakkal Majalla" w:cs="Sakkal Majalla" w:hint="cs"/>
              <w:noProof/>
              <w:sz w:val="28"/>
              <w:szCs w:val="28"/>
              <w:lang w:bidi="ar-EG"/>
            </w:rPr>
            <w:t>Naimi</w:t>
          </w:r>
          <w:r w:rsidRPr="005822E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822E9">
        <w:rPr>
          <w:rFonts w:ascii="Sakkal Majalla" w:hAnsi="Sakkal Majalla" w:cs="Sakkal Majalla"/>
          <w:sz w:val="28"/>
          <w:szCs w:val="28"/>
          <w:rtl/>
        </w:rPr>
        <w:t>.</w:t>
      </w:r>
    </w:p>
    <w:p w14:paraId="4F90B48E" w14:textId="0293F6C4" w:rsidR="00BB6B96" w:rsidRDefault="00BB6B96" w:rsidP="00A219D9">
      <w:pPr>
        <w:spacing w:line="360" w:lineRule="auto"/>
        <w:jc w:val="both"/>
        <w:rPr>
          <w:rFonts w:ascii="Sakkal Majalla" w:hAnsi="Sakkal Majalla" w:cs="Sakkal Majalla"/>
          <w:sz w:val="28"/>
          <w:szCs w:val="28"/>
          <w:rtl/>
        </w:rPr>
      </w:pPr>
      <w:r w:rsidRPr="005822E9">
        <w:rPr>
          <w:rFonts w:ascii="Sakkal Majalla" w:hAnsi="Sakkal Majalla" w:cs="Sakkal Majalla"/>
          <w:sz w:val="28"/>
          <w:szCs w:val="28"/>
          <w:rtl/>
        </w:rPr>
        <w:t xml:space="preserve">يشكل نجاح التنويع الاقتصادي عاملاً رئيسياً للنمو الاقتصادي المستدام. لذلك، فإن الدولة التي يعتمد اقتصادها فقط على الدخل من الموارد الطبيعية معرضة لخطر عدم الاستقرار. بالإضافة إلى ذلك، فإن هذا التنويع يخلق فرص العمل ويقلل من الفقر ويحسن نوعية الحياة والمؤسسات. بعد الطفرة الأولى في عام 1970، وضعت حكومة المملكة العربية السعودية 11 خطة تنمية، تغطي كل منها خمس سنوات وهدفها الرئيسي هو كيفية بناء اقتصاد متنوع. وعليه، تهدف هذه الورقة إلى تحليل استراتيجيات التنويع الاقتصادي في المملكة العربية السعودية بناءً على </w:t>
      </w:r>
      <w:r w:rsidRPr="005822E9">
        <w:rPr>
          <w:rFonts w:ascii="Sakkal Majalla" w:hAnsi="Sakkal Majalla" w:cs="Sakkal Majalla" w:hint="cs"/>
          <w:sz w:val="28"/>
          <w:szCs w:val="28"/>
          <w:rtl/>
        </w:rPr>
        <w:t>أربع</w:t>
      </w:r>
      <w:r w:rsidRPr="005822E9">
        <w:rPr>
          <w:rFonts w:ascii="Sakkal Majalla" w:hAnsi="Sakkal Majalla" w:cs="Sakkal Majalla"/>
          <w:sz w:val="28"/>
          <w:szCs w:val="28"/>
          <w:rtl/>
        </w:rPr>
        <w:t xml:space="preserve"> متغيرات: الاستثمار في التعليم وريادة الأعمال والسياحة الدولية وإنتاج النفط خلال الفترة 1970-2014. باستخدام تقنية </w:t>
      </w:r>
      <w:r w:rsidRPr="005822E9">
        <w:rPr>
          <w:rFonts w:ascii="Sakkal Majalla" w:hAnsi="Sakkal Majalla" w:cs="Sakkal Majalla"/>
          <w:sz w:val="28"/>
          <w:szCs w:val="28"/>
        </w:rPr>
        <w:t>FMOLS</w:t>
      </w:r>
      <w:r w:rsidRPr="005822E9">
        <w:rPr>
          <w:rFonts w:ascii="Sakkal Majalla" w:hAnsi="Sakkal Majalla" w:cs="Sakkal Majalla"/>
          <w:sz w:val="28"/>
          <w:szCs w:val="28"/>
          <w:rtl/>
        </w:rPr>
        <w:t xml:space="preserve">، وجدنا أن إنتاج النفط له أعلى مساهمة في النمو الاقتصادي في المملكة العربية السعودية، يليه قطاع </w:t>
      </w:r>
      <w:r w:rsidRPr="005822E9">
        <w:rPr>
          <w:rFonts w:ascii="Sakkal Majalla" w:hAnsi="Sakkal Majalla" w:cs="Sakkal Majalla"/>
          <w:sz w:val="28"/>
          <w:szCs w:val="28"/>
          <w:rtl/>
        </w:rPr>
        <w:lastRenderedPageBreak/>
        <w:t>السياحة ونشاط ريادة الأعمال، في حين أن مساهمة التعليم إيجابية، ولكنها غير مهمة. كما تمت مناقشة توصيات البحث والسياسات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65038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Euc18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2E9">
            <w:rPr>
              <w:rFonts w:ascii="Sakkal Majalla" w:hAnsi="Sakkal Majalla" w:cs="Sakkal Majalla" w:hint="cs"/>
              <w:noProof/>
              <w:sz w:val="28"/>
              <w:szCs w:val="28"/>
              <w:rtl/>
              <w:lang w:bidi="ar-EG"/>
            </w:rPr>
            <w:t>(</w:t>
          </w:r>
          <w:r w:rsidRPr="005822E9">
            <w:rPr>
              <w:rFonts w:ascii="Sakkal Majalla" w:hAnsi="Sakkal Majalla" w:cs="Sakkal Majalla" w:hint="cs"/>
              <w:noProof/>
              <w:sz w:val="28"/>
              <w:szCs w:val="28"/>
              <w:lang w:bidi="ar-EG"/>
            </w:rPr>
            <w:t>Euchi</w:t>
          </w:r>
          <w:r w:rsidRPr="005822E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822E9">
        <w:rPr>
          <w:rFonts w:ascii="Sakkal Majalla" w:hAnsi="Sakkal Majalla" w:cs="Sakkal Majalla"/>
          <w:sz w:val="28"/>
          <w:szCs w:val="28"/>
          <w:rtl/>
        </w:rPr>
        <w:t>.</w:t>
      </w:r>
    </w:p>
    <w:p w14:paraId="55DE5B2E" w14:textId="7ECD8640" w:rsidR="00FB3126" w:rsidRDefault="00FB3126" w:rsidP="00FB3126">
      <w:pPr>
        <w:spacing w:line="360" w:lineRule="auto"/>
        <w:jc w:val="both"/>
        <w:rPr>
          <w:rFonts w:ascii="Sakkal Majalla" w:hAnsi="Sakkal Majalla" w:cs="Sakkal Majalla"/>
          <w:sz w:val="28"/>
          <w:szCs w:val="28"/>
          <w:rtl/>
        </w:rPr>
      </w:pPr>
      <w:r w:rsidRPr="00FB3126">
        <w:rPr>
          <w:rFonts w:ascii="Sakkal Majalla" w:hAnsi="Sakkal Majalla" w:cs="Sakkal Majalla"/>
          <w:sz w:val="28"/>
          <w:szCs w:val="28"/>
          <w:rtl/>
        </w:rPr>
        <w:t>دراسة المتغيرات الاقتصادية الكلية الرئيسية التي تؤثر على التنوع الاقتصادي في المملكة العربية السعودية، فضلاً عن البحث وتقييم التكتيكات المستخدمة لتنويع اقتصاد البلاد وتقييم درجة النجاح التي تحققت خارج صادرات النفط. تم استخدام تحليل الانحدار المتعدد في هذه الدراسة التجريبية لفحص تنويع الاقتصاد السعودي من عام 1991 إلى عام 2016. وفقًا للنتائج، هناك علاقة مباشرة بين مؤشر التنويع الاقتصادي والناتج المحلي الإجمالي، وتكوين رأس المال الثابت الإجمالي، وحصة الاستثمار الأجنبي المباشر التي تأتي من الاستثمار الأجنبي المباشر. كان هناك ارتباط سلبي بين التنويع ونسبة الناتج المحلي الإجمالي غير النفطي إلى الناتج المحلي الإجمالي (</w:t>
      </w:r>
      <w:r w:rsidRPr="00FB3126">
        <w:rPr>
          <w:rFonts w:ascii="Sakkal Majalla" w:hAnsi="Sakkal Majalla" w:cs="Sakkal Majalla"/>
          <w:sz w:val="28"/>
          <w:szCs w:val="28"/>
        </w:rPr>
        <w:t>NOGDP/GDP</w:t>
      </w:r>
      <w:r w:rsidRPr="00FB3126">
        <w:rPr>
          <w:rFonts w:ascii="Sakkal Majalla" w:hAnsi="Sakkal Majalla" w:cs="Sakkal Majalla"/>
          <w:sz w:val="28"/>
          <w:szCs w:val="28"/>
          <w:rtl/>
        </w:rPr>
        <w:t>)، ونسبة مساهمة الإيرادات الحكومية غير النفطية في إجمالي الإيرادات الحكومية (</w:t>
      </w:r>
      <w:r w:rsidRPr="00FB3126">
        <w:rPr>
          <w:rFonts w:ascii="Sakkal Majalla" w:hAnsi="Sakkal Majalla" w:cs="Sakkal Majalla"/>
          <w:sz w:val="28"/>
          <w:szCs w:val="28"/>
        </w:rPr>
        <w:t>NOGOV</w:t>
      </w:r>
      <w:r w:rsidRPr="00FB3126">
        <w:rPr>
          <w:rFonts w:ascii="Sakkal Majalla" w:hAnsi="Sakkal Majalla" w:cs="Sakkal Majalla"/>
          <w:sz w:val="28"/>
          <w:szCs w:val="28"/>
          <w:rtl/>
        </w:rPr>
        <w:t>)، ومساهمة الناتج المحلي الإجمالي للقطاع الخاص في الناتج المحلي الإجمالي (</w:t>
      </w:r>
      <w:r w:rsidRPr="00FB3126">
        <w:rPr>
          <w:rFonts w:ascii="Sakkal Majalla" w:hAnsi="Sakkal Majalla" w:cs="Sakkal Majalla"/>
          <w:sz w:val="28"/>
          <w:szCs w:val="28"/>
        </w:rPr>
        <w:t>PRIV</w:t>
      </w:r>
      <w:r w:rsidRPr="00FB3126">
        <w:rPr>
          <w:rFonts w:ascii="Sakkal Majalla" w:hAnsi="Sakkal Majalla" w:cs="Sakkal Majalla"/>
          <w:sz w:val="28"/>
          <w:szCs w:val="28"/>
          <w:rtl/>
        </w:rPr>
        <w:t>). نعتقد أن النتائج قد تقدم مقياسًا يمكن لصناع السياسات الاستفادة منه لإعداد التدابير المطلوبة لتقييم المستوى المطلوب من التنوع الاقتصادي كركيزة من ركائز رؤية 2030 وضمان اقتصاد قوي ومستدام.</w:t>
      </w:r>
    </w:p>
    <w:p w14:paraId="0E910CED" w14:textId="353F00D1" w:rsidR="00FB3126" w:rsidRDefault="00FB3126" w:rsidP="00FB3126">
      <w:pPr>
        <w:spacing w:line="360" w:lineRule="auto"/>
        <w:jc w:val="both"/>
        <w:rPr>
          <w:rFonts w:ascii="Sakkal Majalla" w:hAnsi="Sakkal Majalla" w:cs="Sakkal Majalla"/>
          <w:sz w:val="28"/>
          <w:szCs w:val="28"/>
          <w:rtl/>
          <w:lang w:bidi="ar-EG"/>
        </w:rPr>
      </w:pPr>
      <w:r w:rsidRPr="00FB3126">
        <w:rPr>
          <w:rFonts w:ascii="Sakkal Majalla" w:hAnsi="Sakkal Majalla" w:cs="Sakkal Majalla"/>
          <w:sz w:val="28"/>
          <w:szCs w:val="28"/>
          <w:rtl/>
        </w:rPr>
        <w:t xml:space="preserve">التنوع الاقتصادي في المملكة العربية السعودية، مع التركيز على التحول غير النفطي. أولاً، يتم استخدام مراجعة الأدبيات لتحديد متغيرات النجاح الرئيسية والعوامل الفرعية التي تشكل الأساس للدراسة. هناك 21 متغيرًا فرعيًا، سبعة منها تحت كل من العوامل الرئيسية الثلاثة (الاقتصادي والعمالي والسوقي). تم استخدام عملية التسلسل الهرمي التحليلي الضبابي، أو </w:t>
      </w:r>
      <w:r w:rsidRPr="00FB3126">
        <w:rPr>
          <w:rFonts w:ascii="Sakkal Majalla" w:hAnsi="Sakkal Majalla" w:cs="Sakkal Majalla"/>
          <w:sz w:val="28"/>
          <w:szCs w:val="28"/>
        </w:rPr>
        <w:t>FAHP</w:t>
      </w:r>
      <w:r w:rsidRPr="00FB3126">
        <w:rPr>
          <w:rFonts w:ascii="Sakkal Majalla" w:hAnsi="Sakkal Majalla" w:cs="Sakkal Majalla"/>
          <w:sz w:val="28"/>
          <w:szCs w:val="28"/>
          <w:rtl/>
        </w:rPr>
        <w:t xml:space="preserve">، لتحديد الأهمية النسبية للمكونات والعوامل الفرعية. حصل المعيار الاقتصادي على أكبر وزن، مع احتلال عاملي العمالة والمالية المرتبتين الثانية والثالثة على التوالي. أعطى معيار العمالة أكبر وزن للمعيار الفرعي "نسبة السعوديين في القوى العاملة"، والمعيار الاقتصادي للمعيار الفرعي "نماذج الأعمال كثيفة الاستثمار"، والمعيار المالي للمعيار الفرعي "زيادة الإيرادات غير النفطية". وقد تم إعطاء المعيار الفرعي لزيادة الإيرادات غير النفطية (تحت المعيار المالي) أكبر وزن إجمالي. ثم باستخدام تقنية ضبابية لترتيب الأفضلية حسب التشابه مع الحل الأمثل، تم تحديد أولوية </w:t>
      </w:r>
      <w:r w:rsidRPr="00FB3126">
        <w:rPr>
          <w:rFonts w:ascii="Sakkal Majalla" w:hAnsi="Sakkal Majalla" w:cs="Sakkal Majalla" w:hint="cs"/>
          <w:sz w:val="28"/>
          <w:szCs w:val="28"/>
          <w:rtl/>
        </w:rPr>
        <w:t>ثماني</w:t>
      </w:r>
      <w:r w:rsidRPr="00FB3126">
        <w:rPr>
          <w:rFonts w:ascii="Sakkal Majalla" w:hAnsi="Sakkal Majalla" w:cs="Sakkal Majalla"/>
          <w:sz w:val="28"/>
          <w:szCs w:val="28"/>
          <w:rtl/>
        </w:rPr>
        <w:t xml:space="preserve"> قطاعات غير نفطية مهمة بناءً على المعايير والمعايير الفرعية. وكان القطاع الذي ساهم أكثر في التحول غير النفطي هو البتروكيماويات. وستساعد استنتاجات الدراسة الحكومة وصناع القرار على </w:t>
      </w:r>
      <w:r w:rsidRPr="00FB3126">
        <w:rPr>
          <w:rFonts w:ascii="Sakkal Majalla" w:hAnsi="Sakkal Majalla" w:cs="Sakkal Majalla"/>
          <w:sz w:val="28"/>
          <w:szCs w:val="28"/>
          <w:rtl/>
        </w:rPr>
        <w:lastRenderedPageBreak/>
        <w:t>وضع سياسات مصممة خصيصًا لتلبية احتياجات القطاعات المختلفة، وفهم أهميتها في التحول وفي نهاية المطاف تحقيق دورة جديدة من الرخاء للمملكة العربية السعودية</w:t>
      </w:r>
      <w:sdt>
        <w:sdtPr>
          <w:rPr>
            <w:rFonts w:ascii="Sakkal Majalla" w:hAnsi="Sakkal Majalla" w:cs="Sakkal Majalla"/>
            <w:sz w:val="28"/>
            <w:szCs w:val="28"/>
            <w:rtl/>
          </w:rPr>
          <w:id w:val="-74001303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NAl21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FB3126">
            <w:rPr>
              <w:rFonts w:ascii="Sakkal Majalla" w:hAnsi="Sakkal Majalla" w:cs="Sakkal Majalla"/>
              <w:noProof/>
              <w:sz w:val="28"/>
              <w:szCs w:val="28"/>
            </w:rPr>
            <w:t>(N., 2021)</w:t>
          </w:r>
          <w:r>
            <w:rPr>
              <w:rFonts w:ascii="Sakkal Majalla" w:hAnsi="Sakkal Majalla" w:cs="Sakkal Majalla"/>
              <w:sz w:val="28"/>
              <w:szCs w:val="28"/>
              <w:rtl/>
            </w:rPr>
            <w:fldChar w:fldCharType="end"/>
          </w:r>
        </w:sdtContent>
      </w:sdt>
      <w:r w:rsidRPr="00FB3126">
        <w:rPr>
          <w:rFonts w:ascii="Sakkal Majalla" w:hAnsi="Sakkal Majalla" w:cs="Sakkal Majalla"/>
          <w:sz w:val="28"/>
          <w:szCs w:val="28"/>
          <w:rtl/>
        </w:rPr>
        <w:t>.</w:t>
      </w:r>
    </w:p>
    <w:p w14:paraId="581AA660" w14:textId="2932BC76" w:rsidR="00FB3126" w:rsidRDefault="00FB3126" w:rsidP="00FB3126">
      <w:pPr>
        <w:spacing w:line="360" w:lineRule="auto"/>
        <w:jc w:val="both"/>
        <w:rPr>
          <w:rFonts w:ascii="Sakkal Majalla" w:hAnsi="Sakkal Majalla" w:cs="Sakkal Majalla"/>
          <w:sz w:val="28"/>
          <w:szCs w:val="28"/>
          <w:rtl/>
          <w:lang w:bidi="ar-EG"/>
        </w:rPr>
      </w:pPr>
      <w:r w:rsidRPr="00FB3126">
        <w:rPr>
          <w:rFonts w:ascii="Sakkal Majalla" w:hAnsi="Sakkal Majalla" w:cs="Sakkal Majalla"/>
          <w:sz w:val="28"/>
          <w:szCs w:val="28"/>
          <w:rtl/>
          <w:lang w:bidi="ar-EG"/>
        </w:rPr>
        <w:t xml:space="preserve">تهدف رؤية المملكة العربية السعودية 2030 إلى تنويع سياساتها. تحدد هذه الدراسة العوامل التي تؤثر على مؤشرات تنويع الإنتاج </w:t>
      </w:r>
      <w:r w:rsidRPr="00FB3126">
        <w:rPr>
          <w:rFonts w:ascii="Sakkal Majalla" w:hAnsi="Sakkal Majalla" w:cs="Sakkal Majalla" w:hint="cs"/>
          <w:sz w:val="28"/>
          <w:szCs w:val="28"/>
          <w:rtl/>
          <w:lang w:bidi="ar-EG"/>
        </w:rPr>
        <w:t>والصادرات</w:t>
      </w:r>
      <w:r w:rsidRPr="00FB3126">
        <w:rPr>
          <w:rFonts w:ascii="Sakkal Majalla" w:hAnsi="Sakkal Majalla" w:cs="Sakkal Majalla" w:hint="eastAsia"/>
          <w:sz w:val="28"/>
          <w:szCs w:val="28"/>
          <w:rtl/>
          <w:lang w:bidi="ar-EG"/>
        </w:rPr>
        <w:t>،</w:t>
      </w:r>
      <w:r w:rsidRPr="00FB3126">
        <w:rPr>
          <w:rFonts w:ascii="Sakkal Majalla" w:hAnsi="Sakkal Majalla" w:cs="Sakkal Majalla"/>
          <w:sz w:val="28"/>
          <w:szCs w:val="28"/>
          <w:rtl/>
          <w:lang w:bidi="ar-EG"/>
        </w:rPr>
        <w:t xml:space="preserve"> </w:t>
      </w:r>
      <w:r w:rsidR="00481A10" w:rsidRPr="00FB3126">
        <w:rPr>
          <w:rFonts w:ascii="Sakkal Majalla" w:hAnsi="Sakkal Majalla" w:cs="Sakkal Majalla" w:hint="cs"/>
          <w:sz w:val="28"/>
          <w:szCs w:val="28"/>
          <w:rtl/>
          <w:lang w:bidi="ar-EG"/>
        </w:rPr>
        <w:t xml:space="preserve">والإيرادات الحكومية، </w:t>
      </w:r>
      <w:r w:rsidR="00A219D9" w:rsidRPr="00FB3126">
        <w:rPr>
          <w:rFonts w:ascii="Sakkal Majalla" w:hAnsi="Sakkal Majalla" w:cs="Sakkal Majalla" w:hint="cs"/>
          <w:sz w:val="28"/>
          <w:szCs w:val="28"/>
          <w:rtl/>
          <w:lang w:bidi="ar-EG"/>
        </w:rPr>
        <w:t>والاستثمار</w:t>
      </w:r>
      <w:r w:rsidR="00A219D9" w:rsidRPr="00FB3126">
        <w:rPr>
          <w:rFonts w:ascii="Sakkal Majalla" w:hAnsi="Sakkal Majalla" w:cs="Sakkal Majalla" w:hint="eastAsia"/>
          <w:sz w:val="28"/>
          <w:szCs w:val="28"/>
          <w:rtl/>
          <w:lang w:bidi="ar-EG"/>
        </w:rPr>
        <w:t>،</w:t>
      </w:r>
      <w:r w:rsidRPr="00FB3126">
        <w:rPr>
          <w:rFonts w:ascii="Sakkal Majalla" w:hAnsi="Sakkal Majalla" w:cs="Sakkal Majalla"/>
          <w:sz w:val="28"/>
          <w:szCs w:val="28"/>
          <w:rtl/>
          <w:lang w:bidi="ar-EG"/>
        </w:rPr>
        <w:t xml:space="preserve"> والعمالة. يؤدي التضخم المتزايد إلى تثبيط الاستثمار والإيرادات الحكومية وتنوع الوظائف مع تشجيع تنويع الإنتاج والصادرات. تعمل استراتيجية الاستهلاك على تقليل تنويع الاستثمار والعمالة مع تعزيز تنويع الإيرادات الحكومية. يضعف الاستثمار المباشر الأجنبي تنويع الصادرات، لكن تنويع الإيرادات الحكومية يتعزز. يؤدي التنمية الاقتصادية إلى إبطاء تنويع الإنتاج والاستثمار مع تعزيز الإيرادات الحكومية والعمالة وتنويع الصادرات. يقلل الإنفاق الحكومي من الإيرادات الحكومية وتنويع الصادرات مع زيادة تنويع الإنتاج والاستثمار. يقلل تكوين رأس المال من الإيرادات الحكومية وتنويع العمالة مع تعزيز تنويع الصادرات. يقلل المعروض النقدي من الصادرات والإيرادات الحكومية والاستثمار وتنوع الوظائف. تعمل الإعانات على تقليل تنويع الإيرادات الحكومية وزيادة تنويع الإنتاج. يقلل الانفتاح التجاري من تنويع الإيرادات الحكومية مع زيادة تنويع العمالة والاستثمار</w:t>
      </w:r>
      <w:sdt>
        <w:sdtPr>
          <w:rPr>
            <w:rFonts w:ascii="Sakkal Majalla" w:hAnsi="Sakkal Majalla" w:cs="Sakkal Majalla"/>
            <w:sz w:val="28"/>
            <w:szCs w:val="28"/>
            <w:rtl/>
            <w:lang w:bidi="ar-EG"/>
          </w:rPr>
          <w:id w:val="10447404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Alk20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FB3126">
            <w:rPr>
              <w:rFonts w:ascii="Sakkal Majalla" w:hAnsi="Sakkal Majalla" w:cs="Sakkal Majalla"/>
              <w:noProof/>
              <w:sz w:val="28"/>
              <w:szCs w:val="28"/>
              <w:lang w:bidi="ar-EG"/>
            </w:rPr>
            <w:t>(Alkhathlan1, 2020)</w:t>
          </w:r>
          <w:r>
            <w:rPr>
              <w:rFonts w:ascii="Sakkal Majalla" w:hAnsi="Sakkal Majalla" w:cs="Sakkal Majalla"/>
              <w:sz w:val="28"/>
              <w:szCs w:val="28"/>
              <w:rtl/>
              <w:lang w:bidi="ar-EG"/>
            </w:rPr>
            <w:fldChar w:fldCharType="end"/>
          </w:r>
        </w:sdtContent>
      </w:sdt>
      <w:r w:rsidRPr="00FB3126">
        <w:rPr>
          <w:rFonts w:ascii="Sakkal Majalla" w:hAnsi="Sakkal Majalla" w:cs="Sakkal Majalla"/>
          <w:sz w:val="28"/>
          <w:szCs w:val="28"/>
          <w:rtl/>
          <w:lang w:bidi="ar-EG"/>
        </w:rPr>
        <w:t>.</w:t>
      </w:r>
    </w:p>
    <w:p w14:paraId="1770472D" w14:textId="7F13D786" w:rsidR="00FB3126" w:rsidRDefault="005056A4" w:rsidP="00FB3126">
      <w:pPr>
        <w:spacing w:line="360" w:lineRule="auto"/>
        <w:jc w:val="both"/>
        <w:rPr>
          <w:rFonts w:ascii="Sakkal Majalla" w:hAnsi="Sakkal Majalla" w:cs="Sakkal Majalla"/>
          <w:sz w:val="28"/>
          <w:szCs w:val="28"/>
          <w:rtl/>
          <w:lang w:bidi="ar-EG"/>
        </w:rPr>
      </w:pPr>
      <w:r w:rsidRPr="005056A4">
        <w:rPr>
          <w:rFonts w:ascii="Sakkal Majalla" w:hAnsi="Sakkal Majalla" w:cs="Sakkal Majalla"/>
          <w:sz w:val="28"/>
          <w:szCs w:val="28"/>
          <w:rtl/>
          <w:lang w:bidi="ar-EG"/>
        </w:rPr>
        <w:t>الهدف دراسة</w:t>
      </w:r>
      <w:sdt>
        <w:sdtPr>
          <w:rPr>
            <w:rFonts w:ascii="Sakkal Majalla" w:hAnsi="Sakkal Majalla" w:cs="Sakkal Majalla"/>
            <w:sz w:val="28"/>
            <w:szCs w:val="28"/>
            <w:rtl/>
            <w:lang w:bidi="ar-EG"/>
          </w:rPr>
          <w:id w:val="-118281539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Nef24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056A4">
            <w:rPr>
              <w:rFonts w:ascii="Sakkal Majalla" w:hAnsi="Sakkal Majalla" w:cs="Sakkal Majalla"/>
              <w:noProof/>
              <w:sz w:val="28"/>
              <w:szCs w:val="28"/>
              <w:lang w:bidi="ar-EG"/>
            </w:rPr>
            <w:t>(Neffati, 2024)</w:t>
          </w:r>
          <w:r>
            <w:rPr>
              <w:rFonts w:ascii="Sakkal Majalla" w:hAnsi="Sakkal Majalla" w:cs="Sakkal Majalla"/>
              <w:sz w:val="28"/>
              <w:szCs w:val="28"/>
              <w:rtl/>
              <w:lang w:bidi="ar-EG"/>
            </w:rPr>
            <w:fldChar w:fldCharType="end"/>
          </w:r>
        </w:sdtContent>
      </w:sdt>
      <w:r w:rsidRPr="005056A4">
        <w:rPr>
          <w:rFonts w:ascii="Sakkal Majalla" w:hAnsi="Sakkal Majalla" w:cs="Sakkal Majalla"/>
          <w:sz w:val="28"/>
          <w:szCs w:val="28"/>
          <w:rtl/>
          <w:lang w:bidi="ar-EG"/>
        </w:rPr>
        <w:t xml:space="preserve"> الحالية هو تقييم مدى تأثر النمو الاقتصادي في المملكة العربية السعودية بالتنويع الاقتصادي </w:t>
      </w:r>
      <w:proofErr w:type="spellStart"/>
      <w:r w:rsidRPr="005056A4">
        <w:rPr>
          <w:rFonts w:ascii="Sakkal Majalla" w:hAnsi="Sakkal Majalla" w:cs="Sakkal Majalla"/>
          <w:sz w:val="28"/>
          <w:szCs w:val="28"/>
          <w:rtl/>
          <w:lang w:bidi="ar-EG"/>
        </w:rPr>
        <w:t>والرقمنة</w:t>
      </w:r>
      <w:proofErr w:type="spellEnd"/>
      <w:r w:rsidRPr="005056A4">
        <w:rPr>
          <w:rFonts w:ascii="Sakkal Majalla" w:hAnsi="Sakkal Majalla" w:cs="Sakkal Majalla"/>
          <w:sz w:val="28"/>
          <w:szCs w:val="28"/>
          <w:rtl/>
          <w:lang w:bidi="ar-EG"/>
        </w:rPr>
        <w:t xml:space="preserve"> بين عامي 1990 </w:t>
      </w:r>
      <w:r w:rsidRPr="005056A4">
        <w:rPr>
          <w:rFonts w:ascii="Sakkal Majalla" w:hAnsi="Sakkal Majalla" w:cs="Sakkal Majalla" w:hint="cs"/>
          <w:sz w:val="28"/>
          <w:szCs w:val="28"/>
          <w:rtl/>
          <w:lang w:bidi="ar-EG"/>
        </w:rPr>
        <w:t>و2021</w:t>
      </w:r>
      <w:r w:rsidRPr="005056A4">
        <w:rPr>
          <w:rFonts w:ascii="Sakkal Majalla" w:hAnsi="Sakkal Majalla" w:cs="Sakkal Majalla"/>
          <w:sz w:val="28"/>
          <w:szCs w:val="28"/>
          <w:rtl/>
          <w:lang w:bidi="ar-EG"/>
        </w:rPr>
        <w:t>. لقد استخدمنا نهج التكامل المشترك للتأخر الموزع التلقائي (</w:t>
      </w:r>
      <w:r w:rsidRPr="005056A4">
        <w:rPr>
          <w:rFonts w:ascii="Sakkal Majalla" w:hAnsi="Sakkal Majalla" w:cs="Sakkal Majalla"/>
          <w:sz w:val="28"/>
          <w:szCs w:val="28"/>
          <w:lang w:bidi="ar-EG"/>
        </w:rPr>
        <w:t>ARDL</w:t>
      </w:r>
      <w:r w:rsidRPr="005056A4">
        <w:rPr>
          <w:rFonts w:ascii="Sakkal Majalla" w:hAnsi="Sakkal Majalla" w:cs="Sakkal Majalla"/>
          <w:sz w:val="28"/>
          <w:szCs w:val="28"/>
          <w:rtl/>
          <w:lang w:bidi="ar-EG"/>
        </w:rPr>
        <w:t xml:space="preserve">) للتحقيق في هذا الارتباط في كل من القطاعين غير النفطي والاقتصادي العام. من خلال تأثيرهما على نمو الناتج المحلي الإجمالي غير المرتبط بالنفط، تقدم البيانات التجريبية دليلاً قوياً على أن التنويع الاقتصادي </w:t>
      </w:r>
      <w:proofErr w:type="spellStart"/>
      <w:r w:rsidRPr="005056A4">
        <w:rPr>
          <w:rFonts w:ascii="Sakkal Majalla" w:hAnsi="Sakkal Majalla" w:cs="Sakkal Majalla"/>
          <w:sz w:val="28"/>
          <w:szCs w:val="28"/>
          <w:rtl/>
          <w:lang w:bidi="ar-EG"/>
        </w:rPr>
        <w:t>والرقمنة</w:t>
      </w:r>
      <w:proofErr w:type="spellEnd"/>
      <w:r w:rsidRPr="005056A4">
        <w:rPr>
          <w:rFonts w:ascii="Sakkal Majalla" w:hAnsi="Sakkal Majalla" w:cs="Sakkal Majalla"/>
          <w:sz w:val="28"/>
          <w:szCs w:val="28"/>
          <w:rtl/>
          <w:lang w:bidi="ar-EG"/>
        </w:rPr>
        <w:t xml:space="preserve"> لهما تأثير مباشر وغير مباشر على النمو الاقتصادي. تظهر النتائج وجود علاقة طويلة الأمد بين </w:t>
      </w:r>
      <w:proofErr w:type="spellStart"/>
      <w:r w:rsidRPr="005056A4">
        <w:rPr>
          <w:rFonts w:ascii="Sakkal Majalla" w:hAnsi="Sakkal Majalla" w:cs="Sakkal Majalla"/>
          <w:sz w:val="28"/>
          <w:szCs w:val="28"/>
          <w:rtl/>
          <w:lang w:bidi="ar-EG"/>
        </w:rPr>
        <w:t>الرقمنة</w:t>
      </w:r>
      <w:proofErr w:type="spellEnd"/>
      <w:r w:rsidRPr="005056A4">
        <w:rPr>
          <w:rFonts w:ascii="Sakkal Majalla" w:hAnsi="Sakkal Majalla" w:cs="Sakkal Majalla"/>
          <w:sz w:val="28"/>
          <w:szCs w:val="28"/>
          <w:rtl/>
          <w:lang w:bidi="ar-EG"/>
        </w:rPr>
        <w:t xml:space="preserve"> والتنوع الاقتصادي والنمو الاقتصادي. بمرور الوقت، تعمل </w:t>
      </w:r>
      <w:proofErr w:type="spellStart"/>
      <w:r w:rsidRPr="005056A4">
        <w:rPr>
          <w:rFonts w:ascii="Sakkal Majalla" w:hAnsi="Sakkal Majalla" w:cs="Sakkal Majalla"/>
          <w:sz w:val="28"/>
          <w:szCs w:val="28"/>
          <w:rtl/>
          <w:lang w:bidi="ar-EG"/>
        </w:rPr>
        <w:t>الرقمنة</w:t>
      </w:r>
      <w:proofErr w:type="spellEnd"/>
      <w:r w:rsidRPr="005056A4">
        <w:rPr>
          <w:rFonts w:ascii="Sakkal Majalla" w:hAnsi="Sakkal Majalla" w:cs="Sakkal Majalla"/>
          <w:sz w:val="28"/>
          <w:szCs w:val="28"/>
          <w:rtl/>
          <w:lang w:bidi="ar-EG"/>
        </w:rPr>
        <w:t xml:space="preserve"> على تعزيز النمو الاقتصادي غير النفطي، وبالتالي النمو الاقتصادي المستدام. علاوة على ذلك، أظهر اختبار السببية أن النمو الاقتصادي غير النفطي يعزز </w:t>
      </w:r>
      <w:proofErr w:type="spellStart"/>
      <w:r w:rsidRPr="005056A4">
        <w:rPr>
          <w:rFonts w:ascii="Sakkal Majalla" w:hAnsi="Sakkal Majalla" w:cs="Sakkal Majalla"/>
          <w:sz w:val="28"/>
          <w:szCs w:val="28"/>
          <w:rtl/>
          <w:lang w:bidi="ar-EG"/>
        </w:rPr>
        <w:t>الرقمنة</w:t>
      </w:r>
      <w:proofErr w:type="spellEnd"/>
      <w:r w:rsidRPr="005056A4">
        <w:rPr>
          <w:rFonts w:ascii="Sakkal Majalla" w:hAnsi="Sakkal Majalla" w:cs="Sakkal Majalla"/>
          <w:sz w:val="28"/>
          <w:szCs w:val="28"/>
          <w:rtl/>
          <w:lang w:bidi="ar-EG"/>
        </w:rPr>
        <w:t xml:space="preserve">، ويعزز التنويع الاقتصادي اقتصاد المعرفة الجديدة، مما يشجع بدوره التنويع الاقتصادي. وبالتالي، ساعد التحول الاقتصادي للمملكة نحو التنويع الاقتصادي بشكل كبير من خلال </w:t>
      </w:r>
      <w:proofErr w:type="spellStart"/>
      <w:r w:rsidRPr="005056A4">
        <w:rPr>
          <w:rFonts w:ascii="Sakkal Majalla" w:hAnsi="Sakkal Majalla" w:cs="Sakkal Majalla"/>
          <w:sz w:val="28"/>
          <w:szCs w:val="28"/>
          <w:rtl/>
          <w:lang w:bidi="ar-EG"/>
        </w:rPr>
        <w:t>الرقمنة</w:t>
      </w:r>
      <w:proofErr w:type="spellEnd"/>
      <w:r w:rsidRPr="005056A4">
        <w:rPr>
          <w:rFonts w:ascii="Sakkal Majalla" w:hAnsi="Sakkal Majalla" w:cs="Sakkal Majalla"/>
          <w:sz w:val="28"/>
          <w:szCs w:val="28"/>
          <w:rtl/>
          <w:lang w:bidi="ar-EG"/>
        </w:rPr>
        <w:t xml:space="preserve">. في الواقع، تثبت نتائجنا أن التحول الرقمي يعزز الإيرادات غير النفطية وبالتالي يقلل من هيمنة صناعة النفط في الاقتصاد، وبالتالي يشجع التنوع الاقتصادي. </w:t>
      </w:r>
      <w:r w:rsidRPr="005056A4">
        <w:rPr>
          <w:rFonts w:ascii="Sakkal Majalla" w:hAnsi="Sakkal Majalla" w:cs="Sakkal Majalla"/>
          <w:sz w:val="28"/>
          <w:szCs w:val="28"/>
          <w:rtl/>
          <w:lang w:bidi="ar-EG"/>
        </w:rPr>
        <w:lastRenderedPageBreak/>
        <w:t>ولتشجيع التنوع الاقتصادي واستقطاب المزيد من الاستثمارات الدولية في تكنولوجيا المعلومات والاتصالات، يتعين على حكومة المملكة العربية السعودية تسريع عملية التحول في مجال الطاقة.</w:t>
      </w:r>
    </w:p>
    <w:p w14:paraId="32437C67" w14:textId="2B5BB876" w:rsidR="005056A4" w:rsidRDefault="005056A4" w:rsidP="00FB3126">
      <w:pPr>
        <w:spacing w:line="360" w:lineRule="auto"/>
        <w:jc w:val="both"/>
        <w:rPr>
          <w:rFonts w:ascii="Sakkal Majalla" w:hAnsi="Sakkal Majalla" w:cs="Sakkal Majalla"/>
          <w:sz w:val="28"/>
          <w:szCs w:val="28"/>
          <w:rtl/>
          <w:lang w:bidi="ar-EG"/>
        </w:rPr>
      </w:pPr>
      <w:r w:rsidRPr="005056A4">
        <w:rPr>
          <w:rFonts w:ascii="Sakkal Majalla" w:hAnsi="Sakkal Majalla" w:cs="Sakkal Majalla"/>
          <w:sz w:val="28"/>
          <w:szCs w:val="28"/>
          <w:rtl/>
          <w:lang w:bidi="ar-EG"/>
        </w:rPr>
        <w:t>هدفت دراسة</w:t>
      </w:r>
      <w:sdt>
        <w:sdtPr>
          <w:rPr>
            <w:rFonts w:ascii="Sakkal Majalla" w:hAnsi="Sakkal Majalla" w:cs="Sakkal Majalla"/>
            <w:sz w:val="28"/>
            <w:szCs w:val="28"/>
            <w:rtl/>
            <w:lang w:bidi="ar-EG"/>
          </w:rPr>
          <w:id w:val="11129469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Aww23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056A4">
            <w:rPr>
              <w:rFonts w:ascii="Sakkal Majalla" w:hAnsi="Sakkal Majalla" w:cs="Sakkal Majalla"/>
              <w:noProof/>
              <w:sz w:val="28"/>
              <w:szCs w:val="28"/>
              <w:lang w:bidi="ar-EG"/>
            </w:rPr>
            <w:t>(Awwad, 2023)</w:t>
          </w:r>
          <w:r>
            <w:rPr>
              <w:rFonts w:ascii="Sakkal Majalla" w:hAnsi="Sakkal Majalla" w:cs="Sakkal Majalla"/>
              <w:sz w:val="28"/>
              <w:szCs w:val="28"/>
              <w:rtl/>
              <w:lang w:bidi="ar-EG"/>
            </w:rPr>
            <w:fldChar w:fldCharType="end"/>
          </w:r>
        </w:sdtContent>
      </w:sdt>
      <w:r w:rsidRPr="005056A4">
        <w:rPr>
          <w:rFonts w:ascii="Sakkal Majalla" w:hAnsi="Sakkal Majalla" w:cs="Sakkal Majalla"/>
          <w:sz w:val="28"/>
          <w:szCs w:val="28"/>
          <w:rtl/>
          <w:lang w:bidi="ar-EG"/>
        </w:rPr>
        <w:t xml:space="preserve"> إلى تقديم نموذج تنموي للمملكة العربية السعودية من شأنه أن يساعد البلاد على الخروج من أزمة النفط الحالية. وتستند الخطة إلى الاستفادة من قدرات المملكة العربية السعودية من خلال أربعة ركائز أساسية: تشمل التغييرات التي جلبها إصلاح القطاع العام </w:t>
      </w:r>
      <w:proofErr w:type="spellStart"/>
      <w:r w:rsidRPr="005056A4">
        <w:rPr>
          <w:rFonts w:ascii="Sakkal Majalla" w:hAnsi="Sakkal Majalla" w:cs="Sakkal Majalla"/>
          <w:sz w:val="28"/>
          <w:szCs w:val="28"/>
          <w:rtl/>
          <w:lang w:bidi="ar-EG"/>
        </w:rPr>
        <w:t>والحوكمة</w:t>
      </w:r>
      <w:proofErr w:type="spellEnd"/>
      <w:r w:rsidRPr="005056A4">
        <w:rPr>
          <w:rFonts w:ascii="Sakkal Majalla" w:hAnsi="Sakkal Majalla" w:cs="Sakkal Majalla"/>
          <w:sz w:val="28"/>
          <w:szCs w:val="28"/>
          <w:rtl/>
          <w:lang w:bidi="ar-EG"/>
        </w:rPr>
        <w:t xml:space="preserve"> الاتجاه نحو التنويع الاقتصادي وريادة الأعمال وتمكين المرأة اقتصاديًا. بعد تحليل شامل للأدبيات الاقتصادية والاجتماعية ذات الصلة، تم اختبار نموذج الدراسة المقترح نظريًا. ثم تم استخدامه في المملكة العربية السعودية باستخدام سلسلة زمنية تمتد 20 عامًا، من عام 2001 إلى عام 2020. باستخدام تقنيات القياس الاقتصادي لجمع البيانات وتقييمها والتحقق منها، بالإضافة إلى بناء نماذج تمثيلية للعلاقة بين النمو الاقتصادي والركائز الأربع لنموذج الدراسة: تم تطوير مجموعة من التوصيات المتعلقة بحل أزمة النفط وتعزيز التنويع الاقتصادي وريادة الأعمال وتمكين المرأة بناءً على نتائج الدراسة، والتي أظهرت أن التنويع الاقتصادي وريادة الأعمال </w:t>
      </w:r>
      <w:proofErr w:type="spellStart"/>
      <w:r w:rsidRPr="005056A4">
        <w:rPr>
          <w:rFonts w:ascii="Sakkal Majalla" w:hAnsi="Sakkal Majalla" w:cs="Sakkal Majalla"/>
          <w:sz w:val="28"/>
          <w:szCs w:val="28"/>
          <w:rtl/>
          <w:lang w:bidi="ar-EG"/>
        </w:rPr>
        <w:t>وحوكمة</w:t>
      </w:r>
      <w:proofErr w:type="spellEnd"/>
      <w:r w:rsidRPr="005056A4">
        <w:rPr>
          <w:rFonts w:ascii="Sakkal Majalla" w:hAnsi="Sakkal Majalla" w:cs="Sakkal Majalla"/>
          <w:sz w:val="28"/>
          <w:szCs w:val="28"/>
          <w:rtl/>
          <w:lang w:bidi="ar-EG"/>
        </w:rPr>
        <w:t xml:space="preserve"> الشركات العامة كان لها جميعًا تأثير إيجابي على النمو الاقتصادي في المملكة العربية السعودية. ومع ذلك، كانت النتائج فيما يتعلق بتأثير تمكين المرأة على النمو الاقتصادي متباينة.</w:t>
      </w:r>
    </w:p>
    <w:p w14:paraId="05EC2135" w14:textId="300BD951" w:rsidR="005056A4" w:rsidRDefault="005056A4" w:rsidP="00FB3126">
      <w:pPr>
        <w:spacing w:line="360" w:lineRule="auto"/>
        <w:jc w:val="both"/>
        <w:rPr>
          <w:rFonts w:ascii="Sakkal Majalla" w:hAnsi="Sakkal Majalla" w:cs="Sakkal Majalla"/>
          <w:sz w:val="28"/>
          <w:szCs w:val="28"/>
          <w:rtl/>
          <w:lang w:bidi="ar-EG"/>
        </w:rPr>
      </w:pPr>
      <w:r w:rsidRPr="005056A4">
        <w:rPr>
          <w:rFonts w:ascii="Sakkal Majalla" w:hAnsi="Sakkal Majalla" w:cs="Sakkal Majalla"/>
          <w:sz w:val="28"/>
          <w:szCs w:val="28"/>
          <w:rtl/>
          <w:lang w:bidi="ar-EG"/>
        </w:rPr>
        <w:t xml:space="preserve">يتعين على المملكة العربية السعودية أن تعطي الأولوية لتوسيع قطاعها الخاص في محاولة لتنويع اقتصادها والابتعاد عن هيمنة النفط. وبما أن صناعة النفط تسيطر حاليًا على غالبية الاقتصاد، فإن مساهمة القطاع الخاص في النمو الاقتصادي ضئيلة. تبذل هذه الدراسة جهدًا لتقييم كيفية مساهمة التنمية المالية في توسع القطاع الخاص. يعد تقييم هذه العلاقة أمرًا بالغ الأهمية لأنه من المرجح أن يتم جذب الموارد المالية إلى قطاع النفط المهيمن، مما سيؤثر سلبًا على القطاع الخاص. تخضع البيانات من عام 1985 إلى عام 2018 لمنهج التكامل المشترك </w:t>
      </w:r>
      <w:proofErr w:type="spellStart"/>
      <w:r w:rsidRPr="005056A4">
        <w:rPr>
          <w:rFonts w:ascii="Sakkal Majalla" w:hAnsi="Sakkal Majalla" w:cs="Sakkal Majalla"/>
          <w:sz w:val="28"/>
          <w:szCs w:val="28"/>
          <w:rtl/>
          <w:lang w:bidi="ar-EG"/>
        </w:rPr>
        <w:t>لجوهانسن</w:t>
      </w:r>
      <w:proofErr w:type="spellEnd"/>
      <w:r w:rsidRPr="005056A4">
        <w:rPr>
          <w:rFonts w:ascii="Sakkal Majalla" w:hAnsi="Sakkal Majalla" w:cs="Sakkal Majalla"/>
          <w:sz w:val="28"/>
          <w:szCs w:val="28"/>
          <w:rtl/>
          <w:lang w:bidi="ar-EG"/>
        </w:rPr>
        <w:t xml:space="preserve">. وفقًا لنتائج الدراسة، فإن الناتج المحلي الإجمالي للقطاع الخاص يرتبط سلبًا بمعروض النقود، وارتباط إيجابي بالائتمان المصرفي للقطاع الخاص، ولا توجد علاقة واضحة مع القيمة السوقية للأسهم. بالإضافة إلى ذلك، فإن الإنفاق الحكومي والاستثمار والانفتاح التجاري يرتبطان بشكل إيجابي وهام بنمو القطاع الخاص. لذلك، تقترح الدراسة تعزيز خدمات القطاع المالي بشكل أكبر. وبالإضافة إلى النمط الحالي للإنفاق الحكومي، ينبغي أن يستمر تحرير التجارة </w:t>
      </w:r>
      <w:r w:rsidRPr="005056A4">
        <w:rPr>
          <w:rFonts w:ascii="Sakkal Majalla" w:hAnsi="Sakkal Majalla" w:cs="Sakkal Majalla"/>
          <w:sz w:val="28"/>
          <w:szCs w:val="28"/>
          <w:rtl/>
          <w:lang w:bidi="ar-EG"/>
        </w:rPr>
        <w:lastRenderedPageBreak/>
        <w:t>والاستثمار للسماح للقطاع الخاص بالمساهمة بشكل كبير في التوسع الاقتصادي للبلاد. وهذه الدراسة غير عادية حيث لم تكن هناك أي أبحاث سابقة حول العوامل المالية وعوامل النمو في القطاع الخاص</w:t>
      </w:r>
      <w:sdt>
        <w:sdtPr>
          <w:rPr>
            <w:rFonts w:ascii="Sakkal Majalla" w:hAnsi="Sakkal Majalla" w:cs="Sakkal Majalla"/>
            <w:sz w:val="28"/>
            <w:szCs w:val="28"/>
            <w:rtl/>
            <w:lang w:bidi="ar-EG"/>
          </w:rPr>
          <w:id w:val="-165498488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Haq201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056A4">
            <w:rPr>
              <w:rFonts w:ascii="Sakkal Majalla" w:hAnsi="Sakkal Majalla" w:cs="Sakkal Majalla"/>
              <w:noProof/>
              <w:sz w:val="28"/>
              <w:szCs w:val="28"/>
              <w:lang w:bidi="ar-EG"/>
            </w:rPr>
            <w:t>(Haque, 2020)</w:t>
          </w:r>
          <w:r>
            <w:rPr>
              <w:rFonts w:ascii="Sakkal Majalla" w:hAnsi="Sakkal Majalla" w:cs="Sakkal Majalla"/>
              <w:sz w:val="28"/>
              <w:szCs w:val="28"/>
              <w:rtl/>
              <w:lang w:bidi="ar-EG"/>
            </w:rPr>
            <w:fldChar w:fldCharType="end"/>
          </w:r>
        </w:sdtContent>
      </w:sdt>
      <w:r w:rsidRPr="005056A4">
        <w:rPr>
          <w:rFonts w:ascii="Sakkal Majalla" w:hAnsi="Sakkal Majalla" w:cs="Sakkal Majalla"/>
          <w:sz w:val="28"/>
          <w:szCs w:val="28"/>
          <w:rtl/>
          <w:lang w:bidi="ar-EG"/>
        </w:rPr>
        <w:t>.</w:t>
      </w:r>
    </w:p>
    <w:p w14:paraId="1221694E" w14:textId="5C2D92E0" w:rsidR="009128CB" w:rsidRDefault="005056A4" w:rsidP="005056A4">
      <w:pPr>
        <w:pStyle w:val="af1"/>
        <w:rPr>
          <w:rtl/>
        </w:rPr>
      </w:pPr>
      <w:r w:rsidRPr="005056A4">
        <w:rPr>
          <w:rtl/>
        </w:rPr>
        <w:t>الغرض من دراسة</w:t>
      </w:r>
      <w:sdt>
        <w:sdtPr>
          <w:rPr>
            <w:rtl/>
          </w:rPr>
          <w:id w:val="-269319681"/>
          <w:citation/>
        </w:sdtPr>
        <w:sdtContent>
          <w:r>
            <w:rPr>
              <w:rtl/>
            </w:rPr>
            <w:fldChar w:fldCharType="begin"/>
          </w:r>
          <w:r>
            <w:instrText xml:space="preserve"> CITATION Jav22 \l 1033 </w:instrText>
          </w:r>
          <w:r>
            <w:rPr>
              <w:rtl/>
            </w:rPr>
            <w:fldChar w:fldCharType="separate"/>
          </w:r>
          <w:r>
            <w:rPr>
              <w:noProof/>
            </w:rPr>
            <w:t xml:space="preserve"> (Javid, 2022)</w:t>
          </w:r>
          <w:r>
            <w:rPr>
              <w:rtl/>
            </w:rPr>
            <w:fldChar w:fldCharType="end"/>
          </w:r>
        </w:sdtContent>
      </w:sdt>
      <w:r w:rsidRPr="005056A4">
        <w:rPr>
          <w:rtl/>
        </w:rPr>
        <w:t xml:space="preserve"> هو دراسة العوامل التي تؤثر على سلوك الاستثمار الخاص السعودي في </w:t>
      </w:r>
      <w:r w:rsidRPr="005056A4">
        <w:rPr>
          <w:rFonts w:hint="cs"/>
          <w:rtl/>
        </w:rPr>
        <w:t>ثماني</w:t>
      </w:r>
      <w:r w:rsidRPr="005056A4">
        <w:rPr>
          <w:rtl/>
        </w:rPr>
        <w:t xml:space="preserve"> قطاعات غير نفطية على المدى القصير والطويل. بهدف زيادة مساهمة القطاع الخاص بشكل كبير في الناتج المحلي الإجمالي للبلاد، تتحرك المملكة العربية السعودية حاليًا إلى الأمام بخطة الإصلاح الخاصة برؤية 2030. بالنسبة للمملكة العربية السعودية، من الأهمية بمكان دراسة الاستثمارات الخاصة على المستوى القطاعي. قد يكتسب صناع السياسات فهمًا أفضل للطرق المستقبلية لتسريع نمو القطاع الخاص من مثل هذه الدراسة. لذلك، يحلل هذا العمل تجريبياً الاستثمارات حسب القطاع من عام 1989 إلى عام 2017 باستخدام نهج التكامل المشترك وتصحيح التوازن. باستثناء الزراعة، نجد ارتباطًا طويل الأجل بين الناتج والاستثمارات وسعر الفائدة الحقيقي. علاوة على ذلك، هناك ارتباطات طويلة الأجل بين سعر الصرف الحقيقي والاستثمارات في قطاع التصنيع غير النفطي والزراعة وقطاعات الخدمات الأخرى. تشير هذه النتيجة إلى أن خطط الاستثمار المخصصة للقطاعات المحددة أفضل من خطط الاستثمار العامة.</w:t>
      </w:r>
    </w:p>
    <w:p w14:paraId="73DC303F" w14:textId="4852B1AF" w:rsidR="00BB6B96" w:rsidRDefault="00481A10" w:rsidP="00481A10">
      <w:pPr>
        <w:pStyle w:val="af1"/>
        <w:rPr>
          <w:rtl/>
        </w:rPr>
      </w:pPr>
      <w:r w:rsidRPr="00481A10">
        <w:rPr>
          <w:rtl/>
        </w:rPr>
        <w:t>تهدف دراسة</w:t>
      </w:r>
      <w:sdt>
        <w:sdtPr>
          <w:rPr>
            <w:rtl/>
          </w:rPr>
          <w:id w:val="-184757029"/>
          <w:citation/>
        </w:sdtPr>
        <w:sdtContent>
          <w:r>
            <w:rPr>
              <w:rtl/>
            </w:rPr>
            <w:fldChar w:fldCharType="begin"/>
          </w:r>
          <w:r>
            <w:instrText xml:space="preserve"> CITATION AlS24 \l 1033 </w:instrText>
          </w:r>
          <w:r>
            <w:rPr>
              <w:rtl/>
            </w:rPr>
            <w:fldChar w:fldCharType="separate"/>
          </w:r>
          <w:r>
            <w:rPr>
              <w:noProof/>
            </w:rPr>
            <w:t xml:space="preserve"> (AlSabbagh, 2024)</w:t>
          </w:r>
          <w:r>
            <w:rPr>
              <w:rtl/>
            </w:rPr>
            <w:fldChar w:fldCharType="end"/>
          </w:r>
        </w:sdtContent>
      </w:sdt>
      <w:r w:rsidRPr="00481A10">
        <w:rPr>
          <w:rtl/>
        </w:rPr>
        <w:t xml:space="preserve"> إلى تحديد كمية الطاقة القطاعية وكثافة الكربون، وإعادة النظر في صحة منحنى كوزنتس البيئي (</w:t>
      </w:r>
      <w:r w:rsidRPr="00481A10">
        <w:t>EKC</w:t>
      </w:r>
      <w:r w:rsidRPr="00481A10">
        <w:rPr>
          <w:rtl/>
        </w:rPr>
        <w:t xml:space="preserve">)، والتحقيق في العلاقة بين التنوع الاقتصادي في البحرين وانبعاثات ثاني أكسيد الكربون. لفهم العلاقات بين النمو الاقتصادي القطاعي في البحرين واستهلاك الطاقة وانبعاثات ثاني أكسيد الكربون، تم اتخاذ ثلاث خطوات. باستخدام نهج التأخر الموزع التلقائي والبيانات التسلسلية الزمنية للسنوات 1980-2019، تم إنشاء نموذجين قياسيين اقتصاديين وفحصهما، وتم حساب كثافة الطاقة والكربون القطاعية، وتم فحص اتجاهات بيانات السلاسل الزمنية. وفقًا لنتائج التحليل، يتمتع القطاع الصناعي في البحرين بكثافة طاقة وكربون أعلى من قطاعي الخدمات والزراعة. في البحرين، حيث لا يزال التوسع الاقتصادي مصحوبًا بانبعاثات ثاني أكسيد الكربون، تم تحديد منحنى كوزنتس البيئي على أنه غير صالح. بينما شهد قطاعا التصنيع والعقارات زيادة في انبعاثات ثاني أكسيد الكربون، فقد شهد قطاعا الضيافة والنقل والاتصالات انخفاضًا في الانبعاثات. وتشير هذه النتائج إلى أن هدف البحرين المتمثل في أن تكون خالية من الكربون يتوافق مع التنوع الاقتصادي، وخاصة في قطاع الخدمات. ومع ذلك، لتخفيف الآثار البيئية للتوسع الاقتصادي، هناك حاجة إلى عدد أقل من القطاعات كثيفة الاستهلاك للطاقة، مثل الشركات القائمة </w:t>
      </w:r>
      <w:r w:rsidRPr="00481A10">
        <w:rPr>
          <w:rtl/>
        </w:rPr>
        <w:lastRenderedPageBreak/>
        <w:t>على إعادة التدوير. ونادراً ما أجريت أبحاث حول كيفية تأثير التنوع الاقتصادي على استخدام الطاقة وانبعاثات ثاني أكسيد الكربون في الدول المنتجة للنفط في مجلس التعاون الخليجي. وتساعد استنتاجات الدراسة في توجيه قرارات السياسة الاقتصادية والبيئية في البحرين.</w:t>
      </w:r>
    </w:p>
    <w:p w14:paraId="1566A76C" w14:textId="00FA2FE6" w:rsidR="00BB6B96" w:rsidRDefault="00481A10" w:rsidP="00481A10">
      <w:pPr>
        <w:pStyle w:val="af1"/>
        <w:rPr>
          <w:rtl/>
        </w:rPr>
      </w:pPr>
      <w:r w:rsidRPr="00481A10">
        <w:rPr>
          <w:rtl/>
        </w:rPr>
        <w:t xml:space="preserve">وبسبب المشاكل الكبيرة التي تترتب على نقص تمثيل العمال المحليين في سوق العمل، وضعت المملكة العربية السعودية برنامجاً للسعودة لتحفيز شركات القطاع الخاص على توظيف السكان المحليين. ومع ذلك، لا تزال سوق العمل السعودية تضم نسبة أعلى من العمال الأجانب، وتتكون مؤسسات القطاع العام إلى حد كبير من المواطنين السعوديين. وفي القطاع الخاص، لا تمثل المملكة العربية السعودية إلا نسبة ضئيلة. على سبيل المثال، 88.3% من العاملين في قطاع تجارة الجملة والتجزئة و80% من العاملين في قطاع البناء هم من الأجانب. ومن أجل تحديد أسباب عدم كفاءة سياسة السعودة، فحصت هذه الدراسة الحواجز التي تحول دون توظيف العمال المحليين في قطاعي البناء وتجارة الجملة والتجزئة وقارنتها بين الشركتين. واستخدمت الدراسة منهجية بحث مختلطة لتحديد أسباب نقص التمثيل. وتألف البحث النوعي في المقام الأول من مقابلات مع المالكين والمديرين، في حين تضمن البحث الكمي استطلاعاً للموظفين. ووفقاً للدراسة الكمية، فإن الالتزام التنظيمي وبيئة العمل والأجور والمزايا والمكانة الاجتماعية ومسافة السلطة هي العناصر الرئيسية المساهمة. وباستثناء الطبقة الاجتماعية والاقتصادية، اختلفت جميع المتغيرات بشكل كبير إحصائياً بين قطاعي الجملة والتجزئة والبناء. ولأن التوظيف القائم على الخدمات أقل تفضيلاً ويُنظر إليه على أنه أقل امتيازاً من قبل السعوديين مقارنة بالوظائف في الصناعات الأخرى، فقد كان يُنظر إلى قطاع الجملة والتجزئة على أنه يحتوي على مستويات أعلى من هذه المتغيرات. كما تبين أن المتغيرات الديموغرافية للجنس وخبرة العمل والتدريب والكفاءة العلمية لها فروق كبيرة إحصائياً في العوامل المؤثرة على توظيف السعوديين في صناعتي الجملة والتجزئة والبناء. وقد تم تحديد أسباب عدم كفاءة برنامج السعودة من خلال استنتاجات الدراسة النوعية. وكانت القضايا الثقافية (المكانة الاجتماعية ومسافة السلطة)، وعدم كفاءة النظام التعليمي (الذي يؤدي إلى فجوة بين العرض والطلب على المهارات والمعرفة لسوق العمل)، والتدريب غير الكافي، والتفضيل القوي للموظفين المحليين للقطاع العام هي الأسباب الرئيسية. إن صناع السياسات والشركات والعمال السعوديين ومن ينفذون برنامج التوطين يمكنهم جميعاً الاستفادة من التوصيات المفيدة التي قدمتها الدراسة. وقد تم ملاحظة الأسباب وراء الاستجابة البطيئة من جانب القطاع الخاص لتنفيذ برنامج التوطين. إن دعم القطاع الخاص وسد الفجوة في الأجور بين القطاعين العام والخاص هما طريقتان لمعالجة القضايا التي تؤثر على القوى العاملة وتشجيع العمال المحليين على </w:t>
      </w:r>
      <w:r w:rsidRPr="00481A10">
        <w:rPr>
          <w:rtl/>
        </w:rPr>
        <w:lastRenderedPageBreak/>
        <w:t>البحث عن وظائف في هذه المجالات. ومن أجل تحقيق الرخاء، يجب على جميع قطاعات الاقتصاد أن تعمل معاً بشكل مستمر. وينبغي لأصحاب العمل أن يعالجوا جوانب المسافة بين السلطة والقضايا التحفيزية والمواقف. وقد تم تقديم فكرة مفادها أن المكانة الاجتماعية والمسافة بين السلطة والسلطة هي عناصر ثقافية تؤثر على توظيف المواطنين السعوديين لأول مرة في هذه الدراسة. وهي تقدم أساساً متيناً لمزيد من الدراسة</w:t>
      </w:r>
      <w:sdt>
        <w:sdtPr>
          <w:rPr>
            <w:rtl/>
          </w:rPr>
          <w:id w:val="-422805026"/>
          <w:citation/>
        </w:sdtPr>
        <w:sdtContent>
          <w:r>
            <w:rPr>
              <w:rtl/>
            </w:rPr>
            <w:fldChar w:fldCharType="begin"/>
          </w:r>
          <w:r>
            <w:instrText xml:space="preserve"> CITATION Jud22 \l 1033 </w:instrText>
          </w:r>
          <w:r>
            <w:rPr>
              <w:rtl/>
            </w:rPr>
            <w:fldChar w:fldCharType="separate"/>
          </w:r>
          <w:r>
            <w:rPr>
              <w:noProof/>
            </w:rPr>
            <w:t xml:space="preserve"> (Judai, 2022)</w:t>
          </w:r>
          <w:r>
            <w:rPr>
              <w:rtl/>
            </w:rPr>
            <w:fldChar w:fldCharType="end"/>
          </w:r>
        </w:sdtContent>
      </w:sdt>
      <w:r w:rsidRPr="00481A10">
        <w:rPr>
          <w:rtl/>
        </w:rPr>
        <w:t>.</w:t>
      </w:r>
    </w:p>
    <w:p w14:paraId="3BAE7B22" w14:textId="7BB259B8" w:rsidR="00481A10" w:rsidRDefault="00481A10" w:rsidP="00481A10">
      <w:pPr>
        <w:pStyle w:val="af1"/>
        <w:rPr>
          <w:rtl/>
        </w:rPr>
      </w:pPr>
      <w:r w:rsidRPr="00481A10">
        <w:rPr>
          <w:rtl/>
        </w:rPr>
        <w:t xml:space="preserve">مع التركيز على التأثيرات الاجتماعية والبيئية والاقتصادية، تحاول هذه الدراسة تقييم مدى تأثير الخدمات اللوجستية المستدامة على تنمية المملكة العربية السعودية بين عامي 1990 و2022. ومن أجل تقديم تحليل مقارن لمقاييس الأداء ذات الصلة، تستخدم الدراسة نموذج تقديرات </w:t>
      </w:r>
      <w:r w:rsidRPr="00481A10">
        <w:t>ARDL</w:t>
      </w:r>
      <w:r w:rsidRPr="00481A10">
        <w:rPr>
          <w:rtl/>
        </w:rPr>
        <w:t xml:space="preserve"> الديناميكي لتحليل مجموعة بيانات كبيرة تمتد إلى الفترة قبل وبعد تنفيذ رؤية 2030. وتُظهر النتائج تحولاً استراتيجيًا في جميع هذه المجالات، مما يسلط الضوء على المساهمة المهمة لرؤية 2030 في الرعاية الاجتماعية والتنويع الاقتصادي وتعزيز الممارسات المستدامة. وبينما يعترف التحليل بالتأثيرات المعقدة لديناميكيات التجارة، فإنه يؤكد أيضًا على التأثير الكبير لقطاعي الصناعة والإنتاج على مقاييس الأداء. وتوصلت الدراسة إلى أن المملكة العربية السعودية نجحت في وضع رؤية 2030 كنموذج للنمو مع تأثيرات عالمية محتملة من خلال تنسيق سياساتها مع اتجاهات الاستدامة العالمية. ومن أجل دعم المرونة والتنويع الاقتصادي في البلاد، تشير الآثار السياسية الرئيسية إلى ضرورة الاستثمار المستمر في أساليب الإنتاج النظيفة، والخدمات اللوجستية المستدامة، وتحسين جودة التجارة، بالإضافة إلى التدابير التي تشجع الابتكار، وتدعم الشركات الصغيرة والمتوسطة، وتنمية القوى العاملة الماهرة</w:t>
      </w:r>
      <w:sdt>
        <w:sdtPr>
          <w:rPr>
            <w:rtl/>
          </w:rPr>
          <w:id w:val="-546839767"/>
          <w:citation/>
        </w:sdtPr>
        <w:sdtContent>
          <w:r>
            <w:rPr>
              <w:rtl/>
            </w:rPr>
            <w:fldChar w:fldCharType="begin"/>
          </w:r>
          <w:r>
            <w:instrText xml:space="preserve"> CITATION Kha25 \l 1033 </w:instrText>
          </w:r>
          <w:r>
            <w:rPr>
              <w:rtl/>
            </w:rPr>
            <w:fldChar w:fldCharType="separate"/>
          </w:r>
          <w:r>
            <w:rPr>
              <w:noProof/>
            </w:rPr>
            <w:t xml:space="preserve"> (Khan, 2025)</w:t>
          </w:r>
          <w:r>
            <w:rPr>
              <w:rtl/>
            </w:rPr>
            <w:fldChar w:fldCharType="end"/>
          </w:r>
        </w:sdtContent>
      </w:sdt>
      <w:r w:rsidRPr="00481A10">
        <w:rPr>
          <w:rtl/>
        </w:rPr>
        <w:t>.</w:t>
      </w:r>
    </w:p>
    <w:p w14:paraId="717A69BB" w14:textId="77777777" w:rsidR="00BB6B96" w:rsidRDefault="00BB6B96" w:rsidP="00940316">
      <w:pPr>
        <w:spacing w:line="360" w:lineRule="auto"/>
        <w:rPr>
          <w:rFonts w:ascii="Sakkal Majalla" w:hAnsi="Sakkal Majalla" w:cs="Sakkal Majalla"/>
          <w:sz w:val="28"/>
          <w:szCs w:val="28"/>
          <w:rtl/>
        </w:rPr>
      </w:pPr>
    </w:p>
    <w:p w14:paraId="5CE3CD77" w14:textId="77777777" w:rsidR="00BB6B96" w:rsidRDefault="00BB6B96" w:rsidP="00940316">
      <w:pPr>
        <w:spacing w:line="360" w:lineRule="auto"/>
        <w:rPr>
          <w:rFonts w:ascii="Sakkal Majalla" w:hAnsi="Sakkal Majalla" w:cs="Sakkal Majalla"/>
          <w:sz w:val="28"/>
          <w:szCs w:val="28"/>
          <w:rtl/>
        </w:rPr>
      </w:pPr>
    </w:p>
    <w:p w14:paraId="13EB3486" w14:textId="77777777" w:rsidR="00BB6B96" w:rsidRDefault="00BB6B96" w:rsidP="00940316">
      <w:pPr>
        <w:spacing w:line="360" w:lineRule="auto"/>
        <w:rPr>
          <w:rFonts w:ascii="Sakkal Majalla" w:hAnsi="Sakkal Majalla" w:cs="Sakkal Majalla"/>
          <w:sz w:val="28"/>
          <w:szCs w:val="28"/>
          <w:rtl/>
        </w:rPr>
      </w:pPr>
    </w:p>
    <w:p w14:paraId="67AA387D" w14:textId="77777777" w:rsidR="00BB6B96" w:rsidRDefault="00BB6B96" w:rsidP="00940316">
      <w:pPr>
        <w:spacing w:line="360" w:lineRule="auto"/>
        <w:rPr>
          <w:rFonts w:ascii="Sakkal Majalla" w:hAnsi="Sakkal Majalla" w:cs="Sakkal Majalla"/>
          <w:sz w:val="28"/>
          <w:szCs w:val="28"/>
          <w:rtl/>
        </w:rPr>
      </w:pPr>
    </w:p>
    <w:p w14:paraId="7EC8151D" w14:textId="77777777" w:rsidR="00BB6B96" w:rsidRDefault="00BB6B96" w:rsidP="00940316">
      <w:pPr>
        <w:spacing w:line="360" w:lineRule="auto"/>
        <w:rPr>
          <w:rFonts w:ascii="Sakkal Majalla" w:hAnsi="Sakkal Majalla" w:cs="Sakkal Majalla"/>
          <w:sz w:val="28"/>
          <w:szCs w:val="28"/>
          <w:rtl/>
        </w:rPr>
      </w:pPr>
    </w:p>
    <w:p w14:paraId="7327E1EC" w14:textId="77777777" w:rsidR="00BB6B96" w:rsidRDefault="00BB6B96" w:rsidP="00940316">
      <w:pPr>
        <w:spacing w:line="360" w:lineRule="auto"/>
        <w:rPr>
          <w:rFonts w:ascii="Sakkal Majalla" w:hAnsi="Sakkal Majalla" w:cs="Sakkal Majalla"/>
          <w:sz w:val="28"/>
          <w:szCs w:val="28"/>
          <w:rtl/>
        </w:rPr>
      </w:pPr>
    </w:p>
    <w:p w14:paraId="615F7924" w14:textId="77777777" w:rsidR="00BB6B96" w:rsidRDefault="00BB6B96" w:rsidP="00940316">
      <w:pPr>
        <w:spacing w:line="360" w:lineRule="auto"/>
        <w:rPr>
          <w:rFonts w:ascii="Sakkal Majalla" w:hAnsi="Sakkal Majalla" w:cs="Sakkal Majalla"/>
          <w:sz w:val="28"/>
          <w:szCs w:val="28"/>
          <w:rtl/>
        </w:rPr>
      </w:pPr>
    </w:p>
    <w:p w14:paraId="3D434924" w14:textId="77777777" w:rsidR="00940316" w:rsidRDefault="00940316" w:rsidP="00847E70">
      <w:pPr>
        <w:spacing w:line="360" w:lineRule="auto"/>
        <w:rPr>
          <w:rFonts w:ascii="Sakkal Majalla" w:hAnsi="Sakkal Majalla" w:cs="Sakkal Majalla"/>
          <w:sz w:val="28"/>
          <w:szCs w:val="28"/>
          <w:rtl/>
        </w:rPr>
      </w:pPr>
    </w:p>
    <w:p w14:paraId="0E647D30" w14:textId="77777777" w:rsidR="00A219D9" w:rsidRPr="00847E70" w:rsidRDefault="00A219D9" w:rsidP="00847E70">
      <w:pPr>
        <w:spacing w:line="360" w:lineRule="auto"/>
        <w:rPr>
          <w:rFonts w:ascii="Sakkal Majalla" w:hAnsi="Sakkal Majalla" w:cs="Sakkal Majalla"/>
          <w:sz w:val="28"/>
          <w:szCs w:val="28"/>
          <w:rtl/>
        </w:rPr>
      </w:pPr>
    </w:p>
    <w:p w14:paraId="5C93C923" w14:textId="34BBB8FA" w:rsidR="009A47D7" w:rsidRPr="00365FB4" w:rsidRDefault="00F925D0" w:rsidP="00E70586">
      <w:pPr>
        <w:pStyle w:val="2"/>
        <w:rPr>
          <w:rtl/>
        </w:rPr>
      </w:pPr>
      <w:bookmarkStart w:id="42" w:name="_Toc191138781"/>
      <w:r w:rsidRPr="00365FB4">
        <w:rPr>
          <w:rtl/>
        </w:rPr>
        <w:t>الإطار النظري</w:t>
      </w:r>
      <w:bookmarkEnd w:id="40"/>
      <w:bookmarkEnd w:id="41"/>
      <w:bookmarkEnd w:id="42"/>
    </w:p>
    <w:p w14:paraId="2565A34B" w14:textId="77777777" w:rsidR="008C6507" w:rsidRPr="008C6507" w:rsidRDefault="008C6507" w:rsidP="00F7469C">
      <w:pPr>
        <w:spacing w:after="0" w:line="360" w:lineRule="auto"/>
      </w:pPr>
    </w:p>
    <w:p w14:paraId="47F01A96" w14:textId="56273719" w:rsidR="00F7469C" w:rsidRDefault="00CA4767" w:rsidP="00F7469C">
      <w:pPr>
        <w:spacing w:after="0" w:line="360" w:lineRule="auto"/>
        <w:rPr>
          <w:rtl/>
        </w:rPr>
      </w:pPr>
      <w:r>
        <w:rPr>
          <w:noProof/>
        </w:rPr>
      </w:r>
      <w:r w:rsidR="00CA4767">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55pt;height:125.25pt" o:ole="">
            <v:imagedata r:id="rId9" o:title=""/>
          </v:shape>
          <o:OLEObject Type="Embed" ProgID="Visio.Drawing.15" ShapeID="_x0000_i1025" DrawAspect="Content" ObjectID="_1802996680" r:id="rId10"/>
        </w:object>
      </w:r>
    </w:p>
    <w:p w14:paraId="347C77D8" w14:textId="3DA0388E" w:rsidR="00365FB4" w:rsidRDefault="00C550AB" w:rsidP="00C550AB">
      <w:pPr>
        <w:pStyle w:val="a7"/>
        <w:rPr>
          <w:rtl/>
          <w:lang w:bidi="ar-EG"/>
        </w:rPr>
      </w:pPr>
      <w:bookmarkStart w:id="43" w:name="_Toc191576081"/>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BD549E">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3"/>
      <w:r w:rsidR="00F870C4">
        <w:rPr>
          <w:rFonts w:cs="Arial" w:hint="cs"/>
          <w:noProof/>
          <w:rtl/>
          <w:lang w:bidi="ar-EG"/>
        </w:rPr>
        <w:t xml:space="preserve"> </w:t>
      </w:r>
    </w:p>
    <w:bookmarkEnd w:id="0"/>
    <w:p w14:paraId="3E25347A" w14:textId="77777777" w:rsidR="002D681D" w:rsidRDefault="002D681D" w:rsidP="002D681D">
      <w:pPr>
        <w:pStyle w:val="af1"/>
        <w:rPr>
          <w:rFonts w:ascii="Simplified Arabic" w:hAnsi="Simplified Arabic" w:cs="Simplified Arabic"/>
          <w:rtl/>
        </w:rPr>
      </w:pPr>
    </w:p>
    <w:p w14:paraId="2130B9C7" w14:textId="7C07B596" w:rsidR="002D681D" w:rsidRPr="002D681D" w:rsidRDefault="002D681D" w:rsidP="002D681D">
      <w:pPr>
        <w:pStyle w:val="Style1"/>
        <w:rPr>
          <w:rFonts w:asciiTheme="minorHAnsi" w:hAnsiTheme="minorHAnsi" w:cstheme="minorBidi"/>
          <w:rtl/>
        </w:rPr>
      </w:pPr>
      <w:r w:rsidRPr="002D681D">
        <w:rPr>
          <w:rtl/>
        </w:rPr>
        <w:t>العلاقة الإيجابية بين تطبيق استراتيجيات التنويع الاقتصادي وزيادة استدامة الأعمال:</w:t>
      </w:r>
    </w:p>
    <w:p w14:paraId="64931708" w14:textId="69C3A3C0" w:rsidR="002D681D" w:rsidRPr="002D681D" w:rsidRDefault="002D681D" w:rsidP="002D681D">
      <w:pPr>
        <w:pStyle w:val="af1"/>
        <w:rPr>
          <w:rtl/>
        </w:rPr>
      </w:pPr>
      <w:r w:rsidRPr="002D681D">
        <w:rPr>
          <w:rtl/>
        </w:rPr>
        <w:t xml:space="preserve"> تنطلق هذه الفرضية من مبدأ أن التنويع يقلل من الاعتماد على مصدر دخل أو قطاع واحد، مما يجعل الشركة أقل عرضة للمخاطر الاقتصادية. فإذا واجه قطاع معين تحديات، فإن وجود استثمارات في قطاعات أخرى يحمي الشركة من الانهيار ويساعدها على الحفاظ على استدامتها. بمعنى آخر، كلما زاد تنويع الشركة لأنشطتها ومصادر دخلها، زادت قدرتها على الصمود والاستمرار في السوق</w:t>
      </w:r>
      <w:sdt>
        <w:sdtPr>
          <w:rPr>
            <w:rtl/>
          </w:rPr>
          <w:id w:val="870499186"/>
          <w:citation/>
        </w:sdtPr>
        <w:sdtContent>
          <w:r w:rsidRPr="002D681D">
            <w:rPr>
              <w:rtl/>
            </w:rPr>
            <w:fldChar w:fldCharType="begin"/>
          </w:r>
          <w:r w:rsidRPr="002D681D">
            <w:instrText xml:space="preserve"> CITATION Vog18 \l 1033 </w:instrText>
          </w:r>
          <w:r w:rsidRPr="002D681D">
            <w:rPr>
              <w:rtl/>
            </w:rPr>
            <w:fldChar w:fldCharType="separate"/>
          </w:r>
          <w:r w:rsidRPr="002D681D">
            <w:t xml:space="preserve"> (Vogl, 2018)</w:t>
          </w:r>
          <w:r w:rsidRPr="002D681D">
            <w:rPr>
              <w:rtl/>
            </w:rPr>
            <w:fldChar w:fldCharType="end"/>
          </w:r>
        </w:sdtContent>
      </w:sdt>
      <w:r w:rsidRPr="002D681D">
        <w:rPr>
          <w:rtl/>
        </w:rPr>
        <w:t>.</w:t>
      </w:r>
    </w:p>
    <w:p w14:paraId="79E76CEA" w14:textId="0F6F6508" w:rsidR="002D681D" w:rsidRPr="002D681D" w:rsidRDefault="002D681D" w:rsidP="002D681D">
      <w:pPr>
        <w:pStyle w:val="Style1"/>
        <w:rPr>
          <w:rtl/>
        </w:rPr>
      </w:pPr>
      <w:r w:rsidRPr="002D681D">
        <w:rPr>
          <w:rtl/>
        </w:rPr>
        <w:t xml:space="preserve"> تأثير استراتيجيات التنويع المتعلقة بالمنتجات والأسواق على استدامة الأعمال مقارنة بالتنويع في القطاعات:</w:t>
      </w:r>
    </w:p>
    <w:p w14:paraId="5300A79F" w14:textId="2F3FA7F5" w:rsidR="002D681D" w:rsidRPr="002D681D" w:rsidRDefault="002D681D" w:rsidP="002D681D">
      <w:pPr>
        <w:pStyle w:val="af1"/>
        <w:rPr>
          <w:rtl/>
        </w:rPr>
      </w:pPr>
      <w:r w:rsidRPr="002D681D">
        <w:rPr>
          <w:rtl/>
        </w:rPr>
        <w:t xml:space="preserve"> تركز هذه الفرضية على نوع التنويع. تنويع المنتجات والأسواق يعني تقديم منتجات جديدة أو الوصول إلى أسواق جديدة بنفس المنتجات الحالية. هذا النوع من التنويع يُمكن أن يكون أسرع وأقل تكلفة من الدخول في قطاعات جديدة تمامًا، والتي قد تتطلب خبرات وقدرات مختلفة. لذلك، يُفترض أن تنويع المنتجات والأسواق له تأثير مباشر وأكثر وضوحًا على استدامة الأعمال مقارنة بالتنويع القطاعي</w:t>
      </w:r>
      <w:sdt>
        <w:sdtPr>
          <w:rPr>
            <w:rtl/>
          </w:rPr>
          <w:id w:val="322789067"/>
          <w:citation/>
        </w:sdtPr>
        <w:sdtContent>
          <w:r w:rsidRPr="002D681D">
            <w:rPr>
              <w:rtl/>
            </w:rPr>
            <w:fldChar w:fldCharType="begin"/>
          </w:r>
          <w:r w:rsidRPr="002D681D">
            <w:instrText xml:space="preserve"> CITATION Jha21 \l 1033 </w:instrText>
          </w:r>
          <w:r w:rsidRPr="002D681D">
            <w:rPr>
              <w:rtl/>
            </w:rPr>
            <w:fldChar w:fldCharType="separate"/>
          </w:r>
          <w:r w:rsidRPr="002D681D">
            <w:t xml:space="preserve"> (Jha, 2021)</w:t>
          </w:r>
          <w:r w:rsidRPr="002D681D">
            <w:rPr>
              <w:rtl/>
            </w:rPr>
            <w:fldChar w:fldCharType="end"/>
          </w:r>
        </w:sdtContent>
      </w:sdt>
      <w:r w:rsidRPr="002D681D">
        <w:rPr>
          <w:rtl/>
        </w:rPr>
        <w:t>.</w:t>
      </w:r>
    </w:p>
    <w:p w14:paraId="3F988F5F" w14:textId="46397DCD" w:rsidR="002D681D" w:rsidRPr="002D681D" w:rsidRDefault="002D681D" w:rsidP="002D681D">
      <w:pPr>
        <w:pStyle w:val="Style1"/>
        <w:rPr>
          <w:rtl/>
        </w:rPr>
      </w:pPr>
      <w:r w:rsidRPr="002D681D">
        <w:rPr>
          <w:rtl/>
        </w:rPr>
        <w:t xml:space="preserve"> تأثير الابتكار والبحث والتطوير على العلاقة بين التنويع واستدامة الأعمال:</w:t>
      </w:r>
    </w:p>
    <w:p w14:paraId="5AC0F831" w14:textId="196F3008" w:rsidR="002D681D" w:rsidRPr="002D681D" w:rsidRDefault="002D681D" w:rsidP="002D681D">
      <w:pPr>
        <w:pStyle w:val="af1"/>
        <w:rPr>
          <w:rtl/>
        </w:rPr>
      </w:pPr>
      <w:r w:rsidRPr="002D681D">
        <w:rPr>
          <w:rtl/>
        </w:rPr>
        <w:lastRenderedPageBreak/>
        <w:t>ال تشير هذه الفرضية إلى أن الابتكار والبحث والتطوير يُمكن أن يُعززا من فوائد التنويع. فالشركات التي تستثمر في البحث والتطوير تكون أكثر قدرة على تطوير منتجات وخدمات جديدة، واكتشاف أسواق جديدة، والتكيف مع التغيرات في السوق، مما يُعزز من قدرتها على الاستفادة من استراتيجيات التنويع. الابتكار يُمثل حلقة الوصل التي تجعل التنويع أكثر فعالية في تحقيق الاستدامة</w:t>
      </w:r>
      <w:sdt>
        <w:sdtPr>
          <w:rPr>
            <w:rtl/>
          </w:rPr>
          <w:id w:val="211707611"/>
          <w:citation/>
        </w:sdtPr>
        <w:sdtContent>
          <w:r>
            <w:rPr>
              <w:rtl/>
            </w:rPr>
            <w:fldChar w:fldCharType="begin"/>
          </w:r>
          <w:r>
            <w:instrText xml:space="preserve"> CITATION Cao24 \l 1033 </w:instrText>
          </w:r>
          <w:r>
            <w:rPr>
              <w:rtl/>
            </w:rPr>
            <w:fldChar w:fldCharType="separate"/>
          </w:r>
          <w:r>
            <w:rPr>
              <w:noProof/>
            </w:rPr>
            <w:t xml:space="preserve"> (Cao, 2024)</w:t>
          </w:r>
          <w:r>
            <w:rPr>
              <w:rtl/>
            </w:rPr>
            <w:fldChar w:fldCharType="end"/>
          </w:r>
        </w:sdtContent>
      </w:sdt>
      <w:r w:rsidRPr="002D681D">
        <w:rPr>
          <w:rtl/>
        </w:rPr>
        <w:t>.</w:t>
      </w:r>
    </w:p>
    <w:p w14:paraId="37FE50FC" w14:textId="6C1C855C" w:rsidR="002D681D" w:rsidRPr="002D681D" w:rsidRDefault="002D681D" w:rsidP="002D681D">
      <w:pPr>
        <w:pStyle w:val="Style1"/>
        <w:rPr>
          <w:rtl/>
        </w:rPr>
      </w:pPr>
      <w:r w:rsidRPr="002D681D">
        <w:rPr>
          <w:rtl/>
        </w:rPr>
        <w:t>تأثير البيئة التنظيمية والتشريعية على فعالية استراتيجيات التنويع:</w:t>
      </w:r>
    </w:p>
    <w:p w14:paraId="32759D94" w14:textId="4997CADB" w:rsidR="002D681D" w:rsidRPr="002D681D" w:rsidRDefault="002D681D" w:rsidP="002D681D">
      <w:pPr>
        <w:pStyle w:val="af1"/>
        <w:rPr>
          <w:rtl/>
        </w:rPr>
      </w:pPr>
      <w:r w:rsidRPr="002D681D">
        <w:rPr>
          <w:rtl/>
        </w:rPr>
        <w:t xml:space="preserve"> تُركز هذه الفرضية على دور الحكومة والسياسات العامة. فإذا كانت القوانين واللوائح تُشجع التنويع وتُسهل دخول الشركات إلى قطاعات جديدة، فإن ذلك يُعزز من فعالية استراتيجيات التنويع ويساهم في تحقيق استدامة الأعمال. على سبيل المثال، تبسيط إجراءات الترخيص، وتوفير حوافز ضريبية، ودعم البحث والتطوير، كلها عوامل تُسهم في خلق بيئة مُشجعة للتنويع</w:t>
      </w:r>
      <w:sdt>
        <w:sdtPr>
          <w:rPr>
            <w:rtl/>
          </w:rPr>
          <w:id w:val="-954635011"/>
          <w:citation/>
        </w:sdtPr>
        <w:sdtContent>
          <w:r>
            <w:rPr>
              <w:rtl/>
            </w:rPr>
            <w:fldChar w:fldCharType="begin"/>
          </w:r>
          <w:r>
            <w:instrText xml:space="preserve"> CITATION Str22 \l 1033 </w:instrText>
          </w:r>
          <w:r>
            <w:rPr>
              <w:rtl/>
            </w:rPr>
            <w:fldChar w:fldCharType="separate"/>
          </w:r>
          <w:r>
            <w:rPr>
              <w:noProof/>
            </w:rPr>
            <w:t xml:space="preserve"> (Struckell, 2022)</w:t>
          </w:r>
          <w:r>
            <w:rPr>
              <w:rtl/>
            </w:rPr>
            <w:fldChar w:fldCharType="end"/>
          </w:r>
        </w:sdtContent>
      </w:sdt>
      <w:r w:rsidRPr="002D681D">
        <w:rPr>
          <w:rtl/>
        </w:rPr>
        <w:t>.</w:t>
      </w:r>
    </w:p>
    <w:p w14:paraId="652AFBEC" w14:textId="611DB946" w:rsidR="002D681D" w:rsidRPr="002D681D" w:rsidRDefault="002D681D" w:rsidP="002D681D">
      <w:pPr>
        <w:pStyle w:val="Style1"/>
        <w:rPr>
          <w:rtl/>
        </w:rPr>
      </w:pPr>
      <w:r w:rsidRPr="002D681D">
        <w:rPr>
          <w:rtl/>
        </w:rPr>
        <w:t xml:space="preserve"> اختلاف تأثير استراتيجيات التنويع على الاستدامة تبعًا لحجم الشركة:</w:t>
      </w:r>
    </w:p>
    <w:p w14:paraId="6E47B8B6" w14:textId="175DC50B" w:rsidR="00CB0FD2" w:rsidRDefault="002D681D" w:rsidP="002D681D">
      <w:pPr>
        <w:pStyle w:val="af1"/>
        <w:rPr>
          <w:rtl/>
        </w:rPr>
      </w:pPr>
      <w:r w:rsidRPr="002D681D">
        <w:rPr>
          <w:rtl/>
        </w:rPr>
        <w:t xml:space="preserve"> تُشير هذه الفرضية إلى أن الشركات الكبيرة والصغيرة قد تتأثر بشكل مختلف باستراتيجيات التنويع. فالشركات الكبيرة لديها موارد أكبر وقدرة أعلى على تحمل المخاطر، مما يُمكنها من تنويع استثماراتها في قطاعات مختلفة بشكل أوسع. بينما قد تواجه الشركات الصغيرة صعوبات في توفير الموارد اللازمة للتنويع، وقد تُركز على تنويع منتجاتها أو أسواقها بدلاً من التنويع القطاعي. لذلك، يُفترض أن حجم الشركة عامل مُهم يؤثر على فعالية استراتيجيات التنويع في تحقيق الاستدامة</w:t>
      </w:r>
      <w:sdt>
        <w:sdtPr>
          <w:rPr>
            <w:rtl/>
          </w:rPr>
          <w:id w:val="1397780190"/>
          <w:citation/>
        </w:sdtPr>
        <w:sdtContent>
          <w:r w:rsidR="005F4CCC">
            <w:rPr>
              <w:rtl/>
            </w:rPr>
            <w:fldChar w:fldCharType="begin"/>
          </w:r>
          <w:r w:rsidR="005F4CCC">
            <w:instrText xml:space="preserve"> CITATION Gam21 \l 1033 </w:instrText>
          </w:r>
          <w:r w:rsidR="005F4CCC">
            <w:rPr>
              <w:rtl/>
            </w:rPr>
            <w:fldChar w:fldCharType="separate"/>
          </w:r>
          <w:r w:rsidR="005F4CCC">
            <w:rPr>
              <w:noProof/>
            </w:rPr>
            <w:t xml:space="preserve"> (Gammeltoft, 2021)</w:t>
          </w:r>
          <w:r w:rsidR="005F4CCC">
            <w:rPr>
              <w:rtl/>
            </w:rPr>
            <w:fldChar w:fldCharType="end"/>
          </w:r>
        </w:sdtContent>
      </w:sdt>
      <w:r w:rsidRPr="002D681D">
        <w:rPr>
          <w:rtl/>
        </w:rPr>
        <w:t>.</w:t>
      </w:r>
    </w:p>
    <w:p w14:paraId="1F037EA2" w14:textId="77777777" w:rsidR="005F4CCC" w:rsidRDefault="005F4CCC" w:rsidP="002D681D">
      <w:pPr>
        <w:pStyle w:val="af1"/>
        <w:rPr>
          <w:rtl/>
        </w:rPr>
      </w:pPr>
    </w:p>
    <w:p w14:paraId="644381D1" w14:textId="77777777" w:rsidR="005F4CCC" w:rsidRDefault="005F4CCC" w:rsidP="002D681D">
      <w:pPr>
        <w:pStyle w:val="af1"/>
        <w:rPr>
          <w:rtl/>
        </w:rPr>
      </w:pPr>
    </w:p>
    <w:p w14:paraId="58A1042F" w14:textId="77777777" w:rsidR="005F4CCC" w:rsidRDefault="005F4CCC" w:rsidP="002D681D">
      <w:pPr>
        <w:pStyle w:val="af1"/>
        <w:rPr>
          <w:rtl/>
        </w:rPr>
      </w:pPr>
    </w:p>
    <w:p w14:paraId="567CA7DF" w14:textId="77777777" w:rsidR="005F4CCC" w:rsidRDefault="005F4CCC" w:rsidP="002D681D">
      <w:pPr>
        <w:pStyle w:val="af1"/>
        <w:rPr>
          <w:rtl/>
        </w:rPr>
      </w:pPr>
    </w:p>
    <w:p w14:paraId="60EDD37D" w14:textId="77777777" w:rsidR="005F4CCC" w:rsidRDefault="005F4CCC" w:rsidP="002D681D">
      <w:pPr>
        <w:pStyle w:val="af1"/>
        <w:rPr>
          <w:rtl/>
        </w:rPr>
      </w:pPr>
    </w:p>
    <w:p w14:paraId="4229752E" w14:textId="77777777" w:rsidR="005F4CCC" w:rsidRDefault="005F4CCC" w:rsidP="002D681D">
      <w:pPr>
        <w:pStyle w:val="af1"/>
        <w:rPr>
          <w:rtl/>
        </w:rPr>
      </w:pPr>
    </w:p>
    <w:p w14:paraId="399AC872" w14:textId="77777777" w:rsidR="005F4CCC" w:rsidRDefault="005F4CCC" w:rsidP="002D681D">
      <w:pPr>
        <w:pStyle w:val="af1"/>
        <w:rPr>
          <w:rtl/>
        </w:rPr>
      </w:pPr>
    </w:p>
    <w:p w14:paraId="1D913672" w14:textId="77777777" w:rsidR="005F4CCC" w:rsidRDefault="005F4CCC" w:rsidP="002D681D">
      <w:pPr>
        <w:pStyle w:val="af1"/>
        <w:rPr>
          <w:rtl/>
        </w:rPr>
      </w:pPr>
    </w:p>
    <w:p w14:paraId="0AF966E0" w14:textId="34B5ACC0" w:rsidR="00607E84" w:rsidRPr="003D7CEA" w:rsidRDefault="00607E84" w:rsidP="00526AAD">
      <w:pPr>
        <w:bidi w:val="0"/>
        <w:rPr>
          <w:rFonts w:asciiTheme="majorBidi" w:hAnsiTheme="majorBidi" w:cstheme="majorBidi"/>
          <w:sz w:val="32"/>
          <w:szCs w:val="32"/>
          <w:lang w:bidi="ar-EG"/>
        </w:rPr>
      </w:pPr>
    </w:p>
    <w:sectPr w:rsidR="00607E84" w:rsidRPr="003D7CEA"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BD515" w14:textId="77777777" w:rsidR="00815B0A" w:rsidRDefault="00815B0A" w:rsidP="009125CE">
      <w:pPr>
        <w:spacing w:after="0" w:line="240" w:lineRule="auto"/>
      </w:pPr>
      <w:r>
        <w:separator/>
      </w:r>
    </w:p>
  </w:endnote>
  <w:endnote w:type="continuationSeparator" w:id="0">
    <w:p w14:paraId="3DEB015A" w14:textId="77777777" w:rsidR="00815B0A" w:rsidRDefault="00815B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4"/>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2BB2D" w14:textId="77777777" w:rsidR="00815B0A" w:rsidRDefault="00815B0A" w:rsidP="009125CE">
      <w:pPr>
        <w:spacing w:after="0" w:line="240" w:lineRule="auto"/>
      </w:pPr>
      <w:r>
        <w:separator/>
      </w:r>
    </w:p>
  </w:footnote>
  <w:footnote w:type="continuationSeparator" w:id="0">
    <w:p w14:paraId="2AA001C1" w14:textId="77777777" w:rsidR="00815B0A" w:rsidRDefault="00815B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367665"/>
    <w:multiLevelType w:val="hybridMultilevel"/>
    <w:tmpl w:val="3176C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5E5BB3"/>
    <w:multiLevelType w:val="hybridMultilevel"/>
    <w:tmpl w:val="4FB07FC2"/>
    <w:lvl w:ilvl="0" w:tplc="17D218D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840CCD"/>
    <w:multiLevelType w:val="hybridMultilevel"/>
    <w:tmpl w:val="18D647F2"/>
    <w:lvl w:ilvl="0" w:tplc="9224121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CF7782"/>
    <w:multiLevelType w:val="hybridMultilevel"/>
    <w:tmpl w:val="1862A8AC"/>
    <w:lvl w:ilvl="0" w:tplc="17D218D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107204"/>
    <w:multiLevelType w:val="hybridMultilevel"/>
    <w:tmpl w:val="9FBECEC8"/>
    <w:lvl w:ilvl="0" w:tplc="17D218D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D0F27BE"/>
    <w:multiLevelType w:val="hybridMultilevel"/>
    <w:tmpl w:val="9D14780A"/>
    <w:lvl w:ilvl="0" w:tplc="381295F6">
      <w:start w:val="1"/>
      <w:numFmt w:val="bullet"/>
      <w:pStyle w:val="Style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D43507"/>
    <w:multiLevelType w:val="hybridMultilevel"/>
    <w:tmpl w:val="AC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B452E4"/>
    <w:multiLevelType w:val="hybridMultilevel"/>
    <w:tmpl w:val="B10C8DC6"/>
    <w:lvl w:ilvl="0" w:tplc="17D218D6">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517119D5"/>
    <w:multiLevelType w:val="hybridMultilevel"/>
    <w:tmpl w:val="5C28E94E"/>
    <w:lvl w:ilvl="0" w:tplc="0F1E734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191188"/>
    <w:multiLevelType w:val="hybridMultilevel"/>
    <w:tmpl w:val="DADE1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7E7DCE"/>
    <w:multiLevelType w:val="hybridMultilevel"/>
    <w:tmpl w:val="729EB2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7C6B16"/>
    <w:multiLevelType w:val="hybridMultilevel"/>
    <w:tmpl w:val="EB48C39E"/>
    <w:lvl w:ilvl="0" w:tplc="9224121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9353FD"/>
    <w:multiLevelType w:val="hybridMultilevel"/>
    <w:tmpl w:val="49246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EE3B56"/>
    <w:multiLevelType w:val="hybridMultilevel"/>
    <w:tmpl w:val="C54A5314"/>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B6529DA"/>
    <w:multiLevelType w:val="hybridMultilevel"/>
    <w:tmpl w:val="7094481A"/>
    <w:lvl w:ilvl="0" w:tplc="0F1E734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0575192">
    <w:abstractNumId w:val="4"/>
  </w:num>
  <w:num w:numId="2" w16cid:durableId="236087402">
    <w:abstractNumId w:val="6"/>
  </w:num>
  <w:num w:numId="3" w16cid:durableId="70663628">
    <w:abstractNumId w:val="3"/>
  </w:num>
  <w:num w:numId="4" w16cid:durableId="1977026378">
    <w:abstractNumId w:val="11"/>
  </w:num>
  <w:num w:numId="5" w16cid:durableId="1983920937">
    <w:abstractNumId w:val="7"/>
  </w:num>
  <w:num w:numId="6" w16cid:durableId="1822303814">
    <w:abstractNumId w:val="9"/>
  </w:num>
  <w:num w:numId="7" w16cid:durableId="1968318739">
    <w:abstractNumId w:val="12"/>
  </w:num>
  <w:num w:numId="8" w16cid:durableId="871502665">
    <w:abstractNumId w:val="15"/>
  </w:num>
  <w:num w:numId="9" w16cid:durableId="253050838">
    <w:abstractNumId w:val="13"/>
  </w:num>
  <w:num w:numId="10" w16cid:durableId="1104883739">
    <w:abstractNumId w:val="2"/>
  </w:num>
  <w:num w:numId="11" w16cid:durableId="975182752">
    <w:abstractNumId w:val="0"/>
  </w:num>
  <w:num w:numId="12" w16cid:durableId="732317074">
    <w:abstractNumId w:val="10"/>
  </w:num>
  <w:num w:numId="13" w16cid:durableId="338313562">
    <w:abstractNumId w:val="14"/>
  </w:num>
  <w:num w:numId="14" w16cid:durableId="288323642">
    <w:abstractNumId w:val="1"/>
  </w:num>
  <w:num w:numId="15" w16cid:durableId="1087458517">
    <w:abstractNumId w:val="8"/>
  </w:num>
  <w:num w:numId="16" w16cid:durableId="59865941">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EAC"/>
    <w:rsid w:val="00033589"/>
    <w:rsid w:val="0003677C"/>
    <w:rsid w:val="000368D4"/>
    <w:rsid w:val="00037295"/>
    <w:rsid w:val="00040453"/>
    <w:rsid w:val="00044FB9"/>
    <w:rsid w:val="0004584E"/>
    <w:rsid w:val="00046C5B"/>
    <w:rsid w:val="00046D80"/>
    <w:rsid w:val="00050168"/>
    <w:rsid w:val="00052EE8"/>
    <w:rsid w:val="00052FD5"/>
    <w:rsid w:val="00053A9A"/>
    <w:rsid w:val="000540DB"/>
    <w:rsid w:val="00063C84"/>
    <w:rsid w:val="00067302"/>
    <w:rsid w:val="00067FC2"/>
    <w:rsid w:val="00070230"/>
    <w:rsid w:val="0007388C"/>
    <w:rsid w:val="00074DE1"/>
    <w:rsid w:val="00077D58"/>
    <w:rsid w:val="00082298"/>
    <w:rsid w:val="00090F21"/>
    <w:rsid w:val="0009686F"/>
    <w:rsid w:val="000A3C38"/>
    <w:rsid w:val="000A458E"/>
    <w:rsid w:val="000B0F40"/>
    <w:rsid w:val="000B1227"/>
    <w:rsid w:val="000B2A36"/>
    <w:rsid w:val="000B405B"/>
    <w:rsid w:val="000D1291"/>
    <w:rsid w:val="000D399E"/>
    <w:rsid w:val="000D5CEC"/>
    <w:rsid w:val="000D60DB"/>
    <w:rsid w:val="000D6347"/>
    <w:rsid w:val="000E0318"/>
    <w:rsid w:val="000E22AA"/>
    <w:rsid w:val="000E3391"/>
    <w:rsid w:val="000E60AB"/>
    <w:rsid w:val="000F04F5"/>
    <w:rsid w:val="000F44B4"/>
    <w:rsid w:val="00103737"/>
    <w:rsid w:val="00103C87"/>
    <w:rsid w:val="00105B4B"/>
    <w:rsid w:val="001066C0"/>
    <w:rsid w:val="001077E7"/>
    <w:rsid w:val="001145A7"/>
    <w:rsid w:val="0011558A"/>
    <w:rsid w:val="00131284"/>
    <w:rsid w:val="001315D9"/>
    <w:rsid w:val="00132921"/>
    <w:rsid w:val="00137D8A"/>
    <w:rsid w:val="00146D75"/>
    <w:rsid w:val="00157636"/>
    <w:rsid w:val="0016294B"/>
    <w:rsid w:val="00175365"/>
    <w:rsid w:val="001753E6"/>
    <w:rsid w:val="00184F9F"/>
    <w:rsid w:val="001902DB"/>
    <w:rsid w:val="001904D1"/>
    <w:rsid w:val="0019692A"/>
    <w:rsid w:val="001A0D64"/>
    <w:rsid w:val="001A1E8F"/>
    <w:rsid w:val="001A465A"/>
    <w:rsid w:val="001A4800"/>
    <w:rsid w:val="001A62AF"/>
    <w:rsid w:val="001A7548"/>
    <w:rsid w:val="001B39FF"/>
    <w:rsid w:val="001B4260"/>
    <w:rsid w:val="001C15AC"/>
    <w:rsid w:val="001C2162"/>
    <w:rsid w:val="001C64E4"/>
    <w:rsid w:val="001D263D"/>
    <w:rsid w:val="001D3F71"/>
    <w:rsid w:val="001E63C6"/>
    <w:rsid w:val="001F1FEA"/>
    <w:rsid w:val="001F2435"/>
    <w:rsid w:val="001F2C73"/>
    <w:rsid w:val="001F3050"/>
    <w:rsid w:val="00201BD2"/>
    <w:rsid w:val="00202354"/>
    <w:rsid w:val="00204461"/>
    <w:rsid w:val="00212574"/>
    <w:rsid w:val="0021326E"/>
    <w:rsid w:val="00216DB4"/>
    <w:rsid w:val="00224FF4"/>
    <w:rsid w:val="00230505"/>
    <w:rsid w:val="00237448"/>
    <w:rsid w:val="00245283"/>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510C"/>
    <w:rsid w:val="002B667E"/>
    <w:rsid w:val="002C0680"/>
    <w:rsid w:val="002C1A1E"/>
    <w:rsid w:val="002C2F66"/>
    <w:rsid w:val="002C4676"/>
    <w:rsid w:val="002D3C15"/>
    <w:rsid w:val="002D5F50"/>
    <w:rsid w:val="002D681D"/>
    <w:rsid w:val="002D75DB"/>
    <w:rsid w:val="002E6BC1"/>
    <w:rsid w:val="002F5346"/>
    <w:rsid w:val="003112CB"/>
    <w:rsid w:val="00312192"/>
    <w:rsid w:val="00312743"/>
    <w:rsid w:val="003158AA"/>
    <w:rsid w:val="00315BCD"/>
    <w:rsid w:val="003206A5"/>
    <w:rsid w:val="00324050"/>
    <w:rsid w:val="00327186"/>
    <w:rsid w:val="00327BF4"/>
    <w:rsid w:val="003333AC"/>
    <w:rsid w:val="003347C5"/>
    <w:rsid w:val="00346422"/>
    <w:rsid w:val="00347AD0"/>
    <w:rsid w:val="003528B1"/>
    <w:rsid w:val="00355589"/>
    <w:rsid w:val="00357B7C"/>
    <w:rsid w:val="0036161D"/>
    <w:rsid w:val="00365FB4"/>
    <w:rsid w:val="0037254F"/>
    <w:rsid w:val="00372B11"/>
    <w:rsid w:val="00386447"/>
    <w:rsid w:val="003904C9"/>
    <w:rsid w:val="00390813"/>
    <w:rsid w:val="00392E65"/>
    <w:rsid w:val="00397667"/>
    <w:rsid w:val="003A1703"/>
    <w:rsid w:val="003A7F31"/>
    <w:rsid w:val="003B1140"/>
    <w:rsid w:val="003B31B6"/>
    <w:rsid w:val="003B45E9"/>
    <w:rsid w:val="003B49C1"/>
    <w:rsid w:val="003B5A4D"/>
    <w:rsid w:val="003C18D4"/>
    <w:rsid w:val="003C3A84"/>
    <w:rsid w:val="003D7CEA"/>
    <w:rsid w:val="003D7DBB"/>
    <w:rsid w:val="003E5263"/>
    <w:rsid w:val="003F027C"/>
    <w:rsid w:val="003F51C1"/>
    <w:rsid w:val="0040237B"/>
    <w:rsid w:val="0040733A"/>
    <w:rsid w:val="004134A2"/>
    <w:rsid w:val="004163C7"/>
    <w:rsid w:val="00417603"/>
    <w:rsid w:val="0042144C"/>
    <w:rsid w:val="004215CB"/>
    <w:rsid w:val="00422F76"/>
    <w:rsid w:val="00423E78"/>
    <w:rsid w:val="00427215"/>
    <w:rsid w:val="00430DF4"/>
    <w:rsid w:val="00431A77"/>
    <w:rsid w:val="0043296E"/>
    <w:rsid w:val="004337C8"/>
    <w:rsid w:val="00434D83"/>
    <w:rsid w:val="00441FE1"/>
    <w:rsid w:val="0044746D"/>
    <w:rsid w:val="00452A2C"/>
    <w:rsid w:val="00457894"/>
    <w:rsid w:val="004604FE"/>
    <w:rsid w:val="004659B8"/>
    <w:rsid w:val="0046711B"/>
    <w:rsid w:val="0047186E"/>
    <w:rsid w:val="00477517"/>
    <w:rsid w:val="00477728"/>
    <w:rsid w:val="00477BEA"/>
    <w:rsid w:val="0048136D"/>
    <w:rsid w:val="00481A10"/>
    <w:rsid w:val="00483213"/>
    <w:rsid w:val="004844C1"/>
    <w:rsid w:val="00484D63"/>
    <w:rsid w:val="00490D13"/>
    <w:rsid w:val="00490E09"/>
    <w:rsid w:val="00491BE9"/>
    <w:rsid w:val="0049679F"/>
    <w:rsid w:val="00497288"/>
    <w:rsid w:val="0049785A"/>
    <w:rsid w:val="004A3213"/>
    <w:rsid w:val="004A60A6"/>
    <w:rsid w:val="004A7149"/>
    <w:rsid w:val="004B0359"/>
    <w:rsid w:val="004B4167"/>
    <w:rsid w:val="004B6CC5"/>
    <w:rsid w:val="004C2B15"/>
    <w:rsid w:val="004C529E"/>
    <w:rsid w:val="004C647D"/>
    <w:rsid w:val="004D0866"/>
    <w:rsid w:val="004D13EB"/>
    <w:rsid w:val="004D6672"/>
    <w:rsid w:val="004E2B7B"/>
    <w:rsid w:val="004E2FFD"/>
    <w:rsid w:val="004E689E"/>
    <w:rsid w:val="004E6BF5"/>
    <w:rsid w:val="004F17FC"/>
    <w:rsid w:val="004F516D"/>
    <w:rsid w:val="004F53FC"/>
    <w:rsid w:val="005056A4"/>
    <w:rsid w:val="005115B8"/>
    <w:rsid w:val="00513A62"/>
    <w:rsid w:val="00517D9F"/>
    <w:rsid w:val="00521729"/>
    <w:rsid w:val="00526AAD"/>
    <w:rsid w:val="00531F68"/>
    <w:rsid w:val="005350CD"/>
    <w:rsid w:val="005428CC"/>
    <w:rsid w:val="005437C3"/>
    <w:rsid w:val="00545706"/>
    <w:rsid w:val="00547571"/>
    <w:rsid w:val="00547D73"/>
    <w:rsid w:val="00553D80"/>
    <w:rsid w:val="005569FC"/>
    <w:rsid w:val="00557ACC"/>
    <w:rsid w:val="00577919"/>
    <w:rsid w:val="00582D3B"/>
    <w:rsid w:val="00583E98"/>
    <w:rsid w:val="005902F6"/>
    <w:rsid w:val="00590D4C"/>
    <w:rsid w:val="00593EB2"/>
    <w:rsid w:val="005974C2"/>
    <w:rsid w:val="005A3750"/>
    <w:rsid w:val="005A475F"/>
    <w:rsid w:val="005A4C5B"/>
    <w:rsid w:val="005B5999"/>
    <w:rsid w:val="005B6EC0"/>
    <w:rsid w:val="005C08DC"/>
    <w:rsid w:val="005C0F48"/>
    <w:rsid w:val="005C7A71"/>
    <w:rsid w:val="005D5A80"/>
    <w:rsid w:val="005D5B7F"/>
    <w:rsid w:val="005E64A9"/>
    <w:rsid w:val="005E6890"/>
    <w:rsid w:val="005F02A7"/>
    <w:rsid w:val="005F4AE9"/>
    <w:rsid w:val="005F4CCC"/>
    <w:rsid w:val="005F5880"/>
    <w:rsid w:val="005F6F24"/>
    <w:rsid w:val="00602F6F"/>
    <w:rsid w:val="00603EBA"/>
    <w:rsid w:val="006053A2"/>
    <w:rsid w:val="00607DF1"/>
    <w:rsid w:val="00607E84"/>
    <w:rsid w:val="00612B3B"/>
    <w:rsid w:val="00616CDA"/>
    <w:rsid w:val="0062094B"/>
    <w:rsid w:val="006215AB"/>
    <w:rsid w:val="00623237"/>
    <w:rsid w:val="00623FEA"/>
    <w:rsid w:val="006322EE"/>
    <w:rsid w:val="0063310C"/>
    <w:rsid w:val="00635A39"/>
    <w:rsid w:val="00645C89"/>
    <w:rsid w:val="00647CD9"/>
    <w:rsid w:val="00651A11"/>
    <w:rsid w:val="00651F26"/>
    <w:rsid w:val="00653C85"/>
    <w:rsid w:val="006554AB"/>
    <w:rsid w:val="00655815"/>
    <w:rsid w:val="00663F11"/>
    <w:rsid w:val="00664469"/>
    <w:rsid w:val="006672E9"/>
    <w:rsid w:val="0067189E"/>
    <w:rsid w:val="0067385F"/>
    <w:rsid w:val="00682BA5"/>
    <w:rsid w:val="00684229"/>
    <w:rsid w:val="006856BE"/>
    <w:rsid w:val="00686254"/>
    <w:rsid w:val="00687519"/>
    <w:rsid w:val="006948DE"/>
    <w:rsid w:val="00694B6F"/>
    <w:rsid w:val="00696D53"/>
    <w:rsid w:val="0069731E"/>
    <w:rsid w:val="00697FA4"/>
    <w:rsid w:val="006A5E2B"/>
    <w:rsid w:val="006A7050"/>
    <w:rsid w:val="006A753C"/>
    <w:rsid w:val="006B1715"/>
    <w:rsid w:val="006B2A47"/>
    <w:rsid w:val="006B2BDE"/>
    <w:rsid w:val="006C12F2"/>
    <w:rsid w:val="006C38C8"/>
    <w:rsid w:val="006C50B9"/>
    <w:rsid w:val="006D3467"/>
    <w:rsid w:val="006D7294"/>
    <w:rsid w:val="006E3DB9"/>
    <w:rsid w:val="006E4FEF"/>
    <w:rsid w:val="006F40D0"/>
    <w:rsid w:val="006F5BF3"/>
    <w:rsid w:val="006F7AC2"/>
    <w:rsid w:val="0070036C"/>
    <w:rsid w:val="00704D87"/>
    <w:rsid w:val="00707200"/>
    <w:rsid w:val="00707626"/>
    <w:rsid w:val="00707E3E"/>
    <w:rsid w:val="00711CA2"/>
    <w:rsid w:val="00711D24"/>
    <w:rsid w:val="00713F2B"/>
    <w:rsid w:val="00715A1E"/>
    <w:rsid w:val="007243A6"/>
    <w:rsid w:val="00727008"/>
    <w:rsid w:val="00735391"/>
    <w:rsid w:val="0074001F"/>
    <w:rsid w:val="007471F6"/>
    <w:rsid w:val="00750973"/>
    <w:rsid w:val="00751892"/>
    <w:rsid w:val="00752AE1"/>
    <w:rsid w:val="00756690"/>
    <w:rsid w:val="00757436"/>
    <w:rsid w:val="00757FEF"/>
    <w:rsid w:val="00760FF7"/>
    <w:rsid w:val="00761647"/>
    <w:rsid w:val="00765194"/>
    <w:rsid w:val="00766DAE"/>
    <w:rsid w:val="00774E33"/>
    <w:rsid w:val="00775796"/>
    <w:rsid w:val="00780422"/>
    <w:rsid w:val="007815F6"/>
    <w:rsid w:val="0078164E"/>
    <w:rsid w:val="00785B94"/>
    <w:rsid w:val="00796C2F"/>
    <w:rsid w:val="007A0F2A"/>
    <w:rsid w:val="007A1EDD"/>
    <w:rsid w:val="007B0E54"/>
    <w:rsid w:val="007B3623"/>
    <w:rsid w:val="007B6E1C"/>
    <w:rsid w:val="007C404C"/>
    <w:rsid w:val="007C5A6B"/>
    <w:rsid w:val="007C5AB8"/>
    <w:rsid w:val="007C6512"/>
    <w:rsid w:val="007D6F1A"/>
    <w:rsid w:val="007E3A20"/>
    <w:rsid w:val="007E49EB"/>
    <w:rsid w:val="007F183F"/>
    <w:rsid w:val="007F32EB"/>
    <w:rsid w:val="007F660C"/>
    <w:rsid w:val="007F69C4"/>
    <w:rsid w:val="008076B9"/>
    <w:rsid w:val="00815B0A"/>
    <w:rsid w:val="008179BA"/>
    <w:rsid w:val="00833BA0"/>
    <w:rsid w:val="00841329"/>
    <w:rsid w:val="00847E70"/>
    <w:rsid w:val="00850A3C"/>
    <w:rsid w:val="00851382"/>
    <w:rsid w:val="00851F54"/>
    <w:rsid w:val="00854F3D"/>
    <w:rsid w:val="0085612D"/>
    <w:rsid w:val="008573E9"/>
    <w:rsid w:val="00857708"/>
    <w:rsid w:val="00866969"/>
    <w:rsid w:val="008756BD"/>
    <w:rsid w:val="00875D60"/>
    <w:rsid w:val="00877AAC"/>
    <w:rsid w:val="00880DCC"/>
    <w:rsid w:val="0088299F"/>
    <w:rsid w:val="00883A6E"/>
    <w:rsid w:val="00884200"/>
    <w:rsid w:val="0089505E"/>
    <w:rsid w:val="00895BB4"/>
    <w:rsid w:val="008A0E56"/>
    <w:rsid w:val="008A269C"/>
    <w:rsid w:val="008A61E8"/>
    <w:rsid w:val="008A75EB"/>
    <w:rsid w:val="008C3022"/>
    <w:rsid w:val="008C4F48"/>
    <w:rsid w:val="008C5C47"/>
    <w:rsid w:val="008C6507"/>
    <w:rsid w:val="008D1057"/>
    <w:rsid w:val="008D110B"/>
    <w:rsid w:val="008D55CB"/>
    <w:rsid w:val="008E05A1"/>
    <w:rsid w:val="008F1EAE"/>
    <w:rsid w:val="008F2426"/>
    <w:rsid w:val="008F3CA0"/>
    <w:rsid w:val="008F65A2"/>
    <w:rsid w:val="00904872"/>
    <w:rsid w:val="0090634E"/>
    <w:rsid w:val="0091103A"/>
    <w:rsid w:val="009125CE"/>
    <w:rsid w:val="009127D2"/>
    <w:rsid w:val="009128CB"/>
    <w:rsid w:val="0091554C"/>
    <w:rsid w:val="00921F09"/>
    <w:rsid w:val="00930C0E"/>
    <w:rsid w:val="0093466D"/>
    <w:rsid w:val="00936695"/>
    <w:rsid w:val="00937C75"/>
    <w:rsid w:val="00940316"/>
    <w:rsid w:val="0094427F"/>
    <w:rsid w:val="00944A1F"/>
    <w:rsid w:val="009626E9"/>
    <w:rsid w:val="0096771B"/>
    <w:rsid w:val="00967E16"/>
    <w:rsid w:val="00973434"/>
    <w:rsid w:val="0097456F"/>
    <w:rsid w:val="0097506D"/>
    <w:rsid w:val="009753DE"/>
    <w:rsid w:val="00982E9C"/>
    <w:rsid w:val="00985C2B"/>
    <w:rsid w:val="009903E4"/>
    <w:rsid w:val="009913E3"/>
    <w:rsid w:val="009A3C07"/>
    <w:rsid w:val="009A47D7"/>
    <w:rsid w:val="009B47F6"/>
    <w:rsid w:val="009B6888"/>
    <w:rsid w:val="009C0161"/>
    <w:rsid w:val="009C0321"/>
    <w:rsid w:val="009C615D"/>
    <w:rsid w:val="009C651A"/>
    <w:rsid w:val="009C69EE"/>
    <w:rsid w:val="009C72C9"/>
    <w:rsid w:val="009C7EB0"/>
    <w:rsid w:val="009D108D"/>
    <w:rsid w:val="009E1436"/>
    <w:rsid w:val="009E33CF"/>
    <w:rsid w:val="009E4107"/>
    <w:rsid w:val="009E5668"/>
    <w:rsid w:val="009E6057"/>
    <w:rsid w:val="009E74BA"/>
    <w:rsid w:val="009F0813"/>
    <w:rsid w:val="009F4FA0"/>
    <w:rsid w:val="009F738B"/>
    <w:rsid w:val="00A06460"/>
    <w:rsid w:val="00A219D9"/>
    <w:rsid w:val="00A22822"/>
    <w:rsid w:val="00A25EB2"/>
    <w:rsid w:val="00A262CA"/>
    <w:rsid w:val="00A309CD"/>
    <w:rsid w:val="00A33619"/>
    <w:rsid w:val="00A34081"/>
    <w:rsid w:val="00A3651E"/>
    <w:rsid w:val="00A369EF"/>
    <w:rsid w:val="00A40D90"/>
    <w:rsid w:val="00A45492"/>
    <w:rsid w:val="00A45B6C"/>
    <w:rsid w:val="00A46696"/>
    <w:rsid w:val="00A51326"/>
    <w:rsid w:val="00A540AD"/>
    <w:rsid w:val="00A55CF1"/>
    <w:rsid w:val="00A603D6"/>
    <w:rsid w:val="00A7001C"/>
    <w:rsid w:val="00A71828"/>
    <w:rsid w:val="00A7733C"/>
    <w:rsid w:val="00A8097F"/>
    <w:rsid w:val="00A81846"/>
    <w:rsid w:val="00A83434"/>
    <w:rsid w:val="00A976A0"/>
    <w:rsid w:val="00AA79E9"/>
    <w:rsid w:val="00AB0A70"/>
    <w:rsid w:val="00AB1745"/>
    <w:rsid w:val="00AB2C6E"/>
    <w:rsid w:val="00AB3413"/>
    <w:rsid w:val="00AB40BB"/>
    <w:rsid w:val="00AB73ED"/>
    <w:rsid w:val="00AC267E"/>
    <w:rsid w:val="00AC4609"/>
    <w:rsid w:val="00AD5DC2"/>
    <w:rsid w:val="00AE1894"/>
    <w:rsid w:val="00AE34AE"/>
    <w:rsid w:val="00AE526C"/>
    <w:rsid w:val="00AE76D9"/>
    <w:rsid w:val="00B151BC"/>
    <w:rsid w:val="00B160A8"/>
    <w:rsid w:val="00B22F29"/>
    <w:rsid w:val="00B24ADC"/>
    <w:rsid w:val="00B37388"/>
    <w:rsid w:val="00B40814"/>
    <w:rsid w:val="00B51BA0"/>
    <w:rsid w:val="00B51DB1"/>
    <w:rsid w:val="00B5416F"/>
    <w:rsid w:val="00B541D1"/>
    <w:rsid w:val="00B63B0F"/>
    <w:rsid w:val="00B63CFF"/>
    <w:rsid w:val="00B673EE"/>
    <w:rsid w:val="00B72E92"/>
    <w:rsid w:val="00B74642"/>
    <w:rsid w:val="00B7678A"/>
    <w:rsid w:val="00B9044D"/>
    <w:rsid w:val="00B94662"/>
    <w:rsid w:val="00B956B2"/>
    <w:rsid w:val="00BA2EFA"/>
    <w:rsid w:val="00BA3237"/>
    <w:rsid w:val="00BA3789"/>
    <w:rsid w:val="00BB303A"/>
    <w:rsid w:val="00BB6957"/>
    <w:rsid w:val="00BB6B96"/>
    <w:rsid w:val="00BC094B"/>
    <w:rsid w:val="00BC3D30"/>
    <w:rsid w:val="00BD18AF"/>
    <w:rsid w:val="00BD1929"/>
    <w:rsid w:val="00BD549E"/>
    <w:rsid w:val="00BE038A"/>
    <w:rsid w:val="00BE5C5F"/>
    <w:rsid w:val="00BE65C8"/>
    <w:rsid w:val="00BF0B3E"/>
    <w:rsid w:val="00BF0BF0"/>
    <w:rsid w:val="00BF11A3"/>
    <w:rsid w:val="00BF1C02"/>
    <w:rsid w:val="00BF5AD6"/>
    <w:rsid w:val="00BF7744"/>
    <w:rsid w:val="00C042DD"/>
    <w:rsid w:val="00C05E2A"/>
    <w:rsid w:val="00C06D6B"/>
    <w:rsid w:val="00C1086B"/>
    <w:rsid w:val="00C139D3"/>
    <w:rsid w:val="00C213C0"/>
    <w:rsid w:val="00C23635"/>
    <w:rsid w:val="00C262EF"/>
    <w:rsid w:val="00C52639"/>
    <w:rsid w:val="00C540C3"/>
    <w:rsid w:val="00C550AB"/>
    <w:rsid w:val="00C57539"/>
    <w:rsid w:val="00C57B16"/>
    <w:rsid w:val="00C57BF0"/>
    <w:rsid w:val="00C60AF3"/>
    <w:rsid w:val="00C6233C"/>
    <w:rsid w:val="00C63349"/>
    <w:rsid w:val="00C6643D"/>
    <w:rsid w:val="00C6698F"/>
    <w:rsid w:val="00C67372"/>
    <w:rsid w:val="00C713E1"/>
    <w:rsid w:val="00C7243E"/>
    <w:rsid w:val="00C72744"/>
    <w:rsid w:val="00C734BA"/>
    <w:rsid w:val="00C7437A"/>
    <w:rsid w:val="00C77A84"/>
    <w:rsid w:val="00C77CFB"/>
    <w:rsid w:val="00C928A9"/>
    <w:rsid w:val="00CA319B"/>
    <w:rsid w:val="00CA3904"/>
    <w:rsid w:val="00CA4767"/>
    <w:rsid w:val="00CA550E"/>
    <w:rsid w:val="00CA740D"/>
    <w:rsid w:val="00CB006D"/>
    <w:rsid w:val="00CB0512"/>
    <w:rsid w:val="00CB0FD2"/>
    <w:rsid w:val="00CB410F"/>
    <w:rsid w:val="00CB54DD"/>
    <w:rsid w:val="00CB66BD"/>
    <w:rsid w:val="00CC209C"/>
    <w:rsid w:val="00CC28B7"/>
    <w:rsid w:val="00CC3BB4"/>
    <w:rsid w:val="00CC6B43"/>
    <w:rsid w:val="00CC7CC6"/>
    <w:rsid w:val="00CD79DE"/>
    <w:rsid w:val="00CE024E"/>
    <w:rsid w:val="00CE0F28"/>
    <w:rsid w:val="00CE16D0"/>
    <w:rsid w:val="00CE4974"/>
    <w:rsid w:val="00CE6522"/>
    <w:rsid w:val="00CE6D26"/>
    <w:rsid w:val="00CF231E"/>
    <w:rsid w:val="00CF3088"/>
    <w:rsid w:val="00CF742D"/>
    <w:rsid w:val="00CF7DF8"/>
    <w:rsid w:val="00D026CC"/>
    <w:rsid w:val="00D03A5B"/>
    <w:rsid w:val="00D05DBB"/>
    <w:rsid w:val="00D1017E"/>
    <w:rsid w:val="00D16E06"/>
    <w:rsid w:val="00D22171"/>
    <w:rsid w:val="00D25DDA"/>
    <w:rsid w:val="00D34FDC"/>
    <w:rsid w:val="00D350E6"/>
    <w:rsid w:val="00D35F02"/>
    <w:rsid w:val="00D403A8"/>
    <w:rsid w:val="00D451BB"/>
    <w:rsid w:val="00D461B3"/>
    <w:rsid w:val="00D501F0"/>
    <w:rsid w:val="00D51110"/>
    <w:rsid w:val="00D51206"/>
    <w:rsid w:val="00D52480"/>
    <w:rsid w:val="00D5533E"/>
    <w:rsid w:val="00D55B35"/>
    <w:rsid w:val="00D562AC"/>
    <w:rsid w:val="00D56BD7"/>
    <w:rsid w:val="00D67E28"/>
    <w:rsid w:val="00D712A7"/>
    <w:rsid w:val="00D73AB2"/>
    <w:rsid w:val="00D77E7D"/>
    <w:rsid w:val="00D80DB8"/>
    <w:rsid w:val="00D81DEB"/>
    <w:rsid w:val="00D84DEE"/>
    <w:rsid w:val="00D869E8"/>
    <w:rsid w:val="00D903E5"/>
    <w:rsid w:val="00D90FBF"/>
    <w:rsid w:val="00DA13F4"/>
    <w:rsid w:val="00DA3632"/>
    <w:rsid w:val="00DA4A73"/>
    <w:rsid w:val="00DA537C"/>
    <w:rsid w:val="00DA6271"/>
    <w:rsid w:val="00DB60A3"/>
    <w:rsid w:val="00DC1F73"/>
    <w:rsid w:val="00DC28DB"/>
    <w:rsid w:val="00DC2E37"/>
    <w:rsid w:val="00DC6480"/>
    <w:rsid w:val="00DE0439"/>
    <w:rsid w:val="00DE239C"/>
    <w:rsid w:val="00DE2BD0"/>
    <w:rsid w:val="00DE36FE"/>
    <w:rsid w:val="00DE7527"/>
    <w:rsid w:val="00DF1664"/>
    <w:rsid w:val="00DF21E3"/>
    <w:rsid w:val="00DF4E73"/>
    <w:rsid w:val="00DF50B9"/>
    <w:rsid w:val="00DF72CA"/>
    <w:rsid w:val="00DF7A84"/>
    <w:rsid w:val="00DF7F8F"/>
    <w:rsid w:val="00E04917"/>
    <w:rsid w:val="00E06C68"/>
    <w:rsid w:val="00E10D0C"/>
    <w:rsid w:val="00E1329E"/>
    <w:rsid w:val="00E15FFC"/>
    <w:rsid w:val="00E3443E"/>
    <w:rsid w:val="00E37BF1"/>
    <w:rsid w:val="00E37DF6"/>
    <w:rsid w:val="00E40950"/>
    <w:rsid w:val="00E42409"/>
    <w:rsid w:val="00E43F8A"/>
    <w:rsid w:val="00E453B3"/>
    <w:rsid w:val="00E504DB"/>
    <w:rsid w:val="00E5125A"/>
    <w:rsid w:val="00E5183C"/>
    <w:rsid w:val="00E52368"/>
    <w:rsid w:val="00E54842"/>
    <w:rsid w:val="00E57A38"/>
    <w:rsid w:val="00E60358"/>
    <w:rsid w:val="00E6143A"/>
    <w:rsid w:val="00E70586"/>
    <w:rsid w:val="00E74ECF"/>
    <w:rsid w:val="00E77AF1"/>
    <w:rsid w:val="00E81103"/>
    <w:rsid w:val="00E815E2"/>
    <w:rsid w:val="00E82246"/>
    <w:rsid w:val="00E82386"/>
    <w:rsid w:val="00E8479E"/>
    <w:rsid w:val="00E86807"/>
    <w:rsid w:val="00E86888"/>
    <w:rsid w:val="00E90F53"/>
    <w:rsid w:val="00E93BA0"/>
    <w:rsid w:val="00EA7B13"/>
    <w:rsid w:val="00EB36A0"/>
    <w:rsid w:val="00EB5EB4"/>
    <w:rsid w:val="00EC2611"/>
    <w:rsid w:val="00EC52BA"/>
    <w:rsid w:val="00EC625A"/>
    <w:rsid w:val="00EC64FD"/>
    <w:rsid w:val="00EC6A95"/>
    <w:rsid w:val="00EC78AB"/>
    <w:rsid w:val="00ED31BC"/>
    <w:rsid w:val="00ED4765"/>
    <w:rsid w:val="00ED599E"/>
    <w:rsid w:val="00EE19FC"/>
    <w:rsid w:val="00EE35FD"/>
    <w:rsid w:val="00EE4934"/>
    <w:rsid w:val="00EE54CF"/>
    <w:rsid w:val="00EE6B9A"/>
    <w:rsid w:val="00EF0FD2"/>
    <w:rsid w:val="00EF1BF0"/>
    <w:rsid w:val="00EF294A"/>
    <w:rsid w:val="00F01080"/>
    <w:rsid w:val="00F030BF"/>
    <w:rsid w:val="00F03946"/>
    <w:rsid w:val="00F13199"/>
    <w:rsid w:val="00F13A0B"/>
    <w:rsid w:val="00F15657"/>
    <w:rsid w:val="00F23310"/>
    <w:rsid w:val="00F2349C"/>
    <w:rsid w:val="00F23F33"/>
    <w:rsid w:val="00F24214"/>
    <w:rsid w:val="00F27D1B"/>
    <w:rsid w:val="00F27EA4"/>
    <w:rsid w:val="00F304BC"/>
    <w:rsid w:val="00F325C2"/>
    <w:rsid w:val="00F33070"/>
    <w:rsid w:val="00F3591E"/>
    <w:rsid w:val="00F36B5C"/>
    <w:rsid w:val="00F42A11"/>
    <w:rsid w:val="00F43811"/>
    <w:rsid w:val="00F546CE"/>
    <w:rsid w:val="00F622E4"/>
    <w:rsid w:val="00F64B9E"/>
    <w:rsid w:val="00F727F5"/>
    <w:rsid w:val="00F7469C"/>
    <w:rsid w:val="00F75C02"/>
    <w:rsid w:val="00F822AE"/>
    <w:rsid w:val="00F86C08"/>
    <w:rsid w:val="00F870C4"/>
    <w:rsid w:val="00F925D0"/>
    <w:rsid w:val="00F9317A"/>
    <w:rsid w:val="00F97C45"/>
    <w:rsid w:val="00FA01B6"/>
    <w:rsid w:val="00FB2D06"/>
    <w:rsid w:val="00FB3126"/>
    <w:rsid w:val="00FB63EA"/>
    <w:rsid w:val="00FB79EA"/>
    <w:rsid w:val="00FC431B"/>
    <w:rsid w:val="00FC7C6B"/>
    <w:rsid w:val="00FD114D"/>
    <w:rsid w:val="00FD2ADF"/>
    <w:rsid w:val="00FD326B"/>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C5D6388-1A88-4E61-ACDD-AB47899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4FB9"/>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70586"/>
    <w:rPr>
      <w:rFonts w:ascii="Sakkal Majalla" w:eastAsiaTheme="majorEastAsia" w:hAnsi="Sakkal Majalla" w:cs="Sakkal Majalla"/>
      <w:b/>
      <w:bCs/>
      <w:color w:val="000000" w:themeColor="text1"/>
      <w:sz w:val="32"/>
      <w:szCs w:val="32"/>
      <w:lang w:bidi="ar-EG"/>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682BA5"/>
    <w:pPr>
      <w:spacing w:after="200" w:line="240" w:lineRule="auto"/>
      <w:jc w:val="center"/>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2">
    <w:name w:val="Unresolved Mention2"/>
    <w:basedOn w:val="a0"/>
    <w:uiPriority w:val="99"/>
    <w:semiHidden/>
    <w:unhideWhenUsed/>
    <w:rsid w:val="002B18EF"/>
    <w:rPr>
      <w:color w:val="605E5C"/>
      <w:shd w:val="clear" w:color="auto" w:fill="E1DFDD"/>
    </w:rPr>
  </w:style>
  <w:style w:type="paragraph" w:styleId="af1">
    <w:name w:val="No Spacing"/>
    <w:basedOn w:val="a"/>
    <w:link w:val="Char5"/>
    <w:uiPriority w:val="1"/>
    <w:qFormat/>
    <w:rsid w:val="00E06C68"/>
    <w:pPr>
      <w:spacing w:after="0" w:line="360" w:lineRule="auto"/>
      <w:jc w:val="both"/>
    </w:pPr>
    <w:rPr>
      <w:rFonts w:ascii="Sakkal Majalla" w:hAnsi="Sakkal Majalla" w:cs="Sakkal Majalla"/>
      <w:sz w:val="28"/>
      <w:szCs w:val="28"/>
      <w:lang w:bidi="ar-EG"/>
    </w:r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paragraph" w:customStyle="1" w:styleId="Style1">
    <w:name w:val="Style1"/>
    <w:basedOn w:val="af1"/>
    <w:link w:val="Style1Char"/>
    <w:qFormat/>
    <w:rsid w:val="00682BA5"/>
    <w:pPr>
      <w:numPr>
        <w:numId w:val="2"/>
      </w:numPr>
    </w:pPr>
    <w:rPr>
      <w:b/>
      <w:bCs/>
    </w:rPr>
  </w:style>
  <w:style w:type="character" w:customStyle="1" w:styleId="Char5">
    <w:name w:val="بلا تباعد Char"/>
    <w:basedOn w:val="a0"/>
    <w:link w:val="af1"/>
    <w:uiPriority w:val="1"/>
    <w:rsid w:val="00E06C68"/>
    <w:rPr>
      <w:rFonts w:ascii="Sakkal Majalla" w:hAnsi="Sakkal Majalla" w:cs="Sakkal Majalla"/>
      <w:sz w:val="28"/>
      <w:szCs w:val="28"/>
      <w:lang w:bidi="ar-EG"/>
    </w:rPr>
  </w:style>
  <w:style w:type="character" w:customStyle="1" w:styleId="Style1Char">
    <w:name w:val="Style1 Char"/>
    <w:basedOn w:val="Char5"/>
    <w:link w:val="Style1"/>
    <w:rsid w:val="00682BA5"/>
    <w:rPr>
      <w:rFonts w:ascii="Sakkal Majalla" w:hAnsi="Sakkal Majalla" w:cs="Sakkal Majalla"/>
      <w:b/>
      <w:bCs/>
      <w:sz w:val="28"/>
      <w:szCs w:val="28"/>
      <w:lang w:bidi="ar-EG"/>
    </w:rPr>
  </w:style>
  <w:style w:type="paragraph" w:customStyle="1" w:styleId="ng-star-inserted">
    <w:name w:val="ng-star-inserted"/>
    <w:basedOn w:val="a"/>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a0"/>
    <w:rsid w:val="00647CD9"/>
  </w:style>
  <w:style w:type="character" w:styleId="af6">
    <w:name w:val="Unresolved Mention"/>
    <w:basedOn w:val="a0"/>
    <w:uiPriority w:val="99"/>
    <w:semiHidden/>
    <w:unhideWhenUsed/>
    <w:rsid w:val="00D46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59258711">
      <w:bodyDiv w:val="1"/>
      <w:marLeft w:val="0"/>
      <w:marRight w:val="0"/>
      <w:marTop w:val="0"/>
      <w:marBottom w:val="0"/>
      <w:divBdr>
        <w:top w:val="none" w:sz="0" w:space="0" w:color="auto"/>
        <w:left w:val="none" w:sz="0" w:space="0" w:color="auto"/>
        <w:bottom w:val="none" w:sz="0" w:space="0" w:color="auto"/>
        <w:right w:val="none" w:sz="0" w:space="0" w:color="auto"/>
      </w:divBdr>
      <w:divsChild>
        <w:div w:id="1085952256">
          <w:marLeft w:val="0"/>
          <w:marRight w:val="0"/>
          <w:marTop w:val="0"/>
          <w:marBottom w:val="0"/>
          <w:divBdr>
            <w:top w:val="none" w:sz="0" w:space="0" w:color="auto"/>
            <w:left w:val="none" w:sz="0" w:space="0" w:color="auto"/>
            <w:bottom w:val="none" w:sz="0" w:space="0" w:color="auto"/>
            <w:right w:val="none" w:sz="0" w:space="0" w:color="auto"/>
          </w:divBdr>
          <w:divsChild>
            <w:div w:id="10749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546897">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389461">
      <w:bodyDiv w:val="1"/>
      <w:marLeft w:val="0"/>
      <w:marRight w:val="0"/>
      <w:marTop w:val="0"/>
      <w:marBottom w:val="0"/>
      <w:divBdr>
        <w:top w:val="none" w:sz="0" w:space="0" w:color="auto"/>
        <w:left w:val="none" w:sz="0" w:space="0" w:color="auto"/>
        <w:bottom w:val="none" w:sz="0" w:space="0" w:color="auto"/>
        <w:right w:val="none" w:sz="0" w:space="0" w:color="auto"/>
      </w:divBdr>
      <w:divsChild>
        <w:div w:id="502741092">
          <w:marLeft w:val="0"/>
          <w:marRight w:val="0"/>
          <w:marTop w:val="0"/>
          <w:marBottom w:val="0"/>
          <w:divBdr>
            <w:top w:val="none" w:sz="0" w:space="0" w:color="auto"/>
            <w:left w:val="none" w:sz="0" w:space="0" w:color="auto"/>
            <w:bottom w:val="none" w:sz="0" w:space="0" w:color="auto"/>
            <w:right w:val="none" w:sz="0" w:space="0" w:color="auto"/>
          </w:divBdr>
          <w:divsChild>
            <w:div w:id="96928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3304943">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134221">
      <w:bodyDiv w:val="1"/>
      <w:marLeft w:val="0"/>
      <w:marRight w:val="0"/>
      <w:marTop w:val="0"/>
      <w:marBottom w:val="0"/>
      <w:divBdr>
        <w:top w:val="none" w:sz="0" w:space="0" w:color="auto"/>
        <w:left w:val="none" w:sz="0" w:space="0" w:color="auto"/>
        <w:bottom w:val="none" w:sz="0" w:space="0" w:color="auto"/>
        <w:right w:val="none" w:sz="0" w:space="0" w:color="auto"/>
      </w:divBdr>
      <w:divsChild>
        <w:div w:id="1939479594">
          <w:marLeft w:val="0"/>
          <w:marRight w:val="0"/>
          <w:marTop w:val="0"/>
          <w:marBottom w:val="0"/>
          <w:divBdr>
            <w:top w:val="none" w:sz="0" w:space="0" w:color="auto"/>
            <w:left w:val="none" w:sz="0" w:space="0" w:color="auto"/>
            <w:bottom w:val="none" w:sz="0" w:space="0" w:color="auto"/>
            <w:right w:val="none" w:sz="0" w:space="0" w:color="auto"/>
          </w:divBdr>
          <w:divsChild>
            <w:div w:id="11838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4634316">
      <w:bodyDiv w:val="1"/>
      <w:marLeft w:val="0"/>
      <w:marRight w:val="0"/>
      <w:marTop w:val="0"/>
      <w:marBottom w:val="0"/>
      <w:divBdr>
        <w:top w:val="none" w:sz="0" w:space="0" w:color="auto"/>
        <w:left w:val="none" w:sz="0" w:space="0" w:color="auto"/>
        <w:bottom w:val="none" w:sz="0" w:space="0" w:color="auto"/>
        <w:right w:val="none" w:sz="0" w:space="0" w:color="auto"/>
      </w:divBdr>
      <w:divsChild>
        <w:div w:id="1425884518">
          <w:marLeft w:val="0"/>
          <w:marRight w:val="0"/>
          <w:marTop w:val="0"/>
          <w:marBottom w:val="0"/>
          <w:divBdr>
            <w:top w:val="none" w:sz="0" w:space="0" w:color="auto"/>
            <w:left w:val="none" w:sz="0" w:space="0" w:color="auto"/>
            <w:bottom w:val="none" w:sz="0" w:space="0" w:color="auto"/>
            <w:right w:val="none" w:sz="0" w:space="0" w:color="auto"/>
          </w:divBdr>
          <w:divsChild>
            <w:div w:id="112762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572601">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7835765">
      <w:bodyDiv w:val="1"/>
      <w:marLeft w:val="0"/>
      <w:marRight w:val="0"/>
      <w:marTop w:val="0"/>
      <w:marBottom w:val="0"/>
      <w:divBdr>
        <w:top w:val="none" w:sz="0" w:space="0" w:color="auto"/>
        <w:left w:val="none" w:sz="0" w:space="0" w:color="auto"/>
        <w:bottom w:val="none" w:sz="0" w:space="0" w:color="auto"/>
        <w:right w:val="none" w:sz="0" w:space="0" w:color="auto"/>
      </w:divBdr>
      <w:divsChild>
        <w:div w:id="2130123972">
          <w:marLeft w:val="0"/>
          <w:marRight w:val="0"/>
          <w:marTop w:val="0"/>
          <w:marBottom w:val="0"/>
          <w:divBdr>
            <w:top w:val="none" w:sz="0" w:space="0" w:color="auto"/>
            <w:left w:val="none" w:sz="0" w:space="0" w:color="auto"/>
            <w:bottom w:val="none" w:sz="0" w:space="0" w:color="auto"/>
            <w:right w:val="none" w:sz="0" w:space="0" w:color="auto"/>
          </w:divBdr>
          <w:divsChild>
            <w:div w:id="109891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2934283">
      <w:bodyDiv w:val="1"/>
      <w:marLeft w:val="0"/>
      <w:marRight w:val="0"/>
      <w:marTop w:val="0"/>
      <w:marBottom w:val="0"/>
      <w:divBdr>
        <w:top w:val="none" w:sz="0" w:space="0" w:color="auto"/>
        <w:left w:val="none" w:sz="0" w:space="0" w:color="auto"/>
        <w:bottom w:val="none" w:sz="0" w:space="0" w:color="auto"/>
        <w:right w:val="none" w:sz="0" w:space="0" w:color="auto"/>
      </w:divBdr>
      <w:divsChild>
        <w:div w:id="1514495456">
          <w:marLeft w:val="0"/>
          <w:marRight w:val="0"/>
          <w:marTop w:val="0"/>
          <w:marBottom w:val="0"/>
          <w:divBdr>
            <w:top w:val="none" w:sz="0" w:space="0" w:color="auto"/>
            <w:left w:val="none" w:sz="0" w:space="0" w:color="auto"/>
            <w:bottom w:val="none" w:sz="0" w:space="0" w:color="auto"/>
            <w:right w:val="none" w:sz="0" w:space="0" w:color="auto"/>
          </w:divBdr>
          <w:divsChild>
            <w:div w:id="24734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440395">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4845336">
      <w:bodyDiv w:val="1"/>
      <w:marLeft w:val="0"/>
      <w:marRight w:val="0"/>
      <w:marTop w:val="0"/>
      <w:marBottom w:val="0"/>
      <w:divBdr>
        <w:top w:val="none" w:sz="0" w:space="0" w:color="auto"/>
        <w:left w:val="none" w:sz="0" w:space="0" w:color="auto"/>
        <w:bottom w:val="none" w:sz="0" w:space="0" w:color="auto"/>
        <w:right w:val="none" w:sz="0" w:space="0" w:color="auto"/>
      </w:divBdr>
      <w:divsChild>
        <w:div w:id="696080940">
          <w:marLeft w:val="0"/>
          <w:marRight w:val="0"/>
          <w:marTop w:val="0"/>
          <w:marBottom w:val="0"/>
          <w:divBdr>
            <w:top w:val="none" w:sz="0" w:space="0" w:color="auto"/>
            <w:left w:val="none" w:sz="0" w:space="0" w:color="auto"/>
            <w:bottom w:val="none" w:sz="0" w:space="0" w:color="auto"/>
            <w:right w:val="none" w:sz="0" w:space="0" w:color="auto"/>
          </w:divBdr>
          <w:divsChild>
            <w:div w:id="89570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2906319">
      <w:bodyDiv w:val="1"/>
      <w:marLeft w:val="0"/>
      <w:marRight w:val="0"/>
      <w:marTop w:val="0"/>
      <w:marBottom w:val="0"/>
      <w:divBdr>
        <w:top w:val="none" w:sz="0" w:space="0" w:color="auto"/>
        <w:left w:val="none" w:sz="0" w:space="0" w:color="auto"/>
        <w:bottom w:val="none" w:sz="0" w:space="0" w:color="auto"/>
        <w:right w:val="none" w:sz="0" w:space="0" w:color="auto"/>
      </w:divBdr>
      <w:divsChild>
        <w:div w:id="434256033">
          <w:marLeft w:val="0"/>
          <w:marRight w:val="0"/>
          <w:marTop w:val="0"/>
          <w:marBottom w:val="0"/>
          <w:divBdr>
            <w:top w:val="none" w:sz="0" w:space="0" w:color="auto"/>
            <w:left w:val="none" w:sz="0" w:space="0" w:color="auto"/>
            <w:bottom w:val="none" w:sz="0" w:space="0" w:color="auto"/>
            <w:right w:val="none" w:sz="0" w:space="0" w:color="auto"/>
          </w:divBdr>
          <w:divsChild>
            <w:div w:id="35311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297296432">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38044402">
      <w:bodyDiv w:val="1"/>
      <w:marLeft w:val="0"/>
      <w:marRight w:val="0"/>
      <w:marTop w:val="0"/>
      <w:marBottom w:val="0"/>
      <w:divBdr>
        <w:top w:val="none" w:sz="0" w:space="0" w:color="auto"/>
        <w:left w:val="none" w:sz="0" w:space="0" w:color="auto"/>
        <w:bottom w:val="none" w:sz="0" w:space="0" w:color="auto"/>
        <w:right w:val="none" w:sz="0" w:space="0" w:color="auto"/>
      </w:divBdr>
      <w:divsChild>
        <w:div w:id="1412657853">
          <w:marLeft w:val="0"/>
          <w:marRight w:val="0"/>
          <w:marTop w:val="0"/>
          <w:marBottom w:val="0"/>
          <w:divBdr>
            <w:top w:val="none" w:sz="0" w:space="0" w:color="auto"/>
            <w:left w:val="none" w:sz="0" w:space="0" w:color="auto"/>
            <w:bottom w:val="none" w:sz="0" w:space="0" w:color="auto"/>
            <w:right w:val="none" w:sz="0" w:space="0" w:color="auto"/>
          </w:divBdr>
          <w:divsChild>
            <w:div w:id="12085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19401">
      <w:bodyDiv w:val="1"/>
      <w:marLeft w:val="0"/>
      <w:marRight w:val="0"/>
      <w:marTop w:val="0"/>
      <w:marBottom w:val="0"/>
      <w:divBdr>
        <w:top w:val="none" w:sz="0" w:space="0" w:color="auto"/>
        <w:left w:val="none" w:sz="0" w:space="0" w:color="auto"/>
        <w:bottom w:val="none" w:sz="0" w:space="0" w:color="auto"/>
        <w:right w:val="none" w:sz="0" w:space="0" w:color="auto"/>
      </w:divBdr>
      <w:divsChild>
        <w:div w:id="200093026">
          <w:marLeft w:val="0"/>
          <w:marRight w:val="0"/>
          <w:marTop w:val="0"/>
          <w:marBottom w:val="0"/>
          <w:divBdr>
            <w:top w:val="none" w:sz="0" w:space="0" w:color="auto"/>
            <w:left w:val="none" w:sz="0" w:space="0" w:color="auto"/>
            <w:bottom w:val="none" w:sz="0" w:space="0" w:color="auto"/>
            <w:right w:val="none" w:sz="0" w:space="0" w:color="auto"/>
          </w:divBdr>
          <w:divsChild>
            <w:div w:id="126106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6997213">
      <w:bodyDiv w:val="1"/>
      <w:marLeft w:val="0"/>
      <w:marRight w:val="0"/>
      <w:marTop w:val="0"/>
      <w:marBottom w:val="0"/>
      <w:divBdr>
        <w:top w:val="none" w:sz="0" w:space="0" w:color="auto"/>
        <w:left w:val="none" w:sz="0" w:space="0" w:color="auto"/>
        <w:bottom w:val="none" w:sz="0" w:space="0" w:color="auto"/>
        <w:right w:val="none" w:sz="0" w:space="0" w:color="auto"/>
      </w:divBdr>
      <w:divsChild>
        <w:div w:id="1483036097">
          <w:marLeft w:val="0"/>
          <w:marRight w:val="0"/>
          <w:marTop w:val="0"/>
          <w:marBottom w:val="0"/>
          <w:divBdr>
            <w:top w:val="none" w:sz="0" w:space="0" w:color="auto"/>
            <w:left w:val="none" w:sz="0" w:space="0" w:color="auto"/>
            <w:bottom w:val="none" w:sz="0" w:space="0" w:color="auto"/>
            <w:right w:val="none" w:sz="0" w:space="0" w:color="auto"/>
          </w:divBdr>
          <w:divsChild>
            <w:div w:id="43544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8255331">
      <w:bodyDiv w:val="1"/>
      <w:marLeft w:val="0"/>
      <w:marRight w:val="0"/>
      <w:marTop w:val="0"/>
      <w:marBottom w:val="0"/>
      <w:divBdr>
        <w:top w:val="none" w:sz="0" w:space="0" w:color="auto"/>
        <w:left w:val="none" w:sz="0" w:space="0" w:color="auto"/>
        <w:bottom w:val="none" w:sz="0" w:space="0" w:color="auto"/>
        <w:right w:val="none" w:sz="0" w:space="0" w:color="auto"/>
      </w:divBdr>
      <w:divsChild>
        <w:div w:id="233052015">
          <w:marLeft w:val="0"/>
          <w:marRight w:val="0"/>
          <w:marTop w:val="0"/>
          <w:marBottom w:val="0"/>
          <w:divBdr>
            <w:top w:val="none" w:sz="0" w:space="0" w:color="auto"/>
            <w:left w:val="none" w:sz="0" w:space="0" w:color="auto"/>
            <w:bottom w:val="none" w:sz="0" w:space="0" w:color="auto"/>
            <w:right w:val="none" w:sz="0" w:space="0" w:color="auto"/>
          </w:divBdr>
          <w:divsChild>
            <w:div w:id="12270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464814">
      <w:bodyDiv w:val="1"/>
      <w:marLeft w:val="0"/>
      <w:marRight w:val="0"/>
      <w:marTop w:val="0"/>
      <w:marBottom w:val="0"/>
      <w:divBdr>
        <w:top w:val="none" w:sz="0" w:space="0" w:color="auto"/>
        <w:left w:val="none" w:sz="0" w:space="0" w:color="auto"/>
        <w:bottom w:val="none" w:sz="0" w:space="0" w:color="auto"/>
        <w:right w:val="none" w:sz="0" w:space="0" w:color="auto"/>
      </w:divBdr>
      <w:divsChild>
        <w:div w:id="450899811">
          <w:marLeft w:val="0"/>
          <w:marRight w:val="0"/>
          <w:marTop w:val="0"/>
          <w:marBottom w:val="0"/>
          <w:divBdr>
            <w:top w:val="none" w:sz="0" w:space="0" w:color="auto"/>
            <w:left w:val="none" w:sz="0" w:space="0" w:color="auto"/>
            <w:bottom w:val="none" w:sz="0" w:space="0" w:color="auto"/>
            <w:right w:val="none" w:sz="0" w:space="0" w:color="auto"/>
          </w:divBdr>
          <w:divsChild>
            <w:div w:id="5935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166896">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3958">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6729246">
      <w:bodyDiv w:val="1"/>
      <w:marLeft w:val="0"/>
      <w:marRight w:val="0"/>
      <w:marTop w:val="0"/>
      <w:marBottom w:val="0"/>
      <w:divBdr>
        <w:top w:val="none" w:sz="0" w:space="0" w:color="auto"/>
        <w:left w:val="none" w:sz="0" w:space="0" w:color="auto"/>
        <w:bottom w:val="none" w:sz="0" w:space="0" w:color="auto"/>
        <w:right w:val="none" w:sz="0" w:space="0" w:color="auto"/>
      </w:divBdr>
      <w:divsChild>
        <w:div w:id="22247339">
          <w:marLeft w:val="0"/>
          <w:marRight w:val="0"/>
          <w:marTop w:val="0"/>
          <w:marBottom w:val="0"/>
          <w:divBdr>
            <w:top w:val="none" w:sz="0" w:space="0" w:color="auto"/>
            <w:left w:val="none" w:sz="0" w:space="0" w:color="auto"/>
            <w:bottom w:val="none" w:sz="0" w:space="0" w:color="auto"/>
            <w:right w:val="none" w:sz="0" w:space="0" w:color="auto"/>
          </w:divBdr>
          <w:divsChild>
            <w:div w:id="77740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79344287">
      <w:bodyDiv w:val="1"/>
      <w:marLeft w:val="0"/>
      <w:marRight w:val="0"/>
      <w:marTop w:val="0"/>
      <w:marBottom w:val="0"/>
      <w:divBdr>
        <w:top w:val="none" w:sz="0" w:space="0" w:color="auto"/>
        <w:left w:val="none" w:sz="0" w:space="0" w:color="auto"/>
        <w:bottom w:val="none" w:sz="0" w:space="0" w:color="auto"/>
        <w:right w:val="none" w:sz="0" w:space="0" w:color="auto"/>
      </w:divBdr>
      <w:divsChild>
        <w:div w:id="1457873502">
          <w:marLeft w:val="0"/>
          <w:marRight w:val="0"/>
          <w:marTop w:val="0"/>
          <w:marBottom w:val="0"/>
          <w:divBdr>
            <w:top w:val="none" w:sz="0" w:space="0" w:color="auto"/>
            <w:left w:val="none" w:sz="0" w:space="0" w:color="auto"/>
            <w:bottom w:val="none" w:sz="0" w:space="0" w:color="auto"/>
            <w:right w:val="none" w:sz="0" w:space="0" w:color="auto"/>
          </w:divBdr>
          <w:divsChild>
            <w:div w:id="147687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0704017">
      <w:bodyDiv w:val="1"/>
      <w:marLeft w:val="0"/>
      <w:marRight w:val="0"/>
      <w:marTop w:val="0"/>
      <w:marBottom w:val="0"/>
      <w:divBdr>
        <w:top w:val="none" w:sz="0" w:space="0" w:color="auto"/>
        <w:left w:val="none" w:sz="0" w:space="0" w:color="auto"/>
        <w:bottom w:val="none" w:sz="0" w:space="0" w:color="auto"/>
        <w:right w:val="none" w:sz="0" w:space="0" w:color="auto"/>
      </w:divBdr>
      <w:divsChild>
        <w:div w:id="700978910">
          <w:marLeft w:val="0"/>
          <w:marRight w:val="0"/>
          <w:marTop w:val="0"/>
          <w:marBottom w:val="0"/>
          <w:divBdr>
            <w:top w:val="none" w:sz="0" w:space="0" w:color="auto"/>
            <w:left w:val="none" w:sz="0" w:space="0" w:color="auto"/>
            <w:bottom w:val="none" w:sz="0" w:space="0" w:color="auto"/>
            <w:right w:val="none" w:sz="0" w:space="0" w:color="auto"/>
          </w:divBdr>
          <w:divsChild>
            <w:div w:id="15002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5485013">
      <w:bodyDiv w:val="1"/>
      <w:marLeft w:val="0"/>
      <w:marRight w:val="0"/>
      <w:marTop w:val="0"/>
      <w:marBottom w:val="0"/>
      <w:divBdr>
        <w:top w:val="none" w:sz="0" w:space="0" w:color="auto"/>
        <w:left w:val="none" w:sz="0" w:space="0" w:color="auto"/>
        <w:bottom w:val="none" w:sz="0" w:space="0" w:color="auto"/>
        <w:right w:val="none" w:sz="0" w:space="0" w:color="auto"/>
      </w:divBdr>
      <w:divsChild>
        <w:div w:id="1933001823">
          <w:marLeft w:val="0"/>
          <w:marRight w:val="0"/>
          <w:marTop w:val="0"/>
          <w:marBottom w:val="0"/>
          <w:divBdr>
            <w:top w:val="none" w:sz="0" w:space="0" w:color="auto"/>
            <w:left w:val="none" w:sz="0" w:space="0" w:color="auto"/>
            <w:bottom w:val="none" w:sz="0" w:space="0" w:color="auto"/>
            <w:right w:val="none" w:sz="0" w:space="0" w:color="auto"/>
          </w:divBdr>
          <w:divsChild>
            <w:div w:id="15218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5281057">
      <w:bodyDiv w:val="1"/>
      <w:marLeft w:val="0"/>
      <w:marRight w:val="0"/>
      <w:marTop w:val="0"/>
      <w:marBottom w:val="0"/>
      <w:divBdr>
        <w:top w:val="none" w:sz="0" w:space="0" w:color="auto"/>
        <w:left w:val="none" w:sz="0" w:space="0" w:color="auto"/>
        <w:bottom w:val="none" w:sz="0" w:space="0" w:color="auto"/>
        <w:right w:val="none" w:sz="0" w:space="0" w:color="auto"/>
      </w:divBdr>
      <w:divsChild>
        <w:div w:id="1358852990">
          <w:marLeft w:val="0"/>
          <w:marRight w:val="0"/>
          <w:marTop w:val="0"/>
          <w:marBottom w:val="0"/>
          <w:divBdr>
            <w:top w:val="none" w:sz="0" w:space="0" w:color="auto"/>
            <w:left w:val="none" w:sz="0" w:space="0" w:color="auto"/>
            <w:bottom w:val="none" w:sz="0" w:space="0" w:color="auto"/>
            <w:right w:val="none" w:sz="0" w:space="0" w:color="auto"/>
          </w:divBdr>
          <w:divsChild>
            <w:div w:id="78257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75044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69203207">
      <w:bodyDiv w:val="1"/>
      <w:marLeft w:val="0"/>
      <w:marRight w:val="0"/>
      <w:marTop w:val="0"/>
      <w:marBottom w:val="0"/>
      <w:divBdr>
        <w:top w:val="none" w:sz="0" w:space="0" w:color="auto"/>
        <w:left w:val="none" w:sz="0" w:space="0" w:color="auto"/>
        <w:bottom w:val="none" w:sz="0" w:space="0" w:color="auto"/>
        <w:right w:val="none" w:sz="0" w:space="0" w:color="auto"/>
      </w:divBdr>
      <w:divsChild>
        <w:div w:id="1889107140">
          <w:marLeft w:val="0"/>
          <w:marRight w:val="0"/>
          <w:marTop w:val="0"/>
          <w:marBottom w:val="0"/>
          <w:divBdr>
            <w:top w:val="none" w:sz="0" w:space="0" w:color="auto"/>
            <w:left w:val="none" w:sz="0" w:space="0" w:color="auto"/>
            <w:bottom w:val="none" w:sz="0" w:space="0" w:color="auto"/>
            <w:right w:val="none" w:sz="0" w:space="0" w:color="auto"/>
          </w:divBdr>
          <w:divsChild>
            <w:div w:id="202489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2558533">
      <w:bodyDiv w:val="1"/>
      <w:marLeft w:val="0"/>
      <w:marRight w:val="0"/>
      <w:marTop w:val="0"/>
      <w:marBottom w:val="0"/>
      <w:divBdr>
        <w:top w:val="none" w:sz="0" w:space="0" w:color="auto"/>
        <w:left w:val="none" w:sz="0" w:space="0" w:color="auto"/>
        <w:bottom w:val="none" w:sz="0" w:space="0" w:color="auto"/>
        <w:right w:val="none" w:sz="0" w:space="0" w:color="auto"/>
      </w:divBdr>
      <w:divsChild>
        <w:div w:id="1241451713">
          <w:marLeft w:val="0"/>
          <w:marRight w:val="0"/>
          <w:marTop w:val="0"/>
          <w:marBottom w:val="0"/>
          <w:divBdr>
            <w:top w:val="none" w:sz="0" w:space="0" w:color="auto"/>
            <w:left w:val="none" w:sz="0" w:space="0" w:color="auto"/>
            <w:bottom w:val="none" w:sz="0" w:space="0" w:color="auto"/>
            <w:right w:val="none" w:sz="0" w:space="0" w:color="auto"/>
          </w:divBdr>
          <w:divsChild>
            <w:div w:id="67203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0484473">
      <w:bodyDiv w:val="1"/>
      <w:marLeft w:val="0"/>
      <w:marRight w:val="0"/>
      <w:marTop w:val="0"/>
      <w:marBottom w:val="0"/>
      <w:divBdr>
        <w:top w:val="none" w:sz="0" w:space="0" w:color="auto"/>
        <w:left w:val="none" w:sz="0" w:space="0" w:color="auto"/>
        <w:bottom w:val="none" w:sz="0" w:space="0" w:color="auto"/>
        <w:right w:val="none" w:sz="0" w:space="0" w:color="auto"/>
      </w:divBdr>
      <w:divsChild>
        <w:div w:id="100614301">
          <w:marLeft w:val="0"/>
          <w:marRight w:val="0"/>
          <w:marTop w:val="0"/>
          <w:marBottom w:val="0"/>
          <w:divBdr>
            <w:top w:val="none" w:sz="0" w:space="0" w:color="auto"/>
            <w:left w:val="none" w:sz="0" w:space="0" w:color="auto"/>
            <w:bottom w:val="none" w:sz="0" w:space="0" w:color="auto"/>
            <w:right w:val="none" w:sz="0" w:space="0" w:color="auto"/>
          </w:divBdr>
          <w:divsChild>
            <w:div w:id="15329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1897297">
      <w:bodyDiv w:val="1"/>
      <w:marLeft w:val="0"/>
      <w:marRight w:val="0"/>
      <w:marTop w:val="0"/>
      <w:marBottom w:val="0"/>
      <w:divBdr>
        <w:top w:val="none" w:sz="0" w:space="0" w:color="auto"/>
        <w:left w:val="none" w:sz="0" w:space="0" w:color="auto"/>
        <w:bottom w:val="none" w:sz="0" w:space="0" w:color="auto"/>
        <w:right w:val="none" w:sz="0" w:space="0" w:color="auto"/>
      </w:divBdr>
      <w:divsChild>
        <w:div w:id="1241867347">
          <w:marLeft w:val="0"/>
          <w:marRight w:val="0"/>
          <w:marTop w:val="0"/>
          <w:marBottom w:val="0"/>
          <w:divBdr>
            <w:top w:val="none" w:sz="0" w:space="0" w:color="auto"/>
            <w:left w:val="none" w:sz="0" w:space="0" w:color="auto"/>
            <w:bottom w:val="none" w:sz="0" w:space="0" w:color="auto"/>
            <w:right w:val="none" w:sz="0" w:space="0" w:color="auto"/>
          </w:divBdr>
          <w:divsChild>
            <w:div w:id="12037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6019418">
      <w:bodyDiv w:val="1"/>
      <w:marLeft w:val="0"/>
      <w:marRight w:val="0"/>
      <w:marTop w:val="0"/>
      <w:marBottom w:val="0"/>
      <w:divBdr>
        <w:top w:val="none" w:sz="0" w:space="0" w:color="auto"/>
        <w:left w:val="none" w:sz="0" w:space="0" w:color="auto"/>
        <w:bottom w:val="none" w:sz="0" w:space="0" w:color="auto"/>
        <w:right w:val="none" w:sz="0" w:space="0" w:color="auto"/>
      </w:divBdr>
      <w:divsChild>
        <w:div w:id="884489599">
          <w:marLeft w:val="0"/>
          <w:marRight w:val="0"/>
          <w:marTop w:val="0"/>
          <w:marBottom w:val="0"/>
          <w:divBdr>
            <w:top w:val="none" w:sz="0" w:space="0" w:color="auto"/>
            <w:left w:val="none" w:sz="0" w:space="0" w:color="auto"/>
            <w:bottom w:val="none" w:sz="0" w:space="0" w:color="auto"/>
            <w:right w:val="none" w:sz="0" w:space="0" w:color="auto"/>
          </w:divBdr>
          <w:divsChild>
            <w:div w:id="73185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81054">
      <w:bodyDiv w:val="1"/>
      <w:marLeft w:val="0"/>
      <w:marRight w:val="0"/>
      <w:marTop w:val="0"/>
      <w:marBottom w:val="0"/>
      <w:divBdr>
        <w:top w:val="none" w:sz="0" w:space="0" w:color="auto"/>
        <w:left w:val="none" w:sz="0" w:space="0" w:color="auto"/>
        <w:bottom w:val="none" w:sz="0" w:space="0" w:color="auto"/>
        <w:right w:val="none" w:sz="0" w:space="0" w:color="auto"/>
      </w:divBdr>
      <w:divsChild>
        <w:div w:id="1215773255">
          <w:marLeft w:val="0"/>
          <w:marRight w:val="0"/>
          <w:marTop w:val="0"/>
          <w:marBottom w:val="0"/>
          <w:divBdr>
            <w:top w:val="none" w:sz="0" w:space="0" w:color="auto"/>
            <w:left w:val="none" w:sz="0" w:space="0" w:color="auto"/>
            <w:bottom w:val="none" w:sz="0" w:space="0" w:color="auto"/>
            <w:right w:val="none" w:sz="0" w:space="0" w:color="auto"/>
          </w:divBdr>
          <w:divsChild>
            <w:div w:id="104248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1428680">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8050426">
      <w:bodyDiv w:val="1"/>
      <w:marLeft w:val="0"/>
      <w:marRight w:val="0"/>
      <w:marTop w:val="0"/>
      <w:marBottom w:val="0"/>
      <w:divBdr>
        <w:top w:val="none" w:sz="0" w:space="0" w:color="auto"/>
        <w:left w:val="none" w:sz="0" w:space="0" w:color="auto"/>
        <w:bottom w:val="none" w:sz="0" w:space="0" w:color="auto"/>
        <w:right w:val="none" w:sz="0" w:space="0" w:color="auto"/>
      </w:divBdr>
      <w:divsChild>
        <w:div w:id="963540636">
          <w:marLeft w:val="0"/>
          <w:marRight w:val="0"/>
          <w:marTop w:val="0"/>
          <w:marBottom w:val="0"/>
          <w:divBdr>
            <w:top w:val="none" w:sz="0" w:space="0" w:color="auto"/>
            <w:left w:val="none" w:sz="0" w:space="0" w:color="auto"/>
            <w:bottom w:val="none" w:sz="0" w:space="0" w:color="auto"/>
            <w:right w:val="none" w:sz="0" w:space="0" w:color="auto"/>
          </w:divBdr>
          <w:divsChild>
            <w:div w:id="173546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6143">
      <w:bodyDiv w:val="1"/>
      <w:marLeft w:val="0"/>
      <w:marRight w:val="0"/>
      <w:marTop w:val="0"/>
      <w:marBottom w:val="0"/>
      <w:divBdr>
        <w:top w:val="none" w:sz="0" w:space="0" w:color="auto"/>
        <w:left w:val="none" w:sz="0" w:space="0" w:color="auto"/>
        <w:bottom w:val="none" w:sz="0" w:space="0" w:color="auto"/>
        <w:right w:val="none" w:sz="0" w:space="0" w:color="auto"/>
      </w:divBdr>
      <w:divsChild>
        <w:div w:id="29111437">
          <w:marLeft w:val="0"/>
          <w:marRight w:val="0"/>
          <w:marTop w:val="0"/>
          <w:marBottom w:val="0"/>
          <w:divBdr>
            <w:top w:val="none" w:sz="0" w:space="0" w:color="auto"/>
            <w:left w:val="none" w:sz="0" w:space="0" w:color="auto"/>
            <w:bottom w:val="none" w:sz="0" w:space="0" w:color="auto"/>
            <w:right w:val="none" w:sz="0" w:space="0" w:color="auto"/>
          </w:divBdr>
          <w:divsChild>
            <w:div w:id="20090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89945290">
      <w:bodyDiv w:val="1"/>
      <w:marLeft w:val="0"/>
      <w:marRight w:val="0"/>
      <w:marTop w:val="0"/>
      <w:marBottom w:val="0"/>
      <w:divBdr>
        <w:top w:val="none" w:sz="0" w:space="0" w:color="auto"/>
        <w:left w:val="none" w:sz="0" w:space="0" w:color="auto"/>
        <w:bottom w:val="none" w:sz="0" w:space="0" w:color="auto"/>
        <w:right w:val="none" w:sz="0" w:space="0" w:color="auto"/>
      </w:divBdr>
      <w:divsChild>
        <w:div w:id="376047174">
          <w:marLeft w:val="0"/>
          <w:marRight w:val="0"/>
          <w:marTop w:val="0"/>
          <w:marBottom w:val="0"/>
          <w:divBdr>
            <w:top w:val="none" w:sz="0" w:space="0" w:color="auto"/>
            <w:left w:val="none" w:sz="0" w:space="0" w:color="auto"/>
            <w:bottom w:val="none" w:sz="0" w:space="0" w:color="auto"/>
            <w:right w:val="none" w:sz="0" w:space="0" w:color="auto"/>
          </w:divBdr>
          <w:divsChild>
            <w:div w:id="11439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453047">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38193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12640">
      <w:bodyDiv w:val="1"/>
      <w:marLeft w:val="0"/>
      <w:marRight w:val="0"/>
      <w:marTop w:val="0"/>
      <w:marBottom w:val="0"/>
      <w:divBdr>
        <w:top w:val="none" w:sz="0" w:space="0" w:color="auto"/>
        <w:left w:val="none" w:sz="0" w:space="0" w:color="auto"/>
        <w:bottom w:val="none" w:sz="0" w:space="0" w:color="auto"/>
        <w:right w:val="none" w:sz="0" w:space="0" w:color="auto"/>
      </w:divBdr>
      <w:divsChild>
        <w:div w:id="1096756632">
          <w:marLeft w:val="0"/>
          <w:marRight w:val="0"/>
          <w:marTop w:val="0"/>
          <w:marBottom w:val="0"/>
          <w:divBdr>
            <w:top w:val="none" w:sz="0" w:space="0" w:color="auto"/>
            <w:left w:val="none" w:sz="0" w:space="0" w:color="auto"/>
            <w:bottom w:val="none" w:sz="0" w:space="0" w:color="auto"/>
            <w:right w:val="none" w:sz="0" w:space="0" w:color="auto"/>
          </w:divBdr>
          <w:divsChild>
            <w:div w:id="175350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117511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4842601">
      <w:bodyDiv w:val="1"/>
      <w:marLeft w:val="0"/>
      <w:marRight w:val="0"/>
      <w:marTop w:val="0"/>
      <w:marBottom w:val="0"/>
      <w:divBdr>
        <w:top w:val="none" w:sz="0" w:space="0" w:color="auto"/>
        <w:left w:val="none" w:sz="0" w:space="0" w:color="auto"/>
        <w:bottom w:val="none" w:sz="0" w:space="0" w:color="auto"/>
        <w:right w:val="none" w:sz="0" w:space="0" w:color="auto"/>
      </w:divBdr>
      <w:divsChild>
        <w:div w:id="745373211">
          <w:marLeft w:val="0"/>
          <w:marRight w:val="0"/>
          <w:marTop w:val="0"/>
          <w:marBottom w:val="0"/>
          <w:divBdr>
            <w:top w:val="none" w:sz="0" w:space="0" w:color="auto"/>
            <w:left w:val="none" w:sz="0" w:space="0" w:color="auto"/>
            <w:bottom w:val="none" w:sz="0" w:space="0" w:color="auto"/>
            <w:right w:val="none" w:sz="0" w:space="0" w:color="auto"/>
          </w:divBdr>
          <w:divsChild>
            <w:div w:id="15226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1265491">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963862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1746077">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3101906">
      <w:bodyDiv w:val="1"/>
      <w:marLeft w:val="0"/>
      <w:marRight w:val="0"/>
      <w:marTop w:val="0"/>
      <w:marBottom w:val="0"/>
      <w:divBdr>
        <w:top w:val="none" w:sz="0" w:space="0" w:color="auto"/>
        <w:left w:val="none" w:sz="0" w:space="0" w:color="auto"/>
        <w:bottom w:val="none" w:sz="0" w:space="0" w:color="auto"/>
        <w:right w:val="none" w:sz="0" w:space="0" w:color="auto"/>
      </w:divBdr>
      <w:divsChild>
        <w:div w:id="1479414616">
          <w:marLeft w:val="0"/>
          <w:marRight w:val="0"/>
          <w:marTop w:val="0"/>
          <w:marBottom w:val="0"/>
          <w:divBdr>
            <w:top w:val="none" w:sz="0" w:space="0" w:color="auto"/>
            <w:left w:val="none" w:sz="0" w:space="0" w:color="auto"/>
            <w:bottom w:val="none" w:sz="0" w:space="0" w:color="auto"/>
            <w:right w:val="none" w:sz="0" w:space="0" w:color="auto"/>
          </w:divBdr>
          <w:divsChild>
            <w:div w:id="86363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2074883">
      <w:bodyDiv w:val="1"/>
      <w:marLeft w:val="0"/>
      <w:marRight w:val="0"/>
      <w:marTop w:val="0"/>
      <w:marBottom w:val="0"/>
      <w:divBdr>
        <w:top w:val="none" w:sz="0" w:space="0" w:color="auto"/>
        <w:left w:val="none" w:sz="0" w:space="0" w:color="auto"/>
        <w:bottom w:val="none" w:sz="0" w:space="0" w:color="auto"/>
        <w:right w:val="none" w:sz="0" w:space="0" w:color="auto"/>
      </w:divBdr>
      <w:divsChild>
        <w:div w:id="600726042">
          <w:marLeft w:val="0"/>
          <w:marRight w:val="0"/>
          <w:marTop w:val="0"/>
          <w:marBottom w:val="0"/>
          <w:divBdr>
            <w:top w:val="none" w:sz="0" w:space="0" w:color="auto"/>
            <w:left w:val="none" w:sz="0" w:space="0" w:color="auto"/>
            <w:bottom w:val="none" w:sz="0" w:space="0" w:color="auto"/>
            <w:right w:val="none" w:sz="0" w:space="0" w:color="auto"/>
          </w:divBdr>
          <w:divsChild>
            <w:div w:id="19812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7897129">
      <w:bodyDiv w:val="1"/>
      <w:marLeft w:val="0"/>
      <w:marRight w:val="0"/>
      <w:marTop w:val="0"/>
      <w:marBottom w:val="0"/>
      <w:divBdr>
        <w:top w:val="none" w:sz="0" w:space="0" w:color="auto"/>
        <w:left w:val="none" w:sz="0" w:space="0" w:color="auto"/>
        <w:bottom w:val="none" w:sz="0" w:space="0" w:color="auto"/>
        <w:right w:val="none" w:sz="0" w:space="0" w:color="auto"/>
      </w:divBdr>
      <w:divsChild>
        <w:div w:id="978997321">
          <w:marLeft w:val="0"/>
          <w:marRight w:val="0"/>
          <w:marTop w:val="0"/>
          <w:marBottom w:val="0"/>
          <w:divBdr>
            <w:top w:val="none" w:sz="0" w:space="0" w:color="auto"/>
            <w:left w:val="none" w:sz="0" w:space="0" w:color="auto"/>
            <w:bottom w:val="none" w:sz="0" w:space="0" w:color="auto"/>
            <w:right w:val="none" w:sz="0" w:space="0" w:color="auto"/>
          </w:divBdr>
          <w:divsChild>
            <w:div w:id="16530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75220289">
      <w:bodyDiv w:val="1"/>
      <w:marLeft w:val="0"/>
      <w:marRight w:val="0"/>
      <w:marTop w:val="0"/>
      <w:marBottom w:val="0"/>
      <w:divBdr>
        <w:top w:val="none" w:sz="0" w:space="0" w:color="auto"/>
        <w:left w:val="none" w:sz="0" w:space="0" w:color="auto"/>
        <w:bottom w:val="none" w:sz="0" w:space="0" w:color="auto"/>
        <w:right w:val="none" w:sz="0" w:space="0" w:color="auto"/>
      </w:divBdr>
      <w:divsChild>
        <w:div w:id="1411006901">
          <w:marLeft w:val="0"/>
          <w:marRight w:val="0"/>
          <w:marTop w:val="0"/>
          <w:marBottom w:val="0"/>
          <w:divBdr>
            <w:top w:val="none" w:sz="0" w:space="0" w:color="auto"/>
            <w:left w:val="none" w:sz="0" w:space="0" w:color="auto"/>
            <w:bottom w:val="none" w:sz="0" w:space="0" w:color="auto"/>
            <w:right w:val="none" w:sz="0" w:space="0" w:color="auto"/>
          </w:divBdr>
          <w:divsChild>
            <w:div w:id="452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1455392">
      <w:bodyDiv w:val="1"/>
      <w:marLeft w:val="0"/>
      <w:marRight w:val="0"/>
      <w:marTop w:val="0"/>
      <w:marBottom w:val="0"/>
      <w:divBdr>
        <w:top w:val="none" w:sz="0" w:space="0" w:color="auto"/>
        <w:left w:val="none" w:sz="0" w:space="0" w:color="auto"/>
        <w:bottom w:val="none" w:sz="0" w:space="0" w:color="auto"/>
        <w:right w:val="none" w:sz="0" w:space="0" w:color="auto"/>
      </w:divBdr>
      <w:divsChild>
        <w:div w:id="1051811897">
          <w:marLeft w:val="0"/>
          <w:marRight w:val="0"/>
          <w:marTop w:val="0"/>
          <w:marBottom w:val="0"/>
          <w:divBdr>
            <w:top w:val="none" w:sz="0" w:space="0" w:color="auto"/>
            <w:left w:val="none" w:sz="0" w:space="0" w:color="auto"/>
            <w:bottom w:val="none" w:sz="0" w:space="0" w:color="auto"/>
            <w:right w:val="none" w:sz="0" w:space="0" w:color="auto"/>
          </w:divBdr>
          <w:divsChild>
            <w:div w:id="20553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5280282">
      <w:bodyDiv w:val="1"/>
      <w:marLeft w:val="0"/>
      <w:marRight w:val="0"/>
      <w:marTop w:val="0"/>
      <w:marBottom w:val="0"/>
      <w:divBdr>
        <w:top w:val="none" w:sz="0" w:space="0" w:color="auto"/>
        <w:left w:val="none" w:sz="0" w:space="0" w:color="auto"/>
        <w:bottom w:val="none" w:sz="0" w:space="0" w:color="auto"/>
        <w:right w:val="none" w:sz="0" w:space="0" w:color="auto"/>
      </w:divBdr>
      <w:divsChild>
        <w:div w:id="1926567635">
          <w:marLeft w:val="0"/>
          <w:marRight w:val="0"/>
          <w:marTop w:val="0"/>
          <w:marBottom w:val="0"/>
          <w:divBdr>
            <w:top w:val="none" w:sz="0" w:space="0" w:color="auto"/>
            <w:left w:val="none" w:sz="0" w:space="0" w:color="auto"/>
            <w:bottom w:val="none" w:sz="0" w:space="0" w:color="auto"/>
            <w:right w:val="none" w:sz="0" w:space="0" w:color="auto"/>
          </w:divBdr>
          <w:divsChild>
            <w:div w:id="103967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8296082">
      <w:bodyDiv w:val="1"/>
      <w:marLeft w:val="0"/>
      <w:marRight w:val="0"/>
      <w:marTop w:val="0"/>
      <w:marBottom w:val="0"/>
      <w:divBdr>
        <w:top w:val="none" w:sz="0" w:space="0" w:color="auto"/>
        <w:left w:val="none" w:sz="0" w:space="0" w:color="auto"/>
        <w:bottom w:val="none" w:sz="0" w:space="0" w:color="auto"/>
        <w:right w:val="none" w:sz="0" w:space="0" w:color="auto"/>
      </w:divBdr>
      <w:divsChild>
        <w:div w:id="425158361">
          <w:marLeft w:val="0"/>
          <w:marRight w:val="0"/>
          <w:marTop w:val="0"/>
          <w:marBottom w:val="0"/>
          <w:divBdr>
            <w:top w:val="none" w:sz="0" w:space="0" w:color="auto"/>
            <w:left w:val="none" w:sz="0" w:space="0" w:color="auto"/>
            <w:bottom w:val="none" w:sz="0" w:space="0" w:color="auto"/>
            <w:right w:val="none" w:sz="0" w:space="0" w:color="auto"/>
          </w:divBdr>
          <w:divsChild>
            <w:div w:id="13946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1102509">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41571">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640242">
      <w:bodyDiv w:val="1"/>
      <w:marLeft w:val="0"/>
      <w:marRight w:val="0"/>
      <w:marTop w:val="0"/>
      <w:marBottom w:val="0"/>
      <w:divBdr>
        <w:top w:val="none" w:sz="0" w:space="0" w:color="auto"/>
        <w:left w:val="none" w:sz="0" w:space="0" w:color="auto"/>
        <w:bottom w:val="none" w:sz="0" w:space="0" w:color="auto"/>
        <w:right w:val="none" w:sz="0" w:space="0" w:color="auto"/>
      </w:divBdr>
      <w:divsChild>
        <w:div w:id="658656445">
          <w:marLeft w:val="0"/>
          <w:marRight w:val="0"/>
          <w:marTop w:val="0"/>
          <w:marBottom w:val="0"/>
          <w:divBdr>
            <w:top w:val="none" w:sz="0" w:space="0" w:color="auto"/>
            <w:left w:val="none" w:sz="0" w:space="0" w:color="auto"/>
            <w:bottom w:val="none" w:sz="0" w:space="0" w:color="auto"/>
            <w:right w:val="none" w:sz="0" w:space="0" w:color="auto"/>
          </w:divBdr>
          <w:divsChild>
            <w:div w:id="19355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29064429">
      <w:bodyDiv w:val="1"/>
      <w:marLeft w:val="0"/>
      <w:marRight w:val="0"/>
      <w:marTop w:val="0"/>
      <w:marBottom w:val="0"/>
      <w:divBdr>
        <w:top w:val="none" w:sz="0" w:space="0" w:color="auto"/>
        <w:left w:val="none" w:sz="0" w:space="0" w:color="auto"/>
        <w:bottom w:val="none" w:sz="0" w:space="0" w:color="auto"/>
        <w:right w:val="none" w:sz="0" w:space="0" w:color="auto"/>
      </w:divBdr>
      <w:divsChild>
        <w:div w:id="822742493">
          <w:marLeft w:val="0"/>
          <w:marRight w:val="0"/>
          <w:marTop w:val="0"/>
          <w:marBottom w:val="0"/>
          <w:divBdr>
            <w:top w:val="none" w:sz="0" w:space="0" w:color="auto"/>
            <w:left w:val="none" w:sz="0" w:space="0" w:color="auto"/>
            <w:bottom w:val="none" w:sz="0" w:space="0" w:color="auto"/>
            <w:right w:val="none" w:sz="0" w:space="0" w:color="auto"/>
          </w:divBdr>
          <w:divsChild>
            <w:div w:id="9165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952157">
      <w:bodyDiv w:val="1"/>
      <w:marLeft w:val="0"/>
      <w:marRight w:val="0"/>
      <w:marTop w:val="0"/>
      <w:marBottom w:val="0"/>
      <w:divBdr>
        <w:top w:val="none" w:sz="0" w:space="0" w:color="auto"/>
        <w:left w:val="none" w:sz="0" w:space="0" w:color="auto"/>
        <w:bottom w:val="none" w:sz="0" w:space="0" w:color="auto"/>
        <w:right w:val="none" w:sz="0" w:space="0" w:color="auto"/>
      </w:divBdr>
      <w:divsChild>
        <w:div w:id="291252527">
          <w:marLeft w:val="0"/>
          <w:marRight w:val="0"/>
          <w:marTop w:val="0"/>
          <w:marBottom w:val="0"/>
          <w:divBdr>
            <w:top w:val="none" w:sz="0" w:space="0" w:color="auto"/>
            <w:left w:val="none" w:sz="0" w:space="0" w:color="auto"/>
            <w:bottom w:val="none" w:sz="0" w:space="0" w:color="auto"/>
            <w:right w:val="none" w:sz="0" w:space="0" w:color="auto"/>
          </w:divBdr>
          <w:divsChild>
            <w:div w:id="7488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78395276">
      <w:bodyDiv w:val="1"/>
      <w:marLeft w:val="0"/>
      <w:marRight w:val="0"/>
      <w:marTop w:val="0"/>
      <w:marBottom w:val="0"/>
      <w:divBdr>
        <w:top w:val="none" w:sz="0" w:space="0" w:color="auto"/>
        <w:left w:val="none" w:sz="0" w:space="0" w:color="auto"/>
        <w:bottom w:val="none" w:sz="0" w:space="0" w:color="auto"/>
        <w:right w:val="none" w:sz="0" w:space="0" w:color="auto"/>
      </w:divBdr>
      <w:divsChild>
        <w:div w:id="1933393044">
          <w:marLeft w:val="0"/>
          <w:marRight w:val="0"/>
          <w:marTop w:val="0"/>
          <w:marBottom w:val="0"/>
          <w:divBdr>
            <w:top w:val="none" w:sz="0" w:space="0" w:color="auto"/>
            <w:left w:val="none" w:sz="0" w:space="0" w:color="auto"/>
            <w:bottom w:val="none" w:sz="0" w:space="0" w:color="auto"/>
            <w:right w:val="none" w:sz="0" w:space="0" w:color="auto"/>
          </w:divBdr>
          <w:divsChild>
            <w:div w:id="122791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7446643">
      <w:bodyDiv w:val="1"/>
      <w:marLeft w:val="0"/>
      <w:marRight w:val="0"/>
      <w:marTop w:val="0"/>
      <w:marBottom w:val="0"/>
      <w:divBdr>
        <w:top w:val="none" w:sz="0" w:space="0" w:color="auto"/>
        <w:left w:val="none" w:sz="0" w:space="0" w:color="auto"/>
        <w:bottom w:val="none" w:sz="0" w:space="0" w:color="auto"/>
        <w:right w:val="none" w:sz="0" w:space="0" w:color="auto"/>
      </w:divBdr>
      <w:divsChild>
        <w:div w:id="587345706">
          <w:marLeft w:val="0"/>
          <w:marRight w:val="0"/>
          <w:marTop w:val="0"/>
          <w:marBottom w:val="0"/>
          <w:divBdr>
            <w:top w:val="none" w:sz="0" w:space="0" w:color="auto"/>
            <w:left w:val="none" w:sz="0" w:space="0" w:color="auto"/>
            <w:bottom w:val="none" w:sz="0" w:space="0" w:color="auto"/>
            <w:right w:val="none" w:sz="0" w:space="0" w:color="auto"/>
          </w:divBdr>
          <w:divsChild>
            <w:div w:id="17198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6379712">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030195">
      <w:bodyDiv w:val="1"/>
      <w:marLeft w:val="0"/>
      <w:marRight w:val="0"/>
      <w:marTop w:val="0"/>
      <w:marBottom w:val="0"/>
      <w:divBdr>
        <w:top w:val="none" w:sz="0" w:space="0" w:color="auto"/>
        <w:left w:val="none" w:sz="0" w:space="0" w:color="auto"/>
        <w:bottom w:val="none" w:sz="0" w:space="0" w:color="auto"/>
        <w:right w:val="none" w:sz="0" w:space="0" w:color="auto"/>
      </w:divBdr>
      <w:divsChild>
        <w:div w:id="1136487971">
          <w:marLeft w:val="0"/>
          <w:marRight w:val="0"/>
          <w:marTop w:val="0"/>
          <w:marBottom w:val="0"/>
          <w:divBdr>
            <w:top w:val="none" w:sz="0" w:space="0" w:color="auto"/>
            <w:left w:val="none" w:sz="0" w:space="0" w:color="auto"/>
            <w:bottom w:val="none" w:sz="0" w:space="0" w:color="auto"/>
            <w:right w:val="none" w:sz="0" w:space="0" w:color="auto"/>
          </w:divBdr>
          <w:divsChild>
            <w:div w:id="6109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397386">
      <w:bodyDiv w:val="1"/>
      <w:marLeft w:val="0"/>
      <w:marRight w:val="0"/>
      <w:marTop w:val="0"/>
      <w:marBottom w:val="0"/>
      <w:divBdr>
        <w:top w:val="none" w:sz="0" w:space="0" w:color="auto"/>
        <w:left w:val="none" w:sz="0" w:space="0" w:color="auto"/>
        <w:bottom w:val="none" w:sz="0" w:space="0" w:color="auto"/>
        <w:right w:val="none" w:sz="0" w:space="0" w:color="auto"/>
      </w:divBdr>
      <w:divsChild>
        <w:div w:id="2131505374">
          <w:marLeft w:val="0"/>
          <w:marRight w:val="0"/>
          <w:marTop w:val="0"/>
          <w:marBottom w:val="0"/>
          <w:divBdr>
            <w:top w:val="none" w:sz="0" w:space="0" w:color="auto"/>
            <w:left w:val="none" w:sz="0" w:space="0" w:color="auto"/>
            <w:bottom w:val="none" w:sz="0" w:space="0" w:color="auto"/>
            <w:right w:val="none" w:sz="0" w:space="0" w:color="auto"/>
          </w:divBdr>
          <w:divsChild>
            <w:div w:id="172112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0969397">
      <w:bodyDiv w:val="1"/>
      <w:marLeft w:val="0"/>
      <w:marRight w:val="0"/>
      <w:marTop w:val="0"/>
      <w:marBottom w:val="0"/>
      <w:divBdr>
        <w:top w:val="none" w:sz="0" w:space="0" w:color="auto"/>
        <w:left w:val="none" w:sz="0" w:space="0" w:color="auto"/>
        <w:bottom w:val="none" w:sz="0" w:space="0" w:color="auto"/>
        <w:right w:val="none" w:sz="0" w:space="0" w:color="auto"/>
      </w:divBdr>
      <w:divsChild>
        <w:div w:id="743337414">
          <w:marLeft w:val="0"/>
          <w:marRight w:val="0"/>
          <w:marTop w:val="0"/>
          <w:marBottom w:val="0"/>
          <w:divBdr>
            <w:top w:val="none" w:sz="0" w:space="0" w:color="auto"/>
            <w:left w:val="none" w:sz="0" w:space="0" w:color="auto"/>
            <w:bottom w:val="none" w:sz="0" w:space="0" w:color="auto"/>
            <w:right w:val="none" w:sz="0" w:space="0" w:color="auto"/>
          </w:divBdr>
          <w:divsChild>
            <w:div w:id="13246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9920762">
      <w:bodyDiv w:val="1"/>
      <w:marLeft w:val="0"/>
      <w:marRight w:val="0"/>
      <w:marTop w:val="0"/>
      <w:marBottom w:val="0"/>
      <w:divBdr>
        <w:top w:val="none" w:sz="0" w:space="0" w:color="auto"/>
        <w:left w:val="none" w:sz="0" w:space="0" w:color="auto"/>
        <w:bottom w:val="none" w:sz="0" w:space="0" w:color="auto"/>
        <w:right w:val="none" w:sz="0" w:space="0" w:color="auto"/>
      </w:divBdr>
      <w:divsChild>
        <w:div w:id="1172913547">
          <w:marLeft w:val="0"/>
          <w:marRight w:val="0"/>
          <w:marTop w:val="0"/>
          <w:marBottom w:val="0"/>
          <w:divBdr>
            <w:top w:val="none" w:sz="0" w:space="0" w:color="auto"/>
            <w:left w:val="none" w:sz="0" w:space="0" w:color="auto"/>
            <w:bottom w:val="none" w:sz="0" w:space="0" w:color="auto"/>
            <w:right w:val="none" w:sz="0" w:space="0" w:color="auto"/>
          </w:divBdr>
          <w:divsChild>
            <w:div w:id="53550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4477352">
      <w:bodyDiv w:val="1"/>
      <w:marLeft w:val="0"/>
      <w:marRight w:val="0"/>
      <w:marTop w:val="0"/>
      <w:marBottom w:val="0"/>
      <w:divBdr>
        <w:top w:val="none" w:sz="0" w:space="0" w:color="auto"/>
        <w:left w:val="none" w:sz="0" w:space="0" w:color="auto"/>
        <w:bottom w:val="none" w:sz="0" w:space="0" w:color="auto"/>
        <w:right w:val="none" w:sz="0" w:space="0" w:color="auto"/>
      </w:divBdr>
      <w:divsChild>
        <w:div w:id="1718164838">
          <w:marLeft w:val="0"/>
          <w:marRight w:val="0"/>
          <w:marTop w:val="0"/>
          <w:marBottom w:val="0"/>
          <w:divBdr>
            <w:top w:val="none" w:sz="0" w:space="0" w:color="auto"/>
            <w:left w:val="none" w:sz="0" w:space="0" w:color="auto"/>
            <w:bottom w:val="none" w:sz="0" w:space="0" w:color="auto"/>
            <w:right w:val="none" w:sz="0" w:space="0" w:color="auto"/>
          </w:divBdr>
          <w:divsChild>
            <w:div w:id="125123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8921">
      <w:bodyDiv w:val="1"/>
      <w:marLeft w:val="0"/>
      <w:marRight w:val="0"/>
      <w:marTop w:val="0"/>
      <w:marBottom w:val="0"/>
      <w:divBdr>
        <w:top w:val="none" w:sz="0" w:space="0" w:color="auto"/>
        <w:left w:val="none" w:sz="0" w:space="0" w:color="auto"/>
        <w:bottom w:val="none" w:sz="0" w:space="0" w:color="auto"/>
        <w:right w:val="none" w:sz="0" w:space="0" w:color="auto"/>
      </w:divBdr>
      <w:divsChild>
        <w:div w:id="1429235672">
          <w:marLeft w:val="0"/>
          <w:marRight w:val="0"/>
          <w:marTop w:val="0"/>
          <w:marBottom w:val="0"/>
          <w:divBdr>
            <w:top w:val="none" w:sz="0" w:space="0" w:color="auto"/>
            <w:left w:val="none" w:sz="0" w:space="0" w:color="auto"/>
            <w:bottom w:val="none" w:sz="0" w:space="0" w:color="auto"/>
            <w:right w:val="none" w:sz="0" w:space="0" w:color="auto"/>
          </w:divBdr>
          <w:divsChild>
            <w:div w:id="113791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3550786">
      <w:bodyDiv w:val="1"/>
      <w:marLeft w:val="0"/>
      <w:marRight w:val="0"/>
      <w:marTop w:val="0"/>
      <w:marBottom w:val="0"/>
      <w:divBdr>
        <w:top w:val="none" w:sz="0" w:space="0" w:color="auto"/>
        <w:left w:val="none" w:sz="0" w:space="0" w:color="auto"/>
        <w:bottom w:val="none" w:sz="0" w:space="0" w:color="auto"/>
        <w:right w:val="none" w:sz="0" w:space="0" w:color="auto"/>
      </w:divBdr>
      <w:divsChild>
        <w:div w:id="198713619">
          <w:marLeft w:val="0"/>
          <w:marRight w:val="0"/>
          <w:marTop w:val="0"/>
          <w:marBottom w:val="0"/>
          <w:divBdr>
            <w:top w:val="none" w:sz="0" w:space="0" w:color="auto"/>
            <w:left w:val="none" w:sz="0" w:space="0" w:color="auto"/>
            <w:bottom w:val="none" w:sz="0" w:space="0" w:color="auto"/>
            <w:right w:val="none" w:sz="0" w:space="0" w:color="auto"/>
          </w:divBdr>
          <w:divsChild>
            <w:div w:id="19626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09958373">
      <w:bodyDiv w:val="1"/>
      <w:marLeft w:val="0"/>
      <w:marRight w:val="0"/>
      <w:marTop w:val="0"/>
      <w:marBottom w:val="0"/>
      <w:divBdr>
        <w:top w:val="none" w:sz="0" w:space="0" w:color="auto"/>
        <w:left w:val="none" w:sz="0" w:space="0" w:color="auto"/>
        <w:bottom w:val="none" w:sz="0" w:space="0" w:color="auto"/>
        <w:right w:val="none" w:sz="0" w:space="0" w:color="auto"/>
      </w:divBdr>
      <w:divsChild>
        <w:div w:id="947279074">
          <w:marLeft w:val="0"/>
          <w:marRight w:val="0"/>
          <w:marTop w:val="0"/>
          <w:marBottom w:val="0"/>
          <w:divBdr>
            <w:top w:val="none" w:sz="0" w:space="0" w:color="auto"/>
            <w:left w:val="none" w:sz="0" w:space="0" w:color="auto"/>
            <w:bottom w:val="none" w:sz="0" w:space="0" w:color="auto"/>
            <w:right w:val="none" w:sz="0" w:space="0" w:color="auto"/>
          </w:divBdr>
          <w:divsChild>
            <w:div w:id="99727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 w:id="2146460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Ism24</b:Tag>
    <b:SourceType>JournalArticle</b:SourceType>
    <b:Guid>{958D665B-1749-4649-BA18-D7C6500B905E}</b:Guid>
    <b:Author>
      <b:Author>
        <b:NameList>
          <b:Person>
            <b:Last>Ismail</b:Last>
            <b:First>Farah</b:First>
          </b:Person>
        </b:NameList>
      </b:Author>
    </b:Author>
    <b:Title>Diversifying an Oil Based Economy in Saudi Arabia</b:Title>
    <b:Year>2024</b:Year>
    <b:URL>https://bsc.hks.harvard.edu/2024/05/22/diversifying-an-oil-based-economy-in-saudi-arabia/</b:URL>
    <b:RefOrder>1</b:RefOrder>
  </b:Source>
  <b:Source>
    <b:Tag>Pra19</b:Tag>
    <b:SourceType>JournalArticle</b:SourceType>
    <b:Guid>{602A4551-D9E1-4598-965C-DE9BC7727128}</b:Guid>
    <b:Author>
      <b:Author>
        <b:NameList>
          <b:Person>
            <b:Last>Prasanna</b:Last>
            <b:First>RPIR</b:First>
          </b:Person>
        </b:NameList>
      </b:Author>
    </b:Author>
    <b:Title>Sustainability of SMEs in the Competition: A Systemic Review on Technological Challenges and SME Performance</b:Title>
    <b:Year>2019</b:Year>
    <b:URL>https://www.sciencedirect.com/science/article/pii/S2199853122002189</b:URL>
    <b:RefOrder>2</b:RefOrder>
  </b:Source>
  <b:Source>
    <b:Tag>Usm21</b:Tag>
    <b:SourceType>JournalArticle</b:SourceType>
    <b:Guid>{FDCF741A-FCBF-45D8-9F71-CF13574EDFED}</b:Guid>
    <b:Author>
      <b:Author>
        <b:NameList>
          <b:Person>
            <b:Last>Usman</b:Last>
            <b:First>Zainab</b:First>
          </b:Person>
        </b:NameList>
      </b:Author>
    </b:Author>
    <b:Title>Economic Diversification in Africa: How and Why It Matters</b:Title>
    <b:Year>2021</b:Year>
    <b:URL>https://carnegieendowment.org/research/2021/04/economic-diversification-in-africa-how-and-why-it-matters?lang=en</b:URL>
    <b:RefOrder>3</b:RefOrder>
  </b:Source>
  <b:Source>
    <b:Tag>Gle22</b:Tag>
    <b:SourceType>JournalArticle</b:SourceType>
    <b:Guid>{75A11EE2-E86C-4DF0-8253-3045151DA453}</b:Guid>
    <b:Author>
      <b:Author>
        <b:NameList>
          <b:Person>
            <b:Last>Gleißner</b:Last>
            <b:First>Werner</b:First>
          </b:Person>
        </b:NameList>
      </b:Author>
    </b:Author>
    <b:Title>Financial sustainability: measurement and empirical evidence</b:Title>
    <b:Year>2022</b:Year>
    <b:URL>https://link.springer.com/article/10.1007/s11573-022-01081-0</b:URL>
    <b:RefOrder>4</b:RefOrder>
  </b:Source>
  <b:Source>
    <b:Tag>Kab21</b:Tag>
    <b:SourceType>JournalArticle</b:SourceType>
    <b:Guid>{40354C12-26B2-4C60-8A8C-C087FBA7922F}</b:Guid>
    <b:Author>
      <b:Author>
        <b:NameList>
          <b:Person>
            <b:Last>Kabbani</b:Last>
            <b:First>Nader</b:First>
          </b:Person>
        </b:NameList>
      </b:Author>
    </b:Author>
    <b:Title>Economic diversification in the Gulf: Time to redouble efforts</b:Title>
    <b:Year>2021</b:Year>
    <b:URL>https://www.brookings.edu/articles/economic-diversification-in-the-gulf-time-to-redouble-efforts/</b:URL>
    <b:RefOrder>5</b:RefOrder>
  </b:Source>
  <b:Source>
    <b:Tag>Her23</b:Tag>
    <b:SourceType>JournalArticle</b:SourceType>
    <b:Guid>{8255B234-9578-47F1-B44C-AF2B03A4BF76}</b:Guid>
    <b:Author>
      <b:Author>
        <b:NameList>
          <b:Person>
            <b:Last>Hernita</b:Last>
            <b:First>Hernita</b:First>
          </b:Person>
        </b:NameList>
      </b:Author>
    </b:Author>
    <b:Title>Economic Business Sustainability and Strengthening Human Resource Capacity Based on Increasing the Productivity of Small and Medium Enterprises (SMEs) in Makassar City, Indonesia</b:Title>
    <b:Year>2023</b:Year>
    <b:URL>https://www.mdpi.com/2071-1050/13/6/3177</b:URL>
    <b:RefOrder>6</b:RefOrder>
  </b:Source>
  <b:Source>
    <b:Tag>Rah20</b:Tag>
    <b:SourceType>JournalArticle</b:SourceType>
    <b:Guid>{AF5E1D32-A310-46E2-B6CA-37F443189C18}</b:Guid>
    <b:Author>
      <b:Author>
        <b:NameList>
          <b:Person>
            <b:Last>Rahman</b:Last>
            <b:First>Redwanur</b:First>
          </b:Person>
        </b:NameList>
      </b:Author>
    </b:Author>
    <b:Title>The Privatization of Health Care System in Saudi Arabia</b:Title>
    <b:Year>2020</b:Year>
    <b:URL>https://www.ncbi.nlm.nih.gov/pmc/articles/PMC7315664/</b:URL>
    <b:RefOrder>7</b:RefOrder>
  </b:Source>
  <b:Source>
    <b:Tag>Ala23</b:Tag>
    <b:SourceType>JournalArticle</b:SourceType>
    <b:Guid>{072CE3D8-E9A4-400C-9FDE-E69DA9B0BB48}</b:Guid>
    <b:Author>
      <b:Author>
        <b:NameList>
          <b:Person>
            <b:Last>Alayed</b:Last>
            <b:First>Sura</b:First>
          </b:Person>
        </b:NameList>
      </b:Author>
    </b:Author>
    <b:Title>Migration Letters The Effect of Digital Transformation on Organizational Performance by A Mediating Role of Digital Innovation</b:Title>
    <b:Year>2023</b:Year>
    <b:URL>https://www.researchgate.net/publication/375662289_Migration_Letters_The_Effect_of_Digital_Transformation_on_Organizational_Performance_by_A_Mediating_Role_of_Digital_Innovation</b:URL>
    <b:RefOrder>8</b:RefOrder>
  </b:Source>
  <b:Source>
    <b:Tag>Alb151</b:Tag>
    <b:SourceType>JournalArticle</b:SourceType>
    <b:Guid>{B0834B84-4A1F-43E2-B2E6-1A32F41B2C7B}</b:Guid>
    <b:Author>
      <b:Author>
        <b:NameList>
          <b:Person>
            <b:Last>Albassam</b:Last>
            <b:First>Bassam</b:First>
          </b:Person>
        </b:NameList>
      </b:Author>
    </b:Author>
    <b:Title>Economic diversification in Saudi Arabia: Myth or reality?</b:Title>
    <b:Year>2015</b:Year>
    <b:URL>https://www.researchgate.net/publication/273900088_Economic_diversification_in_Saudi_Arabia_Myth_or_reality</b:URL>
    <b:RefOrder>9</b:RefOrder>
  </b:Source>
  <b:Source>
    <b:Tag>Ban18</b:Tag>
    <b:SourceType>JournalArticle</b:SourceType>
    <b:Guid>{25C0DABD-5A3E-4B5F-ADE2-DA0F74372F71}</b:Guid>
    <b:Author>
      <b:Author>
        <b:NameList>
          <b:Person>
            <b:Last>Banafea</b:Last>
            <b:First>Waheed</b:First>
          </b:Person>
        </b:NameList>
      </b:Author>
    </b:Author>
    <b:Title>Assessment of economic diversification in Saudi Arabia through nine development plans</b:Title>
    <b:Year>2018</b:Year>
    <b:URL>https://www.researchgate.net/publication/324721593_Assessment_of_economic_diversification_in_Saudi_Arabia_through_nine_development_plans</b:URL>
    <b:RefOrder>10</b:RefOrder>
  </b:Source>
  <b:Source>
    <b:Tag>Sin22</b:Tag>
    <b:SourceType>JournalArticle</b:SourceType>
    <b:Guid>{21C252B0-E630-4907-B224-093A7F39C83F}</b:Guid>
    <b:Author>
      <b:Author>
        <b:NameList>
          <b:Person>
            <b:Last>Singh</b:Last>
            <b:First>Harman</b:First>
            <b:Middle>Preet</b:Middle>
          </b:Person>
        </b:NameList>
      </b:Author>
    </b:Author>
    <b:Title>Impact of Sustainable Development Goals on Economic Growth in Saudi Arabia: Role of Education and Training</b:Title>
    <b:Year>2022</b:Year>
    <b:URL>https://www.mdpi.com/2071-1050/14/21/14119</b:URL>
    <b:RefOrder>11</b:RefOrder>
  </b:Source>
  <b:Source>
    <b:Tag>Del24</b:Tag>
    <b:SourceType>JournalArticle</b:SourceType>
    <b:Guid>{25A9D5E6-2C87-4231-AF80-0DC35C3DFACF}</b:Guid>
    <b:Author>
      <b:Author>
        <b:NameList>
          <b:Person>
            <b:Last>Delechat</b:Last>
            <b:First>Corinne</b:First>
            <b:Middle>C</b:Middle>
          </b:Person>
        </b:NameList>
      </b:Author>
    </b:Author>
    <b:Title>Economic Diversification in Developing Countries – Lessons from Country Experiences with Broad-Based and Industrial Policies</b:Title>
    <b:Year>2024</b:Year>
    <b:URL>https://www.elibrary.imf.org/view/journals/087/2024/006/article-A001-en.xml</b:URL>
    <b:RefOrder>12</b:RefOrder>
  </b:Source>
  <b:Source>
    <b:Tag>Rah23</b:Tag>
    <b:SourceType>JournalArticle</b:SourceType>
    <b:Guid>{7CF897E0-9B60-40ED-80EB-F03EEE1A8081}</b:Guid>
    <b:Author>
      <b:Author>
        <b:NameList>
          <b:Person>
            <b:Last>Rahman</b:Last>
            <b:First>Mostafizur</b:First>
          </b:Person>
        </b:NameList>
      </b:Author>
    </b:Author>
    <b:Title>The Underlying Theories of Organizational Sustainability: The Motivation Perspective</b:Title>
    <b:Year>2023</b:Year>
    <b:URL>https://www.researchgate.net/publication/368806720_The_Underlying_Theories_of_Organizational_Sustainability_The_Motivation_Perspective</b:URL>
    <b:RefOrder>13</b:RefOrder>
  </b:Source>
  <b:Source>
    <b:Tag>Lee22</b:Tag>
    <b:SourceType>JournalArticle</b:SourceType>
    <b:Guid>{762557C0-2E21-481E-A8C1-BF3B756FE821}</b:Guid>
    <b:Author>
      <b:Author>
        <b:NameList>
          <b:Person>
            <b:Last>Lee</b:Last>
            <b:First>Chang-Tai</b:First>
          </b:Person>
        </b:NameList>
      </b:Author>
    </b:Author>
    <b:Title>Economic Resilience in the Early Stage of the COVID-19 Pandemic: An Across-Economy Comparison</b:Title>
    <b:Year>2022</b:Year>
    <b:URL>https://www.researchgate.net/publication/359909735_Economic_Resilience_in_the_Early_Stage_of_the_COVID-19_Pandemic_An_Across-Economy_Comparison</b:URL>
    <b:RefOrder>14</b:RefOrder>
  </b:Source>
  <b:Source>
    <b:Tag>Bur17</b:Tag>
    <b:SourceType>JournalArticle</b:SourceType>
    <b:Guid>{21B0F83E-C8BF-4F06-AA20-28D865FCE92A}</b:Guid>
    <b:Author>
      <b:Author>
        <b:NameList>
          <b:Person>
            <b:Last>Burak</b:Last>
            <b:First>Emel</b:First>
          </b:Person>
        </b:NameList>
      </b:Author>
    </b:Author>
    <b:Title>Effect Of Corporate Governance Principles On Business Performance</b:Title>
    <b:Year>2017</b:Year>
    <b:URL>https://www.researchgate.net/publication/315568744_Effect_Of_Corporate_Governance_Principles_On_Business_Performance</b:URL>
    <b:RefOrder>15</b:RefOrder>
  </b:Source>
  <b:Source>
    <b:Tag>Far22</b:Tag>
    <b:SourceType>JournalArticle</b:SourceType>
    <b:Guid>{AC09DF57-1FBB-4F5F-97BD-DEC86CD84292}</b:Guid>
    <b:Author>
      <b:Author>
        <b:NameList>
          <b:Person>
            <b:Last>Farida</b:Last>
            <b:First>Ida</b:First>
          </b:Person>
        </b:NameList>
      </b:Author>
    </b:Author>
    <b:Title>Business Strategies and Competitive Advantage: The Role of Performance and Innovation</b:Title>
    <b:Year>2022</b:Year>
    <b:URL>https://www.mdpi.com/2199-8531/8/3/163</b:URL>
    <b:RefOrder>16</b:RefOrder>
  </b:Source>
  <b:Source>
    <b:Tag>Alb15</b:Tag>
    <b:SourceType>JournalArticle</b:SourceType>
    <b:Guid>{9578275A-944B-4245-AEDA-910B79DC8265}</b:Guid>
    <b:Author>
      <b:Author>
        <b:NameList>
          <b:Person>
            <b:Last>Albassam</b:Last>
            <b:First>Bassam</b:First>
            <b:Middle>A.</b:Middle>
          </b:Person>
        </b:NameList>
      </b:Author>
    </b:Author>
    <b:Title>Economic diversification in Saudi Arabia: Myth or reality?</b:Title>
    <b:Year>2015</b:Year>
    <b:URL>https://www.sciencedirect.com/science/article/abs/pii/S0301420715000215</b:URL>
    <b:RefOrder>17</b:RefOrder>
  </b:Source>
  <b:Source>
    <b:Tag>Gue20</b:Tag>
    <b:SourceType>JournalArticle</b:SourceType>
    <b:Guid>{443D7F3F-F8AC-4C60-98A1-F75FACF00A60}</b:Guid>
    <b:Author>
      <b:Author>
        <b:NameList>
          <b:Person>
            <b:Last>Guendouz</b:Last>
            <b:First>Abdelkrim</b:First>
            <b:Middle>A.</b:Middle>
          </b:Person>
        </b:NameList>
      </b:Author>
    </b:Author>
    <b:Title>The Economic Diversification in Saudi Arabia Under the Strategic Vision 2030</b:Title>
    <b:Year>2020</b:Year>
    <b:URL>https://www.abacademies.org/articles/the-economic-diversification-in-saudi-arabia-under-the-strategicvision-2030-9607.html</b:URL>
    <b:RefOrder>18</b:RefOrder>
  </b:Source>
  <b:Source>
    <b:Tag>Nai22</b:Tag>
    <b:SourceType>JournalArticle</b:SourceType>
    <b:Guid>{B3754023-D032-4B6E-B07E-8700A8EBF4D1}</b:Guid>
    <b:Author>
      <b:Author>
        <b:NameList>
          <b:Person>
            <b:Last>Naimi</b:Last>
            <b:First>Sarah</b:First>
            <b:Middle>Muhanna Al</b:Middle>
          </b:Person>
        </b:NameList>
      </b:Author>
    </b:Author>
    <b:Title>Economic Diversification Trends in the Gulf: the Case of Saudi Arabia</b:Title>
    <b:Year>2022</b:Year>
    <b:URL>https://link.springer.com/article/10.1007/s43615-021-00106-0</b:URL>
    <b:RefOrder>19</b:RefOrder>
  </b:Source>
  <b:Source>
    <b:Tag>Euc18</b:Tag>
    <b:SourceType>JournalArticle</b:SourceType>
    <b:Guid>{AFBC000F-6783-4EBF-A432-F9F1210B412C}</b:Guid>
    <b:Author>
      <b:Author>
        <b:NameList>
          <b:Person>
            <b:Last>Euchi</b:Last>
            <b:First>Jalel</b:First>
          </b:Person>
        </b:NameList>
      </b:Author>
    </b:Author>
    <b:Title>The pillars of economic diversification in Saudi Arabia</b:Title>
    <b:Year>2018</b:Year>
    <b:URL>https://www.researchgate.net/publication/328386947_The_pillars_of_economic_diversification_in_Saudi_Arabia</b:URL>
    <b:RefOrder>20</b:RefOrder>
  </b:Source>
  <b:Source>
    <b:Tag>NAl21</b:Tag>
    <b:SourceType>JournalArticle</b:SourceType>
    <b:Guid>{35C5040F-0C5C-42F4-9578-33E490C31A9C}</b:Guid>
    <b:Author>
      <b:Author>
        <b:NameList>
          <b:Person>
            <b:Last>N.</b:Last>
            <b:First>Alshehri</b:First>
            <b:Middle>Abdulrahman Mohammed</b:Middle>
          </b:Person>
        </b:NameList>
      </b:Author>
    </b:Author>
    <b:Title>Non-oil economic transition for economic and environmental sustainability in Saudi Arabia: a multi-factor analysis under fuzzy environment</b:Title>
    <b:Year>2021</b:Year>
    <b:Volume>28</b:Volume>
    <b:URL>https://link.springer.com/article/10.1007/s11356-021-14304-8</b:URL>
    <b:RefOrder>21</b:RefOrder>
  </b:Source>
  <b:Source>
    <b:Tag>Alk20</b:Tag>
    <b:SourceType>JournalArticle</b:SourceType>
    <b:Guid>{A46E904E-C7C8-4D17-82D1-AA521B8B0E5F}</b:Guid>
    <b:Author>
      <b:Author>
        <b:NameList>
          <b:Person>
            <b:Last>Alkhathlan1</b:Last>
            <b:First>Khalid</b:First>
            <b:Middle>Abdullah</b:Middle>
          </b:Person>
        </b:NameList>
      </b:Author>
    </b:Author>
    <b:Title>Determinants of Diversification from Oil Sector in Saudi Arabia</b:Title>
    <b:Year>2020</b:Year>
    <b:Volume>10</b:Volume>
    <b:Issue>5</b:Issue>
    <b:URL>https://www.zbw.eu/econis-archiv/bitstream/11159/7956/1/1756904111_0.pdf</b:URL>
    <b:RefOrder>22</b:RefOrder>
  </b:Source>
  <b:Source>
    <b:Tag>Nef24</b:Tag>
    <b:SourceType>JournalArticle</b:SourceType>
    <b:Guid>{00BA2024-E248-4073-958B-3601B871BAF4}</b:Guid>
    <b:Author>
      <b:Author>
        <b:NameList>
          <b:Person>
            <b:Last>Neffati</b:Last>
            <b:First>Mohamed</b:First>
          </b:Person>
        </b:NameList>
      </b:Author>
    </b:Author>
    <b:Title>The impact of digitalization and economic diversification on economic growth: evidence from Saudi Arabia</b:Title>
    <b:Year>2024</b:Year>
    <b:URL>https://jest.vgtu.lt/index.php/TEDE/article/view/22105</b:URL>
    <b:DOI>10.3846/tede.2024.22105</b:DOI>
    <b:RefOrder>23</b:RefOrder>
  </b:Source>
  <b:Source>
    <b:Tag>Aww23</b:Tag>
    <b:SourceType>JournalArticle</b:SourceType>
    <b:Guid>{ECA4CCDC-9B50-4E65-8531-017063C6D796}</b:Guid>
    <b:Author>
      <b:Author>
        <b:NameList>
          <b:Person>
            <b:Last>Awwad</b:Last>
            <b:First>Dr.</b:First>
            <b:Middle>Bahaa Subhi Abdel Latif</b:Middle>
          </b:Person>
        </b:NameList>
      </b:Author>
    </b:Author>
    <b:Title>Saudi Arabia's Post-Oil Economic Prospects: Economic diversification, entrepreneurship and women's empowerment</b:Title>
    <b:Year>2023</b:Year>
    <b:URL>https://www.researchsquare.com/article/rs-3216177/v2</b:URL>
    <b:RefOrder>24</b:RefOrder>
  </b:Source>
  <b:Source>
    <b:Tag>Haq201</b:Tag>
    <b:SourceType>JournalArticle</b:SourceType>
    <b:Guid>{3E42356A-A206-48D5-848C-A879E72D4F24}</b:Guid>
    <b:Author>
      <b:Author>
        <b:NameList>
          <b:Person>
            <b:Last>Haque</b:Last>
            <b:First>Mohammad</b:First>
            <b:Middle>Imdadul</b:Middle>
          </b:Person>
        </b:NameList>
      </b:Author>
    </b:Author>
    <b:Title>The Growth of Private Sector and Financial Development in Saudi Arabia</b:Title>
    <b:Year>2020</b:Year>
    <b:Volume>8</b:Volume>
    <b:Issue>2</b:Issue>
    <b:URL>https://www.mdpi.com/2227-7099/8/2/39</b:URL>
    <b:RefOrder>25</b:RefOrder>
  </b:Source>
  <b:Source>
    <b:Tag>Jav22</b:Tag>
    <b:SourceType>JournalArticle</b:SourceType>
    <b:Guid>{66634559-8719-4052-8971-298F668A0580}</b:Guid>
    <b:Author>
      <b:Author>
        <b:NameList>
          <b:Person>
            <b:Last>Javid</b:Last>
            <b:First>Muhammad</b:First>
          </b:Person>
        </b:NameList>
      </b:Author>
    </b:Author>
    <b:Title>Sectoral investment analysis for Saudi Arabia</b:Title>
    <b:Year>2022</b:Year>
    <b:URL>https://www.tandfonline.com/doi/full/10.1080/00036846.2022.2030856</b:URL>
    <b:RefOrder>26</b:RefOrder>
  </b:Source>
  <b:Source>
    <b:Tag>AlS24</b:Tag>
    <b:SourceType>JournalArticle</b:SourceType>
    <b:Guid>{4894BBFB-EB61-493E-A8B7-60DA5C9ADCD9}</b:Guid>
    <b:Author>
      <b:Author>
        <b:NameList>
          <b:Person>
            <b:Last>AlSabbagh</b:Last>
            <b:First>Maha</b:First>
          </b:Person>
        </b:NameList>
      </b:Author>
    </b:Author>
    <b:Title>Exploring the relationship between economic diversification and energy-related CO2 emissions in a petroleum-producing country</b:Title>
    <b:Year>2024</b:Year>
    <b:URL>https://www.emerald.com/insight/content/doi/10.1108/ijesm-02-2023-0011/full/html</b:URL>
    <b:RefOrder>27</b:RefOrder>
  </b:Source>
  <b:Source>
    <b:Tag>Jud22</b:Tag>
    <b:SourceType>JournalArticle</b:SourceType>
    <b:Guid>{0D6DDC65-869A-4870-8035-96E65BA19E8F}</b:Guid>
    <b:Author>
      <b:Author>
        <b:NameList>
          <b:Person>
            <b:Last>Judai</b:Last>
            <b:First>Bin</b:First>
          </b:Person>
        </b:NameList>
      </b:Author>
    </b:Author>
    <b:Title>Saudi Employment in the Wholesale-Retail and Construction Industries in the Saudi Private Sector: A Comparative Causal Study for Policy Analysis</b:Title>
    <b:Year>2022</b:Year>
    <b:URL>https://vuir.vu.edu.au/44411/</b:URL>
    <b:RefOrder>28</b:RefOrder>
  </b:Source>
  <b:Source>
    <b:Tag>Kha25</b:Tag>
    <b:SourceType>JournalArticle</b:SourceType>
    <b:Guid>{74406F4F-EE9E-4E11-9AC4-9E9A875D0D91}</b:Guid>
    <b:Author>
      <b:Author>
        <b:NameList>
          <b:Person>
            <b:Last>Khan</b:Last>
            <b:First>Mohd</b:First>
            <b:Middle>Saeed</b:Middle>
          </b:Person>
        </b:NameList>
      </b:Author>
    </b:Author>
    <b:Title>Implications of Sustainable Logistics on Economic, Environment, and Social Dimensions: Pre- and Post-Implementation of Saudi Vision 2030</b:Title>
    <b:Year>2025</b:Year>
    <b:URL>https://link.springer.com/article/10.1007/s13132-025-02616-w</b:URL>
    <b:RefOrder>29</b:RefOrder>
  </b:Source>
  <b:Source>
    <b:Tag>Vog18</b:Tag>
    <b:SourceType>JournalArticle</b:SourceType>
    <b:Guid>{26DEC112-A550-4167-9D9E-2AF119F10D7D}</b:Guid>
    <b:Author>
      <b:Author>
        <b:NameList>
          <b:Person>
            <b:Last>Vogl</b:Last>
            <b:First>Justin</b:First>
            <b:Middle>Daniel</b:Middle>
          </b:Person>
        </b:NameList>
      </b:Author>
    </b:Author>
    <b:Title>Implementing Product Diversification Strategiesfor Small and Medium Retail Businesses Sustainability</b:Title>
    <b:Year>2018</b:Year>
    <b:URL>https://scholarworks.waldenu.edu/cgi/viewcontent.cgi?article=6423&amp;context=dissertations</b:URL>
    <b:RefOrder>30</b:RefOrder>
  </b:Source>
  <b:Source>
    <b:Tag>Jha21</b:Tag>
    <b:SourceType>JournalArticle</b:SourceType>
    <b:Guid>{5859F82C-4D04-4378-810C-6B897EF581F8}</b:Guid>
    <b:Author>
      <b:Author>
        <b:NameList>
          <b:Person>
            <b:Last>Jha</b:Last>
            <b:First>Srivardhini</b:First>
            <b:Middle>K.</b:Middle>
          </b:Person>
        </b:NameList>
      </b:Author>
    </b:Author>
    <b:Title>Scaling has remained a challenge for social enterprises, which strive to balance social impact with financial performance to facilitate sustainable development. Product diversification, a common scaling strategy in commercial enterprises, has been recentl</b:Title>
    <b:Year>2021</b:Year>
    <b:URL>https://www.mdpi.com/2071-1050/13/21/11660</b:URL>
    <b:RefOrder>31</b:RefOrder>
  </b:Source>
  <b:Source>
    <b:Tag>Cao24</b:Tag>
    <b:SourceType>JournalArticle</b:SourceType>
    <b:Guid>{A0A5E5EC-4197-4744-B4EE-FBD6E741BD02}</b:Guid>
    <b:Author>
      <b:Author>
        <b:NameList>
          <b:Person>
            <b:Last>Cao</b:Last>
            <b:First>Panpan</b:First>
          </b:Person>
        </b:NameList>
      </b:Author>
    </b:Author>
    <b:Title>The impact of R&amp;D investment and diversification on the innovation performance of enterprises</b:Title>
    <b:Year>2024</b:Year>
    <b:URL>https://www.researchgate.net/publication/383472602_The_impact_of_RD_investment_and_diversification_on_the_innovation_performance_of_enterprises</b:URL>
    <b:RefOrder>32</b:RefOrder>
  </b:Source>
  <b:Source>
    <b:Tag>Str22</b:Tag>
    <b:SourceType>JournalArticle</b:SourceType>
    <b:Guid>{091F9BE4-F55A-4329-A471-C18996052C4D}</b:Guid>
    <b:Author>
      <b:Author>
        <b:NameList>
          <b:Person>
            <b:Last>Struckell</b:Last>
            <b:First>Elisabeth</b:First>
          </b:Person>
        </b:NameList>
      </b:Author>
    </b:Author>
    <b:Title>Strategic choice in times of stagnant growth and uncertainty: An institutional theory and organizational change perspective</b:Title>
    <b:Year>2022</b:Year>
    <b:Volume>182</b:Volume>
    <b:URL>https://www.sciencedirect.com/science/article/pii/S0040162522003638</b:URL>
    <b:RefOrder>33</b:RefOrder>
  </b:Source>
  <b:Source>
    <b:Tag>Gam21</b:Tag>
    <b:SourceType>JournalArticle</b:SourceType>
    <b:Guid>{9072090C-732A-45C5-AC03-A6A403B65C89}</b:Guid>
    <b:Author>
      <b:Author>
        <b:NameList>
          <b:Person>
            <b:Last>Gammeltoft</b:Last>
            <b:First>Peter</b:First>
          </b:Person>
        </b:NameList>
      </b:Author>
    </b:Author>
    <b:Title>Enriching internationalization process theory: insights from the study of emerging market multinationals</b:Title>
    <b:Year>2021</b:Year>
    <b:Volume>27</b:Volume>
    <b:Issue>3</b:Issue>
    <b:URL>https://www.sciencedirect.com/science/article/pii/S1075425321000636</b:URL>
    <b:DOI>10.1016/j.intman.2021.100884</b:DOI>
    <b:RefOrder>34</b:RefOrder>
  </b:Source>
</b:Sources>
</file>

<file path=customXml/itemProps1.xml><?xml version="1.0" encoding="utf-8"?>
<ds:datastoreItem xmlns:ds="http://schemas.openxmlformats.org/officeDocument/2006/customXml" ds:itemID="{D9F54C29-F12E-4A44-8D2A-AEC452732D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6776</Words>
  <Characters>38627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Ezzadin Rowhany</cp:lastModifiedBy>
  <cp:revision>9</cp:revision>
  <cp:lastPrinted>2025-03-02T22:11:00Z</cp:lastPrinted>
  <dcterms:created xsi:type="dcterms:W3CDTF">2025-03-08T18:50:00Z</dcterms:created>
  <dcterms:modified xsi:type="dcterms:W3CDTF">2025-03-09T00:38:00Z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