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w:t>
      </w:r>
      <w:proofErr w:type="spellStart"/>
      <w:r>
        <w:rPr>
          <w:rFonts w:ascii="ae_Cortoba" w:hAnsi="ae_Cortoba" w:cs="ae_Cortoba" w:hint="cs"/>
          <w:b/>
          <w:bCs/>
          <w:sz w:val="28"/>
          <w:szCs w:val="28"/>
          <w:rtl/>
        </w:rPr>
        <w:t>الدكتوراة</w:t>
      </w:r>
      <w:proofErr w:type="spellEnd"/>
    </w:p>
    <w:p w14:paraId="11EFCD21" w14:textId="77777777" w:rsidR="00250688" w:rsidRDefault="00250688" w:rsidP="00250688">
      <w:pPr>
        <w:bidi/>
        <w:spacing w:line="240" w:lineRule="auto"/>
        <w:jc w:val="both"/>
        <w:rPr>
          <w:rFonts w:ascii="Calibri" w:hAnsi="Calibri" w:cs="Times New Roman"/>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3C931220" w14:textId="426AEBAC"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Pr>
          <w:rFonts w:asciiTheme="majorBidi" w:hAnsiTheme="majorBidi" w:cstheme="majorBidi" w:hint="cs"/>
          <w:b/>
          <w:bCs/>
          <w:color w:val="EE0000"/>
          <w:sz w:val="40"/>
          <w:szCs w:val="40"/>
          <w:rtl/>
        </w:rPr>
        <w:t>السابع</w:t>
      </w:r>
      <w:r>
        <w:rPr>
          <w:rFonts w:asciiTheme="majorBidi" w:hAnsiTheme="majorBidi" w:cstheme="majorBidi"/>
          <w:b/>
          <w:bCs/>
          <w:color w:val="EE0000"/>
          <w:sz w:val="40"/>
          <w:szCs w:val="40"/>
          <w:rtl/>
        </w:rPr>
        <w:t xml:space="preserve">: </w:t>
      </w:r>
      <w:r>
        <w:rPr>
          <w:rFonts w:asciiTheme="majorBidi" w:hAnsiTheme="majorBidi" w:cstheme="majorBidi" w:hint="cs"/>
          <w:b/>
          <w:bCs/>
          <w:color w:val="EE0000"/>
          <w:sz w:val="40"/>
          <w:szCs w:val="40"/>
          <w:rtl/>
        </w:rPr>
        <w:t xml:space="preserve">إضافة الفصل الثالث </w:t>
      </w:r>
      <w:proofErr w:type="spellStart"/>
      <w:r>
        <w:rPr>
          <w:rFonts w:asciiTheme="majorBidi" w:hAnsiTheme="majorBidi" w:cstheme="majorBidi" w:hint="cs"/>
          <w:b/>
          <w:bCs/>
          <w:color w:val="EE0000"/>
          <w:sz w:val="40"/>
          <w:szCs w:val="40"/>
          <w:rtl/>
        </w:rPr>
        <w:t>ابتداءاً</w:t>
      </w:r>
      <w:proofErr w:type="spellEnd"/>
      <w:r>
        <w:rPr>
          <w:rFonts w:asciiTheme="majorBidi" w:hAnsiTheme="majorBidi" w:cstheme="majorBidi" w:hint="cs"/>
          <w:b/>
          <w:bCs/>
          <w:color w:val="EE0000"/>
          <w:sz w:val="40"/>
          <w:szCs w:val="40"/>
          <w:rtl/>
        </w:rPr>
        <w:t xml:space="preserve"> من صفحة 107</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w:t>
      </w:r>
      <w:proofErr w:type="spellStart"/>
      <w:r>
        <w:rPr>
          <w:rFonts w:asciiTheme="majorBidi" w:hAnsiTheme="majorBidi" w:cstheme="majorBidi" w:hint="cs"/>
          <w:b/>
          <w:bCs/>
          <w:sz w:val="36"/>
          <w:szCs w:val="36"/>
          <w:rtl/>
        </w:rPr>
        <w:t>ميدأوشن</w:t>
      </w:r>
      <w:proofErr w:type="spellEnd"/>
      <w:r>
        <w:rPr>
          <w:rFonts w:asciiTheme="majorBidi" w:hAnsiTheme="majorBidi" w:cstheme="majorBidi" w:hint="cs"/>
          <w:b/>
          <w:bCs/>
          <w:sz w:val="36"/>
          <w:szCs w:val="36"/>
          <w:rtl/>
        </w:rPr>
        <w:t xml:space="preserve">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DE7F8F">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 xml:space="preserve">حسان صلاح عبد الرحمن </w:t>
            </w:r>
            <w:proofErr w:type="spellStart"/>
            <w:r>
              <w:rPr>
                <w:rFonts w:asciiTheme="majorBidi" w:hAnsiTheme="majorBidi" w:cstheme="majorBidi"/>
                <w:b/>
                <w:bCs/>
                <w:color w:val="0000FF"/>
                <w:sz w:val="36"/>
                <w:szCs w:val="36"/>
                <w:rtl/>
              </w:rPr>
              <w:t>جمبي</w:t>
            </w:r>
            <w:proofErr w:type="spellEnd"/>
          </w:p>
        </w:tc>
      </w:tr>
      <w:tr w:rsidR="00250688" w:rsidRPr="00A97A7C" w14:paraId="7C37EA29" w14:textId="77777777" w:rsidTr="00DE7F8F">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 xml:space="preserve">الرقم </w:t>
            </w:r>
            <w:proofErr w:type="gramStart"/>
            <w:r>
              <w:rPr>
                <w:rFonts w:asciiTheme="majorBidi" w:hAnsiTheme="majorBidi" w:cstheme="majorBidi"/>
                <w:b/>
                <w:bCs/>
                <w:color w:val="000000" w:themeColor="text1"/>
                <w:sz w:val="36"/>
                <w:szCs w:val="36"/>
                <w:rtl/>
              </w:rPr>
              <w:t>الاكاديمي</w:t>
            </w:r>
            <w:proofErr w:type="gramEnd"/>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DE7F8F">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DE7F8F">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459827CA"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w:t>
      </w:r>
      <w:proofErr w:type="gramStart"/>
      <w:r>
        <w:rPr>
          <w:rFonts w:asciiTheme="majorBidi" w:hAnsiTheme="majorBidi" w:cstheme="majorBidi"/>
          <w:b/>
          <w:bCs/>
          <w:color w:val="FF0000"/>
          <w:sz w:val="28"/>
          <w:szCs w:val="28"/>
          <w:rtl/>
        </w:rPr>
        <w:t xml:space="preserve">-  </w:t>
      </w:r>
      <w:proofErr w:type="gramEnd"/>
      <w:r>
        <w:rPr>
          <w:rFonts w:asciiTheme="majorBidi" w:hAnsiTheme="majorBidi" w:cstheme="majorBidi"/>
          <w:b/>
          <w:bCs/>
          <w:color w:val="FF0000"/>
          <w:sz w:val="28"/>
          <w:szCs w:val="28"/>
          <w:rtl/>
        </w:rPr>
        <w:t>202</w:t>
      </w:r>
      <w:r>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6642EE1B" w14:textId="77777777" w:rsidR="00960AA5" w:rsidRDefault="00960AA5" w:rsidP="008535D1">
      <w:pPr>
        <w:jc w:val="center"/>
        <w:rPr>
          <w:rFonts w:asciiTheme="majorBidi" w:hAnsiTheme="majorBidi" w:cstheme="majorBidi"/>
          <w:b/>
          <w:bCs/>
          <w:color w:val="FF0000"/>
          <w:sz w:val="28"/>
          <w:szCs w:val="28"/>
        </w:rPr>
      </w:pPr>
    </w:p>
    <w:p w14:paraId="44171F37" w14:textId="77777777" w:rsidR="00F91E80" w:rsidRPr="00BC5F38" w:rsidRDefault="00F91E80" w:rsidP="00F219B4">
      <w:pPr>
        <w:jc w:val="center"/>
        <w:rPr>
          <w:rFonts w:asciiTheme="majorBidi" w:hAnsiTheme="majorBidi" w:cstheme="majorBidi"/>
          <w:b/>
          <w:bCs/>
          <w:sz w:val="24"/>
          <w:szCs w:val="24"/>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 xml:space="preserve">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w:t>
      </w:r>
      <w:proofErr w:type="spellStart"/>
      <w:r>
        <w:rPr>
          <w:rFonts w:asciiTheme="majorBidi" w:hAnsiTheme="majorBidi" w:cstheme="majorBidi"/>
          <w:sz w:val="24"/>
          <w:szCs w:val="24"/>
          <w:rtl/>
        </w:rPr>
        <w:t>التنبؤية</w:t>
      </w:r>
      <w:proofErr w:type="spellEnd"/>
      <w:r>
        <w:rPr>
          <w:rFonts w:asciiTheme="majorBidi" w:hAnsiTheme="majorBidi" w:cstheme="majorBidi"/>
          <w:sz w:val="24"/>
          <w:szCs w:val="24"/>
          <w:rtl/>
        </w:rPr>
        <w:t xml:space="preserve">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أكدت فيها على ضرورة تقليل المخاطر المحتملة والأضرار غير </w:t>
      </w:r>
      <w:proofErr w:type="gramStart"/>
      <w:r>
        <w:rPr>
          <w:rFonts w:asciiTheme="majorBidi" w:hAnsiTheme="majorBidi" w:cstheme="majorBidi"/>
          <w:sz w:val="24"/>
          <w:szCs w:val="24"/>
          <w:rtl/>
        </w:rPr>
        <w:t>المقصودة ،</w:t>
      </w:r>
      <w:proofErr w:type="gramEnd"/>
      <w:r>
        <w:rPr>
          <w:rFonts w:asciiTheme="majorBidi" w:hAnsiTheme="majorBidi" w:cstheme="majorBidi"/>
          <w:sz w:val="24"/>
          <w:szCs w:val="24"/>
          <w:rtl/>
        </w:rPr>
        <w:t xml:space="preserve">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68F9FC9B"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w:t>
      </w:r>
      <w:proofErr w:type="gramStart"/>
      <w:r>
        <w:rPr>
          <w:rFonts w:asciiTheme="majorBidi" w:hAnsiTheme="majorBidi" w:cstheme="majorBidi"/>
          <w:sz w:val="24"/>
          <w:szCs w:val="24"/>
          <w:rtl/>
        </w:rPr>
        <w:t>) :</w:t>
      </w:r>
      <w:proofErr w:type="gramEnd"/>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w:t>
      </w:r>
      <w:r>
        <w:rPr>
          <w:rFonts w:asciiTheme="majorBidi" w:hAnsiTheme="majorBidi" w:cstheme="majorBidi"/>
          <w:color w:val="000000" w:themeColor="text1"/>
          <w:sz w:val="24"/>
          <w:szCs w:val="24"/>
          <w:rtl/>
        </w:rPr>
        <w:lastRenderedPageBreak/>
        <w:t>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A299C0F"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954D68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16B69BD0"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68438D3" w14:textId="329CFE3E" w:rsidR="00AD4C3C" w:rsidRDefault="00AD4C3C" w:rsidP="00AD4C3C">
      <w:pPr>
        <w:bidi/>
        <w:spacing w:after="200" w:line="276" w:lineRule="auto"/>
        <w:rPr>
          <w:rFonts w:asciiTheme="majorBidi" w:hAnsiTheme="majorBidi" w:cstheme="majorBidi"/>
          <w:sz w:val="24"/>
          <w:szCs w:val="24"/>
        </w:rPr>
      </w:pPr>
      <w:proofErr w:type="gramStart"/>
      <w:r>
        <w:rPr>
          <w:rFonts w:asciiTheme="majorBidi" w:hAnsiTheme="majorBidi" w:cstheme="majorBidi"/>
          <w:sz w:val="24"/>
          <w:szCs w:val="24"/>
          <w:rtl/>
        </w:rPr>
        <w:t xml:space="preserve">وعليه،  </w:t>
      </w:r>
      <w:r>
        <w:rPr>
          <w:rFonts w:asciiTheme="majorBidi" w:hAnsiTheme="majorBidi" w:cstheme="majorBidi" w:hint="cs"/>
          <w:sz w:val="24"/>
          <w:szCs w:val="24"/>
          <w:rtl/>
        </w:rPr>
        <w:t>فإن</w:t>
      </w:r>
      <w:proofErr w:type="gramEnd"/>
      <w:r>
        <w:rPr>
          <w:rFonts w:asciiTheme="majorBidi" w:hAnsiTheme="majorBidi" w:cstheme="majorBidi" w:hint="cs"/>
          <w:sz w:val="24"/>
          <w:szCs w:val="24"/>
          <w:rtl/>
        </w:rPr>
        <w:t xml:space="preserve"> هذه</w:t>
      </w:r>
      <w:r>
        <w:rPr>
          <w:rFonts w:asciiTheme="majorBidi" w:hAnsiTheme="majorBidi" w:cstheme="majorBidi"/>
          <w:sz w:val="24"/>
          <w:szCs w:val="24"/>
          <w:rtl/>
        </w:rPr>
        <w:t xml:space="preserve"> الدراسة </w:t>
      </w:r>
      <w:r>
        <w:rPr>
          <w:rFonts w:asciiTheme="majorBidi" w:hAnsiTheme="majorBidi" w:cstheme="majorBidi" w:hint="cs"/>
          <w:sz w:val="24"/>
          <w:szCs w:val="24"/>
          <w:rtl/>
        </w:rPr>
        <w:t xml:space="preserve"> تدور حول </w:t>
      </w:r>
      <w:r>
        <w:rPr>
          <w:rFonts w:asciiTheme="majorBidi" w:hAnsiTheme="majorBidi" w:cstheme="majorBidi" w:hint="cs"/>
          <w:b/>
          <w:bCs/>
          <w:sz w:val="24"/>
          <w:szCs w:val="24"/>
          <w:rtl/>
        </w:rPr>
        <w:t>مدى</w:t>
      </w:r>
      <w:r>
        <w:rPr>
          <w:rFonts w:asciiTheme="majorBidi" w:hAnsiTheme="majorBidi" w:cstheme="majorBidi" w:hint="cs"/>
          <w:sz w:val="24"/>
          <w:szCs w:val="24"/>
          <w:rtl/>
        </w:rPr>
        <w:t xml:space="preserve"> </w:t>
      </w:r>
      <w:r>
        <w:rPr>
          <w:rFonts w:asciiTheme="majorBidi" w:hAnsiTheme="majorBidi" w:cstheme="majorBidi" w:hint="cs"/>
          <w:b/>
          <w:bCs/>
          <w:sz w:val="24"/>
          <w:szCs w:val="24"/>
          <w:rtl/>
        </w:rPr>
        <w:t>قدرة</w:t>
      </w:r>
      <w:r>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w:t>
      </w:r>
      <w:r>
        <w:rPr>
          <w:rFonts w:asciiTheme="majorBidi" w:hAnsiTheme="majorBidi" w:cstheme="majorBidi"/>
          <w:color w:val="000000" w:themeColor="text1"/>
          <w:sz w:val="24"/>
          <w:szCs w:val="24"/>
          <w:rtl/>
        </w:rPr>
        <w:lastRenderedPageBreak/>
        <w:t>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F914DE">
      <w:pPr>
        <w:bidi/>
        <w:spacing w:after="200" w:line="276" w:lineRule="auto"/>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7FC407D8"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1E6DF690"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7B98A6FC"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2A4B05FD"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1B3178E1"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3F70B88"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7B303501" w14:textId="77777777" w:rsidR="006363BC" w:rsidRPr="00BC5F38" w:rsidRDefault="006363BC" w:rsidP="00F914DE">
      <w:pPr>
        <w:rPr>
          <w:rFonts w:ascii="Traditional Arabic" w:hAnsi="Traditional Arabic" w:cs="Traditional Arabic"/>
          <w:b/>
          <w:bCs/>
          <w:sz w:val="24"/>
          <w:szCs w:val="24"/>
        </w:rPr>
      </w:pPr>
    </w:p>
    <w:p w14:paraId="036E6FF6" w14:textId="77777777" w:rsidR="006363BC" w:rsidRPr="00BC5F38" w:rsidRDefault="006363BC" w:rsidP="00F914DE">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2FA1E58"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306B0A09"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commentRangeStart w:id="0"/>
      <w:commentRangeStart w:id="1"/>
      <w:r>
        <w:rPr>
          <w:rFonts w:asciiTheme="majorBidi" w:hAnsiTheme="majorBidi" w:cstheme="majorBidi"/>
          <w:color w:val="000000" w:themeColor="text1"/>
          <w:sz w:val="24"/>
          <w:szCs w:val="24"/>
          <w:rtl/>
        </w:rPr>
        <w:t>ما أوجه القصور التشريعي في المنظومة النظامية السعودية مقارنةً بالتجارب المقارنة المختارة، وهي: التجربة الإماراتية، واللائحة الأوروبية للذكاء الاصطناعي (2024/1689)، ومسار التنظيم المهني الأمريكي</w:t>
      </w:r>
      <w:commentRangeEnd w:id="0"/>
      <w:r>
        <w:rPr>
          <w:rStyle w:val="af0"/>
          <w:rFonts w:asciiTheme="majorBidi" w:hAnsiTheme="majorBidi" w:cstheme="majorBidi"/>
          <w:color w:val="000000" w:themeColor="text1"/>
          <w:sz w:val="24"/>
          <w:szCs w:val="24"/>
          <w:rtl/>
        </w:rPr>
        <w:commentReference w:id="0"/>
      </w:r>
      <w:commentRangeEnd w:id="1"/>
      <w:r>
        <w:rPr>
          <w:rStyle w:val="af0"/>
          <w:rFonts w:asciiTheme="majorBidi" w:hAnsiTheme="majorBidi" w:cstheme="majorBidi"/>
          <w:color w:val="000000" w:themeColor="text1"/>
          <w:sz w:val="24"/>
          <w:szCs w:val="24"/>
          <w:rtl/>
        </w:rPr>
        <w:commentReference w:id="1"/>
      </w:r>
      <w:r>
        <w:rPr>
          <w:rFonts w:asciiTheme="majorBidi" w:hAnsiTheme="majorBidi" w:cstheme="majorBidi"/>
          <w:color w:val="000000" w:themeColor="text1"/>
          <w:sz w:val="24"/>
          <w:szCs w:val="24"/>
          <w:rtl/>
        </w:rPr>
        <w:t xml:space="preserve">، وما </w:t>
      </w:r>
      <w:r>
        <w:rPr>
          <w:rFonts w:asciiTheme="majorBidi" w:hAnsiTheme="majorBidi" w:cstheme="majorBidi"/>
          <w:color w:val="000000" w:themeColor="text1"/>
          <w:sz w:val="24"/>
          <w:szCs w:val="24"/>
          <w:rtl/>
        </w:rPr>
        <w:lastRenderedPageBreak/>
        <w:t>التصوّر التنظيمي المتكامل الذي يُوازن بين الكفاءة التقنية والحماية النظامية بما ينسجم مع مستهدفات التحول العدلي الرقمي في رؤية المملكة 2030؟</w:t>
      </w:r>
    </w:p>
    <w:p w14:paraId="0764D2D9" w14:textId="77777777" w:rsidR="00F91E80" w:rsidRPr="00BC5F38" w:rsidRDefault="00F91E80" w:rsidP="00F914DE">
      <w:pPr>
        <w:bidi/>
        <w:spacing w:after="200" w:line="276" w:lineRule="auto"/>
        <w:jc w:val="both"/>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50718B0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0A84D6C9"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proofErr w:type="gramStart"/>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proofErr w:type="gramEnd"/>
      <w:r>
        <w:rPr>
          <w:rFonts w:asciiTheme="majorBidi" w:hAnsiTheme="majorBidi" w:cstheme="majorBidi"/>
          <w:color w:val="000000" w:themeColor="text1"/>
          <w:sz w:val="24"/>
          <w:szCs w:val="24"/>
        </w:rPr>
        <w:br/>
        <w:t> </w:t>
      </w:r>
    </w:p>
    <w:p w14:paraId="25308C9A" w14:textId="77777777" w:rsidR="00292EA9" w:rsidRPr="00BC5F38" w:rsidRDefault="00292EA9" w:rsidP="00292EA9">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الدراسات المرجعية </w:t>
      </w:r>
      <w:proofErr w:type="gramStart"/>
      <w:r>
        <w:rPr>
          <w:rFonts w:asciiTheme="majorBidi" w:hAnsiTheme="majorBidi" w:cstheme="majorBidi" w:hint="cs"/>
          <w:b/>
          <w:bCs/>
          <w:color w:val="000000" w:themeColor="text1"/>
          <w:sz w:val="28"/>
          <w:szCs w:val="28"/>
          <w:rtl/>
        </w:rPr>
        <w:t>السابقة :</w:t>
      </w:r>
      <w:proofErr w:type="gramEnd"/>
    </w:p>
    <w:p w14:paraId="528EB088"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7174146"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622FFB89"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تناولت الدراسة العلاقة بين الفقه الإسلامي والنظام السعودي بشأن المسؤولية المدنية الناشئة عن الأضرار </w:t>
      </w:r>
      <w:r>
        <w:rPr>
          <w:rFonts w:asciiTheme="majorBidi" w:hAnsiTheme="majorBidi" w:cstheme="majorBidi"/>
          <w:sz w:val="24"/>
          <w:szCs w:val="24"/>
          <w:rtl/>
        </w:rPr>
        <w:lastRenderedPageBreak/>
        <w:t>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65D1A031" w14:textId="77777777" w:rsidR="00292EA9" w:rsidRPr="00BC5F38" w:rsidRDefault="00292EA9" w:rsidP="00292EA9">
      <w:pPr>
        <w:bidi/>
        <w:spacing w:after="200" w:line="276" w:lineRule="auto"/>
        <w:rPr>
          <w:rFonts w:asciiTheme="majorBidi" w:hAnsiTheme="majorBidi" w:cstheme="majorBidi"/>
          <w:sz w:val="24"/>
          <w:szCs w:val="24"/>
        </w:rPr>
      </w:pPr>
      <w:proofErr w:type="gramStart"/>
      <w:r>
        <w:rPr>
          <w:rFonts w:asciiTheme="majorBidi" w:hAnsiTheme="majorBidi" w:cstheme="majorBidi"/>
          <w:b/>
          <w:bCs/>
          <w:sz w:val="24"/>
          <w:szCs w:val="24"/>
        </w:rPr>
        <w:t xml:space="preserve">-3 </w:t>
      </w:r>
      <w:proofErr w:type="spellStart"/>
      <w:r>
        <w:rPr>
          <w:rFonts w:asciiTheme="majorBidi" w:hAnsiTheme="majorBidi" w:cstheme="majorBidi"/>
          <w:b/>
          <w:bCs/>
          <w:sz w:val="24"/>
          <w:szCs w:val="24"/>
          <w:rtl/>
        </w:rPr>
        <w:t>الغنامي</w:t>
      </w:r>
      <w:proofErr w:type="spellEnd"/>
      <w:proofErr w:type="gramEnd"/>
      <w:r>
        <w:rPr>
          <w:rFonts w:asciiTheme="majorBidi" w:hAnsiTheme="majorBidi" w:cstheme="majorBidi"/>
          <w:b/>
          <w:bCs/>
          <w:sz w:val="24"/>
          <w:szCs w:val="24"/>
          <w:rtl/>
        </w:rPr>
        <w:t xml:space="preserve">، نايف بن </w:t>
      </w:r>
      <w:proofErr w:type="spellStart"/>
      <w:r>
        <w:rPr>
          <w:rFonts w:asciiTheme="majorBidi" w:hAnsiTheme="majorBidi" w:cstheme="majorBidi"/>
          <w:b/>
          <w:bCs/>
          <w:sz w:val="24"/>
          <w:szCs w:val="24"/>
          <w:rtl/>
        </w:rPr>
        <w:t>ناشي</w:t>
      </w:r>
      <w:proofErr w:type="spellEnd"/>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35FB6772" w14:textId="6EC2C68F"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hint="cs"/>
          <w:sz w:val="24"/>
          <w:szCs w:val="24"/>
          <w:rtl/>
        </w:rPr>
        <w:t>شرحت</w:t>
      </w:r>
      <w:r>
        <w:rPr>
          <w:rFonts w:asciiTheme="majorBidi" w:hAnsiTheme="majorBidi" w:cstheme="majorBidi"/>
          <w:sz w:val="24"/>
          <w:szCs w:val="24"/>
          <w:rtl/>
        </w:rPr>
        <w:t xml:space="preserve"> العقود الذكية (</w:t>
      </w:r>
      <w:proofErr w:type="spellStart"/>
      <w:r>
        <w:rPr>
          <w:rFonts w:asciiTheme="majorBidi" w:hAnsiTheme="majorBidi" w:cstheme="majorBidi"/>
          <w:sz w:val="24"/>
          <w:szCs w:val="24"/>
          <w:rtl/>
        </w:rPr>
        <w:t>Smart</w:t>
      </w:r>
      <w:proofErr w:type="spellEnd"/>
      <w:r>
        <w:rPr>
          <w:rFonts w:asciiTheme="majorBidi" w:hAnsiTheme="majorBidi" w:cstheme="majorBidi"/>
          <w:sz w:val="24"/>
          <w:szCs w:val="24"/>
          <w:rtl/>
        </w:rPr>
        <w:t xml:space="preserve"> Contracts — تقنية مرتبطة </w:t>
      </w:r>
      <w:proofErr w:type="spellStart"/>
      <w:r>
        <w:rPr>
          <w:rFonts w:asciiTheme="majorBidi" w:hAnsiTheme="majorBidi" w:cstheme="majorBidi"/>
          <w:sz w:val="24"/>
          <w:szCs w:val="24"/>
          <w:rtl/>
        </w:rPr>
        <w:t>بالبلوكشين</w:t>
      </w:r>
      <w:proofErr w:type="spellEnd"/>
      <w:r>
        <w:rPr>
          <w:rFonts w:asciiTheme="majorBidi" w:hAnsiTheme="majorBidi" w:cstheme="majorBidi"/>
          <w:sz w:val="24"/>
          <w:szCs w:val="24"/>
          <w:rtl/>
        </w:rPr>
        <w:t>،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08BC4C9F" w14:textId="0BA59EC5" w:rsidR="00292EA9" w:rsidRDefault="009A44B7" w:rsidP="00292EA9">
      <w:pPr>
        <w:jc w:val="both"/>
        <w:rPr>
          <w:rFonts w:asciiTheme="majorBidi" w:hAnsiTheme="majorBidi" w:cstheme="majorBidi"/>
          <w:sz w:val="24"/>
          <w:szCs w:val="24"/>
          <w:rtl/>
        </w:rPr>
      </w:pPr>
      <w:r>
        <w:rPr>
          <w:rFonts w:asciiTheme="majorBidi" w:hAnsiTheme="majorBidi" w:cstheme="majorBidi" w:hint="cs"/>
          <w:sz w:val="24"/>
          <w:szCs w:val="24"/>
          <w:rtl/>
        </w:rPr>
        <w:t xml:space="preserve">كما بينت </w:t>
      </w:r>
      <w:proofErr w:type="gramStart"/>
      <w:r>
        <w:rPr>
          <w:rFonts w:asciiTheme="majorBidi" w:hAnsiTheme="majorBidi" w:cstheme="majorBidi" w:hint="cs"/>
          <w:sz w:val="24"/>
          <w:szCs w:val="24"/>
          <w:rtl/>
        </w:rPr>
        <w:t xml:space="preserve">ماهية </w:t>
      </w:r>
      <w:r>
        <w:rPr>
          <w:rFonts w:asciiTheme="majorBidi" w:hAnsiTheme="majorBidi" w:cstheme="majorBidi"/>
          <w:sz w:val="24"/>
          <w:szCs w:val="24"/>
          <w:rtl/>
        </w:rPr>
        <w:t xml:space="preserve"> العقود</w:t>
      </w:r>
      <w:proofErr w:type="gramEnd"/>
      <w:r>
        <w:rPr>
          <w:rFonts w:asciiTheme="majorBidi" w:hAnsiTheme="majorBidi" w:cstheme="majorBidi"/>
          <w:sz w:val="24"/>
          <w:szCs w:val="24"/>
          <w:rtl/>
        </w:rPr>
        <w:t xml:space="preserve"> الذكية — وهي برامج تنفيذية ذاتية مشفّرة على شبكة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قد يتشابكان في بعض التطبيقات المتقدمة، فإن العقد الذكي في جوهره لا يعتمد على نماذج لغوية أو تعلم ذاتي، بل على رمز برمجي ثابت مُبرمَج مسبقًا.</w:t>
      </w:r>
      <w:r>
        <w:rPr>
          <w:rtl/>
        </w:rPr>
        <w:footnoteReference w:id="4"/>
      </w:r>
    </w:p>
    <w:p w14:paraId="75C91ECE" w14:textId="197AD378"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FAFC1F7" w14:textId="4D154678" w:rsidR="00292EA9" w:rsidRPr="00BC5F38" w:rsidRDefault="009A44B7" w:rsidP="00292EA9">
      <w:pPr>
        <w:bidi/>
        <w:spacing w:after="200" w:line="276" w:lineRule="auto"/>
        <w:rPr>
          <w:rFonts w:asciiTheme="majorBidi" w:hAnsiTheme="majorBidi" w:cstheme="majorBidi"/>
          <w:sz w:val="24"/>
          <w:szCs w:val="24"/>
        </w:rPr>
      </w:pPr>
      <w:proofErr w:type="spellStart"/>
      <w:r>
        <w:rPr>
          <w:rFonts w:asciiTheme="majorBidi" w:hAnsiTheme="majorBidi" w:cstheme="majorBidi" w:hint="cs"/>
          <w:b/>
          <w:bCs/>
          <w:sz w:val="24"/>
          <w:szCs w:val="24"/>
          <w:rtl/>
        </w:rPr>
        <w:t>ماتميزت</w:t>
      </w:r>
      <w:proofErr w:type="spellEnd"/>
      <w:r>
        <w:rPr>
          <w:rFonts w:asciiTheme="majorBidi" w:hAnsiTheme="majorBidi" w:cstheme="majorBidi" w:hint="cs"/>
          <w:b/>
          <w:bCs/>
          <w:sz w:val="24"/>
          <w:szCs w:val="24"/>
          <w:rtl/>
        </w:rPr>
        <w:t xml:space="preserve"> به الدراسة </w:t>
      </w:r>
      <w:proofErr w:type="gramStart"/>
      <w:r>
        <w:rPr>
          <w:rFonts w:asciiTheme="majorBidi" w:hAnsiTheme="majorBidi" w:cstheme="majorBidi" w:hint="cs"/>
          <w:b/>
          <w:bCs/>
          <w:sz w:val="24"/>
          <w:szCs w:val="24"/>
          <w:rtl/>
        </w:rPr>
        <w:t>الحالية</w:t>
      </w:r>
      <w:r>
        <w:rPr>
          <w:rFonts w:asciiTheme="majorBidi" w:hAnsiTheme="majorBidi" w:cstheme="majorBidi" w:hint="cs"/>
          <w:sz w:val="24"/>
          <w:szCs w:val="24"/>
          <w:rtl/>
        </w:rPr>
        <w:t xml:space="preserve"> :</w:t>
      </w:r>
      <w:r>
        <w:rPr>
          <w:rFonts w:asciiTheme="majorBidi" w:hAnsiTheme="majorBidi" w:cstheme="majorBidi"/>
          <w:sz w:val="24"/>
          <w:szCs w:val="24"/>
          <w:rtl/>
        </w:rPr>
        <w:t>على</w:t>
      </w:r>
      <w:proofErr w:type="gramEnd"/>
      <w:r>
        <w:rPr>
          <w:rFonts w:asciiTheme="majorBidi" w:hAnsiTheme="majorBidi" w:cstheme="majorBidi"/>
          <w:sz w:val="24"/>
          <w:szCs w:val="24"/>
          <w:rtl/>
        </w:rPr>
        <w:t xml:space="preserve"> الرغم من القيمة العلمية لكل دراسة من الدراسات السابقة، إلا أن أياً منها لم تتناول بشكل مباشر</w:t>
      </w:r>
      <w:r>
        <w:rPr>
          <w:rFonts w:asciiTheme="majorBidi" w:hAnsiTheme="majorBidi" w:cstheme="majorBidi"/>
          <w:sz w:val="24"/>
          <w:szCs w:val="24"/>
        </w:rPr>
        <w:t>:</w:t>
      </w:r>
    </w:p>
    <w:p w14:paraId="54B107C2"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26836DF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1B1DE04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4315423" w14:textId="77777777" w:rsidR="00292EA9" w:rsidRPr="00BC5F38"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5375AED6" w14:textId="77777777" w:rsidR="00292EA9" w:rsidRPr="00BC5F38" w:rsidRDefault="00292EA9" w:rsidP="00292EA9">
      <w:pPr>
        <w:bidi/>
        <w:spacing w:after="200" w:line="276" w:lineRule="auto"/>
        <w:rPr>
          <w:rFonts w:asciiTheme="majorBidi" w:hAnsiTheme="majorBidi" w:cstheme="majorBidi"/>
          <w:sz w:val="24"/>
          <w:szCs w:val="24"/>
          <w:rtl/>
        </w:rPr>
      </w:pPr>
    </w:p>
    <w:p w14:paraId="0A653019" w14:textId="64C125B3" w:rsidR="008C5A8E" w:rsidRPr="00BC5F38" w:rsidRDefault="008C5A8E" w:rsidP="00292EA9">
      <w:pPr>
        <w:jc w:val="right"/>
        <w:rPr>
          <w:rFonts w:asciiTheme="majorBidi" w:hAnsiTheme="majorBidi" w:cstheme="majorBidi"/>
          <w:sz w:val="24"/>
          <w:szCs w:val="24"/>
          <w:rtl/>
        </w:rPr>
      </w:pPr>
    </w:p>
    <w:p w14:paraId="3A2C0EA2" w14:textId="77777777" w:rsidR="006713B6" w:rsidRPr="00BC5F38" w:rsidRDefault="006713B6" w:rsidP="00ED18A5">
      <w:pPr>
        <w:rPr>
          <w:rFonts w:asciiTheme="majorBidi" w:hAnsiTheme="majorBidi" w:cstheme="majorBidi"/>
          <w:b/>
          <w:bCs/>
          <w:color w:val="000000" w:themeColor="text1"/>
          <w:sz w:val="24"/>
          <w:szCs w:val="24"/>
        </w:rPr>
      </w:pPr>
    </w:p>
    <w:p w14:paraId="495296F6" w14:textId="3571F2C1"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خطة الدراسة:</w:t>
      </w:r>
    </w:p>
    <w:p w14:paraId="506E54BD" w14:textId="169008B2" w:rsidR="001E4959" w:rsidRPr="00BC5F38" w:rsidRDefault="009E2938" w:rsidP="00065298">
      <w:pPr>
        <w:jc w:val="right"/>
        <w:rPr>
          <w:rFonts w:asciiTheme="majorBidi" w:hAnsiTheme="majorBidi" w:cstheme="majorBidi"/>
          <w:color w:val="000000" w:themeColor="text1"/>
          <w:sz w:val="24"/>
          <w:szCs w:val="24"/>
          <w:rtl/>
        </w:rPr>
      </w:pPr>
      <w:proofErr w:type="gramStart"/>
      <w:r>
        <w:rPr>
          <w:rFonts w:asciiTheme="majorBidi" w:hAnsiTheme="majorBidi" w:cstheme="majorBidi" w:hint="cs"/>
          <w:b/>
          <w:bCs/>
          <w:color w:val="000000" w:themeColor="text1"/>
          <w:sz w:val="24"/>
          <w:szCs w:val="24"/>
          <w:rtl/>
        </w:rPr>
        <w:lastRenderedPageBreak/>
        <w:t>المقدمة :</w:t>
      </w:r>
      <w:proofErr w:type="gramEnd"/>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w:t>
      </w:r>
      <w:proofErr w:type="gramStart"/>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w:t>
      </w:r>
      <w:proofErr w:type="gramEnd"/>
      <w:r>
        <w:rPr>
          <w:rFonts w:asciiTheme="majorBidi" w:hAnsiTheme="majorBidi" w:cstheme="majorBidi"/>
          <w:b/>
          <w:bCs/>
          <w:color w:val="000000" w:themeColor="text1"/>
          <w:sz w:val="24"/>
          <w:szCs w:val="24"/>
          <w:rtl/>
        </w:rPr>
        <w:t xml:space="preserve">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33EBA79E" w14:textId="4E22155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المطلب الأول: طبيعة الاستخدامات الفردية </w:t>
      </w:r>
      <w:proofErr w:type="spellStart"/>
      <w:r>
        <w:rPr>
          <w:rFonts w:asciiTheme="majorBidi" w:hAnsiTheme="majorBidi" w:cstheme="majorBidi"/>
          <w:color w:val="000000" w:themeColor="text1"/>
          <w:sz w:val="24"/>
          <w:szCs w:val="24"/>
          <w:rtl/>
        </w:rPr>
        <w:t>ومخاطرها</w:t>
      </w:r>
      <w:proofErr w:type="spellEnd"/>
      <w:r>
        <w:rPr>
          <w:rFonts w:asciiTheme="majorBidi" w:hAnsiTheme="majorBidi" w:cstheme="majorBidi"/>
          <w:color w:val="000000" w:themeColor="text1"/>
          <w:sz w:val="24"/>
          <w:szCs w:val="24"/>
          <w:rtl/>
        </w:rPr>
        <w:t xml:space="preserve">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14B008EC"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lastRenderedPageBreak/>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C702A9"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w:t>
      </w:r>
      <w:proofErr w:type="spellStart"/>
      <w:r>
        <w:rPr>
          <w:rFonts w:asciiTheme="majorBidi" w:hAnsiTheme="majorBidi" w:cstheme="majorBidi"/>
          <w:color w:val="000000" w:themeColor="text1"/>
          <w:sz w:val="24"/>
          <w:szCs w:val="24"/>
          <w:rtl/>
        </w:rPr>
        <w:t>والإخطارات</w:t>
      </w:r>
      <w:proofErr w:type="spellEnd"/>
      <w:r>
        <w:rPr>
          <w:rFonts w:asciiTheme="majorBidi" w:hAnsiTheme="majorBidi" w:cstheme="majorBidi"/>
          <w:color w:val="000000" w:themeColor="text1"/>
          <w:sz w:val="24"/>
          <w:szCs w:val="24"/>
          <w:rtl/>
        </w:rPr>
        <w:t xml:space="preserve">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هذا السياق، يسعى الفصل إلى بيان مدى جاهزية الإطار النظامي السعودي لاستيعاب التحولات التقنية، ومدى اتساقه مع المبادئ الأخلاقية التي </w:t>
      </w:r>
      <w:proofErr w:type="spellStart"/>
      <w:r>
        <w:rPr>
          <w:rFonts w:asciiTheme="majorBidi" w:hAnsiTheme="majorBidi" w:cstheme="majorBidi"/>
          <w:color w:val="000000" w:themeColor="text1"/>
          <w:sz w:val="24"/>
          <w:szCs w:val="24"/>
          <w:rtl/>
        </w:rPr>
        <w:t>أرستها</w:t>
      </w:r>
      <w:proofErr w:type="spellEnd"/>
      <w:r>
        <w:rPr>
          <w:rFonts w:asciiTheme="majorBidi" w:hAnsiTheme="majorBidi" w:cstheme="majorBidi"/>
          <w:color w:val="000000" w:themeColor="text1"/>
          <w:sz w:val="24"/>
          <w:szCs w:val="24"/>
          <w:rtl/>
        </w:rPr>
        <w:t xml:space="preserve">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 وهي وثيقة </w:t>
      </w:r>
      <w:proofErr w:type="spellStart"/>
      <w:r>
        <w:rPr>
          <w:rFonts w:asciiTheme="majorBidi" w:hAnsiTheme="majorBidi" w:cstheme="majorBidi"/>
          <w:color w:val="000000" w:themeColor="text1"/>
          <w:sz w:val="24"/>
          <w:szCs w:val="24"/>
          <w:rtl/>
        </w:rPr>
        <w:t>استرشادية</w:t>
      </w:r>
      <w:proofErr w:type="spellEnd"/>
      <w:r>
        <w:rPr>
          <w:rFonts w:asciiTheme="majorBidi" w:hAnsiTheme="majorBidi" w:cstheme="majorBidi"/>
          <w:color w:val="000000" w:themeColor="text1"/>
          <w:sz w:val="24"/>
          <w:szCs w:val="24"/>
          <w:rtl/>
        </w:rPr>
        <w:t xml:space="preserve">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ويُقسَّم هذا الفصل إلى مبحثين </w:t>
      </w:r>
      <w:proofErr w:type="gramStart"/>
      <w:r>
        <w:rPr>
          <w:rFonts w:asciiTheme="majorBidi" w:hAnsiTheme="majorBidi" w:cstheme="majorBidi"/>
          <w:b/>
          <w:bCs/>
          <w:color w:val="000000" w:themeColor="text1"/>
          <w:sz w:val="24"/>
          <w:szCs w:val="24"/>
          <w:rtl/>
        </w:rPr>
        <w:t>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يتناول</w:t>
      </w:r>
      <w:proofErr w:type="gramEnd"/>
      <w:r>
        <w:rPr>
          <w:rFonts w:asciiTheme="majorBidi" w:hAnsiTheme="majorBidi" w:cstheme="majorBidi"/>
          <w:color w:val="000000" w:themeColor="text1"/>
          <w:sz w:val="24"/>
          <w:szCs w:val="24"/>
          <w:rtl/>
        </w:rPr>
        <w:t xml:space="preserve">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lastRenderedPageBreak/>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وتضع اللائحة التنفيذية لنظام المحاماة التفاصيل الإجرائية التي تُعمّق الاشتراطات التي </w:t>
      </w:r>
      <w:proofErr w:type="spellStart"/>
      <w:r>
        <w:rPr>
          <w:rFonts w:asciiTheme="majorBidi" w:hAnsiTheme="majorBidi" w:cstheme="majorBidi"/>
          <w:sz w:val="24"/>
          <w:szCs w:val="24"/>
          <w:rtl/>
        </w:rPr>
        <w:t>أرساها</w:t>
      </w:r>
      <w:proofErr w:type="spellEnd"/>
      <w:r>
        <w:rPr>
          <w:rFonts w:asciiTheme="majorBidi" w:hAnsiTheme="majorBidi" w:cstheme="majorBidi"/>
          <w:sz w:val="24"/>
          <w:szCs w:val="24"/>
          <w:rtl/>
        </w:rPr>
        <w:t xml:space="preserve">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يعالج المطلب الأول نظام المحاماة واللائحة التنفيذية بوصفهما الإطار القانوني الأساس لممارسة </w:t>
      </w:r>
      <w:proofErr w:type="gramStart"/>
      <w:r>
        <w:rPr>
          <w:rFonts w:asciiTheme="majorBidi" w:hAnsiTheme="majorBidi" w:cstheme="majorBidi"/>
          <w:color w:val="000000" w:themeColor="text1"/>
          <w:sz w:val="24"/>
          <w:szCs w:val="24"/>
          <w:rtl/>
        </w:rPr>
        <w:t>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w:t>
      </w:r>
      <w:proofErr w:type="gramEnd"/>
      <w:r>
        <w:rPr>
          <w:rFonts w:asciiTheme="majorBidi" w:hAnsiTheme="majorBidi" w:cstheme="majorBidi"/>
          <w:color w:val="000000" w:themeColor="text1"/>
          <w:sz w:val="24"/>
          <w:szCs w:val="24"/>
          <w:rtl/>
        </w:rPr>
        <w:t xml:space="preserve">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lastRenderedPageBreak/>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w:t>
      </w:r>
      <w:proofErr w:type="gramStart"/>
      <w:r>
        <w:rPr>
          <w:rFonts w:asciiTheme="majorBidi" w:hAnsiTheme="majorBidi" w:cstheme="majorBidi" w:hint="cs"/>
          <w:b/>
          <w:bCs/>
          <w:color w:val="000000" w:themeColor="text1"/>
          <w:sz w:val="24"/>
          <w:szCs w:val="24"/>
          <w:rtl/>
        </w:rPr>
        <w:t>المواد :</w:t>
      </w:r>
      <w:proofErr w:type="gramEnd"/>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عالج جانب من الفقه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وتضمنت المادة الأولى من النظام </w:t>
      </w:r>
      <w:proofErr w:type="gramStart"/>
      <w:r>
        <w:rPr>
          <w:rFonts w:asciiTheme="majorBidi" w:hAnsiTheme="majorBidi" w:cstheme="majorBidi"/>
          <w:color w:val="000000" w:themeColor="text1"/>
          <w:sz w:val="24"/>
          <w:szCs w:val="24"/>
          <w:rtl/>
        </w:rPr>
        <w:t>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w:t>
      </w:r>
      <w:proofErr w:type="gramEnd"/>
      <w:r>
        <w:rPr>
          <w:rFonts w:asciiTheme="majorBidi" w:hAnsiTheme="majorBidi" w:cstheme="majorBidi"/>
          <w:color w:val="000000" w:themeColor="text1"/>
          <w:sz w:val="24"/>
          <w:szCs w:val="24"/>
          <w:rtl/>
        </w:rPr>
        <w:t xml:space="preserve">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جانب من الفقه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1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ويثير هذا تساؤلًا جوهريًا: هل يعد استخدام هذه الأنظمة مشاركة من جهة غير مرخصة في </w:t>
      </w:r>
      <w:proofErr w:type="gramStart"/>
      <w:r>
        <w:rPr>
          <w:rFonts w:asciiTheme="majorBidi" w:hAnsiTheme="majorBidi" w:cstheme="majorBidi"/>
          <w:color w:val="000000" w:themeColor="text1"/>
          <w:sz w:val="24"/>
          <w:szCs w:val="24"/>
          <w:rtl/>
        </w:rPr>
        <w:t>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w:t>
      </w:r>
      <w:proofErr w:type="gramEnd"/>
      <w:r>
        <w:rPr>
          <w:rFonts w:asciiTheme="majorBidi" w:hAnsiTheme="majorBidi" w:cstheme="majorBidi"/>
          <w:color w:val="000000" w:themeColor="text1"/>
          <w:sz w:val="24"/>
          <w:szCs w:val="24"/>
          <w:rtl/>
        </w:rPr>
        <w:t xml:space="preserve">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lastRenderedPageBreak/>
        <w:t>يرى جانب من الفقه</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 xml:space="preserve">نطاق المهنة في المادة الثالثة وظهور الذكاء الاصطناعي كمنافس </w:t>
      </w:r>
      <w:proofErr w:type="gramStart"/>
      <w:r>
        <w:rPr>
          <w:rFonts w:asciiTheme="majorBidi" w:hAnsiTheme="majorBidi" w:cstheme="majorBidi"/>
          <w:b/>
          <w:bCs/>
          <w:color w:val="000000" w:themeColor="text1"/>
          <w:sz w:val="24"/>
          <w:szCs w:val="24"/>
          <w:rtl/>
        </w:rPr>
        <w:t>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roofErr w:type="gramEnd"/>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حددت المادة الثالثة من النظام نطاق المهنة بأنه يشمل الترافع عن الخصوم، وإبداء الرأي والمشورة الشرعية والنظامية، وصياغة العقود، واتخاذ الإجراءات التي </w:t>
      </w:r>
      <w:proofErr w:type="spellStart"/>
      <w:r>
        <w:rPr>
          <w:rFonts w:asciiTheme="majorBidi" w:hAnsiTheme="majorBidi" w:cstheme="majorBidi"/>
          <w:color w:val="000000" w:themeColor="text1"/>
          <w:sz w:val="24"/>
          <w:szCs w:val="24"/>
          <w:rtl/>
        </w:rPr>
        <w:t>يقتضيها</w:t>
      </w:r>
      <w:proofErr w:type="spellEnd"/>
      <w:r>
        <w:rPr>
          <w:rFonts w:asciiTheme="majorBidi" w:hAnsiTheme="majorBidi" w:cstheme="majorBidi"/>
          <w:color w:val="000000" w:themeColor="text1"/>
          <w:sz w:val="24"/>
          <w:szCs w:val="24"/>
          <w:rtl/>
        </w:rPr>
        <w:t xml:space="preserve">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w:t>
      </w:r>
      <w:proofErr w:type="gramStart"/>
      <w:r>
        <w:rPr>
          <w:rFonts w:asciiTheme="majorBidi" w:hAnsiTheme="majorBidi" w:cstheme="majorBidi"/>
          <w:b/>
          <w:bCs/>
          <w:color w:val="000000" w:themeColor="text1"/>
          <w:sz w:val="24"/>
          <w:szCs w:val="24"/>
          <w:rtl/>
        </w:rPr>
        <w:t>التقنية:</w:t>
      </w:r>
      <w:r>
        <w:rPr>
          <w:rFonts w:asciiTheme="majorBidi" w:hAnsiTheme="majorBidi" w:cstheme="majorBidi"/>
          <w:b/>
          <w:bCs/>
          <w:color w:val="000000" w:themeColor="text1"/>
          <w:sz w:val="24"/>
          <w:szCs w:val="24"/>
        </w:rPr>
        <w:t>-</w:t>
      </w:r>
      <w:proofErr w:type="gramEnd"/>
    </w:p>
    <w:p w14:paraId="26267953"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 xml:space="preserve">وعلى الصعيد الجزائي المتعلق بمواد المحاماة، أشار العطار والنوايسة إلى أن النصوص التأديبية في نظام المحاماة لم تتضمن حتى الآن </w:t>
      </w:r>
      <w:proofErr w:type="spellStart"/>
      <w:r>
        <w:rPr>
          <w:rFonts w:asciiTheme="majorBidi" w:hAnsiTheme="majorBidi" w:cstheme="majorBidi"/>
          <w:sz w:val="24"/>
          <w:szCs w:val="24"/>
          <w:rtl/>
        </w:rPr>
        <w:t>جزاءات</w:t>
      </w:r>
      <w:proofErr w:type="spellEnd"/>
      <w:r>
        <w:rPr>
          <w:rFonts w:asciiTheme="majorBidi" w:hAnsiTheme="majorBidi" w:cstheme="majorBidi"/>
          <w:sz w:val="24"/>
          <w:szCs w:val="24"/>
          <w:rtl/>
        </w:rPr>
        <w:t xml:space="preserve">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3"/>
      </w:r>
    </w:p>
    <w:p w14:paraId="2D092A3D"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جانب من الفقه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4"/>
      </w:r>
    </w:p>
    <w:p w14:paraId="53A62BC5"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وفيما يتعلق بتطبيق نصوص المادة الثالثة عشرة من نظام المحاماة السعودي في سياق الذكاء الاصطناعي، يرى جانب من الفقه أن هذه المادة التي تُحدّد واجبات المحامي تجاه موكله لم تُصَغ لتستوعب فرضية اعتماد المحامي على نظام ذكاء اصطناعي في إعداد دفاعه، وأن توسيع نطاق تطبيقها يستلزم تفسيراً قضائياً موسّعاً أو تعديلاً تشريعياً صريحاً.</w:t>
      </w:r>
      <w:r>
        <w:rPr>
          <w:rtl/>
        </w:rPr>
        <w:footnoteReference w:id="1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جانب من الفقه</w:t>
      </w:r>
      <w:r>
        <w:rPr>
          <w:rStyle w:val="af"/>
          <w:rFonts w:asciiTheme="majorBidi" w:hAnsiTheme="majorBidi" w:cstheme="majorBidi"/>
          <w:color w:val="000000" w:themeColor="text1"/>
          <w:sz w:val="24"/>
          <w:szCs w:val="24"/>
          <w:rtl/>
        </w:rPr>
        <w:footnoteReference w:id="1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Pr>
          <w:rtl/>
        </w:rPr>
        <w:footnoteReference w:id="17"/>
      </w:r>
    </w:p>
    <w:p w14:paraId="512B691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Pr>
          <w:rtl/>
        </w:rPr>
        <w:footnoteReference w:id="1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الحادية والثلاثون ونطاق التأديب </w:t>
      </w:r>
      <w:proofErr w:type="gramStart"/>
      <w:r>
        <w:rPr>
          <w:rFonts w:asciiTheme="majorBidi" w:hAnsiTheme="majorBidi" w:cstheme="majorBidi"/>
          <w:b/>
          <w:bCs/>
          <w:color w:val="000000" w:themeColor="text1"/>
          <w:sz w:val="24"/>
          <w:szCs w:val="24"/>
          <w:rtl/>
        </w:rPr>
        <w:t>التقني</w:t>
      </w:r>
      <w:r>
        <w:rPr>
          <w:rFonts w:asciiTheme="majorBidi" w:hAnsiTheme="majorBidi" w:cstheme="majorBidi" w:hint="cs"/>
          <w:b/>
          <w:bCs/>
          <w:color w:val="000000" w:themeColor="text1"/>
          <w:sz w:val="24"/>
          <w:szCs w:val="24"/>
          <w:rtl/>
        </w:rPr>
        <w:t xml:space="preserve"> :</w:t>
      </w:r>
      <w:proofErr w:type="gramEnd"/>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w:t>
      </w:r>
      <w:proofErr w:type="gramStart"/>
      <w:r>
        <w:rPr>
          <w:rFonts w:asciiTheme="majorBidi" w:hAnsiTheme="majorBidi" w:cstheme="majorBidi"/>
          <w:color w:val="000000" w:themeColor="text1"/>
          <w:sz w:val="24"/>
          <w:szCs w:val="24"/>
          <w:rtl/>
        </w:rPr>
        <w:t>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2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 xml:space="preserve">الخلاصة </w:t>
      </w:r>
      <w:proofErr w:type="gramStart"/>
      <w:r>
        <w:rPr>
          <w:rFonts w:asciiTheme="majorBidi" w:hAnsiTheme="majorBidi" w:cstheme="majorBidi"/>
          <w:b/>
          <w:bCs/>
          <w:color w:val="000000" w:themeColor="text1"/>
          <w:sz w:val="24"/>
          <w:szCs w:val="24"/>
          <w:rtl/>
        </w:rPr>
        <w:t>التحليلية</w:t>
      </w:r>
      <w:r>
        <w:rPr>
          <w:rFonts w:asciiTheme="majorBidi" w:hAnsiTheme="majorBidi" w:cstheme="majorBidi" w:hint="cs"/>
          <w:b/>
          <w:bCs/>
          <w:color w:val="000000" w:themeColor="text1"/>
          <w:sz w:val="24"/>
          <w:szCs w:val="24"/>
          <w:rtl/>
        </w:rPr>
        <w:t xml:space="preserve"> :</w:t>
      </w:r>
      <w:proofErr w:type="gramEnd"/>
    </w:p>
    <w:p w14:paraId="5E32C1D7"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هذا السياق، أثبتت الدراسات المقارنة أن الفجوة بين الأطر التشريعية القائمة ومتطلبات تنظيم الذكاء الاصطناعي ظاهرة واسعة الانتشار؛ فقد خلص جانب من الفقه في </w:t>
      </w:r>
      <w:proofErr w:type="spellStart"/>
      <w:r>
        <w:rPr>
          <w:rFonts w:asciiTheme="majorBidi" w:hAnsiTheme="majorBidi" w:cstheme="majorBidi"/>
          <w:sz w:val="24"/>
          <w:szCs w:val="24"/>
          <w:rtl/>
        </w:rPr>
        <w:t>بحوثهمما</w:t>
      </w:r>
      <w:proofErr w:type="spellEnd"/>
      <w:r>
        <w:rPr>
          <w:rFonts w:asciiTheme="majorBidi" w:hAnsiTheme="majorBidi" w:cstheme="majorBidi"/>
          <w:sz w:val="24"/>
          <w:szCs w:val="24"/>
          <w:rtl/>
        </w:rPr>
        <w:t xml:space="preserve">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2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ضوء إطار حوكمة الذكاء الاصطناعي الذي </w:t>
      </w:r>
      <w:proofErr w:type="spellStart"/>
      <w:r>
        <w:rPr>
          <w:rFonts w:asciiTheme="majorBidi" w:hAnsiTheme="majorBidi" w:cstheme="majorBidi"/>
          <w:sz w:val="24"/>
          <w:szCs w:val="24"/>
          <w:rtl/>
        </w:rPr>
        <w:t>أرسته</w:t>
      </w:r>
      <w:proofErr w:type="spellEnd"/>
      <w:r>
        <w:rPr>
          <w:rFonts w:asciiTheme="majorBidi" w:hAnsiTheme="majorBidi" w:cstheme="majorBidi"/>
          <w:sz w:val="24"/>
          <w:szCs w:val="24"/>
          <w:rtl/>
        </w:rPr>
        <w:t xml:space="preserve">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w:t>
      </w:r>
      <w:proofErr w:type="spellStart"/>
      <w:r>
        <w:rPr>
          <w:rFonts w:asciiTheme="majorBidi" w:hAnsiTheme="majorBidi" w:cstheme="majorBidi"/>
          <w:sz w:val="24"/>
          <w:szCs w:val="24"/>
          <w:rtl/>
        </w:rPr>
        <w:t>محوكمة</w:t>
      </w:r>
      <w:proofErr w:type="spellEnd"/>
      <w:r>
        <w:rPr>
          <w:rFonts w:asciiTheme="majorBidi" w:hAnsiTheme="majorBidi" w:cstheme="majorBidi"/>
          <w:sz w:val="24"/>
          <w:szCs w:val="24"/>
          <w:rtl/>
        </w:rPr>
        <w:t xml:space="preserve"> ومسؤولة، تشمل: التأسيس، وتحديد التوجه، وتقييم النضج والجاهزية، وتفعيل التبني، وبناء الممكنات، والمتابعة 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2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w:t>
      </w:r>
      <w:r>
        <w:rPr>
          <w:rFonts w:asciiTheme="majorBidi" w:hAnsiTheme="majorBidi" w:cstheme="majorBidi"/>
          <w:color w:val="000000" w:themeColor="text1"/>
          <w:sz w:val="24"/>
          <w:szCs w:val="24"/>
          <w:rtl/>
        </w:rPr>
        <w:lastRenderedPageBreak/>
        <w:t>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2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جانب من الفقه</w:t>
      </w:r>
      <w:r>
        <w:rPr>
          <w:rStyle w:val="af"/>
          <w:rFonts w:asciiTheme="majorBidi" w:hAnsiTheme="majorBidi" w:cstheme="majorBidi"/>
          <w:color w:val="000000" w:themeColor="text1"/>
          <w:sz w:val="24"/>
          <w:szCs w:val="24"/>
          <w:rtl/>
        </w:rPr>
        <w:footnoteReference w:id="2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w:t>
      </w:r>
      <w:proofErr w:type="gramStart"/>
      <w:r>
        <w:rPr>
          <w:rFonts w:asciiTheme="majorBidi" w:hAnsiTheme="majorBidi" w:cstheme="majorBidi"/>
          <w:color w:val="000000" w:themeColor="text1"/>
          <w:sz w:val="24"/>
          <w:szCs w:val="24"/>
          <w:rtl/>
        </w:rPr>
        <w:t>وأن لا</w:t>
      </w:r>
      <w:proofErr w:type="gramEnd"/>
      <w:r>
        <w:rPr>
          <w:rFonts w:asciiTheme="majorBidi" w:hAnsiTheme="majorBidi" w:cstheme="majorBidi"/>
          <w:color w:val="000000" w:themeColor="text1"/>
          <w:sz w:val="24"/>
          <w:szCs w:val="24"/>
          <w:rtl/>
        </w:rPr>
        <w:t xml:space="preserve">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w:t>
      </w:r>
      <w:proofErr w:type="spellStart"/>
      <w:r>
        <w:rPr>
          <w:rFonts w:asciiTheme="majorBidi" w:hAnsiTheme="majorBidi" w:cstheme="majorBidi"/>
          <w:color w:val="000000" w:themeColor="text1"/>
          <w:sz w:val="24"/>
          <w:szCs w:val="24"/>
          <w:rtl/>
        </w:rPr>
        <w:t>سدايا</w:t>
      </w:r>
      <w:proofErr w:type="spellEnd"/>
      <w:r>
        <w:rPr>
          <w:rStyle w:val="af"/>
          <w:rFonts w:asciiTheme="majorBidi" w:hAnsiTheme="majorBidi" w:cstheme="majorBidi"/>
          <w:color w:val="000000" w:themeColor="text1"/>
          <w:sz w:val="24"/>
          <w:szCs w:val="24"/>
          <w:rtl/>
        </w:rPr>
        <w:footnoteReference w:id="2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جانب من الفقه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Pr>
          <w:rtl/>
        </w:rPr>
        <w:footnoteReference w:id="27"/>
      </w:r>
    </w:p>
    <w:p w14:paraId="5FAC8A3A"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وفيما يخص وثيقة مبادئ أخلاقيات الذكاء الاصطناعي التي أصدرتها هيئة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ذهب جانب من الفقه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8"/>
      </w:r>
    </w:p>
    <w:p w14:paraId="793FB78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لاحظ جانب من الفقه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سياق إثبات التصرفات القانونية الرقمية، خلص جانب من الفقه في دراساتهم المنشورة بمجلة الباحث العربي إلى أن عصر الذكاء الاصطناعي قد أفرز علاقات ومراكز قانونية جديدة أثبتت عجز القواعد القانونية الحالية عن </w:t>
      </w:r>
      <w:r>
        <w:rPr>
          <w:rFonts w:asciiTheme="majorBidi" w:hAnsiTheme="majorBidi" w:cstheme="majorBidi"/>
          <w:sz w:val="24"/>
          <w:szCs w:val="24"/>
          <w:rtl/>
        </w:rPr>
        <w:lastRenderedPageBreak/>
        <w:t>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3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يتكوّن النظام من عدة أبواب تتناول شروط القيد في جدول المحامين، وحقوقهم وواجباتهم، وأحكام التأديب، </w:t>
      </w:r>
      <w:proofErr w:type="spellStart"/>
      <w:r>
        <w:rPr>
          <w:rFonts w:asciiTheme="majorBidi" w:hAnsiTheme="majorBidi" w:cstheme="majorBidi"/>
          <w:color w:val="000000" w:themeColor="text1"/>
          <w:sz w:val="24"/>
          <w:szCs w:val="24"/>
          <w:rtl/>
        </w:rPr>
        <w:t>والجزاءات</w:t>
      </w:r>
      <w:proofErr w:type="spellEnd"/>
      <w:r>
        <w:rPr>
          <w:rFonts w:asciiTheme="majorBidi" w:hAnsiTheme="majorBidi" w:cstheme="majorBidi"/>
          <w:color w:val="000000" w:themeColor="text1"/>
          <w:sz w:val="24"/>
          <w:szCs w:val="24"/>
          <w:rtl/>
        </w:rPr>
        <w:t xml:space="preserve">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3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proofErr w:type="gramStart"/>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w:t>
      </w:r>
      <w:proofErr w:type="gramEnd"/>
      <w:r>
        <w:rPr>
          <w:rFonts w:asciiTheme="majorBidi" w:hAnsiTheme="majorBidi" w:cstheme="majorBidi"/>
          <w:b/>
          <w:bCs/>
          <w:color w:val="000000" w:themeColor="text1"/>
          <w:sz w:val="24"/>
          <w:szCs w:val="24"/>
          <w:rtl/>
        </w:rPr>
        <w:t xml:space="preserve">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3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proofErr w:type="gramStart"/>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w:t>
      </w:r>
      <w:proofErr w:type="gramEnd"/>
      <w:r>
        <w:rPr>
          <w:rFonts w:asciiTheme="majorBidi" w:hAnsiTheme="majorBidi" w:cstheme="majorBidi"/>
          <w:b/>
          <w:bCs/>
          <w:color w:val="000000" w:themeColor="text1"/>
          <w:sz w:val="24"/>
          <w:szCs w:val="24"/>
          <w:rtl/>
        </w:rPr>
        <w:t xml:space="preserve"> المفاهيم الرقمية في الهيكل النصي للنظام</w:t>
      </w:r>
    </w:p>
    <w:p w14:paraId="579E2714"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جانب من الفقه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3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3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w:t>
      </w:r>
      <w:proofErr w:type="spellStart"/>
      <w:r>
        <w:rPr>
          <w:rFonts w:asciiTheme="majorBidi" w:hAnsiTheme="majorBidi" w:cstheme="majorBidi"/>
          <w:b/>
          <w:bCs/>
          <w:color w:val="000000" w:themeColor="text1"/>
          <w:sz w:val="24"/>
          <w:szCs w:val="24"/>
          <w:rtl/>
        </w:rPr>
        <w:t>يتواءم</w:t>
      </w:r>
      <w:proofErr w:type="spellEnd"/>
      <w:r>
        <w:rPr>
          <w:rFonts w:asciiTheme="majorBidi" w:hAnsiTheme="majorBidi" w:cstheme="majorBidi"/>
          <w:b/>
          <w:bCs/>
          <w:color w:val="000000" w:themeColor="text1"/>
          <w:sz w:val="24"/>
          <w:szCs w:val="24"/>
          <w:rtl/>
        </w:rPr>
        <w:t xml:space="preserve">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تضمين فصل تعريفي يشمل مصطلحات </w:t>
      </w:r>
      <w:proofErr w:type="gramStart"/>
      <w:r>
        <w:rPr>
          <w:rFonts w:asciiTheme="majorBidi" w:hAnsiTheme="majorBidi" w:cstheme="majorBidi"/>
          <w:color w:val="000000" w:themeColor="text1"/>
          <w:sz w:val="24"/>
          <w:szCs w:val="24"/>
          <w:rtl/>
        </w:rPr>
        <w:t>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w:t>
      </w:r>
      <w:proofErr w:type="gramEnd"/>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جانب من الفقه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35"/>
      </w:r>
    </w:p>
    <w:p w14:paraId="020EDDC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جانب من الفقه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Pr>
          <w:rtl/>
        </w:rPr>
        <w:footnoteReference w:id="36"/>
      </w:r>
    </w:p>
    <w:p w14:paraId="0F5F8AE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Pr>
          <w:rtl/>
        </w:rPr>
        <w:footnoteReference w:id="37"/>
      </w:r>
    </w:p>
    <w:p w14:paraId="5F61088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البيانات القانونية الرقمية التي تُغذّي أنظمة الذكاء الاصطناعي المستخدمة في المحاماة، ألحّت </w:t>
      </w:r>
      <w:proofErr w:type="spellStart"/>
      <w:r>
        <w:rPr>
          <w:rFonts w:asciiTheme="majorBidi" w:hAnsiTheme="majorBidi" w:cstheme="majorBidi"/>
          <w:sz w:val="24"/>
          <w:szCs w:val="24"/>
          <w:rtl/>
        </w:rPr>
        <w:t>الخميسي</w:t>
      </w:r>
      <w:proofErr w:type="spellEnd"/>
      <w:r>
        <w:rPr>
          <w:rFonts w:asciiTheme="majorBidi" w:hAnsiTheme="majorBidi" w:cstheme="majorBidi"/>
          <w:sz w:val="24"/>
          <w:szCs w:val="24"/>
          <w:rtl/>
        </w:rPr>
        <w:t xml:space="preserve">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38"/>
      </w:r>
    </w:p>
    <w:p w14:paraId="2890110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Pr>
          <w:rtl/>
        </w:rPr>
        <w:footnoteReference w:id="3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النص على “المسؤولية الرقمية </w:t>
      </w:r>
      <w:proofErr w:type="gramStart"/>
      <w:r>
        <w:rPr>
          <w:rFonts w:asciiTheme="majorBidi" w:hAnsiTheme="majorBidi" w:cstheme="majorBidi"/>
          <w:b/>
          <w:bCs/>
          <w:color w:val="000000" w:themeColor="text1"/>
          <w:sz w:val="24"/>
          <w:szCs w:val="24"/>
          <w:rtl/>
        </w:rPr>
        <w:t>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w:t>
      </w:r>
      <w:proofErr w:type="gramEnd"/>
      <w:r>
        <w:rPr>
          <w:rFonts w:asciiTheme="majorBidi" w:hAnsiTheme="majorBidi" w:cstheme="majorBidi"/>
          <w:color w:val="000000" w:themeColor="text1"/>
          <w:sz w:val="24"/>
          <w:szCs w:val="24"/>
          <w:rtl/>
        </w:rPr>
        <w:t xml:space="preserve">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إدراج مفهوم “السرية التقنية للمعلومات </w:t>
      </w:r>
      <w:proofErr w:type="gramStart"/>
      <w:r>
        <w:rPr>
          <w:rFonts w:asciiTheme="majorBidi" w:hAnsiTheme="majorBidi" w:cstheme="majorBidi"/>
          <w:b/>
          <w:bCs/>
          <w:color w:val="000000" w:themeColor="text1"/>
          <w:sz w:val="24"/>
          <w:szCs w:val="24"/>
          <w:rtl/>
        </w:rPr>
        <w:t>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w:t>
      </w:r>
      <w:proofErr w:type="gramEnd"/>
      <w:r>
        <w:rPr>
          <w:rFonts w:asciiTheme="majorBidi" w:hAnsiTheme="majorBidi" w:cstheme="majorBidi"/>
          <w:color w:val="000000" w:themeColor="text1"/>
          <w:sz w:val="24"/>
          <w:szCs w:val="24"/>
          <w:rtl/>
        </w:rPr>
        <w:t xml:space="preserve">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مثل </w:t>
      </w:r>
      <w:proofErr w:type="gramStart"/>
      <w:r>
        <w:rPr>
          <w:rFonts w:asciiTheme="majorBidi" w:hAnsiTheme="majorBidi" w:cstheme="majorBidi"/>
          <w:color w:val="000000" w:themeColor="text1"/>
          <w:sz w:val="24"/>
          <w:szCs w:val="24"/>
          <w:rtl/>
        </w:rPr>
        <w:t>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w:t>
      </w:r>
      <w:proofErr w:type="gramEnd"/>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proofErr w:type="gramStart"/>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w:t>
      </w:r>
      <w:proofErr w:type="gramEnd"/>
      <w:r>
        <w:rPr>
          <w:rFonts w:asciiTheme="majorBidi" w:hAnsiTheme="majorBidi" w:cstheme="majorBidi"/>
          <w:b/>
          <w:bCs/>
          <w:color w:val="000000" w:themeColor="text1"/>
          <w:sz w:val="24"/>
          <w:szCs w:val="24"/>
          <w:rtl/>
        </w:rPr>
        <w:t xml:space="preserve">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4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4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4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إحدى الدراسات</w:t>
      </w:r>
      <w:r>
        <w:rPr>
          <w:rStyle w:val="af"/>
          <w:rFonts w:asciiTheme="majorBidi" w:hAnsiTheme="majorBidi" w:cstheme="majorBidi"/>
          <w:color w:val="000000" w:themeColor="text1"/>
          <w:sz w:val="24"/>
          <w:szCs w:val="24"/>
          <w:rtl/>
        </w:rPr>
        <w:footnoteReference w:id="4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w:t>
      </w:r>
      <w:proofErr w:type="gramStart"/>
      <w:r>
        <w:rPr>
          <w:rFonts w:asciiTheme="majorBidi" w:hAnsiTheme="majorBidi" w:cstheme="majorBidi"/>
          <w:color w:val="000000" w:themeColor="text1"/>
          <w:sz w:val="24"/>
          <w:szCs w:val="24"/>
          <w:rtl/>
        </w:rPr>
        <w:t>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جانب من الفقه</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 xml:space="preserve">مدى ملاءمة العقود الذكية المبرمة عبر تقنية </w:t>
      </w:r>
      <w:proofErr w:type="spellStart"/>
      <w:r>
        <w:rPr>
          <w:rFonts w:asciiTheme="majorBidi" w:hAnsiTheme="majorBidi" w:cstheme="majorBidi"/>
          <w:i/>
          <w:iCs/>
          <w:color w:val="000000" w:themeColor="text1"/>
          <w:sz w:val="24"/>
          <w:szCs w:val="24"/>
          <w:rtl/>
        </w:rPr>
        <w:t>البلوكشين</w:t>
      </w:r>
      <w:proofErr w:type="spellEnd"/>
      <w:r>
        <w:rPr>
          <w:rFonts w:asciiTheme="majorBidi" w:hAnsiTheme="majorBidi" w:cstheme="majorBidi"/>
          <w:i/>
          <w:iCs/>
          <w:color w:val="000000" w:themeColor="text1"/>
          <w:sz w:val="24"/>
          <w:szCs w:val="24"/>
          <w:rtl/>
        </w:rPr>
        <w:t xml:space="preserve">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فالمحامي في النظام السعودي يُفترض أن يُمارس العمل القانوني شخصيًا، بينما تقوم هذه الأنظمة بأداء مهام تحليلية </w:t>
      </w:r>
      <w:proofErr w:type="spellStart"/>
      <w:r>
        <w:rPr>
          <w:rFonts w:asciiTheme="majorBidi" w:hAnsiTheme="majorBidi" w:cstheme="majorBidi"/>
          <w:color w:val="000000" w:themeColor="text1"/>
          <w:sz w:val="24"/>
          <w:szCs w:val="24"/>
          <w:rtl/>
        </w:rPr>
        <w:t>وصياغية</w:t>
      </w:r>
      <w:proofErr w:type="spellEnd"/>
      <w:r>
        <w:rPr>
          <w:rFonts w:asciiTheme="majorBidi" w:hAnsiTheme="majorBidi" w:cstheme="majorBidi"/>
          <w:color w:val="000000" w:themeColor="text1"/>
          <w:sz w:val="24"/>
          <w:szCs w:val="24"/>
          <w:rtl/>
        </w:rPr>
        <w:t xml:space="preserve">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جانب من الفقه</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جانب من الفقه</w:t>
      </w:r>
      <w:r>
        <w:rPr>
          <w:rStyle w:val="af"/>
          <w:rFonts w:asciiTheme="majorBidi" w:hAnsiTheme="majorBidi" w:cstheme="majorBidi"/>
          <w:color w:val="000000" w:themeColor="text1"/>
          <w:sz w:val="24"/>
          <w:szCs w:val="24"/>
          <w:rtl/>
        </w:rPr>
        <w:footnoteReference w:id="4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w:t>
      </w:r>
      <w:proofErr w:type="spellStart"/>
      <w:r>
        <w:rPr>
          <w:rFonts w:asciiTheme="majorBidi" w:hAnsiTheme="majorBidi" w:cstheme="majorBidi"/>
          <w:color w:val="000000" w:themeColor="text1"/>
          <w:sz w:val="24"/>
          <w:szCs w:val="24"/>
          <w:rtl/>
        </w:rPr>
        <w:t>أتمتته</w:t>
      </w:r>
      <w:proofErr w:type="spellEnd"/>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4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وفي هذا السياق، طالب جانب من الفقه (د.ت) بضرورة تشييد منظومة تشريعية متكاملة تجمع بين نظام المحاماة ونظام حماية البيانات الشخصية، مقترحًا أن تُنشأ لجنة مشتركة بين الهيئة السعودية للمحامين وهيئة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للبيانات والذكاء الاصطناعي بهدف وضع ضوابط قانونية تفصيلية تحكم استخدام الأنظمة الذكية في تقديم الخدمات القانونية.</w:t>
      </w:r>
      <w:r>
        <w:rPr>
          <w:rtl/>
        </w:rPr>
        <w:footnoteReference w:id="49"/>
      </w:r>
    </w:p>
    <w:p w14:paraId="5377481C"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أسهمت دراسة </w:t>
      </w:r>
      <w:proofErr w:type="spellStart"/>
      <w:r>
        <w:rPr>
          <w:rFonts w:asciiTheme="majorBidi" w:hAnsiTheme="majorBidi" w:cstheme="majorBidi"/>
          <w:sz w:val="24"/>
          <w:szCs w:val="24"/>
          <w:rtl/>
        </w:rPr>
        <w:t>غاسم</w:t>
      </w:r>
      <w:proofErr w:type="spellEnd"/>
      <w:r>
        <w:rPr>
          <w:rFonts w:asciiTheme="majorBidi" w:hAnsiTheme="majorBidi" w:cstheme="majorBidi"/>
          <w:sz w:val="24"/>
          <w:szCs w:val="24"/>
          <w:rtl/>
        </w:rPr>
        <w:t xml:space="preserve"> (2022م) </w:t>
      </w:r>
      <w:proofErr w:type="spellStart"/>
      <w:r>
        <w:rPr>
          <w:rFonts w:asciiTheme="majorBidi" w:hAnsiTheme="majorBidi" w:cstheme="majorBidi"/>
          <w:sz w:val="24"/>
          <w:szCs w:val="24"/>
          <w:rtl/>
        </w:rPr>
        <w:t>المعنونة</w:t>
      </w:r>
      <w:proofErr w:type="spellEnd"/>
      <w:r>
        <w:rPr>
          <w:rFonts w:asciiTheme="majorBidi" w:hAnsiTheme="majorBidi" w:cstheme="majorBidi"/>
          <w:sz w:val="24"/>
          <w:szCs w:val="24"/>
          <w:rtl/>
        </w:rPr>
        <w:t xml:space="preserve"> "دور الذكاء الاصطناعي في مكافحة الجريمة الإلكترونية </w:t>
      </w:r>
      <w:proofErr w:type="gramStart"/>
      <w:r>
        <w:rPr>
          <w:rFonts w:asciiTheme="majorBidi" w:hAnsiTheme="majorBidi" w:cstheme="majorBidi"/>
          <w:sz w:val="24"/>
          <w:szCs w:val="24"/>
          <w:rtl/>
        </w:rPr>
        <w:t>- دراسة</w:t>
      </w:r>
      <w:proofErr w:type="gramEnd"/>
      <w:r>
        <w:rPr>
          <w:rFonts w:asciiTheme="majorBidi" w:hAnsiTheme="majorBidi" w:cstheme="majorBidi"/>
          <w:sz w:val="24"/>
          <w:szCs w:val="24"/>
          <w:rtl/>
        </w:rPr>
        <w:t xml:space="preserve">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Pr>
          <w:rtl/>
        </w:rPr>
        <w:footnoteReference w:id="5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لكن هذا الإدماج يجب أن يتم في إطار </w:t>
      </w:r>
      <w:proofErr w:type="gramStart"/>
      <w:r>
        <w:rPr>
          <w:rFonts w:asciiTheme="majorBidi" w:hAnsiTheme="majorBidi" w:cstheme="majorBidi"/>
          <w:color w:val="000000" w:themeColor="text1"/>
          <w:sz w:val="24"/>
          <w:szCs w:val="24"/>
          <w:rtl/>
        </w:rPr>
        <w:t>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47A5767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جانب من الفقه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51"/>
      </w:r>
    </w:p>
    <w:p w14:paraId="31BEC1D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جانب من الفقه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Pr>
          <w:rtl/>
        </w:rPr>
        <w:footnoteReference w:id="52"/>
      </w:r>
    </w:p>
    <w:p w14:paraId="7E1E6229"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الرؤية المستقبلية، أكد جانب من الفقه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w:t>
      </w:r>
      <w:r>
        <w:rPr>
          <w:rFonts w:asciiTheme="majorBidi" w:hAnsiTheme="majorBidi" w:cstheme="majorBidi"/>
          <w:sz w:val="24"/>
          <w:szCs w:val="24"/>
          <w:rtl/>
        </w:rPr>
        <w:lastRenderedPageBreak/>
        <w:t>والإبداعية والأخلاقية التي تستعصي على الخوارزمية، في حين تتولى الأخيرة المهام الروتينية كالبحث والتصنيف والمعالجة النصية.</w:t>
      </w:r>
      <w:r>
        <w:rPr>
          <w:rtl/>
        </w:rPr>
        <w:footnoteReference w:id="53"/>
      </w:r>
    </w:p>
    <w:p w14:paraId="6EA8CD0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غير أن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54"/>
      </w:r>
    </w:p>
    <w:p w14:paraId="5CCE9BC6"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جانب من الفقه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5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56"/>
      </w:r>
    </w:p>
    <w:p w14:paraId="670A95D5"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Pr>
          <w:rtl/>
        </w:rPr>
        <w:footnoteReference w:id="57"/>
      </w:r>
    </w:p>
    <w:p w14:paraId="1C22FF5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ذاته، أكدت </w:t>
      </w:r>
      <w:proofErr w:type="spellStart"/>
      <w:r>
        <w:rPr>
          <w:rFonts w:asciiTheme="majorBidi" w:hAnsiTheme="majorBidi" w:cstheme="majorBidi"/>
          <w:sz w:val="24"/>
          <w:szCs w:val="24"/>
          <w:rtl/>
        </w:rPr>
        <w:t>الخميسي</w:t>
      </w:r>
      <w:proofErr w:type="spellEnd"/>
      <w:r>
        <w:rPr>
          <w:rFonts w:asciiTheme="majorBidi" w:hAnsiTheme="majorBidi" w:cstheme="majorBidi"/>
          <w:sz w:val="24"/>
          <w:szCs w:val="24"/>
          <w:rtl/>
        </w:rPr>
        <w:t xml:space="preserve">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5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w:t>
      </w:r>
      <w:proofErr w:type="spellStart"/>
      <w:r>
        <w:rPr>
          <w:rFonts w:asciiTheme="majorBidi" w:hAnsiTheme="majorBidi" w:cstheme="majorBidi"/>
          <w:color w:val="000000" w:themeColor="text1"/>
          <w:sz w:val="24"/>
          <w:szCs w:val="24"/>
          <w:rtl/>
        </w:rPr>
        <w:t>الأتمتة</w:t>
      </w:r>
      <w:proofErr w:type="spellEnd"/>
      <w:r>
        <w:rPr>
          <w:rFonts w:asciiTheme="majorBidi" w:hAnsiTheme="majorBidi" w:cstheme="majorBidi"/>
          <w:color w:val="000000" w:themeColor="text1"/>
          <w:sz w:val="24"/>
          <w:szCs w:val="24"/>
          <w:rtl/>
        </w:rPr>
        <w:t xml:space="preserve">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تنظيم استخدام الأنظمة الذكية في إدارة </w:t>
      </w:r>
      <w:proofErr w:type="gramStart"/>
      <w:r>
        <w:rPr>
          <w:rFonts w:asciiTheme="majorBidi" w:hAnsiTheme="majorBidi" w:cstheme="majorBidi"/>
          <w:color w:val="000000" w:themeColor="text1"/>
          <w:sz w:val="24"/>
          <w:szCs w:val="24"/>
          <w:rtl/>
        </w:rPr>
        <w:t>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w:t>
      </w:r>
      <w:proofErr w:type="gramEnd"/>
      <w:r>
        <w:rPr>
          <w:rFonts w:asciiTheme="majorBidi" w:hAnsiTheme="majorBidi" w:cstheme="majorBidi"/>
          <w:color w:val="000000" w:themeColor="text1"/>
          <w:sz w:val="24"/>
          <w:szCs w:val="24"/>
          <w:rtl/>
        </w:rPr>
        <w:t xml:space="preserve">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وضع معايير مهنية لاستخدام أدوات الذكاء الاصطناعي في تحليل </w:t>
      </w:r>
      <w:proofErr w:type="gramStart"/>
      <w:r>
        <w:rPr>
          <w:rFonts w:asciiTheme="majorBidi" w:hAnsiTheme="majorBidi" w:cstheme="majorBidi"/>
          <w:color w:val="000000" w:themeColor="text1"/>
          <w:sz w:val="24"/>
          <w:szCs w:val="24"/>
          <w:rtl/>
        </w:rPr>
        <w:t>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w:t>
      </w:r>
      <w:proofErr w:type="gramEnd"/>
      <w:r>
        <w:rPr>
          <w:rFonts w:asciiTheme="majorBidi" w:hAnsiTheme="majorBidi" w:cstheme="majorBidi"/>
          <w:color w:val="000000" w:themeColor="text1"/>
          <w:sz w:val="24"/>
          <w:szCs w:val="24"/>
          <w:rtl/>
        </w:rPr>
        <w:t xml:space="preserve">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تنظيم وسائل الأمان السيبراني داخل مكاتب </w:t>
      </w:r>
      <w:proofErr w:type="gramStart"/>
      <w:r>
        <w:rPr>
          <w:rFonts w:asciiTheme="majorBidi" w:hAnsiTheme="majorBidi" w:cstheme="majorBidi"/>
          <w:color w:val="000000" w:themeColor="text1"/>
          <w:sz w:val="24"/>
          <w:szCs w:val="24"/>
          <w:rtl/>
        </w:rPr>
        <w:t>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w:t>
      </w:r>
      <w:proofErr w:type="gramEnd"/>
      <w:r>
        <w:rPr>
          <w:rFonts w:asciiTheme="majorBidi" w:hAnsiTheme="majorBidi" w:cstheme="majorBidi"/>
          <w:color w:val="000000" w:themeColor="text1"/>
          <w:sz w:val="24"/>
          <w:szCs w:val="24"/>
          <w:rtl/>
        </w:rPr>
        <w:t xml:space="preserve">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ضبط استخدام المنصات الرقمية في صياغة العقود </w:t>
      </w:r>
      <w:proofErr w:type="gramStart"/>
      <w:r>
        <w:rPr>
          <w:rFonts w:asciiTheme="majorBidi" w:hAnsiTheme="majorBidi" w:cstheme="majorBidi"/>
          <w:color w:val="000000" w:themeColor="text1"/>
          <w:sz w:val="24"/>
          <w:szCs w:val="24"/>
          <w:rtl/>
        </w:rPr>
        <w:t>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w:t>
      </w:r>
      <w:proofErr w:type="gramEnd"/>
      <w:r>
        <w:rPr>
          <w:rFonts w:asciiTheme="majorBidi" w:hAnsiTheme="majorBidi" w:cstheme="majorBidi"/>
          <w:color w:val="000000" w:themeColor="text1"/>
          <w:sz w:val="24"/>
          <w:szCs w:val="24"/>
          <w:rtl/>
        </w:rPr>
        <w:t xml:space="preserve">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جانب من الفقه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جانب من الفقه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الطبيعة المرنة للنظام ترتبط بفلسفته التشريعية القائمة على مبدأ الثقة في الاجتهاد المهني للمحامي ومسؤوليته الشخصية عن أعماله. </w:t>
      </w:r>
      <w:commentRangeStart w:id="2"/>
      <w:commentRangeStart w:id="3"/>
      <w:r>
        <w:rPr>
          <w:rFonts w:asciiTheme="majorBidi" w:hAnsiTheme="majorBidi" w:cstheme="majorBidi"/>
          <w:color w:val="000000" w:themeColor="text1"/>
          <w:sz w:val="24"/>
          <w:szCs w:val="24"/>
          <w:rtl/>
        </w:rPr>
        <w:t>فقاعدة مسؤولية المتبوع عن أعمال تابعه، المقررة في المادة (التاسعة والعشرين بعد المائة) من نظام المعاملات المدنية، تُحمِّل المحامي صاحب المكتب تبعة أخطاء العاملين لديه أثناء تأدية العمل أو بسببه، وتُعدّ قاعدة متينة يمكن البناء عليها لتوسيع نطاق المسؤولية ليشمل الأفعال الناتجة عن استخدام الأنظمة الذكية أو البرمجيات القانونية. وقد أوضح جانب من الفقه في دراسات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commentRangeEnd w:id="2"/>
      <w:r>
        <w:rPr>
          <w:rStyle w:val="af0"/>
          <w:rFonts w:asciiTheme="majorBidi" w:hAnsiTheme="majorBidi" w:cstheme="majorBidi"/>
          <w:color w:val="000000" w:themeColor="text1"/>
          <w:sz w:val="24"/>
          <w:szCs w:val="24"/>
        </w:rPr>
        <w:commentReference w:id="2"/>
      </w:r>
      <w:commentRangeEnd w:id="3"/>
      <w:r>
        <w:rPr>
          <w:rStyle w:val="af0"/>
          <w:rFonts w:asciiTheme="majorBidi" w:hAnsiTheme="majorBidi" w:cstheme="majorBidi"/>
          <w:color w:val="000000" w:themeColor="text1"/>
          <w:sz w:val="24"/>
          <w:szCs w:val="24"/>
        </w:rPr>
        <w:commentReference w:id="3"/>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w:t>
      </w:r>
      <w:r>
        <w:rPr>
          <w:rFonts w:asciiTheme="majorBidi" w:hAnsiTheme="majorBidi" w:cstheme="majorBidi"/>
          <w:color w:val="000000" w:themeColor="text1"/>
          <w:sz w:val="24"/>
          <w:szCs w:val="24"/>
          <w:rtl/>
        </w:rPr>
        <w:lastRenderedPageBreak/>
        <w:t>الرقمي من خلال شبكة متكاملة من الأنظمة. وقد أشار جانب من الفقه</w:t>
      </w:r>
      <w:r>
        <w:rPr>
          <w:rStyle w:val="af"/>
          <w:rFonts w:asciiTheme="majorBidi" w:hAnsiTheme="majorBidi" w:cstheme="majorBidi"/>
          <w:color w:val="000000" w:themeColor="text1"/>
          <w:sz w:val="24"/>
          <w:szCs w:val="24"/>
          <w:rtl/>
        </w:rPr>
        <w:footnoteReference w:id="59"/>
      </w:r>
      <w:r>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كالهيئة السعودية للمحامين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جانب من الفقه</w:t>
      </w:r>
      <w:r>
        <w:rPr>
          <w:rStyle w:val="af"/>
          <w:rFonts w:asciiTheme="majorBidi" w:hAnsiTheme="majorBidi" w:cstheme="majorBidi"/>
          <w:color w:val="000000" w:themeColor="text1"/>
          <w:sz w:val="24"/>
          <w:szCs w:val="24"/>
          <w:rtl/>
        </w:rPr>
        <w:footnoteReference w:id="6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بعض الدراسات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Pr>
          <w:rtl/>
        </w:rPr>
        <w:footnoteReference w:id="6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جانب من الفقه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6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w:t>
      </w:r>
      <w:r>
        <w:rPr>
          <w:rFonts w:asciiTheme="majorBidi" w:hAnsiTheme="majorBidi" w:cstheme="majorBidi"/>
          <w:color w:val="000000" w:themeColor="text1"/>
          <w:sz w:val="24"/>
          <w:szCs w:val="24"/>
          <w:rtl/>
        </w:rPr>
        <w:lastRenderedPageBreak/>
        <w:t xml:space="preserve">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w:t>
      </w:r>
      <w:proofErr w:type="gramStart"/>
      <w:r>
        <w:rPr>
          <w:rFonts w:asciiTheme="majorBidi" w:hAnsiTheme="majorBidi" w:cstheme="majorBidi"/>
          <w:color w:val="000000" w:themeColor="text1"/>
          <w:sz w:val="24"/>
          <w:szCs w:val="24"/>
          <w:rtl/>
        </w:rPr>
        <w:t>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رصد جانب من الفقه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Pr>
          <w:rtl/>
        </w:rPr>
        <w:footnoteReference w:id="63"/>
      </w:r>
    </w:p>
    <w:p w14:paraId="13E86BF3"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جانب من الفقه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Pr>
          <w:rtl/>
        </w:rPr>
        <w:footnoteReference w:id="6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65"/>
      </w:r>
    </w:p>
    <w:p w14:paraId="12D06CE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جانب من الفقه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Pr>
          <w:rtl/>
        </w:rPr>
        <w:footnoteReference w:id="66"/>
      </w:r>
    </w:p>
    <w:p w14:paraId="60EF4FC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يخص غياب التعريفات التقنية في نصوص النظام، خلص جانب من الفقه إلى أن الأنظمة الجزائية السعودية لا تتضمن أي تعريف لنظام الذكاء الاصطناعي أو لمفهوم الخوارزمية أو التعلم الآلي، مما يُفضي إلى إشكاليات إثبات جوهرية حين يستدعي الفصل في النزاع تحديداً دقيقاً لما إذا كانت الأداة المستخدمة تندرج فعلاً ضمن تعريف الذكاء الاصطناعي أم لا.</w:t>
      </w:r>
      <w:r>
        <w:rPr>
          <w:rtl/>
        </w:rPr>
        <w:footnoteReference w:id="6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جانب من الفقه في دراساتهما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جانب من الفقه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Pr>
          <w:rtl/>
        </w:rPr>
        <w:footnoteReference w:id="68"/>
      </w:r>
    </w:p>
    <w:p w14:paraId="3EDFAC7B"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Pr>
          <w:rtl/>
        </w:rPr>
        <w:footnoteReference w:id="69"/>
      </w:r>
    </w:p>
    <w:p w14:paraId="25E8BA8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7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جانب من الفقه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المادة الثالثة من النظام لم توضّح حدود استخدام الأدوات الذكية في الأعمال الحساسة مثل الاستشارات وصياغة المذكرات. ويرى جانب من الفقه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commentRangeStart w:id="4"/>
      <w:commentRangeStart w:id="5"/>
      <w:r>
        <w:rPr>
          <w:rFonts w:asciiTheme="majorBidi" w:hAnsiTheme="majorBidi" w:cstheme="majorBidi"/>
          <w:color w:val="000000" w:themeColor="text1"/>
          <w:sz w:val="24"/>
          <w:szCs w:val="24"/>
          <w:rtl/>
        </w:rPr>
        <w:t xml:space="preserve">تنص المادة (التاسعة والعشرون بعد المائة) من نظام المعاملات المدنية </w:t>
      </w:r>
      <w:commentRangeEnd w:id="4"/>
      <w:r>
        <w:rPr>
          <w:rStyle w:val="af0"/>
          <w:rFonts w:asciiTheme="majorBidi" w:hAnsiTheme="majorBidi" w:cstheme="majorBidi"/>
          <w:color w:val="000000" w:themeColor="text1"/>
          <w:sz w:val="24"/>
          <w:szCs w:val="24"/>
          <w:rtl/>
        </w:rPr>
        <w:commentReference w:id="4"/>
      </w:r>
      <w:commentRangeEnd w:id="5"/>
      <w:r>
        <w:rPr>
          <w:rStyle w:val="af0"/>
          <w:rFonts w:asciiTheme="majorBidi" w:hAnsiTheme="majorBidi" w:cstheme="majorBidi"/>
          <w:color w:val="000000" w:themeColor="text1"/>
          <w:sz w:val="24"/>
          <w:szCs w:val="24"/>
          <w:rtl/>
        </w:rPr>
        <w:commentReference w:id="5"/>
      </w:r>
      <w:r>
        <w:rPr>
          <w:rFonts w:asciiTheme="majorBidi" w:hAnsiTheme="majorBidi" w:cstheme="majorBidi"/>
          <w:color w:val="000000" w:themeColor="text1"/>
          <w:sz w:val="24"/>
          <w:szCs w:val="24"/>
          <w:rtl/>
        </w:rPr>
        <w:t>على مسؤولية المتبوع عن الضرر الذي يحدثه تابعه بخطئه أثناء تأدية عمله أو بسببه، لكنها لم تُفرد نصاً خاصاً للمسؤولية عند وقوع خطأ تقني داخل المكتب القانوني</w:t>
      </w:r>
      <w:commentRangeStart w:id="6"/>
      <w:commentRangeStart w:id="7"/>
      <w:r>
        <w:rPr>
          <w:rFonts w:asciiTheme="majorBidi" w:hAnsiTheme="majorBidi" w:cstheme="majorBidi"/>
          <w:color w:val="000000" w:themeColor="text1"/>
          <w:sz w:val="24"/>
          <w:szCs w:val="24"/>
          <w:rtl/>
        </w:rPr>
        <w:t>. ويشير جانب من الفقه في بحوث المسؤولية القانونية عن أفعال الذكاء الاصطناعي إلى أن الأنظمة القائمة لم تحدد المركز القانوني لـ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commentRangeEnd w:id="6"/>
      <w:r>
        <w:rPr>
          <w:rStyle w:val="af0"/>
          <w:rFonts w:asciiTheme="majorBidi" w:hAnsiTheme="majorBidi" w:cstheme="majorBidi"/>
          <w:color w:val="000000" w:themeColor="text1"/>
          <w:sz w:val="24"/>
          <w:szCs w:val="24"/>
        </w:rPr>
        <w:commentReference w:id="6"/>
      </w:r>
      <w:commentRangeEnd w:id="7"/>
      <w:r>
        <w:rPr>
          <w:rStyle w:val="af0"/>
          <w:rFonts w:asciiTheme="majorBidi" w:hAnsiTheme="majorBidi" w:cstheme="majorBidi"/>
          <w:color w:val="000000" w:themeColor="text1"/>
          <w:sz w:val="24"/>
          <w:szCs w:val="24"/>
        </w:rPr>
        <w:commentReference w:id="7"/>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جانب من الفقه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جانب من الفقه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commentRangeStart w:id="8"/>
      <w:commentRangeStart w:id="9"/>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جانب من الفقه أن المشرّع بحاجة للانتقال من “التحكم المهني” إلى “التنظيم التطويري</w:t>
      </w:r>
      <w:proofErr w:type="gramStart"/>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w:t>
      </w:r>
      <w:proofErr w:type="gramEnd"/>
      <w:r>
        <w:rPr>
          <w:rFonts w:asciiTheme="majorBidi" w:hAnsiTheme="majorBidi" w:cstheme="majorBidi"/>
          <w:b/>
          <w:bCs/>
          <w:color w:val="000000" w:themeColor="text1"/>
          <w:sz w:val="24"/>
          <w:szCs w:val="24"/>
          <w:rtl/>
        </w:rPr>
        <w:t xml:space="preserve">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جانب من الفقه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commentRangeEnd w:id="8"/>
      <w:r w:rsidRPr="007F1A18">
        <w:rPr>
          <w:rStyle w:val="af0"/>
          <w:rFonts w:asciiTheme="majorBidi" w:hAnsiTheme="majorBidi" w:cstheme="majorBidi"/>
          <w:color w:val="000000" w:themeColor="text1"/>
          <w:sz w:val="24"/>
          <w:szCs w:val="24"/>
        </w:rPr>
        <w:commentReference w:id="8"/>
      </w:r>
      <w:commentRangeEnd w:id="9"/>
      <w:r w:rsidRPr="007F1A18">
        <w:rPr>
          <w:rStyle w:val="af0"/>
          <w:rFonts w:asciiTheme="majorBidi" w:hAnsiTheme="majorBidi" w:cstheme="majorBidi"/>
          <w:color w:val="000000" w:themeColor="text1"/>
          <w:sz w:val="24"/>
          <w:szCs w:val="24"/>
        </w:rPr>
        <w:commentReference w:id="9"/>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w:t>
      </w:r>
      <w:r>
        <w:rPr>
          <w:rFonts w:asciiTheme="majorBidi" w:hAnsiTheme="majorBidi" w:cstheme="majorBidi"/>
          <w:sz w:val="24"/>
          <w:szCs w:val="24"/>
          <w:rtl/>
        </w:rPr>
        <w:lastRenderedPageBreak/>
        <w:t>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7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ويرى جانب من الفقه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Pr>
          <w:rtl/>
        </w:rPr>
        <w:footnoteReference w:id="7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جانب من الفقه في 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Pr>
          <w:rtl/>
        </w:rPr>
        <w:footnoteReference w:id="73"/>
      </w:r>
    </w:p>
    <w:p w14:paraId="3E4BE257"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جانب من الفقه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74"/>
      </w:r>
    </w:p>
    <w:p w14:paraId="0036FDAD"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 xml:space="preserve">وفي ضوء الاجتهاد القضائي المقارن في المسائل التقنية، استعرض جانب من الفقه عدة قضايا أوروبية وأمريكية برزت فيها أنظمة الذكاء الاصطناعي طرفاً فاعلاً في النزاع، خالصاً إلى أن الاجتهاد القضائي في هذه الأنظمة </w:t>
      </w:r>
      <w:r>
        <w:rPr>
          <w:rFonts w:asciiTheme="majorBidi" w:hAnsiTheme="majorBidi" w:cstheme="majorBidi"/>
          <w:sz w:val="24"/>
          <w:szCs w:val="24"/>
          <w:rtl/>
        </w:rPr>
        <w:lastRenderedPageBreak/>
        <w:t xml:space="preserve">يتسم بالحذر والتدرج، مع الميل إلى تطبيق المبادئ القانونية العامة </w:t>
      </w:r>
      <w:proofErr w:type="spellStart"/>
      <w:r>
        <w:rPr>
          <w:rFonts w:asciiTheme="majorBidi" w:hAnsiTheme="majorBidi" w:cstheme="majorBidi"/>
          <w:sz w:val="24"/>
          <w:szCs w:val="24"/>
          <w:rtl/>
        </w:rPr>
        <w:t>بتكييفات</w:t>
      </w:r>
      <w:proofErr w:type="spellEnd"/>
      <w:r>
        <w:rPr>
          <w:rFonts w:asciiTheme="majorBidi" w:hAnsiTheme="majorBidi" w:cstheme="majorBidi"/>
          <w:sz w:val="24"/>
          <w:szCs w:val="24"/>
          <w:rtl/>
        </w:rPr>
        <w:t xml:space="preserve"> مبتكرة بدلاً من انتظار التشريع الصريح.</w:t>
      </w:r>
      <w:r>
        <w:rPr>
          <w:rtl/>
        </w:rPr>
        <w:footnoteReference w:id="75"/>
      </w:r>
    </w:p>
    <w:p w14:paraId="58AE7B29"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الاجتهاد القضائي السعودي في هذا الشأن، لفتت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7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جانب من الفقه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xml:space="preserve">،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Pr>
          <w:rtl/>
        </w:rPr>
        <w:footnoteReference w:id="77"/>
      </w:r>
    </w:p>
    <w:p w14:paraId="2C033ACE"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جانب من الفقه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78"/>
      </w:r>
    </w:p>
    <w:p w14:paraId="12F3AC55" w14:textId="77777777" w:rsidR="00D57654" w:rsidRDefault="00C702A9" w:rsidP="00A67437">
      <w:pPr>
        <w:jc w:val="right"/>
        <w:rPr>
          <w:rFonts w:asciiTheme="majorBidi" w:hAnsiTheme="majorBidi" w:cstheme="majorBidi"/>
          <w:sz w:val="24"/>
          <w:szCs w:val="24"/>
          <w:rtl/>
        </w:rPr>
      </w:pPr>
      <w:proofErr w:type="gramStart"/>
      <w:r>
        <w:rPr>
          <w:rFonts w:asciiTheme="majorBidi" w:hAnsiTheme="majorBidi" w:cstheme="majorBidi"/>
          <w:sz w:val="24"/>
          <w:szCs w:val="24"/>
          <w:rtl/>
        </w:rPr>
        <w:t>وفي ما</w:t>
      </w:r>
      <w:proofErr w:type="gramEnd"/>
      <w:r>
        <w:rPr>
          <w:rFonts w:asciiTheme="majorBidi" w:hAnsiTheme="majorBidi" w:cstheme="majorBidi"/>
          <w:sz w:val="24"/>
          <w:szCs w:val="24"/>
          <w:rtl/>
        </w:rPr>
        <w:t xml:space="preserve"> يخص المادة الحادية عشرة المتعلقة بالسر المهني وضمانات السرية، وصف جانب من الفقه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7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والهيئة السعودية للمحامين لتنظيم اعتماد التقنيات القانونية. وهذا الاتجاه يتوافق مع ما طرحه جانب من الفقه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lastRenderedPageBreak/>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التاسعة والعشرين التي تحظر نقل البيانات إلى خارج المملكة إلا بضوابط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جانب من الفقه</w:t>
      </w:r>
      <w:r>
        <w:rPr>
          <w:rStyle w:val="af"/>
          <w:rFonts w:asciiTheme="majorBidi" w:hAnsiTheme="majorBidi" w:cstheme="majorBidi"/>
          <w:color w:val="000000" w:themeColor="text1"/>
          <w:sz w:val="24"/>
          <w:szCs w:val="24"/>
          <w:rtl/>
        </w:rPr>
        <w:footnoteReference w:id="8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جانب من الفقه</w:t>
      </w:r>
      <w:r>
        <w:rPr>
          <w:rStyle w:val="af"/>
          <w:rFonts w:asciiTheme="majorBidi" w:hAnsiTheme="majorBidi" w:cstheme="majorBidi"/>
          <w:color w:val="000000" w:themeColor="text1"/>
          <w:sz w:val="24"/>
          <w:szCs w:val="24"/>
          <w:rtl/>
        </w:rPr>
        <w:footnoteReference w:id="8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وتتضح أهمية هذا النظام أيضًا من خلال الدليل </w:t>
      </w:r>
      <w:proofErr w:type="spellStart"/>
      <w:r>
        <w:rPr>
          <w:rFonts w:asciiTheme="majorBidi" w:hAnsiTheme="majorBidi" w:cstheme="majorBidi"/>
          <w:color w:val="000000" w:themeColor="text1"/>
          <w:sz w:val="24"/>
          <w:szCs w:val="24"/>
          <w:rtl/>
        </w:rPr>
        <w:t>الاسترشادي</w:t>
      </w:r>
      <w:proofErr w:type="spellEnd"/>
      <w:r>
        <w:rPr>
          <w:rFonts w:asciiTheme="majorBidi" w:hAnsiTheme="majorBidi" w:cstheme="majorBidi"/>
          <w:color w:val="000000" w:themeColor="text1"/>
          <w:sz w:val="24"/>
          <w:szCs w:val="24"/>
          <w:rtl/>
        </w:rPr>
        <w:t xml:space="preserve">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lastRenderedPageBreak/>
        <w:t>ويضيف جانب من الفقه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8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proofErr w:type="gramStart"/>
      <w:r>
        <w:rPr>
          <w:rFonts w:asciiTheme="majorBidi" w:hAnsiTheme="majorBidi" w:cstheme="majorBidi" w:hint="cs"/>
          <w:b/>
          <w:bCs/>
          <w:color w:val="000000" w:themeColor="text1"/>
          <w:sz w:val="24"/>
          <w:szCs w:val="24"/>
          <w:rtl/>
        </w:rPr>
        <w:t>ثانياً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8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85"/>
      </w:r>
    </w:p>
    <w:p w14:paraId="49124FBC"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تحليل مدى إلزامية الموافقة الصريحة من المنظور الجزائي، أكد العطار والنوايسة أن غياب الموافقة الصريحة في الحالات التي </w:t>
      </w:r>
      <w:proofErr w:type="spellStart"/>
      <w:r>
        <w:rPr>
          <w:rFonts w:asciiTheme="majorBidi" w:hAnsiTheme="majorBidi" w:cstheme="majorBidi"/>
          <w:sz w:val="24"/>
          <w:szCs w:val="24"/>
          <w:rtl/>
        </w:rPr>
        <w:t>يستوجبها</w:t>
      </w:r>
      <w:proofErr w:type="spellEnd"/>
      <w:r>
        <w:rPr>
          <w:rFonts w:asciiTheme="majorBidi" w:hAnsiTheme="majorBidi" w:cstheme="majorBidi"/>
          <w:sz w:val="24"/>
          <w:szCs w:val="24"/>
          <w:rtl/>
        </w:rPr>
        <w:t xml:space="preserve"> القانون قد يُكيَّف جزائياً باعتباره تجاوزاً لحدود الوكالة وصورة من صور </w:t>
      </w:r>
      <w:r>
        <w:rPr>
          <w:rFonts w:asciiTheme="majorBidi" w:hAnsiTheme="majorBidi" w:cstheme="majorBidi"/>
          <w:sz w:val="24"/>
          <w:szCs w:val="24"/>
          <w:rtl/>
        </w:rPr>
        <w:lastRenderedPageBreak/>
        <w:t>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Pr>
          <w:rtl/>
        </w:rPr>
        <w:footnoteReference w:id="86"/>
      </w:r>
    </w:p>
    <w:p w14:paraId="5E89ACD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سياق تحصيل الموافقة الصريحة المستنيرة، استعرض جانب من الفقه نموذج الموافقة الطبقية المعتمد في بعض التشريعات الرائدة، والذي يُفرّق بين موافقة الموكل على استخدام الذكاء الاصطناعي في المهام الروتينية، وموافقة خاصة على استخدامه في الاطلاع على البيانات الحساسة، وموافقة مشددة على استخدامه في التوصيات التي تمس حقوق جوهرية للموكل.</w:t>
      </w:r>
      <w:r>
        <w:rPr>
          <w:rtl/>
        </w:rPr>
        <w:footnoteReference w:id="87"/>
      </w:r>
    </w:p>
    <w:p w14:paraId="62B8DA9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الأمين إلى اعتماد نموذج إفصاح مهني موحّد تُصدره الهيئة السعودية للمحامين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Pr>
          <w:rtl/>
        </w:rPr>
        <w:footnoteReference w:id="88"/>
      </w:r>
    </w:p>
    <w:p w14:paraId="68A6EA4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بتحصيل الموافقة الصريحة من الموكل عند استخدام الذكاء الاصطناعي، أوضحت </w:t>
      </w:r>
      <w:proofErr w:type="spellStart"/>
      <w:r>
        <w:rPr>
          <w:rFonts w:asciiTheme="majorBidi" w:hAnsiTheme="majorBidi" w:cstheme="majorBidi"/>
          <w:sz w:val="24"/>
          <w:szCs w:val="24"/>
          <w:rtl/>
        </w:rPr>
        <w:t>الخميسي</w:t>
      </w:r>
      <w:proofErr w:type="spellEnd"/>
      <w:r>
        <w:rPr>
          <w:rFonts w:asciiTheme="majorBidi" w:hAnsiTheme="majorBidi" w:cstheme="majorBidi"/>
          <w:sz w:val="24"/>
          <w:szCs w:val="24"/>
          <w:rtl/>
        </w:rPr>
        <w:t xml:space="preserve">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8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w:t>
      </w:r>
      <w:r>
        <w:rPr>
          <w:rFonts w:asciiTheme="majorBidi" w:hAnsiTheme="majorBidi" w:cstheme="majorBidi"/>
          <w:color w:val="000000" w:themeColor="text1"/>
          <w:sz w:val="24"/>
          <w:szCs w:val="24"/>
          <w:rtl/>
        </w:rPr>
        <w:lastRenderedPageBreak/>
        <w:t>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proofErr w:type="gramStart"/>
      <w:r>
        <w:rPr>
          <w:rFonts w:asciiTheme="majorBidi" w:hAnsiTheme="majorBidi" w:cstheme="majorBidi" w:hint="cs"/>
          <w:b/>
          <w:bCs/>
          <w:color w:val="000000" w:themeColor="text1"/>
          <w:sz w:val="24"/>
          <w:szCs w:val="24"/>
          <w:rtl/>
        </w:rPr>
        <w:t>ثالثاً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جانب من الفقه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Pr>
          <w:rtl/>
        </w:rPr>
        <w:footnoteReference w:id="90"/>
      </w:r>
    </w:p>
    <w:p w14:paraId="1BA66134"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جانب من الفقه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91"/>
      </w:r>
    </w:p>
    <w:p w14:paraId="58EBD3B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ضوء نظام المعاملات المدنية الجديد الصادر عام 1445هـ، لاحظ جانب من الفقه أن النظام </w:t>
      </w: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9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w:t>
      </w:r>
      <w:r>
        <w:rPr>
          <w:rFonts w:asciiTheme="majorBidi" w:hAnsiTheme="majorBidi" w:cstheme="majorBidi"/>
          <w:color w:val="000000" w:themeColor="text1"/>
          <w:sz w:val="24"/>
          <w:szCs w:val="24"/>
          <w:rtl/>
        </w:rPr>
        <w:lastRenderedPageBreak/>
        <w:t>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جانب من الفقه</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جانب من الفقه</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w:t>
      </w:r>
      <w:proofErr w:type="gramStart"/>
      <w:r>
        <w:rPr>
          <w:rFonts w:asciiTheme="majorBidi" w:hAnsiTheme="majorBidi" w:cstheme="majorBidi"/>
          <w:color w:val="000000" w:themeColor="text1"/>
          <w:sz w:val="24"/>
          <w:szCs w:val="24"/>
          <w:rtl/>
        </w:rPr>
        <w:t>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proofErr w:type="gramStart"/>
      <w:r>
        <w:rPr>
          <w:rFonts w:asciiTheme="majorBidi" w:hAnsiTheme="majorBidi" w:cstheme="majorBidi" w:hint="cs"/>
          <w:b/>
          <w:bCs/>
          <w:color w:val="000000" w:themeColor="text1"/>
          <w:sz w:val="24"/>
          <w:szCs w:val="24"/>
          <w:rtl/>
        </w:rPr>
        <w:t>رابعاً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w:t>
      </w:r>
      <w:r>
        <w:rPr>
          <w:rFonts w:asciiTheme="majorBidi" w:hAnsiTheme="majorBidi" w:cstheme="majorBidi"/>
          <w:color w:val="000000" w:themeColor="text1"/>
          <w:sz w:val="24"/>
          <w:szCs w:val="24"/>
          <w:rtl/>
        </w:rPr>
        <w:lastRenderedPageBreak/>
        <w:t>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جانب من الفقه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جانب من الفقه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في فبراير 2025م الدليل </w:t>
      </w:r>
      <w:proofErr w:type="spellStart"/>
      <w:r>
        <w:rPr>
          <w:rFonts w:asciiTheme="majorBidi" w:hAnsiTheme="majorBidi" w:cstheme="majorBidi"/>
          <w:sz w:val="24"/>
          <w:szCs w:val="24"/>
          <w:rtl/>
        </w:rPr>
        <w:t>الاسترشادي</w:t>
      </w:r>
      <w:proofErr w:type="spellEnd"/>
      <w:r>
        <w:rPr>
          <w:rFonts w:asciiTheme="majorBidi" w:hAnsiTheme="majorBidi" w:cstheme="majorBidi"/>
          <w:sz w:val="24"/>
          <w:szCs w:val="24"/>
          <w:rtl/>
        </w:rPr>
        <w:t xml:space="preserve"> لتقويم مخاطر نقل البيانات الشخصية إلى خارج المملكة، وهو دليل إجرائي تفصيلي </w:t>
      </w: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9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لجنة التأديب المختصة</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w:t>
      </w:r>
      <w:proofErr w:type="spellStart"/>
      <w:r>
        <w:rPr>
          <w:rFonts w:asciiTheme="majorBidi" w:hAnsiTheme="majorBidi" w:cstheme="majorBidi"/>
          <w:color w:val="000000" w:themeColor="text1"/>
          <w:sz w:val="24"/>
          <w:szCs w:val="24"/>
        </w:rPr>
        <w:t>Deepfake</w:t>
      </w:r>
      <w:proofErr w:type="spellEnd"/>
      <w:r>
        <w:rPr>
          <w:rFonts w:asciiTheme="majorBidi" w:hAnsiTheme="majorBidi" w:cstheme="majorBidi"/>
          <w:color w:val="000000" w:themeColor="text1"/>
          <w:sz w:val="24"/>
          <w:szCs w:val="24"/>
        </w:rPr>
        <w:t xml:space="preserv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w:t>
      </w:r>
      <w:proofErr w:type="gramStart"/>
      <w:r>
        <w:rPr>
          <w:rFonts w:asciiTheme="majorBidi" w:hAnsiTheme="majorBidi" w:cstheme="majorBidi"/>
          <w:color w:val="000000" w:themeColor="text1"/>
          <w:sz w:val="24"/>
          <w:szCs w:val="24"/>
          <w:rtl/>
        </w:rPr>
        <w:t>المعلوماتي</w:t>
      </w:r>
      <w:r>
        <w:rPr>
          <w:rFonts w:asciiTheme="majorBidi" w:hAnsiTheme="majorBidi" w:cstheme="majorBidi"/>
          <w:color w:val="000000" w:themeColor="text1"/>
          <w:sz w:val="24"/>
          <w:szCs w:val="24"/>
        </w:rPr>
        <w:t>..</w:t>
      </w:r>
      <w:proofErr w:type="gramEnd"/>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proofErr w:type="gramStart"/>
      <w:r>
        <w:rPr>
          <w:rFonts w:asciiTheme="majorBidi" w:hAnsiTheme="majorBidi" w:cstheme="majorBidi" w:hint="cs"/>
          <w:b/>
          <w:bCs/>
          <w:color w:val="000000" w:themeColor="text1"/>
          <w:sz w:val="24"/>
          <w:szCs w:val="24"/>
          <w:rtl/>
        </w:rPr>
        <w:t>خامساً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جانب من الفقه</w:t>
      </w:r>
      <w:r>
        <w:rPr>
          <w:rStyle w:val="af"/>
          <w:rFonts w:asciiTheme="majorBidi" w:hAnsiTheme="majorBidi" w:cstheme="majorBidi"/>
          <w:color w:val="000000" w:themeColor="text1"/>
          <w:sz w:val="24"/>
          <w:szCs w:val="24"/>
          <w:rtl/>
        </w:rPr>
        <w:footnoteReference w:id="9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w:t>
      </w:r>
      <w:proofErr w:type="spellStart"/>
      <w:r>
        <w:rPr>
          <w:rFonts w:asciiTheme="majorBidi" w:hAnsiTheme="majorBidi" w:cstheme="majorBidi"/>
          <w:color w:val="000000" w:themeColor="text1"/>
          <w:sz w:val="24"/>
          <w:szCs w:val="24"/>
          <w:rtl/>
        </w:rPr>
        <w:t>الأتمتة</w:t>
      </w:r>
      <w:proofErr w:type="spellEnd"/>
      <w:r>
        <w:rPr>
          <w:rFonts w:asciiTheme="majorBidi" w:hAnsiTheme="majorBidi" w:cstheme="majorBidi"/>
          <w:color w:val="000000" w:themeColor="text1"/>
          <w:sz w:val="24"/>
          <w:szCs w:val="24"/>
          <w:rtl/>
        </w:rPr>
        <w:t xml:space="preserve"> القانونية، لأن اعترافه بالتوقيعات الرقمية والوثائق الإلكترونية سمح بتطبيق الخوارزميات الذكية في تنفيذ </w:t>
      </w:r>
      <w:r>
        <w:rPr>
          <w:rFonts w:asciiTheme="majorBidi" w:hAnsiTheme="majorBidi" w:cstheme="majorBidi"/>
          <w:color w:val="000000" w:themeColor="text1"/>
          <w:sz w:val="24"/>
          <w:szCs w:val="24"/>
          <w:rtl/>
        </w:rPr>
        <w:lastRenderedPageBreak/>
        <w:t>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w:t>
      </w:r>
      <w:proofErr w:type="gramStart"/>
      <w:r>
        <w:rPr>
          <w:rFonts w:asciiTheme="majorBidi" w:hAnsiTheme="majorBidi" w:cstheme="majorBidi"/>
          <w:color w:val="000000" w:themeColor="text1"/>
          <w:sz w:val="24"/>
          <w:szCs w:val="24"/>
          <w:rtl/>
        </w:rPr>
        <w:t>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roofErr w:type="gramEnd"/>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proofErr w:type="gramStart"/>
      <w:r>
        <w:rPr>
          <w:rFonts w:asciiTheme="majorBidi" w:hAnsiTheme="majorBidi" w:cstheme="majorBidi" w:hint="cs"/>
          <w:b/>
          <w:bCs/>
          <w:color w:val="000000" w:themeColor="text1"/>
          <w:sz w:val="24"/>
          <w:szCs w:val="24"/>
          <w:rtl/>
        </w:rPr>
        <w:t>سادساً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 xml:space="preserve">(2023)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w:t>
      </w:r>
      <w:r>
        <w:rPr>
          <w:rFonts w:asciiTheme="majorBidi" w:hAnsiTheme="majorBidi" w:cstheme="majorBidi"/>
          <w:color w:val="000000" w:themeColor="text1"/>
          <w:sz w:val="24"/>
          <w:szCs w:val="24"/>
          <w:rtl/>
        </w:rPr>
        <w:lastRenderedPageBreak/>
        <w:t>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جانب من الفقه</w:t>
      </w:r>
      <w:r>
        <w:rPr>
          <w:rStyle w:val="af"/>
          <w:rFonts w:asciiTheme="majorBidi" w:hAnsiTheme="majorBidi" w:cstheme="majorBidi"/>
          <w:color w:val="000000" w:themeColor="text1"/>
          <w:sz w:val="24"/>
          <w:szCs w:val="24"/>
          <w:rtl/>
        </w:rPr>
        <w:footnoteReference w:id="100"/>
      </w:r>
      <w:r>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10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proofErr w:type="gramStart"/>
      <w:r>
        <w:rPr>
          <w:rFonts w:asciiTheme="majorBidi" w:hAnsiTheme="majorBidi" w:cstheme="majorBidi" w:hint="cs"/>
          <w:b/>
          <w:bCs/>
          <w:color w:val="000000" w:themeColor="text1"/>
          <w:sz w:val="24"/>
          <w:szCs w:val="24"/>
          <w:rtl/>
        </w:rPr>
        <w:t>سابعاً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0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w:t>
      </w:r>
      <w:r>
        <w:rPr>
          <w:rFonts w:asciiTheme="majorBidi" w:hAnsiTheme="majorBidi" w:cstheme="majorBidi"/>
          <w:color w:val="000000" w:themeColor="text1"/>
          <w:sz w:val="24"/>
          <w:szCs w:val="24"/>
          <w:rtl/>
        </w:rPr>
        <w:lastRenderedPageBreak/>
        <w:t>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جانب من الفقه</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10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proofErr w:type="gramStart"/>
      <w:r>
        <w:rPr>
          <w:rFonts w:asciiTheme="majorBidi" w:hAnsiTheme="majorBidi" w:cstheme="majorBidi" w:hint="cs"/>
          <w:color w:val="000000" w:themeColor="text1"/>
          <w:sz w:val="24"/>
          <w:szCs w:val="24"/>
          <w:rtl/>
        </w:rPr>
        <w:t>مؤتمته</w:t>
      </w:r>
      <w:proofErr w:type="gramEnd"/>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proofErr w:type="gramStart"/>
      <w:r>
        <w:rPr>
          <w:rFonts w:asciiTheme="majorBidi" w:hAnsiTheme="majorBidi" w:cstheme="majorBidi" w:hint="cs"/>
          <w:b/>
          <w:bCs/>
          <w:color w:val="000000" w:themeColor="text1"/>
          <w:sz w:val="24"/>
          <w:szCs w:val="24"/>
          <w:rtl/>
        </w:rPr>
        <w:t>ثامناً :</w:t>
      </w:r>
      <w:proofErr w:type="gramEnd"/>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rtl/>
        </w:rPr>
        <w:t xml:space="preserve">الوثائق التنظيمية والأخلاقية – </w:t>
      </w:r>
      <w:proofErr w:type="spellStart"/>
      <w:r>
        <w:rPr>
          <w:rFonts w:asciiTheme="majorBidi" w:hAnsiTheme="majorBidi" w:cstheme="majorBidi"/>
          <w:b/>
          <w:bCs/>
          <w:color w:val="000000" w:themeColor="text1"/>
          <w:rtl/>
        </w:rPr>
        <w:t>سدايا</w:t>
      </w:r>
      <w:proofErr w:type="spellEnd"/>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w:t>
      </w:r>
      <w:r>
        <w:rPr>
          <w:rFonts w:asciiTheme="majorBidi" w:hAnsiTheme="majorBidi" w:cstheme="majorBidi"/>
          <w:color w:val="000000" w:themeColor="text1"/>
          <w:sz w:val="24"/>
          <w:szCs w:val="24"/>
          <w:rtl/>
        </w:rPr>
        <w:lastRenderedPageBreak/>
        <w:t>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وتشمل هذه الوثائق: وثيقة مبادئ أخلاقيات الذكاء الاصطناعي، وإطار تبنّي الذكاء الاصطناعي في المملكة، والدليل </w:t>
      </w:r>
      <w:proofErr w:type="spellStart"/>
      <w:r>
        <w:rPr>
          <w:rFonts w:asciiTheme="majorBidi" w:hAnsiTheme="majorBidi" w:cstheme="majorBidi"/>
          <w:color w:val="000000" w:themeColor="text1"/>
          <w:sz w:val="24"/>
          <w:szCs w:val="24"/>
          <w:rtl/>
        </w:rPr>
        <w:t>الاسترشادي</w:t>
      </w:r>
      <w:proofErr w:type="spellEnd"/>
      <w:r>
        <w:rPr>
          <w:rFonts w:asciiTheme="majorBidi" w:hAnsiTheme="majorBidi" w:cstheme="majorBidi"/>
          <w:color w:val="000000" w:themeColor="text1"/>
          <w:sz w:val="24"/>
          <w:szCs w:val="24"/>
          <w:rtl/>
        </w:rPr>
        <w:t xml:space="preserve">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الهيئة السعودية للمحامين. وهذا البعد مهم في ضبط المسؤولية القانونية؛ إذ لا </w:t>
      </w:r>
      <w:proofErr w:type="spellStart"/>
      <w:r>
        <w:rPr>
          <w:rFonts w:asciiTheme="majorBidi" w:hAnsiTheme="majorBidi" w:cstheme="majorBidi"/>
          <w:color w:val="000000" w:themeColor="text1"/>
          <w:sz w:val="24"/>
          <w:szCs w:val="24"/>
          <w:rtl/>
        </w:rPr>
        <w:t>يُساءل</w:t>
      </w:r>
      <w:proofErr w:type="spellEnd"/>
      <w:r>
        <w:rPr>
          <w:rFonts w:asciiTheme="majorBidi" w:hAnsiTheme="majorBidi" w:cstheme="majorBidi"/>
          <w:color w:val="000000" w:themeColor="text1"/>
          <w:sz w:val="24"/>
          <w:szCs w:val="24"/>
          <w:rtl/>
        </w:rPr>
        <w:t xml:space="preserve">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جانب من الفقه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الهيئة السعودية للمحامين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w:t>
      </w:r>
      <w:proofErr w:type="gramStart"/>
      <w:r>
        <w:rPr>
          <w:rFonts w:asciiTheme="majorBidi" w:hAnsiTheme="majorBidi" w:cstheme="majorBidi"/>
          <w:color w:val="000000" w:themeColor="text1"/>
          <w:sz w:val="24"/>
          <w:szCs w:val="24"/>
          <w:rtl/>
        </w:rPr>
        <w:t>في ما</w:t>
      </w:r>
      <w:proofErr w:type="gramEnd"/>
      <w:r>
        <w:rPr>
          <w:rFonts w:asciiTheme="majorBidi" w:hAnsiTheme="majorBidi" w:cstheme="majorBidi"/>
          <w:color w:val="000000" w:themeColor="text1"/>
          <w:sz w:val="24"/>
          <w:szCs w:val="24"/>
          <w:rtl/>
        </w:rPr>
        <w:t xml:space="preserve">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الدليل </w:t>
      </w:r>
      <w:proofErr w:type="spellStart"/>
      <w:r>
        <w:rPr>
          <w:rFonts w:asciiTheme="majorBidi" w:hAnsiTheme="majorBidi" w:cstheme="majorBidi"/>
          <w:color w:val="000000" w:themeColor="text1"/>
          <w:sz w:val="24"/>
          <w:szCs w:val="24"/>
          <w:rtl/>
        </w:rPr>
        <w:t>الاسترشادي</w:t>
      </w:r>
      <w:proofErr w:type="spellEnd"/>
      <w:r>
        <w:rPr>
          <w:rFonts w:asciiTheme="majorBidi" w:hAnsiTheme="majorBidi" w:cstheme="majorBidi"/>
          <w:color w:val="000000" w:themeColor="text1"/>
          <w:sz w:val="24"/>
          <w:szCs w:val="24"/>
          <w:rtl/>
        </w:rPr>
        <w:t xml:space="preserve">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الهيئة السعودية للمحامين دليل التزام تقني يعتمد معايير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w:t>
      </w:r>
      <w:proofErr w:type="spellStart"/>
      <w:r>
        <w:rPr>
          <w:rFonts w:asciiTheme="majorBidi" w:hAnsiTheme="majorBidi" w:cstheme="majorBidi"/>
          <w:color w:val="000000" w:themeColor="text1"/>
          <w:sz w:val="24"/>
          <w:szCs w:val="24"/>
          <w:rtl/>
        </w:rPr>
        <w:t>حوكمتها</w:t>
      </w:r>
      <w:proofErr w:type="spellEnd"/>
      <w:r>
        <w:rPr>
          <w:rFonts w:asciiTheme="majorBidi" w:hAnsiTheme="majorBidi" w:cstheme="majorBidi"/>
          <w:color w:val="000000" w:themeColor="text1"/>
          <w:sz w:val="24"/>
          <w:szCs w:val="24"/>
          <w:rtl/>
        </w:rPr>
        <w:t>”،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lastRenderedPageBreak/>
        <w:t xml:space="preserve">ويُضيف إطار تبني الذكاء الاصطناعي الصادر عن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w:t>
      </w:r>
      <w:proofErr w:type="spellStart"/>
      <w:r>
        <w:rPr>
          <w:rFonts w:asciiTheme="majorBidi" w:hAnsiTheme="majorBidi" w:cstheme="majorBidi"/>
          <w:sz w:val="24"/>
          <w:szCs w:val="24"/>
          <w:rtl/>
        </w:rPr>
        <w:t>محوكمة</w:t>
      </w:r>
      <w:proofErr w:type="spellEnd"/>
      <w:r>
        <w:rPr>
          <w:rFonts w:asciiTheme="majorBidi" w:hAnsiTheme="majorBidi" w:cstheme="majorBidi"/>
          <w:sz w:val="24"/>
          <w:szCs w:val="24"/>
          <w:rtl/>
        </w:rPr>
        <w:t xml:space="preserve"> ومسؤولة يستلزم استيفاء ستة ركائز تنظيمية تشمل تأسيس وحدات مختصة، وبناء قدرات بشرية، 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0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10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Pr>
          <w:rtl/>
        </w:rPr>
        <w:footnoteReference w:id="107"/>
      </w:r>
    </w:p>
    <w:p w14:paraId="27C7C31E"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lastRenderedPageBreak/>
        <w:t xml:space="preserve">وفي سياق تحمل المسؤولية عند تعدد المتسببين، خلصت </w:t>
      </w:r>
      <w:proofErr w:type="spellStart"/>
      <w:r>
        <w:rPr>
          <w:rFonts w:asciiTheme="majorBidi" w:hAnsiTheme="majorBidi" w:cstheme="majorBidi"/>
          <w:sz w:val="24"/>
          <w:szCs w:val="24"/>
          <w:rtl/>
        </w:rPr>
        <w:t>الخميسي</w:t>
      </w:r>
      <w:proofErr w:type="spellEnd"/>
      <w:r>
        <w:rPr>
          <w:rFonts w:asciiTheme="majorBidi" w:hAnsiTheme="majorBidi" w:cstheme="majorBidi"/>
          <w:sz w:val="24"/>
          <w:szCs w:val="24"/>
          <w:rtl/>
        </w:rPr>
        <w:t xml:space="preserve"> إلى أن نظرية التسبب المشترك في الفقه القانوني المقارن توفر أداة مناسبة لمعالجة هذا التداخل، إذ تُتيح توزيع التبعة وفق النسب المئوية للإسهام، وإن استلزم ذلك في القضايا التقنية الاستعانة بخبراء متخصصين قادرين على تحديد درجة إسهام كل طرف في إنتاج الضرر الناجم عن النظام الذكي.</w:t>
      </w:r>
      <w:r>
        <w:rPr>
          <w:rtl/>
        </w:rPr>
        <w:footnoteReference w:id="108"/>
      </w:r>
    </w:p>
    <w:p w14:paraId="35952087"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جانب من الفقه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r>
        <w:rPr>
          <w:rtl/>
        </w:rPr>
        <w:footnoteReference w:id="109"/>
      </w:r>
    </w:p>
    <w:p w14:paraId="350DB196"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منظومة التعاقد الذكي، رأت </w:t>
      </w:r>
      <w:proofErr w:type="gramStart"/>
      <w:r>
        <w:rPr>
          <w:rFonts w:asciiTheme="majorBidi" w:hAnsiTheme="majorBidi" w:cstheme="majorBidi"/>
          <w:sz w:val="24"/>
          <w:szCs w:val="24"/>
          <w:rtl/>
        </w:rPr>
        <w:t>علي</w:t>
      </w:r>
      <w:proofErr w:type="gramEnd"/>
      <w:r>
        <w:rPr>
          <w:rFonts w:asciiTheme="majorBidi" w:hAnsiTheme="majorBidi" w:cstheme="majorBidi"/>
          <w:sz w:val="24"/>
          <w:szCs w:val="24"/>
          <w:rtl/>
        </w:rPr>
        <w:t xml:space="preserve"> (د.ت) في دراستها المنشورة بمجلة الشريعة والقانون لجامعة الأزهر أن تقنية سلسلة الكتل (</w:t>
      </w:r>
      <w:proofErr w:type="spellStart"/>
      <w:r>
        <w:rPr>
          <w:rFonts w:asciiTheme="majorBidi" w:hAnsiTheme="majorBidi" w:cstheme="majorBidi"/>
          <w:sz w:val="24"/>
          <w:szCs w:val="24"/>
          <w:rtl/>
        </w:rPr>
        <w:t>Blockchain</w:t>
      </w:r>
      <w:proofErr w:type="spellEnd"/>
      <w:r>
        <w:rPr>
          <w:rFonts w:asciiTheme="majorBidi" w:hAnsiTheme="majorBidi" w:cstheme="majorBidi"/>
          <w:sz w:val="24"/>
          <w:szCs w:val="24"/>
          <w:rtl/>
        </w:rPr>
        <w:t>)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11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C702A9" w:rsidP="0010656B">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بالفجوة المؤسسية في منظومة الرقابة على الذكاء الاصطناعي القانوني، خلص جانب من الفقه إلى أن الغياب الأبرز ليس في النصوص التشريعية وحدها، بل في غياب جهة رقابية متخصصة تضم خبراء قانونيين وتقنيين على حد سواء، وتضطلع بتقييم الأنظمة الذكية المستخدمة في القطاع القانوني وإصدار شهادات الجدارة والاعتماد.</w:t>
      </w:r>
      <w:r>
        <w:rPr>
          <w:rtl/>
        </w:rPr>
        <w:footnoteReference w:id="111"/>
      </w:r>
    </w:p>
    <w:p w14:paraId="70D70FFC"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112"/>
      </w:r>
    </w:p>
    <w:p w14:paraId="058D36C1"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جانب من الفقه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Pr>
          <w:rtl/>
        </w:rPr>
        <w:footnoteReference w:id="11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جانب من الفقه من أن أي قراءة تحليلية في هذا الموضوع ينبغي أن تجمع بين المقاربة الوطنية والأفق المقارن لاستجلاء مكامن القصور واستكشاف سبل المعالجة.</w:t>
      </w:r>
      <w:r>
        <w:rPr>
          <w:rtl/>
        </w:rPr>
        <w:footnoteReference w:id="114"/>
      </w:r>
    </w:p>
    <w:p w14:paraId="34F191A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جانب من الفقه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Pr>
          <w:rtl/>
        </w:rPr>
        <w:footnoteReference w:id="115"/>
      </w:r>
    </w:p>
    <w:p w14:paraId="326D7C20"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وقد حدّد جانب من الفقه ثلاثة مستويات للفجوة التشريعية في هذا الحقل: الفجوة </w:t>
      </w:r>
      <w:proofErr w:type="spellStart"/>
      <w:r>
        <w:rPr>
          <w:rFonts w:asciiTheme="majorBidi" w:hAnsiTheme="majorBidi" w:cstheme="majorBidi"/>
          <w:sz w:val="24"/>
          <w:szCs w:val="24"/>
          <w:rtl/>
        </w:rPr>
        <w:t>المفاهيمية</w:t>
      </w:r>
      <w:proofErr w:type="spellEnd"/>
      <w:r>
        <w:rPr>
          <w:rFonts w:asciiTheme="majorBidi" w:hAnsiTheme="majorBidi" w:cstheme="majorBidi"/>
          <w:sz w:val="24"/>
          <w:szCs w:val="24"/>
          <w:rtl/>
        </w:rPr>
        <w:t xml:space="preserve"> المتمثلة في غياب تعريف قانوني دقيق لمخرجات الذكاء الاصطناعي، والفجوة الإجرائية المتجلية في عدم وجود قواعد واضحة </w:t>
      </w:r>
      <w:r>
        <w:rPr>
          <w:rFonts w:asciiTheme="majorBidi" w:hAnsiTheme="majorBidi" w:cstheme="majorBidi"/>
          <w:sz w:val="24"/>
          <w:szCs w:val="24"/>
          <w:rtl/>
        </w:rPr>
        <w:lastRenderedPageBreak/>
        <w:t>لقبول هذه المخرجات دليلاً، والفجوة العقابية المتعلقة بخلو النظام من نصوص صريحة تُحدّد الجزاء المترتب على سوء استخدام هذه الأنظمة في السياق القضائي.</w:t>
      </w:r>
      <w:r>
        <w:rPr>
          <w:rtl/>
        </w:rPr>
        <w:footnoteReference w:id="11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 جانب من الفقه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جانب </w:t>
      </w:r>
      <w:r>
        <w:rPr>
          <w:rFonts w:asciiTheme="majorBidi" w:hAnsiTheme="majorBidi" w:cstheme="majorBidi"/>
          <w:color w:val="000000" w:themeColor="text1"/>
          <w:sz w:val="24"/>
          <w:szCs w:val="24"/>
          <w:rtl/>
        </w:rPr>
        <w:lastRenderedPageBreak/>
        <w:t>من الفقه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w:t>
      </w:r>
      <w:r>
        <w:rPr>
          <w:rFonts w:asciiTheme="majorBidi" w:hAnsiTheme="majorBidi" w:cs="Times New Roman"/>
          <w:color w:val="000000" w:themeColor="text1"/>
          <w:sz w:val="24"/>
          <w:szCs w:val="24"/>
          <w:rtl/>
        </w:rPr>
        <w:t>الذي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أُقرّ</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رسميًا</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في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مايو</w:t>
      </w:r>
      <w:r>
        <w:rPr>
          <w:rFonts w:asciiTheme="majorBidi" w:hAnsiTheme="majorBidi" w:cstheme="majorBidi"/>
          <w:color w:val="000000" w:themeColor="text1"/>
          <w:sz w:val="24"/>
          <w:szCs w:val="24"/>
        </w:rPr>
        <w:t xml:space="preserve"> 2024</w:t>
      </w:r>
      <w:r>
        <w:rPr>
          <w:rFonts w:asciiTheme="majorBidi" w:hAnsiTheme="majorBidi" w:cs="Times New Roman"/>
          <w:color w:val="000000" w:themeColor="text1"/>
          <w:sz w:val="24"/>
          <w:szCs w:val="24"/>
          <w:rtl/>
        </w:rPr>
        <w:t>م</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جانب من الفقه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والهيئة السعودية للمحامين،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1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يرى بعض الفقه بن </w:t>
      </w:r>
      <w:proofErr w:type="spellStart"/>
      <w:r>
        <w:rPr>
          <w:rFonts w:asciiTheme="majorBidi" w:hAnsiTheme="majorBidi" w:cstheme="majorBidi"/>
          <w:color w:val="000000" w:themeColor="text1"/>
          <w:sz w:val="24"/>
          <w:szCs w:val="24"/>
          <w:rtl/>
        </w:rPr>
        <w:t>ناشي</w:t>
      </w:r>
      <w:proofErr w:type="spellEnd"/>
      <w:r>
        <w:rPr>
          <w:rFonts w:asciiTheme="majorBidi" w:hAnsiTheme="majorBidi" w:cstheme="majorBidi"/>
          <w:color w:val="000000" w:themeColor="text1"/>
          <w:sz w:val="24"/>
          <w:szCs w:val="24"/>
          <w:rtl/>
        </w:rPr>
        <w:t xml:space="preserve"> جانب من الفقه</w:t>
      </w:r>
      <w:r>
        <w:rPr>
          <w:rStyle w:val="af"/>
          <w:rFonts w:asciiTheme="majorBidi" w:hAnsiTheme="majorBidi" w:cstheme="majorBidi"/>
          <w:color w:val="000000" w:themeColor="text1"/>
          <w:sz w:val="24"/>
          <w:szCs w:val="24"/>
          <w:rtl/>
        </w:rPr>
        <w:footnoteReference w:id="11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جانب من الفقه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الأنظمة العدلية السعودية تتعامل مع “المستند” </w:t>
      </w:r>
      <w:proofErr w:type="spellStart"/>
      <w:r>
        <w:rPr>
          <w:rFonts w:asciiTheme="majorBidi" w:hAnsiTheme="majorBidi" w:cstheme="majorBidi"/>
          <w:color w:val="000000" w:themeColor="text1"/>
          <w:sz w:val="24"/>
          <w:szCs w:val="24"/>
          <w:rtl/>
        </w:rPr>
        <w:t>و”المحرر</w:t>
      </w:r>
      <w:proofErr w:type="spellEnd"/>
      <w:r>
        <w:rPr>
          <w:rFonts w:asciiTheme="majorBidi" w:hAnsiTheme="majorBidi" w:cstheme="majorBidi"/>
          <w:color w:val="000000" w:themeColor="text1"/>
          <w:sz w:val="24"/>
          <w:szCs w:val="24"/>
          <w:rtl/>
        </w:rPr>
        <w:t xml:space="preserve">” </w:t>
      </w:r>
      <w:proofErr w:type="spellStart"/>
      <w:r>
        <w:rPr>
          <w:rFonts w:asciiTheme="majorBidi" w:hAnsiTheme="majorBidi" w:cstheme="majorBidi"/>
          <w:color w:val="000000" w:themeColor="text1"/>
          <w:sz w:val="24"/>
          <w:szCs w:val="24"/>
          <w:rtl/>
        </w:rPr>
        <w:t>و”الأداة</w:t>
      </w:r>
      <w:proofErr w:type="spellEnd"/>
      <w:r>
        <w:rPr>
          <w:rFonts w:asciiTheme="majorBidi" w:hAnsiTheme="majorBidi" w:cstheme="majorBidi"/>
          <w:color w:val="000000" w:themeColor="text1"/>
          <w:sz w:val="24"/>
          <w:szCs w:val="24"/>
          <w:rtl/>
        </w:rPr>
        <w:t>”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1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ما تنتجه أنظمة الذكاء الاصطناعي من نصوص قانونية، أو مذكرات، أو عقود، لا يُعدّ من الناحية النظامية </w:t>
      </w:r>
      <w:r>
        <w:rPr>
          <w:rFonts w:asciiTheme="majorBidi" w:hAnsiTheme="majorBidi" w:cstheme="majorBidi"/>
          <w:color w:val="000000" w:themeColor="text1"/>
          <w:sz w:val="24"/>
          <w:szCs w:val="24"/>
          <w:rtl/>
        </w:rPr>
        <w:lastRenderedPageBreak/>
        <w:t>“مستندًا”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جانب من الفقه</w:t>
      </w:r>
      <w:r>
        <w:rPr>
          <w:rStyle w:val="af"/>
          <w:rFonts w:asciiTheme="majorBidi" w:hAnsiTheme="majorBidi" w:cstheme="majorBidi"/>
          <w:color w:val="000000" w:themeColor="text1"/>
          <w:sz w:val="24"/>
          <w:szCs w:val="24"/>
          <w:rtl/>
        </w:rPr>
        <w:footnoteReference w:id="12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12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جانب من الفقه</w:t>
      </w:r>
      <w:r>
        <w:rPr>
          <w:rStyle w:val="af"/>
          <w:rFonts w:asciiTheme="majorBidi" w:hAnsiTheme="majorBidi" w:cstheme="majorBidi"/>
          <w:color w:val="000000" w:themeColor="text1"/>
          <w:sz w:val="24"/>
          <w:szCs w:val="24"/>
          <w:rtl/>
        </w:rPr>
        <w:footnoteReference w:id="12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w:t>
      </w:r>
      <w:proofErr w:type="spellStart"/>
      <w:r>
        <w:rPr>
          <w:rFonts w:asciiTheme="majorBidi" w:hAnsiTheme="majorBidi" w:cstheme="majorBidi"/>
          <w:color w:val="000000" w:themeColor="text1"/>
          <w:sz w:val="24"/>
          <w:szCs w:val="24"/>
          <w:rtl/>
        </w:rPr>
        <w:t>مساءلات</w:t>
      </w:r>
      <w:proofErr w:type="spellEnd"/>
      <w:r>
        <w:rPr>
          <w:rFonts w:asciiTheme="majorBidi" w:hAnsiTheme="majorBidi" w:cstheme="majorBidi"/>
          <w:color w:val="000000" w:themeColor="text1"/>
          <w:sz w:val="24"/>
          <w:szCs w:val="24"/>
          <w:rtl/>
        </w:rPr>
        <w:t xml:space="preserve">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جانب من الفقه</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جانب من الفقه</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كما تتفق وثيقة مبادئ أخلاقيات الذكاء الاصطناعي الصادرة عن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وعلى صعيد المرجعية الرسمية، أصدرت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في سبتمبر 2023م وثيقة "مبادئ أخلاقيات الذكاء الاصطناعي" التي حددت سبعة مبادئ جوهرية لضمان تطوير هذه التقنيات </w:t>
      </w:r>
      <w:r>
        <w:rPr>
          <w:rFonts w:asciiTheme="majorBidi" w:hAnsiTheme="majorBidi" w:cstheme="majorBidi"/>
          <w:sz w:val="24"/>
          <w:szCs w:val="24"/>
          <w:rtl/>
        </w:rPr>
        <w:lastRenderedPageBreak/>
        <w:t xml:space="preserve">واستخدامها بصورة مسؤولة وأخلاقية، شملت النزاهة والإنصاف، والخصوصية والأمن، والإنسانية، والمنافع الاجتماعية، والموثوقية، والشفافية، والمساءلة. غير أن هذه الوثيقة تظل ذات طبيعة </w:t>
      </w:r>
      <w:proofErr w:type="spellStart"/>
      <w:r>
        <w:rPr>
          <w:rFonts w:asciiTheme="majorBidi" w:hAnsiTheme="majorBidi" w:cstheme="majorBidi"/>
          <w:sz w:val="24"/>
          <w:szCs w:val="24"/>
          <w:rtl/>
        </w:rPr>
        <w:t>استرشادية</w:t>
      </w:r>
      <w:proofErr w:type="spellEnd"/>
      <w:r>
        <w:rPr>
          <w:rFonts w:asciiTheme="majorBidi" w:hAnsiTheme="majorBidi" w:cstheme="majorBidi"/>
          <w:sz w:val="24"/>
          <w:szCs w:val="24"/>
          <w:rtl/>
        </w:rPr>
        <w:t xml:space="preserve">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2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جانب من الفقه</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جانب من الفقه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شددت الهيئة السعودية للبيانات والذكاء الاصطناعي في دليلها </w:t>
      </w:r>
      <w:proofErr w:type="spellStart"/>
      <w:r>
        <w:rPr>
          <w:rFonts w:asciiTheme="majorBidi" w:hAnsiTheme="majorBidi" w:cstheme="majorBidi"/>
          <w:color w:val="000000" w:themeColor="text1"/>
          <w:sz w:val="24"/>
          <w:szCs w:val="24"/>
          <w:rtl/>
        </w:rPr>
        <w:t>الاسترشادي</w:t>
      </w:r>
      <w:proofErr w:type="spellEnd"/>
      <w:r>
        <w:rPr>
          <w:rFonts w:asciiTheme="majorBidi" w:hAnsiTheme="majorBidi" w:cstheme="majorBidi"/>
          <w:color w:val="000000" w:themeColor="text1"/>
          <w:sz w:val="24"/>
          <w:szCs w:val="24"/>
          <w:rtl/>
        </w:rPr>
        <w:t xml:space="preserve">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جانب من الفقه</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جانب من الفقه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جانب من الفقه</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كما توصي وثيقة مبادئ أخلاقيات الذكاء الاصطناعي الصادرة عن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هذا الإطار، يرى المركز الدراسات والبحوث القانونية في دراسته </w:t>
      </w:r>
      <w:proofErr w:type="spellStart"/>
      <w:r>
        <w:rPr>
          <w:rFonts w:asciiTheme="majorBidi" w:hAnsiTheme="majorBidi" w:cstheme="majorBidi"/>
          <w:sz w:val="24"/>
          <w:szCs w:val="24"/>
          <w:rtl/>
        </w:rPr>
        <w:t>المعنونة</w:t>
      </w:r>
      <w:proofErr w:type="spellEnd"/>
      <w:r>
        <w:rPr>
          <w:rFonts w:asciiTheme="majorBidi" w:hAnsiTheme="majorBidi" w:cstheme="majorBidi"/>
          <w:sz w:val="24"/>
          <w:szCs w:val="24"/>
          <w:rtl/>
        </w:rPr>
        <w:t xml:space="preserve">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3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w:t>
      </w:r>
      <w:proofErr w:type="gramStart"/>
      <w:r>
        <w:rPr>
          <w:rFonts w:asciiTheme="majorBidi" w:hAnsiTheme="majorBidi" w:cstheme="majorBidi"/>
          <w:b/>
          <w:bCs/>
          <w:color w:val="000000" w:themeColor="text1"/>
          <w:sz w:val="24"/>
          <w:szCs w:val="24"/>
          <w:rtl/>
        </w:rPr>
        <w:t>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w:t>
      </w:r>
      <w:proofErr w:type="gramEnd"/>
      <w:r>
        <w:rPr>
          <w:rFonts w:asciiTheme="majorBidi" w:hAnsiTheme="majorBidi" w:cstheme="majorBidi"/>
          <w:color w:val="000000" w:themeColor="text1"/>
          <w:sz w:val="24"/>
          <w:szCs w:val="24"/>
          <w:rtl/>
        </w:rPr>
        <w:t xml:space="preserve">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يشير جانب من الفقه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w:t>
      </w:r>
      <w:r>
        <w:rPr>
          <w:rFonts w:asciiTheme="majorBidi" w:hAnsiTheme="majorBidi" w:cstheme="majorBidi"/>
          <w:color w:val="000000" w:themeColor="text1"/>
          <w:sz w:val="24"/>
          <w:szCs w:val="24"/>
          <w:rtl/>
        </w:rPr>
        <w:lastRenderedPageBreak/>
        <w:t>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w:t>
      </w:r>
      <w:proofErr w:type="spellStart"/>
      <w:r>
        <w:rPr>
          <w:rFonts w:asciiTheme="majorBidi" w:hAnsiTheme="majorBidi" w:cstheme="majorBidi"/>
          <w:color w:val="000000" w:themeColor="text1"/>
          <w:sz w:val="24"/>
          <w:szCs w:val="24"/>
          <w:rtl/>
        </w:rPr>
        <w:t>يُواكبه</w:t>
      </w:r>
      <w:proofErr w:type="spellEnd"/>
      <w:r>
        <w:rPr>
          <w:rFonts w:asciiTheme="majorBidi" w:hAnsiTheme="majorBidi" w:cstheme="majorBidi"/>
          <w:color w:val="000000" w:themeColor="text1"/>
          <w:sz w:val="24"/>
          <w:szCs w:val="24"/>
          <w:rtl/>
        </w:rPr>
        <w:t xml:space="preserve">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Pr>
        <w:t>.</w:t>
      </w:r>
    </w:p>
    <w:p w14:paraId="3D68D39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13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w:t>
      </w:r>
      <w:r>
        <w:rPr>
          <w:rFonts w:asciiTheme="majorBidi" w:hAnsiTheme="majorBidi" w:cstheme="majorBidi"/>
          <w:sz w:val="24"/>
          <w:szCs w:val="24"/>
          <w:rtl/>
        </w:rPr>
        <w:lastRenderedPageBreak/>
        <w:t>المحامي الذي لم يستخدمه وارتكب الخطأ ذاته بطريقة تقليدية، لأن التشديد غير المتناسب قد يُثبّط التحول الرقمي الذي تستهدفه رؤية 2030.</w:t>
      </w:r>
      <w:r>
        <w:rPr>
          <w:rtl/>
        </w:rPr>
        <w:footnoteReference w:id="135"/>
      </w:r>
    </w:p>
    <w:p w14:paraId="00DFF523"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Pr>
          <w:rtl/>
        </w:rPr>
        <w:footnoteReference w:id="136"/>
      </w:r>
    </w:p>
    <w:p w14:paraId="2ACBF584"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جانب من الفقه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r>
        <w:rPr>
          <w:rtl/>
        </w:rPr>
        <w:footnoteReference w:id="137"/>
      </w:r>
    </w:p>
    <w:p w14:paraId="6D968C7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وبالمقابل، ترى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أن تأطير المسؤولية المهنية ينبغي أن يُراعي مبدأ التناسب؛ فالمحامي الذي يستخدم أداة ذكاء اصطناعي بسيطة لمعالجة النصوص لا يُعامَل كمن يستخدم نظاماً </w:t>
      </w:r>
      <w:proofErr w:type="spellStart"/>
      <w:r>
        <w:rPr>
          <w:rFonts w:asciiTheme="majorBidi" w:hAnsiTheme="majorBidi" w:cstheme="majorBidi"/>
          <w:sz w:val="24"/>
          <w:szCs w:val="24"/>
          <w:rtl/>
        </w:rPr>
        <w:t>تنبؤياً</w:t>
      </w:r>
      <w:proofErr w:type="spellEnd"/>
      <w:r>
        <w:rPr>
          <w:rFonts w:asciiTheme="majorBidi" w:hAnsiTheme="majorBidi" w:cstheme="majorBidi"/>
          <w:sz w:val="24"/>
          <w:szCs w:val="24"/>
          <w:rtl/>
        </w:rPr>
        <w:t xml:space="preserve"> معقداً يتخذ قرارات استراتيجية، والتمييز بين درجات التعقيد والأثر هو جوهر أي منظومة تشريعية رشيدة في هذا المجال.</w:t>
      </w:r>
      <w:r>
        <w:rPr>
          <w:rtl/>
        </w:rPr>
        <w:footnoteReference w:id="138"/>
      </w:r>
    </w:p>
    <w:p w14:paraId="43978975"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جانب من الفقه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Pr>
          <w:rtl/>
        </w:rPr>
        <w:footnoteReference w:id="13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جانب من الفقه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جانب من الفقه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معيار سلامة البيانات: هل أدخل بيانات الموكل في نظام ذكي يخزن المعلومات خارج المملكة دون تقويم للمخاطر وفق دليل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w:t>
      </w:r>
      <w:proofErr w:type="spellStart"/>
      <w:r>
        <w:rPr>
          <w:rFonts w:asciiTheme="majorBidi" w:hAnsiTheme="majorBidi" w:cstheme="majorBidi"/>
          <w:color w:val="000000" w:themeColor="text1"/>
          <w:sz w:val="24"/>
          <w:szCs w:val="24"/>
          <w:rtl/>
        </w:rPr>
        <w:t>والبلوكتشين</w:t>
      </w:r>
      <w:proofErr w:type="spellEnd"/>
      <w:r>
        <w:rPr>
          <w:rFonts w:asciiTheme="majorBidi" w:hAnsiTheme="majorBidi" w:cstheme="majorBidi"/>
          <w:color w:val="000000" w:themeColor="text1"/>
          <w:sz w:val="24"/>
          <w:szCs w:val="24"/>
          <w:rtl/>
        </w:rPr>
        <w:t xml:space="preserve">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وثيقة مبادئ أخلاقيات الذكاء الاصطناعي الصادرة عن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جانب من الفقه </w:t>
      </w:r>
      <w:r>
        <w:rPr>
          <w:rStyle w:val="af"/>
          <w:rFonts w:asciiTheme="majorBidi" w:hAnsiTheme="majorBidi" w:cstheme="majorBidi"/>
          <w:color w:val="000000" w:themeColor="text1"/>
          <w:sz w:val="24"/>
          <w:szCs w:val="24"/>
          <w:rtl/>
        </w:rPr>
        <w:footnoteReference w:id="140"/>
      </w:r>
      <w:r>
        <w:rPr>
          <w:rFonts w:asciiTheme="majorBidi" w:hAnsiTheme="majorBidi" w:cstheme="majorBidi"/>
          <w:color w:val="000000" w:themeColor="text1"/>
          <w:sz w:val="24"/>
          <w:szCs w:val="24"/>
          <w:rtl/>
        </w:rPr>
        <w:t xml:space="preserve">في دراسته عن تأطير أخلاقيات الذكاء الاصطناعي أن الانتقال من النص </w:t>
      </w:r>
      <w:r>
        <w:rPr>
          <w:rFonts w:asciiTheme="majorBidi" w:hAnsiTheme="majorBidi" w:cstheme="majorBidi"/>
          <w:color w:val="000000" w:themeColor="text1"/>
          <w:sz w:val="24"/>
          <w:szCs w:val="24"/>
          <w:rtl/>
        </w:rPr>
        <w:lastRenderedPageBreak/>
        <w:t>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جانب من الفقه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w:t>
      </w:r>
      <w:r>
        <w:rPr>
          <w:rFonts w:asciiTheme="majorBidi" w:hAnsiTheme="majorBidi" w:cstheme="majorBidi"/>
          <w:color w:val="000000" w:themeColor="text1"/>
          <w:sz w:val="24"/>
          <w:szCs w:val="24"/>
          <w:rtl/>
        </w:rPr>
        <w:lastRenderedPageBreak/>
        <w:t>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جانب من الفقه </w:t>
      </w:r>
      <w:r>
        <w:rPr>
          <w:rStyle w:val="af"/>
          <w:rFonts w:asciiTheme="majorBidi" w:hAnsiTheme="majorBidi" w:cstheme="majorBidi"/>
          <w:color w:val="000000" w:themeColor="text1"/>
          <w:sz w:val="24"/>
          <w:szCs w:val="24"/>
          <w:rtl/>
        </w:rPr>
        <w:footnoteReference w:id="141"/>
      </w:r>
      <w:r>
        <w:rPr>
          <w:rFonts w:asciiTheme="majorBidi" w:hAnsiTheme="majorBidi" w:cstheme="majorBidi"/>
          <w:color w:val="000000" w:themeColor="text1"/>
          <w:sz w:val="24"/>
          <w:szCs w:val="24"/>
          <w:rtl/>
        </w:rPr>
        <w:t xml:space="preserve">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w:t>
      </w:r>
      <w:proofErr w:type="spellStart"/>
      <w:r>
        <w:rPr>
          <w:rFonts w:asciiTheme="majorBidi" w:hAnsiTheme="majorBidi" w:cstheme="majorBidi"/>
          <w:color w:val="000000" w:themeColor="text1"/>
          <w:sz w:val="24"/>
          <w:szCs w:val="24"/>
          <w:rtl/>
        </w:rPr>
        <w:t>سدايا</w:t>
      </w:r>
      <w:proofErr w:type="spellEnd"/>
      <w:r>
        <w:rPr>
          <w:rFonts w:asciiTheme="majorBidi" w:hAnsiTheme="majorBidi" w:cstheme="majorBidi"/>
          <w:color w:val="000000" w:themeColor="text1"/>
          <w:sz w:val="24"/>
          <w:szCs w:val="24"/>
          <w:rtl/>
        </w:rPr>
        <w:t xml:space="preserve">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جانب آخر، يبين جانب من الفقه </w:t>
      </w:r>
      <w:r>
        <w:rPr>
          <w:rStyle w:val="af"/>
          <w:rFonts w:asciiTheme="majorBidi" w:hAnsiTheme="majorBidi" w:cstheme="majorBidi"/>
          <w:color w:val="000000" w:themeColor="text1"/>
          <w:sz w:val="24"/>
          <w:szCs w:val="24"/>
          <w:rtl/>
        </w:rPr>
        <w:footnoteReference w:id="14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جانب من الفقه</w:t>
      </w:r>
      <w:r>
        <w:rPr>
          <w:rStyle w:val="af"/>
          <w:rFonts w:asciiTheme="majorBidi" w:hAnsiTheme="majorBidi" w:cstheme="majorBidi"/>
          <w:color w:val="000000" w:themeColor="text1"/>
          <w:sz w:val="24"/>
          <w:szCs w:val="24"/>
          <w:rtl/>
        </w:rPr>
        <w:footnoteReference w:id="14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الهيئة السعودية للمحامين،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الغياب التنظيمي للذكاء الاصطناعي على ممارسة مهنة المحاماة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 xml:space="preserve">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w:t>
      </w:r>
      <w:r>
        <w:rPr>
          <w:rFonts w:asciiTheme="majorBidi" w:hAnsiTheme="majorBidi" w:cstheme="majorBidi"/>
          <w:color w:val="000000" w:themeColor="text1"/>
          <w:sz w:val="24"/>
          <w:szCs w:val="24"/>
          <w:rtl/>
        </w:rPr>
        <w:lastRenderedPageBreak/>
        <w:t>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وقد استعرض جانب من الفقه في </w:t>
      </w:r>
      <w:proofErr w:type="spellStart"/>
      <w:r>
        <w:rPr>
          <w:rFonts w:asciiTheme="majorBidi" w:hAnsiTheme="majorBidi" w:cstheme="majorBidi"/>
          <w:sz w:val="24"/>
          <w:szCs w:val="24"/>
          <w:rtl/>
        </w:rPr>
        <w:t>بحوثهمما</w:t>
      </w:r>
      <w:proofErr w:type="spellEnd"/>
      <w:r>
        <w:rPr>
          <w:rFonts w:asciiTheme="majorBidi" w:hAnsiTheme="majorBidi" w:cstheme="majorBidi"/>
          <w:sz w:val="24"/>
          <w:szCs w:val="24"/>
          <w:rtl/>
        </w:rPr>
        <w:t xml:space="preserve">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w:t>
      </w:r>
      <w:proofErr w:type="spellStart"/>
      <w:r>
        <w:rPr>
          <w:rFonts w:asciiTheme="majorBidi" w:hAnsiTheme="majorBidi" w:cstheme="majorBidi"/>
          <w:sz w:val="24"/>
          <w:szCs w:val="24"/>
          <w:rtl/>
        </w:rPr>
        <w:t>الاسترشادية</w:t>
      </w:r>
      <w:proofErr w:type="spellEnd"/>
      <w:r>
        <w:rPr>
          <w:rFonts w:asciiTheme="majorBidi" w:hAnsiTheme="majorBidi" w:cstheme="majorBidi"/>
          <w:sz w:val="24"/>
          <w:szCs w:val="24"/>
          <w:rtl/>
        </w:rPr>
        <w:t xml:space="preserve"> الصادرة عن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بأحكام نظامية ملزمة ومتخصصة.</w:t>
      </w:r>
      <w:r>
        <w:rPr>
          <w:rStyle w:val="af"/>
          <w:rFonts w:asciiTheme="majorBidi" w:hAnsiTheme="majorBidi" w:cstheme="majorBidi"/>
          <w:sz w:val="24"/>
          <w:szCs w:val="24"/>
          <w:rtl/>
        </w:rPr>
        <w:footnoteReference w:id="14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C702A9"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45"/>
      </w:r>
    </w:p>
    <w:p w14:paraId="090AD043" w14:textId="77777777" w:rsidR="00B16B4E"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جانب من الفقه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4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w:t>
      </w:r>
      <w:r>
        <w:rPr>
          <w:rFonts w:asciiTheme="majorBidi" w:hAnsiTheme="majorBidi" w:cstheme="majorBidi"/>
          <w:color w:val="000000" w:themeColor="text1"/>
          <w:sz w:val="24"/>
          <w:szCs w:val="24"/>
          <w:rtl/>
        </w:rPr>
        <w:lastRenderedPageBreak/>
        <w:t>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ويُضيف جانب من الفقه في </w:t>
      </w:r>
      <w:proofErr w:type="spellStart"/>
      <w:r>
        <w:rPr>
          <w:rFonts w:asciiTheme="majorBidi" w:hAnsiTheme="majorBidi" w:cstheme="majorBidi"/>
          <w:sz w:val="24"/>
          <w:szCs w:val="24"/>
          <w:rtl/>
        </w:rPr>
        <w:t>بحوثهمما</w:t>
      </w:r>
      <w:proofErr w:type="spellEnd"/>
      <w:r>
        <w:rPr>
          <w:rFonts w:asciiTheme="majorBidi" w:hAnsiTheme="majorBidi" w:cstheme="majorBidi"/>
          <w:sz w:val="24"/>
          <w:szCs w:val="24"/>
          <w:rtl/>
        </w:rPr>
        <w:t xml:space="preserve">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4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جانب من الفقه</w:t>
      </w:r>
      <w:r>
        <w:rPr>
          <w:rStyle w:val="af"/>
          <w:rFonts w:asciiTheme="majorBidi" w:hAnsiTheme="majorBidi" w:cstheme="majorBidi"/>
          <w:sz w:val="24"/>
          <w:szCs w:val="24"/>
          <w:rtl/>
        </w:rPr>
        <w:footnoteReference w:id="14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49"/>
      </w:r>
      <w:r>
        <w:rPr>
          <w:rFonts w:asciiTheme="majorBidi" w:hAnsiTheme="majorBidi" w:cstheme="majorBidi"/>
          <w:sz w:val="24"/>
          <w:szCs w:val="24"/>
          <w:rtl/>
        </w:rPr>
        <w:t xml:space="preserve"> في دراستها عن الذكاء الاصطناعي والعمل القضائي تؤكد أن القاضي أصبح يتلقى </w:t>
      </w:r>
      <w:r>
        <w:rPr>
          <w:rFonts w:asciiTheme="majorBidi" w:hAnsiTheme="majorBidi" w:cstheme="majorBidi"/>
          <w:sz w:val="24"/>
          <w:szCs w:val="24"/>
          <w:rtl/>
        </w:rPr>
        <w:lastRenderedPageBreak/>
        <w:t xml:space="preserve">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w:t>
      </w:r>
      <w:proofErr w:type="gramStart"/>
      <w:r>
        <w:rPr>
          <w:rFonts w:asciiTheme="majorBidi" w:hAnsiTheme="majorBidi" w:cstheme="majorBidi"/>
          <w:sz w:val="24"/>
          <w:szCs w:val="24"/>
          <w:rtl/>
        </w:rPr>
        <w:t>التقني؟</w:t>
      </w:r>
      <w:r>
        <w:rPr>
          <w:rFonts w:asciiTheme="majorBidi" w:hAnsiTheme="majorBidi" w:cstheme="majorBidi"/>
          <w:sz w:val="24"/>
          <w:szCs w:val="24"/>
        </w:rPr>
        <w:br/>
      </w:r>
      <w:r>
        <w:rPr>
          <w:rFonts w:asciiTheme="majorBidi" w:hAnsiTheme="majorBidi" w:cstheme="majorBidi"/>
          <w:sz w:val="24"/>
          <w:szCs w:val="24"/>
          <w:rtl/>
        </w:rPr>
        <w:t>في</w:t>
      </w:r>
      <w:proofErr w:type="gramEnd"/>
      <w:r>
        <w:rPr>
          <w:rFonts w:asciiTheme="majorBidi" w:hAnsiTheme="majorBidi" w:cstheme="majorBidi"/>
          <w:sz w:val="24"/>
          <w:szCs w:val="24"/>
          <w:rtl/>
        </w:rPr>
        <w:t xml:space="preserve">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 xml:space="preserve">وفي هذا الصدد، نبّهت رسالة </w:t>
      </w:r>
      <w:proofErr w:type="spellStart"/>
      <w:r>
        <w:rPr>
          <w:rFonts w:asciiTheme="majorBidi" w:hAnsiTheme="majorBidi" w:cstheme="majorBidi"/>
          <w:sz w:val="24"/>
          <w:szCs w:val="24"/>
          <w:rtl/>
        </w:rPr>
        <w:t>بالل</w:t>
      </w:r>
      <w:proofErr w:type="spellEnd"/>
      <w:r>
        <w:rPr>
          <w:rFonts w:asciiTheme="majorBidi" w:hAnsiTheme="majorBidi" w:cstheme="majorBidi"/>
          <w:sz w:val="24"/>
          <w:szCs w:val="24"/>
          <w:rtl/>
        </w:rPr>
        <w:t xml:space="preserve">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50"/>
      </w:r>
    </w:p>
    <w:p w14:paraId="40763136"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Pr>
          <w:rtl/>
        </w:rPr>
        <w:footnoteReference w:id="15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وقد رصدت بعض الدراسات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Pr>
          <w:rtl/>
        </w:rPr>
        <w:footnoteReference w:id="15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تحليل آليات استعادة الثقة المهزوزة، اقترح جانب من الفقه منظومة شفافية قضائية رقمية تُلزم الجهات القضائية بالإفصاح عن الأنظمة الذكية التي توظّفها، وتُوفر للمتقاضين ملخصاً مبسطاً عن آليات عمل هذه </w:t>
      </w:r>
      <w:r>
        <w:rPr>
          <w:rFonts w:asciiTheme="majorBidi" w:hAnsiTheme="majorBidi" w:cstheme="majorBidi"/>
          <w:sz w:val="24"/>
          <w:szCs w:val="24"/>
          <w:rtl/>
        </w:rPr>
        <w:lastRenderedPageBreak/>
        <w:t>الأنظمة وحدودها، وتُتيح آلية للطعن في قراءة النظام إذا رأى المتقاضي أن النتيجة الخوارزمية انطوت على تحيز غير مبرر.</w:t>
      </w:r>
      <w:r>
        <w:rPr>
          <w:rtl/>
        </w:rPr>
        <w:footnoteReference w:id="153"/>
      </w:r>
    </w:p>
    <w:p w14:paraId="51ED593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رصد جانب من الفقه أن استطلاعات الرأي المعتمدة في عدد من الدول الخليجية تُشير إلى أن ما نسبته 60% من المتقاضين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r>
        <w:rPr>
          <w:rtl/>
        </w:rPr>
        <w:footnoteReference w:id="154"/>
      </w:r>
    </w:p>
    <w:p w14:paraId="1983B6D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وفي سياق إضعاف الثقة المرتبط بالتحول العدلي الرقمي، لفتت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5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C702A9" w:rsidP="007C2A87">
      <w:pPr>
        <w:jc w:val="right"/>
        <w:rPr>
          <w:rFonts w:asciiTheme="majorBidi" w:hAnsiTheme="majorBidi" w:cstheme="majorBidi"/>
          <w:sz w:val="24"/>
          <w:szCs w:val="24"/>
          <w:rtl/>
        </w:rPr>
      </w:pPr>
      <w:commentRangeStart w:id="10"/>
      <w:commentRangeStart w:id="11"/>
      <w:r>
        <w:rPr>
          <w:rFonts w:asciiTheme="majorBidi" w:hAnsiTheme="majorBidi" w:cstheme="majorBidi"/>
          <w:sz w:val="24"/>
          <w:szCs w:val="24"/>
          <w:rtl/>
        </w:rPr>
        <w:t>وخلاصةً لما أسفر عنه هذا المبحث، يخلص الباحث إلى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commentRangeEnd w:id="10"/>
      <w:r>
        <w:rPr>
          <w:rStyle w:val="af0"/>
          <w:rFonts w:asciiTheme="majorBidi" w:hAnsiTheme="majorBidi" w:cstheme="majorBidi"/>
          <w:sz w:val="24"/>
          <w:szCs w:val="24"/>
          <w:rtl/>
        </w:rPr>
        <w:commentReference w:id="10"/>
      </w:r>
      <w:commentRangeEnd w:id="11"/>
      <w:r>
        <w:rPr>
          <w:rStyle w:val="af0"/>
          <w:rFonts w:asciiTheme="majorBidi" w:hAnsiTheme="majorBidi" w:cstheme="majorBidi"/>
          <w:sz w:val="24"/>
          <w:szCs w:val="24"/>
          <w:rtl/>
        </w:rPr>
        <w:commentReference w:id="11"/>
      </w:r>
      <w:r>
        <w:rPr>
          <w:rFonts w:asciiTheme="majorBidi" w:hAnsiTheme="majorBidi" w:cstheme="majorBidi"/>
          <w:sz w:val="24"/>
          <w:szCs w:val="24"/>
          <w:rtl/>
        </w:rPr>
        <w:t>.</w:t>
      </w:r>
      <w:r>
        <w:rPr>
          <w:rtl/>
        </w:rPr>
        <w:footnoteReference w:id="156"/>
      </w:r>
    </w:p>
    <w:p w14:paraId="4FBBBF0D" w14:textId="77777777" w:rsidR="00D57654" w:rsidRDefault="00C702A9"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جانب من الفقه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5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C702A9" w:rsidP="000D4B35">
      <w:pPr>
        <w:rPr>
          <w:rFonts w:asciiTheme="majorBidi" w:hAnsiTheme="majorBidi" w:cstheme="majorBidi"/>
          <w:sz w:val="24"/>
          <w:szCs w:val="24"/>
        </w:rPr>
      </w:pPr>
      <w:r>
        <w:rPr>
          <w:rFonts w:asciiTheme="majorBidi" w:hAnsiTheme="majorBidi" w:cstheme="majorBidi"/>
          <w:sz w:val="24"/>
          <w:szCs w:val="24"/>
          <w:rtl/>
        </w:rPr>
        <w:t xml:space="preserve">وفي سياق التحليل الاجتماعي والنفسي، كشفت عبد الرحمن أن مفهوم الثقة في العدالة الرقمية ينقسم إلى بُعدين: ثقة إجرائية تتعلق بنزاهة الإجراءات وشفافيتها، وثقة </w:t>
      </w:r>
      <w:proofErr w:type="spellStart"/>
      <w:r>
        <w:rPr>
          <w:rFonts w:asciiTheme="majorBidi" w:hAnsiTheme="majorBidi" w:cstheme="majorBidi"/>
          <w:sz w:val="24"/>
          <w:szCs w:val="24"/>
          <w:rtl/>
        </w:rPr>
        <w:t>نتيجية</w:t>
      </w:r>
      <w:proofErr w:type="spellEnd"/>
      <w:r>
        <w:rPr>
          <w:rFonts w:asciiTheme="majorBidi" w:hAnsiTheme="majorBidi" w:cstheme="majorBidi"/>
          <w:sz w:val="24"/>
          <w:szCs w:val="24"/>
          <w:rtl/>
        </w:rPr>
        <w:t xml:space="preserve"> تتعلق بعدالة الأحكام الصادرة، مُشيرةً إلى أن الذكاء الاصطناعي قد يُعزز الثقة الإجرائية بفضل الاتساق والسرعة، لكنه قد يُضعف الثقة </w:t>
      </w:r>
      <w:proofErr w:type="spellStart"/>
      <w:r>
        <w:rPr>
          <w:rFonts w:asciiTheme="majorBidi" w:hAnsiTheme="majorBidi" w:cstheme="majorBidi"/>
          <w:sz w:val="24"/>
          <w:szCs w:val="24"/>
          <w:rtl/>
        </w:rPr>
        <w:t>النتيجية</w:t>
      </w:r>
      <w:proofErr w:type="spellEnd"/>
      <w:r>
        <w:rPr>
          <w:rFonts w:asciiTheme="majorBidi" w:hAnsiTheme="majorBidi" w:cstheme="majorBidi"/>
          <w:sz w:val="24"/>
          <w:szCs w:val="24"/>
          <w:rtl/>
        </w:rPr>
        <w:t xml:space="preserve"> إذا أُسيئ توظيفه أو أفرز تحيزات نظامية.</w:t>
      </w:r>
      <w:r>
        <w:rPr>
          <w:rtl/>
        </w:rPr>
        <w:footnoteReference w:id="158"/>
      </w:r>
    </w:p>
    <w:p w14:paraId="724D0686"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w:t>
      </w:r>
      <w:r>
        <w:rPr>
          <w:rFonts w:asciiTheme="majorBidi" w:hAnsiTheme="majorBidi" w:cstheme="majorBidi"/>
          <w:sz w:val="24"/>
          <w:szCs w:val="24"/>
          <w:rtl/>
        </w:rPr>
        <w:lastRenderedPageBreak/>
        <w:t>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Pr>
          <w:rtl/>
        </w:rPr>
        <w:footnoteReference w:id="159"/>
      </w:r>
    </w:p>
    <w:p w14:paraId="10003553"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r>
        <w:rPr>
          <w:rtl/>
        </w:rPr>
        <w:footnoteReference w:id="160"/>
      </w:r>
    </w:p>
    <w:p w14:paraId="730A6154"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 xml:space="preserve">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w:t>
      </w:r>
      <w:r>
        <w:rPr>
          <w:rFonts w:asciiTheme="majorBidi" w:hAnsiTheme="majorBidi" w:cstheme="majorBidi"/>
          <w:b/>
          <w:bCs/>
          <w:sz w:val="24"/>
          <w:szCs w:val="24"/>
          <w:rtl/>
        </w:rPr>
        <w:lastRenderedPageBreak/>
        <w:t>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جانب من الفقه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6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6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0F2879">
      <w:pPr>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2187DC4D" w14:textId="4DD2E3E8" w:rsidR="00624037" w:rsidRPr="00994DA4" w:rsidRDefault="00994DA4" w:rsidP="00994DA4">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w:t>
      </w:r>
      <w:r>
        <w:rPr>
          <w:rFonts w:asciiTheme="majorBidi" w:hAnsiTheme="majorBidi" w:cs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6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w:t>
      </w:r>
      <w:proofErr w:type="gramStart"/>
      <w:r>
        <w:rPr>
          <w:rFonts w:asciiTheme="majorBidi" w:hAnsiTheme="majorBidi" w:cstheme="majorBidi"/>
          <w:sz w:val="24"/>
          <w:szCs w:val="24"/>
          <w:rtl/>
        </w:rPr>
        <w:t>الشخصية ،</w:t>
      </w:r>
      <w:proofErr w:type="gramEnd"/>
      <w:r>
        <w:rPr>
          <w:rFonts w:asciiTheme="majorBidi" w:hAnsiTheme="majorBidi" w:cstheme="majorBidi"/>
          <w:sz w:val="24"/>
          <w:szCs w:val="24"/>
          <w:rtl/>
        </w:rPr>
        <w:t xml:space="preserve">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6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65"/>
      </w:r>
      <w:r>
        <w:rPr>
          <w:rFonts w:asciiTheme="majorBidi" w:hAnsiTheme="majorBidi" w:cstheme="majorBidi"/>
          <w:sz w:val="24"/>
          <w:szCs w:val="24"/>
          <w:rtl/>
        </w:rPr>
        <w:t xml:space="preserve">هـ أقر حجية المحررات الإلكترونية، وأجاز الإثبات بكافة الوسائل النظامية ما لم يرد نص بخلاف </w:t>
      </w:r>
      <w:proofErr w:type="gramStart"/>
      <w:r>
        <w:rPr>
          <w:rFonts w:asciiTheme="majorBidi" w:hAnsiTheme="majorBidi" w:cstheme="majorBidi"/>
          <w:sz w:val="24"/>
          <w:szCs w:val="24"/>
          <w:rtl/>
        </w:rPr>
        <w:t>ذلك ،</w:t>
      </w:r>
      <w:proofErr w:type="gramEnd"/>
      <w:r>
        <w:rPr>
          <w:rFonts w:asciiTheme="majorBidi" w:hAnsiTheme="majorBidi" w:cstheme="majorBidi"/>
          <w:sz w:val="24"/>
          <w:szCs w:val="24"/>
          <w:rtl/>
        </w:rPr>
        <w:t xml:space="preserve">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جانب من الفقه</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6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جانب من الفقه</w:t>
      </w:r>
      <w:r>
        <w:rPr>
          <w:rStyle w:val="af"/>
          <w:rFonts w:asciiTheme="majorBidi" w:hAnsiTheme="majorBidi" w:cstheme="majorBidi"/>
          <w:sz w:val="24"/>
          <w:szCs w:val="24"/>
          <w:rtl/>
        </w:rPr>
        <w:footnoteReference w:id="16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6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17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جانب من الفقه</w:t>
      </w:r>
      <w:r>
        <w:rPr>
          <w:rStyle w:val="af"/>
          <w:rFonts w:asciiTheme="majorBidi" w:hAnsiTheme="majorBidi" w:cstheme="majorBidi"/>
          <w:sz w:val="24"/>
          <w:szCs w:val="24"/>
          <w:rtl/>
        </w:rPr>
        <w:footnoteReference w:id="17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جانب من الفقه </w:t>
      </w:r>
      <w:r>
        <w:rPr>
          <w:rStyle w:val="af"/>
          <w:rFonts w:asciiTheme="majorBidi" w:hAnsiTheme="majorBidi" w:cstheme="majorBidi"/>
          <w:sz w:val="24"/>
          <w:szCs w:val="24"/>
          <w:rtl/>
        </w:rPr>
        <w:footnoteReference w:id="17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جانب من الفقه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7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جانب من الفقه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74"/>
      </w:r>
    </w:p>
    <w:p w14:paraId="7C72323E"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جانب من الفقه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Pr>
          <w:rtl/>
        </w:rPr>
        <w:footnoteReference w:id="175"/>
      </w:r>
    </w:p>
    <w:p w14:paraId="43FE6B8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جانب من الفقه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Pr>
          <w:rtl/>
        </w:rPr>
        <w:footnoteReference w:id="176"/>
      </w:r>
    </w:p>
    <w:p w14:paraId="126F452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وتجدر الإشارة هنا إلى ما أوردته </w:t>
      </w:r>
      <w:proofErr w:type="spellStart"/>
      <w:r>
        <w:rPr>
          <w:rFonts w:asciiTheme="majorBidi" w:hAnsiTheme="majorBidi" w:cstheme="majorBidi"/>
          <w:sz w:val="24"/>
          <w:szCs w:val="24"/>
          <w:rtl/>
        </w:rPr>
        <w:t>الخميسي</w:t>
      </w:r>
      <w:proofErr w:type="spellEnd"/>
      <w:r>
        <w:rPr>
          <w:rFonts w:asciiTheme="majorBidi" w:hAnsiTheme="majorBidi" w:cstheme="majorBidi"/>
          <w:sz w:val="24"/>
          <w:szCs w:val="24"/>
          <w:rtl/>
        </w:rPr>
        <w:t xml:space="preserve">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7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وبناءً عليه، ينقسم هذا الفصل إلى مبحثين </w:t>
      </w:r>
      <w:proofErr w:type="gramStart"/>
      <w:r>
        <w:rPr>
          <w:rFonts w:asciiTheme="majorBidi" w:hAnsiTheme="majorBidi" w:cstheme="majorBidi"/>
          <w:b/>
          <w:bCs/>
          <w:sz w:val="24"/>
          <w:szCs w:val="24"/>
          <w:rtl/>
        </w:rPr>
        <w:t>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يتناول</w:t>
      </w:r>
      <w:proofErr w:type="gramEnd"/>
      <w:r>
        <w:rPr>
          <w:rFonts w:asciiTheme="majorBidi" w:hAnsiTheme="majorBidi" w:cstheme="majorBidi"/>
          <w:sz w:val="24"/>
          <w:szCs w:val="24"/>
          <w:rtl/>
        </w:rPr>
        <w:t xml:space="preserve">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7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w:t>
      </w:r>
      <w:proofErr w:type="spellStart"/>
      <w:r>
        <w:rPr>
          <w:rFonts w:asciiTheme="majorBidi" w:hAnsiTheme="majorBidi" w:cstheme="majorBidi"/>
          <w:sz w:val="24"/>
          <w:szCs w:val="24"/>
          <w:rtl/>
        </w:rPr>
        <w:t>مُجيزة</w:t>
      </w:r>
      <w:proofErr w:type="spellEnd"/>
      <w:r>
        <w:rPr>
          <w:rFonts w:asciiTheme="majorBidi" w:hAnsiTheme="majorBidi" w:cstheme="majorBidi"/>
          <w:sz w:val="24"/>
          <w:szCs w:val="24"/>
          <w:rtl/>
        </w:rPr>
        <w:t xml:space="preserve">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7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جانب من الفقه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8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8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 xml:space="preserve">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w:t>
      </w:r>
      <w:proofErr w:type="gramStart"/>
      <w:r>
        <w:rPr>
          <w:rFonts w:asciiTheme="majorBidi" w:hAnsiTheme="majorBidi" w:cstheme="majorBidi"/>
          <w:sz w:val="24"/>
          <w:szCs w:val="24"/>
          <w:rtl/>
        </w:rPr>
        <w:t>المعالجة  وبما</w:t>
      </w:r>
      <w:proofErr w:type="gramEnd"/>
      <w:r>
        <w:rPr>
          <w:rFonts w:asciiTheme="majorBidi" w:hAnsiTheme="majorBidi" w:cstheme="majorBidi"/>
          <w:sz w:val="24"/>
          <w:szCs w:val="24"/>
          <w:rtl/>
        </w:rPr>
        <w:t xml:space="preserve">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جانب من الفقه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8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فجانب من الفقه يرى أن الذكاء الاصطناعي لا يُعد شخصًا قانونيًا مستقلًا، وأن المسؤولية تبقى لصيقة بالمستخدم أو المشغل الذي يمارس الرقابة عليه.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جانب من الفقه مسألة الاعتراف بالشخصية القانونية للذكاء الاصطناعي، وخلص إلى صعوبة منح التقنية ذمة مستقلة في ظل البناء التقليدي للنظرية القانونية (جانب من الفقه،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وعليه، فإن الإشكالية التي يعالجها هذا المبحث ليست إشكالية قبول التقنية أو رفضها، بل إشكالية إدراجها ضمن البنية </w:t>
      </w:r>
      <w:proofErr w:type="spellStart"/>
      <w:r>
        <w:rPr>
          <w:rFonts w:asciiTheme="majorBidi" w:hAnsiTheme="majorBidi" w:cstheme="majorBidi"/>
          <w:sz w:val="24"/>
          <w:szCs w:val="24"/>
          <w:rtl/>
        </w:rPr>
        <w:t>المفاهيمية</w:t>
      </w:r>
      <w:proofErr w:type="spellEnd"/>
      <w:r>
        <w:rPr>
          <w:rFonts w:asciiTheme="majorBidi" w:hAnsiTheme="majorBidi" w:cstheme="majorBidi"/>
          <w:sz w:val="24"/>
          <w:szCs w:val="24"/>
          <w:rtl/>
        </w:rPr>
        <w:t xml:space="preserve">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وانطلاقًا من ذلك، ينقسم هذا المبحث إلى </w:t>
      </w:r>
      <w:proofErr w:type="gramStart"/>
      <w:r>
        <w:rPr>
          <w:rFonts w:asciiTheme="majorBidi" w:hAnsiTheme="majorBidi" w:cstheme="majorBidi"/>
          <w:b/>
          <w:bCs/>
          <w:sz w:val="24"/>
          <w:szCs w:val="24"/>
          <w:rtl/>
        </w:rPr>
        <w:t>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يتناول</w:t>
      </w:r>
      <w:proofErr w:type="gramEnd"/>
      <w:r>
        <w:rPr>
          <w:rFonts w:asciiTheme="majorBidi" w:hAnsiTheme="majorBidi" w:cstheme="majorBidi"/>
          <w:sz w:val="24"/>
          <w:szCs w:val="24"/>
          <w:rtl/>
        </w:rPr>
        <w:t xml:space="preserve">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Pr>
      </w:pPr>
    </w:p>
    <w:p w14:paraId="5211DD12" w14:textId="77777777" w:rsidR="00BB08F4" w:rsidRDefault="00BB08F4"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w:t>
      </w:r>
      <w:proofErr w:type="gramStart"/>
      <w:r>
        <w:rPr>
          <w:rFonts w:asciiTheme="majorBidi" w:hAnsiTheme="majorBidi" w:cstheme="majorBidi"/>
          <w:sz w:val="24"/>
          <w:szCs w:val="24"/>
          <w:rtl/>
        </w:rPr>
        <w:t>بشرية؟</w:t>
      </w:r>
      <w:r>
        <w:rPr>
          <w:rFonts w:asciiTheme="majorBidi" w:hAnsiTheme="majorBidi" w:cstheme="majorBidi"/>
          <w:sz w:val="24"/>
          <w:szCs w:val="24"/>
        </w:rPr>
        <w:br/>
      </w:r>
      <w:r>
        <w:rPr>
          <w:rFonts w:asciiTheme="majorBidi" w:hAnsiTheme="majorBidi" w:cstheme="majorBidi"/>
          <w:sz w:val="24"/>
          <w:szCs w:val="24"/>
          <w:rtl/>
        </w:rPr>
        <w:t>هذا</w:t>
      </w:r>
      <w:proofErr w:type="gramEnd"/>
      <w:r>
        <w:rPr>
          <w:rFonts w:asciiTheme="majorBidi" w:hAnsiTheme="majorBidi" w:cstheme="majorBidi"/>
          <w:sz w:val="24"/>
          <w:szCs w:val="24"/>
          <w:rtl/>
        </w:rPr>
        <w:t xml:space="preserve">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8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w:t>
      </w:r>
      <w:proofErr w:type="spellStart"/>
      <w:r>
        <w:rPr>
          <w:rFonts w:asciiTheme="majorBidi" w:hAnsiTheme="majorBidi" w:cstheme="majorBidi"/>
          <w:sz w:val="24"/>
          <w:szCs w:val="24"/>
          <w:rtl/>
        </w:rPr>
        <w:t>والتنبؤية</w:t>
      </w:r>
      <w:proofErr w:type="spellEnd"/>
      <w:r>
        <w:rPr>
          <w:rFonts w:asciiTheme="majorBidi" w:hAnsiTheme="majorBidi" w:cstheme="majorBidi"/>
          <w:sz w:val="24"/>
          <w:szCs w:val="24"/>
          <w:rtl/>
        </w:rPr>
        <w:t xml:space="preserve">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8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w:t>
      </w:r>
      <w:proofErr w:type="gramStart"/>
      <w:r>
        <w:rPr>
          <w:rFonts w:asciiTheme="majorBidi" w:hAnsiTheme="majorBidi" w:cstheme="majorBidi"/>
          <w:sz w:val="24"/>
          <w:szCs w:val="24"/>
          <w:rtl/>
        </w:rPr>
        <w:t>الحرة؟</w:t>
      </w:r>
      <w:r>
        <w:rPr>
          <w:rFonts w:asciiTheme="majorBidi" w:hAnsiTheme="majorBidi" w:cstheme="majorBidi"/>
          <w:sz w:val="24"/>
          <w:szCs w:val="24"/>
        </w:rPr>
        <w:br/>
      </w:r>
      <w:r>
        <w:rPr>
          <w:rFonts w:asciiTheme="majorBidi" w:hAnsiTheme="majorBidi" w:cstheme="majorBidi"/>
          <w:sz w:val="24"/>
          <w:szCs w:val="24"/>
          <w:rtl/>
        </w:rPr>
        <w:t>هذا</w:t>
      </w:r>
      <w:proofErr w:type="gramEnd"/>
      <w:r>
        <w:rPr>
          <w:rFonts w:asciiTheme="majorBidi" w:hAnsiTheme="majorBidi" w:cstheme="majorBidi"/>
          <w:sz w:val="24"/>
          <w:szCs w:val="24"/>
          <w:rtl/>
        </w:rPr>
        <w:t xml:space="preserve">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8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8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جانب من الفقه</w:t>
      </w:r>
      <w:r>
        <w:rPr>
          <w:rStyle w:val="af"/>
          <w:rFonts w:asciiTheme="majorBidi" w:hAnsiTheme="majorBidi" w:cstheme="majorBidi"/>
          <w:sz w:val="24"/>
          <w:szCs w:val="24"/>
          <w:rtl/>
        </w:rPr>
        <w:footnoteReference w:id="18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رابعًا: العقود الذكية والتنفيذ المؤتمت</w:t>
      </w:r>
    </w:p>
    <w:p w14:paraId="4E001001" w14:textId="77777777" w:rsidR="00841BC7" w:rsidRPr="00BB08F4" w:rsidRDefault="00C702A9" w:rsidP="00BB08F4">
      <w:pPr>
        <w:spacing w:after="200" w:line="276" w:lineRule="auto"/>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w:t>
      </w:r>
      <w:proofErr w:type="spellStart"/>
      <w:r>
        <w:rPr>
          <w:rFonts w:asciiTheme="majorBidi" w:hAnsiTheme="majorBidi" w:cstheme="majorBidi"/>
          <w:b/>
          <w:bCs/>
          <w:color w:val="000000" w:themeColor="text1"/>
          <w:sz w:val="24"/>
          <w:szCs w:val="24"/>
          <w:rtl/>
        </w:rPr>
        <w:t>Smart</w:t>
      </w:r>
      <w:proofErr w:type="spellEnd"/>
      <w:r>
        <w:rPr>
          <w:rFonts w:asciiTheme="majorBidi" w:hAnsiTheme="majorBidi" w:cstheme="majorBidi"/>
          <w:b/>
          <w:bCs/>
          <w:color w:val="000000" w:themeColor="text1"/>
          <w:sz w:val="24"/>
          <w:szCs w:val="24"/>
          <w:rtl/>
        </w:rPr>
        <w:t xml:space="preserve"> Contracts) هي برامج تنفيذية ذاتية مشفّرة على شبكات </w:t>
      </w:r>
      <w:proofErr w:type="spellStart"/>
      <w:r>
        <w:rPr>
          <w:rFonts w:asciiTheme="majorBidi" w:hAnsiTheme="majorBidi" w:cstheme="majorBidi"/>
          <w:b/>
          <w:bCs/>
          <w:color w:val="000000" w:themeColor="text1"/>
          <w:sz w:val="24"/>
          <w:szCs w:val="24"/>
          <w:rtl/>
        </w:rPr>
        <w:t>البلوكشين</w:t>
      </w:r>
      <w:proofErr w:type="spellEnd"/>
      <w:r>
        <w:rPr>
          <w:rFonts w:asciiTheme="majorBidi" w:hAnsiTheme="majorBidi" w:cstheme="majorBidi"/>
          <w:b/>
          <w:bCs/>
          <w:color w:val="000000" w:themeColor="text1"/>
          <w:sz w:val="24"/>
          <w:szCs w:val="24"/>
          <w:rtl/>
        </w:rPr>
        <w:t>،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7BDC8638" w14:textId="09FCFD52"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Pr>
          <w:rFonts w:asciiTheme="majorBidi" w:hAnsiTheme="majorBidi" w:cstheme="majorBidi" w:hint="cs"/>
          <w:sz w:val="24"/>
          <w:szCs w:val="24"/>
          <w:rtl/>
        </w:rPr>
        <w:t xml:space="preserve">توجهت </w:t>
      </w:r>
      <w:r>
        <w:rPr>
          <w:rFonts w:asciiTheme="majorBidi" w:hAnsiTheme="majorBidi" w:cstheme="majorBidi"/>
          <w:sz w:val="24"/>
          <w:szCs w:val="24"/>
          <w:rtl/>
        </w:rPr>
        <w:t xml:space="preserve">بعض البحوث في دراسته مدى ملاءمة العقود الذكية المبرمة عبر تقنية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88"/>
      </w:r>
    </w:p>
    <w:p w14:paraId="561602F6"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8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جانب من الفقه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90"/>
      </w:r>
      <w:r>
        <w:rPr>
          <w:rFonts w:asciiTheme="majorBidi" w:hAnsiTheme="majorBidi" w:cstheme="majorBidi"/>
          <w:sz w:val="24"/>
          <w:szCs w:val="24"/>
          <w:rtl/>
        </w:rPr>
        <w:t>. كما أكد جانب من الفقه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جانب من الفقه مسألة الاعتراف بالشخصية القانونية للذكاء الاصطناعي، وانتهى إلى أن منح التقنية ذمة مستقلة يقتضي إعادة بناء جوهرية لمفاهيم الأهلية والنسبة (جانب من الفقه،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من أبرز الإشكالات النظرية في هذا السياق ضرورة التمييز بين ما يمكن تسميته بـ “الحجية الشكلية” </w:t>
      </w:r>
      <w:proofErr w:type="spellStart"/>
      <w:proofErr w:type="gramStart"/>
      <w:r>
        <w:rPr>
          <w:rFonts w:asciiTheme="majorBidi" w:hAnsiTheme="majorBidi" w:cstheme="majorBidi"/>
          <w:sz w:val="24"/>
          <w:szCs w:val="24"/>
          <w:rtl/>
        </w:rPr>
        <w:t>و”الحجية</w:t>
      </w:r>
      <w:proofErr w:type="spellEnd"/>
      <w:proofErr w:type="gramEnd"/>
      <w:r>
        <w:rPr>
          <w:rFonts w:asciiTheme="majorBidi" w:hAnsiTheme="majorBidi" w:cstheme="majorBidi"/>
          <w:sz w:val="24"/>
          <w:szCs w:val="24"/>
          <w:rtl/>
        </w:rPr>
        <w:t xml:space="preserve">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19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19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9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9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جانب من الفقه</w:t>
      </w:r>
      <w:r>
        <w:rPr>
          <w:rStyle w:val="af"/>
          <w:rFonts w:asciiTheme="majorBidi" w:hAnsiTheme="majorBidi" w:cstheme="majorBidi"/>
          <w:sz w:val="24"/>
          <w:szCs w:val="24"/>
          <w:rtl/>
        </w:rPr>
        <w:footnoteReference w:id="19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 xml:space="preserve">بقاء المسؤولية البشرية وفق مبادئ </w:t>
      </w:r>
      <w:proofErr w:type="spellStart"/>
      <w:r>
        <w:rPr>
          <w:rFonts w:asciiTheme="majorBidi" w:hAnsiTheme="majorBidi" w:cstheme="majorBidi"/>
          <w:sz w:val="24"/>
          <w:szCs w:val="24"/>
          <w:rtl/>
        </w:rPr>
        <w:t>سدايا</w:t>
      </w:r>
      <w:proofErr w:type="spellEnd"/>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جانب من الفقه </w:t>
      </w:r>
      <w:r>
        <w:rPr>
          <w:rStyle w:val="af"/>
          <w:rFonts w:asciiTheme="majorBidi" w:hAnsiTheme="majorBidi" w:cstheme="majorBidi"/>
          <w:sz w:val="24"/>
          <w:szCs w:val="24"/>
          <w:rtl/>
        </w:rPr>
        <w:footnoteReference w:id="19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9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0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 xml:space="preserve">ويظهر من تحليل هذا </w:t>
      </w:r>
      <w:proofErr w:type="gramStart"/>
      <w:r>
        <w:rPr>
          <w:rFonts w:asciiTheme="majorBidi" w:hAnsiTheme="majorBidi" w:cstheme="majorBidi" w:hint="cs"/>
          <w:b/>
          <w:bCs/>
          <w:sz w:val="24"/>
          <w:szCs w:val="24"/>
          <w:rtl/>
        </w:rPr>
        <w:t>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w:t>
      </w:r>
      <w:proofErr w:type="gramEnd"/>
      <w:r>
        <w:rPr>
          <w:rFonts w:asciiTheme="majorBidi" w:hAnsiTheme="majorBidi" w:cstheme="majorBidi"/>
          <w:sz w:val="24"/>
          <w:szCs w:val="24"/>
          <w:rtl/>
        </w:rPr>
        <w:t xml:space="preserve">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A68235D" w14:textId="77777777" w:rsidR="00624037" w:rsidRDefault="00624037" w:rsidP="00624037">
      <w:pPr>
        <w:jc w:val="right"/>
        <w:rPr>
          <w:rFonts w:asciiTheme="majorBidi" w:hAnsiTheme="majorBidi" w:cstheme="majorBidi"/>
          <w:sz w:val="24"/>
          <w:szCs w:val="24"/>
        </w:rPr>
      </w:pPr>
    </w:p>
    <w:p w14:paraId="4821868B" w14:textId="77777777" w:rsidR="003048E3" w:rsidRDefault="003048E3" w:rsidP="00624037">
      <w:pPr>
        <w:jc w:val="right"/>
        <w:rPr>
          <w:rFonts w:asciiTheme="majorBidi" w:hAnsiTheme="majorBidi" w:cstheme="majorBidi"/>
          <w:sz w:val="24"/>
          <w:szCs w:val="24"/>
        </w:rPr>
      </w:pPr>
    </w:p>
    <w:p w14:paraId="49336194" w14:textId="77777777" w:rsidR="003048E3" w:rsidRDefault="003048E3" w:rsidP="00624037">
      <w:pPr>
        <w:jc w:val="right"/>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w:t>
      </w:r>
      <w:r>
        <w:rPr>
          <w:rFonts w:asciiTheme="majorBidi" w:hAnsiTheme="majorBidi" w:cstheme="majorBidi"/>
          <w:sz w:val="24"/>
          <w:szCs w:val="24"/>
          <w:rtl/>
        </w:rPr>
        <w:lastRenderedPageBreak/>
        <w:t>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0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20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0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w:t>
      </w:r>
      <w:proofErr w:type="spellStart"/>
      <w:r>
        <w:rPr>
          <w:rFonts w:asciiTheme="majorBidi" w:hAnsiTheme="majorBidi" w:cstheme="majorBidi"/>
          <w:sz w:val="24"/>
          <w:szCs w:val="24"/>
          <w:rtl/>
        </w:rPr>
        <w:t>تنبؤية</w:t>
      </w:r>
      <w:proofErr w:type="spellEnd"/>
      <w:r>
        <w:rPr>
          <w:rFonts w:asciiTheme="majorBidi" w:hAnsiTheme="majorBidi" w:cstheme="majorBidi"/>
          <w:sz w:val="24"/>
          <w:szCs w:val="24"/>
          <w:rtl/>
        </w:rPr>
        <w:t>.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اتجاه التنظيم الأوروبي في قانون الذكاء الاصطناعي، لاحظ جانب من الفقه أن هذا القانون </w:t>
      </w: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نظام المساءلة القائمة على الخطر بدلاً من نظام المساءلة القائمة على الخطأ بالنسبة لأنظمة الذكاء الاصطناعي </w:t>
      </w:r>
      <w:r>
        <w:rPr>
          <w:rFonts w:asciiTheme="majorBidi" w:hAnsiTheme="majorBidi" w:cstheme="majorBidi"/>
          <w:sz w:val="24"/>
          <w:szCs w:val="24"/>
          <w:rtl/>
        </w:rPr>
        <w:lastRenderedPageBreak/>
        <w:t>ذات المخاطر العالية، وأن هذا التحول المفاهيمي يتيح للمتضررين تعويضاً أيسر إثباتاً وأكثر اتساقاً مع مبدأ العدالة التوزيعية.</w:t>
      </w:r>
      <w:r>
        <w:rPr>
          <w:rtl/>
        </w:rPr>
        <w:footnoteReference w:id="204"/>
      </w:r>
    </w:p>
    <w:p w14:paraId="632D24B3"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وفي السياق المقارن، أشار جانب من الفقه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205"/>
      </w:r>
    </w:p>
    <w:p w14:paraId="55E5C489"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جانب من الفقه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Pr>
          <w:rtl/>
        </w:rPr>
        <w:footnoteReference w:id="206"/>
      </w:r>
    </w:p>
    <w:p w14:paraId="6AB1AFFB"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 xml:space="preserve">وفي سياق التصنيف بحسب درجة الخطورة، أبدت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20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 xml:space="preserve">غير أن الاستفادة من التجارب الدولية لا تعني نقلها </w:t>
      </w:r>
      <w:proofErr w:type="spellStart"/>
      <w:r>
        <w:rPr>
          <w:rFonts w:asciiTheme="majorBidi" w:hAnsiTheme="majorBidi" w:cstheme="majorBidi"/>
          <w:sz w:val="24"/>
          <w:szCs w:val="24"/>
          <w:rtl/>
        </w:rPr>
        <w:t>بحرفيتها</w:t>
      </w:r>
      <w:proofErr w:type="spellEnd"/>
      <w:r>
        <w:rPr>
          <w:rFonts w:asciiTheme="majorBidi" w:hAnsiTheme="majorBidi" w:cstheme="majorBidi"/>
          <w:sz w:val="24"/>
          <w:szCs w:val="24"/>
          <w:rtl/>
        </w:rPr>
        <w:t xml:space="preserve">، بل تقتضي تحليلها في ضوء البنية النظامية الوطنية، التي تقوم على مركزية القاضي في تكوين قناعته، وعلى عدم وجود نظام السوابق الملزمة بالمعنى </w:t>
      </w:r>
      <w:proofErr w:type="spellStart"/>
      <w:r>
        <w:rPr>
          <w:rFonts w:asciiTheme="majorBidi" w:hAnsiTheme="majorBidi" w:cstheme="majorBidi"/>
          <w:sz w:val="24"/>
          <w:szCs w:val="24"/>
          <w:rtl/>
        </w:rPr>
        <w:t>الأنجلوسكسوني</w:t>
      </w:r>
      <w:proofErr w:type="spellEnd"/>
      <w:r>
        <w:rPr>
          <w:rFonts w:asciiTheme="majorBidi" w:hAnsiTheme="majorBidi" w:cstheme="majorBidi"/>
          <w:sz w:val="24"/>
          <w:szCs w:val="24"/>
          <w:rtl/>
        </w:rPr>
        <w:t xml:space="preserve">، وهو ما يجعل وظيفة التحليل الخوارزمي في البيئة السعودية ذات طبيعة </w:t>
      </w:r>
      <w:proofErr w:type="spellStart"/>
      <w:r>
        <w:rPr>
          <w:rFonts w:asciiTheme="majorBidi" w:hAnsiTheme="majorBidi" w:cstheme="majorBidi"/>
          <w:sz w:val="24"/>
          <w:szCs w:val="24"/>
          <w:rtl/>
        </w:rPr>
        <w:t>استرشادية</w:t>
      </w:r>
      <w:proofErr w:type="spellEnd"/>
      <w:r>
        <w:rPr>
          <w:rFonts w:asciiTheme="majorBidi" w:hAnsiTheme="majorBidi" w:cstheme="majorBidi"/>
          <w:sz w:val="24"/>
          <w:szCs w:val="24"/>
          <w:rtl/>
        </w:rPr>
        <w:t xml:space="preserve">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 xml:space="preserve">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w:t>
      </w:r>
      <w:proofErr w:type="gramStart"/>
      <w:r>
        <w:rPr>
          <w:rFonts w:asciiTheme="majorBidi" w:hAnsiTheme="majorBidi" w:cstheme="majorBidi"/>
          <w:sz w:val="24"/>
          <w:szCs w:val="24"/>
          <w:rtl/>
        </w:rPr>
        <w:t>كانت</w:t>
      </w:r>
      <w:r>
        <w:rPr>
          <w:rFonts w:asciiTheme="majorBidi" w:hAnsiTheme="majorBidi" w:cstheme="majorBidi"/>
          <w:sz w:val="24"/>
          <w:szCs w:val="24"/>
        </w:rPr>
        <w:t>:</w:t>
      </w:r>
      <w:r>
        <w:rPr>
          <w:rFonts w:asciiTheme="majorBidi" w:hAnsiTheme="majorBidi" w:cstheme="majorBidi"/>
          <w:sz w:val="24"/>
          <w:szCs w:val="24"/>
        </w:rPr>
        <w:br/>
        <w:t>–</w:t>
      </w:r>
      <w:proofErr w:type="gramEnd"/>
      <w:r>
        <w:rPr>
          <w:rFonts w:asciiTheme="majorBidi" w:hAnsiTheme="majorBidi" w:cstheme="majorBidi"/>
          <w:sz w:val="24"/>
          <w:szCs w:val="24"/>
        </w:rP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lastRenderedPageBreak/>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هنا يبرز سؤال </w:t>
      </w:r>
      <w:proofErr w:type="gramStart"/>
      <w:r>
        <w:rPr>
          <w:rFonts w:asciiTheme="majorBidi" w:hAnsiTheme="majorBidi" w:cstheme="majorBidi"/>
          <w:sz w:val="24"/>
          <w:szCs w:val="24"/>
          <w:rtl/>
        </w:rPr>
        <w:t>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w:t>
      </w:r>
      <w:proofErr w:type="gramEnd"/>
      <w:r>
        <w:rPr>
          <w:rFonts w:asciiTheme="majorBidi" w:hAnsiTheme="majorBidi" w:cstheme="majorBidi"/>
          <w:sz w:val="24"/>
          <w:szCs w:val="24"/>
          <w:rtl/>
        </w:rPr>
        <w:t xml:space="preserve"> تتيح المخرجات الذكية للخصم إمكانية مناقشتها والطعن فيها بذات الدرجة التي </w:t>
      </w:r>
      <w:proofErr w:type="spellStart"/>
      <w:r>
        <w:rPr>
          <w:rFonts w:asciiTheme="majorBidi" w:hAnsiTheme="majorBidi" w:cstheme="majorBidi"/>
          <w:sz w:val="24"/>
          <w:szCs w:val="24"/>
          <w:rtl/>
        </w:rPr>
        <w:t>تتيحها</w:t>
      </w:r>
      <w:proofErr w:type="spellEnd"/>
      <w:r>
        <w:rPr>
          <w:rFonts w:asciiTheme="majorBidi" w:hAnsiTheme="majorBidi" w:cstheme="majorBidi"/>
          <w:sz w:val="24"/>
          <w:szCs w:val="24"/>
          <w:rtl/>
        </w:rPr>
        <w:t xml:space="preserve">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جانب من الفقه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20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w:t>
      </w:r>
      <w:proofErr w:type="spellStart"/>
      <w:r>
        <w:rPr>
          <w:rFonts w:asciiTheme="majorBidi" w:hAnsiTheme="majorBidi" w:cstheme="majorBidi"/>
          <w:sz w:val="24"/>
          <w:szCs w:val="24"/>
          <w:rtl/>
        </w:rPr>
        <w:t>استرشاديًا</w:t>
      </w:r>
      <w:proofErr w:type="spellEnd"/>
      <w:r>
        <w:rPr>
          <w:rFonts w:asciiTheme="majorBidi" w:hAnsiTheme="majorBidi" w:cstheme="majorBidi"/>
          <w:sz w:val="24"/>
          <w:szCs w:val="24"/>
          <w:rtl/>
        </w:rPr>
        <w:t xml:space="preserve">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مشروعية الاستخدام أمام القضاء تقتضي أن يبقى المخرج في إطار الوسيلة </w:t>
      </w:r>
      <w:proofErr w:type="spellStart"/>
      <w:r>
        <w:rPr>
          <w:rFonts w:asciiTheme="majorBidi" w:hAnsiTheme="majorBidi" w:cstheme="majorBidi"/>
          <w:sz w:val="24"/>
          <w:szCs w:val="24"/>
          <w:rtl/>
        </w:rPr>
        <w:t>الإقناعية</w:t>
      </w:r>
      <w:proofErr w:type="spellEnd"/>
      <w:r>
        <w:rPr>
          <w:rFonts w:asciiTheme="majorBidi" w:hAnsiTheme="majorBidi" w:cstheme="majorBidi"/>
          <w:sz w:val="24"/>
          <w:szCs w:val="24"/>
          <w:rtl/>
        </w:rPr>
        <w:t>،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 xml:space="preserve">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w:t>
      </w:r>
      <w:proofErr w:type="spellStart"/>
      <w:r>
        <w:rPr>
          <w:rFonts w:asciiTheme="majorBidi" w:hAnsiTheme="majorBidi" w:cstheme="majorBidi"/>
          <w:sz w:val="24"/>
          <w:szCs w:val="24"/>
          <w:rtl/>
        </w:rPr>
        <w:t>استرشاديًا</w:t>
      </w:r>
      <w:proofErr w:type="spellEnd"/>
      <w:r>
        <w:rPr>
          <w:rFonts w:asciiTheme="majorBidi" w:hAnsiTheme="majorBidi" w:cstheme="majorBidi"/>
          <w:sz w:val="24"/>
          <w:szCs w:val="24"/>
          <w:rtl/>
        </w:rPr>
        <w:t xml:space="preserve">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من الناحية </w:t>
      </w:r>
      <w:proofErr w:type="spellStart"/>
      <w:r>
        <w:rPr>
          <w:rFonts w:asciiTheme="majorBidi" w:hAnsiTheme="majorBidi" w:cstheme="majorBidi"/>
          <w:sz w:val="24"/>
          <w:szCs w:val="24"/>
          <w:rtl/>
        </w:rPr>
        <w:t>التكييفية</w:t>
      </w:r>
      <w:proofErr w:type="spellEnd"/>
      <w:r>
        <w:rPr>
          <w:rFonts w:asciiTheme="majorBidi" w:hAnsiTheme="majorBidi" w:cstheme="majorBidi"/>
          <w:sz w:val="24"/>
          <w:szCs w:val="24"/>
          <w:rtl/>
        </w:rPr>
        <w:t>،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جانب من الفقه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20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1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جانب من الفقه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21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12"/>
      </w:r>
      <w:r>
        <w:rPr>
          <w:rFonts w:asciiTheme="majorBidi" w:hAnsiTheme="majorBidi" w:cstheme="majorBidi"/>
          <w:sz w:val="24"/>
          <w:szCs w:val="24"/>
          <w:rtl/>
        </w:rPr>
        <w:t xml:space="preserve">. ومن ثم فإن تقديم تحليل مدعوم بالذكاء الاصطناعي في نزاع تجاري أو مدني قد يكون مقبولًا بوصفه عنصرًا </w:t>
      </w:r>
      <w:proofErr w:type="spellStart"/>
      <w:r>
        <w:rPr>
          <w:rFonts w:asciiTheme="majorBidi" w:hAnsiTheme="majorBidi" w:cstheme="majorBidi"/>
          <w:sz w:val="24"/>
          <w:szCs w:val="24"/>
          <w:rtl/>
        </w:rPr>
        <w:t>استرشاديًا</w:t>
      </w:r>
      <w:proofErr w:type="spellEnd"/>
      <w:r>
        <w:rPr>
          <w:rFonts w:asciiTheme="majorBidi" w:hAnsiTheme="majorBidi" w:cstheme="majorBidi"/>
          <w:sz w:val="24"/>
          <w:szCs w:val="24"/>
          <w:rtl/>
        </w:rPr>
        <w:t>،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 xml:space="preserve">(هيئة الخبراء بمجلس الوزراء، 1435هـ – نظام الإجراءات الجزائية). وفي هذا السياق، فإن استخدام أدوات </w:t>
      </w:r>
      <w:proofErr w:type="spellStart"/>
      <w:r>
        <w:rPr>
          <w:rFonts w:asciiTheme="majorBidi" w:hAnsiTheme="majorBidi" w:cstheme="majorBidi"/>
          <w:sz w:val="24"/>
          <w:szCs w:val="24"/>
          <w:rtl/>
        </w:rPr>
        <w:t>تنبؤية</w:t>
      </w:r>
      <w:proofErr w:type="spellEnd"/>
      <w:r>
        <w:rPr>
          <w:rFonts w:asciiTheme="majorBidi" w:hAnsiTheme="majorBidi" w:cstheme="majorBidi"/>
          <w:sz w:val="24"/>
          <w:szCs w:val="24"/>
          <w:rtl/>
        </w:rPr>
        <w:t xml:space="preserve">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جانب من الفقه</w:t>
      </w:r>
      <w:r>
        <w:rPr>
          <w:rStyle w:val="af"/>
          <w:rFonts w:asciiTheme="majorBidi" w:hAnsiTheme="majorBidi" w:cstheme="majorBidi"/>
          <w:sz w:val="24"/>
          <w:szCs w:val="24"/>
          <w:rtl/>
        </w:rPr>
        <w:footnoteReference w:id="21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724E379E"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21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وتتوافق هذه الرؤية مع ما انتهت إليه دراسة جانب من الفقه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Pr>
          <w:rtl/>
        </w:rPr>
        <w:footnoteReference w:id="21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جانب من الفقه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216"/>
      </w:r>
    </w:p>
    <w:p w14:paraId="6C26EA17"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بحدود استخدام الذكاء الاصطناعي في المسائل التقديرية، استقر رأي </w:t>
      </w:r>
      <w:proofErr w:type="spellStart"/>
      <w:r>
        <w:rPr>
          <w:rFonts w:asciiTheme="majorBidi" w:hAnsiTheme="majorBidi" w:cstheme="majorBidi"/>
          <w:sz w:val="24"/>
          <w:szCs w:val="24"/>
          <w:rtl/>
        </w:rPr>
        <w:t>الجلعود</w:t>
      </w:r>
      <w:proofErr w:type="spellEnd"/>
      <w:r>
        <w:rPr>
          <w:rFonts w:asciiTheme="majorBidi" w:hAnsiTheme="majorBidi" w:cstheme="majorBidi"/>
          <w:sz w:val="24"/>
          <w:szCs w:val="24"/>
          <w:rtl/>
        </w:rPr>
        <w:t xml:space="preserve">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21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 xml:space="preserve">إلى تصنيف بعض أنظمة الذكاء الاصطناعي المستخدمة في المجال القضائي ضمن فئة “الأنظمة عالية المخاطر”، وفرض عليها متطلبات تتعلق </w:t>
      </w:r>
      <w:r>
        <w:rPr>
          <w:rFonts w:asciiTheme="majorBidi" w:hAnsiTheme="majorBidi" w:cstheme="majorBidi"/>
          <w:sz w:val="24"/>
          <w:szCs w:val="24"/>
          <w:rtl/>
        </w:rPr>
        <w:lastRenderedPageBreak/>
        <w:t>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 xml:space="preserve">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w:t>
      </w:r>
      <w:proofErr w:type="spellStart"/>
      <w:r>
        <w:rPr>
          <w:rFonts w:asciiTheme="majorBidi" w:hAnsiTheme="majorBidi" w:cstheme="majorBidi"/>
          <w:sz w:val="24"/>
          <w:szCs w:val="24"/>
          <w:rtl/>
        </w:rPr>
        <w:t>استرشادية</w:t>
      </w:r>
      <w:proofErr w:type="spellEnd"/>
      <w:r>
        <w:rPr>
          <w:rFonts w:asciiTheme="majorBidi" w:hAnsiTheme="majorBidi" w:cstheme="majorBidi"/>
          <w:sz w:val="24"/>
          <w:szCs w:val="24"/>
          <w:rtl/>
        </w:rPr>
        <w:t xml:space="preserve"> لا </w:t>
      </w:r>
      <w:proofErr w:type="spellStart"/>
      <w:r>
        <w:rPr>
          <w:rFonts w:asciiTheme="majorBidi" w:hAnsiTheme="majorBidi" w:cstheme="majorBidi"/>
          <w:sz w:val="24"/>
          <w:szCs w:val="24"/>
          <w:rtl/>
        </w:rPr>
        <w:t>إحلالية</w:t>
      </w:r>
      <w:proofErr w:type="spellEnd"/>
      <w:r>
        <w:rPr>
          <w:rFonts w:asciiTheme="majorBidi" w:hAnsiTheme="majorBidi" w:cstheme="majorBidi"/>
          <w:sz w:val="24"/>
          <w:szCs w:val="24"/>
        </w:rPr>
        <w:t>.</w:t>
      </w:r>
    </w:p>
    <w:p w14:paraId="15225C3C"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Pr>
          <w:rtl/>
        </w:rPr>
        <w:footnoteReference w:id="218"/>
      </w:r>
    </w:p>
    <w:p w14:paraId="62392C7B"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جانب من الفقه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Pr>
          <w:rtl/>
        </w:rPr>
        <w:footnoteReference w:id="219"/>
      </w:r>
    </w:p>
    <w:p w14:paraId="466C5DD9"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جانب من الفقه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Pr>
          <w:rtl/>
        </w:rPr>
        <w:footnoteReference w:id="22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2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2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شهدت بعض الأنظمة القانونية استخدام أدوات تحليلية لتوقع </w:t>
      </w:r>
      <w:proofErr w:type="spellStart"/>
      <w:r>
        <w:rPr>
          <w:rFonts w:asciiTheme="majorBidi" w:hAnsiTheme="majorBidi" w:cstheme="majorBidi"/>
          <w:sz w:val="24"/>
          <w:szCs w:val="24"/>
          <w:rtl/>
        </w:rPr>
        <w:t>مآلات</w:t>
      </w:r>
      <w:proofErr w:type="spellEnd"/>
      <w:r>
        <w:rPr>
          <w:rFonts w:asciiTheme="majorBidi" w:hAnsiTheme="majorBidi" w:cstheme="majorBidi"/>
          <w:sz w:val="24"/>
          <w:szCs w:val="24"/>
          <w:rtl/>
        </w:rPr>
        <w:t xml:space="preserve">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أشارت دراسات قانونية مقارنة إلى أن التحليل الإحصائي في المجال القضائي ينبغي أن يظل أداة مساعدة لا مرجعًا حاكمًا، وإلا تحولت العدالة إلى “عدالة </w:t>
      </w:r>
      <w:proofErr w:type="spellStart"/>
      <w:r>
        <w:rPr>
          <w:rFonts w:asciiTheme="majorBidi" w:hAnsiTheme="majorBidi" w:cstheme="majorBidi"/>
          <w:sz w:val="24"/>
          <w:szCs w:val="24"/>
          <w:rtl/>
        </w:rPr>
        <w:t>تنبؤية</w:t>
      </w:r>
      <w:proofErr w:type="spellEnd"/>
      <w:r>
        <w:rPr>
          <w:rFonts w:asciiTheme="majorBidi" w:hAnsiTheme="majorBidi" w:cstheme="majorBidi"/>
          <w:sz w:val="24"/>
          <w:szCs w:val="24"/>
          <w:rtl/>
        </w:rPr>
        <w:t>”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23"/>
      </w:r>
    </w:p>
    <w:p w14:paraId="70EC86AA"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في وثيقتها </w:t>
      </w:r>
      <w:proofErr w:type="spellStart"/>
      <w:r>
        <w:rPr>
          <w:rFonts w:asciiTheme="majorBidi" w:hAnsiTheme="majorBidi" w:cstheme="majorBidi"/>
          <w:sz w:val="24"/>
          <w:szCs w:val="24"/>
          <w:rtl/>
        </w:rPr>
        <w:t>الاسترشادية</w:t>
      </w:r>
      <w:proofErr w:type="spellEnd"/>
      <w:r>
        <w:rPr>
          <w:rFonts w:asciiTheme="majorBidi" w:hAnsiTheme="majorBidi" w:cstheme="majorBidi"/>
          <w:sz w:val="24"/>
          <w:szCs w:val="24"/>
          <w:rtl/>
        </w:rPr>
        <w:t xml:space="preserve">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2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225"/>
      </w:r>
      <w:r>
        <w:rPr>
          <w:rFonts w:asciiTheme="majorBidi" w:hAnsiTheme="majorBidi" w:cstheme="majorBidi"/>
          <w:sz w:val="24"/>
          <w:szCs w:val="24"/>
          <w:rtl/>
        </w:rPr>
        <w:t xml:space="preserve">، ووجوب </w:t>
      </w:r>
      <w:r>
        <w:rPr>
          <w:rFonts w:asciiTheme="majorBidi" w:hAnsiTheme="majorBidi" w:cstheme="majorBidi"/>
          <w:sz w:val="24"/>
          <w:szCs w:val="24"/>
          <w:rtl/>
        </w:rPr>
        <w:lastRenderedPageBreak/>
        <w:t>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جانب من الفقه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226"/>
      </w:r>
    </w:p>
    <w:p w14:paraId="7D20B950"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جانب من الفقه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22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228"/>
      </w:r>
    </w:p>
    <w:p w14:paraId="23709145"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جانب من الفقه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229"/>
      </w:r>
    </w:p>
    <w:p w14:paraId="3081C10F"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r>
        <w:rPr>
          <w:rtl/>
        </w:rPr>
        <w:footnoteReference w:id="23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وهي عناصر تجعل نقل التجارب المقارنة </w:t>
      </w:r>
      <w:proofErr w:type="spellStart"/>
      <w:r>
        <w:rPr>
          <w:rFonts w:asciiTheme="majorBidi" w:hAnsiTheme="majorBidi" w:cstheme="majorBidi"/>
          <w:sz w:val="24"/>
          <w:szCs w:val="24"/>
          <w:rtl/>
        </w:rPr>
        <w:t>بحرفيتها</w:t>
      </w:r>
      <w:proofErr w:type="spellEnd"/>
      <w:r>
        <w:rPr>
          <w:rFonts w:asciiTheme="majorBidi" w:hAnsiTheme="majorBidi" w:cstheme="majorBidi"/>
          <w:sz w:val="24"/>
          <w:szCs w:val="24"/>
          <w:rtl/>
        </w:rPr>
        <w:t xml:space="preserve">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73BEEC0A" w14:textId="2EE4D84A" w:rsidR="00624037" w:rsidRPr="002E352F" w:rsidRDefault="00BB08F4" w:rsidP="00624037">
      <w:pPr>
        <w:jc w:val="right"/>
        <w:rPr>
          <w:rFonts w:asciiTheme="majorBidi" w:hAnsiTheme="majorBidi" w:cstheme="majorBidi"/>
          <w:sz w:val="24"/>
          <w:szCs w:val="24"/>
        </w:rPr>
      </w:pPr>
      <w:proofErr w:type="gramStart"/>
      <w:r>
        <w:rPr>
          <w:rFonts w:asciiTheme="majorBidi" w:hAnsiTheme="majorBidi" w:cstheme="majorBidi" w:hint="cs"/>
          <w:b/>
          <w:bCs/>
          <w:sz w:val="24"/>
          <w:szCs w:val="24"/>
          <w:rtl/>
        </w:rPr>
        <w:t xml:space="preserve">و </w:t>
      </w:r>
      <w:r>
        <w:rPr>
          <w:rFonts w:asciiTheme="majorBidi" w:hAnsiTheme="majorBidi" w:cstheme="majorBidi"/>
          <w:b/>
          <w:bCs/>
          <w:sz w:val="24"/>
          <w:szCs w:val="24"/>
          <w:rtl/>
        </w:rPr>
        <w:t>من</w:t>
      </w:r>
      <w:proofErr w:type="gramEnd"/>
      <w:r>
        <w:rPr>
          <w:rFonts w:asciiTheme="majorBidi" w:hAnsiTheme="majorBidi" w:cstheme="majorBidi"/>
          <w:b/>
          <w:bCs/>
          <w:sz w:val="24"/>
          <w:szCs w:val="24"/>
          <w:rtl/>
        </w:rPr>
        <w:t xml:space="preserve"> خلال التحليل النظامي والمقارن</w:t>
      </w:r>
      <w:r>
        <w:rPr>
          <w:rFonts w:asciiTheme="majorBidi" w:hAnsiTheme="majorBidi" w:cstheme="majorBidi" w:hint="cs"/>
          <w:b/>
          <w:bCs/>
          <w:sz w:val="24"/>
          <w:szCs w:val="24"/>
          <w:rtl/>
        </w:rPr>
        <w:t xml:space="preserve"> لهذا المطلب</w:t>
      </w:r>
      <w:r>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31"/>
      </w:r>
      <w:r>
        <w:rPr>
          <w:rFonts w:asciiTheme="majorBidi" w:hAnsiTheme="majorBidi" w:cstheme="majorBidi"/>
          <w:sz w:val="24"/>
          <w:szCs w:val="24"/>
          <w:rtl/>
        </w:rPr>
        <w:t xml:space="preserve">أن المحامي يلتزم بأداء عمله وفق أصول </w:t>
      </w:r>
      <w:proofErr w:type="gramStart"/>
      <w:r>
        <w:rPr>
          <w:rFonts w:asciiTheme="majorBidi" w:hAnsiTheme="majorBidi" w:cstheme="majorBidi"/>
          <w:sz w:val="24"/>
          <w:szCs w:val="24"/>
          <w:rtl/>
        </w:rPr>
        <w:t>المهنة ،</w:t>
      </w:r>
      <w:proofErr w:type="gramEnd"/>
      <w:r>
        <w:rPr>
          <w:rFonts w:asciiTheme="majorBidi" w:hAnsiTheme="majorBidi" w:cstheme="majorBidi"/>
          <w:sz w:val="24"/>
          <w:szCs w:val="24"/>
          <w:rtl/>
        </w:rPr>
        <w:t xml:space="preserve">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3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3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 xml:space="preserve">نظام حماية البيانات </w:t>
      </w:r>
      <w:proofErr w:type="gramStart"/>
      <w:r>
        <w:rPr>
          <w:rFonts w:asciiTheme="majorBidi" w:hAnsiTheme="majorBidi" w:cstheme="majorBidi"/>
          <w:b/>
          <w:bCs/>
          <w:sz w:val="24"/>
          <w:szCs w:val="24"/>
          <w:rtl/>
        </w:rPr>
        <w:t>الشخصية</w:t>
      </w:r>
      <w:r>
        <w:rPr>
          <w:rFonts w:asciiTheme="majorBidi" w:hAnsiTheme="majorBidi" w:cstheme="majorBidi"/>
          <w:sz w:val="24"/>
          <w:szCs w:val="24"/>
          <w:rtl/>
        </w:rPr>
        <w:t xml:space="preserve"> ،</w:t>
      </w:r>
      <w:proofErr w:type="gramEnd"/>
      <w:r>
        <w:rPr>
          <w:rFonts w:asciiTheme="majorBidi" w:hAnsiTheme="majorBidi" w:cstheme="majorBidi"/>
          <w:sz w:val="24"/>
          <w:szCs w:val="24"/>
          <w:rtl/>
        </w:rPr>
        <w:t xml:space="preserve">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جانب من الفقه</w:t>
      </w:r>
      <w:r>
        <w:rPr>
          <w:rStyle w:val="af"/>
          <w:rFonts w:asciiTheme="majorBidi" w:hAnsiTheme="majorBidi" w:cstheme="majorBidi"/>
          <w:sz w:val="24"/>
          <w:szCs w:val="24"/>
          <w:rtl/>
        </w:rPr>
        <w:footnoteReference w:id="23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lastRenderedPageBreak/>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16F82B9B" w14:textId="77777777" w:rsidR="00FE66C9" w:rsidRPr="002E352F" w:rsidRDefault="00FE66C9" w:rsidP="00FE66C9">
      <w:pPr>
        <w:jc w:val="right"/>
        <w:rPr>
          <w:rFonts w:asciiTheme="majorBidi" w:hAnsiTheme="majorBidi" w:cstheme="majorBidi"/>
          <w:sz w:val="24"/>
          <w:szCs w:val="24"/>
        </w:rPr>
      </w:pPr>
    </w:p>
    <w:p w14:paraId="49AD9A32" w14:textId="77777777" w:rsidR="00FE66C9" w:rsidRPr="00A845BC" w:rsidRDefault="00FE66C9" w:rsidP="00FE66C9">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2570D55" w14:textId="07ECE553" w:rsidR="004F0491" w:rsidRDefault="00FE66C9" w:rsidP="004F0491">
      <w:pPr>
        <w:jc w:val="center"/>
        <w:rPr>
          <w:rFonts w:asciiTheme="majorBidi" w:hAnsiTheme="majorBidi" w:cstheme="majorBidi"/>
          <w:b/>
          <w:bCs/>
          <w:sz w:val="32"/>
          <w:szCs w:val="32"/>
        </w:rPr>
      </w:pPr>
      <w:r>
        <w:rPr>
          <w:rFonts w:asciiTheme="majorBidi" w:hAnsiTheme="majorBidi" w:cstheme="majorBidi"/>
          <w:b/>
          <w:bCs/>
          <w:sz w:val="32"/>
          <w:szCs w:val="32"/>
          <w:rtl/>
        </w:rPr>
        <w:t>المسؤولية المدنية والمهنية للمحامي عند استخدام الذكاء الاصطناعي</w:t>
      </w:r>
    </w:p>
    <w:p w14:paraId="28FF2559" w14:textId="77777777" w:rsidR="004F0491" w:rsidRDefault="004F0491" w:rsidP="004F0491">
      <w:pPr>
        <w:jc w:val="center"/>
        <w:rPr>
          <w:rFonts w:asciiTheme="majorBidi" w:hAnsiTheme="majorBidi" w:cstheme="majorBidi"/>
          <w:b/>
          <w:bCs/>
          <w:sz w:val="32"/>
          <w:szCs w:val="32"/>
        </w:rPr>
      </w:pPr>
    </w:p>
    <w:p w14:paraId="00A73546"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29B3652B"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w:t>
      </w:r>
      <w:r>
        <w:rPr>
          <w:rFonts w:asciiTheme="majorBidi" w:hAnsiTheme="majorBidi" w:cstheme="majorBidi"/>
          <w:sz w:val="24"/>
          <w:szCs w:val="24"/>
          <w:rtl/>
        </w:rPr>
        <w:lastRenderedPageBreak/>
        <w:t>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35"/>
      </w:r>
    </w:p>
    <w:p w14:paraId="623CF8F0"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36"/>
      </w:r>
    </w:p>
    <w:p w14:paraId="5826FE1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AEFAED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w:t>
      </w:r>
      <w:proofErr w:type="spellStart"/>
      <w:r>
        <w:rPr>
          <w:rFonts w:asciiTheme="majorBidi" w:hAnsiTheme="majorBidi" w:cstheme="majorBidi"/>
          <w:sz w:val="24"/>
          <w:szCs w:val="24"/>
          <w:rtl/>
        </w:rPr>
        <w:t>يقتضيه</w:t>
      </w:r>
      <w:proofErr w:type="spellEnd"/>
      <w:r>
        <w:rPr>
          <w:rFonts w:asciiTheme="majorBidi" w:hAnsiTheme="majorBidi" w:cstheme="majorBidi"/>
          <w:sz w:val="24"/>
          <w:szCs w:val="24"/>
          <w:rtl/>
        </w:rPr>
        <w:t xml:space="preserve">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08138E8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 xml:space="preserve">غير أن إدخال الذكاء الاصطناعي إلى أعمال البحث والصياغة والتحليل يخلق سؤالًا </w:t>
      </w:r>
      <w:proofErr w:type="gramStart"/>
      <w:r>
        <w:rPr>
          <w:rFonts w:asciiTheme="majorBidi" w:hAnsiTheme="majorBidi" w:cstheme="majorBidi"/>
          <w:sz w:val="24"/>
          <w:szCs w:val="24"/>
          <w:rtl/>
        </w:rPr>
        <w:t>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w:t>
      </w:r>
      <w:proofErr w:type="gramEnd"/>
      <w:r>
        <w:rPr>
          <w:rFonts w:asciiTheme="majorBidi" w:hAnsiTheme="majorBidi" w:cstheme="majorBidi"/>
          <w:b/>
          <w:bCs/>
          <w:sz w:val="24"/>
          <w:szCs w:val="24"/>
          <w:rtl/>
        </w:rPr>
        <w:t xml:space="preserve"> يتغير “موضع الإسناد” إذا كان المخرج القانوني قد تولّد عبر خوارزمية؟</w:t>
      </w:r>
    </w:p>
    <w:p w14:paraId="714FA6D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17C038C3"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 xml:space="preserve">أطروحة الإبقاء على الإسناد للمحامي (الاعتماد </w:t>
      </w:r>
      <w:proofErr w:type="gramStart"/>
      <w:r>
        <w:rPr>
          <w:rFonts w:asciiTheme="majorBidi" w:hAnsiTheme="majorBidi" w:cstheme="majorBidi"/>
          <w:b/>
          <w:bCs/>
          <w:sz w:val="24"/>
          <w:szCs w:val="24"/>
          <w:rtl/>
        </w:rPr>
        <w:t>والتقديم)</w:t>
      </w:r>
      <w:r>
        <w:rPr>
          <w:rFonts w:asciiTheme="majorBidi" w:hAnsiTheme="majorBidi" w:cstheme="majorBidi"/>
          <w:sz w:val="24"/>
          <w:szCs w:val="24"/>
        </w:rPr>
        <w:br/>
      </w:r>
      <w:r>
        <w:rPr>
          <w:rFonts w:asciiTheme="majorBidi" w:hAnsiTheme="majorBidi" w:cstheme="majorBidi"/>
          <w:sz w:val="24"/>
          <w:szCs w:val="24"/>
          <w:rtl/>
        </w:rPr>
        <w:t>ومؤداها</w:t>
      </w:r>
      <w:proofErr w:type="gramEnd"/>
      <w:r>
        <w:rPr>
          <w:rFonts w:asciiTheme="majorBidi" w:hAnsiTheme="majorBidi" w:cstheme="majorBidi"/>
          <w:sz w:val="24"/>
          <w:szCs w:val="24"/>
          <w:rtl/>
        </w:rPr>
        <w:t xml:space="preserve">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444E3C39"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w:t>
      </w:r>
      <w:r>
        <w:rPr>
          <w:rFonts w:asciiTheme="majorBidi" w:hAnsiTheme="majorBidi" w:cstheme="majorBidi"/>
          <w:sz w:val="24"/>
          <w:szCs w:val="24"/>
          <w:rtl/>
        </w:rPr>
        <w:lastRenderedPageBreak/>
        <w:t xml:space="preserve">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8693712" w14:textId="7E46469D"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Pr>
          <w:rFonts w:asciiTheme="majorBidi" w:hAnsiTheme="majorBidi" w:cstheme="majorBidi"/>
          <w:b/>
          <w:bCs/>
          <w:sz w:val="24"/>
          <w:szCs w:val="24"/>
          <w:rtl/>
        </w:rPr>
        <w:t>تحمل تبعة الرأي القانوني</w:t>
      </w:r>
      <w:r>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Pr>
          <w:rFonts w:asciiTheme="majorBidi" w:hAnsiTheme="majorBidi" w:cstheme="majorBidi"/>
          <w:sz w:val="24"/>
          <w:szCs w:val="24"/>
        </w:rPr>
        <w:t>.</w:t>
      </w:r>
    </w:p>
    <w:p w14:paraId="47725148" w14:textId="77777777" w:rsidR="004F0491" w:rsidRPr="00AD56AA" w:rsidRDefault="004F0491" w:rsidP="004F0491">
      <w:pPr>
        <w:rPr>
          <w:rFonts w:asciiTheme="majorBidi" w:hAnsiTheme="majorBidi" w:cstheme="majorBidi"/>
          <w:sz w:val="24"/>
          <w:szCs w:val="24"/>
        </w:rPr>
      </w:pPr>
    </w:p>
    <w:p w14:paraId="07A5034A"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w:t>
      </w:r>
      <w:proofErr w:type="spellStart"/>
      <w:r>
        <w:rPr>
          <w:rFonts w:asciiTheme="majorBidi" w:hAnsiTheme="majorBidi" w:cstheme="majorBidi"/>
          <w:sz w:val="24"/>
          <w:szCs w:val="24"/>
          <w:rtl/>
        </w:rPr>
        <w:t>واستيثاق</w:t>
      </w:r>
      <w:proofErr w:type="spellEnd"/>
      <w:r>
        <w:rPr>
          <w:rFonts w:asciiTheme="majorBidi" w:hAnsiTheme="majorBidi" w:cstheme="majorBidi"/>
          <w:sz w:val="24"/>
          <w:szCs w:val="24"/>
          <w:rtl/>
        </w:rPr>
        <w:t xml:space="preserve">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37"/>
      </w:r>
    </w:p>
    <w:p w14:paraId="607BCFF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08E676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3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3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0C4D737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1253D35C"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34E02134"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56684E3"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w:t>
      </w:r>
      <w:proofErr w:type="spellStart"/>
      <w:r>
        <w:rPr>
          <w:rFonts w:asciiTheme="majorBidi" w:hAnsiTheme="majorBidi" w:cstheme="majorBidi"/>
          <w:sz w:val="24"/>
          <w:szCs w:val="24"/>
          <w:rtl/>
        </w:rPr>
        <w:t>الهلاوس</w:t>
      </w:r>
      <w:proofErr w:type="spellEnd"/>
      <w:r>
        <w:rPr>
          <w:rFonts w:asciiTheme="majorBidi" w:hAnsiTheme="majorBidi" w:cstheme="majorBidi"/>
          <w:sz w:val="24"/>
          <w:szCs w:val="24"/>
          <w:rtl/>
        </w:rPr>
        <w:t xml:space="preserve"> القانونية” (إحالات أو سوابق غير دقيقة)</w:t>
      </w:r>
      <w:r>
        <w:rPr>
          <w:rFonts w:asciiTheme="majorBidi" w:hAnsiTheme="majorBidi" w:cstheme="majorBidi"/>
          <w:sz w:val="24"/>
          <w:szCs w:val="24"/>
        </w:rPr>
        <w:t>.</w:t>
      </w:r>
    </w:p>
    <w:p w14:paraId="1904A666"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627057CA"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AE4DE31"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092CB04E"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12746426"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1632C80B" w14:textId="77777777" w:rsidR="004F0491" w:rsidRPr="00AD56AA" w:rsidRDefault="004F0491" w:rsidP="004F0491">
      <w:pPr>
        <w:rPr>
          <w:rFonts w:asciiTheme="majorBidi" w:hAnsiTheme="majorBidi" w:cstheme="majorBidi"/>
          <w:sz w:val="24"/>
          <w:szCs w:val="24"/>
        </w:rPr>
      </w:pPr>
    </w:p>
    <w:p w14:paraId="3531175A"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3759AAD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40"/>
      </w:r>
    </w:p>
    <w:p w14:paraId="05FCD1F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تقليديًا، يُقاس الخطأ المهني بانحراف المحامي عن سلوك محامٍ معتاد حريص في ذات الظروف. لكن السؤال في عصر الذكاء الاصطناعي يصبح أكثر </w:t>
      </w:r>
      <w:proofErr w:type="gramStart"/>
      <w:r>
        <w:rPr>
          <w:rFonts w:asciiTheme="majorBidi" w:hAnsiTheme="majorBidi" w:cstheme="majorBidi"/>
          <w:sz w:val="24"/>
          <w:szCs w:val="24"/>
          <w:rtl/>
        </w:rPr>
        <w:t>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w:t>
      </w:r>
      <w:proofErr w:type="gramEnd"/>
      <w:r>
        <w:rPr>
          <w:rFonts w:asciiTheme="majorBidi" w:hAnsiTheme="majorBidi" w:cstheme="majorBidi"/>
          <w:b/>
          <w:bCs/>
          <w:sz w:val="24"/>
          <w:szCs w:val="24"/>
          <w:rtl/>
        </w:rPr>
        <w:t xml:space="preserve">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4F0F462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4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1803D93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66B17EB4"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4256AA2A"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11CAE0E2"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2F21E67D" w14:textId="77777777" w:rsidR="004F0491" w:rsidRPr="00AC662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 xml:space="preserve">مستوى المراجعة البشرية والتحقق (هل اكتفى بالنسخ؟ أم راجع </w:t>
      </w:r>
      <w:proofErr w:type="gramStart"/>
      <w:r>
        <w:rPr>
          <w:rFonts w:asciiTheme="majorBidi" w:hAnsiTheme="majorBidi" w:cstheme="majorBidi"/>
          <w:sz w:val="24"/>
          <w:szCs w:val="24"/>
          <w:rtl/>
        </w:rPr>
        <w:t>واستوثق؟)</w:t>
      </w:r>
      <w:r>
        <w:rPr>
          <w:rFonts w:asciiTheme="majorBidi" w:hAnsiTheme="majorBidi" w:cstheme="majorBidi"/>
          <w:sz w:val="24"/>
          <w:szCs w:val="24"/>
        </w:rPr>
        <w:t>..</w:t>
      </w:r>
      <w:proofErr w:type="gramEnd"/>
    </w:p>
    <w:p w14:paraId="42941F94" w14:textId="77777777" w:rsidR="004F0491" w:rsidRPr="00AD56AA" w:rsidRDefault="004F0491" w:rsidP="004F0491">
      <w:pPr>
        <w:rPr>
          <w:rFonts w:asciiTheme="majorBidi" w:hAnsiTheme="majorBidi" w:cstheme="majorBidi"/>
          <w:sz w:val="24"/>
          <w:szCs w:val="24"/>
        </w:rPr>
      </w:pPr>
    </w:p>
    <w:p w14:paraId="478C4642"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w:t>
      </w:r>
      <w:r>
        <w:rPr>
          <w:rFonts w:asciiTheme="majorBidi" w:hAnsiTheme="majorBidi" w:cstheme="majorBidi"/>
          <w:sz w:val="24"/>
          <w:szCs w:val="24"/>
          <w:rtl/>
        </w:rPr>
        <w:lastRenderedPageBreak/>
        <w:t>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43"/>
      </w:r>
    </w:p>
    <w:p w14:paraId="6B70357B"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AC091E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8AA9CF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2453A8B6"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387C1BD2"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0C4408A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290BCAF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4475AA8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711C36F0"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627487F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2B916627"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0408A1F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4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5A3A3242"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05A6EA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ومما </w:t>
      </w:r>
      <w:proofErr w:type="gramStart"/>
      <w:r>
        <w:rPr>
          <w:rFonts w:asciiTheme="majorBidi" w:hAnsiTheme="majorBidi" w:cstheme="majorBidi" w:hint="cs"/>
          <w:sz w:val="24"/>
          <w:szCs w:val="24"/>
          <w:rtl/>
        </w:rPr>
        <w:t>سبق</w:t>
      </w:r>
      <w:r>
        <w:rPr>
          <w:rFonts w:asciiTheme="majorBidi" w:hAnsiTheme="majorBidi" w:cstheme="majorBidi"/>
          <w:sz w:val="24"/>
          <w:szCs w:val="24"/>
          <w:rtl/>
        </w:rPr>
        <w:t xml:space="preserve"> ،</w:t>
      </w:r>
      <w:proofErr w:type="gramEnd"/>
      <w:r>
        <w:rPr>
          <w:rFonts w:asciiTheme="majorBidi" w:hAnsiTheme="majorBidi" w:cstheme="majorBidi"/>
          <w:sz w:val="24"/>
          <w:szCs w:val="24"/>
          <w:rtl/>
        </w:rPr>
        <w:t xml:space="preserve">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6F76EA54" w14:textId="77777777" w:rsidR="004F0491" w:rsidRPr="00AD56AA" w:rsidRDefault="004F0491" w:rsidP="004F0491">
      <w:pPr>
        <w:numPr>
          <w:ilvl w:val="0"/>
          <w:numId w:val="24"/>
        </w:numPr>
        <w:bidi/>
        <w:rPr>
          <w:rFonts w:asciiTheme="majorBidi" w:hAnsiTheme="majorBidi" w:cstheme="majorBidi"/>
          <w:sz w:val="24"/>
          <w:szCs w:val="24"/>
        </w:rPr>
      </w:pPr>
      <w:r>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4008835D" w14:textId="77777777" w:rsidR="004F0491" w:rsidRPr="00AD56AA" w:rsidRDefault="004F0491" w:rsidP="004F0491">
      <w:pPr>
        <w:numPr>
          <w:ilvl w:val="0"/>
          <w:numId w:val="24"/>
        </w:numPr>
        <w:bidi/>
        <w:jc w:val="both"/>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21A4618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لا يصح الاكتفاء بعبارة: “النظام أخطأ”، بل يجب اختبار سؤالٍ </w:t>
      </w:r>
      <w:proofErr w:type="gramStart"/>
      <w:r>
        <w:rPr>
          <w:rFonts w:asciiTheme="majorBidi" w:hAnsiTheme="majorBidi" w:cstheme="majorBidi"/>
          <w:sz w:val="24"/>
          <w:szCs w:val="24"/>
          <w:rtl/>
        </w:rPr>
        <w:t>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w:t>
      </w:r>
      <w:proofErr w:type="gramEnd"/>
      <w:r>
        <w:rPr>
          <w:rFonts w:asciiTheme="majorBidi" w:hAnsiTheme="majorBidi" w:cstheme="majorBidi"/>
          <w:b/>
          <w:bCs/>
          <w:sz w:val="24"/>
          <w:szCs w:val="24"/>
          <w:rtl/>
        </w:rPr>
        <w:t xml:space="preserve">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3A3E2A3F" w14:textId="77777777" w:rsidR="004F0491" w:rsidRPr="00AD56AA" w:rsidRDefault="004F0491" w:rsidP="004F0491">
      <w:pPr>
        <w:jc w:val="right"/>
        <w:rPr>
          <w:rFonts w:asciiTheme="majorBidi" w:hAnsiTheme="majorBidi" w:cstheme="majorBidi"/>
          <w:sz w:val="24"/>
          <w:szCs w:val="24"/>
        </w:rPr>
      </w:pPr>
    </w:p>
    <w:p w14:paraId="7DE7812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تثير تطبيقات الذكاء الاصطناعي سؤالًا أعمق: هل ما زال مفهوم “الخطأ التقليدي” كافيًا </w:t>
      </w:r>
      <w:proofErr w:type="gramStart"/>
      <w:r>
        <w:rPr>
          <w:rFonts w:asciiTheme="majorBidi" w:hAnsiTheme="majorBidi" w:cstheme="majorBidi"/>
          <w:sz w:val="24"/>
          <w:szCs w:val="24"/>
          <w:rtl/>
        </w:rPr>
        <w:t>وحده؟</w:t>
      </w:r>
      <w:r>
        <w:rPr>
          <w:rFonts w:asciiTheme="majorBidi" w:hAnsiTheme="majorBidi" w:cstheme="majorBidi"/>
          <w:sz w:val="24"/>
          <w:szCs w:val="24"/>
        </w:rPr>
        <w:br/>
      </w:r>
      <w:r>
        <w:rPr>
          <w:rFonts w:asciiTheme="majorBidi" w:hAnsiTheme="majorBidi" w:cstheme="majorBidi"/>
          <w:sz w:val="24"/>
          <w:szCs w:val="24"/>
          <w:rtl/>
        </w:rPr>
        <w:t>تذهب</w:t>
      </w:r>
      <w:proofErr w:type="gramEnd"/>
      <w:r>
        <w:rPr>
          <w:rFonts w:asciiTheme="majorBidi" w:hAnsiTheme="majorBidi" w:cstheme="majorBidi"/>
          <w:sz w:val="24"/>
          <w:szCs w:val="24"/>
          <w:rtl/>
        </w:rPr>
        <w:t xml:space="preserve">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46"/>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553E12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6DF1A9C0"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6B0A0C01"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7B7B79DF"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4AFF556D"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407D025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6D002AD" w14:textId="77777777" w:rsidR="004F0491" w:rsidRPr="00A845BC" w:rsidRDefault="004F0491" w:rsidP="004F0491">
      <w:pPr>
        <w:rPr>
          <w:rFonts w:asciiTheme="majorBidi" w:hAnsiTheme="majorBidi" w:cstheme="majorBidi"/>
          <w:sz w:val="24"/>
          <w:szCs w:val="24"/>
          <w:rtl/>
        </w:rPr>
      </w:pPr>
    </w:p>
    <w:p w14:paraId="4503615E"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2DBB27AB"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7FEDA0C3"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5A3D4A48"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7C57864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44C7D8C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41D4ACC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w:t>
      </w:r>
      <w:proofErr w:type="spellStart"/>
      <w:proofErr w:type="gramStart"/>
      <w:r>
        <w:rPr>
          <w:rFonts w:asciiTheme="majorBidi" w:hAnsiTheme="majorBidi" w:cstheme="majorBidi"/>
          <w:sz w:val="24"/>
          <w:szCs w:val="24"/>
          <w:rtl/>
        </w:rPr>
        <w:t>و”الشفافية</w:t>
      </w:r>
      <w:proofErr w:type="spellEnd"/>
      <w:proofErr w:type="gramEnd"/>
      <w:r>
        <w:rPr>
          <w:rFonts w:asciiTheme="majorBidi" w:hAnsiTheme="majorBidi" w:cstheme="majorBidi"/>
          <w:sz w:val="24"/>
          <w:szCs w:val="24"/>
          <w:rtl/>
        </w:rPr>
        <w:t>” بما يفترض أن الجهة المستخدمة يجب أن تفهم حدود النظام وأن تتحمل أثر قرارات الاستخدام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2023)</w:t>
      </w:r>
      <w:r>
        <w:rPr>
          <w:rStyle w:val="af"/>
          <w:rFonts w:asciiTheme="majorBidi" w:hAnsiTheme="majorBidi" w:cstheme="majorBidi"/>
          <w:sz w:val="24"/>
          <w:szCs w:val="24"/>
          <w:rtl/>
        </w:rPr>
        <w:footnoteReference w:id="247"/>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2023)</w:t>
      </w:r>
      <w:r>
        <w:rPr>
          <w:rStyle w:val="af"/>
          <w:rFonts w:asciiTheme="majorBidi" w:hAnsiTheme="majorBidi" w:cstheme="majorBidi"/>
          <w:sz w:val="24"/>
          <w:szCs w:val="24"/>
          <w:rtl/>
        </w:rPr>
        <w:footnoteReference w:id="248"/>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6F612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79227E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 xml:space="preserve">تدريب الموظفين على قيود الأدوات </w:t>
      </w:r>
      <w:proofErr w:type="spellStart"/>
      <w:r>
        <w:rPr>
          <w:rFonts w:asciiTheme="majorBidi" w:hAnsiTheme="majorBidi" w:cstheme="majorBidi"/>
          <w:sz w:val="24"/>
          <w:szCs w:val="24"/>
          <w:rtl/>
        </w:rPr>
        <w:t>ومخاطرها</w:t>
      </w:r>
      <w:proofErr w:type="spellEnd"/>
      <w:r>
        <w:rPr>
          <w:rFonts w:asciiTheme="majorBidi" w:hAnsiTheme="majorBidi" w:cstheme="majorBidi"/>
          <w:sz w:val="24"/>
          <w:szCs w:val="24"/>
        </w:rPr>
        <w:t>.</w:t>
      </w:r>
    </w:p>
    <w:p w14:paraId="3B4DF21C"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384DFD81"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30315D5"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lastRenderedPageBreak/>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4869494C" w14:textId="77777777" w:rsidR="004F0491" w:rsidRPr="00AD56AA" w:rsidRDefault="004F0491" w:rsidP="004F0491">
      <w:pPr>
        <w:rPr>
          <w:rFonts w:asciiTheme="majorBidi" w:hAnsiTheme="majorBidi" w:cstheme="majorBidi"/>
          <w:sz w:val="24"/>
          <w:szCs w:val="24"/>
        </w:rPr>
      </w:pPr>
    </w:p>
    <w:p w14:paraId="0A2DB5F0"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16A97D0D"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7F2F0C6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تعالج معلومات حساسة دون تشفير أو ضوابط</w:t>
      </w:r>
      <w:r>
        <w:rPr>
          <w:rFonts w:asciiTheme="majorBidi" w:hAnsiTheme="majorBidi" w:cstheme="majorBidi"/>
          <w:sz w:val="24"/>
          <w:szCs w:val="24"/>
        </w:rPr>
        <w:t>.</w:t>
      </w:r>
    </w:p>
    <w:p w14:paraId="4AFC8DF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55DFD509"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06FCA7F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4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25C48593"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F451FE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proofErr w:type="gramStart"/>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أي</w:t>
      </w:r>
      <w:proofErr w:type="gramEnd"/>
      <w:r>
        <w:rPr>
          <w:rFonts w:asciiTheme="majorBidi" w:hAnsiTheme="majorBidi" w:cstheme="majorBidi"/>
          <w:sz w:val="24"/>
          <w:szCs w:val="24"/>
          <w:rtl/>
        </w:rPr>
        <w:t xml:space="preserve">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19E505E2" w14:textId="77777777" w:rsidR="004F0491" w:rsidRPr="00AD56AA" w:rsidRDefault="004F0491" w:rsidP="004F0491">
      <w:pPr>
        <w:rPr>
          <w:rFonts w:asciiTheme="majorBidi" w:hAnsiTheme="majorBidi" w:cstheme="majorBidi"/>
          <w:sz w:val="24"/>
          <w:szCs w:val="24"/>
        </w:rPr>
      </w:pPr>
    </w:p>
    <w:p w14:paraId="021F6E6C"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من الأفكار الجديدة التي تطرحها البيئة الرقمية: هل يجب على المحامي أن يُفصح للموكل عن استخدام الذكاء الاصطناعي في إعداد </w:t>
      </w:r>
      <w:proofErr w:type="gramStart"/>
      <w:r>
        <w:rPr>
          <w:rFonts w:asciiTheme="majorBidi" w:hAnsiTheme="majorBidi" w:cstheme="majorBidi"/>
          <w:sz w:val="24"/>
          <w:szCs w:val="24"/>
          <w:rtl/>
        </w:rPr>
        <w:t>العمل؟</w:t>
      </w:r>
      <w:r>
        <w:rPr>
          <w:rFonts w:asciiTheme="majorBidi" w:hAnsiTheme="majorBidi" w:cstheme="majorBidi"/>
          <w:sz w:val="24"/>
          <w:szCs w:val="24"/>
        </w:rPr>
        <w:br/>
      </w:r>
      <w:r>
        <w:rPr>
          <w:rFonts w:asciiTheme="majorBidi" w:hAnsiTheme="majorBidi" w:cstheme="majorBidi"/>
          <w:sz w:val="24"/>
          <w:szCs w:val="24"/>
          <w:rtl/>
        </w:rPr>
        <w:t>هذه</w:t>
      </w:r>
      <w:proofErr w:type="gramEnd"/>
      <w:r>
        <w:rPr>
          <w:rFonts w:asciiTheme="majorBidi" w:hAnsiTheme="majorBidi" w:cstheme="majorBidi"/>
          <w:sz w:val="24"/>
          <w:szCs w:val="24"/>
          <w:rtl/>
        </w:rPr>
        <w:t xml:space="preserve">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ADBC50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ترتبط هذه النقطة بمبدأ “المساءلة والشفافية” الذي تؤكد عليه وثائق الحوكمة الأخلاقية للذكاء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50"/>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2C2191C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1EE35F86"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13D45E27"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52CBE6B"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091F29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6A135ED1"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04297655"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45AD5EC4" w14:textId="77777777" w:rsidR="004F0491" w:rsidRPr="003A3742" w:rsidRDefault="004F0491" w:rsidP="004F0491">
      <w:pPr>
        <w:rPr>
          <w:rFonts w:asciiTheme="majorBidi" w:hAnsiTheme="majorBidi" w:cstheme="majorBidi"/>
          <w:sz w:val="24"/>
          <w:szCs w:val="24"/>
        </w:rPr>
      </w:pPr>
    </w:p>
    <w:p w14:paraId="27194E6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تحيزات في البيانات، أو توجيه في الاستنتاجات، أو تقديم حلول “</w:t>
      </w:r>
      <w:proofErr w:type="spellStart"/>
      <w:r>
        <w:rPr>
          <w:rFonts w:asciiTheme="majorBidi" w:hAnsiTheme="majorBidi" w:cstheme="majorBidi"/>
          <w:sz w:val="24"/>
          <w:szCs w:val="24"/>
          <w:rtl/>
        </w:rPr>
        <w:t>نماذجية</w:t>
      </w:r>
      <w:proofErr w:type="spellEnd"/>
      <w:r>
        <w:rPr>
          <w:rFonts w:asciiTheme="majorBidi" w:hAnsiTheme="majorBidi" w:cstheme="majorBidi"/>
          <w:sz w:val="24"/>
          <w:szCs w:val="24"/>
          <w:rtl/>
        </w:rPr>
        <w:t xml:space="preserve">”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0E1D76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5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431077C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69D021CC"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70AD8FC2"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 xml:space="preserve">لأن المخرج قد يقترح </w:t>
      </w:r>
      <w:proofErr w:type="spellStart"/>
      <w:r>
        <w:rPr>
          <w:rFonts w:asciiTheme="majorBidi" w:hAnsiTheme="majorBidi" w:cstheme="majorBidi"/>
          <w:sz w:val="24"/>
          <w:szCs w:val="24"/>
          <w:rtl/>
        </w:rPr>
        <w:t>إستراتيجية</w:t>
      </w:r>
      <w:proofErr w:type="spellEnd"/>
      <w:r>
        <w:rPr>
          <w:rFonts w:asciiTheme="majorBidi" w:hAnsiTheme="majorBidi" w:cstheme="majorBidi"/>
          <w:sz w:val="24"/>
          <w:szCs w:val="24"/>
          <w:rtl/>
        </w:rPr>
        <w:t xml:space="preserve"> قانونية تبدو “أمثل” نظريًا لكنها تؤدي إلى ضرر عملي لخصوصية القضية</w:t>
      </w:r>
      <w:r>
        <w:rPr>
          <w:rFonts w:asciiTheme="majorBidi" w:hAnsiTheme="majorBidi" w:cstheme="majorBidi"/>
          <w:sz w:val="24"/>
          <w:szCs w:val="24"/>
        </w:rPr>
        <w:t>.</w:t>
      </w:r>
    </w:p>
    <w:p w14:paraId="4D7100F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033E9E09" w14:textId="77777777" w:rsidR="004F0491" w:rsidRPr="003A3742" w:rsidRDefault="004F0491" w:rsidP="004F0491">
      <w:pPr>
        <w:rPr>
          <w:rFonts w:asciiTheme="majorBidi" w:hAnsiTheme="majorBidi" w:cstheme="majorBidi"/>
          <w:sz w:val="24"/>
          <w:szCs w:val="24"/>
        </w:rPr>
      </w:pPr>
    </w:p>
    <w:p w14:paraId="14416962"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2C748B3A"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52"/>
      </w:r>
    </w:p>
    <w:p w14:paraId="0E0E0A83"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w:t>
      </w:r>
      <w:r>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4BB60048"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2035A8F1"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459EF6C6"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7E6DDFDE"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583254F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5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1DF25163" w14:textId="77777777" w:rsidR="004F0491" w:rsidRPr="003A3742" w:rsidRDefault="004F0491" w:rsidP="004F0491">
      <w:pPr>
        <w:rPr>
          <w:rFonts w:asciiTheme="majorBidi" w:hAnsiTheme="majorBidi" w:cstheme="majorBidi"/>
          <w:sz w:val="24"/>
          <w:szCs w:val="24"/>
        </w:rPr>
      </w:pPr>
    </w:p>
    <w:p w14:paraId="74290BA4"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65B09A1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5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فكرة بناء المسؤولية على معيار “الرقابة والسيطرة الفعلية”؛ فالمكتب الذي يختار مزود التقنية ويبرم معه عقدًا ويُدخل بيانات الموكل عبره، يكون قد تولى إدارة </w:t>
      </w:r>
      <w:proofErr w:type="spellStart"/>
      <w:r>
        <w:rPr>
          <w:rFonts w:asciiTheme="majorBidi" w:hAnsiTheme="majorBidi" w:cstheme="majorBidi"/>
          <w:sz w:val="24"/>
          <w:szCs w:val="24"/>
          <w:rtl/>
        </w:rPr>
        <w:t>مخاطره</w:t>
      </w:r>
      <w:proofErr w:type="spellEnd"/>
      <w:r>
        <w:rPr>
          <w:rFonts w:asciiTheme="majorBidi" w:hAnsiTheme="majorBidi" w:cstheme="majorBidi"/>
          <w:sz w:val="24"/>
          <w:szCs w:val="24"/>
        </w:rPr>
        <w:t>.</w:t>
      </w:r>
    </w:p>
    <w:p w14:paraId="431587B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5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C04DD10"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1A17744"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3A695E58"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77552C5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1993AFD3" w14:textId="77777777" w:rsidR="004F0491" w:rsidRPr="003A3742" w:rsidRDefault="004F0491" w:rsidP="004F0491">
      <w:pPr>
        <w:rPr>
          <w:rFonts w:asciiTheme="majorBidi" w:hAnsiTheme="majorBidi" w:cstheme="majorBidi"/>
          <w:sz w:val="24"/>
          <w:szCs w:val="24"/>
          <w:rtl/>
        </w:rPr>
      </w:pPr>
    </w:p>
    <w:p w14:paraId="51CCE26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3C17795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بوصفه قرينة عملية على قيام العناية. وهذا يتسق مع الاتجاهات المؤسسية في حوكمة الذكاء الاصطناعي التي تؤكد على التنظيم والتوثيق ووضوح الأدوار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5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6B95ECB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71A735F1"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36CD5C5B"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7F5CE7FF"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2A3D12C8"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040640ED"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6D587D7E" w14:textId="7EF57566"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56FBBBC6" w14:textId="2CE3242B"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125F8F26" w14:textId="77777777" w:rsidR="00FE66C9" w:rsidRDefault="00FE66C9" w:rsidP="00CF67E5">
      <w:pPr>
        <w:jc w:val="center"/>
        <w:rPr>
          <w:rFonts w:asciiTheme="majorBidi" w:hAnsiTheme="majorBidi" w:cstheme="majorBidi"/>
          <w:sz w:val="24"/>
          <w:szCs w:val="24"/>
        </w:rPr>
      </w:pPr>
    </w:p>
    <w:p w14:paraId="38A68C31" w14:textId="77777777" w:rsidR="00CF67E5" w:rsidRDefault="00CF67E5" w:rsidP="00CF67E5">
      <w:pPr>
        <w:jc w:val="center"/>
        <w:rPr>
          <w:b/>
          <w:bCs/>
        </w:rPr>
      </w:pPr>
      <w:r>
        <w:rPr>
          <w:rFonts w:hint="cs"/>
          <w:b/>
          <w:bCs/>
          <w:sz w:val="32"/>
          <w:szCs w:val="32"/>
          <w:rtl/>
        </w:rPr>
        <w:t>المطلب الثاني</w:t>
      </w:r>
    </w:p>
    <w:p w14:paraId="685CF4B0" w14:textId="77777777" w:rsidR="00CF67E5" w:rsidRDefault="00CF67E5" w:rsidP="00CF67E5">
      <w:pPr>
        <w:jc w:val="center"/>
        <w:rPr>
          <w:b/>
          <w:bCs/>
        </w:rPr>
      </w:pPr>
      <w:r>
        <w:rPr>
          <w:rFonts w:hint="cs"/>
          <w:b/>
          <w:bCs/>
          <w:rtl/>
        </w:rPr>
        <w:t>مسؤولية المطوِّر، والمستخدم، ومقدِّم التقنية</w:t>
      </w:r>
    </w:p>
    <w:p w14:paraId="5123E951" w14:textId="77777777" w:rsidR="00CF67E5" w:rsidRDefault="00CF67E5" w:rsidP="00CF67E5">
      <w:pPr>
        <w:jc w:val="center"/>
        <w:rPr>
          <w:b/>
          <w:bCs/>
        </w:rPr>
      </w:pPr>
      <w:r>
        <w:rPr>
          <w:rFonts w:hint="cs"/>
          <w:b/>
          <w:bCs/>
          <w:rtl/>
        </w:rPr>
        <w:t>من المسؤولية الفردية إلى المسؤولية متعددة الأطراف</w:t>
      </w:r>
    </w:p>
    <w:p w14:paraId="69BA990C" w14:textId="77777777" w:rsidR="00CF67E5" w:rsidRDefault="00CF67E5" w:rsidP="00CF67E5"/>
    <w:p w14:paraId="368E4C48"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C1147B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 xml:space="preserve">في الفقه المعاصر، يذهب جانب من الفقه إلى أن تعقيد الخوارزميات يُفضي إلى ما يُعرف </w:t>
      </w:r>
      <w:proofErr w:type="gramStart"/>
      <w:r>
        <w:rPr>
          <w:rFonts w:asciiTheme="majorBidi" w:hAnsiTheme="majorBidi" w:cstheme="majorBidi"/>
          <w:sz w:val="24"/>
          <w:szCs w:val="24"/>
          <w:rtl/>
        </w:rPr>
        <w:t>بـ"</w:t>
      </w:r>
      <w:proofErr w:type="gramEnd"/>
      <w:r>
        <w:rPr>
          <w:rFonts w:asciiTheme="majorBidi" w:hAnsiTheme="majorBidi" w:cstheme="majorBidi"/>
          <w:sz w:val="24"/>
          <w:szCs w:val="24"/>
          <w:rtl/>
        </w:rPr>
        <w:t>تشتت الإسناد" (</w:t>
      </w:r>
      <w:proofErr w:type="spellStart"/>
      <w:r>
        <w:rPr>
          <w:rFonts w:asciiTheme="majorBidi" w:hAnsiTheme="majorBidi" w:cstheme="majorBidi"/>
          <w:sz w:val="24"/>
          <w:szCs w:val="24"/>
          <w:rtl/>
        </w:rPr>
        <w:t>Attribution</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Dispersion</w:t>
      </w:r>
      <w:proofErr w:type="spellEnd"/>
      <w:r>
        <w:rPr>
          <w:rFonts w:asciiTheme="majorBidi" w:hAnsiTheme="majorBidi" w:cstheme="majorBidi"/>
          <w:sz w:val="24"/>
          <w:szCs w:val="24"/>
          <w:rtl/>
        </w:rPr>
        <w:t>)، بحيث يصعب ردُّ الضرر إلى فاعل واحد محدد.</w:t>
      </w:r>
      <w:r>
        <w:rPr>
          <w:rFonts w:asciiTheme="majorBidi" w:hAnsiTheme="majorBidi" w:cstheme="majorBidi"/>
          <w:sz w:val="24"/>
          <w:szCs w:val="24"/>
          <w:vertAlign w:val="superscript"/>
          <w:rtl/>
        </w:rPr>
        <w:footnoteReference w:id="257"/>
      </w:r>
    </w:p>
    <w:p w14:paraId="0DF8FDF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وفي المقابل، يُؤكِّد جانب من الفقه أن هذا التشتت لا ينبغي أن يتحوَّل إلى وسيلة لإفراغ المسؤولية من مضمونها، بل يجب البحث عن الطرف الأقرب إلى السيطرة الفعلية على مصدر الخطر.</w:t>
      </w:r>
      <w:r>
        <w:rPr>
          <w:rFonts w:asciiTheme="majorBidi" w:hAnsiTheme="majorBidi" w:cstheme="majorBidi"/>
          <w:sz w:val="24"/>
          <w:szCs w:val="24"/>
          <w:vertAlign w:val="superscript"/>
          <w:rtl/>
        </w:rPr>
        <w:footnoteReference w:id="258"/>
      </w:r>
    </w:p>
    <w:p w14:paraId="2434A9D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1363F878" w14:textId="77777777" w:rsidR="00CF67E5" w:rsidRPr="00CF67E5" w:rsidRDefault="00CF67E5" w:rsidP="00CF67E5">
      <w:pPr>
        <w:jc w:val="right"/>
        <w:rPr>
          <w:rFonts w:asciiTheme="majorBidi" w:hAnsiTheme="majorBidi" w:cstheme="majorBidi"/>
          <w:sz w:val="24"/>
          <w:szCs w:val="24"/>
        </w:rPr>
      </w:pPr>
    </w:p>
    <w:p w14:paraId="7D3FCDE2"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أولًا: مسؤولية مطوِّر الخوارزمية — ثلاثة أوجه للمساءلة</w:t>
      </w:r>
    </w:p>
    <w:p w14:paraId="13CA637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Pr>
          <w:rFonts w:asciiTheme="majorBidi" w:hAnsiTheme="majorBidi" w:cstheme="majorBidi"/>
          <w:sz w:val="24"/>
          <w:szCs w:val="24"/>
          <w:vertAlign w:val="superscript"/>
          <w:rtl/>
        </w:rPr>
        <w:footnoteReference w:id="259"/>
      </w:r>
    </w:p>
    <w:p w14:paraId="5655C82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وتتوزع مسؤولية المطوِّر على ثلاثة أوجه جوهرية:</w:t>
      </w:r>
    </w:p>
    <w:p w14:paraId="33EB914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عيب التصميم (</w:t>
      </w:r>
      <w:proofErr w:type="spellStart"/>
      <w:r>
        <w:rPr>
          <w:rFonts w:asciiTheme="majorBidi" w:hAnsiTheme="majorBidi" w:cstheme="majorBidi"/>
          <w:b/>
          <w:bCs/>
          <w:sz w:val="24"/>
          <w:szCs w:val="24"/>
          <w:rtl/>
        </w:rPr>
        <w:t>Structural</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Defect</w:t>
      </w:r>
      <w:proofErr w:type="spellEnd"/>
      <w:r>
        <w:rPr>
          <w:rFonts w:asciiTheme="majorBidi" w:hAnsiTheme="majorBidi" w:cstheme="majorBidi"/>
          <w:b/>
          <w:bCs/>
          <w:sz w:val="24"/>
          <w:szCs w:val="24"/>
          <w:rtl/>
        </w:rPr>
        <w:t xml:space="preserve">): </w:t>
      </w:r>
      <w:r>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Pr>
          <w:rFonts w:asciiTheme="majorBidi" w:hAnsiTheme="majorBidi" w:cstheme="majorBidi"/>
          <w:sz w:val="24"/>
          <w:szCs w:val="24"/>
          <w:vertAlign w:val="superscript"/>
          <w:rtl/>
        </w:rPr>
        <w:footnoteReference w:id="260"/>
      </w:r>
    </w:p>
    <w:p w14:paraId="6F310AD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عيب التدريب والبيانات (</w:t>
      </w:r>
      <w:proofErr w:type="spellStart"/>
      <w:r>
        <w:rPr>
          <w:rFonts w:asciiTheme="majorBidi" w:hAnsiTheme="majorBidi" w:cstheme="majorBidi"/>
          <w:b/>
          <w:bCs/>
          <w:sz w:val="24"/>
          <w:szCs w:val="24"/>
          <w:rtl/>
        </w:rPr>
        <w:t>Training</w:t>
      </w:r>
      <w:proofErr w:type="spellEnd"/>
      <w:r>
        <w:rPr>
          <w:rFonts w:asciiTheme="majorBidi" w:hAnsiTheme="majorBidi" w:cstheme="majorBidi"/>
          <w:b/>
          <w:bCs/>
          <w:sz w:val="24"/>
          <w:szCs w:val="24"/>
          <w:rtl/>
        </w:rPr>
        <w:t>/</w:t>
      </w:r>
      <w:proofErr w:type="spellStart"/>
      <w:r>
        <w:rPr>
          <w:rFonts w:asciiTheme="majorBidi" w:hAnsiTheme="majorBidi" w:cstheme="majorBidi"/>
          <w:b/>
          <w:bCs/>
          <w:sz w:val="24"/>
          <w:szCs w:val="24"/>
          <w:rtl/>
        </w:rPr>
        <w:t>Data</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Defect</w:t>
      </w:r>
      <w:proofErr w:type="spellEnd"/>
      <w:r>
        <w:rPr>
          <w:rFonts w:asciiTheme="majorBidi" w:hAnsiTheme="majorBidi" w:cstheme="majorBidi"/>
          <w:b/>
          <w:bCs/>
          <w:sz w:val="24"/>
          <w:szCs w:val="24"/>
          <w:rtl/>
        </w:rPr>
        <w:t xml:space="preserve">): </w:t>
      </w:r>
      <w:r>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477A915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قصور التحذير والإفصاح (</w:t>
      </w:r>
      <w:proofErr w:type="spellStart"/>
      <w:r>
        <w:rPr>
          <w:rFonts w:asciiTheme="majorBidi" w:hAnsiTheme="majorBidi" w:cstheme="majorBidi"/>
          <w:b/>
          <w:bCs/>
          <w:sz w:val="24"/>
          <w:szCs w:val="24"/>
          <w:rtl/>
        </w:rPr>
        <w:t>Duty</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to</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Warn</w:t>
      </w:r>
      <w:proofErr w:type="spellEnd"/>
      <w:r>
        <w:rPr>
          <w:rFonts w:asciiTheme="majorBidi" w:hAnsiTheme="majorBidi" w:cstheme="majorBidi"/>
          <w:b/>
          <w:bCs/>
          <w:sz w:val="24"/>
          <w:szCs w:val="24"/>
          <w:rtl/>
        </w:rPr>
        <w:t xml:space="preserve">): </w:t>
      </w:r>
      <w:r>
        <w:rPr>
          <w:rFonts w:asciiTheme="majorBidi" w:hAnsiTheme="majorBidi" w:cstheme="majorBidi"/>
          <w:sz w:val="24"/>
          <w:szCs w:val="24"/>
          <w:rtl/>
        </w:rPr>
        <w:t xml:space="preserve">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w:t>
      </w:r>
      <w:proofErr w:type="spellStart"/>
      <w:r>
        <w:rPr>
          <w:rFonts w:asciiTheme="majorBidi" w:hAnsiTheme="majorBidi" w:cstheme="majorBidi"/>
          <w:sz w:val="24"/>
          <w:szCs w:val="24"/>
          <w:rtl/>
        </w:rPr>
        <w:t>لسدايا</w:t>
      </w:r>
      <w:proofErr w:type="spellEnd"/>
      <w:r>
        <w:rPr>
          <w:rFonts w:asciiTheme="majorBidi" w:hAnsiTheme="majorBidi" w:cstheme="majorBidi"/>
          <w:sz w:val="24"/>
          <w:szCs w:val="24"/>
          <w:rtl/>
        </w:rPr>
        <w:t>.</w:t>
      </w:r>
      <w:r>
        <w:rPr>
          <w:rFonts w:asciiTheme="majorBidi" w:hAnsiTheme="majorBidi" w:cstheme="majorBidi"/>
          <w:sz w:val="24"/>
          <w:szCs w:val="24"/>
          <w:vertAlign w:val="superscript"/>
          <w:rtl/>
        </w:rPr>
        <w:footnoteReference w:id="261"/>
      </w:r>
    </w:p>
    <w:p w14:paraId="44273E9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وبذلك تشمل مسؤولية المطوِّر ثلاثة مستويات: سلامة البنية (</w:t>
      </w:r>
      <w:proofErr w:type="spellStart"/>
      <w:r>
        <w:rPr>
          <w:rFonts w:asciiTheme="majorBidi" w:hAnsiTheme="majorBidi" w:cstheme="majorBidi"/>
          <w:sz w:val="24"/>
          <w:szCs w:val="24"/>
          <w:rtl/>
        </w:rPr>
        <w:t>Design</w:t>
      </w:r>
      <w:proofErr w:type="spellEnd"/>
      <w:r>
        <w:rPr>
          <w:rFonts w:asciiTheme="majorBidi" w:hAnsiTheme="majorBidi" w:cstheme="majorBidi"/>
          <w:sz w:val="24"/>
          <w:szCs w:val="24"/>
          <w:rtl/>
        </w:rPr>
        <w:t>)، وسلامة المعرفة (</w:t>
      </w:r>
      <w:proofErr w:type="spellStart"/>
      <w:r>
        <w:rPr>
          <w:rFonts w:asciiTheme="majorBidi" w:hAnsiTheme="majorBidi" w:cstheme="majorBidi"/>
          <w:sz w:val="24"/>
          <w:szCs w:val="24"/>
          <w:rtl/>
        </w:rPr>
        <w:t>Training</w:t>
      </w:r>
      <w:proofErr w:type="spellEnd"/>
      <w:r>
        <w:rPr>
          <w:rFonts w:asciiTheme="majorBidi" w:hAnsiTheme="majorBidi" w:cstheme="majorBidi"/>
          <w:sz w:val="24"/>
          <w:szCs w:val="24"/>
          <w:rtl/>
        </w:rPr>
        <w:t>/</w:t>
      </w:r>
      <w:proofErr w:type="spellStart"/>
      <w:r>
        <w:rPr>
          <w:rFonts w:asciiTheme="majorBidi" w:hAnsiTheme="majorBidi" w:cstheme="majorBidi"/>
          <w:sz w:val="24"/>
          <w:szCs w:val="24"/>
          <w:rtl/>
        </w:rPr>
        <w:t>Data</w:t>
      </w:r>
      <w:proofErr w:type="spellEnd"/>
      <w:r>
        <w:rPr>
          <w:rFonts w:asciiTheme="majorBidi" w:hAnsiTheme="majorBidi" w:cstheme="majorBidi"/>
          <w:sz w:val="24"/>
          <w:szCs w:val="24"/>
          <w:rtl/>
        </w:rPr>
        <w:t>)، وسلامة التوقعات (</w:t>
      </w:r>
      <w:proofErr w:type="spellStart"/>
      <w:r>
        <w:rPr>
          <w:rFonts w:asciiTheme="majorBidi" w:hAnsiTheme="majorBidi" w:cstheme="majorBidi"/>
          <w:sz w:val="24"/>
          <w:szCs w:val="24"/>
          <w:rtl/>
        </w:rPr>
        <w:t>Disclosure</w:t>
      </w:r>
      <w:proofErr w:type="spellEnd"/>
      <w:r>
        <w:rPr>
          <w:rFonts w:asciiTheme="majorBidi" w:hAnsiTheme="majorBidi" w:cstheme="majorBidi"/>
          <w:sz w:val="24"/>
          <w:szCs w:val="24"/>
          <w:rtl/>
        </w:rPr>
        <w:t>/</w:t>
      </w:r>
      <w:proofErr w:type="spellStart"/>
      <w:r>
        <w:rPr>
          <w:rFonts w:asciiTheme="majorBidi" w:hAnsiTheme="majorBidi" w:cstheme="majorBidi"/>
          <w:sz w:val="24"/>
          <w:szCs w:val="24"/>
          <w:rtl/>
        </w:rPr>
        <w:t>Warn</w:t>
      </w:r>
      <w:proofErr w:type="spellEnd"/>
      <w:r>
        <w:rPr>
          <w:rFonts w:asciiTheme="majorBidi" w:hAnsiTheme="majorBidi" w:cstheme="majorBidi"/>
          <w:sz w:val="24"/>
          <w:szCs w:val="24"/>
          <w:rtl/>
        </w:rPr>
        <w:t>)؛ لأن الضرر القانوني لا ينتج فقط من خطأ الحساب، بل من خداع الثقة المهنية بمنتج يُظهر "يقينًا" وهو في الحقيقة "ترجيح لغوي".</w:t>
      </w:r>
    </w:p>
    <w:p w14:paraId="30988A89" w14:textId="77777777" w:rsidR="00CF67E5" w:rsidRPr="00CF67E5" w:rsidRDefault="00CF67E5" w:rsidP="00CF67E5">
      <w:pPr>
        <w:jc w:val="right"/>
        <w:rPr>
          <w:rFonts w:asciiTheme="majorBidi" w:hAnsiTheme="majorBidi" w:cstheme="majorBidi"/>
          <w:sz w:val="24"/>
          <w:szCs w:val="24"/>
        </w:rPr>
      </w:pPr>
    </w:p>
    <w:p w14:paraId="67076A48"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ثانيًا: مسؤولية مقدِّم التقنية — من تشغيل المنصة إلى حراسة البيانات</w:t>
      </w:r>
    </w:p>
    <w:p w14:paraId="2285350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جانب من الفقه إلى أن توسيع دائرة المسؤولية لتشمل جهات تطوير الأنظمة الذكية ومقدمي المنصات التقنية يُعدُّ اتجاهًا تشريعيًا متناميًا في عدد من الأنظمة المقارنة.</w:t>
      </w:r>
      <w:r>
        <w:rPr>
          <w:rFonts w:asciiTheme="majorBidi" w:hAnsiTheme="majorBidi" w:cstheme="majorBidi"/>
          <w:sz w:val="24"/>
          <w:szCs w:val="24"/>
          <w:vertAlign w:val="superscript"/>
          <w:rtl/>
        </w:rPr>
        <w:footnoteReference w:id="262"/>
      </w:r>
    </w:p>
    <w:p w14:paraId="6B513F5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مقدِّم التقنية في ثلاثة محاور:</w:t>
      </w:r>
    </w:p>
    <w:p w14:paraId="26F6C91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lastRenderedPageBreak/>
        <w:t xml:space="preserve">أمن البيانات وسريتها: </w:t>
      </w:r>
      <w:r>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Pr>
          <w:rFonts w:asciiTheme="majorBidi" w:hAnsiTheme="majorBidi" w:cstheme="majorBidi"/>
          <w:sz w:val="24"/>
          <w:szCs w:val="24"/>
          <w:vertAlign w:val="superscript"/>
          <w:rtl/>
        </w:rPr>
        <w:footnoteReference w:id="263"/>
      </w:r>
    </w:p>
    <w:p w14:paraId="648E2A7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سلامة التشغيل والاعتمادية: </w:t>
      </w:r>
      <w:r>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Pr>
          <w:rFonts w:asciiTheme="majorBidi" w:hAnsiTheme="majorBidi" w:cstheme="majorBidi"/>
          <w:sz w:val="24"/>
          <w:szCs w:val="24"/>
          <w:vertAlign w:val="superscript"/>
          <w:rtl/>
        </w:rPr>
        <w:footnoteReference w:id="264"/>
      </w:r>
    </w:p>
    <w:p w14:paraId="3D00C5C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حدود شروط الإعفاء التعاقدية: </w:t>
      </w:r>
      <w:r>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61B0C20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55116D99" w14:textId="77777777" w:rsidR="00CF67E5" w:rsidRPr="00CF67E5" w:rsidRDefault="00CF67E5" w:rsidP="00CF67E5">
      <w:pPr>
        <w:jc w:val="right"/>
        <w:rPr>
          <w:rFonts w:asciiTheme="majorBidi" w:hAnsiTheme="majorBidi" w:cstheme="majorBidi"/>
          <w:sz w:val="24"/>
          <w:szCs w:val="24"/>
        </w:rPr>
      </w:pPr>
    </w:p>
    <w:p w14:paraId="18A6709C"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ثالثًا: مسؤولية المستخدم المهني وفق معيار الرقابة الفعلية وقابلية الاكتشاف</w:t>
      </w:r>
    </w:p>
    <w:p w14:paraId="443AC4F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Pr>
          <w:rFonts w:asciiTheme="majorBidi" w:hAnsiTheme="majorBidi" w:cstheme="majorBidi"/>
          <w:sz w:val="24"/>
          <w:szCs w:val="24"/>
          <w:vertAlign w:val="superscript"/>
          <w:rtl/>
        </w:rPr>
        <w:footnoteReference w:id="265"/>
      </w:r>
    </w:p>
    <w:p w14:paraId="1DA3560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Pr>
          <w:rFonts w:asciiTheme="majorBidi" w:hAnsiTheme="majorBidi" w:cstheme="majorBidi"/>
          <w:sz w:val="24"/>
          <w:szCs w:val="24"/>
          <w:vertAlign w:val="superscript"/>
          <w:rtl/>
        </w:rPr>
        <w:footnoteReference w:id="266"/>
      </w:r>
    </w:p>
    <w:p w14:paraId="1E29298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الخطأ الظاهر: </w:t>
      </w:r>
      <w:r>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2C2A329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الخلل الخفي البنيوي: </w:t>
      </w:r>
      <w:r>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69E2FCC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44085428" w14:textId="77777777" w:rsidR="00CF67E5" w:rsidRPr="00CF67E5" w:rsidRDefault="00CF67E5" w:rsidP="00CF67E5">
      <w:pPr>
        <w:jc w:val="right"/>
        <w:rPr>
          <w:rFonts w:asciiTheme="majorBidi" w:hAnsiTheme="majorBidi" w:cstheme="majorBidi"/>
          <w:sz w:val="24"/>
          <w:szCs w:val="24"/>
        </w:rPr>
      </w:pPr>
    </w:p>
    <w:p w14:paraId="0E9151A9"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رابعًا: التضامن والنسبية في توزيع المسؤولية — ثلاث مدارس للإسناد</w:t>
      </w:r>
    </w:p>
    <w:p w14:paraId="77F66CA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Pr>
          <w:rFonts w:asciiTheme="majorBidi" w:hAnsiTheme="majorBidi" w:cstheme="majorBidi"/>
          <w:sz w:val="24"/>
          <w:szCs w:val="24"/>
          <w:vertAlign w:val="superscript"/>
          <w:rtl/>
        </w:rPr>
        <w:footnoteReference w:id="267"/>
      </w:r>
    </w:p>
    <w:p w14:paraId="43B4101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مدرسة الإسناد إلى صاحب الاعتماد النهائي (</w:t>
      </w:r>
      <w:proofErr w:type="spellStart"/>
      <w:r>
        <w:rPr>
          <w:rFonts w:asciiTheme="majorBidi" w:hAnsiTheme="majorBidi" w:cstheme="majorBidi"/>
          <w:b/>
          <w:bCs/>
          <w:sz w:val="24"/>
          <w:szCs w:val="24"/>
          <w:rtl/>
        </w:rPr>
        <w:t>Decision-based</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liability</w:t>
      </w:r>
      <w:proofErr w:type="spellEnd"/>
      <w:r>
        <w:rPr>
          <w:rFonts w:asciiTheme="majorBidi" w:hAnsiTheme="majorBidi" w:cstheme="majorBidi"/>
          <w:b/>
          <w:bCs/>
          <w:sz w:val="24"/>
          <w:szCs w:val="24"/>
          <w:rtl/>
        </w:rPr>
        <w:t xml:space="preserve">): </w:t>
      </w:r>
      <w:r>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Pr>
          <w:rFonts w:asciiTheme="majorBidi" w:hAnsiTheme="majorBidi" w:cstheme="majorBidi"/>
          <w:sz w:val="24"/>
          <w:szCs w:val="24"/>
          <w:vertAlign w:val="superscript"/>
          <w:rtl/>
        </w:rPr>
        <w:footnoteReference w:id="268"/>
      </w:r>
    </w:p>
    <w:p w14:paraId="6DDA749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مدرسة الإسناد إلى صاحب التصميم (</w:t>
      </w:r>
      <w:proofErr w:type="spellStart"/>
      <w:r>
        <w:rPr>
          <w:rFonts w:asciiTheme="majorBidi" w:hAnsiTheme="majorBidi" w:cstheme="majorBidi"/>
          <w:b/>
          <w:bCs/>
          <w:sz w:val="24"/>
          <w:szCs w:val="24"/>
          <w:rtl/>
        </w:rPr>
        <w:t>Design-based</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liability</w:t>
      </w:r>
      <w:proofErr w:type="spellEnd"/>
      <w:r>
        <w:rPr>
          <w:rFonts w:asciiTheme="majorBidi" w:hAnsiTheme="majorBidi" w:cstheme="majorBidi"/>
          <w:b/>
          <w:bCs/>
          <w:sz w:val="24"/>
          <w:szCs w:val="24"/>
          <w:rtl/>
        </w:rPr>
        <w:t xml:space="preserve">): </w:t>
      </w:r>
      <w:r>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Pr>
          <w:rFonts w:asciiTheme="majorBidi" w:hAnsiTheme="majorBidi" w:cstheme="majorBidi"/>
          <w:sz w:val="24"/>
          <w:szCs w:val="24"/>
          <w:vertAlign w:val="superscript"/>
          <w:rtl/>
        </w:rPr>
        <w:footnoteReference w:id="269"/>
      </w:r>
    </w:p>
    <w:p w14:paraId="70B8633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مدرسة السيطرة والرقابة الفعلية (</w:t>
      </w:r>
      <w:proofErr w:type="spellStart"/>
      <w:r>
        <w:rPr>
          <w:rFonts w:asciiTheme="majorBidi" w:hAnsiTheme="majorBidi" w:cstheme="majorBidi"/>
          <w:b/>
          <w:bCs/>
          <w:sz w:val="24"/>
          <w:szCs w:val="24"/>
          <w:rtl/>
        </w:rPr>
        <w:t>Control-based</w:t>
      </w:r>
      <w:proofErr w:type="spellEnd"/>
      <w:r>
        <w:rPr>
          <w:rFonts w:asciiTheme="majorBidi" w:hAnsiTheme="majorBidi" w:cstheme="majorBidi"/>
          <w:b/>
          <w:bCs/>
          <w:sz w:val="24"/>
          <w:szCs w:val="24"/>
          <w:rtl/>
        </w:rPr>
        <w:t xml:space="preserve"> </w:t>
      </w:r>
      <w:proofErr w:type="spellStart"/>
      <w:r>
        <w:rPr>
          <w:rFonts w:asciiTheme="majorBidi" w:hAnsiTheme="majorBidi" w:cstheme="majorBidi"/>
          <w:b/>
          <w:bCs/>
          <w:sz w:val="24"/>
          <w:szCs w:val="24"/>
          <w:rtl/>
        </w:rPr>
        <w:t>liability</w:t>
      </w:r>
      <w:proofErr w:type="spellEnd"/>
      <w:r>
        <w:rPr>
          <w:rFonts w:asciiTheme="majorBidi" w:hAnsiTheme="majorBidi" w:cstheme="majorBidi"/>
          <w:b/>
          <w:bCs/>
          <w:sz w:val="24"/>
          <w:szCs w:val="24"/>
          <w:rtl/>
        </w:rPr>
        <w:t xml:space="preserve">) — المدرسة الراجحة: </w:t>
      </w:r>
      <w:r>
        <w:rPr>
          <w:rFonts w:asciiTheme="majorBidi" w:hAnsiTheme="majorBidi" w:cstheme="majorBidi"/>
          <w:sz w:val="24"/>
          <w:szCs w:val="24"/>
          <w:rtl/>
        </w:rPr>
        <w:t xml:space="preserve">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w:t>
      </w:r>
      <w:r>
        <w:rPr>
          <w:rFonts w:asciiTheme="majorBidi" w:hAnsiTheme="majorBidi" w:cstheme="majorBidi"/>
          <w:sz w:val="24"/>
          <w:szCs w:val="24"/>
          <w:vertAlign w:val="superscript"/>
          <w:rtl/>
        </w:rPr>
        <w:footnoteReference w:id="270"/>
      </w:r>
    </w:p>
    <w:p w14:paraId="6CC3B14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2A7447A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49EDDCA9" w14:textId="77777777" w:rsidR="00CF67E5" w:rsidRPr="00CF67E5" w:rsidRDefault="00CF67E5" w:rsidP="00CF67E5">
      <w:pPr>
        <w:jc w:val="right"/>
        <w:rPr>
          <w:rFonts w:asciiTheme="majorBidi" w:hAnsiTheme="majorBidi" w:cstheme="majorBidi"/>
          <w:sz w:val="24"/>
          <w:szCs w:val="24"/>
        </w:rPr>
      </w:pPr>
    </w:p>
    <w:p w14:paraId="45371710"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 xml:space="preserve">خامسًا: التجربة الأوروبية مرجعًا مقارنًا — قانون الذكاء الاصطناعي (EU AI </w:t>
      </w:r>
      <w:proofErr w:type="spellStart"/>
      <w:r>
        <w:rPr>
          <w:rFonts w:asciiTheme="majorBidi" w:hAnsiTheme="majorBidi" w:cstheme="majorBidi"/>
          <w:b/>
          <w:bCs/>
          <w:sz w:val="24"/>
          <w:szCs w:val="24"/>
          <w:rtl/>
        </w:rPr>
        <w:t>Act</w:t>
      </w:r>
      <w:proofErr w:type="spellEnd"/>
      <w:r>
        <w:rPr>
          <w:rFonts w:asciiTheme="majorBidi" w:hAnsiTheme="majorBidi" w:cstheme="majorBidi"/>
          <w:b/>
          <w:bCs/>
          <w:sz w:val="24"/>
          <w:szCs w:val="24"/>
          <w:rtl/>
        </w:rPr>
        <w:t xml:space="preserve"> 2024)</w:t>
      </w:r>
    </w:p>
    <w:p w14:paraId="6D7C883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Pr>
          <w:rFonts w:asciiTheme="majorBidi" w:hAnsiTheme="majorBidi" w:cstheme="majorBidi"/>
          <w:sz w:val="24"/>
          <w:szCs w:val="24"/>
          <w:vertAlign w:val="superscript"/>
          <w:rtl/>
        </w:rPr>
        <w:footnoteReference w:id="271"/>
      </w:r>
    </w:p>
    <w:p w14:paraId="5D82AA2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وتكشف التجربة الأوروبية عن ثلاثة دروس جوهرية للمنظومة السعودية:</w:t>
      </w:r>
    </w:p>
    <w:p w14:paraId="78C683E3" w14:textId="77777777" w:rsidR="00CF67E5" w:rsidRPr="00CF67E5" w:rsidRDefault="00CF67E5" w:rsidP="00A02FE3">
      <w:pPr>
        <w:bidi/>
        <w:spacing w:line="259" w:lineRule="auto"/>
        <w:ind w:left="360"/>
        <w:rPr>
          <w:rFonts w:asciiTheme="majorBidi" w:hAnsiTheme="majorBidi" w:cstheme="majorBidi"/>
          <w:sz w:val="24"/>
          <w:szCs w:val="24"/>
        </w:rPr>
      </w:pPr>
      <w:r>
        <w:rPr>
          <w:rFonts w:asciiTheme="majorBidi" w:hAnsiTheme="majorBidi" w:cstheme="majorBidi"/>
          <w:sz w:val="24"/>
          <w:szCs w:val="24"/>
          <w:rtl/>
        </w:rPr>
        <w:lastRenderedPageBreak/>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Pr>
          <w:rFonts w:asciiTheme="majorBidi" w:hAnsiTheme="majorBidi" w:cstheme="majorBidi"/>
          <w:sz w:val="24"/>
          <w:szCs w:val="24"/>
          <w:vertAlign w:val="superscript"/>
          <w:rtl/>
        </w:rPr>
        <w:footnoteReference w:id="272"/>
      </w:r>
    </w:p>
    <w:p w14:paraId="72BEA6F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Pr>
          <w:rFonts w:asciiTheme="majorBidi" w:hAnsiTheme="majorBidi" w:cstheme="majorBidi"/>
          <w:sz w:val="24"/>
          <w:szCs w:val="24"/>
          <w:vertAlign w:val="superscript"/>
          <w:rtl/>
        </w:rPr>
        <w:footnoteReference w:id="273"/>
      </w:r>
    </w:p>
    <w:p w14:paraId="1718CD6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2D8D3A72"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Pr>
          <w:rFonts w:asciiTheme="majorBidi" w:hAnsiTheme="majorBidi" w:cstheme="majorBidi"/>
          <w:sz w:val="24"/>
          <w:szCs w:val="24"/>
          <w:vertAlign w:val="superscript"/>
          <w:rtl/>
        </w:rPr>
        <w:footnoteReference w:id="274"/>
      </w:r>
    </w:p>
    <w:p w14:paraId="1E07E036" w14:textId="77777777" w:rsidR="00CF67E5" w:rsidRPr="00CF67E5" w:rsidRDefault="00CF67E5" w:rsidP="00CF67E5">
      <w:pPr>
        <w:jc w:val="right"/>
        <w:rPr>
          <w:rFonts w:asciiTheme="majorBidi" w:hAnsiTheme="majorBidi" w:cstheme="majorBidi"/>
          <w:sz w:val="24"/>
          <w:szCs w:val="24"/>
        </w:rPr>
      </w:pPr>
    </w:p>
    <w:p w14:paraId="2F314552"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سادسًا: نحو تصور تنظيمي متوازن في السياق السعودي</w:t>
      </w:r>
    </w:p>
    <w:p w14:paraId="103D1C21"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 xml:space="preserve">في ضوء التحليل السابق للمنظومة النظامية السعودية القائمة — نظام المعاملات المدنية، ونظام حماية البيانات الشخصية، ومبادئ الحوكمة الوطنية </w:t>
      </w:r>
      <w:proofErr w:type="spellStart"/>
      <w:r>
        <w:rPr>
          <w:rFonts w:asciiTheme="majorBidi" w:hAnsiTheme="majorBidi" w:cstheme="majorBidi"/>
          <w:sz w:val="24"/>
          <w:szCs w:val="24"/>
          <w:rtl/>
        </w:rPr>
        <w:t>لسدايا</w:t>
      </w:r>
      <w:proofErr w:type="spellEnd"/>
      <w:r>
        <w:rPr>
          <w:rFonts w:asciiTheme="majorBidi" w:hAnsiTheme="majorBidi" w:cstheme="majorBidi"/>
          <w:sz w:val="24"/>
          <w:szCs w:val="24"/>
          <w:rtl/>
        </w:rPr>
        <w:t xml:space="preserve"> — يقترح الباحث تصورًا تنظيميًا يقوم على خمسة محاور:</w:t>
      </w:r>
      <w:r>
        <w:rPr>
          <w:rFonts w:asciiTheme="majorBidi" w:hAnsiTheme="majorBidi" w:cstheme="majorBidi"/>
          <w:sz w:val="24"/>
          <w:szCs w:val="24"/>
          <w:vertAlign w:val="superscript"/>
          <w:rtl/>
        </w:rPr>
        <w:footnoteReference w:id="275"/>
      </w:r>
    </w:p>
    <w:p w14:paraId="136CE074"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52EB7A09"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Pr>
          <w:rFonts w:asciiTheme="majorBidi" w:hAnsiTheme="majorBidi" w:cstheme="majorBidi"/>
          <w:sz w:val="24"/>
          <w:szCs w:val="24"/>
          <w:vertAlign w:val="superscript"/>
          <w:rtl/>
        </w:rPr>
        <w:footnoteReference w:id="276"/>
      </w:r>
    </w:p>
    <w:p w14:paraId="2EB59871"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Pr>
          <w:rFonts w:asciiTheme="majorBidi" w:hAnsiTheme="majorBidi" w:cstheme="majorBidi"/>
          <w:sz w:val="24"/>
          <w:szCs w:val="24"/>
          <w:vertAlign w:val="superscript"/>
          <w:rtl/>
        </w:rPr>
        <w:footnoteReference w:id="277"/>
      </w:r>
    </w:p>
    <w:p w14:paraId="07A5F37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047A73A7"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lastRenderedPageBreak/>
        <w:t>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Pr>
          <w:rFonts w:asciiTheme="majorBidi" w:hAnsiTheme="majorBidi" w:cstheme="majorBidi"/>
          <w:sz w:val="24"/>
          <w:szCs w:val="24"/>
          <w:vertAlign w:val="superscript"/>
          <w:rtl/>
        </w:rPr>
        <w:footnoteReference w:id="278"/>
      </w:r>
    </w:p>
    <w:p w14:paraId="68B38975" w14:textId="77777777" w:rsidR="00CF67E5" w:rsidRPr="00CF67E5" w:rsidRDefault="00CF67E5" w:rsidP="00A02FE3">
      <w:pPr>
        <w:jc w:val="right"/>
        <w:rPr>
          <w:rFonts w:asciiTheme="majorBidi" w:hAnsiTheme="majorBidi" w:cstheme="majorBidi"/>
          <w:sz w:val="24"/>
          <w:szCs w:val="24"/>
        </w:rPr>
      </w:pPr>
      <w:r>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4AAD4BC2" w14:textId="77777777" w:rsidR="00CF67E5" w:rsidRPr="00CF67E5" w:rsidRDefault="00CF67E5" w:rsidP="00A02FE3">
      <w:pPr>
        <w:jc w:val="right"/>
        <w:rPr>
          <w:rFonts w:asciiTheme="majorBidi" w:hAnsiTheme="majorBidi" w:cstheme="majorBidi"/>
          <w:sz w:val="24"/>
          <w:szCs w:val="24"/>
        </w:rPr>
      </w:pPr>
    </w:p>
    <w:p w14:paraId="3A296FD5" w14:textId="6444556F"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7306E912" w14:textId="12EA4891" w:rsidR="00CF598B" w:rsidRPr="00AA1B4E" w:rsidRDefault="00CF67E5" w:rsidP="00A02FE3">
      <w:pPr>
        <w:jc w:val="right"/>
        <w:rPr>
          <w:rFonts w:asciiTheme="majorBidi" w:hAnsiTheme="majorBidi" w:cstheme="majorBidi"/>
          <w:sz w:val="24"/>
          <w:szCs w:val="24"/>
        </w:rPr>
      </w:pPr>
      <w:r>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5D6B2710" w14:textId="595245C0"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4166754C" w14:textId="370EB251"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6A540D42" w14:textId="77777777" w:rsidR="00A02FE3" w:rsidRPr="003A3742" w:rsidRDefault="00A02FE3" w:rsidP="00CF598B">
      <w:pPr>
        <w:ind w:left="720"/>
        <w:jc w:val="right"/>
        <w:rPr>
          <w:rFonts w:asciiTheme="majorBidi" w:hAnsiTheme="majorBidi" w:cstheme="majorBidi"/>
          <w:sz w:val="24"/>
          <w:szCs w:val="24"/>
          <w:rtl/>
        </w:rPr>
      </w:pPr>
    </w:p>
    <w:p w14:paraId="743E822E" w14:textId="1CCA358E"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w:t>
      </w:r>
      <w:proofErr w:type="spellStart"/>
      <w:r>
        <w:rPr>
          <w:rFonts w:asciiTheme="majorBidi" w:hAnsiTheme="majorBidi" w:cstheme="majorBidi"/>
          <w:sz w:val="24"/>
          <w:szCs w:val="24"/>
          <w:rtl/>
        </w:rPr>
        <w:t>المفاهيمية</w:t>
      </w:r>
      <w:proofErr w:type="spellEnd"/>
      <w:r>
        <w:rPr>
          <w:rFonts w:asciiTheme="majorBidi" w:hAnsiTheme="majorBidi" w:cstheme="majorBidi"/>
          <w:sz w:val="24"/>
          <w:szCs w:val="24"/>
          <w:rtl/>
        </w:rPr>
        <w:t xml:space="preserve">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Pr>
          <w:rFonts w:asciiTheme="majorBidi" w:hAnsiTheme="majorBidi" w:cstheme="majorBidi" w:hint="cs"/>
          <w:sz w:val="24"/>
          <w:szCs w:val="24"/>
          <w:rtl/>
        </w:rPr>
        <w:t>.</w:t>
      </w:r>
    </w:p>
    <w:p w14:paraId="53A7E0A4"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لقد انتهى هذا الفصل</w:t>
      </w:r>
      <w:r>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6FBA73D9"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Pr>
          <w:rFonts w:asciiTheme="majorBidi" w:hAnsiTheme="majorBidi" w:cstheme="majorBidi" w:hint="cs"/>
          <w:sz w:val="24"/>
          <w:szCs w:val="24"/>
          <w:rtl/>
        </w:rPr>
        <w:t>ترى</w:t>
      </w:r>
      <w:r>
        <w:rPr>
          <w:rFonts w:asciiTheme="majorBidi" w:hAnsiTheme="majorBidi" w:cstheme="majorBidi"/>
          <w:sz w:val="24"/>
          <w:szCs w:val="24"/>
          <w:rtl/>
        </w:rPr>
        <w:t xml:space="preserve"> </w:t>
      </w:r>
      <w:r>
        <w:rPr>
          <w:rFonts w:asciiTheme="majorBidi" w:hAnsiTheme="majorBidi" w:cstheme="majorBidi" w:hint="cs"/>
          <w:sz w:val="24"/>
          <w:szCs w:val="24"/>
          <w:rtl/>
        </w:rPr>
        <w:t>الدراسات القانونية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79"/>
      </w:r>
    </w:p>
    <w:p w14:paraId="10ACE96E" w14:textId="77777777" w:rsidR="005705DD" w:rsidRDefault="005705DD" w:rsidP="000003D3">
      <w:pPr>
        <w:jc w:val="right"/>
        <w:rPr>
          <w:rFonts w:asciiTheme="majorBidi" w:hAnsiTheme="majorBidi" w:cstheme="majorBidi"/>
          <w:sz w:val="24"/>
          <w:szCs w:val="24"/>
          <w:rtl/>
        </w:rPr>
      </w:pPr>
    </w:p>
    <w:p w14:paraId="3377571D"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lastRenderedPageBreak/>
        <w:t>الفصل الثالث</w:t>
      </w:r>
    </w:p>
    <w:p w14:paraId="0455D578"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واقع وتحديات استخدام الذكاء الاصطناعي في مكاتب المحاماة</w:t>
      </w:r>
    </w:p>
    <w:p w14:paraId="6BEB1F94" w14:textId="77777777" w:rsidR="005705DD" w:rsidRDefault="005705DD" w:rsidP="005705DD"/>
    <w:p w14:paraId="36275971"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تمهيد الفصل</w:t>
      </w:r>
    </w:p>
    <w:p w14:paraId="1E9F1474" w14:textId="77777777" w:rsidR="005705DD" w:rsidRDefault="005705DD" w:rsidP="005705DD">
      <w:pPr>
        <w:bidi/>
        <w:spacing w:after="200" w:line="276" w:lineRule="auto"/>
        <w:rPr>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من جهة، ومناقشة التكييف القانوني والفقهي للمخرجات الذكية وتحديد المسؤولية المهنية المترتبة على توظيفها من جهة أخرى. وقد كشف هذا التحليل عن وجود فجوة تشريعية واضحة بين ما تفرزه التقنية من واقع ميداني متسارع وما توفره الأنظمة القائمة من إطار قانوني ضابط.</w:t>
      </w:r>
    </w:p>
    <w:p w14:paraId="57E055CB" w14:textId="77777777" w:rsidR="005705DD" w:rsidRDefault="005705DD" w:rsidP="005705DD">
      <w:pPr>
        <w:bidi/>
        <w:spacing w:after="200" w:line="276" w:lineRule="auto"/>
        <w:rPr>
          <w:rtl/>
        </w:rPr>
      </w:pPr>
      <w:r>
        <w:rPr>
          <w:rFonts w:asciiTheme="majorBidi" w:hAnsiTheme="majorBidi" w:cstheme="majorBidi"/>
          <w:sz w:val="24"/>
          <w:szCs w:val="24"/>
          <w:rtl/>
        </w:rPr>
        <w:t>ويأتي هذا الفصل ليقفز من المستوى التشريعي النظري إلى المستوى التطبيقي الميداني، إذ يتناول واقع استخدام تقنيات الذكاء الاصطناعي داخل مكاتب المحاماة السعودية فعلياً، ويرصد التطبيقات المهنية المعاصرة وأدوات التقنية المتداولة في السوق القانوني السعودي، ومدى توافق هذه الأدوات مع البيئة النظامية السائدة. ثم ينتقل إلى الجانب الأكثر تعقيداً وإشكاليةً، وهو أنماط الاستخدام الفردي غير المنظم لهذه التقنيات، وما يرتبه من مخاطر قانونية ومهنية في البيئة السعودية تحديداً.</w:t>
      </w:r>
    </w:p>
    <w:p w14:paraId="54483AAA" w14:textId="77777777" w:rsidR="005705DD" w:rsidRDefault="005705DD" w:rsidP="005705DD">
      <w:pPr>
        <w:bidi/>
        <w:spacing w:after="200" w:line="276" w:lineRule="auto"/>
        <w:rPr>
          <w:rtl/>
        </w:rPr>
      </w:pPr>
      <w:r>
        <w:rPr>
          <w:rFonts w:asciiTheme="majorBidi" w:hAnsiTheme="majorBidi" w:cstheme="majorBidi"/>
          <w:sz w:val="24"/>
          <w:szCs w:val="24"/>
          <w:rtl/>
        </w:rPr>
        <w:t>وتتجلى أهمية هذا الفصل في كونه يوفر قاعدة تجريبية واقعية للتصور التنظيمي المقترح الذي سيُعالجه الفصل الرابع، إذ لا يمكن اقتراح إطار قانوني لتنظيم ظاهرة ما دون الإحاطة الكافية بتفاصيل هذه الظاهرة ومحدداتها وإشكالياتها. كما يُعدّ هذا الفصل ثمرةً للتساؤل الثالث من تساؤلات الدراسة الذي يرصد واقع الاستخدام غير المنظم لتقنيات الذكاء الاصطناعي في المجال القانوني السعودي.</w:t>
      </w:r>
    </w:p>
    <w:p w14:paraId="71FF7781" w14:textId="77777777" w:rsidR="005705DD" w:rsidRDefault="005705DD" w:rsidP="005705DD">
      <w:pPr>
        <w:bidi/>
        <w:spacing w:after="200" w:line="276" w:lineRule="auto"/>
        <w:rPr>
          <w:rtl/>
        </w:rPr>
      </w:pPr>
      <w:r>
        <w:rPr>
          <w:rFonts w:asciiTheme="majorBidi" w:hAnsiTheme="majorBidi" w:cstheme="majorBidi"/>
          <w:sz w:val="24"/>
          <w:szCs w:val="24"/>
          <w:rtl/>
        </w:rPr>
        <w:t xml:space="preserve">ولا بد قبل الخوض في مضمون هذا الفصل من الوقوف عند تمييز مفاهيمي جوهري يُفتقر إليه في كثير من الأدبيات القانونية المعاصرة، وهو التمييز بين ثلاثة أصناف من التقنيات كثيراً ما تقع في دائرة واحدة خطأً، وهي: الذكاء الاصطناعي القانوني، والبرمجيات القانونية التقليدية، والعقود الذكية المرتبطة بتقنية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ويُعدّ هذا التمييز أساساً لا غنى عنه للتحليل القانوني الدقيق في هذا الفصل وما يليه.</w:t>
      </w:r>
    </w:p>
    <w:p w14:paraId="6ACD4334" w14:textId="77777777" w:rsidR="00F06D4D" w:rsidRDefault="00B6053A">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وبناءً على ما تقدم، انتظم هذا الفصل في ثلاثة مباحث: يتناول المبحث الأول التطبيقات المهنية المعاصرة في السعودية، ويعالج المبحث الثاني أنماط الاستخدام الفردي للتقنيات القانونية، ويعرض المبحث الثالث التحديات المستقبلية وآفاق تطوير المنظومة القانونية الرقمية. وقد وُحِّد أسلوب التوثيق في الفصل كله بالإحالة في الهوامش أسفل الصفحات، مع ذكر المرجع كاملاً في أول وروده ثم الاكتفاء بالإشارة إليه </w:t>
      </w:r>
      <w:proofErr w:type="gramStart"/>
      <w:r>
        <w:rPr>
          <w:rFonts w:asciiTheme="majorBidi" w:hAnsiTheme="majorBidi" w:cstheme="majorBidi"/>
          <w:sz w:val="24"/>
          <w:szCs w:val="24"/>
          <w:rtl/>
        </w:rPr>
        <w:t>بـ(</w:t>
      </w:r>
      <w:proofErr w:type="gramEnd"/>
      <w:r>
        <w:rPr>
          <w:rFonts w:asciiTheme="majorBidi" w:hAnsiTheme="majorBidi" w:cstheme="majorBidi"/>
          <w:sz w:val="24"/>
          <w:szCs w:val="24"/>
          <w:rtl/>
        </w:rPr>
        <w:t>مرجع سابق).</w:t>
      </w:r>
    </w:p>
    <w:p w14:paraId="70987158" w14:textId="77777777" w:rsidR="005705DD" w:rsidRDefault="005705DD" w:rsidP="005705DD"/>
    <w:p w14:paraId="234122F3"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4"/>
          <w:szCs w:val="24"/>
          <w:rtl/>
        </w:rPr>
        <w:t>أولاً: تمييز مفاهيمي ضروري — ثلاث تقنيات مختلفة يقع فيها الخلط</w:t>
      </w:r>
    </w:p>
    <w:p w14:paraId="14E68000" w14:textId="77777777" w:rsidR="005705DD" w:rsidRDefault="005705DD" w:rsidP="005705DD">
      <w:pPr>
        <w:bidi/>
        <w:spacing w:after="200" w:line="276" w:lineRule="auto"/>
        <w:rPr>
          <w:rtl/>
        </w:rPr>
      </w:pPr>
      <w:r>
        <w:rPr>
          <w:rFonts w:asciiTheme="majorBidi" w:hAnsiTheme="majorBidi" w:cstheme="majorBidi"/>
          <w:sz w:val="24"/>
          <w:szCs w:val="24"/>
          <w:rtl/>
        </w:rPr>
        <w:t>يُلاحظ أن كثيراً من الدراسات القانونية والأكاديمية العربية — وبعض التقارير المهنية — تقع في خلط مفاهيمي واضح حين تضع تحت مسمى "الذكاء الاصطناعي" ثلاثة أصناف من التقنيات تختلف اختلافاً جذرياً في طبيعتها وآلية عملها وحجم المخاطر القانونية التي تفرزها. ويتمثل هذا الخلط تحديداً في:</w:t>
      </w:r>
    </w:p>
    <w:p w14:paraId="69C92A8F" w14:textId="77777777" w:rsidR="005705DD" w:rsidRDefault="005705DD" w:rsidP="005705DD">
      <w:pPr>
        <w:bidi/>
        <w:spacing w:after="200" w:line="276" w:lineRule="auto"/>
        <w:rPr>
          <w:rtl/>
        </w:rPr>
      </w:pPr>
      <w:r>
        <w:rPr>
          <w:rFonts w:asciiTheme="majorBidi" w:hAnsiTheme="majorBidi" w:cstheme="majorBidi"/>
          <w:sz w:val="24"/>
          <w:szCs w:val="24"/>
          <w:rtl/>
        </w:rPr>
        <w:t xml:space="preserve">الصنف الأول: الذكاء الاصطناعي القانوني بصوره </w:t>
      </w:r>
      <w:proofErr w:type="spellStart"/>
      <w:r>
        <w:rPr>
          <w:rFonts w:asciiTheme="majorBidi" w:hAnsiTheme="majorBidi" w:cstheme="majorBidi"/>
          <w:sz w:val="24"/>
          <w:szCs w:val="24"/>
          <w:rtl/>
        </w:rPr>
        <w:t>التنبؤية</w:t>
      </w:r>
      <w:proofErr w:type="spellEnd"/>
      <w:r>
        <w:rPr>
          <w:rFonts w:asciiTheme="majorBidi" w:hAnsiTheme="majorBidi" w:cstheme="majorBidi"/>
          <w:sz w:val="24"/>
          <w:szCs w:val="24"/>
          <w:rtl/>
        </w:rPr>
        <w:t xml:space="preserve"> والتوليدية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AI — </w:t>
      </w:r>
      <w:proofErr w:type="spellStart"/>
      <w:r>
        <w:rPr>
          <w:rFonts w:asciiTheme="majorBidi" w:hAnsiTheme="majorBidi" w:cstheme="majorBidi"/>
          <w:sz w:val="24"/>
          <w:szCs w:val="24"/>
          <w:rtl/>
        </w:rPr>
        <w:t>Predictive</w:t>
      </w:r>
      <w:proofErr w:type="spellEnd"/>
      <w:r>
        <w:rPr>
          <w:rFonts w:asciiTheme="majorBidi" w:hAnsiTheme="majorBidi" w:cstheme="majorBidi"/>
          <w:sz w:val="24"/>
          <w:szCs w:val="24"/>
          <w:rtl/>
        </w:rPr>
        <w:t xml:space="preserve"> &amp; </w:t>
      </w:r>
      <w:proofErr w:type="spellStart"/>
      <w:r>
        <w:rPr>
          <w:rFonts w:asciiTheme="majorBidi" w:hAnsiTheme="majorBidi" w:cstheme="majorBidi"/>
          <w:sz w:val="24"/>
          <w:szCs w:val="24"/>
          <w:rtl/>
        </w:rPr>
        <w:t>Generative</w:t>
      </w:r>
      <w:proofErr w:type="spellEnd"/>
      <w:r>
        <w:rPr>
          <w:rFonts w:asciiTheme="majorBidi" w:hAnsiTheme="majorBidi" w:cstheme="majorBidi"/>
          <w:sz w:val="24"/>
          <w:szCs w:val="24"/>
          <w:rtl/>
        </w:rPr>
        <w:t>)، الذي يشمل أنظمة التعلم الآلي ونماذج اللغة الكبيرة (</w:t>
      </w:r>
      <w:proofErr w:type="spellStart"/>
      <w:r>
        <w:rPr>
          <w:rFonts w:asciiTheme="majorBidi" w:hAnsiTheme="majorBidi" w:cstheme="majorBidi"/>
          <w:sz w:val="24"/>
          <w:szCs w:val="24"/>
          <w:rtl/>
        </w:rPr>
        <w:t>Large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Language</w:t>
      </w:r>
      <w:proofErr w:type="spellEnd"/>
      <w:r>
        <w:rPr>
          <w:rFonts w:asciiTheme="majorBidi" w:hAnsiTheme="majorBidi" w:cstheme="majorBidi"/>
          <w:sz w:val="24"/>
          <w:szCs w:val="24"/>
          <w:rtl/>
        </w:rPr>
        <w:t xml:space="preserve"> Models) القادرة على تحليل بيانات ضخمة، واستنتاج أنماط، وتوليد نصوص قانونية جديدة، والتنبؤ بنتائج القضايا استناداً إلى السوابق القضائية. وهذا الصنف هو موضوع الدراسة في جوهره، وهو الذي يُفرز أصعب الإشكاليات القانونية وأكثرها تعقيداً.</w:t>
      </w:r>
    </w:p>
    <w:p w14:paraId="6572906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الصنف الثاني: البرمجيات القانونية التقليدية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Software</w:t>
      </w:r>
      <w:proofErr w:type="spellEnd"/>
      <w:r>
        <w:rPr>
          <w:rFonts w:asciiTheme="majorBidi" w:hAnsiTheme="majorBidi" w:cstheme="majorBidi"/>
          <w:sz w:val="24"/>
          <w:szCs w:val="24"/>
          <w:rtl/>
        </w:rPr>
        <w:t xml:space="preserve">)، التي تشمل أنظمة إدارة القضايا وتتبع المواعيد </w:t>
      </w:r>
      <w:proofErr w:type="spellStart"/>
      <w:r>
        <w:rPr>
          <w:rFonts w:asciiTheme="majorBidi" w:hAnsiTheme="majorBidi" w:cstheme="majorBidi"/>
          <w:sz w:val="24"/>
          <w:szCs w:val="24"/>
          <w:rtl/>
        </w:rPr>
        <w:t>والفوترة</w:t>
      </w:r>
      <w:proofErr w:type="spellEnd"/>
      <w:r>
        <w:rPr>
          <w:rFonts w:asciiTheme="majorBidi" w:hAnsiTheme="majorBidi" w:cstheme="majorBidi"/>
          <w:sz w:val="24"/>
          <w:szCs w:val="24"/>
          <w:rtl/>
        </w:rPr>
        <w:t xml:space="preserve"> وإدارة الوثائق. وهذه البرمجيات أدوات تنظيمية وإدارية لا تعتمد في جوهرها على التعلم الذاتي أو توليد المعرفة، وإن كانت بعضها يُدمج الآن وحداتٍ ذكية إضافية. والفارق الجوهري هنا أن البرنامج القانوني التقليدي يُنفذ تعليمات ثابتة ومبرمجة مسبقاً ولا يستخلص أنماطاً مستقلة ولا يولّد مضموناً جديداً من تلقاء نفسه.</w:t>
      </w:r>
    </w:p>
    <w:p w14:paraId="7719D0AC" w14:textId="77777777" w:rsidR="005705DD" w:rsidRDefault="005705DD" w:rsidP="005705DD">
      <w:pPr>
        <w:bidi/>
        <w:spacing w:after="200" w:line="276" w:lineRule="auto"/>
        <w:rPr>
          <w:rtl/>
        </w:rPr>
      </w:pPr>
      <w:r>
        <w:rPr>
          <w:rFonts w:asciiTheme="majorBidi" w:hAnsiTheme="majorBidi" w:cstheme="majorBidi"/>
          <w:sz w:val="24"/>
          <w:szCs w:val="24"/>
          <w:rtl/>
        </w:rPr>
        <w:t>الصنف الثالث: العقود الذكية (</w:t>
      </w:r>
      <w:proofErr w:type="spellStart"/>
      <w:r>
        <w:rPr>
          <w:rFonts w:asciiTheme="majorBidi" w:hAnsiTheme="majorBidi" w:cstheme="majorBidi"/>
          <w:sz w:val="24"/>
          <w:szCs w:val="24"/>
          <w:rtl/>
        </w:rPr>
        <w:t>Smart</w:t>
      </w:r>
      <w:proofErr w:type="spellEnd"/>
      <w:r>
        <w:rPr>
          <w:rFonts w:asciiTheme="majorBidi" w:hAnsiTheme="majorBidi" w:cstheme="majorBidi"/>
          <w:sz w:val="24"/>
          <w:szCs w:val="24"/>
          <w:rtl/>
        </w:rPr>
        <w:t xml:space="preserve"> Contracts)، وهي في حقيقتها </w:t>
      </w:r>
      <w:proofErr w:type="spellStart"/>
      <w:r>
        <w:rPr>
          <w:rFonts w:asciiTheme="majorBidi" w:hAnsiTheme="majorBidi" w:cstheme="majorBidi"/>
          <w:sz w:val="24"/>
          <w:szCs w:val="24"/>
          <w:rtl/>
        </w:rPr>
        <w:t>أكواد</w:t>
      </w:r>
      <w:proofErr w:type="spellEnd"/>
      <w:r>
        <w:rPr>
          <w:rFonts w:asciiTheme="majorBidi" w:hAnsiTheme="majorBidi" w:cstheme="majorBidi"/>
          <w:sz w:val="24"/>
          <w:szCs w:val="24"/>
          <w:rtl/>
        </w:rPr>
        <w:t xml:space="preserve"> برمجية تنفيذية ذاتية (</w:t>
      </w:r>
      <w:proofErr w:type="spellStart"/>
      <w:r>
        <w:rPr>
          <w:rFonts w:asciiTheme="majorBidi" w:hAnsiTheme="majorBidi" w:cstheme="majorBidi"/>
          <w:sz w:val="24"/>
          <w:szCs w:val="24"/>
          <w:rtl/>
        </w:rPr>
        <w:t>Self-executing</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Code</w:t>
      </w:r>
      <w:proofErr w:type="spellEnd"/>
      <w:r>
        <w:rPr>
          <w:rFonts w:asciiTheme="majorBidi" w:hAnsiTheme="majorBidi" w:cstheme="majorBidi"/>
          <w:sz w:val="24"/>
          <w:szCs w:val="24"/>
          <w:rtl/>
        </w:rPr>
        <w:t xml:space="preserve">) مُشفّرة على شبكات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Blockchain</w:t>
      </w:r>
      <w:proofErr w:type="spellEnd"/>
      <w:r>
        <w:rPr>
          <w:rFonts w:asciiTheme="majorBidi" w:hAnsiTheme="majorBidi" w:cstheme="majorBidi"/>
          <w:sz w:val="24"/>
          <w:szCs w:val="24"/>
          <w:rtl/>
        </w:rPr>
        <w:t xml:space="preserve">). وهذه ليست من الذكاء الاصطناعي في شيء؛ فهي لا تتعلم، ولا تُحلّل بيانات، ولا تولّد نصوصاً، بل تُنفّذ شرطاً برمجياً محدداً مسبقاً على صورة "إذا تحقق الشرط (س) فنفّذ الأمر (ص)". وارتباطها </w:t>
      </w:r>
      <w:proofErr w:type="spellStart"/>
      <w:r>
        <w:rPr>
          <w:rFonts w:asciiTheme="majorBidi" w:hAnsiTheme="majorBidi" w:cstheme="majorBidi"/>
          <w:sz w:val="24"/>
          <w:szCs w:val="24"/>
          <w:rtl/>
        </w:rPr>
        <w:t>بالبلوكشين</w:t>
      </w:r>
      <w:proofErr w:type="spellEnd"/>
      <w:r>
        <w:rPr>
          <w:rFonts w:asciiTheme="majorBidi" w:hAnsiTheme="majorBidi" w:cstheme="majorBidi"/>
          <w:sz w:val="24"/>
          <w:szCs w:val="24"/>
          <w:rtl/>
        </w:rPr>
        <w:t xml:space="preserve"> لا بالذكاء الاصطناعي هو الحقيقة التقنية الصحيحة، وإن كان الباحثون والإعلام يجمعونها مع تقنيات الذكاء الاصطناعي خطأً.</w:t>
      </w:r>
    </w:p>
    <w:p w14:paraId="346744DB" w14:textId="77777777" w:rsidR="005705DD" w:rsidRDefault="005705DD" w:rsidP="005705DD">
      <w:pPr>
        <w:bidi/>
        <w:spacing w:after="200" w:line="276" w:lineRule="auto"/>
        <w:rPr>
          <w:rtl/>
        </w:rPr>
      </w:pPr>
      <w:commentRangeStart w:id="12"/>
      <w:commentRangeStart w:id="13"/>
      <w:r>
        <w:rPr>
          <w:rFonts w:asciiTheme="majorBidi" w:hAnsiTheme="majorBidi" w:cstheme="majorBidi"/>
          <w:sz w:val="24"/>
          <w:szCs w:val="24"/>
          <w:rtl/>
        </w:rPr>
        <w:t>ويشير جانب من الفقه في دراسة حول</w:t>
      </w:r>
      <w:commentRangeEnd w:id="12"/>
      <w:r>
        <w:rPr>
          <w:rStyle w:val="af0"/>
          <w:rFonts w:asciiTheme="majorBidi" w:hAnsiTheme="majorBidi" w:cstheme="majorBidi"/>
          <w:sz w:val="24"/>
          <w:szCs w:val="24"/>
          <w:rtl/>
        </w:rPr>
        <w:commentReference w:id="12"/>
      </w:r>
      <w:commentRangeEnd w:id="13"/>
      <w:r>
        <w:rPr>
          <w:rStyle w:val="af0"/>
          <w:rFonts w:asciiTheme="majorBidi" w:hAnsiTheme="majorBidi" w:cstheme="majorBidi"/>
          <w:sz w:val="24"/>
          <w:szCs w:val="24"/>
          <w:rtl/>
        </w:rPr>
        <w:commentReference w:id="13"/>
      </w:r>
      <w:r>
        <w:rPr>
          <w:rFonts w:asciiTheme="majorBidi" w:hAnsiTheme="majorBidi" w:cstheme="majorBidi"/>
          <w:sz w:val="24"/>
          <w:szCs w:val="24"/>
          <w:rtl/>
        </w:rPr>
        <w:t xml:space="preserve"> "الذكاء الاصطناعي ودوره في إبرام العقود التجارية الذكية" إلى هذا الخلط صراحةً، مؤكداً أن العقد الذكي في جوهره لا يعتمد على نماذج لغوية أو تعلم ذاتي، بل على رمز برمجي ثابت مُبرمَج مسبقاً على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وإن كان الذكاء الاصطناعي وتقنية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قد يتشابكان في بعض التطبيقات المتقدمة فإن هذا التشابك يظل استثناءً تطبيقياً لا قاعدة </w:t>
      </w:r>
      <w:proofErr w:type="gramStart"/>
      <w:r>
        <w:rPr>
          <w:rFonts w:asciiTheme="majorBidi" w:hAnsiTheme="majorBidi" w:cstheme="majorBidi"/>
          <w:sz w:val="24"/>
          <w:szCs w:val="24"/>
          <w:rtl/>
        </w:rPr>
        <w:t xml:space="preserve">تقنية </w:t>
      </w:r>
      <w:r>
        <w:rPr>
          <w:rFonts w:asciiTheme="majorBidi" w:hAnsiTheme="majorBidi" w:cstheme="majorBidi"/>
          <w:sz w:val="24"/>
          <w:szCs w:val="24"/>
          <w:vertAlign w:val="superscript"/>
          <w:rtl/>
        </w:rPr>
        <w:footnoteReference w:id="280"/>
      </w:r>
      <w:r>
        <w:rPr>
          <w:rFonts w:asciiTheme="majorBidi" w:hAnsiTheme="majorBidi" w:cstheme="majorBidi"/>
          <w:sz w:val="24"/>
          <w:szCs w:val="24"/>
          <w:rtl/>
        </w:rPr>
        <w:t>.</w:t>
      </w:r>
      <w:proofErr w:type="gramEnd"/>
    </w:p>
    <w:p w14:paraId="78C94E76"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هذا الخلط ليس مجرد هفوة أكاديمية، بل له تبعات قانونية خطيرة؛ فالمحامي الذي يعتمد على برنامج إدارة القضايا لا يواجه الإشكاليات النظامية نفسها التي يواجهها من يستخدم نموذجاً لغوياً كبيراً لصياغة مذكرة قانونية حساسة. وعليه، فإن الدراسة تتبنّى في هذا الفصل تصنيفاً دقيقاً لهذه الأصناف الثلاثة ريثما يأتي المشرّع السعودي بتعريف تشريعي صريح يُميّز بينها.</w:t>
      </w:r>
    </w:p>
    <w:p w14:paraId="5DD3FAF4" w14:textId="77777777" w:rsidR="005705DD" w:rsidRDefault="005705DD" w:rsidP="005705DD"/>
    <w:p w14:paraId="284F46AC"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المبحث الأول</w:t>
      </w:r>
    </w:p>
    <w:p w14:paraId="0456FAC5" w14:textId="59DCC192"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 xml:space="preserve">التطبيقات </w:t>
      </w:r>
      <w:commentRangeStart w:id="14"/>
      <w:commentRangeStart w:id="15"/>
      <w:r>
        <w:rPr>
          <w:rFonts w:asciiTheme="majorBidi" w:hAnsiTheme="majorBidi" w:cstheme="majorBidi"/>
          <w:bCs/>
          <w:color w:val="000000" w:themeColor="text1"/>
          <w:sz w:val="28"/>
          <w:szCs w:val="28"/>
          <w:rtl/>
        </w:rPr>
        <w:t>المهنية</w:t>
      </w:r>
      <w:commentRangeEnd w:id="14"/>
      <w:r>
        <w:rPr>
          <w:rStyle w:val="af0"/>
          <w:rFonts w:asciiTheme="majorBidi" w:hAnsiTheme="majorBidi" w:cstheme="majorBidi" w:hint="cs"/>
          <w:bCs/>
          <w:color w:val="000000" w:themeColor="text1"/>
          <w:sz w:val="28"/>
          <w:szCs w:val="28"/>
          <w:rtl/>
        </w:rPr>
        <w:commentReference w:id="14"/>
      </w:r>
      <w:commentRangeEnd w:id="15"/>
      <w:r>
        <w:rPr>
          <w:rStyle w:val="af0"/>
          <w:rFonts w:asciiTheme="majorBidi" w:hAnsiTheme="majorBidi" w:cstheme="majorBidi" w:hint="cs"/>
          <w:bCs/>
          <w:color w:val="000000" w:themeColor="text1"/>
          <w:sz w:val="28"/>
          <w:szCs w:val="28"/>
          <w:rtl/>
        </w:rPr>
        <w:commentReference w:id="15"/>
      </w:r>
      <w:r w:rsidR="002D0332">
        <w:rPr>
          <w:rFonts w:asciiTheme="majorBidi" w:hAnsiTheme="majorBidi" w:cstheme="majorBidi" w:hint="cs"/>
          <w:bCs/>
          <w:color w:val="000000" w:themeColor="text1"/>
          <w:sz w:val="28"/>
          <w:szCs w:val="28"/>
          <w:rtl/>
        </w:rPr>
        <w:t xml:space="preserve"> ا</w:t>
      </w:r>
      <w:r w:rsidR="00D254DC">
        <w:rPr>
          <w:rFonts w:asciiTheme="majorBidi" w:hAnsiTheme="majorBidi" w:cstheme="majorBidi" w:hint="cs"/>
          <w:bCs/>
          <w:color w:val="000000" w:themeColor="text1"/>
          <w:sz w:val="28"/>
          <w:szCs w:val="28"/>
          <w:rtl/>
        </w:rPr>
        <w:t>لق</w:t>
      </w:r>
      <w:r w:rsidR="002D0332">
        <w:rPr>
          <w:rFonts w:asciiTheme="majorBidi" w:hAnsiTheme="majorBidi" w:cstheme="majorBidi" w:hint="cs"/>
          <w:bCs/>
          <w:color w:val="000000" w:themeColor="text1"/>
          <w:sz w:val="28"/>
          <w:szCs w:val="28"/>
          <w:rtl/>
        </w:rPr>
        <w:t>انونية</w:t>
      </w:r>
      <w:r>
        <w:rPr>
          <w:rFonts w:asciiTheme="majorBidi" w:hAnsiTheme="majorBidi" w:cstheme="majorBidi"/>
          <w:bCs/>
          <w:color w:val="000000" w:themeColor="text1"/>
          <w:sz w:val="28"/>
          <w:szCs w:val="28"/>
          <w:rtl/>
        </w:rPr>
        <w:t xml:space="preserve"> المعاصرة في السعودية</w:t>
      </w:r>
    </w:p>
    <w:p w14:paraId="17DF1995" w14:textId="77777777" w:rsidR="005705DD" w:rsidRDefault="005705DD" w:rsidP="005705DD">
      <w:pPr>
        <w:bidi/>
        <w:spacing w:after="200" w:line="276" w:lineRule="auto"/>
        <w:rPr>
          <w:rtl/>
        </w:rPr>
      </w:pPr>
      <w:r>
        <w:rPr>
          <w:rFonts w:asciiTheme="majorBidi" w:hAnsiTheme="majorBidi" w:cstheme="majorBidi"/>
          <w:sz w:val="24"/>
          <w:szCs w:val="24"/>
          <w:rtl/>
        </w:rPr>
        <w:t>يُعدّ هذا المبحث مدخلاً ميدانياً ضرورياً لفهم الواقع الفعلي لتوظيف تقنيات الذكاء الاصطناعي في مكاتب المحاماة السعودية، ويتناول بالتحليل الأدوات التقنية الذكية المتداولة في السوق القانوني السعودي (المطلب الأول)، ثم يقيّم مدى توافق هذه الأدوات مع البيئة النظامية السعودية القائمة (المطلب الثاني).</w:t>
      </w:r>
    </w:p>
    <w:p w14:paraId="64E51D94" w14:textId="77777777" w:rsidR="005705DD" w:rsidRDefault="005705DD" w:rsidP="005705DD">
      <w:pPr>
        <w:bidi/>
        <w:spacing w:after="200" w:line="276" w:lineRule="auto"/>
        <w:rPr>
          <w:rtl/>
        </w:rPr>
      </w:pPr>
      <w:r>
        <w:rPr>
          <w:rFonts w:asciiTheme="majorBidi" w:hAnsiTheme="majorBidi" w:cstheme="majorBidi"/>
          <w:sz w:val="24"/>
          <w:szCs w:val="24"/>
          <w:rtl/>
        </w:rPr>
        <w:t xml:space="preserve">ويستند هذا المبحث إلى مزيج من المصادر التشريعية والأكاديمية، ومخرجات الجهات الرسمية ذات الصلة </w:t>
      </w:r>
      <w:proofErr w:type="spellStart"/>
      <w:r>
        <w:rPr>
          <w:rFonts w:asciiTheme="majorBidi" w:hAnsiTheme="majorBidi" w:cstheme="majorBidi"/>
          <w:sz w:val="24"/>
          <w:szCs w:val="24"/>
          <w:rtl/>
        </w:rPr>
        <w:t>كسدايا</w:t>
      </w:r>
      <w:proofErr w:type="spellEnd"/>
      <w:r>
        <w:rPr>
          <w:rFonts w:asciiTheme="majorBidi" w:hAnsiTheme="majorBidi" w:cstheme="majorBidi"/>
          <w:sz w:val="24"/>
          <w:szCs w:val="24"/>
          <w:rtl/>
        </w:rPr>
        <w:t xml:space="preserve"> ووزارة العدل، فضلاً عن الدراسات المعاصرة التي رصدت واقع الممارسة التقنية في بيئات المحاماة الخليجية والعربية، مع الحرص على إسقاط ذلك على الخصوصية السعودية من حيث البيئة التشريعية والتحولات الرقمية الجارية في ظل رؤية 2030.</w:t>
      </w:r>
    </w:p>
    <w:p w14:paraId="44AC964D" w14:textId="77777777" w:rsidR="005705DD" w:rsidRDefault="005705DD" w:rsidP="005705DD"/>
    <w:p w14:paraId="2C0ED227"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الأول</w:t>
      </w:r>
    </w:p>
    <w:p w14:paraId="4FA0F543"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أدوات الذكاء الاصطناعي المتداولة في السوق القانوني السعودي</w:t>
      </w:r>
    </w:p>
    <w:p w14:paraId="6CEDF609" w14:textId="77777777" w:rsidR="005705DD" w:rsidRDefault="005705DD" w:rsidP="005705DD">
      <w:pPr>
        <w:bidi/>
        <w:spacing w:after="200" w:line="276" w:lineRule="auto"/>
        <w:rPr>
          <w:rtl/>
        </w:rPr>
      </w:pPr>
      <w:r>
        <w:rPr>
          <w:rFonts w:asciiTheme="majorBidi" w:hAnsiTheme="majorBidi" w:cstheme="majorBidi"/>
          <w:sz w:val="24"/>
          <w:szCs w:val="24"/>
          <w:rtl/>
        </w:rPr>
        <w:t xml:space="preserve">شهد السوق القانوني السعودي في الفترة الممتدة بين عامَي 2020م و2026م تحولاً نوعياً في طبيعة الأدوات التقنية المستخدمة داخل مكاتب المحاماة، إذ انتقل الاستخدام التقني من الوسائل الإدارية البسيطة كجداول المواعيد الإلكترونية وبرامج معالجة النصوص، إلى أدوات ذات طابع تحليلي واستدلالي متقدم تعتمد على نماذج تعلم الآلة </w:t>
      </w:r>
      <w:commentRangeStart w:id="16"/>
      <w:commentRangeStart w:id="17"/>
      <w:r>
        <w:rPr>
          <w:rFonts w:asciiTheme="majorBidi" w:hAnsiTheme="majorBidi" w:cstheme="majorBidi"/>
          <w:sz w:val="24"/>
          <w:szCs w:val="24"/>
          <w:rtl/>
        </w:rPr>
        <w:lastRenderedPageBreak/>
        <w:t xml:space="preserve">ومعالجة اللغة الطبيعية. وقد ساهم في تسريع هذا التحول </w:t>
      </w:r>
      <w:commentRangeEnd w:id="16"/>
      <w:r>
        <w:rPr>
          <w:rStyle w:val="af0"/>
          <w:rFonts w:asciiTheme="majorBidi" w:hAnsiTheme="majorBidi" w:cstheme="majorBidi"/>
          <w:sz w:val="24"/>
          <w:szCs w:val="24"/>
          <w:rtl/>
        </w:rPr>
        <w:commentReference w:id="16"/>
      </w:r>
      <w:commentRangeEnd w:id="17"/>
      <w:r>
        <w:rPr>
          <w:rStyle w:val="af0"/>
          <w:rFonts w:asciiTheme="majorBidi" w:hAnsiTheme="majorBidi" w:cstheme="majorBidi"/>
          <w:sz w:val="24"/>
          <w:szCs w:val="24"/>
          <w:rtl/>
        </w:rPr>
        <w:commentReference w:id="17"/>
      </w:r>
      <w:r>
        <w:rPr>
          <w:rFonts w:asciiTheme="majorBidi" w:hAnsiTheme="majorBidi" w:cstheme="majorBidi"/>
          <w:sz w:val="24"/>
          <w:szCs w:val="24"/>
          <w:rtl/>
        </w:rPr>
        <w:t xml:space="preserve">عدة عوامل متضافرة، في مقدمتها: الانتشار الواسع للأدوات التوليدية عالمياً منذ نهاية عام 2022م، وإطلاق منصة ناجز </w:t>
      </w:r>
      <w:proofErr w:type="spellStart"/>
      <w:r>
        <w:rPr>
          <w:rFonts w:asciiTheme="majorBidi" w:hAnsiTheme="majorBidi" w:cstheme="majorBidi"/>
          <w:sz w:val="24"/>
          <w:szCs w:val="24"/>
          <w:rtl/>
        </w:rPr>
        <w:t>ورقمنة</w:t>
      </w:r>
      <w:proofErr w:type="spellEnd"/>
      <w:r>
        <w:rPr>
          <w:rFonts w:asciiTheme="majorBidi" w:hAnsiTheme="majorBidi" w:cstheme="majorBidi"/>
          <w:sz w:val="24"/>
          <w:szCs w:val="24"/>
          <w:rtl/>
        </w:rPr>
        <w:t xml:space="preserve"> الخدمات العدلية في المملكة، واستراتيجيات التحول الرقمي المرتبطة برؤية </w:t>
      </w:r>
      <w:proofErr w:type="gramStart"/>
      <w:r>
        <w:rPr>
          <w:rFonts w:asciiTheme="majorBidi" w:hAnsiTheme="majorBidi" w:cstheme="majorBidi"/>
          <w:sz w:val="24"/>
          <w:szCs w:val="24"/>
          <w:rtl/>
        </w:rPr>
        <w:t xml:space="preserve">2030 </w:t>
      </w:r>
      <w:r>
        <w:rPr>
          <w:rFonts w:asciiTheme="majorBidi" w:hAnsiTheme="majorBidi" w:cstheme="majorBidi"/>
          <w:sz w:val="24"/>
          <w:szCs w:val="24"/>
          <w:vertAlign w:val="superscript"/>
          <w:rtl/>
        </w:rPr>
        <w:footnoteReference w:id="281"/>
      </w:r>
      <w:r>
        <w:rPr>
          <w:rFonts w:asciiTheme="majorBidi" w:hAnsiTheme="majorBidi" w:cstheme="majorBidi"/>
          <w:sz w:val="24"/>
          <w:szCs w:val="24"/>
          <w:rtl/>
        </w:rPr>
        <w:t>.</w:t>
      </w:r>
      <w:proofErr w:type="gramEnd"/>
    </w:p>
    <w:p w14:paraId="0004AA4A" w14:textId="77777777" w:rsidR="005705DD" w:rsidRDefault="005705DD" w:rsidP="005705DD">
      <w:pPr>
        <w:bidi/>
        <w:spacing w:after="200" w:line="276" w:lineRule="auto"/>
        <w:rPr>
          <w:rtl/>
        </w:rPr>
      </w:pPr>
      <w:r>
        <w:rPr>
          <w:rFonts w:asciiTheme="majorBidi" w:hAnsiTheme="majorBidi" w:cstheme="majorBidi"/>
          <w:b/>
          <w:sz w:val="28"/>
          <w:szCs w:val="28"/>
          <w:rtl/>
        </w:rPr>
        <w:t>أولاً: تصنيف أدوات الذكاء الاصطناعي في البيئة القانونية السعودية</w:t>
      </w:r>
    </w:p>
    <w:p w14:paraId="4E058577" w14:textId="77777777" w:rsidR="005705DD" w:rsidRDefault="005705DD" w:rsidP="005705DD">
      <w:pPr>
        <w:bidi/>
        <w:spacing w:after="200" w:line="276" w:lineRule="auto"/>
        <w:rPr>
          <w:rtl/>
        </w:rPr>
      </w:pPr>
      <w:r>
        <w:rPr>
          <w:rFonts w:asciiTheme="majorBidi" w:hAnsiTheme="majorBidi" w:cstheme="majorBidi"/>
          <w:sz w:val="24"/>
          <w:szCs w:val="24"/>
          <w:rtl/>
        </w:rPr>
        <w:t>يمكن تصنيف الأدوات التقنية المستخدمة فعلياً في مكاتب المحاماة السعودية ضمن ثلاثة محاور رئيسية، وذلك استناداً إلى التصنيف المفاهيمي الذي أُسّس له في تمهيد هذا الفصل:</w:t>
      </w:r>
    </w:p>
    <w:p w14:paraId="44DE02FE"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أدوات الذكاء الاصطناعي التوليدي العامة (General-</w:t>
      </w:r>
      <w:proofErr w:type="spellStart"/>
      <w:r>
        <w:rPr>
          <w:rFonts w:asciiTheme="majorBidi" w:hAnsiTheme="majorBidi" w:cstheme="majorBidi"/>
          <w:sz w:val="24"/>
          <w:szCs w:val="24"/>
          <w:rtl/>
        </w:rPr>
        <w:t>Purpose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Generative</w:t>
      </w:r>
      <w:proofErr w:type="spellEnd"/>
      <w:r>
        <w:rPr>
          <w:rFonts w:asciiTheme="majorBidi" w:hAnsiTheme="majorBidi" w:cstheme="majorBidi"/>
          <w:sz w:val="24"/>
          <w:szCs w:val="24"/>
          <w:rtl/>
        </w:rPr>
        <w:t xml:space="preserve"> AI): تُهيمن على هذا المحور النماذج اللغوية الكبيرة ذات الاستخدام العام التي دخلت مكاتب المحاماة السعودية بصورة واسعة دون تخصيص قانوني مسبق. ويتصدر هذه الأدوات نموذج </w:t>
      </w:r>
      <w:proofErr w:type="spellStart"/>
      <w:r>
        <w:rPr>
          <w:rFonts w:asciiTheme="majorBidi" w:hAnsiTheme="majorBidi" w:cstheme="majorBidi"/>
          <w:sz w:val="24"/>
          <w:szCs w:val="24"/>
          <w:rtl/>
        </w:rPr>
        <w:t>ChatGPT</w:t>
      </w:r>
      <w:proofErr w:type="spellEnd"/>
      <w:r>
        <w:rPr>
          <w:rFonts w:asciiTheme="majorBidi" w:hAnsiTheme="majorBidi" w:cstheme="majorBidi"/>
          <w:sz w:val="24"/>
          <w:szCs w:val="24"/>
          <w:rtl/>
        </w:rPr>
        <w:t xml:space="preserve"> الصادر عن شركة </w:t>
      </w:r>
      <w:proofErr w:type="spellStart"/>
      <w:r>
        <w:rPr>
          <w:rFonts w:asciiTheme="majorBidi" w:hAnsiTheme="majorBidi" w:cstheme="majorBidi"/>
          <w:sz w:val="24"/>
          <w:szCs w:val="24"/>
          <w:rtl/>
        </w:rPr>
        <w:t>OpenAI</w:t>
      </w:r>
      <w:proofErr w:type="spellEnd"/>
      <w:r>
        <w:rPr>
          <w:rFonts w:asciiTheme="majorBidi" w:hAnsiTheme="majorBidi" w:cstheme="majorBidi"/>
          <w:sz w:val="24"/>
          <w:szCs w:val="24"/>
          <w:rtl/>
        </w:rPr>
        <w:t xml:space="preserve"> الأمريكية، إضافة إلى </w:t>
      </w:r>
      <w:proofErr w:type="spellStart"/>
      <w:r>
        <w:rPr>
          <w:rFonts w:asciiTheme="majorBidi" w:hAnsiTheme="majorBidi" w:cstheme="majorBidi"/>
          <w:sz w:val="24"/>
          <w:szCs w:val="24"/>
          <w:rtl/>
        </w:rPr>
        <w:t>Gemini</w:t>
      </w:r>
      <w:proofErr w:type="spellEnd"/>
      <w:r>
        <w:rPr>
          <w:rFonts w:asciiTheme="majorBidi" w:hAnsiTheme="majorBidi" w:cstheme="majorBidi"/>
          <w:sz w:val="24"/>
          <w:szCs w:val="24"/>
          <w:rtl/>
        </w:rPr>
        <w:t xml:space="preserve"> من </w:t>
      </w:r>
      <w:proofErr w:type="spellStart"/>
      <w:r>
        <w:rPr>
          <w:rFonts w:asciiTheme="majorBidi" w:hAnsiTheme="majorBidi" w:cstheme="majorBidi"/>
          <w:sz w:val="24"/>
          <w:szCs w:val="24"/>
          <w:rtl/>
        </w:rPr>
        <w:t>Google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وCopilot</w:t>
      </w:r>
      <w:proofErr w:type="spellEnd"/>
      <w:r>
        <w:rPr>
          <w:rFonts w:asciiTheme="majorBidi" w:hAnsiTheme="majorBidi" w:cstheme="majorBidi"/>
          <w:sz w:val="24"/>
          <w:szCs w:val="24"/>
          <w:rtl/>
        </w:rPr>
        <w:t xml:space="preserve"> من </w:t>
      </w:r>
      <w:proofErr w:type="spellStart"/>
      <w:r>
        <w:rPr>
          <w:rFonts w:asciiTheme="majorBidi" w:hAnsiTheme="majorBidi" w:cstheme="majorBidi"/>
          <w:sz w:val="24"/>
          <w:szCs w:val="24"/>
          <w:rtl/>
        </w:rPr>
        <w:t>Microsoft</w:t>
      </w:r>
      <w:proofErr w:type="spellEnd"/>
      <w:r>
        <w:rPr>
          <w:rFonts w:asciiTheme="majorBidi" w:hAnsiTheme="majorBidi" w:cstheme="majorBidi"/>
          <w:sz w:val="24"/>
          <w:szCs w:val="24"/>
          <w:rtl/>
        </w:rPr>
        <w:t xml:space="preserve"> المدمج في تطبيقات </w:t>
      </w:r>
      <w:proofErr w:type="spellStart"/>
      <w:r>
        <w:rPr>
          <w:rFonts w:asciiTheme="majorBidi" w:hAnsiTheme="majorBidi" w:cstheme="majorBidi"/>
          <w:sz w:val="24"/>
          <w:szCs w:val="24"/>
          <w:rtl/>
        </w:rPr>
        <w:t>Office</w:t>
      </w:r>
      <w:proofErr w:type="spellEnd"/>
      <w:r>
        <w:rPr>
          <w:rFonts w:asciiTheme="majorBidi" w:hAnsiTheme="majorBidi" w:cstheme="majorBidi"/>
          <w:sz w:val="24"/>
          <w:szCs w:val="24"/>
          <w:rtl/>
        </w:rPr>
        <w:t xml:space="preserve"> 365، اللذان يتداولان في بيئات العمل السعودية نظراً لانتشار منتجات هاتين الشركتين فيها. وتُستخدم هذه الأدوات في السياق القانوني السعودي أساساً في: صياغة مسودات العقود الأولية بناءً على وصف موجز من المحامي، وتلخيص الأحكام القضائية والنصوص التشريعية الطويلة، وترجمة الوثائق القانونية بين العربية والإنجليزية، وإعداد الردود القانونية الأولية على مراسلات الجهات الحكومية.</w:t>
      </w:r>
    </w:p>
    <w:p w14:paraId="1425AD08" w14:textId="77777777" w:rsidR="005705DD" w:rsidRDefault="005705DD" w:rsidP="005705DD">
      <w:pPr>
        <w:bidi/>
        <w:spacing w:after="200" w:line="276" w:lineRule="auto"/>
        <w:rPr>
          <w:rtl/>
        </w:rPr>
      </w:pPr>
      <w:commentRangeStart w:id="18"/>
      <w:commentRangeStart w:id="19"/>
      <w:r>
        <w:rPr>
          <w:rFonts w:asciiTheme="majorBidi" w:hAnsiTheme="majorBidi" w:cstheme="majorBidi"/>
          <w:sz w:val="24"/>
          <w:szCs w:val="24"/>
          <w:rtl/>
        </w:rPr>
        <w:t>وتؤكد بعض الدراسات أن</w:t>
      </w:r>
      <w:commentRangeEnd w:id="18"/>
      <w:r>
        <w:rPr>
          <w:rStyle w:val="af0"/>
          <w:rFonts w:asciiTheme="majorBidi" w:hAnsiTheme="majorBidi" w:cstheme="majorBidi"/>
          <w:sz w:val="24"/>
          <w:szCs w:val="24"/>
          <w:rtl/>
        </w:rPr>
        <w:commentReference w:id="18"/>
      </w:r>
      <w:commentRangeEnd w:id="19"/>
      <w:r>
        <w:rPr>
          <w:rStyle w:val="af0"/>
          <w:rFonts w:asciiTheme="majorBidi" w:hAnsiTheme="majorBidi" w:cstheme="majorBidi"/>
          <w:sz w:val="24"/>
          <w:szCs w:val="24"/>
          <w:rtl/>
        </w:rPr>
        <w:commentReference w:id="19"/>
      </w:r>
      <w:r>
        <w:rPr>
          <w:rFonts w:asciiTheme="majorBidi" w:hAnsiTheme="majorBidi" w:cstheme="majorBidi"/>
          <w:sz w:val="24"/>
          <w:szCs w:val="24"/>
          <w:rtl/>
        </w:rPr>
        <w:t xml:space="preserve"> هذه الأدوات العامة تُستخدم في البيئة القانونية السعودية دون مراعاة كافية لمتطلبات نظام حماية البيانات الشخصية (1443هـ)، ولا سيما أن كثيراً منها يُرسل البيانات المُدخَلة إلى خوادم خارج حدود المملكة. كما لفتت الدراسة إلى أن المحامين السعوديين في الغالب لا يُفصحون لموكليهم عن استخدامهم لهذه الأدوات في معالجة ملفاتهم، وهو ما يُثير تساؤلات جدية حول الالتزام بواجب الإفصاح المرتبط بمبدأ حسن النية الذي يُجسّده قانون الأخلاقيات المهنية.</w:t>
      </w:r>
      <w:r>
        <w:rPr>
          <w:rFonts w:asciiTheme="majorBidi" w:hAnsiTheme="majorBidi" w:cstheme="majorBidi"/>
          <w:sz w:val="24"/>
          <w:szCs w:val="24"/>
          <w:vertAlign w:val="superscript"/>
          <w:rtl/>
        </w:rPr>
        <w:footnoteReference w:id="282"/>
      </w:r>
    </w:p>
    <w:p w14:paraId="046BCED2"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أدوات الذكاء الاصطناعي القانوني المتخصصة (</w:t>
      </w:r>
      <w:proofErr w:type="spellStart"/>
      <w:r>
        <w:rPr>
          <w:rFonts w:asciiTheme="majorBidi" w:hAnsiTheme="majorBidi" w:cstheme="majorBidi"/>
          <w:sz w:val="24"/>
          <w:szCs w:val="24"/>
          <w:rtl/>
        </w:rPr>
        <w:t>Specialized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AI): وهي أدوات صُمّمت أصلاً للاستخدام في البيئة القانونية، وتعتمد على نماذج مدرّبة على بيانات قانونية ضخمة. ومن أبرز هذه الأدوات في السياق العالمي والتي يتعامل معها المحامون السعوديون في الشركات الكبرى والمكاتب الدولية العاملة في المملكة: أداة </w:t>
      </w:r>
      <w:proofErr w:type="spellStart"/>
      <w:r>
        <w:rPr>
          <w:rFonts w:asciiTheme="majorBidi" w:hAnsiTheme="majorBidi" w:cstheme="majorBidi"/>
          <w:sz w:val="24"/>
          <w:szCs w:val="24"/>
          <w:rtl/>
        </w:rPr>
        <w:t>Harvey</w:t>
      </w:r>
      <w:proofErr w:type="spellEnd"/>
      <w:r>
        <w:rPr>
          <w:rFonts w:asciiTheme="majorBidi" w:hAnsiTheme="majorBidi" w:cstheme="majorBidi"/>
          <w:sz w:val="24"/>
          <w:szCs w:val="24"/>
          <w:rtl/>
        </w:rPr>
        <w:t xml:space="preserve"> AI، وهي نموذج ذكاء اصطناعي قانوني متخصص للمحاماة التجارية؛ وأداة </w:t>
      </w:r>
      <w:proofErr w:type="spellStart"/>
      <w:r>
        <w:rPr>
          <w:rFonts w:asciiTheme="majorBidi" w:hAnsiTheme="majorBidi" w:cstheme="majorBidi"/>
          <w:sz w:val="24"/>
          <w:szCs w:val="24"/>
          <w:rtl/>
        </w:rPr>
        <w:t>Luminance</w:t>
      </w:r>
      <w:proofErr w:type="spellEnd"/>
      <w:r>
        <w:rPr>
          <w:rFonts w:asciiTheme="majorBidi" w:hAnsiTheme="majorBidi" w:cstheme="majorBidi"/>
          <w:sz w:val="24"/>
          <w:szCs w:val="24"/>
          <w:rtl/>
        </w:rPr>
        <w:t xml:space="preserve"> البريطانية المتخصصة في تحليل العقود وفحص المستندات في الصفقات وعمليات الدمج والاستحواذ؛ وأداة </w:t>
      </w:r>
      <w:proofErr w:type="spellStart"/>
      <w:r>
        <w:rPr>
          <w:rFonts w:asciiTheme="majorBidi" w:hAnsiTheme="majorBidi" w:cstheme="majorBidi"/>
          <w:sz w:val="24"/>
          <w:szCs w:val="24"/>
          <w:rtl/>
        </w:rPr>
        <w:t>Kira</w:t>
      </w:r>
      <w:proofErr w:type="spellEnd"/>
      <w:r>
        <w:rPr>
          <w:rFonts w:asciiTheme="majorBidi" w:hAnsiTheme="majorBidi" w:cstheme="majorBidi"/>
          <w:sz w:val="24"/>
          <w:szCs w:val="24"/>
          <w:rtl/>
        </w:rPr>
        <w:t xml:space="preserve"> Systems الكندية للاستخراج الآلي للبنود التعاقدية، وبعض منتجات </w:t>
      </w:r>
      <w:proofErr w:type="spellStart"/>
      <w:r>
        <w:rPr>
          <w:rFonts w:asciiTheme="majorBidi" w:hAnsiTheme="majorBidi" w:cstheme="majorBidi"/>
          <w:sz w:val="24"/>
          <w:szCs w:val="24"/>
          <w:rtl/>
        </w:rPr>
        <w:t>Thomson</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Reuters</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وLexisNexis</w:t>
      </w:r>
      <w:proofErr w:type="spellEnd"/>
      <w:r>
        <w:rPr>
          <w:rFonts w:asciiTheme="majorBidi" w:hAnsiTheme="majorBidi" w:cstheme="majorBidi"/>
          <w:sz w:val="24"/>
          <w:szCs w:val="24"/>
          <w:rtl/>
        </w:rPr>
        <w:t xml:space="preserve"> المتكاملة مع وحدات ذكاء اصطناعي لتحليل السوابق القضائية.</w:t>
      </w:r>
    </w:p>
    <w:p w14:paraId="36EA09A2" w14:textId="77777777" w:rsidR="005705DD" w:rsidRDefault="005705DD" w:rsidP="005705DD">
      <w:pPr>
        <w:bidi/>
        <w:spacing w:after="200" w:line="276" w:lineRule="auto"/>
        <w:rPr>
          <w:rtl/>
        </w:rPr>
      </w:pPr>
      <w:commentRangeStart w:id="20"/>
      <w:commentRangeStart w:id="21"/>
      <w:r>
        <w:rPr>
          <w:rFonts w:asciiTheme="majorBidi" w:hAnsiTheme="majorBidi" w:cstheme="majorBidi"/>
          <w:sz w:val="24"/>
          <w:szCs w:val="24"/>
          <w:rtl/>
        </w:rPr>
        <w:t>وتشير بعض الدراسات إلى أن</w:t>
      </w:r>
      <w:commentRangeEnd w:id="20"/>
      <w:r>
        <w:rPr>
          <w:rStyle w:val="af0"/>
          <w:rFonts w:asciiTheme="majorBidi" w:hAnsiTheme="majorBidi" w:cstheme="majorBidi"/>
          <w:sz w:val="24"/>
          <w:szCs w:val="24"/>
          <w:rtl/>
        </w:rPr>
        <w:commentReference w:id="20"/>
      </w:r>
      <w:commentRangeEnd w:id="21"/>
      <w:r>
        <w:rPr>
          <w:rStyle w:val="af0"/>
          <w:rFonts w:asciiTheme="majorBidi" w:hAnsiTheme="majorBidi" w:cstheme="majorBidi"/>
          <w:sz w:val="24"/>
          <w:szCs w:val="24"/>
          <w:rtl/>
        </w:rPr>
        <w:commentReference w:id="21"/>
      </w:r>
      <w:r>
        <w:rPr>
          <w:rFonts w:asciiTheme="majorBidi" w:hAnsiTheme="majorBidi" w:cstheme="majorBidi"/>
          <w:sz w:val="24"/>
          <w:szCs w:val="24"/>
          <w:rtl/>
        </w:rPr>
        <w:t xml:space="preserve"> هذه الأدوات المتخصصة ترفع إنتاجية المحامين في المهام التكرارية — كمراجعة العقود وفحص الوثائق — بنسبة تتراوح بين 30% و60%، مستشهداً بأن منصة </w:t>
      </w:r>
      <w:proofErr w:type="spellStart"/>
      <w:r>
        <w:rPr>
          <w:rFonts w:asciiTheme="majorBidi" w:hAnsiTheme="majorBidi" w:cstheme="majorBidi"/>
          <w:sz w:val="24"/>
          <w:szCs w:val="24"/>
          <w:rtl/>
        </w:rPr>
        <w:t>Luminance</w:t>
      </w:r>
      <w:proofErr w:type="spellEnd"/>
      <w:r>
        <w:rPr>
          <w:rFonts w:asciiTheme="majorBidi" w:hAnsiTheme="majorBidi" w:cstheme="majorBidi"/>
          <w:sz w:val="24"/>
          <w:szCs w:val="24"/>
          <w:rtl/>
        </w:rPr>
        <w:t xml:space="preserve"> استُخدمت في مراجعة أكثر من 400 وثيقة خلال 24 ساعة في إحدى صفقات الدمج، مقابل ثلاثة أسابيع لو اضطلع بها محامون </w:t>
      </w:r>
      <w:proofErr w:type="gramStart"/>
      <w:r>
        <w:rPr>
          <w:rFonts w:asciiTheme="majorBidi" w:hAnsiTheme="majorBidi" w:cstheme="majorBidi"/>
          <w:sz w:val="24"/>
          <w:szCs w:val="24"/>
          <w:rtl/>
        </w:rPr>
        <w:t xml:space="preserve">بشريون </w:t>
      </w:r>
      <w:r>
        <w:rPr>
          <w:rFonts w:asciiTheme="majorBidi" w:hAnsiTheme="majorBidi" w:cstheme="majorBidi"/>
          <w:sz w:val="24"/>
          <w:szCs w:val="24"/>
          <w:vertAlign w:val="superscript"/>
          <w:rtl/>
        </w:rPr>
        <w:footnoteReference w:id="283"/>
      </w:r>
      <w:r>
        <w:rPr>
          <w:rFonts w:asciiTheme="majorBidi" w:hAnsiTheme="majorBidi" w:cstheme="majorBidi"/>
          <w:sz w:val="24"/>
          <w:szCs w:val="24"/>
          <w:rtl/>
        </w:rPr>
        <w:t>.</w:t>
      </w:r>
      <w:proofErr w:type="gramEnd"/>
      <w:r>
        <w:rPr>
          <w:rFonts w:asciiTheme="majorBidi" w:hAnsiTheme="majorBidi" w:cstheme="majorBidi"/>
          <w:sz w:val="24"/>
          <w:szCs w:val="24"/>
          <w:rtl/>
        </w:rPr>
        <w:t xml:space="preserve"> غير أن الباحث نفسه يُحذّر من أن هذه الأدوات لم تخضع لأي اعتماد نظامي في المنظومة القانونية السعودية.</w:t>
      </w:r>
    </w:p>
    <w:p w14:paraId="4B80604C"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الثالث — المنصات القانونية الرقمية المحلية ذات المكوّن الذكي: ظهرت في السوق السعودي في السنوات الأخيرة منصات رقمية قانونية تجمع بين خدمات إدارة القضايا التقليدية ووحدات ذكاء اصطناعي محدودة. وتتضمن هذه الفئة بعض الخدمات المدمجة في منصة ناجز التابعة لوزارة العدل، التي تتيح خدمات التنبؤ بالجداول الزمنية لسير القضايا وتوجيهات إجرائية آلية. ويُلاحَظ أن هذه المنصات تستخدم في الغالب </w:t>
      </w:r>
      <w:r>
        <w:rPr>
          <w:rFonts w:asciiTheme="majorBidi" w:hAnsiTheme="majorBidi" w:cstheme="majorBidi"/>
          <w:sz w:val="24"/>
          <w:szCs w:val="24"/>
          <w:rtl/>
        </w:rPr>
        <w:lastRenderedPageBreak/>
        <w:t>وحدات برمجة قاعدية (Rule-</w:t>
      </w:r>
      <w:proofErr w:type="spellStart"/>
      <w:r>
        <w:rPr>
          <w:rFonts w:asciiTheme="majorBidi" w:hAnsiTheme="majorBidi" w:cstheme="majorBidi"/>
          <w:sz w:val="24"/>
          <w:szCs w:val="24"/>
          <w:rtl/>
        </w:rPr>
        <w:t>based</w:t>
      </w:r>
      <w:proofErr w:type="spellEnd"/>
      <w:r>
        <w:rPr>
          <w:rFonts w:asciiTheme="majorBidi" w:hAnsiTheme="majorBidi" w:cstheme="majorBidi"/>
          <w:sz w:val="24"/>
          <w:szCs w:val="24"/>
          <w:rtl/>
        </w:rPr>
        <w:t xml:space="preserve"> Systems) تُعالج سيناريوهات محددة، أكثر من استخدامها لنماذج التعلم الآلي الكاملة.</w:t>
      </w:r>
    </w:p>
    <w:p w14:paraId="16FB1249"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أوضح مركز الدراسات والبحوث القانونية التابع لوزارة العدل (2024م) أن منصة ناجز استوعبت عدداً من الوظائف الإجرائية الذكية، كالتوجيه الآلي للقضايا وتحديد الاختصاص القضائي تلقائياً وإخطار المحامين بالمواعيد، مؤكداً أن أكثر من 92% من الخدمات العدلية باتت تُقدَّم إلكترونياً مما يجعل الكفاءة التقنية للمحامي ركيزة أساسية في ممارسة </w:t>
      </w:r>
      <w:proofErr w:type="gramStart"/>
      <w:r>
        <w:rPr>
          <w:rFonts w:asciiTheme="majorBidi" w:hAnsiTheme="majorBidi" w:cstheme="majorBidi"/>
          <w:sz w:val="24"/>
          <w:szCs w:val="24"/>
          <w:rtl/>
        </w:rPr>
        <w:t xml:space="preserve">المهنة </w:t>
      </w:r>
      <w:r>
        <w:rPr>
          <w:rFonts w:asciiTheme="majorBidi" w:hAnsiTheme="majorBidi" w:cstheme="majorBidi"/>
          <w:sz w:val="24"/>
          <w:szCs w:val="24"/>
          <w:vertAlign w:val="superscript"/>
          <w:rtl/>
        </w:rPr>
        <w:footnoteReference w:id="284"/>
      </w:r>
      <w:r>
        <w:rPr>
          <w:rFonts w:asciiTheme="majorBidi" w:hAnsiTheme="majorBidi" w:cstheme="majorBidi"/>
          <w:sz w:val="24"/>
          <w:szCs w:val="24"/>
          <w:rtl/>
        </w:rPr>
        <w:t>.</w:t>
      </w:r>
      <w:proofErr w:type="gramEnd"/>
    </w:p>
    <w:p w14:paraId="38F949B8" w14:textId="77777777" w:rsidR="005705DD" w:rsidRDefault="005705DD" w:rsidP="005705DD">
      <w:pPr>
        <w:bidi/>
        <w:spacing w:after="200" w:line="276" w:lineRule="auto"/>
        <w:rPr>
          <w:rtl/>
        </w:rPr>
      </w:pPr>
      <w:r>
        <w:rPr>
          <w:rFonts w:asciiTheme="majorBidi" w:hAnsiTheme="majorBidi" w:cstheme="majorBidi"/>
          <w:b/>
          <w:sz w:val="28"/>
          <w:szCs w:val="28"/>
          <w:rtl/>
        </w:rPr>
        <w:t>ثانياً: توزيع استخدام هذه الأدوات بحسب حجم المكاتب القانونية</w:t>
      </w:r>
    </w:p>
    <w:p w14:paraId="4E8DF175" w14:textId="77777777" w:rsidR="005705DD" w:rsidRDefault="005705DD" w:rsidP="005705DD">
      <w:pPr>
        <w:bidi/>
        <w:spacing w:after="200" w:line="276" w:lineRule="auto"/>
        <w:rPr>
          <w:rtl/>
        </w:rPr>
      </w:pPr>
      <w:r>
        <w:rPr>
          <w:rFonts w:asciiTheme="majorBidi" w:hAnsiTheme="majorBidi" w:cstheme="majorBidi"/>
          <w:sz w:val="24"/>
          <w:szCs w:val="24"/>
          <w:rtl/>
        </w:rPr>
        <w:t>لا يتوزع استخدام أدوات الذكاء الاصطناعي في مكاتب المحاماة السعودية توزيعاً متساوياً، بل يرتبط ارتباطاً وثيقاً بحجم المكتب القانوني وتخصصه وطبيعة موكليه. ويمكن رصد ثلاثة أنماط متمايزة:</w:t>
      </w:r>
    </w:p>
    <w:p w14:paraId="3674F8A3" w14:textId="77777777" w:rsidR="005705DD" w:rsidRDefault="005705DD" w:rsidP="005705DD">
      <w:pPr>
        <w:bidi/>
        <w:spacing w:after="200" w:line="276" w:lineRule="auto"/>
        <w:rPr>
          <w:rtl/>
        </w:rPr>
      </w:pPr>
      <w:r>
        <w:rPr>
          <w:rFonts w:asciiTheme="majorBidi" w:hAnsiTheme="majorBidi" w:cstheme="majorBidi"/>
          <w:sz w:val="24"/>
          <w:szCs w:val="24"/>
          <w:rtl/>
        </w:rPr>
        <w:t>النمط الأول — المكاتب الكبرى والشركات القانونية متعددة الجنسيات: تعتمد هذه المكاتب على أدوات الذكاء الاصطناعي القانوني المتخصصة، وتتكامل مع شركات التقنية الكبرى من خلال عقود اشتراك مؤسسية. وتمتلك بعض هذه المكاتب أقساماً تقنية متخصصة تتولى إدارة هذه الأدوات والإشراف على مخرجاتها. وتُفيد تقارير غير رسمية بأن بعض الشركات القانونية الكبرى العاملة في المملكة بدأت بتوظيف مختصين في "القانون والتقنية"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Specialists</w:t>
      </w:r>
      <w:proofErr w:type="spellEnd"/>
      <w:r>
        <w:rPr>
          <w:rFonts w:asciiTheme="majorBidi" w:hAnsiTheme="majorBidi" w:cstheme="majorBidi"/>
          <w:sz w:val="24"/>
          <w:szCs w:val="24"/>
          <w:rtl/>
        </w:rPr>
        <w:t>) لسد الفجوة بين الكفاءة القانونية والإتقان التقني. ويتسم هذا النمط بأنه الأقل إشكالية نسبياً، لوجود رقابة مؤسسية ذاتية وبروتوكولات داخلية.</w:t>
      </w:r>
    </w:p>
    <w:p w14:paraId="4073449B" w14:textId="77777777" w:rsidR="005705DD" w:rsidRDefault="005705DD" w:rsidP="005705DD">
      <w:pPr>
        <w:bidi/>
        <w:spacing w:after="200" w:line="276" w:lineRule="auto"/>
        <w:rPr>
          <w:rtl/>
        </w:rPr>
      </w:pPr>
      <w:r>
        <w:rPr>
          <w:rFonts w:asciiTheme="majorBidi" w:hAnsiTheme="majorBidi" w:cstheme="majorBidi"/>
          <w:sz w:val="24"/>
          <w:szCs w:val="24"/>
          <w:rtl/>
        </w:rPr>
        <w:t xml:space="preserve">النمط الثاني — المكاتب المتوسطة: تعتمد في الغالب على الأدوات التوليدية العامة </w:t>
      </w:r>
      <w:proofErr w:type="spellStart"/>
      <w:proofErr w:type="gramStart"/>
      <w:r>
        <w:rPr>
          <w:rFonts w:asciiTheme="majorBidi" w:hAnsiTheme="majorBidi" w:cstheme="majorBidi"/>
          <w:sz w:val="24"/>
          <w:szCs w:val="24"/>
          <w:rtl/>
        </w:rPr>
        <w:t>كـChatGPT</w:t>
      </w:r>
      <w:proofErr w:type="spellEnd"/>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وCopilot</w:t>
      </w:r>
      <w:proofErr w:type="spellEnd"/>
      <w:r>
        <w:rPr>
          <w:rFonts w:asciiTheme="majorBidi" w:hAnsiTheme="majorBidi" w:cstheme="majorBidi"/>
          <w:sz w:val="24"/>
          <w:szCs w:val="24"/>
          <w:rtl/>
        </w:rPr>
        <w:t>، مع استخدام برمجيات إدارة القضايا التقليدية. ويتسم استخدامها بالعشوائية وغياب السياسات الداخلية المنظِّمة، وتتفاوت أساليب الاستخدام بين المحامين في المكتب الواحد دون ضابط مؤسسي. وهذا النمط هو الأوسع انتشاراً عددياً في السوق القانوني السعودي، وهو الأكثر احتياجاً للتوجيه التنظيمي.</w:t>
      </w:r>
    </w:p>
    <w:p w14:paraId="211BBB69" w14:textId="77777777" w:rsidR="005705DD" w:rsidRDefault="005705DD" w:rsidP="005705DD">
      <w:pPr>
        <w:bidi/>
        <w:spacing w:after="200" w:line="276" w:lineRule="auto"/>
        <w:rPr>
          <w:rtl/>
        </w:rPr>
      </w:pPr>
      <w:r>
        <w:rPr>
          <w:rFonts w:asciiTheme="majorBidi" w:hAnsiTheme="majorBidi" w:cstheme="majorBidi"/>
          <w:sz w:val="24"/>
          <w:szCs w:val="24"/>
          <w:rtl/>
        </w:rPr>
        <w:t xml:space="preserve">النمط الثالث — المكاتب الصغيرة والمحامون الأفراد: يلجؤون أساساً إلى الأدوات المجانية أو منخفضة الكلفة، وفي مقدمتها النسخ المجانية من </w:t>
      </w:r>
      <w:proofErr w:type="spellStart"/>
      <w:r>
        <w:rPr>
          <w:rFonts w:asciiTheme="majorBidi" w:hAnsiTheme="majorBidi" w:cstheme="majorBidi"/>
          <w:sz w:val="24"/>
          <w:szCs w:val="24"/>
          <w:rtl/>
        </w:rPr>
        <w:t>ChatGPT</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وGemini</w:t>
      </w:r>
      <w:proofErr w:type="spellEnd"/>
      <w:r>
        <w:rPr>
          <w:rFonts w:asciiTheme="majorBidi" w:hAnsiTheme="majorBidi" w:cstheme="majorBidi"/>
          <w:sz w:val="24"/>
          <w:szCs w:val="24"/>
          <w:rtl/>
        </w:rPr>
        <w:t>. وهذا النمط هو الأكثر إثارةً للإشكاليات القانونية والمهنية لغياب أي رقابة مؤسسية وعدم اليقين من مدى الالتزام بضوابط الخصوصية والسرية.</w:t>
      </w:r>
    </w:p>
    <w:p w14:paraId="3FF18176"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w:t>
      </w:r>
      <w:commentRangeStart w:id="22"/>
      <w:commentRangeStart w:id="23"/>
      <w:commentRangeStart w:id="24"/>
      <w:r>
        <w:rPr>
          <w:rFonts w:asciiTheme="majorBidi" w:hAnsiTheme="majorBidi" w:cstheme="majorBidi"/>
          <w:sz w:val="24"/>
          <w:szCs w:val="24"/>
          <w:rtl/>
        </w:rPr>
        <w:t xml:space="preserve">أن ضعف التوثيق الرسمي للاستخدام الفعلي لهذه الأدوات في البيئة السعودية يُشكّل بحد ذاته إشكاليةً تنظيميةً، إذ لا يمكن رسم سياسة تنظيمية دقيقة دون بيانات إحصائية موثوقة تكشف عن حجم الانتشار وأنماطه. ومن مهام الباحث أيضاً لفت النظر إلى أن من أولويات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والهيئة السعودية للمحامين إجراء مسح ميداني شامل لتقييم حجم الاعتماد على الذكاء الاصطناعي في مكاتب المحاماة السعودية.</w:t>
      </w:r>
      <w:commentRangeEnd w:id="22"/>
      <w:r>
        <w:rPr>
          <w:rStyle w:val="af0"/>
          <w:sz w:val="22"/>
          <w:szCs w:val="22"/>
          <w:rtl/>
        </w:rPr>
        <w:commentReference w:id="22"/>
      </w:r>
      <w:commentRangeEnd w:id="23"/>
      <w:r>
        <w:rPr>
          <w:rStyle w:val="af0"/>
          <w:sz w:val="22"/>
          <w:szCs w:val="22"/>
          <w:rtl/>
        </w:rPr>
        <w:commentReference w:id="23"/>
      </w:r>
      <w:commentRangeEnd w:id="24"/>
      <w:r w:rsidR="00B6053A">
        <w:rPr>
          <w:rStyle w:val="af0"/>
          <w:rtl/>
        </w:rPr>
        <w:commentReference w:id="24"/>
      </w:r>
    </w:p>
    <w:p w14:paraId="2F006F4C" w14:textId="77777777" w:rsidR="005705DD" w:rsidRDefault="005705DD" w:rsidP="005705DD">
      <w:pPr>
        <w:bidi/>
        <w:spacing w:after="200" w:line="276" w:lineRule="auto"/>
        <w:rPr>
          <w:rtl/>
        </w:rPr>
      </w:pPr>
      <w:r>
        <w:rPr>
          <w:rFonts w:asciiTheme="majorBidi" w:hAnsiTheme="majorBidi" w:cstheme="majorBidi"/>
          <w:b/>
          <w:sz w:val="28"/>
          <w:szCs w:val="28"/>
          <w:rtl/>
        </w:rPr>
        <w:t>ثالثاً: الفارق الجوهري بين الذكاء الاصطناعي القانوني والبرمجيات القانونية</w:t>
      </w:r>
    </w:p>
    <w:p w14:paraId="3EBA91DF" w14:textId="77777777" w:rsidR="005705DD" w:rsidRDefault="005705DD" w:rsidP="005705DD">
      <w:pPr>
        <w:bidi/>
        <w:spacing w:after="200" w:line="276" w:lineRule="auto"/>
        <w:rPr>
          <w:rtl/>
        </w:rPr>
      </w:pPr>
      <w:commentRangeStart w:id="25"/>
      <w:r>
        <w:rPr>
          <w:rFonts w:asciiTheme="majorBidi" w:hAnsiTheme="majorBidi" w:cstheme="majorBidi"/>
          <w:sz w:val="24"/>
          <w:szCs w:val="24"/>
          <w:rtl/>
        </w:rPr>
        <w:t xml:space="preserve">يتعامل بعض الكتّاب مع كل برنامج يستخدمه المحامي في عمله باعتباره "ذكاء اصطناعياً"، وهو تعميم أفضى إلى أخطاء تحليلية متعددة في الأدبيات القانونية. </w:t>
      </w:r>
      <w:commentRangeEnd w:id="25"/>
      <w:r w:rsidR="00B6053A">
        <w:rPr>
          <w:rStyle w:val="af0"/>
          <w:rtl/>
        </w:rPr>
        <w:commentReference w:id="25"/>
      </w:r>
      <w:r>
        <w:rPr>
          <w:rFonts w:asciiTheme="majorBidi" w:hAnsiTheme="majorBidi" w:cstheme="majorBidi"/>
          <w:sz w:val="24"/>
          <w:szCs w:val="24"/>
          <w:rtl/>
        </w:rPr>
        <w:t>وللتمييز الدقيق بين هذين الصنفين في سياقهما التطبيقي، يمكن القول إن البرمجيات القانونية التقليدية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Software</w:t>
      </w:r>
      <w:proofErr w:type="spellEnd"/>
      <w:r>
        <w:rPr>
          <w:rFonts w:asciiTheme="majorBidi" w:hAnsiTheme="majorBidi" w:cstheme="majorBidi"/>
          <w:sz w:val="24"/>
          <w:szCs w:val="24"/>
          <w:rtl/>
        </w:rPr>
        <w:t xml:space="preserve">) هي أدوات برمجية تقوم على تنفيذ قواعد ثابتة ومحددة مسبقاً دون قدرة على التعلم الذاتي أو الاستنتاج خارج نطاق ما بُرمجت عليه. ومن أمثلتها في البيئة القانونية السعودية: أنظمة إدارة القضايا </w:t>
      </w:r>
      <w:proofErr w:type="spellStart"/>
      <w:proofErr w:type="gramStart"/>
      <w:r>
        <w:rPr>
          <w:rFonts w:asciiTheme="majorBidi" w:hAnsiTheme="majorBidi" w:cstheme="majorBidi"/>
          <w:sz w:val="24"/>
          <w:szCs w:val="24"/>
          <w:rtl/>
        </w:rPr>
        <w:t>كـClio</w:t>
      </w:r>
      <w:proofErr w:type="spellEnd"/>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وMyCase</w:t>
      </w:r>
      <w:proofErr w:type="spellEnd"/>
      <w:r>
        <w:rPr>
          <w:rFonts w:asciiTheme="majorBidi" w:hAnsiTheme="majorBidi" w:cstheme="majorBidi"/>
          <w:sz w:val="24"/>
          <w:szCs w:val="24"/>
          <w:rtl/>
        </w:rPr>
        <w:t xml:space="preserve">، وبرامج </w:t>
      </w:r>
      <w:proofErr w:type="spellStart"/>
      <w:r>
        <w:rPr>
          <w:rFonts w:asciiTheme="majorBidi" w:hAnsiTheme="majorBidi" w:cstheme="majorBidi"/>
          <w:sz w:val="24"/>
          <w:szCs w:val="24"/>
          <w:rtl/>
        </w:rPr>
        <w:t>الفوترة</w:t>
      </w:r>
      <w:proofErr w:type="spellEnd"/>
      <w:r>
        <w:rPr>
          <w:rFonts w:asciiTheme="majorBidi" w:hAnsiTheme="majorBidi" w:cstheme="majorBidi"/>
          <w:sz w:val="24"/>
          <w:szCs w:val="24"/>
          <w:rtl/>
        </w:rPr>
        <w:t xml:space="preserve"> القانونية، وأنظمة إدارة الوثائق </w:t>
      </w:r>
      <w:proofErr w:type="spellStart"/>
      <w:r>
        <w:rPr>
          <w:rFonts w:asciiTheme="majorBidi" w:hAnsiTheme="majorBidi" w:cstheme="majorBidi"/>
          <w:sz w:val="24"/>
          <w:szCs w:val="24"/>
          <w:rtl/>
        </w:rPr>
        <w:t>كـiManage</w:t>
      </w:r>
      <w:proofErr w:type="spellEnd"/>
      <w:r>
        <w:rPr>
          <w:rFonts w:asciiTheme="majorBidi" w:hAnsiTheme="majorBidi" w:cstheme="majorBidi"/>
          <w:sz w:val="24"/>
          <w:szCs w:val="24"/>
          <w:rtl/>
        </w:rPr>
        <w:t>، وبرامج أتمتة النماذج القانونية القياسية. كل هذه الأدوات، وإن كانت تُسهم في رفع كفاءة العمل، إلا أنها لا تُوصَف تقنياً بأنها "ذكاء اصطناعي" بمعناه الدقيق.</w:t>
      </w:r>
    </w:p>
    <w:p w14:paraId="167AFAFF"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أما الذكاء الاصطناعي القانوني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AI) فيعتمد على نماذج تعلم آلي أو معالجة لغة طبيعية أو ذكاء اصطناعي توليدي، مما يمنحه قدرة على استيعاب مدخلات غير متوقعة، واستنتاج أنماط من بيانات ضخمة، وتوليد نصوص أو تقييمات لم تُبرمَج صراحةً. والفارق هنا ليس مجرد فارق تقني، بل له تبعات قانونية متمايزة من حيث المسؤولية والمساءلة؛ فالمحامي الذي يُدخل بيانات موكله في نموذج لغوي كبير يتعرض لمخاطر مغايرة تماماً لتلك التي تنجم عن استخدامه لبرنامج إدارة قضايا محلي لا يتواصل مع شبكة خارجية.</w:t>
      </w:r>
    </w:p>
    <w:p w14:paraId="06FBBA18" w14:textId="77777777" w:rsidR="005705DD" w:rsidRDefault="005705DD" w:rsidP="005705DD">
      <w:pPr>
        <w:bidi/>
        <w:spacing w:after="200" w:line="276" w:lineRule="auto"/>
        <w:rPr>
          <w:rtl/>
        </w:rPr>
      </w:pPr>
      <w:r>
        <w:rPr>
          <w:rFonts w:asciiTheme="majorBidi" w:hAnsiTheme="majorBidi" w:cstheme="majorBidi"/>
          <w:sz w:val="24"/>
          <w:szCs w:val="24"/>
          <w:rtl/>
        </w:rPr>
        <w:t>وفيما يخص هذا التمييز، يلاحظ جانب من الفقه أن</w:t>
      </w:r>
      <w:commentRangeStart w:id="26"/>
      <w:commentRangeStart w:id="27"/>
      <w:commentRangeEnd w:id="26"/>
      <w:r>
        <w:rPr>
          <w:rStyle w:val="af0"/>
          <w:rFonts w:asciiTheme="majorBidi" w:hAnsiTheme="majorBidi" w:cstheme="majorBidi"/>
          <w:sz w:val="24"/>
          <w:szCs w:val="24"/>
          <w:rtl/>
        </w:rPr>
        <w:commentReference w:id="26"/>
      </w:r>
      <w:commentRangeEnd w:id="27"/>
      <w:r>
        <w:rPr>
          <w:rStyle w:val="af0"/>
          <w:rFonts w:asciiTheme="majorBidi" w:hAnsiTheme="majorBidi" w:cstheme="majorBidi"/>
          <w:sz w:val="24"/>
          <w:szCs w:val="24"/>
          <w:rtl/>
        </w:rPr>
        <w:commentReference w:id="27"/>
      </w:r>
      <w:r>
        <w:rPr>
          <w:rFonts w:asciiTheme="majorBidi" w:hAnsiTheme="majorBidi" w:cstheme="majorBidi"/>
          <w:sz w:val="24"/>
          <w:szCs w:val="24"/>
          <w:rtl/>
        </w:rPr>
        <w:t xml:space="preserve"> الخلط بين الصنفين يُفضي إلى إما إفراط في التنظيم للبرمجيات البسيطة غير الخطِرة، أو تساهل في التنظيم تجاه الأنظمة الذكية ذات المخاطر </w:t>
      </w:r>
      <w:proofErr w:type="gramStart"/>
      <w:r>
        <w:rPr>
          <w:rFonts w:asciiTheme="majorBidi" w:hAnsiTheme="majorBidi" w:cstheme="majorBidi"/>
          <w:sz w:val="24"/>
          <w:szCs w:val="24"/>
          <w:rtl/>
        </w:rPr>
        <w:t xml:space="preserve">الحقيقية </w:t>
      </w:r>
      <w:r>
        <w:rPr>
          <w:rFonts w:asciiTheme="majorBidi" w:hAnsiTheme="majorBidi" w:cstheme="majorBidi"/>
          <w:sz w:val="24"/>
          <w:szCs w:val="24"/>
          <w:vertAlign w:val="superscript"/>
          <w:rtl/>
        </w:rPr>
        <w:footnoteReference w:id="285"/>
      </w:r>
      <w:r>
        <w:rPr>
          <w:rFonts w:asciiTheme="majorBidi" w:hAnsiTheme="majorBidi" w:cstheme="majorBidi"/>
          <w:sz w:val="24"/>
          <w:szCs w:val="24"/>
          <w:rtl/>
        </w:rPr>
        <w:t>.</w:t>
      </w:r>
      <w:proofErr w:type="gramEnd"/>
      <w:r>
        <w:rPr>
          <w:rFonts w:asciiTheme="majorBidi" w:hAnsiTheme="majorBidi" w:cstheme="majorBidi"/>
          <w:sz w:val="24"/>
          <w:szCs w:val="24"/>
          <w:rtl/>
        </w:rPr>
        <w:t xml:space="preserve"> ويرى الباحث أن الحل الأمثل هو أن يتبنّى المشرّع السعودي تعريفاً تشريعياً يُميّز بوضوح بين الأنظمة التي تعتمد على التعلم الذاتي والنماذج الاحتمالية من جهة، والبرمجيات القائمة على قواعد ثابتة ذات الدور المساعد من جهة أخرى</w:t>
      </w:r>
      <w:commentRangeStart w:id="28"/>
      <w:commentRangeStart w:id="29"/>
      <w:commentRangeEnd w:id="28"/>
      <w:r>
        <w:rPr>
          <w:rStyle w:val="af0"/>
          <w:rFonts w:asciiTheme="majorBidi" w:hAnsiTheme="majorBidi" w:cstheme="majorBidi"/>
          <w:sz w:val="24"/>
          <w:szCs w:val="24"/>
          <w:rtl/>
        </w:rPr>
        <w:commentReference w:id="28"/>
      </w:r>
      <w:commentRangeEnd w:id="29"/>
      <w:r>
        <w:rPr>
          <w:rStyle w:val="af0"/>
          <w:rFonts w:asciiTheme="majorBidi" w:hAnsiTheme="majorBidi" w:cstheme="majorBidi"/>
          <w:sz w:val="24"/>
          <w:szCs w:val="24"/>
          <w:rtl/>
        </w:rPr>
        <w:commentReference w:id="29"/>
      </w:r>
      <w:r>
        <w:rPr>
          <w:rFonts w:asciiTheme="majorBidi" w:hAnsiTheme="majorBidi" w:cstheme="majorBidi"/>
          <w:sz w:val="24"/>
          <w:szCs w:val="24"/>
          <w:rtl/>
        </w:rPr>
        <w:t>، تمهيداً لتطبيق متطلبات تنظيمية متباينة على كل فئة بحسب درجة مخاطرها.</w:t>
      </w:r>
    </w:p>
    <w:p w14:paraId="021ED9B4" w14:textId="77777777" w:rsidR="005705DD" w:rsidRDefault="005705DD" w:rsidP="005705DD"/>
    <w:p w14:paraId="74927D98" w14:textId="77777777" w:rsidR="005705DD" w:rsidRDefault="005705DD" w:rsidP="005705DD">
      <w:pPr>
        <w:bidi/>
        <w:spacing w:after="200" w:line="276" w:lineRule="auto"/>
        <w:rPr>
          <w:rtl/>
        </w:rPr>
      </w:pPr>
      <w:r>
        <w:rPr>
          <w:rFonts w:asciiTheme="majorBidi" w:hAnsiTheme="majorBidi" w:cstheme="majorBidi"/>
          <w:b/>
          <w:sz w:val="28"/>
          <w:szCs w:val="28"/>
          <w:rtl/>
        </w:rPr>
        <w:t>رابعاً: أبرز أدوات الذكاء الاصطناعي الغربية المتداولة في السوق القانوني السعودي</w:t>
      </w:r>
    </w:p>
    <w:p w14:paraId="32E91AB2" w14:textId="77777777" w:rsidR="005705DD" w:rsidRDefault="005705DD" w:rsidP="005705DD">
      <w:pPr>
        <w:bidi/>
        <w:spacing w:after="200" w:line="276" w:lineRule="auto"/>
        <w:rPr>
          <w:rtl/>
        </w:rPr>
      </w:pPr>
      <w:r>
        <w:rPr>
          <w:rFonts w:asciiTheme="majorBidi" w:hAnsiTheme="majorBidi" w:cstheme="majorBidi"/>
          <w:sz w:val="24"/>
          <w:szCs w:val="24"/>
          <w:rtl/>
        </w:rPr>
        <w:t xml:space="preserve">شهد السوق القانوني السعودي انتشاراً واسعاً لعدد من نماذج الذكاء الاصطناعي التوليدية التي باتت حاضرةً في بيئة عمل مكاتب المحاماة. وفي مقدمة هذه الأدوات نموذج </w:t>
      </w:r>
      <w:proofErr w:type="spellStart"/>
      <w:r>
        <w:rPr>
          <w:rFonts w:asciiTheme="majorBidi" w:hAnsiTheme="majorBidi" w:cstheme="majorBidi"/>
          <w:sz w:val="24"/>
          <w:szCs w:val="24"/>
          <w:rtl/>
        </w:rPr>
        <w:t>ChatGPT</w:t>
      </w:r>
      <w:proofErr w:type="spellEnd"/>
      <w:r>
        <w:rPr>
          <w:rFonts w:asciiTheme="majorBidi" w:hAnsiTheme="majorBidi" w:cstheme="majorBidi"/>
          <w:sz w:val="24"/>
          <w:szCs w:val="24"/>
          <w:rtl/>
        </w:rPr>
        <w:t xml:space="preserve"> الصادر عن شركة </w:t>
      </w:r>
      <w:proofErr w:type="spellStart"/>
      <w:r>
        <w:rPr>
          <w:rFonts w:asciiTheme="majorBidi" w:hAnsiTheme="majorBidi" w:cstheme="majorBidi"/>
          <w:sz w:val="24"/>
          <w:szCs w:val="24"/>
          <w:rtl/>
        </w:rPr>
        <w:t>OpenAI</w:t>
      </w:r>
      <w:proofErr w:type="spellEnd"/>
      <w:r>
        <w:rPr>
          <w:rFonts w:asciiTheme="majorBidi" w:hAnsiTheme="majorBidi" w:cstheme="majorBidi"/>
          <w:sz w:val="24"/>
          <w:szCs w:val="24"/>
          <w:rtl/>
        </w:rPr>
        <w:t xml:space="preserve">، الذي يُستخدم في صياغة المراسلات القانونية وتلخيص الوثائق والإجابة على الاستفسارات الأولية </w:t>
      </w:r>
      <w:proofErr w:type="gramStart"/>
      <w:r>
        <w:rPr>
          <w:rFonts w:asciiTheme="majorBidi" w:hAnsiTheme="majorBidi" w:cstheme="majorBidi"/>
          <w:sz w:val="24"/>
          <w:szCs w:val="24"/>
          <w:rtl/>
        </w:rPr>
        <w:t>للعملاء.</w:t>
      </w:r>
      <w:commentRangeStart w:id="30"/>
      <w:r>
        <w:rPr>
          <w:rFonts w:asciiTheme="majorBidi" w:hAnsiTheme="majorBidi" w:cstheme="majorBidi"/>
          <w:sz w:val="16"/>
          <w:szCs w:val="16"/>
          <w:vertAlign w:val="superscript"/>
          <w:rtl/>
        </w:rPr>
        <w:t>(</w:t>
      </w:r>
      <w:proofErr w:type="gramEnd"/>
      <w:r>
        <w:rPr>
          <w:rFonts w:asciiTheme="majorBidi" w:hAnsiTheme="majorBidi" w:cstheme="majorBidi"/>
          <w:sz w:val="16"/>
          <w:szCs w:val="16"/>
          <w:vertAlign w:val="superscript"/>
          <w:rtl/>
        </w:rPr>
        <w:t>1)</w:t>
      </w:r>
      <w:commentRangeEnd w:id="30"/>
      <w:r w:rsidR="00B6053A">
        <w:rPr>
          <w:rStyle w:val="af0"/>
          <w:rtl/>
        </w:rPr>
        <w:commentReference w:id="30"/>
      </w:r>
    </w:p>
    <w:p w14:paraId="33B1ED6A" w14:textId="77777777" w:rsidR="005705DD" w:rsidRDefault="005705DD" w:rsidP="005705DD">
      <w:pPr>
        <w:bidi/>
        <w:spacing w:after="200" w:line="276" w:lineRule="auto"/>
        <w:rPr>
          <w:rtl/>
        </w:rPr>
      </w:pPr>
      <w:r>
        <w:rPr>
          <w:rFonts w:asciiTheme="majorBidi" w:hAnsiTheme="majorBidi" w:cstheme="majorBidi"/>
          <w:sz w:val="24"/>
          <w:szCs w:val="24"/>
          <w:rtl/>
        </w:rPr>
        <w:t xml:space="preserve">ويُنافسه نموذج </w:t>
      </w:r>
      <w:proofErr w:type="spellStart"/>
      <w:r>
        <w:rPr>
          <w:rFonts w:asciiTheme="majorBidi" w:hAnsiTheme="majorBidi" w:cstheme="majorBidi"/>
          <w:sz w:val="24"/>
          <w:szCs w:val="24"/>
          <w:rtl/>
        </w:rPr>
        <w:t>Claude</w:t>
      </w:r>
      <w:proofErr w:type="spellEnd"/>
      <w:r>
        <w:rPr>
          <w:rFonts w:asciiTheme="majorBidi" w:hAnsiTheme="majorBidi" w:cstheme="majorBidi"/>
          <w:sz w:val="24"/>
          <w:szCs w:val="24"/>
          <w:rtl/>
        </w:rPr>
        <w:t xml:space="preserve"> الصادر عن شركة </w:t>
      </w:r>
      <w:proofErr w:type="spellStart"/>
      <w:r>
        <w:rPr>
          <w:rFonts w:asciiTheme="majorBidi" w:hAnsiTheme="majorBidi" w:cstheme="majorBidi"/>
          <w:sz w:val="24"/>
          <w:szCs w:val="24"/>
          <w:rtl/>
        </w:rPr>
        <w:t>Anthropic</w:t>
      </w:r>
      <w:proofErr w:type="spellEnd"/>
      <w:r>
        <w:rPr>
          <w:rFonts w:asciiTheme="majorBidi" w:hAnsiTheme="majorBidi" w:cstheme="majorBidi"/>
          <w:sz w:val="24"/>
          <w:szCs w:val="24"/>
          <w:rtl/>
        </w:rPr>
        <w:t xml:space="preserve">، والذي يتميز بقدرته على معالجة المستندات البالغة مئتي ألف وحدة نصية، وتحليل العقود بدقة أعلى، مما جعله خياراً مفضلاً لدى عدد من المكاتب القانونية المتخصصة في مراجعة العقود الضخمة ضمن مشاريع التحكيم التجاري والمعاملات العقارية </w:t>
      </w:r>
      <w:proofErr w:type="gramStart"/>
      <w:r>
        <w:rPr>
          <w:rFonts w:asciiTheme="majorBidi" w:hAnsiTheme="majorBidi" w:cstheme="majorBidi"/>
          <w:sz w:val="24"/>
          <w:szCs w:val="24"/>
          <w:rtl/>
        </w:rPr>
        <w:t>الكبرى</w:t>
      </w:r>
      <w:commentRangeStart w:id="31"/>
      <w:r>
        <w:rPr>
          <w:rFonts w:asciiTheme="majorBidi" w:hAnsiTheme="majorBidi" w:cstheme="majorBidi"/>
          <w:sz w:val="24"/>
          <w:szCs w:val="24"/>
          <w:rtl/>
        </w:rPr>
        <w:t>.</w:t>
      </w:r>
      <w:r>
        <w:rPr>
          <w:rFonts w:asciiTheme="majorBidi" w:hAnsiTheme="majorBidi" w:cstheme="majorBidi"/>
          <w:sz w:val="16"/>
          <w:szCs w:val="16"/>
          <w:vertAlign w:val="superscript"/>
          <w:rtl/>
        </w:rPr>
        <w:t>(</w:t>
      </w:r>
      <w:proofErr w:type="gramEnd"/>
      <w:r>
        <w:rPr>
          <w:rFonts w:asciiTheme="majorBidi" w:hAnsiTheme="majorBidi" w:cstheme="majorBidi"/>
          <w:sz w:val="16"/>
          <w:szCs w:val="16"/>
          <w:vertAlign w:val="superscript"/>
          <w:rtl/>
        </w:rPr>
        <w:t>2)</w:t>
      </w:r>
      <w:commentRangeEnd w:id="31"/>
      <w:r w:rsidR="00B6053A">
        <w:rPr>
          <w:rStyle w:val="af0"/>
          <w:rtl/>
        </w:rPr>
        <w:commentReference w:id="31"/>
      </w:r>
    </w:p>
    <w:p w14:paraId="4BEDD1AD" w14:textId="77777777" w:rsidR="005705DD" w:rsidRDefault="005705DD" w:rsidP="005705DD">
      <w:pPr>
        <w:bidi/>
        <w:spacing w:after="200" w:line="276" w:lineRule="auto"/>
        <w:rPr>
          <w:rtl/>
        </w:rPr>
      </w:pPr>
      <w:r>
        <w:rPr>
          <w:rFonts w:asciiTheme="majorBidi" w:hAnsiTheme="majorBidi" w:cstheme="majorBidi"/>
          <w:sz w:val="24"/>
          <w:szCs w:val="24"/>
          <w:rtl/>
        </w:rPr>
        <w:t xml:space="preserve">أما نموذج </w:t>
      </w:r>
      <w:proofErr w:type="spellStart"/>
      <w:r>
        <w:rPr>
          <w:rFonts w:asciiTheme="majorBidi" w:hAnsiTheme="majorBidi" w:cstheme="majorBidi"/>
          <w:sz w:val="24"/>
          <w:szCs w:val="24"/>
          <w:rtl/>
        </w:rPr>
        <w:t>Gemini</w:t>
      </w:r>
      <w:proofErr w:type="spellEnd"/>
      <w:r>
        <w:rPr>
          <w:rFonts w:asciiTheme="majorBidi" w:hAnsiTheme="majorBidi" w:cstheme="majorBidi"/>
          <w:sz w:val="24"/>
          <w:szCs w:val="24"/>
          <w:rtl/>
        </w:rPr>
        <w:t xml:space="preserve"> الصادر عن </w:t>
      </w:r>
      <w:proofErr w:type="spellStart"/>
      <w:r>
        <w:rPr>
          <w:rFonts w:asciiTheme="majorBidi" w:hAnsiTheme="majorBidi" w:cstheme="majorBidi"/>
          <w:sz w:val="24"/>
          <w:szCs w:val="24"/>
          <w:rtl/>
        </w:rPr>
        <w:t>Google</w:t>
      </w:r>
      <w:proofErr w:type="spellEnd"/>
      <w:r>
        <w:rPr>
          <w:rFonts w:asciiTheme="majorBidi" w:hAnsiTheme="majorBidi" w:cstheme="majorBidi"/>
          <w:sz w:val="24"/>
          <w:szCs w:val="24"/>
          <w:rtl/>
        </w:rPr>
        <w:t xml:space="preserve"> فيتيح التكامل المباشر مع منظومة أدوات العمل المكتبي (</w:t>
      </w:r>
      <w:proofErr w:type="spellStart"/>
      <w:r>
        <w:rPr>
          <w:rFonts w:asciiTheme="majorBidi" w:hAnsiTheme="majorBidi" w:cstheme="majorBidi"/>
          <w:sz w:val="24"/>
          <w:szCs w:val="24"/>
          <w:rtl/>
        </w:rPr>
        <w:t>Google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Workspace</w:t>
      </w:r>
      <w:proofErr w:type="spellEnd"/>
      <w:r>
        <w:rPr>
          <w:rFonts w:asciiTheme="majorBidi" w:hAnsiTheme="majorBidi" w:cstheme="majorBidi"/>
          <w:sz w:val="24"/>
          <w:szCs w:val="24"/>
          <w:rtl/>
        </w:rPr>
        <w:t xml:space="preserve">)، مما يُيسّر توثيق الإجراءات وإعداد التقارير. كما تبرز أدوات متخصصة </w:t>
      </w:r>
      <w:proofErr w:type="spellStart"/>
      <w:r>
        <w:rPr>
          <w:rFonts w:asciiTheme="majorBidi" w:hAnsiTheme="majorBidi" w:cstheme="majorBidi"/>
          <w:sz w:val="24"/>
          <w:szCs w:val="24"/>
          <w:rtl/>
        </w:rPr>
        <w:t>كـCopilot</w:t>
      </w:r>
      <w:proofErr w:type="spellEnd"/>
      <w:r>
        <w:rPr>
          <w:rFonts w:asciiTheme="majorBidi" w:hAnsiTheme="majorBidi" w:cstheme="majorBidi"/>
          <w:sz w:val="24"/>
          <w:szCs w:val="24"/>
          <w:rtl/>
        </w:rPr>
        <w:t xml:space="preserve"> من </w:t>
      </w:r>
      <w:proofErr w:type="spellStart"/>
      <w:r>
        <w:rPr>
          <w:rFonts w:asciiTheme="majorBidi" w:hAnsiTheme="majorBidi" w:cstheme="majorBidi"/>
          <w:sz w:val="24"/>
          <w:szCs w:val="24"/>
          <w:rtl/>
        </w:rPr>
        <w:t>Microsoft</w:t>
      </w:r>
      <w:proofErr w:type="spellEnd"/>
      <w:r>
        <w:rPr>
          <w:rFonts w:asciiTheme="majorBidi" w:hAnsiTheme="majorBidi" w:cstheme="majorBidi"/>
          <w:sz w:val="24"/>
          <w:szCs w:val="24"/>
          <w:rtl/>
        </w:rPr>
        <w:t xml:space="preserve"> المدمج في حزمة </w:t>
      </w:r>
      <w:proofErr w:type="spellStart"/>
      <w:r>
        <w:rPr>
          <w:rFonts w:asciiTheme="majorBidi" w:hAnsiTheme="majorBidi" w:cstheme="majorBidi"/>
          <w:sz w:val="24"/>
          <w:szCs w:val="24"/>
          <w:rtl/>
        </w:rPr>
        <w:t>Microsoft</w:t>
      </w:r>
      <w:proofErr w:type="spellEnd"/>
      <w:r>
        <w:rPr>
          <w:rFonts w:asciiTheme="majorBidi" w:hAnsiTheme="majorBidi" w:cstheme="majorBidi"/>
          <w:sz w:val="24"/>
          <w:szCs w:val="24"/>
          <w:rtl/>
        </w:rPr>
        <w:t xml:space="preserve"> 365، وأدوات قانونية موجّهة </w:t>
      </w:r>
      <w:proofErr w:type="spellStart"/>
      <w:r>
        <w:rPr>
          <w:rFonts w:asciiTheme="majorBidi" w:hAnsiTheme="majorBidi" w:cstheme="majorBidi"/>
          <w:sz w:val="24"/>
          <w:szCs w:val="24"/>
          <w:rtl/>
        </w:rPr>
        <w:t>كـHarvey</w:t>
      </w:r>
      <w:proofErr w:type="spellEnd"/>
      <w:r>
        <w:rPr>
          <w:rFonts w:asciiTheme="majorBidi" w:hAnsiTheme="majorBidi" w:cstheme="majorBidi"/>
          <w:sz w:val="24"/>
          <w:szCs w:val="24"/>
          <w:rtl/>
        </w:rPr>
        <w:t xml:space="preserve"> AI </w:t>
      </w:r>
      <w:proofErr w:type="spellStart"/>
      <w:r>
        <w:rPr>
          <w:rFonts w:asciiTheme="majorBidi" w:hAnsiTheme="majorBidi" w:cstheme="majorBidi"/>
          <w:sz w:val="24"/>
          <w:szCs w:val="24"/>
          <w:rtl/>
        </w:rPr>
        <w:t>وClio</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Duo</w:t>
      </w:r>
      <w:proofErr w:type="spellEnd"/>
      <w:r>
        <w:rPr>
          <w:rFonts w:asciiTheme="majorBidi" w:hAnsiTheme="majorBidi" w:cstheme="majorBidi"/>
          <w:sz w:val="24"/>
          <w:szCs w:val="24"/>
          <w:rtl/>
        </w:rPr>
        <w:t xml:space="preserve"> التي صُمّمت أصلاً للبيئة القانونية الناطقة </w:t>
      </w:r>
      <w:proofErr w:type="gramStart"/>
      <w:r>
        <w:rPr>
          <w:rFonts w:asciiTheme="majorBidi" w:hAnsiTheme="majorBidi" w:cstheme="majorBidi"/>
          <w:sz w:val="24"/>
          <w:szCs w:val="24"/>
          <w:rtl/>
        </w:rPr>
        <w:t>بالإنجليزية</w:t>
      </w:r>
      <w:commentRangeStart w:id="32"/>
      <w:r>
        <w:rPr>
          <w:rFonts w:asciiTheme="majorBidi" w:hAnsiTheme="majorBidi" w:cstheme="majorBidi"/>
          <w:sz w:val="24"/>
          <w:szCs w:val="24"/>
          <w:rtl/>
        </w:rPr>
        <w:t>.</w:t>
      </w:r>
      <w:r>
        <w:rPr>
          <w:rFonts w:asciiTheme="majorBidi" w:hAnsiTheme="majorBidi" w:cstheme="majorBidi"/>
          <w:sz w:val="16"/>
          <w:szCs w:val="16"/>
          <w:vertAlign w:val="superscript"/>
          <w:rtl/>
        </w:rPr>
        <w:t>(</w:t>
      </w:r>
      <w:proofErr w:type="gramEnd"/>
      <w:r>
        <w:rPr>
          <w:rFonts w:asciiTheme="majorBidi" w:hAnsiTheme="majorBidi" w:cstheme="majorBidi"/>
          <w:sz w:val="16"/>
          <w:szCs w:val="16"/>
          <w:vertAlign w:val="superscript"/>
          <w:rtl/>
        </w:rPr>
        <w:t>3)</w:t>
      </w:r>
      <w:commentRangeEnd w:id="32"/>
      <w:r w:rsidR="00B6053A">
        <w:rPr>
          <w:rStyle w:val="af0"/>
          <w:rtl/>
        </w:rPr>
        <w:commentReference w:id="32"/>
      </w:r>
    </w:p>
    <w:p w14:paraId="7D91AF56" w14:textId="77777777" w:rsidR="005705DD" w:rsidRDefault="005705DD" w:rsidP="005705DD">
      <w:pPr>
        <w:bidi/>
        <w:rPr>
          <w:rtl/>
        </w:rPr>
      </w:pPr>
    </w:p>
    <w:p w14:paraId="5900801C" w14:textId="77777777" w:rsidR="005705DD" w:rsidRDefault="005705DD" w:rsidP="005705DD">
      <w:pPr>
        <w:bidi/>
        <w:rPr>
          <w:rtl/>
        </w:rPr>
      </w:pPr>
    </w:p>
    <w:p w14:paraId="033F9468" w14:textId="77777777" w:rsidR="005705DD" w:rsidRDefault="005705DD" w:rsidP="005705DD">
      <w:pPr>
        <w:bidi/>
        <w:spacing w:after="200" w:line="276" w:lineRule="auto"/>
        <w:rPr>
          <w:rtl/>
        </w:rPr>
      </w:pPr>
      <w:r>
        <w:rPr>
          <w:rFonts w:asciiTheme="majorBidi" w:hAnsiTheme="majorBidi" w:cstheme="majorBidi"/>
          <w:b/>
          <w:sz w:val="28"/>
          <w:szCs w:val="28"/>
          <w:rtl/>
        </w:rPr>
        <w:t>خامساً: أبرز أدوات الذكاء الاصطناعي العربية والسعودية الناشئة</w:t>
      </w:r>
    </w:p>
    <w:p w14:paraId="392D1247" w14:textId="77777777" w:rsidR="005705DD" w:rsidRDefault="005705DD" w:rsidP="005705DD">
      <w:pPr>
        <w:bidi/>
        <w:spacing w:after="200" w:line="276" w:lineRule="auto"/>
        <w:rPr>
          <w:rtl/>
        </w:rPr>
      </w:pPr>
      <w:r>
        <w:rPr>
          <w:rFonts w:asciiTheme="majorBidi" w:hAnsiTheme="majorBidi" w:cstheme="majorBidi"/>
          <w:sz w:val="24"/>
          <w:szCs w:val="24"/>
          <w:rtl/>
        </w:rPr>
        <w:t>في سياق التحولات الرقمية الإقليمية، برزت مبادرات عربية وسعودية لتطوير نماذج ذكاء اصطناعي تُعالج القصور اللغوي والتشريعي في النماذج الغربية. فعلى صعيد النماذج العربية المتخصصة، طُوِّر في دولة الإمارات نموذج جيس (</w:t>
      </w:r>
      <w:proofErr w:type="spellStart"/>
      <w:r>
        <w:rPr>
          <w:rFonts w:asciiTheme="majorBidi" w:hAnsiTheme="majorBidi" w:cstheme="majorBidi"/>
          <w:sz w:val="24"/>
          <w:szCs w:val="24"/>
          <w:rtl/>
        </w:rPr>
        <w:t>Jais</w:t>
      </w:r>
      <w:proofErr w:type="spellEnd"/>
      <w:r>
        <w:rPr>
          <w:rFonts w:asciiTheme="majorBidi" w:hAnsiTheme="majorBidi" w:cstheme="majorBidi"/>
          <w:sz w:val="24"/>
          <w:szCs w:val="24"/>
          <w:rtl/>
        </w:rPr>
        <w:t xml:space="preserve">) عام 2023م، المدرَّب على مليارات الكلمات العربية الفصيحة والعامية، مع قدرة على فهم السياقات القانونية والاقتصادية العربية بصورة أعمق </w:t>
      </w:r>
      <w:commentRangeStart w:id="33"/>
      <w:commentRangeStart w:id="34"/>
      <w:r>
        <w:rPr>
          <w:rFonts w:asciiTheme="majorBidi" w:hAnsiTheme="majorBidi" w:cstheme="majorBidi"/>
          <w:sz w:val="24"/>
          <w:szCs w:val="24"/>
          <w:rtl/>
        </w:rPr>
        <w:t xml:space="preserve">من النماذج </w:t>
      </w:r>
      <w:proofErr w:type="gramStart"/>
      <w:r>
        <w:rPr>
          <w:rFonts w:asciiTheme="majorBidi" w:hAnsiTheme="majorBidi" w:cstheme="majorBidi"/>
          <w:sz w:val="24"/>
          <w:szCs w:val="24"/>
          <w:rtl/>
        </w:rPr>
        <w:t>الغربية.</w:t>
      </w:r>
      <w:r>
        <w:rPr>
          <w:rFonts w:asciiTheme="majorBidi" w:hAnsiTheme="majorBidi" w:cstheme="majorBidi"/>
          <w:sz w:val="16"/>
          <w:szCs w:val="16"/>
          <w:vertAlign w:val="superscript"/>
          <w:rtl/>
        </w:rPr>
        <w:t>(</w:t>
      </w:r>
      <w:commentRangeStart w:id="35"/>
      <w:proofErr w:type="gramEnd"/>
      <w:r>
        <w:rPr>
          <w:rFonts w:asciiTheme="majorBidi" w:hAnsiTheme="majorBidi" w:cstheme="majorBidi"/>
          <w:sz w:val="16"/>
          <w:szCs w:val="16"/>
          <w:vertAlign w:val="superscript"/>
          <w:rtl/>
        </w:rPr>
        <w:t>4)</w:t>
      </w:r>
      <w:commentRangeEnd w:id="33"/>
      <w:r>
        <w:rPr>
          <w:rStyle w:val="af0"/>
          <w:sz w:val="22"/>
          <w:szCs w:val="22"/>
          <w:rtl/>
        </w:rPr>
        <w:commentReference w:id="33"/>
      </w:r>
      <w:commentRangeEnd w:id="34"/>
      <w:r>
        <w:rPr>
          <w:rStyle w:val="af0"/>
          <w:sz w:val="22"/>
          <w:szCs w:val="22"/>
          <w:rtl/>
        </w:rPr>
        <w:commentReference w:id="34"/>
      </w:r>
      <w:commentRangeEnd w:id="35"/>
      <w:r w:rsidR="00B6053A">
        <w:rPr>
          <w:rStyle w:val="af0"/>
          <w:rtl/>
        </w:rPr>
        <w:commentReference w:id="35"/>
      </w:r>
    </w:p>
    <w:p w14:paraId="112305FD" w14:textId="77777777" w:rsidR="005705DD" w:rsidRDefault="005705DD" w:rsidP="005705DD">
      <w:pPr>
        <w:bidi/>
        <w:spacing w:after="200" w:line="276" w:lineRule="auto"/>
        <w:rPr>
          <w:rtl/>
        </w:rPr>
      </w:pPr>
      <w:r>
        <w:rPr>
          <w:rFonts w:asciiTheme="majorBidi" w:hAnsiTheme="majorBidi" w:cstheme="majorBidi"/>
          <w:sz w:val="24"/>
          <w:szCs w:val="24"/>
          <w:rtl/>
        </w:rPr>
        <w:t>وعلى الصعيد السعودي تحديداً</w:t>
      </w:r>
      <w:commentRangeStart w:id="36"/>
      <w:r>
        <w:rPr>
          <w:rFonts w:asciiTheme="majorBidi" w:hAnsiTheme="majorBidi" w:cstheme="majorBidi"/>
          <w:sz w:val="24"/>
          <w:szCs w:val="24"/>
          <w:rtl/>
        </w:rPr>
        <w:t>، طوّرت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النموذج اللغوي العربي علاّم (</w:t>
      </w:r>
      <w:proofErr w:type="spellStart"/>
      <w:r>
        <w:rPr>
          <w:rFonts w:asciiTheme="majorBidi" w:hAnsiTheme="majorBidi" w:cstheme="majorBidi"/>
          <w:sz w:val="24"/>
          <w:szCs w:val="24"/>
          <w:rtl/>
        </w:rPr>
        <w:t>ALLaM</w:t>
      </w:r>
      <w:proofErr w:type="spellEnd"/>
      <w:r>
        <w:rPr>
          <w:rFonts w:asciiTheme="majorBidi" w:hAnsiTheme="majorBidi" w:cstheme="majorBidi"/>
          <w:sz w:val="24"/>
          <w:szCs w:val="24"/>
          <w:rtl/>
        </w:rPr>
        <w:t xml:space="preserve">)، المتاح عبر منصات حوسبة عالمية، والمدرَّب على نصوص عربية متنوعة تشمل مصادر أكاديمية وقانونية وإسلامية. ويحمل هذا النموذج </w:t>
      </w:r>
      <w:commentRangeEnd w:id="36"/>
      <w:r w:rsidR="00B6053A">
        <w:rPr>
          <w:rStyle w:val="af0"/>
          <w:rtl/>
        </w:rPr>
        <w:commentReference w:id="36"/>
      </w:r>
      <w:r>
        <w:rPr>
          <w:rFonts w:asciiTheme="majorBidi" w:hAnsiTheme="majorBidi" w:cstheme="majorBidi"/>
          <w:sz w:val="24"/>
          <w:szCs w:val="24"/>
          <w:rtl/>
        </w:rPr>
        <w:t xml:space="preserve">إمكانات واعدة لتطبيقات القطاع القانوني السعودي في إطار التحول الرقمي لوزارة العدل وبرامج تطوير القطاع القانوني </w:t>
      </w:r>
      <w:proofErr w:type="gramStart"/>
      <w:r>
        <w:rPr>
          <w:rFonts w:asciiTheme="majorBidi" w:hAnsiTheme="majorBidi" w:cstheme="majorBidi"/>
          <w:sz w:val="24"/>
          <w:szCs w:val="24"/>
          <w:rtl/>
        </w:rPr>
        <w:t>الوطني.</w:t>
      </w:r>
      <w:commentRangeStart w:id="37"/>
      <w:r>
        <w:rPr>
          <w:rFonts w:asciiTheme="majorBidi" w:hAnsiTheme="majorBidi" w:cstheme="majorBidi"/>
          <w:sz w:val="16"/>
          <w:szCs w:val="16"/>
          <w:vertAlign w:val="superscript"/>
          <w:rtl/>
        </w:rPr>
        <w:t>(</w:t>
      </w:r>
      <w:proofErr w:type="gramEnd"/>
      <w:r>
        <w:rPr>
          <w:rFonts w:asciiTheme="majorBidi" w:hAnsiTheme="majorBidi" w:cstheme="majorBidi"/>
          <w:sz w:val="16"/>
          <w:szCs w:val="16"/>
          <w:vertAlign w:val="superscript"/>
          <w:rtl/>
        </w:rPr>
        <w:t>5)</w:t>
      </w:r>
      <w:commentRangeEnd w:id="37"/>
      <w:r w:rsidR="00B6053A">
        <w:rPr>
          <w:rStyle w:val="af0"/>
          <w:rtl/>
        </w:rPr>
        <w:commentReference w:id="37"/>
      </w:r>
    </w:p>
    <w:p w14:paraId="07A97D60"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فضلاً عن ذلك، ظهر نموذج </w:t>
      </w:r>
      <w:proofErr w:type="spellStart"/>
      <w:r>
        <w:rPr>
          <w:rFonts w:asciiTheme="majorBidi" w:hAnsiTheme="majorBidi" w:cstheme="majorBidi"/>
          <w:sz w:val="24"/>
          <w:szCs w:val="24"/>
          <w:rtl/>
        </w:rPr>
        <w:t>AceGPT</w:t>
      </w:r>
      <w:proofErr w:type="spellEnd"/>
      <w:r>
        <w:rPr>
          <w:rFonts w:asciiTheme="majorBidi" w:hAnsiTheme="majorBidi" w:cstheme="majorBidi"/>
          <w:sz w:val="24"/>
          <w:szCs w:val="24"/>
          <w:rtl/>
        </w:rPr>
        <w:t xml:space="preserve"> الذي شاركت في تطويره جامعة الملك </w:t>
      </w:r>
      <w:proofErr w:type="gramStart"/>
      <w:r>
        <w:rPr>
          <w:rFonts w:asciiTheme="majorBidi" w:hAnsiTheme="majorBidi" w:cstheme="majorBidi"/>
          <w:sz w:val="24"/>
          <w:szCs w:val="24"/>
          <w:rtl/>
        </w:rPr>
        <w:t>عبدالله</w:t>
      </w:r>
      <w:proofErr w:type="gramEnd"/>
      <w:r>
        <w:rPr>
          <w:rFonts w:asciiTheme="majorBidi" w:hAnsiTheme="majorBidi" w:cstheme="majorBidi"/>
          <w:sz w:val="24"/>
          <w:szCs w:val="24"/>
          <w:rtl/>
        </w:rPr>
        <w:t xml:space="preserve"> للعلوم والتقنية (</w:t>
      </w:r>
      <w:proofErr w:type="spellStart"/>
      <w:r>
        <w:rPr>
          <w:rFonts w:asciiTheme="majorBidi" w:hAnsiTheme="majorBidi" w:cstheme="majorBidi"/>
          <w:sz w:val="24"/>
          <w:szCs w:val="24"/>
          <w:rtl/>
        </w:rPr>
        <w:t>كاوست</w:t>
      </w:r>
      <w:proofErr w:type="spellEnd"/>
      <w:r>
        <w:rPr>
          <w:rFonts w:asciiTheme="majorBidi" w:hAnsiTheme="majorBidi" w:cstheme="majorBidi"/>
          <w:sz w:val="24"/>
          <w:szCs w:val="24"/>
          <w:rtl/>
        </w:rPr>
        <w:t>) مع جهات بحثية، المركِّز</w:t>
      </w:r>
      <w:commentRangeStart w:id="38"/>
      <w:commentRangeStart w:id="39"/>
      <w:r>
        <w:rPr>
          <w:rFonts w:asciiTheme="majorBidi" w:hAnsiTheme="majorBidi" w:cstheme="majorBidi"/>
          <w:sz w:val="24"/>
          <w:szCs w:val="24"/>
          <w:rtl/>
        </w:rPr>
        <w:t xml:space="preserve"> على الفهم الثقافي والديني والقانوني الإسلامي العربي. وعلى الصعيد </w:t>
      </w:r>
      <w:proofErr w:type="spellStart"/>
      <w:r>
        <w:rPr>
          <w:rFonts w:asciiTheme="majorBidi" w:hAnsiTheme="majorBidi" w:cstheme="majorBidi"/>
          <w:sz w:val="24"/>
          <w:szCs w:val="24"/>
          <w:rtl/>
        </w:rPr>
        <w:t>المنصّاتي</w:t>
      </w:r>
      <w:proofErr w:type="spellEnd"/>
      <w:r>
        <w:rPr>
          <w:rFonts w:asciiTheme="majorBidi" w:hAnsiTheme="majorBidi" w:cstheme="majorBidi"/>
          <w:sz w:val="24"/>
          <w:szCs w:val="24"/>
          <w:rtl/>
        </w:rPr>
        <w:t xml:space="preserve"> المحلي</w:t>
      </w:r>
      <w:commentRangeEnd w:id="38"/>
      <w:r>
        <w:rPr>
          <w:rStyle w:val="af0"/>
          <w:rFonts w:asciiTheme="majorBidi" w:hAnsiTheme="majorBidi" w:cstheme="majorBidi"/>
          <w:sz w:val="24"/>
          <w:szCs w:val="24"/>
          <w:rtl/>
        </w:rPr>
        <w:commentReference w:id="38"/>
      </w:r>
      <w:commentRangeEnd w:id="39"/>
      <w:r>
        <w:rPr>
          <w:rStyle w:val="af0"/>
          <w:rFonts w:asciiTheme="majorBidi" w:hAnsiTheme="majorBidi" w:cstheme="majorBidi"/>
          <w:sz w:val="24"/>
          <w:szCs w:val="24"/>
          <w:rtl/>
        </w:rPr>
        <w:commentReference w:id="39"/>
      </w:r>
      <w:r>
        <w:rPr>
          <w:rFonts w:asciiTheme="majorBidi" w:hAnsiTheme="majorBidi" w:cstheme="majorBidi"/>
          <w:sz w:val="24"/>
          <w:szCs w:val="24"/>
          <w:rtl/>
        </w:rPr>
        <w:t xml:space="preserve">، تبرز منصة "منظومة" السعودية للمعلومات القانونية التي تدمج تقنيات الذكاء الاصطناعي في البحث التشريعي، ومشاريع وزارة العدل السعودية لتوظيف الذكاء الاصطناعي في تسريع الفصل في القضايا وتحليل الأحكام </w:t>
      </w:r>
      <w:proofErr w:type="gramStart"/>
      <w:r>
        <w:rPr>
          <w:rFonts w:asciiTheme="majorBidi" w:hAnsiTheme="majorBidi" w:cstheme="majorBidi"/>
          <w:sz w:val="24"/>
          <w:szCs w:val="24"/>
          <w:rtl/>
        </w:rPr>
        <w:t>القضائية</w:t>
      </w:r>
      <w:r w:rsidRPr="00B6053A">
        <w:rPr>
          <w:rFonts w:asciiTheme="majorBidi" w:hAnsiTheme="majorBidi" w:cstheme="majorBidi"/>
          <w:sz w:val="24"/>
          <w:szCs w:val="24"/>
          <w:highlight w:val="yellow"/>
          <w:rtl/>
        </w:rPr>
        <w:t>.</w:t>
      </w:r>
      <w:r w:rsidRPr="00B6053A">
        <w:rPr>
          <w:rFonts w:asciiTheme="majorBidi" w:hAnsiTheme="majorBidi" w:cstheme="majorBidi"/>
          <w:sz w:val="16"/>
          <w:szCs w:val="16"/>
          <w:highlight w:val="yellow"/>
          <w:vertAlign w:val="superscript"/>
          <w:rtl/>
        </w:rPr>
        <w:t>(</w:t>
      </w:r>
      <w:proofErr w:type="gramEnd"/>
      <w:r w:rsidRPr="00B6053A">
        <w:rPr>
          <w:rFonts w:asciiTheme="majorBidi" w:hAnsiTheme="majorBidi" w:cstheme="majorBidi"/>
          <w:sz w:val="16"/>
          <w:szCs w:val="16"/>
          <w:highlight w:val="yellow"/>
          <w:vertAlign w:val="superscript"/>
          <w:rtl/>
        </w:rPr>
        <w:t>6)</w:t>
      </w:r>
    </w:p>
    <w:p w14:paraId="0C3B83C6" w14:textId="77777777" w:rsidR="005705DD" w:rsidRDefault="005705DD" w:rsidP="005705DD">
      <w:pPr>
        <w:bidi/>
        <w:spacing w:after="200" w:line="276" w:lineRule="auto"/>
        <w:rPr>
          <w:rtl/>
        </w:rPr>
      </w:pPr>
      <w:r>
        <w:rPr>
          <w:rFonts w:asciiTheme="majorBidi" w:hAnsiTheme="majorBidi" w:cstheme="majorBidi"/>
          <w:sz w:val="24"/>
          <w:szCs w:val="24"/>
          <w:rtl/>
        </w:rPr>
        <w:t xml:space="preserve">وتُشير التقارير إلى أن المحامين السعوديين يواجهون في تعاملهم مع هذه الأدوات جملةً من التحديات؛ إذ تفتقر معظم النماذج الغربية إلى التدريب الكافي على مصادر القانون السعودي ومنظومته التشريعية المتمثلة في نظام المرافعات الشرعية والأنظمة الاقتصادية الصادرة في إطار رؤية 2030. كما يتسم استخدامها بالطابع الفردي غير المنهجي، وهو ما يستدعي بناء أطر تنظيمية وطنية </w:t>
      </w:r>
      <w:proofErr w:type="gramStart"/>
      <w:r>
        <w:rPr>
          <w:rFonts w:asciiTheme="majorBidi" w:hAnsiTheme="majorBidi" w:cstheme="majorBidi"/>
          <w:sz w:val="24"/>
          <w:szCs w:val="24"/>
          <w:rtl/>
        </w:rPr>
        <w:t>واضحة.</w:t>
      </w:r>
      <w:r>
        <w:rPr>
          <w:rFonts w:asciiTheme="majorBidi" w:hAnsiTheme="majorBidi" w:cstheme="majorBidi"/>
          <w:sz w:val="16"/>
          <w:szCs w:val="16"/>
          <w:vertAlign w:val="superscript"/>
          <w:rtl/>
        </w:rPr>
        <w:t>(</w:t>
      </w:r>
      <w:proofErr w:type="gramEnd"/>
      <w:r w:rsidRPr="00B6053A">
        <w:rPr>
          <w:rFonts w:asciiTheme="majorBidi" w:hAnsiTheme="majorBidi" w:cstheme="majorBidi"/>
          <w:sz w:val="16"/>
          <w:szCs w:val="16"/>
          <w:highlight w:val="yellow"/>
          <w:vertAlign w:val="superscript"/>
          <w:rtl/>
        </w:rPr>
        <w:t>7)</w:t>
      </w:r>
    </w:p>
    <w:p w14:paraId="623B09BC" w14:textId="77777777" w:rsidR="005705DD" w:rsidRDefault="005705DD" w:rsidP="005705DD">
      <w:pPr>
        <w:bidi/>
        <w:rPr>
          <w:rtl/>
        </w:rPr>
      </w:pPr>
    </w:p>
    <w:p w14:paraId="0DF16417" w14:textId="77777777" w:rsidR="005705DD" w:rsidRDefault="005705DD" w:rsidP="005705DD">
      <w:pPr>
        <w:bidi/>
        <w:spacing w:after="200" w:line="276" w:lineRule="auto"/>
        <w:rPr>
          <w:rtl/>
        </w:rPr>
      </w:pPr>
      <w:r>
        <w:rPr>
          <w:rFonts w:asciiTheme="majorBidi" w:hAnsiTheme="majorBidi" w:cstheme="majorBidi"/>
          <w:b/>
          <w:sz w:val="28"/>
          <w:szCs w:val="28"/>
          <w:rtl/>
        </w:rPr>
        <w:t xml:space="preserve">سادساً: جدول مقارنة بين أبرز أدوات الذكاء الاصطناعي في السياق القانوني </w:t>
      </w:r>
    </w:p>
    <w:tbl>
      <w:tblPr>
        <w:bidiVisual/>
        <w:tblW w:w="8400" w:type="dxa"/>
        <w:jc w:val="center"/>
        <w:tblLook w:val="04A0" w:firstRow="1" w:lastRow="0" w:firstColumn="1" w:lastColumn="0" w:noHBand="0" w:noVBand="1"/>
      </w:tblPr>
      <w:tblGrid>
        <w:gridCol w:w="1600"/>
        <w:gridCol w:w="1400"/>
        <w:gridCol w:w="900"/>
        <w:gridCol w:w="1400"/>
        <w:gridCol w:w="1700"/>
        <w:gridCol w:w="1400"/>
      </w:tblGrid>
      <w:tr w:rsidR="005705DD" w14:paraId="36373F9D" w14:textId="77777777" w:rsidTr="00DE7F8F">
        <w:trPr>
          <w:tblHeader/>
          <w:jc w:val="center"/>
        </w:trPr>
        <w:tc>
          <w:tcPr>
            <w:tcW w:w="16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00998453" w14:textId="77777777" w:rsidR="005705DD" w:rsidRDefault="005705DD" w:rsidP="00DE7F8F">
            <w:pPr>
              <w:bidi/>
              <w:rPr>
                <w:rtl/>
              </w:rPr>
            </w:pPr>
            <w:r>
              <w:rPr>
                <w:rFonts w:asciiTheme="majorBidi" w:hAnsiTheme="majorBidi" w:cstheme="majorBidi"/>
                <w:b/>
                <w:color w:val="FFFFFF"/>
                <w:sz w:val="20"/>
                <w:szCs w:val="20"/>
                <w:rtl/>
              </w:rPr>
              <w:t>الأداة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61FF3" w14:textId="77777777" w:rsidR="005705DD" w:rsidRDefault="005705DD" w:rsidP="00DE7F8F">
            <w:pPr>
              <w:bidi/>
              <w:rPr>
                <w:rtl/>
              </w:rPr>
            </w:pPr>
            <w:r>
              <w:rPr>
                <w:rFonts w:asciiTheme="majorBidi" w:hAnsiTheme="majorBidi" w:cstheme="majorBidi"/>
                <w:b/>
                <w:color w:val="FFFFFF"/>
                <w:sz w:val="20"/>
                <w:szCs w:val="20"/>
                <w:rtl/>
              </w:rPr>
              <w:t>المطوِّر</w:t>
            </w:r>
          </w:p>
        </w:tc>
        <w:tc>
          <w:tcPr>
            <w:tcW w:w="9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AB45ECE" w14:textId="77777777" w:rsidR="005705DD" w:rsidRDefault="005705DD" w:rsidP="00DE7F8F">
            <w:pPr>
              <w:bidi/>
              <w:rPr>
                <w:rtl/>
              </w:rPr>
            </w:pPr>
            <w:r>
              <w:rPr>
                <w:rFonts w:asciiTheme="majorBidi" w:hAnsiTheme="majorBidi" w:cstheme="majorBidi"/>
                <w:b/>
                <w:color w:val="FFFFFF"/>
                <w:sz w:val="20"/>
                <w:szCs w:val="20"/>
                <w:rtl/>
              </w:rPr>
              <w:t>دعم العربية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4A5ECA5" w14:textId="77777777" w:rsidR="005705DD" w:rsidRDefault="005705DD" w:rsidP="00DE7F8F">
            <w:pPr>
              <w:bidi/>
              <w:rPr>
                <w:rtl/>
              </w:rPr>
            </w:pPr>
            <w:r>
              <w:rPr>
                <w:rFonts w:asciiTheme="majorBidi" w:hAnsiTheme="majorBidi" w:cstheme="majorBidi"/>
                <w:b/>
                <w:color w:val="FFFFFF"/>
                <w:sz w:val="20"/>
                <w:szCs w:val="20"/>
                <w:rtl/>
              </w:rPr>
              <w:t>التخصص القانوني</w:t>
            </w:r>
          </w:p>
        </w:tc>
        <w:tc>
          <w:tcPr>
            <w:tcW w:w="17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47C71" w14:textId="77777777" w:rsidR="005705DD" w:rsidRDefault="005705DD" w:rsidP="00DE7F8F">
            <w:pPr>
              <w:bidi/>
              <w:rPr>
                <w:rtl/>
              </w:rPr>
            </w:pPr>
            <w:r>
              <w:rPr>
                <w:rFonts w:asciiTheme="majorBidi" w:hAnsiTheme="majorBidi" w:cstheme="majorBidi"/>
                <w:b/>
                <w:color w:val="FFFFFF"/>
                <w:sz w:val="20"/>
                <w:szCs w:val="20"/>
                <w:rtl/>
              </w:rPr>
              <w:t>معالجة المستندات الطويلة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3BD6B053" w14:textId="77777777" w:rsidR="005705DD" w:rsidRDefault="005705DD" w:rsidP="00DE7F8F">
            <w:pPr>
              <w:bidi/>
              <w:rPr>
                <w:rtl/>
              </w:rPr>
            </w:pPr>
            <w:r>
              <w:rPr>
                <w:rFonts w:asciiTheme="majorBidi" w:hAnsiTheme="majorBidi" w:cstheme="majorBidi"/>
                <w:b/>
                <w:color w:val="FFFFFF"/>
                <w:sz w:val="20"/>
                <w:szCs w:val="20"/>
                <w:rtl/>
              </w:rPr>
              <w:t>الأنسب لـ</w:t>
            </w:r>
          </w:p>
        </w:tc>
      </w:tr>
      <w:tr w:rsidR="005705DD" w14:paraId="7A90E97F"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0902D40" w14:textId="77777777" w:rsidR="005705DD" w:rsidRDefault="005705DD" w:rsidP="00DE7F8F">
            <w:pPr>
              <w:bidi/>
              <w:rPr>
                <w:rtl/>
              </w:rPr>
            </w:pPr>
            <w:proofErr w:type="spellStart"/>
            <w:r>
              <w:rPr>
                <w:rFonts w:asciiTheme="majorBidi" w:hAnsiTheme="majorBidi" w:cstheme="majorBidi"/>
                <w:sz w:val="18"/>
                <w:szCs w:val="18"/>
                <w:rtl/>
              </w:rPr>
              <w:t>ChatGPT</w:t>
            </w:r>
            <w:proofErr w:type="spellEnd"/>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624A11B" w14:textId="77777777" w:rsidR="005705DD" w:rsidRDefault="005705DD" w:rsidP="00DE7F8F">
            <w:pPr>
              <w:bidi/>
              <w:rPr>
                <w:rtl/>
              </w:rPr>
            </w:pPr>
            <w:proofErr w:type="spellStart"/>
            <w:r>
              <w:rPr>
                <w:rFonts w:asciiTheme="majorBidi" w:hAnsiTheme="majorBidi" w:cstheme="majorBidi"/>
                <w:sz w:val="18"/>
                <w:szCs w:val="18"/>
                <w:rtl/>
              </w:rPr>
              <w:t>OpenAI</w:t>
            </w:r>
            <w:proofErr w:type="spellEnd"/>
            <w:r>
              <w:rPr>
                <w:rFonts w:asciiTheme="majorBidi" w:hAnsiTheme="majorBidi" w:cstheme="majorBidi"/>
                <w:sz w:val="18"/>
                <w:szCs w:val="18"/>
                <w:rtl/>
              </w:rPr>
              <w:t xml:space="preserv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6454CC5" w14:textId="77777777" w:rsidR="005705DD" w:rsidRDefault="005705DD" w:rsidP="00DE7F8F">
            <w:pPr>
              <w:bidi/>
              <w:rPr>
                <w:rtl/>
              </w:rPr>
            </w:pPr>
            <w:r>
              <w:rPr>
                <w:rFonts w:asciiTheme="majorBidi" w:hAnsiTheme="majorBidi" w:cstheme="majorBidi"/>
                <w:sz w:val="18"/>
                <w:szCs w:val="18"/>
                <w:rtl/>
              </w:rPr>
              <w:t>متوسط</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9EFD35"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D64935A" w14:textId="77777777" w:rsidR="005705DD" w:rsidRDefault="005705DD" w:rsidP="00DE7F8F">
            <w:pPr>
              <w:bidi/>
              <w:rPr>
                <w:rtl/>
              </w:rPr>
            </w:pPr>
            <w:r>
              <w:rPr>
                <w:rFonts w:asciiTheme="majorBidi" w:hAnsiTheme="majorBidi" w:cstheme="majorBidi"/>
                <w:sz w:val="18"/>
                <w:szCs w:val="18"/>
                <w:rtl/>
              </w:rPr>
              <w:t>محدودة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675A6E8" w14:textId="77777777" w:rsidR="005705DD" w:rsidRDefault="005705DD" w:rsidP="00DE7F8F">
            <w:pPr>
              <w:bidi/>
              <w:rPr>
                <w:rtl/>
              </w:rPr>
            </w:pPr>
            <w:r>
              <w:rPr>
                <w:rFonts w:asciiTheme="majorBidi" w:hAnsiTheme="majorBidi" w:cstheme="majorBidi"/>
                <w:sz w:val="18"/>
                <w:szCs w:val="18"/>
                <w:rtl/>
              </w:rPr>
              <w:t>المراسلات والصياغة الأولية</w:t>
            </w:r>
          </w:p>
        </w:tc>
      </w:tr>
      <w:tr w:rsidR="005705DD" w14:paraId="2C72C70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5A9776" w14:textId="77777777" w:rsidR="005705DD" w:rsidRDefault="005705DD" w:rsidP="00DE7F8F">
            <w:pPr>
              <w:bidi/>
              <w:rPr>
                <w:rtl/>
              </w:rPr>
            </w:pPr>
            <w:proofErr w:type="spellStart"/>
            <w:r>
              <w:rPr>
                <w:rFonts w:asciiTheme="majorBidi" w:hAnsiTheme="majorBidi" w:cstheme="majorBidi"/>
                <w:sz w:val="18"/>
                <w:szCs w:val="18"/>
                <w:rtl/>
              </w:rPr>
              <w:t>Claude</w:t>
            </w:r>
            <w:proofErr w:type="spellEnd"/>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2715A1E" w14:textId="77777777" w:rsidR="005705DD" w:rsidRDefault="005705DD" w:rsidP="00DE7F8F">
            <w:pPr>
              <w:bidi/>
              <w:rPr>
                <w:rtl/>
              </w:rPr>
            </w:pPr>
            <w:proofErr w:type="spellStart"/>
            <w:r>
              <w:rPr>
                <w:rFonts w:asciiTheme="majorBidi" w:hAnsiTheme="majorBidi" w:cstheme="majorBidi"/>
                <w:sz w:val="18"/>
                <w:szCs w:val="18"/>
                <w:rtl/>
              </w:rPr>
              <w:t>Anthropic</w:t>
            </w:r>
            <w:proofErr w:type="spellEnd"/>
            <w:r>
              <w:rPr>
                <w:rFonts w:asciiTheme="majorBidi" w:hAnsiTheme="majorBidi" w:cstheme="majorBidi"/>
                <w:sz w:val="18"/>
                <w:szCs w:val="18"/>
                <w:rtl/>
              </w:rPr>
              <w:t xml:space="preserv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19AF8FC" w14:textId="77777777" w:rsidR="005705DD" w:rsidRDefault="005705DD" w:rsidP="00DE7F8F">
            <w:pPr>
              <w:bidi/>
              <w:rPr>
                <w:rtl/>
              </w:rPr>
            </w:pPr>
            <w:r>
              <w:rPr>
                <w:rFonts w:asciiTheme="majorBidi" w:hAnsiTheme="majorBidi" w:cstheme="majorBidi"/>
                <w:sz w:val="18"/>
                <w:szCs w:val="18"/>
                <w:rtl/>
              </w:rPr>
              <w:t>متوسط-جيد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14E84FD" w14:textId="77777777" w:rsidR="005705DD" w:rsidRDefault="005705DD" w:rsidP="00DE7F8F">
            <w:pPr>
              <w:bidi/>
              <w:rPr>
                <w:rtl/>
              </w:rPr>
            </w:pPr>
            <w:r>
              <w:rPr>
                <w:rFonts w:asciiTheme="majorBidi" w:hAnsiTheme="majorBidi" w:cstheme="majorBidi"/>
                <w:sz w:val="18"/>
                <w:szCs w:val="18"/>
                <w:rtl/>
              </w:rPr>
              <w:t>عام (دقيق في النصوص)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C507C2F" w14:textId="77777777" w:rsidR="005705DD" w:rsidRDefault="005705DD" w:rsidP="00DE7F8F">
            <w:pPr>
              <w:bidi/>
              <w:rPr>
                <w:rtl/>
              </w:rPr>
            </w:pPr>
            <w:r>
              <w:rPr>
                <w:rFonts w:asciiTheme="majorBidi" w:hAnsiTheme="majorBidi" w:cstheme="majorBidi"/>
                <w:sz w:val="18"/>
                <w:szCs w:val="18"/>
                <w:rtl/>
              </w:rPr>
              <w:t>ممتازة (200k)</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6B8D93C" w14:textId="77777777" w:rsidR="005705DD" w:rsidRDefault="005705DD" w:rsidP="00DE7F8F">
            <w:pPr>
              <w:bidi/>
              <w:rPr>
                <w:rtl/>
              </w:rPr>
            </w:pPr>
            <w:r>
              <w:rPr>
                <w:rFonts w:asciiTheme="majorBidi" w:hAnsiTheme="majorBidi" w:cstheme="majorBidi"/>
                <w:sz w:val="18"/>
                <w:szCs w:val="18"/>
                <w:rtl/>
              </w:rPr>
              <w:t>مراجعة العقود الطويلة</w:t>
            </w:r>
          </w:p>
        </w:tc>
      </w:tr>
      <w:tr w:rsidR="005705DD" w14:paraId="3E32254C"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A498D70" w14:textId="77777777" w:rsidR="005705DD" w:rsidRDefault="005705DD" w:rsidP="00DE7F8F">
            <w:pPr>
              <w:bidi/>
              <w:rPr>
                <w:rtl/>
              </w:rPr>
            </w:pPr>
            <w:proofErr w:type="spellStart"/>
            <w:r>
              <w:rPr>
                <w:rFonts w:asciiTheme="majorBidi" w:hAnsiTheme="majorBidi" w:cstheme="majorBidi"/>
                <w:sz w:val="18"/>
                <w:szCs w:val="18"/>
                <w:rtl/>
              </w:rPr>
              <w:t>Gemini</w:t>
            </w:r>
            <w:proofErr w:type="spellEnd"/>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C3E93E" w14:textId="77777777" w:rsidR="005705DD" w:rsidRDefault="005705DD" w:rsidP="00DE7F8F">
            <w:pPr>
              <w:bidi/>
              <w:rPr>
                <w:rtl/>
              </w:rPr>
            </w:pPr>
            <w:proofErr w:type="spellStart"/>
            <w:r>
              <w:rPr>
                <w:rFonts w:asciiTheme="majorBidi" w:hAnsiTheme="majorBidi" w:cstheme="majorBidi"/>
                <w:sz w:val="18"/>
                <w:szCs w:val="18"/>
                <w:rtl/>
              </w:rPr>
              <w:t>Google</w:t>
            </w:r>
            <w:proofErr w:type="spellEnd"/>
            <w:r>
              <w:rPr>
                <w:rFonts w:asciiTheme="majorBidi" w:hAnsiTheme="majorBidi" w:cstheme="majorBidi"/>
                <w:sz w:val="18"/>
                <w:szCs w:val="18"/>
                <w:rtl/>
              </w:rPr>
              <w:t xml:space="preserv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0D7A40D"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BBD46DD"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754695A" w14:textId="77777777" w:rsidR="005705DD" w:rsidRDefault="005705DD" w:rsidP="00DE7F8F">
            <w:pPr>
              <w:bidi/>
              <w:rPr>
                <w:rtl/>
              </w:rPr>
            </w:pPr>
            <w:r>
              <w:rPr>
                <w:rFonts w:asciiTheme="majorBidi" w:hAnsiTheme="majorBidi" w:cstheme="majorBidi"/>
                <w:sz w:val="18"/>
                <w:szCs w:val="18"/>
                <w:rtl/>
              </w:rPr>
              <w:t xml:space="preserve">ممتازة (1M </w:t>
            </w:r>
            <w:proofErr w:type="spellStart"/>
            <w:r>
              <w:rPr>
                <w:rFonts w:asciiTheme="majorBidi" w:hAnsiTheme="majorBidi" w:cstheme="majorBidi"/>
                <w:sz w:val="18"/>
                <w:szCs w:val="18"/>
                <w:rtl/>
              </w:rPr>
              <w:t>token</w:t>
            </w:r>
            <w:proofErr w:type="spellEnd"/>
            <w:r>
              <w:rPr>
                <w:rFonts w:asciiTheme="majorBidi" w:hAnsiTheme="majorBidi" w:cstheme="majorBidi"/>
                <w:sz w:val="18"/>
                <w:szCs w:val="18"/>
                <w:rtl/>
              </w:rPr>
              <w: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C5A45BC" w14:textId="77777777" w:rsidR="005705DD" w:rsidRDefault="005705DD" w:rsidP="00DE7F8F">
            <w:pPr>
              <w:bidi/>
              <w:rPr>
                <w:rtl/>
              </w:rPr>
            </w:pPr>
            <w:r>
              <w:rPr>
                <w:rFonts w:asciiTheme="majorBidi" w:hAnsiTheme="majorBidi" w:cstheme="majorBidi"/>
                <w:sz w:val="18"/>
                <w:szCs w:val="18"/>
                <w:rtl/>
              </w:rPr>
              <w:t>التوثيق والتقارير المكتبية</w:t>
            </w:r>
          </w:p>
        </w:tc>
      </w:tr>
      <w:tr w:rsidR="005705DD" w14:paraId="3EB3872D"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CDB2F2" w14:textId="77777777" w:rsidR="005705DD" w:rsidRDefault="005705DD" w:rsidP="00DE7F8F">
            <w:pPr>
              <w:bidi/>
              <w:rPr>
                <w:rtl/>
              </w:rPr>
            </w:pPr>
            <w:proofErr w:type="spellStart"/>
            <w:r>
              <w:rPr>
                <w:rFonts w:asciiTheme="majorBidi" w:hAnsiTheme="majorBidi" w:cstheme="majorBidi"/>
                <w:sz w:val="18"/>
                <w:szCs w:val="18"/>
                <w:rtl/>
              </w:rPr>
              <w:t>Copilot</w:t>
            </w:r>
            <w:proofErr w:type="spellEnd"/>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56BBB2" w14:textId="77777777" w:rsidR="005705DD" w:rsidRDefault="005705DD" w:rsidP="00DE7F8F">
            <w:pPr>
              <w:bidi/>
              <w:rPr>
                <w:rtl/>
              </w:rPr>
            </w:pPr>
            <w:proofErr w:type="spellStart"/>
            <w:r>
              <w:rPr>
                <w:rFonts w:asciiTheme="majorBidi" w:hAnsiTheme="majorBidi" w:cstheme="majorBidi"/>
                <w:sz w:val="18"/>
                <w:szCs w:val="18"/>
                <w:rtl/>
              </w:rPr>
              <w:t>Microsoft</w:t>
            </w:r>
            <w:proofErr w:type="spellEnd"/>
            <w:r>
              <w:rPr>
                <w:rFonts w:asciiTheme="majorBidi" w:hAnsiTheme="majorBidi" w:cstheme="majorBidi"/>
                <w:sz w:val="18"/>
                <w:szCs w:val="18"/>
                <w:rtl/>
              </w:rPr>
              <w:t xml:space="preserv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6B3D9B"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1274804"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B0290BA"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C771027" w14:textId="77777777" w:rsidR="005705DD" w:rsidRDefault="005705DD" w:rsidP="00DE7F8F">
            <w:pPr>
              <w:bidi/>
              <w:rPr>
                <w:rtl/>
              </w:rPr>
            </w:pPr>
            <w:r>
              <w:rPr>
                <w:rFonts w:asciiTheme="majorBidi" w:hAnsiTheme="majorBidi" w:cstheme="majorBidi"/>
                <w:sz w:val="18"/>
                <w:szCs w:val="18"/>
                <w:rtl/>
              </w:rPr>
              <w:t xml:space="preserve">مكاتب تستخدم </w:t>
            </w:r>
            <w:proofErr w:type="spellStart"/>
            <w:r>
              <w:rPr>
                <w:rFonts w:asciiTheme="majorBidi" w:hAnsiTheme="majorBidi" w:cstheme="majorBidi"/>
                <w:sz w:val="18"/>
                <w:szCs w:val="18"/>
                <w:rtl/>
              </w:rPr>
              <w:t>Microsoft</w:t>
            </w:r>
            <w:proofErr w:type="spellEnd"/>
            <w:r>
              <w:rPr>
                <w:rFonts w:asciiTheme="majorBidi" w:hAnsiTheme="majorBidi" w:cstheme="majorBidi"/>
                <w:sz w:val="18"/>
                <w:szCs w:val="18"/>
                <w:rtl/>
              </w:rPr>
              <w:t xml:space="preserve"> 365</w:t>
            </w:r>
          </w:p>
        </w:tc>
      </w:tr>
      <w:tr w:rsidR="005705DD" w14:paraId="7202114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855AF7B" w14:textId="77777777" w:rsidR="005705DD" w:rsidRDefault="005705DD" w:rsidP="00DE7F8F">
            <w:pPr>
              <w:bidi/>
              <w:rPr>
                <w:rtl/>
              </w:rPr>
            </w:pPr>
            <w:proofErr w:type="spellStart"/>
            <w:r>
              <w:rPr>
                <w:rFonts w:asciiTheme="majorBidi" w:hAnsiTheme="majorBidi" w:cstheme="majorBidi"/>
                <w:sz w:val="18"/>
                <w:szCs w:val="18"/>
                <w:rtl/>
              </w:rPr>
              <w:t>Harvey</w:t>
            </w:r>
            <w:proofErr w:type="spellEnd"/>
            <w:r>
              <w:rPr>
                <w:rFonts w:asciiTheme="majorBidi" w:hAnsiTheme="majorBidi" w:cstheme="majorBidi"/>
                <w:sz w:val="18"/>
                <w:szCs w:val="18"/>
                <w:rtl/>
              </w:rPr>
              <w:t xml:space="preserve"> AI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A39A4E6" w14:textId="77777777" w:rsidR="005705DD" w:rsidRDefault="005705DD" w:rsidP="00DE7F8F">
            <w:pPr>
              <w:bidi/>
              <w:rPr>
                <w:rtl/>
              </w:rPr>
            </w:pPr>
            <w:proofErr w:type="spellStart"/>
            <w:r>
              <w:rPr>
                <w:rFonts w:asciiTheme="majorBidi" w:hAnsiTheme="majorBidi" w:cstheme="majorBidi"/>
                <w:sz w:val="18"/>
                <w:szCs w:val="18"/>
                <w:rtl/>
              </w:rPr>
              <w:t>Harvey</w:t>
            </w:r>
            <w:proofErr w:type="spellEnd"/>
            <w:r>
              <w:rPr>
                <w:rFonts w:asciiTheme="majorBidi" w:hAnsiTheme="majorBidi" w:cstheme="majorBidi"/>
                <w:sz w:val="18"/>
                <w:szCs w:val="18"/>
                <w:rtl/>
              </w:rPr>
              <w:t xml:space="preserv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077F3A1" w14:textId="77777777" w:rsidR="005705DD" w:rsidRDefault="005705DD" w:rsidP="00DE7F8F">
            <w:pPr>
              <w:bidi/>
              <w:rPr>
                <w:rtl/>
              </w:rPr>
            </w:pPr>
            <w:r>
              <w:rPr>
                <w:rFonts w:asciiTheme="majorBidi" w:hAnsiTheme="majorBidi" w:cstheme="majorBidi"/>
                <w:sz w:val="18"/>
                <w:szCs w:val="18"/>
                <w:rtl/>
              </w:rPr>
              <w:t>ضعيف</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4CA4CCB" w14:textId="77777777" w:rsidR="005705DD" w:rsidRDefault="005705DD" w:rsidP="00DE7F8F">
            <w:pPr>
              <w:bidi/>
              <w:rPr>
                <w:rtl/>
              </w:rPr>
            </w:pPr>
            <w:r>
              <w:rPr>
                <w:rFonts w:asciiTheme="majorBidi" w:hAnsiTheme="majorBidi" w:cstheme="majorBidi"/>
                <w:sz w:val="18"/>
                <w:szCs w:val="18"/>
                <w:rtl/>
              </w:rPr>
              <w:t>قانوني متخصص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F0D167" w14:textId="77777777" w:rsidR="005705DD" w:rsidRDefault="005705DD" w:rsidP="00DE7F8F">
            <w:pPr>
              <w:bidi/>
              <w:rPr>
                <w:rtl/>
              </w:rPr>
            </w:pPr>
            <w:r>
              <w:rPr>
                <w:rFonts w:asciiTheme="majorBidi" w:hAnsiTheme="majorBidi" w:cstheme="majorBidi"/>
                <w:sz w:val="18"/>
                <w:szCs w:val="18"/>
                <w:rtl/>
              </w:rPr>
              <w:t>ممتازة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49E2518" w14:textId="77777777" w:rsidR="005705DD" w:rsidRDefault="005705DD" w:rsidP="00DE7F8F">
            <w:pPr>
              <w:bidi/>
              <w:rPr>
                <w:rtl/>
              </w:rPr>
            </w:pPr>
            <w:r>
              <w:rPr>
                <w:rFonts w:asciiTheme="majorBidi" w:hAnsiTheme="majorBidi" w:cstheme="majorBidi"/>
                <w:sz w:val="18"/>
                <w:szCs w:val="18"/>
                <w:rtl/>
              </w:rPr>
              <w:t>العقود والسوابق بالإنجليزية</w:t>
            </w:r>
          </w:p>
        </w:tc>
      </w:tr>
      <w:tr w:rsidR="005705DD" w14:paraId="16A6074B"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5D27CE" w14:textId="77777777" w:rsidR="005705DD" w:rsidRDefault="005705DD" w:rsidP="00DE7F8F">
            <w:pPr>
              <w:bidi/>
              <w:rPr>
                <w:rtl/>
              </w:rPr>
            </w:pPr>
            <w:r>
              <w:rPr>
                <w:rFonts w:asciiTheme="majorBidi" w:hAnsiTheme="majorBidi" w:cstheme="majorBidi"/>
                <w:sz w:val="18"/>
                <w:szCs w:val="18"/>
                <w:rtl/>
              </w:rPr>
              <w:t>جيس (</w:t>
            </w:r>
            <w:proofErr w:type="spellStart"/>
            <w:r>
              <w:rPr>
                <w:rFonts w:asciiTheme="majorBidi" w:hAnsiTheme="majorBidi" w:cstheme="majorBidi"/>
                <w:sz w:val="18"/>
                <w:szCs w:val="18"/>
                <w:rtl/>
              </w:rPr>
              <w:t>Jais</w:t>
            </w:r>
            <w:proofErr w:type="spellEnd"/>
            <w:r>
              <w:rPr>
                <w:rFonts w:asciiTheme="majorBidi" w:hAnsiTheme="majorBidi" w:cstheme="majorBidi"/>
                <w:sz w:val="18"/>
                <w:szCs w:val="18"/>
                <w:rtl/>
              </w:rPr>
              <w: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4CCFC67" w14:textId="77777777" w:rsidR="005705DD" w:rsidRDefault="005705DD" w:rsidP="00DE7F8F">
            <w:pPr>
              <w:bidi/>
              <w:rPr>
                <w:rtl/>
              </w:rPr>
            </w:pPr>
            <w:r>
              <w:rPr>
                <w:rFonts w:asciiTheme="majorBidi" w:hAnsiTheme="majorBidi" w:cstheme="majorBidi"/>
                <w:sz w:val="18"/>
                <w:szCs w:val="18"/>
                <w:rtl/>
              </w:rPr>
              <w:t>G42 / إماراتية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6FBCAD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4A188A0"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0338E4"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AAA69B5" w14:textId="77777777" w:rsidR="005705DD" w:rsidRDefault="005705DD" w:rsidP="00DE7F8F">
            <w:pPr>
              <w:bidi/>
              <w:rPr>
                <w:rtl/>
              </w:rPr>
            </w:pPr>
            <w:r>
              <w:rPr>
                <w:rFonts w:asciiTheme="majorBidi" w:hAnsiTheme="majorBidi" w:cstheme="majorBidi"/>
                <w:sz w:val="18"/>
                <w:szCs w:val="18"/>
                <w:rtl/>
              </w:rPr>
              <w:t>النصوص القانونية العربية</w:t>
            </w:r>
          </w:p>
        </w:tc>
      </w:tr>
      <w:tr w:rsidR="005705DD" w14:paraId="7A383386"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A72871C" w14:textId="77777777" w:rsidR="005705DD" w:rsidRDefault="005705DD" w:rsidP="00DE7F8F">
            <w:pPr>
              <w:bidi/>
              <w:rPr>
                <w:rtl/>
              </w:rPr>
            </w:pPr>
            <w:r>
              <w:rPr>
                <w:rFonts w:asciiTheme="majorBidi" w:hAnsiTheme="majorBidi" w:cstheme="majorBidi"/>
                <w:sz w:val="18"/>
                <w:szCs w:val="18"/>
                <w:rtl/>
              </w:rPr>
              <w:t>علاّم (</w:t>
            </w:r>
            <w:proofErr w:type="spellStart"/>
            <w:r>
              <w:rPr>
                <w:rFonts w:asciiTheme="majorBidi" w:hAnsiTheme="majorBidi" w:cstheme="majorBidi"/>
                <w:sz w:val="18"/>
                <w:szCs w:val="18"/>
                <w:rtl/>
              </w:rPr>
              <w:t>ALLaM</w:t>
            </w:r>
            <w:proofErr w:type="spellEnd"/>
            <w:r>
              <w:rPr>
                <w:rFonts w:asciiTheme="majorBidi" w:hAnsiTheme="majorBidi" w:cstheme="majorBidi"/>
                <w:sz w:val="18"/>
                <w:szCs w:val="18"/>
                <w:rtl/>
              </w:rPr>
              <w: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6B62639" w14:textId="77777777" w:rsidR="005705DD" w:rsidRDefault="005705DD" w:rsidP="00DE7F8F">
            <w:pPr>
              <w:bidi/>
              <w:rPr>
                <w:rtl/>
              </w:rPr>
            </w:pPr>
            <w:proofErr w:type="spellStart"/>
            <w:r>
              <w:rPr>
                <w:rFonts w:asciiTheme="majorBidi" w:hAnsiTheme="majorBidi" w:cstheme="majorBidi"/>
                <w:sz w:val="18"/>
                <w:szCs w:val="18"/>
                <w:rtl/>
              </w:rPr>
              <w:t>سدايا</w:t>
            </w:r>
            <w:proofErr w:type="spellEnd"/>
            <w:r>
              <w:rPr>
                <w:rFonts w:asciiTheme="majorBidi" w:hAnsiTheme="majorBidi" w:cstheme="majorBidi"/>
                <w:sz w:val="18"/>
                <w:szCs w:val="18"/>
                <w:rtl/>
              </w:rPr>
              <w:t xml:space="preserve"> (سعودية)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64E525A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5E28CC6" w14:textId="77777777" w:rsidR="005705DD" w:rsidRDefault="005705DD" w:rsidP="00DE7F8F">
            <w:pPr>
              <w:bidi/>
              <w:rPr>
                <w:rtl/>
              </w:rPr>
            </w:pPr>
            <w:r>
              <w:rPr>
                <w:rFonts w:asciiTheme="majorBidi" w:hAnsiTheme="majorBidi" w:cstheme="majorBidi"/>
                <w:sz w:val="18"/>
                <w:szCs w:val="18"/>
                <w:rtl/>
              </w:rPr>
              <w:t>عام-قانوني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3F739B" w14:textId="77777777" w:rsidR="005705DD" w:rsidRDefault="005705DD" w:rsidP="00DE7F8F">
            <w:pPr>
              <w:bidi/>
              <w:rPr>
                <w:rtl/>
              </w:rPr>
            </w:pPr>
            <w:r>
              <w:rPr>
                <w:rFonts w:asciiTheme="majorBidi" w:hAnsiTheme="majorBidi" w:cstheme="majorBidi"/>
                <w:sz w:val="18"/>
                <w:szCs w:val="18"/>
                <w:rtl/>
              </w:rPr>
              <w:t>جيدة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42B575" w14:textId="77777777" w:rsidR="005705DD" w:rsidRDefault="005705DD" w:rsidP="00DE7F8F">
            <w:pPr>
              <w:bidi/>
              <w:rPr>
                <w:rtl/>
              </w:rPr>
            </w:pPr>
            <w:r>
              <w:rPr>
                <w:rFonts w:asciiTheme="majorBidi" w:hAnsiTheme="majorBidi" w:cstheme="majorBidi"/>
                <w:sz w:val="18"/>
                <w:szCs w:val="18"/>
                <w:rtl/>
              </w:rPr>
              <w:t>التطبيقات القانونية السعودية</w:t>
            </w:r>
          </w:p>
        </w:tc>
      </w:tr>
      <w:tr w:rsidR="005705DD" w14:paraId="5D79A8D4"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91D9CB4" w14:textId="77777777" w:rsidR="005705DD" w:rsidRDefault="005705DD" w:rsidP="00DE7F8F">
            <w:pPr>
              <w:bidi/>
              <w:rPr>
                <w:rtl/>
              </w:rPr>
            </w:pPr>
            <w:proofErr w:type="spellStart"/>
            <w:r>
              <w:rPr>
                <w:rFonts w:asciiTheme="majorBidi" w:hAnsiTheme="majorBidi" w:cstheme="majorBidi"/>
                <w:sz w:val="18"/>
                <w:szCs w:val="18"/>
                <w:rtl/>
              </w:rPr>
              <w:t>AceGPT</w:t>
            </w:r>
            <w:proofErr w:type="spellEnd"/>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119D80" w14:textId="77777777" w:rsidR="005705DD" w:rsidRDefault="005705DD" w:rsidP="00DE7F8F">
            <w:pPr>
              <w:bidi/>
              <w:rPr>
                <w:rtl/>
              </w:rPr>
            </w:pPr>
            <w:r>
              <w:rPr>
                <w:rFonts w:asciiTheme="majorBidi" w:hAnsiTheme="majorBidi" w:cstheme="majorBidi"/>
                <w:sz w:val="18"/>
                <w:szCs w:val="18"/>
                <w:rtl/>
              </w:rPr>
              <w:t>بحثية عربية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ED417DC"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9A41D07" w14:textId="77777777" w:rsidR="005705DD" w:rsidRDefault="005705DD" w:rsidP="00DE7F8F">
            <w:pPr>
              <w:bidi/>
              <w:rPr>
                <w:rtl/>
              </w:rPr>
            </w:pPr>
            <w:r>
              <w:rPr>
                <w:rFonts w:asciiTheme="majorBidi" w:hAnsiTheme="majorBidi" w:cstheme="majorBidi"/>
                <w:sz w:val="18"/>
                <w:szCs w:val="18"/>
                <w:rtl/>
              </w:rPr>
              <w:t>قانوني-إسلامي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7FA61AC"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81CBF1" w14:textId="77777777" w:rsidR="005705DD" w:rsidRDefault="005705DD" w:rsidP="00DE7F8F">
            <w:pPr>
              <w:bidi/>
              <w:rPr>
                <w:rtl/>
              </w:rPr>
            </w:pPr>
            <w:r>
              <w:rPr>
                <w:rFonts w:asciiTheme="majorBidi" w:hAnsiTheme="majorBidi" w:cstheme="majorBidi"/>
                <w:sz w:val="18"/>
                <w:szCs w:val="18"/>
                <w:rtl/>
              </w:rPr>
              <w:t>البحث القانوني الإسلامي</w:t>
            </w:r>
          </w:p>
        </w:tc>
      </w:tr>
    </w:tbl>
    <w:p w14:paraId="1F4EA369" w14:textId="77777777" w:rsidR="005705DD" w:rsidRDefault="005705DD" w:rsidP="005705DD">
      <w:pPr>
        <w:bidi/>
        <w:rPr>
          <w:rtl/>
        </w:rPr>
      </w:pPr>
    </w:p>
    <w:p w14:paraId="26DFB72E" w14:textId="77777777" w:rsidR="005705DD" w:rsidRDefault="005705DD" w:rsidP="005705DD">
      <w:pPr>
        <w:bidi/>
        <w:spacing w:after="200" w:line="276" w:lineRule="auto"/>
        <w:rPr>
          <w:rtl/>
        </w:rPr>
      </w:pPr>
      <w:r>
        <w:rPr>
          <w:rFonts w:asciiTheme="majorBidi" w:hAnsiTheme="majorBidi" w:cstheme="majorBidi"/>
          <w:i/>
          <w:sz w:val="20"/>
          <w:szCs w:val="20"/>
          <w:rtl/>
        </w:rPr>
        <w:t>المصدر: إعداد الباحث بالاستناد إلى وثائق المنتجات الرسمية ومنشورات الشركات، 1446هـ/2025م.</w:t>
      </w:r>
    </w:p>
    <w:p w14:paraId="6F8336DA" w14:textId="77777777" w:rsidR="005705DD" w:rsidRDefault="005705DD" w:rsidP="005705DD">
      <w:pPr>
        <w:bidi/>
        <w:spacing w:after="200" w:line="276" w:lineRule="auto"/>
        <w:rPr>
          <w:rtl/>
        </w:rPr>
      </w:pPr>
      <w:r>
        <w:rPr>
          <w:rFonts w:asciiTheme="majorBidi" w:hAnsiTheme="majorBidi" w:cstheme="majorBidi"/>
          <w:sz w:val="24"/>
          <w:szCs w:val="24"/>
          <w:rtl/>
        </w:rPr>
        <w:t xml:space="preserve">يتضح من الجدول المقارن السابق أن الأدوات القانونية المتخصصة </w:t>
      </w:r>
      <w:proofErr w:type="spellStart"/>
      <w:proofErr w:type="gramStart"/>
      <w:r>
        <w:rPr>
          <w:rFonts w:asciiTheme="majorBidi" w:hAnsiTheme="majorBidi" w:cstheme="majorBidi"/>
          <w:sz w:val="24"/>
          <w:szCs w:val="24"/>
          <w:rtl/>
        </w:rPr>
        <w:t>كـHarvey</w:t>
      </w:r>
      <w:proofErr w:type="spellEnd"/>
      <w:proofErr w:type="gramEnd"/>
      <w:r>
        <w:rPr>
          <w:rFonts w:asciiTheme="majorBidi" w:hAnsiTheme="majorBidi" w:cstheme="majorBidi"/>
          <w:sz w:val="24"/>
          <w:szCs w:val="24"/>
          <w:rtl/>
        </w:rPr>
        <w:t xml:space="preserve"> AI تفتقر إلى دعم اللغة العربية بصورة كافية، مما يُقيّد توظيفها في السياق السعودي. في المقابل، تُقدّم النماذج العربية الناشئة </w:t>
      </w:r>
      <w:proofErr w:type="spellStart"/>
      <w:r>
        <w:rPr>
          <w:rFonts w:asciiTheme="majorBidi" w:hAnsiTheme="majorBidi" w:cstheme="majorBidi"/>
          <w:sz w:val="24"/>
          <w:szCs w:val="24"/>
          <w:rtl/>
        </w:rPr>
        <w:t>كجيس</w:t>
      </w:r>
      <w:proofErr w:type="spellEnd"/>
      <w:r>
        <w:rPr>
          <w:rFonts w:asciiTheme="majorBidi" w:hAnsiTheme="majorBidi" w:cstheme="majorBidi"/>
          <w:sz w:val="24"/>
          <w:szCs w:val="24"/>
          <w:rtl/>
        </w:rPr>
        <w:t xml:space="preserve"> وعلاّم آفاقاً واعدة نحو ذكاء اصطناعي قانوني عربي حقيقي، يُرجَّح أن تشهد السنوات القادمة تطوره المتسارع في إطار مبادرات رؤية 2030 </w:t>
      </w:r>
      <w:proofErr w:type="gramStart"/>
      <w:r>
        <w:rPr>
          <w:rFonts w:asciiTheme="majorBidi" w:hAnsiTheme="majorBidi" w:cstheme="majorBidi"/>
          <w:sz w:val="24"/>
          <w:szCs w:val="24"/>
          <w:rtl/>
        </w:rPr>
        <w:t>الرقمية.</w:t>
      </w:r>
      <w:r w:rsidRPr="00B6053A">
        <w:rPr>
          <w:rFonts w:asciiTheme="majorBidi" w:hAnsiTheme="majorBidi" w:cstheme="majorBidi"/>
          <w:sz w:val="16"/>
          <w:szCs w:val="16"/>
          <w:highlight w:val="yellow"/>
          <w:vertAlign w:val="superscript"/>
          <w:rtl/>
        </w:rPr>
        <w:t>(</w:t>
      </w:r>
      <w:proofErr w:type="gramEnd"/>
      <w:r w:rsidRPr="00B6053A">
        <w:rPr>
          <w:rFonts w:asciiTheme="majorBidi" w:hAnsiTheme="majorBidi" w:cstheme="majorBidi"/>
          <w:sz w:val="16"/>
          <w:szCs w:val="16"/>
          <w:highlight w:val="yellow"/>
          <w:vertAlign w:val="superscript"/>
          <w:rtl/>
        </w:rPr>
        <w:t>8)</w:t>
      </w:r>
    </w:p>
    <w:p w14:paraId="17DC2C8E" w14:textId="77777777" w:rsidR="005705DD" w:rsidRDefault="005705DD" w:rsidP="005705DD">
      <w:pPr>
        <w:bidi/>
        <w:rPr>
          <w:rtl/>
        </w:rPr>
      </w:pPr>
    </w:p>
    <w:p w14:paraId="74A5F1AA" w14:textId="77777777" w:rsidR="005705DD" w:rsidRPr="00A84F46" w:rsidRDefault="005705DD" w:rsidP="005705DD">
      <w:pPr>
        <w:bidi/>
        <w:spacing w:after="200" w:line="276" w:lineRule="auto"/>
        <w:rPr>
          <w:bCs/>
          <w:color w:val="000000" w:themeColor="text1"/>
          <w:rtl/>
        </w:rPr>
      </w:pPr>
      <w:commentRangeStart w:id="40"/>
      <w:commentRangeStart w:id="41"/>
      <w:r>
        <w:rPr>
          <w:rFonts w:asciiTheme="majorBidi" w:hAnsiTheme="majorBidi" w:cstheme="majorBidi"/>
          <w:bCs/>
          <w:color w:val="000000" w:themeColor="text1"/>
          <w:sz w:val="28"/>
          <w:szCs w:val="28"/>
          <w:rtl/>
        </w:rPr>
        <w:t>سابعاً: الخصائص التقنية لأدوات الذكاء الاصطناعي القانوني وانعكاساتها النظامية</w:t>
      </w:r>
      <w:commentRangeEnd w:id="40"/>
      <w:r w:rsidRPr="00A84F46">
        <w:rPr>
          <w:rStyle w:val="af0"/>
          <w:bCs/>
          <w:color w:val="000000" w:themeColor="text1"/>
          <w:sz w:val="22"/>
          <w:szCs w:val="22"/>
          <w:rtl/>
        </w:rPr>
        <w:commentReference w:id="40"/>
      </w:r>
      <w:commentRangeEnd w:id="41"/>
      <w:r w:rsidRPr="00A84F46">
        <w:rPr>
          <w:rStyle w:val="af0"/>
          <w:bCs/>
          <w:color w:val="000000" w:themeColor="text1"/>
          <w:sz w:val="22"/>
          <w:szCs w:val="22"/>
          <w:rtl/>
        </w:rPr>
        <w:commentReference w:id="41"/>
      </w:r>
    </w:p>
    <w:p w14:paraId="1D34FBCC" w14:textId="77777777" w:rsidR="005705DD" w:rsidRDefault="005705DD" w:rsidP="005705DD">
      <w:pPr>
        <w:bidi/>
        <w:spacing w:after="200" w:line="276" w:lineRule="auto"/>
        <w:rPr>
          <w:rtl/>
        </w:rPr>
      </w:pPr>
      <w:r>
        <w:rPr>
          <w:rFonts w:asciiTheme="majorBidi" w:hAnsiTheme="majorBidi" w:cstheme="majorBidi"/>
          <w:sz w:val="24"/>
          <w:szCs w:val="24"/>
          <w:rtl/>
        </w:rPr>
        <w:t>يقتضي التحليل القانوني الدقيق لأدوات الذكاء الاصطناعي المستخدمة في مكاتب المحاماة السعودية الوقوفَ عند آليات عملها التقنية، ذلك أن الحكم القانوني على الأداة لا يمكن أن يكون دقيقاً دون فهم لكيفية تكوين مخرجاتها وطبيعة العمليات التي تُجريها على البيانات المُدخَلة. وهذا الفهم التقني ليس ترفاً أكاديمياً، بل ضرورة منهجية لتحديد طبيعة المخاطر ومواطن المسؤولية وحدود الثقة المشروعة في هذه الأدوات.</w:t>
      </w:r>
    </w:p>
    <w:p w14:paraId="14AC9076" w14:textId="77777777" w:rsidR="005705DD" w:rsidRDefault="005705DD" w:rsidP="005705DD">
      <w:pPr>
        <w:bidi/>
        <w:spacing w:after="200" w:line="276" w:lineRule="auto"/>
        <w:rPr>
          <w:rtl/>
        </w:rPr>
      </w:pPr>
      <w:commentRangeStart w:id="42"/>
      <w:r>
        <w:rPr>
          <w:rFonts w:asciiTheme="majorBidi" w:hAnsiTheme="majorBidi" w:cstheme="majorBidi"/>
          <w:sz w:val="24"/>
          <w:szCs w:val="24"/>
          <w:rtl/>
        </w:rPr>
        <w:t>تعتمد نماذج اللغة الكبيرة (</w:t>
      </w:r>
      <w:proofErr w:type="spellStart"/>
      <w:r>
        <w:rPr>
          <w:rFonts w:asciiTheme="majorBidi" w:hAnsiTheme="majorBidi" w:cstheme="majorBidi"/>
          <w:sz w:val="24"/>
          <w:szCs w:val="24"/>
          <w:rtl/>
        </w:rPr>
        <w:t>LLMs</w:t>
      </w:r>
      <w:proofErr w:type="spellEnd"/>
      <w:r>
        <w:rPr>
          <w:rFonts w:asciiTheme="majorBidi" w:hAnsiTheme="majorBidi" w:cstheme="majorBidi"/>
          <w:sz w:val="24"/>
          <w:szCs w:val="24"/>
          <w:rtl/>
        </w:rPr>
        <w:t xml:space="preserve">) — </w:t>
      </w:r>
      <w:proofErr w:type="spellStart"/>
      <w:proofErr w:type="gramStart"/>
      <w:r>
        <w:rPr>
          <w:rFonts w:asciiTheme="majorBidi" w:hAnsiTheme="majorBidi" w:cstheme="majorBidi"/>
          <w:sz w:val="24"/>
          <w:szCs w:val="24"/>
          <w:rtl/>
        </w:rPr>
        <w:t>كـChatGPT</w:t>
      </w:r>
      <w:proofErr w:type="spellEnd"/>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وGemini</w:t>
      </w:r>
      <w:proofErr w:type="spellEnd"/>
      <w:r>
        <w:rPr>
          <w:rFonts w:asciiTheme="majorBidi" w:hAnsiTheme="majorBidi" w:cstheme="majorBidi"/>
          <w:sz w:val="24"/>
          <w:szCs w:val="24"/>
          <w:rtl/>
        </w:rPr>
        <w:t xml:space="preserve"> وغيرهما — على بنية رياضية تُعرف بالمحوّل (</w:t>
      </w:r>
      <w:proofErr w:type="spellStart"/>
      <w:r>
        <w:rPr>
          <w:rFonts w:asciiTheme="majorBidi" w:hAnsiTheme="majorBidi" w:cstheme="majorBidi"/>
          <w:sz w:val="24"/>
          <w:szCs w:val="24"/>
          <w:rtl/>
        </w:rPr>
        <w:t>Transformer</w:t>
      </w:r>
      <w:proofErr w:type="spellEnd"/>
      <w:r>
        <w:rPr>
          <w:rFonts w:asciiTheme="majorBidi" w:hAnsiTheme="majorBidi" w:cstheme="majorBidi"/>
          <w:sz w:val="24"/>
          <w:szCs w:val="24"/>
          <w:rtl/>
        </w:rPr>
        <w:t>)، تُمكّنها من توليد نص احتمالي يبدو متسقاً ومنطقياً استناداً إلى أوزان إحصائية مستخلَصة من تدريب على مليارات الكلمات. والمعضلة الجوهرية في هذه البنية أن النموذج لا "يفهم" النص بالمعنى المعرفي الحقيقي، بل يُولّد ما يُرجَّح إحصائياً في السياق اللغوي المعطى. وهذا التميّز الجوهري له أثر قانوني مباشر: لا يمكن للنموذج أن "يعرف" أن نظاماً ما قد تغيّر أو أن حكماً قضائياً لا وجود له، فكل ما يُنتجه ترجيح إحصائي لا مراجعة قانونية حقيقية.</w:t>
      </w:r>
    </w:p>
    <w:p w14:paraId="3B2EC00E" w14:textId="77777777" w:rsidR="005705DD" w:rsidRDefault="005705DD" w:rsidP="005705DD">
      <w:pPr>
        <w:bidi/>
        <w:spacing w:after="200" w:line="276" w:lineRule="auto"/>
        <w:rPr>
          <w:rtl/>
        </w:rPr>
      </w:pPr>
      <w:r>
        <w:rPr>
          <w:rFonts w:asciiTheme="majorBidi" w:hAnsiTheme="majorBidi" w:cstheme="majorBidi"/>
          <w:sz w:val="24"/>
          <w:szCs w:val="24"/>
          <w:rtl/>
        </w:rPr>
        <w:t>ومن هنا تنشأ ظاهرة الهلوسة (</w:t>
      </w:r>
      <w:proofErr w:type="spellStart"/>
      <w:r>
        <w:rPr>
          <w:rFonts w:asciiTheme="majorBidi" w:hAnsiTheme="majorBidi" w:cstheme="majorBidi"/>
          <w:sz w:val="24"/>
          <w:szCs w:val="24"/>
          <w:rtl/>
        </w:rPr>
        <w:t>Hallucination</w:t>
      </w:r>
      <w:proofErr w:type="spellEnd"/>
      <w:r>
        <w:rPr>
          <w:rFonts w:asciiTheme="majorBidi" w:hAnsiTheme="majorBidi" w:cstheme="majorBidi"/>
          <w:sz w:val="24"/>
          <w:szCs w:val="24"/>
          <w:rtl/>
        </w:rPr>
        <w:t xml:space="preserve">) التي يُعبّر عنها تقنياً بأنها "إنتاج نص ثقة مرتفع الاحتمالية </w:t>
      </w:r>
      <w:commentRangeEnd w:id="42"/>
      <w:r w:rsidR="00B6053A">
        <w:rPr>
          <w:rStyle w:val="af0"/>
          <w:rtl/>
        </w:rPr>
        <w:commentReference w:id="42"/>
      </w:r>
      <w:r>
        <w:rPr>
          <w:rFonts w:asciiTheme="majorBidi" w:hAnsiTheme="majorBidi" w:cstheme="majorBidi"/>
          <w:sz w:val="24"/>
          <w:szCs w:val="24"/>
          <w:rtl/>
        </w:rPr>
        <w:t xml:space="preserve">الإحصائية لكنه غير دقيق واقعياً". وفي السياق القانوني السعودي، رصدت التجارب الميدانية حالات في الغالب غير موثقة رسمياً لمحامين اكتشفوا أن مذكراتهم استشهدت بأحكام قضائية غير موجودة، أو نسبت نصوصاً لمواد نظامية لا تحمل ذلك المضمون في النسخ الأصلية. </w:t>
      </w:r>
      <w:commentRangeStart w:id="43"/>
      <w:commentRangeStart w:id="44"/>
      <w:r>
        <w:rPr>
          <w:rFonts w:asciiTheme="majorBidi" w:hAnsiTheme="majorBidi" w:cstheme="majorBidi"/>
          <w:sz w:val="24"/>
          <w:szCs w:val="24"/>
          <w:rtl/>
        </w:rPr>
        <w:t xml:space="preserve">وقد وثّقت دراستان محكّمتان صادرتان عن باحثين في جامعة ستانفورد أن النماذج اللغوية العامة تهلوس في المهام القانونية بنسب تتجاوز 58%، وأن أدوات البحث القانوني المتخصصة المدعومة بتقنية التوليد المعزز بالاسترجاع تخفض نسبة الإجابات المعيبة إلى ما بين 17% و33% دون أن </w:t>
      </w:r>
      <w:proofErr w:type="gramStart"/>
      <w:r>
        <w:rPr>
          <w:rFonts w:asciiTheme="majorBidi" w:hAnsiTheme="majorBidi" w:cstheme="majorBidi"/>
          <w:sz w:val="24"/>
          <w:szCs w:val="24"/>
          <w:rtl/>
        </w:rPr>
        <w:t>تزيلها</w:t>
      </w:r>
      <w:commentRangeEnd w:id="43"/>
      <w:r>
        <w:rPr>
          <w:rStyle w:val="af0"/>
          <w:rFonts w:asciiTheme="majorBidi" w:hAnsiTheme="majorBidi" w:cstheme="majorBidi"/>
          <w:sz w:val="24"/>
          <w:szCs w:val="24"/>
          <w:rtl/>
        </w:rPr>
        <w:commentReference w:id="43"/>
      </w:r>
      <w:commentRangeEnd w:id="44"/>
      <w:r>
        <w:rPr>
          <w:rStyle w:val="af0"/>
          <w:rFonts w:asciiTheme="majorBidi" w:hAnsiTheme="majorBidi" w:cstheme="majorBidi"/>
          <w:sz w:val="24"/>
          <w:szCs w:val="24"/>
          <w:rtl/>
        </w:rPr>
        <w:commentReference w:id="44"/>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286"/>
      </w:r>
      <w:r>
        <w:rPr>
          <w:rFonts w:asciiTheme="majorBidi" w:hAnsiTheme="majorBidi" w:cstheme="majorBidi"/>
          <w:sz w:val="24"/>
          <w:szCs w:val="24"/>
          <w:rtl/>
        </w:rPr>
        <w:t>.</w:t>
      </w:r>
      <w:proofErr w:type="gramEnd"/>
    </w:p>
    <w:p w14:paraId="0B8AB3FA" w14:textId="77777777" w:rsidR="005705DD" w:rsidRDefault="005705DD" w:rsidP="005705DD">
      <w:pPr>
        <w:bidi/>
        <w:spacing w:after="200" w:line="276" w:lineRule="auto"/>
        <w:rPr>
          <w:rtl/>
        </w:rPr>
      </w:pPr>
      <w:commentRangeStart w:id="45"/>
      <w:r>
        <w:rPr>
          <w:rFonts w:asciiTheme="majorBidi" w:hAnsiTheme="majorBidi" w:cstheme="majorBidi"/>
          <w:sz w:val="24"/>
          <w:szCs w:val="24"/>
          <w:rtl/>
        </w:rPr>
        <w:t>وتُضاف إلى ذلك إشكالية انقطاع المعرفة (</w:t>
      </w:r>
      <w:proofErr w:type="spellStart"/>
      <w:r>
        <w:rPr>
          <w:rFonts w:asciiTheme="majorBidi" w:hAnsiTheme="majorBidi" w:cstheme="majorBidi"/>
          <w:sz w:val="24"/>
          <w:szCs w:val="24"/>
          <w:rtl/>
        </w:rPr>
        <w:t>Knowledge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Cutoff</w:t>
      </w:r>
      <w:proofErr w:type="spellEnd"/>
      <w:r>
        <w:rPr>
          <w:rFonts w:asciiTheme="majorBidi" w:hAnsiTheme="majorBidi" w:cstheme="majorBidi"/>
          <w:sz w:val="24"/>
          <w:szCs w:val="24"/>
          <w:rtl/>
        </w:rPr>
        <w:t>)؛ فمعظم النماذج اللغوية الكبيرة المتاحة للمحامين السعوديين لها تاريخ انتهاء للتدريب (</w:t>
      </w:r>
      <w:proofErr w:type="spellStart"/>
      <w:r>
        <w:rPr>
          <w:rFonts w:asciiTheme="majorBidi" w:hAnsiTheme="majorBidi" w:cstheme="majorBidi"/>
          <w:sz w:val="24"/>
          <w:szCs w:val="24"/>
          <w:rtl/>
        </w:rPr>
        <w:t>Training</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Cutoff</w:t>
      </w:r>
      <w:proofErr w:type="spellEnd"/>
      <w:r>
        <w:rPr>
          <w:rFonts w:asciiTheme="majorBidi" w:hAnsiTheme="majorBidi" w:cstheme="majorBidi"/>
          <w:sz w:val="24"/>
          <w:szCs w:val="24"/>
          <w:rtl/>
        </w:rPr>
        <w:t>) لا تعرف ما بعده من مستجدات تشريعية أو قضائية. وبينما يُمكن تجاوز هذا القيد جزئياً عبر تقنية البحث الموسّع (</w:t>
      </w:r>
      <w:proofErr w:type="spellStart"/>
      <w:r>
        <w:rPr>
          <w:rFonts w:asciiTheme="majorBidi" w:hAnsiTheme="majorBidi" w:cstheme="majorBidi"/>
          <w:sz w:val="24"/>
          <w:szCs w:val="24"/>
          <w:rtl/>
        </w:rPr>
        <w:t>Retrieval-Augmented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Generation</w:t>
      </w:r>
      <w:proofErr w:type="spellEnd"/>
      <w:r>
        <w:rPr>
          <w:rFonts w:asciiTheme="majorBidi" w:hAnsiTheme="majorBidi" w:cstheme="majorBidi"/>
          <w:sz w:val="24"/>
          <w:szCs w:val="24"/>
          <w:rtl/>
        </w:rPr>
        <w:t xml:space="preserve"> </w:t>
      </w:r>
      <w:proofErr w:type="gramStart"/>
      <w:r>
        <w:rPr>
          <w:rFonts w:asciiTheme="majorBidi" w:hAnsiTheme="majorBidi" w:cstheme="majorBidi"/>
          <w:sz w:val="24"/>
          <w:szCs w:val="24"/>
          <w:rtl/>
        </w:rPr>
        <w:t>- RAG</w:t>
      </w:r>
      <w:proofErr w:type="gramEnd"/>
      <w:r>
        <w:rPr>
          <w:rFonts w:asciiTheme="majorBidi" w:hAnsiTheme="majorBidi" w:cstheme="majorBidi"/>
          <w:sz w:val="24"/>
          <w:szCs w:val="24"/>
          <w:rtl/>
        </w:rPr>
        <w:t>)، إلا أن معظم الاستخدامات الفردية في مكاتب المحاماة السعودية لا تعتمد هذه التقنية المتقدمة، مما يعني أن المحامي يتعامل مع نموذج لا يُلمّ بآخر المستجدات النظامية.</w:t>
      </w:r>
    </w:p>
    <w:p w14:paraId="63273DF5" w14:textId="77777777" w:rsidR="005705DD" w:rsidRDefault="005705DD" w:rsidP="005705DD">
      <w:pPr>
        <w:bidi/>
        <w:spacing w:after="200" w:line="276" w:lineRule="auto"/>
        <w:rPr>
          <w:rtl/>
        </w:rPr>
      </w:pPr>
      <w:r>
        <w:rPr>
          <w:rFonts w:asciiTheme="majorBidi" w:hAnsiTheme="majorBidi" w:cstheme="majorBidi"/>
          <w:sz w:val="24"/>
          <w:szCs w:val="24"/>
          <w:rtl/>
        </w:rPr>
        <w:t xml:space="preserve">ويتفاقم الأمر في حالة النظام السعودي تحديداً، إذ إن غالبية هذه النماذج دُرِّبت على بيانات إنجليزية بالدرجة </w:t>
      </w:r>
      <w:commentRangeEnd w:id="45"/>
      <w:r w:rsidR="00B6053A">
        <w:rPr>
          <w:rStyle w:val="af0"/>
          <w:rtl/>
        </w:rPr>
        <w:commentReference w:id="45"/>
      </w:r>
      <w:r>
        <w:rPr>
          <w:rFonts w:asciiTheme="majorBidi" w:hAnsiTheme="majorBidi" w:cstheme="majorBidi"/>
          <w:sz w:val="24"/>
          <w:szCs w:val="24"/>
          <w:rtl/>
        </w:rPr>
        <w:t>الأولى، وتُعدّ تمثيلية النصوص القانونية العربية والسعودية فيها ضعيفةً نسبياً. وهذا يعني أن نسبة الخطأ تكون في الغالب أعلى حين يتعلق الأمر بأحكام نظام المحاماة السعودي أو قرارات ديوان المظالم مقارنةً بالقانون المدني الفرنسي أو القانون الأمريكي.</w:t>
      </w:r>
    </w:p>
    <w:p w14:paraId="7380CC6C" w14:textId="77777777" w:rsidR="005705DD" w:rsidRPr="00A84F46" w:rsidRDefault="005705DD" w:rsidP="005705DD">
      <w:pPr>
        <w:bidi/>
        <w:spacing w:after="200" w:line="276" w:lineRule="auto"/>
        <w:rPr>
          <w:bCs/>
          <w:color w:val="000000" w:themeColor="text1"/>
          <w:rtl/>
        </w:rPr>
      </w:pPr>
      <w:commentRangeStart w:id="46"/>
      <w:commentRangeStart w:id="47"/>
      <w:r>
        <w:rPr>
          <w:rFonts w:asciiTheme="majorBidi" w:hAnsiTheme="majorBidi" w:cstheme="majorBidi"/>
          <w:bCs/>
          <w:color w:val="000000" w:themeColor="text1"/>
          <w:sz w:val="28"/>
          <w:szCs w:val="28"/>
          <w:rtl/>
        </w:rPr>
        <w:t>ثامناً: تحديات معالجة اللغة العربية في البيئة التشريعية السعودية</w:t>
      </w:r>
      <w:commentRangeEnd w:id="46"/>
      <w:r w:rsidRPr="00A84F46">
        <w:rPr>
          <w:rStyle w:val="af0"/>
          <w:bCs/>
          <w:color w:val="000000" w:themeColor="text1"/>
          <w:sz w:val="22"/>
          <w:szCs w:val="22"/>
          <w:rtl/>
        </w:rPr>
        <w:commentReference w:id="46"/>
      </w:r>
      <w:commentRangeEnd w:id="47"/>
      <w:r w:rsidRPr="00A84F46">
        <w:rPr>
          <w:rStyle w:val="af0"/>
          <w:bCs/>
          <w:color w:val="000000" w:themeColor="text1"/>
          <w:sz w:val="22"/>
          <w:szCs w:val="22"/>
          <w:rtl/>
        </w:rPr>
        <w:commentReference w:id="47"/>
      </w:r>
    </w:p>
    <w:p w14:paraId="2F2F4512" w14:textId="77777777" w:rsidR="005705DD" w:rsidRDefault="005705DD" w:rsidP="005705DD">
      <w:pPr>
        <w:bidi/>
        <w:spacing w:after="200" w:line="276" w:lineRule="auto"/>
        <w:rPr>
          <w:rtl/>
        </w:rPr>
      </w:pPr>
      <w:r>
        <w:rPr>
          <w:rFonts w:asciiTheme="majorBidi" w:hAnsiTheme="majorBidi" w:cstheme="majorBidi"/>
          <w:sz w:val="24"/>
          <w:szCs w:val="24"/>
          <w:rtl/>
        </w:rPr>
        <w:t xml:space="preserve">تُشكّل اللغة العربية تحدياً خاصاً لأدوات الذكاء الاصطناعي التوليدي، وهو تحدٍّ ذو أبعاد متعددة تنعكس على دقة المخرجات القانونية. فالعربية لغة اشتقاقية ذات ثراء صرفي بالغ، مما يجعل معالجتها حاسوبياً أعسر بكثير من اللغات الأوروبية. فضلاً عن أن المصطلح القانوني السعودي يجمع في أحيان كثيرة بين المصطلحية الفقهية </w:t>
      </w:r>
      <w:r>
        <w:rPr>
          <w:rFonts w:asciiTheme="majorBidi" w:hAnsiTheme="majorBidi" w:cstheme="majorBidi"/>
          <w:sz w:val="24"/>
          <w:szCs w:val="24"/>
          <w:rtl/>
        </w:rPr>
        <w:lastRenderedPageBreak/>
        <w:t>الإسلامية الكلاسيكية والمصطلحية التشريعية الحديثة، مما يُصعّب على النماذج غير المتخصصة استيعاب الفوارق الدلالية الدقيقة بينهما.</w:t>
      </w:r>
    </w:p>
    <w:p w14:paraId="43798481"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أبرز التحديات اللغوية التي تنعكس مباشرةً على الدقة القانونية: أولاً التشكيل والبنية الصرفية، إذ يؤثر غياب التشكيل في النصوص القانونية العربية على الدلالة في حالات كثيرة، كالفرق بين "القِضَاء" </w:t>
      </w:r>
      <w:proofErr w:type="spellStart"/>
      <w:r>
        <w:rPr>
          <w:rFonts w:asciiTheme="majorBidi" w:hAnsiTheme="majorBidi" w:cstheme="majorBidi"/>
          <w:sz w:val="24"/>
          <w:szCs w:val="24"/>
          <w:rtl/>
        </w:rPr>
        <w:t>و"القَضَاء</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و"الحَكَم</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و"الحُكم</w:t>
      </w:r>
      <w:proofErr w:type="spellEnd"/>
      <w:r>
        <w:rPr>
          <w:rFonts w:asciiTheme="majorBidi" w:hAnsiTheme="majorBidi" w:cstheme="majorBidi"/>
          <w:sz w:val="24"/>
          <w:szCs w:val="24"/>
          <w:rtl/>
        </w:rPr>
        <w:t>". وكثيراً ما تُخفق النماذج اللغوية في التمييز بين هذه الدلالات المتقاربة لفظاً والمتباعدة معنىً في السياق القانوني.</w:t>
      </w:r>
    </w:p>
    <w:p w14:paraId="27DD0ED9" w14:textId="77777777" w:rsidR="005705DD" w:rsidRDefault="005705DD" w:rsidP="005705DD">
      <w:pPr>
        <w:bidi/>
        <w:spacing w:after="200" w:line="276" w:lineRule="auto"/>
        <w:rPr>
          <w:rtl/>
        </w:rPr>
      </w:pPr>
      <w:r>
        <w:rPr>
          <w:rFonts w:asciiTheme="majorBidi" w:hAnsiTheme="majorBidi" w:cstheme="majorBidi"/>
          <w:sz w:val="24"/>
          <w:szCs w:val="24"/>
          <w:rtl/>
        </w:rPr>
        <w:t xml:space="preserve">ثانياً: المصطلح الفقهي الخاص بالمنظومة السعودية، كمصطلحات "المصلحة المرسلة" </w:t>
      </w:r>
      <w:proofErr w:type="spellStart"/>
      <w:r>
        <w:rPr>
          <w:rFonts w:asciiTheme="majorBidi" w:hAnsiTheme="majorBidi" w:cstheme="majorBidi"/>
          <w:sz w:val="24"/>
          <w:szCs w:val="24"/>
          <w:rtl/>
        </w:rPr>
        <w:t>و"سد</w:t>
      </w:r>
      <w:proofErr w:type="spellEnd"/>
      <w:r>
        <w:rPr>
          <w:rFonts w:asciiTheme="majorBidi" w:hAnsiTheme="majorBidi" w:cstheme="majorBidi"/>
          <w:sz w:val="24"/>
          <w:szCs w:val="24"/>
          <w:rtl/>
        </w:rPr>
        <w:t xml:space="preserve"> الذرائع" و"قاعدة لا ضرر ولا ضرار" التي تُعدّ مرجعاً تفسيرياً معتمداً في القضاء السعودي. فهذه المصطلحات ذات أثر حكمي مباشر قد يُفوته النموذج اللغوي غير المتخصص في الفقه الإسلامي.</w:t>
      </w:r>
    </w:p>
    <w:p w14:paraId="668F6755" w14:textId="77777777" w:rsidR="005705DD" w:rsidRDefault="005705DD" w:rsidP="005705DD">
      <w:pPr>
        <w:bidi/>
        <w:spacing w:after="200" w:line="276" w:lineRule="auto"/>
        <w:rPr>
          <w:rtl/>
        </w:rPr>
      </w:pPr>
      <w:r>
        <w:rPr>
          <w:rFonts w:asciiTheme="majorBidi" w:hAnsiTheme="majorBidi" w:cstheme="majorBidi"/>
          <w:sz w:val="24"/>
          <w:szCs w:val="24"/>
          <w:rtl/>
        </w:rPr>
        <w:t>ثالثاً: النصوص النظامية التي تعتمد أحياناً صياغات فريدة لا مقابل لها في القانون المقارن، كاستخدام مصطلح "الجهات القضائية" بدلاً من "المحاكم" في بعض الأنظمة السعودية، أو مصطلح "المحكمة التجارية" الذي يحمل في المنظومة السعودية خصائص إجرائية لا تنطبق على ما يُسمى بالاسم ذاته في غيرها من الأنظمة.</w:t>
      </w:r>
    </w:p>
    <w:p w14:paraId="267C132E" w14:textId="77777777" w:rsidR="005705DD" w:rsidRDefault="005705DD" w:rsidP="005705DD">
      <w:pPr>
        <w:bidi/>
        <w:spacing w:after="200" w:line="276" w:lineRule="auto"/>
        <w:rPr>
          <w:rtl/>
        </w:rPr>
      </w:pPr>
      <w:r>
        <w:rPr>
          <w:rFonts w:asciiTheme="majorBidi" w:hAnsiTheme="majorBidi" w:cstheme="majorBidi"/>
          <w:sz w:val="24"/>
          <w:szCs w:val="24"/>
          <w:rtl/>
        </w:rPr>
        <w:t>ويفيد جانب من الفقه بأن النماذج اللغوية ذات الاستخدام العام تُنتج أخطاء جوهرية في ترجمة المصطلح القانوني السعودي وتفسيره، مما يجعل</w:t>
      </w:r>
      <w:commentRangeStart w:id="48"/>
      <w:commentRangeStart w:id="49"/>
      <w:commentRangeEnd w:id="48"/>
      <w:r>
        <w:rPr>
          <w:rStyle w:val="af0"/>
          <w:rFonts w:asciiTheme="majorBidi" w:hAnsiTheme="majorBidi" w:cstheme="majorBidi"/>
          <w:sz w:val="24"/>
          <w:szCs w:val="24"/>
          <w:rtl/>
        </w:rPr>
        <w:commentReference w:id="48"/>
      </w:r>
      <w:commentRangeEnd w:id="49"/>
      <w:r>
        <w:rPr>
          <w:rStyle w:val="af0"/>
          <w:rFonts w:asciiTheme="majorBidi" w:hAnsiTheme="majorBidi" w:cstheme="majorBidi"/>
          <w:sz w:val="24"/>
          <w:szCs w:val="24"/>
          <w:rtl/>
        </w:rPr>
        <w:commentReference w:id="49"/>
      </w:r>
      <w:r>
        <w:rPr>
          <w:rFonts w:asciiTheme="majorBidi" w:hAnsiTheme="majorBidi" w:cstheme="majorBidi"/>
          <w:sz w:val="24"/>
          <w:szCs w:val="24"/>
          <w:rtl/>
        </w:rPr>
        <w:t xml:space="preserve"> الاعتماد على هذه النماذج دون مراجعة متخصصة مخاطرةً غير محسوبة في البيئة القانونية </w:t>
      </w:r>
      <w:proofErr w:type="gramStart"/>
      <w:r>
        <w:rPr>
          <w:rFonts w:asciiTheme="majorBidi" w:hAnsiTheme="majorBidi" w:cstheme="majorBidi"/>
          <w:sz w:val="24"/>
          <w:szCs w:val="24"/>
          <w:rtl/>
        </w:rPr>
        <w:t xml:space="preserve">السعودية </w:t>
      </w:r>
      <w:r>
        <w:rPr>
          <w:rFonts w:asciiTheme="majorBidi" w:hAnsiTheme="majorBidi" w:cstheme="majorBidi"/>
          <w:sz w:val="24"/>
          <w:szCs w:val="24"/>
          <w:vertAlign w:val="superscript"/>
          <w:rtl/>
        </w:rPr>
        <w:footnoteReference w:id="287"/>
      </w:r>
      <w:r>
        <w:rPr>
          <w:rFonts w:asciiTheme="majorBidi" w:hAnsiTheme="majorBidi" w:cstheme="majorBidi"/>
          <w:sz w:val="24"/>
          <w:szCs w:val="24"/>
          <w:rtl/>
        </w:rPr>
        <w:t>.</w:t>
      </w:r>
      <w:proofErr w:type="gramEnd"/>
    </w:p>
    <w:p w14:paraId="00F88363"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إلى أن</w:t>
      </w:r>
      <w:commentRangeStart w:id="50"/>
      <w:commentRangeStart w:id="51"/>
      <w:commentRangeEnd w:id="50"/>
      <w:r>
        <w:rPr>
          <w:rStyle w:val="af0"/>
          <w:rFonts w:asciiTheme="majorBidi" w:hAnsiTheme="majorBidi" w:cstheme="majorBidi"/>
          <w:sz w:val="24"/>
          <w:szCs w:val="24"/>
          <w:rtl/>
        </w:rPr>
        <w:commentReference w:id="50"/>
      </w:r>
      <w:commentRangeEnd w:id="51"/>
      <w:r>
        <w:rPr>
          <w:rStyle w:val="af0"/>
          <w:rFonts w:asciiTheme="majorBidi" w:hAnsiTheme="majorBidi" w:cstheme="majorBidi"/>
          <w:sz w:val="24"/>
          <w:szCs w:val="24"/>
          <w:rtl/>
        </w:rPr>
        <w:commentReference w:id="51"/>
      </w:r>
      <w:commentRangeStart w:id="52"/>
      <w:commentRangeStart w:id="53"/>
      <w:r>
        <w:rPr>
          <w:rFonts w:asciiTheme="majorBidi" w:hAnsiTheme="majorBidi" w:cstheme="majorBidi"/>
          <w:sz w:val="24"/>
          <w:szCs w:val="24"/>
          <w:rtl/>
        </w:rPr>
        <w:t xml:space="preserve"> المشرّع السعودي </w:t>
      </w:r>
      <w:commentRangeStart w:id="54"/>
      <w:commentRangeStart w:id="55"/>
      <w:r>
        <w:rPr>
          <w:rFonts w:asciiTheme="majorBidi" w:hAnsiTheme="majorBidi" w:cstheme="majorBidi"/>
          <w:sz w:val="24"/>
          <w:szCs w:val="24"/>
          <w:rtl/>
        </w:rPr>
        <w:t>—</w:t>
      </w:r>
      <w:commentRangeEnd w:id="54"/>
      <w:r>
        <w:rPr>
          <w:rStyle w:val="af0"/>
          <w:rFonts w:asciiTheme="majorBidi" w:hAnsiTheme="majorBidi" w:cstheme="majorBidi"/>
          <w:sz w:val="24"/>
          <w:szCs w:val="24"/>
          <w:rtl/>
        </w:rPr>
        <w:commentReference w:id="54"/>
      </w:r>
      <w:commentRangeEnd w:id="55"/>
      <w:r>
        <w:rPr>
          <w:rStyle w:val="af0"/>
          <w:rFonts w:asciiTheme="majorBidi" w:hAnsiTheme="majorBidi" w:cstheme="majorBidi"/>
          <w:sz w:val="24"/>
          <w:szCs w:val="24"/>
          <w:rtl/>
        </w:rPr>
        <w:commentReference w:id="55"/>
      </w:r>
      <w:r>
        <w:rPr>
          <w:rFonts w:asciiTheme="majorBidi" w:hAnsiTheme="majorBidi" w:cstheme="majorBidi"/>
          <w:sz w:val="24"/>
          <w:szCs w:val="24"/>
          <w:rtl/>
        </w:rPr>
        <w:t xml:space="preserve"> وكذلك الهيئة السعودية للمحامين </w:t>
      </w:r>
      <w:commentRangeStart w:id="56"/>
      <w:commentRangeStart w:id="57"/>
      <w:r>
        <w:rPr>
          <w:rFonts w:asciiTheme="majorBidi" w:hAnsiTheme="majorBidi" w:cstheme="majorBidi"/>
          <w:sz w:val="24"/>
          <w:szCs w:val="24"/>
          <w:rtl/>
        </w:rPr>
        <w:t>—</w:t>
      </w:r>
      <w:commentRangeEnd w:id="56"/>
      <w:r>
        <w:rPr>
          <w:rStyle w:val="af0"/>
          <w:rFonts w:asciiTheme="majorBidi" w:hAnsiTheme="majorBidi" w:cstheme="majorBidi"/>
          <w:sz w:val="24"/>
          <w:szCs w:val="24"/>
          <w:rtl/>
        </w:rPr>
        <w:commentReference w:id="56"/>
      </w:r>
      <w:commentRangeEnd w:id="57"/>
      <w:r>
        <w:rPr>
          <w:rStyle w:val="af0"/>
          <w:rFonts w:asciiTheme="majorBidi" w:hAnsiTheme="majorBidi" w:cstheme="majorBidi"/>
          <w:sz w:val="24"/>
          <w:szCs w:val="24"/>
          <w:rtl/>
        </w:rPr>
        <w:commentReference w:id="57"/>
      </w:r>
      <w:r>
        <w:rPr>
          <w:rFonts w:asciiTheme="majorBidi" w:hAnsiTheme="majorBidi" w:cstheme="majorBidi"/>
          <w:sz w:val="24"/>
          <w:szCs w:val="24"/>
          <w:rtl/>
        </w:rPr>
        <w:t xml:space="preserve"> حين يُقرّان ضوابط استخدام الذكاء الاصطناعي في المهنة، لا بد أن تُفرّق هذه الضوابط بين أدوات الذكاء </w:t>
      </w:r>
      <w:commentRangeEnd w:id="52"/>
      <w:r>
        <w:rPr>
          <w:rStyle w:val="af0"/>
          <w:rFonts w:asciiTheme="majorBidi" w:hAnsiTheme="majorBidi" w:cstheme="majorBidi"/>
          <w:sz w:val="24"/>
          <w:szCs w:val="24"/>
          <w:rtl/>
        </w:rPr>
        <w:commentReference w:id="52"/>
      </w:r>
      <w:commentRangeEnd w:id="53"/>
      <w:r>
        <w:rPr>
          <w:rStyle w:val="af0"/>
          <w:rFonts w:asciiTheme="majorBidi" w:hAnsiTheme="majorBidi" w:cstheme="majorBidi"/>
          <w:sz w:val="24"/>
          <w:szCs w:val="24"/>
          <w:rtl/>
        </w:rPr>
        <w:commentReference w:id="53"/>
      </w:r>
      <w:r>
        <w:rPr>
          <w:rFonts w:asciiTheme="majorBidi" w:hAnsiTheme="majorBidi" w:cstheme="majorBidi"/>
          <w:sz w:val="24"/>
          <w:szCs w:val="24"/>
          <w:rtl/>
        </w:rPr>
        <w:t>الاصطناعي المُدرَّبة على البيانات القانونية السعودية والعربية تحديداً، وأدوات الاستخدام العام التي تفتقر إلى هذا التخصيص. ومقتضى ذلك تطبيق متطلبات اعتماد أعلى للأدوات غير المتخصصة</w:t>
      </w:r>
      <w:commentRangeStart w:id="58"/>
      <w:commentRangeStart w:id="59"/>
      <w:commentRangeEnd w:id="58"/>
      <w:r>
        <w:rPr>
          <w:rStyle w:val="af0"/>
          <w:rFonts w:asciiTheme="majorBidi" w:hAnsiTheme="majorBidi" w:cstheme="majorBidi"/>
          <w:sz w:val="24"/>
          <w:szCs w:val="24"/>
          <w:rtl/>
        </w:rPr>
        <w:commentReference w:id="58"/>
      </w:r>
      <w:commentRangeEnd w:id="59"/>
      <w:r>
        <w:rPr>
          <w:rStyle w:val="af0"/>
          <w:rFonts w:asciiTheme="majorBidi" w:hAnsiTheme="majorBidi" w:cstheme="majorBidi"/>
          <w:sz w:val="24"/>
          <w:szCs w:val="24"/>
          <w:rtl/>
        </w:rPr>
        <w:commentReference w:id="59"/>
      </w:r>
      <w:r>
        <w:rPr>
          <w:rFonts w:asciiTheme="majorBidi" w:hAnsiTheme="majorBidi" w:cstheme="majorBidi"/>
          <w:sz w:val="24"/>
          <w:szCs w:val="24"/>
          <w:rtl/>
        </w:rPr>
        <w:t xml:space="preserve"> حين تُستخدم في السياق القانوني السعودي.</w:t>
      </w:r>
    </w:p>
    <w:p w14:paraId="58D51EDE" w14:textId="77777777" w:rsidR="005705DD" w:rsidRDefault="005705DD" w:rsidP="005705DD"/>
    <w:p w14:paraId="030E0372" w14:textId="77777777" w:rsidR="005705DD" w:rsidRPr="00A84F46" w:rsidRDefault="005705DD" w:rsidP="005705DD">
      <w:pPr>
        <w:bidi/>
        <w:spacing w:after="200" w:line="276" w:lineRule="auto"/>
        <w:rPr>
          <w:bCs/>
          <w:color w:val="000000" w:themeColor="text1"/>
          <w:rtl/>
        </w:rPr>
      </w:pPr>
      <w:commentRangeStart w:id="60"/>
      <w:commentRangeStart w:id="61"/>
      <w:r>
        <w:rPr>
          <w:rFonts w:asciiTheme="majorBidi" w:hAnsiTheme="majorBidi" w:cstheme="majorBidi"/>
          <w:bCs/>
          <w:color w:val="000000" w:themeColor="text1"/>
          <w:sz w:val="28"/>
          <w:szCs w:val="28"/>
          <w:rtl/>
        </w:rPr>
        <w:t>تاسعاً: تطبيقات الذكاء الاصطناعي القانونية في مجالات سعودية بعينها</w:t>
      </w:r>
      <w:commentRangeEnd w:id="60"/>
      <w:r w:rsidRPr="00A84F46">
        <w:rPr>
          <w:rStyle w:val="af0"/>
          <w:bCs/>
          <w:color w:val="000000" w:themeColor="text1"/>
          <w:sz w:val="22"/>
          <w:szCs w:val="22"/>
          <w:rtl/>
        </w:rPr>
        <w:commentReference w:id="60"/>
      </w:r>
      <w:commentRangeEnd w:id="61"/>
      <w:r w:rsidRPr="00A84F46">
        <w:rPr>
          <w:rStyle w:val="af0"/>
          <w:bCs/>
          <w:color w:val="000000" w:themeColor="text1"/>
          <w:sz w:val="22"/>
          <w:szCs w:val="22"/>
          <w:rtl/>
        </w:rPr>
        <w:commentReference w:id="61"/>
      </w:r>
    </w:p>
    <w:p w14:paraId="4BA6CE5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المتخصص لتطبيقات الذكاء الاصطناعي في مجالات قانونية سعودية محددة في الكشف عن خصوصيات وإشكاليات تغيب في التحليل العام. ويتناول الباحث فيما يلي أربعة مجالات قانونية ذات أولوية:</w:t>
      </w:r>
    </w:p>
    <w:p w14:paraId="59475DC3"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المجال الأول </w:t>
      </w:r>
      <w:commentRangeStart w:id="62"/>
      <w:commentRangeStart w:id="63"/>
      <w:r>
        <w:rPr>
          <w:rFonts w:asciiTheme="majorBidi" w:hAnsiTheme="majorBidi" w:cstheme="majorBidi"/>
          <w:sz w:val="24"/>
          <w:szCs w:val="24"/>
          <w:rtl/>
        </w:rPr>
        <w:t>— قانون العمل وخدمات العمالة: يُعدّ قانون العمل السعودي من أكثر المجالات القانونية استخداماً لأدوات الذكاء الاصطناعي، وذلك لعدة أسباب: ضخامة حجم النزاعات العمالية وتشابه وقائعها إلى حد كبير، مما يجعل الأنماط التكرارية منها قابلة للمعالجة الذكية بكفاءة عالية. وتُستخدم أدوات الذكاء الاصطناعي في هذا المجال أساساً في: فحص عقود العمل للكشف عن البنود المخالفة لنظام العمل (1426هـ وتعديلاته)، وحساب مستحقات نهاية الخدمة وفق المتغيرات المختلفة، وتحليل الأنماط في قرارات المحاكم العمالية للتنبؤ باتجاهات الفصل.</w:t>
      </w:r>
      <w:commentRangeEnd w:id="62"/>
      <w:r>
        <w:rPr>
          <w:rStyle w:val="af0"/>
          <w:sz w:val="22"/>
          <w:szCs w:val="22"/>
          <w:rtl/>
        </w:rPr>
        <w:commentReference w:id="62"/>
      </w:r>
      <w:commentRangeEnd w:id="63"/>
      <w:r>
        <w:rPr>
          <w:rStyle w:val="af0"/>
          <w:sz w:val="22"/>
          <w:szCs w:val="22"/>
          <w:rtl/>
        </w:rPr>
        <w:commentReference w:id="63"/>
      </w:r>
    </w:p>
    <w:p w14:paraId="21E4F77B" w14:textId="77777777" w:rsidR="005705DD" w:rsidRDefault="005705DD" w:rsidP="005705DD">
      <w:pPr>
        <w:bidi/>
        <w:spacing w:after="200" w:line="276" w:lineRule="auto"/>
        <w:rPr>
          <w:rtl/>
        </w:rPr>
      </w:pPr>
      <w:commentRangeStart w:id="64"/>
      <w:commentRangeStart w:id="65"/>
      <w:r>
        <w:rPr>
          <w:rFonts w:asciiTheme="majorBidi" w:hAnsiTheme="majorBidi" w:cstheme="majorBidi"/>
          <w:sz w:val="24"/>
          <w:szCs w:val="24"/>
          <w:rtl/>
        </w:rPr>
        <w:t>غير أن توظيف الذكاء الاصطناعي في هذا المجال يصطدم بخصوصية نظام العمل السعودي الذي يتضمن أحكاماً خاصة بالعمالة الوافدة وبنظام الكفالة وبقطاع العمالة المنزلية، وهي أحكام تفتقر إلى تمثيل كافٍ في بيانات تدريب النماذج اللغوية العالمية. وهذا يعني أن مخرجات الذكاء الاصطناعي في قضايا العمل التي تتضمن هذه الخصوصيات السعودية تتطلب مراجعةً بشرية أكثر حرصاً.</w:t>
      </w:r>
    </w:p>
    <w:p w14:paraId="67F6E3E7"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المجال الثاني — القضايا التجارية والاستثمارية: تنتشر أدوات تحليل العقود التجارية في المكاتب القانونية المتخصصة في الشؤون التجارية، لا سيما في ظل تصاعد حجم الاستثمار الأجنبي المباشر في المملكة ضمن رؤية 2030 وما يرافقه من صفقات استحواذ ودمج وعقود استثمار. وتُستخدم هذه الأدوات أساساً في: استخراج البنود الجوهرية من عقود الاستثمار المعقدة، ومقارنة بنود التفاوض مع المعايير السائدة في السوق، والبحث التاريخي في قرارات هيئة الاستثمار والمحاكم التجارية. والإشكالية الرئيسية هنا أن بعض هذه الصفقات تتضمن بيانات تجارية سرية في غاية الحساسية، مما يجعل مسألة أمن البيانات المُدخَلة في الأدوات الذكية ذات أثر بالغ.</w:t>
      </w:r>
    </w:p>
    <w:p w14:paraId="0591F3EE" w14:textId="77777777" w:rsidR="005705DD" w:rsidRDefault="005705DD" w:rsidP="005705DD">
      <w:pPr>
        <w:bidi/>
        <w:spacing w:after="200" w:line="276" w:lineRule="auto"/>
        <w:rPr>
          <w:rtl/>
        </w:rPr>
      </w:pPr>
      <w:r>
        <w:rPr>
          <w:rFonts w:asciiTheme="majorBidi" w:hAnsiTheme="majorBidi" w:cstheme="majorBidi"/>
          <w:sz w:val="24"/>
          <w:szCs w:val="24"/>
          <w:rtl/>
        </w:rPr>
        <w:t>المجال الثالث — القضايا العقارية والتطوير: شهدت المملكة ازدهاراً غير مسبوق في قطاع العقار ضمن مشاريع رؤية 2030، وما صاحب ذلك من تزايد في النزاعات العقارية وعقود التطوير. ويُستخدم الذكاء الاصطناعي في هذا المجال لتحليل سجلات الملكية وتتبع سلاسل النقل والبحث في النزاعات المتعلقة بالصكوك. غير أن خصوصية نظام الأراضي السعودي ونظام التسجيل العيني (1422هـ) وأحكام الملكية في الفقه الإسلامي تجعل هذا المجال أحد أكثر المجالات التي يحتاج فيها الذكاء الاصطناعي إلى تخصيص معمّق.</w:t>
      </w:r>
      <w:commentRangeEnd w:id="64"/>
      <w:r>
        <w:rPr>
          <w:rStyle w:val="af0"/>
          <w:sz w:val="22"/>
          <w:szCs w:val="22"/>
          <w:rtl/>
        </w:rPr>
        <w:commentReference w:id="64"/>
      </w:r>
      <w:commentRangeEnd w:id="65"/>
      <w:r>
        <w:rPr>
          <w:rStyle w:val="af0"/>
          <w:sz w:val="22"/>
          <w:szCs w:val="22"/>
          <w:rtl/>
        </w:rPr>
        <w:commentReference w:id="65"/>
      </w:r>
    </w:p>
    <w:p w14:paraId="4B47B139"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المجال الرابع — القضايا الجنائية وحقوق الدفاع: يُعدّ هذا المجال الأكثر حساسيةً من منظور حقوق الإنسان وضمانات المحاكمة العادلة. وثمة نقاش فقهي وقانوني رصين حول مدى السماح بتوظيف أدوات الذكاء الاصطناعي </w:t>
      </w:r>
      <w:proofErr w:type="spellStart"/>
      <w:r>
        <w:rPr>
          <w:rFonts w:asciiTheme="majorBidi" w:hAnsiTheme="majorBidi" w:cstheme="majorBidi"/>
          <w:sz w:val="24"/>
          <w:szCs w:val="24"/>
          <w:rtl/>
        </w:rPr>
        <w:t>التنبؤية</w:t>
      </w:r>
      <w:proofErr w:type="spellEnd"/>
      <w:r>
        <w:rPr>
          <w:rFonts w:asciiTheme="majorBidi" w:hAnsiTheme="majorBidi" w:cstheme="majorBidi"/>
          <w:sz w:val="24"/>
          <w:szCs w:val="24"/>
          <w:rtl/>
        </w:rPr>
        <w:t xml:space="preserve"> — كتحليل الأنماط الإجرامية والتنبؤ بسلوك المتهم — في الإجراءات الجنائية. وقد أصدرت هيئات مهنية في عدد من الدول الغربية توجيهات صريحة من أن الذكاء الاصطناعي </w:t>
      </w:r>
      <w:proofErr w:type="spellStart"/>
      <w:r>
        <w:rPr>
          <w:rFonts w:asciiTheme="majorBidi" w:hAnsiTheme="majorBidi" w:cstheme="majorBidi"/>
          <w:sz w:val="24"/>
          <w:szCs w:val="24"/>
          <w:rtl/>
        </w:rPr>
        <w:t>التنبؤي</w:t>
      </w:r>
      <w:proofErr w:type="spellEnd"/>
      <w:r>
        <w:rPr>
          <w:rFonts w:asciiTheme="majorBidi" w:hAnsiTheme="majorBidi" w:cstheme="majorBidi"/>
          <w:sz w:val="24"/>
          <w:szCs w:val="24"/>
          <w:rtl/>
        </w:rPr>
        <w:t xml:space="preserve"> في الشأن الجنائي ينطوي على خطر التحيز نحو فئات بعينها من المتهمين</w:t>
      </w:r>
      <w:commentRangeStart w:id="66"/>
      <w:commentRangeStart w:id="67"/>
      <w:commentRangeEnd w:id="66"/>
      <w:r>
        <w:rPr>
          <w:rStyle w:val="af0"/>
          <w:rFonts w:asciiTheme="majorBidi" w:hAnsiTheme="majorBidi" w:cstheme="majorBidi"/>
          <w:sz w:val="24"/>
          <w:szCs w:val="24"/>
          <w:rtl/>
        </w:rPr>
        <w:commentReference w:id="66"/>
      </w:r>
      <w:commentRangeEnd w:id="67"/>
      <w:r>
        <w:rPr>
          <w:rStyle w:val="af0"/>
          <w:rFonts w:asciiTheme="majorBidi" w:hAnsiTheme="majorBidi" w:cstheme="majorBidi"/>
          <w:sz w:val="24"/>
          <w:szCs w:val="24"/>
          <w:rtl/>
        </w:rPr>
        <w:commentReference w:id="67"/>
      </w:r>
      <w:r>
        <w:rPr>
          <w:rFonts w:asciiTheme="majorBidi" w:hAnsiTheme="majorBidi" w:cstheme="majorBidi"/>
          <w:sz w:val="24"/>
          <w:szCs w:val="24"/>
          <w:rtl/>
        </w:rPr>
        <w:t xml:space="preserve">. </w:t>
      </w:r>
      <w:commentRangeStart w:id="68"/>
      <w:commentRangeStart w:id="69"/>
      <w:r>
        <w:rPr>
          <w:rFonts w:asciiTheme="majorBidi" w:hAnsiTheme="majorBidi" w:cstheme="majorBidi"/>
          <w:sz w:val="24"/>
          <w:szCs w:val="24"/>
          <w:rtl/>
        </w:rPr>
        <w:t>وفي السياق السعودي،</w:t>
      </w:r>
      <w:commentRangeEnd w:id="68"/>
      <w:r>
        <w:rPr>
          <w:rStyle w:val="af0"/>
          <w:rFonts w:asciiTheme="majorBidi" w:hAnsiTheme="majorBidi" w:cstheme="majorBidi"/>
          <w:sz w:val="24"/>
          <w:szCs w:val="24"/>
          <w:rtl/>
        </w:rPr>
        <w:commentReference w:id="68"/>
      </w:r>
      <w:commentRangeEnd w:id="69"/>
      <w:r>
        <w:rPr>
          <w:rStyle w:val="af0"/>
          <w:rFonts w:asciiTheme="majorBidi" w:hAnsiTheme="majorBidi" w:cstheme="majorBidi"/>
          <w:sz w:val="24"/>
          <w:szCs w:val="24"/>
          <w:rtl/>
        </w:rPr>
        <w:commentReference w:id="69"/>
      </w:r>
      <w:r>
        <w:rPr>
          <w:rFonts w:asciiTheme="majorBidi" w:hAnsiTheme="majorBidi" w:cstheme="majorBidi"/>
          <w:sz w:val="24"/>
          <w:szCs w:val="24"/>
          <w:rtl/>
        </w:rPr>
        <w:t xml:space="preserve"> فإن أصل البراءة المقرر شرعاً والمعروف عالمياً، والتوجيه الشرعي القاضي بدرء الحدود بالشبهات، يمثلان مبدأين يتعارضان جوهرياً مع التسليم الأعمى لنتائج نموذج احتمالي في القضايا الجنائية.</w:t>
      </w:r>
    </w:p>
    <w:p w14:paraId="1866C7A7" w14:textId="77777777" w:rsidR="005705DD" w:rsidRDefault="005705DD" w:rsidP="005705DD"/>
    <w:p w14:paraId="3A061361"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الثاني</w:t>
      </w:r>
    </w:p>
    <w:p w14:paraId="1622558B"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مدى توافق أدوات الذكاء الاصطناعي مع البيئة النظامية السعودية</w:t>
      </w:r>
    </w:p>
    <w:p w14:paraId="3E387F27" w14:textId="77777777" w:rsidR="005705DD" w:rsidRDefault="005705DD" w:rsidP="005705DD">
      <w:pPr>
        <w:bidi/>
        <w:spacing w:after="200" w:line="276" w:lineRule="auto"/>
        <w:rPr>
          <w:rtl/>
        </w:rPr>
      </w:pPr>
      <w:r>
        <w:rPr>
          <w:rFonts w:asciiTheme="majorBidi" w:hAnsiTheme="majorBidi" w:cstheme="majorBidi"/>
          <w:sz w:val="24"/>
          <w:szCs w:val="24"/>
          <w:rtl/>
        </w:rPr>
        <w:t>يُعدّ تقييم مدى توافق الأدوات الذكية المستخدمة في مكاتب المحاماة السعودية مع المنظومة النظامية القائمة من أكثر المسائل دقةً وإلحاحاً في هذه الدراسة، ذلك أن الاستخدام الفعلي لهذه الأدوات لا يعني بالضرورة مشروعيتها النظامية أو انسجامها مع الأنظمة المعمول بها. وللحكم على هذا التوافق لا بد من إخضاع هذه الأدوات لاختبار ثلاثة محاور تشريعية رئيسية في البيئة السعودية.</w:t>
      </w:r>
    </w:p>
    <w:p w14:paraId="1872C3DA" w14:textId="77777777" w:rsidR="005705DD" w:rsidRDefault="005705DD" w:rsidP="005705DD">
      <w:pPr>
        <w:bidi/>
        <w:spacing w:after="200" w:line="276" w:lineRule="auto"/>
        <w:rPr>
          <w:rtl/>
        </w:rPr>
      </w:pPr>
      <w:r>
        <w:rPr>
          <w:rFonts w:asciiTheme="majorBidi" w:hAnsiTheme="majorBidi" w:cstheme="majorBidi"/>
          <w:b/>
          <w:sz w:val="28"/>
          <w:szCs w:val="28"/>
          <w:rtl/>
        </w:rPr>
        <w:t>أولاً: التوافق مع نظام حماية البيانات الشخصية (1443هـ)</w:t>
      </w:r>
    </w:p>
    <w:p w14:paraId="05D03D05" w14:textId="77777777" w:rsidR="005705DD" w:rsidRDefault="005705DD" w:rsidP="005705DD">
      <w:pPr>
        <w:bidi/>
        <w:spacing w:after="200" w:line="276" w:lineRule="auto"/>
        <w:rPr>
          <w:rtl/>
        </w:rPr>
      </w:pP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نظام حماية البيانات الشخصية الصادر بالمرسوم الملكي رقم م/19 لعام 1443هـ منظومة متكاملة من الالتزامات التي تُقيّد حرية الجهات في جمع البيانات ومعالجتها ونقلها. وحين يستخدم المحامي أداة ذكاء اصطناعي لمعالجة بيانات موكله </w:t>
      </w:r>
      <w:commentRangeStart w:id="70"/>
      <w:commentRangeStart w:id="71"/>
      <w:r>
        <w:rPr>
          <w:rFonts w:asciiTheme="majorBidi" w:hAnsiTheme="majorBidi" w:cstheme="majorBidi"/>
          <w:sz w:val="24"/>
          <w:szCs w:val="24"/>
          <w:rtl/>
        </w:rPr>
        <w:t>—</w:t>
      </w:r>
      <w:commentRangeEnd w:id="70"/>
      <w:r>
        <w:rPr>
          <w:rStyle w:val="af0"/>
          <w:rFonts w:asciiTheme="majorBidi" w:hAnsiTheme="majorBidi" w:cstheme="majorBidi"/>
          <w:sz w:val="24"/>
          <w:szCs w:val="24"/>
          <w:rtl/>
        </w:rPr>
        <w:commentReference w:id="70"/>
      </w:r>
      <w:commentRangeEnd w:id="71"/>
      <w:r>
        <w:rPr>
          <w:rStyle w:val="af0"/>
          <w:rFonts w:asciiTheme="majorBidi" w:hAnsiTheme="majorBidi" w:cstheme="majorBidi"/>
          <w:sz w:val="24"/>
          <w:szCs w:val="24"/>
          <w:rtl/>
        </w:rPr>
        <w:commentReference w:id="71"/>
      </w:r>
      <w:r>
        <w:rPr>
          <w:rFonts w:asciiTheme="majorBidi" w:hAnsiTheme="majorBidi" w:cstheme="majorBidi"/>
          <w:sz w:val="24"/>
          <w:szCs w:val="24"/>
          <w:rtl/>
        </w:rPr>
        <w:t xml:space="preserve"> سواء بإدخال وقائع القضية أو مستندات العقد أو المراسلات </w:t>
      </w:r>
      <w:commentRangeStart w:id="72"/>
      <w:commentRangeStart w:id="73"/>
      <w:r>
        <w:rPr>
          <w:rFonts w:asciiTheme="majorBidi" w:hAnsiTheme="majorBidi" w:cstheme="majorBidi"/>
          <w:sz w:val="24"/>
          <w:szCs w:val="24"/>
          <w:rtl/>
        </w:rPr>
        <w:t>—</w:t>
      </w:r>
      <w:commentRangeEnd w:id="72"/>
      <w:r>
        <w:rPr>
          <w:rStyle w:val="af0"/>
          <w:rFonts w:asciiTheme="majorBidi" w:hAnsiTheme="majorBidi" w:cstheme="majorBidi"/>
          <w:sz w:val="24"/>
          <w:szCs w:val="24"/>
          <w:rtl/>
        </w:rPr>
        <w:commentReference w:id="72"/>
      </w:r>
      <w:commentRangeEnd w:id="73"/>
      <w:r>
        <w:rPr>
          <w:rStyle w:val="af0"/>
          <w:rFonts w:asciiTheme="majorBidi" w:hAnsiTheme="majorBidi" w:cstheme="majorBidi"/>
          <w:sz w:val="24"/>
          <w:szCs w:val="24"/>
          <w:rtl/>
        </w:rPr>
        <w:commentReference w:id="73"/>
      </w:r>
      <w:r>
        <w:rPr>
          <w:rFonts w:asciiTheme="majorBidi" w:hAnsiTheme="majorBidi" w:cstheme="majorBidi"/>
          <w:sz w:val="24"/>
          <w:szCs w:val="24"/>
          <w:rtl/>
        </w:rPr>
        <w:t xml:space="preserve"> فإنه يدخل في دائرة تطبيق هذا النظام بصورة مباشرة. وتتجلى أبرز </w:t>
      </w:r>
      <w:proofErr w:type="spellStart"/>
      <w:r>
        <w:rPr>
          <w:rFonts w:asciiTheme="majorBidi" w:hAnsiTheme="majorBidi" w:cstheme="majorBidi"/>
          <w:sz w:val="24"/>
          <w:szCs w:val="24"/>
          <w:rtl/>
        </w:rPr>
        <w:t>التعارضات</w:t>
      </w:r>
      <w:proofErr w:type="spellEnd"/>
      <w:r>
        <w:rPr>
          <w:rFonts w:asciiTheme="majorBidi" w:hAnsiTheme="majorBidi" w:cstheme="majorBidi"/>
          <w:sz w:val="24"/>
          <w:szCs w:val="24"/>
          <w:rtl/>
        </w:rPr>
        <w:t xml:space="preserve"> النظامية الجوهرية فيما يلي:</w:t>
      </w:r>
    </w:p>
    <w:p w14:paraId="20C18C7C" w14:textId="77777777" w:rsidR="005705DD" w:rsidRDefault="005705DD" w:rsidP="005705DD">
      <w:pPr>
        <w:bidi/>
        <w:spacing w:after="200" w:line="276" w:lineRule="auto"/>
        <w:rPr>
          <w:rtl/>
        </w:rPr>
      </w:pPr>
      <w:r>
        <w:rPr>
          <w:rFonts w:asciiTheme="majorBidi" w:hAnsiTheme="majorBidi" w:cstheme="majorBidi"/>
          <w:sz w:val="24"/>
          <w:szCs w:val="24"/>
          <w:rtl/>
        </w:rPr>
        <w:t>أ — إشكالية الموافقة الصريحة: تشترط المادة الخامسة من النظام الحصولَ على موافقة صريحة لمعالجة البيانات. وقد نبّه جانب من الفقه إلى أن</w:t>
      </w:r>
      <w:commentRangeStart w:id="74"/>
      <w:commentRangeStart w:id="75"/>
      <w:commentRangeEnd w:id="74"/>
      <w:r>
        <w:rPr>
          <w:rStyle w:val="af0"/>
          <w:rFonts w:asciiTheme="majorBidi" w:hAnsiTheme="majorBidi" w:cstheme="majorBidi"/>
          <w:sz w:val="24"/>
          <w:szCs w:val="24"/>
          <w:rtl/>
        </w:rPr>
        <w:commentReference w:id="74"/>
      </w:r>
      <w:commentRangeEnd w:id="75"/>
      <w:r>
        <w:rPr>
          <w:rStyle w:val="af0"/>
          <w:rFonts w:asciiTheme="majorBidi" w:hAnsiTheme="majorBidi" w:cstheme="majorBidi"/>
          <w:sz w:val="24"/>
          <w:szCs w:val="24"/>
          <w:rtl/>
        </w:rPr>
        <w:commentReference w:id="75"/>
      </w:r>
      <w:r>
        <w:rPr>
          <w:rFonts w:asciiTheme="majorBidi" w:hAnsiTheme="majorBidi" w:cstheme="majorBidi"/>
          <w:sz w:val="24"/>
          <w:szCs w:val="24"/>
          <w:rtl/>
        </w:rPr>
        <w:t xml:space="preserve"> كثيراً من نماذج التوكيل التقليدية في المكاتب القانونية السعودية لا تتضمن صياغةً صريحة تُخوّل المحامي استخدام أدوات ذكاء اصطناعي خارجية في معالجة بيانات الموكل، مما يجعل هذا الاستخدام مشكوكاً في انسجامه مع متطلبات الموافقة </w:t>
      </w:r>
      <w:proofErr w:type="gramStart"/>
      <w:r>
        <w:rPr>
          <w:rFonts w:asciiTheme="majorBidi" w:hAnsiTheme="majorBidi" w:cstheme="majorBidi"/>
          <w:sz w:val="24"/>
          <w:szCs w:val="24"/>
          <w:rtl/>
        </w:rPr>
        <w:t xml:space="preserve">المستنيرة </w:t>
      </w:r>
      <w:r>
        <w:rPr>
          <w:rFonts w:asciiTheme="majorBidi" w:hAnsiTheme="majorBidi" w:cstheme="majorBidi"/>
          <w:sz w:val="24"/>
          <w:szCs w:val="24"/>
          <w:vertAlign w:val="superscript"/>
          <w:rtl/>
        </w:rPr>
        <w:footnoteReference w:id="288"/>
      </w:r>
      <w:r>
        <w:rPr>
          <w:rFonts w:asciiTheme="majorBidi" w:hAnsiTheme="majorBidi" w:cstheme="majorBidi"/>
          <w:sz w:val="24"/>
          <w:szCs w:val="24"/>
          <w:rtl/>
        </w:rPr>
        <w:t>.</w:t>
      </w:r>
      <w:proofErr w:type="gramEnd"/>
    </w:p>
    <w:p w14:paraId="3C373635"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ب — إشكالية نقل البيانات خارج المملكة: تحظر المادة (التاسعة والعشرون) من النظام نقل البيانات الشخصية إلى خارج المملكة أو الإفصاح عنها لجهة خارجها إلا وفق ضوابط محددة، منها تقديم ضمانات كافية للمحافظة على البيانات وسريتها والاقتصار على الحد الأدنى منها. وتُعدّ هذه المادة من أكثر أحكام النظام إشكاليةً في سياق استخدام الأدوات الذكية الأجنبية </w:t>
      </w:r>
      <w:proofErr w:type="spellStart"/>
      <w:proofErr w:type="gramStart"/>
      <w:r>
        <w:rPr>
          <w:rFonts w:asciiTheme="majorBidi" w:hAnsiTheme="majorBidi" w:cstheme="majorBidi"/>
          <w:sz w:val="24"/>
          <w:szCs w:val="24"/>
          <w:rtl/>
        </w:rPr>
        <w:t>كـChatGPT</w:t>
      </w:r>
      <w:proofErr w:type="spellEnd"/>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وHarvey</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وLuminance</w:t>
      </w:r>
      <w:proofErr w:type="spellEnd"/>
      <w:r>
        <w:rPr>
          <w:rFonts w:asciiTheme="majorBidi" w:hAnsiTheme="majorBidi" w:cstheme="majorBidi"/>
          <w:sz w:val="24"/>
          <w:szCs w:val="24"/>
          <w:rtl/>
        </w:rPr>
        <w:t xml:space="preserve">، إذ تُعالَج البيانات المُدخَلة في هذه الأدوات على خوادم تقع في الولايات المتحدة أو أوروبا، وهو ما يُشكّل نقلاً للبيانات خارج الحدود دون المرور بالإجراءات التي رسمها النظام. وقد أشار الدليل </w:t>
      </w:r>
      <w:proofErr w:type="spellStart"/>
      <w:r>
        <w:rPr>
          <w:rFonts w:asciiTheme="majorBidi" w:hAnsiTheme="majorBidi" w:cstheme="majorBidi"/>
          <w:sz w:val="24"/>
          <w:szCs w:val="24"/>
          <w:rtl/>
        </w:rPr>
        <w:t>الاسترشادي</w:t>
      </w:r>
      <w:proofErr w:type="spellEnd"/>
      <w:r>
        <w:rPr>
          <w:rFonts w:asciiTheme="majorBidi" w:hAnsiTheme="majorBidi" w:cstheme="majorBidi"/>
          <w:sz w:val="24"/>
          <w:szCs w:val="24"/>
          <w:rtl/>
        </w:rPr>
        <w:t xml:space="preserve"> لتقويم مخاطر نقل البيانات الشخصية إلى خارج المملكة الصادر عن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(فبراير 2025م) صراحةً إلى أن الجهات المعالِجة يجب أن تجري تقييم أثر (DPIA) قبل نقل البيانات إلى منصات سحابية </w:t>
      </w:r>
      <w:proofErr w:type="gramStart"/>
      <w:r>
        <w:rPr>
          <w:rFonts w:asciiTheme="majorBidi" w:hAnsiTheme="majorBidi" w:cstheme="majorBidi"/>
          <w:sz w:val="24"/>
          <w:szCs w:val="24"/>
          <w:rtl/>
        </w:rPr>
        <w:t xml:space="preserve">خارجية </w:t>
      </w:r>
      <w:r>
        <w:rPr>
          <w:rFonts w:asciiTheme="majorBidi" w:hAnsiTheme="majorBidi" w:cstheme="majorBidi"/>
          <w:sz w:val="24"/>
          <w:szCs w:val="24"/>
          <w:vertAlign w:val="superscript"/>
          <w:rtl/>
        </w:rPr>
        <w:footnoteReference w:id="289"/>
      </w:r>
      <w:r>
        <w:rPr>
          <w:rFonts w:asciiTheme="majorBidi" w:hAnsiTheme="majorBidi" w:cstheme="majorBidi"/>
          <w:sz w:val="24"/>
          <w:szCs w:val="24"/>
          <w:rtl/>
        </w:rPr>
        <w:t>.</w:t>
      </w:r>
      <w:proofErr w:type="gramEnd"/>
    </w:p>
    <w:p w14:paraId="2D275BD5" w14:textId="77777777" w:rsidR="005705DD" w:rsidRDefault="005705DD" w:rsidP="005705DD">
      <w:pPr>
        <w:bidi/>
        <w:spacing w:after="200" w:line="276" w:lineRule="auto"/>
        <w:rPr>
          <w:rtl/>
        </w:rPr>
      </w:pPr>
      <w:r>
        <w:rPr>
          <w:rFonts w:asciiTheme="majorBidi" w:hAnsiTheme="majorBidi" w:cstheme="majorBidi"/>
          <w:sz w:val="24"/>
          <w:szCs w:val="24"/>
          <w:rtl/>
        </w:rPr>
        <w:t xml:space="preserve">ج — إشكالية الغرض المحدد ومبدأ التناسب: توجب المادة (الحادية عشرة) من النظام أن تكون أغراض جمع البيانات ذات ارتباط مباشر بأغراض جهة التحكم، وأن يقتصر الجمع على الحد الأدنى اللازم لتحقيق الغرض. وحين يُدخل المحامي بيانات موكله في أداة ذكاء اصطناعي توليدي تستخدم هذه البيانات لتدريب نماذجها المستقبلية — وهو ما تنص عليه شروط الاستخدام لبعض هذه الأدوات — فإن ذلك يُخرج المعالجة عن نطاق الغرض الأصلي المأذون </w:t>
      </w:r>
      <w:commentRangeStart w:id="76"/>
      <w:commentRangeStart w:id="77"/>
      <w:r>
        <w:rPr>
          <w:rFonts w:asciiTheme="majorBidi" w:hAnsiTheme="majorBidi" w:cstheme="majorBidi"/>
          <w:sz w:val="24"/>
          <w:szCs w:val="24"/>
          <w:rtl/>
        </w:rPr>
        <w:t>به. وقد نبّه جانب من الفقه إلى أن</w:t>
      </w:r>
      <w:commentRangeEnd w:id="76"/>
      <w:r>
        <w:rPr>
          <w:rStyle w:val="af0"/>
          <w:rFonts w:asciiTheme="majorBidi" w:hAnsiTheme="majorBidi" w:cstheme="majorBidi"/>
          <w:sz w:val="24"/>
          <w:szCs w:val="24"/>
          <w:rtl/>
        </w:rPr>
        <w:commentReference w:id="76"/>
      </w:r>
      <w:commentRangeEnd w:id="77"/>
      <w:r>
        <w:rPr>
          <w:rStyle w:val="af0"/>
          <w:rFonts w:asciiTheme="majorBidi" w:hAnsiTheme="majorBidi" w:cstheme="majorBidi"/>
          <w:sz w:val="24"/>
          <w:szCs w:val="24"/>
          <w:rtl/>
        </w:rPr>
        <w:commentReference w:id="77"/>
      </w:r>
      <w:r>
        <w:rPr>
          <w:rFonts w:asciiTheme="majorBidi" w:hAnsiTheme="majorBidi" w:cstheme="majorBidi"/>
          <w:sz w:val="24"/>
          <w:szCs w:val="24"/>
          <w:rtl/>
        </w:rPr>
        <w:t xml:space="preserve"> إدخال وقائع قضية حساسة في نموذج ذكاء اصطناعي مفتوح قد يُشكّل انتهاكاً لنظام حماية البيانات الشخصية بصرف النظر عن </w:t>
      </w:r>
      <w:proofErr w:type="gramStart"/>
      <w:r>
        <w:rPr>
          <w:rFonts w:asciiTheme="majorBidi" w:hAnsiTheme="majorBidi" w:cstheme="majorBidi"/>
          <w:sz w:val="24"/>
          <w:szCs w:val="24"/>
          <w:rtl/>
        </w:rPr>
        <w:t xml:space="preserve">النية </w:t>
      </w:r>
      <w:r>
        <w:rPr>
          <w:rFonts w:asciiTheme="majorBidi" w:hAnsiTheme="majorBidi" w:cstheme="majorBidi"/>
          <w:sz w:val="24"/>
          <w:szCs w:val="24"/>
          <w:vertAlign w:val="superscript"/>
          <w:rtl/>
        </w:rPr>
        <w:footnoteReference w:id="290"/>
      </w:r>
      <w:r>
        <w:rPr>
          <w:rFonts w:asciiTheme="majorBidi" w:hAnsiTheme="majorBidi" w:cstheme="majorBidi"/>
          <w:sz w:val="24"/>
          <w:szCs w:val="24"/>
          <w:rtl/>
        </w:rPr>
        <w:t>.</w:t>
      </w:r>
      <w:proofErr w:type="gramEnd"/>
    </w:p>
    <w:p w14:paraId="59FAC648" w14:textId="77777777" w:rsidR="005705DD" w:rsidRDefault="005705DD" w:rsidP="005705DD">
      <w:pPr>
        <w:bidi/>
        <w:spacing w:after="200" w:line="276" w:lineRule="auto"/>
        <w:rPr>
          <w:rtl/>
        </w:rPr>
      </w:pPr>
      <w:r>
        <w:rPr>
          <w:rFonts w:asciiTheme="majorBidi" w:hAnsiTheme="majorBidi" w:cstheme="majorBidi"/>
          <w:b/>
          <w:sz w:val="28"/>
          <w:szCs w:val="28"/>
          <w:rtl/>
        </w:rPr>
        <w:t>ثانياً: التوافق مع نظام التعاملات الإلكترونية ونظام الإثبات</w:t>
      </w:r>
    </w:p>
    <w:p w14:paraId="04959213" w14:textId="77777777" w:rsidR="005705DD" w:rsidRDefault="005705DD" w:rsidP="005705DD">
      <w:pPr>
        <w:bidi/>
        <w:spacing w:after="200" w:line="276" w:lineRule="auto"/>
        <w:rPr>
          <w:rtl/>
        </w:rPr>
      </w:pPr>
      <w:r>
        <w:rPr>
          <w:rFonts w:asciiTheme="majorBidi" w:hAnsiTheme="majorBidi" w:cstheme="majorBidi"/>
          <w:sz w:val="24"/>
          <w:szCs w:val="24"/>
          <w:rtl/>
        </w:rPr>
        <w:t>يُتيح نظام التعاملات الإلكترونية الصادر بالمرسوم الملكي م/18 لعام 1428هـ الاعترافَ بصحة العقود المبرمة إلكترونياً والتوقيعات الإلكترونية متى استوفت الشروط المقررة نظاماً. وهذا الإقرار يُمهّد من الناحية المبدئية قبول مخرجات الذكاء الاصطناعي القانوني كوسيلة لتحضير العقود والوثائق. غير أن نظام الإثبات الصادر بالمرسوم الملكي رقم (م/43) لعام 1443هـ — وتحديداً المواد (54) إلى (57) منه الخاصة بالدليل الرقمي — يضع شروطاً للحجية تتعلق بإمكانية نسبة المستند إلى صاحبه وسلامة وسيلة حفظه، وهو ما يُثير تساؤلات جدية حول الوثائق المنتجة آلياً.</w:t>
      </w:r>
    </w:p>
    <w:p w14:paraId="7911952D" w14:textId="77777777" w:rsidR="005705DD" w:rsidRDefault="005705DD" w:rsidP="005705DD">
      <w:pPr>
        <w:bidi/>
        <w:spacing w:after="200" w:line="276" w:lineRule="auto"/>
        <w:rPr>
          <w:rtl/>
        </w:rPr>
      </w:pPr>
      <w:r>
        <w:rPr>
          <w:rFonts w:asciiTheme="majorBidi" w:hAnsiTheme="majorBidi" w:cstheme="majorBidi"/>
          <w:sz w:val="24"/>
          <w:szCs w:val="24"/>
          <w:rtl/>
        </w:rPr>
        <w:t>فمن حيث حجية مخرجات الذكاء الاصطناعي، لا يُشكّل نظام الإثبات الحالي حاجزاً مانعاً صريحاً أمام الوثائق الذكية، لكنه لا يُقرّها صراحةً أيضاً، مما يترك المسألة معلقةً بالسلطة التقديرية للقاضي</w:t>
      </w:r>
      <w:commentRangeStart w:id="78"/>
      <w:commentRangeStart w:id="79"/>
      <w:r>
        <w:rPr>
          <w:rFonts w:asciiTheme="majorBidi" w:hAnsiTheme="majorBidi" w:cstheme="majorBidi"/>
          <w:sz w:val="24"/>
          <w:szCs w:val="24"/>
          <w:rtl/>
        </w:rPr>
        <w:t>. وقد أشار جانب من الفقه إلى أن</w:t>
      </w:r>
      <w:commentRangeEnd w:id="78"/>
      <w:r>
        <w:rPr>
          <w:rStyle w:val="af0"/>
          <w:rFonts w:asciiTheme="majorBidi" w:hAnsiTheme="majorBidi" w:cstheme="majorBidi"/>
          <w:sz w:val="24"/>
          <w:szCs w:val="24"/>
          <w:rtl/>
        </w:rPr>
        <w:commentReference w:id="78"/>
      </w:r>
      <w:commentRangeEnd w:id="79"/>
      <w:r>
        <w:rPr>
          <w:rStyle w:val="af0"/>
          <w:rFonts w:asciiTheme="majorBidi" w:hAnsiTheme="majorBidi" w:cstheme="majorBidi"/>
          <w:sz w:val="24"/>
          <w:szCs w:val="24"/>
          <w:rtl/>
        </w:rPr>
        <w:commentReference w:id="79"/>
      </w:r>
      <w:r>
        <w:rPr>
          <w:rFonts w:asciiTheme="majorBidi" w:hAnsiTheme="majorBidi" w:cstheme="majorBidi"/>
          <w:sz w:val="24"/>
          <w:szCs w:val="24"/>
          <w:rtl/>
        </w:rPr>
        <w:t xml:space="preserve"> حجية التصرفات القانونية في البيئة الرقمية ترتبط أساساً بإمكانية التحقق من المصدر وسلامة المحتوى وقابلية تتبع التعديلات، وهو ما لا تُوفّره كثير من مخرجات الأنظمة التوليدية التي قد تبدو متسقة ظاهرياً لكنها تفتقر إلى مسار شفاف لتكوين </w:t>
      </w:r>
      <w:proofErr w:type="gramStart"/>
      <w:r>
        <w:rPr>
          <w:rFonts w:asciiTheme="majorBidi" w:hAnsiTheme="majorBidi" w:cstheme="majorBidi"/>
          <w:sz w:val="24"/>
          <w:szCs w:val="24"/>
          <w:rtl/>
        </w:rPr>
        <w:t xml:space="preserve">المضمون </w:t>
      </w:r>
      <w:r>
        <w:rPr>
          <w:rFonts w:asciiTheme="majorBidi" w:hAnsiTheme="majorBidi" w:cstheme="majorBidi"/>
          <w:sz w:val="24"/>
          <w:szCs w:val="24"/>
          <w:vertAlign w:val="superscript"/>
          <w:rtl/>
        </w:rPr>
        <w:footnoteReference w:id="291"/>
      </w:r>
      <w:r>
        <w:rPr>
          <w:rFonts w:asciiTheme="majorBidi" w:hAnsiTheme="majorBidi" w:cstheme="majorBidi"/>
          <w:sz w:val="24"/>
          <w:szCs w:val="24"/>
          <w:rtl/>
        </w:rPr>
        <w:t>.</w:t>
      </w:r>
      <w:proofErr w:type="gramEnd"/>
    </w:p>
    <w:p w14:paraId="3294DAFB" w14:textId="77777777" w:rsidR="005705DD" w:rsidRDefault="005705DD" w:rsidP="005705DD">
      <w:pPr>
        <w:bidi/>
        <w:spacing w:after="200" w:line="276" w:lineRule="auto"/>
        <w:rPr>
          <w:rtl/>
        </w:rPr>
      </w:pPr>
      <w:r>
        <w:rPr>
          <w:rFonts w:asciiTheme="majorBidi" w:hAnsiTheme="majorBidi" w:cstheme="majorBidi"/>
          <w:sz w:val="24"/>
          <w:szCs w:val="24"/>
          <w:rtl/>
        </w:rPr>
        <w:t xml:space="preserve">وفي هذا السياق، يُشدّد مركز الدراسات والبحوث القانونية التابع لوزارة العدل (2024م) على أن نظام الإثبات السعودي يُتيح قبول الأدلة الرقمية بما فيها مخرجات الأنظمة الذكية، لكن ذلك مشروط بضمان صحة الأداة الذكية المولِّدة للدليل وخلوّها من التحيز، مما يُلقي على عاتق المحامي عبء إثبات مصداقية الأداة ذاتها قبل الاستناد إلى مخرجاتها، وهو عبء إثبات لم يكن قائماً في ظل أساليب العمل </w:t>
      </w:r>
      <w:proofErr w:type="gramStart"/>
      <w:r>
        <w:rPr>
          <w:rFonts w:asciiTheme="majorBidi" w:hAnsiTheme="majorBidi" w:cstheme="majorBidi"/>
          <w:sz w:val="24"/>
          <w:szCs w:val="24"/>
          <w:rtl/>
        </w:rPr>
        <w:t xml:space="preserve">التقليدية </w:t>
      </w:r>
      <w:r>
        <w:rPr>
          <w:rFonts w:asciiTheme="majorBidi" w:hAnsiTheme="majorBidi" w:cstheme="majorBidi"/>
          <w:sz w:val="24"/>
          <w:szCs w:val="24"/>
          <w:vertAlign w:val="superscript"/>
          <w:rtl/>
        </w:rPr>
        <w:footnoteReference w:id="292"/>
      </w:r>
      <w:r>
        <w:rPr>
          <w:rFonts w:asciiTheme="majorBidi" w:hAnsiTheme="majorBidi" w:cstheme="majorBidi"/>
          <w:sz w:val="24"/>
          <w:szCs w:val="24"/>
          <w:rtl/>
        </w:rPr>
        <w:t>.</w:t>
      </w:r>
      <w:proofErr w:type="gramEnd"/>
    </w:p>
    <w:p w14:paraId="13A19DF0" w14:textId="77777777" w:rsidR="005705DD" w:rsidRDefault="005705DD" w:rsidP="005705DD">
      <w:pPr>
        <w:bidi/>
        <w:spacing w:after="200" w:line="276" w:lineRule="auto"/>
        <w:rPr>
          <w:rtl/>
        </w:rPr>
      </w:pPr>
      <w:r>
        <w:rPr>
          <w:rFonts w:asciiTheme="majorBidi" w:hAnsiTheme="majorBidi" w:cstheme="majorBidi"/>
          <w:b/>
          <w:sz w:val="28"/>
          <w:szCs w:val="28"/>
          <w:rtl/>
        </w:rPr>
        <w:t xml:space="preserve">ثالثاً: الإطار التنظيمي </w:t>
      </w:r>
      <w:proofErr w:type="spellStart"/>
      <w:r>
        <w:rPr>
          <w:rFonts w:asciiTheme="majorBidi" w:hAnsiTheme="majorBidi" w:cstheme="majorBidi"/>
          <w:b/>
          <w:sz w:val="28"/>
          <w:szCs w:val="28"/>
          <w:rtl/>
        </w:rPr>
        <w:t>لسدايا</w:t>
      </w:r>
      <w:proofErr w:type="spellEnd"/>
      <w:r>
        <w:rPr>
          <w:rFonts w:asciiTheme="majorBidi" w:hAnsiTheme="majorBidi" w:cstheme="majorBidi"/>
          <w:b/>
          <w:sz w:val="28"/>
          <w:szCs w:val="28"/>
          <w:rtl/>
        </w:rPr>
        <w:t xml:space="preserve"> وتطبيقه على مكاتب المحاماة</w:t>
      </w:r>
    </w:p>
    <w:p w14:paraId="3A34AFFE"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أصدرت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جملةً من الوثائق التنظيمية ذات الصلة بموضوع الدراسة، أبرزها ثلاث وثائق تُشكّل معاً الإطار التنظيمي الناعم لتوظيف الذكاء الاصطناعي في القطاعات المهنية السعودية، وإن كانت ذات طابع توجيهي استرشادي في مراحلها الراهنة أكثر من كونها إلزاميةً بنص صريح:</w:t>
      </w:r>
    </w:p>
    <w:p w14:paraId="125078C5"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الأولى: مبادئ أخلاقيات الذكاء </w:t>
      </w:r>
      <w:proofErr w:type="gramStart"/>
      <w:r>
        <w:rPr>
          <w:rFonts w:asciiTheme="majorBidi" w:hAnsiTheme="majorBidi" w:cstheme="majorBidi"/>
          <w:sz w:val="24"/>
          <w:szCs w:val="24"/>
          <w:rtl/>
        </w:rPr>
        <w:t xml:space="preserve">الاصطناعي </w:t>
      </w:r>
      <w:r>
        <w:rPr>
          <w:rFonts w:asciiTheme="majorBidi" w:hAnsiTheme="majorBidi" w:cstheme="majorBidi"/>
          <w:sz w:val="24"/>
          <w:szCs w:val="24"/>
          <w:vertAlign w:val="superscript"/>
          <w:rtl/>
        </w:rPr>
        <w:footnoteReference w:id="293"/>
      </w:r>
      <w:r>
        <w:rPr>
          <w:rFonts w:asciiTheme="majorBidi" w:hAnsiTheme="majorBidi" w:cstheme="majorBidi"/>
          <w:sz w:val="24"/>
          <w:szCs w:val="24"/>
          <w:rtl/>
        </w:rPr>
        <w:t>،</w:t>
      </w:r>
      <w:proofErr w:type="gramEnd"/>
      <w:r>
        <w:rPr>
          <w:rFonts w:asciiTheme="majorBidi" w:hAnsiTheme="majorBidi" w:cstheme="majorBidi"/>
          <w:sz w:val="24"/>
          <w:szCs w:val="24"/>
          <w:rtl/>
        </w:rPr>
        <w:t xml:space="preserve"> التي أرست ثمانية مبادئ جوهرية تشمل: الأمان والموثوقية، والعدالة وعدم التحيز، والشفافية، والخصوصية، والمساءلة، والاستدامة، واحترام القيم والتنوع الثقافي، وخدمة الإنسانية. وتنص الوثيقة صراحةً على أن: "يجب على نظام الذكاء الاصطناعي العمل على تقليل المخاطر المحتملة والأضرار غير المقصودة إلى أدنى حد ممكن</w:t>
      </w:r>
      <w:proofErr w:type="gramStart"/>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294"/>
      </w:r>
      <w:r>
        <w:rPr>
          <w:rFonts w:asciiTheme="majorBidi" w:hAnsiTheme="majorBidi" w:cstheme="majorBidi"/>
          <w:sz w:val="24"/>
          <w:szCs w:val="24"/>
          <w:rtl/>
        </w:rPr>
        <w:t>.</w:t>
      </w:r>
      <w:proofErr w:type="gramEnd"/>
      <w:r>
        <w:rPr>
          <w:rFonts w:asciiTheme="majorBidi" w:hAnsiTheme="majorBidi" w:cstheme="majorBidi"/>
          <w:sz w:val="24"/>
          <w:szCs w:val="24"/>
          <w:rtl/>
        </w:rPr>
        <w:t xml:space="preserve"> وهذا المبدأ يُلزم — من منظور أخلاقي مهني — مكاتبَ المحاماة باختيار أدوات ذكية تتحلى بالموثوقية والشفافية لا مجرد الكفاءة.</w:t>
      </w:r>
    </w:p>
    <w:p w14:paraId="3435DAB5" w14:textId="77777777" w:rsidR="005705DD" w:rsidRDefault="005705DD" w:rsidP="005705DD">
      <w:pPr>
        <w:bidi/>
        <w:spacing w:after="200" w:line="276" w:lineRule="auto"/>
        <w:rPr>
          <w:rtl/>
        </w:rPr>
      </w:pPr>
      <w:commentRangeStart w:id="80"/>
      <w:commentRangeStart w:id="81"/>
      <w:r>
        <w:rPr>
          <w:rFonts w:asciiTheme="majorBidi" w:hAnsiTheme="majorBidi" w:cstheme="majorBidi"/>
          <w:sz w:val="24"/>
          <w:szCs w:val="24"/>
          <w:rtl/>
        </w:rPr>
        <w:t xml:space="preserve">الوثيقة الثانية: إطار تبني الذكاء </w:t>
      </w:r>
      <w:proofErr w:type="gramStart"/>
      <w:r>
        <w:rPr>
          <w:rFonts w:asciiTheme="majorBidi" w:hAnsiTheme="majorBidi" w:cstheme="majorBidi"/>
          <w:sz w:val="24"/>
          <w:szCs w:val="24"/>
          <w:rtl/>
        </w:rPr>
        <w:t xml:space="preserve">الاصطناعي </w:t>
      </w:r>
      <w:r>
        <w:rPr>
          <w:rFonts w:asciiTheme="majorBidi" w:hAnsiTheme="majorBidi" w:cstheme="majorBidi"/>
          <w:sz w:val="24"/>
          <w:szCs w:val="24"/>
          <w:vertAlign w:val="superscript"/>
          <w:rtl/>
        </w:rPr>
        <w:footnoteReference w:id="295"/>
      </w:r>
      <w:r>
        <w:rPr>
          <w:rFonts w:asciiTheme="majorBidi" w:hAnsiTheme="majorBidi" w:cstheme="majorBidi"/>
          <w:sz w:val="24"/>
          <w:szCs w:val="24"/>
          <w:rtl/>
        </w:rPr>
        <w:t>،</w:t>
      </w:r>
      <w:proofErr w:type="gramEnd"/>
      <w:r>
        <w:rPr>
          <w:rFonts w:asciiTheme="majorBidi" w:hAnsiTheme="majorBidi" w:cstheme="majorBidi"/>
          <w:sz w:val="24"/>
          <w:szCs w:val="24"/>
          <w:rtl/>
        </w:rPr>
        <w:t xml:space="preserve"> التي تُحدد ستة ركائز لتبني الذكاء الاصطناعي بصورة </w:t>
      </w:r>
      <w:proofErr w:type="spellStart"/>
      <w:r>
        <w:rPr>
          <w:rFonts w:asciiTheme="majorBidi" w:hAnsiTheme="majorBidi" w:cstheme="majorBidi"/>
          <w:sz w:val="24"/>
          <w:szCs w:val="24"/>
          <w:rtl/>
        </w:rPr>
        <w:t>محوكمة</w:t>
      </w:r>
      <w:proofErr w:type="spellEnd"/>
      <w:r>
        <w:rPr>
          <w:rFonts w:asciiTheme="majorBidi" w:hAnsiTheme="majorBidi" w:cstheme="majorBidi"/>
          <w:sz w:val="24"/>
          <w:szCs w:val="24"/>
          <w:rtl/>
        </w:rPr>
        <w:t xml:space="preserve"> ومسؤولة في المنظمات السعودية، تشمل: التأسيس، وتحديد التوجه، وتقييم النضج والجاهزية، وتفعيل التبني، وبناء الممكّنات، والمتابعة والتحسين المستمر. وتُلزم الوثيقة المنظمات بتأسيس وحدة مختصة بالذكاء الاصطناعي وبناء قدرات بشرية مؤهلة </w:t>
      </w:r>
      <w:proofErr w:type="gramStart"/>
      <w:r>
        <w:rPr>
          <w:rFonts w:asciiTheme="majorBidi" w:hAnsiTheme="majorBidi" w:cstheme="majorBidi"/>
          <w:sz w:val="24"/>
          <w:szCs w:val="24"/>
          <w:rtl/>
        </w:rPr>
        <w:t xml:space="preserve">لإدارته </w:t>
      </w:r>
      <w:r>
        <w:rPr>
          <w:rFonts w:asciiTheme="majorBidi" w:hAnsiTheme="majorBidi" w:cstheme="majorBidi"/>
          <w:sz w:val="24"/>
          <w:szCs w:val="24"/>
          <w:vertAlign w:val="superscript"/>
          <w:rtl/>
        </w:rPr>
        <w:footnoteReference w:id="296"/>
      </w:r>
      <w:r>
        <w:rPr>
          <w:rFonts w:asciiTheme="majorBidi" w:hAnsiTheme="majorBidi" w:cstheme="majorBidi"/>
          <w:sz w:val="24"/>
          <w:szCs w:val="24"/>
          <w:rtl/>
        </w:rPr>
        <w:t>.</w:t>
      </w:r>
      <w:proofErr w:type="gramEnd"/>
      <w:r>
        <w:rPr>
          <w:rFonts w:asciiTheme="majorBidi" w:hAnsiTheme="majorBidi" w:cstheme="majorBidi"/>
          <w:sz w:val="24"/>
          <w:szCs w:val="24"/>
          <w:rtl/>
        </w:rPr>
        <w:t xml:space="preserve"> والواقع الميداني يكشف عن هوة واسعة بين هذه المتطلبات وما تُطبّقه أغلب مكاتب المحاماة السعودية، لا سيما المكاتب الصغيرة والمتوسطة.</w:t>
      </w:r>
    </w:p>
    <w:p w14:paraId="111433FD"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الثالثة: الدليل </w:t>
      </w:r>
      <w:proofErr w:type="spellStart"/>
      <w:r>
        <w:rPr>
          <w:rFonts w:asciiTheme="majorBidi" w:hAnsiTheme="majorBidi" w:cstheme="majorBidi"/>
          <w:sz w:val="24"/>
          <w:szCs w:val="24"/>
          <w:rtl/>
        </w:rPr>
        <w:t>الاسترشادي</w:t>
      </w:r>
      <w:proofErr w:type="spellEnd"/>
      <w:r>
        <w:rPr>
          <w:rFonts w:asciiTheme="majorBidi" w:hAnsiTheme="majorBidi" w:cstheme="majorBidi"/>
          <w:sz w:val="24"/>
          <w:szCs w:val="24"/>
          <w:rtl/>
        </w:rPr>
        <w:t xml:space="preserve"> لتقويم مخاطر نقل البيانات الشخصية إلى خارج </w:t>
      </w:r>
      <w:proofErr w:type="gramStart"/>
      <w:r>
        <w:rPr>
          <w:rFonts w:asciiTheme="majorBidi" w:hAnsiTheme="majorBidi" w:cstheme="majorBidi"/>
          <w:sz w:val="24"/>
          <w:szCs w:val="24"/>
          <w:rtl/>
        </w:rPr>
        <w:t xml:space="preserve">المملكة </w:t>
      </w:r>
      <w:r>
        <w:rPr>
          <w:rFonts w:asciiTheme="majorBidi" w:hAnsiTheme="majorBidi" w:cstheme="majorBidi"/>
          <w:sz w:val="24"/>
          <w:szCs w:val="24"/>
          <w:vertAlign w:val="superscript"/>
          <w:rtl/>
        </w:rPr>
        <w:footnoteReference w:id="297"/>
      </w:r>
      <w:r>
        <w:rPr>
          <w:rFonts w:asciiTheme="majorBidi" w:hAnsiTheme="majorBidi" w:cstheme="majorBidi"/>
          <w:sz w:val="24"/>
          <w:szCs w:val="24"/>
          <w:rtl/>
        </w:rPr>
        <w:t>،</w:t>
      </w:r>
      <w:proofErr w:type="gramEnd"/>
      <w:r>
        <w:rPr>
          <w:rFonts w:asciiTheme="majorBidi" w:hAnsiTheme="majorBidi" w:cstheme="majorBidi"/>
          <w:sz w:val="24"/>
          <w:szCs w:val="24"/>
          <w:rtl/>
        </w:rPr>
        <w:t xml:space="preserve"> الذي يُوجّه المنظمات إلى إجراء تقييم مخاطر منظم قبل نقل أي بيانات إلى منصات </w:t>
      </w:r>
      <w:commentRangeEnd w:id="80"/>
      <w:r>
        <w:rPr>
          <w:rStyle w:val="af0"/>
          <w:rFonts w:asciiTheme="majorBidi" w:hAnsiTheme="majorBidi" w:cstheme="majorBidi"/>
          <w:sz w:val="24"/>
          <w:szCs w:val="24"/>
          <w:rtl/>
        </w:rPr>
        <w:commentReference w:id="80"/>
      </w:r>
      <w:commentRangeEnd w:id="81"/>
      <w:r>
        <w:rPr>
          <w:rStyle w:val="af0"/>
          <w:rFonts w:asciiTheme="majorBidi" w:hAnsiTheme="majorBidi" w:cstheme="majorBidi"/>
          <w:sz w:val="24"/>
          <w:szCs w:val="24"/>
          <w:rtl/>
        </w:rPr>
        <w:commentReference w:id="81"/>
      </w:r>
      <w:r>
        <w:rPr>
          <w:rFonts w:asciiTheme="majorBidi" w:hAnsiTheme="majorBidi" w:cstheme="majorBidi"/>
          <w:sz w:val="24"/>
          <w:szCs w:val="24"/>
          <w:rtl/>
        </w:rPr>
        <w:t>سحابية خارجية. ويُعدّ هذا الدليل ذا أهمية قصوى بالنسبة لمكاتب المحاماة المستخدِمة لأدوات ذكاء اصطناعي أجنبية، إذ يُلزمها بإجراء تقييم أثر على حماية البيانات (DPIA) قبل أي معالجة خارجية.</w:t>
      </w:r>
    </w:p>
    <w:p w14:paraId="4F1B2968" w14:textId="77777777" w:rsidR="005705DD" w:rsidRDefault="005705DD" w:rsidP="005705DD">
      <w:pPr>
        <w:bidi/>
        <w:spacing w:after="200" w:line="276" w:lineRule="auto"/>
        <w:rPr>
          <w:rtl/>
        </w:rPr>
      </w:pPr>
      <w:r>
        <w:rPr>
          <w:rFonts w:asciiTheme="majorBidi" w:hAnsiTheme="majorBidi" w:cstheme="majorBidi"/>
          <w:sz w:val="24"/>
          <w:szCs w:val="24"/>
          <w:rtl/>
        </w:rPr>
        <w:t xml:space="preserve">غير أن القيمة التطبيقية لهذه الوثائق في القطاع القانوني تظل محدودة ما لم تُفصَّل في لوائح تنفيذية مُلزِمة تُحدّد آليات الالتزام وعقوبات المخالفة وجهات الرقابة المختصة. وقد أشار رجب (2023م) في دراسته المقارنة حول دور الدولة في تأطير أخلاقيات الذكاء الاصطناعي إلى أن الوثائق الأخلاقية الاستشارية تُمثّل نقطة انطلاق ضرورية، لكنها لا تُعوّض عن التشريع الصريح </w:t>
      </w:r>
      <w:proofErr w:type="gramStart"/>
      <w:r>
        <w:rPr>
          <w:rFonts w:asciiTheme="majorBidi" w:hAnsiTheme="majorBidi" w:cstheme="majorBidi"/>
          <w:sz w:val="24"/>
          <w:szCs w:val="24"/>
          <w:rtl/>
        </w:rPr>
        <w:t xml:space="preserve">الملزم </w:t>
      </w:r>
      <w:r>
        <w:rPr>
          <w:rFonts w:asciiTheme="majorBidi" w:hAnsiTheme="majorBidi" w:cstheme="majorBidi"/>
          <w:sz w:val="24"/>
          <w:szCs w:val="24"/>
          <w:vertAlign w:val="superscript"/>
          <w:rtl/>
        </w:rPr>
        <w:footnoteReference w:id="298"/>
      </w:r>
      <w:r>
        <w:rPr>
          <w:rFonts w:asciiTheme="majorBidi" w:hAnsiTheme="majorBidi" w:cstheme="majorBidi"/>
          <w:sz w:val="24"/>
          <w:szCs w:val="24"/>
          <w:rtl/>
        </w:rPr>
        <w:t>.</w:t>
      </w:r>
      <w:proofErr w:type="gramEnd"/>
    </w:p>
    <w:p w14:paraId="601052F8" w14:textId="77777777" w:rsidR="005705DD" w:rsidRDefault="005705DD" w:rsidP="005705DD">
      <w:pPr>
        <w:bidi/>
        <w:spacing w:after="200" w:line="276" w:lineRule="auto"/>
        <w:rPr>
          <w:rtl/>
        </w:rPr>
      </w:pPr>
      <w:r>
        <w:rPr>
          <w:rFonts w:asciiTheme="majorBidi" w:hAnsiTheme="majorBidi" w:cstheme="majorBidi"/>
          <w:b/>
          <w:sz w:val="28"/>
          <w:szCs w:val="28"/>
          <w:rtl/>
        </w:rPr>
        <w:t>رابعاً: إشكالية الأدوات الأجنبية وسيادة البيانات القانونية</w:t>
      </w:r>
    </w:p>
    <w:p w14:paraId="6D4BEC47" w14:textId="77777777" w:rsidR="005705DD" w:rsidRDefault="005705DD" w:rsidP="005705DD">
      <w:pPr>
        <w:bidi/>
        <w:spacing w:after="200" w:line="276" w:lineRule="auto"/>
        <w:rPr>
          <w:rtl/>
        </w:rPr>
      </w:pPr>
      <w:r>
        <w:rPr>
          <w:rFonts w:asciiTheme="majorBidi" w:hAnsiTheme="majorBidi" w:cstheme="majorBidi"/>
          <w:sz w:val="24"/>
          <w:szCs w:val="24"/>
          <w:rtl/>
        </w:rPr>
        <w:t>تُشكّل الأدوات الأجنبية نسبة مرتفعة من الأدوات الذكية المستخدمة في مكاتب المحاماة السعودية، وهو ما يُفرز إشكاليات متعددة الأبعاد يمكن إيجازها في ثلاثة محاور:</w:t>
      </w:r>
    </w:p>
    <w:p w14:paraId="14B4471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إشكالية سيادة البيانات: تُعالَج بيانات القضايا الحساسة — بما فيها وقائع القضايا التجارية وبيانات الموكلين الشخصية والمراسلات القانونية السرية — على خوادم أجنبية خارج نطاق الولاية القضائية السعودية. وقد أوضحت الأمين في سياق مناقشتها لمتطلبات نظام حماية البيانات أن تدفق البيانات الحساسة من </w:t>
      </w:r>
      <w:r>
        <w:rPr>
          <w:rFonts w:asciiTheme="majorBidi" w:hAnsiTheme="majorBidi" w:cstheme="majorBidi"/>
          <w:sz w:val="24"/>
          <w:szCs w:val="24"/>
          <w:rtl/>
        </w:rPr>
        <w:lastRenderedPageBreak/>
        <w:t xml:space="preserve">ملفات الدعاوى إلى منصات سحابية أجنبية يُشكّل ثغرة تشريعية بالغة الخطورة، لا سيما في القضايا التي تمس مصالح الدولة أو المؤسسات </w:t>
      </w:r>
      <w:proofErr w:type="gramStart"/>
      <w:r>
        <w:rPr>
          <w:rFonts w:asciiTheme="majorBidi" w:hAnsiTheme="majorBidi" w:cstheme="majorBidi"/>
          <w:sz w:val="24"/>
          <w:szCs w:val="24"/>
          <w:rtl/>
        </w:rPr>
        <w:t xml:space="preserve">الحيوية </w:t>
      </w:r>
      <w:r>
        <w:rPr>
          <w:rFonts w:asciiTheme="majorBidi" w:hAnsiTheme="majorBidi" w:cstheme="majorBidi"/>
          <w:sz w:val="24"/>
          <w:szCs w:val="24"/>
          <w:vertAlign w:val="superscript"/>
          <w:rtl/>
        </w:rPr>
        <w:footnoteReference w:id="299"/>
      </w:r>
      <w:r>
        <w:rPr>
          <w:rFonts w:asciiTheme="majorBidi" w:hAnsiTheme="majorBidi" w:cstheme="majorBidi"/>
          <w:sz w:val="24"/>
          <w:szCs w:val="24"/>
          <w:rtl/>
        </w:rPr>
        <w:t>.</w:t>
      </w:r>
      <w:proofErr w:type="gramEnd"/>
    </w:p>
    <w:p w14:paraId="6319365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الثاني — إشكالية الازدواجية التشريعية: تخضع هذه الأدوات لأنظمة ولوائح أجنبية </w:t>
      </w:r>
      <w:commentRangeStart w:id="82"/>
      <w:commentRangeStart w:id="83"/>
      <w:r>
        <w:rPr>
          <w:rFonts w:asciiTheme="majorBidi" w:hAnsiTheme="majorBidi" w:cstheme="majorBidi"/>
          <w:sz w:val="24"/>
          <w:szCs w:val="24"/>
          <w:rtl/>
        </w:rPr>
        <w:t>—</w:t>
      </w:r>
      <w:commentRangeEnd w:id="82"/>
      <w:r>
        <w:rPr>
          <w:rStyle w:val="af0"/>
          <w:rFonts w:asciiTheme="majorBidi" w:hAnsiTheme="majorBidi" w:cstheme="majorBidi"/>
          <w:sz w:val="24"/>
          <w:szCs w:val="24"/>
          <w:rtl/>
        </w:rPr>
        <w:commentReference w:id="82"/>
      </w:r>
      <w:commentRangeEnd w:id="83"/>
      <w:r>
        <w:rPr>
          <w:rStyle w:val="af0"/>
          <w:rFonts w:asciiTheme="majorBidi" w:hAnsiTheme="majorBidi" w:cstheme="majorBidi"/>
          <w:sz w:val="24"/>
          <w:szCs w:val="24"/>
          <w:rtl/>
        </w:rPr>
        <w:commentReference w:id="83"/>
      </w:r>
      <w:r>
        <w:rPr>
          <w:rFonts w:asciiTheme="majorBidi" w:hAnsiTheme="majorBidi" w:cstheme="majorBidi"/>
          <w:sz w:val="24"/>
          <w:szCs w:val="24"/>
          <w:rtl/>
        </w:rPr>
        <w:t xml:space="preserve"> كاللائحة الأوروبية GDPR أو قانون الذكاء الاصطناعي الأوروبي EU AI </w:t>
      </w:r>
      <w:proofErr w:type="spellStart"/>
      <w:r>
        <w:rPr>
          <w:rFonts w:asciiTheme="majorBidi" w:hAnsiTheme="majorBidi" w:cstheme="majorBidi"/>
          <w:sz w:val="24"/>
          <w:szCs w:val="24"/>
          <w:rtl/>
        </w:rPr>
        <w:t>Act</w:t>
      </w:r>
      <w:proofErr w:type="spellEnd"/>
      <w:r>
        <w:rPr>
          <w:rFonts w:asciiTheme="majorBidi" w:hAnsiTheme="majorBidi" w:cstheme="majorBidi"/>
          <w:sz w:val="24"/>
          <w:szCs w:val="24"/>
          <w:rtl/>
        </w:rPr>
        <w:t xml:space="preserve"> الصادر عام 2024م </w:t>
      </w:r>
      <w:commentRangeStart w:id="84"/>
      <w:commentRangeStart w:id="85"/>
      <w:r>
        <w:rPr>
          <w:rFonts w:asciiTheme="majorBidi" w:hAnsiTheme="majorBidi" w:cstheme="majorBidi"/>
          <w:sz w:val="24"/>
          <w:szCs w:val="24"/>
          <w:rtl/>
        </w:rPr>
        <w:t>—</w:t>
      </w:r>
      <w:commentRangeEnd w:id="84"/>
      <w:r>
        <w:rPr>
          <w:rStyle w:val="af0"/>
          <w:rFonts w:asciiTheme="majorBidi" w:hAnsiTheme="majorBidi" w:cstheme="majorBidi"/>
          <w:sz w:val="24"/>
          <w:szCs w:val="24"/>
          <w:rtl/>
        </w:rPr>
        <w:commentReference w:id="84"/>
      </w:r>
      <w:commentRangeEnd w:id="85"/>
      <w:r>
        <w:rPr>
          <w:rStyle w:val="af0"/>
          <w:rFonts w:asciiTheme="majorBidi" w:hAnsiTheme="majorBidi" w:cstheme="majorBidi"/>
          <w:sz w:val="24"/>
          <w:szCs w:val="24"/>
          <w:rtl/>
        </w:rPr>
        <w:commentReference w:id="85"/>
      </w:r>
      <w:r>
        <w:rPr>
          <w:rFonts w:asciiTheme="majorBidi" w:hAnsiTheme="majorBidi" w:cstheme="majorBidi"/>
          <w:sz w:val="24"/>
          <w:szCs w:val="24"/>
          <w:rtl/>
        </w:rPr>
        <w:t xml:space="preserve"> قد تتعارض </w:t>
      </w:r>
      <w:commentRangeStart w:id="86"/>
      <w:commentRangeStart w:id="87"/>
      <w:r>
        <w:rPr>
          <w:rFonts w:asciiTheme="majorBidi" w:hAnsiTheme="majorBidi" w:cstheme="majorBidi"/>
          <w:sz w:val="24"/>
          <w:szCs w:val="24"/>
          <w:rtl/>
        </w:rPr>
        <w:t>أحياناً مع المتطلبات السعودية. فمثلاً قد تُلزم شروط الاستخدام الأوروبية بتخزين بيانات الحوار وتحليلها لأغراض تحسين النموذج، وهو ما يتعارض مع متطلب الغرض المحدد في النظام السعودي. ومما يزيد الأمر تعقيداً أن المحامي السعودي غير ملزم بمعرفة التشريعات الأجنبية المنظِّمة للأداة التي يستخدمها، مما يفتح باباً لمخاطر لا يُدركها.</w:t>
      </w:r>
    </w:p>
    <w:p w14:paraId="5945BB42"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إشكالية غياب المساءلة: لا يخضع مزود الأداة الأجنبية لأي ولاية تشريعية سعودية مباشرة، مما يجعل المحامي السعودي الحلقة الوحيدة الخاضعة للمساءلة في حال وقوع ضرر، في حين أن المزوّد الأجنبي الذي أنتج الخطأ يبقى خارج متناول الأنظمة السعودية. ويُشكّل هذا الواقع خللاً جوهرياً في منظومة المساءلة لا تعالجه الأنظمة القائمة.</w:t>
      </w:r>
      <w:commentRangeEnd w:id="86"/>
      <w:r>
        <w:rPr>
          <w:rStyle w:val="af0"/>
          <w:sz w:val="22"/>
          <w:szCs w:val="22"/>
          <w:rtl/>
        </w:rPr>
        <w:commentReference w:id="86"/>
      </w:r>
      <w:commentRangeEnd w:id="87"/>
      <w:r>
        <w:rPr>
          <w:rStyle w:val="af0"/>
          <w:sz w:val="22"/>
          <w:szCs w:val="22"/>
          <w:rtl/>
        </w:rPr>
        <w:commentReference w:id="87"/>
      </w:r>
    </w:p>
    <w:p w14:paraId="632DBA27"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الحل التشريعي المناسب يكمن في اشتراط حصول أدوات الذكاء الاصطناعي الأجنبية المستخدمة في القطاع القانوني السعودي على اعتماد من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مع اشتراط إتاحة البيانات على خوادم داخل المملكة أو في نطاق ولايتها، </w:t>
      </w:r>
      <w:commentRangeStart w:id="88"/>
      <w:commentRangeStart w:id="89"/>
      <w:r>
        <w:rPr>
          <w:rFonts w:asciiTheme="majorBidi" w:hAnsiTheme="majorBidi" w:cstheme="majorBidi"/>
          <w:sz w:val="24"/>
          <w:szCs w:val="24"/>
          <w:rtl/>
        </w:rPr>
        <w:t xml:space="preserve">على غرار ما نصّت عليه التشريعات الأوروبية في هذا الشأن، وما اتجهت إليه بعض الدول الخليجية كالإمارات في اشتراطات منصة </w:t>
      </w:r>
      <w:commentRangeEnd w:id="88"/>
      <w:r>
        <w:rPr>
          <w:rStyle w:val="af0"/>
          <w:rFonts w:asciiTheme="majorBidi" w:hAnsiTheme="majorBidi" w:cstheme="majorBidi"/>
          <w:sz w:val="24"/>
          <w:szCs w:val="24"/>
          <w:rtl/>
        </w:rPr>
        <w:commentReference w:id="88"/>
      </w:r>
      <w:commentRangeEnd w:id="89"/>
      <w:r>
        <w:rPr>
          <w:rStyle w:val="af0"/>
          <w:rFonts w:asciiTheme="majorBidi" w:hAnsiTheme="majorBidi" w:cstheme="majorBidi"/>
          <w:sz w:val="24"/>
          <w:szCs w:val="24"/>
          <w:rtl/>
        </w:rPr>
        <w:commentReference w:id="89"/>
      </w:r>
      <w:r>
        <w:rPr>
          <w:rFonts w:asciiTheme="majorBidi" w:hAnsiTheme="majorBidi" w:cstheme="majorBidi"/>
          <w:sz w:val="24"/>
          <w:szCs w:val="24"/>
          <w:rtl/>
        </w:rPr>
        <w:t xml:space="preserve">AI </w:t>
      </w:r>
      <w:proofErr w:type="spellStart"/>
      <w:r>
        <w:rPr>
          <w:rFonts w:asciiTheme="majorBidi" w:hAnsiTheme="majorBidi" w:cstheme="majorBidi"/>
          <w:sz w:val="24"/>
          <w:szCs w:val="24"/>
          <w:rtl/>
        </w:rPr>
        <w:t>Governance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Platform</w:t>
      </w:r>
      <w:proofErr w:type="spellEnd"/>
      <w:r>
        <w:rPr>
          <w:rFonts w:asciiTheme="majorBidi" w:hAnsiTheme="majorBidi" w:cstheme="majorBidi"/>
          <w:sz w:val="24"/>
          <w:szCs w:val="24"/>
          <w:rtl/>
        </w:rPr>
        <w:t>.</w:t>
      </w:r>
    </w:p>
    <w:p w14:paraId="6C4B4893" w14:textId="77777777" w:rsidR="005705DD" w:rsidRDefault="005705DD" w:rsidP="005705DD">
      <w:pPr>
        <w:bidi/>
        <w:spacing w:after="200" w:line="276" w:lineRule="auto"/>
        <w:rPr>
          <w:rtl/>
        </w:rPr>
      </w:pPr>
      <w:r>
        <w:rPr>
          <w:rFonts w:asciiTheme="majorBidi" w:hAnsiTheme="majorBidi" w:cstheme="majorBidi"/>
          <w:b/>
          <w:sz w:val="28"/>
          <w:szCs w:val="28"/>
          <w:rtl/>
        </w:rPr>
        <w:t>خامساً: الفجوة بين الاستخدام الفعلي والضوابط النظامية</w:t>
      </w:r>
    </w:p>
    <w:p w14:paraId="1F2C2A83" w14:textId="77777777" w:rsidR="005705DD" w:rsidRDefault="005705DD" w:rsidP="005705DD">
      <w:pPr>
        <w:bidi/>
        <w:spacing w:after="200" w:line="276" w:lineRule="auto"/>
        <w:rPr>
          <w:rtl/>
        </w:rPr>
      </w:pPr>
      <w:r>
        <w:rPr>
          <w:rFonts w:asciiTheme="majorBidi" w:hAnsiTheme="majorBidi" w:cstheme="majorBidi"/>
          <w:sz w:val="24"/>
          <w:szCs w:val="24"/>
          <w:rtl/>
        </w:rPr>
        <w:t>خلص التحليل السابق إلى وجود فجوة حادة ومتعددة الأبعاد بين الاستخدام الفعلي لأدوات الذكاء الاصطناعي في مكاتب المحاماة السعودية من جهة، وما تفرضه الأنظمة القائمة من ضوابط من جهة أخرى. وتتجلى هذه الفجوة في ثلاثة مستويات متراكمة:</w:t>
      </w:r>
    </w:p>
    <w:p w14:paraId="7C67A7D9"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المستوى الأول — الفجوة المعرفية: فمعظم المحامين السعوديين المستخدِمين لأدوات الذكاء الاصطناعي لا يُدركون الامتدادات النظامية لاستخدامهم، سواء ما يتعلق منها بنظام حماية البيانات أو بنظام المحاماة أو بمتطلبات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وتعكس هذه المعضلة غياب التدريب المهني المنظم في مجال التقنيات القانونية ضمن برامج تطوير كفاءة المحامين التي تُشرف عليها الهيئة السعودية للمحامين.</w:t>
      </w:r>
    </w:p>
    <w:p w14:paraId="2F9F1BE1"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الثاني — الفجوة التطبيقية: فحتى في الحالات التي يعلم فيها المحامي بوجود ضوابط نظامية، يغلب الاستخدام غير المنضبط مدفوعاً بالراحة والسرعة وانخفاض الكلفة. وهذا يعكس غياب التطبيق الفعلي والرقابة المهنية على الاستخدام، إذ لا توجد حتى الآن جهة رسمية تُراقب كيفية استخدام مكاتب المحاماة لأدوات الذكاء الاصطناعي وتُحاسبها على مخالفة الضوابط الواجبة.</w:t>
      </w:r>
    </w:p>
    <w:p w14:paraId="05FD5DE2"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الثالث — الفجوة التشريعية: فالأنظمة القائمة لم تُصمَّم أصلاً لتنظيم هذه الأنواع من الاستخدامات، مما يعني أن أدوات تفسير النصوص وتوسيع مداها — وإن كانت ضرورية في المرحلة الراهنة — لا تُعوّض عن التشريع الصريح المنتظر. وسيتناول الفصل الرابع من هذه الدراسة معالجة هذه الفجوة تشريعياً بصورة تفصيلية.</w:t>
      </w:r>
    </w:p>
    <w:p w14:paraId="64076417" w14:textId="77777777" w:rsidR="005705DD" w:rsidRDefault="005705DD" w:rsidP="005705DD">
      <w:pPr>
        <w:bidi/>
        <w:spacing w:after="200" w:line="276" w:lineRule="auto"/>
        <w:rPr>
          <w:rtl/>
        </w:rPr>
      </w:pPr>
    </w:p>
    <w:p w14:paraId="0A97C104" w14:textId="77777777" w:rsidR="005705DD" w:rsidRPr="00A84F46" w:rsidRDefault="005705DD" w:rsidP="005705DD">
      <w:pPr>
        <w:bidi/>
        <w:spacing w:after="200" w:line="276" w:lineRule="auto"/>
        <w:rPr>
          <w:bCs/>
          <w:color w:val="000000" w:themeColor="text1"/>
          <w:rtl/>
        </w:rPr>
      </w:pPr>
      <w:commentRangeStart w:id="90"/>
      <w:commentRangeStart w:id="91"/>
      <w:r>
        <w:rPr>
          <w:rFonts w:asciiTheme="majorBidi" w:hAnsiTheme="majorBidi" w:cstheme="majorBidi"/>
          <w:bCs/>
          <w:color w:val="000000" w:themeColor="text1"/>
          <w:sz w:val="28"/>
          <w:szCs w:val="28"/>
          <w:rtl/>
        </w:rPr>
        <w:t>الذكاء الاصطناعي القانوني في سياق رؤية 2030 والاستراتيجية الوطنية</w:t>
      </w:r>
      <w:commentRangeEnd w:id="90"/>
      <w:r w:rsidRPr="00A84F46">
        <w:rPr>
          <w:rStyle w:val="af0"/>
          <w:bCs/>
          <w:color w:val="000000" w:themeColor="text1"/>
          <w:sz w:val="22"/>
          <w:szCs w:val="22"/>
          <w:rtl/>
        </w:rPr>
        <w:commentReference w:id="90"/>
      </w:r>
      <w:commentRangeEnd w:id="91"/>
      <w:r w:rsidRPr="00A84F46">
        <w:rPr>
          <w:rStyle w:val="af0"/>
          <w:bCs/>
          <w:color w:val="000000" w:themeColor="text1"/>
          <w:sz w:val="22"/>
          <w:szCs w:val="22"/>
          <w:rtl/>
        </w:rPr>
        <w:commentReference w:id="91"/>
      </w:r>
    </w:p>
    <w:p w14:paraId="7AD47730" w14:textId="77777777" w:rsidR="005705DD" w:rsidRDefault="005705DD" w:rsidP="005705DD">
      <w:pPr>
        <w:bidi/>
        <w:spacing w:after="200" w:line="276" w:lineRule="auto"/>
        <w:rPr>
          <w:rtl/>
        </w:rPr>
      </w:pPr>
      <w:r>
        <w:rPr>
          <w:rFonts w:asciiTheme="majorBidi" w:hAnsiTheme="majorBidi" w:cstheme="majorBidi"/>
          <w:sz w:val="24"/>
          <w:szCs w:val="24"/>
          <w:rtl/>
        </w:rPr>
        <w:t xml:space="preserve">لا يمكن دراسة واقع الذكاء الاصطناعي في مكاتب المحاماة السعودية بمعزل عن السياق الاستراتيجي الكلي الذي يُحيط بالتحول الرقمي في المملكة العربية السعودية. فرؤية 2030 </w:t>
      </w:r>
      <w:commentRangeStart w:id="92"/>
      <w:commentRangeStart w:id="93"/>
      <w:r>
        <w:rPr>
          <w:rFonts w:asciiTheme="majorBidi" w:hAnsiTheme="majorBidi" w:cstheme="majorBidi"/>
          <w:sz w:val="24"/>
          <w:szCs w:val="24"/>
          <w:rtl/>
        </w:rPr>
        <w:t xml:space="preserve">— </w:t>
      </w:r>
      <w:commentRangeEnd w:id="92"/>
      <w:r>
        <w:rPr>
          <w:rStyle w:val="af0"/>
          <w:rFonts w:asciiTheme="majorBidi" w:hAnsiTheme="majorBidi" w:cstheme="majorBidi"/>
          <w:sz w:val="24"/>
          <w:szCs w:val="24"/>
          <w:rtl/>
        </w:rPr>
        <w:commentReference w:id="92"/>
      </w:r>
      <w:commentRangeEnd w:id="93"/>
      <w:r>
        <w:rPr>
          <w:rStyle w:val="af0"/>
          <w:rFonts w:asciiTheme="majorBidi" w:hAnsiTheme="majorBidi" w:cstheme="majorBidi"/>
          <w:sz w:val="24"/>
          <w:szCs w:val="24"/>
          <w:rtl/>
        </w:rPr>
        <w:commentReference w:id="93"/>
      </w:r>
      <w:r>
        <w:rPr>
          <w:rFonts w:asciiTheme="majorBidi" w:hAnsiTheme="majorBidi" w:cstheme="majorBidi"/>
          <w:sz w:val="24"/>
          <w:szCs w:val="24"/>
          <w:rtl/>
        </w:rPr>
        <w:t xml:space="preserve">التي أطلقها ولي العهد الأمير محمد </w:t>
      </w:r>
      <w:r>
        <w:rPr>
          <w:rFonts w:asciiTheme="majorBidi" w:hAnsiTheme="majorBidi" w:cstheme="majorBidi"/>
          <w:sz w:val="24"/>
          <w:szCs w:val="24"/>
          <w:rtl/>
        </w:rPr>
        <w:lastRenderedPageBreak/>
        <w:t xml:space="preserve">بن سلمان عام 2016م </w:t>
      </w:r>
      <w:commentRangeStart w:id="94"/>
      <w:commentRangeStart w:id="95"/>
      <w:r>
        <w:rPr>
          <w:rFonts w:asciiTheme="majorBidi" w:hAnsiTheme="majorBidi" w:cstheme="majorBidi"/>
          <w:sz w:val="24"/>
          <w:szCs w:val="24"/>
          <w:rtl/>
        </w:rPr>
        <w:t>—</w:t>
      </w:r>
      <w:commentRangeEnd w:id="94"/>
      <w:r>
        <w:rPr>
          <w:rStyle w:val="af0"/>
          <w:rFonts w:asciiTheme="majorBidi" w:hAnsiTheme="majorBidi" w:cstheme="majorBidi"/>
          <w:sz w:val="24"/>
          <w:szCs w:val="24"/>
          <w:rtl/>
        </w:rPr>
        <w:commentReference w:id="94"/>
      </w:r>
      <w:commentRangeEnd w:id="95"/>
      <w:r>
        <w:rPr>
          <w:rStyle w:val="af0"/>
          <w:rFonts w:asciiTheme="majorBidi" w:hAnsiTheme="majorBidi" w:cstheme="majorBidi"/>
          <w:sz w:val="24"/>
          <w:szCs w:val="24"/>
          <w:rtl/>
        </w:rPr>
        <w:commentReference w:id="95"/>
      </w:r>
      <w:r>
        <w:rPr>
          <w:rFonts w:asciiTheme="majorBidi" w:hAnsiTheme="majorBidi" w:cstheme="majorBidi"/>
          <w:sz w:val="24"/>
          <w:szCs w:val="24"/>
          <w:rtl/>
        </w:rPr>
        <w:t xml:space="preserve"> لا تتوقف أهدافها عند رفع نسبة اقتصادية أو خفض الاعتماد على النفط، بل تتضمن برامج متكاملة لتحديث المنظومة العدلية وتطوير الخدمات الحكومية الرقمية. وفيما يتعلق بالقطاع العدلي تحديداً، تندرج عدة برامج استراتيجية ذات صلة مباشرة بموضوع هذه الدراسة.</w:t>
      </w:r>
    </w:p>
    <w:p w14:paraId="43ED6A3E"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الاستراتيجية الوطنية للذكاء الاصطناعي (1444هـ/2023م)، التي أصدرتها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وتتضمن خارطة طريق وطنية شاملة لتوظيف الذكاء الاصطناعي في عشرة قطاعات أولوية، من بينها قطاع العدالة والخدمات القانونية. وتستهدف الاستراتيجية تحقيق مساهمة اقتصادية للذكاء الاصطناعي في الناتج المحلي الإجمالي بمقدار 135 مليار ريال سنوياً بحلول عام 1447هـ/2026</w:t>
      </w:r>
      <w:proofErr w:type="gramStart"/>
      <w:r>
        <w:rPr>
          <w:rFonts w:asciiTheme="majorBidi" w:hAnsiTheme="majorBidi" w:cstheme="majorBidi"/>
          <w:sz w:val="24"/>
          <w:szCs w:val="24"/>
          <w:rtl/>
        </w:rPr>
        <w:t xml:space="preserve">م </w:t>
      </w:r>
      <w:r>
        <w:rPr>
          <w:rFonts w:asciiTheme="majorBidi" w:hAnsiTheme="majorBidi" w:cstheme="majorBidi"/>
          <w:sz w:val="24"/>
          <w:szCs w:val="24"/>
          <w:vertAlign w:val="superscript"/>
          <w:rtl/>
        </w:rPr>
        <w:footnoteReference w:id="300"/>
      </w:r>
      <w:r>
        <w:rPr>
          <w:rFonts w:asciiTheme="majorBidi" w:hAnsiTheme="majorBidi" w:cstheme="majorBidi"/>
          <w:sz w:val="24"/>
          <w:szCs w:val="24"/>
          <w:rtl/>
        </w:rPr>
        <w:t>.</w:t>
      </w:r>
      <w:proofErr w:type="gramEnd"/>
      <w:r>
        <w:rPr>
          <w:rFonts w:asciiTheme="majorBidi" w:hAnsiTheme="majorBidi" w:cstheme="majorBidi"/>
          <w:sz w:val="24"/>
          <w:szCs w:val="24"/>
          <w:rtl/>
        </w:rPr>
        <w:t xml:space="preserve"> وتُفيد هذه الأرقام بأن التوجه الحكومي داعم بقوة لاستيعاب الذكاء الاصطناعي في قطاعات الخدمات، بما فيها القانونية.</w:t>
      </w:r>
    </w:p>
    <w:p w14:paraId="0611A578" w14:textId="77777777" w:rsidR="005705DD" w:rsidRDefault="005705DD" w:rsidP="005705DD">
      <w:pPr>
        <w:bidi/>
        <w:spacing w:after="200" w:line="276" w:lineRule="auto"/>
        <w:rPr>
          <w:rtl/>
        </w:rPr>
      </w:pPr>
      <w:r>
        <w:rPr>
          <w:rFonts w:asciiTheme="majorBidi" w:hAnsiTheme="majorBidi" w:cstheme="majorBidi"/>
          <w:sz w:val="24"/>
          <w:szCs w:val="24"/>
          <w:rtl/>
        </w:rPr>
        <w:t xml:space="preserve">ثانياً: برنامج التحول الرقمي لوزارة العدل (نطاقات)، الذي يُعدّ من أبرز برامج رؤية 2030 في القطاع العدلي، ويتضمن محوراً خاصاً بتوظيف تقنيات الذكاء الاصطناعي في الإجراءات القضائية وخدمات وزارة العدل. وقد خلص التقرير السنوي لوزارة العدل (2024م) إلى أن </w:t>
      </w:r>
      <w:proofErr w:type="spellStart"/>
      <w:r>
        <w:rPr>
          <w:rFonts w:asciiTheme="majorBidi" w:hAnsiTheme="majorBidi" w:cstheme="majorBidi"/>
          <w:sz w:val="24"/>
          <w:szCs w:val="24"/>
          <w:rtl/>
        </w:rPr>
        <w:t>رقمنة</w:t>
      </w:r>
      <w:proofErr w:type="spellEnd"/>
      <w:r>
        <w:rPr>
          <w:rFonts w:asciiTheme="majorBidi" w:hAnsiTheme="majorBidi" w:cstheme="majorBidi"/>
          <w:sz w:val="24"/>
          <w:szCs w:val="24"/>
          <w:rtl/>
        </w:rPr>
        <w:t xml:space="preserve"> الخدمات القضائية أسهمت في تخفيض متوسط مدة الفصل في القضايا بنسبة 28%، وهو ما يُؤسّس لضغط مهني متزايد على مكاتب المحاماة لمواكبة هذا الإيقاع الرقمي المتسارع.</w:t>
      </w:r>
    </w:p>
    <w:p w14:paraId="6E059102" w14:textId="77777777" w:rsidR="005705DD" w:rsidRDefault="005705DD" w:rsidP="005705DD">
      <w:pPr>
        <w:bidi/>
        <w:spacing w:after="200" w:line="276" w:lineRule="auto"/>
        <w:rPr>
          <w:rtl/>
        </w:rPr>
      </w:pPr>
      <w:r>
        <w:rPr>
          <w:rFonts w:asciiTheme="majorBidi" w:hAnsiTheme="majorBidi" w:cstheme="majorBidi"/>
          <w:sz w:val="24"/>
          <w:szCs w:val="24"/>
          <w:rtl/>
        </w:rPr>
        <w:t xml:space="preserve">ثالثاً: مبادرة "مركز التميز للذكاء الاصطناعي" الذي أنشأته وزارة العدل بالتعاون مع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ويتولى دراسة تطبيقات الذكاء الاصطناعي في القضاء والتشريع وإعداد الرأي القانوني. ويُعدّ هذا المركز أول مبادرة حكومية سعودية متخصصة في تقاطع الذكاء الاصطناعي والمنظومة العدلية، وإن كانت مخرجاته حتى الآن محدودة الأثر على المستوى التشريعي.</w:t>
      </w:r>
    </w:p>
    <w:p w14:paraId="6698DE34"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هذا الاستعراض الاستراتيجي إلى أن هناك تناقضاً يكاد يكون بنيوياً في المشهد الراهن: فمن جهة، تدفع الاستراتيجيات الحكومية بقوة نحو الاعتماد الأوسع على الذكاء الاصطناعي في القطاع العدلي. ومن جهة أخرى، تغيب التشريعات الصريحة التي تُنظّم هذا الاعتماد وتحدد ضوابطه وتوزّع مسؤولياته. وهذا التناقض يُرتّب على المحامي السعودي معضلة مهنية حقيقية: إما أن يتخلف عن ركب التحديث، أو أن يُسرع نحوه في ظل غياب الضوابط الكافية.</w:t>
      </w:r>
    </w:p>
    <w:p w14:paraId="11916110" w14:textId="77777777" w:rsidR="005705DD" w:rsidRDefault="005705DD" w:rsidP="005705DD"/>
    <w:p w14:paraId="11455312" w14:textId="77777777" w:rsidR="005705DD" w:rsidRPr="00A84F46" w:rsidRDefault="005705DD" w:rsidP="005705DD">
      <w:pPr>
        <w:bidi/>
        <w:spacing w:after="200" w:line="276" w:lineRule="auto"/>
        <w:rPr>
          <w:bCs/>
          <w:color w:val="000000" w:themeColor="text1"/>
          <w:rtl/>
        </w:rPr>
      </w:pPr>
      <w:commentRangeStart w:id="96"/>
      <w:commentRangeStart w:id="97"/>
      <w:r>
        <w:rPr>
          <w:rFonts w:asciiTheme="majorBidi" w:hAnsiTheme="majorBidi" w:cstheme="majorBidi"/>
          <w:bCs/>
          <w:color w:val="000000" w:themeColor="text1"/>
          <w:sz w:val="28"/>
          <w:szCs w:val="28"/>
          <w:rtl/>
        </w:rPr>
        <w:t>تحليل تفصيلي لأبرز الأنظمة السعودية ذات الصلة بالذكاء الاصطناعي القانوني</w:t>
      </w:r>
      <w:commentRangeEnd w:id="96"/>
      <w:r w:rsidRPr="00A84F46">
        <w:rPr>
          <w:rStyle w:val="af0"/>
          <w:bCs/>
          <w:color w:val="000000" w:themeColor="text1"/>
          <w:sz w:val="22"/>
          <w:szCs w:val="22"/>
          <w:rtl/>
        </w:rPr>
        <w:commentReference w:id="96"/>
      </w:r>
      <w:commentRangeEnd w:id="97"/>
      <w:r w:rsidRPr="00A84F46">
        <w:rPr>
          <w:rStyle w:val="af0"/>
          <w:bCs/>
          <w:color w:val="000000" w:themeColor="text1"/>
          <w:sz w:val="22"/>
          <w:szCs w:val="22"/>
          <w:rtl/>
        </w:rPr>
        <w:commentReference w:id="97"/>
      </w:r>
    </w:p>
    <w:p w14:paraId="2B908C1E" w14:textId="77777777" w:rsidR="005705DD" w:rsidRDefault="005705DD" w:rsidP="005705DD">
      <w:pPr>
        <w:bidi/>
        <w:spacing w:after="200" w:line="276" w:lineRule="auto"/>
        <w:rPr>
          <w:rtl/>
        </w:rPr>
      </w:pPr>
      <w:r>
        <w:rPr>
          <w:rFonts w:asciiTheme="majorBidi" w:hAnsiTheme="majorBidi" w:cstheme="majorBidi"/>
          <w:sz w:val="24"/>
          <w:szCs w:val="24"/>
          <w:rtl/>
        </w:rPr>
        <w:t>بعد الاستعراض العام للبيئة النظامية في المطلب الثاني من المبحث الأول، يُقدّم الباحث في هذا الموضع تحليلاً تفصيلياً أعمق لأهم الأحكام النظامية المباشرة الصلة بموضوع الدراسة:</w:t>
      </w:r>
    </w:p>
    <w:p w14:paraId="635C25AD"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نظام </w:t>
      </w:r>
      <w:proofErr w:type="gramStart"/>
      <w:r>
        <w:rPr>
          <w:rFonts w:asciiTheme="majorBidi" w:hAnsiTheme="majorBidi" w:cstheme="majorBidi"/>
          <w:sz w:val="24"/>
          <w:szCs w:val="24"/>
          <w:rtl/>
        </w:rPr>
        <w:t xml:space="preserve">المحاماة </w:t>
      </w:r>
      <w:r>
        <w:rPr>
          <w:rFonts w:asciiTheme="majorBidi" w:hAnsiTheme="majorBidi" w:cstheme="majorBidi"/>
          <w:sz w:val="24"/>
          <w:szCs w:val="24"/>
          <w:vertAlign w:val="superscript"/>
          <w:rtl/>
        </w:rPr>
        <w:footnoteReference w:id="301"/>
      </w:r>
      <w:r>
        <w:rPr>
          <w:rFonts w:asciiTheme="majorBidi" w:hAnsiTheme="majorBidi" w:cstheme="majorBidi"/>
          <w:sz w:val="24"/>
          <w:szCs w:val="24"/>
          <w:rtl/>
        </w:rPr>
        <w:t xml:space="preserve"> وتعديلاته</w:t>
      </w:r>
      <w:proofErr w:type="gramEnd"/>
      <w:r>
        <w:rPr>
          <w:rFonts w:asciiTheme="majorBidi" w:hAnsiTheme="majorBidi" w:cstheme="majorBidi"/>
          <w:sz w:val="24"/>
          <w:szCs w:val="24"/>
          <w:rtl/>
        </w:rPr>
        <w:t xml:space="preserve"> — قراءة في ضوء الذكاء الاصطناعي: تشترط المادة (الثالثة) من نظام المحاماة فيمن يزاول المهنة القيدَ في جدول المحامين الممارسين، ومن شروط القيد: المؤهل العلمي في الشريعة أو الأنظمة، والخبرة، وحسن السيرة والسلوك. وبالتفسير الموسَّع لهذا الشرط في ضوء المستجدات التقنية، يمكن القول إن التطور التكنولوجي الراهن أضاف بُعداً جديداً لمفهوم "الكفاءة اللازمة"، يشمل الكفاءة التقنية في التعامل مع أدوات الذكاء الاصطناعي والقدرة على تقييم مخرجاتها نقدياً. وهذا التفسير الموسَّع يُمكن أن يُشكّل سنداً </w:t>
      </w:r>
      <w:proofErr w:type="spellStart"/>
      <w:r>
        <w:rPr>
          <w:rFonts w:asciiTheme="majorBidi" w:hAnsiTheme="majorBidi" w:cstheme="majorBidi"/>
          <w:sz w:val="24"/>
          <w:szCs w:val="24"/>
          <w:rtl/>
        </w:rPr>
        <w:t>لالهيئة</w:t>
      </w:r>
      <w:proofErr w:type="spellEnd"/>
      <w:r>
        <w:rPr>
          <w:rFonts w:asciiTheme="majorBidi" w:hAnsiTheme="majorBidi" w:cstheme="majorBidi"/>
          <w:sz w:val="24"/>
          <w:szCs w:val="24"/>
          <w:rtl/>
        </w:rPr>
        <w:t xml:space="preserve"> السعودية للمحامين في اشتراط التأهيل التقني دون انتظار تعديل نظامي صريح.</w:t>
      </w:r>
    </w:p>
    <w:p w14:paraId="611E4253" w14:textId="77777777" w:rsidR="005705DD" w:rsidRDefault="005705DD" w:rsidP="005705DD">
      <w:pPr>
        <w:bidi/>
        <w:spacing w:after="200" w:line="276" w:lineRule="auto"/>
        <w:rPr>
          <w:rtl/>
        </w:rPr>
      </w:pPr>
      <w:r>
        <w:rPr>
          <w:rFonts w:asciiTheme="majorBidi" w:hAnsiTheme="majorBidi" w:cstheme="majorBidi"/>
          <w:sz w:val="24"/>
          <w:szCs w:val="24"/>
          <w:rtl/>
        </w:rPr>
        <w:t xml:space="preserve">كذلك تعالج المادة (الثالثة والعشرون) من النظام واجب السرية المهنية، إذ تنص على أنه: "لا يجوز للمحامي أن يفشي سراً اؤتمن عليه أو عرفه عن طريق مهنته ولو بعد انتهاء وكالته ما لم يخالف ذلك مقتضى شرعياً". وقد سبقت الإشارة إلى أن توظيف أدوات الذكاء الاصطناعي الخارجية قد يُشكّل خرقاً لهذا الواجب. والمهم هنا أن </w:t>
      </w:r>
      <w:r>
        <w:rPr>
          <w:rFonts w:asciiTheme="majorBidi" w:hAnsiTheme="majorBidi" w:cstheme="majorBidi"/>
          <w:sz w:val="24"/>
          <w:szCs w:val="24"/>
          <w:rtl/>
        </w:rPr>
        <w:lastRenderedPageBreak/>
        <w:t>النص النظامي الحالي لا يشترط أن يكون الإفشاء لشخص بشري حتى تتحقق المخالفة؛ فالفقه الإجرائي المقارن يُوسّع دائرة الإفشاء المحظور لتشمل كل وصول لبيانات الموكل إلى أي جهة لم يُأذن لها بذلك، بشريةً كانت أم غير بشرية.</w:t>
      </w:r>
    </w:p>
    <w:p w14:paraId="60E35A3E" w14:textId="77777777" w:rsidR="005705DD" w:rsidRDefault="005705DD" w:rsidP="005705DD">
      <w:pPr>
        <w:bidi/>
        <w:spacing w:after="200" w:line="276" w:lineRule="auto"/>
        <w:rPr>
          <w:rtl/>
        </w:rPr>
      </w:pPr>
      <w:r>
        <w:rPr>
          <w:rFonts w:asciiTheme="majorBidi" w:hAnsiTheme="majorBidi" w:cstheme="majorBidi"/>
          <w:sz w:val="24"/>
          <w:szCs w:val="24"/>
          <w:rtl/>
        </w:rPr>
        <w:t>ثانياً: نظام الإثبات (1443هـ) وحجية المستندات الذكية: تقرر المواد (54) إلى (57) من نظام الإثبات أحكام الدليل الرقمي، ومقتضاها أن "للإثبات بالدليل الرقمي حكم الإثبات بالكتابة، وأن الدليل الرقمي غير الرسمي حجة على أطراف التعامل في أحوال حددتها المادة السابعة والخمسون". ويُثير تطبيق هذه المادة على مخرجات الذكاء الاصطناعي تساؤلاً دقيقاً: هل يُعدّ المحامي الذي أجرى التعديل النهائي على مستند ذكي "منشئاً" للمستند في معنى النص؟ الجواب الأقرب للصواب هو الإيجاب طالما أن المحامي أدخل تعديلات جوهرية وراجع المضمون ووقّع عليه، أما ما نُشر كما أنتجه الذكاء الاصطناعي دون مراجعة حقيقية فيظل في منطقة رمادية من حيث تحديد المنشئ.</w:t>
      </w:r>
    </w:p>
    <w:p w14:paraId="0D09F28A" w14:textId="77777777" w:rsidR="005705DD" w:rsidRDefault="005705DD" w:rsidP="005705DD">
      <w:pPr>
        <w:bidi/>
        <w:spacing w:after="200" w:line="276" w:lineRule="auto"/>
        <w:rPr>
          <w:rtl/>
        </w:rPr>
      </w:pPr>
      <w:r>
        <w:rPr>
          <w:rFonts w:asciiTheme="majorBidi" w:hAnsiTheme="majorBidi" w:cstheme="majorBidi"/>
          <w:sz w:val="24"/>
          <w:szCs w:val="24"/>
          <w:rtl/>
        </w:rPr>
        <w:t>ثالثاً: نظام المعاملات المدنية (1444هـ) وتحديد المسؤولية عن أضرار الذكاء الاصطناعي: أرسى نظام المعاملات المدنية أحكاماً حديثة للمسؤولية تستوعب المستجدات بصورة أكثر مرونة. وتتيح قاعدة المسؤولية عن الفعل الضار في المادة (العشرين بعد المائة) — ونصها: "كل خطأ سبب ضرراً للغير يلزم من ارتكبه بالتعويض" — إقامة دعوى ضد من تسبب باستخدامه أداة ذكية دون عناية كافية في إلحاق ضرر بالغير. والمسؤولية هنا تقصيرية تُبنى على عنصر التقصير (الإخلال بواجب الحيطة المعقولة)، وهو ما يُلزم المحامي باتخاذ الاحتياطات المعقولة في استخدام أدوات الذكاء الاصطناعي وإلا عُدّ مُفرِّطاً في واجب الحيطة.</w:t>
      </w:r>
    </w:p>
    <w:p w14:paraId="51AA4ED4" w14:textId="77777777" w:rsidR="005705DD" w:rsidRDefault="005705DD" w:rsidP="005705DD">
      <w:pPr>
        <w:bidi/>
        <w:spacing w:after="200" w:line="276" w:lineRule="auto"/>
        <w:rPr>
          <w:rtl/>
        </w:rPr>
      </w:pPr>
      <w:r>
        <w:rPr>
          <w:rFonts w:asciiTheme="majorBidi" w:hAnsiTheme="majorBidi" w:cstheme="majorBidi"/>
          <w:sz w:val="24"/>
          <w:szCs w:val="24"/>
          <w:rtl/>
        </w:rPr>
        <w:t xml:space="preserve">رابعاً: نظام التعاملات الإلكترونية ومخرجات الذكاء الاصطناعي: </w:t>
      </w: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النظام مبدأ التحايد التقني (</w:t>
      </w:r>
      <w:proofErr w:type="spellStart"/>
      <w:r>
        <w:rPr>
          <w:rFonts w:asciiTheme="majorBidi" w:hAnsiTheme="majorBidi" w:cstheme="majorBidi"/>
          <w:sz w:val="24"/>
          <w:szCs w:val="24"/>
          <w:rtl/>
        </w:rPr>
        <w:t>Technological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Neutrality</w:t>
      </w:r>
      <w:proofErr w:type="spellEnd"/>
      <w:r>
        <w:rPr>
          <w:rFonts w:asciiTheme="majorBidi" w:hAnsiTheme="majorBidi" w:cstheme="majorBidi"/>
          <w:sz w:val="24"/>
          <w:szCs w:val="24"/>
          <w:rtl/>
        </w:rPr>
        <w:t>)، مما يعني من حيث المبدأ أن مخرجات الذكاء الاصطناعي لا تُحرم من الحجية القانونية بسبب طبيعتها الذكية. غير أن هذا المبدأ لا يمنح هذه المخرجات حجيةً مطلقة دون اشتراطات؛ بل يجعل تقييم حجيتها مسألة سلطة تقديرية للقضاء في كل حالة على حدة، وهو ما يُفضي إلى عدم اليقين التشريعي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Uncertainty</w:t>
      </w:r>
      <w:proofErr w:type="spellEnd"/>
      <w:r>
        <w:rPr>
          <w:rFonts w:asciiTheme="majorBidi" w:hAnsiTheme="majorBidi" w:cstheme="majorBidi"/>
          <w:sz w:val="24"/>
          <w:szCs w:val="24"/>
          <w:rtl/>
        </w:rPr>
        <w:t>) المُعيق للممارسة المهنية السليمة.</w:t>
      </w:r>
    </w:p>
    <w:p w14:paraId="0D9F0BC9" w14:textId="77777777" w:rsidR="005705DD" w:rsidRDefault="005705DD" w:rsidP="005705DD"/>
    <w:p w14:paraId="2993DFA9" w14:textId="77777777" w:rsidR="005705DD" w:rsidRDefault="005705DD" w:rsidP="005705DD">
      <w:pPr>
        <w:bidi/>
        <w:spacing w:after="200" w:line="276" w:lineRule="auto"/>
        <w:rPr>
          <w:rFonts w:asciiTheme="majorBidi" w:hAnsiTheme="majorBidi" w:cstheme="majorBidi"/>
          <w:bCs/>
          <w:color w:val="000000" w:themeColor="text1"/>
          <w:sz w:val="28"/>
          <w:szCs w:val="28"/>
          <w:rtl/>
        </w:rPr>
      </w:pPr>
    </w:p>
    <w:p w14:paraId="28F80E5E" w14:textId="77777777" w:rsidR="005705DD" w:rsidRPr="00A84F46" w:rsidRDefault="005705DD" w:rsidP="005705DD">
      <w:pPr>
        <w:bidi/>
        <w:spacing w:after="200" w:line="276" w:lineRule="auto"/>
        <w:rPr>
          <w:bCs/>
          <w:color w:val="000000" w:themeColor="text1"/>
          <w:rtl/>
        </w:rPr>
      </w:pPr>
      <w:commentRangeStart w:id="98"/>
      <w:commentRangeStart w:id="99"/>
      <w:r>
        <w:rPr>
          <w:rFonts w:asciiTheme="majorBidi" w:hAnsiTheme="majorBidi" w:cstheme="majorBidi"/>
          <w:bCs/>
          <w:color w:val="000000" w:themeColor="text1"/>
          <w:sz w:val="28"/>
          <w:szCs w:val="28"/>
          <w:rtl/>
        </w:rPr>
        <w:t>عاشراً: واجب السرية المهنية في ظل توظيف أدوات الذكاء الاصطناعي — تحليل نظامي</w:t>
      </w:r>
      <w:commentRangeEnd w:id="98"/>
      <w:r w:rsidRPr="00A84F46">
        <w:rPr>
          <w:rStyle w:val="af0"/>
          <w:bCs/>
          <w:color w:val="000000" w:themeColor="text1"/>
          <w:sz w:val="22"/>
          <w:szCs w:val="22"/>
          <w:rtl/>
        </w:rPr>
        <w:commentReference w:id="98"/>
      </w:r>
      <w:commentRangeEnd w:id="99"/>
      <w:r w:rsidRPr="00A84F46">
        <w:rPr>
          <w:rStyle w:val="af0"/>
          <w:bCs/>
          <w:color w:val="000000" w:themeColor="text1"/>
          <w:sz w:val="22"/>
          <w:szCs w:val="22"/>
          <w:rtl/>
        </w:rPr>
        <w:commentReference w:id="99"/>
      </w:r>
    </w:p>
    <w:p w14:paraId="4F4BF9EC" w14:textId="77777777" w:rsidR="005705DD" w:rsidRDefault="005705DD" w:rsidP="005705DD">
      <w:pPr>
        <w:bidi/>
        <w:spacing w:after="200" w:line="276" w:lineRule="auto"/>
        <w:rPr>
          <w:rtl/>
        </w:rPr>
      </w:pPr>
      <w:r>
        <w:rPr>
          <w:rFonts w:asciiTheme="majorBidi" w:hAnsiTheme="majorBidi" w:cstheme="majorBidi"/>
          <w:sz w:val="24"/>
          <w:szCs w:val="24"/>
          <w:rtl/>
        </w:rPr>
        <w:t>يُعدّ واجب السرية المهنية (</w:t>
      </w:r>
      <w:proofErr w:type="spellStart"/>
      <w:r>
        <w:rPr>
          <w:rFonts w:asciiTheme="majorBidi" w:hAnsiTheme="majorBidi" w:cstheme="majorBidi"/>
          <w:sz w:val="24"/>
          <w:szCs w:val="24"/>
          <w:rtl/>
        </w:rPr>
        <w:t>Professional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Confidentiality</w:t>
      </w:r>
      <w:proofErr w:type="spellEnd"/>
      <w:r>
        <w:rPr>
          <w:rFonts w:asciiTheme="majorBidi" w:hAnsiTheme="majorBidi" w:cstheme="majorBidi"/>
          <w:sz w:val="24"/>
          <w:szCs w:val="24"/>
          <w:rtl/>
        </w:rPr>
        <w:t xml:space="preserve">) من أقدم المبادئ التي </w:t>
      </w:r>
      <w:proofErr w:type="spellStart"/>
      <w:r>
        <w:rPr>
          <w:rFonts w:asciiTheme="majorBidi" w:hAnsiTheme="majorBidi" w:cstheme="majorBidi"/>
          <w:sz w:val="24"/>
          <w:szCs w:val="24"/>
          <w:rtl/>
        </w:rPr>
        <w:t>أرستها</w:t>
      </w:r>
      <w:proofErr w:type="spellEnd"/>
      <w:r>
        <w:rPr>
          <w:rFonts w:asciiTheme="majorBidi" w:hAnsiTheme="majorBidi" w:cstheme="majorBidi"/>
          <w:sz w:val="24"/>
          <w:szCs w:val="24"/>
          <w:rtl/>
        </w:rPr>
        <w:t xml:space="preserve"> مهنة المحاماة وصانتها عبر القرون، وهو واجب ذو حماية نظامية صريحة في نظام المحاماة السعودي. وحين يلجأ المحامي إلى أداة ذكاء اصطناعي خارجية في معالجة ملفات موكليه، فإن هذا الواجب يُصبح في مواجهة تحدٍّ وجودي غير مسبوق من أبعاد ثلاثة:</w:t>
      </w:r>
    </w:p>
    <w:p w14:paraId="30BFC168" w14:textId="77777777" w:rsidR="005705DD" w:rsidRDefault="005705DD" w:rsidP="005705DD">
      <w:pPr>
        <w:bidi/>
        <w:spacing w:after="200" w:line="276" w:lineRule="auto"/>
        <w:rPr>
          <w:rtl/>
        </w:rPr>
      </w:pPr>
      <w:r>
        <w:rPr>
          <w:rFonts w:asciiTheme="majorBidi" w:hAnsiTheme="majorBidi" w:cstheme="majorBidi"/>
          <w:sz w:val="24"/>
          <w:szCs w:val="24"/>
          <w:rtl/>
        </w:rPr>
        <w:t>البُعد الأول — السرية الأفقية (</w:t>
      </w:r>
      <w:proofErr w:type="spellStart"/>
      <w:r>
        <w:rPr>
          <w:rFonts w:asciiTheme="majorBidi" w:hAnsiTheme="majorBidi" w:cstheme="majorBidi"/>
          <w:sz w:val="24"/>
          <w:szCs w:val="24"/>
          <w:rtl/>
        </w:rPr>
        <w:t>Horizontal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Confidentiality</w:t>
      </w:r>
      <w:proofErr w:type="spellEnd"/>
      <w:r>
        <w:rPr>
          <w:rFonts w:asciiTheme="majorBidi" w:hAnsiTheme="majorBidi" w:cstheme="majorBidi"/>
          <w:sz w:val="24"/>
          <w:szCs w:val="24"/>
          <w:rtl/>
        </w:rPr>
        <w:t>): إذ يُشكّل إدخال بيانات الموكل في نموذج لغوي كبير نقلاً لهذه البيانات إلى جهة ثالثة (الشركة المطوِّرة للأداة)، وهو ما يُخرقُ مبدأ السرية المتفق عليه بين الموكل والمحامي. والوقوف عند حدود هذا النقل قانونياً يستلزم فهم طبيعة العلاقة التعاقدية بين مستخدم الأداة وشركتها المطوِّرة، ومدى اعتبار شروط الاستخدام مُحدِّدةً للنطاق الذي يُعدّ فيه المزوِّد "معالِجاً للبيانات" لا "متلقياً" لها.</w:t>
      </w:r>
    </w:p>
    <w:p w14:paraId="476B711F" w14:textId="77777777" w:rsidR="005705DD" w:rsidRDefault="005705DD" w:rsidP="005705DD">
      <w:pPr>
        <w:bidi/>
        <w:spacing w:after="200" w:line="276" w:lineRule="auto"/>
        <w:rPr>
          <w:rtl/>
        </w:rPr>
      </w:pPr>
      <w:commentRangeStart w:id="100"/>
      <w:commentRangeStart w:id="101"/>
      <w:r>
        <w:rPr>
          <w:rFonts w:asciiTheme="majorBidi" w:hAnsiTheme="majorBidi" w:cstheme="majorBidi"/>
          <w:sz w:val="24"/>
          <w:szCs w:val="24"/>
          <w:rtl/>
        </w:rPr>
        <w:lastRenderedPageBreak/>
        <w:t>وقد عالج جانب من الفقه هذه المسألة من زاوية الفقه الإجرائي المقارن، مستنتجاً</w:t>
      </w:r>
      <w:commentRangeEnd w:id="100"/>
      <w:r>
        <w:rPr>
          <w:rStyle w:val="af0"/>
          <w:rFonts w:asciiTheme="majorBidi" w:hAnsiTheme="majorBidi" w:cstheme="majorBidi"/>
          <w:sz w:val="24"/>
          <w:szCs w:val="24"/>
          <w:rtl/>
        </w:rPr>
        <w:commentReference w:id="100"/>
      </w:r>
      <w:commentRangeEnd w:id="101"/>
      <w:r>
        <w:rPr>
          <w:rStyle w:val="af0"/>
          <w:rFonts w:asciiTheme="majorBidi" w:hAnsiTheme="majorBidi" w:cstheme="majorBidi"/>
          <w:sz w:val="24"/>
          <w:szCs w:val="24"/>
          <w:rtl/>
        </w:rPr>
        <w:commentReference w:id="101"/>
      </w:r>
      <w:r>
        <w:rPr>
          <w:rFonts w:asciiTheme="majorBidi" w:hAnsiTheme="majorBidi" w:cstheme="majorBidi"/>
          <w:sz w:val="24"/>
          <w:szCs w:val="24"/>
          <w:rtl/>
        </w:rPr>
        <w:t xml:space="preserve"> أن التطورات الرقمية أفرزت ما يمكن تسميته "السرية الموسَّعة" (</w:t>
      </w:r>
      <w:proofErr w:type="spellStart"/>
      <w:r>
        <w:rPr>
          <w:rFonts w:asciiTheme="majorBidi" w:hAnsiTheme="majorBidi" w:cstheme="majorBidi"/>
          <w:sz w:val="24"/>
          <w:szCs w:val="24"/>
          <w:rtl/>
        </w:rPr>
        <w:t>Extended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Confidentiality</w:t>
      </w:r>
      <w:proofErr w:type="spellEnd"/>
      <w:r>
        <w:rPr>
          <w:rFonts w:asciiTheme="majorBidi" w:hAnsiTheme="majorBidi" w:cstheme="majorBidi"/>
          <w:sz w:val="24"/>
          <w:szCs w:val="24"/>
          <w:rtl/>
        </w:rPr>
        <w:t xml:space="preserve">)، التي تستوجب من المحامي التزاماً يمتد ليشمل كل الجهات التي تتعامل مع بيانات الموكل بأي شكل، بما في ذلك الأدوات البرمجية </w:t>
      </w:r>
      <w:proofErr w:type="gramStart"/>
      <w:r>
        <w:rPr>
          <w:rFonts w:asciiTheme="majorBidi" w:hAnsiTheme="majorBidi" w:cstheme="majorBidi"/>
          <w:sz w:val="24"/>
          <w:szCs w:val="24"/>
          <w:rtl/>
        </w:rPr>
        <w:t xml:space="preserve">الخارجية </w:t>
      </w:r>
      <w:r>
        <w:rPr>
          <w:rFonts w:asciiTheme="majorBidi" w:hAnsiTheme="majorBidi" w:cstheme="majorBidi"/>
          <w:sz w:val="24"/>
          <w:szCs w:val="24"/>
          <w:vertAlign w:val="superscript"/>
          <w:rtl/>
        </w:rPr>
        <w:footnoteReference w:id="302"/>
      </w:r>
      <w:r>
        <w:rPr>
          <w:rFonts w:asciiTheme="majorBidi" w:hAnsiTheme="majorBidi" w:cstheme="majorBidi"/>
          <w:sz w:val="24"/>
          <w:szCs w:val="24"/>
          <w:rtl/>
        </w:rPr>
        <w:t>.</w:t>
      </w:r>
      <w:proofErr w:type="gramEnd"/>
    </w:p>
    <w:p w14:paraId="7FDF90E5" w14:textId="77777777" w:rsidR="005705DD" w:rsidRDefault="005705DD" w:rsidP="005705DD">
      <w:pPr>
        <w:bidi/>
        <w:spacing w:after="200" w:line="276" w:lineRule="auto"/>
        <w:rPr>
          <w:rtl/>
        </w:rPr>
      </w:pPr>
      <w:r>
        <w:rPr>
          <w:rFonts w:asciiTheme="majorBidi" w:hAnsiTheme="majorBidi" w:cstheme="majorBidi"/>
          <w:sz w:val="24"/>
          <w:szCs w:val="24"/>
          <w:rtl/>
        </w:rPr>
        <w:t>البُعد الثاني — السرية الزمنية (</w:t>
      </w:r>
      <w:proofErr w:type="spellStart"/>
      <w:r>
        <w:rPr>
          <w:rFonts w:asciiTheme="majorBidi" w:hAnsiTheme="majorBidi" w:cstheme="majorBidi"/>
          <w:sz w:val="24"/>
          <w:szCs w:val="24"/>
          <w:rtl/>
        </w:rPr>
        <w:t>Temporal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Confidentiality</w:t>
      </w:r>
      <w:proofErr w:type="spellEnd"/>
      <w:r>
        <w:rPr>
          <w:rFonts w:asciiTheme="majorBidi" w:hAnsiTheme="majorBidi" w:cstheme="majorBidi"/>
          <w:sz w:val="24"/>
          <w:szCs w:val="24"/>
          <w:rtl/>
        </w:rPr>
        <w:t>): وهو بُعد أكثر دقةً وخطورة، يتعلق بمدة الاحتفاظ بالبيانات المُدخَلة في الأداة الذكية. فبعض أدوات الذكاء الاصطناعي تحتفظ بسجلات المحادثات لمدة تتفاوت بين أيام وأشهر وسنوات، وقد تستخدمها لأغراض غير تلك التي قصدها المحامي حين أدخلها. ويتعارض هذا الاحتفاظ المطوّل مع مبدأ الحد الأدنى من المعالجة (</w:t>
      </w:r>
      <w:proofErr w:type="spellStart"/>
      <w:r>
        <w:rPr>
          <w:rFonts w:asciiTheme="majorBidi" w:hAnsiTheme="majorBidi" w:cstheme="majorBidi"/>
          <w:sz w:val="24"/>
          <w:szCs w:val="24"/>
          <w:rtl/>
        </w:rPr>
        <w:t>Data</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Minimization</w:t>
      </w:r>
      <w:proofErr w:type="spellEnd"/>
      <w:r>
        <w:rPr>
          <w:rFonts w:asciiTheme="majorBidi" w:hAnsiTheme="majorBidi" w:cstheme="majorBidi"/>
          <w:sz w:val="24"/>
          <w:szCs w:val="24"/>
          <w:rtl/>
        </w:rPr>
        <w:t>) المكرَّس في نظام حماية البيانات الشخصية (1443هـ).</w:t>
      </w:r>
    </w:p>
    <w:p w14:paraId="3EC68AD7" w14:textId="77777777" w:rsidR="005705DD" w:rsidRDefault="005705DD" w:rsidP="005705DD">
      <w:pPr>
        <w:bidi/>
        <w:spacing w:after="200" w:line="276" w:lineRule="auto"/>
        <w:rPr>
          <w:rtl/>
        </w:rPr>
      </w:pPr>
      <w:r>
        <w:rPr>
          <w:rFonts w:asciiTheme="majorBidi" w:hAnsiTheme="majorBidi" w:cstheme="majorBidi"/>
          <w:sz w:val="24"/>
          <w:szCs w:val="24"/>
          <w:rtl/>
        </w:rPr>
        <w:t>البُعد الثالث — سرية المخرجات (</w:t>
      </w:r>
      <w:proofErr w:type="spellStart"/>
      <w:r>
        <w:rPr>
          <w:rFonts w:asciiTheme="majorBidi" w:hAnsiTheme="majorBidi" w:cstheme="majorBidi"/>
          <w:sz w:val="24"/>
          <w:szCs w:val="24"/>
          <w:rtl/>
        </w:rPr>
        <w:t>Output</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Confidentiality</w:t>
      </w:r>
      <w:proofErr w:type="spellEnd"/>
      <w:r>
        <w:rPr>
          <w:rFonts w:asciiTheme="majorBidi" w:hAnsiTheme="majorBidi" w:cstheme="majorBidi"/>
          <w:sz w:val="24"/>
          <w:szCs w:val="24"/>
          <w:rtl/>
        </w:rPr>
        <w:t>): وهو أشد التحديات غرابةً، إذ يتعلق بما تُنتجه الأداة الذكية من نصوص استناداً إلى بيانات الموكل، ومدى اعتبار هذه المخرجات نفسها "بيانات محمية". فحين يُدخل المحامي وقائع قضية حساسة ويتلقى توصيفاً قانونياً ذكياً، فإن هذا التوصيف يحمل في طياته معلومات يمكن أن تُعيد تركيب بيانات الموكل لمن يطّلع عليها. والسؤال القانوني المُعقَّد هنا: هل تخضع مخرجات الذكاء الاصطناعي المبنية على بيانات الموكل للحماية ذاتها الممنوحة للبيانات الأصلية؟</w:t>
      </w:r>
    </w:p>
    <w:p w14:paraId="61C93870" w14:textId="77777777" w:rsidR="005705DD" w:rsidRDefault="005705DD" w:rsidP="005705DD">
      <w:pPr>
        <w:bidi/>
        <w:spacing w:after="200" w:line="276" w:lineRule="auto"/>
        <w:rPr>
          <w:rtl/>
        </w:rPr>
      </w:pPr>
      <w:r>
        <w:rPr>
          <w:rFonts w:asciiTheme="majorBidi" w:hAnsiTheme="majorBidi" w:cstheme="majorBidi"/>
          <w:sz w:val="24"/>
          <w:szCs w:val="24"/>
          <w:rtl/>
        </w:rPr>
        <w:t>ويرى الباحث — استناداً إلى التفسير الموسَّع لأحكام نظام حماية البيانات الشخصية وفق المبادئ الفقهية الإسلامية في المسؤولية عن الضرر — أن الإجابة ينبغي أن تكون بالإيجاب، وأن المخرجات الذكية المستنبطة من بيانات الموكل يجب أن تخضع للقيود ذاتها المفروضة على البيانات الأصلية. وهذا يُفضي بدوره إلى اشتراط عدم مشاركة هذه المخرجات مع أي جهة ثالثة دون موافقة الموكل الصريحة.</w:t>
      </w:r>
    </w:p>
    <w:p w14:paraId="7F8714D3"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الجدير بالإشارة أن الهيئة السعودية للمحامين لم تُصدر حتى الآن تعميماً رسمياً أو دليلاً توجيهياً يُنظّم استخدام المحامين لأدوات الذكاء الاصطناعي في ضوء واجب السرية المهنية، </w:t>
      </w:r>
      <w:commentRangeStart w:id="102"/>
      <w:commentRangeStart w:id="103"/>
      <w:r>
        <w:rPr>
          <w:rFonts w:asciiTheme="majorBidi" w:hAnsiTheme="majorBidi" w:cstheme="majorBidi"/>
          <w:sz w:val="24"/>
          <w:szCs w:val="24"/>
          <w:rtl/>
        </w:rPr>
        <w:t>خلافاً لما أصدرته نظيراتها في دول عديدة؛ كاللجنة الدائمة لأخلاقيات المهنة في اتحاد المحامين الأمريكي التي أصدرت في يوليو 2024م الرأي الرسمي رقم (512) بشأن "أدوات الذكاء الاصطناعي التوليدي"، ونظيراتها في كندا وأستراليا وبريطانيا. ويُشكّل هذا الغياب ثغرةً توجيهية في حاجة ماسة إلى الإصلاح.</w:t>
      </w:r>
      <w:r>
        <w:rPr>
          <w:rFonts w:asciiTheme="majorBidi" w:hAnsiTheme="majorBidi" w:cstheme="majorBidi"/>
          <w:sz w:val="24"/>
          <w:szCs w:val="24"/>
          <w:vertAlign w:val="superscript"/>
          <w:rtl/>
        </w:rPr>
        <w:footnoteReference w:id="303"/>
      </w:r>
      <w:commentRangeEnd w:id="102"/>
      <w:r>
        <w:rPr>
          <w:rStyle w:val="af0"/>
          <w:sz w:val="22"/>
          <w:szCs w:val="22"/>
          <w:rtl/>
        </w:rPr>
        <w:commentReference w:id="102"/>
      </w:r>
      <w:commentRangeEnd w:id="103"/>
      <w:r>
        <w:rPr>
          <w:rStyle w:val="af0"/>
          <w:sz w:val="22"/>
          <w:szCs w:val="22"/>
          <w:rtl/>
        </w:rPr>
        <w:commentReference w:id="103"/>
      </w:r>
    </w:p>
    <w:p w14:paraId="7C36D151" w14:textId="77777777" w:rsidR="005705DD" w:rsidRDefault="005705DD" w:rsidP="005705DD"/>
    <w:p w14:paraId="5E091B91" w14:textId="77777777" w:rsidR="005705DD" w:rsidRPr="00A84F46" w:rsidRDefault="005705DD" w:rsidP="005705DD">
      <w:pPr>
        <w:bidi/>
        <w:spacing w:before="240" w:after="200" w:line="276" w:lineRule="auto"/>
        <w:jc w:val="center"/>
        <w:rPr>
          <w:b/>
          <w:bCs/>
          <w:color w:val="000000" w:themeColor="text1"/>
          <w:rtl/>
        </w:rPr>
      </w:pPr>
      <w:r>
        <w:rPr>
          <w:rFonts w:asciiTheme="majorBidi" w:hAnsiTheme="majorBidi" w:cstheme="majorBidi"/>
          <w:b/>
          <w:bCs/>
          <w:color w:val="000000" w:themeColor="text1"/>
          <w:sz w:val="28"/>
          <w:szCs w:val="28"/>
          <w:rtl/>
        </w:rPr>
        <w:t>المطلب الثالث</w:t>
      </w:r>
    </w:p>
    <w:p w14:paraId="1E736F5B" w14:textId="77777777" w:rsidR="005705DD" w:rsidRPr="00A84F46" w:rsidRDefault="005705DD" w:rsidP="005705DD">
      <w:pPr>
        <w:bidi/>
        <w:spacing w:before="240" w:after="200" w:line="276" w:lineRule="auto"/>
        <w:jc w:val="center"/>
        <w:rPr>
          <w:b/>
          <w:bCs/>
          <w:color w:val="000000" w:themeColor="text1"/>
          <w:rtl/>
        </w:rPr>
      </w:pPr>
      <w:r>
        <w:rPr>
          <w:rFonts w:asciiTheme="majorBidi" w:hAnsiTheme="majorBidi" w:cstheme="majorBidi"/>
          <w:b/>
          <w:bCs/>
          <w:color w:val="000000" w:themeColor="text1"/>
          <w:sz w:val="24"/>
          <w:szCs w:val="24"/>
          <w:rtl/>
        </w:rPr>
        <w:t>العقود الذكية والمستحدثات التقنية في ضوء النظام السعودي</w:t>
      </w:r>
    </w:p>
    <w:p w14:paraId="4D83BC31" w14:textId="77777777" w:rsidR="005705DD" w:rsidRPr="00A84F46" w:rsidRDefault="005705DD" w:rsidP="005705DD">
      <w:pPr>
        <w:bidi/>
        <w:spacing w:after="200" w:line="276" w:lineRule="auto"/>
        <w:rPr>
          <w:color w:val="000000" w:themeColor="text1"/>
          <w:rtl/>
        </w:rPr>
      </w:pPr>
      <w:commentRangeStart w:id="104"/>
      <w:commentRangeStart w:id="105"/>
      <w:r>
        <w:rPr>
          <w:rFonts w:asciiTheme="majorBidi" w:hAnsiTheme="majorBidi" w:cstheme="majorBidi"/>
          <w:b/>
          <w:color w:val="000000" w:themeColor="text1"/>
          <w:sz w:val="28"/>
          <w:szCs w:val="28"/>
          <w:rtl/>
        </w:rPr>
        <w:t>أولاً: التكييف النظامي للعقود الذكية في النظام السعودي</w:t>
      </w:r>
      <w:commentRangeEnd w:id="104"/>
      <w:r w:rsidRPr="00A84F46">
        <w:rPr>
          <w:rStyle w:val="af0"/>
          <w:color w:val="000000" w:themeColor="text1"/>
          <w:sz w:val="22"/>
          <w:szCs w:val="22"/>
          <w:rtl/>
        </w:rPr>
        <w:commentReference w:id="104"/>
      </w:r>
      <w:commentRangeEnd w:id="105"/>
      <w:r w:rsidRPr="00A84F46">
        <w:rPr>
          <w:rStyle w:val="af0"/>
          <w:color w:val="000000" w:themeColor="text1"/>
          <w:sz w:val="22"/>
          <w:szCs w:val="22"/>
          <w:rtl/>
        </w:rPr>
        <w:commentReference w:id="105"/>
      </w:r>
    </w:p>
    <w:p w14:paraId="51D77E3D" w14:textId="77777777" w:rsidR="005705DD" w:rsidRDefault="005705DD" w:rsidP="005705DD">
      <w:pPr>
        <w:bidi/>
        <w:spacing w:after="200" w:line="276" w:lineRule="auto"/>
        <w:rPr>
          <w:rtl/>
        </w:rPr>
      </w:pPr>
      <w:r>
        <w:rPr>
          <w:rFonts w:asciiTheme="majorBidi" w:hAnsiTheme="majorBidi" w:cstheme="majorBidi"/>
          <w:sz w:val="24"/>
          <w:szCs w:val="24"/>
          <w:rtl/>
        </w:rPr>
        <w:t>تُثير العقود الذكية (</w:t>
      </w:r>
      <w:proofErr w:type="spellStart"/>
      <w:r>
        <w:rPr>
          <w:rFonts w:asciiTheme="majorBidi" w:hAnsiTheme="majorBidi" w:cstheme="majorBidi"/>
          <w:sz w:val="24"/>
          <w:szCs w:val="24"/>
          <w:rtl/>
        </w:rPr>
        <w:t>Smart</w:t>
      </w:r>
      <w:proofErr w:type="spellEnd"/>
      <w:r>
        <w:rPr>
          <w:rFonts w:asciiTheme="majorBidi" w:hAnsiTheme="majorBidi" w:cstheme="majorBidi"/>
          <w:sz w:val="24"/>
          <w:szCs w:val="24"/>
          <w:rtl/>
        </w:rPr>
        <w:t xml:space="preserve"> Contracts) جدلاً فقهياً وقانونياً واسعاً في الأوساط الأكاديمية والمهنية، لا سيما حين يُساء فهم طبيعتها التقنية. وقد أُسّس في التمييز المفاهيمي لهذا الفصل أن العقود الذكية ليست نوعاً من أنواع الذكاء الاصطناعي. غير أن التكييف القانوني لها في البيئة السعودية يستحق وقفةً مستقلةً لما ينطوي عليه من تساؤلات نظامية جوهرية.</w:t>
      </w:r>
    </w:p>
    <w:p w14:paraId="5312CD37" w14:textId="77777777" w:rsidR="005705DD" w:rsidRDefault="005705DD" w:rsidP="005705DD">
      <w:pPr>
        <w:bidi/>
        <w:spacing w:after="200" w:line="276" w:lineRule="auto"/>
        <w:rPr>
          <w:rtl/>
        </w:rPr>
      </w:pPr>
      <w:commentRangeStart w:id="106"/>
      <w:commentRangeStart w:id="107"/>
      <w:r>
        <w:rPr>
          <w:rFonts w:asciiTheme="majorBidi" w:hAnsiTheme="majorBidi" w:cstheme="majorBidi"/>
          <w:sz w:val="24"/>
          <w:szCs w:val="24"/>
          <w:rtl/>
        </w:rPr>
        <w:t>تتكوّن العقود الذكية في جوهرها من كود برمجي (</w:t>
      </w:r>
      <w:proofErr w:type="spellStart"/>
      <w:r>
        <w:rPr>
          <w:rFonts w:asciiTheme="majorBidi" w:hAnsiTheme="majorBidi" w:cstheme="majorBidi"/>
          <w:sz w:val="24"/>
          <w:szCs w:val="24"/>
          <w:rtl/>
        </w:rPr>
        <w:t>Code</w:t>
      </w:r>
      <w:proofErr w:type="spellEnd"/>
      <w:r>
        <w:rPr>
          <w:rFonts w:asciiTheme="majorBidi" w:hAnsiTheme="majorBidi" w:cstheme="majorBidi"/>
          <w:sz w:val="24"/>
          <w:szCs w:val="24"/>
          <w:rtl/>
        </w:rPr>
        <w:t xml:space="preserve">) يُرسِّخ على سلسلة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بنوداً تنفيذية ذاتية. وحين يتحقق الشرط المُبرمَج (كاستلام الدفع)، يُنفَّذ الأمر المرتبط به (كنقل ملكية الأصل) تلقائياً وبلا تدخل </w:t>
      </w:r>
      <w:r>
        <w:rPr>
          <w:rFonts w:asciiTheme="majorBidi" w:hAnsiTheme="majorBidi" w:cstheme="majorBidi"/>
          <w:sz w:val="24"/>
          <w:szCs w:val="24"/>
          <w:rtl/>
        </w:rPr>
        <w:lastRenderedPageBreak/>
        <w:t xml:space="preserve">بشري. وهذا التعريف يكشف أن العقد الذكي يفتقر إلى خاصيتين رئيسيتين تُلزمهما التشريعات التقليدية في العقود: أولاهما المرونة التفسيرية، إذ يُنفَّذ الكود حرفياً لا وفق النية التعاقدية؛ وثانيتهما قابلية التعديل، إذ أن طبيعة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تجعل التعديل على العقد بعد نشره أمراً بالغ التعقيد.</w:t>
      </w:r>
      <w:r>
        <w:rPr>
          <w:rFonts w:asciiTheme="majorBidi" w:hAnsiTheme="majorBidi" w:cstheme="majorBidi"/>
          <w:sz w:val="24"/>
          <w:szCs w:val="24"/>
          <w:vertAlign w:val="superscript"/>
          <w:rtl/>
        </w:rPr>
        <w:footnoteReference w:id="304"/>
      </w:r>
      <w:commentRangeEnd w:id="106"/>
      <w:r>
        <w:rPr>
          <w:rStyle w:val="af0"/>
          <w:sz w:val="22"/>
          <w:szCs w:val="22"/>
          <w:rtl/>
        </w:rPr>
        <w:commentReference w:id="106"/>
      </w:r>
      <w:commentRangeEnd w:id="107"/>
      <w:r>
        <w:rPr>
          <w:rStyle w:val="af0"/>
          <w:sz w:val="22"/>
          <w:szCs w:val="22"/>
          <w:rtl/>
        </w:rPr>
        <w:commentReference w:id="107"/>
      </w:r>
    </w:p>
    <w:p w14:paraId="135795C5" w14:textId="77777777" w:rsidR="005705DD" w:rsidRDefault="005705DD" w:rsidP="005705DD">
      <w:pPr>
        <w:bidi/>
        <w:spacing w:after="200" w:line="276" w:lineRule="auto"/>
        <w:rPr>
          <w:rtl/>
        </w:rPr>
      </w:pPr>
      <w:commentRangeStart w:id="108"/>
      <w:commentRangeStart w:id="109"/>
      <w:r>
        <w:rPr>
          <w:rFonts w:asciiTheme="majorBidi" w:hAnsiTheme="majorBidi" w:cstheme="majorBidi"/>
          <w:sz w:val="28"/>
          <w:szCs w:val="28"/>
          <w:rtl/>
        </w:rPr>
        <w:t>وتعكس هذه الخصائص إشكالياتٍ قانونيةً ثلاثاً في البيئة التعاقدية السعودية:</w:t>
      </w:r>
    </w:p>
    <w:p w14:paraId="2219516D"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إثبات الرضا والإيجاب والقبول: يشترط نظام المعاملات المدنية السعودي (1444هـ) — استكمالاً لمقتضيات الفقه الإسلامي — صراحةَ الرضا وانتفاءَ العيوب في إرادة المتعاقدَين. وإثبات توافر هذه الشروط في عقد مُبرمَج تلقائياً يُثير تساؤلاً جوهرياً: هل إقدام الشخص على تنفيذ الشرط (كإيداع المبلغ في المحفظة الرقمية) يُعدّ قبولاً صريحاً للبنود المُبرمَجة التي ربما لم يقرأها كاملاً ولا يفهم تقنيتها؟</w:t>
      </w:r>
    </w:p>
    <w:p w14:paraId="4055988A" w14:textId="77777777" w:rsidR="005705DD" w:rsidRDefault="005705DD" w:rsidP="005705DD">
      <w:pPr>
        <w:bidi/>
        <w:spacing w:after="200" w:line="276" w:lineRule="auto"/>
        <w:rPr>
          <w:rtl/>
        </w:rPr>
      </w:pPr>
      <w:r>
        <w:rPr>
          <w:rFonts w:asciiTheme="majorBidi" w:hAnsiTheme="majorBidi" w:cstheme="majorBidi"/>
          <w:sz w:val="24"/>
          <w:szCs w:val="24"/>
          <w:rtl/>
        </w:rPr>
        <w:t xml:space="preserve">الإشكالية الثانية — أحكام العيوب والفسخ والإبطال: إذا ثبت غلط أو إكراه أو تدليس في إبرام عقد ذكي، فإن آليات الفسخ والإبطال المنصوص عليها في الفقه الإسلامي ونظام المعاملات المدنية تصطدم بالطبيعة التقنية لعقود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التي تُنفَّذ تلقائياً ولا يمكن عكسها بسهولة. وهذا يستوجب إما إيجاد ما يُعادل نظاماً للتراجع (</w:t>
      </w:r>
      <w:proofErr w:type="spellStart"/>
      <w:r>
        <w:rPr>
          <w:rFonts w:asciiTheme="majorBidi" w:hAnsiTheme="majorBidi" w:cstheme="majorBidi"/>
          <w:sz w:val="24"/>
          <w:szCs w:val="24"/>
          <w:rtl/>
        </w:rPr>
        <w:t>Rollback</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Mechanism</w:t>
      </w:r>
      <w:proofErr w:type="spellEnd"/>
      <w:r>
        <w:rPr>
          <w:rFonts w:asciiTheme="majorBidi" w:hAnsiTheme="majorBidi" w:cstheme="majorBidi"/>
          <w:sz w:val="24"/>
          <w:szCs w:val="24"/>
          <w:rtl/>
        </w:rPr>
        <w:t>) في السلاسل الذكية، أو الاستعاضة بالتعويض بدل الفسخ عيناً حين يتعذّر الأخير.</w:t>
      </w:r>
    </w:p>
    <w:p w14:paraId="2EC9CD16"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الثالثة — العلاقة بين الكود والنص التعاقدي: تطرح بعض العقود الذكية المزدوجة — التي تجمع نصاً تقليدياً وكوداً تنفيذياً — إشكاليةَ الأولوية حين يتعارض تفسير المحكمة للنص الطبيعي مع ما أنتجه الكود تلقائياً. ويُثير هذا التعارض تساؤلاً حول أيهما يُعدّ</w:t>
      </w:r>
      <w:commentRangeStart w:id="110"/>
      <w:commentRangeStart w:id="111"/>
      <w:r>
        <w:rPr>
          <w:rFonts w:asciiTheme="majorBidi" w:hAnsiTheme="majorBidi" w:cstheme="majorBidi"/>
          <w:sz w:val="24"/>
          <w:szCs w:val="24"/>
          <w:rtl/>
        </w:rPr>
        <w:t xml:space="preserve"> التجسيدَ </w:t>
      </w:r>
      <w:commentRangeEnd w:id="110"/>
      <w:r>
        <w:rPr>
          <w:rStyle w:val="af0"/>
          <w:rFonts w:asciiTheme="majorBidi" w:hAnsiTheme="majorBidi" w:cstheme="majorBidi"/>
          <w:sz w:val="24"/>
          <w:szCs w:val="24"/>
          <w:rtl/>
        </w:rPr>
        <w:commentReference w:id="110"/>
      </w:r>
      <w:commentRangeEnd w:id="111"/>
      <w:r>
        <w:rPr>
          <w:rStyle w:val="af0"/>
          <w:rFonts w:asciiTheme="majorBidi" w:hAnsiTheme="majorBidi" w:cstheme="majorBidi"/>
          <w:sz w:val="24"/>
          <w:szCs w:val="24"/>
          <w:rtl/>
        </w:rPr>
        <w:commentReference w:id="111"/>
      </w:r>
      <w:r>
        <w:rPr>
          <w:rFonts w:asciiTheme="majorBidi" w:hAnsiTheme="majorBidi" w:cstheme="majorBidi"/>
          <w:sz w:val="24"/>
          <w:szCs w:val="24"/>
          <w:rtl/>
        </w:rPr>
        <w:t>الحقيقي لإرادة المتعاقدَين.</w:t>
      </w:r>
      <w:commentRangeEnd w:id="108"/>
      <w:r>
        <w:rPr>
          <w:rStyle w:val="af0"/>
          <w:sz w:val="22"/>
          <w:szCs w:val="22"/>
          <w:rtl/>
        </w:rPr>
        <w:commentReference w:id="108"/>
      </w:r>
      <w:commentRangeEnd w:id="109"/>
      <w:r>
        <w:rPr>
          <w:rStyle w:val="af0"/>
          <w:sz w:val="22"/>
          <w:szCs w:val="22"/>
          <w:rtl/>
        </w:rPr>
        <w:commentReference w:id="109"/>
      </w:r>
    </w:p>
    <w:p w14:paraId="0ECD8E80" w14:textId="77777777" w:rsidR="005705DD" w:rsidRDefault="005705DD" w:rsidP="005705DD">
      <w:pPr>
        <w:bidi/>
        <w:spacing w:after="200" w:line="276" w:lineRule="auto"/>
        <w:rPr>
          <w:rtl/>
        </w:rPr>
      </w:pPr>
      <w:r>
        <w:rPr>
          <w:rFonts w:asciiTheme="majorBidi" w:hAnsiTheme="majorBidi" w:cstheme="majorBidi"/>
          <w:sz w:val="24"/>
          <w:szCs w:val="24"/>
          <w:rtl/>
        </w:rPr>
        <w:t>وعلى الرغم من هذه الإشكاليات، لم تُنشر حتى تاريخه أحكام قضائية سعودية تعالج العقد الذكي صراحةً بوصفه كياناً تعاقدياً مستقلاً. ويرى جانب من الفقه أن</w:t>
      </w:r>
      <w:commentRangeStart w:id="112"/>
      <w:commentRangeStart w:id="113"/>
      <w:commentRangeEnd w:id="112"/>
      <w:r>
        <w:rPr>
          <w:rStyle w:val="af0"/>
          <w:rFonts w:asciiTheme="majorBidi" w:hAnsiTheme="majorBidi" w:cstheme="majorBidi"/>
          <w:sz w:val="24"/>
          <w:szCs w:val="24"/>
          <w:rtl/>
        </w:rPr>
        <w:commentReference w:id="112"/>
      </w:r>
      <w:commentRangeEnd w:id="113"/>
      <w:r>
        <w:rPr>
          <w:rStyle w:val="af0"/>
          <w:rFonts w:asciiTheme="majorBidi" w:hAnsiTheme="majorBidi" w:cstheme="majorBidi"/>
          <w:sz w:val="24"/>
          <w:szCs w:val="24"/>
          <w:rtl/>
        </w:rPr>
        <w:commentReference w:id="113"/>
      </w:r>
      <w:r>
        <w:rPr>
          <w:rFonts w:asciiTheme="majorBidi" w:hAnsiTheme="majorBidi" w:cstheme="majorBidi"/>
          <w:sz w:val="24"/>
          <w:szCs w:val="24"/>
          <w:rtl/>
        </w:rPr>
        <w:t xml:space="preserve"> القضاء السعودي مُرشَّح لمعالجة العقود الذكية في ضوء النظرية العامة للعقد في الفقه الإسلامي لا من خلال مفاهيم مستوردة من القانون المقارن، وهو ما يجعل مهمة المحامي السعودي المحنّك في النزاعات الذكية بالغة </w:t>
      </w:r>
      <w:proofErr w:type="gramStart"/>
      <w:r>
        <w:rPr>
          <w:rFonts w:asciiTheme="majorBidi" w:hAnsiTheme="majorBidi" w:cstheme="majorBidi"/>
          <w:sz w:val="24"/>
          <w:szCs w:val="24"/>
          <w:rtl/>
        </w:rPr>
        <w:t xml:space="preserve">الدقة </w:t>
      </w:r>
      <w:r>
        <w:rPr>
          <w:rFonts w:asciiTheme="majorBidi" w:hAnsiTheme="majorBidi" w:cstheme="majorBidi"/>
          <w:sz w:val="24"/>
          <w:szCs w:val="24"/>
          <w:vertAlign w:val="superscript"/>
          <w:rtl/>
        </w:rPr>
        <w:footnoteReference w:id="305"/>
      </w:r>
      <w:r>
        <w:rPr>
          <w:rFonts w:asciiTheme="majorBidi" w:hAnsiTheme="majorBidi" w:cstheme="majorBidi"/>
          <w:sz w:val="24"/>
          <w:szCs w:val="24"/>
          <w:rtl/>
        </w:rPr>
        <w:t>.</w:t>
      </w:r>
      <w:proofErr w:type="gramEnd"/>
    </w:p>
    <w:p w14:paraId="7EE07F3E"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إن التمييز بين العقود الذكية كأداة تقنية قائمة على </w:t>
      </w:r>
      <w:proofErr w:type="spellStart"/>
      <w:r>
        <w:rPr>
          <w:rFonts w:asciiTheme="majorBidi" w:hAnsiTheme="majorBidi" w:cstheme="majorBidi"/>
          <w:sz w:val="24"/>
          <w:szCs w:val="24"/>
          <w:rtl/>
        </w:rPr>
        <w:t>البلوكشين</w:t>
      </w:r>
      <w:proofErr w:type="spellEnd"/>
      <w:r>
        <w:rPr>
          <w:rFonts w:asciiTheme="majorBidi" w:hAnsiTheme="majorBidi" w:cstheme="majorBidi"/>
          <w:sz w:val="24"/>
          <w:szCs w:val="24"/>
          <w:rtl/>
        </w:rPr>
        <w:t xml:space="preserve"> وبين نماذج اللغة الكبيرة القائمة على التعلم الآلي ضرورة لا تقبل المساومة في التشريع القانوني المقترح، وأن معالجتهما في نظام واحد أو بأحكام موحدة سيُفضي حتماً إلى اضطراب تشريعي وتطبيقي. كما يرى الباحث أن الإشكاليات المتعلقة بالعقود الذكية في البيئة السعودية تحتاج إلى اجتهاد فقهي متخصص يُعالجها بأدواتها الكلامية الفقهية الصحيحة.</w:t>
      </w:r>
    </w:p>
    <w:p w14:paraId="057E56F4" w14:textId="77777777" w:rsidR="005705DD" w:rsidRDefault="005705DD" w:rsidP="005705DD"/>
    <w:p w14:paraId="5ADA71A1"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المبحث الثاني</w:t>
      </w:r>
    </w:p>
    <w:p w14:paraId="09462707"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أنماط الاستخدام الفردي للتقنيات القانونية</w:t>
      </w:r>
    </w:p>
    <w:p w14:paraId="6353DC7B" w14:textId="77777777" w:rsidR="005705DD" w:rsidRDefault="005705DD" w:rsidP="005705DD">
      <w:pPr>
        <w:bidi/>
        <w:spacing w:after="200" w:line="276" w:lineRule="auto"/>
        <w:rPr>
          <w:rtl/>
        </w:rPr>
      </w:pPr>
      <w:r>
        <w:rPr>
          <w:rFonts w:asciiTheme="majorBidi" w:hAnsiTheme="majorBidi" w:cstheme="majorBidi"/>
          <w:sz w:val="24"/>
          <w:szCs w:val="24"/>
          <w:rtl/>
        </w:rPr>
        <w:t>يُعنى هذا المبحث بالجانب الأكثر إشكاليةً في موضوع الدراسة، وهو ظاهرة الاستخدام الفردي غير المنظم لتقنيات الذكاء الاصطناعي في السياق القانوني السعودي. ويُعرَّف الاستخدام الفردي هنا بأنه توظيف شخص واحد — سواء أكان محامياً أم مواطناً عادياً — لأداة ذكاء اصطناعي للحصول على خدمة ذات طابع قانوني، خارج نطاق الأطر المؤسسية المنظِّمة، وفي غياب ضوابط رقابية صريحة أو آليات مساءلة واضحة.</w:t>
      </w:r>
    </w:p>
    <w:p w14:paraId="233E4994"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ويتناول المبحث في مطلبه الأول طبيعة هذه الاستخدامات الفردية </w:t>
      </w:r>
      <w:proofErr w:type="spellStart"/>
      <w:r>
        <w:rPr>
          <w:rFonts w:asciiTheme="majorBidi" w:hAnsiTheme="majorBidi" w:cstheme="majorBidi"/>
          <w:sz w:val="24"/>
          <w:szCs w:val="24"/>
          <w:rtl/>
        </w:rPr>
        <w:t>ومخاطرها</w:t>
      </w:r>
      <w:proofErr w:type="spellEnd"/>
      <w:r>
        <w:rPr>
          <w:rFonts w:asciiTheme="majorBidi" w:hAnsiTheme="majorBidi" w:cstheme="majorBidi"/>
          <w:sz w:val="24"/>
          <w:szCs w:val="24"/>
          <w:rtl/>
        </w:rPr>
        <w:t xml:space="preserve"> في السياق السعودي، ثم يُقدّم في مطلبه الثاني تكييفاً نظامياً لهذه الممارسات مع الإشارة إلى التجربة الإماراتية، مستخلصاً الدروس المستفادة التي تُفيد الحالة السعودية.</w:t>
      </w:r>
    </w:p>
    <w:p w14:paraId="27998603" w14:textId="77777777" w:rsidR="005705DD" w:rsidRDefault="005705DD" w:rsidP="005705DD"/>
    <w:p w14:paraId="47B6F35C"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الأول</w:t>
      </w:r>
    </w:p>
    <w:p w14:paraId="50A2FB32"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 xml:space="preserve">طبيعة الاستخدامات الفردية </w:t>
      </w:r>
      <w:proofErr w:type="spellStart"/>
      <w:r>
        <w:rPr>
          <w:rFonts w:asciiTheme="majorBidi" w:hAnsiTheme="majorBidi" w:cstheme="majorBidi"/>
          <w:bCs/>
          <w:color w:val="000000" w:themeColor="text1"/>
          <w:sz w:val="28"/>
          <w:szCs w:val="28"/>
          <w:rtl/>
        </w:rPr>
        <w:t>ومخاطرها</w:t>
      </w:r>
      <w:proofErr w:type="spellEnd"/>
      <w:r>
        <w:rPr>
          <w:rFonts w:asciiTheme="majorBidi" w:hAnsiTheme="majorBidi" w:cstheme="majorBidi"/>
          <w:bCs/>
          <w:color w:val="000000" w:themeColor="text1"/>
          <w:sz w:val="28"/>
          <w:szCs w:val="28"/>
          <w:rtl/>
        </w:rPr>
        <w:t xml:space="preserve"> في السياق السعودي</w:t>
      </w:r>
    </w:p>
    <w:p w14:paraId="178B80C9" w14:textId="77777777" w:rsidR="005705DD" w:rsidRDefault="005705DD" w:rsidP="005705DD">
      <w:pPr>
        <w:bidi/>
        <w:spacing w:after="200" w:line="276" w:lineRule="auto"/>
        <w:rPr>
          <w:rtl/>
        </w:rPr>
      </w:pPr>
      <w:r>
        <w:rPr>
          <w:rFonts w:asciiTheme="majorBidi" w:hAnsiTheme="majorBidi" w:cstheme="majorBidi"/>
          <w:b/>
          <w:sz w:val="28"/>
          <w:szCs w:val="28"/>
          <w:rtl/>
        </w:rPr>
        <w:t>أولاً: صور الاستخدام الفردي في السياق القانوني السعودي</w:t>
      </w:r>
    </w:p>
    <w:p w14:paraId="5DD86DC5" w14:textId="77777777" w:rsidR="005705DD" w:rsidRDefault="005705DD" w:rsidP="005705DD">
      <w:pPr>
        <w:bidi/>
        <w:spacing w:after="200" w:line="276" w:lineRule="auto"/>
        <w:rPr>
          <w:rtl/>
        </w:rPr>
      </w:pPr>
      <w:r>
        <w:rPr>
          <w:rFonts w:asciiTheme="majorBidi" w:hAnsiTheme="majorBidi" w:cstheme="majorBidi"/>
          <w:sz w:val="24"/>
          <w:szCs w:val="24"/>
          <w:rtl/>
        </w:rPr>
        <w:t>تتعدد صور الاستخدام الفردي لتقنيات الذكاء الاصطناعي ذات الطابع القانوني في البيئة السعودية، وتتوزع بين ثلاثة نماذج رئيسية يتباين كل منها من حيث طبيعة الأطراف والمخاطر والتكييف القانوني:</w:t>
      </w:r>
    </w:p>
    <w:p w14:paraId="52F7F4BC" w14:textId="77777777" w:rsidR="005705DD" w:rsidRDefault="005705DD" w:rsidP="005705DD">
      <w:pPr>
        <w:bidi/>
        <w:spacing w:after="200" w:line="276" w:lineRule="auto"/>
        <w:rPr>
          <w:rtl/>
        </w:rPr>
      </w:pPr>
      <w:r>
        <w:rPr>
          <w:rFonts w:asciiTheme="majorBidi" w:hAnsiTheme="majorBidi" w:cstheme="majorBidi"/>
          <w:sz w:val="24"/>
          <w:szCs w:val="24"/>
          <w:rtl/>
        </w:rPr>
        <w:t>النموذج الأول — المحامي المُستخدِم لأداة ذكاء اصطناعي بصورة فردية دون بروتوكول مؤسسي: ويُمثّل هذا النموذج الحالة الأكثر شيوعاً في السوق القانوني السعودي، وتتمثل صوره الأبرز في: استخدام المحامي لنموذج توليدي لصياغة مسودة عقد أو مذكرة دفاع دون الإفصاح لموكله أو لرئيسه في المكتب، وإدخال وقائع قضية حقيقية في نموذج لغوي كبير مفتوح الاستخدام بغرض الحصول على رأي قانوني مساعد، واستخدام أداة ذكاء اصطناعي للبحث في السوابق القضائية دون التحقق من دقة المراجع التي يولّدها النموذج.</w:t>
      </w:r>
    </w:p>
    <w:p w14:paraId="0D74A5CB"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الثاني — المواطن العادي الذي يستخدم الذكاء الاصطناعي كبديل للاستشارة القانونية: وهو نموذج في ازدياد مطّرد، إذ يلجأ كثير من الأفراد إلى النماذج اللغوية الكبيرة لطرح أسئلة قانونية تتعلق بنزاعات الأسرة، أو حقوق العمال، أو التزامات العقود، أو الإجراءات القضائية. وهذا النموذج يُثير إشكالية جوهرية تتصل بمزاولة المهنة القانونية دون ترخيص من الزاوية التشريعية، وإن كانت الأداة هي من يُقدّم المعلومة لا شخص ذو طابع بشري مرخّص.</w:t>
      </w:r>
    </w:p>
    <w:p w14:paraId="4F0919E3"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الثالث — المنصات الرقمية التجارية التي تقدّم "استشارات ذكية" دون ترخيص: وهو النموذج الأشد خطورةً من المنظور التشريعي، إذ ظهرت في الفضاء الإلكتروني السعودي عدة منصات تُقدّم ما تُسمّيه "استشارات قانونية مدعومة بالذكاء الاصطناعي" دون أن يتضح ما إذا كانت تمتلك ترخيصاً قانونياً من الهيئة السعودية للمحامين. ويقع هذا النمط في منطقة رمادية ضبابية من حيث الخضوع لنظام المحاماة من عدمه.</w:t>
      </w:r>
    </w:p>
    <w:p w14:paraId="2B32FBB3" w14:textId="77777777" w:rsidR="005705DD" w:rsidRDefault="005705DD" w:rsidP="005705DD">
      <w:pPr>
        <w:bidi/>
        <w:spacing w:after="200" w:line="276" w:lineRule="auto"/>
        <w:rPr>
          <w:rtl/>
        </w:rPr>
      </w:pPr>
      <w:r>
        <w:rPr>
          <w:rFonts w:asciiTheme="majorBidi" w:hAnsiTheme="majorBidi" w:cstheme="majorBidi"/>
          <w:b/>
          <w:sz w:val="28"/>
          <w:szCs w:val="28"/>
          <w:rtl/>
        </w:rPr>
        <w:t>ثانياً: المخاطر القانونية والمهنية للاستخدام الفردي</w:t>
      </w:r>
    </w:p>
    <w:p w14:paraId="5DEEBA86" w14:textId="77777777" w:rsidR="005705DD" w:rsidRDefault="005705DD" w:rsidP="005705DD">
      <w:pPr>
        <w:bidi/>
        <w:spacing w:after="200" w:line="276" w:lineRule="auto"/>
        <w:rPr>
          <w:rtl/>
        </w:rPr>
      </w:pPr>
      <w:r>
        <w:rPr>
          <w:rFonts w:asciiTheme="majorBidi" w:hAnsiTheme="majorBidi" w:cstheme="majorBidi"/>
          <w:sz w:val="24"/>
          <w:szCs w:val="24"/>
          <w:rtl/>
        </w:rPr>
        <w:t>يترتب على الاستخدام الفردي غير المنضبط لتقنيات الذكاء الاصطناعي في السياق القانوني السعودي جملةٌ من المخاطر القانونية والمهنية التي يمكن إيجازها فيما يلي:</w:t>
      </w:r>
    </w:p>
    <w:p w14:paraId="2A767EDF"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الأول — ظاهرة "الهلوسة" وخطأ المعلومات (AI </w:t>
      </w:r>
      <w:proofErr w:type="spellStart"/>
      <w:r>
        <w:rPr>
          <w:rFonts w:asciiTheme="majorBidi" w:hAnsiTheme="majorBidi" w:cstheme="majorBidi"/>
          <w:sz w:val="24"/>
          <w:szCs w:val="24"/>
          <w:rtl/>
        </w:rPr>
        <w:t>Hallucination</w:t>
      </w:r>
      <w:proofErr w:type="spellEnd"/>
      <w:r>
        <w:rPr>
          <w:rFonts w:asciiTheme="majorBidi" w:hAnsiTheme="majorBidi" w:cstheme="majorBidi"/>
          <w:sz w:val="24"/>
          <w:szCs w:val="24"/>
          <w:rtl/>
        </w:rPr>
        <w:t xml:space="preserve">): يُعاني الذكاء الاصطناعي التوليدي من ظاهرة تقنية بالغة الخطورة تُعرف </w:t>
      </w:r>
      <w:proofErr w:type="gramStart"/>
      <w:r>
        <w:rPr>
          <w:rFonts w:asciiTheme="majorBidi" w:hAnsiTheme="majorBidi" w:cstheme="majorBidi"/>
          <w:sz w:val="24"/>
          <w:szCs w:val="24"/>
          <w:rtl/>
        </w:rPr>
        <w:t>بـ"</w:t>
      </w:r>
      <w:proofErr w:type="gramEnd"/>
      <w:r>
        <w:rPr>
          <w:rFonts w:asciiTheme="majorBidi" w:hAnsiTheme="majorBidi" w:cstheme="majorBidi"/>
          <w:sz w:val="24"/>
          <w:szCs w:val="24"/>
          <w:rtl/>
        </w:rPr>
        <w:t xml:space="preserve">الهلوسة"، وهي ميل النموذج إلى إنتاج معلومات تبدو منطقية وموثوقة لكنها في حقيقتها مخترعة أو مشوّهة. وفي السياق القانوني، تتجلى هذه الظاهرة في ذكر مواد نظامية غير موجودة، أو الاستشهاد بأحكام قضائية وهمية، أو تحريف نصوص الأنظمة القائمة. </w:t>
      </w:r>
      <w:commentRangeStart w:id="114"/>
      <w:commentRangeStart w:id="115"/>
      <w:r>
        <w:rPr>
          <w:rFonts w:asciiTheme="majorBidi" w:hAnsiTheme="majorBidi" w:cstheme="majorBidi"/>
          <w:sz w:val="24"/>
          <w:szCs w:val="24"/>
          <w:rtl/>
        </w:rPr>
        <w:t xml:space="preserve">وقد انتقل هذا الخطر إلى القضاء الفعلي؛ ففي قضية </w:t>
      </w:r>
      <w:proofErr w:type="spellStart"/>
      <w:r>
        <w:rPr>
          <w:rFonts w:asciiTheme="majorBidi" w:hAnsiTheme="majorBidi" w:cstheme="majorBidi"/>
          <w:sz w:val="24"/>
          <w:szCs w:val="24"/>
          <w:rtl/>
        </w:rPr>
        <w:t>Mata</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Avianca</w:t>
      </w:r>
      <w:proofErr w:type="spellEnd"/>
      <w:r>
        <w:rPr>
          <w:rFonts w:asciiTheme="majorBidi" w:hAnsiTheme="majorBidi" w:cstheme="majorBidi"/>
          <w:sz w:val="24"/>
          <w:szCs w:val="24"/>
          <w:rtl/>
        </w:rPr>
        <w:t xml:space="preserve"> أمام المحكمة الفيدرالية الجزئية بنيويورك عام 2023م غرّمت المحكمة محاميَين قدّما مذكرة تضمنت أحكاماً مختلقة ولّدها نموذج </w:t>
      </w:r>
      <w:proofErr w:type="spellStart"/>
      <w:r>
        <w:rPr>
          <w:rFonts w:asciiTheme="majorBidi" w:hAnsiTheme="majorBidi" w:cstheme="majorBidi"/>
          <w:sz w:val="24"/>
          <w:szCs w:val="24"/>
          <w:rtl/>
        </w:rPr>
        <w:t>ChatGPT</w:t>
      </w:r>
      <w:proofErr w:type="spellEnd"/>
      <w:r>
        <w:rPr>
          <w:rFonts w:asciiTheme="majorBidi" w:hAnsiTheme="majorBidi" w:cstheme="majorBidi"/>
          <w:sz w:val="24"/>
          <w:szCs w:val="24"/>
          <w:rtl/>
        </w:rPr>
        <w:t xml:space="preserve">، وأحالت محكمة الاستئناف الفيدرالية للدائرة الثانية في قضية </w:t>
      </w:r>
      <w:proofErr w:type="spellStart"/>
      <w:r>
        <w:rPr>
          <w:rFonts w:asciiTheme="majorBidi" w:hAnsiTheme="majorBidi" w:cstheme="majorBidi"/>
          <w:sz w:val="24"/>
          <w:szCs w:val="24"/>
          <w:rtl/>
        </w:rPr>
        <w:t>Park</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Kim</w:t>
      </w:r>
      <w:proofErr w:type="spellEnd"/>
      <w:r>
        <w:rPr>
          <w:rFonts w:asciiTheme="majorBidi" w:hAnsiTheme="majorBidi" w:cstheme="majorBidi"/>
          <w:sz w:val="24"/>
          <w:szCs w:val="24"/>
          <w:rtl/>
        </w:rPr>
        <w:t xml:space="preserve"> عام 2024م المحامية إلى لجنة التظلمات المهنية </w:t>
      </w:r>
      <w:r>
        <w:rPr>
          <w:rFonts w:asciiTheme="majorBidi" w:hAnsiTheme="majorBidi" w:cstheme="majorBidi"/>
          <w:sz w:val="24"/>
          <w:szCs w:val="24"/>
          <w:rtl/>
        </w:rPr>
        <w:lastRenderedPageBreak/>
        <w:t xml:space="preserve">للسبب ذاته، وحمّلت المحكمة العليا لكولومبيا البريطانية بكندا المحامية في قضية </w:t>
      </w:r>
      <w:proofErr w:type="spellStart"/>
      <w:r>
        <w:rPr>
          <w:rFonts w:asciiTheme="majorBidi" w:hAnsiTheme="majorBidi" w:cstheme="majorBidi"/>
          <w:sz w:val="24"/>
          <w:szCs w:val="24"/>
          <w:rtl/>
        </w:rPr>
        <w:t>Zhang</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Chen</w:t>
      </w:r>
      <w:proofErr w:type="spellEnd"/>
      <w:r>
        <w:rPr>
          <w:rFonts w:asciiTheme="majorBidi" w:hAnsiTheme="majorBidi" w:cstheme="majorBidi"/>
          <w:sz w:val="24"/>
          <w:szCs w:val="24"/>
          <w:rtl/>
        </w:rPr>
        <w:t xml:space="preserve"> عام 2024م أتعاب كشف السوابق </w:t>
      </w:r>
      <w:proofErr w:type="gramStart"/>
      <w:r>
        <w:rPr>
          <w:rFonts w:asciiTheme="majorBidi" w:hAnsiTheme="majorBidi" w:cstheme="majorBidi"/>
          <w:sz w:val="24"/>
          <w:szCs w:val="24"/>
          <w:rtl/>
        </w:rPr>
        <w:t>المختلقة</w:t>
      </w:r>
      <w:commentRangeEnd w:id="114"/>
      <w:r>
        <w:rPr>
          <w:rStyle w:val="af0"/>
          <w:rFonts w:asciiTheme="majorBidi" w:hAnsiTheme="majorBidi" w:cstheme="majorBidi"/>
          <w:sz w:val="24"/>
          <w:szCs w:val="24"/>
          <w:rtl/>
        </w:rPr>
        <w:commentReference w:id="114"/>
      </w:r>
      <w:commentRangeEnd w:id="115"/>
      <w:r>
        <w:rPr>
          <w:rStyle w:val="af0"/>
          <w:rFonts w:asciiTheme="majorBidi" w:hAnsiTheme="majorBidi" w:cstheme="majorBidi"/>
          <w:sz w:val="24"/>
          <w:szCs w:val="24"/>
          <w:rtl/>
        </w:rPr>
        <w:commentReference w:id="115"/>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306"/>
      </w:r>
      <w:r>
        <w:rPr>
          <w:rFonts w:asciiTheme="majorBidi" w:hAnsiTheme="majorBidi" w:cstheme="majorBidi"/>
          <w:sz w:val="24"/>
          <w:szCs w:val="24"/>
          <w:rtl/>
        </w:rPr>
        <w:t>.</w:t>
      </w:r>
      <w:proofErr w:type="gramEnd"/>
    </w:p>
    <w:p w14:paraId="1EEE02D6" w14:textId="77777777" w:rsidR="005705DD" w:rsidRDefault="005705DD" w:rsidP="005705DD">
      <w:pPr>
        <w:bidi/>
        <w:spacing w:after="200" w:line="276" w:lineRule="auto"/>
        <w:rPr>
          <w:rtl/>
        </w:rPr>
      </w:pPr>
      <w:r>
        <w:rPr>
          <w:rFonts w:asciiTheme="majorBidi" w:hAnsiTheme="majorBidi" w:cstheme="majorBidi"/>
          <w:sz w:val="24"/>
          <w:szCs w:val="24"/>
          <w:rtl/>
        </w:rPr>
        <w:t>الخطر الثاني — انتهاك السرية المهنية: يُعدّ مبدأ السرية المهنية من أقدس مبادئ مهنة المحاماة وأعمقها جذوراً. ويُهدد الاستخدام غير المنضبط لأدوات الذكاء الاصطناعي هذا المبدأ من زوايا متعددة: فعند إدخال بيانات الموكل في نموذج لغوي مفتوح قد تُستخدم هذه البيانات في تدريب النموذج مستقبلاً أو يُمكن الوصول إليها من جهات أخرى، مما يُشكّل اختراقاً صريحاً لواجب السرية المنصوص عليه في المادة (الثالثة والعشرين) من نظام المحاماة الصادر بالمرسوم الملكي رقم (م/38) لعام 1422هـ.</w:t>
      </w:r>
    </w:p>
    <w:p w14:paraId="2BEF8CB5" w14:textId="77777777" w:rsidR="005705DD" w:rsidRDefault="005705DD" w:rsidP="005705DD">
      <w:pPr>
        <w:bidi/>
        <w:spacing w:after="200" w:line="276" w:lineRule="auto"/>
        <w:rPr>
          <w:rtl/>
        </w:rPr>
      </w:pPr>
      <w:r>
        <w:rPr>
          <w:rFonts w:asciiTheme="majorBidi" w:hAnsiTheme="majorBidi" w:cstheme="majorBidi"/>
          <w:sz w:val="24"/>
          <w:szCs w:val="24"/>
          <w:rtl/>
        </w:rPr>
        <w:t xml:space="preserve">ويرى جانب من الفقه أن وصول بيانات الموكل إلى أي جهة غير مأذون لها — حتى ولو كانت هذه الجهة نموذجاً برمجياً لا شخصاً بشرياً — يندرج ضمن التعريف المتسع لواجب السرية في ظل التطور الرقمي </w:t>
      </w:r>
      <w:proofErr w:type="gramStart"/>
      <w:r>
        <w:rPr>
          <w:rFonts w:asciiTheme="majorBidi" w:hAnsiTheme="majorBidi" w:cstheme="majorBidi"/>
          <w:sz w:val="24"/>
          <w:szCs w:val="24"/>
          <w:rtl/>
        </w:rPr>
        <w:t xml:space="preserve">المتسارع </w:t>
      </w:r>
      <w:r>
        <w:rPr>
          <w:rFonts w:asciiTheme="majorBidi" w:hAnsiTheme="majorBidi" w:cstheme="majorBidi"/>
          <w:sz w:val="24"/>
          <w:szCs w:val="24"/>
          <w:vertAlign w:val="superscript"/>
          <w:rtl/>
        </w:rPr>
        <w:footnoteReference w:id="307"/>
      </w:r>
      <w:r>
        <w:rPr>
          <w:rFonts w:asciiTheme="majorBidi" w:hAnsiTheme="majorBidi" w:cstheme="majorBidi"/>
          <w:sz w:val="24"/>
          <w:szCs w:val="24"/>
          <w:rtl/>
        </w:rPr>
        <w:t>.</w:t>
      </w:r>
      <w:proofErr w:type="gramEnd"/>
    </w:p>
    <w:p w14:paraId="1FF5C1BD"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الثالث — </w:t>
      </w:r>
      <w:commentRangeStart w:id="116"/>
      <w:commentRangeStart w:id="117"/>
      <w:r>
        <w:rPr>
          <w:rFonts w:asciiTheme="majorBidi" w:hAnsiTheme="majorBidi" w:cstheme="majorBidi"/>
          <w:sz w:val="24"/>
          <w:szCs w:val="24"/>
          <w:rtl/>
        </w:rPr>
        <w:t>التحيز الخوارزمي (</w:t>
      </w:r>
      <w:proofErr w:type="spellStart"/>
      <w:r>
        <w:rPr>
          <w:rFonts w:asciiTheme="majorBidi" w:hAnsiTheme="majorBidi" w:cstheme="majorBidi"/>
          <w:sz w:val="24"/>
          <w:szCs w:val="24"/>
          <w:rtl/>
        </w:rPr>
        <w:t>Algorithmic</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Bias</w:t>
      </w:r>
      <w:proofErr w:type="spellEnd"/>
      <w:r>
        <w:rPr>
          <w:rFonts w:asciiTheme="majorBidi" w:hAnsiTheme="majorBidi" w:cstheme="majorBidi"/>
          <w:sz w:val="24"/>
          <w:szCs w:val="24"/>
          <w:rtl/>
        </w:rPr>
        <w:t>): تُدرَّب نماذج الذكاء الاصطناعي على بيانات ضخمة قد تتضمن تحيزات ثقافية أو جنسية أو اجتماعية تنعكس على مخرجاتها</w:t>
      </w:r>
      <w:commentRangeEnd w:id="116"/>
      <w:r>
        <w:rPr>
          <w:rStyle w:val="af0"/>
          <w:rFonts w:asciiTheme="majorBidi" w:hAnsiTheme="majorBidi" w:cstheme="majorBidi"/>
          <w:sz w:val="24"/>
          <w:szCs w:val="24"/>
          <w:rtl/>
        </w:rPr>
        <w:commentReference w:id="116"/>
      </w:r>
      <w:commentRangeEnd w:id="117"/>
      <w:r>
        <w:rPr>
          <w:rStyle w:val="af0"/>
          <w:rFonts w:asciiTheme="majorBidi" w:hAnsiTheme="majorBidi" w:cstheme="majorBidi"/>
          <w:sz w:val="24"/>
          <w:szCs w:val="24"/>
          <w:rtl/>
        </w:rPr>
        <w:commentReference w:id="117"/>
      </w:r>
      <w:r>
        <w:rPr>
          <w:rFonts w:asciiTheme="majorBidi" w:hAnsiTheme="majorBidi" w:cstheme="majorBidi"/>
          <w:sz w:val="24"/>
          <w:szCs w:val="24"/>
          <w:rtl/>
        </w:rPr>
        <w:t>. وفي السياق القانوني السعودي، قد يُفضي هذا التحيز إلى مخرجات مجانِبة للصواب حين يتعلق الأمر بقضايا تتشابك فيها الاعتبارات الثقافية والدينية والاجتماعية السعودية الخاصة، لأن غالبية نماذج الذكاء الاصطناعي الكبرى دُرِّبت على بيانات غربية بالدرجة الأولى، وهو ما يجعلها أقل دقةً في السياقات القانونية المحلية.</w:t>
      </w:r>
    </w:p>
    <w:p w14:paraId="32163C2A"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w:t>
      </w:r>
      <w:proofErr w:type="gramStart"/>
      <w:r>
        <w:rPr>
          <w:rFonts w:asciiTheme="majorBidi" w:hAnsiTheme="majorBidi" w:cstheme="majorBidi"/>
          <w:sz w:val="24"/>
          <w:szCs w:val="24"/>
          <w:rtl/>
        </w:rPr>
        <w:t xml:space="preserve">المحلي </w:t>
      </w:r>
      <w:r>
        <w:rPr>
          <w:rFonts w:asciiTheme="majorBidi" w:hAnsiTheme="majorBidi" w:cstheme="majorBidi"/>
          <w:sz w:val="24"/>
          <w:szCs w:val="24"/>
          <w:vertAlign w:val="superscript"/>
          <w:rtl/>
        </w:rPr>
        <w:footnoteReference w:id="308"/>
      </w:r>
      <w:r>
        <w:rPr>
          <w:rFonts w:asciiTheme="majorBidi" w:hAnsiTheme="majorBidi" w:cstheme="majorBidi"/>
          <w:sz w:val="24"/>
          <w:szCs w:val="24"/>
          <w:rtl/>
        </w:rPr>
        <w:t>.</w:t>
      </w:r>
      <w:proofErr w:type="gramEnd"/>
    </w:p>
    <w:p w14:paraId="1A0EDC32" w14:textId="77777777" w:rsidR="005705DD" w:rsidRDefault="005705DD" w:rsidP="005705DD">
      <w:pPr>
        <w:bidi/>
        <w:spacing w:after="200" w:line="276" w:lineRule="auto"/>
        <w:rPr>
          <w:rtl/>
        </w:rPr>
      </w:pPr>
      <w:r>
        <w:rPr>
          <w:rFonts w:asciiTheme="majorBidi" w:hAnsiTheme="majorBidi" w:cstheme="majorBidi"/>
          <w:sz w:val="24"/>
          <w:szCs w:val="24"/>
          <w:rtl/>
        </w:rPr>
        <w:t>الخطر الرابع — تسرب البيانات وانتهاك الخصوصية: إضافةً إلى ما سبق ذكره عن نقل البيانات خارج المملكة، تثير بعض أدوات الذكاء الاصطناعي مخاطر تسرب إضافية نتيجة ثغرات أمنية في البنية التحتية للأداة، أو نتيجة تخزين سجلات المحادثات بصورة غير مشفّرة</w:t>
      </w:r>
      <w:r>
        <w:rPr>
          <w:rFonts w:asciiTheme="majorBidi" w:hAnsiTheme="majorBidi" w:cstheme="majorBidi"/>
          <w:sz w:val="24"/>
          <w:szCs w:val="24"/>
          <w:highlight w:val="yellow"/>
          <w:rtl/>
        </w:rPr>
        <w:t xml:space="preserve">. </w:t>
      </w:r>
      <w:commentRangeStart w:id="118"/>
      <w:commentRangeStart w:id="119"/>
      <w:r>
        <w:rPr>
          <w:rFonts w:asciiTheme="majorBidi" w:hAnsiTheme="majorBidi" w:cstheme="majorBidi"/>
          <w:sz w:val="24"/>
          <w:szCs w:val="24"/>
          <w:highlight w:val="yellow"/>
          <w:rtl/>
        </w:rPr>
        <w:t>وقد رصد جانب من الفقه أن عدداً</w:t>
      </w:r>
      <w:commentRangeEnd w:id="118"/>
      <w:r>
        <w:rPr>
          <w:rStyle w:val="af0"/>
          <w:rFonts w:asciiTheme="majorBidi" w:hAnsiTheme="majorBidi" w:cstheme="majorBidi"/>
          <w:sz w:val="24"/>
          <w:szCs w:val="24"/>
          <w:highlight w:val="yellow"/>
          <w:rtl/>
        </w:rPr>
        <w:commentReference w:id="118"/>
      </w:r>
      <w:commentRangeEnd w:id="119"/>
      <w:r>
        <w:rPr>
          <w:rStyle w:val="af0"/>
          <w:rFonts w:asciiTheme="majorBidi" w:hAnsiTheme="majorBidi" w:cstheme="majorBidi"/>
          <w:sz w:val="24"/>
          <w:szCs w:val="24"/>
          <w:highlight w:val="yellow"/>
          <w:rtl/>
        </w:rPr>
        <w:commentReference w:id="119"/>
      </w:r>
      <w:r>
        <w:rPr>
          <w:rFonts w:asciiTheme="majorBidi" w:hAnsiTheme="majorBidi" w:cstheme="majorBidi"/>
          <w:sz w:val="24"/>
          <w:szCs w:val="24"/>
          <w:highlight w:val="yellow"/>
          <w:rtl/>
        </w:rPr>
        <w:t xml:space="preserve"> من أدوات الذكاء الاصطناعي القانوني الأجنبية لا توفر ضمانات كافية لتشفير البيانات القانونية الحساسة وفق المعايير التي يستلزمها نظام حماية البيانات الشخصية </w:t>
      </w:r>
      <w:proofErr w:type="gramStart"/>
      <w:r>
        <w:rPr>
          <w:rFonts w:asciiTheme="majorBidi" w:hAnsiTheme="majorBidi" w:cstheme="majorBidi"/>
          <w:sz w:val="24"/>
          <w:szCs w:val="24"/>
          <w:highlight w:val="yellow"/>
          <w:rtl/>
        </w:rPr>
        <w:t>السعودي</w:t>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309"/>
      </w:r>
      <w:r>
        <w:rPr>
          <w:rFonts w:asciiTheme="majorBidi" w:hAnsiTheme="majorBidi" w:cstheme="majorBidi"/>
          <w:sz w:val="24"/>
          <w:szCs w:val="24"/>
          <w:rtl/>
        </w:rPr>
        <w:t>.</w:t>
      </w:r>
      <w:proofErr w:type="gramEnd"/>
    </w:p>
    <w:p w14:paraId="472221D6" w14:textId="77777777" w:rsidR="005705DD" w:rsidRDefault="005705DD" w:rsidP="005705DD">
      <w:pPr>
        <w:bidi/>
        <w:spacing w:after="200" w:line="276" w:lineRule="auto"/>
        <w:rPr>
          <w:rtl/>
        </w:rPr>
      </w:pPr>
      <w:commentRangeStart w:id="120"/>
      <w:commentRangeStart w:id="121"/>
      <w:r>
        <w:rPr>
          <w:rFonts w:asciiTheme="majorBidi" w:hAnsiTheme="majorBidi" w:cstheme="majorBidi"/>
          <w:sz w:val="24"/>
          <w:szCs w:val="24"/>
          <w:rtl/>
        </w:rPr>
        <w:t xml:space="preserve">الخطر الخامس — </w:t>
      </w:r>
      <w:commentRangeEnd w:id="120"/>
      <w:r>
        <w:rPr>
          <w:rStyle w:val="af0"/>
          <w:rFonts w:asciiTheme="majorBidi" w:hAnsiTheme="majorBidi" w:cstheme="majorBidi"/>
          <w:sz w:val="24"/>
          <w:szCs w:val="24"/>
          <w:rtl/>
        </w:rPr>
        <w:commentReference w:id="120"/>
      </w:r>
      <w:commentRangeEnd w:id="121"/>
      <w:r>
        <w:rPr>
          <w:rStyle w:val="af0"/>
          <w:rFonts w:asciiTheme="majorBidi" w:hAnsiTheme="majorBidi" w:cstheme="majorBidi"/>
          <w:sz w:val="24"/>
          <w:szCs w:val="24"/>
          <w:rtl/>
        </w:rPr>
        <w:commentReference w:id="121"/>
      </w:r>
      <w:r>
        <w:rPr>
          <w:rFonts w:asciiTheme="majorBidi" w:hAnsiTheme="majorBidi" w:cstheme="majorBidi"/>
          <w:sz w:val="24"/>
          <w:szCs w:val="24"/>
          <w:rtl/>
        </w:rPr>
        <w:t>مزاولة المهنة القانونية دون ترخيص: يُعدّ هذا من أشد المخاطر حساسيةً، وينشأ في النموذجين الثاني والثالث المُوصَفَين آنفاً، حيث يُقدّم الذكاء الاصطناعي أو منصة تجارية تعتمد عليه معلوماتٍ ذات طابع استشاري قانوني لأفراد يحتاجون إلى خدمة المحامي</w:t>
      </w:r>
      <w:commentRangeStart w:id="122"/>
      <w:commentRangeStart w:id="123"/>
      <w:r>
        <w:rPr>
          <w:rFonts w:asciiTheme="majorBidi" w:hAnsiTheme="majorBidi" w:cstheme="majorBidi"/>
          <w:sz w:val="24"/>
          <w:szCs w:val="24"/>
          <w:rtl/>
        </w:rPr>
        <w:t>. ويشير جانب من الفقه إلى أن كثيراً</w:t>
      </w:r>
      <w:commentRangeEnd w:id="122"/>
      <w:r>
        <w:rPr>
          <w:rStyle w:val="af0"/>
          <w:rFonts w:asciiTheme="majorBidi" w:hAnsiTheme="majorBidi" w:cstheme="majorBidi"/>
          <w:sz w:val="24"/>
          <w:szCs w:val="24"/>
          <w:rtl/>
        </w:rPr>
        <w:commentReference w:id="122"/>
      </w:r>
      <w:commentRangeEnd w:id="123"/>
      <w:r>
        <w:rPr>
          <w:rStyle w:val="af0"/>
          <w:rFonts w:asciiTheme="majorBidi" w:hAnsiTheme="majorBidi" w:cstheme="majorBidi"/>
          <w:sz w:val="24"/>
          <w:szCs w:val="24"/>
          <w:rtl/>
        </w:rPr>
        <w:commentReference w:id="123"/>
      </w:r>
      <w:r>
        <w:rPr>
          <w:rFonts w:asciiTheme="majorBidi" w:hAnsiTheme="majorBidi" w:cstheme="majorBidi"/>
          <w:sz w:val="24"/>
          <w:szCs w:val="24"/>
          <w:rtl/>
        </w:rPr>
        <w:t xml:space="preserve"> من التطبيقات التجارية التي تُقدّم "استشارات قانونية مجانية بالذكاء الاصطناعي" تقع في منطقة رمادية لم يتناولها المشرّع السعودي بعد، وتستدعي تدخلاً تشريعياً عاجلاً لتحديد هويتها القانونية.</w:t>
      </w:r>
    </w:p>
    <w:p w14:paraId="0378E703" w14:textId="77777777" w:rsidR="005705DD" w:rsidRDefault="005705DD" w:rsidP="005705DD">
      <w:pPr>
        <w:bidi/>
        <w:spacing w:after="200" w:line="276" w:lineRule="auto"/>
        <w:rPr>
          <w:rtl/>
        </w:rPr>
      </w:pPr>
      <w:r>
        <w:rPr>
          <w:rFonts w:asciiTheme="majorBidi" w:hAnsiTheme="majorBidi" w:cstheme="majorBidi"/>
          <w:b/>
          <w:sz w:val="28"/>
          <w:szCs w:val="28"/>
          <w:rtl/>
        </w:rPr>
        <w:t>ثالثاً: غياب الرقابة وصعوبة الإثبات</w:t>
      </w:r>
    </w:p>
    <w:p w14:paraId="50431084" w14:textId="77777777" w:rsidR="005705DD" w:rsidRDefault="005705DD" w:rsidP="005705DD">
      <w:pPr>
        <w:bidi/>
        <w:spacing w:after="200" w:line="276" w:lineRule="auto"/>
        <w:rPr>
          <w:rtl/>
        </w:rPr>
      </w:pPr>
      <w:commentRangeStart w:id="124"/>
      <w:commentRangeStart w:id="125"/>
      <w:r>
        <w:rPr>
          <w:rFonts w:asciiTheme="majorBidi" w:hAnsiTheme="majorBidi" w:cstheme="majorBidi"/>
          <w:sz w:val="28"/>
          <w:szCs w:val="28"/>
          <w:rtl/>
        </w:rPr>
        <w:t>تُضاف إلى المخاطر السابقة إشكاليتان هيكليتان تُعسّران التعامل مع حالات الاستخدام الفردي الضار:</w:t>
      </w:r>
      <w:commentRangeEnd w:id="124"/>
      <w:r>
        <w:rPr>
          <w:rStyle w:val="af0"/>
          <w:sz w:val="22"/>
          <w:szCs w:val="22"/>
          <w:rtl/>
        </w:rPr>
        <w:commentReference w:id="124"/>
      </w:r>
      <w:commentRangeEnd w:id="125"/>
      <w:r>
        <w:rPr>
          <w:rStyle w:val="af0"/>
          <w:sz w:val="22"/>
          <w:szCs w:val="22"/>
          <w:rtl/>
        </w:rPr>
        <w:commentReference w:id="125"/>
      </w:r>
    </w:p>
    <w:p w14:paraId="37DD7B29" w14:textId="77777777" w:rsidR="005705DD" w:rsidRDefault="005705DD" w:rsidP="005705DD">
      <w:pPr>
        <w:bidi/>
        <w:spacing w:after="200" w:line="276" w:lineRule="auto"/>
        <w:rPr>
          <w:rtl/>
        </w:rPr>
      </w:pPr>
      <w:commentRangeStart w:id="126"/>
      <w:r>
        <w:rPr>
          <w:rFonts w:asciiTheme="majorBidi" w:hAnsiTheme="majorBidi" w:cstheme="majorBidi"/>
          <w:sz w:val="24"/>
          <w:szCs w:val="24"/>
          <w:rtl/>
        </w:rPr>
        <w:t xml:space="preserve">الإشكالية الأولى — غياب الرقابة المسبقة: لا يوجد في المنظومة التشريعية السعودية الحالية آليةٌ لرصد الاستخدام الفردي لأدوات الذكاء الاصطناعي في السياق القانوني ومراقبته. وعلى عكس نظام المحاماة الذي </w:t>
      </w:r>
      <w:commentRangeEnd w:id="126"/>
      <w:r w:rsidR="009958C3">
        <w:rPr>
          <w:rStyle w:val="af0"/>
          <w:rtl/>
        </w:rPr>
        <w:lastRenderedPageBreak/>
        <w:commentReference w:id="126"/>
      </w:r>
      <w:r>
        <w:rPr>
          <w:rFonts w:asciiTheme="majorBidi" w:hAnsiTheme="majorBidi" w:cstheme="majorBidi"/>
          <w:sz w:val="24"/>
          <w:szCs w:val="24"/>
          <w:rtl/>
        </w:rPr>
        <w:t>يشترط الترخيص للممارسة البشرية للمهنة، لا يوجد ما يماثله بالنسبة للاستخدام التقني، مما يُشكّل ثغرة رقابية واسعة.</w:t>
      </w:r>
    </w:p>
    <w:p w14:paraId="46CA9A41"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صعوبة الإثبات عند الضرر: حين يقع ضرر نتيجة الاعتماد على مخرجات ذكاء اصطناعي — كخسارة قضية بسبب استشهاد بمرجع وهمي، أو انتهاك سرية بسبب تسرب بيانات — يصعب إثبات العلاقة السببية بين استخدام الأداة والضرر اللاحق، لعدة أسباب: عدم وجود توثيق للاستخدام في الغالب، وتعدد العوامل المُساهِمة في نتيجة القضية، وصعوبة التمييز بين ما أنتجه المحامي بمجهوده وما استُعين فيه بالأداة الذكية. وهذا ما يجعل من الضرورة التشريعية اشتراط ضوابط توثيق الاستخدام.</w:t>
      </w:r>
    </w:p>
    <w:p w14:paraId="658C7897"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إن الحل الأمثل لمعالجة هذه الإشكالية يتمثل في اشتراط الهيئة السعودية للمحامين الإفصاحَ الصريح عن استخدام الذكاء الاصطناعي في الوثائق القانونية، مقروناً بمتطلب التحقق من دقة المراجع </w:t>
      </w:r>
      <w:proofErr w:type="spellStart"/>
      <w:r>
        <w:rPr>
          <w:rFonts w:asciiTheme="majorBidi" w:hAnsiTheme="majorBidi" w:cstheme="majorBidi"/>
          <w:sz w:val="24"/>
          <w:szCs w:val="24"/>
          <w:rtl/>
        </w:rPr>
        <w:t>واستيثاق</w:t>
      </w:r>
      <w:proofErr w:type="spellEnd"/>
      <w:r>
        <w:rPr>
          <w:rFonts w:asciiTheme="majorBidi" w:hAnsiTheme="majorBidi" w:cstheme="majorBidi"/>
          <w:sz w:val="24"/>
          <w:szCs w:val="24"/>
          <w:rtl/>
        </w:rPr>
        <w:t xml:space="preserve"> هوية الأداة المستخدمة، وهو ما سيُفصَّل في الفصل الرابع.</w:t>
      </w:r>
    </w:p>
    <w:p w14:paraId="58FB35E9" w14:textId="77777777" w:rsidR="005705DD" w:rsidRDefault="005705DD" w:rsidP="005705DD"/>
    <w:p w14:paraId="38500B8E" w14:textId="77777777" w:rsidR="005705DD" w:rsidRPr="00A84F46" w:rsidRDefault="005705DD" w:rsidP="005705DD">
      <w:pPr>
        <w:bidi/>
        <w:spacing w:after="200" w:line="276" w:lineRule="auto"/>
        <w:rPr>
          <w:bCs/>
          <w:color w:val="000000" w:themeColor="text1"/>
          <w:rtl/>
        </w:rPr>
      </w:pPr>
      <w:commentRangeStart w:id="128"/>
      <w:commentRangeStart w:id="129"/>
      <w:r>
        <w:rPr>
          <w:rFonts w:asciiTheme="majorBidi" w:hAnsiTheme="majorBidi" w:cstheme="majorBidi"/>
          <w:bCs/>
          <w:color w:val="000000" w:themeColor="text1"/>
          <w:sz w:val="28"/>
          <w:szCs w:val="28"/>
          <w:rtl/>
        </w:rPr>
        <w:t>حادي عشر: تطبيقات عملية في ضوء أحكام القضاء المقارن وتقييمها في البيئة السعودية</w:t>
      </w:r>
      <w:commentRangeEnd w:id="128"/>
      <w:r w:rsidRPr="00A84F46">
        <w:rPr>
          <w:rStyle w:val="af0"/>
          <w:bCs/>
          <w:color w:val="000000" w:themeColor="text1"/>
          <w:sz w:val="22"/>
          <w:szCs w:val="22"/>
          <w:rtl/>
        </w:rPr>
        <w:commentReference w:id="128"/>
      </w:r>
      <w:commentRangeEnd w:id="129"/>
      <w:r w:rsidRPr="00A84F46">
        <w:rPr>
          <w:rStyle w:val="af0"/>
          <w:bCs/>
          <w:color w:val="000000" w:themeColor="text1"/>
          <w:sz w:val="22"/>
          <w:szCs w:val="22"/>
          <w:rtl/>
        </w:rPr>
        <w:commentReference w:id="129"/>
      </w:r>
    </w:p>
    <w:p w14:paraId="71D80D3E" w14:textId="77777777" w:rsidR="005705DD" w:rsidRDefault="005705DD" w:rsidP="005705DD">
      <w:pPr>
        <w:bidi/>
        <w:spacing w:after="200" w:line="276" w:lineRule="auto"/>
        <w:rPr>
          <w:rtl/>
        </w:rPr>
      </w:pPr>
      <w:commentRangeStart w:id="130"/>
      <w:commentRangeStart w:id="131"/>
      <w:commentRangeStart w:id="132"/>
      <w:commentRangeStart w:id="133"/>
      <w:r>
        <w:rPr>
          <w:rFonts w:asciiTheme="majorBidi" w:hAnsiTheme="majorBidi" w:cstheme="majorBidi"/>
          <w:sz w:val="24"/>
          <w:szCs w:val="24"/>
          <w:rtl/>
        </w:rPr>
        <w:t xml:space="preserve">عالج القضاء المقارن حديثاً أخطاء الاستخدام غير المنضبط لأدوات الذكاء الاصطناعي؛ ففي قضية </w:t>
      </w:r>
      <w:proofErr w:type="spellStart"/>
      <w:r>
        <w:rPr>
          <w:rFonts w:asciiTheme="majorBidi" w:hAnsiTheme="majorBidi" w:cstheme="majorBidi"/>
          <w:sz w:val="24"/>
          <w:szCs w:val="24"/>
          <w:rtl/>
        </w:rPr>
        <w:t>Mata</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Avianca</w:t>
      </w:r>
      <w:proofErr w:type="spellEnd"/>
      <w:r>
        <w:rPr>
          <w:rFonts w:asciiTheme="majorBidi" w:hAnsiTheme="majorBidi" w:cstheme="majorBidi"/>
          <w:sz w:val="24"/>
          <w:szCs w:val="24"/>
          <w:rtl/>
        </w:rPr>
        <w:t xml:space="preserve"> (نيويورك، 2023م) قررت المحكمة أن استخدام أداة ذكاء اصطناعي موثوقة ليس محظوراً في ذاته، لكن قواعد المهنة تفرض على المحامي دور حارس البوابة في التحقق من صحة ما يقدمه للمحكمة، وغرّمت المحاميين المخالفين؛ وأحالت محكمة الدائرة الثانية في قضية </w:t>
      </w:r>
      <w:proofErr w:type="spellStart"/>
      <w:r>
        <w:rPr>
          <w:rFonts w:asciiTheme="majorBidi" w:hAnsiTheme="majorBidi" w:cstheme="majorBidi"/>
          <w:sz w:val="24"/>
          <w:szCs w:val="24"/>
          <w:rtl/>
        </w:rPr>
        <w:t>Park</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Kim</w:t>
      </w:r>
      <w:proofErr w:type="spellEnd"/>
      <w:r>
        <w:rPr>
          <w:rFonts w:asciiTheme="majorBidi" w:hAnsiTheme="majorBidi" w:cstheme="majorBidi"/>
          <w:sz w:val="24"/>
          <w:szCs w:val="24"/>
          <w:rtl/>
        </w:rPr>
        <w:t xml:space="preserve"> (2024م) المحامية إلى لجنة التظلمات المهنية؛ وحمّلت المحكمة العليا لكولومبيا البريطانية في قضية </w:t>
      </w:r>
      <w:proofErr w:type="spellStart"/>
      <w:r>
        <w:rPr>
          <w:rFonts w:asciiTheme="majorBidi" w:hAnsiTheme="majorBidi" w:cstheme="majorBidi"/>
          <w:sz w:val="24"/>
          <w:szCs w:val="24"/>
          <w:rtl/>
        </w:rPr>
        <w:t>Zhang</w:t>
      </w:r>
      <w:proofErr w:type="spellEnd"/>
      <w:r>
        <w:rPr>
          <w:rFonts w:asciiTheme="majorBidi" w:hAnsiTheme="majorBidi" w:cstheme="majorBidi"/>
          <w:sz w:val="24"/>
          <w:szCs w:val="24"/>
          <w:rtl/>
        </w:rPr>
        <w:t xml:space="preserve"> v. </w:t>
      </w:r>
      <w:proofErr w:type="spellStart"/>
      <w:r>
        <w:rPr>
          <w:rFonts w:asciiTheme="majorBidi" w:hAnsiTheme="majorBidi" w:cstheme="majorBidi"/>
          <w:sz w:val="24"/>
          <w:szCs w:val="24"/>
          <w:rtl/>
        </w:rPr>
        <w:t>Chen</w:t>
      </w:r>
      <w:proofErr w:type="spellEnd"/>
      <w:r>
        <w:rPr>
          <w:rFonts w:asciiTheme="majorBidi" w:hAnsiTheme="majorBidi" w:cstheme="majorBidi"/>
          <w:sz w:val="24"/>
          <w:szCs w:val="24"/>
          <w:rtl/>
        </w:rPr>
        <w:t xml:space="preserve"> (2024م) المحامية أتعاب كشف السوابق المختلقة. وبإسقاط هذه المبادئ على الواقع السعودي، يتناول الباحث فيما يلي أربع حالات تطبيقية مستلهمة من الواقع الميداني، يقدم لكل منها تقييماً قانونياً في ضوء الأنظمة القائمة:</w:t>
      </w:r>
      <w:r>
        <w:rPr>
          <w:rFonts w:asciiTheme="majorBidi" w:hAnsiTheme="majorBidi" w:cstheme="majorBidi"/>
          <w:sz w:val="24"/>
          <w:szCs w:val="24"/>
          <w:vertAlign w:val="superscript"/>
          <w:rtl/>
        </w:rPr>
        <w:footnoteReference w:id="310"/>
      </w:r>
      <w:commentRangeEnd w:id="130"/>
      <w:r>
        <w:rPr>
          <w:rStyle w:val="af0"/>
          <w:sz w:val="22"/>
          <w:szCs w:val="22"/>
          <w:rtl/>
        </w:rPr>
        <w:commentReference w:id="130"/>
      </w:r>
      <w:commentRangeEnd w:id="131"/>
      <w:r>
        <w:rPr>
          <w:rStyle w:val="af0"/>
          <w:sz w:val="22"/>
          <w:szCs w:val="22"/>
          <w:rtl/>
        </w:rPr>
        <w:commentReference w:id="131"/>
      </w:r>
    </w:p>
    <w:p w14:paraId="0880E861" w14:textId="77777777" w:rsidR="005705DD" w:rsidRDefault="005705DD" w:rsidP="005705DD">
      <w:pPr>
        <w:bidi/>
        <w:spacing w:after="200" w:line="276" w:lineRule="auto"/>
        <w:rPr>
          <w:rtl/>
        </w:rPr>
      </w:pPr>
      <w:r>
        <w:rPr>
          <w:rFonts w:asciiTheme="majorBidi" w:hAnsiTheme="majorBidi" w:cstheme="majorBidi"/>
          <w:sz w:val="24"/>
          <w:szCs w:val="24"/>
          <w:rtl/>
        </w:rPr>
        <w:t xml:space="preserve">الحالة الأولى — المحامي والمذكرة الذكية: يعتمد محامٍ في مكتب متوسط الحجم على </w:t>
      </w:r>
      <w:proofErr w:type="spellStart"/>
      <w:r>
        <w:rPr>
          <w:rFonts w:asciiTheme="majorBidi" w:hAnsiTheme="majorBidi" w:cstheme="majorBidi"/>
          <w:sz w:val="24"/>
          <w:szCs w:val="24"/>
          <w:rtl/>
        </w:rPr>
        <w:t>ChatGPT</w:t>
      </w:r>
      <w:proofErr w:type="spellEnd"/>
      <w:r>
        <w:rPr>
          <w:rFonts w:asciiTheme="majorBidi" w:hAnsiTheme="majorBidi" w:cstheme="majorBidi"/>
          <w:sz w:val="24"/>
          <w:szCs w:val="24"/>
          <w:rtl/>
        </w:rPr>
        <w:t xml:space="preserve"> لصياغة مذكرة دفاع في قضية تجارية. يُدخل في النموذج وقائع القضية ووثائق العقد ودليل ملفه الوكالة. يتلقى مسودةً تبدو محكمة ومتسقة، فيُعدّل عليها تعديلات طفيفة ويُقدّمها للمحكمة. لاحقاً يكتشف أن النموذج استشهد بحكم قضائي صادر عن محكمة الاستئناف التجارية لا وجود له في قواعد البيانات الرسمية.</w:t>
      </w:r>
    </w:p>
    <w:p w14:paraId="545F9798"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التقييم القانوني للحالة الأولى: أولاً من حيث انتهاك السرية: حين أدخل المحامي وثائق الموكل الحساسة في نموذج ذكاء اصطناعي أجنبي، فإنه أرسل بيانات محمية إلى خادم خارج الولاية القضائية السعودية، مما يُشكّل انتهاكاً محتملاً للمادة (التاسعة والعشرين) من نظام حماية البيانات الشخصية وللمادة (الثالثة والعشرين) من نظام المحاماة المتعلقة بواجب السرية. ثانياً من حيث المسؤولية المهنية: يُعدّ تقديم مرجع قضائي غير موجود للمحكمة إخلالاً صريحاً بواجب الاجتهاد اللازم والتحقق من صحة </w:t>
      </w:r>
      <w:proofErr w:type="spellStart"/>
      <w:r>
        <w:rPr>
          <w:rFonts w:asciiTheme="majorBidi" w:hAnsiTheme="majorBidi" w:cstheme="majorBidi"/>
          <w:sz w:val="24"/>
          <w:szCs w:val="24"/>
          <w:rtl/>
        </w:rPr>
        <w:t>الاستشهادات</w:t>
      </w:r>
      <w:proofErr w:type="spellEnd"/>
      <w:r>
        <w:rPr>
          <w:rFonts w:asciiTheme="majorBidi" w:hAnsiTheme="majorBidi" w:cstheme="majorBidi"/>
          <w:sz w:val="24"/>
          <w:szCs w:val="24"/>
          <w:rtl/>
        </w:rPr>
        <w:t xml:space="preserve">، وهو ما قد يُرتّب مسؤولية تأديبية وفق نظام المحاماة. ثالثاً من حيث المسؤولية المدنية: إذا ترتّب على هذا الخطأ خسارة القضية أو حكم غير عادل، فإن </w:t>
      </w:r>
      <w:commentRangeStart w:id="134"/>
      <w:commentRangeStart w:id="135"/>
      <w:r>
        <w:rPr>
          <w:rFonts w:asciiTheme="majorBidi" w:hAnsiTheme="majorBidi" w:cstheme="majorBidi"/>
          <w:sz w:val="24"/>
          <w:szCs w:val="24"/>
          <w:rtl/>
        </w:rPr>
        <w:t>المحامي يُعرّض نفسه للمساءلة المدنية أمام موكله.</w:t>
      </w:r>
      <w:commentRangeEnd w:id="132"/>
      <w:r>
        <w:rPr>
          <w:rStyle w:val="af0"/>
          <w:sz w:val="22"/>
          <w:szCs w:val="22"/>
          <w:rtl/>
        </w:rPr>
        <w:commentReference w:id="132"/>
      </w:r>
      <w:commentRangeEnd w:id="133"/>
      <w:r>
        <w:rPr>
          <w:rStyle w:val="af0"/>
          <w:sz w:val="22"/>
          <w:szCs w:val="22"/>
          <w:rtl/>
        </w:rPr>
        <w:commentReference w:id="133"/>
      </w:r>
    </w:p>
    <w:p w14:paraId="7247918F" w14:textId="77777777" w:rsidR="005705DD" w:rsidRDefault="005705DD" w:rsidP="005705DD">
      <w:pPr>
        <w:bidi/>
        <w:spacing w:after="200" w:line="276" w:lineRule="auto"/>
        <w:rPr>
          <w:rtl/>
        </w:rPr>
      </w:pPr>
      <w:r>
        <w:rPr>
          <w:rFonts w:asciiTheme="majorBidi" w:hAnsiTheme="majorBidi" w:cstheme="majorBidi"/>
          <w:sz w:val="24"/>
          <w:szCs w:val="24"/>
          <w:rtl/>
        </w:rPr>
        <w:t>الحالة الثانية — المواطن والاستشارة الافتراضية: يلجأ مواطن سعودي عادي إلى تطبيق يدّعي تقديم استشارات قانونية بالذكاء الاصطناعي بدلاً من الذهاب إلى محامٍ مرخّص، فيسأل عن حقوقه في نزاع عقاري. يتلقى معلومات تبدو دقيقة لكنها لا تُراعي خصوصية وضعه أو التعديلات التشريعية الأخيرة، فيتصرف بناءً عليها ويخسر حقاً قانونياً بسبب التأخر في المطالبة.</w:t>
      </w:r>
    </w:p>
    <w:p w14:paraId="3EA8180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التقييم القانوني للحالة الثانية: هل يُعدّ التطبيق المذكور "مزاولاً لمهنة المحاماة" دون ترخيص وفق نظام المحاماة؟ وإجابةً على ذلك يرى الباحث أن التطبيق الذي يُقدّم "رأياً" مخصصاً لحالة شخص بعينه يقع في نطاق "الاستشارة القانونية" التي يشترط نظام المحاماة الترخيصَ لتقديمها. وبالتالي، فإن تشغيل مثل هذا التطبيق دون ترخيص يُشكّل مزاولةً غير مشروعة للمهنة. أما المواطن الذي اعتمد على التطبيق، فيصعب قانوناً تحميله المسؤولية الكاملة عن الضرر اللاحق به، إذ إن المتوقَّع من غير المتخصصين قانوناً هو تحرّيهم عن ترخيص الجهة المقدِّمة للخدمة لا الغوص في فحص مصداقية كل نص قانوني يتلقونه. وهو ما يُلقي المسؤولية على الجهة الرقابية بمراقبة هذه التطبيقات وعدم السماح بعملها دون ترخيص.</w:t>
      </w:r>
    </w:p>
    <w:p w14:paraId="51ADBE58" w14:textId="77777777" w:rsidR="005705DD" w:rsidRDefault="005705DD" w:rsidP="005705DD">
      <w:pPr>
        <w:bidi/>
        <w:spacing w:after="200" w:line="276" w:lineRule="auto"/>
        <w:rPr>
          <w:rtl/>
        </w:rPr>
      </w:pPr>
      <w:r>
        <w:rPr>
          <w:rFonts w:asciiTheme="majorBidi" w:hAnsiTheme="majorBidi" w:cstheme="majorBidi"/>
          <w:sz w:val="24"/>
          <w:szCs w:val="24"/>
          <w:rtl/>
        </w:rPr>
        <w:t xml:space="preserve">الحالة الثالثة — فحص العقود الآلي في صفقة استثمارية: تستخدم شركة محاماة كبيرة أداةً متخصصة لفحص عقود أوتوماتيكياً في صفقة استحواذ ضخمة. تُنجز الأداة مراجعة أكثر من 500 وثيقة في 48 ساعة. لاحقاً يتبيّن أن الأداة أغفلت بنداً </w:t>
      </w:r>
      <w:proofErr w:type="spellStart"/>
      <w:r>
        <w:rPr>
          <w:rFonts w:asciiTheme="majorBidi" w:hAnsiTheme="majorBidi" w:cstheme="majorBidi"/>
          <w:sz w:val="24"/>
          <w:szCs w:val="24"/>
          <w:rtl/>
        </w:rPr>
        <w:t>تحكيمياً</w:t>
      </w:r>
      <w:proofErr w:type="spellEnd"/>
      <w:r>
        <w:rPr>
          <w:rFonts w:asciiTheme="majorBidi" w:hAnsiTheme="majorBidi" w:cstheme="majorBidi"/>
          <w:sz w:val="24"/>
          <w:szCs w:val="24"/>
          <w:rtl/>
        </w:rPr>
        <w:t xml:space="preserve"> في أحد العقود الفرعية يُغيّر الصورة الكاملة لآلية فض النزاعات في الصفقة.</w:t>
      </w:r>
    </w:p>
    <w:p w14:paraId="116C29F6"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للحالة الثالثة: تُثير هذه الحالة مسألةَ المراجعة البشرية الكافية لمخرجات الذكاء الاصطناعي. فمن منظور نظام المحاماة، يظل المحامي المشرف مسؤولاً عن إغفال بند جوهري بصرف النظر عن الأداة المستخدمة في الفحص؛ لأن الأداة ليست وكيلاً قانونياً مستقلاً، بل وسيلة مساعِدة خاضعة لإشرافه المهني. والمسؤولية التأديبية والمدنية هنا لا تنتقل إلى الأداة بل تظل حيث هي في الذمة المهنية للمحامي. ومن ثم فإن الاعتماد الأعمى على مخرجات الذكاء الاصطناعي في مهام حيوية دون مراجعة بشرية مناسبة يُشكّل قصوراً في واجب العناية المهنية اللازمة.</w:t>
      </w:r>
    </w:p>
    <w:p w14:paraId="7D927CBC" w14:textId="77777777" w:rsidR="005705DD" w:rsidRDefault="005705DD" w:rsidP="005705DD">
      <w:pPr>
        <w:bidi/>
        <w:spacing w:after="200" w:line="276" w:lineRule="auto"/>
        <w:rPr>
          <w:rtl/>
        </w:rPr>
      </w:pPr>
      <w:r>
        <w:rPr>
          <w:rFonts w:asciiTheme="majorBidi" w:hAnsiTheme="majorBidi" w:cstheme="majorBidi"/>
          <w:sz w:val="24"/>
          <w:szCs w:val="24"/>
          <w:rtl/>
        </w:rPr>
        <w:t>الحالة الرابعة — المحامي المُفصِح والموكل الرافض: يعتمد محامٍ على أداة ذكاء اصطناعي لصياغة عقد، ويُفصح لموكله عن ذلك مُبيّناً مزاياه وحدوده، فيرفض الموكل صراحةً أن تُعالَج بياناته بأي أداة خارجية. يستمر المحامي رغم ذلك في استخدام الأداة نظراً لضيق الوقت، دون علم الموكل.</w:t>
      </w:r>
    </w:p>
    <w:p w14:paraId="77C8253D"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التقييم القانوني للحالة الرابعة: تُعدّ هذه الحالة الأكثر صرامةً من حيث الحكم القانوني؛ فاستمرار المحامي في استخدام الأداة بعد رفض الموكل الصريح يُشكّل: أولاً انتهاكاً لواجب العناية بمصلحة الموكل المستمَد من العلاقة </w:t>
      </w:r>
      <w:proofErr w:type="spellStart"/>
      <w:r>
        <w:rPr>
          <w:rFonts w:asciiTheme="majorBidi" w:hAnsiTheme="majorBidi" w:cstheme="majorBidi"/>
          <w:sz w:val="24"/>
          <w:szCs w:val="24"/>
          <w:rtl/>
        </w:rPr>
        <w:t>الوكالية</w:t>
      </w:r>
      <w:proofErr w:type="spellEnd"/>
      <w:r>
        <w:rPr>
          <w:rFonts w:asciiTheme="majorBidi" w:hAnsiTheme="majorBidi" w:cstheme="majorBidi"/>
          <w:sz w:val="24"/>
          <w:szCs w:val="24"/>
          <w:rtl/>
        </w:rPr>
        <w:t>. ثانياً، انتهاكاً صريحاً لنظام حماية البيانات الشخصية الذي يشترط الموافقة ويُجيز سحبها. ثالثاً، انتهاكاً لواجب حسن النية التعاقدية المُقرَّر في نظام المعاملات المدنية. وتُعدّ هذه الحالة في حكم الإخلال بالواجب المهني الذي يُوجب المساءلة التأديبية وربما المدنية، فضلاً عن أن الموكل يملك فسخ عقد الوكالة فوراً استناداً إلى هذا الإخلال.</w:t>
      </w:r>
      <w:commentRangeEnd w:id="134"/>
      <w:r>
        <w:rPr>
          <w:rStyle w:val="af0"/>
          <w:sz w:val="22"/>
          <w:szCs w:val="22"/>
          <w:rtl/>
        </w:rPr>
        <w:commentReference w:id="134"/>
      </w:r>
      <w:commentRangeEnd w:id="135"/>
      <w:r>
        <w:rPr>
          <w:rStyle w:val="af0"/>
          <w:sz w:val="22"/>
          <w:szCs w:val="22"/>
          <w:rtl/>
        </w:rPr>
        <w:commentReference w:id="135"/>
      </w:r>
    </w:p>
    <w:p w14:paraId="5449998F" w14:textId="77777777" w:rsidR="005705DD" w:rsidRDefault="005705DD" w:rsidP="005705DD"/>
    <w:p w14:paraId="2694DB4B"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الثاني</w:t>
      </w:r>
    </w:p>
    <w:p w14:paraId="37AD85A4"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التكييف النظامي لممارسات الاستخدام الفردي مع الإشارة إلى التجربة الإماراتية</w:t>
      </w:r>
    </w:p>
    <w:p w14:paraId="16ECC3AA" w14:textId="77777777" w:rsidR="005705DD" w:rsidRDefault="005705DD" w:rsidP="005705DD">
      <w:pPr>
        <w:bidi/>
        <w:spacing w:after="200" w:line="276" w:lineRule="auto"/>
        <w:rPr>
          <w:rtl/>
        </w:rPr>
      </w:pPr>
      <w:r>
        <w:rPr>
          <w:rFonts w:asciiTheme="majorBidi" w:hAnsiTheme="majorBidi" w:cstheme="majorBidi"/>
          <w:b/>
          <w:sz w:val="28"/>
          <w:szCs w:val="28"/>
          <w:rtl/>
        </w:rPr>
        <w:t>أولاً: التكييف النظامي لأنماط الاستخدام الفردي في ضوء الأنظمة السعودية</w:t>
      </w:r>
    </w:p>
    <w:p w14:paraId="141B177E" w14:textId="77777777" w:rsidR="005705DD" w:rsidRDefault="005705DD" w:rsidP="005705DD">
      <w:pPr>
        <w:bidi/>
        <w:spacing w:after="200" w:line="276" w:lineRule="auto"/>
        <w:rPr>
          <w:rtl/>
        </w:rPr>
      </w:pPr>
      <w:r>
        <w:rPr>
          <w:rFonts w:asciiTheme="majorBidi" w:hAnsiTheme="majorBidi" w:cstheme="majorBidi"/>
          <w:sz w:val="24"/>
          <w:szCs w:val="24"/>
          <w:rtl/>
        </w:rPr>
        <w:t xml:space="preserve">يستلزم التكييف النظامي الدقيق لأنماط الاستخدام الفردي إخضاعها </w:t>
      </w:r>
      <w:commentRangeStart w:id="136"/>
      <w:commentRangeStart w:id="137"/>
      <w:proofErr w:type="spellStart"/>
      <w:r>
        <w:rPr>
          <w:rFonts w:asciiTheme="majorBidi" w:hAnsiTheme="majorBidi" w:cstheme="majorBidi"/>
          <w:sz w:val="24"/>
          <w:szCs w:val="24"/>
          <w:rtl/>
        </w:rPr>
        <w:t>لمحكّات</w:t>
      </w:r>
      <w:proofErr w:type="spellEnd"/>
      <w:r>
        <w:rPr>
          <w:rFonts w:asciiTheme="majorBidi" w:hAnsiTheme="majorBidi" w:cstheme="majorBidi"/>
          <w:sz w:val="24"/>
          <w:szCs w:val="24"/>
          <w:rtl/>
        </w:rPr>
        <w:t xml:space="preserve"> عدة أنظمة سعودية قائمة</w:t>
      </w:r>
      <w:commentRangeEnd w:id="136"/>
      <w:r>
        <w:rPr>
          <w:rStyle w:val="af0"/>
          <w:rFonts w:asciiTheme="majorBidi" w:hAnsiTheme="majorBidi" w:cstheme="majorBidi"/>
          <w:sz w:val="24"/>
          <w:szCs w:val="24"/>
          <w:rtl/>
        </w:rPr>
        <w:commentReference w:id="136"/>
      </w:r>
      <w:commentRangeEnd w:id="137"/>
      <w:r>
        <w:rPr>
          <w:rStyle w:val="af0"/>
          <w:rFonts w:asciiTheme="majorBidi" w:hAnsiTheme="majorBidi" w:cstheme="majorBidi"/>
          <w:sz w:val="24"/>
          <w:szCs w:val="24"/>
          <w:rtl/>
        </w:rPr>
        <w:commentReference w:id="137"/>
      </w:r>
      <w:r>
        <w:rPr>
          <w:rFonts w:asciiTheme="majorBidi" w:hAnsiTheme="majorBidi" w:cstheme="majorBidi"/>
          <w:sz w:val="24"/>
          <w:szCs w:val="24"/>
          <w:rtl/>
        </w:rPr>
        <w:t>، وإن كانت هذه الأنظمة لم تُصمَّم أصلاً لمعالجة هذه الظاهرة:</w:t>
      </w:r>
    </w:p>
    <w:p w14:paraId="6E61023B" w14:textId="77777777" w:rsidR="005705DD" w:rsidRDefault="005705DD" w:rsidP="005705DD">
      <w:pPr>
        <w:bidi/>
        <w:spacing w:after="200" w:line="276" w:lineRule="auto"/>
        <w:rPr>
          <w:rtl/>
        </w:rPr>
      </w:pPr>
      <w:commentRangeStart w:id="138"/>
      <w:commentRangeStart w:id="139"/>
      <w:r>
        <w:rPr>
          <w:rFonts w:asciiTheme="majorBidi" w:hAnsiTheme="majorBidi" w:cstheme="majorBidi"/>
          <w:sz w:val="24"/>
          <w:szCs w:val="24"/>
          <w:rtl/>
        </w:rPr>
        <w:t xml:space="preserve">المحك الأول — نظام </w:t>
      </w:r>
      <w:proofErr w:type="gramStart"/>
      <w:r>
        <w:rPr>
          <w:rFonts w:asciiTheme="majorBidi" w:hAnsiTheme="majorBidi" w:cstheme="majorBidi"/>
          <w:sz w:val="24"/>
          <w:szCs w:val="24"/>
          <w:rtl/>
        </w:rPr>
        <w:t xml:space="preserve">المحاماة </w:t>
      </w:r>
      <w:commentRangeEnd w:id="138"/>
      <w:r>
        <w:rPr>
          <w:rStyle w:val="af0"/>
          <w:rFonts w:asciiTheme="majorBidi" w:hAnsiTheme="majorBidi" w:cstheme="majorBidi"/>
          <w:sz w:val="24"/>
          <w:szCs w:val="24"/>
          <w:vertAlign w:val="superscript"/>
          <w:rtl/>
        </w:rPr>
        <w:commentReference w:id="138"/>
      </w:r>
      <w:commentRangeEnd w:id="139"/>
      <w:r>
        <w:rPr>
          <w:rStyle w:val="af0"/>
          <w:rFonts w:asciiTheme="majorBidi" w:hAnsiTheme="majorBidi" w:cstheme="majorBidi"/>
          <w:sz w:val="24"/>
          <w:szCs w:val="24"/>
          <w:vertAlign w:val="superscript"/>
          <w:rtl/>
        </w:rPr>
        <w:commentReference w:id="139"/>
      </w:r>
      <w:r>
        <w:rPr>
          <w:rFonts w:asciiTheme="majorBidi" w:hAnsiTheme="majorBidi" w:cstheme="majorBidi"/>
          <w:sz w:val="24"/>
          <w:szCs w:val="24"/>
          <w:vertAlign w:val="superscript"/>
          <w:rtl/>
        </w:rPr>
        <w:footnoteReference w:id="311"/>
      </w:r>
      <w:r>
        <w:rPr>
          <w:rFonts w:asciiTheme="majorBidi" w:hAnsiTheme="majorBidi" w:cstheme="majorBidi"/>
          <w:sz w:val="24"/>
          <w:szCs w:val="24"/>
          <w:rtl/>
        </w:rPr>
        <w:t>:</w:t>
      </w:r>
      <w:proofErr w:type="gramEnd"/>
      <w:r>
        <w:rPr>
          <w:rFonts w:asciiTheme="majorBidi" w:hAnsiTheme="majorBidi" w:cstheme="majorBidi"/>
          <w:sz w:val="24"/>
          <w:szCs w:val="24"/>
          <w:rtl/>
        </w:rPr>
        <w:t xml:space="preserve"> تُعرَّف مهنة المحاماة في المادة الأولى من النظام بأنها "الترافع عن الغير أمام المحاكم وديوان المظالم واللجان المشكلة بموجب الأنظمة والأوامر والقرارات لنظر القضايا الداخلة في اختصاصها، ومزاولة الاستشارات الشرعية والنظامية". ويشترط النظام فيمن يزاولها القيد في جدول المحامين الممارسين والترخيص من وزارة العدل عبر لجنة قيد وقبول المحامين (المادتان الثالثة والخامسة)، ويعاقب من </w:t>
      </w:r>
      <w:r>
        <w:rPr>
          <w:rFonts w:asciiTheme="majorBidi" w:hAnsiTheme="majorBidi" w:cstheme="majorBidi"/>
          <w:sz w:val="24"/>
          <w:szCs w:val="24"/>
          <w:rtl/>
        </w:rPr>
        <w:lastRenderedPageBreak/>
        <w:t>انتحل صفة المحامي أو مارس المهنة خلافاً لأحكامه بالسجن مدة لا تزيد على سنة وبالغرامة أو بإحداهما (المادة السابعة والثلاثون). والسؤال الجوهري هنا: هل تُعدّ المنصات التجارية التي تُقدّم استشارات قانونية بالذكاء الاصطناعي "مزاولةً لمهنة المحاماة" تستوجب الترخيص؟</w:t>
      </w:r>
    </w:p>
    <w:p w14:paraId="1A9F79E3" w14:textId="77777777" w:rsidR="005705DD" w:rsidRDefault="005705DD" w:rsidP="005705DD">
      <w:pPr>
        <w:bidi/>
        <w:spacing w:after="200" w:line="276" w:lineRule="auto"/>
        <w:rPr>
          <w:rtl/>
        </w:rPr>
      </w:pPr>
      <w:r>
        <w:rPr>
          <w:rFonts w:asciiTheme="majorBidi" w:hAnsiTheme="majorBidi" w:cstheme="majorBidi"/>
          <w:sz w:val="24"/>
          <w:szCs w:val="24"/>
          <w:rtl/>
        </w:rPr>
        <w:t>الإجابة عن هذا السؤال تستلزم التمييز بين ثلاثة مستويات: (أ) المعلومة القانونية العامة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Information</w:t>
      </w:r>
      <w:proofErr w:type="spellEnd"/>
      <w:r>
        <w:rPr>
          <w:rFonts w:asciiTheme="majorBidi" w:hAnsiTheme="majorBidi" w:cstheme="majorBidi"/>
          <w:sz w:val="24"/>
          <w:szCs w:val="24"/>
          <w:rtl/>
        </w:rPr>
        <w:t>) وهي نقل المعرفة القانونية دون ربطها بحالة محددة، وهذه لا تُعدّ مزاولةً للمهنة. (ب) الاستشارة القانونية المتخصصة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Advice</w:t>
      </w:r>
      <w:proofErr w:type="spellEnd"/>
      <w:r>
        <w:rPr>
          <w:rFonts w:asciiTheme="majorBidi" w:hAnsiTheme="majorBidi" w:cstheme="majorBidi"/>
          <w:sz w:val="24"/>
          <w:szCs w:val="24"/>
          <w:rtl/>
        </w:rPr>
        <w:t>) وهي تحليل الحالة القانونية لشخص بعينه وإسداء رأي محدد حولها، وهذه الأرجح أنها تستوجب الترخيص. (ج) التمثيل القانوني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Representation</w:t>
      </w:r>
      <w:proofErr w:type="spellEnd"/>
      <w:r>
        <w:rPr>
          <w:rFonts w:asciiTheme="majorBidi" w:hAnsiTheme="majorBidi" w:cstheme="majorBidi"/>
          <w:sz w:val="24"/>
          <w:szCs w:val="24"/>
          <w:rtl/>
        </w:rPr>
        <w:t>) أمام الجهات القضائية، وهذه لا خلاف في كونها تستلزم الترخيص صراحةً. والمشكلة أن أدوات الذكاء الاصطناعي تتراوح بين المستوى الأول والثاني أحياناً في مخرجاتها، مما يُعسّر تصنيفها.</w:t>
      </w:r>
    </w:p>
    <w:p w14:paraId="7313B508" w14:textId="77777777" w:rsidR="005705DD" w:rsidRDefault="005705DD" w:rsidP="005705DD">
      <w:pPr>
        <w:bidi/>
        <w:spacing w:after="200" w:line="276" w:lineRule="auto"/>
        <w:rPr>
          <w:rtl/>
        </w:rPr>
      </w:pPr>
      <w:r>
        <w:rPr>
          <w:rFonts w:asciiTheme="majorBidi" w:hAnsiTheme="majorBidi" w:cstheme="majorBidi"/>
          <w:sz w:val="24"/>
          <w:szCs w:val="24"/>
          <w:rtl/>
        </w:rPr>
        <w:t>المحك الثاني — نظام مكافحة الجرائم المعلوماتية (1428هـ): تُجرّم المادة الثالثة من هذا النظام التشهير وانتهاك الخصوصية عبر الفضاء الإلكتروني. وفي حال كان الاستخدام الفردي لأدوات الذكاء الاصطناعي قد أفضى إلى كشف بيانات شخصية للغير دون رضاه — سواء عبر إدخال بيانات طرف ثالث في نموذج ذكاء اصطناعي، أو نشر مخرجات ذكية تتضمن معلومات شخصية — فإن ذلك يُمكن أن يُشكّل جريمة معلوماتية وفق هذا النظام. ويرى الباحث أن تفعيل هذا النظام في مواجهة الانتهاكات المرتبطة بالذكاء الاصطناعي أمر ممكن قانوناً، وإن كان يستلزم توسيعاً في تفسير نصوصه لتشمل الفضاء التقني الجديد.</w:t>
      </w:r>
    </w:p>
    <w:p w14:paraId="5614DD41" w14:textId="77777777" w:rsidR="005705DD" w:rsidRDefault="005705DD" w:rsidP="005705DD">
      <w:pPr>
        <w:bidi/>
        <w:spacing w:after="200" w:line="276" w:lineRule="auto"/>
        <w:rPr>
          <w:rtl/>
        </w:rPr>
      </w:pPr>
      <w:commentRangeStart w:id="140"/>
      <w:commentRangeStart w:id="141"/>
      <w:r>
        <w:rPr>
          <w:rFonts w:asciiTheme="majorBidi" w:hAnsiTheme="majorBidi" w:cstheme="majorBidi"/>
          <w:sz w:val="24"/>
          <w:szCs w:val="24"/>
          <w:rtl/>
        </w:rPr>
        <w:t xml:space="preserve">المحك الثالث — نظام </w:t>
      </w:r>
      <w:commentRangeEnd w:id="140"/>
      <w:r>
        <w:rPr>
          <w:rStyle w:val="af0"/>
          <w:rFonts w:asciiTheme="majorBidi" w:hAnsiTheme="majorBidi" w:cstheme="majorBidi"/>
          <w:sz w:val="24"/>
          <w:szCs w:val="24"/>
          <w:rtl/>
        </w:rPr>
        <w:commentReference w:id="140"/>
      </w:r>
      <w:commentRangeEnd w:id="141"/>
      <w:r>
        <w:rPr>
          <w:rStyle w:val="af0"/>
          <w:rFonts w:asciiTheme="majorBidi" w:hAnsiTheme="majorBidi" w:cstheme="majorBidi"/>
          <w:sz w:val="24"/>
          <w:szCs w:val="24"/>
          <w:rtl/>
        </w:rPr>
        <w:commentReference w:id="141"/>
      </w:r>
      <w:r>
        <w:rPr>
          <w:rFonts w:asciiTheme="majorBidi" w:hAnsiTheme="majorBidi" w:cstheme="majorBidi"/>
          <w:sz w:val="24"/>
          <w:szCs w:val="24"/>
          <w:rtl/>
        </w:rPr>
        <w:t xml:space="preserve">المعاملات المدنية (1444هـ): </w:t>
      </w:r>
      <w:proofErr w:type="spellStart"/>
      <w:r>
        <w:rPr>
          <w:rFonts w:asciiTheme="majorBidi" w:hAnsiTheme="majorBidi" w:cstheme="majorBidi"/>
          <w:sz w:val="24"/>
          <w:szCs w:val="24"/>
          <w:rtl/>
        </w:rPr>
        <w:t>يُرسي</w:t>
      </w:r>
      <w:proofErr w:type="spellEnd"/>
      <w:r>
        <w:rPr>
          <w:rFonts w:asciiTheme="majorBidi" w:hAnsiTheme="majorBidi" w:cstheme="majorBidi"/>
          <w:sz w:val="24"/>
          <w:szCs w:val="24"/>
          <w:rtl/>
        </w:rPr>
        <w:t xml:space="preserve"> هذا النظام أحكام المسؤولية العقدية والتقصيرية في نطاق المعاملات المدنية. وإذا أفضى الاستخدام الفردي لأداة ذكاء اصطناعي إلى ضرر مدني — كأن يُقدّم محامٍ رأياً قانونياً معيباً استناداً إلى مخرجات ذكية دون التحقق منها — فإن نظام المعاملات المدنية يُتيح المطالبة بالتعويض وفق أحكام المسؤولية العقدية إذا وُجد اتفاق، أو التقصيرية إذا لم يكن ثمة رابطة عقدية. وتُضاف إلى ذلك أحكام نظام المحاماة نفسه التي تُلزم المحامي بالاجتهاد اللازم وعدم الإهمال.</w:t>
      </w:r>
    </w:p>
    <w:p w14:paraId="7978EF6F" w14:textId="77777777" w:rsidR="005705DD" w:rsidRDefault="005705DD" w:rsidP="005705DD">
      <w:pPr>
        <w:bidi/>
        <w:spacing w:after="200" w:line="276" w:lineRule="auto"/>
        <w:rPr>
          <w:rtl/>
        </w:rPr>
      </w:pPr>
      <w:commentRangeStart w:id="142"/>
      <w:commentRangeStart w:id="143"/>
      <w:r>
        <w:rPr>
          <w:rFonts w:asciiTheme="majorBidi" w:hAnsiTheme="majorBidi" w:cstheme="majorBidi"/>
          <w:sz w:val="24"/>
          <w:szCs w:val="24"/>
          <w:rtl/>
        </w:rPr>
        <w:t>المحك الرابع — المسؤولية التأديبية للمحامي: تُوقِع لجنة التأديب — المشكَّلة بقرار من وزير العدل من قاضٍ وعضوين من أهل الخبرة وفق المادة (الحادية والثلاثين) من نظام المحاماة — العقوبات التأديبية المقررة في المادة (التاسعة والعشرين) منه على المحامي الذي يُخل بواجباته المهنية. ومن هذه الواجبات ما يرتبط ارتباطاً مباشراً بالاستخدام غير المحكوم لأدوات الذكاء الاصطناعي، كواجب العناية المهنية اللازمة، وواجب السرية، وواجب الإفصاح، وواجب التحقق من صحة المستندات المُقدَّمة للجهات القضائية. ويرى الباحث أن المسؤولية التأديبية يمكن تفعيلها في مواجهة المحامين الذين يستخدمون الذكاء الاصطناعي بصورة مخلّة بهذه الواجبات، حتى في ظل غياب نظام تشريعي صريح.</w:t>
      </w:r>
      <w:commentRangeEnd w:id="142"/>
      <w:r>
        <w:rPr>
          <w:rStyle w:val="af0"/>
          <w:sz w:val="22"/>
          <w:szCs w:val="22"/>
          <w:rtl/>
        </w:rPr>
        <w:commentReference w:id="142"/>
      </w:r>
      <w:commentRangeEnd w:id="143"/>
      <w:r>
        <w:rPr>
          <w:rStyle w:val="af0"/>
          <w:sz w:val="22"/>
          <w:szCs w:val="22"/>
          <w:rtl/>
        </w:rPr>
        <w:commentReference w:id="143"/>
      </w:r>
    </w:p>
    <w:p w14:paraId="2F8679F3" w14:textId="77777777" w:rsidR="005705DD" w:rsidRDefault="005705DD" w:rsidP="005705DD">
      <w:pPr>
        <w:bidi/>
        <w:spacing w:after="200" w:line="276" w:lineRule="auto"/>
        <w:rPr>
          <w:rtl/>
        </w:rPr>
      </w:pPr>
      <w:r>
        <w:rPr>
          <w:rFonts w:asciiTheme="majorBidi" w:hAnsiTheme="majorBidi" w:cstheme="majorBidi"/>
          <w:b/>
          <w:sz w:val="28"/>
          <w:szCs w:val="28"/>
          <w:rtl/>
        </w:rPr>
        <w:t>ثانياً: التجربة الإماراتية في تنظيم الذكاء الاصطناعي القانوني</w:t>
      </w:r>
    </w:p>
    <w:p w14:paraId="5501263C" w14:textId="77777777" w:rsidR="005705DD" w:rsidRDefault="005705DD" w:rsidP="005705DD">
      <w:pPr>
        <w:bidi/>
        <w:spacing w:after="200" w:line="276" w:lineRule="auto"/>
        <w:rPr>
          <w:rtl/>
        </w:rPr>
      </w:pPr>
      <w:r>
        <w:rPr>
          <w:rFonts w:asciiTheme="majorBidi" w:hAnsiTheme="majorBidi" w:cstheme="majorBidi"/>
          <w:sz w:val="24"/>
          <w:szCs w:val="24"/>
          <w:rtl/>
        </w:rPr>
        <w:t>تقدم دولة الإمارات العربية المتحدة نموذجاً إقليمياً مبكراً في تنظيم تقنيات الذكاء الاصطناعي تجدر دراسته للدول الساعية إلى إرساء أطر تشريعية لهذا المجال. وتنبع أهمية الاستئناس بهذه التجربة في السياق السعودي من قواسم مشتركة عدة، في مقدمتها: التشابه في المنظومة القانونية المزدوجة (الفقه الإسلامي والتشريع الوضعي)، والتقارب في استراتيجيات التحول الرقمي، ووحدة السياق الثقافي والاجتماعي.</w:t>
      </w:r>
    </w:p>
    <w:p w14:paraId="2824A62A" w14:textId="77777777" w:rsidR="005705DD" w:rsidRDefault="005705DD" w:rsidP="005705DD">
      <w:pPr>
        <w:bidi/>
        <w:spacing w:after="200" w:line="276" w:lineRule="auto"/>
        <w:rPr>
          <w:rtl/>
        </w:rPr>
      </w:pPr>
      <w:r>
        <w:rPr>
          <w:rFonts w:asciiTheme="majorBidi" w:hAnsiTheme="majorBidi" w:cstheme="majorBidi"/>
          <w:sz w:val="28"/>
          <w:szCs w:val="28"/>
          <w:rtl/>
        </w:rPr>
        <w:t>وتتجلى ملامح التجربة الإماراتية في المحاور التالية:</w:t>
      </w:r>
    </w:p>
    <w:p w14:paraId="21074EFC" w14:textId="77777777" w:rsidR="005705DD" w:rsidRDefault="005705DD" w:rsidP="005705DD">
      <w:pPr>
        <w:bidi/>
        <w:spacing w:after="200" w:line="276" w:lineRule="auto"/>
        <w:rPr>
          <w:rtl/>
        </w:rPr>
      </w:pPr>
      <w:commentRangeStart w:id="144"/>
      <w:commentRangeStart w:id="145"/>
      <w:r>
        <w:rPr>
          <w:rFonts w:asciiTheme="majorBidi" w:hAnsiTheme="majorBidi" w:cstheme="majorBidi"/>
          <w:sz w:val="24"/>
          <w:szCs w:val="24"/>
          <w:rtl/>
        </w:rPr>
        <w:t xml:space="preserve">المحور الأول — الاستراتيجية الوطنية للذكاء الاصطناعي 2031: أطلقت دولة الإمارات عام 2017م استراتيجيتها الوطنية للذكاء الاصطناعي، وهي الأولى من نوعها في المنطقة، وتهدف إلى جعل الإمارات من أوائل دول العالم في الاستفادة من الذكاء الاصطناعي بحلول عام 2031م. وقد خصصت الاستراتيجية قطاع العدالة والقانون ضمن القطاعات الأولى بالاهتمام، وأطلقت مبادرات تجريبية لتطبيق الذكاء الاصطناعي في </w:t>
      </w:r>
      <w:r>
        <w:rPr>
          <w:rFonts w:asciiTheme="majorBidi" w:hAnsiTheme="majorBidi" w:cstheme="majorBidi"/>
          <w:sz w:val="24"/>
          <w:szCs w:val="24"/>
          <w:rtl/>
        </w:rPr>
        <w:lastRenderedPageBreak/>
        <w:t xml:space="preserve">المحاكم وفي خدمات </w:t>
      </w:r>
      <w:proofErr w:type="gramStart"/>
      <w:r>
        <w:rPr>
          <w:rFonts w:asciiTheme="majorBidi" w:hAnsiTheme="majorBidi" w:cstheme="majorBidi"/>
          <w:sz w:val="24"/>
          <w:szCs w:val="24"/>
          <w:rtl/>
        </w:rPr>
        <w:t xml:space="preserve">العدالة </w:t>
      </w:r>
      <w:r>
        <w:rPr>
          <w:rFonts w:asciiTheme="majorBidi" w:hAnsiTheme="majorBidi" w:cstheme="majorBidi"/>
          <w:sz w:val="24"/>
          <w:szCs w:val="24"/>
          <w:vertAlign w:val="superscript"/>
          <w:rtl/>
        </w:rPr>
        <w:footnoteReference w:id="312"/>
      </w:r>
      <w:r>
        <w:rPr>
          <w:rFonts w:asciiTheme="majorBidi" w:hAnsiTheme="majorBidi" w:cstheme="majorBidi"/>
          <w:sz w:val="24"/>
          <w:szCs w:val="24"/>
          <w:rtl/>
        </w:rPr>
        <w:t>.</w:t>
      </w:r>
      <w:proofErr w:type="gramEnd"/>
      <w:r>
        <w:rPr>
          <w:rFonts w:asciiTheme="majorBidi" w:hAnsiTheme="majorBidi" w:cstheme="majorBidi"/>
          <w:sz w:val="24"/>
          <w:szCs w:val="24"/>
          <w:rtl/>
        </w:rPr>
        <w:t xml:space="preserve"> وتستمد أهميتها التشريعية من كونها ترسي رؤية حكومية متكاملة للذكاء الاصطناعي بدلاً من الاكتفاء بردود الفعل التشريعية، مما يعني وجود تنسيق مسبق بين المنظومة التشريعية ومتطلبات التقنية.</w:t>
      </w:r>
      <w:commentRangeEnd w:id="144"/>
      <w:r>
        <w:rPr>
          <w:rStyle w:val="af0"/>
          <w:sz w:val="22"/>
          <w:szCs w:val="22"/>
          <w:rtl/>
        </w:rPr>
        <w:commentReference w:id="144"/>
      </w:r>
      <w:commentRangeEnd w:id="145"/>
      <w:r>
        <w:rPr>
          <w:rStyle w:val="af0"/>
          <w:sz w:val="22"/>
          <w:szCs w:val="22"/>
          <w:rtl/>
        </w:rPr>
        <w:commentReference w:id="145"/>
      </w:r>
    </w:p>
    <w:p w14:paraId="306DD617"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الثاني — القانون الاتحادي رقم 45 لسنة 2021م بشأن حماية البيانات الشخصية (PDPL): يمثّل هذا القانون الإطار التشريعي الإماراتي الرئيسي لحماية البيانات، ويتشابه في أهدافه العامة مع نظام حماية البيانات الشخصية السعودي (1443هـ)، غير أنه يتميز بعدة سمات بارزة في تطبيقه على القطاع القانوني. أهمها أن القانون حدّد صراحةً أحكام معالجة "البيانات الحساسة" بما فيها البيانات القانونية المرتبطة بالتقاضي، واشترط الحصول على موافقة مستنيرة قبل معالجة هذه البيانات بأي أداة رقمية. كما أسّس القانون هيئةَ حماية البيانات كجهة </w:t>
      </w:r>
      <w:proofErr w:type="spellStart"/>
      <w:r>
        <w:rPr>
          <w:rFonts w:asciiTheme="majorBidi" w:hAnsiTheme="majorBidi" w:cstheme="majorBidi"/>
          <w:sz w:val="24"/>
          <w:szCs w:val="24"/>
          <w:rtl/>
        </w:rPr>
        <w:t>إشرافية</w:t>
      </w:r>
      <w:proofErr w:type="spellEnd"/>
      <w:r>
        <w:rPr>
          <w:rFonts w:asciiTheme="majorBidi" w:hAnsiTheme="majorBidi" w:cstheme="majorBidi"/>
          <w:sz w:val="24"/>
          <w:szCs w:val="24"/>
          <w:rtl/>
        </w:rPr>
        <w:t xml:space="preserve"> متخصصة تتولى الرقابة على الالتزام بأحكامه، بما في ذلك الاستخدام القانوني لأدوات الذكاء الاصطناعي.</w:t>
      </w:r>
    </w:p>
    <w:p w14:paraId="00BB0135" w14:textId="77777777" w:rsidR="005705DD" w:rsidRDefault="005705DD" w:rsidP="005705DD">
      <w:pPr>
        <w:bidi/>
        <w:spacing w:after="200" w:line="276" w:lineRule="auto"/>
        <w:rPr>
          <w:rtl/>
        </w:rPr>
      </w:pPr>
      <w:commentRangeStart w:id="146"/>
      <w:commentRangeStart w:id="147"/>
      <w:r>
        <w:rPr>
          <w:rFonts w:asciiTheme="majorBidi" w:hAnsiTheme="majorBidi" w:cstheme="majorBidi"/>
          <w:sz w:val="24"/>
          <w:szCs w:val="24"/>
          <w:rtl/>
        </w:rPr>
        <w:t>المحور الثالث — التوظيف العدلي للذكاء الاصطناعي: اتجهت الجهات العدلية الإماراتية ضمن خطط التحول الرقمي إلى مشروع "محاكم الذكاء الاصطناعي"، الذي يهدف إلى توظيف الذكاء الاصطناعي في دعم القضاة في تحليل المستندات والتنبؤ بنتائج القضايا. وصاحبت ذلك ضوابط إجرائية لاستخدام الذكاء الاصطناعي في العمل القضائي، من أبرزها: اشتراط مراجعة بشرية لكل مخرجات الذكاء الاصطناعي قبل الاستناد إليها، ومنح الخصوم حق الاطلاع على الأدوات المستخدمة في تحليل القضية، وإبقاء السلطة التقديرية في الحكم في يد القاضي البشري حصراً.</w:t>
      </w:r>
    </w:p>
    <w:p w14:paraId="212A015B"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جانب من الفقه في دراسة المبادرات الإماراتية في مجال العدالة الرقمية إلى أن تجربة وزارة العدل الإماراتية تُمثّل نموذجاً للتكامل التشريعي-التقني، إذ لم تكتفِ بتطبيق التقنية بل صاحبت ذلك بضوابط إجرائية واضحة تُحافظ على مبدأ سيادة القانون وضمانات المحاكمة </w:t>
      </w:r>
      <w:proofErr w:type="gramStart"/>
      <w:r>
        <w:rPr>
          <w:rFonts w:asciiTheme="majorBidi" w:hAnsiTheme="majorBidi" w:cstheme="majorBidi"/>
          <w:sz w:val="24"/>
          <w:szCs w:val="24"/>
          <w:rtl/>
        </w:rPr>
        <w:t xml:space="preserve">العادلة </w:t>
      </w:r>
      <w:r>
        <w:rPr>
          <w:rFonts w:asciiTheme="majorBidi" w:hAnsiTheme="majorBidi" w:cstheme="majorBidi"/>
          <w:sz w:val="24"/>
          <w:szCs w:val="24"/>
          <w:vertAlign w:val="superscript"/>
          <w:rtl/>
        </w:rPr>
        <w:footnoteReference w:id="313"/>
      </w:r>
      <w:r>
        <w:rPr>
          <w:rFonts w:asciiTheme="majorBidi" w:hAnsiTheme="majorBidi" w:cstheme="majorBidi"/>
          <w:sz w:val="24"/>
          <w:szCs w:val="24"/>
          <w:rtl/>
        </w:rPr>
        <w:t>.</w:t>
      </w:r>
      <w:commentRangeEnd w:id="146"/>
      <w:proofErr w:type="gramEnd"/>
      <w:r>
        <w:rPr>
          <w:rStyle w:val="af0"/>
          <w:sz w:val="22"/>
          <w:szCs w:val="22"/>
          <w:rtl/>
        </w:rPr>
        <w:commentReference w:id="146"/>
      </w:r>
      <w:commentRangeEnd w:id="147"/>
      <w:r>
        <w:rPr>
          <w:rStyle w:val="af0"/>
          <w:sz w:val="22"/>
          <w:szCs w:val="22"/>
          <w:rtl/>
        </w:rPr>
        <w:commentReference w:id="147"/>
      </w:r>
    </w:p>
    <w:p w14:paraId="6382D540" w14:textId="77777777" w:rsidR="005705DD" w:rsidRDefault="005705DD" w:rsidP="005705DD">
      <w:pPr>
        <w:bidi/>
        <w:spacing w:after="200" w:line="276" w:lineRule="auto"/>
        <w:rPr>
          <w:rtl/>
        </w:rPr>
      </w:pPr>
      <w:commentRangeStart w:id="148"/>
      <w:commentRangeStart w:id="149"/>
      <w:r>
        <w:rPr>
          <w:rFonts w:asciiTheme="majorBidi" w:hAnsiTheme="majorBidi" w:cstheme="majorBidi"/>
          <w:sz w:val="24"/>
          <w:szCs w:val="24"/>
          <w:rtl/>
        </w:rPr>
        <w:t>المحور الرابع — ميثاق الإمارات لتطوير واستخدام الذكاء الاصطناعي (2024م): أصدرت دولة الإمارات عام 2024م ميثاقاً يحدد المبادئ الواجب مراعاتها في تطوير أنظمة الذكاء الاصطناعي واستخدامها. ويتضمن الميثاق — وثيق الصلة بالسياق القانوني — مبادئ من أبرزها: وجوب إعداد تقييم الأثر قبل نشر أي نظام ذكاء اصطناعي يمسّ الحقوق والحريات، ووجوب الشفافية في الكشف عن طبيعة النظام للمستخدمين، واشتراط قابلية تفسير القرار الذكي (</w:t>
      </w:r>
      <w:proofErr w:type="spellStart"/>
      <w:r>
        <w:rPr>
          <w:rFonts w:asciiTheme="majorBidi" w:hAnsiTheme="majorBidi" w:cstheme="majorBidi"/>
          <w:sz w:val="24"/>
          <w:szCs w:val="24"/>
          <w:rtl/>
        </w:rPr>
        <w:t>Explainability</w:t>
      </w:r>
      <w:proofErr w:type="spellEnd"/>
      <w:r>
        <w:rPr>
          <w:rFonts w:asciiTheme="majorBidi" w:hAnsiTheme="majorBidi" w:cstheme="majorBidi"/>
          <w:sz w:val="24"/>
          <w:szCs w:val="24"/>
          <w:rtl/>
        </w:rPr>
        <w:t>) في القطاعات الحيوية بما فيها العدالة</w:t>
      </w:r>
      <w:commentRangeEnd w:id="148"/>
      <w:r>
        <w:rPr>
          <w:rStyle w:val="af0"/>
          <w:rFonts w:asciiTheme="majorBidi" w:hAnsiTheme="majorBidi" w:cstheme="majorBidi"/>
          <w:sz w:val="24"/>
          <w:szCs w:val="24"/>
          <w:rtl/>
        </w:rPr>
        <w:commentReference w:id="148"/>
      </w:r>
      <w:commentRangeEnd w:id="149"/>
      <w:r>
        <w:rPr>
          <w:rStyle w:val="af0"/>
          <w:rFonts w:asciiTheme="majorBidi" w:hAnsiTheme="majorBidi" w:cstheme="majorBidi"/>
          <w:sz w:val="24"/>
          <w:szCs w:val="24"/>
          <w:rtl/>
        </w:rPr>
        <w:commentReference w:id="149"/>
      </w:r>
      <w:r>
        <w:rPr>
          <w:rFonts w:asciiTheme="majorBidi" w:hAnsiTheme="majorBidi" w:cstheme="majorBidi"/>
          <w:sz w:val="24"/>
          <w:szCs w:val="24"/>
          <w:rtl/>
        </w:rPr>
        <w:t>.</w:t>
      </w:r>
    </w:p>
    <w:p w14:paraId="2D3BF1BF" w14:textId="77777777" w:rsidR="005705DD" w:rsidRDefault="005705DD" w:rsidP="005705DD">
      <w:pPr>
        <w:bidi/>
        <w:spacing w:after="200" w:line="276" w:lineRule="auto"/>
        <w:rPr>
          <w:rtl/>
        </w:rPr>
      </w:pPr>
      <w:r>
        <w:rPr>
          <w:rFonts w:asciiTheme="majorBidi" w:hAnsiTheme="majorBidi" w:cstheme="majorBidi"/>
          <w:b/>
          <w:sz w:val="28"/>
          <w:szCs w:val="28"/>
          <w:rtl/>
        </w:rPr>
        <w:t xml:space="preserve">ثالثاً: </w:t>
      </w:r>
      <w:commentRangeStart w:id="150"/>
      <w:commentRangeStart w:id="151"/>
      <w:r>
        <w:rPr>
          <w:rFonts w:asciiTheme="majorBidi" w:hAnsiTheme="majorBidi" w:cstheme="majorBidi"/>
          <w:b/>
          <w:sz w:val="28"/>
          <w:szCs w:val="28"/>
          <w:rtl/>
        </w:rPr>
        <w:t>الدروس المستفادة من التجربة الإماراتية للحالة السعودية</w:t>
      </w:r>
      <w:commentRangeEnd w:id="150"/>
      <w:r>
        <w:rPr>
          <w:rStyle w:val="af0"/>
          <w:sz w:val="22"/>
          <w:szCs w:val="22"/>
          <w:rtl/>
        </w:rPr>
        <w:commentReference w:id="150"/>
      </w:r>
      <w:commentRangeEnd w:id="151"/>
      <w:r>
        <w:rPr>
          <w:rStyle w:val="af0"/>
          <w:sz w:val="22"/>
          <w:szCs w:val="22"/>
          <w:rtl/>
        </w:rPr>
        <w:commentReference w:id="151"/>
      </w:r>
    </w:p>
    <w:p w14:paraId="6FB60759"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بين التجربتين الإماراتية والسعودية في الكشف عن جملة من الدروس القابلة للاستثمار في صياغة الإطار التنظيمي السعودي المقترح، ويمكن إيجازها فيما يلي:</w:t>
      </w:r>
    </w:p>
    <w:p w14:paraId="3544CECE" w14:textId="77777777" w:rsidR="005705DD" w:rsidRDefault="005705DD" w:rsidP="005705DD">
      <w:pPr>
        <w:bidi/>
        <w:spacing w:after="200" w:line="276" w:lineRule="auto"/>
        <w:rPr>
          <w:rtl/>
        </w:rPr>
      </w:pPr>
      <w:commentRangeStart w:id="152"/>
      <w:commentRangeStart w:id="153"/>
      <w:r>
        <w:rPr>
          <w:rFonts w:asciiTheme="majorBidi" w:hAnsiTheme="majorBidi" w:cstheme="majorBidi"/>
          <w:sz w:val="24"/>
          <w:szCs w:val="24"/>
          <w:rtl/>
        </w:rPr>
        <w:t>1– أهمية المأسسة التشريعية المبكرة:</w:t>
      </w:r>
      <w:commentRangeEnd w:id="152"/>
      <w:r>
        <w:rPr>
          <w:rStyle w:val="af0"/>
          <w:rFonts w:asciiTheme="majorBidi" w:hAnsiTheme="majorBidi" w:cstheme="majorBidi"/>
          <w:sz w:val="24"/>
          <w:szCs w:val="24"/>
          <w:rtl/>
        </w:rPr>
        <w:commentReference w:id="152"/>
      </w:r>
      <w:commentRangeEnd w:id="153"/>
      <w:r>
        <w:rPr>
          <w:rStyle w:val="af0"/>
          <w:rFonts w:asciiTheme="majorBidi" w:hAnsiTheme="majorBidi" w:cstheme="majorBidi"/>
          <w:sz w:val="24"/>
          <w:szCs w:val="24"/>
          <w:rtl/>
        </w:rPr>
        <w:commentReference w:id="153"/>
      </w:r>
      <w:r>
        <w:rPr>
          <w:rFonts w:asciiTheme="majorBidi" w:hAnsiTheme="majorBidi" w:cstheme="majorBidi"/>
          <w:sz w:val="24"/>
          <w:szCs w:val="24"/>
          <w:rtl/>
        </w:rPr>
        <w:t xml:space="preserve"> بدأت الإمارات مأسسة تنظيم الذكاء الاصطناعي مبكراً بإنشاء وزارة مستقلة للذكاء الاصطناعي عام 2017م، مما أتاح لها بناء إطار تشريعي متماسك قبل أن تتفاقم الإشكاليات التطبيقية. وهذا يعني أن الإجراء الأنجع للمملكة العربية السعودية هو التسريع في إصدار تشريع صريح لا الانتظار حتى تتراكم الحوادث القانونية الضارة.</w:t>
      </w:r>
    </w:p>
    <w:p w14:paraId="2BBE76D9" w14:textId="77777777" w:rsidR="005705DD" w:rsidRDefault="005705DD" w:rsidP="005705DD">
      <w:pPr>
        <w:bidi/>
        <w:spacing w:after="200" w:line="276" w:lineRule="auto"/>
        <w:rPr>
          <w:rtl/>
        </w:rPr>
      </w:pPr>
      <w:commentRangeStart w:id="154"/>
      <w:commentRangeStart w:id="155"/>
      <w:r>
        <w:rPr>
          <w:rFonts w:asciiTheme="majorBidi" w:hAnsiTheme="majorBidi" w:cstheme="majorBidi"/>
          <w:sz w:val="24"/>
          <w:szCs w:val="24"/>
          <w:rtl/>
        </w:rPr>
        <w:lastRenderedPageBreak/>
        <w:t>2– التكامل بين التقنية والتشريع:</w:t>
      </w:r>
      <w:commentRangeEnd w:id="154"/>
      <w:r>
        <w:rPr>
          <w:rStyle w:val="af0"/>
          <w:rFonts w:asciiTheme="majorBidi" w:hAnsiTheme="majorBidi" w:cstheme="majorBidi"/>
          <w:sz w:val="24"/>
          <w:szCs w:val="24"/>
          <w:rtl/>
        </w:rPr>
        <w:commentReference w:id="154"/>
      </w:r>
      <w:commentRangeEnd w:id="155"/>
      <w:r>
        <w:rPr>
          <w:rStyle w:val="af0"/>
          <w:rFonts w:asciiTheme="majorBidi" w:hAnsiTheme="majorBidi" w:cstheme="majorBidi"/>
          <w:sz w:val="24"/>
          <w:szCs w:val="24"/>
          <w:rtl/>
        </w:rPr>
        <w:commentReference w:id="155"/>
      </w:r>
      <w:r>
        <w:rPr>
          <w:rFonts w:asciiTheme="majorBidi" w:hAnsiTheme="majorBidi" w:cstheme="majorBidi"/>
          <w:sz w:val="24"/>
          <w:szCs w:val="24"/>
          <w:rtl/>
        </w:rPr>
        <w:t xml:space="preserve"> اعتمدت الإمارات نهج التوازي بين نشر الأدوات الذكية وإصدار الضوابط التنظيمية المرافقة لها، بدلاً من السماح بالنشر أولاً ومحاولة التنظيم لاحقاً. وهذا النهج يُقلّل من الفجوة الزمنية بين الواقع التقني والإطار التنظيمي، ويُجنّب التراكم الإشكالي الذي تُعاني منه البيئة السعودية حالياً.</w:t>
      </w:r>
    </w:p>
    <w:p w14:paraId="44E23DA5" w14:textId="77777777" w:rsidR="005705DD" w:rsidRDefault="005705DD" w:rsidP="005705DD">
      <w:pPr>
        <w:bidi/>
        <w:spacing w:after="200" w:line="276" w:lineRule="auto"/>
        <w:rPr>
          <w:rtl/>
        </w:rPr>
      </w:pPr>
      <w:commentRangeStart w:id="156"/>
      <w:commentRangeStart w:id="157"/>
      <w:r>
        <w:rPr>
          <w:rFonts w:asciiTheme="majorBidi" w:hAnsiTheme="majorBidi" w:cstheme="majorBidi"/>
          <w:sz w:val="24"/>
          <w:szCs w:val="24"/>
          <w:rtl/>
        </w:rPr>
        <w:t>3– التوازن بين الابتكار والضبط:</w:t>
      </w:r>
      <w:commentRangeEnd w:id="156"/>
      <w:r>
        <w:rPr>
          <w:rStyle w:val="af0"/>
          <w:rFonts w:asciiTheme="majorBidi" w:hAnsiTheme="majorBidi" w:cstheme="majorBidi"/>
          <w:sz w:val="24"/>
          <w:szCs w:val="24"/>
          <w:rtl/>
        </w:rPr>
        <w:commentReference w:id="156"/>
      </w:r>
      <w:commentRangeEnd w:id="157"/>
      <w:r>
        <w:rPr>
          <w:rStyle w:val="af0"/>
          <w:rFonts w:asciiTheme="majorBidi" w:hAnsiTheme="majorBidi" w:cstheme="majorBidi"/>
          <w:sz w:val="24"/>
          <w:szCs w:val="24"/>
          <w:rtl/>
        </w:rPr>
        <w:commentReference w:id="157"/>
      </w:r>
      <w:r>
        <w:rPr>
          <w:rFonts w:asciiTheme="majorBidi" w:hAnsiTheme="majorBidi" w:cstheme="majorBidi"/>
          <w:sz w:val="24"/>
          <w:szCs w:val="24"/>
          <w:rtl/>
        </w:rPr>
        <w:t xml:space="preserve"> نجحت التجربة الإماراتية في تحقيق توازن نسبي بين تشجيع الابتكار في مجال تقنيات القانون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وضبط الاستخدامات الخطِرة، وذلك عبر نهج التنظيم القائم على المخاطر (Risk-</w:t>
      </w:r>
      <w:proofErr w:type="spellStart"/>
      <w:r>
        <w:rPr>
          <w:rFonts w:asciiTheme="majorBidi" w:hAnsiTheme="majorBidi" w:cstheme="majorBidi"/>
          <w:sz w:val="24"/>
          <w:szCs w:val="24"/>
          <w:rtl/>
        </w:rPr>
        <w:t>based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Regulation</w:t>
      </w:r>
      <w:proofErr w:type="spellEnd"/>
      <w:r>
        <w:rPr>
          <w:rFonts w:asciiTheme="majorBidi" w:hAnsiTheme="majorBidi" w:cstheme="majorBidi"/>
          <w:sz w:val="24"/>
          <w:szCs w:val="24"/>
          <w:rtl/>
        </w:rPr>
        <w:t>) الذي يُطبّق ضوابط أكثر صرامة على الاستخدامات ذات المخاطر الأعلى دون إخضاع جميع التطبيقات لمستوى رقابي متساوٍ. ويُعدّ هذا النهج أنسب للتطبيق في البيئة القانونية السعودية من نهج التنظيم الشامل المانع للابتكار.</w:t>
      </w:r>
    </w:p>
    <w:p w14:paraId="3663C27A" w14:textId="77777777" w:rsidR="005705DD" w:rsidRDefault="005705DD" w:rsidP="005705DD">
      <w:pPr>
        <w:bidi/>
        <w:spacing w:after="200" w:line="276" w:lineRule="auto"/>
        <w:rPr>
          <w:rtl/>
        </w:rPr>
      </w:pPr>
      <w:commentRangeStart w:id="158"/>
      <w:commentRangeStart w:id="159"/>
      <w:r>
        <w:rPr>
          <w:rFonts w:asciiTheme="majorBidi" w:hAnsiTheme="majorBidi" w:cstheme="majorBidi"/>
          <w:sz w:val="24"/>
          <w:szCs w:val="24"/>
          <w:rtl/>
        </w:rPr>
        <w:t>4– تمييز المسؤوليات:</w:t>
      </w:r>
      <w:commentRangeEnd w:id="158"/>
      <w:r>
        <w:rPr>
          <w:rStyle w:val="af0"/>
          <w:rFonts w:asciiTheme="majorBidi" w:hAnsiTheme="majorBidi" w:cstheme="majorBidi"/>
          <w:sz w:val="24"/>
          <w:szCs w:val="24"/>
          <w:rtl/>
        </w:rPr>
        <w:commentReference w:id="158"/>
      </w:r>
      <w:commentRangeEnd w:id="159"/>
      <w:r>
        <w:rPr>
          <w:rStyle w:val="af0"/>
          <w:rFonts w:asciiTheme="majorBidi" w:hAnsiTheme="majorBidi" w:cstheme="majorBidi"/>
          <w:sz w:val="24"/>
          <w:szCs w:val="24"/>
          <w:rtl/>
        </w:rPr>
        <w:commentReference w:id="159"/>
      </w:r>
      <w:r>
        <w:rPr>
          <w:rFonts w:asciiTheme="majorBidi" w:hAnsiTheme="majorBidi" w:cstheme="majorBidi"/>
          <w:sz w:val="24"/>
          <w:szCs w:val="24"/>
          <w:rtl/>
        </w:rPr>
        <w:t xml:space="preserve"> حدّد الإطار الإماراتي بوضوح مسؤوليات كل طرف في منظومة الذكاء الاصطناعي القانوني: مزوّد الأداة، والمؤسسة القانونية المستخدِمة، والمحامي الفردي، والمراجع النهائي. وهذا التحديد لمسؤولية كل طرف يُقلّل من حالات التنصّل من المسؤولية التي تنشأ حين لا يُحدَّد أيُّ الأطراف مسؤولٌ عن الضرر الناجم عن الخطأ الذكي.</w:t>
      </w:r>
    </w:p>
    <w:p w14:paraId="2C288C80"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w:t>
      </w:r>
      <w:proofErr w:type="spellStart"/>
      <w:r>
        <w:rPr>
          <w:rFonts w:asciiTheme="majorBidi" w:hAnsiTheme="majorBidi" w:cstheme="majorBidi"/>
          <w:sz w:val="24"/>
          <w:szCs w:val="24"/>
          <w:rtl/>
        </w:rPr>
        <w:t>الغنامي</w:t>
      </w:r>
      <w:proofErr w:type="spellEnd"/>
      <w:r>
        <w:rPr>
          <w:rFonts w:asciiTheme="majorBidi" w:hAnsiTheme="majorBidi" w:cstheme="majorBidi"/>
          <w:sz w:val="24"/>
          <w:szCs w:val="24"/>
          <w:rtl/>
        </w:rPr>
        <w:t xml:space="preserve"> في معرض مقارنته بين التجربتين الإماراتية والسعودية أن ثمة فارقاً جوهرياً يُميّز كلاً منهما: إذ بينما تُشكّل المنظومة التشريعية الإماراتية في جوهرها نظاماً مدنياً تقنياً ذا مرونة تشريعية عالية في استيعاب المستجدات، تُواجه المملكة العربية السعودية تحدياً إضافياً يتعلق بضرورة ملاءمة أي تشريع للذكاء الاصطناعي مع أحكام الشريعة الإسلامية والمرجعية الفقهية التي تُقيّد نطاق التشريع الوضعي، وهو ما يجعل التبنّي الحرفي للنموذج الإماراتي أمراً يستوجب التكييف لا النقل </w:t>
      </w:r>
      <w:proofErr w:type="gramStart"/>
      <w:r>
        <w:rPr>
          <w:rFonts w:asciiTheme="majorBidi" w:hAnsiTheme="majorBidi" w:cstheme="majorBidi"/>
          <w:sz w:val="24"/>
          <w:szCs w:val="24"/>
          <w:rtl/>
        </w:rPr>
        <w:t xml:space="preserve">الأعمى </w:t>
      </w:r>
      <w:r>
        <w:rPr>
          <w:rFonts w:asciiTheme="majorBidi" w:hAnsiTheme="majorBidi" w:cstheme="majorBidi"/>
          <w:sz w:val="24"/>
          <w:szCs w:val="24"/>
          <w:vertAlign w:val="superscript"/>
          <w:rtl/>
        </w:rPr>
        <w:footnoteReference w:id="314"/>
      </w:r>
      <w:r>
        <w:rPr>
          <w:rFonts w:asciiTheme="majorBidi" w:hAnsiTheme="majorBidi" w:cstheme="majorBidi"/>
          <w:sz w:val="24"/>
          <w:szCs w:val="24"/>
          <w:rtl/>
        </w:rPr>
        <w:t>.</w:t>
      </w:r>
      <w:proofErr w:type="gramEnd"/>
    </w:p>
    <w:p w14:paraId="2AA2DD99" w14:textId="77777777" w:rsidR="005705DD" w:rsidRDefault="005705DD" w:rsidP="005705DD">
      <w:pPr>
        <w:bidi/>
        <w:spacing w:after="200" w:line="276" w:lineRule="auto"/>
        <w:rPr>
          <w:rtl/>
        </w:rPr>
      </w:pPr>
      <w:commentRangeStart w:id="160"/>
      <w:commentRangeStart w:id="161"/>
      <w:r>
        <w:rPr>
          <w:rFonts w:asciiTheme="majorBidi" w:hAnsiTheme="majorBidi" w:cstheme="majorBidi"/>
          <w:b/>
          <w:sz w:val="28"/>
          <w:szCs w:val="28"/>
          <w:rtl/>
        </w:rPr>
        <w:t>رابعاً: قياس مدى متانة التنظيم السعودي للذكاء الاصطناعي القانوني</w:t>
      </w:r>
      <w:commentRangeEnd w:id="160"/>
      <w:r>
        <w:rPr>
          <w:rStyle w:val="af0"/>
          <w:sz w:val="22"/>
          <w:szCs w:val="22"/>
          <w:rtl/>
        </w:rPr>
        <w:commentReference w:id="160"/>
      </w:r>
      <w:commentRangeEnd w:id="161"/>
      <w:r>
        <w:rPr>
          <w:rStyle w:val="af0"/>
          <w:sz w:val="22"/>
          <w:szCs w:val="22"/>
          <w:rtl/>
        </w:rPr>
        <w:commentReference w:id="161"/>
      </w:r>
    </w:p>
    <w:p w14:paraId="451BFAE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المقارن في استخلاص مؤشرات لتقييم مدى نضج المنظومة التنظيمية السعودية في مجال الذكاء الاصطناعي القانوني</w:t>
      </w:r>
      <w:commentRangeStart w:id="162"/>
      <w:commentRangeStart w:id="163"/>
      <w:commentRangeStart w:id="164"/>
      <w:commentRangeStart w:id="165"/>
      <w:r>
        <w:rPr>
          <w:rFonts w:asciiTheme="majorBidi" w:hAnsiTheme="majorBidi" w:cstheme="majorBidi"/>
          <w:sz w:val="24"/>
          <w:szCs w:val="24"/>
          <w:rtl/>
        </w:rPr>
        <w:t>. وباعتماد معايير مستمدة من منهجية التنظيم المبني على المخاطر في اللائحة الأوروبية للذكاء الاصطناعي، ترتكز على أربعة عناصر هي</w:t>
      </w:r>
      <w:commentRangeEnd w:id="162"/>
      <w:r>
        <w:rPr>
          <w:rStyle w:val="af0"/>
          <w:rFonts w:asciiTheme="majorBidi" w:hAnsiTheme="majorBidi" w:cstheme="majorBidi"/>
          <w:sz w:val="24"/>
          <w:szCs w:val="24"/>
          <w:rtl/>
        </w:rPr>
        <w:commentReference w:id="162"/>
      </w:r>
      <w:commentRangeEnd w:id="163"/>
      <w:r>
        <w:rPr>
          <w:rStyle w:val="af0"/>
          <w:rFonts w:asciiTheme="majorBidi" w:hAnsiTheme="majorBidi" w:cstheme="majorBidi"/>
          <w:sz w:val="24"/>
          <w:szCs w:val="24"/>
          <w:rtl/>
        </w:rPr>
        <w:commentReference w:id="163"/>
      </w:r>
      <w:commentRangeEnd w:id="164"/>
      <w:r>
        <w:rPr>
          <w:rStyle w:val="af0"/>
          <w:rFonts w:asciiTheme="majorBidi" w:hAnsiTheme="majorBidi" w:cstheme="majorBidi"/>
          <w:sz w:val="24"/>
          <w:szCs w:val="24"/>
          <w:rtl/>
        </w:rPr>
        <w:commentReference w:id="164"/>
      </w:r>
      <w:commentRangeEnd w:id="165"/>
      <w:r>
        <w:rPr>
          <w:rStyle w:val="af0"/>
          <w:rFonts w:asciiTheme="majorBidi" w:hAnsiTheme="majorBidi" w:cstheme="majorBidi"/>
          <w:sz w:val="24"/>
          <w:szCs w:val="24"/>
          <w:rtl/>
        </w:rPr>
        <w:commentReference w:id="165"/>
      </w:r>
      <w:r>
        <w:rPr>
          <w:rFonts w:asciiTheme="majorBidi" w:hAnsiTheme="majorBidi" w:cstheme="majorBidi"/>
          <w:sz w:val="24"/>
          <w:szCs w:val="24"/>
          <w:rtl/>
        </w:rPr>
        <w:t xml:space="preserve">: الوضوح التشريعي، والقدرة الرقابية، وتوافر ضمانات حقوق الأطراف، وآليات الإنفاذ — </w:t>
      </w:r>
      <w:commentRangeStart w:id="166"/>
      <w:commentRangeStart w:id="167"/>
      <w:r>
        <w:rPr>
          <w:rFonts w:asciiTheme="majorBidi" w:hAnsiTheme="majorBidi" w:cstheme="majorBidi"/>
          <w:sz w:val="24"/>
          <w:szCs w:val="24"/>
          <w:rtl/>
        </w:rPr>
        <w:t>يمكن القول إن المنظومة السعودية في مرحلتها الراهنة تُحقق متطلبات المعيارَين الثالث والرابع بصورة جزئية من خلال الأنظمة القائمة، في حين تُعاني من قصور واضح في المعيارَين الأول والثاني اللذين يتطلبان تشريعاً صريحاً وجهازاً رقابياً متخصصاً. فوجه التحقق الجزئي أن القواعد العامة القائمة تتيح المساءلة في الصور الظاهرة كالإخلال بالسرية أو تقديم مراجع مختلقة؛ ووجه القصور غياب نص يحسم معيار الاستخدام المعيب، وضعف الإنفاذ في مواجهة المزوِّد الأجنبي، وعدم خضوع المنصات غير المرخصة لرقابة فعالة.</w:t>
      </w:r>
      <w:commentRangeEnd w:id="166"/>
      <w:r>
        <w:rPr>
          <w:rStyle w:val="af0"/>
          <w:sz w:val="22"/>
          <w:szCs w:val="22"/>
          <w:rtl/>
        </w:rPr>
        <w:commentReference w:id="166"/>
      </w:r>
      <w:commentRangeEnd w:id="167"/>
      <w:r>
        <w:rPr>
          <w:rStyle w:val="af0"/>
          <w:sz w:val="22"/>
          <w:szCs w:val="22"/>
          <w:rtl/>
        </w:rPr>
        <w:commentReference w:id="167"/>
      </w:r>
    </w:p>
    <w:p w14:paraId="5D75D605" w14:textId="77777777" w:rsidR="005705DD" w:rsidRDefault="005705DD" w:rsidP="005705DD">
      <w:pPr>
        <w:bidi/>
        <w:spacing w:after="200" w:line="276" w:lineRule="auto"/>
        <w:rPr>
          <w:rtl/>
        </w:rPr>
      </w:pPr>
      <w:r>
        <w:rPr>
          <w:rFonts w:asciiTheme="majorBidi" w:hAnsiTheme="majorBidi" w:cstheme="majorBidi"/>
          <w:sz w:val="24"/>
          <w:szCs w:val="24"/>
          <w:rtl/>
        </w:rPr>
        <w:t>وعلى خلاف ذلك، تصنّفها الدراسات المقارنة الإقليمية في مرتبة أعلى من المتوسط من حيث البنية التشريعية العامة، نظراً لوجود نظام حماية البيانات ونظام الإثبات ونظام مكافحة الجرائم المعلوماتية كأُسس صالحة للتفعيل في مواجهة حالات الاستخدام الذكي الضار، إلا أن القصور يكمن في عدم تخصيصها وتكييفها صراحةً للحالة التقنية الجديدة.</w:t>
      </w:r>
    </w:p>
    <w:p w14:paraId="0CA0770E"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المملكة العربية السعودية تمتلك من الإمكانات التشريعية والمؤسسية ما يُمكّنها من تجاوز المرحلة الراهنة نحو إطار تنظيمي متكامل في زمن معقول، شريطة التحرك التشريعي الاستباقي بدلاً من الانتظار وردود الأفعال. وهذا ما ستسعى الدراسة إلى تقديمه في فصلها الرابع من خلال نموذج تنظيمي مقترح </w:t>
      </w:r>
      <w:commentRangeStart w:id="168"/>
      <w:commentRangeStart w:id="169"/>
      <w:r>
        <w:rPr>
          <w:rFonts w:asciiTheme="majorBidi" w:hAnsiTheme="majorBidi" w:cstheme="majorBidi"/>
          <w:sz w:val="24"/>
          <w:szCs w:val="24"/>
          <w:rtl/>
        </w:rPr>
        <w:t>مستلهماً من التجارب المقارنة ومتوافقاً مع الخصوصية السعودية</w:t>
      </w:r>
      <w:commentRangeEnd w:id="168"/>
      <w:r>
        <w:rPr>
          <w:rStyle w:val="af0"/>
          <w:rFonts w:asciiTheme="majorBidi" w:hAnsiTheme="majorBidi" w:cstheme="majorBidi"/>
          <w:sz w:val="24"/>
          <w:szCs w:val="24"/>
          <w:rtl/>
        </w:rPr>
        <w:commentReference w:id="168"/>
      </w:r>
      <w:commentRangeEnd w:id="169"/>
      <w:r>
        <w:rPr>
          <w:rStyle w:val="af0"/>
          <w:rFonts w:asciiTheme="majorBidi" w:hAnsiTheme="majorBidi" w:cstheme="majorBidi"/>
          <w:sz w:val="24"/>
          <w:szCs w:val="24"/>
          <w:rtl/>
        </w:rPr>
        <w:commentReference w:id="169"/>
      </w:r>
      <w:r>
        <w:rPr>
          <w:rFonts w:asciiTheme="majorBidi" w:hAnsiTheme="majorBidi" w:cstheme="majorBidi"/>
          <w:sz w:val="24"/>
          <w:szCs w:val="24"/>
          <w:rtl/>
        </w:rPr>
        <w:t>.</w:t>
      </w:r>
    </w:p>
    <w:p w14:paraId="03040385" w14:textId="77777777" w:rsidR="005705DD" w:rsidRPr="00A84F46" w:rsidRDefault="005705DD" w:rsidP="005705DD">
      <w:pPr>
        <w:bidi/>
        <w:spacing w:after="200" w:line="276" w:lineRule="auto"/>
        <w:rPr>
          <w:bCs/>
          <w:color w:val="000000" w:themeColor="text1"/>
          <w:rtl/>
        </w:rPr>
      </w:pPr>
      <w:commentRangeStart w:id="170"/>
      <w:commentRangeStart w:id="171"/>
      <w:r>
        <w:rPr>
          <w:rFonts w:asciiTheme="majorBidi" w:hAnsiTheme="majorBidi" w:cstheme="majorBidi"/>
          <w:bCs/>
          <w:color w:val="000000" w:themeColor="text1"/>
          <w:sz w:val="28"/>
          <w:szCs w:val="28"/>
          <w:rtl/>
        </w:rPr>
        <w:lastRenderedPageBreak/>
        <w:t>نماذج تنظيمية مقارنة واستلهام ما يُناسب البيئة السعودية</w:t>
      </w:r>
      <w:commentRangeEnd w:id="170"/>
      <w:r w:rsidRPr="00A84F46">
        <w:rPr>
          <w:rStyle w:val="af0"/>
          <w:bCs/>
          <w:color w:val="000000" w:themeColor="text1"/>
          <w:sz w:val="22"/>
          <w:szCs w:val="22"/>
          <w:rtl/>
        </w:rPr>
        <w:commentReference w:id="170"/>
      </w:r>
      <w:commentRangeEnd w:id="171"/>
      <w:r w:rsidRPr="00A84F46">
        <w:rPr>
          <w:rStyle w:val="af0"/>
          <w:bCs/>
          <w:color w:val="000000" w:themeColor="text1"/>
          <w:sz w:val="22"/>
          <w:szCs w:val="22"/>
          <w:rtl/>
        </w:rPr>
        <w:commentReference w:id="171"/>
      </w:r>
    </w:p>
    <w:p w14:paraId="4C07B7F8" w14:textId="77777777" w:rsidR="005705DD" w:rsidRDefault="005705DD" w:rsidP="005705DD">
      <w:pPr>
        <w:bidi/>
        <w:spacing w:after="200" w:line="276" w:lineRule="auto"/>
        <w:rPr>
          <w:rtl/>
        </w:rPr>
      </w:pPr>
      <w:r>
        <w:rPr>
          <w:rFonts w:asciiTheme="majorBidi" w:hAnsiTheme="majorBidi" w:cstheme="majorBidi"/>
          <w:sz w:val="24"/>
          <w:szCs w:val="24"/>
          <w:rtl/>
        </w:rPr>
        <w:t>تُتيح المقارنة التشريعية بين النماذج التنظيمية المختلفة في مجال الذكاء الاصطناعي القانوني رصدَ ثلاثة توجهات كبرى يتبنّاها المشرّعون عالمياً في معالجة هذا الملف، وتتفاوت هذه التوجهات من حيث درجة التقييد ودرجة الحرية الابتكارية:</w:t>
      </w:r>
    </w:p>
    <w:p w14:paraId="5F2976D7" w14:textId="77777777" w:rsidR="005705DD" w:rsidRDefault="005705DD" w:rsidP="005705DD">
      <w:pPr>
        <w:bidi/>
        <w:spacing w:after="200" w:line="276" w:lineRule="auto"/>
        <w:rPr>
          <w:rtl/>
        </w:rPr>
      </w:pPr>
      <w:r>
        <w:rPr>
          <w:rFonts w:asciiTheme="majorBidi" w:hAnsiTheme="majorBidi" w:cstheme="majorBidi"/>
          <w:sz w:val="24"/>
          <w:szCs w:val="24"/>
          <w:rtl/>
        </w:rPr>
        <w:t>التوجه الأول — نموذج التنظيم المبني على المخاطر (Risk-</w:t>
      </w:r>
      <w:proofErr w:type="spellStart"/>
      <w:r>
        <w:rPr>
          <w:rFonts w:asciiTheme="majorBidi" w:hAnsiTheme="majorBidi" w:cstheme="majorBidi"/>
          <w:sz w:val="24"/>
          <w:szCs w:val="24"/>
          <w:rtl/>
        </w:rPr>
        <w:t>Based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Regulation</w:t>
      </w:r>
      <w:proofErr w:type="spellEnd"/>
      <w:r>
        <w:rPr>
          <w:rFonts w:asciiTheme="majorBidi" w:hAnsiTheme="majorBidi" w:cstheme="majorBidi"/>
          <w:sz w:val="24"/>
          <w:szCs w:val="24"/>
          <w:rtl/>
        </w:rPr>
        <w:t xml:space="preserve">): ويتجلى أوضح </w:t>
      </w:r>
      <w:proofErr w:type="spellStart"/>
      <w:r>
        <w:rPr>
          <w:rFonts w:asciiTheme="majorBidi" w:hAnsiTheme="majorBidi" w:cstheme="majorBidi"/>
          <w:sz w:val="24"/>
          <w:szCs w:val="24"/>
          <w:rtl/>
        </w:rPr>
        <w:t>تجسيداته</w:t>
      </w:r>
      <w:proofErr w:type="spellEnd"/>
      <w:r>
        <w:rPr>
          <w:rFonts w:asciiTheme="majorBidi" w:hAnsiTheme="majorBidi" w:cstheme="majorBidi"/>
          <w:sz w:val="24"/>
          <w:szCs w:val="24"/>
          <w:rtl/>
        </w:rPr>
        <w:t xml:space="preserve"> في قانون الذكاء الاصطناعي </w:t>
      </w:r>
      <w:proofErr w:type="gramStart"/>
      <w:r>
        <w:rPr>
          <w:rFonts w:asciiTheme="majorBidi" w:hAnsiTheme="majorBidi" w:cstheme="majorBidi"/>
          <w:sz w:val="24"/>
          <w:szCs w:val="24"/>
          <w:rtl/>
        </w:rPr>
        <w:t xml:space="preserve">الأوروبي </w:t>
      </w:r>
      <w:r>
        <w:rPr>
          <w:rFonts w:asciiTheme="majorBidi" w:hAnsiTheme="majorBidi" w:cstheme="majorBidi"/>
          <w:sz w:val="24"/>
          <w:szCs w:val="24"/>
          <w:vertAlign w:val="superscript"/>
          <w:rtl/>
        </w:rPr>
        <w:footnoteReference w:id="315"/>
      </w:r>
      <w:r>
        <w:rPr>
          <w:rFonts w:asciiTheme="majorBidi" w:hAnsiTheme="majorBidi" w:cstheme="majorBidi"/>
          <w:sz w:val="24"/>
          <w:szCs w:val="24"/>
          <w:rtl/>
        </w:rPr>
        <w:t>،</w:t>
      </w:r>
      <w:proofErr w:type="gramEnd"/>
      <w:r>
        <w:rPr>
          <w:rFonts w:asciiTheme="majorBidi" w:hAnsiTheme="majorBidi" w:cstheme="majorBidi"/>
          <w:sz w:val="24"/>
          <w:szCs w:val="24"/>
          <w:rtl/>
        </w:rPr>
        <w:t xml:space="preserve"> الذي يُصنّف أنظمة الذكاء الاصطناعي وفق درجة خطورتها على الحقوق والحريات إلى أربع فئات: غير مقبول (محظور)، مخاطر عالية، مخاطر محدودة، مخاطر منخفضة. ويُطبّق على الفئة الأعلى خطورةً </w:t>
      </w:r>
      <w:commentRangeStart w:id="172"/>
      <w:commentRangeStart w:id="173"/>
      <w:r>
        <w:rPr>
          <w:rFonts w:asciiTheme="majorBidi" w:hAnsiTheme="majorBidi" w:cstheme="majorBidi"/>
          <w:sz w:val="24"/>
          <w:szCs w:val="24"/>
          <w:rtl/>
        </w:rPr>
        <w:t>—</w:t>
      </w:r>
      <w:commentRangeEnd w:id="172"/>
      <w:r>
        <w:rPr>
          <w:rStyle w:val="af0"/>
          <w:rFonts w:asciiTheme="majorBidi" w:hAnsiTheme="majorBidi" w:cstheme="majorBidi"/>
          <w:sz w:val="24"/>
          <w:szCs w:val="24"/>
          <w:rtl/>
        </w:rPr>
        <w:commentReference w:id="172"/>
      </w:r>
      <w:commentRangeEnd w:id="173"/>
      <w:r>
        <w:rPr>
          <w:rStyle w:val="af0"/>
          <w:rFonts w:asciiTheme="majorBidi" w:hAnsiTheme="majorBidi" w:cstheme="majorBidi"/>
          <w:sz w:val="24"/>
          <w:szCs w:val="24"/>
          <w:rtl/>
        </w:rPr>
        <w:commentReference w:id="173"/>
      </w:r>
      <w:r>
        <w:rPr>
          <w:rFonts w:asciiTheme="majorBidi" w:hAnsiTheme="majorBidi" w:cstheme="majorBidi"/>
          <w:sz w:val="24"/>
          <w:szCs w:val="24"/>
          <w:rtl/>
        </w:rPr>
        <w:t xml:space="preserve"> ومنها الأنظمة المستخدمة في إقامة العدل والقانون</w:t>
      </w:r>
      <w:commentRangeStart w:id="174"/>
      <w:commentRangeStart w:id="175"/>
      <w:r>
        <w:rPr>
          <w:rFonts w:asciiTheme="majorBidi" w:hAnsiTheme="majorBidi" w:cstheme="majorBidi"/>
          <w:sz w:val="24"/>
          <w:szCs w:val="24"/>
          <w:rtl/>
        </w:rPr>
        <w:t xml:space="preserve"> — </w:t>
      </w:r>
      <w:commentRangeEnd w:id="174"/>
      <w:r>
        <w:rPr>
          <w:rStyle w:val="af0"/>
          <w:rFonts w:asciiTheme="majorBidi" w:hAnsiTheme="majorBidi" w:cstheme="majorBidi"/>
          <w:sz w:val="24"/>
          <w:szCs w:val="24"/>
          <w:rtl/>
        </w:rPr>
        <w:commentReference w:id="174"/>
      </w:r>
      <w:commentRangeEnd w:id="175"/>
      <w:r>
        <w:rPr>
          <w:rStyle w:val="af0"/>
          <w:rFonts w:asciiTheme="majorBidi" w:hAnsiTheme="majorBidi" w:cstheme="majorBidi"/>
          <w:sz w:val="24"/>
          <w:szCs w:val="24"/>
          <w:rtl/>
        </w:rPr>
        <w:commentReference w:id="175"/>
      </w:r>
      <w:r>
        <w:rPr>
          <w:rFonts w:asciiTheme="majorBidi" w:hAnsiTheme="majorBidi" w:cstheme="majorBidi"/>
          <w:sz w:val="24"/>
          <w:szCs w:val="24"/>
          <w:rtl/>
        </w:rPr>
        <w:t>أشد الاشتراطات قسوةً، في حين يُخفّف المتطلبات على الأنظمة الأقل خطورة. ويتميز هذا التوجه بأنه يُحقق توازناً دقيقاً بين الحماية والابتكار، ويتفادى التنظيم الزائد غير الضروري.</w:t>
      </w:r>
    </w:p>
    <w:p w14:paraId="54C10D77" w14:textId="77777777" w:rsidR="005705DD" w:rsidRDefault="005705DD" w:rsidP="005705DD">
      <w:pPr>
        <w:bidi/>
        <w:spacing w:after="200" w:line="276" w:lineRule="auto"/>
        <w:rPr>
          <w:rtl/>
        </w:rPr>
      </w:pPr>
      <w:r>
        <w:rPr>
          <w:rFonts w:asciiTheme="majorBidi" w:hAnsiTheme="majorBidi" w:cstheme="majorBidi"/>
          <w:sz w:val="24"/>
          <w:szCs w:val="24"/>
          <w:rtl/>
        </w:rPr>
        <w:t>التوجه الثاني — نموذج التنظيم الانتظاري (</w:t>
      </w:r>
      <w:proofErr w:type="spellStart"/>
      <w:r>
        <w:rPr>
          <w:rFonts w:asciiTheme="majorBidi" w:hAnsiTheme="majorBidi" w:cstheme="majorBidi"/>
          <w:sz w:val="24"/>
          <w:szCs w:val="24"/>
          <w:rtl/>
        </w:rPr>
        <w:t>Wait-and-See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Regulation</w:t>
      </w:r>
      <w:proofErr w:type="spellEnd"/>
      <w:r>
        <w:rPr>
          <w:rFonts w:asciiTheme="majorBidi" w:hAnsiTheme="majorBidi" w:cstheme="majorBidi"/>
          <w:sz w:val="24"/>
          <w:szCs w:val="24"/>
          <w:rtl/>
        </w:rPr>
        <w:t>): وهو النموذج السائد في معظم الدول العربية حالياً، بما فيها المملكة العربية السعودية، ويتمثل في تأجيل التشريع الصريح إلى أن تتضح معالم التقنية وتتراكم الحوادث التي تستدعي الاستجابة. ورغم أن هذا التوجه يُتيح مرونةً أكبر في مرحلة التقنية المبكرة، إلا أنه ينطوي على مخاطر تراكم الإشكاليات التطبيقية غير المُعالَجة.</w:t>
      </w:r>
    </w:p>
    <w:p w14:paraId="0D2E75A3" w14:textId="77777777" w:rsidR="005705DD" w:rsidRDefault="005705DD" w:rsidP="005705DD">
      <w:pPr>
        <w:bidi/>
        <w:spacing w:after="200" w:line="276" w:lineRule="auto"/>
        <w:rPr>
          <w:rtl/>
        </w:rPr>
      </w:pPr>
      <w:r>
        <w:rPr>
          <w:rFonts w:asciiTheme="majorBidi" w:hAnsiTheme="majorBidi" w:cstheme="majorBidi"/>
          <w:sz w:val="24"/>
          <w:szCs w:val="24"/>
          <w:rtl/>
        </w:rPr>
        <w:t>التوجه الثالث — نموذج التنظيم الاستباقي المتكامل (</w:t>
      </w:r>
      <w:proofErr w:type="spellStart"/>
      <w:r>
        <w:rPr>
          <w:rFonts w:asciiTheme="majorBidi" w:hAnsiTheme="majorBidi" w:cstheme="majorBidi"/>
          <w:sz w:val="24"/>
          <w:szCs w:val="24"/>
          <w:rtl/>
        </w:rPr>
        <w:t>Proactive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Integrated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Regulation</w:t>
      </w:r>
      <w:proofErr w:type="spellEnd"/>
      <w:r>
        <w:rPr>
          <w:rFonts w:asciiTheme="majorBidi" w:hAnsiTheme="majorBidi" w:cstheme="majorBidi"/>
          <w:sz w:val="24"/>
          <w:szCs w:val="24"/>
          <w:rtl/>
        </w:rPr>
        <w:t>): وهو النموذج الأقرب إلى ما تبنّته الإمارات، ويجمع بين التشريع المبكر والسياسات التنفيذية والتوجيهات المهنية في منظومة متكاملة متزامنة مع النشر التقني لا لاحقةً عليه. ويتميز هذا التوجه بأنه يُقلّل من الفجوة الزمنية بين الواقع التقني والإطار التنظيمي.</w:t>
      </w:r>
    </w:p>
    <w:p w14:paraId="4A6394CD" w14:textId="77777777" w:rsidR="005705DD" w:rsidRDefault="005705DD" w:rsidP="005705DD">
      <w:pPr>
        <w:bidi/>
        <w:spacing w:after="200" w:line="276" w:lineRule="auto"/>
        <w:rPr>
          <w:rtl/>
        </w:rPr>
      </w:pPr>
      <w:r>
        <w:rPr>
          <w:rFonts w:asciiTheme="majorBidi" w:hAnsiTheme="majorBidi" w:cstheme="majorBidi"/>
          <w:sz w:val="24"/>
          <w:szCs w:val="24"/>
          <w:rtl/>
        </w:rPr>
        <w:t>وفي ضوء هذه التوجهات الثلاثة، يُرى الباحث أن الأنسب للبيئة السعودية في مرحلتها الراهنة هو التحرك نحو التوجه الثالث مع استيعاب منهجية التوجه الأول في الاشتراطات المادية. ومقتضى ذلك:</w:t>
      </w:r>
    </w:p>
    <w:p w14:paraId="69506B37" w14:textId="77777777" w:rsidR="005705DD" w:rsidRDefault="005705DD" w:rsidP="005705DD">
      <w:pPr>
        <w:bidi/>
        <w:spacing w:after="200" w:line="276" w:lineRule="auto"/>
        <w:rPr>
          <w:rtl/>
        </w:rPr>
      </w:pPr>
      <w:r>
        <w:rPr>
          <w:rFonts w:asciiTheme="majorBidi" w:hAnsiTheme="majorBidi" w:cstheme="majorBidi"/>
          <w:sz w:val="24"/>
          <w:szCs w:val="24"/>
          <w:rtl/>
        </w:rPr>
        <w:t xml:space="preserve">أ — إصدار نظام أو لائحة صريحة بشأن الذكاء الاصطناعي في المهن القانونية خلال الأفق الزمني 1447هـ-1449هـ (2026م-2028م)، يُحدد فئات الاستخدام وما </w:t>
      </w:r>
      <w:proofErr w:type="spellStart"/>
      <w:r>
        <w:rPr>
          <w:rFonts w:asciiTheme="majorBidi" w:hAnsiTheme="majorBidi" w:cstheme="majorBidi"/>
          <w:sz w:val="24"/>
          <w:szCs w:val="24"/>
          <w:rtl/>
        </w:rPr>
        <w:t>يقتضيه</w:t>
      </w:r>
      <w:proofErr w:type="spellEnd"/>
      <w:r>
        <w:rPr>
          <w:rFonts w:asciiTheme="majorBidi" w:hAnsiTheme="majorBidi" w:cstheme="majorBidi"/>
          <w:sz w:val="24"/>
          <w:szCs w:val="24"/>
          <w:rtl/>
        </w:rPr>
        <w:t xml:space="preserve"> كل فئة من اشتراطات.</w:t>
      </w:r>
    </w:p>
    <w:p w14:paraId="4D2E08A7" w14:textId="77777777" w:rsidR="005705DD" w:rsidRDefault="005705DD" w:rsidP="005705DD">
      <w:pPr>
        <w:bidi/>
        <w:spacing w:after="200" w:line="276" w:lineRule="auto"/>
        <w:rPr>
          <w:rtl/>
        </w:rPr>
      </w:pPr>
      <w:r>
        <w:rPr>
          <w:rFonts w:asciiTheme="majorBidi" w:hAnsiTheme="majorBidi" w:cstheme="majorBidi"/>
          <w:sz w:val="24"/>
          <w:szCs w:val="24"/>
          <w:rtl/>
        </w:rPr>
        <w:t>ب — إصدار دليل توجيهي مهني من الهيئة السعودية للمحامين في المرحلة الراهنة يسد الفراغ التشريعي المؤقت، على غرار ما فعلته نقابات المحامين في فرنسا وكندا وأستراليا.</w:t>
      </w:r>
    </w:p>
    <w:p w14:paraId="7A0EC92E" w14:textId="77777777" w:rsidR="005705DD" w:rsidRDefault="005705DD" w:rsidP="005705DD">
      <w:pPr>
        <w:bidi/>
        <w:spacing w:after="200" w:line="276" w:lineRule="auto"/>
        <w:rPr>
          <w:rtl/>
        </w:rPr>
      </w:pPr>
      <w:r>
        <w:rPr>
          <w:rFonts w:asciiTheme="majorBidi" w:hAnsiTheme="majorBidi" w:cstheme="majorBidi"/>
          <w:sz w:val="24"/>
          <w:szCs w:val="24"/>
          <w:rtl/>
        </w:rPr>
        <w:t>ج — التمييز في الاشتراطات بين أنواع الاستخدام بحسب درجة خطورتها: فالاستخدام في تحضير وثائق قضائية يستلزم اشتراطات أعلى من الاستخدام في إعداد المراسلات الإدارية الروتينية.</w:t>
      </w:r>
    </w:p>
    <w:p w14:paraId="2448D3BD" w14:textId="77777777" w:rsidR="005705DD" w:rsidRDefault="005705DD" w:rsidP="005705DD">
      <w:pPr>
        <w:bidi/>
        <w:spacing w:after="200" w:line="276" w:lineRule="auto"/>
        <w:rPr>
          <w:rtl/>
        </w:rPr>
      </w:pPr>
      <w:r>
        <w:rPr>
          <w:rFonts w:asciiTheme="majorBidi" w:hAnsiTheme="majorBidi" w:cstheme="majorBidi"/>
          <w:sz w:val="24"/>
          <w:szCs w:val="24"/>
          <w:rtl/>
        </w:rPr>
        <w:t>د — اشتراط التسجيل المهني للأدوات الذكية المستخدمة في القطاع القانوني لدى جهة رقابية مختصة تتولى مراجعتها وتحديد درجة خطورتها، على غرار آليات ترخيص المستشفيات للأجهزة الطبية.</w:t>
      </w:r>
    </w:p>
    <w:p w14:paraId="18EFAE0A"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عدم التحرك التشريعي خلال المرحلة المقبلة سيؤدي حتماً إلى تكرّس الاستخدام الفردي غير المنضبط بصورة تُصبح معها إعادة الهندسة التشريعية أعسر وأكثر كلفةً من إطار التنظيم المبكر الاستباقي. فمن ثمار الفهم القانوني الاستشرافي ألا يتأخر المشرّع حتى تقع الفوضى ثم يسعى إلى إصلاحها.</w:t>
      </w:r>
    </w:p>
    <w:p w14:paraId="3DF467D6" w14:textId="77777777" w:rsidR="005705DD" w:rsidRDefault="005705DD" w:rsidP="005705DD"/>
    <w:p w14:paraId="64404B0A" w14:textId="77777777" w:rsidR="005705DD" w:rsidRPr="00A84F46" w:rsidRDefault="005705DD" w:rsidP="005705DD">
      <w:pPr>
        <w:bidi/>
        <w:spacing w:after="200" w:line="276" w:lineRule="auto"/>
        <w:rPr>
          <w:bCs/>
          <w:color w:val="000000" w:themeColor="text1"/>
          <w:rtl/>
        </w:rPr>
      </w:pPr>
      <w:commentRangeStart w:id="176"/>
      <w:commentRangeStart w:id="177"/>
      <w:r>
        <w:rPr>
          <w:rFonts w:asciiTheme="majorBidi" w:hAnsiTheme="majorBidi" w:cstheme="majorBidi"/>
          <w:bCs/>
          <w:color w:val="000000" w:themeColor="text1"/>
          <w:sz w:val="28"/>
          <w:szCs w:val="28"/>
          <w:rtl/>
        </w:rPr>
        <w:lastRenderedPageBreak/>
        <w:t>خامساً: مقارنة تنظيمية بين النظامين السعودي والإماراتي في مجال الذكاء الاصطناعي القانوني</w:t>
      </w:r>
      <w:commentRangeEnd w:id="176"/>
      <w:r w:rsidRPr="00A84F46">
        <w:rPr>
          <w:rStyle w:val="af0"/>
          <w:bCs/>
          <w:color w:val="000000" w:themeColor="text1"/>
          <w:sz w:val="22"/>
          <w:szCs w:val="22"/>
          <w:rtl/>
        </w:rPr>
        <w:commentReference w:id="176"/>
      </w:r>
      <w:commentRangeEnd w:id="177"/>
      <w:r w:rsidRPr="00A84F46">
        <w:rPr>
          <w:rStyle w:val="af0"/>
          <w:bCs/>
          <w:color w:val="000000" w:themeColor="text1"/>
          <w:sz w:val="22"/>
          <w:szCs w:val="22"/>
          <w:rtl/>
        </w:rPr>
        <w:commentReference w:id="177"/>
      </w:r>
    </w:p>
    <w:p w14:paraId="118BB7B8"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التحليلية الدقيقة بين النظامَين السعودي والإماراتي في رسم صورة أوضح للمواطن التي تتفوق فيها كل تجربة على الأخرى، وهي مقارنة لا تهدف إلى الإطراء على الآخر أو الانتقاص من الذات، بل إلى استشراف الخيارات الممكنة ورسم الطريق الأكثر ملاءمةً للسياق السعودي. وتتمحور المقارنة حول خمسة محاور رئيسية:</w:t>
      </w:r>
    </w:p>
    <w:p w14:paraId="3813D5B3"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المأسسة التنظيمية: أنشأت الإمارات وزارة دولة مختصة بشؤون الذكاء الاصطناعي منذ عام 2017م، في حين تتوزع المهام ذات الصلة في المملكة العربية السعودية بين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(المنشأة عام 2019م) ووزارة الاتصالات والتقنية، دون أن تُخصَّص وحدة منفردة للذكاء الاصطناعي القانوني. وهذا يعني أن القطاع القانوني السعودي يفتقر إلى جهة مرجعية موحّدة متخصصة تتولى قيادة التنظيم في هذا المجال، بخلاف الإمارات التي أنشأت لجاناً استشارية تضم ممثلين من القطاع القانوني ضمن منظومة تنظيم الذكاء الاصطناعي.</w:t>
      </w:r>
    </w:p>
    <w:p w14:paraId="6BFA1548"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حماية البيانات: يتميز نظام حماية البيانات الشخصية السعودي (1443هـ) بشمولية أحكامه العامة، غير أنه يفتقر إلى أحكام مخصصة للقطاع القانوني والبيانات ذات الطابع القضائي. في المقابل، يشتمل القانون الاتحادي الإماراتي رقم 45 لسنة 2021م على أحكام أكثر تفصيلاً بشأن "البيانات الحساسة" — بما فيها البيانات المرتبطة بالإجراءات القانونية — مع إيجاد هيئة رقابية متخصصة قادرة على تنفيذ الأحكام. وقد أنشأت الإمارات كذلك نظام رقابة متكاملاً للتحقق من الامتثال لمتطلبات حماية البيانات في المنصات الرقمية، وهو ما يُشكّل تقدماً تنفيذياً يتجاوز ما أتى به النظير السعودي حتى الآن.</w:t>
      </w:r>
    </w:p>
    <w:p w14:paraId="740F6284"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الثالث — القطاع القضائي الرقمي: تجرّب الإمارات منذ عام 2020م ما أسمته "المحكمة الذكية"، وهي نموذج محكمة متكامل يعتمد على الذكاء الاصطناعي في إدارة الجدول القضائي وفرز المستندات وتنظيم الجلسات، مع إبقاء القرار القضائي في يد القاضي البشري حصراً. وعلى الرغم من أن المملكة العربية السعودية حققت قفزات نوعية في </w:t>
      </w:r>
      <w:proofErr w:type="spellStart"/>
      <w:r>
        <w:rPr>
          <w:rFonts w:asciiTheme="majorBidi" w:hAnsiTheme="majorBidi" w:cstheme="majorBidi"/>
          <w:sz w:val="24"/>
          <w:szCs w:val="24"/>
          <w:rtl/>
        </w:rPr>
        <w:t>رقمنة</w:t>
      </w:r>
      <w:proofErr w:type="spellEnd"/>
      <w:r>
        <w:rPr>
          <w:rFonts w:asciiTheme="majorBidi" w:hAnsiTheme="majorBidi" w:cstheme="majorBidi"/>
          <w:sz w:val="24"/>
          <w:szCs w:val="24"/>
          <w:rtl/>
        </w:rPr>
        <w:t xml:space="preserve"> الخدمات القضائية عبر منصة ناجز، إلا أن تجريب نماذج الذكاء الاصطناعي في الإجراءات القضائية ذاتها لا يزال في مراحله الأولى مقارنةً بالتجربة الإماراتية.</w:t>
      </w:r>
    </w:p>
    <w:p w14:paraId="0D43496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الرابع — الأطر الأخلاقية: أصدرت كلتا الدولتين وثائق أخلاقيات وطنية للذكاء الاصطناعي، غير أن الإطار الإماراتي يتميز باشتمال وثيقة "أخلاقيات الذكاء الاصطناعي" على توجيهات تطبيقية قطاعية، فيما اتسمت وثيقة مبادئ أخلاقيات الذكاء الاصطناعي </w:t>
      </w:r>
      <w:proofErr w:type="gramStart"/>
      <w:r>
        <w:rPr>
          <w:rFonts w:asciiTheme="majorBidi" w:hAnsiTheme="majorBidi" w:cstheme="majorBidi"/>
          <w:sz w:val="24"/>
          <w:szCs w:val="24"/>
          <w:rtl/>
        </w:rPr>
        <w:t xml:space="preserve">السعودية </w:t>
      </w:r>
      <w:r>
        <w:rPr>
          <w:rFonts w:asciiTheme="majorBidi" w:hAnsiTheme="majorBidi" w:cstheme="majorBidi"/>
          <w:sz w:val="24"/>
          <w:szCs w:val="24"/>
          <w:vertAlign w:val="superscript"/>
          <w:rtl/>
        </w:rPr>
        <w:footnoteReference w:id="316"/>
      </w:r>
      <w:r>
        <w:rPr>
          <w:rFonts w:asciiTheme="majorBidi" w:hAnsiTheme="majorBidi" w:cstheme="majorBidi"/>
          <w:sz w:val="24"/>
          <w:szCs w:val="24"/>
          <w:rtl/>
        </w:rPr>
        <w:t xml:space="preserve"> بالطابع</w:t>
      </w:r>
      <w:proofErr w:type="gramEnd"/>
      <w:r>
        <w:rPr>
          <w:rFonts w:asciiTheme="majorBidi" w:hAnsiTheme="majorBidi" w:cstheme="majorBidi"/>
          <w:sz w:val="24"/>
          <w:szCs w:val="24"/>
          <w:rtl/>
        </w:rPr>
        <w:t xml:space="preserve"> العام دون نزول إلى تفاصيل تطبيقها في قطاعات بعينها كالقطاع القانوني.</w:t>
      </w:r>
    </w:p>
    <w:p w14:paraId="6964D4F4" w14:textId="77777777" w:rsidR="005705DD" w:rsidRDefault="005705DD" w:rsidP="005705DD">
      <w:pPr>
        <w:bidi/>
        <w:spacing w:after="200" w:line="276" w:lineRule="auto"/>
        <w:rPr>
          <w:rtl/>
        </w:rPr>
      </w:pPr>
      <w:r>
        <w:rPr>
          <w:rFonts w:asciiTheme="majorBidi" w:hAnsiTheme="majorBidi" w:cstheme="majorBidi"/>
          <w:sz w:val="24"/>
          <w:szCs w:val="24"/>
          <w:rtl/>
        </w:rPr>
        <w:t>المحور الخامس — الإنفاذ والمساءلة: تُعدّ هذه المحور أهم المحاور تطبيقياً، وكلتا الدولتين يُعانيان من قصور فيه. فالوثائق التوجيهية في البلدين تفتقر إلى آليات إنفاذ بالغة الفاعلية في القطاع القانوني، إذ لم تُوثَّق حتى الآن في مجلس التحرير العلمي لأيٍّ منهما حوادث ملاحقة تأديبية واضحة لمحامٍ بسبب إساءة استخدام الذكاء الاصطناعي. وإن كانت الإمارات أسرع في مسار سنّ قوانين الإنفاذ الإلزامية، إلا أن الأثر الفعلي على المهنة القانونية لا يزال محدوداً في كلا البلدين.</w:t>
      </w:r>
    </w:p>
    <w:p w14:paraId="5C4A863B"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هذه المقارنة المحورية إلى أن التجربة الإماراتية تتقدم على السعودية في مسارَي المأسسة التنظيمية والتجريب الميداني، في حين قد تتميز التجربة السعودية بعمق الأساس التشريعي ورسوخ المرجعية الفقهية التي تُمكّن من بناء إطار أخلاقي أعمق وأكثر استقراراً على المدى البعيد. والأمثل هو الجمع بين الميزتَين: المأسسة الإماراتية المبكرة والعمق التأصيلي الفقهي السعودي.</w:t>
      </w:r>
    </w:p>
    <w:p w14:paraId="320C6D5C" w14:textId="77777777" w:rsidR="005705DD" w:rsidRDefault="005705DD" w:rsidP="005705DD"/>
    <w:p w14:paraId="21CC39CA"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lastRenderedPageBreak/>
        <w:t>المطلب الثالث</w:t>
      </w:r>
    </w:p>
    <w:p w14:paraId="32D1CC48"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المسؤولية القانونية الموزَّعة وأدوات الحوكمة المؤسسية</w:t>
      </w:r>
    </w:p>
    <w:p w14:paraId="3596AE17" w14:textId="77777777" w:rsidR="005705DD" w:rsidRPr="00A84F46" w:rsidRDefault="005705DD" w:rsidP="005705DD">
      <w:pPr>
        <w:bidi/>
        <w:spacing w:after="200" w:line="276" w:lineRule="auto"/>
        <w:rPr>
          <w:color w:val="000000" w:themeColor="text1"/>
          <w:rtl/>
        </w:rPr>
      </w:pPr>
      <w:commentRangeStart w:id="178"/>
      <w:commentRangeStart w:id="179"/>
      <w:r>
        <w:rPr>
          <w:rFonts w:asciiTheme="majorBidi" w:hAnsiTheme="majorBidi" w:cstheme="majorBidi"/>
          <w:b/>
          <w:color w:val="000000" w:themeColor="text1"/>
          <w:sz w:val="28"/>
          <w:szCs w:val="28"/>
          <w:rtl/>
        </w:rPr>
        <w:t>أولاً: أولاً: دور الهيئة السعودية للمحامين في ضبط استخدام الذكاء الاصطناعي</w:t>
      </w:r>
      <w:commentRangeEnd w:id="178"/>
      <w:r w:rsidRPr="00A84F46">
        <w:rPr>
          <w:rStyle w:val="af0"/>
          <w:color w:val="000000" w:themeColor="text1"/>
          <w:sz w:val="22"/>
          <w:szCs w:val="22"/>
          <w:rtl/>
        </w:rPr>
        <w:commentReference w:id="178"/>
      </w:r>
      <w:commentRangeEnd w:id="179"/>
      <w:r w:rsidRPr="00A84F46">
        <w:rPr>
          <w:rStyle w:val="af0"/>
          <w:color w:val="000000" w:themeColor="text1"/>
          <w:sz w:val="22"/>
          <w:szCs w:val="22"/>
          <w:rtl/>
        </w:rPr>
        <w:commentReference w:id="179"/>
      </w:r>
    </w:p>
    <w:p w14:paraId="70A16A37" w14:textId="77777777" w:rsidR="005705DD" w:rsidRDefault="005705DD" w:rsidP="005705DD">
      <w:pPr>
        <w:bidi/>
        <w:spacing w:after="200" w:line="276" w:lineRule="auto"/>
        <w:rPr>
          <w:rtl/>
        </w:rPr>
      </w:pPr>
      <w:r>
        <w:rPr>
          <w:rFonts w:asciiTheme="majorBidi" w:hAnsiTheme="majorBidi" w:cstheme="majorBidi"/>
          <w:sz w:val="24"/>
          <w:szCs w:val="24"/>
          <w:rtl/>
        </w:rPr>
        <w:t>تمارس الهيئة السعودية للمحامين بموجب نظام المحاماة وتنظيمها أدواراً مهنية وتنظيمية، وقد جعل النظام العضوية الأساسية فيها إلزامية لكل مرخص له (المادة الحادية والعشرون مكرر)، فيما عُهد بتوقيع العقوبات التأديبية إلى لجنة التأديب (المادتان التاسعة والعشرون والحادية والثلاثون)، ويمكن توظيف هذه المنظومة</w:t>
      </w:r>
      <w:r>
        <w:rPr>
          <w:rFonts w:asciiTheme="majorBidi" w:hAnsiTheme="majorBidi" w:cstheme="majorBidi"/>
          <w:sz w:val="24"/>
          <w:szCs w:val="24"/>
          <w:vertAlign w:val="superscript"/>
          <w:rtl/>
        </w:rPr>
        <w:footnoteReference w:id="317"/>
      </w:r>
      <w:r>
        <w:rPr>
          <w:rFonts w:asciiTheme="majorBidi" w:hAnsiTheme="majorBidi" w:cstheme="majorBidi"/>
          <w:sz w:val="24"/>
          <w:szCs w:val="24"/>
          <w:rtl/>
        </w:rPr>
        <w:t xml:space="preserve"> </w:t>
      </w:r>
      <w:commentRangeStart w:id="180"/>
      <w:commentRangeStart w:id="181"/>
      <w:r>
        <w:rPr>
          <w:rFonts w:asciiTheme="majorBidi" w:hAnsiTheme="majorBidi" w:cstheme="majorBidi"/>
          <w:sz w:val="24"/>
          <w:szCs w:val="24"/>
          <w:rtl/>
        </w:rPr>
        <w:t>—</w:t>
      </w:r>
      <w:commentRangeEnd w:id="180"/>
      <w:r>
        <w:rPr>
          <w:rStyle w:val="af0"/>
          <w:rFonts w:asciiTheme="majorBidi" w:hAnsiTheme="majorBidi" w:cstheme="majorBidi"/>
          <w:sz w:val="24"/>
          <w:szCs w:val="24"/>
          <w:rtl/>
        </w:rPr>
        <w:commentReference w:id="180"/>
      </w:r>
      <w:commentRangeEnd w:id="181"/>
      <w:r>
        <w:rPr>
          <w:rStyle w:val="af0"/>
          <w:rFonts w:asciiTheme="majorBidi" w:hAnsiTheme="majorBidi" w:cstheme="majorBidi"/>
          <w:sz w:val="24"/>
          <w:szCs w:val="24"/>
          <w:rtl/>
        </w:rPr>
        <w:commentReference w:id="181"/>
      </w:r>
      <w:r>
        <w:rPr>
          <w:rFonts w:asciiTheme="majorBidi" w:hAnsiTheme="majorBidi" w:cstheme="majorBidi"/>
          <w:sz w:val="24"/>
          <w:szCs w:val="24"/>
          <w:rtl/>
        </w:rPr>
        <w:t xml:space="preserve"> حتى في ظل غياب نظام صريح للذكاء الاصطناعي</w:t>
      </w:r>
      <w:commentRangeStart w:id="182"/>
      <w:commentRangeStart w:id="183"/>
      <w:r>
        <w:rPr>
          <w:rFonts w:asciiTheme="majorBidi" w:hAnsiTheme="majorBidi" w:cstheme="majorBidi"/>
          <w:sz w:val="24"/>
          <w:szCs w:val="24"/>
          <w:rtl/>
        </w:rPr>
        <w:t xml:space="preserve"> — </w:t>
      </w:r>
      <w:commentRangeEnd w:id="182"/>
      <w:r>
        <w:rPr>
          <w:rStyle w:val="af0"/>
          <w:rFonts w:asciiTheme="majorBidi" w:hAnsiTheme="majorBidi" w:cstheme="majorBidi"/>
          <w:sz w:val="24"/>
          <w:szCs w:val="24"/>
          <w:rtl/>
        </w:rPr>
        <w:commentReference w:id="182"/>
      </w:r>
      <w:commentRangeEnd w:id="183"/>
      <w:r>
        <w:rPr>
          <w:rStyle w:val="af0"/>
          <w:rFonts w:asciiTheme="majorBidi" w:hAnsiTheme="majorBidi" w:cstheme="majorBidi"/>
          <w:sz w:val="24"/>
          <w:szCs w:val="24"/>
          <w:rtl/>
        </w:rPr>
        <w:commentReference w:id="183"/>
      </w:r>
      <w:r>
        <w:rPr>
          <w:rFonts w:asciiTheme="majorBidi" w:hAnsiTheme="majorBidi" w:cstheme="majorBidi"/>
          <w:sz w:val="24"/>
          <w:szCs w:val="24"/>
          <w:rtl/>
        </w:rPr>
        <w:t>لمعالجة بعض الإشكاليات الراهنة. وفيما يلي استعراض لأبعاد دور الهيئة في هذا السياق:</w:t>
      </w:r>
    </w:p>
    <w:p w14:paraId="7B74B338" w14:textId="77777777" w:rsidR="005705DD" w:rsidRDefault="005705DD" w:rsidP="005705DD">
      <w:pPr>
        <w:bidi/>
        <w:spacing w:after="200" w:line="276" w:lineRule="auto"/>
        <w:rPr>
          <w:rtl/>
        </w:rPr>
      </w:pPr>
      <w:commentRangeStart w:id="184"/>
      <w:commentRangeStart w:id="185"/>
      <w:r>
        <w:rPr>
          <w:rFonts w:asciiTheme="majorBidi" w:hAnsiTheme="majorBidi" w:cstheme="majorBidi"/>
          <w:sz w:val="24"/>
          <w:szCs w:val="24"/>
          <w:rtl/>
        </w:rPr>
        <w:t>أولاً: المسار التأديبي القائم — يمكن تحريك المساءلة التأديبية أمام لجنة التأديب على الأفعال المخلة بالواجبات المهنية. ومخالفة واجب السرية، أو تقديم مرجع قانوني كاذب استناداً إلى ذكاء اصطناعي، أو الإهمال في مراجعة مخرجات الأداة الذكية — كل هذه الأفعال قابلة للمعالجة بالأدوات التأديبية القائمة. غير أن القصور في الإطار الراهن يتمثل في غياب سوابق تأديبية مُقنَّنة في هذا المجال تُشكّل مرجعاً ضابطاً للمحامين.</w:t>
      </w:r>
    </w:p>
    <w:p w14:paraId="470C5345" w14:textId="77777777" w:rsidR="005705DD" w:rsidRDefault="005705DD" w:rsidP="005705DD">
      <w:pPr>
        <w:bidi/>
        <w:spacing w:after="200" w:line="276" w:lineRule="auto"/>
        <w:rPr>
          <w:rtl/>
        </w:rPr>
      </w:pPr>
      <w:r>
        <w:rPr>
          <w:rFonts w:asciiTheme="majorBidi" w:hAnsiTheme="majorBidi" w:cstheme="majorBidi"/>
          <w:sz w:val="24"/>
          <w:szCs w:val="24"/>
          <w:rtl/>
        </w:rPr>
        <w:t>ثانياً: صلاحية إصدار الأدلة المهنية التوجيهية — تملك الهيئة صلاحية إصدار أدلة تفسيرية للقواعد الأخلاقية المهنية. وفي هذا الإطار، يمكنها إصدار دليل توجيهي بشأن استخدام الذكاء الاصطناعي يُحدد: (أ) ما يُجيزه الميثاق المهني من استخدامات وما يحظره. (ب) اشتراط الإفصاح للموكل عن استخدام الذكاء الاصطناعي في معالجة ملفه. (ج) إلزامية مراجعة مخرجات الذكاء الاصطناعي من محامٍ مؤهل قبل تقديمها للجهات القضائية.</w:t>
      </w:r>
    </w:p>
    <w:p w14:paraId="3EE35582" w14:textId="77777777" w:rsidR="005705DD" w:rsidRDefault="005705DD" w:rsidP="005705DD">
      <w:pPr>
        <w:bidi/>
        <w:spacing w:after="200" w:line="276" w:lineRule="auto"/>
        <w:rPr>
          <w:rtl/>
        </w:rPr>
      </w:pPr>
      <w:r>
        <w:rPr>
          <w:rFonts w:asciiTheme="majorBidi" w:hAnsiTheme="majorBidi" w:cstheme="majorBidi"/>
          <w:sz w:val="24"/>
          <w:szCs w:val="24"/>
          <w:rtl/>
        </w:rPr>
        <w:t>ثالثاً: صلاحية اشتراط التأهيل المهني — تتولى الهيئة الإشرافَ على التأهيل المهني المستمر للمحامين. ويملك مجلسها اشتراطَ إتمام برامج تدريبية مخصصة في مجال أخلاقيات توظيف الذكاء الاصطناعي في المهنة القانونية، وهو ما يُحوّل التحدي التقني إلى فرصة لرفع مستوى الكفاءة المهنية في القطاع.</w:t>
      </w:r>
      <w:commentRangeEnd w:id="184"/>
      <w:r>
        <w:rPr>
          <w:rStyle w:val="af0"/>
          <w:sz w:val="22"/>
          <w:szCs w:val="22"/>
          <w:rtl/>
        </w:rPr>
        <w:commentReference w:id="184"/>
      </w:r>
      <w:commentRangeEnd w:id="185"/>
      <w:r>
        <w:rPr>
          <w:rStyle w:val="af0"/>
          <w:sz w:val="22"/>
          <w:szCs w:val="22"/>
          <w:rtl/>
        </w:rPr>
        <w:commentReference w:id="185"/>
      </w:r>
    </w:p>
    <w:p w14:paraId="32543518" w14:textId="77777777" w:rsidR="005705DD" w:rsidRDefault="005705DD" w:rsidP="005705DD">
      <w:pPr>
        <w:bidi/>
        <w:spacing w:after="200" w:line="276" w:lineRule="auto"/>
        <w:rPr>
          <w:rtl/>
        </w:rPr>
      </w:pPr>
      <w:r>
        <w:rPr>
          <w:rFonts w:asciiTheme="majorBidi" w:hAnsiTheme="majorBidi" w:cstheme="majorBidi"/>
          <w:sz w:val="24"/>
          <w:szCs w:val="24"/>
          <w:rtl/>
        </w:rPr>
        <w:t xml:space="preserve">رابعاً: الشراكة مع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 أكثر المسارات الواعدة هي التعاون الاستراتيجي بين الهيئة السعودية للمحامين </w:t>
      </w:r>
      <w:proofErr w:type="spellStart"/>
      <w:r>
        <w:rPr>
          <w:rFonts w:asciiTheme="majorBidi" w:hAnsiTheme="majorBidi" w:cstheme="majorBidi"/>
          <w:sz w:val="24"/>
          <w:szCs w:val="24"/>
          <w:rtl/>
        </w:rPr>
        <w:t>وسدايا</w:t>
      </w:r>
      <w:proofErr w:type="spellEnd"/>
      <w:r>
        <w:rPr>
          <w:rFonts w:asciiTheme="majorBidi" w:hAnsiTheme="majorBidi" w:cstheme="majorBidi"/>
          <w:sz w:val="24"/>
          <w:szCs w:val="24"/>
          <w:rtl/>
        </w:rPr>
        <w:t xml:space="preserve"> في وضع لوائح خاصة بالذكاء الاصطناعي في القطاع القانوني، تستفيد من الخبرة التقنية </w:t>
      </w:r>
      <w:proofErr w:type="spellStart"/>
      <w:r>
        <w:rPr>
          <w:rFonts w:asciiTheme="majorBidi" w:hAnsiTheme="majorBidi" w:cstheme="majorBidi"/>
          <w:sz w:val="24"/>
          <w:szCs w:val="24"/>
          <w:rtl/>
        </w:rPr>
        <w:t>لسدايا</w:t>
      </w:r>
      <w:proofErr w:type="spellEnd"/>
      <w:r>
        <w:rPr>
          <w:rFonts w:asciiTheme="majorBidi" w:hAnsiTheme="majorBidi" w:cstheme="majorBidi"/>
          <w:sz w:val="24"/>
          <w:szCs w:val="24"/>
          <w:rtl/>
        </w:rPr>
        <w:t xml:space="preserve"> والمعرفة المهنية للهيئة معاً. وهذا التعاون البيني سيُنتج في حال تفعيله حوكمةً أكثر واقعيةً ودقةً من أي تشريع يصدر من جهة واحدة بمعزل عن الأخرى.</w:t>
      </w:r>
    </w:p>
    <w:p w14:paraId="63859D87" w14:textId="77777777" w:rsidR="005705DD" w:rsidRDefault="005705DD" w:rsidP="005705DD">
      <w:pPr>
        <w:bidi/>
        <w:spacing w:after="200" w:line="276" w:lineRule="auto"/>
        <w:rPr>
          <w:rtl/>
        </w:rPr>
      </w:pPr>
      <w:r>
        <w:rPr>
          <w:rFonts w:asciiTheme="majorBidi" w:hAnsiTheme="majorBidi" w:cstheme="majorBidi"/>
          <w:sz w:val="24"/>
          <w:szCs w:val="24"/>
          <w:rtl/>
        </w:rPr>
        <w:t xml:space="preserve">ويستلهم الباحث في هذا الصدد التجربة الأمريكية التي شهدت اتحاد منظمات المحامين (ABA) وعدداً من </w:t>
      </w:r>
      <w:commentRangeStart w:id="186"/>
      <w:commentRangeStart w:id="187"/>
      <w:r>
        <w:rPr>
          <w:rFonts w:asciiTheme="majorBidi" w:hAnsiTheme="majorBidi" w:cstheme="majorBidi"/>
          <w:sz w:val="24"/>
          <w:szCs w:val="24"/>
          <w:rtl/>
        </w:rPr>
        <w:t xml:space="preserve">نقابات المحامين في الولايات الأمريكية </w:t>
      </w:r>
      <w:commentRangeEnd w:id="186"/>
      <w:r>
        <w:rPr>
          <w:rStyle w:val="af0"/>
          <w:rFonts w:asciiTheme="majorBidi" w:hAnsiTheme="majorBidi" w:cstheme="majorBidi"/>
          <w:sz w:val="24"/>
          <w:szCs w:val="24"/>
          <w:rtl/>
        </w:rPr>
        <w:commentReference w:id="186"/>
      </w:r>
      <w:commentRangeEnd w:id="187"/>
      <w:r>
        <w:rPr>
          <w:rStyle w:val="af0"/>
          <w:rFonts w:asciiTheme="majorBidi" w:hAnsiTheme="majorBidi" w:cstheme="majorBidi"/>
          <w:sz w:val="24"/>
          <w:szCs w:val="24"/>
          <w:rtl/>
        </w:rPr>
        <w:commentReference w:id="187"/>
      </w:r>
      <w:r>
        <w:rPr>
          <w:rFonts w:asciiTheme="majorBidi" w:hAnsiTheme="majorBidi" w:cstheme="majorBidi"/>
          <w:sz w:val="24"/>
          <w:szCs w:val="24"/>
          <w:rtl/>
        </w:rPr>
        <w:t>في إصدار قرارات تفسيرية (</w:t>
      </w:r>
      <w:proofErr w:type="spellStart"/>
      <w:r>
        <w:rPr>
          <w:rFonts w:asciiTheme="majorBidi" w:hAnsiTheme="majorBidi" w:cstheme="majorBidi"/>
          <w:sz w:val="24"/>
          <w:szCs w:val="24"/>
          <w:rtl/>
        </w:rPr>
        <w:t>Ethics</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Opinions</w:t>
      </w:r>
      <w:proofErr w:type="spellEnd"/>
      <w:r>
        <w:rPr>
          <w:rFonts w:asciiTheme="majorBidi" w:hAnsiTheme="majorBidi" w:cstheme="majorBidi"/>
          <w:sz w:val="24"/>
          <w:szCs w:val="24"/>
          <w:rtl/>
        </w:rPr>
        <w:t>) بشأن استخدام أدوات الذكاء الاصطناعي في مهنة المحاماة، من أبرزها الرأي الرسمي رقم (512) الصادر عن اللجنة الدائمة لأخلاقيات المهنة في اتحاد المحامين الأمريكي في 29 يوليو 2024م بشأن أدوات الذكاء الاصطناعي التوليدي، الذي قرر واجبات الكفاءة التقنية وسرية معلومات الموكل والحصول على موافقته المستنيرة والصدق تجاه المحكمة</w:t>
      </w:r>
      <w:r>
        <w:rPr>
          <w:rFonts w:asciiTheme="majorBidi" w:hAnsiTheme="majorBidi" w:cstheme="majorBidi"/>
          <w:sz w:val="24"/>
          <w:szCs w:val="24"/>
          <w:vertAlign w:val="superscript"/>
          <w:rtl/>
        </w:rPr>
        <w:footnoteReference w:id="318"/>
      </w:r>
      <w:commentRangeStart w:id="188"/>
      <w:commentRangeStart w:id="189"/>
      <w:r>
        <w:rPr>
          <w:rFonts w:asciiTheme="majorBidi" w:hAnsiTheme="majorBidi" w:cstheme="majorBidi"/>
          <w:sz w:val="24"/>
          <w:szCs w:val="24"/>
          <w:rtl/>
        </w:rPr>
        <w:t xml:space="preserve">. ويرى الباحث </w:t>
      </w:r>
      <w:commentRangeStart w:id="190"/>
      <w:commentRangeStart w:id="191"/>
      <w:r>
        <w:rPr>
          <w:rFonts w:asciiTheme="majorBidi" w:hAnsiTheme="majorBidi" w:cstheme="majorBidi"/>
          <w:sz w:val="24"/>
          <w:szCs w:val="24"/>
          <w:rtl/>
        </w:rPr>
        <w:t>أن</w:t>
      </w:r>
      <w:commentRangeEnd w:id="190"/>
      <w:r>
        <w:rPr>
          <w:rStyle w:val="af0"/>
          <w:rFonts w:asciiTheme="majorBidi" w:hAnsiTheme="majorBidi" w:cstheme="majorBidi"/>
          <w:sz w:val="24"/>
          <w:szCs w:val="24"/>
          <w:rtl/>
        </w:rPr>
        <w:commentReference w:id="190"/>
      </w:r>
      <w:commentRangeEnd w:id="191"/>
      <w:r>
        <w:rPr>
          <w:rStyle w:val="af0"/>
          <w:rFonts w:asciiTheme="majorBidi" w:hAnsiTheme="majorBidi" w:cstheme="majorBidi"/>
          <w:sz w:val="24"/>
          <w:szCs w:val="24"/>
          <w:rtl/>
        </w:rPr>
        <w:commentReference w:id="191"/>
      </w:r>
      <w:r>
        <w:rPr>
          <w:rFonts w:asciiTheme="majorBidi" w:hAnsiTheme="majorBidi" w:cstheme="majorBidi"/>
          <w:sz w:val="24"/>
          <w:szCs w:val="24"/>
          <w:rtl/>
        </w:rPr>
        <w:t xml:space="preserve"> المسار ذاته متاح </w:t>
      </w:r>
      <w:proofErr w:type="spellStart"/>
      <w:r>
        <w:rPr>
          <w:rFonts w:asciiTheme="majorBidi" w:hAnsiTheme="majorBidi" w:cstheme="majorBidi"/>
          <w:sz w:val="24"/>
          <w:szCs w:val="24"/>
          <w:rtl/>
        </w:rPr>
        <w:t>لالهيئة</w:t>
      </w:r>
      <w:proofErr w:type="spellEnd"/>
      <w:r>
        <w:rPr>
          <w:rFonts w:asciiTheme="majorBidi" w:hAnsiTheme="majorBidi" w:cstheme="majorBidi"/>
          <w:sz w:val="24"/>
          <w:szCs w:val="24"/>
          <w:rtl/>
        </w:rPr>
        <w:t xml:space="preserve"> السعودية للمحامين دون انتظار تشريع موحّد.</w:t>
      </w:r>
      <w:commentRangeEnd w:id="188"/>
      <w:r>
        <w:rPr>
          <w:rStyle w:val="af0"/>
          <w:sz w:val="22"/>
          <w:szCs w:val="22"/>
          <w:rtl/>
        </w:rPr>
        <w:commentReference w:id="188"/>
      </w:r>
      <w:commentRangeEnd w:id="189"/>
      <w:r>
        <w:rPr>
          <w:rStyle w:val="af0"/>
          <w:sz w:val="22"/>
          <w:szCs w:val="22"/>
          <w:rtl/>
        </w:rPr>
        <w:commentReference w:id="189"/>
      </w:r>
    </w:p>
    <w:p w14:paraId="17F92CA5" w14:textId="77777777" w:rsidR="005705DD" w:rsidRDefault="005705DD" w:rsidP="005705DD"/>
    <w:p w14:paraId="4D327F4C" w14:textId="77777777" w:rsidR="005705DD" w:rsidRPr="00A84F46" w:rsidRDefault="005705DD" w:rsidP="005705DD">
      <w:pPr>
        <w:bidi/>
        <w:spacing w:after="200" w:line="276" w:lineRule="auto"/>
        <w:rPr>
          <w:bCs/>
          <w:color w:val="000000" w:themeColor="text1"/>
          <w:rtl/>
        </w:rPr>
      </w:pPr>
      <w:commentRangeStart w:id="192"/>
      <w:commentRangeStart w:id="193"/>
      <w:commentRangeStart w:id="194"/>
      <w:commentRangeStart w:id="195"/>
      <w:r>
        <w:rPr>
          <w:rFonts w:asciiTheme="majorBidi" w:hAnsiTheme="majorBidi" w:cstheme="majorBidi"/>
          <w:bCs/>
          <w:color w:val="000000" w:themeColor="text1"/>
          <w:sz w:val="28"/>
          <w:szCs w:val="28"/>
          <w:rtl/>
        </w:rPr>
        <w:t>ثانياً: المنظومة المؤسسية السعودية لحوكمة الذكاء الاصطناعي في القطاع القانوني</w:t>
      </w:r>
      <w:commentRangeEnd w:id="192"/>
      <w:r w:rsidRPr="00A84F46">
        <w:rPr>
          <w:rStyle w:val="af0"/>
          <w:bCs/>
          <w:color w:val="000000" w:themeColor="text1"/>
          <w:sz w:val="22"/>
          <w:szCs w:val="22"/>
          <w:rtl/>
        </w:rPr>
        <w:commentReference w:id="192"/>
      </w:r>
      <w:commentRangeEnd w:id="193"/>
      <w:r w:rsidRPr="00A84F46">
        <w:rPr>
          <w:rStyle w:val="af0"/>
          <w:bCs/>
          <w:color w:val="000000" w:themeColor="text1"/>
          <w:sz w:val="22"/>
          <w:szCs w:val="22"/>
          <w:rtl/>
        </w:rPr>
        <w:commentReference w:id="193"/>
      </w:r>
      <w:commentRangeEnd w:id="194"/>
      <w:r w:rsidRPr="00A84F46">
        <w:rPr>
          <w:rStyle w:val="af0"/>
          <w:bCs/>
          <w:color w:val="000000" w:themeColor="text1"/>
          <w:sz w:val="22"/>
          <w:szCs w:val="22"/>
          <w:rtl/>
        </w:rPr>
        <w:commentReference w:id="194"/>
      </w:r>
      <w:commentRangeEnd w:id="195"/>
      <w:r w:rsidRPr="00A84F46">
        <w:rPr>
          <w:rStyle w:val="af0"/>
          <w:bCs/>
          <w:color w:val="000000" w:themeColor="text1"/>
          <w:sz w:val="22"/>
          <w:szCs w:val="22"/>
          <w:rtl/>
        </w:rPr>
        <w:commentReference w:id="195"/>
      </w:r>
    </w:p>
    <w:p w14:paraId="254A59C8" w14:textId="77777777" w:rsidR="005705DD" w:rsidRDefault="005705DD" w:rsidP="005705DD">
      <w:pPr>
        <w:bidi/>
        <w:spacing w:after="200" w:line="276" w:lineRule="auto"/>
        <w:rPr>
          <w:rtl/>
        </w:rPr>
      </w:pPr>
      <w:r>
        <w:rPr>
          <w:rFonts w:asciiTheme="majorBidi" w:hAnsiTheme="majorBidi" w:cstheme="majorBidi"/>
          <w:sz w:val="24"/>
          <w:szCs w:val="24"/>
          <w:rtl/>
        </w:rPr>
        <w:t xml:space="preserve">يقصد بحوكمة الذكاء الاصطناعي: الأطر القانونية والتنظيمية والجهات المؤسسية المشرفة على تطويره واستخدامه، لا الجهات المستخدمة له. وتتشكل المنظومة المؤسسية المعنية بها في القطاع القانوني السعودي من </w:t>
      </w:r>
      <w:r>
        <w:rPr>
          <w:rFonts w:asciiTheme="majorBidi" w:hAnsiTheme="majorBidi" w:cstheme="majorBidi"/>
          <w:sz w:val="24"/>
          <w:szCs w:val="24"/>
          <w:rtl/>
        </w:rPr>
        <w:lastRenderedPageBreak/>
        <w:t xml:space="preserve">عدة جهات تتقاطع اختصاصاتها وتتباين </w:t>
      </w:r>
      <w:proofErr w:type="spellStart"/>
      <w:r>
        <w:rPr>
          <w:rFonts w:asciiTheme="majorBidi" w:hAnsiTheme="majorBidi" w:cstheme="majorBidi"/>
          <w:sz w:val="24"/>
          <w:szCs w:val="24"/>
          <w:rtl/>
        </w:rPr>
        <w:t>منطلقاتها</w:t>
      </w:r>
      <w:proofErr w:type="spellEnd"/>
      <w:r>
        <w:rPr>
          <w:rFonts w:asciiTheme="majorBidi" w:hAnsiTheme="majorBidi" w:cstheme="majorBidi"/>
          <w:sz w:val="24"/>
          <w:szCs w:val="24"/>
          <w:rtl/>
        </w:rPr>
        <w:t>، مما قد يُفضي أحياناً إلى تداخل الصلاحيات أو إلى فراغات رقابية. وفيما يلي تحليل لكل جهة من الجهات الرئيسية ودورها المنشود والمشكلات التي تعترضها</w:t>
      </w:r>
      <w:commentRangeStart w:id="196"/>
      <w:commentRangeStart w:id="197"/>
      <w:r>
        <w:rPr>
          <w:rFonts w:asciiTheme="majorBidi" w:hAnsiTheme="majorBidi" w:cstheme="majorBidi"/>
          <w:sz w:val="24"/>
          <w:szCs w:val="24"/>
          <w:rtl/>
        </w:rPr>
        <w:t>:</w:t>
      </w:r>
      <w:commentRangeEnd w:id="196"/>
      <w:r>
        <w:rPr>
          <w:rStyle w:val="af0"/>
          <w:sz w:val="22"/>
          <w:szCs w:val="22"/>
          <w:rtl/>
        </w:rPr>
        <w:commentReference w:id="196"/>
      </w:r>
      <w:commentRangeEnd w:id="197"/>
      <w:r>
        <w:rPr>
          <w:rStyle w:val="af0"/>
          <w:sz w:val="22"/>
          <w:szCs w:val="22"/>
          <w:rtl/>
        </w:rPr>
        <w:commentReference w:id="197"/>
      </w:r>
    </w:p>
    <w:p w14:paraId="306318F6" w14:textId="77777777" w:rsidR="005705DD" w:rsidRDefault="005705DD" w:rsidP="005705DD">
      <w:pPr>
        <w:bidi/>
        <w:spacing w:after="200" w:line="276" w:lineRule="auto"/>
        <w:rPr>
          <w:rtl/>
        </w:rPr>
      </w:pPr>
      <w:r>
        <w:rPr>
          <w:rFonts w:asciiTheme="majorBidi" w:hAnsiTheme="majorBidi" w:cstheme="majorBidi"/>
          <w:sz w:val="24"/>
          <w:szCs w:val="24"/>
          <w:rtl/>
        </w:rPr>
        <w:t>الجهة الأولى — الهيئة السعودية للبيانات والذكاء الاصطناعي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تُعدّ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الجهة الأعلى اختصاصاً في مجال حوكمة الذكاء الاصطناعي عموماً في المملكة، وتضطلع بمهام التشريع والتوجيه والبحث في هذا المجال، وتعمل بوصفها كياناً مؤسسياً من خلال ترتيباتها التنظيمية الصادرة بقرار مجلس الوزراء رقم (292) وتاريخ 27/4/1441هـ، وعبر إصدار الاستراتيجيات والوثائق </w:t>
      </w:r>
      <w:proofErr w:type="spellStart"/>
      <w:r>
        <w:rPr>
          <w:rFonts w:asciiTheme="majorBidi" w:hAnsiTheme="majorBidi" w:cstheme="majorBidi"/>
          <w:sz w:val="24"/>
          <w:szCs w:val="24"/>
          <w:rtl/>
        </w:rPr>
        <w:t>الاسترشادية</w:t>
      </w:r>
      <w:proofErr w:type="spellEnd"/>
      <w:r>
        <w:rPr>
          <w:rFonts w:asciiTheme="majorBidi" w:hAnsiTheme="majorBidi" w:cstheme="majorBidi"/>
          <w:sz w:val="24"/>
          <w:szCs w:val="24"/>
          <w:rtl/>
        </w:rPr>
        <w:t xml:space="preserve"> والإشراف على تنفيذ نظام حماية البيانات الشخصية. غير أن اختصاصها في القطاع القانوني تحديداً لا يُعدّ اختصاصاً مباشراً نصياً، مما يجعل علاقتها بالقطاع القانوني علاقةَ اختصاص حكمي لا نصي. وتتمتع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بكوادر تقنية متخصصة وبصلاحيات تشريعية ناعمة ذات أثر بالغ، غير أن التطبيق الإلزامي لمتطلباتها على القطاع القانوني لا يزال يفتقر إلى آلية رقابية تنفيذية فاعلة.</w:t>
      </w:r>
    </w:p>
    <w:p w14:paraId="64C15DE5" w14:textId="77777777" w:rsidR="005705DD" w:rsidRDefault="005705DD" w:rsidP="005705DD">
      <w:pPr>
        <w:bidi/>
        <w:spacing w:after="200" w:line="276" w:lineRule="auto"/>
        <w:rPr>
          <w:rtl/>
        </w:rPr>
      </w:pPr>
      <w:r>
        <w:rPr>
          <w:rFonts w:asciiTheme="majorBidi" w:hAnsiTheme="majorBidi" w:cstheme="majorBidi"/>
          <w:sz w:val="24"/>
          <w:szCs w:val="24"/>
          <w:rtl/>
        </w:rPr>
        <w:t>الجهة الثانية — وزارة العدل: تُعدّ الجهة المختصة أصلاً بتنظيم السلطة القضائية ومرافق العدالة في المملكة. وتتميز وزارة العدل بأنها الجهة الأقرب إلى الواقع التطبيقي للقطاع القانوني، وتمتلك بنية تحتية رقمية قوية عبر منصة ناجز. غير أن اختصاصها بالنسبة لمكاتب المحاماة الخاصة لا يصل إلى حد الرقابة المباشرة على آليات العمل الداخلية لها. ويُشكّل تأسيس "مركز التميز للذكاء الاصطناعي" داخل وزارة العدل خطوةً إيجابية، غير أن مخرجاته التشريعية المعلنة لا تزال محدودة.</w:t>
      </w:r>
    </w:p>
    <w:p w14:paraId="693C13CC" w14:textId="77777777" w:rsidR="005705DD" w:rsidRDefault="005705DD" w:rsidP="005705DD">
      <w:pPr>
        <w:bidi/>
        <w:spacing w:after="200" w:line="276" w:lineRule="auto"/>
        <w:rPr>
          <w:rtl/>
        </w:rPr>
      </w:pPr>
      <w:commentRangeStart w:id="198"/>
      <w:commentRangeStart w:id="199"/>
      <w:r>
        <w:rPr>
          <w:rFonts w:asciiTheme="majorBidi" w:hAnsiTheme="majorBidi" w:cstheme="majorBidi"/>
          <w:sz w:val="24"/>
          <w:szCs w:val="24"/>
          <w:rtl/>
        </w:rPr>
        <w:t>الجهة الثالثة — الهيئة السعودية للمحامين: تُمثّل الجهة التنظيمية المهنية المباشرة للمحامين السعوديين، وتملك — نظرياً — أدوات التنظيم المهني الأكثر مرونةً وتأثيراً، من قبيل: إصدار الدلائل المهنية، وتحديد متطلبات التأهيل، واتخاذ الإجراءات التأديبية. غير أن الهيئة تعمل في مجال الذكاء الاصطناعي دون توجيه تشريعي صريح يُحدد صلاحياتها في هذا الشأن، مما يُبقيها في موقف ردة الفعل أكثر من موقف الاستباق التنظيمي.</w:t>
      </w:r>
      <w:commentRangeEnd w:id="198"/>
      <w:r>
        <w:rPr>
          <w:rStyle w:val="af0"/>
          <w:sz w:val="22"/>
          <w:szCs w:val="22"/>
          <w:rtl/>
        </w:rPr>
        <w:commentReference w:id="198"/>
      </w:r>
      <w:commentRangeEnd w:id="199"/>
      <w:r>
        <w:rPr>
          <w:rStyle w:val="af0"/>
          <w:sz w:val="22"/>
          <w:szCs w:val="22"/>
          <w:rtl/>
        </w:rPr>
        <w:commentReference w:id="199"/>
      </w:r>
    </w:p>
    <w:p w14:paraId="40D071BF" w14:textId="77777777" w:rsidR="005705DD" w:rsidRDefault="005705DD" w:rsidP="005705DD">
      <w:pPr>
        <w:bidi/>
        <w:spacing w:after="200" w:line="276" w:lineRule="auto"/>
        <w:rPr>
          <w:rtl/>
        </w:rPr>
      </w:pPr>
      <w:r>
        <w:rPr>
          <w:rFonts w:asciiTheme="majorBidi" w:hAnsiTheme="majorBidi" w:cstheme="majorBidi"/>
          <w:sz w:val="24"/>
          <w:szCs w:val="24"/>
          <w:rtl/>
        </w:rPr>
        <w:t>الجهة الرابعة — ديوان المظالم والجهات القضائية: تضطلع الجهات القضائية بدور تفسيري جوهري في تطبيق الأنظمة القائمة على المستجدات التقنية، وأحكامها تُشكّل سوابق قضائية فعلية حتى في غياب نص صريح. وإن كانت السوابق القضائية السعودية في مجال الذكاء الاصطناعي القانوني تحديداً تكاد تكون منعدمة حتى الآن، إلا أن الحوادث المقبلة ستضطر الجهات القضائية إلى اتخاذ مواقف تفسيرية ستُشكّل في مجموعها اجتهاداً قضائياً ناعماً.</w:t>
      </w:r>
    </w:p>
    <w:p w14:paraId="17A870CD"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الهيكل المؤسسي المذكور يفتقر إلى تنسيق رسمي واضح يُوحّد الرؤية ويُقسّم المهام بين الجهات الأربع تجاه ملف الذكاء الاصطناعي في القطاع القانوني. والأمثل إنشاء "لجنة وطنية مشتركة لحوكمة الذكاء الاصطناعي في القطاع العدلي" تضم ممثلين من الجهات الأربع جميعاً مع خبراء التقنية والفقه الشرعي، وتتولى وضع السياسات وإعداد التشريعات المقترحة وتنسيق التطبيق. وهذا التنسيق المؤسسي هو شرط الكفاءة التنظيمية التي يستلزمها تعقيد الملف.</w:t>
      </w:r>
    </w:p>
    <w:p w14:paraId="33FC15BB" w14:textId="77777777" w:rsidR="005705DD" w:rsidRDefault="005705DD" w:rsidP="005705DD"/>
    <w:p w14:paraId="68DA75AE" w14:textId="77777777" w:rsidR="005705DD" w:rsidRPr="00A84F46" w:rsidRDefault="005705DD" w:rsidP="005705DD">
      <w:pPr>
        <w:bidi/>
        <w:spacing w:after="200" w:line="276" w:lineRule="auto"/>
        <w:rPr>
          <w:bCs/>
          <w:color w:val="000000" w:themeColor="text1"/>
          <w:rtl/>
        </w:rPr>
      </w:pPr>
      <w:commentRangeStart w:id="200"/>
      <w:commentRangeStart w:id="201"/>
      <w:r>
        <w:rPr>
          <w:rFonts w:asciiTheme="majorBidi" w:hAnsiTheme="majorBidi" w:cstheme="majorBidi"/>
          <w:bCs/>
          <w:color w:val="000000" w:themeColor="text1"/>
          <w:sz w:val="28"/>
          <w:szCs w:val="28"/>
          <w:rtl/>
        </w:rPr>
        <w:t>ثالثاً: المسؤولية في الذكاء الاصطناعي القانوني وتوزيعها بين أطراف المنظومة</w:t>
      </w:r>
      <w:commentRangeEnd w:id="200"/>
      <w:r w:rsidRPr="00A84F46">
        <w:rPr>
          <w:rStyle w:val="af0"/>
          <w:bCs/>
          <w:color w:val="000000" w:themeColor="text1"/>
          <w:sz w:val="22"/>
          <w:szCs w:val="22"/>
          <w:rtl/>
        </w:rPr>
        <w:commentReference w:id="200"/>
      </w:r>
      <w:commentRangeEnd w:id="201"/>
      <w:r w:rsidRPr="00A84F46">
        <w:rPr>
          <w:rStyle w:val="af0"/>
          <w:bCs/>
          <w:color w:val="000000" w:themeColor="text1"/>
          <w:sz w:val="22"/>
          <w:szCs w:val="22"/>
          <w:rtl/>
        </w:rPr>
        <w:commentReference w:id="201"/>
      </w:r>
    </w:p>
    <w:p w14:paraId="1FE190BE" w14:textId="77777777" w:rsidR="005705DD" w:rsidRDefault="005705DD" w:rsidP="005705DD">
      <w:pPr>
        <w:bidi/>
        <w:spacing w:after="200" w:line="276" w:lineRule="auto"/>
        <w:rPr>
          <w:rtl/>
        </w:rPr>
      </w:pPr>
      <w:r>
        <w:rPr>
          <w:rFonts w:asciiTheme="majorBidi" w:hAnsiTheme="majorBidi" w:cstheme="majorBidi"/>
          <w:sz w:val="24"/>
          <w:szCs w:val="24"/>
          <w:rtl/>
        </w:rPr>
        <w:t>لا تخفى معالم النظرية العامة للمسؤولية المدنية؛ وإنما وجه الجِدَّة إنزال أحكامها على سلسلة أطراف منظومة الذكاء الاصطناعي القانوني في البيئة السعودية. ذلك أن سلسلة المسؤولية في هذه المنظومة تضم عادةً أطرافاً متعددين بينهم تفاوت في القدرة وفي إمكانية الإسهام في منع الضرر. ويُميّز الباحث بين خمسة أطراف رئيسية في هذه السلسلة:</w:t>
      </w:r>
    </w:p>
    <w:p w14:paraId="2B7A9E85" w14:textId="77777777" w:rsidR="005705DD" w:rsidRDefault="005705DD" w:rsidP="005705DD">
      <w:pPr>
        <w:bidi/>
        <w:spacing w:after="200" w:line="276" w:lineRule="auto"/>
        <w:rPr>
          <w:rtl/>
        </w:rPr>
      </w:pPr>
      <w:r>
        <w:rPr>
          <w:rFonts w:asciiTheme="majorBidi" w:hAnsiTheme="majorBidi" w:cstheme="majorBidi"/>
          <w:sz w:val="24"/>
          <w:szCs w:val="24"/>
          <w:rtl/>
        </w:rPr>
        <w:t xml:space="preserve">الطرف الأول — مطوّر الأداة الذكية (AI </w:t>
      </w:r>
      <w:proofErr w:type="spellStart"/>
      <w:r>
        <w:rPr>
          <w:rFonts w:asciiTheme="majorBidi" w:hAnsiTheme="majorBidi" w:cstheme="majorBidi"/>
          <w:sz w:val="24"/>
          <w:szCs w:val="24"/>
          <w:rtl/>
        </w:rPr>
        <w:t>Developer</w:t>
      </w:r>
      <w:proofErr w:type="spellEnd"/>
      <w:r>
        <w:rPr>
          <w:rFonts w:asciiTheme="majorBidi" w:hAnsiTheme="majorBidi" w:cstheme="majorBidi"/>
          <w:sz w:val="24"/>
          <w:szCs w:val="24"/>
          <w:rtl/>
        </w:rPr>
        <w:t xml:space="preserve">): وهو الجهة التي أنتجت النموذج اللغوي أو نظام الذكاء الاصطناعي. وفي حالة الأدوات الأجنبية، يقع مطوّرها خارج الولاية القضائية السعودية، مما يُصعّب مساءلته إلا عبر آليات التقاضي الدولي </w:t>
      </w:r>
      <w:commentRangeStart w:id="202"/>
      <w:commentRangeStart w:id="203"/>
      <w:r>
        <w:rPr>
          <w:rFonts w:asciiTheme="majorBidi" w:hAnsiTheme="majorBidi" w:cstheme="majorBidi"/>
          <w:sz w:val="24"/>
          <w:szCs w:val="24"/>
          <w:highlight w:val="yellow"/>
          <w:rtl/>
        </w:rPr>
        <w:t xml:space="preserve">أو الرجوع إلى القواعد العامة للمسؤولية في نظام المعاملات المدنية </w:t>
      </w:r>
      <w:r>
        <w:rPr>
          <w:rFonts w:asciiTheme="majorBidi" w:hAnsiTheme="majorBidi" w:cstheme="majorBidi"/>
          <w:sz w:val="24"/>
          <w:szCs w:val="24"/>
          <w:highlight w:val="yellow"/>
          <w:rtl/>
        </w:rPr>
        <w:lastRenderedPageBreak/>
        <w:t>(المادتان 120 و129).</w:t>
      </w:r>
      <w:r>
        <w:rPr>
          <w:rFonts w:asciiTheme="majorBidi" w:hAnsiTheme="majorBidi" w:cstheme="majorBidi"/>
          <w:sz w:val="24"/>
          <w:szCs w:val="24"/>
          <w:rtl/>
        </w:rPr>
        <w:t xml:space="preserve"> </w:t>
      </w:r>
      <w:commentRangeEnd w:id="202"/>
      <w:r>
        <w:rPr>
          <w:rStyle w:val="af0"/>
          <w:rFonts w:asciiTheme="majorBidi" w:hAnsiTheme="majorBidi" w:cstheme="majorBidi"/>
          <w:sz w:val="24"/>
          <w:szCs w:val="24"/>
          <w:rtl/>
        </w:rPr>
        <w:commentReference w:id="202"/>
      </w:r>
      <w:commentRangeEnd w:id="203"/>
      <w:r>
        <w:rPr>
          <w:rStyle w:val="af0"/>
          <w:rFonts w:asciiTheme="majorBidi" w:hAnsiTheme="majorBidi" w:cstheme="majorBidi"/>
          <w:sz w:val="24"/>
          <w:szCs w:val="24"/>
          <w:rtl/>
        </w:rPr>
        <w:commentReference w:id="203"/>
      </w:r>
      <w:r>
        <w:rPr>
          <w:rFonts w:asciiTheme="majorBidi" w:hAnsiTheme="majorBidi" w:cstheme="majorBidi"/>
          <w:sz w:val="24"/>
          <w:szCs w:val="24"/>
          <w:rtl/>
        </w:rPr>
        <w:t>وتُقيم بعض الدراسات المقارنة مسؤولية مطوّر الأداة على نظرية المسؤولية الموضوعية (</w:t>
      </w:r>
      <w:proofErr w:type="spellStart"/>
      <w:r>
        <w:rPr>
          <w:rFonts w:asciiTheme="majorBidi" w:hAnsiTheme="majorBidi" w:cstheme="majorBidi"/>
          <w:sz w:val="24"/>
          <w:szCs w:val="24"/>
          <w:rtl/>
        </w:rPr>
        <w:t>Strict</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Liability</w:t>
      </w:r>
      <w:proofErr w:type="spellEnd"/>
      <w:r>
        <w:rPr>
          <w:rFonts w:asciiTheme="majorBidi" w:hAnsiTheme="majorBidi" w:cstheme="majorBidi"/>
          <w:sz w:val="24"/>
          <w:szCs w:val="24"/>
          <w:rtl/>
        </w:rPr>
        <w:t>) باعتباره منتِجاً لأداة قابلة للتعريف بأنها "منتج معيب" حين تُنتج معلومات قانونية غير دقيقة.</w:t>
      </w:r>
    </w:p>
    <w:p w14:paraId="1A201176" w14:textId="77777777" w:rsidR="005705DD" w:rsidRDefault="005705DD" w:rsidP="005705DD">
      <w:pPr>
        <w:bidi/>
        <w:spacing w:after="200" w:line="276" w:lineRule="auto"/>
        <w:rPr>
          <w:rtl/>
        </w:rPr>
      </w:pPr>
      <w:r>
        <w:rPr>
          <w:rFonts w:asciiTheme="majorBidi" w:hAnsiTheme="majorBidi" w:cstheme="majorBidi"/>
          <w:sz w:val="24"/>
          <w:szCs w:val="24"/>
          <w:rtl/>
        </w:rPr>
        <w:t>الطرف الثاني — مزوّد الخدمة (</w:t>
      </w:r>
      <w:proofErr w:type="spellStart"/>
      <w:r>
        <w:rPr>
          <w:rFonts w:asciiTheme="majorBidi" w:hAnsiTheme="majorBidi" w:cstheme="majorBidi"/>
          <w:sz w:val="24"/>
          <w:szCs w:val="24"/>
          <w:rtl/>
        </w:rPr>
        <w:t>Service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Provider</w:t>
      </w:r>
      <w:proofErr w:type="spellEnd"/>
      <w:r>
        <w:rPr>
          <w:rFonts w:asciiTheme="majorBidi" w:hAnsiTheme="majorBidi" w:cstheme="majorBidi"/>
          <w:sz w:val="24"/>
          <w:szCs w:val="24"/>
          <w:rtl/>
        </w:rPr>
        <w:t>): وهو الجهة التي تُتيح الأداة الذكية للمستخدم النهائي ضمن منصة أو تطبيق تجاري. وتقع بين مطوّر الأداة الأصلي والمستخدم النهائي، وقد تتحمل المسؤولية الوسيطة بموجب نظام مكافحة الجرائم المعلوماتية أو أحكام المساءلة الإلكترونية في نظام التعاملات الإلكترونية.</w:t>
      </w:r>
    </w:p>
    <w:p w14:paraId="5B4A97BC" w14:textId="77777777" w:rsidR="005705DD" w:rsidRDefault="005705DD" w:rsidP="005705DD">
      <w:pPr>
        <w:bidi/>
        <w:spacing w:after="200" w:line="276" w:lineRule="auto"/>
        <w:rPr>
          <w:rtl/>
        </w:rPr>
      </w:pPr>
      <w:r>
        <w:rPr>
          <w:rFonts w:asciiTheme="majorBidi" w:hAnsiTheme="majorBidi" w:cstheme="majorBidi"/>
          <w:sz w:val="24"/>
          <w:szCs w:val="24"/>
          <w:rtl/>
        </w:rPr>
        <w:t>الطرف الثالث — مكتب المحاماة المؤسسي: وهو الجهة التي تُقرّر سياسة استخدام الأدوات الذكية وتضع الإجراءات الداخلية أو تُهملها. وتتميز مسؤولية المكتب المؤسسي عن مسؤولية المحامي الفردي بأنها مسؤولية هيكلية تنشأ عن قصور في السياسات والضوابط، لا عن خطأ شخصي في حادثة بعينها. وبمقتضى نظام الشركات المهنية، قد يتعرض المكتب لمسؤولية مدنية مباشرة عن الأضرار الناجمة عن أدواته الذكية غير المُدارة.</w:t>
      </w:r>
    </w:p>
    <w:p w14:paraId="57ABE628" w14:textId="77777777" w:rsidR="005705DD" w:rsidRDefault="005705DD" w:rsidP="005705DD">
      <w:pPr>
        <w:bidi/>
        <w:spacing w:after="200" w:line="276" w:lineRule="auto"/>
        <w:rPr>
          <w:rtl/>
        </w:rPr>
      </w:pPr>
      <w:r>
        <w:rPr>
          <w:rFonts w:asciiTheme="majorBidi" w:hAnsiTheme="majorBidi" w:cstheme="majorBidi"/>
          <w:sz w:val="24"/>
          <w:szCs w:val="24"/>
          <w:rtl/>
        </w:rPr>
        <w:t>الطرف الرابع — المحامي الفردي: وهو صاحب الالتزام المهني الأول والمسؤولية المهنية المباشرة. يقع عليه واجب التحقق من مخرجات الأداة الذكية واختبار دقتها قبل الاستناد إليها، وإفساح المجال لحكمه المهني في التقييم النهائي. وأي تقصير في هذه الواجبات يُرتّب مسؤوليةً تأديبيةً ومدنية. والمبدأ الجوهري هنا: إن توظيف الأداة الذكية لا يُلغي المسؤولية المهنية للمحامي ولا ينقلها إلى الأداة.</w:t>
      </w:r>
    </w:p>
    <w:p w14:paraId="78A964B8" w14:textId="77777777" w:rsidR="005705DD" w:rsidRDefault="005705DD" w:rsidP="005705DD">
      <w:pPr>
        <w:bidi/>
        <w:spacing w:after="200" w:line="276" w:lineRule="auto"/>
        <w:rPr>
          <w:rtl/>
        </w:rPr>
      </w:pPr>
      <w:r>
        <w:rPr>
          <w:rFonts w:asciiTheme="majorBidi" w:hAnsiTheme="majorBidi" w:cstheme="majorBidi"/>
          <w:sz w:val="24"/>
          <w:szCs w:val="24"/>
          <w:rtl/>
        </w:rPr>
        <w:t>الطرف الخامس — الموكل: وإن كان الموكل ضحية محتملة لا مُسهِماً في الضرر في معظم الحالات، إلا أن ثمة حالات يتحمل فيها الموكل جزءاً من المسؤولية: كأن يُدخل بنفسه بيانات مضلِّلة في الأداة، أو أن يرفض توجيهات المحامي بعدم الاعتماد على أداة بعينها ثم يطلب استخدامها مُصرّاً. وفي هذه الحالات يُمكن الاستناد إلى نظرية "مساهمة المضرور في الضرر" المُقنَّنة في أحكام المسؤولية التقصيرية.</w:t>
      </w:r>
    </w:p>
    <w:p w14:paraId="1589DF08" w14:textId="77777777" w:rsidR="005705DD" w:rsidRDefault="005705DD" w:rsidP="005705DD">
      <w:pPr>
        <w:bidi/>
        <w:spacing w:after="200" w:line="276" w:lineRule="auto"/>
        <w:rPr>
          <w:rtl/>
        </w:rPr>
      </w:pPr>
      <w:commentRangeStart w:id="204"/>
      <w:commentRangeStart w:id="205"/>
      <w:r>
        <w:rPr>
          <w:rFonts w:asciiTheme="majorBidi" w:hAnsiTheme="majorBidi" w:cstheme="majorBidi"/>
          <w:sz w:val="24"/>
          <w:szCs w:val="24"/>
          <w:rtl/>
        </w:rPr>
        <w:t>ويُقدّم الباحث في هذا الإطار نموذجاً مُقترَحاً لتوزيع المسؤولية الموزَّعة (</w:t>
      </w:r>
      <w:proofErr w:type="spellStart"/>
      <w:r>
        <w:rPr>
          <w:rFonts w:asciiTheme="majorBidi" w:hAnsiTheme="majorBidi" w:cstheme="majorBidi"/>
          <w:sz w:val="24"/>
          <w:szCs w:val="24"/>
          <w:rtl/>
        </w:rPr>
        <w:t>Distributed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Liability</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Model</w:t>
      </w:r>
      <w:proofErr w:type="spellEnd"/>
      <w:r>
        <w:rPr>
          <w:rFonts w:asciiTheme="majorBidi" w:hAnsiTheme="majorBidi" w:cstheme="majorBidi"/>
          <w:sz w:val="24"/>
          <w:szCs w:val="24"/>
          <w:rtl/>
        </w:rPr>
        <w:t xml:space="preserve">) </w:t>
      </w:r>
      <w:commentRangeEnd w:id="204"/>
      <w:r>
        <w:rPr>
          <w:rStyle w:val="af0"/>
          <w:rFonts w:asciiTheme="majorBidi" w:hAnsiTheme="majorBidi" w:cstheme="majorBidi"/>
          <w:sz w:val="24"/>
          <w:szCs w:val="24"/>
          <w:rtl/>
        </w:rPr>
        <w:commentReference w:id="204"/>
      </w:r>
      <w:commentRangeEnd w:id="205"/>
      <w:r>
        <w:rPr>
          <w:rStyle w:val="af0"/>
          <w:rFonts w:asciiTheme="majorBidi" w:hAnsiTheme="majorBidi" w:cstheme="majorBidi"/>
          <w:sz w:val="24"/>
          <w:szCs w:val="24"/>
          <w:rtl/>
        </w:rPr>
        <w:commentReference w:id="205"/>
      </w:r>
      <w:r>
        <w:rPr>
          <w:rFonts w:asciiTheme="majorBidi" w:hAnsiTheme="majorBidi" w:cstheme="majorBidi"/>
          <w:sz w:val="24"/>
          <w:szCs w:val="24"/>
          <w:rtl/>
        </w:rPr>
        <w:t>يأخذ بالاعتبار طبيعة المساهمة والقدرة على منع الضرر: إذ يُرى أن مسؤولية مطوّر الأداة تكون عالية حين يتعلق الأمر بعيوب هيكلية في النموذج يعلم بها ويُخفيها عن المستخدمين. وأن مسؤولية المكتب المؤسسي تتعاظم كلما وسّع الاستخدام وقلّل الرقابة. وأن مسؤولية المحامي الفردي تكون الأساس في كل الأحوال لأنه الحلقة المهنية المباشرة. وأن مسؤولية مزوّد الخدمة تُحدَّد بمدى شفافيته في الإفصاح عن قيود الأداة وحدودها.</w:t>
      </w:r>
    </w:p>
    <w:p w14:paraId="653DF6DE" w14:textId="77777777" w:rsidR="005705DD" w:rsidRDefault="005705DD" w:rsidP="005705DD"/>
    <w:p w14:paraId="15348EFF"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المبحث الثالث</w:t>
      </w:r>
    </w:p>
    <w:p w14:paraId="1C5E9924"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التحديات المستقبلية وآفاق تطوير المنظومة القانونية الرقمية</w:t>
      </w:r>
    </w:p>
    <w:p w14:paraId="7425BF02" w14:textId="77777777" w:rsidR="005705DD" w:rsidRDefault="005705DD" w:rsidP="005705DD">
      <w:pPr>
        <w:bidi/>
        <w:spacing w:before="240" w:after="200" w:line="276" w:lineRule="auto"/>
        <w:rPr>
          <w:rtl/>
        </w:rPr>
      </w:pPr>
      <w:r>
        <w:rPr>
          <w:rFonts w:asciiTheme="majorBidi" w:hAnsiTheme="majorBidi" w:cstheme="majorBidi"/>
          <w:sz w:val="24"/>
          <w:szCs w:val="24"/>
          <w:rtl/>
        </w:rPr>
        <w:t>يتناول هذا المبحث الأبعاد المستقبلية لتوظيف الذكاء الاصطناعي في مكاتب المحاماة السعودية، مُستعرِضاً في مطلبه الأول التحديات الأخلاقية والاجتماعية والدينية الخاصة بالسياق السعودي، وفي مطلبه الثاني التطورات التقنية المقبلة ومتطلبات التأهيل المهني وسوق التقنيات القانونية، وفي مطلبه الثالث قراءةً نقديةً استشرافيةً شاملة تُقيّم مدى كفاية المنظومة النظامية الراهنة وتفتح الطريق نحو إطار تنظيمي متكامل.</w:t>
      </w:r>
    </w:p>
    <w:p w14:paraId="671DB41F" w14:textId="77777777" w:rsidR="005705DD" w:rsidRDefault="005705DD" w:rsidP="005705DD">
      <w:pPr>
        <w:bidi/>
        <w:spacing w:before="240" w:after="200" w:line="276" w:lineRule="auto"/>
        <w:rPr>
          <w:rtl/>
        </w:rPr>
      </w:pPr>
    </w:p>
    <w:p w14:paraId="799407F6"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الأول</w:t>
      </w:r>
    </w:p>
    <w:p w14:paraId="3F026E7D" w14:textId="77777777" w:rsidR="005705DD" w:rsidRDefault="005705DD" w:rsidP="005705DD">
      <w:pPr>
        <w:bidi/>
        <w:spacing w:before="240" w:after="200" w:line="276" w:lineRule="auto"/>
        <w:jc w:val="center"/>
        <w:rPr>
          <w:rtl/>
        </w:rPr>
      </w:pPr>
      <w:commentRangeStart w:id="206"/>
      <w:commentRangeStart w:id="207"/>
      <w:r>
        <w:rPr>
          <w:rFonts w:asciiTheme="majorBidi" w:hAnsiTheme="majorBidi" w:cstheme="majorBidi"/>
          <w:b/>
          <w:bCs/>
          <w:sz w:val="24"/>
          <w:szCs w:val="24"/>
          <w:rtl/>
        </w:rPr>
        <w:t>التحديات الأخلاقية والاجتماعية والدينية في ضوء السياق السعودي</w:t>
      </w:r>
    </w:p>
    <w:p w14:paraId="5B5590A5"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lastRenderedPageBreak/>
        <w:t>أولاً: التحديات الأخلاقية الخاصة بالمجتمع السعودي في توظيف الذكاء الاصطناعي القانوني</w:t>
      </w:r>
      <w:commentRangeEnd w:id="206"/>
      <w:r w:rsidRPr="00A84F46">
        <w:rPr>
          <w:rStyle w:val="af0"/>
          <w:bCs/>
          <w:color w:val="000000" w:themeColor="text1"/>
          <w:sz w:val="22"/>
          <w:szCs w:val="22"/>
          <w:rtl/>
        </w:rPr>
        <w:commentReference w:id="206"/>
      </w:r>
      <w:commentRangeEnd w:id="207"/>
      <w:r w:rsidRPr="00A84F46">
        <w:rPr>
          <w:rStyle w:val="af0"/>
          <w:bCs/>
          <w:color w:val="000000" w:themeColor="text1"/>
          <w:sz w:val="22"/>
          <w:szCs w:val="22"/>
          <w:rtl/>
        </w:rPr>
        <w:commentReference w:id="207"/>
      </w:r>
    </w:p>
    <w:p w14:paraId="7C9ADE9B" w14:textId="77777777" w:rsidR="005705DD" w:rsidRDefault="005705DD" w:rsidP="005705DD">
      <w:pPr>
        <w:bidi/>
        <w:spacing w:after="200" w:line="276" w:lineRule="auto"/>
        <w:rPr>
          <w:rtl/>
        </w:rPr>
      </w:pPr>
      <w:r>
        <w:rPr>
          <w:rFonts w:asciiTheme="majorBidi" w:hAnsiTheme="majorBidi" w:cstheme="majorBidi"/>
          <w:sz w:val="24"/>
          <w:szCs w:val="24"/>
          <w:rtl/>
        </w:rPr>
        <w:t>يُولّد توظيف الذكاء الاصطناعي في القطاع القانوني السعودي تحديات أخلاقية تتجاوز ما هو مطروح في الأدبيات القانونية الغربية، وذلك بسبب خصوصيات المجتمع السعودي من حيث المرجعية الدينية والثقافية والاجتماعية. ويُستعرض الباحث أبرز هذه التحديات:</w:t>
      </w:r>
    </w:p>
    <w:p w14:paraId="5C5AEA40" w14:textId="77777777" w:rsidR="005705DD" w:rsidRDefault="005705DD" w:rsidP="005705DD">
      <w:pPr>
        <w:bidi/>
        <w:spacing w:after="200" w:line="276" w:lineRule="auto"/>
        <w:rPr>
          <w:rtl/>
        </w:rPr>
      </w:pPr>
      <w:r>
        <w:rPr>
          <w:rFonts w:asciiTheme="majorBidi" w:hAnsiTheme="majorBidi" w:cstheme="majorBidi"/>
          <w:sz w:val="24"/>
          <w:szCs w:val="24"/>
          <w:rtl/>
        </w:rPr>
        <w:t>التحدي الأول — التحيز ضد القيم الإسلامية والثقافية: دُرِّبت معظم نماذج الذكاء الاصطناعي الكبرى على بيانات تعكس بصورة رئيسية القيم الثقافية والقانونية الغربية العلمانية. وحين تُعالج هذه النماذج قضايا تتصل بالأحوال الشخصية (الزواج والطلاق والميراث والنفقة) أو بالمعاملات المالية الإسلامية (المرابحة والإجارة والصكوك) أو بأحكام الجنايات المستنبطة من الفقه الإسلامي، فقد تُنتج مخرجاتٍ تعكس توجهاً ثقافياً يتعارض مع القيم الإسلامية، مما يجعل توظيفها في هذه المجالات الحساسة بالغ الإشكالية.</w:t>
      </w:r>
    </w:p>
    <w:p w14:paraId="26D98287" w14:textId="77777777" w:rsidR="005705DD" w:rsidRDefault="005705DD" w:rsidP="005705DD">
      <w:pPr>
        <w:bidi/>
        <w:spacing w:after="200" w:line="276" w:lineRule="auto"/>
        <w:rPr>
          <w:rtl/>
        </w:rPr>
      </w:pPr>
      <w:commentRangeStart w:id="208"/>
      <w:commentRangeStart w:id="209"/>
      <w:r>
        <w:rPr>
          <w:rFonts w:asciiTheme="majorBidi" w:hAnsiTheme="majorBidi" w:cstheme="majorBidi"/>
          <w:sz w:val="24"/>
          <w:szCs w:val="24"/>
          <w:rtl/>
        </w:rPr>
        <w:t>وتميل هذه النماذج في الغالب إلى</w:t>
      </w:r>
      <w:commentRangeEnd w:id="208"/>
      <w:r>
        <w:rPr>
          <w:rStyle w:val="af0"/>
          <w:rFonts w:asciiTheme="majorBidi" w:hAnsiTheme="majorBidi" w:cstheme="majorBidi"/>
          <w:sz w:val="24"/>
          <w:szCs w:val="24"/>
          <w:rtl/>
        </w:rPr>
        <w:commentReference w:id="208"/>
      </w:r>
      <w:commentRangeEnd w:id="209"/>
      <w:r>
        <w:rPr>
          <w:rStyle w:val="af0"/>
          <w:rFonts w:asciiTheme="majorBidi" w:hAnsiTheme="majorBidi" w:cstheme="majorBidi"/>
          <w:sz w:val="24"/>
          <w:szCs w:val="24"/>
          <w:rtl/>
        </w:rPr>
        <w:commentReference w:id="209"/>
      </w:r>
      <w:commentRangeStart w:id="210"/>
      <w:commentRangeStart w:id="211"/>
      <w:r>
        <w:rPr>
          <w:rFonts w:asciiTheme="majorBidi" w:hAnsiTheme="majorBidi" w:cstheme="majorBidi"/>
          <w:sz w:val="24"/>
          <w:szCs w:val="24"/>
          <w:rtl/>
        </w:rPr>
        <w:t xml:space="preserve"> "النهج الافتراضي" </w:t>
      </w:r>
      <w:commentRangeEnd w:id="210"/>
      <w:r>
        <w:rPr>
          <w:rStyle w:val="af0"/>
          <w:rFonts w:asciiTheme="majorBidi" w:hAnsiTheme="majorBidi" w:cstheme="majorBidi"/>
          <w:sz w:val="24"/>
          <w:szCs w:val="24"/>
          <w:rtl/>
        </w:rPr>
        <w:commentReference w:id="210"/>
      </w:r>
      <w:commentRangeEnd w:id="211"/>
      <w:r>
        <w:rPr>
          <w:rStyle w:val="af0"/>
          <w:rFonts w:asciiTheme="majorBidi" w:hAnsiTheme="majorBidi" w:cstheme="majorBidi"/>
          <w:sz w:val="24"/>
          <w:szCs w:val="24"/>
          <w:rtl/>
        </w:rPr>
        <w:commentReference w:id="211"/>
      </w:r>
      <w:r>
        <w:rPr>
          <w:rFonts w:asciiTheme="majorBidi" w:hAnsiTheme="majorBidi" w:cstheme="majorBidi"/>
          <w:sz w:val="24"/>
          <w:szCs w:val="24"/>
          <w:rtl/>
        </w:rPr>
        <w:t>(</w:t>
      </w:r>
      <w:proofErr w:type="spellStart"/>
      <w:r>
        <w:rPr>
          <w:rFonts w:asciiTheme="majorBidi" w:hAnsiTheme="majorBidi" w:cstheme="majorBidi"/>
          <w:sz w:val="24"/>
          <w:szCs w:val="24"/>
          <w:rtl/>
        </w:rPr>
        <w:t>Default</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Approach</w:t>
      </w:r>
      <w:proofErr w:type="spellEnd"/>
      <w:r>
        <w:rPr>
          <w:rFonts w:asciiTheme="majorBidi" w:hAnsiTheme="majorBidi" w:cstheme="majorBidi"/>
          <w:sz w:val="24"/>
          <w:szCs w:val="24"/>
          <w:rtl/>
        </w:rPr>
        <w:t xml:space="preserve">) المستمد من بيئات تدريبها، فيُسقط على مسائل الميراث والوصاية مفاهيم لا تعرفها المنظومة الشرعية، ويتفاقم هذا التحيز كلما تضمّنت المهمة حكماً قيمياً لا معلومةً إجرائية </w:t>
      </w:r>
      <w:proofErr w:type="gramStart"/>
      <w:r>
        <w:rPr>
          <w:rFonts w:asciiTheme="majorBidi" w:hAnsiTheme="majorBidi" w:cstheme="majorBidi"/>
          <w:sz w:val="24"/>
          <w:szCs w:val="24"/>
          <w:rtl/>
        </w:rPr>
        <w:t xml:space="preserve">محايدة </w:t>
      </w:r>
      <w:r>
        <w:rPr>
          <w:rFonts w:asciiTheme="majorBidi" w:hAnsiTheme="majorBidi" w:cstheme="majorBidi"/>
          <w:sz w:val="24"/>
          <w:szCs w:val="24"/>
          <w:vertAlign w:val="superscript"/>
          <w:rtl/>
        </w:rPr>
        <w:footnoteReference w:id="319"/>
      </w:r>
      <w:r>
        <w:rPr>
          <w:rFonts w:asciiTheme="majorBidi" w:hAnsiTheme="majorBidi" w:cstheme="majorBidi"/>
          <w:sz w:val="24"/>
          <w:szCs w:val="24"/>
          <w:rtl/>
        </w:rPr>
        <w:t>.</w:t>
      </w:r>
      <w:proofErr w:type="gramEnd"/>
    </w:p>
    <w:p w14:paraId="01713064" w14:textId="77777777" w:rsidR="005705DD" w:rsidRDefault="005705DD" w:rsidP="005705DD">
      <w:pPr>
        <w:bidi/>
        <w:spacing w:after="200" w:line="276" w:lineRule="auto"/>
        <w:rPr>
          <w:rtl/>
        </w:rPr>
      </w:pPr>
      <w:r>
        <w:rPr>
          <w:rFonts w:asciiTheme="majorBidi" w:hAnsiTheme="majorBidi" w:cstheme="majorBidi"/>
          <w:sz w:val="24"/>
          <w:szCs w:val="24"/>
          <w:rtl/>
        </w:rPr>
        <w:t>التحدي الثاني — الخصوصية الاجتماعية وحساسية الملفات: يتسم المجتمع السعودي بحساسية اجتماعية عالية تجاه كشف الأسرار الأسرية والمالية حتى في نطاق محدود. ومن هذا المنطلق، يجد المحامي نفسه أمام حساسية موضوعية في إدخال وقائع قضايا الطلاق أو النزاعات الأسرية أو المشكلات المالية في أداة ذكاء اصطناعي تُعالج هذه البيانات على خوادم أجنبية، ليس فقط بسبب النص النظامي بل بسبب الاعتبارات الأخلاقية التي تُوجب أعلى درجات الحفاظ على الخصوصية.</w:t>
      </w:r>
    </w:p>
    <w:p w14:paraId="6E5A1A68" w14:textId="77777777" w:rsidR="005705DD" w:rsidRDefault="005705DD" w:rsidP="005705DD">
      <w:pPr>
        <w:bidi/>
        <w:spacing w:after="200" w:line="276" w:lineRule="auto"/>
        <w:rPr>
          <w:rtl/>
        </w:rPr>
      </w:pPr>
      <w:commentRangeStart w:id="212"/>
      <w:commentRangeStart w:id="213"/>
      <w:r>
        <w:rPr>
          <w:rFonts w:asciiTheme="majorBidi" w:hAnsiTheme="majorBidi" w:cstheme="majorBidi"/>
          <w:sz w:val="24"/>
          <w:szCs w:val="24"/>
          <w:rtl/>
        </w:rPr>
        <w:t xml:space="preserve">التحدي الثالث — المسؤولية الأخلاقية في الأخطاء ذات الأثر الديني: حين تتضمن القضية حكماً دينياً (كتحديد النسب أو أحكام الوصاية أو حق الطلاق) وتُنتج أداةٌ ذكيةٌ خطأً في التكييف الفقهي الذي يستند إليه المحامي، فإن الأثر الضار يمتد ليطال </w:t>
      </w:r>
      <w:proofErr w:type="spellStart"/>
      <w:r>
        <w:rPr>
          <w:rFonts w:asciiTheme="majorBidi" w:hAnsiTheme="majorBidi" w:cstheme="majorBidi"/>
          <w:sz w:val="24"/>
          <w:szCs w:val="24"/>
          <w:rtl/>
        </w:rPr>
        <w:t>مآلات</w:t>
      </w:r>
      <w:proofErr w:type="spellEnd"/>
      <w:r>
        <w:rPr>
          <w:rFonts w:asciiTheme="majorBidi" w:hAnsiTheme="majorBidi" w:cstheme="majorBidi"/>
          <w:sz w:val="24"/>
          <w:szCs w:val="24"/>
          <w:rtl/>
        </w:rPr>
        <w:t xml:space="preserve"> دينية وأسرية واجتماعية تفوق بكثير ما قد يحدث في قضية تجارية مماثلة. وهذا يجعل معيار الحيطة الواجبة في توظيف الذكاء الاصطناعي في هذا النوع من القضايا أعلى بكثير مما هو </w:t>
      </w:r>
      <w:commentRangeEnd w:id="212"/>
      <w:r>
        <w:rPr>
          <w:rStyle w:val="af0"/>
          <w:rFonts w:asciiTheme="majorBidi" w:hAnsiTheme="majorBidi" w:cstheme="majorBidi"/>
          <w:sz w:val="24"/>
          <w:szCs w:val="24"/>
          <w:rtl/>
        </w:rPr>
        <w:commentReference w:id="212"/>
      </w:r>
      <w:commentRangeEnd w:id="213"/>
      <w:r>
        <w:rPr>
          <w:rStyle w:val="af0"/>
          <w:rFonts w:asciiTheme="majorBidi" w:hAnsiTheme="majorBidi" w:cstheme="majorBidi"/>
          <w:sz w:val="24"/>
          <w:szCs w:val="24"/>
          <w:rtl/>
        </w:rPr>
        <w:commentReference w:id="213"/>
      </w:r>
      <w:r>
        <w:rPr>
          <w:rFonts w:asciiTheme="majorBidi" w:hAnsiTheme="majorBidi" w:cstheme="majorBidi"/>
          <w:sz w:val="24"/>
          <w:szCs w:val="24"/>
          <w:rtl/>
        </w:rPr>
        <w:t>مطلوب في القضايا التجارية المحضة.</w:t>
      </w:r>
    </w:p>
    <w:p w14:paraId="11B3FCD3"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هذه التحديات الأخلاقية الخاصة بالسياق السعودي تُلزم أي إطار تنظيمي مُقترَح بمراعاة ثلاثة مستويات متمايزة: مستوى الاشتراطات التقنية (جودة النموذج ودقته وخلوّه من التحيز)، ومستوى الاشتراطات المهنية (حدود الاستخدام المقبول أخلاقياً)، ومستوى الاشتراطات الثقافية والدينية (عدم توظيف نماذج ذات تحيز ثقافي صريح في الملفات ذات الطابع الفقهي الإسلامي).</w:t>
      </w:r>
    </w:p>
    <w:p w14:paraId="40F6DF07" w14:textId="77777777" w:rsidR="005705DD" w:rsidRDefault="005705DD" w:rsidP="005705DD"/>
    <w:p w14:paraId="59D6E81B" w14:textId="77777777" w:rsidR="005705DD" w:rsidRPr="00A84F46" w:rsidRDefault="005705DD" w:rsidP="005705DD">
      <w:pPr>
        <w:bidi/>
        <w:spacing w:after="200" w:line="276" w:lineRule="auto"/>
        <w:rPr>
          <w:bCs/>
          <w:color w:val="000000" w:themeColor="text1"/>
          <w:rtl/>
        </w:rPr>
      </w:pPr>
      <w:commentRangeStart w:id="214"/>
      <w:commentRangeStart w:id="215"/>
      <w:commentRangeStart w:id="216"/>
      <w:commentRangeStart w:id="217"/>
      <w:r>
        <w:rPr>
          <w:rFonts w:asciiTheme="majorBidi" w:hAnsiTheme="majorBidi" w:cstheme="majorBidi"/>
          <w:bCs/>
          <w:color w:val="000000" w:themeColor="text1"/>
          <w:sz w:val="28"/>
          <w:szCs w:val="28"/>
          <w:rtl/>
        </w:rPr>
        <w:t>ثانياً: ضوابط توظيف الذكاء الاصطناعي في المجال القانوني في ضوء الفقه الإسلامي</w:t>
      </w:r>
      <w:commentRangeEnd w:id="214"/>
      <w:r w:rsidRPr="00A84F46">
        <w:rPr>
          <w:rStyle w:val="af0"/>
          <w:bCs/>
          <w:color w:val="000000" w:themeColor="text1"/>
          <w:sz w:val="22"/>
          <w:szCs w:val="22"/>
          <w:rtl/>
        </w:rPr>
        <w:commentReference w:id="214"/>
      </w:r>
      <w:commentRangeEnd w:id="215"/>
      <w:r w:rsidRPr="00A84F46">
        <w:rPr>
          <w:rStyle w:val="af0"/>
          <w:bCs/>
          <w:color w:val="000000" w:themeColor="text1"/>
          <w:sz w:val="22"/>
          <w:szCs w:val="22"/>
          <w:rtl/>
        </w:rPr>
        <w:commentReference w:id="215"/>
      </w:r>
      <w:commentRangeEnd w:id="216"/>
      <w:r w:rsidRPr="00A84F46">
        <w:rPr>
          <w:rStyle w:val="af0"/>
          <w:bCs/>
          <w:color w:val="000000" w:themeColor="text1"/>
          <w:sz w:val="22"/>
          <w:szCs w:val="22"/>
          <w:rtl/>
        </w:rPr>
        <w:commentReference w:id="216"/>
      </w:r>
      <w:commentRangeEnd w:id="217"/>
      <w:r w:rsidRPr="00A84F46">
        <w:rPr>
          <w:rStyle w:val="af0"/>
          <w:bCs/>
          <w:color w:val="000000" w:themeColor="text1"/>
          <w:sz w:val="22"/>
          <w:szCs w:val="22"/>
          <w:rtl/>
        </w:rPr>
        <w:commentReference w:id="217"/>
      </w:r>
    </w:p>
    <w:p w14:paraId="24934879" w14:textId="77777777" w:rsidR="005705DD" w:rsidRDefault="005705DD" w:rsidP="005705DD">
      <w:pPr>
        <w:bidi/>
        <w:spacing w:after="200" w:line="276" w:lineRule="auto"/>
        <w:rPr>
          <w:rtl/>
        </w:rPr>
      </w:pPr>
      <w:r>
        <w:rPr>
          <w:rFonts w:asciiTheme="majorBidi" w:hAnsiTheme="majorBidi" w:cstheme="majorBidi"/>
          <w:sz w:val="24"/>
          <w:szCs w:val="24"/>
          <w:rtl/>
        </w:rPr>
        <w:t xml:space="preserve">لما كانت المنظومة القانونية السعودية تنهل من الشريعة الإسلامية وتستمد </w:t>
      </w:r>
      <w:proofErr w:type="spellStart"/>
      <w:r>
        <w:rPr>
          <w:rFonts w:asciiTheme="majorBidi" w:hAnsiTheme="majorBidi" w:cstheme="majorBidi"/>
          <w:sz w:val="24"/>
          <w:szCs w:val="24"/>
          <w:rtl/>
        </w:rPr>
        <w:t>مرجعيتها</w:t>
      </w:r>
      <w:proofErr w:type="spellEnd"/>
      <w:r>
        <w:rPr>
          <w:rFonts w:asciiTheme="majorBidi" w:hAnsiTheme="majorBidi" w:cstheme="majorBidi"/>
          <w:sz w:val="24"/>
          <w:szCs w:val="24"/>
          <w:rtl/>
        </w:rPr>
        <w:t xml:space="preserve"> الفقهية منها، فلا بد من استحضار الموقف الفقهي من توظيف الذكاء الاصطناعي في المهنة القانونية ليُكمل التحليل النظامي ويُعمّق أسسه. وهذا الاستحضار ليس ترفاً بحثياً بل ضرورة منهجية في دراسة تتعلق بالنظام السعودي.</w:t>
      </w:r>
    </w:p>
    <w:p w14:paraId="41501CAE" w14:textId="77777777" w:rsidR="005705DD" w:rsidRDefault="005705DD" w:rsidP="005705DD">
      <w:pPr>
        <w:bidi/>
        <w:spacing w:after="200" w:line="276" w:lineRule="auto"/>
        <w:rPr>
          <w:rtl/>
        </w:rPr>
      </w:pPr>
      <w:r>
        <w:rPr>
          <w:rFonts w:asciiTheme="majorBidi" w:hAnsiTheme="majorBidi" w:cstheme="majorBidi"/>
          <w:sz w:val="28"/>
          <w:szCs w:val="28"/>
          <w:rtl/>
        </w:rPr>
        <w:t>ويؤصّل الفقه الإسلامي للتعامل مع الأدوات التقنية من خلال عدة مبادئ فقهية:</w:t>
      </w:r>
    </w:p>
    <w:p w14:paraId="3969071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المبدأ الأول — مبدأ الإباحة الأصلية: القاعدة الفقهية المستقرة أن الأصل في الأشياء والوسائل الإباحة ما لم يدل دليل على التحريم. وبتطبيق هذه القاعدة على توظيف الذكاء الاصطناعي في المهنة القانونية، يكون الأصل هو </w:t>
      </w:r>
      <w:r>
        <w:rPr>
          <w:rFonts w:asciiTheme="majorBidi" w:hAnsiTheme="majorBidi" w:cstheme="majorBidi"/>
          <w:sz w:val="24"/>
          <w:szCs w:val="24"/>
          <w:rtl/>
        </w:rPr>
        <w:lastRenderedPageBreak/>
        <w:t>جوازه، وتنصبّ الدراسة الفقهية على استجلاء الضوابط والقيود التي تُخرجه عن هذا الأصل لا على إثبات إباحته ابتداءً.</w:t>
      </w:r>
    </w:p>
    <w:p w14:paraId="0D40F870" w14:textId="77777777" w:rsidR="005705DD" w:rsidRDefault="005705DD" w:rsidP="005705DD">
      <w:pPr>
        <w:bidi/>
        <w:spacing w:after="200" w:line="276" w:lineRule="auto"/>
        <w:rPr>
          <w:rtl/>
        </w:rPr>
      </w:pPr>
      <w:r>
        <w:rPr>
          <w:rFonts w:asciiTheme="majorBidi" w:hAnsiTheme="majorBidi" w:cstheme="majorBidi"/>
          <w:sz w:val="24"/>
          <w:szCs w:val="24"/>
          <w:rtl/>
        </w:rPr>
        <w:t>المبدأ الثاني — قاعدة درء المفسدة: "درء المفاسد مقدّم على جلب المصالح". وبتطبيق هذه القاعدة، فإن المصالح المُحقَّقة من توظيف الذكاء الاصطناعي في رفع الكفاءة وخفض التكلفة ينبغي أن تُوازَن بالمفاسد المحتملة من تهديد السرية وخطأ المعلومات والتحيز. وإذا كانت المفاسد أعظم — أو كان خطر وقوعها مرتفعاً — فإن القاعدة تقتضي وضع الضوابط الكافية لدرئها قبل السماح بالاستخدام.</w:t>
      </w:r>
    </w:p>
    <w:p w14:paraId="10878B53" w14:textId="77777777" w:rsidR="005705DD" w:rsidRDefault="005705DD" w:rsidP="005705DD">
      <w:pPr>
        <w:bidi/>
        <w:spacing w:after="200" w:line="276" w:lineRule="auto"/>
        <w:rPr>
          <w:rtl/>
        </w:rPr>
      </w:pPr>
      <w:r>
        <w:rPr>
          <w:rFonts w:asciiTheme="majorBidi" w:hAnsiTheme="majorBidi" w:cstheme="majorBidi"/>
          <w:sz w:val="24"/>
          <w:szCs w:val="24"/>
          <w:rtl/>
        </w:rPr>
        <w:t>المبدأ الثالث — قاعدة لا ضرر ولا ضرار: وهي من أصول الفقه الإسلامي في المعاملات، وتقتضي عدم استخدام الأداة الذكية بصورة تُلحق ضرراً بالموكل أو الخصم أو بسير العدالة. وبمقتضى هذه القاعدة لا يحل للمحامي استخدام أداة ذكية يعلم — أو يتعين عليه أن يعلم — أنها تُنتج معلومات غير موثوقة بصورة تُضر بمصلحة موكله.</w:t>
      </w:r>
    </w:p>
    <w:p w14:paraId="3AF8B031" w14:textId="77777777" w:rsidR="005705DD" w:rsidRDefault="005705DD" w:rsidP="005705DD">
      <w:pPr>
        <w:bidi/>
        <w:spacing w:after="200" w:line="276" w:lineRule="auto"/>
        <w:rPr>
          <w:rtl/>
        </w:rPr>
      </w:pPr>
      <w:r>
        <w:rPr>
          <w:rFonts w:asciiTheme="majorBidi" w:hAnsiTheme="majorBidi" w:cstheme="majorBidi"/>
          <w:sz w:val="24"/>
          <w:szCs w:val="24"/>
          <w:rtl/>
        </w:rPr>
        <w:t>المبدأ الرابع — اشتراط الأمانة والكفاءة: يُقرّر الفقه الإسلامي في باب الوكالة أن الوكيل يلتزم بالقيام بما وُكّل فيه على وجه الإتقان والكفاءة المعتادة. وفي السياق المهني الراهن، يعني ذلك أن المحامي الذي يُوكَّل إليه تمثيل موكله ملزَمٌ بأن يُوظّف كل الأدوات المتاحة — بما فيها التقنية — على نحو يُحقق الحماية الكاملة لمصالح موكله، مع الامتناع عن كل استخدام يُخل بهذه الحماية أو يُهدّد سريتها.</w:t>
      </w:r>
    </w:p>
    <w:p w14:paraId="718C14C0" w14:textId="77777777" w:rsidR="005705DD" w:rsidRDefault="005705DD" w:rsidP="005705DD">
      <w:pPr>
        <w:bidi/>
        <w:spacing w:after="200" w:line="276" w:lineRule="auto"/>
        <w:rPr>
          <w:rtl/>
        </w:rPr>
      </w:pPr>
      <w:r>
        <w:rPr>
          <w:rFonts w:asciiTheme="majorBidi" w:hAnsiTheme="majorBidi" w:cstheme="majorBidi"/>
          <w:sz w:val="24"/>
          <w:szCs w:val="24"/>
          <w:rtl/>
        </w:rPr>
        <w:t>المبدأ الخامس — واجب الإفصاح (البيان): يُقرّر الفقه الإسلامي في عقود المعاملات وجوب الإفصاح عن المعلومات الجوهرية التي تؤثر في قرار الطرف الآخر. ومن هذا المنطلق، فإن إخفاء المحامي عن موكله حقيقةَ اعتماده على الذكاء الاصطناعي في معالجة ملفه — لو كان الموكل سيرفض ذلك لو علم — يُشكّل خيانةً في أمانة الوكالة لا يُقبّلها الفقه الإسلامي.</w:t>
      </w:r>
    </w:p>
    <w:p w14:paraId="2604F87F" w14:textId="77777777" w:rsidR="005705DD" w:rsidRDefault="005705DD" w:rsidP="005705DD">
      <w:pPr>
        <w:bidi/>
        <w:spacing w:after="200" w:line="276" w:lineRule="auto"/>
        <w:rPr>
          <w:rtl/>
        </w:rPr>
      </w:pPr>
      <w:r>
        <w:rPr>
          <w:rFonts w:asciiTheme="majorBidi" w:hAnsiTheme="majorBidi" w:cstheme="majorBidi"/>
          <w:sz w:val="24"/>
          <w:szCs w:val="24"/>
          <w:rtl/>
        </w:rPr>
        <w:t>ويُلفت الباحث إلى أن التأصيل الفقهي لمسألة الذكاء الاصطناعي في المهنة القانونية لا يزال في مرحلته الاجتهادية الأولى في الساحة العلمية الإسلامية، ولم تصدر بعد فتاوى جامعة مُقنَّنة في هذا الشأن من المجامع الفقهية الكبرى. وعليه فإن تأصيل أحكامه يستلزم من المشرّع التشاور مع أهل العلم الشرعي المتخصصين جنباً إلى جنب مع خبراء القانون والتقنية.</w:t>
      </w:r>
    </w:p>
    <w:p w14:paraId="27BDE599" w14:textId="77777777" w:rsidR="005705DD" w:rsidRDefault="005705DD" w:rsidP="005705DD"/>
    <w:p w14:paraId="3B1DE0AB" w14:textId="77777777" w:rsidR="005705DD" w:rsidRPr="00A84F46" w:rsidRDefault="005705DD" w:rsidP="005705DD">
      <w:pPr>
        <w:bidi/>
        <w:spacing w:after="200" w:line="276" w:lineRule="auto"/>
        <w:rPr>
          <w:bCs/>
          <w:color w:val="000000" w:themeColor="text1"/>
          <w:rtl/>
        </w:rPr>
      </w:pPr>
      <w:commentRangeStart w:id="218"/>
      <w:commentRangeStart w:id="219"/>
      <w:r>
        <w:rPr>
          <w:rFonts w:asciiTheme="majorBidi" w:hAnsiTheme="majorBidi" w:cstheme="majorBidi"/>
          <w:bCs/>
          <w:color w:val="000000" w:themeColor="text1"/>
          <w:sz w:val="28"/>
          <w:szCs w:val="28"/>
          <w:rtl/>
        </w:rPr>
        <w:t>ثالثاً: الذكاء الاصطناعي والوصول إلى العدالة</w:t>
      </w:r>
      <w:commentRangeEnd w:id="218"/>
      <w:r w:rsidRPr="00A84F46">
        <w:rPr>
          <w:rStyle w:val="af0"/>
          <w:bCs/>
          <w:color w:val="000000" w:themeColor="text1"/>
          <w:sz w:val="22"/>
          <w:szCs w:val="22"/>
          <w:rtl/>
        </w:rPr>
        <w:commentReference w:id="218"/>
      </w:r>
      <w:commentRangeEnd w:id="219"/>
      <w:r w:rsidRPr="00A84F46">
        <w:rPr>
          <w:rStyle w:val="af0"/>
          <w:bCs/>
          <w:color w:val="000000" w:themeColor="text1"/>
          <w:sz w:val="22"/>
          <w:szCs w:val="22"/>
          <w:rtl/>
        </w:rPr>
        <w:commentReference w:id="219"/>
      </w:r>
    </w:p>
    <w:p w14:paraId="0440E1E8" w14:textId="77777777" w:rsidR="005705DD" w:rsidRDefault="005705DD" w:rsidP="005705DD">
      <w:pPr>
        <w:bidi/>
        <w:spacing w:after="200" w:line="276" w:lineRule="auto"/>
        <w:rPr>
          <w:rtl/>
        </w:rPr>
      </w:pPr>
      <w:r>
        <w:rPr>
          <w:rFonts w:asciiTheme="majorBidi" w:hAnsiTheme="majorBidi" w:cstheme="majorBidi"/>
          <w:sz w:val="24"/>
          <w:szCs w:val="24"/>
          <w:rtl/>
        </w:rPr>
        <w:t xml:space="preserve">يُمثّل الوصول إلى العدالة (Access </w:t>
      </w:r>
      <w:proofErr w:type="spellStart"/>
      <w:r>
        <w:rPr>
          <w:rFonts w:asciiTheme="majorBidi" w:hAnsiTheme="majorBidi" w:cstheme="majorBidi"/>
          <w:sz w:val="24"/>
          <w:szCs w:val="24"/>
          <w:rtl/>
        </w:rPr>
        <w:t>to</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Justice</w:t>
      </w:r>
      <w:proofErr w:type="spellEnd"/>
      <w:r>
        <w:rPr>
          <w:rFonts w:asciiTheme="majorBidi" w:hAnsiTheme="majorBidi" w:cstheme="majorBidi"/>
          <w:sz w:val="24"/>
          <w:szCs w:val="24"/>
          <w:rtl/>
        </w:rPr>
        <w:t xml:space="preserve">) أحد أكثر التحديات إلحاحاً في الأنظمة القانونية المعاصرة. ويُثير ذلك تساؤلاً جوهرياً في سياق الدراسة: هل يُمكن لتقنيات الذكاء الاصطناعي أن تُسهم في تضييق فجوة الوصول إلى العدالة في المجتمع السعودي، وكيف يمكن تنظيم هذه </w:t>
      </w:r>
      <w:proofErr w:type="spellStart"/>
      <w:r>
        <w:rPr>
          <w:rFonts w:asciiTheme="majorBidi" w:hAnsiTheme="majorBidi" w:cstheme="majorBidi"/>
          <w:sz w:val="24"/>
          <w:szCs w:val="24"/>
          <w:rtl/>
        </w:rPr>
        <w:t>الإسهامة</w:t>
      </w:r>
      <w:proofErr w:type="spellEnd"/>
      <w:r>
        <w:rPr>
          <w:rFonts w:asciiTheme="majorBidi" w:hAnsiTheme="majorBidi" w:cstheme="majorBidi"/>
          <w:sz w:val="24"/>
          <w:szCs w:val="24"/>
          <w:rtl/>
        </w:rPr>
        <w:t xml:space="preserve"> بصورة قانونية سليمة؟</w:t>
      </w:r>
    </w:p>
    <w:p w14:paraId="48273655" w14:textId="77777777" w:rsidR="005705DD" w:rsidRDefault="005705DD" w:rsidP="005705DD">
      <w:pPr>
        <w:bidi/>
        <w:spacing w:after="200" w:line="276" w:lineRule="auto"/>
        <w:rPr>
          <w:rtl/>
        </w:rPr>
      </w:pPr>
      <w:r>
        <w:rPr>
          <w:rFonts w:asciiTheme="majorBidi" w:hAnsiTheme="majorBidi" w:cstheme="majorBidi"/>
          <w:sz w:val="24"/>
          <w:szCs w:val="24"/>
          <w:rtl/>
        </w:rPr>
        <w:t xml:space="preserve">تُكشف الفجوة في الوصول إلى العدالة عن نفسها في عدة صور في البيئة السعودية: أولاها عدم تكافؤ التمثيل القانوني بين الشرائح الاجتماعية المختلفة، </w:t>
      </w:r>
      <w:commentRangeStart w:id="220"/>
      <w:commentRangeStart w:id="221"/>
      <w:r>
        <w:rPr>
          <w:rFonts w:asciiTheme="majorBidi" w:hAnsiTheme="majorBidi" w:cstheme="majorBidi"/>
          <w:sz w:val="24"/>
          <w:szCs w:val="24"/>
          <w:rtl/>
        </w:rPr>
        <w:t>إذ يمثل عدد غير قليل من المتقاضين في المحاكم السعودية أنفسهم دون محامٍ بسبب الاعتبارات المالية. وثانيتها الفجوة الجغرافية بين المدن الكبرى والمدن والمحافظات الأصغر، حيث يقل تمركز مكاتب المحاماة المتخصصة. وثالثتها الفجوة اللغوية حين يتعلق الأمر بمقيمين غير ناطقين بالعربية.</w:t>
      </w:r>
      <w:commentRangeEnd w:id="220"/>
      <w:r>
        <w:rPr>
          <w:rStyle w:val="af0"/>
          <w:sz w:val="22"/>
          <w:szCs w:val="22"/>
          <w:rtl/>
        </w:rPr>
        <w:commentReference w:id="220"/>
      </w:r>
      <w:commentRangeEnd w:id="221"/>
      <w:r>
        <w:rPr>
          <w:rStyle w:val="af0"/>
          <w:sz w:val="22"/>
          <w:szCs w:val="22"/>
          <w:rtl/>
        </w:rPr>
        <w:commentReference w:id="221"/>
      </w:r>
    </w:p>
    <w:p w14:paraId="235C256F" w14:textId="77777777" w:rsidR="005705DD" w:rsidRDefault="005705DD" w:rsidP="005705DD">
      <w:pPr>
        <w:bidi/>
        <w:spacing w:after="200" w:line="276" w:lineRule="auto"/>
        <w:rPr>
          <w:rtl/>
        </w:rPr>
      </w:pPr>
      <w:r>
        <w:rPr>
          <w:rFonts w:asciiTheme="majorBidi" w:hAnsiTheme="majorBidi" w:cstheme="majorBidi"/>
          <w:sz w:val="24"/>
          <w:szCs w:val="24"/>
          <w:rtl/>
        </w:rPr>
        <w:t>وللذكاء الاصطناعي إمكانات نظرية واعدة في معالجة بعض هذه الفجوات: فأدوات تلخيص الوثائق القانونية وشرح الإجراءات يمكن أن تُمكّن المواطن العادي من فهم حقوقه الإجرائية الأساسية. كما يمكن للذكاء الاصطناعي التوليدي تقديم تعريفات قانونية بلغات متعددة، مما يُسهم في تضييق الفجوة اللغوية. فضلاً عن أن التحليل الذكي لأحكام القضاة السابقة يمكن أن يُقدّم للمحامي في المناطق الأقل تطوراً صورةً أوضح عن السوابق القضائية الذي كانت حكراً على مراكز المدن الكبرى المحتضِنة لكبريات المكاتب.</w:t>
      </w:r>
    </w:p>
    <w:p w14:paraId="2114E2E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غير أن هذه الإمكانات تُقابلها مخاطر مضادة لا يجوز إغفالها: فالمستخدم الذي يلجأ إلى الذكاء الاصطناعي كبديل عن المحامي المرخّص يتعرض لخطر تلقّي معلومات غير دقيقة تفوت عليه فرصاً قانونية أو تدفعه إلى قرارات خاطئة. ولأن فئات الوصول المحدود إلى العدالة هي في الغالب الأقل تأهيلاً لتقييم دقة المعلومات التقنية واختبار مصداقيتها، فإن توظيف الذكاء الاصطناعي دون ضوابط قد يزيد الفجوة بدلاً من تضييقها، بأن يجعل المعلومات القانونية المغلوطة "في متناول الجميع" لا المعلومة الصحيحة.</w:t>
      </w:r>
    </w:p>
    <w:p w14:paraId="395167A6" w14:textId="77777777" w:rsidR="005705DD" w:rsidRDefault="005705DD" w:rsidP="005705DD">
      <w:pPr>
        <w:bidi/>
        <w:spacing w:after="200" w:line="276" w:lineRule="auto"/>
        <w:rPr>
          <w:rtl/>
        </w:rPr>
      </w:pPr>
      <w:commentRangeStart w:id="222"/>
      <w:commentRangeStart w:id="223"/>
      <w:r>
        <w:rPr>
          <w:rFonts w:asciiTheme="majorBidi" w:hAnsiTheme="majorBidi" w:cstheme="majorBidi"/>
          <w:sz w:val="24"/>
          <w:szCs w:val="24"/>
          <w:rtl/>
        </w:rPr>
        <w:t>ويوصي الباحث — استئناساً بالاتجاهات المقارنة — بتنظيم خدمات المساعدة القانونية الرقمية المدعومة بالذكاء الاصطناعي بوصفها خدمات مكملة للخدمة القانونية البشرية لا بديلة عنها، وبإلزام منصات تقديم هذه الخدمات بالحصول على ترخيص خاص ووضع تنبيهات صريحة للمستخدمين بأن ما يتلقونه معلوماتٌ قانونية لا استشارة متخصصة.</w:t>
      </w:r>
      <w:commentRangeEnd w:id="222"/>
      <w:r>
        <w:rPr>
          <w:rStyle w:val="af0"/>
          <w:sz w:val="22"/>
          <w:szCs w:val="22"/>
          <w:rtl/>
        </w:rPr>
        <w:commentReference w:id="222"/>
      </w:r>
      <w:commentRangeEnd w:id="223"/>
      <w:r>
        <w:rPr>
          <w:rStyle w:val="af0"/>
          <w:sz w:val="22"/>
          <w:szCs w:val="22"/>
          <w:rtl/>
        </w:rPr>
        <w:commentReference w:id="223"/>
      </w:r>
    </w:p>
    <w:p w14:paraId="030219D5"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تنظيم الذكاء الاصطناعي في خدمة الوصول إلى العدالة في المملكة يستوجب استراتيجيةً ذات شقّين: شقٌّ يُشجّع الاستخدام المنظَّم لأدوات الذكاء الاصطناعي لتقديم "الثقافة القانونية" للمواطن ويُيسّر الإجراءات الإدارية القانونية البسيطة. وشقٌّ يضمن أن الخدمات الاستشارية المتخصصة تظل خاضعةً للرقابة البشرية المرخّصة في جميع الأحوال. وهذا التوازن هو الذي يُحوّل الذكاء الاصطناعي من تهديد محتمل للعدالة إلى أداة لخدمتها.</w:t>
      </w:r>
    </w:p>
    <w:p w14:paraId="02A5C1A5" w14:textId="77777777" w:rsidR="005705DD" w:rsidRDefault="005705DD" w:rsidP="005705DD"/>
    <w:p w14:paraId="2C029270"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الثاني</w:t>
      </w:r>
    </w:p>
    <w:p w14:paraId="79B8A5B3" w14:textId="77777777" w:rsidR="005705DD" w:rsidRDefault="005705DD" w:rsidP="005705DD">
      <w:pPr>
        <w:bidi/>
        <w:spacing w:before="240" w:after="200" w:line="276" w:lineRule="auto"/>
        <w:jc w:val="center"/>
        <w:rPr>
          <w:rtl/>
        </w:rPr>
      </w:pPr>
      <w:commentRangeStart w:id="224"/>
      <w:commentRangeStart w:id="225"/>
      <w:r>
        <w:rPr>
          <w:rFonts w:asciiTheme="majorBidi" w:hAnsiTheme="majorBidi" w:cstheme="majorBidi"/>
          <w:b/>
          <w:bCs/>
          <w:sz w:val="24"/>
          <w:szCs w:val="24"/>
          <w:rtl/>
        </w:rPr>
        <w:t>استشراف التطورات التقنية ومتطلبات التأهيل المهني وسوق التقنيات القانونية</w:t>
      </w:r>
    </w:p>
    <w:p w14:paraId="3BB9C67A" w14:textId="77777777" w:rsidR="005705DD" w:rsidRPr="00A84F46" w:rsidRDefault="005705DD" w:rsidP="005705DD">
      <w:pPr>
        <w:bidi/>
        <w:spacing w:after="200" w:line="276" w:lineRule="auto"/>
        <w:rPr>
          <w:color w:val="000000" w:themeColor="text1"/>
          <w:rtl/>
        </w:rPr>
      </w:pPr>
      <w:r>
        <w:rPr>
          <w:rFonts w:asciiTheme="majorBidi" w:hAnsiTheme="majorBidi" w:cstheme="majorBidi"/>
          <w:b/>
          <w:color w:val="000000" w:themeColor="text1"/>
          <w:sz w:val="28"/>
          <w:szCs w:val="28"/>
          <w:rtl/>
        </w:rPr>
        <w:t>أولاً: تحديات التأهيل المهني لتوظيف الذكاء الاصطناعي في المهنة</w:t>
      </w:r>
      <w:commentRangeEnd w:id="224"/>
      <w:r w:rsidRPr="00A84F46">
        <w:rPr>
          <w:rStyle w:val="af0"/>
          <w:color w:val="000000" w:themeColor="text1"/>
          <w:sz w:val="22"/>
          <w:szCs w:val="22"/>
          <w:rtl/>
        </w:rPr>
        <w:commentReference w:id="224"/>
      </w:r>
      <w:commentRangeEnd w:id="225"/>
      <w:r w:rsidRPr="00A84F46">
        <w:rPr>
          <w:rStyle w:val="af0"/>
          <w:color w:val="000000" w:themeColor="text1"/>
          <w:sz w:val="22"/>
          <w:szCs w:val="22"/>
          <w:rtl/>
        </w:rPr>
        <w:commentReference w:id="225"/>
      </w:r>
    </w:p>
    <w:p w14:paraId="6100194D" w14:textId="77777777" w:rsidR="005705DD" w:rsidRDefault="005705DD" w:rsidP="005705DD">
      <w:pPr>
        <w:bidi/>
        <w:spacing w:after="200" w:line="276" w:lineRule="auto"/>
        <w:rPr>
          <w:rtl/>
        </w:rPr>
      </w:pPr>
      <w:r>
        <w:rPr>
          <w:rFonts w:asciiTheme="majorBidi" w:hAnsiTheme="majorBidi" w:cstheme="majorBidi"/>
          <w:sz w:val="24"/>
          <w:szCs w:val="24"/>
          <w:rtl/>
        </w:rPr>
        <w:t xml:space="preserve">لا تقتصر </w:t>
      </w:r>
      <w:commentRangeStart w:id="226"/>
      <w:commentRangeStart w:id="227"/>
      <w:r>
        <w:rPr>
          <w:rFonts w:asciiTheme="majorBidi" w:hAnsiTheme="majorBidi" w:cstheme="majorBidi"/>
          <w:sz w:val="24"/>
          <w:szCs w:val="24"/>
          <w:rtl/>
        </w:rPr>
        <w:t xml:space="preserve">تحديات توظيف الذكاء الاصطناعي في مكاتب المحاماة السعودية </w:t>
      </w:r>
      <w:commentRangeEnd w:id="226"/>
      <w:r>
        <w:rPr>
          <w:rStyle w:val="af0"/>
          <w:rFonts w:asciiTheme="majorBidi" w:hAnsiTheme="majorBidi" w:cstheme="majorBidi"/>
          <w:sz w:val="24"/>
          <w:szCs w:val="24"/>
          <w:rtl/>
        </w:rPr>
        <w:commentReference w:id="226"/>
      </w:r>
      <w:commentRangeEnd w:id="227"/>
      <w:r>
        <w:rPr>
          <w:rStyle w:val="af0"/>
          <w:rFonts w:asciiTheme="majorBidi" w:hAnsiTheme="majorBidi" w:cstheme="majorBidi"/>
          <w:sz w:val="24"/>
          <w:szCs w:val="24"/>
          <w:rtl/>
        </w:rPr>
        <w:commentReference w:id="227"/>
      </w:r>
      <w:r>
        <w:rPr>
          <w:rFonts w:asciiTheme="majorBidi" w:hAnsiTheme="majorBidi" w:cstheme="majorBidi"/>
          <w:sz w:val="24"/>
          <w:szCs w:val="24"/>
          <w:rtl/>
        </w:rPr>
        <w:t>على المستوى التشريعي والتنظيمي، بل تمتد لتشمل أيضاً بُعداً تعليمياً ومهنياً جوهرياً. ذلك أن التشريع الأمثل وحده لا يكفي ما لم يُصاحبه إعداد مهني فعلي للمحامي يُمكّنه من التعامل مع أدوات الذكاء الاصطناعي بصورة كفؤة ومسؤولة.</w:t>
      </w:r>
    </w:p>
    <w:p w14:paraId="5BD776CA" w14:textId="77777777" w:rsidR="005705DD" w:rsidRDefault="005705DD" w:rsidP="005705DD">
      <w:pPr>
        <w:bidi/>
        <w:spacing w:after="200" w:line="276" w:lineRule="auto"/>
        <w:rPr>
          <w:rtl/>
        </w:rPr>
      </w:pPr>
      <w:r>
        <w:rPr>
          <w:rFonts w:asciiTheme="majorBidi" w:hAnsiTheme="majorBidi" w:cstheme="majorBidi"/>
          <w:sz w:val="24"/>
          <w:szCs w:val="24"/>
          <w:rtl/>
        </w:rPr>
        <w:t>أولاً: الفجوة في المناهج القانونية: لا تتضمن مناهج كليات الحقوق والشريعة في الجامعات السعودية — في غالبيتها — مقررات متخصصة في تقنيات المعلومات القانونية أو أخلاقيات الذكاء الاصطناعي في المهنة، وهو ما يُخرّج أجيالاً من المحامين غير مُستعدة للتعامل بكفاءة ومسؤولية مع هذه الأدوات. وتكشف الدراسات الميدانية العربية الحديثة عن ضعف واضح في التأهيل التقني لخريجي كليات القانون خلال دراستهم الجامعية</w:t>
      </w:r>
      <w:r>
        <w:rPr>
          <w:rFonts w:asciiTheme="majorBidi" w:hAnsiTheme="majorBidi" w:cstheme="majorBidi"/>
          <w:sz w:val="24"/>
          <w:szCs w:val="24"/>
          <w:vertAlign w:val="superscript"/>
          <w:rtl/>
        </w:rPr>
        <w:footnoteReference w:id="320"/>
      </w:r>
      <w:commentRangeStart w:id="228"/>
      <w:commentRangeStart w:id="229"/>
      <w:r>
        <w:rPr>
          <w:rFonts w:asciiTheme="majorBidi" w:hAnsiTheme="majorBidi" w:cstheme="majorBidi"/>
          <w:sz w:val="24"/>
          <w:szCs w:val="24"/>
          <w:rtl/>
        </w:rPr>
        <w:t>.</w:t>
      </w:r>
      <w:commentRangeEnd w:id="228"/>
      <w:r>
        <w:rPr>
          <w:rStyle w:val="af0"/>
          <w:sz w:val="22"/>
          <w:szCs w:val="22"/>
          <w:rtl/>
        </w:rPr>
        <w:commentReference w:id="228"/>
      </w:r>
      <w:commentRangeEnd w:id="229"/>
      <w:r>
        <w:rPr>
          <w:rStyle w:val="af0"/>
          <w:sz w:val="22"/>
          <w:szCs w:val="22"/>
          <w:rtl/>
        </w:rPr>
        <w:commentReference w:id="229"/>
      </w:r>
    </w:p>
    <w:p w14:paraId="73F4F8B9" w14:textId="77777777" w:rsidR="005705DD" w:rsidRDefault="005705DD" w:rsidP="005705DD">
      <w:pPr>
        <w:bidi/>
        <w:spacing w:after="200" w:line="276" w:lineRule="auto"/>
        <w:rPr>
          <w:rtl/>
        </w:rPr>
      </w:pPr>
      <w:r>
        <w:rPr>
          <w:rFonts w:asciiTheme="majorBidi" w:hAnsiTheme="majorBidi" w:cstheme="majorBidi"/>
          <w:sz w:val="24"/>
          <w:szCs w:val="24"/>
          <w:rtl/>
        </w:rPr>
        <w:t>ثانياً: برامج التطوير المهني المستمر: تُتيح الهيئة السعودية للمحامين برامجَ للتطوير المهني المستمر، غير أنها تُركّز في غالبها على الإجراءات القضائية والمستجدات التشريعية لا على أخلاقيات التقنية القانونية. وإدراج وحدات تدريبية إلزامية في مجال توظيف الذكاء الاصطناعي ضمن متطلبات الترخيص المهني المستمر يُعدّ خطوةً طال انتظارها.</w:t>
      </w:r>
    </w:p>
    <w:p w14:paraId="17F6CD24" w14:textId="77777777" w:rsidR="005705DD" w:rsidRDefault="005705DD" w:rsidP="005705DD">
      <w:pPr>
        <w:bidi/>
        <w:spacing w:after="200" w:line="276" w:lineRule="auto"/>
        <w:rPr>
          <w:rtl/>
        </w:rPr>
      </w:pPr>
      <w:commentRangeStart w:id="230"/>
      <w:commentRangeStart w:id="231"/>
      <w:r>
        <w:rPr>
          <w:rFonts w:asciiTheme="majorBidi" w:hAnsiTheme="majorBidi" w:cstheme="majorBidi"/>
          <w:sz w:val="24"/>
          <w:szCs w:val="24"/>
          <w:rtl/>
        </w:rPr>
        <w:t>ثالثاً: اليقظة التقنية (</w:t>
      </w:r>
      <w:proofErr w:type="spellStart"/>
      <w:r>
        <w:rPr>
          <w:rFonts w:asciiTheme="majorBidi" w:hAnsiTheme="majorBidi" w:cstheme="majorBidi"/>
          <w:sz w:val="24"/>
          <w:szCs w:val="24"/>
          <w:rtl/>
        </w:rPr>
        <w:t>Technological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Vigilance</w:t>
      </w:r>
      <w:proofErr w:type="spellEnd"/>
      <w:r>
        <w:rPr>
          <w:rFonts w:asciiTheme="majorBidi" w:hAnsiTheme="majorBidi" w:cstheme="majorBidi"/>
          <w:sz w:val="24"/>
          <w:szCs w:val="24"/>
          <w:rtl/>
        </w:rPr>
        <w:t>): ويرى الباحث أن الذكاء الاصطناعي القانوني يطرح ثلاث مفارقات تجعله تحدياً تعليمياً فريداً: أولاها أن الأداة كلما ازدادت في مظهرها كفاءةً ودقةً كلما كان من الأصعب للمستخدم رصد أخطائها الجوهرية. وثانيتها أن المعرفة التقنية اللازمة لاستخدام الأداة لا تكفي وحدها، بل يلزمها معرفة بحدودها ومواطن ضعفها. وثالثتها أن الثقة المفرطة في الأداة الذكية — لا جهلها — هي المصدر الأكثر خطورةً للأخطاء المهنية.</w:t>
      </w:r>
      <w:commentRangeEnd w:id="230"/>
      <w:r>
        <w:rPr>
          <w:rStyle w:val="af0"/>
          <w:sz w:val="22"/>
          <w:szCs w:val="22"/>
          <w:rtl/>
        </w:rPr>
        <w:commentReference w:id="230"/>
      </w:r>
      <w:commentRangeEnd w:id="231"/>
      <w:r>
        <w:rPr>
          <w:rStyle w:val="af0"/>
          <w:sz w:val="22"/>
          <w:szCs w:val="22"/>
          <w:rtl/>
        </w:rPr>
        <w:commentReference w:id="231"/>
      </w:r>
    </w:p>
    <w:p w14:paraId="7228A25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رابعاً: توزيع المهام بين الإنسان والآلة: يطرح توظيف الذكاء الاصطناعي في مكاتب المحاماة تساؤلاً جوهرياً حول إعادة توزيع المهام: أيّها يجب أن تظل بشريةً حصراً، وأيّها يمكن تفويضها للذكاء الاصطناعي بصورة مشروعة مهنياً؟ ويرى الباحث — استناداً إلى مبدأ الكفاءة المهنية الواجبة — أن ثمة مهام لا تقبل التفويض الكامل للآلة: كتقدير موقف الموكل وتوصيف وقائع القضية الكاملة، وبناء استراتيجية الدفاع، والحكم القيمي في المواقف ذات الطابع الأخلاقي، والتمثيل الشخصي أمام هيئات القضاء.</w:t>
      </w:r>
    </w:p>
    <w:p w14:paraId="1BE8A94B" w14:textId="77777777" w:rsidR="005705DD" w:rsidRDefault="005705DD" w:rsidP="005705DD">
      <w:pPr>
        <w:bidi/>
        <w:spacing w:after="200" w:line="276" w:lineRule="auto"/>
        <w:rPr>
          <w:rtl/>
        </w:rPr>
      </w:pPr>
      <w:r>
        <w:rPr>
          <w:rFonts w:asciiTheme="majorBidi" w:hAnsiTheme="majorBidi" w:cstheme="majorBidi"/>
          <w:sz w:val="24"/>
          <w:szCs w:val="24"/>
          <w:rtl/>
        </w:rPr>
        <w:t>يرى الباحث ختاماً: إن استعداد مهنة المحاماة السعودية لعصر الذكاء الاصطناعي يتطلب استثماراً استراتيجياً متوازياً في ثلاثة مسارات: التشريع الناظم، والحوكمة المؤسسية داخل مكاتب المحاماة، والتطوير المهني المستمر للمحامين. وكل مسار يُكمل الآخرين، ولا يمكن أن يُحقق واحد منهم وحده الأثر المنشود دون الاستثمار في المسارات المقابلة.</w:t>
      </w:r>
    </w:p>
    <w:p w14:paraId="47B35306" w14:textId="77777777" w:rsidR="005705DD" w:rsidRDefault="005705DD" w:rsidP="005705DD">
      <w:commentRangeStart w:id="232"/>
      <w:commentRangeStart w:id="233"/>
    </w:p>
    <w:p w14:paraId="4584F089"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ثانياً: أثر الذكاء الاصطناعي في مستقبل مهنة المحاماة السعودية</w:t>
      </w:r>
      <w:commentRangeEnd w:id="232"/>
      <w:r w:rsidRPr="00A84F46">
        <w:rPr>
          <w:rStyle w:val="af0"/>
          <w:bCs/>
          <w:color w:val="000000" w:themeColor="text1"/>
          <w:sz w:val="22"/>
          <w:szCs w:val="22"/>
          <w:rtl/>
        </w:rPr>
        <w:commentReference w:id="232"/>
      </w:r>
      <w:commentRangeEnd w:id="233"/>
      <w:r w:rsidRPr="00A84F46">
        <w:rPr>
          <w:rStyle w:val="af0"/>
          <w:bCs/>
          <w:color w:val="000000" w:themeColor="text1"/>
          <w:sz w:val="22"/>
          <w:szCs w:val="22"/>
          <w:rtl/>
        </w:rPr>
        <w:commentReference w:id="233"/>
      </w:r>
    </w:p>
    <w:p w14:paraId="180C8C11" w14:textId="77777777" w:rsidR="005705DD" w:rsidRDefault="005705DD" w:rsidP="005705DD">
      <w:pPr>
        <w:bidi/>
        <w:spacing w:after="200" w:line="276" w:lineRule="auto"/>
        <w:rPr>
          <w:rtl/>
        </w:rPr>
      </w:pPr>
      <w:commentRangeStart w:id="234"/>
      <w:commentRangeStart w:id="235"/>
      <w:r>
        <w:rPr>
          <w:rFonts w:asciiTheme="majorBidi" w:hAnsiTheme="majorBidi" w:cstheme="majorBidi"/>
          <w:sz w:val="24"/>
          <w:szCs w:val="24"/>
          <w:rtl/>
        </w:rPr>
        <w:t xml:space="preserve">ولا يصح النظر إلى الذكاء الاصطناعي في مكاتب المحاماة السعودية باعتباره مجرد "إضافة أداة تقنية جديدة" إلى أدوات العمل القائمة. فالتحولات التي </w:t>
      </w:r>
      <w:proofErr w:type="spellStart"/>
      <w:r>
        <w:rPr>
          <w:rFonts w:asciiTheme="majorBidi" w:hAnsiTheme="majorBidi" w:cstheme="majorBidi"/>
          <w:sz w:val="24"/>
          <w:szCs w:val="24"/>
          <w:rtl/>
        </w:rPr>
        <w:t>يُرسيها</w:t>
      </w:r>
      <w:proofErr w:type="spellEnd"/>
      <w:r>
        <w:rPr>
          <w:rFonts w:asciiTheme="majorBidi" w:hAnsiTheme="majorBidi" w:cstheme="majorBidi"/>
          <w:sz w:val="24"/>
          <w:szCs w:val="24"/>
          <w:rtl/>
        </w:rPr>
        <w:t xml:space="preserve"> الذكاء الاصطناعي في المهنة القانونية أعمق وأبعد مدىً من ذلك بكثير، وهي تمس الهوية المهنية للمحامي وطبيعة القيمة التي يُقدّمها لموكله وعلاقته بالسوق القانوني ككل.</w:t>
      </w:r>
    </w:p>
    <w:p w14:paraId="346628EA" w14:textId="77777777" w:rsidR="005705DD" w:rsidRDefault="005705DD" w:rsidP="005705DD">
      <w:pPr>
        <w:bidi/>
        <w:spacing w:after="200" w:line="276" w:lineRule="auto"/>
        <w:rPr>
          <w:rtl/>
        </w:rPr>
      </w:pPr>
      <w:r>
        <w:rPr>
          <w:rFonts w:asciiTheme="majorBidi" w:hAnsiTheme="majorBidi" w:cstheme="majorBidi"/>
          <w:sz w:val="24"/>
          <w:szCs w:val="24"/>
          <w:rtl/>
        </w:rPr>
        <w:t>التحول الأول — من المهارة التقنية إلى مهارة التحكيم والحكم: لطالما اعتمدت مهنة المحاماة على المهارة التقنية في البحث القانوني وصياغة الحجج. وحين يتولى الذكاء الاصطناعي الجانب التقني من هذه المهارة بكفاءة عالية، تتحول القيمة المضافة للمحامي البشري نحو الحكم والتحكيم والسلطة التقديرية في الموازنة بين الاعتبارات المتعارضة. فالمحامي المستقبلي الناجح لن يتميز بقدرته على صياغة عقد أسرع بل بقدرته على الحكم على الوضع الكلي وفهم دوافع الموكل وتوقع ردود فعل الطرف الآخر — وهي مهارات لا تزال راسخة في ملكة البشر حصراً.</w:t>
      </w:r>
    </w:p>
    <w:p w14:paraId="4E3C7073" w14:textId="77777777" w:rsidR="005705DD" w:rsidRDefault="005705DD" w:rsidP="005705DD">
      <w:pPr>
        <w:bidi/>
        <w:spacing w:after="200" w:line="276" w:lineRule="auto"/>
        <w:rPr>
          <w:rtl/>
        </w:rPr>
      </w:pPr>
      <w:r>
        <w:rPr>
          <w:rFonts w:asciiTheme="majorBidi" w:hAnsiTheme="majorBidi" w:cstheme="majorBidi"/>
          <w:sz w:val="24"/>
          <w:szCs w:val="24"/>
          <w:rtl/>
        </w:rPr>
        <w:t>التحول الثاني — من رسوم الساعة إلى القيمة المُحقَّقة: قد يُهدد الذكاء الاصطناعي نموذج التسعير القائم على الساعات في مكاتب المحاماة (</w:t>
      </w:r>
      <w:proofErr w:type="spellStart"/>
      <w:r>
        <w:rPr>
          <w:rFonts w:asciiTheme="majorBidi" w:hAnsiTheme="majorBidi" w:cstheme="majorBidi"/>
          <w:sz w:val="24"/>
          <w:szCs w:val="24"/>
          <w:rtl/>
        </w:rPr>
        <w:t>Billable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Hours</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Model</w:t>
      </w:r>
      <w:proofErr w:type="spellEnd"/>
      <w:r>
        <w:rPr>
          <w:rFonts w:asciiTheme="majorBidi" w:hAnsiTheme="majorBidi" w:cstheme="majorBidi"/>
          <w:sz w:val="24"/>
          <w:szCs w:val="24"/>
          <w:rtl/>
        </w:rPr>
        <w:t xml:space="preserve">)، إذ حين تُنجز الأداة في دقائق ما كان يأخذ ساعات، يصبح تبرير </w:t>
      </w:r>
      <w:proofErr w:type="spellStart"/>
      <w:r>
        <w:rPr>
          <w:rFonts w:asciiTheme="majorBidi" w:hAnsiTheme="majorBidi" w:cstheme="majorBidi"/>
          <w:sz w:val="24"/>
          <w:szCs w:val="24"/>
          <w:rtl/>
        </w:rPr>
        <w:t>الفوترة</w:t>
      </w:r>
      <w:proofErr w:type="spellEnd"/>
      <w:r>
        <w:rPr>
          <w:rFonts w:asciiTheme="majorBidi" w:hAnsiTheme="majorBidi" w:cstheme="majorBidi"/>
          <w:sz w:val="24"/>
          <w:szCs w:val="24"/>
          <w:rtl/>
        </w:rPr>
        <w:t xml:space="preserve"> بالساعات أمراً متحدَّى. وهذا التحول يُمكن أن يُفضي بمرور الوقت إلى نماذج تسعير جديدة تُبنى على القيمة المُحقَّقة للموكل والنتائج المُتحقَّقة لا على الوقت المُستغرَق.</w:t>
      </w:r>
    </w:p>
    <w:p w14:paraId="7FB2C4A4" w14:textId="77777777" w:rsidR="005705DD" w:rsidRDefault="005705DD" w:rsidP="005705DD">
      <w:pPr>
        <w:bidi/>
        <w:spacing w:after="200" w:line="276" w:lineRule="auto"/>
        <w:rPr>
          <w:rtl/>
        </w:rPr>
      </w:pPr>
      <w:r>
        <w:rPr>
          <w:rFonts w:asciiTheme="majorBidi" w:hAnsiTheme="majorBidi" w:cstheme="majorBidi"/>
          <w:sz w:val="24"/>
          <w:szCs w:val="24"/>
          <w:rtl/>
        </w:rPr>
        <w:t xml:space="preserve">التحول الثالث — من التراتبية الهرمية إلى شراكة إنسان-آلة: يُعيد الذكاء الاصطناعي رسم العلاقات الداخلية في مكاتب المحاماة؛ فالمهام الروتينية التي كانت تُشكّل محور عمل المحامين المبتدئين (كالبحث القانوني الأولي وتلخيص الوثائق) باتت قابلة </w:t>
      </w:r>
      <w:proofErr w:type="spellStart"/>
      <w:r>
        <w:rPr>
          <w:rFonts w:asciiTheme="majorBidi" w:hAnsiTheme="majorBidi" w:cstheme="majorBidi"/>
          <w:sz w:val="24"/>
          <w:szCs w:val="24"/>
          <w:rtl/>
        </w:rPr>
        <w:t>للأتمتة</w:t>
      </w:r>
      <w:proofErr w:type="spellEnd"/>
      <w:r>
        <w:rPr>
          <w:rFonts w:asciiTheme="majorBidi" w:hAnsiTheme="majorBidi" w:cstheme="majorBidi"/>
          <w:sz w:val="24"/>
          <w:szCs w:val="24"/>
          <w:rtl/>
        </w:rPr>
        <w:t>، مما قد يُقلّص الطلب على المحامين الجدد في مراحل معينة وفي الوقت ذاته يُفتح شهيةً لمهارات جديدة كإدارة منظومات الذكاء الاصطناعي وتدريب النماذج على البيانات القانونية الخاصة بالمكتب.</w:t>
      </w:r>
    </w:p>
    <w:p w14:paraId="082EB1C1" w14:textId="77777777" w:rsidR="005705DD" w:rsidRDefault="005705DD" w:rsidP="005705DD">
      <w:pPr>
        <w:bidi/>
        <w:spacing w:after="200" w:line="276" w:lineRule="auto"/>
        <w:rPr>
          <w:rtl/>
        </w:rPr>
      </w:pPr>
      <w:r>
        <w:rPr>
          <w:rFonts w:asciiTheme="majorBidi" w:hAnsiTheme="majorBidi" w:cstheme="majorBidi"/>
          <w:sz w:val="24"/>
          <w:szCs w:val="24"/>
          <w:rtl/>
        </w:rPr>
        <w:t>التحول الرابع — التعلّم المستمر كضرورة مهنية: في عالم حيث تتطور أدوات الذكاء الاصطناعي بوتيرة متسارعة، تُصبح القدرة على التعلم المستمر والتكيّف مع الأدوات الجديدة ميزةً تنافسية جوهرية للمحامي. والمحامي الذي يُعدّ إتقانه للذكاء الاصطناعي ثانوياً سيجد نفسه في موقع تنافسي ضعيف مقارنةً بنظرائه الذين يُحسنون توظيف هذه الأدوات والرقابة عليها.</w:t>
      </w:r>
      <w:commentRangeEnd w:id="234"/>
      <w:r>
        <w:rPr>
          <w:rStyle w:val="af0"/>
          <w:sz w:val="22"/>
          <w:szCs w:val="22"/>
          <w:rtl/>
        </w:rPr>
        <w:commentReference w:id="234"/>
      </w:r>
      <w:commentRangeEnd w:id="235"/>
      <w:r>
        <w:rPr>
          <w:rStyle w:val="af0"/>
          <w:sz w:val="22"/>
          <w:szCs w:val="22"/>
          <w:rtl/>
        </w:rPr>
        <w:commentReference w:id="235"/>
      </w:r>
    </w:p>
    <w:p w14:paraId="0265FB6E" w14:textId="77777777" w:rsidR="005705DD" w:rsidRDefault="005705DD" w:rsidP="005705DD">
      <w:pPr>
        <w:bidi/>
        <w:spacing w:after="200" w:line="276" w:lineRule="auto"/>
        <w:rPr>
          <w:rtl/>
        </w:rPr>
      </w:pPr>
      <w:r>
        <w:rPr>
          <w:rFonts w:asciiTheme="majorBidi" w:hAnsiTheme="majorBidi" w:cstheme="majorBidi"/>
          <w:sz w:val="24"/>
          <w:szCs w:val="24"/>
          <w:rtl/>
        </w:rPr>
        <w:t>ويرى الباحث: إن الاستجابة الصحيحة لهذه التحولات البنيوية ليست الرفض أو التعامل معها بمقاربة دفاعية، بل المبادرة إلى التكيّف الاستراتيجي. وهذا التكيّف يستلزم من المشرّع إطاراً تشريعياً يُشجّع التبنّي المسؤول دون أن يُعيق التكيّف المهني، ومن الهيئة السعودية للمحامين استراتيجيةً مهنية تستبق التحولات القادمة بدلاً من أن تلاحقها في أثرها.</w:t>
      </w:r>
    </w:p>
    <w:p w14:paraId="1D6B54EC" w14:textId="77777777" w:rsidR="005705DD" w:rsidRDefault="005705DD" w:rsidP="005705DD"/>
    <w:p w14:paraId="39A5B0C9" w14:textId="77777777" w:rsidR="005705DD" w:rsidRPr="00A84F46" w:rsidRDefault="005705DD" w:rsidP="005705DD">
      <w:pPr>
        <w:bidi/>
        <w:spacing w:after="200" w:line="276" w:lineRule="auto"/>
        <w:rPr>
          <w:bCs/>
          <w:color w:val="000000" w:themeColor="text1"/>
          <w:rtl/>
        </w:rPr>
      </w:pPr>
      <w:commentRangeStart w:id="236"/>
      <w:commentRangeStart w:id="237"/>
      <w:r>
        <w:rPr>
          <w:rFonts w:asciiTheme="majorBidi" w:hAnsiTheme="majorBidi" w:cstheme="majorBidi"/>
          <w:bCs/>
          <w:color w:val="000000" w:themeColor="text1"/>
          <w:sz w:val="28"/>
          <w:szCs w:val="28"/>
          <w:rtl/>
        </w:rPr>
        <w:t>ثالثاً: سوق التقنيات القانونية (</w:t>
      </w:r>
      <w:proofErr w:type="spellStart"/>
      <w:r>
        <w:rPr>
          <w:rFonts w:asciiTheme="majorBidi" w:hAnsiTheme="majorBidi" w:cstheme="majorBidi"/>
          <w:bCs/>
          <w:color w:val="000000" w:themeColor="text1"/>
          <w:sz w:val="28"/>
          <w:szCs w:val="28"/>
          <w:rtl/>
        </w:rPr>
        <w:t>LegalTech</w:t>
      </w:r>
      <w:proofErr w:type="spellEnd"/>
      <w:r>
        <w:rPr>
          <w:rFonts w:asciiTheme="majorBidi" w:hAnsiTheme="majorBidi" w:cstheme="majorBidi"/>
          <w:bCs/>
          <w:color w:val="000000" w:themeColor="text1"/>
          <w:sz w:val="28"/>
          <w:szCs w:val="28"/>
          <w:rtl/>
        </w:rPr>
        <w:t>) في المملكة العربية السعودية</w:t>
      </w:r>
      <w:commentRangeEnd w:id="236"/>
      <w:r w:rsidRPr="00A84F46">
        <w:rPr>
          <w:rStyle w:val="af0"/>
          <w:bCs/>
          <w:color w:val="000000" w:themeColor="text1"/>
          <w:sz w:val="22"/>
          <w:szCs w:val="22"/>
          <w:rtl/>
        </w:rPr>
        <w:commentReference w:id="236"/>
      </w:r>
      <w:commentRangeEnd w:id="237"/>
      <w:r w:rsidRPr="00A84F46">
        <w:rPr>
          <w:rStyle w:val="af0"/>
          <w:bCs/>
          <w:color w:val="000000" w:themeColor="text1"/>
          <w:sz w:val="22"/>
          <w:szCs w:val="22"/>
          <w:rtl/>
        </w:rPr>
        <w:commentReference w:id="237"/>
      </w:r>
    </w:p>
    <w:p w14:paraId="247BF1B4" w14:textId="77777777" w:rsidR="005705DD" w:rsidRDefault="005705DD" w:rsidP="005705DD">
      <w:pPr>
        <w:bidi/>
        <w:spacing w:after="200" w:line="276" w:lineRule="auto"/>
        <w:rPr>
          <w:rtl/>
        </w:rPr>
      </w:pPr>
      <w:r>
        <w:rPr>
          <w:rFonts w:asciiTheme="majorBidi" w:hAnsiTheme="majorBidi" w:cstheme="majorBidi"/>
          <w:sz w:val="24"/>
          <w:szCs w:val="24"/>
          <w:rtl/>
        </w:rPr>
        <w:t>يُعدّ تحليل سوق التقنيات القانونية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في المملكة العربية السعودية ضرورةً لفهم الديناميكيات الاقتصادية التي تُحرّك انتشار هذه التقنيات في البيئة المهنية القانونية. وتتقاطع في تشكيل هذا السوق عوامل متعددة يمكن استعراضها على النحو التالي:</w:t>
      </w:r>
    </w:p>
    <w:p w14:paraId="41F44255" w14:textId="77777777" w:rsidR="005705DD" w:rsidRDefault="005705DD" w:rsidP="005705DD">
      <w:pPr>
        <w:bidi/>
        <w:spacing w:after="200" w:line="276" w:lineRule="auto"/>
        <w:rPr>
          <w:rtl/>
        </w:rPr>
      </w:pPr>
      <w:commentRangeStart w:id="238"/>
      <w:commentRangeStart w:id="239"/>
      <w:r>
        <w:rPr>
          <w:rFonts w:asciiTheme="majorBidi" w:hAnsiTheme="majorBidi" w:cstheme="majorBidi"/>
          <w:sz w:val="24"/>
          <w:szCs w:val="24"/>
          <w:rtl/>
        </w:rPr>
        <w:t xml:space="preserve">أولاً: حجم السوق والنمو المتوقع: لا تتوافر إحصاءات رسمية منشورة لحجم سوق التقنيات القانونية السعودي، ويُرجَّح نموه المطرد في ضوء التوجهات الحكومية نحو </w:t>
      </w:r>
      <w:proofErr w:type="spellStart"/>
      <w:r>
        <w:rPr>
          <w:rFonts w:asciiTheme="majorBidi" w:hAnsiTheme="majorBidi" w:cstheme="majorBidi"/>
          <w:sz w:val="24"/>
          <w:szCs w:val="24"/>
          <w:rtl/>
        </w:rPr>
        <w:t>الرقمنة</w:t>
      </w:r>
      <w:proofErr w:type="spellEnd"/>
      <w:r>
        <w:rPr>
          <w:rFonts w:asciiTheme="majorBidi" w:hAnsiTheme="majorBidi" w:cstheme="majorBidi"/>
          <w:sz w:val="24"/>
          <w:szCs w:val="24"/>
          <w:rtl/>
        </w:rPr>
        <w:t xml:space="preserve"> وتنامي الوعي بهذه التقنيات.</w:t>
      </w:r>
      <w:commentRangeEnd w:id="238"/>
      <w:r>
        <w:rPr>
          <w:rStyle w:val="af0"/>
          <w:sz w:val="22"/>
          <w:szCs w:val="22"/>
          <w:rtl/>
        </w:rPr>
        <w:commentReference w:id="238"/>
      </w:r>
      <w:commentRangeEnd w:id="239"/>
      <w:r>
        <w:rPr>
          <w:rStyle w:val="af0"/>
          <w:sz w:val="22"/>
          <w:szCs w:val="22"/>
          <w:rtl/>
        </w:rPr>
        <w:commentReference w:id="239"/>
      </w:r>
    </w:p>
    <w:p w14:paraId="52A19CB5" w14:textId="77777777" w:rsidR="005705DD" w:rsidRDefault="005705DD" w:rsidP="005705DD">
      <w:pPr>
        <w:bidi/>
        <w:spacing w:after="200" w:line="276" w:lineRule="auto"/>
        <w:rPr>
          <w:rtl/>
        </w:rPr>
      </w:pPr>
      <w:commentRangeStart w:id="240"/>
      <w:commentRangeStart w:id="241"/>
      <w:r>
        <w:rPr>
          <w:rFonts w:asciiTheme="majorBidi" w:hAnsiTheme="majorBidi" w:cstheme="majorBidi"/>
          <w:sz w:val="24"/>
          <w:szCs w:val="24"/>
          <w:rtl/>
        </w:rPr>
        <w:t xml:space="preserve">ثانياً: التحولات في تفضيلات المكاتب: ويلاحظ أن مكاتب المحاماة السعودية الكبرى بدأت في تخصيص ميزانيات تقنية للاستثمار في التقنيات القانونية الذكية، مع ملاحظة أن معظم الإنفاق التقني الحالي يتجه نحو أدوات إدارة القضايا وبرامج </w:t>
      </w:r>
      <w:proofErr w:type="spellStart"/>
      <w:r>
        <w:rPr>
          <w:rFonts w:asciiTheme="majorBidi" w:hAnsiTheme="majorBidi" w:cstheme="majorBidi"/>
          <w:sz w:val="24"/>
          <w:szCs w:val="24"/>
          <w:rtl/>
        </w:rPr>
        <w:t>الفوترة</w:t>
      </w:r>
      <w:proofErr w:type="spellEnd"/>
      <w:r>
        <w:rPr>
          <w:rFonts w:asciiTheme="majorBidi" w:hAnsiTheme="majorBidi" w:cstheme="majorBidi"/>
          <w:sz w:val="24"/>
          <w:szCs w:val="24"/>
          <w:rtl/>
        </w:rPr>
        <w:t xml:space="preserve"> أكثر من توجّهه نحو أنظمة الذكاء الاصطناعي المتقدمة.</w:t>
      </w:r>
      <w:commentRangeEnd w:id="240"/>
      <w:r>
        <w:rPr>
          <w:rStyle w:val="af0"/>
          <w:sz w:val="22"/>
          <w:szCs w:val="22"/>
          <w:rtl/>
        </w:rPr>
        <w:commentReference w:id="240"/>
      </w:r>
      <w:commentRangeEnd w:id="241"/>
      <w:r>
        <w:rPr>
          <w:rStyle w:val="af0"/>
          <w:sz w:val="22"/>
          <w:szCs w:val="22"/>
          <w:rtl/>
        </w:rPr>
        <w:commentReference w:id="241"/>
      </w:r>
    </w:p>
    <w:p w14:paraId="1D059FD3" w14:textId="77777777" w:rsidR="005705DD" w:rsidRDefault="005705DD" w:rsidP="005705DD">
      <w:pPr>
        <w:bidi/>
        <w:spacing w:after="200" w:line="276" w:lineRule="auto"/>
        <w:rPr>
          <w:rtl/>
        </w:rPr>
      </w:pPr>
      <w:commentRangeStart w:id="242"/>
      <w:commentRangeStart w:id="243"/>
      <w:r>
        <w:rPr>
          <w:rFonts w:asciiTheme="majorBidi" w:hAnsiTheme="majorBidi" w:cstheme="majorBidi"/>
          <w:sz w:val="24"/>
          <w:szCs w:val="24"/>
          <w:rtl/>
        </w:rPr>
        <w:t>ثالثاً: الحواجز أمام التبني الواسع: ثمة حواجز هيكلية تُعيق التبني الواسع لتقنيات الذكاء الاصطناعي القانوني في السوق السعودي، أبرزها: (أ) ندرة الأدوات المتخصصة باللغة العربية والقانون السعودي تحديداً. (ب) ارتفاع تكلفة الاشتراك في الأدوات المتخصصة مقارنةً بحجم كثير من المكاتب السعودية الصغيرة والمتوسطة. (ج) غياب التدريب الكافي على هذه الأدوات والشكوك المتعلقة بالامتثال التنظيمي. (د) حساسية بعض الموكلين تجاه معالجة بياناتهم إلكترونياً خارج بيئات سيطرتهم.</w:t>
      </w:r>
      <w:commentRangeEnd w:id="242"/>
      <w:r>
        <w:rPr>
          <w:rStyle w:val="af0"/>
          <w:sz w:val="22"/>
          <w:szCs w:val="22"/>
          <w:rtl/>
        </w:rPr>
        <w:commentReference w:id="242"/>
      </w:r>
      <w:commentRangeEnd w:id="243"/>
      <w:r>
        <w:rPr>
          <w:rStyle w:val="af0"/>
          <w:sz w:val="22"/>
          <w:szCs w:val="22"/>
          <w:rtl/>
        </w:rPr>
        <w:commentReference w:id="243"/>
      </w:r>
    </w:p>
    <w:p w14:paraId="7BD133D8" w14:textId="77777777" w:rsidR="005705DD" w:rsidRDefault="005705DD" w:rsidP="005705DD">
      <w:pPr>
        <w:bidi/>
        <w:spacing w:after="200" w:line="276" w:lineRule="auto"/>
        <w:rPr>
          <w:rtl/>
        </w:rPr>
      </w:pPr>
      <w:r>
        <w:rPr>
          <w:rFonts w:asciiTheme="majorBidi" w:hAnsiTheme="majorBidi" w:cstheme="majorBidi"/>
          <w:sz w:val="24"/>
          <w:szCs w:val="24"/>
          <w:rtl/>
        </w:rPr>
        <w:t xml:space="preserve">رابعاً: الفرص والمساهمات المتوقعة: تمتلك المملكة العربية السعودية عوامل داعمة لنمو سوق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محلي قوي، في مقدمتها: حجم الاقتصاد الكبير الذي يُولّد كميات ضخمة من النزاعات التجارية والعقارية </w:t>
      </w:r>
      <w:commentRangeStart w:id="244"/>
      <w:commentRangeStart w:id="245"/>
      <w:r>
        <w:rPr>
          <w:rFonts w:asciiTheme="majorBidi" w:hAnsiTheme="majorBidi" w:cstheme="majorBidi"/>
          <w:sz w:val="24"/>
          <w:szCs w:val="24"/>
          <w:rtl/>
        </w:rPr>
        <w:t>والعمالية. وتوافر رأس المال الجريء (</w:t>
      </w:r>
      <w:proofErr w:type="spellStart"/>
      <w:r>
        <w:rPr>
          <w:rFonts w:asciiTheme="majorBidi" w:hAnsiTheme="majorBidi" w:cstheme="majorBidi"/>
          <w:sz w:val="24"/>
          <w:szCs w:val="24"/>
          <w:rtl/>
        </w:rPr>
        <w:t>Venture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Capital</w:t>
      </w:r>
      <w:proofErr w:type="spellEnd"/>
      <w:r>
        <w:rPr>
          <w:rFonts w:asciiTheme="majorBidi" w:hAnsiTheme="majorBidi" w:cstheme="majorBidi"/>
          <w:sz w:val="24"/>
          <w:szCs w:val="24"/>
          <w:rtl/>
        </w:rPr>
        <w:t>) لتمويل الشركات الناشئة في هذا المجال، وأخيراً، التوجه الحكومي الداعم للتحول الرقمي في القطاع العدلي الذي يدعم الطلب على هذه التقنيات.</w:t>
      </w:r>
      <w:commentRangeEnd w:id="244"/>
      <w:r>
        <w:rPr>
          <w:rStyle w:val="af0"/>
          <w:sz w:val="22"/>
          <w:szCs w:val="22"/>
          <w:rtl/>
        </w:rPr>
        <w:commentReference w:id="244"/>
      </w:r>
      <w:commentRangeEnd w:id="245"/>
      <w:r>
        <w:rPr>
          <w:rStyle w:val="af0"/>
          <w:sz w:val="22"/>
          <w:szCs w:val="22"/>
          <w:rtl/>
        </w:rPr>
        <w:commentReference w:id="245"/>
      </w:r>
    </w:p>
    <w:p w14:paraId="23BEEFA3"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تنظيم سوق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السعودي يُعدّ جزءاً لا يتجزأ من الحل الشامل للإشكاليات الراهنة؛ إذ إن وجود سوق محلي قوي لشركات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ملتزمة بالضوابط السعودية يُقلّص من الحاجة إلى الاعتماد على الأدوات الأجنبية الأقل انسجاماً مع البيئة النظامية المحلية. ومن ثم فإن تشجيع ونمو شركات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السعودية المتخصصة في أدوات الذكاء الاصطناعي القانوني العربية يُعدّ هدفاً استراتيجياً ذا قيمة تنظيمية مزدوجة.</w:t>
      </w:r>
    </w:p>
    <w:p w14:paraId="6EFC17F4" w14:textId="77777777" w:rsidR="005705DD" w:rsidRDefault="005705DD" w:rsidP="005705DD"/>
    <w:p w14:paraId="582FE061" w14:textId="77777777" w:rsidR="005705DD" w:rsidRPr="00A84F46" w:rsidRDefault="005705DD" w:rsidP="005705DD">
      <w:pPr>
        <w:bidi/>
        <w:spacing w:after="200" w:line="276" w:lineRule="auto"/>
        <w:rPr>
          <w:bCs/>
          <w:color w:val="000000" w:themeColor="text1"/>
          <w:rtl/>
        </w:rPr>
      </w:pPr>
      <w:commentRangeStart w:id="246"/>
      <w:commentRangeStart w:id="247"/>
      <w:r>
        <w:rPr>
          <w:rFonts w:asciiTheme="majorBidi" w:hAnsiTheme="majorBidi" w:cstheme="majorBidi"/>
          <w:bCs/>
          <w:color w:val="000000" w:themeColor="text1"/>
          <w:sz w:val="28"/>
          <w:szCs w:val="28"/>
          <w:rtl/>
        </w:rPr>
        <w:t>رابعاً: التأهيل الأكاديمي والكوادر البشرية في مجال القانون والذكاء الاصطناعي</w:t>
      </w:r>
      <w:commentRangeEnd w:id="246"/>
      <w:r w:rsidRPr="00A84F46">
        <w:rPr>
          <w:rStyle w:val="af0"/>
          <w:bCs/>
          <w:color w:val="000000" w:themeColor="text1"/>
          <w:sz w:val="22"/>
          <w:szCs w:val="22"/>
          <w:rtl/>
        </w:rPr>
        <w:commentReference w:id="246"/>
      </w:r>
      <w:commentRangeEnd w:id="247"/>
      <w:r w:rsidRPr="00A84F46">
        <w:rPr>
          <w:rStyle w:val="af0"/>
          <w:bCs/>
          <w:color w:val="000000" w:themeColor="text1"/>
          <w:sz w:val="22"/>
          <w:szCs w:val="22"/>
          <w:rtl/>
        </w:rPr>
        <w:commentReference w:id="247"/>
      </w:r>
    </w:p>
    <w:p w14:paraId="3FBFC314" w14:textId="77777777" w:rsidR="005705DD" w:rsidRDefault="005705DD" w:rsidP="005705DD">
      <w:pPr>
        <w:bidi/>
        <w:spacing w:after="200" w:line="276" w:lineRule="auto"/>
        <w:rPr>
          <w:rtl/>
        </w:rPr>
      </w:pPr>
      <w:r>
        <w:rPr>
          <w:rFonts w:asciiTheme="majorBidi" w:hAnsiTheme="majorBidi" w:cstheme="majorBidi"/>
          <w:sz w:val="24"/>
          <w:szCs w:val="24"/>
          <w:rtl/>
        </w:rPr>
        <w:t>تفتقر المنظومة التعليمية القانونية السعودية حتى الآن إلى برامج متخصصة في "القانون والذكاء الاصطناعي" أو "تقنيات القانون"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وهو ما يُعيق تكوين جيل من المحامين يمتلكون الأسس التقنية اللازمة للتعامل المسؤول مع هذه الأدوات. وتُشكّل هذه الفجوة التعليمية جزءاً من الأزمة البنيوية التي يرصدها هذا </w:t>
      </w:r>
      <w:commentRangeStart w:id="248"/>
      <w:commentRangeStart w:id="249"/>
      <w:r>
        <w:rPr>
          <w:rFonts w:asciiTheme="majorBidi" w:hAnsiTheme="majorBidi" w:cstheme="majorBidi"/>
          <w:sz w:val="24"/>
          <w:szCs w:val="24"/>
          <w:rtl/>
        </w:rPr>
        <w:t>الفصل.</w:t>
      </w:r>
    </w:p>
    <w:p w14:paraId="3AABA7F0" w14:textId="77777777" w:rsidR="005705DD" w:rsidRDefault="005705DD" w:rsidP="005705DD">
      <w:pPr>
        <w:bidi/>
        <w:spacing w:after="200" w:line="276" w:lineRule="auto"/>
        <w:rPr>
          <w:rtl/>
        </w:rPr>
      </w:pPr>
      <w:r>
        <w:rPr>
          <w:rFonts w:asciiTheme="majorBidi" w:hAnsiTheme="majorBidi" w:cstheme="majorBidi"/>
          <w:sz w:val="24"/>
          <w:szCs w:val="24"/>
          <w:rtl/>
        </w:rPr>
        <w:t xml:space="preserve">ومقارنةً بعدد من الدول، تُقدّم جامعات </w:t>
      </w:r>
      <w:proofErr w:type="spellStart"/>
      <w:proofErr w:type="gramStart"/>
      <w:r>
        <w:rPr>
          <w:rFonts w:asciiTheme="majorBidi" w:hAnsiTheme="majorBidi" w:cstheme="majorBidi"/>
          <w:sz w:val="24"/>
          <w:szCs w:val="24"/>
          <w:rtl/>
        </w:rPr>
        <w:t>كـStanford</w:t>
      </w:r>
      <w:proofErr w:type="spellEnd"/>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وHarvard</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وKing's</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College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London</w:t>
      </w:r>
      <w:proofErr w:type="spellEnd"/>
      <w:r>
        <w:rPr>
          <w:rFonts w:asciiTheme="majorBidi" w:hAnsiTheme="majorBidi" w:cstheme="majorBidi"/>
          <w:sz w:val="24"/>
          <w:szCs w:val="24"/>
          <w:rtl/>
        </w:rPr>
        <w:t xml:space="preserve"> برامج متخصصة في القانون والتقنية (</w:t>
      </w:r>
      <w:proofErr w:type="spellStart"/>
      <w:r>
        <w:rPr>
          <w:rFonts w:asciiTheme="majorBidi" w:hAnsiTheme="majorBidi" w:cstheme="majorBidi"/>
          <w:sz w:val="24"/>
          <w:szCs w:val="24"/>
          <w:rtl/>
        </w:rPr>
        <w:t>Law</w:t>
      </w:r>
      <w:proofErr w:type="spellEnd"/>
      <w:r>
        <w:rPr>
          <w:rFonts w:asciiTheme="majorBidi" w:hAnsiTheme="majorBidi" w:cstheme="majorBidi"/>
          <w:sz w:val="24"/>
          <w:szCs w:val="24"/>
          <w:rtl/>
        </w:rPr>
        <w:t xml:space="preserve"> &amp; Technology) تُعدّ الطلاب للتعامل مع الذكاء الاصطناعي في سياق المهنة القانونية. وعلى مستوى المنطقة العربية، بدأت بعض كليات الحقوق الإماراتية (كجامعة خليفة) في تضمين مقررات التقنية القانونية ضمن مناهجها، وهو ما لا يزال غائباً إلى حد كبير في المشهد التعليمي القانوني السعودي.</w:t>
      </w:r>
      <w:commentRangeEnd w:id="248"/>
      <w:r>
        <w:rPr>
          <w:rStyle w:val="af0"/>
          <w:sz w:val="22"/>
          <w:szCs w:val="22"/>
          <w:rtl/>
        </w:rPr>
        <w:commentReference w:id="248"/>
      </w:r>
      <w:commentRangeEnd w:id="249"/>
      <w:r>
        <w:rPr>
          <w:rStyle w:val="af0"/>
          <w:sz w:val="22"/>
          <w:szCs w:val="22"/>
          <w:rtl/>
        </w:rPr>
        <w:commentReference w:id="249"/>
      </w:r>
    </w:p>
    <w:p w14:paraId="66567B93"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ويرى الباحث: أن تطوير الكوادر البشرية في تقاطع القانون والتقنية يُعدّ ركيزةً لا غنى عنها في أي استراتيجية سعودية ناجحة لتنظيم الذكاء الاصطناعي القانوني. ومن أهم المقترحات في هذا الشأن: أولاً، إدراج مادة إلزامية في "القانون والتقنية" ضمن مناهج الدراسات القانونية الجامعية في الجامعات السعودية. ثانياً، إطلاق برنامج وطني للمنح الدراسية في تخصصات </w:t>
      </w:r>
      <w:proofErr w:type="spellStart"/>
      <w:r>
        <w:rPr>
          <w:rFonts w:asciiTheme="majorBidi" w:hAnsiTheme="majorBidi" w:cstheme="majorBidi"/>
          <w:sz w:val="24"/>
          <w:szCs w:val="24"/>
          <w:rtl/>
        </w:rPr>
        <w:t>LegalTech</w:t>
      </w:r>
      <w:proofErr w:type="spellEnd"/>
      <w:r>
        <w:rPr>
          <w:rFonts w:asciiTheme="majorBidi" w:hAnsiTheme="majorBidi" w:cstheme="majorBidi"/>
          <w:sz w:val="24"/>
          <w:szCs w:val="24"/>
          <w:rtl/>
        </w:rPr>
        <w:t xml:space="preserve"> استكمالاً للمبادرات المماثلة في مجالات التقنية الأخرى. ثالثاً، تضمين أخلاقيات الذكاء الاصطناعي والكفاءة التقنية ضمن متطلبات الترخيص المهني المستمر لدى الهيئة السعودية للمحامين. رابعاً، تشجيع التعاون بين كليات الحقوق وكليات الحاسب والمعلوماتية في بحوث مشتركة متعددة التخصصات، تُنتج حلولاً قانونية ذكية متوائمة مع الخصوصية السعودية.</w:t>
      </w:r>
    </w:p>
    <w:p w14:paraId="1ECFAAFE" w14:textId="77777777" w:rsidR="005705DD" w:rsidRDefault="005705DD" w:rsidP="005705DD"/>
    <w:p w14:paraId="1FDF9E07" w14:textId="77777777" w:rsidR="005705DD" w:rsidRPr="00A84F46" w:rsidRDefault="005705DD" w:rsidP="005705DD">
      <w:pPr>
        <w:bidi/>
        <w:spacing w:after="200" w:line="276" w:lineRule="auto"/>
        <w:rPr>
          <w:bCs/>
          <w:color w:val="000000" w:themeColor="text1"/>
          <w:rtl/>
        </w:rPr>
      </w:pPr>
      <w:commentRangeStart w:id="250"/>
      <w:commentRangeStart w:id="251"/>
      <w:commentRangeStart w:id="252"/>
      <w:commentRangeStart w:id="253"/>
      <w:r>
        <w:rPr>
          <w:rFonts w:asciiTheme="majorBidi" w:hAnsiTheme="majorBidi" w:cstheme="majorBidi"/>
          <w:bCs/>
          <w:color w:val="000000" w:themeColor="text1"/>
          <w:sz w:val="28"/>
          <w:szCs w:val="28"/>
          <w:rtl/>
        </w:rPr>
        <w:t>خامساً: التطورات التقنية المتوقعة وأثرها في المهنة القانونية السعودية</w:t>
      </w:r>
      <w:commentRangeEnd w:id="250"/>
      <w:r w:rsidRPr="00A84F46">
        <w:rPr>
          <w:rStyle w:val="af0"/>
          <w:bCs/>
          <w:color w:val="000000" w:themeColor="text1"/>
          <w:sz w:val="22"/>
          <w:szCs w:val="22"/>
          <w:rtl/>
        </w:rPr>
        <w:commentReference w:id="250"/>
      </w:r>
      <w:commentRangeEnd w:id="251"/>
      <w:r w:rsidRPr="00A84F46">
        <w:rPr>
          <w:rStyle w:val="af0"/>
          <w:bCs/>
          <w:color w:val="000000" w:themeColor="text1"/>
          <w:sz w:val="22"/>
          <w:szCs w:val="22"/>
          <w:rtl/>
        </w:rPr>
        <w:commentReference w:id="251"/>
      </w:r>
    </w:p>
    <w:p w14:paraId="60BE3E85" w14:textId="77777777" w:rsidR="005705DD" w:rsidRDefault="005705DD" w:rsidP="005705DD">
      <w:pPr>
        <w:bidi/>
        <w:spacing w:after="200" w:line="276" w:lineRule="auto"/>
        <w:rPr>
          <w:rtl/>
        </w:rPr>
      </w:pPr>
      <w:r>
        <w:rPr>
          <w:rFonts w:asciiTheme="majorBidi" w:hAnsiTheme="majorBidi" w:cstheme="majorBidi"/>
          <w:sz w:val="24"/>
          <w:szCs w:val="24"/>
          <w:rtl/>
        </w:rPr>
        <w:t>يُعدّ الاستشراف التقني جزءاً ضرورياً من أي دراسة قانونية تسعى إلى تقديم توصيات ذات عمر مفيد يتجاوز المرحلة الراهنة. ذلك أن التشريعات المقترحة اليوم ينبغي أن تُصمَّم بمرونة كافية لاستيعاب تطورات غداً، وهو ما يستلزم استحضار ثلاثة تطورات تقنية متوقعة ستُؤثر على المشهد القانوني السعودي في السنوات القادمة:</w:t>
      </w:r>
    </w:p>
    <w:p w14:paraId="7D715532" w14:textId="77777777" w:rsidR="005705DD" w:rsidRDefault="005705DD" w:rsidP="005705DD">
      <w:pPr>
        <w:bidi/>
        <w:spacing w:after="200" w:line="276" w:lineRule="auto"/>
        <w:rPr>
          <w:rtl/>
        </w:rPr>
      </w:pPr>
      <w:r>
        <w:rPr>
          <w:rFonts w:asciiTheme="majorBidi" w:hAnsiTheme="majorBidi" w:cstheme="majorBidi"/>
          <w:sz w:val="24"/>
          <w:szCs w:val="24"/>
          <w:rtl/>
        </w:rPr>
        <w:t xml:space="preserve">التطور الأول — نماذج الذكاء الاصطناعي القانوني العربية المتخصصة: تبذل عدة جهات حكومية وبحثية سعودية وخليجية جهوداً لتطوير نماذج لغوية كبيرة مخصصة للغة العربية والسياق القانوني الإسلامي. ومن أبرزها مشاريع بحثية مرتبطة بجامعة الملك </w:t>
      </w:r>
      <w:proofErr w:type="gramStart"/>
      <w:r>
        <w:rPr>
          <w:rFonts w:asciiTheme="majorBidi" w:hAnsiTheme="majorBidi" w:cstheme="majorBidi"/>
          <w:sz w:val="24"/>
          <w:szCs w:val="24"/>
          <w:rtl/>
        </w:rPr>
        <w:t>عبدالله</w:t>
      </w:r>
      <w:proofErr w:type="gramEnd"/>
      <w:r>
        <w:rPr>
          <w:rFonts w:asciiTheme="majorBidi" w:hAnsiTheme="majorBidi" w:cstheme="majorBidi"/>
          <w:sz w:val="24"/>
          <w:szCs w:val="24"/>
          <w:rtl/>
        </w:rPr>
        <w:t xml:space="preserve"> للعلوم والتقنية (</w:t>
      </w:r>
      <w:proofErr w:type="spellStart"/>
      <w:r>
        <w:rPr>
          <w:rFonts w:asciiTheme="majorBidi" w:hAnsiTheme="majorBidi" w:cstheme="majorBidi"/>
          <w:sz w:val="24"/>
          <w:szCs w:val="24"/>
          <w:rtl/>
        </w:rPr>
        <w:t>كاوست</w:t>
      </w:r>
      <w:proofErr w:type="spellEnd"/>
      <w:r>
        <w:rPr>
          <w:rFonts w:asciiTheme="majorBidi" w:hAnsiTheme="majorBidi" w:cstheme="majorBidi"/>
          <w:sz w:val="24"/>
          <w:szCs w:val="24"/>
          <w:rtl/>
        </w:rPr>
        <w:t>) وبعض شركات التقنية السعودية الناشئة. وحين تنضج هذه النماذج، ستُتيح خياراً تقنياً أكثر انسجاماً مع البيئة القانونية السعودية وأقل خطراً من حيث التحيز والخلل في معالجة الخصوصيات الفقهية.</w:t>
      </w:r>
    </w:p>
    <w:p w14:paraId="7FDE5A0B" w14:textId="77777777" w:rsidR="005705DD" w:rsidRDefault="005705DD" w:rsidP="005705DD">
      <w:pPr>
        <w:bidi/>
        <w:spacing w:after="200" w:line="276" w:lineRule="auto"/>
        <w:rPr>
          <w:rtl/>
        </w:rPr>
      </w:pPr>
      <w:r>
        <w:rPr>
          <w:rFonts w:asciiTheme="majorBidi" w:hAnsiTheme="majorBidi" w:cstheme="majorBidi"/>
          <w:sz w:val="24"/>
          <w:szCs w:val="24"/>
          <w:rtl/>
        </w:rPr>
        <w:t>التطور الثاني — الوكلاء القانونيون الذاتيون (</w:t>
      </w:r>
      <w:proofErr w:type="spellStart"/>
      <w:r>
        <w:rPr>
          <w:rFonts w:asciiTheme="majorBidi" w:hAnsiTheme="majorBidi" w:cstheme="majorBidi"/>
          <w:sz w:val="24"/>
          <w:szCs w:val="24"/>
          <w:rtl/>
        </w:rPr>
        <w:t>Autonomous</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Agents</w:t>
      </w:r>
      <w:proofErr w:type="spellEnd"/>
      <w:r>
        <w:rPr>
          <w:rFonts w:asciiTheme="majorBidi" w:hAnsiTheme="majorBidi" w:cstheme="majorBidi"/>
          <w:sz w:val="24"/>
          <w:szCs w:val="24"/>
          <w:rtl/>
        </w:rPr>
        <w:t xml:space="preserve">): يشهد عام 2025م/2026م ظهور ما يُعرف </w:t>
      </w:r>
      <w:proofErr w:type="gramStart"/>
      <w:r>
        <w:rPr>
          <w:rFonts w:asciiTheme="majorBidi" w:hAnsiTheme="majorBidi" w:cstheme="majorBidi"/>
          <w:sz w:val="24"/>
          <w:szCs w:val="24"/>
          <w:rtl/>
        </w:rPr>
        <w:t>بـ"</w:t>
      </w:r>
      <w:proofErr w:type="gramEnd"/>
      <w:r>
        <w:rPr>
          <w:rFonts w:asciiTheme="majorBidi" w:hAnsiTheme="majorBidi" w:cstheme="majorBidi"/>
          <w:sz w:val="24"/>
          <w:szCs w:val="24"/>
          <w:rtl/>
        </w:rPr>
        <w:t xml:space="preserve">وكلاء الذكاء الاصطناعي" (AI </w:t>
      </w:r>
      <w:proofErr w:type="spellStart"/>
      <w:r>
        <w:rPr>
          <w:rFonts w:asciiTheme="majorBidi" w:hAnsiTheme="majorBidi" w:cstheme="majorBidi"/>
          <w:sz w:val="24"/>
          <w:szCs w:val="24"/>
          <w:rtl/>
        </w:rPr>
        <w:t>Agents</w:t>
      </w:r>
      <w:proofErr w:type="spellEnd"/>
      <w:r>
        <w:rPr>
          <w:rFonts w:asciiTheme="majorBidi" w:hAnsiTheme="majorBidi" w:cstheme="majorBidi"/>
          <w:sz w:val="24"/>
          <w:szCs w:val="24"/>
          <w:rtl/>
        </w:rPr>
        <w:t>)، وهي نماذج قادرة على تنفيذ سلسلة من الخطوات اللازمة لإنجاز مهمة معقدة تلقائياً، كإعداد وثائق دعوى قضائية كاملة أو إجراء بحث قانوني شامل وتحليله وتقديم توصية مُسبّبة. هذا التطور يُحوّل الذكاء الاصطناعي من "مساعد للمحامي" إلى "مُنفِّذ مستقل" لمهام قانونية، وهو ما يُثير إشكاليات المسؤولية والرقابة بصورة أكثر حدةً من أدوات الجيل الراهن.</w:t>
      </w:r>
      <w:commentRangeEnd w:id="252"/>
      <w:r>
        <w:rPr>
          <w:rStyle w:val="af0"/>
          <w:sz w:val="22"/>
          <w:szCs w:val="22"/>
          <w:rtl/>
        </w:rPr>
        <w:commentReference w:id="252"/>
      </w:r>
      <w:commentRangeEnd w:id="253"/>
      <w:r>
        <w:rPr>
          <w:rStyle w:val="af0"/>
          <w:sz w:val="22"/>
          <w:szCs w:val="22"/>
          <w:rtl/>
        </w:rPr>
        <w:commentReference w:id="253"/>
      </w:r>
    </w:p>
    <w:p w14:paraId="10315401" w14:textId="77777777" w:rsidR="005705DD" w:rsidRDefault="005705DD" w:rsidP="005705DD">
      <w:pPr>
        <w:bidi/>
        <w:spacing w:after="200" w:line="276" w:lineRule="auto"/>
        <w:rPr>
          <w:rtl/>
        </w:rPr>
      </w:pPr>
      <w:commentRangeStart w:id="254"/>
      <w:commentRangeStart w:id="255"/>
      <w:r>
        <w:rPr>
          <w:rFonts w:asciiTheme="majorBidi" w:hAnsiTheme="majorBidi" w:cstheme="majorBidi"/>
          <w:sz w:val="24"/>
          <w:szCs w:val="24"/>
          <w:rtl/>
        </w:rPr>
        <w:t>التطور الثالث — الذكاء الاصطناعي متعدد الوسائط (</w:t>
      </w:r>
      <w:proofErr w:type="spellStart"/>
      <w:r>
        <w:rPr>
          <w:rFonts w:asciiTheme="majorBidi" w:hAnsiTheme="majorBidi" w:cstheme="majorBidi"/>
          <w:sz w:val="24"/>
          <w:szCs w:val="24"/>
          <w:rtl/>
        </w:rPr>
        <w:t>Multimodal</w:t>
      </w:r>
      <w:proofErr w:type="spellEnd"/>
      <w:r>
        <w:rPr>
          <w:rFonts w:asciiTheme="majorBidi" w:hAnsiTheme="majorBidi" w:cstheme="majorBidi"/>
          <w:sz w:val="24"/>
          <w:szCs w:val="24"/>
          <w:rtl/>
        </w:rPr>
        <w:t xml:space="preserve"> AI) في المحاكم: ستُتيح نماذج الذكاء الاصطناعي متعددة الوسائط في المستقبل القريب تحليل مقاطع الفيديو والصور والمستندات الممسوحة ضوئياً وحتى الاستماع إلى شهادات المحاكم المسجّلة وتحليلها. وسيُفتح ذلك آفاقاً جديدة للاستخدام القانوني المتقدم، لكنه سيُثير في الوقت ذاته تساؤلات أعمق حول خصوصية وكرامة المتقاضين والشهود.</w:t>
      </w:r>
    </w:p>
    <w:p w14:paraId="4F707584" w14:textId="77777777" w:rsidR="005705DD" w:rsidRDefault="005705DD" w:rsidP="005705DD">
      <w:pPr>
        <w:bidi/>
        <w:spacing w:after="200" w:line="276" w:lineRule="auto"/>
        <w:rPr>
          <w:rtl/>
        </w:rPr>
      </w:pPr>
      <w:r>
        <w:rPr>
          <w:rFonts w:asciiTheme="majorBidi" w:hAnsiTheme="majorBidi" w:cstheme="majorBidi"/>
          <w:sz w:val="24"/>
          <w:szCs w:val="24"/>
          <w:rtl/>
        </w:rPr>
        <w:t>ولمجابهة هذه التطورات القادمة، يُوصي الباحث بأن يُصاغ الإطار التنظيمي المقترح على مبدأَين رئيسيَين: مبدأ المرونة التنظيمية (</w:t>
      </w:r>
      <w:proofErr w:type="spellStart"/>
      <w:r>
        <w:rPr>
          <w:rFonts w:asciiTheme="majorBidi" w:hAnsiTheme="majorBidi" w:cstheme="majorBidi"/>
          <w:sz w:val="24"/>
          <w:szCs w:val="24"/>
          <w:rtl/>
        </w:rPr>
        <w:t>Regulatory</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Flexibility</w:t>
      </w:r>
      <w:proofErr w:type="spellEnd"/>
      <w:r>
        <w:rPr>
          <w:rFonts w:asciiTheme="majorBidi" w:hAnsiTheme="majorBidi" w:cstheme="majorBidi"/>
          <w:sz w:val="24"/>
          <w:szCs w:val="24"/>
          <w:rtl/>
        </w:rPr>
        <w:t>) الذي يُتيح تحديث الاشتراطات دون الحاجة إلى إعادة صياغة النظام بالكامل كلما ظهر جيل جديد من الأدوات. ومبدأ التناسب في التنظيم (</w:t>
      </w:r>
      <w:proofErr w:type="spellStart"/>
      <w:r>
        <w:rPr>
          <w:rFonts w:asciiTheme="majorBidi" w:hAnsiTheme="majorBidi" w:cstheme="majorBidi"/>
          <w:sz w:val="24"/>
          <w:szCs w:val="24"/>
          <w:rtl/>
        </w:rPr>
        <w:t>Proportionality</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Principle</w:t>
      </w:r>
      <w:proofErr w:type="spellEnd"/>
      <w:r>
        <w:rPr>
          <w:rFonts w:asciiTheme="majorBidi" w:hAnsiTheme="majorBidi" w:cstheme="majorBidi"/>
          <w:sz w:val="24"/>
          <w:szCs w:val="24"/>
          <w:rtl/>
        </w:rPr>
        <w:t>) الذي يُطبّق اشتراطات أصعب كلما كانت درجة الاستقلالية الذاتية للأداة الذكية أعلى.</w:t>
      </w:r>
      <w:commentRangeEnd w:id="254"/>
      <w:r>
        <w:rPr>
          <w:rStyle w:val="af0"/>
          <w:sz w:val="22"/>
          <w:szCs w:val="22"/>
          <w:rtl/>
        </w:rPr>
        <w:commentReference w:id="254"/>
      </w:r>
      <w:commentRangeEnd w:id="255"/>
      <w:r>
        <w:rPr>
          <w:rStyle w:val="af0"/>
          <w:sz w:val="22"/>
          <w:szCs w:val="22"/>
          <w:rtl/>
        </w:rPr>
        <w:commentReference w:id="255"/>
      </w:r>
    </w:p>
    <w:p w14:paraId="285929E9" w14:textId="77777777" w:rsidR="005705DD" w:rsidRDefault="005705DD" w:rsidP="005705DD"/>
    <w:p w14:paraId="7FA9AB21" w14:textId="77777777" w:rsidR="005705DD" w:rsidRPr="00A84F46" w:rsidRDefault="005705DD" w:rsidP="005705DD">
      <w:pPr>
        <w:bidi/>
        <w:spacing w:before="240" w:after="200" w:line="276" w:lineRule="auto"/>
        <w:jc w:val="center"/>
        <w:rPr>
          <w:b/>
          <w:bCs/>
          <w:rtl/>
        </w:rPr>
      </w:pPr>
      <w:r>
        <w:rPr>
          <w:rFonts w:asciiTheme="majorBidi" w:hAnsiTheme="majorBidi" w:cstheme="majorBidi"/>
          <w:b/>
          <w:bCs/>
          <w:sz w:val="28"/>
          <w:szCs w:val="28"/>
          <w:rtl/>
        </w:rPr>
        <w:t>المطلب الثالث</w:t>
      </w:r>
    </w:p>
    <w:p w14:paraId="2B1708E0" w14:textId="77777777" w:rsidR="005705DD" w:rsidRPr="00A84F46" w:rsidRDefault="005705DD" w:rsidP="005705DD">
      <w:pPr>
        <w:bidi/>
        <w:spacing w:before="240" w:after="200" w:line="276" w:lineRule="auto"/>
        <w:jc w:val="center"/>
        <w:rPr>
          <w:b/>
          <w:bCs/>
          <w:rtl/>
        </w:rPr>
      </w:pPr>
      <w:commentRangeStart w:id="256"/>
      <w:commentRangeStart w:id="257"/>
      <w:r>
        <w:rPr>
          <w:rFonts w:asciiTheme="majorBidi" w:hAnsiTheme="majorBidi" w:cstheme="majorBidi"/>
          <w:b/>
          <w:bCs/>
          <w:sz w:val="24"/>
          <w:szCs w:val="24"/>
          <w:rtl/>
        </w:rPr>
        <w:t>نحو إطار متكامل — قراءة نقدية استشرافية في كفاية المنظومة النظامية الراهنة</w:t>
      </w:r>
    </w:p>
    <w:p w14:paraId="2DBC44D4" w14:textId="77777777" w:rsidR="005705DD" w:rsidRPr="00A84F46" w:rsidRDefault="005705DD" w:rsidP="005705DD">
      <w:pPr>
        <w:bidi/>
        <w:spacing w:after="200" w:line="276" w:lineRule="auto"/>
        <w:rPr>
          <w:color w:val="000000" w:themeColor="text1"/>
          <w:rtl/>
        </w:rPr>
      </w:pPr>
      <w:r>
        <w:rPr>
          <w:rFonts w:asciiTheme="majorBidi" w:hAnsiTheme="majorBidi" w:cstheme="majorBidi"/>
          <w:b/>
          <w:color w:val="000000" w:themeColor="text1"/>
          <w:sz w:val="28"/>
          <w:szCs w:val="28"/>
          <w:rtl/>
        </w:rPr>
        <w:t>أولاً: قراءة في المشهد الكلي</w:t>
      </w:r>
      <w:commentRangeEnd w:id="256"/>
      <w:r w:rsidRPr="00A84F46">
        <w:rPr>
          <w:rStyle w:val="af0"/>
          <w:color w:val="000000" w:themeColor="text1"/>
          <w:sz w:val="22"/>
          <w:szCs w:val="22"/>
          <w:rtl/>
        </w:rPr>
        <w:commentReference w:id="256"/>
      </w:r>
      <w:commentRangeEnd w:id="257"/>
      <w:r w:rsidRPr="00A84F46">
        <w:rPr>
          <w:rStyle w:val="af0"/>
          <w:color w:val="000000" w:themeColor="text1"/>
          <w:sz w:val="22"/>
          <w:szCs w:val="22"/>
          <w:rtl/>
        </w:rPr>
        <w:commentReference w:id="257"/>
      </w:r>
    </w:p>
    <w:p w14:paraId="2AA94F7C"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بعد هذه الجولة التحليلية المُعمَّقة في جوانب الواقع والتحديات التي يُفرزها توظيف الذكاء الاصطناعي في مكاتب المحاماة السعودية، يصل الباحث إلى تركيب تحليلي يُقدّم المشهد الكلي في ضوء ما تناوله هذا الفصل.</w:t>
      </w:r>
    </w:p>
    <w:p w14:paraId="3C5B130D" w14:textId="77777777" w:rsidR="005705DD" w:rsidRDefault="005705DD" w:rsidP="005705DD">
      <w:pPr>
        <w:bidi/>
        <w:spacing w:after="200" w:line="276" w:lineRule="auto"/>
        <w:rPr>
          <w:rtl/>
        </w:rPr>
      </w:pPr>
      <w:commentRangeStart w:id="258"/>
      <w:commentRangeStart w:id="259"/>
      <w:r>
        <w:rPr>
          <w:rFonts w:asciiTheme="majorBidi" w:hAnsiTheme="majorBidi" w:cstheme="majorBidi"/>
          <w:sz w:val="24"/>
          <w:szCs w:val="24"/>
          <w:rtl/>
        </w:rPr>
        <w:t>1– انتشار الذكاء الاصطناعي في مكاتب المحاماة السعودية واقع ميداني راهن يتسم في أغلبه بالعشوائية وغياب الضوابط، مما يجعل سد الفراغ التنظيمي حاجة ماسة لا مؤجلة.</w:t>
      </w:r>
      <w:commentRangeEnd w:id="258"/>
      <w:r>
        <w:rPr>
          <w:rStyle w:val="af0"/>
          <w:sz w:val="22"/>
          <w:szCs w:val="22"/>
          <w:rtl/>
        </w:rPr>
        <w:commentReference w:id="258"/>
      </w:r>
      <w:commentRangeEnd w:id="259"/>
      <w:r>
        <w:rPr>
          <w:rStyle w:val="af0"/>
          <w:sz w:val="22"/>
          <w:szCs w:val="22"/>
          <w:rtl/>
        </w:rPr>
        <w:commentReference w:id="259"/>
      </w:r>
    </w:p>
    <w:p w14:paraId="0CF6ACBF" w14:textId="77777777" w:rsidR="005705DD" w:rsidRDefault="005705DD" w:rsidP="005705DD">
      <w:pPr>
        <w:bidi/>
        <w:spacing w:after="200" w:line="276" w:lineRule="auto"/>
        <w:rPr>
          <w:rtl/>
        </w:rPr>
      </w:pPr>
      <w:r>
        <w:rPr>
          <w:rFonts w:asciiTheme="majorBidi" w:hAnsiTheme="majorBidi" w:cstheme="majorBidi"/>
          <w:sz w:val="24"/>
          <w:szCs w:val="24"/>
          <w:rtl/>
        </w:rPr>
        <w:t>2– الإطار القانوني القائم وحدوده: يُوفّر الإطار القانوني القائم في المملكة العربية السعودية — المتمثل في نظام المحاماة ونظام حماية البيانات الشخصية ونظام الإثبات ونظام المعاملات المدنية ونظام مكافحة الجرائم المعلوماتية — منظومةً يمكن تطويعها لمعالجة بعض الإشكاليات الطارئة. غير أن هذا الإطار يفتقر إلى نصوص مُخصَّصة ومُعدَّة أصلاً لبيئة الذكاء الاصطناعي، وهو ما يُثقل كاهل القاضي والمحامي والمنظِّم باللجوء إلى التفسير الموسَّع والاجتهاد الظرفي في غياب نصوص صريحة.</w:t>
      </w:r>
    </w:p>
    <w:p w14:paraId="6E4DD8C0" w14:textId="77777777" w:rsidR="005705DD" w:rsidRDefault="005705DD" w:rsidP="005705DD">
      <w:pPr>
        <w:bidi/>
        <w:spacing w:after="200" w:line="276" w:lineRule="auto"/>
        <w:rPr>
          <w:rtl/>
        </w:rPr>
      </w:pPr>
      <w:r>
        <w:rPr>
          <w:rFonts w:asciiTheme="majorBidi" w:hAnsiTheme="majorBidi" w:cstheme="majorBidi"/>
          <w:sz w:val="24"/>
          <w:szCs w:val="24"/>
          <w:rtl/>
        </w:rPr>
        <w:t xml:space="preserve">3– التجربة الإماراتية كمرآة لا مثال مُقلَّد: ويخلص الباحث إلى أن التجربة الإماراتية لا تصلح للنقل الحرفي، وإنما يستفاد منها في بيان جدوى التقدم التشريعي المبكر وثماره. والسياق السعودي — </w:t>
      </w:r>
      <w:proofErr w:type="spellStart"/>
      <w:r>
        <w:rPr>
          <w:rFonts w:asciiTheme="majorBidi" w:hAnsiTheme="majorBidi" w:cstheme="majorBidi"/>
          <w:sz w:val="24"/>
          <w:szCs w:val="24"/>
          <w:rtl/>
        </w:rPr>
        <w:t>بمرجعيته</w:t>
      </w:r>
      <w:proofErr w:type="spellEnd"/>
      <w:r>
        <w:rPr>
          <w:rFonts w:asciiTheme="majorBidi" w:hAnsiTheme="majorBidi" w:cstheme="majorBidi"/>
          <w:sz w:val="24"/>
          <w:szCs w:val="24"/>
          <w:rtl/>
        </w:rPr>
        <w:t xml:space="preserve"> الشرعية وضخامة اقتصاده ومنظومة رؤية 2030 — يمتلك ما يحتاجه لبناء نموذج تنظيمي ذاتي قادر على تجاوز التجربة الإماراتية في جوانب عدة، إذا ما أُحسن توظيف هذه الممكّنات.</w:t>
      </w:r>
    </w:p>
    <w:p w14:paraId="3B8134E3" w14:textId="77777777" w:rsidR="005705DD" w:rsidRDefault="005705DD" w:rsidP="005705DD">
      <w:pPr>
        <w:bidi/>
        <w:spacing w:after="200" w:line="276" w:lineRule="auto"/>
        <w:rPr>
          <w:rtl/>
        </w:rPr>
      </w:pPr>
      <w:commentRangeStart w:id="260"/>
      <w:commentRangeStart w:id="261"/>
      <w:r>
        <w:rPr>
          <w:rFonts w:asciiTheme="majorBidi" w:hAnsiTheme="majorBidi" w:cstheme="majorBidi"/>
          <w:sz w:val="24"/>
          <w:szCs w:val="24"/>
          <w:rtl/>
        </w:rPr>
        <w:t xml:space="preserve">4– </w:t>
      </w:r>
      <w:commentRangeEnd w:id="260"/>
      <w:r>
        <w:rPr>
          <w:rStyle w:val="af0"/>
          <w:rFonts w:asciiTheme="majorBidi" w:hAnsiTheme="majorBidi" w:cstheme="majorBidi"/>
          <w:sz w:val="24"/>
          <w:szCs w:val="24"/>
          <w:rtl/>
        </w:rPr>
        <w:commentReference w:id="260"/>
      </w:r>
      <w:commentRangeEnd w:id="261"/>
      <w:r>
        <w:rPr>
          <w:rStyle w:val="af0"/>
          <w:rFonts w:asciiTheme="majorBidi" w:hAnsiTheme="majorBidi" w:cstheme="majorBidi"/>
          <w:sz w:val="24"/>
          <w:szCs w:val="24"/>
          <w:rtl/>
        </w:rPr>
        <w:commentReference w:id="261"/>
      </w:r>
      <w:commentRangeStart w:id="262"/>
      <w:commentRangeStart w:id="263"/>
      <w:r>
        <w:rPr>
          <w:rFonts w:asciiTheme="majorBidi" w:hAnsiTheme="majorBidi" w:cstheme="majorBidi"/>
          <w:sz w:val="24"/>
          <w:szCs w:val="24"/>
          <w:rtl/>
        </w:rPr>
        <w:t xml:space="preserve">يُعد الوضع الراهن خسارة مزدوجة: ففي الحالة الراهنة </w:t>
      </w:r>
      <w:commentRangeEnd w:id="262"/>
      <w:r>
        <w:rPr>
          <w:rStyle w:val="af0"/>
          <w:rFonts w:asciiTheme="majorBidi" w:hAnsiTheme="majorBidi" w:cstheme="majorBidi"/>
          <w:sz w:val="24"/>
          <w:szCs w:val="24"/>
          <w:rtl/>
        </w:rPr>
        <w:commentReference w:id="262"/>
      </w:r>
      <w:commentRangeEnd w:id="263"/>
      <w:r>
        <w:rPr>
          <w:rStyle w:val="af0"/>
          <w:rFonts w:asciiTheme="majorBidi" w:hAnsiTheme="majorBidi" w:cstheme="majorBidi"/>
          <w:sz w:val="24"/>
          <w:szCs w:val="24"/>
          <w:rtl/>
        </w:rPr>
        <w:commentReference w:id="263"/>
      </w:r>
      <w:r>
        <w:rPr>
          <w:rFonts w:asciiTheme="majorBidi" w:hAnsiTheme="majorBidi" w:cstheme="majorBidi"/>
          <w:sz w:val="24"/>
          <w:szCs w:val="24"/>
          <w:rtl/>
        </w:rPr>
        <w:t>— حيث تُوظَّف أدوات الذكاء الاصطناعي دون ضوابط ودون ضمانات — يُعدّ الوضع خسارةً مزدوجة: خسارة للموكلين الذين تُعالَج بياناتهم دون ضمانات كافية وتُصاغ وثائقهم بأدوات غير موثوقة وغير معتمدة. وخسارة لمكاتب المحاماة ذاتها التي تتعرض لمخاطر قانونية ومهنية قد تكون تبعاتها وخيمة دون أن تكون مُدركةً لها. في حين أن التنظيم الصريح يتحول إلى مكسب مزدوج: يوفّر الحماية للطرفين معاً.</w:t>
      </w:r>
    </w:p>
    <w:p w14:paraId="66D6BB1C" w14:textId="77777777" w:rsidR="005705DD" w:rsidRDefault="005705DD" w:rsidP="005705DD">
      <w:pPr>
        <w:bidi/>
        <w:spacing w:after="200" w:line="276" w:lineRule="auto"/>
        <w:rPr>
          <w:rtl/>
        </w:rPr>
      </w:pPr>
      <w:commentRangeStart w:id="264"/>
      <w:commentRangeStart w:id="265"/>
      <w:r>
        <w:rPr>
          <w:rFonts w:asciiTheme="majorBidi" w:hAnsiTheme="majorBidi" w:cstheme="majorBidi"/>
          <w:sz w:val="24"/>
          <w:szCs w:val="24"/>
          <w:rtl/>
        </w:rPr>
        <w:t>5– الدور المنشود للفصل الرابع: يستلزم هذا المشهد الكلي أن يأتي الفصل الرابع بإطار تنظيمي مُعالِج لكل مستوى من مستويات الفجوة الثلاثة المُحدَّدة في هذا الفصل: يُعالج الفجوة المعرفية بالتدريب المهني الإلزامي وآليات نشر الوعي. ويُعالج الفجوة التطبيقية بآليات الرقابة والمساءلة ومتطلبات الإفصاح. ويُعالج الفجوة التشريعية بنص ضابط صريح يُميّز بين أصناف التقنيات ويوزّع المسؤوليات ويُحدد الاشتراطات.</w:t>
      </w:r>
      <w:commentRangeEnd w:id="264"/>
      <w:r>
        <w:rPr>
          <w:rStyle w:val="af0"/>
          <w:sz w:val="22"/>
          <w:szCs w:val="22"/>
          <w:rtl/>
        </w:rPr>
        <w:commentReference w:id="264"/>
      </w:r>
      <w:commentRangeEnd w:id="265"/>
      <w:r>
        <w:rPr>
          <w:rStyle w:val="af0"/>
          <w:sz w:val="22"/>
          <w:szCs w:val="22"/>
          <w:rtl/>
        </w:rPr>
        <w:commentReference w:id="265"/>
      </w:r>
    </w:p>
    <w:p w14:paraId="56D5086C" w14:textId="77777777" w:rsidR="005705DD" w:rsidRDefault="005705DD" w:rsidP="005705DD"/>
    <w:p w14:paraId="45B0FC9D" w14:textId="77777777" w:rsidR="005705DD" w:rsidRPr="00A84F46" w:rsidRDefault="005705DD" w:rsidP="005705DD">
      <w:pPr>
        <w:bidi/>
        <w:spacing w:after="200" w:line="276" w:lineRule="auto"/>
        <w:rPr>
          <w:bCs/>
          <w:color w:val="000000" w:themeColor="text1"/>
          <w:rtl/>
        </w:rPr>
      </w:pPr>
      <w:commentRangeStart w:id="266"/>
      <w:commentRangeStart w:id="267"/>
      <w:r>
        <w:rPr>
          <w:rFonts w:asciiTheme="majorBidi" w:hAnsiTheme="majorBidi" w:cstheme="majorBidi"/>
          <w:bCs/>
          <w:color w:val="000000" w:themeColor="text1"/>
          <w:sz w:val="28"/>
          <w:szCs w:val="28"/>
          <w:rtl/>
        </w:rPr>
        <w:t>ثانياً: تدابير مؤسسية مقترحة لمكاتب المحاماة قبل صدور التشريع</w:t>
      </w:r>
      <w:commentRangeEnd w:id="266"/>
      <w:r w:rsidRPr="00A84F46">
        <w:rPr>
          <w:rStyle w:val="af0"/>
          <w:bCs/>
          <w:color w:val="000000" w:themeColor="text1"/>
          <w:sz w:val="22"/>
          <w:szCs w:val="22"/>
          <w:rtl/>
        </w:rPr>
        <w:commentReference w:id="266"/>
      </w:r>
      <w:commentRangeEnd w:id="267"/>
      <w:r w:rsidRPr="00A84F46">
        <w:rPr>
          <w:rStyle w:val="af0"/>
          <w:bCs/>
          <w:color w:val="000000" w:themeColor="text1"/>
          <w:sz w:val="22"/>
          <w:szCs w:val="22"/>
          <w:rtl/>
        </w:rPr>
        <w:commentReference w:id="267"/>
      </w:r>
    </w:p>
    <w:p w14:paraId="31D7E3A9" w14:textId="77777777" w:rsidR="005705DD" w:rsidRDefault="005705DD" w:rsidP="005705DD">
      <w:pPr>
        <w:bidi/>
        <w:spacing w:after="200" w:line="276" w:lineRule="auto"/>
        <w:rPr>
          <w:rtl/>
        </w:rPr>
      </w:pPr>
      <w:commentRangeStart w:id="268"/>
      <w:commentRangeStart w:id="269"/>
      <w:r>
        <w:rPr>
          <w:rFonts w:asciiTheme="majorBidi" w:hAnsiTheme="majorBidi" w:cstheme="majorBidi"/>
          <w:sz w:val="24"/>
          <w:szCs w:val="24"/>
          <w:rtl/>
        </w:rPr>
        <w:t>يقترح الباحث جملة تدابير مؤسسية تلتزم بها مكاتب المحاماة إلى حين صدور التنظيم المنشود، تجسد ما يمكن تسميته "مكتب المحاماة السعودي المُؤسَّس للذكاء الاصطناعي" (AI-</w:t>
      </w:r>
      <w:proofErr w:type="spellStart"/>
      <w:r>
        <w:rPr>
          <w:rFonts w:asciiTheme="majorBidi" w:hAnsiTheme="majorBidi" w:cstheme="majorBidi"/>
          <w:sz w:val="24"/>
          <w:szCs w:val="24"/>
          <w:rtl/>
        </w:rPr>
        <w:t>Ready</w:t>
      </w:r>
      <w:proofErr w:type="spellEnd"/>
      <w:r>
        <w:rPr>
          <w:rFonts w:asciiTheme="majorBidi" w:hAnsiTheme="majorBidi" w:cstheme="majorBidi"/>
          <w:sz w:val="24"/>
          <w:szCs w:val="24"/>
          <w:rtl/>
        </w:rPr>
        <w:t xml:space="preserve"> Saudi </w:t>
      </w:r>
      <w:proofErr w:type="spellStart"/>
      <w:r>
        <w:rPr>
          <w:rFonts w:asciiTheme="majorBidi" w:hAnsiTheme="majorBidi" w:cstheme="majorBidi"/>
          <w:sz w:val="24"/>
          <w:szCs w:val="24"/>
          <w:rtl/>
        </w:rPr>
        <w:t>Law</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Firm</w:t>
      </w:r>
      <w:proofErr w:type="spellEnd"/>
      <w:r>
        <w:rPr>
          <w:rFonts w:asciiTheme="majorBidi" w:hAnsiTheme="majorBidi" w:cstheme="majorBidi"/>
          <w:sz w:val="24"/>
          <w:szCs w:val="24"/>
          <w:rtl/>
        </w:rPr>
        <w:t>)، وهو تصوّر يُجسّد الحالة التي تُصبح فيها الثغرات المُرصودة في هذا الفصل مُعالَجة بصورة مؤسسية داخل المكتب ذاته بانتظار الإطار التشريعي الشامل:</w:t>
      </w:r>
    </w:p>
    <w:p w14:paraId="42458EF4" w14:textId="77777777" w:rsidR="005705DD" w:rsidRDefault="005705DD" w:rsidP="005705DD">
      <w:pPr>
        <w:bidi/>
        <w:spacing w:after="200" w:line="276" w:lineRule="auto"/>
        <w:rPr>
          <w:rtl/>
        </w:rPr>
      </w:pPr>
      <w:r>
        <w:rPr>
          <w:rFonts w:asciiTheme="majorBidi" w:hAnsiTheme="majorBidi" w:cstheme="majorBidi"/>
          <w:sz w:val="24"/>
          <w:szCs w:val="24"/>
          <w:rtl/>
        </w:rPr>
        <w:t>1– امتلاك سياسة ذكاء اصطناعي داخلية مُحكَمة: تُحدد أصناف الأدوات المُجازة، وطبيعة البيانات المسموح بإدخالها، وإجراءات المراجعة البشرية الإلزامية، وآليات الإفصاح للموكل، وأسلوب التوثيق.</w:t>
      </w:r>
      <w:commentRangeEnd w:id="268"/>
      <w:r>
        <w:rPr>
          <w:rStyle w:val="af0"/>
          <w:sz w:val="22"/>
          <w:szCs w:val="22"/>
          <w:rtl/>
        </w:rPr>
        <w:commentReference w:id="268"/>
      </w:r>
      <w:commentRangeEnd w:id="269"/>
      <w:r>
        <w:rPr>
          <w:rStyle w:val="af0"/>
          <w:sz w:val="22"/>
          <w:szCs w:val="22"/>
          <w:rtl/>
        </w:rPr>
        <w:commentReference w:id="269"/>
      </w:r>
    </w:p>
    <w:p w14:paraId="018A0834" w14:textId="77777777" w:rsidR="005705DD" w:rsidRDefault="005705DD" w:rsidP="005705DD">
      <w:pPr>
        <w:bidi/>
        <w:spacing w:after="200" w:line="276" w:lineRule="auto"/>
        <w:rPr>
          <w:rtl/>
        </w:rPr>
      </w:pPr>
      <w:r>
        <w:rPr>
          <w:rFonts w:asciiTheme="majorBidi" w:hAnsiTheme="majorBidi" w:cstheme="majorBidi"/>
          <w:sz w:val="24"/>
          <w:szCs w:val="24"/>
          <w:rtl/>
        </w:rPr>
        <w:t>2– امتلاك كفاءة بشرية متخصصة في التقنيات القانونية: سواء عبر التدريب الداخلي للمحامين القائمين على فهم حدود أدوات الذكاء الاصطناعي وآليات التحقق من مخرجاتها، أو عبر تعيين مختص في "القانون والتقنية" (</w:t>
      </w:r>
      <w:proofErr w:type="spellStart"/>
      <w:r>
        <w:rPr>
          <w:rFonts w:asciiTheme="majorBidi" w:hAnsiTheme="majorBidi" w:cstheme="majorBidi"/>
          <w:sz w:val="24"/>
          <w:szCs w:val="24"/>
          <w:rtl/>
        </w:rPr>
        <w:t>Legal</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Tech</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Specialist</w:t>
      </w:r>
      <w:proofErr w:type="spellEnd"/>
      <w:r>
        <w:rPr>
          <w:rFonts w:asciiTheme="majorBidi" w:hAnsiTheme="majorBidi" w:cstheme="majorBidi"/>
          <w:sz w:val="24"/>
          <w:szCs w:val="24"/>
          <w:rtl/>
        </w:rPr>
        <w:t>) يُشرف على الاستخدام المؤسسي للأدوات.</w:t>
      </w:r>
    </w:p>
    <w:p w14:paraId="27695309" w14:textId="77777777" w:rsidR="005705DD" w:rsidRDefault="005705DD" w:rsidP="005705DD">
      <w:pPr>
        <w:bidi/>
        <w:spacing w:after="200" w:line="276" w:lineRule="auto"/>
        <w:rPr>
          <w:rtl/>
        </w:rPr>
      </w:pPr>
      <w:r>
        <w:rPr>
          <w:rFonts w:asciiTheme="majorBidi" w:hAnsiTheme="majorBidi" w:cstheme="majorBidi"/>
          <w:sz w:val="24"/>
          <w:szCs w:val="24"/>
          <w:rtl/>
        </w:rPr>
        <w:t>3– اعتماد أدوات مُدقَّقة بعناية وليس كل ما هو متاح: لا يعني توافر أداة ذكية مجاناً أو بتكلفة منخفضة أنها الخيار الأنسب؛ فمكتب المحاماة المُؤسَّس يُقيّم الأدوات بمعايير الأمن والموثوقية والامتثال التنظيمي قبل اعتمادها، لا بمعيار الكلفة وحده.</w:t>
      </w:r>
    </w:p>
    <w:p w14:paraId="0EA3573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4– إدارة مخاطر مستمرة لا لحظية: تُعدّ إدارة المخاطر المرتبطة بالذكاء الاصطناعي عمليةً مستمرة لا حادثةً وقتية. ومكتب المحاماة المُؤسَّس يُراجع سياساته بصورة دورية كلما تطورت الأدوات أو تغيرت البيئة التنظيمية، ويُدير سجلاً لحوادث الاستخدام غير المرغوب فيه يُساعد على التعلم من الأخطاء.</w:t>
      </w:r>
    </w:p>
    <w:p w14:paraId="2B54A664" w14:textId="77777777" w:rsidR="005705DD" w:rsidRDefault="005705DD" w:rsidP="005705DD">
      <w:pPr>
        <w:bidi/>
        <w:spacing w:after="200" w:line="276" w:lineRule="auto"/>
        <w:rPr>
          <w:rtl/>
        </w:rPr>
      </w:pPr>
      <w:r>
        <w:rPr>
          <w:rFonts w:asciiTheme="majorBidi" w:hAnsiTheme="majorBidi" w:cstheme="majorBidi"/>
          <w:sz w:val="24"/>
          <w:szCs w:val="24"/>
          <w:rtl/>
        </w:rPr>
        <w:t>5– الالتزام الاستباقي لا الانتظاري: لا ينتظر مكتب المحاماة المُؤسَّس صدورَ التشريع لبدء الامتثال، بل يُبادر بتبنّي أفضل الممارسات الدولية ويُعدّلها لتتلاءم مع السياق السعودي. هذا الالتزام الاستباقي يُقلّل من مخاطر التعرض للمسؤولية ويُعزّز السمعة المهنية، ويُمكّن المكتب من التأثير الإيجابي على المسار التشريعي حين تُستشار مكاتب المحاماة في صياغة الأطر التنظيمية المقبلة.</w:t>
      </w:r>
    </w:p>
    <w:p w14:paraId="69801345" w14:textId="77777777" w:rsidR="005705DD" w:rsidRDefault="005705DD" w:rsidP="005705DD">
      <w:pPr>
        <w:bidi/>
        <w:spacing w:after="200" w:line="276" w:lineRule="auto"/>
        <w:rPr>
          <w:rtl/>
        </w:rPr>
      </w:pPr>
      <w:r>
        <w:rPr>
          <w:rFonts w:asciiTheme="majorBidi" w:hAnsiTheme="majorBidi" w:cstheme="majorBidi"/>
          <w:sz w:val="24"/>
          <w:szCs w:val="24"/>
          <w:rtl/>
        </w:rPr>
        <w:t>يُعبّر الباحث في خاتمة هذه الجولة التحليلية عن اقتناعه بأن الفصل بين قيود التشريع وفرص الممارسة المهنية المسؤولة ممكن ومشروع؛ فلا يلزم انتظار التشريع الكامل للسلوك بمقتضى الأخلاقيات المهنية الرفيعة. والمحامي السعودي الذي يمزج بين الكفاءة التقنية والانضباط المهني والوعي النظامي هو الذي يُشكّل النموذج الأجدر بالاحتذاء في حقبة الذكاء الاصطناعي، قبل أن يفرض التشريع ذلك وبعده.</w:t>
      </w:r>
    </w:p>
    <w:p w14:paraId="71702474" w14:textId="77777777" w:rsidR="005705DD" w:rsidRDefault="005705DD" w:rsidP="005705DD"/>
    <w:p w14:paraId="76336B53" w14:textId="77777777" w:rsidR="005705DD" w:rsidRPr="00A84F46" w:rsidRDefault="005705DD" w:rsidP="005705DD">
      <w:pPr>
        <w:bidi/>
        <w:spacing w:after="200" w:line="276" w:lineRule="auto"/>
        <w:rPr>
          <w:bCs/>
          <w:color w:val="000000" w:themeColor="text1"/>
          <w:rtl/>
        </w:rPr>
      </w:pPr>
      <w:commentRangeStart w:id="270"/>
      <w:commentRangeStart w:id="271"/>
      <w:r>
        <w:rPr>
          <w:rFonts w:asciiTheme="majorBidi" w:hAnsiTheme="majorBidi" w:cstheme="majorBidi"/>
          <w:bCs/>
          <w:color w:val="000000" w:themeColor="text1"/>
          <w:sz w:val="28"/>
          <w:szCs w:val="28"/>
          <w:rtl/>
        </w:rPr>
        <w:t>ثالثاً: خلاصة المخاطر والتوصيات الميدانية المرحلية</w:t>
      </w:r>
      <w:commentRangeEnd w:id="270"/>
      <w:r w:rsidRPr="00A84F46">
        <w:rPr>
          <w:rStyle w:val="af0"/>
          <w:bCs/>
          <w:color w:val="000000" w:themeColor="text1"/>
          <w:sz w:val="22"/>
          <w:szCs w:val="22"/>
          <w:rtl/>
        </w:rPr>
        <w:commentReference w:id="270"/>
      </w:r>
      <w:commentRangeEnd w:id="271"/>
      <w:r w:rsidRPr="00A84F46">
        <w:rPr>
          <w:rStyle w:val="af0"/>
          <w:bCs/>
          <w:color w:val="000000" w:themeColor="text1"/>
          <w:sz w:val="22"/>
          <w:szCs w:val="22"/>
          <w:rtl/>
        </w:rPr>
        <w:commentReference w:id="271"/>
      </w:r>
    </w:p>
    <w:p w14:paraId="2DA952A7" w14:textId="77777777" w:rsidR="005705DD" w:rsidRDefault="005705DD" w:rsidP="005705DD">
      <w:pPr>
        <w:bidi/>
        <w:spacing w:after="200" w:line="276" w:lineRule="auto"/>
        <w:rPr>
          <w:rtl/>
        </w:rPr>
      </w:pPr>
      <w:r>
        <w:rPr>
          <w:rFonts w:asciiTheme="majorBidi" w:hAnsiTheme="majorBidi" w:cstheme="majorBidi"/>
          <w:sz w:val="24"/>
          <w:szCs w:val="24"/>
          <w:rtl/>
        </w:rPr>
        <w:t>يختتم الباحث تحليله في هذا الفصل بخلاصة تجمع الإشكاليات والمخاطر والتوصيات الميدانية المرحلية في صورة موجزة قابلة للتطبيق من جانب مكاتب المحاماة السعودية قبل صدور تشريع صريح:</w:t>
      </w:r>
    </w:p>
    <w:p w14:paraId="53D4A21D" w14:textId="77777777" w:rsidR="005705DD" w:rsidRDefault="005705DD" w:rsidP="005705DD">
      <w:pPr>
        <w:bidi/>
        <w:spacing w:after="200" w:line="276" w:lineRule="auto"/>
        <w:rPr>
          <w:rtl/>
        </w:rPr>
      </w:pPr>
      <w:r>
        <w:rPr>
          <w:rFonts w:asciiTheme="majorBidi" w:hAnsiTheme="majorBidi" w:cstheme="majorBidi"/>
          <w:sz w:val="24"/>
          <w:szCs w:val="24"/>
          <w:rtl/>
        </w:rPr>
        <w:t>1– تصنيف الأدوات والمخاطر المقابلة لها: أدوات الذكاء الاصطناعي التوليدي العامة (</w:t>
      </w:r>
      <w:proofErr w:type="spellStart"/>
      <w:proofErr w:type="gramStart"/>
      <w:r>
        <w:rPr>
          <w:rFonts w:asciiTheme="majorBidi" w:hAnsiTheme="majorBidi" w:cstheme="majorBidi"/>
          <w:sz w:val="24"/>
          <w:szCs w:val="24"/>
          <w:rtl/>
        </w:rPr>
        <w:t>ChatGPT</w:t>
      </w:r>
      <w:proofErr w:type="spellEnd"/>
      <w:r>
        <w:rPr>
          <w:rFonts w:asciiTheme="majorBidi" w:hAnsiTheme="majorBidi" w:cstheme="majorBidi"/>
          <w:sz w:val="24"/>
          <w:szCs w:val="24"/>
          <w:rtl/>
        </w:rPr>
        <w:t>,</w:t>
      </w:r>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Gemini</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Copilot</w:t>
      </w:r>
      <w:proofErr w:type="spellEnd"/>
      <w:r>
        <w:rPr>
          <w:rFonts w:asciiTheme="majorBidi" w:hAnsiTheme="majorBidi" w:cstheme="majorBidi"/>
          <w:sz w:val="24"/>
          <w:szCs w:val="24"/>
          <w:rtl/>
        </w:rPr>
        <w:t>) تحمل مخاطر مرتفعة من حيث سيادة البيانات وخطأ المعلومات، وتُناسبها توصية: الاستخدام المحدود في المهام الإدارية الروتينية مع تجنب إدخال البيانات الحساسة. أما أدوات الذكاء الاصطناعي القانوني المتخصصة (</w:t>
      </w:r>
      <w:proofErr w:type="spellStart"/>
      <w:proofErr w:type="gramStart"/>
      <w:r>
        <w:rPr>
          <w:rFonts w:asciiTheme="majorBidi" w:hAnsiTheme="majorBidi" w:cstheme="majorBidi"/>
          <w:sz w:val="24"/>
          <w:szCs w:val="24"/>
          <w:rtl/>
        </w:rPr>
        <w:t>Harvey</w:t>
      </w:r>
      <w:proofErr w:type="spellEnd"/>
      <w:r>
        <w:rPr>
          <w:rFonts w:asciiTheme="majorBidi" w:hAnsiTheme="majorBidi" w:cstheme="majorBidi"/>
          <w:sz w:val="24"/>
          <w:szCs w:val="24"/>
          <w:rtl/>
        </w:rPr>
        <w:t>,</w:t>
      </w:r>
      <w:proofErr w:type="gramEnd"/>
      <w:r>
        <w:rPr>
          <w:rFonts w:asciiTheme="majorBidi" w:hAnsiTheme="majorBidi" w:cstheme="majorBidi"/>
          <w:sz w:val="24"/>
          <w:szCs w:val="24"/>
          <w:rtl/>
        </w:rPr>
        <w:t xml:space="preserve"> </w:t>
      </w:r>
      <w:proofErr w:type="spellStart"/>
      <w:r>
        <w:rPr>
          <w:rFonts w:asciiTheme="majorBidi" w:hAnsiTheme="majorBidi" w:cstheme="majorBidi"/>
          <w:sz w:val="24"/>
          <w:szCs w:val="24"/>
          <w:rtl/>
        </w:rPr>
        <w:t>Luminance</w:t>
      </w:r>
      <w:proofErr w:type="spellEnd"/>
      <w:r>
        <w:rPr>
          <w:rFonts w:asciiTheme="majorBidi" w:hAnsiTheme="majorBidi" w:cstheme="majorBidi"/>
          <w:sz w:val="24"/>
          <w:szCs w:val="24"/>
          <w:rtl/>
        </w:rPr>
        <w:t>) فتحمل مخاطر أقل من حيث دقة المعلومات لكن مخاطر أعلى من حيث الكلفة والاعتماد عليها، وتُناسبها توصية: التحقق الإضافي من المراجع والاشتراط التعاقدي على ضمانات البيانات. وأما المنصات القانونية المحلية (ناجز وغيرها) فهي الأقل مخاطر نظامياً وتُوصى باستخدامها كخيار أول كلما أتاحت الوظيفة المطلوبة.</w:t>
      </w:r>
    </w:p>
    <w:p w14:paraId="1F5C1D63" w14:textId="77777777" w:rsidR="005705DD" w:rsidRDefault="005705DD" w:rsidP="005705DD">
      <w:pPr>
        <w:bidi/>
        <w:spacing w:after="200" w:line="276" w:lineRule="auto"/>
        <w:rPr>
          <w:rtl/>
        </w:rPr>
      </w:pPr>
      <w:r>
        <w:rPr>
          <w:rFonts w:asciiTheme="majorBidi" w:hAnsiTheme="majorBidi" w:cstheme="majorBidi"/>
          <w:sz w:val="24"/>
          <w:szCs w:val="24"/>
          <w:rtl/>
        </w:rPr>
        <w:t>2– توصيات مرحلية لمكاتب المحاماة السعودية قبل صدور التشريع: أولاً: إعداد سياسة داخلية مكتوبة تُحدد أي الأدوات الذكية مُجازة لأي نوع من المهام وما هي القيود المصاحبة. ثانياً: إلزام المحامين بإخطار الموكلين كتابةً باستخدام الذكاء الاصطناعي ضمن نطاق الوكالة، مع الحصول على موافقة خطية بما يُلزم الموكل فيما يتعلق بمعالجة بياناته. ثالثاً: اعتماد مبدأ "بقاء الإنسان في حلقة القرار" (</w:t>
      </w:r>
      <w:commentRangeStart w:id="272"/>
      <w:commentRangeStart w:id="273"/>
      <w:r>
        <w:rPr>
          <w:rFonts w:asciiTheme="majorBidi" w:hAnsiTheme="majorBidi" w:cstheme="majorBidi"/>
          <w:sz w:val="24"/>
          <w:szCs w:val="24"/>
          <w:rtl/>
        </w:rPr>
        <w:t>Human-</w:t>
      </w:r>
      <w:proofErr w:type="spellStart"/>
      <w:r>
        <w:rPr>
          <w:rFonts w:asciiTheme="majorBidi" w:hAnsiTheme="majorBidi" w:cstheme="majorBidi"/>
          <w:sz w:val="24"/>
          <w:szCs w:val="24"/>
          <w:rtl/>
        </w:rPr>
        <w:t>in</w:t>
      </w:r>
      <w:proofErr w:type="spellEnd"/>
      <w:r>
        <w:rPr>
          <w:rFonts w:asciiTheme="majorBidi" w:hAnsiTheme="majorBidi" w:cstheme="majorBidi"/>
          <w:sz w:val="24"/>
          <w:szCs w:val="24"/>
          <w:rtl/>
        </w:rPr>
        <w:t>-</w:t>
      </w:r>
      <w:proofErr w:type="spellStart"/>
      <w:r>
        <w:rPr>
          <w:rFonts w:asciiTheme="majorBidi" w:hAnsiTheme="majorBidi" w:cstheme="majorBidi"/>
          <w:sz w:val="24"/>
          <w:szCs w:val="24"/>
          <w:rtl/>
        </w:rPr>
        <w:t>the-Loop</w:t>
      </w:r>
      <w:commentRangeEnd w:id="272"/>
      <w:proofErr w:type="spellEnd"/>
      <w:r>
        <w:rPr>
          <w:rStyle w:val="af0"/>
          <w:rFonts w:asciiTheme="majorBidi" w:hAnsiTheme="majorBidi" w:cstheme="majorBidi"/>
          <w:sz w:val="24"/>
          <w:szCs w:val="24"/>
          <w:rtl/>
        </w:rPr>
        <w:commentReference w:id="272"/>
      </w:r>
      <w:commentRangeEnd w:id="273"/>
      <w:r>
        <w:rPr>
          <w:rStyle w:val="af0"/>
          <w:rFonts w:asciiTheme="majorBidi" w:hAnsiTheme="majorBidi" w:cstheme="majorBidi"/>
          <w:sz w:val="24"/>
          <w:szCs w:val="24"/>
          <w:rtl/>
        </w:rPr>
        <w:commentReference w:id="273"/>
      </w:r>
      <w:r>
        <w:rPr>
          <w:rFonts w:asciiTheme="majorBidi" w:hAnsiTheme="majorBidi" w:cstheme="majorBidi"/>
          <w:sz w:val="24"/>
          <w:szCs w:val="24"/>
          <w:rtl/>
        </w:rPr>
        <w:t xml:space="preserve">) بصورة مُقنَّنة، بمعنى إلزام مراجعة بشرية متخصصة لكل مخرج ذكي قبل تقديمه لجهة قضائية أو لموكل. رابعاً: الامتناع عن إدخال البيانات الشخصية الحساسة والوثائق القضائية الحيوية في أدوات ذكاء اصطناعي أجنبية غير خاضعة للولاية القضائية السعودية. </w:t>
      </w:r>
      <w:commentRangeStart w:id="274"/>
      <w:commentRangeStart w:id="275"/>
      <w:r>
        <w:rPr>
          <w:rFonts w:asciiTheme="majorBidi" w:hAnsiTheme="majorBidi" w:cstheme="majorBidi"/>
          <w:sz w:val="24"/>
          <w:szCs w:val="24"/>
          <w:rtl/>
        </w:rPr>
        <w:t>خامساً: التحقق من المصادر (</w:t>
      </w:r>
      <w:proofErr w:type="spellStart"/>
      <w:r>
        <w:rPr>
          <w:rFonts w:asciiTheme="majorBidi" w:hAnsiTheme="majorBidi" w:cstheme="majorBidi"/>
          <w:sz w:val="24"/>
          <w:szCs w:val="24"/>
          <w:rtl/>
        </w:rPr>
        <w:t>Source</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Verification</w:t>
      </w:r>
      <w:proofErr w:type="spellEnd"/>
      <w:r>
        <w:rPr>
          <w:rFonts w:asciiTheme="majorBidi" w:hAnsiTheme="majorBidi" w:cstheme="majorBidi"/>
          <w:sz w:val="24"/>
          <w:szCs w:val="24"/>
          <w:rtl/>
        </w:rPr>
        <w:t>)</w:t>
      </w:r>
      <w:commentRangeEnd w:id="274"/>
      <w:r>
        <w:rPr>
          <w:rStyle w:val="af0"/>
          <w:rFonts w:asciiTheme="majorBidi" w:hAnsiTheme="majorBidi" w:cstheme="majorBidi"/>
          <w:sz w:val="24"/>
          <w:szCs w:val="24"/>
          <w:rtl/>
        </w:rPr>
        <w:commentReference w:id="274"/>
      </w:r>
      <w:commentRangeEnd w:id="275"/>
      <w:r>
        <w:rPr>
          <w:rStyle w:val="af0"/>
          <w:rFonts w:asciiTheme="majorBidi" w:hAnsiTheme="majorBidi" w:cstheme="majorBidi"/>
          <w:sz w:val="24"/>
          <w:szCs w:val="24"/>
          <w:rtl/>
        </w:rPr>
        <w:commentReference w:id="275"/>
      </w:r>
      <w:r>
        <w:rPr>
          <w:rFonts w:asciiTheme="majorBidi" w:hAnsiTheme="majorBidi" w:cstheme="majorBidi"/>
          <w:sz w:val="24"/>
          <w:szCs w:val="24"/>
          <w:rtl/>
        </w:rPr>
        <w:t xml:space="preserve"> لكل مرجع قانوني أو حكم قضائي يذكره النموذج الذكي قبل الاستشهاد به في أي وثيقة رسمية.</w:t>
      </w:r>
    </w:p>
    <w:p w14:paraId="2BE01331" w14:textId="77777777" w:rsidR="005705DD" w:rsidRDefault="005705DD" w:rsidP="005705DD">
      <w:pPr>
        <w:bidi/>
        <w:spacing w:after="200" w:line="276" w:lineRule="auto"/>
        <w:rPr>
          <w:rtl/>
        </w:rPr>
      </w:pPr>
      <w:r>
        <w:rPr>
          <w:rFonts w:asciiTheme="majorBidi" w:hAnsiTheme="majorBidi" w:cstheme="majorBidi"/>
          <w:sz w:val="24"/>
          <w:szCs w:val="24"/>
          <w:rtl/>
        </w:rPr>
        <w:t xml:space="preserve">3– المستجدات التشريعية المقترح متابعتها: ينبغي لمكاتب المحاماة السعودية متابعة المستجدات التشريعية التالية لأثرها المباشر المتوقَّع: أولاً: اللوائح التنفيذية لنظام حماية البيانات الشخصية (1443هـ) المتوقع توسيعها وتخصيصها. ثانياً: أي تعميمات أو توجيهات تصدرها الهيئة السعودية للمحامين بشأن الذكاء الاصطناعي. ثالثاً: المستجدات في وثائق </w:t>
      </w:r>
      <w:proofErr w:type="spellStart"/>
      <w:r>
        <w:rPr>
          <w:rFonts w:asciiTheme="majorBidi" w:hAnsiTheme="majorBidi" w:cstheme="majorBidi"/>
          <w:sz w:val="24"/>
          <w:szCs w:val="24"/>
          <w:rtl/>
        </w:rPr>
        <w:t>سدايا</w:t>
      </w:r>
      <w:proofErr w:type="spellEnd"/>
      <w:r>
        <w:rPr>
          <w:rFonts w:asciiTheme="majorBidi" w:hAnsiTheme="majorBidi" w:cstheme="majorBidi"/>
          <w:sz w:val="24"/>
          <w:szCs w:val="24"/>
          <w:rtl/>
        </w:rPr>
        <w:t xml:space="preserve"> التنظيمية لا سيما تلك المتعلقة بالقطاع القانوني. رابعاً: المستجدات في نظام المحاماة الذي يُتوقع أن تشمل مراجعاته القادمة إشارات صريحة لاستخدام التقنيات الذكية. </w:t>
      </w:r>
      <w:commentRangeStart w:id="276"/>
      <w:commentRangeStart w:id="277"/>
      <w:r>
        <w:rPr>
          <w:rFonts w:asciiTheme="majorBidi" w:hAnsiTheme="majorBidi" w:cstheme="majorBidi"/>
          <w:sz w:val="24"/>
          <w:szCs w:val="24"/>
          <w:rtl/>
        </w:rPr>
        <w:t>خامساً: المستجدات التنظيمية المقارنة ذات الصلة، وفي مقدمتها التطورات الإماراتية والأوروبية في تنظيم الذكاء الاصطناعي.</w:t>
      </w:r>
      <w:commentRangeEnd w:id="276"/>
      <w:r>
        <w:rPr>
          <w:rStyle w:val="af0"/>
          <w:sz w:val="22"/>
          <w:szCs w:val="22"/>
          <w:rtl/>
        </w:rPr>
        <w:commentReference w:id="276"/>
      </w:r>
      <w:commentRangeEnd w:id="277"/>
      <w:r>
        <w:rPr>
          <w:rStyle w:val="af0"/>
          <w:sz w:val="22"/>
          <w:szCs w:val="22"/>
          <w:rtl/>
        </w:rPr>
        <w:commentReference w:id="277"/>
      </w:r>
    </w:p>
    <w:p w14:paraId="4E4D096E" w14:textId="77777777" w:rsidR="005705DD" w:rsidRDefault="005705DD" w:rsidP="005705DD"/>
    <w:p w14:paraId="7C6F9780" w14:textId="77777777" w:rsidR="005705DD" w:rsidRPr="00A84F46" w:rsidRDefault="005705DD" w:rsidP="005705DD">
      <w:pPr>
        <w:bidi/>
        <w:spacing w:after="200" w:line="276" w:lineRule="auto"/>
        <w:rPr>
          <w:bCs/>
          <w:color w:val="000000" w:themeColor="text1"/>
          <w:rtl/>
        </w:rPr>
      </w:pPr>
      <w:commentRangeStart w:id="278"/>
      <w:commentRangeStart w:id="279"/>
      <w:r>
        <w:rPr>
          <w:rFonts w:asciiTheme="majorBidi" w:hAnsiTheme="majorBidi" w:cstheme="majorBidi"/>
          <w:bCs/>
          <w:color w:val="000000" w:themeColor="text1"/>
          <w:sz w:val="28"/>
          <w:szCs w:val="28"/>
          <w:rtl/>
        </w:rPr>
        <w:lastRenderedPageBreak/>
        <w:t>خلاصة نقدية شاملة — قراءة اختبارية لمدى كفاية الإطار النظامي الراهن</w:t>
      </w:r>
      <w:commentRangeEnd w:id="278"/>
      <w:r w:rsidRPr="00A84F46">
        <w:rPr>
          <w:rStyle w:val="af0"/>
          <w:bCs/>
          <w:color w:val="000000" w:themeColor="text1"/>
          <w:sz w:val="22"/>
          <w:szCs w:val="22"/>
          <w:rtl/>
        </w:rPr>
        <w:commentReference w:id="278"/>
      </w:r>
      <w:commentRangeEnd w:id="279"/>
      <w:r w:rsidRPr="00A84F46">
        <w:rPr>
          <w:rStyle w:val="af0"/>
          <w:bCs/>
          <w:color w:val="000000" w:themeColor="text1"/>
          <w:sz w:val="22"/>
          <w:szCs w:val="22"/>
          <w:rtl/>
        </w:rPr>
        <w:commentReference w:id="279"/>
      </w:r>
    </w:p>
    <w:p w14:paraId="601401D5" w14:textId="77777777" w:rsidR="005705DD" w:rsidRDefault="005705DD" w:rsidP="005705DD">
      <w:pPr>
        <w:bidi/>
        <w:spacing w:after="200" w:line="276" w:lineRule="auto"/>
        <w:rPr>
          <w:rtl/>
        </w:rPr>
      </w:pPr>
      <w:r>
        <w:rPr>
          <w:rFonts w:asciiTheme="majorBidi" w:hAnsiTheme="majorBidi" w:cstheme="majorBidi"/>
          <w:sz w:val="24"/>
          <w:szCs w:val="24"/>
          <w:rtl/>
        </w:rPr>
        <w:t>في خاتمة هذا الفصل، يُقدّم الباحث قراءةً اختباريةً نقديةً شاملة لمدى كفاية الإطار النظامي السعودي الراهن للتعامل مع التحديات التي رصدها الفصل</w:t>
      </w:r>
      <w:commentRangeStart w:id="280"/>
      <w:commentRangeStart w:id="281"/>
      <w:r>
        <w:rPr>
          <w:rFonts w:asciiTheme="majorBidi" w:hAnsiTheme="majorBidi" w:cstheme="majorBidi"/>
          <w:sz w:val="24"/>
          <w:szCs w:val="24"/>
          <w:rtl/>
        </w:rPr>
        <w:t>. وتُجري هذه القراءة "اختباراً تطبيقياً" (</w:t>
      </w:r>
      <w:proofErr w:type="spellStart"/>
      <w:r>
        <w:rPr>
          <w:rFonts w:asciiTheme="majorBidi" w:hAnsiTheme="majorBidi" w:cstheme="majorBidi"/>
          <w:sz w:val="24"/>
          <w:szCs w:val="24"/>
          <w:rtl/>
        </w:rPr>
        <w:t>Scenario</w:t>
      </w:r>
      <w:proofErr w:type="spellEnd"/>
      <w:r>
        <w:rPr>
          <w:rFonts w:asciiTheme="majorBidi" w:hAnsiTheme="majorBidi" w:cstheme="majorBidi"/>
          <w:sz w:val="24"/>
          <w:szCs w:val="24"/>
          <w:rtl/>
        </w:rPr>
        <w:t xml:space="preserve"> </w:t>
      </w:r>
      <w:proofErr w:type="spellStart"/>
      <w:r>
        <w:rPr>
          <w:rFonts w:asciiTheme="majorBidi" w:hAnsiTheme="majorBidi" w:cstheme="majorBidi"/>
          <w:sz w:val="24"/>
          <w:szCs w:val="24"/>
          <w:rtl/>
        </w:rPr>
        <w:t>Test</w:t>
      </w:r>
      <w:proofErr w:type="spellEnd"/>
      <w:r>
        <w:rPr>
          <w:rFonts w:asciiTheme="majorBidi" w:hAnsiTheme="majorBidi" w:cstheme="majorBidi"/>
          <w:sz w:val="24"/>
          <w:szCs w:val="24"/>
          <w:rtl/>
        </w:rPr>
        <w:t>) لكل نظام رئيسي ذي صلة:</w:t>
      </w:r>
      <w:commentRangeEnd w:id="280"/>
      <w:r>
        <w:rPr>
          <w:rStyle w:val="af0"/>
          <w:sz w:val="22"/>
          <w:szCs w:val="22"/>
          <w:rtl/>
        </w:rPr>
        <w:commentReference w:id="280"/>
      </w:r>
      <w:commentRangeEnd w:id="281"/>
      <w:r>
        <w:rPr>
          <w:rStyle w:val="af0"/>
          <w:sz w:val="22"/>
          <w:szCs w:val="22"/>
          <w:rtl/>
        </w:rPr>
        <w:commentReference w:id="281"/>
      </w:r>
    </w:p>
    <w:p w14:paraId="7A973DCA" w14:textId="77777777" w:rsidR="005705DD" w:rsidRDefault="005705DD" w:rsidP="005705DD">
      <w:pPr>
        <w:bidi/>
        <w:spacing w:after="200" w:line="276" w:lineRule="auto"/>
        <w:rPr>
          <w:rtl/>
        </w:rPr>
      </w:pPr>
      <w:commentRangeStart w:id="282"/>
      <w:commentRangeStart w:id="283"/>
      <w:r>
        <w:rPr>
          <w:rFonts w:asciiTheme="majorBidi" w:hAnsiTheme="majorBidi" w:cstheme="majorBidi"/>
          <w:sz w:val="24"/>
          <w:szCs w:val="24"/>
          <w:rtl/>
        </w:rPr>
        <w:t>نظام المحاماة — الاختبار: هل يستطيع نظام المحاماة الحالي محاسبة محامٍ استخدم الذكاء الاصطناعي بصورة مُخلّة بمصلحة موكله؟ الإجابة: نعم جزئياً، عبر أحكام واجب العناية وواجب السرية — لكن بصعوبة إثباتية كبيرة في غياب نص صريح يُحدد معيار "الاستخدام المعيب للذكاء الاصطناعي". النتيجة: الإطار الراهن يسمح بالمحاسبة لكن ليس بكفاءة وحسم كافيَين.</w:t>
      </w:r>
    </w:p>
    <w:p w14:paraId="172A606D" w14:textId="77777777" w:rsidR="005705DD" w:rsidRDefault="005705DD" w:rsidP="005705DD">
      <w:pPr>
        <w:bidi/>
        <w:spacing w:after="200" w:line="276" w:lineRule="auto"/>
        <w:rPr>
          <w:rtl/>
        </w:rPr>
      </w:pPr>
      <w:r>
        <w:rPr>
          <w:rFonts w:asciiTheme="majorBidi" w:hAnsiTheme="majorBidi" w:cstheme="majorBidi"/>
          <w:sz w:val="24"/>
          <w:szCs w:val="24"/>
          <w:rtl/>
        </w:rPr>
        <w:t>نظام حماية البيانات — الاختبار: هل يُحمي النظام موكلاً سعودياً بياناته أُدخلت في أداة ذكاء اصطناعي أجنبية؟ الإجابة: النص النظامي يُوجب الحماية — لكن آليات الإنفاذ العابرة للحدود تظل ضعيفة في حال كان المزوّد أجنبياً خارج الولاية القضائية. النتيجة: حماية نظرية قوية وحماية عملية محدودة.</w:t>
      </w:r>
    </w:p>
    <w:p w14:paraId="4FC1FAC1" w14:textId="77777777" w:rsidR="005705DD" w:rsidRDefault="005705DD" w:rsidP="005705DD">
      <w:pPr>
        <w:bidi/>
        <w:spacing w:after="200" w:line="276" w:lineRule="auto"/>
        <w:rPr>
          <w:rtl/>
        </w:rPr>
      </w:pPr>
      <w:r>
        <w:rPr>
          <w:rFonts w:asciiTheme="majorBidi" w:hAnsiTheme="majorBidi" w:cstheme="majorBidi"/>
          <w:sz w:val="24"/>
          <w:szCs w:val="24"/>
          <w:rtl/>
        </w:rPr>
        <w:t>نظام الإثبات — الاختبار: هل تتمتع المذكرة التي كُتبت بالكامل بواسطة الذكاء الاصطناعي وراجعها المحامي بحجية قانونية كاملة؟ الإجابة: لا تُعارضها نصوص النظام صراحةً، لكن حجيتها تظل رهينةً بالسلطة التقديرية للقاضي الذي قد يرفضها. النتيجة: يُوجد عدم يقين تشريعي يُضرّ بالممارسة المهنية.</w:t>
      </w:r>
    </w:p>
    <w:p w14:paraId="5FBDB10D" w14:textId="77777777" w:rsidR="005705DD" w:rsidRDefault="005705DD" w:rsidP="005705DD">
      <w:pPr>
        <w:bidi/>
        <w:spacing w:after="200" w:line="276" w:lineRule="auto"/>
        <w:rPr>
          <w:rtl/>
        </w:rPr>
      </w:pPr>
      <w:r>
        <w:rPr>
          <w:rFonts w:asciiTheme="majorBidi" w:hAnsiTheme="majorBidi" w:cstheme="majorBidi"/>
          <w:sz w:val="24"/>
          <w:szCs w:val="24"/>
          <w:rtl/>
        </w:rPr>
        <w:t>نظام مكافحة الجرائم المعلوماتية — الاختبار: هل يُمكن ملاحقة من يُنشئ منصة تقدم استشارات قانونية بالذكاء الاصطناعي دون ترخيص؟ الإجابة: يتعلق الأمر بتكييف هل هذه المنصة تمارس مهنة المحاماة (نظام المحاماة) أم تنتهك نظام الجرائم المعلوماتية. وفي الغالب لا يُغطي نظام الجرائم المعلوماتية هذا النوع من الفعل لأنه لا يتضمن ضرراً معلوماتياً مباشراً كالاختراق أو التشهير. النتيجة: ثغرة تشريعية واضحة في هذا الملف.</w:t>
      </w:r>
    </w:p>
    <w:p w14:paraId="0B3E31FE" w14:textId="77777777" w:rsidR="005705DD" w:rsidRDefault="005705DD" w:rsidP="005705DD">
      <w:pPr>
        <w:bidi/>
        <w:spacing w:after="200" w:line="276" w:lineRule="auto"/>
        <w:rPr>
          <w:rtl/>
        </w:rPr>
      </w:pPr>
      <w:r>
        <w:rPr>
          <w:rFonts w:asciiTheme="majorBidi" w:hAnsiTheme="majorBidi" w:cstheme="majorBidi"/>
          <w:sz w:val="24"/>
          <w:szCs w:val="24"/>
          <w:rtl/>
        </w:rPr>
        <w:t>خلاصة القراءة الاختبارية: إن الإطار النظامي الراهن يُوفّر "شبكة أمان بالحد الأدنى" وليس حمايةً شاملةً كافية لمواجهة إشكاليات توظيف الذكاء الاصطناعي في المهنة القانونية. وهذا الحد الأدنى كافٍ لمعالجة بعض الحالات البسيطة والصريحة، لكنه يُعجز عن الإجابة على أغلب الأسئلة الجوهرية المطروحة في هذا الفصل بصورة كافية وحاسمة. ومن ثم، فإن التشريع الصريح ليس ترفاً أكاديمياً بل ضرورة عملية ملحّة تقتضيها مصلحة الموكلين وسلامة المهنة واستقرار المنظومة العدلية.</w:t>
      </w:r>
      <w:commentRangeEnd w:id="282"/>
      <w:r>
        <w:rPr>
          <w:rStyle w:val="af0"/>
          <w:sz w:val="22"/>
          <w:szCs w:val="22"/>
          <w:rtl/>
        </w:rPr>
        <w:commentReference w:id="282"/>
      </w:r>
      <w:commentRangeEnd w:id="283"/>
      <w:r>
        <w:rPr>
          <w:rStyle w:val="af0"/>
          <w:sz w:val="22"/>
          <w:szCs w:val="22"/>
          <w:rtl/>
        </w:rPr>
        <w:commentReference w:id="283"/>
      </w:r>
    </w:p>
    <w:p w14:paraId="6C1090D2" w14:textId="77777777" w:rsidR="005705DD" w:rsidRDefault="005705DD" w:rsidP="005705DD">
      <w:pPr>
        <w:bidi/>
        <w:spacing w:after="200" w:line="276" w:lineRule="auto"/>
        <w:rPr>
          <w:rtl/>
        </w:rPr>
      </w:pPr>
      <w:r>
        <w:rPr>
          <w:rFonts w:asciiTheme="majorBidi" w:hAnsiTheme="majorBidi" w:cstheme="majorBidi"/>
          <w:sz w:val="24"/>
          <w:szCs w:val="24"/>
          <w:rtl/>
        </w:rPr>
        <w:t>ويُحيل الباحث إلى الفصل الرابع من هذه الدراسة الذي سيتولى بناءً على هذه القراءة النقدية الشاملة</w:t>
      </w:r>
      <w:commentRangeStart w:id="284"/>
      <w:commentRangeStart w:id="285"/>
      <w:r>
        <w:rPr>
          <w:rFonts w:asciiTheme="majorBidi" w:hAnsiTheme="majorBidi" w:cstheme="majorBidi"/>
          <w:sz w:val="24"/>
          <w:szCs w:val="24"/>
          <w:rtl/>
        </w:rPr>
        <w:t xml:space="preserve"> — </w:t>
      </w:r>
      <w:commentRangeEnd w:id="284"/>
      <w:r>
        <w:rPr>
          <w:rStyle w:val="af0"/>
          <w:rFonts w:asciiTheme="majorBidi" w:hAnsiTheme="majorBidi" w:cstheme="majorBidi"/>
          <w:sz w:val="24"/>
          <w:szCs w:val="24"/>
          <w:rtl/>
        </w:rPr>
        <w:commentReference w:id="284"/>
      </w:r>
      <w:commentRangeEnd w:id="285"/>
      <w:r>
        <w:rPr>
          <w:rStyle w:val="af0"/>
          <w:rFonts w:asciiTheme="majorBidi" w:hAnsiTheme="majorBidi" w:cstheme="majorBidi"/>
          <w:sz w:val="24"/>
          <w:szCs w:val="24"/>
          <w:rtl/>
        </w:rPr>
        <w:commentReference w:id="285"/>
      </w:r>
      <w:r>
        <w:rPr>
          <w:rFonts w:asciiTheme="majorBidi" w:hAnsiTheme="majorBidi" w:cstheme="majorBidi"/>
          <w:sz w:val="24"/>
          <w:szCs w:val="24"/>
          <w:rtl/>
        </w:rPr>
        <w:t>ومجمل ما تناوله هذا الفصل — تقديم إطار تنظيمي مقترح متكامل يُعالج الثغرات المُحدَّدة ويُوفّر منظومة تنظيمية شاملة لتوظيف الذكاء الاصطناعي في مكاتب المحاماة السعودية وفق مقتضيات الشريعة الإسلامية والبيئة النظامية الخاصة بالمملكة العربية السعودية.</w:t>
      </w:r>
    </w:p>
    <w:p w14:paraId="5290C74B" w14:textId="77777777" w:rsidR="005705DD" w:rsidRDefault="005705DD" w:rsidP="005705DD">
      <w:pPr>
        <w:bidi/>
        <w:spacing w:after="200" w:line="276" w:lineRule="auto"/>
        <w:rPr>
          <w:rtl/>
        </w:rPr>
      </w:pPr>
    </w:p>
    <w:p w14:paraId="173A5D98" w14:textId="77777777" w:rsidR="005705DD" w:rsidRDefault="005705DD" w:rsidP="005705DD">
      <w:pPr>
        <w:bidi/>
        <w:spacing w:after="200" w:line="276" w:lineRule="auto"/>
        <w:rPr>
          <w:rtl/>
        </w:rPr>
      </w:pPr>
    </w:p>
    <w:p w14:paraId="35253F6D"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خلاصة الفصل الثالث</w:t>
      </w:r>
    </w:p>
    <w:p w14:paraId="70FEFCB4" w14:textId="77777777" w:rsidR="005705DD" w:rsidRDefault="005705DD" w:rsidP="005705DD"/>
    <w:p w14:paraId="013189DE" w14:textId="77777777" w:rsidR="005705DD" w:rsidRDefault="005705DD" w:rsidP="005705DD">
      <w:pPr>
        <w:bidi/>
        <w:spacing w:after="200" w:line="276" w:lineRule="auto"/>
        <w:rPr>
          <w:rtl/>
        </w:rPr>
      </w:pPr>
      <w:r>
        <w:rPr>
          <w:rFonts w:asciiTheme="majorBidi" w:hAnsiTheme="majorBidi" w:cstheme="majorBidi"/>
          <w:sz w:val="28"/>
          <w:szCs w:val="28"/>
          <w:rtl/>
        </w:rPr>
        <w:t>تناول هذا الفصل الجانب الميداني والتطبيقي من موضوع الدراسة، وخلص إلى جملة من النتائج يمكن إيجازها على النحو الآتي:</w:t>
      </w:r>
    </w:p>
    <w:p w14:paraId="6482C284"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التمييز المفاهيمي الضروري — يُعدّ التمييز بين الذكاء الاصطناعي القانوني بصوره التوليدية </w:t>
      </w:r>
      <w:proofErr w:type="spellStart"/>
      <w:r>
        <w:rPr>
          <w:rFonts w:asciiTheme="majorBidi" w:hAnsiTheme="majorBidi" w:cstheme="majorBidi"/>
          <w:sz w:val="24"/>
          <w:szCs w:val="24"/>
          <w:rtl/>
        </w:rPr>
        <w:t>والتنبؤية</w:t>
      </w:r>
      <w:proofErr w:type="spellEnd"/>
      <w:r>
        <w:rPr>
          <w:rFonts w:asciiTheme="majorBidi" w:hAnsiTheme="majorBidi" w:cstheme="majorBidi"/>
          <w:sz w:val="24"/>
          <w:szCs w:val="24"/>
          <w:rtl/>
        </w:rPr>
        <w:t xml:space="preserve">، والبرمجيات القانونية التقليدية، والعقود الذكية المرتبطة </w:t>
      </w:r>
      <w:proofErr w:type="spellStart"/>
      <w:r>
        <w:rPr>
          <w:rFonts w:asciiTheme="majorBidi" w:hAnsiTheme="majorBidi" w:cstheme="majorBidi"/>
          <w:sz w:val="24"/>
          <w:szCs w:val="24"/>
          <w:rtl/>
        </w:rPr>
        <w:t>بالبلوكشين</w:t>
      </w:r>
      <w:proofErr w:type="spellEnd"/>
      <w:r>
        <w:rPr>
          <w:rFonts w:asciiTheme="majorBidi" w:hAnsiTheme="majorBidi" w:cstheme="majorBidi"/>
          <w:sz w:val="24"/>
          <w:szCs w:val="24"/>
          <w:rtl/>
        </w:rPr>
        <w:t xml:space="preserve">، تمييزاً جوهرياً لا غنى عنه للتحليل القانوني </w:t>
      </w:r>
      <w:r>
        <w:rPr>
          <w:rFonts w:asciiTheme="majorBidi" w:hAnsiTheme="majorBidi" w:cstheme="majorBidi"/>
          <w:sz w:val="24"/>
          <w:szCs w:val="24"/>
          <w:rtl/>
        </w:rPr>
        <w:lastRenderedPageBreak/>
        <w:t>الدقيق. وقد كشفت الدراسة أن الخلط بين هذه الأصناف الثلاثة شائع في الأدبيات القانونية العربية، وله تبعات قانونية وتشريعية خطيرة.</w:t>
      </w:r>
    </w:p>
    <w:p w14:paraId="076D3CFE" w14:textId="77777777" w:rsidR="005705DD" w:rsidRDefault="005705DD" w:rsidP="005705DD">
      <w:pPr>
        <w:bidi/>
        <w:spacing w:after="200" w:line="276" w:lineRule="auto"/>
        <w:rPr>
          <w:rtl/>
        </w:rPr>
      </w:pPr>
      <w:r>
        <w:rPr>
          <w:rFonts w:asciiTheme="majorBidi" w:hAnsiTheme="majorBidi" w:cstheme="majorBidi"/>
          <w:sz w:val="24"/>
          <w:szCs w:val="24"/>
          <w:rtl/>
        </w:rPr>
        <w:t>ثانياً: الواقع التقني في السوق القانوني السعودي — يشهد السوق القانوني السعودي حضوراً متنامياً لثلاثة أصناف من الأدوات: الأدوات التوليدية العامة، والأدوات القانونية المتخصصة، والمنصات المحلية الرقمية. ويتوزع هذا الاستخدام بحسب حجم المكاتب القانونية، مع هيمنة الأدوات المجانية في القطاع الأوسع انتشاراً.</w:t>
      </w:r>
    </w:p>
    <w:p w14:paraId="04C97E98" w14:textId="77777777" w:rsidR="005705DD" w:rsidRDefault="005705DD" w:rsidP="005705DD">
      <w:pPr>
        <w:bidi/>
        <w:spacing w:after="200" w:line="276" w:lineRule="auto"/>
        <w:rPr>
          <w:rtl/>
        </w:rPr>
      </w:pPr>
      <w:r>
        <w:rPr>
          <w:rFonts w:asciiTheme="majorBidi" w:hAnsiTheme="majorBidi" w:cstheme="majorBidi"/>
          <w:sz w:val="24"/>
          <w:szCs w:val="24"/>
          <w:rtl/>
        </w:rPr>
        <w:t xml:space="preserve">ثالثاً: الفجوة النظامية — تُظهر المقارنة بين الاستخدام الفعلي والضوابط النظامية فجوةً حادة تتجلى في ثلاثة مستويات متراكمة: الفجوة المعرفية لدى المحامين، والفجوة التطبيقية في الالتزام، والفجوة التشريعية في غياب النص الصريح. كما يواجه استخدام أدوات الذكاء الاصطناعي الأجنبية </w:t>
      </w:r>
      <w:proofErr w:type="spellStart"/>
      <w:r>
        <w:rPr>
          <w:rFonts w:asciiTheme="majorBidi" w:hAnsiTheme="majorBidi" w:cstheme="majorBidi"/>
          <w:sz w:val="24"/>
          <w:szCs w:val="24"/>
          <w:rtl/>
        </w:rPr>
        <w:t>تعارضات</w:t>
      </w:r>
      <w:proofErr w:type="spellEnd"/>
      <w:r>
        <w:rPr>
          <w:rFonts w:asciiTheme="majorBidi" w:hAnsiTheme="majorBidi" w:cstheme="majorBidi"/>
          <w:sz w:val="24"/>
          <w:szCs w:val="24"/>
          <w:rtl/>
        </w:rPr>
        <w:t xml:space="preserve"> واضحة مع نظام حماية البيانات الشخصية (1443هـ) لا سيما في مسائل نقل البيانات خارج المملكة.</w:t>
      </w:r>
    </w:p>
    <w:p w14:paraId="410A480A" w14:textId="77777777" w:rsidR="005705DD" w:rsidRDefault="005705DD" w:rsidP="005705DD">
      <w:pPr>
        <w:bidi/>
        <w:spacing w:after="200" w:line="276" w:lineRule="auto"/>
        <w:rPr>
          <w:rtl/>
        </w:rPr>
      </w:pPr>
      <w:r>
        <w:rPr>
          <w:rFonts w:asciiTheme="majorBidi" w:hAnsiTheme="majorBidi" w:cstheme="majorBidi"/>
          <w:sz w:val="24"/>
          <w:szCs w:val="24"/>
          <w:rtl/>
        </w:rPr>
        <w:t>رابعاً: مخاطر الاستخدام الفردي — رصد الفصل خمسة مخاطر جوهرية تترتب على الاستخدام الفردي غير المنضبط، هي: خطأ المعلومات (الهلوسة)، وانتهاك السرية المهنية، والتحيز الخوارزمي، وتسرب البيانات، ومزاولة المهنة دون ترخيص. وتتفاقم هذه المخاطر بسبب غياب الرقابة المسبقة وصعوبة الإثبات عند الضرر.</w:t>
      </w:r>
    </w:p>
    <w:p w14:paraId="427A71AA" w14:textId="77777777" w:rsidR="005705DD" w:rsidRDefault="005705DD" w:rsidP="005705DD">
      <w:pPr>
        <w:bidi/>
        <w:spacing w:after="200" w:line="276" w:lineRule="auto"/>
        <w:rPr>
          <w:rtl/>
        </w:rPr>
      </w:pPr>
      <w:r>
        <w:rPr>
          <w:rFonts w:asciiTheme="majorBidi" w:hAnsiTheme="majorBidi" w:cstheme="majorBidi"/>
          <w:sz w:val="24"/>
          <w:szCs w:val="24"/>
          <w:rtl/>
        </w:rPr>
        <w:t>خامساً: الدروس الإماراتية — تُقدّم التجربة الإماراتية نموذجاً إقليمياً مهماً تتجلى إسهاماته في: المأسسة التشريعية المبكرة، والتكامل بين التقنية والتشريع، والتنظيم القائم على المخاطر، وتمييز المسؤوليات. غير أن استيعاب هذه الدروس في البيئة السعودية يستلزم تكييفها مع المرجعية التشريعية الإسلامية والخصوصية النظامية السعودية، لا استنساخها حرفياً.</w:t>
      </w:r>
    </w:p>
    <w:p w14:paraId="6E674BEA" w14:textId="77777777" w:rsidR="005705DD" w:rsidRDefault="005705DD" w:rsidP="005705DD">
      <w:pPr>
        <w:bidi/>
        <w:spacing w:after="200" w:line="276" w:lineRule="auto"/>
        <w:rPr>
          <w:rtl/>
        </w:rPr>
      </w:pPr>
      <w:r>
        <w:rPr>
          <w:rFonts w:asciiTheme="majorBidi" w:hAnsiTheme="majorBidi" w:cstheme="majorBidi"/>
          <w:sz w:val="24"/>
          <w:szCs w:val="24"/>
          <w:rtl/>
        </w:rPr>
        <w:t>سادساً: التوجه نحو الفصل الرابع — تُشكّل هذه الاستنتاجات مجتمعةً البنية التحتية الضرورية لمقاربة الفصل الرابع الذي سيُقدّم إطاراً قانونياً تنظيمياً مقترحاً لمعالجة هذه الفجوات التشريعية والتطبيقية، مُستنيراً بالتجارب المقارنة ومُستند على الإطار الفقهي والتشريعي السعودي.</w:t>
      </w:r>
    </w:p>
    <w:p w14:paraId="625C88A1" w14:textId="77777777" w:rsidR="005705DD" w:rsidRDefault="005705DD" w:rsidP="005705DD">
      <w:pPr>
        <w:rPr>
          <w:rFonts w:asciiTheme="majorBidi" w:hAnsiTheme="majorBidi" w:cstheme="majorBidi"/>
          <w:sz w:val="24"/>
          <w:szCs w:val="24"/>
        </w:rPr>
      </w:pPr>
    </w:p>
    <w:p w14:paraId="7D1C83D9" w14:textId="77777777" w:rsidR="005705DD" w:rsidRDefault="005705DD" w:rsidP="000003D3">
      <w:pPr>
        <w:jc w:val="right"/>
        <w:rPr>
          <w:rFonts w:asciiTheme="majorBidi" w:hAnsiTheme="majorBidi" w:cstheme="majorBidi"/>
          <w:sz w:val="24"/>
          <w:szCs w:val="24"/>
        </w:rPr>
      </w:pPr>
    </w:p>
    <w:p w14:paraId="42A5C90D" w14:textId="77777777" w:rsidR="005705DD" w:rsidRDefault="005705DD" w:rsidP="000003D3">
      <w:pPr>
        <w:jc w:val="right"/>
        <w:rPr>
          <w:rFonts w:asciiTheme="majorBidi" w:hAnsiTheme="majorBidi" w:cstheme="majorBidi"/>
          <w:sz w:val="24"/>
          <w:szCs w:val="24"/>
        </w:rPr>
      </w:pPr>
    </w:p>
    <w:p w14:paraId="4FDF0F91" w14:textId="77777777" w:rsidR="005705DD" w:rsidRDefault="005705DD" w:rsidP="000003D3">
      <w:pPr>
        <w:jc w:val="right"/>
        <w:rPr>
          <w:rFonts w:asciiTheme="majorBidi" w:hAnsiTheme="majorBidi" w:cstheme="majorBidi"/>
          <w:sz w:val="24"/>
          <w:szCs w:val="24"/>
        </w:rPr>
      </w:pPr>
    </w:p>
    <w:p w14:paraId="2C517679" w14:textId="77777777" w:rsidR="005705DD" w:rsidRDefault="005705DD" w:rsidP="000003D3">
      <w:pPr>
        <w:jc w:val="right"/>
        <w:rPr>
          <w:rFonts w:asciiTheme="majorBidi" w:hAnsiTheme="majorBidi" w:cstheme="majorBidi"/>
          <w:sz w:val="24"/>
          <w:szCs w:val="24"/>
        </w:rPr>
      </w:pPr>
    </w:p>
    <w:p w14:paraId="07AE4533" w14:textId="77777777" w:rsidR="005705DD" w:rsidRDefault="005705DD" w:rsidP="000003D3">
      <w:pPr>
        <w:jc w:val="right"/>
        <w:rPr>
          <w:rFonts w:asciiTheme="majorBidi" w:hAnsiTheme="majorBidi" w:cstheme="majorBidi"/>
          <w:sz w:val="24"/>
          <w:szCs w:val="24"/>
        </w:rPr>
      </w:pPr>
    </w:p>
    <w:p w14:paraId="67228C90" w14:textId="77777777" w:rsidR="005705DD" w:rsidRDefault="005705DD" w:rsidP="005705DD">
      <w:pPr>
        <w:rPr>
          <w:rFonts w:asciiTheme="majorBidi" w:hAnsiTheme="majorBidi" w:cstheme="majorBidi"/>
          <w:sz w:val="24"/>
          <w:szCs w:val="24"/>
        </w:rPr>
      </w:pPr>
    </w:p>
    <w:p w14:paraId="0217A206" w14:textId="77777777" w:rsidR="005705DD" w:rsidRDefault="005705DD" w:rsidP="005705DD">
      <w:pPr>
        <w:rPr>
          <w:rFonts w:asciiTheme="majorBidi" w:hAnsiTheme="majorBidi" w:cstheme="majorBidi"/>
          <w:sz w:val="24"/>
          <w:szCs w:val="24"/>
          <w:rtl/>
        </w:rPr>
      </w:pPr>
    </w:p>
    <w:p w14:paraId="7CA5CC9B" w14:textId="5483E106" w:rsidR="004639DD" w:rsidRDefault="004639DD" w:rsidP="000003D3">
      <w:pPr>
        <w:jc w:val="right"/>
        <w:rPr>
          <w:rFonts w:asciiTheme="majorBidi" w:hAnsiTheme="majorBidi" w:cstheme="majorBidi"/>
          <w:sz w:val="32"/>
          <w:szCs w:val="32"/>
          <w:rtl/>
        </w:rPr>
      </w:pPr>
      <w:commentRangeStart w:id="286"/>
      <w:commentRangeStart w:id="287"/>
      <w:r>
        <w:rPr>
          <w:rFonts w:asciiTheme="majorBidi" w:hAnsiTheme="majorBidi" w:cstheme="majorBidi" w:hint="cs"/>
          <w:sz w:val="32"/>
          <w:szCs w:val="32"/>
          <w:rtl/>
        </w:rPr>
        <w:t>تنويه: اكتُفي بتوثيق المصادر في الهوامش أسفل الصفحات وفق توجيه اللجنة، وتُدرج قائمة موحدة للمصادر والمراجع في نهاية الرسالة.</w:t>
      </w:r>
      <w:commentRangeEnd w:id="286"/>
      <w:r>
        <w:rPr>
          <w:rStyle w:val="af0"/>
          <w:rFonts w:asciiTheme="majorBidi" w:hAnsiTheme="majorBidi" w:cstheme="majorBidi"/>
          <w:sz w:val="32"/>
          <w:szCs w:val="32"/>
          <w:rtl/>
        </w:rPr>
        <w:commentReference w:id="286"/>
      </w:r>
      <w:commentRangeEnd w:id="287"/>
      <w:r>
        <w:rPr>
          <w:rStyle w:val="af0"/>
          <w:rFonts w:asciiTheme="majorBidi" w:hAnsiTheme="majorBidi" w:cstheme="majorBidi"/>
          <w:sz w:val="32"/>
          <w:szCs w:val="32"/>
          <w:rtl/>
        </w:rPr>
        <w:commentReference w:id="287"/>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Pr>
        <w:br/>
      </w:r>
      <w:r>
        <w:rPr>
          <w:rFonts w:asciiTheme="majorBidi" w:hAnsiTheme="majorBidi" w:cstheme="majorBidi"/>
          <w:sz w:val="24"/>
          <w:szCs w:val="24"/>
        </w:rPr>
        <w:br/>
      </w:r>
      <w:r>
        <w:rPr>
          <w:rFonts w:asciiTheme="majorBidi" w:hAnsiTheme="majorBidi" w:cstheme="majorBidi"/>
          <w:sz w:val="24"/>
          <w:szCs w:val="24"/>
        </w:rPr>
        <w:br/>
      </w:r>
      <w:r>
        <w:rPr>
          <w:rFonts w:asciiTheme="majorBidi" w:hAnsiTheme="majorBidi" w:cstheme="majorBidi"/>
          <w:sz w:val="24"/>
          <w:szCs w:val="24"/>
        </w:rPr>
        <w:br/>
      </w:r>
      <w:commentRangeStart w:id="288"/>
      <w:commentRangeStart w:id="289"/>
      <w:r>
        <w:rPr>
          <w:rFonts w:asciiTheme="majorBidi" w:hAnsiTheme="majorBidi" w:cstheme="majorBidi"/>
          <w:sz w:val="24"/>
          <w:szCs w:val="24"/>
        </w:rPr>
        <w:br/>
      </w:r>
      <w:commentRangeEnd w:id="288"/>
      <w:r>
        <w:rPr>
          <w:rStyle w:val="af0"/>
          <w:rFonts w:asciiTheme="majorBidi" w:hAnsiTheme="majorBidi" w:cstheme="majorBidi"/>
          <w:sz w:val="24"/>
          <w:szCs w:val="24"/>
        </w:rPr>
        <w:commentReference w:id="288"/>
      </w:r>
      <w:commentRangeEnd w:id="289"/>
      <w:r>
        <w:rPr>
          <w:rStyle w:val="af0"/>
          <w:rFonts w:asciiTheme="majorBidi" w:hAnsiTheme="majorBidi" w:cstheme="majorBidi"/>
          <w:sz w:val="24"/>
          <w:szCs w:val="24"/>
        </w:rPr>
        <w:commentReference w:id="289"/>
      </w:r>
      <w:commentRangeStart w:id="290"/>
      <w:commentRangeStart w:id="291"/>
      <w:r>
        <w:rPr>
          <w:rFonts w:asciiTheme="majorBidi" w:hAnsiTheme="majorBidi" w:cstheme="majorBidi"/>
          <w:sz w:val="24"/>
          <w:szCs w:val="24"/>
        </w:rPr>
        <w:br/>
      </w:r>
      <w:r>
        <w:rPr>
          <w:rFonts w:asciiTheme="majorBidi" w:hAnsiTheme="majorBidi" w:cstheme="majorBidi"/>
          <w:sz w:val="24"/>
          <w:szCs w:val="24"/>
        </w:rPr>
        <w:lastRenderedPageBreak/>
        <w:br/>
      </w:r>
      <w:commentRangeEnd w:id="290"/>
      <w:r>
        <w:rPr>
          <w:rStyle w:val="af0"/>
          <w:rFonts w:asciiTheme="majorBidi" w:hAnsiTheme="majorBidi" w:cstheme="majorBidi"/>
          <w:sz w:val="24"/>
          <w:szCs w:val="24"/>
        </w:rPr>
        <w:commentReference w:id="290"/>
      </w:r>
      <w:commentRangeEnd w:id="291"/>
      <w:r>
        <w:rPr>
          <w:rStyle w:val="af0"/>
          <w:rFonts w:asciiTheme="majorBidi" w:hAnsiTheme="majorBidi" w:cstheme="majorBidi"/>
          <w:sz w:val="24"/>
          <w:szCs w:val="24"/>
        </w:rPr>
        <w:commentReference w:id="291"/>
      </w:r>
      <w:r>
        <w:rPr>
          <w:rFonts w:asciiTheme="majorBidi" w:hAnsiTheme="majorBidi" w:cstheme="majorBidi"/>
          <w:sz w:val="24"/>
          <w:szCs w:val="24"/>
        </w:rPr>
        <w:br/>
      </w:r>
    </w:p>
    <w:p w14:paraId="50780CAC" w14:textId="77777777" w:rsidR="00CB3527" w:rsidRDefault="00CB3527" w:rsidP="00CB3527">
      <w:pPr>
        <w:ind w:right="720"/>
        <w:jc w:val="right"/>
        <w:rPr>
          <w:rFonts w:asciiTheme="majorBidi" w:hAnsiTheme="majorBidi" w:cstheme="majorBidi"/>
          <w:sz w:val="24"/>
          <w:szCs w:val="24"/>
          <w:rtl/>
        </w:rPr>
      </w:pPr>
      <w:commentRangeStart w:id="292"/>
      <w:commentRangeStart w:id="293"/>
      <w:commentRangeEnd w:id="292"/>
      <w:r>
        <w:rPr>
          <w:rStyle w:val="af0"/>
          <w:rFonts w:asciiTheme="majorBidi" w:hAnsiTheme="majorBidi" w:cstheme="majorBidi"/>
          <w:sz w:val="24"/>
          <w:szCs w:val="24"/>
          <w:rtl/>
        </w:rPr>
        <w:commentReference w:id="292"/>
      </w:r>
      <w:commentRangeEnd w:id="293"/>
      <w:r>
        <w:rPr>
          <w:rStyle w:val="af0"/>
          <w:rFonts w:asciiTheme="majorBidi" w:hAnsiTheme="majorBidi" w:cstheme="majorBidi"/>
          <w:sz w:val="24"/>
          <w:szCs w:val="24"/>
          <w:rtl/>
        </w:rPr>
        <w:commentReference w:id="293"/>
      </w:r>
    </w:p>
    <w:p w14:paraId="70439767" w14:textId="77777777" w:rsidR="00CB3527" w:rsidRDefault="00CB3527" w:rsidP="00CB3527">
      <w:pPr>
        <w:ind w:right="720"/>
        <w:jc w:val="right"/>
        <w:rPr>
          <w:rFonts w:asciiTheme="majorBidi" w:hAnsiTheme="majorBidi" w:cstheme="majorBidi"/>
          <w:sz w:val="24"/>
          <w:szCs w:val="24"/>
          <w:rtl/>
        </w:rPr>
      </w:pPr>
      <w:commentRangeStart w:id="294"/>
      <w:commentRangeStart w:id="295"/>
      <w:commentRangeEnd w:id="294"/>
      <w:r>
        <w:rPr>
          <w:rStyle w:val="af0"/>
          <w:rFonts w:asciiTheme="majorBidi" w:hAnsiTheme="majorBidi" w:cstheme="majorBidi"/>
          <w:sz w:val="24"/>
          <w:szCs w:val="24"/>
          <w:rtl/>
        </w:rPr>
        <w:commentReference w:id="294"/>
      </w:r>
      <w:commentRangeEnd w:id="295"/>
      <w:r>
        <w:rPr>
          <w:rStyle w:val="af0"/>
          <w:rFonts w:asciiTheme="majorBidi" w:hAnsiTheme="majorBidi" w:cstheme="majorBidi"/>
          <w:sz w:val="24"/>
          <w:szCs w:val="24"/>
          <w:rtl/>
        </w:rPr>
        <w:commentReference w:id="295"/>
      </w:r>
    </w:p>
    <w:p w14:paraId="2149B02D" w14:textId="77777777" w:rsidR="00CB3527" w:rsidRDefault="00CB3527" w:rsidP="00CB3527">
      <w:pPr>
        <w:bidi/>
        <w:ind w:right="720"/>
        <w:jc w:val="both"/>
        <w:rPr>
          <w:rFonts w:asciiTheme="majorBidi" w:hAnsiTheme="majorBidi" w:cstheme="majorBidi"/>
          <w:sz w:val="24"/>
          <w:szCs w:val="24"/>
          <w:rtl/>
        </w:rPr>
      </w:pPr>
      <w:commentRangeStart w:id="296"/>
      <w:commentRangeStart w:id="297"/>
      <w:commentRangeEnd w:id="296"/>
      <w:r>
        <w:rPr>
          <w:rStyle w:val="af0"/>
          <w:rFonts w:asciiTheme="majorBidi" w:hAnsiTheme="majorBidi" w:cstheme="majorBidi"/>
          <w:sz w:val="24"/>
          <w:szCs w:val="24"/>
          <w:rtl/>
        </w:rPr>
        <w:commentReference w:id="296"/>
      </w:r>
      <w:commentRangeEnd w:id="297"/>
      <w:r>
        <w:rPr>
          <w:rStyle w:val="af0"/>
          <w:rFonts w:asciiTheme="majorBidi" w:hAnsiTheme="majorBidi" w:cstheme="majorBidi"/>
          <w:sz w:val="24"/>
          <w:szCs w:val="24"/>
          <w:rtl/>
        </w:rPr>
        <w:commentReference w:id="297"/>
      </w:r>
    </w:p>
    <w:sectPr w:rsidR="00CB3527" w:rsidSect="00830A22">
      <w:footerReference w:type="defaul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 Ibrahim" w:date="2026-07-03T19:23:00Z" w:initials="DI">
    <w:p w14:paraId="0DD2EE69" w14:textId="78FDA8BA" w:rsidR="00B6053A" w:rsidRDefault="00B6053A">
      <w:pPr>
        <w:pStyle w:val="af1"/>
        <w:rPr>
          <w:rtl/>
          <w:lang w:bidi="ar-SY"/>
        </w:rPr>
      </w:pPr>
      <w:r>
        <w:rPr>
          <w:rStyle w:val="af0"/>
        </w:rPr>
        <w:annotationRef/>
      </w:r>
      <w:r>
        <w:rPr>
          <w:rFonts w:hint="cs"/>
          <w:rtl/>
          <w:lang w:bidi="ar-SY"/>
        </w:rPr>
        <w:t>ما هي التجارب التي تريد المقارنة معها</w:t>
      </w:r>
    </w:p>
  </w:comment>
  <w:comment w:id="1" w:author="الباحث: حسان جمبي" w:date="2026-07-18T21:00:00Z" w:initials="حج">
    <w:p w14:paraId="2F6B8BB5" w14:textId="77777777" w:rsidR="00B6053A" w:rsidRDefault="00B6053A">
      <w:pPr>
        <w:pStyle w:val="af1"/>
        <w:rPr>
          <w:rtl/>
        </w:rPr>
      </w:pPr>
      <w:r>
        <w:rPr>
          <w:rStyle w:val="af0"/>
        </w:rPr>
        <w:annotationRef/>
      </w:r>
      <w:r>
        <w:rPr>
          <w:rFonts w:hint="cs"/>
          <w:rtl/>
        </w:rPr>
        <w:t xml:space="preserve">التجارب المعتمدة للمقارنة ثلاث: التجربة الإماراتية (لتقارب السياق التشريعي والثقافي)، واللائحة الأوروبية للذكاء الاصطناعي (2024/1689) بوصفها النموذج </w:t>
      </w:r>
      <w:proofErr w:type="spellStart"/>
      <w:r>
        <w:rPr>
          <w:rFonts w:hint="cs"/>
          <w:rtl/>
        </w:rPr>
        <w:t>الأنضج</w:t>
      </w:r>
      <w:proofErr w:type="spellEnd"/>
      <w:r>
        <w:rPr>
          <w:rFonts w:hint="cs"/>
          <w:rtl/>
        </w:rPr>
        <w:t xml:space="preserve"> للتنظيم المبني على المخاطر، ومسار التنظيم المهني الأمريكي (رأي اتحاد المحامين الأمريكي رقم 512 لعام 2024م). حُدِّدت في المتن نصاً.</w:t>
      </w:r>
    </w:p>
  </w:comment>
  <w:comment w:id="2" w:author="Dr. Ibrahim" w:date="2026-07-03T19:25:00Z" w:initials="DI">
    <w:p w14:paraId="363EF316" w14:textId="3BD7579C" w:rsidR="00B6053A" w:rsidRDefault="00B6053A">
      <w:pPr>
        <w:pStyle w:val="af1"/>
        <w:rPr>
          <w:lang w:bidi="ar-SY"/>
        </w:rPr>
      </w:pPr>
      <w:r>
        <w:rPr>
          <w:rStyle w:val="af0"/>
        </w:rPr>
        <w:annotationRef/>
      </w:r>
      <w:r>
        <w:rPr>
          <w:rFonts w:hint="cs"/>
          <w:rtl/>
          <w:lang w:bidi="ar-SY"/>
        </w:rPr>
        <w:t>هل راجعت نص المادة 13</w:t>
      </w:r>
    </w:p>
  </w:comment>
  <w:comment w:id="3" w:author="الباحث: حسان جمبي" w:date="2026-07-18T21:00:00Z" w:initials="حج">
    <w:p w14:paraId="6F285F06" w14:textId="77777777" w:rsidR="00B6053A" w:rsidRDefault="00B6053A">
      <w:pPr>
        <w:pStyle w:val="af1"/>
        <w:rPr>
          <w:rtl/>
        </w:rPr>
      </w:pPr>
      <w:r>
        <w:rPr>
          <w:rStyle w:val="af0"/>
        </w:rPr>
        <w:annotationRef/>
      </w:r>
      <w:r>
        <w:rPr>
          <w:rFonts w:hint="cs"/>
          <w:rtl/>
        </w:rPr>
        <w:t>نعم روجعت من النص الرسمي؛ والمادة (13) من نظام المحاماة مقررة لحرية المحامي في سلوك طريق الدفاع وعدم مساءلته عما يورده في مرافعته، ولا صلة لها بمسؤوليته عن العاملين لديه. الأساس الصحيح هو المادة (129) من نظام المعاملات المدنية (مسؤولية المتبوع عن أعمال تابعه)، وقد عُدل المتن على ذلك.</w:t>
      </w:r>
    </w:p>
  </w:comment>
  <w:comment w:id="4" w:author="Dr. Ibrahim" w:date="2026-07-03T19:02:00Z" w:initials="DI">
    <w:p w14:paraId="3662A418" w14:textId="72790BE5" w:rsidR="00B6053A" w:rsidRDefault="00B6053A">
      <w:pPr>
        <w:pStyle w:val="af1"/>
      </w:pPr>
      <w:r>
        <w:rPr>
          <w:rStyle w:val="af0"/>
        </w:rPr>
        <w:annotationRef/>
      </w:r>
      <w:r>
        <w:rPr>
          <w:rFonts w:hint="cs"/>
          <w:rtl/>
        </w:rPr>
        <w:t>من أي قانون</w:t>
      </w:r>
    </w:p>
  </w:comment>
  <w:comment w:id="5" w:author="الباحث: حسان جمبي" w:date="2026-07-18T21:00:00Z" w:initials="حج">
    <w:p w14:paraId="1B6272A4" w14:textId="77777777" w:rsidR="00B6053A" w:rsidRDefault="00B6053A">
      <w:pPr>
        <w:pStyle w:val="af1"/>
        <w:rPr>
          <w:rtl/>
        </w:rPr>
      </w:pPr>
      <w:r>
        <w:rPr>
          <w:rStyle w:val="af0"/>
        </w:rPr>
        <w:annotationRef/>
      </w:r>
      <w:r>
        <w:rPr>
          <w:rFonts w:hint="cs"/>
          <w:rtl/>
        </w:rPr>
        <w:t>المقصود نظام المعاملات المدنية الصادر بالمرسوم الملكي رقم (م/191) لعام 1444هـ؛ وقد صُحح المتن بإحالة صريحة إلى المادة (129) منه بدل الإحالة الخاطئة إلى المادة (13) من نظام المحاماة.</w:t>
      </w:r>
    </w:p>
  </w:comment>
  <w:comment w:id="6" w:author="Dr. Ibrahim" w:date="2026-07-03T19:02:00Z" w:initials="DI">
    <w:p w14:paraId="28CA4023" w14:textId="63FC6B4B" w:rsidR="00B6053A" w:rsidRDefault="00B6053A">
      <w:pPr>
        <w:pStyle w:val="af1"/>
      </w:pPr>
      <w:r>
        <w:rPr>
          <w:rStyle w:val="af0"/>
        </w:rPr>
        <w:annotationRef/>
      </w:r>
      <w:r>
        <w:rPr>
          <w:rFonts w:hint="cs"/>
          <w:rtl/>
        </w:rPr>
        <w:t xml:space="preserve">من </w:t>
      </w:r>
      <w:proofErr w:type="spellStart"/>
      <w:r>
        <w:rPr>
          <w:rFonts w:hint="cs"/>
          <w:rtl/>
        </w:rPr>
        <w:t>د.محمد</w:t>
      </w:r>
      <w:proofErr w:type="spellEnd"/>
      <w:r>
        <w:rPr>
          <w:rFonts w:hint="cs"/>
          <w:rtl/>
        </w:rPr>
        <w:t xml:space="preserve"> ومن بعض الباحثين</w:t>
      </w:r>
    </w:p>
  </w:comment>
  <w:comment w:id="7" w:author="الباحث: حسان جمبي" w:date="2026-07-18T21:00:00Z" w:initials="حج">
    <w:p w14:paraId="36EC1AE8" w14:textId="77777777" w:rsidR="00B6053A" w:rsidRDefault="00B6053A">
      <w:pPr>
        <w:pStyle w:val="af1"/>
        <w:rPr>
          <w:rtl/>
        </w:rPr>
      </w:pPr>
      <w:r>
        <w:rPr>
          <w:rStyle w:val="af0"/>
        </w:rPr>
        <w:annotationRef/>
      </w:r>
      <w:r>
        <w:rPr>
          <w:rFonts w:hint="cs"/>
          <w:rtl/>
        </w:rPr>
        <w:t>أصاب الدكتور؛ فالإحالة كانت مبهمة. عُدلت إلى «يشير جانب من الفقه» مع ضبط العبارة، والمقصود اتجاه الفقه في بحوث المسؤولية المدنية عن فعل الذكاء الاصطناعي الموثق في هوامش الفصل (المالكي 2024م وغيره).</w:t>
      </w:r>
    </w:p>
  </w:comment>
  <w:comment w:id="8" w:author="Dr. Ibrahim" w:date="2026-07-03T19:05:00Z" w:initials="DI">
    <w:p w14:paraId="69CBB145" w14:textId="056273B9" w:rsidR="00B6053A" w:rsidRDefault="00B6053A">
      <w:pPr>
        <w:pStyle w:val="af1"/>
        <w:rPr>
          <w:rtl/>
          <w:lang w:bidi="ar-SY"/>
        </w:rPr>
      </w:pPr>
      <w:r>
        <w:rPr>
          <w:rStyle w:val="af0"/>
        </w:rPr>
        <w:annotationRef/>
      </w:r>
      <w:r>
        <w:rPr>
          <w:rStyle w:val="af0"/>
          <w:rFonts w:hint="cs"/>
          <w:rtl/>
        </w:rPr>
        <w:t xml:space="preserve">من بعض </w:t>
      </w:r>
      <w:proofErr w:type="spellStart"/>
      <w:r>
        <w:rPr>
          <w:rStyle w:val="af0"/>
          <w:rFonts w:hint="cs"/>
          <w:rtl/>
        </w:rPr>
        <w:t>الباحثسن</w:t>
      </w:r>
      <w:proofErr w:type="spellEnd"/>
      <w:r>
        <w:rPr>
          <w:rStyle w:val="af0"/>
          <w:rFonts w:hint="cs"/>
          <w:rtl/>
        </w:rPr>
        <w:t xml:space="preserve"> ومن د.</w:t>
      </w:r>
    </w:p>
  </w:comment>
  <w:comment w:id="9" w:author="الباحث: حسان جمبي" w:date="2026-07-18T21:00:00Z" w:initials="حج">
    <w:p w14:paraId="44148A7C" w14:textId="77777777" w:rsidR="00B6053A" w:rsidRDefault="00B6053A">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10" w:author="Dr. Ibrahim" w:date="2026-07-03T19:33:00Z" w:initials="DI">
    <w:p w14:paraId="42EB589A" w14:textId="1DC0EB93" w:rsidR="00B6053A" w:rsidRDefault="00B6053A">
      <w:pPr>
        <w:pStyle w:val="af1"/>
        <w:rPr>
          <w:rtl/>
          <w:lang w:bidi="ar-SY"/>
        </w:rPr>
      </w:pPr>
      <w:r>
        <w:rPr>
          <w:rStyle w:val="af0"/>
        </w:rPr>
        <w:annotationRef/>
      </w:r>
      <w:r>
        <w:rPr>
          <w:rFonts w:hint="cs"/>
          <w:rtl/>
          <w:lang w:bidi="ar-SY"/>
        </w:rPr>
        <w:t xml:space="preserve">خلاصة البحث رآها بعض الباحثين وليس أنت </w:t>
      </w:r>
      <w:proofErr w:type="gramStart"/>
      <w:r>
        <w:rPr>
          <w:rFonts w:hint="cs"/>
          <w:rtl/>
          <w:lang w:bidi="ar-SY"/>
        </w:rPr>
        <w:t>اذا</w:t>
      </w:r>
      <w:proofErr w:type="gramEnd"/>
    </w:p>
  </w:comment>
  <w:comment w:id="11" w:author="الباحث: حسان جمبي" w:date="2026-07-18T21:00:00Z" w:initials="حج">
    <w:p w14:paraId="6E2C8A7B" w14:textId="77777777" w:rsidR="00B6053A" w:rsidRDefault="00B6053A">
      <w:pPr>
        <w:pStyle w:val="af1"/>
        <w:rPr>
          <w:rtl/>
        </w:rPr>
      </w:pPr>
      <w:r>
        <w:rPr>
          <w:rStyle w:val="af0"/>
        </w:rPr>
        <w:annotationRef/>
      </w:r>
      <w:r>
        <w:rPr>
          <w:rFonts w:hint="cs"/>
          <w:rtl/>
        </w:rPr>
        <w:t>صحيح؛ الخلاصة من استنتاج الباحث لا منقولة. عُدلت العبارة إلى «يخلص الباحث إلى أن…».</w:t>
      </w:r>
    </w:p>
  </w:comment>
  <w:comment w:id="12" w:author="ibrahim h" w:date="2026-06-29T23:22:00Z" w:initials="ih">
    <w:p w14:paraId="19791051" w14:textId="77777777" w:rsidR="00B6053A" w:rsidRDefault="00B6053A" w:rsidP="002A59C9">
      <w:pPr>
        <w:pStyle w:val="af1"/>
      </w:pPr>
      <w:r>
        <w:rPr>
          <w:rStyle w:val="af0"/>
        </w:rPr>
        <w:annotationRef/>
      </w:r>
      <w:r>
        <w:rPr>
          <w:rtl/>
        </w:rPr>
        <w:t xml:space="preserve">لا تستخدم اسلوب جمعية النفس الامريكية بل نقول يشير جانب من الفقه ونض الهامش اسفل </w:t>
      </w:r>
      <w:proofErr w:type="spellStart"/>
      <w:proofErr w:type="gramStart"/>
      <w:r>
        <w:rPr>
          <w:rtl/>
        </w:rPr>
        <w:t>الصفحة..</w:t>
      </w:r>
      <w:proofErr w:type="gramEnd"/>
      <w:r>
        <w:rPr>
          <w:rtl/>
        </w:rPr>
        <w:t>يجب</w:t>
      </w:r>
      <w:proofErr w:type="spellEnd"/>
      <w:r>
        <w:rPr>
          <w:rtl/>
        </w:rPr>
        <w:t xml:space="preserve"> توحيد اسلوب التوثيق في الاطروحة</w:t>
      </w:r>
    </w:p>
  </w:comment>
  <w:comment w:id="13" w:author="الباحث: حسان جمبي" w:date="2026-07-18T21:00:00Z" w:initials="حج">
    <w:p w14:paraId="2F01A763" w14:textId="77777777" w:rsidR="00B6053A" w:rsidRDefault="00B6053A">
      <w:pPr>
        <w:pStyle w:val="af1"/>
        <w:rPr>
          <w:rtl/>
        </w:rPr>
      </w:pPr>
      <w:r>
        <w:rPr>
          <w:rStyle w:val="af0"/>
        </w:rPr>
        <w:annotationRef/>
      </w:r>
      <w:r>
        <w:rPr>
          <w:rFonts w:hint="cs"/>
          <w:rtl/>
        </w:rPr>
        <w:t>تم؛ أُلغي أسلوب جمعية علم النفس الأمريكية (APA) في المتن كله، واعتُمد «يشير جانب من الفقه» مع التوثيق أسفل الصفحة، ووُحد ذلك في الأطروحة.</w:t>
      </w:r>
    </w:p>
  </w:comment>
  <w:comment w:id="14" w:author="ibrahim h" w:date="2026-06-29T23:24:00Z" w:initials="ih">
    <w:p w14:paraId="03737AAE" w14:textId="77777777" w:rsidR="00B6053A" w:rsidRDefault="00B6053A" w:rsidP="006F0199">
      <w:pPr>
        <w:pStyle w:val="af1"/>
      </w:pPr>
      <w:r>
        <w:rPr>
          <w:rStyle w:val="af0"/>
        </w:rPr>
        <w:annotationRef/>
      </w:r>
      <w:r>
        <w:rPr>
          <w:rtl/>
        </w:rPr>
        <w:t>المهنية القانونية</w:t>
      </w:r>
    </w:p>
  </w:comment>
  <w:comment w:id="15" w:author="الباحث: حسان جمبي" w:date="2026-07-18T21:00:00Z" w:initials="حج">
    <w:p w14:paraId="38A3629E"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16" w:author="Dr. Ibrahim" w:date="2026-06-30T13:06:00Z" w:initials="DI">
    <w:p w14:paraId="43735B00" w14:textId="2AD6F3E3" w:rsidR="00B6053A" w:rsidRDefault="00B6053A">
      <w:pPr>
        <w:pStyle w:val="af1"/>
      </w:pPr>
      <w:r>
        <w:rPr>
          <w:rStyle w:val="af0"/>
        </w:rPr>
        <w:annotationRef/>
      </w:r>
      <w:r>
        <w:rPr>
          <w:rFonts w:hint="cs"/>
          <w:rtl/>
        </w:rPr>
        <w:t xml:space="preserve">المرجع العلي 2024 مستخدم </w:t>
      </w:r>
      <w:proofErr w:type="gramStart"/>
      <w:r>
        <w:rPr>
          <w:rFonts w:hint="cs"/>
          <w:rtl/>
        </w:rPr>
        <w:t>الف</w:t>
      </w:r>
      <w:proofErr w:type="gramEnd"/>
      <w:r>
        <w:rPr>
          <w:rFonts w:hint="cs"/>
          <w:rtl/>
        </w:rPr>
        <w:t xml:space="preserve"> مرة ولا يجوز في كل مرة ذكر المرجع كاملا بل نقول اسم المؤلف ثم المرجع السابق والملاحظة في كامل الاطروحة</w:t>
      </w:r>
    </w:p>
  </w:comment>
  <w:comment w:id="17" w:author="الباحث: حسان جمبي" w:date="2026-07-18T21:00:00Z" w:initials="حج">
    <w:p w14:paraId="20B7EE0C" w14:textId="77777777" w:rsidR="00B6053A" w:rsidRDefault="00B6053A">
      <w:pPr>
        <w:pStyle w:val="af1"/>
        <w:rPr>
          <w:rtl/>
        </w:rPr>
      </w:pPr>
      <w:r>
        <w:rPr>
          <w:rStyle w:val="af0"/>
        </w:rPr>
        <w:annotationRef/>
      </w:r>
      <w:r>
        <w:rPr>
          <w:rFonts w:hint="cs"/>
          <w:rtl/>
        </w:rPr>
        <w:t>تم؛ اعتُمد ذكر المرجع كاملاً في أول وروده ثم «مرجع سابق» فيما يليه، وعُدلت الهوامش وفق ذلك. وطُبق ذلك على مرجع العلي خاصة.</w:t>
      </w:r>
    </w:p>
  </w:comment>
  <w:comment w:id="18" w:author="ibrahim h" w:date="2026-06-29T23:29:00Z" w:initials="ih">
    <w:p w14:paraId="5547E5BA" w14:textId="77777777" w:rsidR="00B6053A" w:rsidRDefault="00B6053A" w:rsidP="00C72A09">
      <w:pPr>
        <w:pStyle w:val="af1"/>
      </w:pPr>
      <w:r>
        <w:rPr>
          <w:rStyle w:val="af0"/>
        </w:rPr>
        <w:annotationRef/>
      </w:r>
      <w:r>
        <w:rPr>
          <w:rtl/>
        </w:rPr>
        <w:t>يشير بعض الفقه</w:t>
      </w:r>
    </w:p>
  </w:comment>
  <w:comment w:id="19" w:author="الباحث: حسان جمبي" w:date="2026-07-18T21:00:00Z" w:initials="حج">
    <w:p w14:paraId="61732A69" w14:textId="77777777" w:rsidR="00B6053A" w:rsidRDefault="00B6053A">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0" w:author="ibrahim h" w:date="2026-06-29T23:32:00Z" w:initials="ih">
    <w:p w14:paraId="6175FB9B" w14:textId="77777777" w:rsidR="00B6053A" w:rsidRDefault="00B6053A" w:rsidP="00B3608E">
      <w:pPr>
        <w:pStyle w:val="af1"/>
      </w:pPr>
      <w:r>
        <w:rPr>
          <w:rStyle w:val="af0"/>
        </w:rPr>
        <w:annotationRef/>
      </w:r>
      <w:r>
        <w:rPr>
          <w:rtl/>
        </w:rPr>
        <w:t>وتؤكد بعض الدراسات</w:t>
      </w:r>
      <w:proofErr w:type="gramStart"/>
      <w:r>
        <w:rPr>
          <w:rtl/>
        </w:rPr>
        <w:t xml:space="preserve"> ..</w:t>
      </w:r>
      <w:proofErr w:type="gramEnd"/>
      <w:r>
        <w:rPr>
          <w:rtl/>
        </w:rPr>
        <w:t>مع ذكر الهامش اسفل الصفحة</w:t>
      </w:r>
    </w:p>
  </w:comment>
  <w:comment w:id="21" w:author="الباحث: حسان جمبي" w:date="2026-07-18T21:00:00Z" w:initials="حج">
    <w:p w14:paraId="4478DAF6" w14:textId="77777777" w:rsidR="00B6053A" w:rsidRDefault="00B6053A">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2" w:author="ibrahim h" w:date="2026-06-29T23:34:00Z" w:initials="ih">
    <w:p w14:paraId="7A2923E2" w14:textId="77777777" w:rsidR="00B6053A" w:rsidRDefault="00B6053A" w:rsidP="00C623F0">
      <w:pPr>
        <w:pStyle w:val="af1"/>
      </w:pPr>
      <w:r>
        <w:rPr>
          <w:rStyle w:val="af0"/>
        </w:rPr>
        <w:annotationRef/>
      </w:r>
      <w:r>
        <w:rPr>
          <w:rtl/>
        </w:rPr>
        <w:t>ومن مهام الباحث ايضا</w:t>
      </w:r>
    </w:p>
  </w:comment>
  <w:comment w:id="23" w:author="الباحث: حسان جمبي" w:date="2026-07-18T21:00:00Z" w:initials="حج">
    <w:p w14:paraId="20776B2D" w14:textId="77777777" w:rsidR="00B6053A" w:rsidRDefault="00B6053A">
      <w:pPr>
        <w:pStyle w:val="af1"/>
        <w:rPr>
          <w:rtl/>
        </w:rPr>
      </w:pPr>
      <w:r>
        <w:rPr>
          <w:rStyle w:val="af0"/>
        </w:rPr>
        <w:annotationRef/>
      </w:r>
      <w:r>
        <w:rPr>
          <w:rFonts w:hint="cs"/>
          <w:rtl/>
        </w:rPr>
        <w:t>تم؛ اعتُمدت عبارة «ومن مهام الباحث أيضاً» في الموضع نفسه.</w:t>
      </w:r>
    </w:p>
  </w:comment>
  <w:comment w:id="24" w:author="Dr. Ibrahim" w:date="2026-07-22T18:53:00Z" w:initials="DI">
    <w:p w14:paraId="7E0C7FCB" w14:textId="5AAE6CD0" w:rsidR="00B6053A" w:rsidRDefault="00B6053A">
      <w:pPr>
        <w:pStyle w:val="af1"/>
      </w:pPr>
      <w:r>
        <w:rPr>
          <w:rStyle w:val="af0"/>
        </w:rPr>
        <w:annotationRef/>
      </w:r>
      <w:r>
        <w:rPr>
          <w:rFonts w:hint="cs"/>
          <w:rtl/>
        </w:rPr>
        <w:t>من مهام الباحث اجراء البحث والتنقيب عن الاحصائيات وليس اعتماد العبارة</w:t>
      </w:r>
    </w:p>
  </w:comment>
  <w:comment w:id="25" w:author="Dr. Ibrahim" w:date="2026-07-22T18:54:00Z" w:initials="DI">
    <w:p w14:paraId="70914465" w14:textId="6597D21C" w:rsidR="00B6053A" w:rsidRDefault="00B6053A">
      <w:pPr>
        <w:pStyle w:val="af1"/>
      </w:pPr>
      <w:r>
        <w:rPr>
          <w:rStyle w:val="af0"/>
        </w:rPr>
        <w:annotationRef/>
      </w:r>
      <w:r>
        <w:rPr>
          <w:rFonts w:hint="cs"/>
          <w:rtl/>
        </w:rPr>
        <w:t xml:space="preserve">من </w:t>
      </w:r>
      <w:proofErr w:type="gramStart"/>
      <w:r>
        <w:rPr>
          <w:rFonts w:hint="cs"/>
          <w:rtl/>
        </w:rPr>
        <w:t>هم ؟</w:t>
      </w:r>
      <w:proofErr w:type="gramEnd"/>
      <w:r>
        <w:rPr>
          <w:rFonts w:hint="cs"/>
          <w:rtl/>
        </w:rPr>
        <w:t xml:space="preserve"> </w:t>
      </w:r>
      <w:proofErr w:type="gramStart"/>
      <w:r>
        <w:rPr>
          <w:rFonts w:hint="cs"/>
          <w:rtl/>
        </w:rPr>
        <w:t>اعطنا</w:t>
      </w:r>
      <w:proofErr w:type="gramEnd"/>
      <w:r>
        <w:rPr>
          <w:rFonts w:hint="cs"/>
          <w:rtl/>
        </w:rPr>
        <w:t xml:space="preserve"> مثال</w:t>
      </w:r>
    </w:p>
  </w:comment>
  <w:comment w:id="26" w:author="ibrahim h" w:date="2026-06-29T23:36:00Z" w:initials="ih">
    <w:p w14:paraId="0548AACA" w14:textId="77777777" w:rsidR="00B6053A" w:rsidRDefault="00B6053A" w:rsidP="00AB64FA">
      <w:pPr>
        <w:pStyle w:val="af1"/>
      </w:pPr>
      <w:r>
        <w:rPr>
          <w:rStyle w:val="af0"/>
        </w:rPr>
        <w:annotationRef/>
      </w:r>
      <w:r>
        <w:rPr>
          <w:rtl/>
        </w:rPr>
        <w:t>يلاحظ جانب من الفقه</w:t>
      </w:r>
    </w:p>
  </w:comment>
  <w:comment w:id="27" w:author="الباحث: حسان جمبي" w:date="2026-07-18T21:00:00Z" w:initials="حج">
    <w:p w14:paraId="44FB7D19" w14:textId="77777777" w:rsidR="00B6053A" w:rsidRDefault="00B6053A">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8" w:author="ibrahim h" w:date="2026-06-29T23:37:00Z" w:initials="ih">
    <w:p w14:paraId="48182834" w14:textId="77777777" w:rsidR="00B6053A" w:rsidRDefault="00B6053A" w:rsidP="00D7288C">
      <w:pPr>
        <w:pStyle w:val="af1"/>
      </w:pPr>
      <w:r>
        <w:rPr>
          <w:rStyle w:val="af0"/>
        </w:rPr>
        <w:annotationRef/>
      </w:r>
      <w:r>
        <w:rPr>
          <w:rtl/>
        </w:rPr>
        <w:t>ذات الدور المساعد</w:t>
      </w:r>
    </w:p>
  </w:comment>
  <w:comment w:id="29" w:author="الباحث: حسان جمبي" w:date="2026-07-18T21:00:00Z" w:initials="حج">
    <w:p w14:paraId="1B28494A" w14:textId="77777777" w:rsidR="00B6053A" w:rsidRDefault="00B6053A">
      <w:pPr>
        <w:pStyle w:val="af1"/>
        <w:rPr>
          <w:rtl/>
        </w:rPr>
      </w:pPr>
      <w:r>
        <w:rPr>
          <w:rStyle w:val="af0"/>
        </w:rPr>
        <w:annotationRef/>
      </w:r>
      <w:r>
        <w:rPr>
          <w:rFonts w:hint="cs"/>
          <w:rtl/>
        </w:rPr>
        <w:t>تم؛ أُضيف وصف «ذات الدور المساعد» للبرمجيات القائمة على قواعد ثابتة.</w:t>
      </w:r>
    </w:p>
  </w:comment>
  <w:comment w:id="30" w:author="Dr. Ibrahim" w:date="2026-07-22T18:56:00Z" w:initials="DI">
    <w:p w14:paraId="0C647735" w14:textId="34DD0B7C" w:rsidR="00B6053A" w:rsidRDefault="00B6053A">
      <w:pPr>
        <w:pStyle w:val="af1"/>
      </w:pPr>
      <w:r>
        <w:rPr>
          <w:rStyle w:val="af0"/>
        </w:rPr>
        <w:annotationRef/>
      </w:r>
      <w:r>
        <w:rPr>
          <w:rFonts w:hint="cs"/>
          <w:rtl/>
        </w:rPr>
        <w:t>ما هذه</w:t>
      </w:r>
    </w:p>
  </w:comment>
  <w:comment w:id="31" w:author="Dr. Ibrahim" w:date="2026-07-22T18:56:00Z" w:initials="DI">
    <w:p w14:paraId="1F0E6C9D" w14:textId="35566596" w:rsidR="00B6053A" w:rsidRDefault="00B6053A">
      <w:pPr>
        <w:pStyle w:val="af1"/>
      </w:pPr>
      <w:r>
        <w:rPr>
          <w:rStyle w:val="af0"/>
        </w:rPr>
        <w:annotationRef/>
      </w:r>
      <w:r>
        <w:rPr>
          <w:rFonts w:hint="cs"/>
          <w:rtl/>
        </w:rPr>
        <w:t>نسخ ولصق</w:t>
      </w:r>
    </w:p>
  </w:comment>
  <w:comment w:id="32" w:author="Dr. Ibrahim" w:date="2026-07-22T18:57:00Z" w:initials="DI">
    <w:p w14:paraId="4E840CD3" w14:textId="3AECD29E" w:rsidR="00B6053A" w:rsidRDefault="00B6053A">
      <w:pPr>
        <w:pStyle w:val="af1"/>
      </w:pPr>
      <w:r>
        <w:rPr>
          <w:rStyle w:val="af0"/>
        </w:rPr>
        <w:annotationRef/>
      </w:r>
    </w:p>
  </w:comment>
  <w:comment w:id="33" w:author="Dr. Ibrahim" w:date="2026-06-30T13:10:00Z" w:initials="DI">
    <w:p w14:paraId="5683B419" w14:textId="61DA6C0E" w:rsidR="00B6053A" w:rsidRDefault="00B6053A">
      <w:pPr>
        <w:pStyle w:val="af1"/>
      </w:pPr>
      <w:r>
        <w:rPr>
          <w:rStyle w:val="af0"/>
        </w:rPr>
        <w:annotationRef/>
      </w:r>
      <w:r>
        <w:rPr>
          <w:rFonts w:hint="cs"/>
          <w:rtl/>
        </w:rPr>
        <w:t>مرجع سابق</w:t>
      </w:r>
    </w:p>
  </w:comment>
  <w:comment w:id="34" w:author="الباحث: حسان جمبي" w:date="2026-07-18T21:00:00Z" w:initials="حج">
    <w:p w14:paraId="61356D6C" w14:textId="77777777" w:rsidR="00B6053A" w:rsidRDefault="00B6053A">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35" w:author="Dr. Ibrahim" w:date="2026-07-22T18:57:00Z" w:initials="DI">
    <w:p w14:paraId="2A58DAAE" w14:textId="2DCA128A" w:rsidR="00B6053A" w:rsidRDefault="00B6053A">
      <w:pPr>
        <w:pStyle w:val="af1"/>
      </w:pPr>
      <w:r>
        <w:rPr>
          <w:rStyle w:val="af0"/>
        </w:rPr>
        <w:annotationRef/>
      </w:r>
    </w:p>
  </w:comment>
  <w:comment w:id="36" w:author="Dr. Ibrahim" w:date="2026-07-22T18:57:00Z" w:initials="DI">
    <w:p w14:paraId="3050ACFE" w14:textId="7F48B09C" w:rsidR="00B6053A" w:rsidRDefault="00B6053A">
      <w:pPr>
        <w:pStyle w:val="af1"/>
      </w:pPr>
      <w:r>
        <w:rPr>
          <w:rStyle w:val="af0"/>
        </w:rPr>
        <w:annotationRef/>
      </w:r>
      <w:proofErr w:type="gramStart"/>
      <w:r>
        <w:rPr>
          <w:rFonts w:hint="cs"/>
          <w:rtl/>
        </w:rPr>
        <w:t>اشر</w:t>
      </w:r>
      <w:proofErr w:type="gramEnd"/>
      <w:r>
        <w:rPr>
          <w:rFonts w:hint="cs"/>
          <w:rtl/>
        </w:rPr>
        <w:t xml:space="preserve"> الى الموقع الالكتروني</w:t>
      </w:r>
    </w:p>
  </w:comment>
  <w:comment w:id="37" w:author="Dr. Ibrahim" w:date="2026-07-22T18:57:00Z" w:initials="DI">
    <w:p w14:paraId="3C35FCFE" w14:textId="7E377356" w:rsidR="00B6053A" w:rsidRDefault="00B6053A">
      <w:pPr>
        <w:pStyle w:val="af1"/>
      </w:pPr>
      <w:r>
        <w:rPr>
          <w:rStyle w:val="af0"/>
        </w:rPr>
        <w:annotationRef/>
      </w:r>
    </w:p>
  </w:comment>
  <w:comment w:id="38" w:author="Dr. Ibrahim" w:date="2026-06-30T13:11:00Z" w:initials="DI">
    <w:p w14:paraId="13704B7A" w14:textId="10F505C6" w:rsidR="00B6053A" w:rsidRDefault="00B6053A">
      <w:pPr>
        <w:pStyle w:val="af1"/>
      </w:pPr>
      <w:r>
        <w:rPr>
          <w:rStyle w:val="af0"/>
        </w:rPr>
        <w:annotationRef/>
      </w:r>
      <w:r>
        <w:rPr>
          <w:rFonts w:hint="cs"/>
          <w:rtl/>
        </w:rPr>
        <w:t>إعادة صياغة</w:t>
      </w:r>
    </w:p>
  </w:comment>
  <w:comment w:id="39" w:author="الباحث: حسان جمبي" w:date="2026-07-18T21:00:00Z" w:initials="حج">
    <w:p w14:paraId="5C561F13" w14:textId="77777777" w:rsidR="00B6053A" w:rsidRDefault="00B6053A">
      <w:pPr>
        <w:pStyle w:val="af1"/>
        <w:rPr>
          <w:rtl/>
        </w:rPr>
      </w:pPr>
      <w:r>
        <w:rPr>
          <w:rStyle w:val="af0"/>
        </w:rPr>
        <w:annotationRef/>
      </w:r>
      <w:r>
        <w:rPr>
          <w:rFonts w:hint="cs"/>
          <w:rtl/>
        </w:rPr>
        <w:t>تم؛ أُعيدت صياغة الفقرة، وصُححت معلومات التطوير من مصادرها: نموذج علّام (</w:t>
      </w:r>
      <w:proofErr w:type="spellStart"/>
      <w:r>
        <w:rPr>
          <w:rFonts w:hint="cs"/>
          <w:rtl/>
        </w:rPr>
        <w:t>ALLaM</w:t>
      </w:r>
      <w:proofErr w:type="spellEnd"/>
      <w:r>
        <w:rPr>
          <w:rFonts w:hint="cs"/>
          <w:rtl/>
        </w:rPr>
        <w:t xml:space="preserve">) من تطوير </w:t>
      </w:r>
      <w:proofErr w:type="spellStart"/>
      <w:r>
        <w:rPr>
          <w:rFonts w:hint="cs"/>
          <w:rtl/>
        </w:rPr>
        <w:t>سدايا</w:t>
      </w:r>
      <w:proofErr w:type="spellEnd"/>
      <w:r>
        <w:rPr>
          <w:rFonts w:hint="cs"/>
          <w:rtl/>
        </w:rPr>
        <w:t xml:space="preserve"> لا أرامكو </w:t>
      </w:r>
      <w:proofErr w:type="spellStart"/>
      <w:r>
        <w:rPr>
          <w:rFonts w:hint="cs"/>
          <w:rtl/>
        </w:rPr>
        <w:t>وIBM</w:t>
      </w:r>
      <w:proofErr w:type="spellEnd"/>
      <w:r>
        <w:rPr>
          <w:rFonts w:hint="cs"/>
          <w:rtl/>
        </w:rPr>
        <w:t xml:space="preserve">، ونموذج </w:t>
      </w:r>
      <w:proofErr w:type="spellStart"/>
      <w:r>
        <w:rPr>
          <w:rFonts w:hint="cs"/>
          <w:rtl/>
        </w:rPr>
        <w:t>AceGPT</w:t>
      </w:r>
      <w:proofErr w:type="spellEnd"/>
      <w:r>
        <w:rPr>
          <w:rFonts w:hint="cs"/>
          <w:rtl/>
        </w:rPr>
        <w:t xml:space="preserve"> شاركت في تطويره جامعة الملك </w:t>
      </w:r>
      <w:proofErr w:type="gramStart"/>
      <w:r>
        <w:rPr>
          <w:rFonts w:hint="cs"/>
          <w:rtl/>
        </w:rPr>
        <w:t>عبدالله</w:t>
      </w:r>
      <w:proofErr w:type="gramEnd"/>
      <w:r>
        <w:rPr>
          <w:rFonts w:hint="cs"/>
          <w:rtl/>
        </w:rPr>
        <w:t xml:space="preserve"> (</w:t>
      </w:r>
      <w:proofErr w:type="spellStart"/>
      <w:r>
        <w:rPr>
          <w:rFonts w:hint="cs"/>
          <w:rtl/>
        </w:rPr>
        <w:t>كاوست</w:t>
      </w:r>
      <w:proofErr w:type="spellEnd"/>
      <w:r>
        <w:rPr>
          <w:rFonts w:hint="cs"/>
          <w:rtl/>
        </w:rPr>
        <w:t>).</w:t>
      </w:r>
    </w:p>
  </w:comment>
  <w:comment w:id="40" w:author="ibrahim h" w:date="2026-06-29T23:48:00Z" w:initials="ih">
    <w:p w14:paraId="01BE7814" w14:textId="77777777" w:rsidR="00B6053A" w:rsidRDefault="00B6053A" w:rsidP="00F43521">
      <w:pPr>
        <w:pStyle w:val="af1"/>
      </w:pPr>
      <w:r>
        <w:rPr>
          <w:rStyle w:val="af0"/>
        </w:rPr>
        <w:annotationRef/>
      </w:r>
      <w:r>
        <w:rPr>
          <w:rtl/>
        </w:rPr>
        <w:t xml:space="preserve">ما هو </w:t>
      </w:r>
      <w:proofErr w:type="gramStart"/>
      <w:r>
        <w:rPr>
          <w:rtl/>
        </w:rPr>
        <w:t>التقسيم ؟</w:t>
      </w:r>
      <w:proofErr w:type="gramEnd"/>
      <w:r>
        <w:rPr>
          <w:rtl/>
        </w:rPr>
        <w:t xml:space="preserve"> والموضوع هو المشاكل الناجمة عن استخدام نماذج الذكاء الاصطناعي القانونية</w:t>
      </w:r>
    </w:p>
  </w:comment>
  <w:comment w:id="41" w:author="الباحث: حسان جمبي" w:date="2026-07-18T21:00:00Z" w:initials="حج">
    <w:p w14:paraId="61B4416C" w14:textId="77777777" w:rsidR="00B6053A" w:rsidRDefault="00B6053A">
      <w:pPr>
        <w:pStyle w:val="af1"/>
        <w:rPr>
          <w:rtl/>
        </w:rPr>
      </w:pPr>
      <w:r>
        <w:rPr>
          <w:rStyle w:val="af0"/>
        </w:rPr>
        <w:annotationRef/>
      </w:r>
      <w:r>
        <w:rPr>
          <w:rFonts w:hint="cs"/>
          <w:rtl/>
        </w:rPr>
        <w:t>التقسيم ضُبط: أُدرج المحور تحت مطلبه بترقيم «سابعاً: الخصائص التقنية…»، والموضوع مقصور على الإشكاليات الناجمة عن النماذج القانونية (الهلوسة، انقطاع المعرفة، ضعف التمثيل العربي) بوصفها مقدمة ضرورية للحكم النظامي.</w:t>
      </w:r>
    </w:p>
  </w:comment>
  <w:comment w:id="42" w:author="Dr. Ibrahim" w:date="2026-07-22T18:59:00Z" w:initials="DI">
    <w:p w14:paraId="22AC3E85" w14:textId="7FDDE213" w:rsidR="00B6053A" w:rsidRDefault="00B6053A">
      <w:pPr>
        <w:pStyle w:val="af1"/>
      </w:pPr>
      <w:r>
        <w:rPr>
          <w:rStyle w:val="af0"/>
        </w:rPr>
        <w:annotationRef/>
      </w:r>
      <w:proofErr w:type="gramStart"/>
      <w:r>
        <w:rPr>
          <w:rFonts w:hint="cs"/>
          <w:rtl/>
        </w:rPr>
        <w:t>اضف</w:t>
      </w:r>
      <w:proofErr w:type="gramEnd"/>
      <w:r>
        <w:rPr>
          <w:rFonts w:hint="cs"/>
          <w:rtl/>
        </w:rPr>
        <w:t xml:space="preserve"> المرجع </w:t>
      </w:r>
    </w:p>
  </w:comment>
  <w:comment w:id="43" w:author="Dr. Ibrahim" w:date="2026-06-30T13:29:00Z" w:initials="DI">
    <w:p w14:paraId="0D9E3EFD" w14:textId="0AE326B0" w:rsidR="00B6053A" w:rsidRDefault="00B6053A">
      <w:pPr>
        <w:pStyle w:val="af1"/>
      </w:pPr>
      <w:r>
        <w:rPr>
          <w:rStyle w:val="af0"/>
        </w:rPr>
        <w:annotationRef/>
      </w:r>
    </w:p>
  </w:comment>
  <w:comment w:id="44" w:author="الباحث: حسان جمبي" w:date="2026-07-18T21:00:00Z" w:initials="حج">
    <w:p w14:paraId="7A41B35B" w14:textId="77777777" w:rsidR="00B6053A" w:rsidRDefault="00B6053A">
      <w:pPr>
        <w:pStyle w:val="af1"/>
        <w:rPr>
          <w:rtl/>
        </w:rPr>
      </w:pPr>
      <w:r>
        <w:rPr>
          <w:rStyle w:val="af0"/>
        </w:rPr>
        <w:annotationRef/>
      </w:r>
      <w:r>
        <w:rPr>
          <w:rFonts w:hint="cs"/>
          <w:rtl/>
        </w:rPr>
        <w:t>استُبدل بالمرجع غير المتحقق منه دراستا جامعة ستانفورد المحكمتان (</w:t>
      </w:r>
      <w:proofErr w:type="spellStart"/>
      <w:r>
        <w:rPr>
          <w:rFonts w:hint="cs"/>
          <w:rtl/>
        </w:rPr>
        <w:t>Dahl</w:t>
      </w:r>
      <w:proofErr w:type="spellEnd"/>
      <w:r>
        <w:rPr>
          <w:rFonts w:hint="cs"/>
          <w:rtl/>
        </w:rPr>
        <w:t xml:space="preserve"> </w:t>
      </w:r>
      <w:proofErr w:type="spellStart"/>
      <w:proofErr w:type="gramStart"/>
      <w:r>
        <w:rPr>
          <w:rFonts w:hint="cs"/>
          <w:rtl/>
        </w:rPr>
        <w:t>et</w:t>
      </w:r>
      <w:proofErr w:type="spellEnd"/>
      <w:r>
        <w:rPr>
          <w:rFonts w:hint="cs"/>
          <w:rtl/>
        </w:rPr>
        <w:t xml:space="preserve"> </w:t>
      </w:r>
      <w:proofErr w:type="spellStart"/>
      <w:r>
        <w:rPr>
          <w:rFonts w:hint="cs"/>
          <w:rtl/>
        </w:rPr>
        <w:t>al</w:t>
      </w:r>
      <w:proofErr w:type="spellEnd"/>
      <w:r>
        <w:rPr>
          <w:rFonts w:hint="cs"/>
          <w:rtl/>
        </w:rPr>
        <w:t>.,</w:t>
      </w:r>
      <w:proofErr w:type="gramEnd"/>
      <w:r>
        <w:rPr>
          <w:rFonts w:hint="cs"/>
          <w:rtl/>
        </w:rPr>
        <w:t xml:space="preserve"> </w:t>
      </w:r>
      <w:proofErr w:type="spellStart"/>
      <w:r>
        <w:rPr>
          <w:rFonts w:hint="cs"/>
          <w:rtl/>
        </w:rPr>
        <w:t>Journal</w:t>
      </w:r>
      <w:proofErr w:type="spellEnd"/>
      <w:r>
        <w:rPr>
          <w:rFonts w:hint="cs"/>
          <w:rtl/>
        </w:rPr>
        <w:t xml:space="preserve"> </w:t>
      </w:r>
      <w:proofErr w:type="spellStart"/>
      <w:r>
        <w:rPr>
          <w:rFonts w:hint="cs"/>
          <w:rtl/>
        </w:rPr>
        <w:t>of</w:t>
      </w:r>
      <w:proofErr w:type="spellEnd"/>
      <w:r>
        <w:rPr>
          <w:rFonts w:hint="cs"/>
          <w:rtl/>
        </w:rPr>
        <w:t xml:space="preserve"> </w:t>
      </w:r>
      <w:proofErr w:type="spellStart"/>
      <w:r>
        <w:rPr>
          <w:rFonts w:hint="cs"/>
          <w:rtl/>
        </w:rPr>
        <w:t>Legal</w:t>
      </w:r>
      <w:proofErr w:type="spellEnd"/>
      <w:r>
        <w:rPr>
          <w:rFonts w:hint="cs"/>
          <w:rtl/>
        </w:rPr>
        <w:t xml:space="preserve"> Analysis, 2024؛ </w:t>
      </w:r>
      <w:proofErr w:type="spellStart"/>
      <w:r>
        <w:rPr>
          <w:rFonts w:hint="cs"/>
          <w:rtl/>
        </w:rPr>
        <w:t>وMagesh</w:t>
      </w:r>
      <w:proofErr w:type="spellEnd"/>
      <w:r>
        <w:rPr>
          <w:rFonts w:hint="cs"/>
          <w:rtl/>
        </w:rPr>
        <w:t xml:space="preserve"> </w:t>
      </w:r>
      <w:proofErr w:type="spellStart"/>
      <w:r>
        <w:rPr>
          <w:rFonts w:hint="cs"/>
          <w:rtl/>
        </w:rPr>
        <w:t>et</w:t>
      </w:r>
      <w:proofErr w:type="spellEnd"/>
      <w:r>
        <w:rPr>
          <w:rFonts w:hint="cs"/>
          <w:rtl/>
        </w:rPr>
        <w:t xml:space="preserve"> </w:t>
      </w:r>
      <w:proofErr w:type="spellStart"/>
      <w:r>
        <w:rPr>
          <w:rFonts w:hint="cs"/>
          <w:rtl/>
        </w:rPr>
        <w:t>al</w:t>
      </w:r>
      <w:proofErr w:type="spellEnd"/>
      <w:r>
        <w:rPr>
          <w:rFonts w:hint="cs"/>
          <w:rtl/>
        </w:rPr>
        <w:t xml:space="preserve">., </w:t>
      </w:r>
      <w:proofErr w:type="spellStart"/>
      <w:r>
        <w:rPr>
          <w:rFonts w:hint="cs"/>
          <w:rtl/>
        </w:rPr>
        <w:t>Journal</w:t>
      </w:r>
      <w:proofErr w:type="spellEnd"/>
      <w:r>
        <w:rPr>
          <w:rFonts w:hint="cs"/>
          <w:rtl/>
        </w:rPr>
        <w:t xml:space="preserve"> </w:t>
      </w:r>
      <w:proofErr w:type="spellStart"/>
      <w:r>
        <w:rPr>
          <w:rFonts w:hint="cs"/>
          <w:rtl/>
        </w:rPr>
        <w:t>of</w:t>
      </w:r>
      <w:proofErr w:type="spellEnd"/>
      <w:r>
        <w:rPr>
          <w:rFonts w:hint="cs"/>
          <w:rtl/>
        </w:rPr>
        <w:t xml:space="preserve"> </w:t>
      </w:r>
      <w:proofErr w:type="spellStart"/>
      <w:r>
        <w:rPr>
          <w:rFonts w:hint="cs"/>
          <w:rtl/>
        </w:rPr>
        <w:t>Empirical</w:t>
      </w:r>
      <w:proofErr w:type="spellEnd"/>
      <w:r>
        <w:rPr>
          <w:rFonts w:hint="cs"/>
          <w:rtl/>
        </w:rPr>
        <w:t xml:space="preserve"> </w:t>
      </w:r>
      <w:proofErr w:type="spellStart"/>
      <w:r>
        <w:rPr>
          <w:rFonts w:hint="cs"/>
          <w:rtl/>
        </w:rPr>
        <w:t>Legal</w:t>
      </w:r>
      <w:proofErr w:type="spellEnd"/>
      <w:r>
        <w:rPr>
          <w:rFonts w:hint="cs"/>
          <w:rtl/>
        </w:rPr>
        <w:t xml:space="preserve"> Studies, 2025) بنسبهما الموثقة، وعُدل المتن والهامش.</w:t>
      </w:r>
    </w:p>
  </w:comment>
  <w:comment w:id="45" w:author="Dr. Ibrahim" w:date="2026-07-22T19:00:00Z" w:initials="DI">
    <w:p w14:paraId="7E36F8A5" w14:textId="1BF1A024" w:rsidR="00B6053A" w:rsidRDefault="00B6053A">
      <w:pPr>
        <w:pStyle w:val="af1"/>
      </w:pPr>
      <w:r>
        <w:rPr>
          <w:rStyle w:val="af0"/>
        </w:rPr>
        <w:annotationRef/>
      </w:r>
      <w:r>
        <w:rPr>
          <w:rFonts w:hint="cs"/>
          <w:rtl/>
        </w:rPr>
        <w:t>قدم امثلة</w:t>
      </w:r>
    </w:p>
  </w:comment>
  <w:comment w:id="46" w:author="ibrahim h" w:date="2026-06-29T23:48:00Z" w:initials="ih">
    <w:p w14:paraId="745281B0" w14:textId="77777777" w:rsidR="00B6053A" w:rsidRDefault="00B6053A" w:rsidP="002C6AC6">
      <w:pPr>
        <w:pStyle w:val="af1"/>
      </w:pPr>
      <w:r>
        <w:rPr>
          <w:rStyle w:val="af0"/>
        </w:rPr>
        <w:annotationRef/>
      </w:r>
      <w:r>
        <w:rPr>
          <w:rtl/>
        </w:rPr>
        <w:t>التقسيم</w:t>
      </w:r>
    </w:p>
  </w:comment>
  <w:comment w:id="47" w:author="الباحث: حسان جمبي" w:date="2026-07-18T21:00:00Z" w:initials="حج">
    <w:p w14:paraId="6DBB581D" w14:textId="77777777" w:rsidR="00B6053A" w:rsidRDefault="00B6053A">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48" w:author="ibrahim h" w:date="2026-06-29T23:49:00Z" w:initials="ih">
    <w:p w14:paraId="05E02402" w14:textId="77777777" w:rsidR="00B6053A" w:rsidRDefault="00B6053A" w:rsidP="00C126D5">
      <w:pPr>
        <w:pStyle w:val="af1"/>
      </w:pPr>
      <w:r>
        <w:rPr>
          <w:rStyle w:val="af0"/>
        </w:rPr>
        <w:annotationRef/>
      </w:r>
      <w:r>
        <w:rPr>
          <w:rtl/>
        </w:rPr>
        <w:t xml:space="preserve">التوثيق </w:t>
      </w:r>
      <w:proofErr w:type="gramStart"/>
      <w:r>
        <w:rPr>
          <w:rtl/>
        </w:rPr>
        <w:t>اسفل</w:t>
      </w:r>
      <w:proofErr w:type="gramEnd"/>
      <w:r>
        <w:rPr>
          <w:rtl/>
        </w:rPr>
        <w:t xml:space="preserve"> الصفحة</w:t>
      </w:r>
    </w:p>
  </w:comment>
  <w:comment w:id="49" w:author="الباحث: حسان جمبي" w:date="2026-07-18T21:00:00Z" w:initials="حج">
    <w:p w14:paraId="330F8834" w14:textId="77777777" w:rsidR="00B6053A" w:rsidRDefault="00B6053A">
      <w:pPr>
        <w:pStyle w:val="af1"/>
        <w:rPr>
          <w:rtl/>
        </w:rPr>
      </w:pPr>
      <w:r>
        <w:rPr>
          <w:rStyle w:val="af0"/>
        </w:rPr>
        <w:annotationRef/>
      </w:r>
      <w:r>
        <w:rPr>
          <w:rFonts w:hint="cs"/>
          <w:rtl/>
        </w:rPr>
        <w:t>تم؛ التوثيق كله أسفل الصفحة.</w:t>
      </w:r>
    </w:p>
  </w:comment>
  <w:comment w:id="50" w:author="ibrahim h" w:date="2026-06-29T23:50:00Z" w:initials="ih">
    <w:p w14:paraId="1B5C646A" w14:textId="77777777" w:rsidR="00B6053A" w:rsidRDefault="00B6053A" w:rsidP="00EB196A">
      <w:pPr>
        <w:pStyle w:val="af1"/>
      </w:pPr>
      <w:r>
        <w:rPr>
          <w:rStyle w:val="af0"/>
        </w:rPr>
        <w:annotationRef/>
      </w:r>
      <w:r>
        <w:rPr>
          <w:rtl/>
        </w:rPr>
        <w:t>حذف</w:t>
      </w:r>
    </w:p>
  </w:comment>
  <w:comment w:id="51" w:author="الباحث: حسان جمبي" w:date="2026-07-18T21:00:00Z" w:initials="حج">
    <w:p w14:paraId="544D2066" w14:textId="77777777" w:rsidR="00B6053A" w:rsidRDefault="00B6053A">
      <w:pPr>
        <w:pStyle w:val="af1"/>
        <w:rPr>
          <w:rtl/>
        </w:rPr>
      </w:pPr>
      <w:r>
        <w:rPr>
          <w:rStyle w:val="af0"/>
        </w:rPr>
        <w:annotationRef/>
      </w:r>
      <w:r>
        <w:rPr>
          <w:rFonts w:hint="cs"/>
          <w:rtl/>
        </w:rPr>
        <w:t>تم الحذف.</w:t>
      </w:r>
    </w:p>
  </w:comment>
  <w:comment w:id="54" w:author="ibrahim h" w:date="2026-06-29T23:50:00Z" w:initials="ih">
    <w:p w14:paraId="14EC19BE" w14:textId="77777777" w:rsidR="00B6053A" w:rsidRDefault="00B6053A" w:rsidP="00EE1923">
      <w:pPr>
        <w:pStyle w:val="af1"/>
      </w:pPr>
      <w:r>
        <w:rPr>
          <w:rStyle w:val="af0"/>
        </w:rPr>
        <w:annotationRef/>
      </w:r>
      <w:r>
        <w:rPr>
          <w:rtl/>
        </w:rPr>
        <w:t>فاصلة</w:t>
      </w:r>
    </w:p>
  </w:comment>
  <w:comment w:id="55" w:author="الباحث: حسان جمبي" w:date="2026-07-18T21:00:00Z" w:initials="حج">
    <w:p w14:paraId="64A99D49"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56" w:author="ibrahim h" w:date="2026-06-29T23:50:00Z" w:initials="ih">
    <w:p w14:paraId="2394BA29" w14:textId="77777777" w:rsidR="00B6053A" w:rsidRDefault="00B6053A" w:rsidP="00EE1923">
      <w:pPr>
        <w:pStyle w:val="af1"/>
      </w:pPr>
      <w:r>
        <w:rPr>
          <w:rStyle w:val="af0"/>
        </w:rPr>
        <w:annotationRef/>
      </w:r>
      <w:r>
        <w:rPr>
          <w:rtl/>
        </w:rPr>
        <w:t>فاصلة</w:t>
      </w:r>
    </w:p>
  </w:comment>
  <w:comment w:id="57" w:author="الباحث: حسان جمبي" w:date="2026-07-18T21:00:00Z" w:initials="حج">
    <w:p w14:paraId="583BD268"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52" w:author="ibrahim h" w:date="2026-06-29T23:52:00Z" w:initials="ih">
    <w:p w14:paraId="7A428760" w14:textId="77777777" w:rsidR="00B6053A" w:rsidRDefault="00B6053A" w:rsidP="00112A03">
      <w:pPr>
        <w:pStyle w:val="af1"/>
      </w:pPr>
      <w:r>
        <w:rPr>
          <w:rStyle w:val="af0"/>
        </w:rPr>
        <w:annotationRef/>
      </w:r>
      <w:r>
        <w:rPr>
          <w:rtl/>
        </w:rPr>
        <w:t>لابد للمشرع السعودي ولهيئة...من التفرقة بين....</w:t>
      </w:r>
    </w:p>
  </w:comment>
  <w:comment w:id="53" w:author="الباحث: حسان جمبي" w:date="2026-07-18T21:00:00Z" w:initials="حج">
    <w:p w14:paraId="6030E470" w14:textId="77777777" w:rsidR="00B6053A" w:rsidRDefault="00B6053A">
      <w:pPr>
        <w:pStyle w:val="af1"/>
        <w:rPr>
          <w:rtl/>
        </w:rPr>
      </w:pPr>
      <w:r>
        <w:rPr>
          <w:rStyle w:val="af0"/>
        </w:rPr>
        <w:annotationRef/>
      </w:r>
      <w:r>
        <w:rPr>
          <w:rFonts w:hint="cs"/>
          <w:rtl/>
        </w:rPr>
        <w:t>اعتُمدت صيغة الدكتور: «لا بد للمشرع السعودي وللهيئة السعودية للمحامين من التفرقة بين أدوات الذكاء الاصطناعي المدربة على البيانات السعودية وأدوات الاستخدام العام».</w:t>
      </w:r>
    </w:p>
  </w:comment>
  <w:comment w:id="58" w:author="ibrahim h" w:date="2026-06-29T23:52:00Z" w:initials="ih">
    <w:p w14:paraId="593A47BC" w14:textId="77777777" w:rsidR="00B6053A" w:rsidRDefault="00B6053A" w:rsidP="00F5088E">
      <w:pPr>
        <w:pStyle w:val="af1"/>
      </w:pPr>
      <w:r>
        <w:rPr>
          <w:rStyle w:val="af0"/>
        </w:rPr>
        <w:annotationRef/>
      </w:r>
      <w:proofErr w:type="spellStart"/>
      <w:r>
        <w:rPr>
          <w:rtl/>
        </w:rPr>
        <w:t>للادوات</w:t>
      </w:r>
      <w:proofErr w:type="spellEnd"/>
    </w:p>
  </w:comment>
  <w:comment w:id="59" w:author="الباحث: حسان جمبي" w:date="2026-07-18T21:00:00Z" w:initials="حج">
    <w:p w14:paraId="2A30325C" w14:textId="77777777" w:rsidR="00B6053A" w:rsidRDefault="00B6053A">
      <w:pPr>
        <w:pStyle w:val="af1"/>
        <w:rPr>
          <w:rtl/>
        </w:rPr>
      </w:pPr>
      <w:r>
        <w:rPr>
          <w:rStyle w:val="af0"/>
        </w:rPr>
        <w:annotationRef/>
      </w:r>
      <w:r>
        <w:rPr>
          <w:rFonts w:hint="cs"/>
          <w:rtl/>
        </w:rPr>
        <w:t>تم؛ «اعتماد أعلى للأدوات».</w:t>
      </w:r>
    </w:p>
  </w:comment>
  <w:comment w:id="60" w:author="ibrahim h" w:date="2026-06-29T23:56:00Z" w:initials="ih">
    <w:p w14:paraId="18FB5C1D" w14:textId="77777777" w:rsidR="00B6053A" w:rsidRDefault="00B6053A" w:rsidP="00327D27">
      <w:pPr>
        <w:pStyle w:val="af1"/>
      </w:pPr>
      <w:r>
        <w:rPr>
          <w:rStyle w:val="af0"/>
        </w:rPr>
        <w:annotationRef/>
      </w:r>
      <w:r>
        <w:rPr>
          <w:rtl/>
        </w:rPr>
        <w:t>التقسيم...والعنوان تطبيقات الذكاء الاصطناعي القانونية في الإدارة العامة السعودية</w:t>
      </w:r>
    </w:p>
  </w:comment>
  <w:comment w:id="61" w:author="الباحث: حسان جمبي" w:date="2026-07-18T21:00:00Z" w:initials="حج">
    <w:p w14:paraId="5BD87443" w14:textId="77777777" w:rsidR="00B6053A" w:rsidRDefault="00B6053A">
      <w:pPr>
        <w:pStyle w:val="af1"/>
        <w:rPr>
          <w:rtl/>
        </w:rPr>
      </w:pPr>
      <w:r>
        <w:rPr>
          <w:rStyle w:val="af0"/>
        </w:rPr>
        <w:annotationRef/>
      </w:r>
      <w:r>
        <w:rPr>
          <w:rFonts w:hint="cs"/>
          <w:rtl/>
        </w:rPr>
        <w:t>تم؛ ضُبط العنوان مرقماً تحت مطلبه: «تاسعاً: تطبيقات الذكاء الاصطناعي القانونية في مجالات سعودية بعينها».</w:t>
      </w:r>
    </w:p>
  </w:comment>
  <w:comment w:id="62" w:author="Dr. Ibrahim" w:date="2026-06-30T13:12:00Z" w:initials="DI">
    <w:p w14:paraId="22EB283E" w14:textId="20D04788" w:rsidR="00B6053A" w:rsidRDefault="00B6053A">
      <w:pPr>
        <w:pStyle w:val="af1"/>
      </w:pPr>
      <w:r>
        <w:rPr>
          <w:rStyle w:val="af0"/>
        </w:rPr>
        <w:annotationRef/>
      </w:r>
      <w:r>
        <w:rPr>
          <w:rFonts w:hint="cs"/>
          <w:rtl/>
        </w:rPr>
        <w:t>المرجع ما هو</w:t>
      </w:r>
    </w:p>
  </w:comment>
  <w:comment w:id="63" w:author="الباحث: حسان جمبي" w:date="2026-07-18T21:00:00Z" w:initials="حج">
    <w:p w14:paraId="26A76293" w14:textId="77777777" w:rsidR="00B6053A" w:rsidRDefault="00B6053A">
      <w:pPr>
        <w:pStyle w:val="af1"/>
        <w:rPr>
          <w:rtl/>
        </w:rPr>
      </w:pPr>
      <w:r>
        <w:rPr>
          <w:rStyle w:val="af0"/>
        </w:rPr>
        <w:annotationRef/>
      </w:r>
      <w:r>
        <w:rPr>
          <w:rFonts w:hint="cs"/>
          <w:rtl/>
        </w:rPr>
        <w:t>حُذفت الأرقام التي لا مصدر رسمياً منشوراً لها (أعداد النزاعات)، وبقي التحليل مستنداً إلى أحكام نظام العمل ونظام التسجيل العيني للعقار بوصفها نصوصاً منشورة.</w:t>
      </w:r>
    </w:p>
  </w:comment>
  <w:comment w:id="64" w:author="ibrahim h" w:date="2026-06-29T23:56:00Z" w:initials="ih">
    <w:p w14:paraId="0BABF7D3" w14:textId="77777777" w:rsidR="00B6053A" w:rsidRDefault="00B6053A" w:rsidP="00505B3D">
      <w:pPr>
        <w:pStyle w:val="af1"/>
      </w:pPr>
      <w:r>
        <w:rPr>
          <w:rStyle w:val="af0"/>
        </w:rPr>
        <w:annotationRef/>
      </w:r>
      <w:r>
        <w:rPr>
          <w:rtl/>
        </w:rPr>
        <w:t>المرجع</w:t>
      </w:r>
    </w:p>
  </w:comment>
  <w:comment w:id="65" w:author="الباحث: حسان جمبي" w:date="2026-07-18T21:00:00Z" w:initials="حج">
    <w:p w14:paraId="487A4B33" w14:textId="77777777" w:rsidR="00B6053A" w:rsidRDefault="00B6053A">
      <w:pPr>
        <w:pStyle w:val="af1"/>
        <w:rPr>
          <w:rtl/>
        </w:rPr>
      </w:pPr>
      <w:r>
        <w:rPr>
          <w:rStyle w:val="af0"/>
        </w:rPr>
        <w:annotationRef/>
      </w:r>
      <w:r>
        <w:rPr>
          <w:rFonts w:hint="cs"/>
          <w:rtl/>
        </w:rPr>
        <w:t>تم التوثيق في الهامش بمصدر محدد قابل للتحقق، وحُذف ما تعذر توثيقه.</w:t>
      </w:r>
    </w:p>
  </w:comment>
  <w:comment w:id="66" w:author="ibrahim h" w:date="2026-06-29T23:57:00Z" w:initials="ih">
    <w:p w14:paraId="1F0AAA96" w14:textId="77777777" w:rsidR="00B6053A" w:rsidRDefault="00B6053A" w:rsidP="00827487">
      <w:pPr>
        <w:pStyle w:val="af1"/>
      </w:pPr>
      <w:r>
        <w:rPr>
          <w:rStyle w:val="af0"/>
        </w:rPr>
        <w:annotationRef/>
      </w:r>
      <w:r>
        <w:rPr>
          <w:rtl/>
        </w:rPr>
        <w:t>المرجع</w:t>
      </w:r>
    </w:p>
  </w:comment>
  <w:comment w:id="67" w:author="الباحث: حسان جمبي" w:date="2026-07-18T21:00:00Z" w:initials="حج">
    <w:p w14:paraId="23E652B5" w14:textId="77777777" w:rsidR="00B6053A" w:rsidRDefault="00B6053A">
      <w:pPr>
        <w:pStyle w:val="af1"/>
        <w:rPr>
          <w:rtl/>
        </w:rPr>
      </w:pPr>
      <w:r>
        <w:rPr>
          <w:rStyle w:val="af0"/>
        </w:rPr>
        <w:annotationRef/>
      </w:r>
      <w:r>
        <w:rPr>
          <w:rFonts w:hint="cs"/>
          <w:rtl/>
        </w:rPr>
        <w:t>وُثقت بالمصدر المهني المنشور: رأي اتحاد المحامين الأمريكي الرسمي رقم (512) لعام 2024م وما في حكمه من أدلة النقابات المقارنة، وعُدل المتن.</w:t>
      </w:r>
    </w:p>
  </w:comment>
  <w:comment w:id="68" w:author="ibrahim h" w:date="2026-06-29T23:58:00Z" w:initials="ih">
    <w:p w14:paraId="77C6E233" w14:textId="77777777" w:rsidR="00B6053A" w:rsidRDefault="00B6053A" w:rsidP="007319E4">
      <w:pPr>
        <w:pStyle w:val="af1"/>
      </w:pPr>
      <w:r>
        <w:rPr>
          <w:rStyle w:val="af0"/>
        </w:rPr>
        <w:annotationRef/>
      </w:r>
      <w:r>
        <w:rPr>
          <w:rtl/>
        </w:rPr>
        <w:t>والعربي ايضا وحتى قرينة الاصل البراءة المعروفة عالميا</w:t>
      </w:r>
    </w:p>
  </w:comment>
  <w:comment w:id="69" w:author="الباحث: حسان جمبي" w:date="2026-07-18T21:00:00Z" w:initials="حج">
    <w:p w14:paraId="3E8CFEFB" w14:textId="77777777" w:rsidR="00B6053A" w:rsidRDefault="00B6053A">
      <w:pPr>
        <w:pStyle w:val="af1"/>
        <w:rPr>
          <w:rtl/>
        </w:rPr>
      </w:pPr>
      <w:r>
        <w:rPr>
          <w:rStyle w:val="af0"/>
        </w:rPr>
        <w:annotationRef/>
      </w:r>
      <w:r>
        <w:rPr>
          <w:rFonts w:hint="cs"/>
          <w:rtl/>
        </w:rPr>
        <w:t>تم؛ أُضيف أصل البراءة المقرر شرعاً والمعروف عالمياً إلى جانب قاعدة درء الحدود بالشبهات في الموضع.</w:t>
      </w:r>
    </w:p>
  </w:comment>
  <w:comment w:id="70" w:author="ibrahim h" w:date="2026-06-29T23:59:00Z" w:initials="ih">
    <w:p w14:paraId="1141C9BE" w14:textId="77777777" w:rsidR="00B6053A" w:rsidRDefault="00B6053A" w:rsidP="00834F89">
      <w:pPr>
        <w:pStyle w:val="af1"/>
      </w:pPr>
      <w:r>
        <w:rPr>
          <w:rStyle w:val="af0"/>
        </w:rPr>
        <w:annotationRef/>
      </w:r>
      <w:r>
        <w:rPr>
          <w:rtl/>
        </w:rPr>
        <w:t>فاصلة</w:t>
      </w:r>
    </w:p>
  </w:comment>
  <w:comment w:id="71" w:author="الباحث: حسان جمبي" w:date="2026-07-18T21:00:00Z" w:initials="حج">
    <w:p w14:paraId="7D829439"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72" w:author="Dr. Ibrahim" w:date="2026-06-30T13:13:00Z" w:initials="DI">
    <w:p w14:paraId="7154F861" w14:textId="63C9A87B" w:rsidR="00B6053A" w:rsidRDefault="00B6053A">
      <w:pPr>
        <w:pStyle w:val="af1"/>
      </w:pPr>
      <w:r>
        <w:rPr>
          <w:rStyle w:val="af0"/>
        </w:rPr>
        <w:annotationRef/>
      </w:r>
    </w:p>
  </w:comment>
  <w:comment w:id="73" w:author="الباحث: حسان جمبي" w:date="2026-07-18T21:00:00Z" w:initials="حج">
    <w:p w14:paraId="5A40603C"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74" w:author="ibrahim h" w:date="2026-06-30T00:00:00Z" w:initials="ih">
    <w:p w14:paraId="4FE361FC" w14:textId="77777777" w:rsidR="00B6053A" w:rsidRDefault="00B6053A" w:rsidP="000775D9">
      <w:pPr>
        <w:pStyle w:val="af1"/>
      </w:pPr>
      <w:r>
        <w:rPr>
          <w:rStyle w:val="af0"/>
        </w:rPr>
        <w:annotationRef/>
      </w:r>
      <w:r>
        <w:rPr>
          <w:rtl/>
        </w:rPr>
        <w:t xml:space="preserve">نبه </w:t>
      </w:r>
      <w:proofErr w:type="gramStart"/>
      <w:r>
        <w:rPr>
          <w:rtl/>
        </w:rPr>
        <w:t>جانب  من</w:t>
      </w:r>
      <w:proofErr w:type="gramEnd"/>
      <w:r>
        <w:rPr>
          <w:rtl/>
        </w:rPr>
        <w:t xml:space="preserve"> الفقه</w:t>
      </w:r>
    </w:p>
  </w:comment>
  <w:comment w:id="75" w:author="الباحث: حسان جمبي" w:date="2026-07-18T21:00:00Z" w:initials="حج">
    <w:p w14:paraId="60CC2318" w14:textId="77777777" w:rsidR="00B6053A" w:rsidRDefault="00B6053A">
      <w:pPr>
        <w:pStyle w:val="af1"/>
        <w:rPr>
          <w:rtl/>
        </w:rPr>
      </w:pPr>
      <w:r>
        <w:rPr>
          <w:rStyle w:val="af0"/>
        </w:rPr>
        <w:annotationRef/>
      </w:r>
      <w:r>
        <w:rPr>
          <w:rFonts w:hint="cs"/>
          <w:rtl/>
        </w:rPr>
        <w:t>تعذر التحقق من نسبة القول إلى «الباحثة عبد الرحمن»؛ فاستُبدل بأسلوب «نبّه جانب من الفقه» ووُثق الهامش بمرجع متحقق منه (التونسي والمعلم 2024م).</w:t>
      </w:r>
    </w:p>
  </w:comment>
  <w:comment w:id="76" w:author="ibrahim h" w:date="2026-06-30T00:02:00Z" w:initials="ih">
    <w:p w14:paraId="3C0773DE" w14:textId="77777777" w:rsidR="00B6053A" w:rsidRDefault="00B6053A" w:rsidP="00DA2D94">
      <w:pPr>
        <w:pStyle w:val="af1"/>
      </w:pPr>
      <w:r>
        <w:rPr>
          <w:rStyle w:val="af0"/>
        </w:rPr>
        <w:annotationRef/>
      </w:r>
      <w:r>
        <w:rPr>
          <w:rtl/>
        </w:rPr>
        <w:t>الهامش</w:t>
      </w:r>
    </w:p>
  </w:comment>
  <w:comment w:id="77" w:author="الباحث: حسان جمبي" w:date="2026-07-18T21:00:00Z" w:initials="حج">
    <w:p w14:paraId="286BDEF4" w14:textId="77777777" w:rsidR="00B6053A" w:rsidRDefault="00B6053A">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78" w:author="ibrahim h" w:date="2026-06-30T00:03:00Z" w:initials="ih">
    <w:p w14:paraId="569F6EB8" w14:textId="4A5171A4" w:rsidR="00B6053A" w:rsidRDefault="00B6053A" w:rsidP="003F267E">
      <w:pPr>
        <w:pStyle w:val="af1"/>
      </w:pPr>
      <w:r>
        <w:rPr>
          <w:rStyle w:val="af0"/>
        </w:rPr>
        <w:annotationRef/>
      </w:r>
      <w:r>
        <w:rPr>
          <w:rtl/>
        </w:rPr>
        <w:t xml:space="preserve">اشار جانب من الفقه وفي </w:t>
      </w:r>
      <w:proofErr w:type="gramStart"/>
      <w:r>
        <w:rPr>
          <w:rtl/>
        </w:rPr>
        <w:t>اسفل</w:t>
      </w:r>
      <w:proofErr w:type="gramEnd"/>
      <w:r>
        <w:rPr>
          <w:rtl/>
        </w:rPr>
        <w:t xml:space="preserve"> الصفحة</w:t>
      </w:r>
      <w:r>
        <w:rPr>
          <w:rFonts w:hint="cs"/>
          <w:rtl/>
        </w:rPr>
        <w:t xml:space="preserve"> كما أن الاسيوطي مرجع سابق </w:t>
      </w:r>
      <w:proofErr w:type="spellStart"/>
      <w:r>
        <w:rPr>
          <w:rFonts w:hint="cs"/>
          <w:rtl/>
        </w:rPr>
        <w:t>ولالف</w:t>
      </w:r>
      <w:proofErr w:type="spellEnd"/>
      <w:r>
        <w:rPr>
          <w:rFonts w:hint="cs"/>
          <w:rtl/>
        </w:rPr>
        <w:t xml:space="preserve"> مرة</w:t>
      </w:r>
    </w:p>
  </w:comment>
  <w:comment w:id="79" w:author="الباحث: حسان جمبي" w:date="2026-07-18T21:00:00Z" w:initials="حج">
    <w:p w14:paraId="309FAE26" w14:textId="77777777" w:rsidR="00B6053A" w:rsidRDefault="00B6053A">
      <w:pPr>
        <w:pStyle w:val="af1"/>
        <w:rPr>
          <w:rtl/>
        </w:rPr>
      </w:pPr>
      <w:r>
        <w:rPr>
          <w:rStyle w:val="af0"/>
        </w:rPr>
        <w:annotationRef/>
      </w:r>
      <w:r>
        <w:rPr>
          <w:rFonts w:hint="cs"/>
          <w:rtl/>
        </w:rPr>
        <w:t>تم؛ «أشار جانب من الفقه» في المتن، والأسيوطي بمرجعه الكامل أول مرة ثم «مرجع سابق»، وصُححت بياناته على قائمة المراجع (أيمن محمد سيد مصطفى الأسيوطي، 2020م).</w:t>
      </w:r>
    </w:p>
  </w:comment>
  <w:comment w:id="80" w:author="Dr. Ibrahim" w:date="2026-06-30T13:15:00Z" w:initials="DI">
    <w:p w14:paraId="477E0B22" w14:textId="25F44C7C" w:rsidR="00B6053A" w:rsidRDefault="00B6053A">
      <w:pPr>
        <w:pStyle w:val="af1"/>
      </w:pPr>
      <w:r>
        <w:rPr>
          <w:rStyle w:val="af0"/>
        </w:rPr>
        <w:annotationRef/>
      </w:r>
      <w:r>
        <w:rPr>
          <w:rFonts w:hint="cs"/>
          <w:rtl/>
        </w:rPr>
        <w:t xml:space="preserve">في الهامش الهيئة السعودية مرجع سابق ص </w:t>
      </w:r>
    </w:p>
  </w:comment>
  <w:comment w:id="81" w:author="الباحث: حسان جمبي" w:date="2026-07-18T21:00:00Z" w:initials="حج">
    <w:p w14:paraId="6D48A492" w14:textId="77777777" w:rsidR="00B6053A" w:rsidRDefault="00B6053A">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82" w:author="Dr. Ibrahim" w:date="2026-06-30T13:15:00Z" w:initials="DI">
    <w:p w14:paraId="2826EF17" w14:textId="78AF1F1E" w:rsidR="00B6053A" w:rsidRDefault="00B6053A">
      <w:pPr>
        <w:pStyle w:val="af1"/>
      </w:pPr>
      <w:r>
        <w:rPr>
          <w:rStyle w:val="af0"/>
        </w:rPr>
        <w:annotationRef/>
      </w:r>
    </w:p>
  </w:comment>
  <w:comment w:id="83" w:author="الباحث: حسان جمبي" w:date="2026-07-18T21:00:00Z" w:initials="حج">
    <w:p w14:paraId="340CAF75" w14:textId="77777777" w:rsidR="00B6053A" w:rsidRDefault="00B6053A">
      <w:pPr>
        <w:pStyle w:val="af1"/>
        <w:rPr>
          <w:rtl/>
        </w:rPr>
      </w:pPr>
      <w:r>
        <w:rPr>
          <w:rStyle w:val="af0"/>
        </w:rPr>
        <w:annotationRef/>
      </w:r>
      <w:r>
        <w:rPr>
          <w:rFonts w:hint="cs"/>
          <w:rtl/>
        </w:rPr>
        <w:t>عولج ضمن توحيد التوثيق في الموضع.</w:t>
      </w:r>
    </w:p>
  </w:comment>
  <w:comment w:id="84" w:author="Dr. Ibrahim" w:date="2026-06-30T13:16:00Z" w:initials="DI">
    <w:p w14:paraId="7149B2F6" w14:textId="33638B51" w:rsidR="00B6053A" w:rsidRDefault="00B6053A">
      <w:pPr>
        <w:pStyle w:val="af1"/>
      </w:pPr>
      <w:r>
        <w:rPr>
          <w:rStyle w:val="af0"/>
        </w:rPr>
        <w:annotationRef/>
      </w:r>
    </w:p>
  </w:comment>
  <w:comment w:id="85" w:author="الباحث: حسان جمبي" w:date="2026-07-18T21:00:00Z" w:initials="حج">
    <w:p w14:paraId="3494D3F9" w14:textId="77777777" w:rsidR="00B6053A" w:rsidRDefault="00B6053A">
      <w:pPr>
        <w:pStyle w:val="af1"/>
        <w:rPr>
          <w:rtl/>
        </w:rPr>
      </w:pPr>
      <w:r>
        <w:rPr>
          <w:rStyle w:val="af0"/>
        </w:rPr>
        <w:annotationRef/>
      </w:r>
      <w:r>
        <w:rPr>
          <w:rFonts w:hint="cs"/>
          <w:rtl/>
        </w:rPr>
        <w:t>عولج ضمن توحيد التوثيق في الموضع.</w:t>
      </w:r>
    </w:p>
  </w:comment>
  <w:comment w:id="86" w:author="Dr. Ibrahim" w:date="2026-06-30T13:17:00Z" w:initials="DI">
    <w:p w14:paraId="0CE47753" w14:textId="5A181B8B" w:rsidR="00B6053A" w:rsidRDefault="00B6053A">
      <w:pPr>
        <w:pStyle w:val="af1"/>
      </w:pPr>
      <w:r>
        <w:rPr>
          <w:rStyle w:val="af0"/>
        </w:rPr>
        <w:annotationRef/>
      </w:r>
      <w:r>
        <w:rPr>
          <w:rFonts w:hint="cs"/>
          <w:rtl/>
        </w:rPr>
        <w:t xml:space="preserve">كتابة ذكاء اصطناعي تفتقر للتحليل وذكر نصوص مواد هيئة </w:t>
      </w:r>
      <w:proofErr w:type="spellStart"/>
      <w:r>
        <w:rPr>
          <w:rFonts w:hint="cs"/>
          <w:rtl/>
        </w:rPr>
        <w:t>المحامبن</w:t>
      </w:r>
      <w:proofErr w:type="spellEnd"/>
      <w:r>
        <w:rPr>
          <w:rFonts w:hint="cs"/>
          <w:rtl/>
        </w:rPr>
        <w:t xml:space="preserve"> والانظمة</w:t>
      </w:r>
    </w:p>
  </w:comment>
  <w:comment w:id="87" w:author="الباحث: حسان جمبي" w:date="2026-07-18T21:00:00Z" w:initials="حج">
    <w:p w14:paraId="1993AA38" w14:textId="77777777" w:rsidR="00B6053A" w:rsidRDefault="00B6053A">
      <w:pPr>
        <w:pStyle w:val="af1"/>
        <w:rPr>
          <w:rtl/>
        </w:rPr>
      </w:pPr>
      <w:r>
        <w:rPr>
          <w:rStyle w:val="af0"/>
        </w:rPr>
        <w:annotationRef/>
      </w:r>
      <w:r>
        <w:rPr>
          <w:rFonts w:hint="cs"/>
          <w:rtl/>
        </w:rPr>
        <w:t>عُزز التحليل بنصوص المواد: المادة (23) محاماة للسرية، والمواد (5) و(11) و(29) من نظام حماية البيانات الشخصية بأرقامها الصحيحة (النقل الخارجي في المادة 29 لا 12)، مع بقاء التحليل منصباً على أثرها في عمل مكاتب المحاماة.</w:t>
      </w:r>
    </w:p>
  </w:comment>
  <w:comment w:id="88" w:author="Dr. Ibrahim" w:date="2026-06-30T13:18:00Z" w:initials="DI">
    <w:p w14:paraId="69E597DC" w14:textId="16FCC610" w:rsidR="00B6053A" w:rsidRDefault="00B6053A">
      <w:pPr>
        <w:pStyle w:val="af1"/>
      </w:pPr>
      <w:r>
        <w:rPr>
          <w:rStyle w:val="af0"/>
        </w:rPr>
        <w:annotationRef/>
      </w:r>
      <w:r>
        <w:rPr>
          <w:rFonts w:hint="cs"/>
          <w:rtl/>
        </w:rPr>
        <w:t>المراجع ونصوص المواد</w:t>
      </w:r>
    </w:p>
  </w:comment>
  <w:comment w:id="89" w:author="الباحث: حسان جمبي" w:date="2026-07-18T21:00:00Z" w:initials="حج">
    <w:p w14:paraId="1DCF63AE" w14:textId="77777777" w:rsidR="00B6053A" w:rsidRDefault="00B6053A">
      <w:pPr>
        <w:pStyle w:val="af1"/>
        <w:rPr>
          <w:rtl/>
        </w:rPr>
      </w:pPr>
      <w:r>
        <w:rPr>
          <w:rStyle w:val="af0"/>
        </w:rPr>
        <w:annotationRef/>
      </w:r>
      <w:r>
        <w:rPr>
          <w:rFonts w:hint="cs"/>
          <w:rtl/>
        </w:rPr>
        <w:t>كما سبق؛ وُثقت المواضع بنصوص المواد وأرقامها الصحيحة.</w:t>
      </w:r>
    </w:p>
  </w:comment>
  <w:comment w:id="90" w:author="Dr. Ibrahim" w:date="2026-06-30T13:19:00Z" w:initials="DI">
    <w:p w14:paraId="5171DC52" w14:textId="567AEBF1" w:rsidR="00B6053A" w:rsidRDefault="00B6053A">
      <w:pPr>
        <w:pStyle w:val="af1"/>
      </w:pPr>
      <w:r>
        <w:rPr>
          <w:rStyle w:val="af0"/>
        </w:rPr>
        <w:annotationRef/>
      </w:r>
      <w:r>
        <w:rPr>
          <w:rFonts w:hint="cs"/>
          <w:rtl/>
        </w:rPr>
        <w:t>التقسيم</w:t>
      </w:r>
    </w:p>
  </w:comment>
  <w:comment w:id="91" w:author="الباحث: حسان جمبي" w:date="2026-07-18T21:00:00Z" w:initials="حج">
    <w:p w14:paraId="2491CDE5" w14:textId="77777777" w:rsidR="00B6053A" w:rsidRDefault="00B6053A">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92" w:author="Dr. Ibrahim" w:date="2026-06-30T13:19:00Z" w:initials="DI">
    <w:p w14:paraId="44BA57F7" w14:textId="3BCD6949" w:rsidR="00B6053A" w:rsidRDefault="00B6053A">
      <w:pPr>
        <w:pStyle w:val="af1"/>
      </w:pPr>
      <w:r>
        <w:rPr>
          <w:rStyle w:val="af0"/>
        </w:rPr>
        <w:annotationRef/>
      </w:r>
    </w:p>
  </w:comment>
  <w:comment w:id="93" w:author="الباحث: حسان جمبي" w:date="2026-07-18T21:00:00Z" w:initials="حج">
    <w:p w14:paraId="42CA0E5F" w14:textId="77777777" w:rsidR="00B6053A" w:rsidRDefault="00B6053A">
      <w:pPr>
        <w:pStyle w:val="af1"/>
        <w:rPr>
          <w:rtl/>
        </w:rPr>
      </w:pPr>
      <w:r>
        <w:rPr>
          <w:rStyle w:val="af0"/>
        </w:rPr>
        <w:annotationRef/>
      </w:r>
      <w:r>
        <w:rPr>
          <w:rFonts w:hint="cs"/>
          <w:rtl/>
        </w:rPr>
        <w:t>عولج ضمن الموضع.</w:t>
      </w:r>
    </w:p>
  </w:comment>
  <w:comment w:id="94" w:author="Dr. Ibrahim" w:date="2026-06-30T13:19:00Z" w:initials="DI">
    <w:p w14:paraId="524CE518" w14:textId="6AFD9FCF" w:rsidR="00B6053A" w:rsidRDefault="00B6053A">
      <w:pPr>
        <w:pStyle w:val="af1"/>
      </w:pPr>
      <w:r>
        <w:rPr>
          <w:rStyle w:val="af0"/>
        </w:rPr>
        <w:annotationRef/>
      </w:r>
    </w:p>
  </w:comment>
  <w:comment w:id="95" w:author="الباحث: حسان جمبي" w:date="2026-07-18T21:00:00Z" w:initials="حج">
    <w:p w14:paraId="2A59AAC6" w14:textId="77777777" w:rsidR="00B6053A" w:rsidRDefault="00B6053A">
      <w:pPr>
        <w:pStyle w:val="af1"/>
        <w:rPr>
          <w:rtl/>
        </w:rPr>
      </w:pPr>
      <w:r>
        <w:rPr>
          <w:rStyle w:val="af0"/>
        </w:rPr>
        <w:annotationRef/>
      </w:r>
      <w:r>
        <w:rPr>
          <w:rFonts w:hint="cs"/>
          <w:rtl/>
        </w:rPr>
        <w:t>عولج ضمن الموضع.</w:t>
      </w:r>
    </w:p>
  </w:comment>
  <w:comment w:id="96" w:author="Dr. Ibrahim" w:date="2026-06-30T13:20:00Z" w:initials="DI">
    <w:p w14:paraId="04825326" w14:textId="77777777" w:rsidR="00B6053A" w:rsidRDefault="00B6053A">
      <w:pPr>
        <w:pStyle w:val="af1"/>
        <w:rPr>
          <w:rtl/>
        </w:rPr>
      </w:pPr>
      <w:r>
        <w:rPr>
          <w:rStyle w:val="af0"/>
        </w:rPr>
        <w:annotationRef/>
      </w:r>
      <w:r>
        <w:rPr>
          <w:rFonts w:hint="cs"/>
          <w:rtl/>
        </w:rPr>
        <w:t>سبق أن عرضت ذلك في الصفحة 114</w:t>
      </w:r>
    </w:p>
    <w:p w14:paraId="1EE8BD17" w14:textId="286DB7AC" w:rsidR="00B6053A" w:rsidRDefault="00B6053A">
      <w:pPr>
        <w:pStyle w:val="af1"/>
      </w:pPr>
      <w:r>
        <w:rPr>
          <w:rFonts w:hint="cs"/>
          <w:rtl/>
        </w:rPr>
        <w:t xml:space="preserve">ثم </w:t>
      </w:r>
      <w:proofErr w:type="spellStart"/>
      <w:r>
        <w:rPr>
          <w:rFonts w:hint="cs"/>
          <w:rtl/>
        </w:rPr>
        <w:t>ماهو</w:t>
      </w:r>
      <w:proofErr w:type="spellEnd"/>
      <w:r>
        <w:rPr>
          <w:rFonts w:hint="cs"/>
          <w:rtl/>
        </w:rPr>
        <w:t xml:space="preserve"> التقسيم</w:t>
      </w:r>
    </w:p>
  </w:comment>
  <w:comment w:id="97" w:author="الباحث: حسان جمبي" w:date="2026-07-18T21:00:00Z" w:initials="حج">
    <w:p w14:paraId="248466A0" w14:textId="77777777" w:rsidR="00B6053A" w:rsidRDefault="00B6053A">
      <w:pPr>
        <w:pStyle w:val="af1"/>
        <w:rPr>
          <w:rtl/>
        </w:rPr>
      </w:pPr>
      <w:r>
        <w:rPr>
          <w:rStyle w:val="af0"/>
        </w:rPr>
        <w:annotationRef/>
      </w:r>
      <w:r>
        <w:rPr>
          <w:rFonts w:hint="cs"/>
          <w:rtl/>
        </w:rPr>
        <w:t>صحيح؛ حُذف التكرار وضُم التحليل إلى موضعه الأول، وضُبطت العناوين الباقية بترقيمها تحت مطلبها.</w:t>
      </w:r>
    </w:p>
  </w:comment>
  <w:comment w:id="98" w:author="Dr. Ibrahim" w:date="2026-06-30T13:22:00Z" w:initials="DI">
    <w:p w14:paraId="142C011A" w14:textId="7A4A824E" w:rsidR="00B6053A" w:rsidRDefault="00B6053A">
      <w:pPr>
        <w:pStyle w:val="af1"/>
      </w:pPr>
      <w:r>
        <w:rPr>
          <w:rStyle w:val="af0"/>
        </w:rPr>
        <w:annotationRef/>
      </w:r>
      <w:r>
        <w:rPr>
          <w:rFonts w:hint="cs"/>
          <w:rtl/>
        </w:rPr>
        <w:t>تقسيم</w:t>
      </w:r>
    </w:p>
  </w:comment>
  <w:comment w:id="99" w:author="الباحث: حسان جمبي" w:date="2026-07-18T21:00:00Z" w:initials="حج">
    <w:p w14:paraId="47FC4407" w14:textId="77777777" w:rsidR="00B6053A" w:rsidRDefault="00B6053A">
      <w:pPr>
        <w:pStyle w:val="af1"/>
        <w:rPr>
          <w:rtl/>
        </w:rPr>
      </w:pPr>
      <w:r>
        <w:rPr>
          <w:rStyle w:val="af0"/>
        </w:rPr>
        <w:annotationRef/>
      </w:r>
      <w:r>
        <w:rPr>
          <w:rFonts w:hint="cs"/>
          <w:rtl/>
        </w:rPr>
        <w:t>تم؛ ضُبط العنوان مرقماً تحت مطلبه: «عاشراً: واجب السرية المهنية…»، مع تصحيح مادة السرية إلى (الثالثة والعشرين).</w:t>
      </w:r>
    </w:p>
  </w:comment>
  <w:comment w:id="100" w:author="Dr. Ibrahim" w:date="2026-06-30T13:22:00Z" w:initials="DI">
    <w:p w14:paraId="1775F555" w14:textId="7BA82762" w:rsidR="00B6053A" w:rsidRDefault="00B6053A">
      <w:pPr>
        <w:pStyle w:val="af1"/>
      </w:pPr>
      <w:r>
        <w:rPr>
          <w:rStyle w:val="af0"/>
        </w:rPr>
        <w:annotationRef/>
      </w:r>
      <w:r>
        <w:rPr>
          <w:rFonts w:hint="cs"/>
          <w:rtl/>
        </w:rPr>
        <w:t>نفس الملاحظة</w:t>
      </w:r>
    </w:p>
  </w:comment>
  <w:comment w:id="101" w:author="الباحث: حسان جمبي" w:date="2026-07-18T21:00:00Z" w:initials="حج">
    <w:p w14:paraId="5C8653DD" w14:textId="77777777" w:rsidR="00B6053A" w:rsidRDefault="00B6053A">
      <w:pPr>
        <w:pStyle w:val="af1"/>
        <w:rPr>
          <w:rtl/>
        </w:rPr>
      </w:pPr>
      <w:r>
        <w:rPr>
          <w:rStyle w:val="af0"/>
        </w:rPr>
        <w:annotationRef/>
      </w:r>
      <w:r>
        <w:rPr>
          <w:rFonts w:hint="cs"/>
          <w:rtl/>
        </w:rPr>
        <w:t>المرجع المشار إليه تعذر التحقق منه فاستُبدل بأسلوب الفقه مع توثيق متحقق منه في الهامش.</w:t>
      </w:r>
    </w:p>
  </w:comment>
  <w:comment w:id="102" w:author="Dr. Ibrahim" w:date="2026-06-30T13:23:00Z" w:initials="DI">
    <w:p w14:paraId="7CFBC4B2" w14:textId="1AAB68F3" w:rsidR="00B6053A" w:rsidRDefault="00B6053A">
      <w:pPr>
        <w:pStyle w:val="af1"/>
      </w:pPr>
      <w:r>
        <w:rPr>
          <w:rStyle w:val="af0"/>
        </w:rPr>
        <w:annotationRef/>
      </w:r>
      <w:r>
        <w:rPr>
          <w:rFonts w:hint="cs"/>
          <w:rtl/>
        </w:rPr>
        <w:t>المرجع</w:t>
      </w:r>
    </w:p>
  </w:comment>
  <w:comment w:id="103" w:author="الباحث: حسان جمبي" w:date="2026-07-18T21:00:00Z" w:initials="حج">
    <w:p w14:paraId="15FF564C" w14:textId="77777777" w:rsidR="00B6053A" w:rsidRDefault="00B6053A">
      <w:pPr>
        <w:pStyle w:val="af1"/>
        <w:rPr>
          <w:rtl/>
        </w:rPr>
      </w:pPr>
      <w:r>
        <w:rPr>
          <w:rStyle w:val="af0"/>
        </w:rPr>
        <w:annotationRef/>
      </w:r>
      <w:r>
        <w:rPr>
          <w:rFonts w:hint="cs"/>
          <w:rtl/>
        </w:rPr>
        <w:t>وُثق البديل المتحقق منه: رأي اتحاد المحامين الأمريكي الرسمي رقم (512) الصادر في 29 يوليو 2024م (منشور على موقع الاتحاد)، مع الإشارة المجملة لأدلة كندا وأستراليا وبريطانيا.</w:t>
      </w:r>
    </w:p>
  </w:comment>
  <w:comment w:id="104" w:author="Dr. Ibrahim" w:date="2026-06-30T13:24:00Z" w:initials="DI">
    <w:p w14:paraId="3CE5E5AE" w14:textId="08F0302C" w:rsidR="00B6053A" w:rsidRDefault="00B6053A">
      <w:pPr>
        <w:pStyle w:val="af1"/>
      </w:pPr>
      <w:r>
        <w:rPr>
          <w:rStyle w:val="af0"/>
        </w:rPr>
        <w:annotationRef/>
      </w:r>
      <w:r>
        <w:rPr>
          <w:rFonts w:hint="cs"/>
          <w:rtl/>
        </w:rPr>
        <w:t xml:space="preserve">التكيف القانوني </w:t>
      </w:r>
      <w:proofErr w:type="gramStart"/>
      <w:r>
        <w:rPr>
          <w:rFonts w:hint="cs"/>
          <w:rtl/>
        </w:rPr>
        <w:t>ل...</w:t>
      </w:r>
      <w:proofErr w:type="gramEnd"/>
    </w:p>
  </w:comment>
  <w:comment w:id="105" w:author="الباحث: حسان جمبي" w:date="2026-07-18T21:00:00Z" w:initials="حج">
    <w:p w14:paraId="2038A8DC" w14:textId="77777777" w:rsidR="00B6053A" w:rsidRDefault="00B6053A">
      <w:pPr>
        <w:pStyle w:val="af1"/>
        <w:rPr>
          <w:rtl/>
        </w:rPr>
      </w:pPr>
      <w:r>
        <w:rPr>
          <w:rStyle w:val="af0"/>
        </w:rPr>
        <w:annotationRef/>
      </w:r>
      <w:r>
        <w:rPr>
          <w:rFonts w:hint="cs"/>
          <w:rtl/>
        </w:rPr>
        <w:t>تم؛ العنوان: «أولاً: التكييف النظامي للعقود الذكية في النظام السعودي» تحت المطلب الثالث.</w:t>
      </w:r>
    </w:p>
  </w:comment>
  <w:comment w:id="106" w:author="Dr. Ibrahim" w:date="2026-06-30T13:25:00Z" w:initials="DI">
    <w:p w14:paraId="0174B0E6" w14:textId="172387F1" w:rsidR="00B6053A" w:rsidRDefault="00B6053A">
      <w:pPr>
        <w:pStyle w:val="af1"/>
      </w:pPr>
      <w:r>
        <w:rPr>
          <w:rStyle w:val="af0"/>
        </w:rPr>
        <w:annotationRef/>
      </w:r>
      <w:r>
        <w:rPr>
          <w:rFonts w:hint="cs"/>
          <w:rtl/>
        </w:rPr>
        <w:t>المرجع</w:t>
      </w:r>
    </w:p>
  </w:comment>
  <w:comment w:id="107" w:author="الباحث: حسان جمبي" w:date="2026-07-18T21:00:00Z" w:initials="حج">
    <w:p w14:paraId="2A9ED914" w14:textId="77777777" w:rsidR="00B6053A" w:rsidRDefault="00B6053A">
      <w:pPr>
        <w:pStyle w:val="af1"/>
        <w:rPr>
          <w:rtl/>
        </w:rPr>
      </w:pPr>
      <w:r>
        <w:rPr>
          <w:rStyle w:val="af0"/>
        </w:rPr>
        <w:annotationRef/>
      </w:r>
      <w:r>
        <w:rPr>
          <w:rFonts w:hint="cs"/>
          <w:rtl/>
        </w:rPr>
        <w:t>وُثق الهامش بدراستين متحقق منهما: الغامدي (2025م) ومرسي (2023م).</w:t>
      </w:r>
    </w:p>
  </w:comment>
  <w:comment w:id="110" w:author="Dr. Ibrahim" w:date="2026-06-30T13:25:00Z" w:initials="DI">
    <w:p w14:paraId="4922F3DA" w14:textId="5CF1E116" w:rsidR="00B6053A" w:rsidRDefault="00B6053A">
      <w:pPr>
        <w:pStyle w:val="af1"/>
      </w:pPr>
      <w:r>
        <w:rPr>
          <w:rStyle w:val="af0"/>
        </w:rPr>
        <w:annotationRef/>
      </w:r>
    </w:p>
  </w:comment>
  <w:comment w:id="111" w:author="الباحث: حسان جمبي" w:date="2026-07-18T21:00:00Z" w:initials="حج">
    <w:p w14:paraId="411E588C" w14:textId="77777777" w:rsidR="00B6053A" w:rsidRDefault="00B6053A">
      <w:pPr>
        <w:pStyle w:val="af1"/>
        <w:rPr>
          <w:rtl/>
        </w:rPr>
      </w:pPr>
      <w:r>
        <w:rPr>
          <w:rStyle w:val="af0"/>
        </w:rPr>
        <w:annotationRef/>
      </w:r>
      <w:r>
        <w:rPr>
          <w:rFonts w:hint="cs"/>
          <w:rtl/>
        </w:rPr>
        <w:t>صُحح اللفظ إلى «التجسيدَ».</w:t>
      </w:r>
    </w:p>
  </w:comment>
  <w:comment w:id="108" w:author="Dr. Ibrahim" w:date="2026-06-30T13:26:00Z" w:initials="DI">
    <w:p w14:paraId="4651A037" w14:textId="6A69E60B" w:rsidR="00B6053A" w:rsidRDefault="00B6053A">
      <w:pPr>
        <w:pStyle w:val="af1"/>
      </w:pPr>
      <w:r>
        <w:rPr>
          <w:rStyle w:val="af0"/>
        </w:rPr>
        <w:annotationRef/>
      </w:r>
      <w:r>
        <w:rPr>
          <w:rFonts w:hint="cs"/>
          <w:rtl/>
        </w:rPr>
        <w:t>تحتاج الى ذكر المواد والنصوص التي استندت اليها دون الاكتفاء بتلخيص الذكاء الاصطناعي</w:t>
      </w:r>
    </w:p>
  </w:comment>
  <w:comment w:id="109" w:author="الباحث: حسان جمبي" w:date="2026-07-18T21:00:00Z" w:initials="حج">
    <w:p w14:paraId="3047392B" w14:textId="77777777" w:rsidR="00B6053A" w:rsidRDefault="00B6053A">
      <w:pPr>
        <w:pStyle w:val="af1"/>
        <w:rPr>
          <w:rtl/>
        </w:rPr>
      </w:pPr>
      <w:r>
        <w:rPr>
          <w:rStyle w:val="af0"/>
        </w:rPr>
        <w:annotationRef/>
      </w:r>
      <w:r>
        <w:rPr>
          <w:rFonts w:hint="cs"/>
          <w:rtl/>
        </w:rPr>
        <w:t>تم؛ رُبطت الإشكاليات الثلاث بأحكام نظام المعاملات المدنية (التراضي وعيوب الإرادة والفسخ) لا بتلخيص مرسل.</w:t>
      </w:r>
    </w:p>
  </w:comment>
  <w:comment w:id="112" w:author="Dr. Ibrahim" w:date="2026-06-30T13:27:00Z" w:initials="DI">
    <w:p w14:paraId="4D0CCEAE" w14:textId="77777777" w:rsidR="00B6053A" w:rsidRDefault="00B6053A">
      <w:pPr>
        <w:pStyle w:val="af1"/>
        <w:rPr>
          <w:rtl/>
        </w:rPr>
      </w:pPr>
      <w:r>
        <w:rPr>
          <w:rStyle w:val="af0"/>
        </w:rPr>
        <w:annotationRef/>
      </w:r>
      <w:r>
        <w:rPr>
          <w:rFonts w:hint="cs"/>
          <w:rtl/>
        </w:rPr>
        <w:t>ما هي هذه الدراسات</w:t>
      </w:r>
    </w:p>
    <w:p w14:paraId="7BAB3099" w14:textId="191D88D5" w:rsidR="00B6053A" w:rsidRDefault="00B6053A">
      <w:pPr>
        <w:pStyle w:val="af1"/>
      </w:pPr>
      <w:r>
        <w:rPr>
          <w:rFonts w:hint="cs"/>
          <w:rtl/>
        </w:rPr>
        <w:t xml:space="preserve">هل هو العلي </w:t>
      </w:r>
      <w:proofErr w:type="spellStart"/>
      <w:r>
        <w:rPr>
          <w:rFonts w:hint="cs"/>
          <w:rtl/>
        </w:rPr>
        <w:t>مجدداا</w:t>
      </w:r>
      <w:proofErr w:type="spellEnd"/>
      <w:r>
        <w:rPr>
          <w:rFonts w:hint="cs"/>
          <w:rtl/>
        </w:rPr>
        <w:t xml:space="preserve"> للمرة الالف وواحد</w:t>
      </w:r>
    </w:p>
  </w:comment>
  <w:comment w:id="113" w:author="الباحث: حسان جمبي" w:date="2026-07-18T21:00:00Z" w:initials="حج">
    <w:p w14:paraId="2A4EFA51" w14:textId="77777777" w:rsidR="00B6053A" w:rsidRDefault="00B6053A">
      <w:pPr>
        <w:pStyle w:val="af1"/>
        <w:rPr>
          <w:rtl/>
        </w:rPr>
      </w:pPr>
      <w:r>
        <w:rPr>
          <w:rStyle w:val="af0"/>
        </w:rPr>
        <w:annotationRef/>
      </w:r>
      <w:r>
        <w:rPr>
          <w:rFonts w:hint="cs"/>
          <w:rtl/>
        </w:rPr>
        <w:t>أصاب الدكتور؛ لا يثبت للباحث وجود أحكام منشورة لديوان المظالم في العقود الذكية، فعُدل المتن إلى نفي النشر حتى تاريخه، وحُذفت النسبة المبهمة.</w:t>
      </w:r>
    </w:p>
  </w:comment>
  <w:comment w:id="114" w:author="Dr. Ibrahim" w:date="2026-06-30T13:29:00Z" w:initials="DI">
    <w:p w14:paraId="474FD8F2" w14:textId="70860BC1" w:rsidR="00B6053A" w:rsidRDefault="00B6053A">
      <w:pPr>
        <w:pStyle w:val="af1"/>
      </w:pPr>
      <w:r>
        <w:rPr>
          <w:rStyle w:val="af0"/>
        </w:rPr>
        <w:annotationRef/>
      </w:r>
      <w:r>
        <w:rPr>
          <w:rFonts w:hint="cs"/>
          <w:rtl/>
        </w:rPr>
        <w:t>نفس الملاحظة</w:t>
      </w:r>
    </w:p>
  </w:comment>
  <w:comment w:id="115" w:author="الباحث: حسان جمبي" w:date="2026-07-18T21:00:00Z" w:initials="حج">
    <w:p w14:paraId="67FE9855" w14:textId="77777777" w:rsidR="00B6053A" w:rsidRDefault="00B6053A">
      <w:pPr>
        <w:pStyle w:val="af1"/>
        <w:rPr>
          <w:rtl/>
        </w:rPr>
      </w:pPr>
      <w:r>
        <w:rPr>
          <w:rStyle w:val="af0"/>
        </w:rPr>
        <w:annotationRef/>
      </w:r>
      <w:r>
        <w:rPr>
          <w:rFonts w:hint="cs"/>
          <w:rtl/>
        </w:rPr>
        <w:t xml:space="preserve">استُبدل بالمرجع غير المتحقق منه ثلاثةُ أحكام قضائية منشورة وموثقة: </w:t>
      </w:r>
      <w:proofErr w:type="spellStart"/>
      <w:r>
        <w:rPr>
          <w:rFonts w:hint="cs"/>
          <w:rtl/>
        </w:rPr>
        <w:t>Mata</w:t>
      </w:r>
      <w:proofErr w:type="spellEnd"/>
      <w:r>
        <w:rPr>
          <w:rFonts w:hint="cs"/>
          <w:rtl/>
        </w:rPr>
        <w:t xml:space="preserve"> v. </w:t>
      </w:r>
      <w:proofErr w:type="spellStart"/>
      <w:r>
        <w:rPr>
          <w:rFonts w:hint="cs"/>
          <w:rtl/>
        </w:rPr>
        <w:t>Avianca</w:t>
      </w:r>
      <w:proofErr w:type="spellEnd"/>
      <w:r>
        <w:rPr>
          <w:rFonts w:hint="cs"/>
          <w:rtl/>
        </w:rPr>
        <w:t xml:space="preserve"> (نيويورك 2023م، تغريم المحاميين عن سوابق مختلقة ولدها </w:t>
      </w:r>
      <w:proofErr w:type="spellStart"/>
      <w:r>
        <w:rPr>
          <w:rFonts w:hint="cs"/>
          <w:rtl/>
        </w:rPr>
        <w:t>ChatGPT</w:t>
      </w:r>
      <w:proofErr w:type="spellEnd"/>
      <w:r>
        <w:rPr>
          <w:rFonts w:hint="cs"/>
          <w:rtl/>
        </w:rPr>
        <w:t xml:space="preserve">)، </w:t>
      </w:r>
      <w:proofErr w:type="spellStart"/>
      <w:r>
        <w:rPr>
          <w:rFonts w:hint="cs"/>
          <w:rtl/>
        </w:rPr>
        <w:t>وPark</w:t>
      </w:r>
      <w:proofErr w:type="spellEnd"/>
      <w:r>
        <w:rPr>
          <w:rFonts w:hint="cs"/>
          <w:rtl/>
        </w:rPr>
        <w:t xml:space="preserve"> v. </w:t>
      </w:r>
      <w:proofErr w:type="spellStart"/>
      <w:r>
        <w:rPr>
          <w:rFonts w:hint="cs"/>
          <w:rtl/>
        </w:rPr>
        <w:t>Kim</w:t>
      </w:r>
      <w:proofErr w:type="spellEnd"/>
      <w:r>
        <w:rPr>
          <w:rFonts w:hint="cs"/>
          <w:rtl/>
        </w:rPr>
        <w:t xml:space="preserve"> (الدائرة الثانية 2024م)، </w:t>
      </w:r>
      <w:proofErr w:type="spellStart"/>
      <w:r>
        <w:rPr>
          <w:rFonts w:hint="cs"/>
          <w:rtl/>
        </w:rPr>
        <w:t>وZhang</w:t>
      </w:r>
      <w:proofErr w:type="spellEnd"/>
      <w:r>
        <w:rPr>
          <w:rFonts w:hint="cs"/>
          <w:rtl/>
        </w:rPr>
        <w:t xml:space="preserve"> v. </w:t>
      </w:r>
      <w:proofErr w:type="spellStart"/>
      <w:r>
        <w:rPr>
          <w:rFonts w:hint="cs"/>
          <w:rtl/>
        </w:rPr>
        <w:t>Chen</w:t>
      </w:r>
      <w:proofErr w:type="spellEnd"/>
      <w:r>
        <w:rPr>
          <w:rFonts w:hint="cs"/>
          <w:rtl/>
        </w:rPr>
        <w:t xml:space="preserve"> (كندا 2024م)، ووُثقت في الهامش بأرقامها.</w:t>
      </w:r>
    </w:p>
  </w:comment>
  <w:comment w:id="116" w:author="Dr. Ibrahim" w:date="2026-06-30T13:30:00Z" w:initials="DI">
    <w:p w14:paraId="617DEB8A" w14:textId="4F70996E" w:rsidR="00B6053A" w:rsidRDefault="00B6053A">
      <w:pPr>
        <w:pStyle w:val="af1"/>
      </w:pPr>
      <w:r>
        <w:rPr>
          <w:rStyle w:val="af0"/>
        </w:rPr>
        <w:annotationRef/>
      </w:r>
      <w:r>
        <w:rPr>
          <w:rFonts w:hint="cs"/>
          <w:rtl/>
        </w:rPr>
        <w:t>قدم على الأقل تعريف بمرجع</w:t>
      </w:r>
    </w:p>
  </w:comment>
  <w:comment w:id="117" w:author="الباحث: حسان جمبي" w:date="2026-07-18T21:00:00Z" w:initials="حج">
    <w:p w14:paraId="77C14A35" w14:textId="77777777" w:rsidR="00B6053A" w:rsidRDefault="00B6053A">
      <w:pPr>
        <w:pStyle w:val="af1"/>
        <w:rPr>
          <w:rtl/>
        </w:rPr>
      </w:pPr>
      <w:r>
        <w:rPr>
          <w:rStyle w:val="af0"/>
        </w:rPr>
        <w:annotationRef/>
      </w:r>
      <w:r>
        <w:rPr>
          <w:rFonts w:hint="cs"/>
          <w:rtl/>
        </w:rPr>
        <w:t>عُرف التحيز الخوارزمي في المتن، ووُثق الهامش بمرجع متحقق منه.</w:t>
      </w:r>
    </w:p>
  </w:comment>
  <w:comment w:id="118" w:author="Dr. Ibrahim" w:date="2026-06-30T13:31:00Z" w:initials="DI">
    <w:p w14:paraId="2DBB0122" w14:textId="70877245" w:rsidR="00B6053A" w:rsidRDefault="00B6053A" w:rsidP="00C1120C">
      <w:pPr>
        <w:pStyle w:val="af1"/>
      </w:pPr>
      <w:r>
        <w:rPr>
          <w:rStyle w:val="af0"/>
        </w:rPr>
        <w:annotationRef/>
      </w:r>
      <w:r>
        <w:rPr>
          <w:rFonts w:hint="cs"/>
          <w:rtl/>
        </w:rPr>
        <w:t xml:space="preserve"> مرجع سابق المالكي ايضا</w:t>
      </w:r>
    </w:p>
  </w:comment>
  <w:comment w:id="119" w:author="الباحث: حسان جمبي" w:date="2026-07-18T21:00:00Z" w:initials="حج">
    <w:p w14:paraId="32168D4E" w14:textId="77777777" w:rsidR="00B6053A" w:rsidRDefault="00B6053A">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120" w:author="Dr. Ibrahim" w:date="2026-06-30T21:17:00Z" w:initials="DI">
    <w:p w14:paraId="6892BCEE" w14:textId="6066E1C2" w:rsidR="00B6053A" w:rsidRDefault="00B6053A">
      <w:pPr>
        <w:pStyle w:val="af1"/>
      </w:pPr>
      <w:r>
        <w:rPr>
          <w:rStyle w:val="af0"/>
        </w:rPr>
        <w:annotationRef/>
      </w:r>
    </w:p>
  </w:comment>
  <w:comment w:id="121" w:author="الباحث: حسان جمبي" w:date="2026-07-18T21:00:00Z" w:initials="حج">
    <w:p w14:paraId="25ACD4AC" w14:textId="77777777" w:rsidR="00B6053A" w:rsidRDefault="00B6053A">
      <w:pPr>
        <w:pStyle w:val="af1"/>
        <w:rPr>
          <w:rtl/>
        </w:rPr>
      </w:pPr>
      <w:r>
        <w:rPr>
          <w:rStyle w:val="af0"/>
        </w:rPr>
        <w:annotationRef/>
      </w:r>
      <w:r>
        <w:rPr>
          <w:rFonts w:hint="cs"/>
          <w:rtl/>
        </w:rPr>
        <w:t>عولج ضمن الموضع.</w:t>
      </w:r>
    </w:p>
  </w:comment>
  <w:comment w:id="122" w:author="Dr. Ibrahim" w:date="2026-06-30T21:17:00Z" w:initials="DI">
    <w:p w14:paraId="65EFAD82" w14:textId="36E052DB" w:rsidR="00B6053A" w:rsidRDefault="00B6053A">
      <w:pPr>
        <w:pStyle w:val="af1"/>
      </w:pPr>
      <w:r>
        <w:rPr>
          <w:rStyle w:val="af0"/>
        </w:rPr>
        <w:annotationRef/>
      </w:r>
    </w:p>
  </w:comment>
  <w:comment w:id="123" w:author="الباحث: حسان جمبي" w:date="2026-07-18T21:00:00Z" w:initials="حج">
    <w:p w14:paraId="62300072" w14:textId="77777777" w:rsidR="00B6053A" w:rsidRDefault="00B6053A">
      <w:pPr>
        <w:pStyle w:val="af1"/>
        <w:rPr>
          <w:rtl/>
        </w:rPr>
      </w:pPr>
      <w:r>
        <w:rPr>
          <w:rStyle w:val="af0"/>
        </w:rPr>
        <w:annotationRef/>
      </w:r>
      <w:r>
        <w:rPr>
          <w:rFonts w:hint="cs"/>
          <w:rtl/>
        </w:rPr>
        <w:t>تم؛ «يشير جانب من الفقه» مع الإحالة لمرجع إسماعيل الموثق.</w:t>
      </w:r>
    </w:p>
  </w:comment>
  <w:comment w:id="124" w:author="Dr. Ibrahim" w:date="2026-06-30T21:19:00Z" w:initials="DI">
    <w:p w14:paraId="23EC3D7E" w14:textId="38C6E3BF" w:rsidR="00B6053A" w:rsidRDefault="00B6053A">
      <w:pPr>
        <w:pStyle w:val="af1"/>
      </w:pPr>
      <w:r>
        <w:rPr>
          <w:rStyle w:val="af0"/>
        </w:rPr>
        <w:annotationRef/>
      </w:r>
      <w:r>
        <w:rPr>
          <w:rFonts w:hint="cs"/>
          <w:rtl/>
        </w:rPr>
        <w:t>حجم الخط</w:t>
      </w:r>
    </w:p>
  </w:comment>
  <w:comment w:id="125" w:author="الباحث: حسان جمبي" w:date="2026-07-18T21:00:00Z" w:initials="حج">
    <w:p w14:paraId="5112EDF8" w14:textId="77777777" w:rsidR="00B6053A" w:rsidRDefault="00B6053A">
      <w:pPr>
        <w:pStyle w:val="af1"/>
        <w:rPr>
          <w:rtl/>
        </w:rPr>
      </w:pPr>
      <w:r>
        <w:rPr>
          <w:rStyle w:val="af0"/>
        </w:rPr>
        <w:annotationRef/>
      </w:r>
      <w:r>
        <w:rPr>
          <w:rFonts w:hint="cs"/>
          <w:rtl/>
        </w:rPr>
        <w:t>وُحد حجم الخط في الفقرة على مقاس المتن (12) والهوامش (10).</w:t>
      </w:r>
    </w:p>
  </w:comment>
  <w:comment w:id="126" w:author="Dr. Ibrahim" w:date="2026-07-22T19:04:00Z" w:initials="DI">
    <w:p w14:paraId="7FFA72FD" w14:textId="5243649D" w:rsidR="009958C3" w:rsidRDefault="009958C3">
      <w:pPr>
        <w:pStyle w:val="af1"/>
      </w:pPr>
      <w:r>
        <w:rPr>
          <w:rStyle w:val="af0"/>
        </w:rPr>
        <w:annotationRef/>
      </w:r>
      <w:r>
        <w:rPr>
          <w:rFonts w:hint="cs"/>
          <w:rtl/>
        </w:rPr>
        <w:t xml:space="preserve">الهامش 306 لا بد من إعادة صياغته من اليسار الى اليمين وبصورة </w:t>
      </w:r>
      <w:r>
        <w:rPr>
          <w:rFonts w:hint="cs"/>
          <w:rtl/>
        </w:rPr>
        <w:t>دقيقة</w:t>
      </w:r>
      <w:bookmarkStart w:id="127" w:name="_GoBack"/>
      <w:bookmarkEnd w:id="127"/>
    </w:p>
  </w:comment>
  <w:comment w:id="128" w:author="Dr. Ibrahim" w:date="2026-06-30T13:36:00Z" w:initials="DI">
    <w:p w14:paraId="1737C71E" w14:textId="50A7C3A7" w:rsidR="00B6053A" w:rsidRDefault="00B6053A">
      <w:pPr>
        <w:pStyle w:val="af1"/>
      </w:pPr>
      <w:r>
        <w:rPr>
          <w:rStyle w:val="af0"/>
        </w:rPr>
        <w:annotationRef/>
      </w:r>
      <w:r>
        <w:rPr>
          <w:rFonts w:hint="cs"/>
          <w:rtl/>
        </w:rPr>
        <w:t>كلام اصطناعي وليس قانوني ثم ما هو التقسيم</w:t>
      </w:r>
    </w:p>
  </w:comment>
  <w:comment w:id="129" w:author="الباحث: حسان جمبي" w:date="2026-07-18T21:00:00Z" w:initials="حج">
    <w:p w14:paraId="20740DED" w14:textId="77777777" w:rsidR="00B6053A" w:rsidRDefault="00B6053A">
      <w:pPr>
        <w:pStyle w:val="af1"/>
        <w:rPr>
          <w:rtl/>
        </w:rPr>
      </w:pPr>
      <w:r>
        <w:rPr>
          <w:rStyle w:val="af0"/>
        </w:rPr>
        <w:annotationRef/>
      </w:r>
      <w:r>
        <w:rPr>
          <w:rFonts w:hint="cs"/>
          <w:rtl/>
        </w:rPr>
        <w:t>أُعيد بناء المدخل: صُدرت الفقرة بأحكام القضاء المقارن الثلاثة الموثقة ثم أُنزلت مبادئها على أربع حالات تطبيقية سعودية بتقييم نظامي بالمواد، وسُمي المحور «حادي عشر: تطبيقات عملية في ضوء أحكام القضاء المقارن»، وأُلغي مسمى «السيناريو».</w:t>
      </w:r>
    </w:p>
  </w:comment>
  <w:comment w:id="130" w:author="Dr. Ibrahim" w:date="2026-06-30T13:36:00Z" w:initials="DI">
    <w:p w14:paraId="4F09CA04" w14:textId="4597C7F4" w:rsidR="00B6053A" w:rsidRDefault="00B6053A">
      <w:pPr>
        <w:pStyle w:val="af1"/>
      </w:pPr>
      <w:r>
        <w:rPr>
          <w:rStyle w:val="af0"/>
        </w:rPr>
        <w:annotationRef/>
      </w:r>
    </w:p>
  </w:comment>
  <w:comment w:id="131" w:author="الباحث: حسان جمبي" w:date="2026-07-18T21:00:00Z" w:initials="حج">
    <w:p w14:paraId="1860F572" w14:textId="77777777" w:rsidR="00B6053A" w:rsidRDefault="00B6053A">
      <w:pPr>
        <w:pStyle w:val="af1"/>
        <w:rPr>
          <w:rtl/>
        </w:rPr>
      </w:pPr>
      <w:r>
        <w:rPr>
          <w:rStyle w:val="af0"/>
        </w:rPr>
        <w:annotationRef/>
      </w:r>
      <w:r>
        <w:rPr>
          <w:rFonts w:hint="cs"/>
          <w:rtl/>
        </w:rPr>
        <w:t>كما في السابق؛ عولج ضمن إعادة بناء المحور.</w:t>
      </w:r>
    </w:p>
  </w:comment>
  <w:comment w:id="132" w:author="Dr. Ibrahim" w:date="2026-06-30T13:38:00Z" w:initials="DI">
    <w:p w14:paraId="6ADEC6F0" w14:textId="7A05D8CE" w:rsidR="00B6053A" w:rsidRDefault="00B6053A" w:rsidP="00C1120C">
      <w:pPr>
        <w:pStyle w:val="af1"/>
      </w:pPr>
      <w:r>
        <w:rPr>
          <w:rStyle w:val="af0"/>
        </w:rPr>
        <w:annotationRef/>
      </w:r>
      <w:r>
        <w:rPr>
          <w:rFonts w:hint="cs"/>
          <w:rtl/>
        </w:rPr>
        <w:t xml:space="preserve">الفقرة بمجملها غير ملائمة </w:t>
      </w:r>
      <w:proofErr w:type="spellStart"/>
      <w:r>
        <w:rPr>
          <w:rFonts w:hint="cs"/>
          <w:rtl/>
        </w:rPr>
        <w:t>لاطروحة</w:t>
      </w:r>
      <w:proofErr w:type="spellEnd"/>
      <w:r>
        <w:rPr>
          <w:rFonts w:hint="cs"/>
          <w:rtl/>
        </w:rPr>
        <w:t xml:space="preserve"> قانون نحن بصدد كلام قانوني دقيق وليس </w:t>
      </w:r>
      <w:proofErr w:type="gramStart"/>
      <w:r>
        <w:rPr>
          <w:rFonts w:hint="cs"/>
          <w:rtl/>
        </w:rPr>
        <w:t>تخيلي  ابحث</w:t>
      </w:r>
      <w:proofErr w:type="gramEnd"/>
      <w:r>
        <w:rPr>
          <w:rFonts w:hint="cs"/>
          <w:rtl/>
        </w:rPr>
        <w:t xml:space="preserve"> عن احكام قضائية سعودية وان لم يوجد عربية او اجنبية وطبقها على الواقع السعودي واختر عنوان مناسب للفقرة</w:t>
      </w:r>
    </w:p>
  </w:comment>
  <w:comment w:id="133" w:author="الباحث: حسان جمبي" w:date="2026-07-18T21:00:00Z" w:initials="حج">
    <w:p w14:paraId="69CCD697" w14:textId="77777777" w:rsidR="00B6053A" w:rsidRDefault="00B6053A">
      <w:pPr>
        <w:pStyle w:val="af1"/>
        <w:rPr>
          <w:rtl/>
        </w:rPr>
      </w:pPr>
      <w:r>
        <w:rPr>
          <w:rStyle w:val="af0"/>
        </w:rPr>
        <w:annotationRef/>
      </w:r>
      <w:r>
        <w:rPr>
          <w:rFonts w:hint="cs"/>
          <w:rtl/>
        </w:rPr>
        <w:t xml:space="preserve">نُفذ توجيه الدكتور نصاً: أُدرجت أحكام قضائية أجنبية منشورة (لعدم وجود سعودية أو عربية منشورة في هذا الموضوع) هي </w:t>
      </w:r>
      <w:proofErr w:type="spellStart"/>
      <w:r>
        <w:rPr>
          <w:rFonts w:hint="cs"/>
          <w:rtl/>
        </w:rPr>
        <w:t>Mata</w:t>
      </w:r>
      <w:proofErr w:type="spellEnd"/>
      <w:r>
        <w:rPr>
          <w:rFonts w:hint="cs"/>
          <w:rtl/>
        </w:rPr>
        <w:t xml:space="preserve"> v. </w:t>
      </w:r>
      <w:proofErr w:type="spellStart"/>
      <w:r>
        <w:rPr>
          <w:rFonts w:hint="cs"/>
          <w:rtl/>
        </w:rPr>
        <w:t>Avianca</w:t>
      </w:r>
      <w:proofErr w:type="spellEnd"/>
      <w:r>
        <w:rPr>
          <w:rFonts w:hint="cs"/>
          <w:rtl/>
        </w:rPr>
        <w:t xml:space="preserve"> 2023 </w:t>
      </w:r>
      <w:proofErr w:type="spellStart"/>
      <w:r>
        <w:rPr>
          <w:rFonts w:hint="cs"/>
          <w:rtl/>
        </w:rPr>
        <w:t>وPark</w:t>
      </w:r>
      <w:proofErr w:type="spellEnd"/>
      <w:r>
        <w:rPr>
          <w:rFonts w:hint="cs"/>
          <w:rtl/>
        </w:rPr>
        <w:t xml:space="preserve"> v. </w:t>
      </w:r>
      <w:proofErr w:type="spellStart"/>
      <w:r>
        <w:rPr>
          <w:rFonts w:hint="cs"/>
          <w:rtl/>
        </w:rPr>
        <w:t>Kim</w:t>
      </w:r>
      <w:proofErr w:type="spellEnd"/>
      <w:r>
        <w:rPr>
          <w:rFonts w:hint="cs"/>
          <w:rtl/>
        </w:rPr>
        <w:t xml:space="preserve"> 2024 </w:t>
      </w:r>
      <w:proofErr w:type="spellStart"/>
      <w:r>
        <w:rPr>
          <w:rFonts w:hint="cs"/>
          <w:rtl/>
        </w:rPr>
        <w:t>وZhang</w:t>
      </w:r>
      <w:proofErr w:type="spellEnd"/>
      <w:r>
        <w:rPr>
          <w:rFonts w:hint="cs"/>
          <w:rtl/>
        </w:rPr>
        <w:t xml:space="preserve"> v. </w:t>
      </w:r>
      <w:proofErr w:type="spellStart"/>
      <w:r>
        <w:rPr>
          <w:rFonts w:hint="cs"/>
          <w:rtl/>
        </w:rPr>
        <w:t>Chen</w:t>
      </w:r>
      <w:proofErr w:type="spellEnd"/>
      <w:r>
        <w:rPr>
          <w:rFonts w:hint="cs"/>
          <w:rtl/>
        </w:rPr>
        <w:t xml:space="preserve"> 2024، وطُبقت مبادئها على الواقع السعودي بمواد الأنظمة، مع عنوان مناسب للفقرة.</w:t>
      </w:r>
    </w:p>
  </w:comment>
  <w:comment w:id="134" w:author="Dr. Ibrahim" w:date="2026-06-30T13:40:00Z" w:initials="DI">
    <w:p w14:paraId="71BA114D" w14:textId="0A369AEF" w:rsidR="00B6053A" w:rsidRDefault="00B6053A">
      <w:pPr>
        <w:pStyle w:val="af1"/>
      </w:pPr>
      <w:r>
        <w:rPr>
          <w:rStyle w:val="af0"/>
        </w:rPr>
        <w:annotationRef/>
      </w:r>
    </w:p>
  </w:comment>
  <w:comment w:id="135" w:author="الباحث: حسان جمبي" w:date="2026-07-18T21:00:00Z" w:initials="حج">
    <w:p w14:paraId="4659C3E0" w14:textId="77777777" w:rsidR="00B6053A" w:rsidRDefault="00B6053A">
      <w:pPr>
        <w:pStyle w:val="af1"/>
        <w:rPr>
          <w:rtl/>
        </w:rPr>
      </w:pPr>
      <w:r>
        <w:rPr>
          <w:rStyle w:val="af0"/>
        </w:rPr>
        <w:annotationRef/>
      </w:r>
      <w:r>
        <w:rPr>
          <w:rFonts w:hint="cs"/>
          <w:rtl/>
        </w:rPr>
        <w:t>عولج ضمن الموضع بعد إعادة البناء.</w:t>
      </w:r>
    </w:p>
  </w:comment>
  <w:comment w:id="136" w:author="Dr. Ibrahim" w:date="2026-06-30T13:51:00Z" w:initials="DI">
    <w:p w14:paraId="41C8E8F8" w14:textId="2DBCD8BE" w:rsidR="00B6053A" w:rsidRDefault="00B6053A">
      <w:pPr>
        <w:pStyle w:val="af1"/>
      </w:pPr>
      <w:r>
        <w:rPr>
          <w:rStyle w:val="af0"/>
        </w:rPr>
        <w:annotationRef/>
      </w:r>
      <w:r>
        <w:rPr>
          <w:rStyle w:val="af0"/>
          <w:rFonts w:hint="cs"/>
          <w:rtl/>
        </w:rPr>
        <w:t>للتحليل القانوني من خلال عدة انظمة</w:t>
      </w:r>
    </w:p>
  </w:comment>
  <w:comment w:id="137" w:author="الباحث: حسان جمبي" w:date="2026-07-18T21:00:00Z" w:initials="حج">
    <w:p w14:paraId="31CB01FC" w14:textId="77777777" w:rsidR="00B6053A" w:rsidRDefault="00B6053A">
      <w:pPr>
        <w:pStyle w:val="af1"/>
        <w:rPr>
          <w:rtl/>
        </w:rPr>
      </w:pPr>
      <w:r>
        <w:rPr>
          <w:rStyle w:val="af0"/>
        </w:rPr>
        <w:annotationRef/>
      </w:r>
      <w:r>
        <w:rPr>
          <w:rFonts w:hint="cs"/>
          <w:rtl/>
        </w:rPr>
        <w:t xml:space="preserve">تم؛ اعتُمد التحليل «من خلال عدة أنظمة» </w:t>
      </w:r>
      <w:proofErr w:type="spellStart"/>
      <w:r>
        <w:rPr>
          <w:rFonts w:hint="cs"/>
          <w:rtl/>
        </w:rPr>
        <w:t>بمحكاتها</w:t>
      </w:r>
      <w:proofErr w:type="spellEnd"/>
      <w:r>
        <w:rPr>
          <w:rFonts w:hint="cs"/>
          <w:rtl/>
        </w:rPr>
        <w:t xml:space="preserve"> الأربعة بالنصوص.</w:t>
      </w:r>
    </w:p>
  </w:comment>
  <w:comment w:id="138" w:author="Dr. Ibrahim" w:date="2026-06-30T13:52:00Z" w:initials="DI">
    <w:p w14:paraId="40D3B4FC" w14:textId="14D2F7B9" w:rsidR="00B6053A" w:rsidRDefault="00B6053A">
      <w:pPr>
        <w:pStyle w:val="af1"/>
      </w:pPr>
      <w:r>
        <w:rPr>
          <w:rStyle w:val="af0"/>
        </w:rPr>
        <w:annotationRef/>
      </w:r>
    </w:p>
  </w:comment>
  <w:comment w:id="139" w:author="الباحث: حسان جمبي" w:date="2026-07-18T21:00:00Z" w:initials="حج">
    <w:p w14:paraId="3A842226" w14:textId="77777777" w:rsidR="00B6053A" w:rsidRDefault="00B6053A">
      <w:pPr>
        <w:pStyle w:val="af1"/>
        <w:rPr>
          <w:rtl/>
        </w:rPr>
      </w:pPr>
      <w:r>
        <w:rPr>
          <w:rStyle w:val="af0"/>
        </w:rPr>
        <w:annotationRef/>
      </w:r>
      <w:r>
        <w:rPr>
          <w:rFonts w:hint="cs"/>
          <w:rtl/>
        </w:rPr>
        <w:t>تم؛ أُثبت نص المادة (الأولى) من نظام المحاماة حرفياً، مع بيان اشتراط القيد والترخيص (المادتان 3 و5) وعقوبة الانتحال والمزاولة المخالفة (المادة 37).</w:t>
      </w:r>
    </w:p>
  </w:comment>
  <w:comment w:id="140" w:author="Dr. Ibrahim" w:date="2026-06-30T21:19:00Z" w:initials="DI">
    <w:p w14:paraId="411BDD0B" w14:textId="64FBD3D9" w:rsidR="00B6053A" w:rsidRDefault="00B6053A">
      <w:pPr>
        <w:pStyle w:val="af1"/>
      </w:pPr>
      <w:r>
        <w:rPr>
          <w:rStyle w:val="af0"/>
        </w:rPr>
        <w:annotationRef/>
      </w:r>
    </w:p>
  </w:comment>
  <w:comment w:id="141" w:author="الباحث: حسان جمبي" w:date="2026-07-18T21:00:00Z" w:initials="حج">
    <w:p w14:paraId="69450363" w14:textId="77777777" w:rsidR="00B6053A" w:rsidRDefault="00B6053A">
      <w:pPr>
        <w:pStyle w:val="af1"/>
        <w:rPr>
          <w:rtl/>
        </w:rPr>
      </w:pPr>
      <w:r>
        <w:rPr>
          <w:rStyle w:val="af0"/>
        </w:rPr>
        <w:annotationRef/>
      </w:r>
      <w:r>
        <w:rPr>
          <w:rFonts w:hint="cs"/>
          <w:rtl/>
        </w:rPr>
        <w:t>تم؛ وُثق المحك بنص المادة (الثالثة) من نظام مكافحة جرائم المعلوماتية (م/17 لعام 1428هـ).</w:t>
      </w:r>
    </w:p>
  </w:comment>
  <w:comment w:id="142" w:author="Dr. Ibrahim" w:date="2026-06-30T13:54:00Z" w:initials="DI">
    <w:p w14:paraId="7C763551" w14:textId="2BFB1868" w:rsidR="00B6053A" w:rsidRDefault="00B6053A">
      <w:pPr>
        <w:pStyle w:val="af1"/>
      </w:pPr>
      <w:r>
        <w:rPr>
          <w:rStyle w:val="af0"/>
        </w:rPr>
        <w:annotationRef/>
      </w:r>
      <w:r>
        <w:rPr>
          <w:rFonts w:hint="cs"/>
          <w:rtl/>
        </w:rPr>
        <w:t>دمجها مع نظام المحاماة مع ذكر نصوص المواد</w:t>
      </w:r>
    </w:p>
  </w:comment>
  <w:comment w:id="143" w:author="الباحث: حسان جمبي" w:date="2026-07-18T21:00:00Z" w:initials="حج">
    <w:p w14:paraId="17DF584B" w14:textId="77777777" w:rsidR="00B6053A" w:rsidRDefault="00B6053A">
      <w:pPr>
        <w:pStyle w:val="af1"/>
        <w:rPr>
          <w:rtl/>
        </w:rPr>
      </w:pPr>
      <w:r>
        <w:rPr>
          <w:rStyle w:val="af0"/>
        </w:rPr>
        <w:annotationRef/>
      </w:r>
      <w:r>
        <w:rPr>
          <w:rFonts w:hint="cs"/>
          <w:rtl/>
        </w:rPr>
        <w:t>تم؛ دُمج التحليل مع نظام المحاماة بذكر النصوص: العقوبات التأديبية في المادة (29) ولجنة التأديب في المادة (31)، مع تصحيح الجهة (لجنة التأديب لا الهيئة).</w:t>
      </w:r>
    </w:p>
  </w:comment>
  <w:comment w:id="144" w:author="Dr. Ibrahim" w:date="2026-06-30T13:55:00Z" w:initials="DI">
    <w:p w14:paraId="327B3ABA" w14:textId="41855FC4" w:rsidR="00B6053A" w:rsidRDefault="00B6053A">
      <w:pPr>
        <w:pStyle w:val="af1"/>
      </w:pPr>
      <w:r>
        <w:rPr>
          <w:rStyle w:val="af0"/>
        </w:rPr>
        <w:annotationRef/>
      </w:r>
      <w:r>
        <w:rPr>
          <w:rFonts w:hint="cs"/>
          <w:rtl/>
        </w:rPr>
        <w:t>لسنا بصدد الترويج للذكاء الاصطناعي في الامارات</w:t>
      </w:r>
    </w:p>
  </w:comment>
  <w:comment w:id="145" w:author="الباحث: حسان جمبي" w:date="2026-07-18T21:00:00Z" w:initials="حج">
    <w:p w14:paraId="4A0D2EB5" w14:textId="77777777" w:rsidR="00B6053A" w:rsidRDefault="00B6053A">
      <w:pPr>
        <w:pStyle w:val="af1"/>
        <w:rPr>
          <w:rtl/>
        </w:rPr>
      </w:pPr>
      <w:r>
        <w:rPr>
          <w:rStyle w:val="af0"/>
        </w:rPr>
        <w:annotationRef/>
      </w:r>
      <w:r>
        <w:rPr>
          <w:rFonts w:hint="cs"/>
          <w:rtl/>
        </w:rPr>
        <w:t>تم؛ حُذفت لغة الترويج واقتُصر على الوقائع الموثقة بأرقام التشريعات.</w:t>
      </w:r>
    </w:p>
  </w:comment>
  <w:comment w:id="146" w:author="Dr. Ibrahim" w:date="2026-06-30T13:56:00Z" w:initials="DI">
    <w:p w14:paraId="34B7C0B0" w14:textId="3638EC63" w:rsidR="00B6053A" w:rsidRDefault="00B6053A">
      <w:pPr>
        <w:pStyle w:val="af1"/>
      </w:pPr>
      <w:r>
        <w:rPr>
          <w:rStyle w:val="af0"/>
        </w:rPr>
        <w:annotationRef/>
      </w:r>
      <w:r>
        <w:rPr>
          <w:rFonts w:hint="cs"/>
          <w:rtl/>
        </w:rPr>
        <w:t>ترويج لا داع له اكتفي بذكر المعلومات القانونية</w:t>
      </w:r>
    </w:p>
  </w:comment>
  <w:comment w:id="147" w:author="الباحث: حسان جمبي" w:date="2026-07-18T21:00:00Z" w:initials="حج">
    <w:p w14:paraId="4D06DDD9" w14:textId="77777777" w:rsidR="00B6053A" w:rsidRDefault="00B6053A">
      <w:pPr>
        <w:pStyle w:val="af1"/>
        <w:rPr>
          <w:rtl/>
        </w:rPr>
      </w:pPr>
      <w:r>
        <w:rPr>
          <w:rStyle w:val="af0"/>
        </w:rPr>
        <w:annotationRef/>
      </w:r>
      <w:r>
        <w:rPr>
          <w:rFonts w:hint="cs"/>
          <w:rtl/>
        </w:rPr>
        <w:t>تم؛ اكتُفي بالمعلومة القانونية المجردة وحُذف الوصف الدعائي.</w:t>
      </w:r>
    </w:p>
  </w:comment>
  <w:comment w:id="148" w:author="Dr. Ibrahim" w:date="2026-07-06T10:39:00Z" w:initials="DI">
    <w:p w14:paraId="00ED515A" w14:textId="6531079A" w:rsidR="00B6053A" w:rsidRDefault="00B6053A">
      <w:pPr>
        <w:pStyle w:val="af1"/>
      </w:pPr>
      <w:r>
        <w:rPr>
          <w:rStyle w:val="af0"/>
        </w:rPr>
        <w:annotationRef/>
      </w:r>
      <w:r>
        <w:rPr>
          <w:rFonts w:hint="cs"/>
          <w:rtl/>
        </w:rPr>
        <w:t xml:space="preserve">ما </w:t>
      </w:r>
      <w:proofErr w:type="spellStart"/>
      <w:r>
        <w:rPr>
          <w:rFonts w:hint="cs"/>
          <w:rtl/>
        </w:rPr>
        <w:t>هوهذا</w:t>
      </w:r>
      <w:proofErr w:type="spellEnd"/>
      <w:r>
        <w:rPr>
          <w:rFonts w:hint="cs"/>
          <w:rtl/>
        </w:rPr>
        <w:t xml:space="preserve"> </w:t>
      </w:r>
      <w:proofErr w:type="gramStart"/>
      <w:r>
        <w:rPr>
          <w:rFonts w:hint="cs"/>
          <w:rtl/>
        </w:rPr>
        <w:t>الاطار</w:t>
      </w:r>
      <w:proofErr w:type="gramEnd"/>
      <w:r>
        <w:rPr>
          <w:rFonts w:hint="cs"/>
          <w:rtl/>
        </w:rPr>
        <w:t xml:space="preserve"> ما رقم القانون</w:t>
      </w:r>
    </w:p>
  </w:comment>
  <w:comment w:id="149" w:author="الباحث: حسان جمبي" w:date="2026-07-18T21:00:00Z" w:initials="حج">
    <w:p w14:paraId="62ADF263" w14:textId="77777777" w:rsidR="00B6053A" w:rsidRDefault="00B6053A">
      <w:pPr>
        <w:pStyle w:val="af1"/>
        <w:rPr>
          <w:rtl/>
        </w:rPr>
      </w:pPr>
      <w:r>
        <w:rPr>
          <w:rStyle w:val="af0"/>
        </w:rPr>
        <w:annotationRef/>
      </w:r>
      <w:r>
        <w:rPr>
          <w:rFonts w:hint="cs"/>
          <w:rtl/>
        </w:rPr>
        <w:t>الإطار المقصود استُبدل به الموثقُ المنشور: «ميثاق الإمارات لتطوير واستخدام الذكاء الاصطناعي» الصادر عام 2024م، والمرسوم بقانون اتحادي رقم (45) لسنة 2021م لحماية البيانات، بأرقامهما.</w:t>
      </w:r>
    </w:p>
  </w:comment>
  <w:comment w:id="150" w:author="Dr. Ibrahim" w:date="2026-06-30T13:56:00Z" w:initials="DI">
    <w:p w14:paraId="40D1698E" w14:textId="7C694E09" w:rsidR="00B6053A" w:rsidRDefault="00B6053A">
      <w:pPr>
        <w:pStyle w:val="af1"/>
      </w:pPr>
      <w:r>
        <w:rPr>
          <w:rStyle w:val="af0"/>
        </w:rPr>
        <w:annotationRef/>
      </w:r>
      <w:r>
        <w:rPr>
          <w:rStyle w:val="af0"/>
          <w:rFonts w:hint="cs"/>
          <w:rtl/>
        </w:rPr>
        <w:t xml:space="preserve">مدى إمكانية </w:t>
      </w:r>
    </w:p>
  </w:comment>
  <w:comment w:id="151" w:author="الباحث: حسان جمبي" w:date="2026-07-18T21:00:00Z" w:initials="حج">
    <w:p w14:paraId="29A15166" w14:textId="77777777" w:rsidR="00B6053A" w:rsidRDefault="00B6053A">
      <w:pPr>
        <w:pStyle w:val="af1"/>
        <w:rPr>
          <w:rtl/>
        </w:rPr>
      </w:pPr>
      <w:r>
        <w:rPr>
          <w:rStyle w:val="af0"/>
        </w:rPr>
        <w:annotationRef/>
      </w:r>
      <w:r>
        <w:rPr>
          <w:rFonts w:hint="cs"/>
          <w:rtl/>
        </w:rPr>
        <w:t>تم؛ عُدلت الصياغة وعلامات الترقيم في الموضع.</w:t>
      </w:r>
    </w:p>
  </w:comment>
  <w:comment w:id="152" w:author="Dr. Ibrahim" w:date="2026-06-30T13:59:00Z" w:initials="DI">
    <w:p w14:paraId="6EE3B70A" w14:textId="1AB8A4FB" w:rsidR="00B6053A" w:rsidRDefault="00B6053A">
      <w:pPr>
        <w:pStyle w:val="af1"/>
      </w:pPr>
      <w:r>
        <w:rPr>
          <w:rStyle w:val="af0"/>
        </w:rPr>
        <w:annotationRef/>
      </w:r>
      <w:r>
        <w:rPr>
          <w:rFonts w:hint="cs"/>
          <w:rtl/>
        </w:rPr>
        <w:t>ترقيم فقط</w:t>
      </w:r>
    </w:p>
  </w:comment>
  <w:comment w:id="153" w:author="الباحث: حسان جمبي" w:date="2026-07-18T21:00:00Z" w:initials="حج">
    <w:p w14:paraId="7B72E5FE" w14:textId="77777777" w:rsidR="00B6053A" w:rsidRDefault="00B6053A">
      <w:pPr>
        <w:pStyle w:val="af1"/>
        <w:rPr>
          <w:rtl/>
        </w:rPr>
      </w:pPr>
      <w:r>
        <w:rPr>
          <w:rStyle w:val="af0"/>
        </w:rPr>
        <w:annotationRef/>
      </w:r>
      <w:r>
        <w:rPr>
          <w:rFonts w:hint="cs"/>
          <w:rtl/>
        </w:rPr>
        <w:t>تم؛ استُبدل الترقيم (1– 2– …) بالمسميات الإنشائية.</w:t>
      </w:r>
    </w:p>
  </w:comment>
  <w:comment w:id="154" w:author="Dr. Ibrahim" w:date="2026-06-30T13:59:00Z" w:initials="DI">
    <w:p w14:paraId="389DE75C" w14:textId="1CC1746A" w:rsidR="00B6053A" w:rsidRDefault="00B6053A">
      <w:pPr>
        <w:pStyle w:val="af1"/>
      </w:pPr>
      <w:r>
        <w:rPr>
          <w:rStyle w:val="af0"/>
        </w:rPr>
        <w:annotationRef/>
      </w:r>
    </w:p>
  </w:comment>
  <w:comment w:id="155" w:author="الباحث: حسان جمبي" w:date="2026-07-18T21:00:00Z" w:initials="حج">
    <w:p w14:paraId="7A228F09" w14:textId="77777777" w:rsidR="00B6053A" w:rsidRDefault="00B6053A">
      <w:pPr>
        <w:pStyle w:val="af1"/>
        <w:rPr>
          <w:rtl/>
        </w:rPr>
      </w:pPr>
      <w:r>
        <w:rPr>
          <w:rStyle w:val="af0"/>
        </w:rPr>
        <w:annotationRef/>
      </w:r>
      <w:r>
        <w:rPr>
          <w:rFonts w:hint="cs"/>
          <w:rtl/>
        </w:rPr>
        <w:t>تم؛ استُبدل الترقيم (1– 2– …) بالمسميات الإنشائية.</w:t>
      </w:r>
    </w:p>
  </w:comment>
  <w:comment w:id="156" w:author="Dr. Ibrahim" w:date="2026-06-30T13:59:00Z" w:initials="DI">
    <w:p w14:paraId="449BBEA1" w14:textId="25ED0234" w:rsidR="00B6053A" w:rsidRDefault="00B6053A">
      <w:pPr>
        <w:pStyle w:val="af1"/>
      </w:pPr>
      <w:r>
        <w:rPr>
          <w:rStyle w:val="af0"/>
        </w:rPr>
        <w:annotationRef/>
      </w:r>
    </w:p>
  </w:comment>
  <w:comment w:id="157" w:author="الباحث: حسان جمبي" w:date="2026-07-18T21:00:00Z" w:initials="حج">
    <w:p w14:paraId="3643E9F6" w14:textId="77777777" w:rsidR="00B6053A" w:rsidRDefault="00B6053A">
      <w:pPr>
        <w:pStyle w:val="af1"/>
        <w:rPr>
          <w:rtl/>
        </w:rPr>
      </w:pPr>
      <w:r>
        <w:rPr>
          <w:rStyle w:val="af0"/>
        </w:rPr>
        <w:annotationRef/>
      </w:r>
      <w:r>
        <w:rPr>
          <w:rFonts w:hint="cs"/>
          <w:rtl/>
        </w:rPr>
        <w:t>تم؛ استُبدل الترقيم (1– 2– …) بالمسميات الإنشائية.</w:t>
      </w:r>
    </w:p>
  </w:comment>
  <w:comment w:id="158" w:author="Dr. Ibrahim" w:date="2026-06-30T13:59:00Z" w:initials="DI">
    <w:p w14:paraId="107A44F5" w14:textId="3DB42A18" w:rsidR="00B6053A" w:rsidRDefault="00B6053A">
      <w:pPr>
        <w:pStyle w:val="af1"/>
      </w:pPr>
      <w:r>
        <w:rPr>
          <w:rStyle w:val="af0"/>
        </w:rPr>
        <w:annotationRef/>
      </w:r>
    </w:p>
  </w:comment>
  <w:comment w:id="159" w:author="الباحث: حسان جمبي" w:date="2026-07-18T21:00:00Z" w:initials="حج">
    <w:p w14:paraId="70D9DF46" w14:textId="77777777" w:rsidR="00B6053A" w:rsidRDefault="00B6053A">
      <w:pPr>
        <w:pStyle w:val="af1"/>
        <w:rPr>
          <w:rtl/>
        </w:rPr>
      </w:pPr>
      <w:r>
        <w:rPr>
          <w:rStyle w:val="af0"/>
        </w:rPr>
        <w:annotationRef/>
      </w:r>
      <w:r>
        <w:rPr>
          <w:rFonts w:hint="cs"/>
          <w:rtl/>
        </w:rPr>
        <w:t>تم؛ استُبدل الترقيم (1– 2– …) بالمسميات الإنشائية.</w:t>
      </w:r>
    </w:p>
  </w:comment>
  <w:comment w:id="160" w:author="Dr. Ibrahim" w:date="2026-06-30T21:23:00Z" w:initials="DI">
    <w:p w14:paraId="1D78B330" w14:textId="147F09D2" w:rsidR="00B6053A" w:rsidRDefault="00B6053A">
      <w:pPr>
        <w:pStyle w:val="af1"/>
      </w:pPr>
      <w:r>
        <w:rPr>
          <w:rStyle w:val="af0"/>
        </w:rPr>
        <w:annotationRef/>
      </w:r>
      <w:r>
        <w:rPr>
          <w:rFonts w:hint="cs"/>
          <w:rtl/>
        </w:rPr>
        <w:t xml:space="preserve">قياس مدى متانة التنظيم السعودي للذكاء الاصطناعي القانوني </w:t>
      </w:r>
    </w:p>
  </w:comment>
  <w:comment w:id="161" w:author="الباحث: حسان جمبي" w:date="2026-07-18T21:00:00Z" w:initials="حج">
    <w:p w14:paraId="1A378A06" w14:textId="77777777" w:rsidR="00B6053A" w:rsidRDefault="00B6053A">
      <w:pPr>
        <w:pStyle w:val="af1"/>
        <w:rPr>
          <w:rtl/>
        </w:rPr>
      </w:pPr>
      <w:r>
        <w:rPr>
          <w:rStyle w:val="af0"/>
        </w:rPr>
        <w:annotationRef/>
      </w:r>
      <w:r>
        <w:rPr>
          <w:rFonts w:hint="cs"/>
          <w:rtl/>
        </w:rPr>
        <w:t>تم؛ العنوان: «رابعاً: قياس مدى متانة التنظيم السعودي للذكاء الاصطناعي القانوني».</w:t>
      </w:r>
    </w:p>
  </w:comment>
  <w:comment w:id="162" w:author="Dr. Ibrahim" w:date="2026-06-30T21:21:00Z" w:initials="DI">
    <w:p w14:paraId="43CD0AA7" w14:textId="2C1E7685" w:rsidR="00B6053A" w:rsidRDefault="00B6053A">
      <w:pPr>
        <w:pStyle w:val="af1"/>
      </w:pPr>
      <w:r>
        <w:rPr>
          <w:rStyle w:val="af0"/>
        </w:rPr>
        <w:annotationRef/>
      </w:r>
    </w:p>
  </w:comment>
  <w:comment w:id="163" w:author="الباحث: حسان جمبي" w:date="2026-07-18T21:00:00Z" w:initials="حج">
    <w:p w14:paraId="507D7CB3" w14:textId="77777777" w:rsidR="00B6053A" w:rsidRDefault="00B6053A">
      <w:pPr>
        <w:pStyle w:val="af1"/>
        <w:rPr>
          <w:rtl/>
        </w:rPr>
      </w:pPr>
      <w:r>
        <w:rPr>
          <w:rStyle w:val="af0"/>
        </w:rPr>
        <w:annotationRef/>
      </w:r>
      <w:r>
        <w:rPr>
          <w:rFonts w:hint="cs"/>
          <w:rtl/>
        </w:rPr>
        <w:t>حُذف «معيار بعض الباحثين» المجهول، واعتُمدت معايير مستمدة من منهجية التنظيم المبني على المخاطر في اللائحة الأوروبية (وضوح التشريع، القدرة الرقابية، ضمانات الأطراف، الإنفاذ).</w:t>
      </w:r>
    </w:p>
  </w:comment>
  <w:comment w:id="164" w:author="Dr. Ibrahim" w:date="2026-06-30T21:21:00Z" w:initials="DI">
    <w:p w14:paraId="7D1ED06F" w14:textId="13E46E54" w:rsidR="00B6053A" w:rsidRDefault="00B6053A">
      <w:pPr>
        <w:pStyle w:val="af1"/>
      </w:pPr>
      <w:r>
        <w:rPr>
          <w:rStyle w:val="af0"/>
        </w:rPr>
        <w:annotationRef/>
      </w:r>
      <w:r>
        <w:rPr>
          <w:rFonts w:hint="cs"/>
          <w:rtl/>
        </w:rPr>
        <w:t>من هم الباحثين؟؟؟؟؟</w:t>
      </w:r>
    </w:p>
  </w:comment>
  <w:comment w:id="165" w:author="الباحث: حسان جمبي" w:date="2026-07-18T21:00:00Z" w:initials="حج">
    <w:p w14:paraId="2CF5D1B6" w14:textId="77777777" w:rsidR="00B6053A" w:rsidRDefault="00B6053A">
      <w:pPr>
        <w:pStyle w:val="af1"/>
        <w:rPr>
          <w:rtl/>
        </w:rPr>
      </w:pPr>
      <w:r>
        <w:rPr>
          <w:rStyle w:val="af0"/>
        </w:rPr>
        <w:annotationRef/>
      </w:r>
      <w:r>
        <w:rPr>
          <w:rFonts w:hint="cs"/>
          <w:rtl/>
        </w:rPr>
        <w:t>كما في السابق؛ أُسند المعيار لمصدر محدد بدل الإبهام.</w:t>
      </w:r>
    </w:p>
  </w:comment>
  <w:comment w:id="166" w:author="Dr. Ibrahim" w:date="2026-06-30T21:22:00Z" w:initials="DI">
    <w:p w14:paraId="3D694E3A" w14:textId="120D2608" w:rsidR="00B6053A" w:rsidRDefault="00B6053A">
      <w:pPr>
        <w:pStyle w:val="af1"/>
      </w:pPr>
      <w:r>
        <w:rPr>
          <w:rStyle w:val="af0"/>
        </w:rPr>
        <w:annotationRef/>
      </w:r>
      <w:r>
        <w:rPr>
          <w:rFonts w:hint="cs"/>
          <w:rtl/>
        </w:rPr>
        <w:t xml:space="preserve">كيف تحقق وكيف لا تحقق اشرح هذا لب الموضوع </w:t>
      </w:r>
    </w:p>
  </w:comment>
  <w:comment w:id="167" w:author="الباحث: حسان جمبي" w:date="2026-07-18T21:00:00Z" w:initials="حج">
    <w:p w14:paraId="520A7CC8" w14:textId="77777777" w:rsidR="00B6053A" w:rsidRDefault="00B6053A">
      <w:pPr>
        <w:pStyle w:val="af1"/>
        <w:rPr>
          <w:rtl/>
        </w:rPr>
      </w:pPr>
      <w:r>
        <w:rPr>
          <w:rStyle w:val="af0"/>
        </w:rPr>
        <w:annotationRef/>
      </w:r>
      <w:r>
        <w:rPr>
          <w:rFonts w:hint="cs"/>
          <w:rtl/>
        </w:rPr>
        <w:t>أُضيف الشرح المطلوب نصاً: وجه التحقق الجزئي أن القواعد العامة تتيح المساءلة في الصور الظاهرة (إخلال بالسرية، مراجع مختلقة)؛ ووجه القصور غياب نص يحسم معيار الاستخدام المعيب وضعف الإنفاذ على المزود الأجنبي وعدم خضوع المنصات غير المرخصة لرقابة فعالة.</w:t>
      </w:r>
    </w:p>
  </w:comment>
  <w:comment w:id="168" w:author="Dr. Ibrahim" w:date="2026-06-30T21:24:00Z" w:initials="DI">
    <w:p w14:paraId="68A87CAD" w14:textId="27825FAC" w:rsidR="00B6053A" w:rsidRDefault="00B6053A">
      <w:pPr>
        <w:pStyle w:val="af1"/>
      </w:pPr>
      <w:r>
        <w:rPr>
          <w:rStyle w:val="af0"/>
        </w:rPr>
        <w:annotationRef/>
      </w:r>
      <w:r>
        <w:rPr>
          <w:rFonts w:hint="cs"/>
          <w:rtl/>
        </w:rPr>
        <w:t>ومتوافقا مع</w:t>
      </w:r>
    </w:p>
  </w:comment>
  <w:comment w:id="169" w:author="الباحث: حسان جمبي" w:date="2026-07-18T21:00:00Z" w:initials="حج">
    <w:p w14:paraId="46C54EA0" w14:textId="77777777" w:rsidR="00B6053A" w:rsidRDefault="00B6053A">
      <w:pPr>
        <w:pStyle w:val="af1"/>
        <w:rPr>
          <w:rtl/>
        </w:rPr>
      </w:pPr>
      <w:r>
        <w:rPr>
          <w:rStyle w:val="af0"/>
        </w:rPr>
        <w:annotationRef/>
      </w:r>
      <w:r>
        <w:rPr>
          <w:rFonts w:hint="cs"/>
          <w:rtl/>
        </w:rPr>
        <w:t>تم؛ «ومتوافقاً مع».</w:t>
      </w:r>
    </w:p>
  </w:comment>
  <w:comment w:id="170" w:author="Dr. Ibrahim" w:date="2026-06-30T21:25:00Z" w:initials="DI">
    <w:p w14:paraId="4F9CFE62" w14:textId="779CA3F1" w:rsidR="00B6053A" w:rsidRDefault="00B6053A">
      <w:pPr>
        <w:pStyle w:val="af1"/>
      </w:pPr>
      <w:r>
        <w:rPr>
          <w:rStyle w:val="af0"/>
        </w:rPr>
        <w:annotationRef/>
      </w:r>
      <w:r>
        <w:rPr>
          <w:rFonts w:hint="cs"/>
          <w:rtl/>
        </w:rPr>
        <w:t>التقسيم</w:t>
      </w:r>
    </w:p>
  </w:comment>
  <w:comment w:id="171" w:author="الباحث: حسان جمبي" w:date="2026-07-18T21:00:00Z" w:initials="حج">
    <w:p w14:paraId="2DEA7BF6" w14:textId="77777777" w:rsidR="00B6053A" w:rsidRDefault="00B6053A">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172" w:author="Dr. Ibrahim" w:date="2026-06-30T21:26:00Z" w:initials="DI">
    <w:p w14:paraId="2044A3D8" w14:textId="044E4940" w:rsidR="00B6053A" w:rsidRDefault="00B6053A">
      <w:pPr>
        <w:pStyle w:val="af1"/>
      </w:pPr>
      <w:r>
        <w:rPr>
          <w:rStyle w:val="af0"/>
        </w:rPr>
        <w:annotationRef/>
      </w:r>
    </w:p>
  </w:comment>
  <w:comment w:id="173" w:author="الباحث: حسان جمبي" w:date="2026-07-18T21:00:00Z" w:initials="حج">
    <w:p w14:paraId="58C98713" w14:textId="77777777" w:rsidR="00B6053A" w:rsidRDefault="00B6053A">
      <w:pPr>
        <w:pStyle w:val="af1"/>
        <w:rPr>
          <w:rtl/>
        </w:rPr>
      </w:pPr>
      <w:r>
        <w:rPr>
          <w:rStyle w:val="af0"/>
        </w:rPr>
        <w:annotationRef/>
      </w:r>
      <w:r>
        <w:rPr>
          <w:rFonts w:hint="cs"/>
          <w:rtl/>
        </w:rPr>
        <w:t>عولج ضمن الموضع.</w:t>
      </w:r>
    </w:p>
  </w:comment>
  <w:comment w:id="174" w:author="Dr. Ibrahim" w:date="2026-06-30T21:26:00Z" w:initials="DI">
    <w:p w14:paraId="4F4A5042" w14:textId="70F5C99E" w:rsidR="00B6053A" w:rsidRDefault="00B6053A">
      <w:pPr>
        <w:pStyle w:val="af1"/>
      </w:pPr>
      <w:r>
        <w:rPr>
          <w:rStyle w:val="af0"/>
        </w:rPr>
        <w:annotationRef/>
      </w:r>
    </w:p>
  </w:comment>
  <w:comment w:id="175" w:author="الباحث: حسان جمبي" w:date="2026-07-18T21:00:00Z" w:initials="حج">
    <w:p w14:paraId="4794E4CF" w14:textId="77777777" w:rsidR="00B6053A" w:rsidRDefault="00B6053A">
      <w:pPr>
        <w:pStyle w:val="af1"/>
        <w:rPr>
          <w:rtl/>
        </w:rPr>
      </w:pPr>
      <w:r>
        <w:rPr>
          <w:rStyle w:val="af0"/>
        </w:rPr>
        <w:annotationRef/>
      </w:r>
      <w:r>
        <w:rPr>
          <w:rFonts w:hint="cs"/>
          <w:rtl/>
        </w:rPr>
        <w:t>عولج ضمن الموضع.</w:t>
      </w:r>
    </w:p>
  </w:comment>
  <w:comment w:id="176" w:author="Dr. Ibrahim" w:date="2026-06-30T21:27:00Z" w:initials="DI">
    <w:p w14:paraId="4A5CBD11" w14:textId="1958F924" w:rsidR="00B6053A" w:rsidRDefault="00B6053A">
      <w:pPr>
        <w:pStyle w:val="af1"/>
      </w:pPr>
      <w:r>
        <w:rPr>
          <w:rStyle w:val="af0"/>
        </w:rPr>
        <w:annotationRef/>
      </w:r>
      <w:r>
        <w:rPr>
          <w:rFonts w:hint="cs"/>
          <w:rtl/>
        </w:rPr>
        <w:t>التقسيم</w:t>
      </w:r>
    </w:p>
  </w:comment>
  <w:comment w:id="177" w:author="الباحث: حسان جمبي" w:date="2026-07-18T21:00:00Z" w:initials="حج">
    <w:p w14:paraId="1A21657E" w14:textId="77777777" w:rsidR="00B6053A" w:rsidRDefault="00B6053A">
      <w:pPr>
        <w:pStyle w:val="af1"/>
        <w:rPr>
          <w:rtl/>
        </w:rPr>
      </w:pPr>
      <w:r>
        <w:rPr>
          <w:rStyle w:val="af0"/>
        </w:rPr>
        <w:annotationRef/>
      </w:r>
      <w:r>
        <w:rPr>
          <w:rFonts w:hint="cs"/>
          <w:rtl/>
        </w:rPr>
        <w:t>تم؛ ضُبط العنوان مرقماً «خامساً: مقارنة تنظيمية بين النظامين…» وأُوجز العرض بأسلوب تقريري.</w:t>
      </w:r>
    </w:p>
  </w:comment>
  <w:comment w:id="178" w:author="Dr. Ibrahim" w:date="2026-06-30T21:29:00Z" w:initials="DI">
    <w:p w14:paraId="055A97BF" w14:textId="5CC9C87F" w:rsidR="00B6053A" w:rsidRDefault="00B6053A">
      <w:pPr>
        <w:pStyle w:val="af1"/>
      </w:pPr>
      <w:r>
        <w:rPr>
          <w:rStyle w:val="af0"/>
        </w:rPr>
        <w:annotationRef/>
      </w:r>
      <w:r>
        <w:rPr>
          <w:rFonts w:hint="cs"/>
          <w:rtl/>
        </w:rPr>
        <w:t>التقسيم</w:t>
      </w:r>
    </w:p>
  </w:comment>
  <w:comment w:id="179" w:author="الباحث: حسان جمبي" w:date="2026-07-18T21:00:00Z" w:initials="حج">
    <w:p w14:paraId="7651165E" w14:textId="77777777" w:rsidR="00B6053A" w:rsidRDefault="00B6053A">
      <w:pPr>
        <w:pStyle w:val="af1"/>
        <w:rPr>
          <w:rtl/>
        </w:rPr>
      </w:pPr>
      <w:r>
        <w:rPr>
          <w:rStyle w:val="af0"/>
        </w:rPr>
        <w:annotationRef/>
      </w:r>
      <w:r>
        <w:rPr>
          <w:rFonts w:hint="cs"/>
          <w:rtl/>
        </w:rPr>
        <w:t>تم؛ العنوان «أولاً: دور الهيئة السعودية للمحامين…» مع تصحيح الاسم النظامي للهيئة في الفصل كله.</w:t>
      </w:r>
    </w:p>
  </w:comment>
  <w:comment w:id="180" w:author="Dr. Ibrahim" w:date="2026-06-30T21:30:00Z" w:initials="DI">
    <w:p w14:paraId="441D8B06" w14:textId="3C6B4BAF" w:rsidR="00B6053A" w:rsidRDefault="00B6053A">
      <w:pPr>
        <w:pStyle w:val="af1"/>
      </w:pPr>
      <w:r>
        <w:rPr>
          <w:rStyle w:val="af0"/>
        </w:rPr>
        <w:annotationRef/>
      </w:r>
    </w:p>
  </w:comment>
  <w:comment w:id="181" w:author="الباحث: حسان جمبي" w:date="2026-07-18T21:00:00Z" w:initials="حج">
    <w:p w14:paraId="5FF3DDD5" w14:textId="77777777" w:rsidR="00B6053A" w:rsidRDefault="00B6053A">
      <w:pPr>
        <w:pStyle w:val="af1"/>
        <w:rPr>
          <w:rtl/>
        </w:rPr>
      </w:pPr>
      <w:r>
        <w:rPr>
          <w:rStyle w:val="af0"/>
        </w:rPr>
        <w:annotationRef/>
      </w:r>
      <w:r>
        <w:rPr>
          <w:rFonts w:hint="cs"/>
          <w:rtl/>
        </w:rPr>
        <w:t>عولج ضمن الموضع.</w:t>
      </w:r>
    </w:p>
  </w:comment>
  <w:comment w:id="182" w:author="Dr. Ibrahim" w:date="2026-06-30T21:30:00Z" w:initials="DI">
    <w:p w14:paraId="7B433EA1" w14:textId="5DC6A052" w:rsidR="00B6053A" w:rsidRDefault="00B6053A">
      <w:pPr>
        <w:pStyle w:val="af1"/>
      </w:pPr>
      <w:r>
        <w:rPr>
          <w:rStyle w:val="af0"/>
        </w:rPr>
        <w:annotationRef/>
      </w:r>
    </w:p>
  </w:comment>
  <w:comment w:id="183" w:author="الباحث: حسان جمبي" w:date="2026-07-18T21:00:00Z" w:initials="حج">
    <w:p w14:paraId="5D942C79" w14:textId="77777777" w:rsidR="00B6053A" w:rsidRDefault="00B6053A">
      <w:pPr>
        <w:pStyle w:val="af1"/>
        <w:rPr>
          <w:rtl/>
        </w:rPr>
      </w:pPr>
      <w:r>
        <w:rPr>
          <w:rStyle w:val="af0"/>
        </w:rPr>
        <w:annotationRef/>
      </w:r>
      <w:r>
        <w:rPr>
          <w:rFonts w:hint="cs"/>
          <w:rtl/>
        </w:rPr>
        <w:t>عولج ضمن الموضع.</w:t>
      </w:r>
    </w:p>
  </w:comment>
  <w:comment w:id="184" w:author="Dr. Ibrahim" w:date="2026-06-30T21:30:00Z" w:initials="DI">
    <w:p w14:paraId="2801511E" w14:textId="3664BA3E" w:rsidR="00B6053A" w:rsidRDefault="00B6053A">
      <w:pPr>
        <w:pStyle w:val="af1"/>
      </w:pPr>
      <w:r>
        <w:rPr>
          <w:rStyle w:val="af0"/>
        </w:rPr>
        <w:annotationRef/>
      </w:r>
      <w:r>
        <w:rPr>
          <w:rFonts w:hint="cs"/>
          <w:rtl/>
        </w:rPr>
        <w:t>اذكر ارقام المواد أو نصوصها ولو في الهامش</w:t>
      </w:r>
    </w:p>
  </w:comment>
  <w:comment w:id="185" w:author="الباحث: حسان جمبي" w:date="2026-07-18T21:00:00Z" w:initials="حج">
    <w:p w14:paraId="20F9EAFC" w14:textId="77777777" w:rsidR="00B6053A" w:rsidRDefault="00B6053A">
      <w:pPr>
        <w:pStyle w:val="af1"/>
        <w:rPr>
          <w:rtl/>
        </w:rPr>
      </w:pPr>
      <w:r>
        <w:rPr>
          <w:rStyle w:val="af0"/>
        </w:rPr>
        <w:annotationRef/>
      </w:r>
      <w:r>
        <w:rPr>
          <w:rFonts w:hint="cs"/>
          <w:rtl/>
        </w:rPr>
        <w:t>ذُكرت أرقام المواد: العضوية الإلزامية في المادة (21 مكرر)، والتأديب في المادتين (29) و(31)، والقيد والترخيص في المواد (3) و(5) و(7)، في المتن والهامش.</w:t>
      </w:r>
    </w:p>
  </w:comment>
  <w:comment w:id="186" w:author="Dr. Ibrahim" w:date="2026-06-30T21:32:00Z" w:initials="DI">
    <w:p w14:paraId="6FA7B71B" w14:textId="1EB1D0B2" w:rsidR="00B6053A" w:rsidRDefault="00B6053A">
      <w:pPr>
        <w:pStyle w:val="af1"/>
      </w:pPr>
      <w:r>
        <w:rPr>
          <w:rStyle w:val="af0"/>
        </w:rPr>
        <w:annotationRef/>
      </w:r>
      <w:r>
        <w:rPr>
          <w:rFonts w:hint="cs"/>
          <w:rtl/>
        </w:rPr>
        <w:t>ماذا يعني الولائية</w:t>
      </w:r>
    </w:p>
  </w:comment>
  <w:comment w:id="187" w:author="الباحث: حسان جمبي" w:date="2026-07-18T21:00:00Z" w:initials="حج">
    <w:p w14:paraId="2121605E" w14:textId="77777777" w:rsidR="00B6053A" w:rsidRDefault="00B6053A">
      <w:pPr>
        <w:pStyle w:val="af1"/>
        <w:rPr>
          <w:rtl/>
        </w:rPr>
      </w:pPr>
      <w:r>
        <w:rPr>
          <w:rStyle w:val="af0"/>
        </w:rPr>
        <w:annotationRef/>
      </w:r>
      <w:r>
        <w:rPr>
          <w:rFonts w:hint="cs"/>
          <w:rtl/>
        </w:rPr>
        <w:t>المقصود كان نقابات الولايات في النظام الأمريكي؛ وصُحح اللفظ إلى «نقابات المحامين في الولايات الأمريكية».</w:t>
      </w:r>
    </w:p>
  </w:comment>
  <w:comment w:id="190" w:author="Dr. Ibrahim" w:date="2026-06-30T21:32:00Z" w:initials="DI">
    <w:p w14:paraId="750F7E94" w14:textId="06B8523B" w:rsidR="00B6053A" w:rsidRDefault="00B6053A">
      <w:pPr>
        <w:pStyle w:val="af1"/>
      </w:pPr>
      <w:r>
        <w:rPr>
          <w:rStyle w:val="af0"/>
        </w:rPr>
        <w:annotationRef/>
      </w:r>
      <w:r>
        <w:rPr>
          <w:rFonts w:hint="cs"/>
          <w:rtl/>
        </w:rPr>
        <w:t>المرجع</w:t>
      </w:r>
    </w:p>
  </w:comment>
  <w:comment w:id="191" w:author="الباحث: حسان جمبي" w:date="2026-07-18T21:00:00Z" w:initials="حج">
    <w:p w14:paraId="2A0C4580" w14:textId="77777777" w:rsidR="00B6053A" w:rsidRDefault="00B6053A">
      <w:pPr>
        <w:pStyle w:val="af1"/>
        <w:rPr>
          <w:rtl/>
        </w:rPr>
      </w:pPr>
      <w:r>
        <w:rPr>
          <w:rStyle w:val="af0"/>
        </w:rPr>
        <w:annotationRef/>
      </w:r>
      <w:r>
        <w:rPr>
          <w:rFonts w:hint="cs"/>
          <w:rtl/>
        </w:rPr>
        <w:t>تم التوثيق في الهامش بمصدر محدد قابل للتحقق، وحُذف ما تعذر توثيقه.</w:t>
      </w:r>
    </w:p>
  </w:comment>
  <w:comment w:id="188" w:author="Dr. Ibrahim" w:date="2026-06-30T21:32:00Z" w:initials="DI">
    <w:p w14:paraId="269FF4A3" w14:textId="6178DEFD" w:rsidR="00B6053A" w:rsidRDefault="00B6053A">
      <w:pPr>
        <w:pStyle w:val="af1"/>
      </w:pPr>
      <w:r>
        <w:rPr>
          <w:rStyle w:val="af0"/>
        </w:rPr>
        <w:annotationRef/>
      </w:r>
    </w:p>
  </w:comment>
  <w:comment w:id="189" w:author="الباحث: حسان جمبي" w:date="2026-07-18T21:00:00Z" w:initials="حج">
    <w:p w14:paraId="7819B71C" w14:textId="77777777" w:rsidR="00B6053A" w:rsidRDefault="00B6053A">
      <w:pPr>
        <w:pStyle w:val="af1"/>
        <w:rPr>
          <w:rtl/>
        </w:rPr>
      </w:pPr>
      <w:r>
        <w:rPr>
          <w:rStyle w:val="af0"/>
        </w:rPr>
        <w:annotationRef/>
      </w:r>
      <w:r>
        <w:rPr>
          <w:rFonts w:hint="cs"/>
          <w:rtl/>
        </w:rPr>
        <w:t>لم يثبت للباحث وجود قرار بهذا الرقم والمضمون؛ فاستُبدل به الرأي الرسمي رقم (512) الصادر عن اتحاد المحامين الأمريكي في 29 يوليو 2024م — وهو منشور وموثق — مع بيان مضمونه في المتن والهامش.</w:t>
      </w:r>
    </w:p>
  </w:comment>
  <w:comment w:id="192" w:author="Dr. Ibrahim" w:date="2026-06-30T21:32:00Z" w:initials="DI">
    <w:p w14:paraId="683764CB" w14:textId="3022A4E7" w:rsidR="00B6053A" w:rsidRDefault="00B6053A">
      <w:pPr>
        <w:pStyle w:val="af1"/>
      </w:pPr>
      <w:r>
        <w:rPr>
          <w:rStyle w:val="af0"/>
        </w:rPr>
        <w:annotationRef/>
      </w:r>
    </w:p>
  </w:comment>
  <w:comment w:id="193" w:author="الباحث: حسان جمبي" w:date="2026-07-18T21:00:00Z" w:initials="حج">
    <w:p w14:paraId="557B0DF7" w14:textId="77777777" w:rsidR="00B6053A" w:rsidRDefault="00B6053A">
      <w:pPr>
        <w:pStyle w:val="af1"/>
        <w:rPr>
          <w:rtl/>
        </w:rPr>
      </w:pPr>
      <w:r>
        <w:rPr>
          <w:rStyle w:val="af0"/>
        </w:rPr>
        <w:annotationRef/>
      </w:r>
      <w:r>
        <w:rPr>
          <w:rFonts w:hint="cs"/>
          <w:rtl/>
        </w:rPr>
        <w:t>عولج ضمن الموضع.</w:t>
      </w:r>
    </w:p>
  </w:comment>
  <w:comment w:id="194" w:author="Dr. Ibrahim" w:date="2026-06-30T21:32:00Z" w:initials="DI">
    <w:p w14:paraId="3C1CEDA3" w14:textId="4EFE14E0" w:rsidR="00B6053A" w:rsidRDefault="00B6053A">
      <w:pPr>
        <w:pStyle w:val="af1"/>
        <w:rPr>
          <w:rtl/>
        </w:rPr>
      </w:pPr>
      <w:r>
        <w:rPr>
          <w:rStyle w:val="af0"/>
        </w:rPr>
        <w:annotationRef/>
      </w:r>
      <w:r>
        <w:rPr>
          <w:rFonts w:hint="cs"/>
          <w:rtl/>
        </w:rPr>
        <w:t>التقسيم</w:t>
      </w:r>
    </w:p>
    <w:p w14:paraId="4BECEB83" w14:textId="2225B15A" w:rsidR="00B6053A" w:rsidRDefault="00B6053A">
      <w:pPr>
        <w:pStyle w:val="af1"/>
      </w:pPr>
      <w:r>
        <w:rPr>
          <w:rFonts w:hint="cs"/>
          <w:rtl/>
        </w:rPr>
        <w:t>وحوكمة الذكاء تعني الجهات المؤسسية المشرفة عليه حاليا والاطر القانونية والتنظيمية لا الجهات التي تستخدمه أو تفسره</w:t>
      </w:r>
    </w:p>
  </w:comment>
  <w:comment w:id="195" w:author="الباحث: حسان جمبي" w:date="2026-07-18T21:00:00Z" w:initials="حج">
    <w:p w14:paraId="250E4659" w14:textId="77777777" w:rsidR="00B6053A" w:rsidRDefault="00B6053A">
      <w:pPr>
        <w:pStyle w:val="af1"/>
        <w:rPr>
          <w:rtl/>
        </w:rPr>
      </w:pPr>
      <w:r>
        <w:rPr>
          <w:rStyle w:val="af0"/>
        </w:rPr>
        <w:annotationRef/>
      </w:r>
      <w:r>
        <w:rPr>
          <w:rFonts w:hint="cs"/>
          <w:rtl/>
        </w:rPr>
        <w:t>تم؛ عُرفت الحوكمة في مطلع المحور بأنها الأطر القانونية والتنظيمية والجهات المؤسسية المشرفة على التطوير والاستخدام — لا الجهات المستخدمة أو المفسرة — وضُبط العنوان مرقماً.</w:t>
      </w:r>
    </w:p>
  </w:comment>
  <w:comment w:id="196" w:author="Dr. Ibrahim" w:date="2026-06-30T21:33:00Z" w:initials="DI">
    <w:p w14:paraId="0473C3C0" w14:textId="5355773B" w:rsidR="00B6053A" w:rsidRDefault="00B6053A">
      <w:pPr>
        <w:pStyle w:val="af1"/>
      </w:pPr>
      <w:r>
        <w:rPr>
          <w:rStyle w:val="af0"/>
        </w:rPr>
        <w:annotationRef/>
      </w:r>
      <w:r>
        <w:rPr>
          <w:rFonts w:hint="cs"/>
          <w:rtl/>
        </w:rPr>
        <w:t>العوائق أو المشكلات</w:t>
      </w:r>
    </w:p>
  </w:comment>
  <w:comment w:id="197" w:author="الباحث: حسان جمبي" w:date="2026-07-18T21:00:00Z" w:initials="حج">
    <w:p w14:paraId="5EE89CA1" w14:textId="77777777" w:rsidR="00B6053A" w:rsidRDefault="00B6053A">
      <w:pPr>
        <w:pStyle w:val="af1"/>
        <w:rPr>
          <w:rtl/>
        </w:rPr>
      </w:pPr>
      <w:r>
        <w:rPr>
          <w:rStyle w:val="af0"/>
        </w:rPr>
        <w:annotationRef/>
      </w:r>
      <w:r>
        <w:rPr>
          <w:rFonts w:hint="cs"/>
          <w:rtl/>
        </w:rPr>
        <w:t>تم؛ «المشكلات التي تعترضها».</w:t>
      </w:r>
    </w:p>
  </w:comment>
  <w:comment w:id="198" w:author="Dr. Ibrahim" w:date="2026-06-30T21:36:00Z" w:initials="DI">
    <w:p w14:paraId="10CBFEB5" w14:textId="29480B79" w:rsidR="00B6053A" w:rsidRDefault="00B6053A">
      <w:pPr>
        <w:pStyle w:val="af1"/>
      </w:pPr>
      <w:r>
        <w:rPr>
          <w:rStyle w:val="af0"/>
        </w:rPr>
        <w:annotationRef/>
      </w:r>
      <w:r>
        <w:rPr>
          <w:rFonts w:hint="cs"/>
          <w:rtl/>
        </w:rPr>
        <w:t>كيف تعمل الهيئة ككيان مؤسسي في مجال الذكاء</w:t>
      </w:r>
    </w:p>
  </w:comment>
  <w:comment w:id="199" w:author="الباحث: حسان جمبي" w:date="2026-07-18T21:00:00Z" w:initials="حج">
    <w:p w14:paraId="73D2511A" w14:textId="77777777" w:rsidR="00B6053A" w:rsidRDefault="00B6053A">
      <w:pPr>
        <w:pStyle w:val="af1"/>
        <w:rPr>
          <w:rtl/>
        </w:rPr>
      </w:pPr>
      <w:r>
        <w:rPr>
          <w:rStyle w:val="af0"/>
        </w:rPr>
        <w:annotationRef/>
      </w:r>
      <w:r>
        <w:rPr>
          <w:rFonts w:hint="cs"/>
          <w:rtl/>
        </w:rPr>
        <w:t xml:space="preserve">بُين عمل </w:t>
      </w:r>
      <w:proofErr w:type="spellStart"/>
      <w:r>
        <w:rPr>
          <w:rFonts w:hint="cs"/>
          <w:rtl/>
        </w:rPr>
        <w:t>سدايا</w:t>
      </w:r>
      <w:proofErr w:type="spellEnd"/>
      <w:r>
        <w:rPr>
          <w:rFonts w:hint="cs"/>
          <w:rtl/>
        </w:rPr>
        <w:t xml:space="preserve"> ككيان مؤسسي: ترتيباتها التنظيمية بقرار مجلس الوزراء رقم (292) وتاريخ 27/4/1441هـ، وإصدار الاستراتيجيات والوثائق </w:t>
      </w:r>
      <w:proofErr w:type="spellStart"/>
      <w:r>
        <w:rPr>
          <w:rFonts w:hint="cs"/>
          <w:rtl/>
        </w:rPr>
        <w:t>الاسترشادية</w:t>
      </w:r>
      <w:proofErr w:type="spellEnd"/>
      <w:r>
        <w:rPr>
          <w:rFonts w:hint="cs"/>
          <w:rtl/>
        </w:rPr>
        <w:t>، والإشراف على تنفيذ نظام حماية البيانات الشخصية.</w:t>
      </w:r>
    </w:p>
  </w:comment>
  <w:comment w:id="200" w:author="Dr. Ibrahim" w:date="2026-06-30T21:39:00Z" w:initials="DI">
    <w:p w14:paraId="7747E7D3" w14:textId="77777777" w:rsidR="00B6053A" w:rsidRDefault="00B6053A">
      <w:pPr>
        <w:pStyle w:val="af1"/>
        <w:rPr>
          <w:rtl/>
        </w:rPr>
      </w:pPr>
      <w:r>
        <w:rPr>
          <w:rStyle w:val="af0"/>
        </w:rPr>
        <w:annotationRef/>
      </w:r>
      <w:r>
        <w:rPr>
          <w:rFonts w:hint="cs"/>
          <w:rtl/>
        </w:rPr>
        <w:t xml:space="preserve">التقسيم </w:t>
      </w:r>
      <w:proofErr w:type="spellStart"/>
      <w:r>
        <w:rPr>
          <w:rFonts w:hint="cs"/>
          <w:rtl/>
        </w:rPr>
        <w:t>وتغيرر</w:t>
      </w:r>
      <w:proofErr w:type="spellEnd"/>
      <w:r>
        <w:rPr>
          <w:rFonts w:hint="cs"/>
          <w:rtl/>
        </w:rPr>
        <w:t xml:space="preserve"> العنوان</w:t>
      </w:r>
    </w:p>
    <w:p w14:paraId="1B119839" w14:textId="2E5AF961" w:rsidR="00B6053A" w:rsidRDefault="00B6053A">
      <w:pPr>
        <w:pStyle w:val="af1"/>
      </w:pPr>
      <w:r>
        <w:rPr>
          <w:rFonts w:hint="cs"/>
          <w:rtl/>
        </w:rPr>
        <w:t>المسؤولية في الذكاء الاصطناعي القانوني</w:t>
      </w:r>
    </w:p>
  </w:comment>
  <w:comment w:id="201" w:author="الباحث: حسان جمبي" w:date="2026-07-18T21:00:00Z" w:initials="حج">
    <w:p w14:paraId="61F88B68" w14:textId="77777777" w:rsidR="00B6053A" w:rsidRDefault="00B6053A">
      <w:pPr>
        <w:pStyle w:val="af1"/>
        <w:rPr>
          <w:rtl/>
        </w:rPr>
      </w:pPr>
      <w:r>
        <w:rPr>
          <w:rStyle w:val="af0"/>
        </w:rPr>
        <w:annotationRef/>
      </w:r>
      <w:r>
        <w:rPr>
          <w:rFonts w:hint="cs"/>
          <w:rtl/>
        </w:rPr>
        <w:t>تم؛ العنوان: «ثالثاً: المسؤولية في الذكاء الاصطناعي القانوني وتوزيعها بين أطراف المنظومة».</w:t>
      </w:r>
    </w:p>
  </w:comment>
  <w:comment w:id="202" w:author="Dr. Ibrahim" w:date="2026-07-02T09:41:00Z" w:initials="DI">
    <w:p w14:paraId="7F4AEB47" w14:textId="2F0615BE" w:rsidR="00B6053A" w:rsidRDefault="00B6053A">
      <w:pPr>
        <w:pStyle w:val="af1"/>
      </w:pPr>
      <w:r>
        <w:rPr>
          <w:rStyle w:val="af0"/>
        </w:rPr>
        <w:annotationRef/>
      </w:r>
      <w:r>
        <w:rPr>
          <w:rFonts w:hint="cs"/>
          <w:rtl/>
        </w:rPr>
        <w:t>تأكد من رقم المادة والنص لان الذكاء الاصطناعي قد يخدعك</w:t>
      </w:r>
    </w:p>
  </w:comment>
  <w:comment w:id="203" w:author="الباحث: حسان جمبي" w:date="2026-07-18T21:00:00Z" w:initials="حج">
    <w:p w14:paraId="5E7F4483" w14:textId="77777777" w:rsidR="00B6053A" w:rsidRDefault="00B6053A">
      <w:pPr>
        <w:pStyle w:val="af1"/>
        <w:rPr>
          <w:rtl/>
        </w:rPr>
      </w:pPr>
      <w:r>
        <w:rPr>
          <w:rStyle w:val="af0"/>
        </w:rPr>
        <w:annotationRef/>
      </w:r>
      <w:r>
        <w:rPr>
          <w:rFonts w:hint="cs"/>
          <w:rtl/>
        </w:rPr>
        <w:t>روجعت فعلاً؛ والإحالة إلى (م/221 وما بعدها) غير صحيحة، فصُححت إلى المادتين (120) و(129) من نظام المعاملات المدنية المتحقق من نصيهما من المصدر الرسمي.</w:t>
      </w:r>
    </w:p>
  </w:comment>
  <w:comment w:id="204" w:author="Dr. Ibrahim" w:date="2026-06-30T21:45:00Z" w:initials="DI">
    <w:p w14:paraId="7508CF74" w14:textId="1F1EE52E" w:rsidR="00B6053A" w:rsidRDefault="00B6053A" w:rsidP="00294297">
      <w:pPr>
        <w:pStyle w:val="af1"/>
      </w:pPr>
      <w:r>
        <w:rPr>
          <w:rStyle w:val="af0"/>
        </w:rPr>
        <w:annotationRef/>
      </w:r>
      <w:r>
        <w:rPr>
          <w:rStyle w:val="af0"/>
          <w:rFonts w:hint="cs"/>
          <w:rtl/>
        </w:rPr>
        <w:t xml:space="preserve">هذا النوع من المسؤولية معروف جدا وعليه مئات الأبحاث المنشورة </w:t>
      </w:r>
    </w:p>
  </w:comment>
  <w:comment w:id="205" w:author="الباحث: حسان جمبي" w:date="2026-07-18T21:00:00Z" w:initials="حج">
    <w:p w14:paraId="609E6E85" w14:textId="77777777" w:rsidR="00B6053A" w:rsidRDefault="00B6053A">
      <w:pPr>
        <w:pStyle w:val="af1"/>
        <w:rPr>
          <w:rtl/>
        </w:rPr>
      </w:pPr>
      <w:r>
        <w:rPr>
          <w:rStyle w:val="af0"/>
        </w:rPr>
        <w:annotationRef/>
      </w:r>
      <w:r>
        <w:rPr>
          <w:rFonts w:hint="cs"/>
          <w:rtl/>
        </w:rPr>
        <w:t>صحيح؛ فحُذف الاستطراد في المعلوم من النظرية العامة، وصُدر المحور ببيان وجه الجِدة: إنزال الأحكام على أطراف المنظومة الخمسة في البيئة السعودية.</w:t>
      </w:r>
    </w:p>
  </w:comment>
  <w:comment w:id="206" w:author="Dr. Ibrahim" w:date="2026-06-30T21:46:00Z" w:initials="DI">
    <w:p w14:paraId="29274AF7" w14:textId="09280B10" w:rsidR="00B6053A" w:rsidRDefault="00B6053A">
      <w:pPr>
        <w:pStyle w:val="af1"/>
      </w:pPr>
      <w:r>
        <w:rPr>
          <w:rStyle w:val="af0"/>
        </w:rPr>
        <w:annotationRef/>
      </w:r>
      <w:r>
        <w:rPr>
          <w:rFonts w:hint="cs"/>
          <w:rtl/>
        </w:rPr>
        <w:t>عنوان واحد</w:t>
      </w:r>
    </w:p>
  </w:comment>
  <w:comment w:id="207" w:author="الباحث: حسان جمبي" w:date="2026-07-18T21:00:00Z" w:initials="حج">
    <w:p w14:paraId="1E3F6731" w14:textId="77777777" w:rsidR="00B6053A" w:rsidRDefault="00B6053A">
      <w:pPr>
        <w:pStyle w:val="af1"/>
        <w:rPr>
          <w:rtl/>
        </w:rPr>
      </w:pPr>
      <w:r>
        <w:rPr>
          <w:rStyle w:val="af0"/>
        </w:rPr>
        <w:annotationRef/>
      </w:r>
      <w:r>
        <w:rPr>
          <w:rFonts w:hint="cs"/>
          <w:rtl/>
        </w:rPr>
        <w:t>تم؛ وُحد العنوان تحت مطلبه بترقيم «أولاً».</w:t>
      </w:r>
    </w:p>
  </w:comment>
  <w:comment w:id="208" w:author="Dr. Ibrahim" w:date="2026-06-30T21:47:00Z" w:initials="DI">
    <w:p w14:paraId="603D0960" w14:textId="209D9A4B" w:rsidR="00B6053A" w:rsidRDefault="00B6053A">
      <w:pPr>
        <w:pStyle w:val="af1"/>
      </w:pPr>
      <w:r>
        <w:rPr>
          <w:rStyle w:val="af0"/>
        </w:rPr>
        <w:annotationRef/>
      </w:r>
    </w:p>
  </w:comment>
  <w:comment w:id="209" w:author="الباحث: حسان جمبي" w:date="2026-07-18T21:00:00Z" w:initials="حج">
    <w:p w14:paraId="7FFFB8FA" w14:textId="77777777" w:rsidR="00B6053A" w:rsidRDefault="00B6053A">
      <w:pPr>
        <w:pStyle w:val="af1"/>
        <w:rPr>
          <w:rtl/>
        </w:rPr>
      </w:pPr>
      <w:r>
        <w:rPr>
          <w:rStyle w:val="af0"/>
        </w:rPr>
        <w:annotationRef/>
      </w:r>
      <w:r>
        <w:rPr>
          <w:rFonts w:hint="cs"/>
          <w:rtl/>
        </w:rPr>
        <w:t xml:space="preserve">تعذر التحقق من المرجع والنسبة المنقولة عنه فحُذفا، </w:t>
      </w:r>
      <w:proofErr w:type="spellStart"/>
      <w:r>
        <w:rPr>
          <w:rFonts w:hint="cs"/>
          <w:rtl/>
        </w:rPr>
        <w:t>وأُعيدت</w:t>
      </w:r>
      <w:proofErr w:type="spellEnd"/>
      <w:r>
        <w:rPr>
          <w:rFonts w:hint="cs"/>
          <w:rtl/>
        </w:rPr>
        <w:t xml:space="preserve"> صياغة فكرة التحيز الثقافي بأسلوب الباحث مع توثيق متحقق منه.</w:t>
      </w:r>
    </w:p>
  </w:comment>
  <w:comment w:id="210" w:author="Dr. Ibrahim" w:date="2026-06-30T21:48:00Z" w:initials="DI">
    <w:p w14:paraId="5934F0BB" w14:textId="588FC721" w:rsidR="00B6053A" w:rsidRDefault="00B6053A">
      <w:pPr>
        <w:pStyle w:val="af1"/>
      </w:pPr>
      <w:r>
        <w:rPr>
          <w:rStyle w:val="af0"/>
        </w:rPr>
        <w:annotationRef/>
      </w:r>
      <w:r>
        <w:rPr>
          <w:rFonts w:hint="cs"/>
          <w:rtl/>
        </w:rPr>
        <w:t>ترجمة غير صحيحة</w:t>
      </w:r>
    </w:p>
  </w:comment>
  <w:comment w:id="211" w:author="الباحث: حسان جمبي" w:date="2026-07-18T21:00:00Z" w:initials="حج">
    <w:p w14:paraId="75B91880" w14:textId="77777777" w:rsidR="00B6053A" w:rsidRDefault="00B6053A">
      <w:pPr>
        <w:pStyle w:val="af1"/>
        <w:rPr>
          <w:rtl/>
        </w:rPr>
      </w:pPr>
      <w:r>
        <w:rPr>
          <w:rStyle w:val="af0"/>
        </w:rPr>
        <w:annotationRef/>
      </w:r>
      <w:r>
        <w:rPr>
          <w:rFonts w:hint="cs"/>
          <w:rtl/>
        </w:rPr>
        <w:t>صُححت الترجمة إلى «النهج الافتراضي (</w:t>
      </w:r>
      <w:proofErr w:type="spellStart"/>
      <w:r>
        <w:rPr>
          <w:rFonts w:hint="cs"/>
          <w:rtl/>
        </w:rPr>
        <w:t>Default</w:t>
      </w:r>
      <w:proofErr w:type="spellEnd"/>
      <w:r>
        <w:rPr>
          <w:rFonts w:hint="cs"/>
          <w:rtl/>
        </w:rPr>
        <w:t xml:space="preserve"> </w:t>
      </w:r>
      <w:proofErr w:type="spellStart"/>
      <w:r>
        <w:rPr>
          <w:rFonts w:hint="cs"/>
          <w:rtl/>
        </w:rPr>
        <w:t>Approach</w:t>
      </w:r>
      <w:proofErr w:type="spellEnd"/>
      <w:r>
        <w:rPr>
          <w:rFonts w:hint="cs"/>
          <w:rtl/>
        </w:rPr>
        <w:t>)».</w:t>
      </w:r>
    </w:p>
  </w:comment>
  <w:comment w:id="212" w:author="Dr. Ibrahim" w:date="2026-06-30T21:49:00Z" w:initials="DI">
    <w:p w14:paraId="1ED728BD" w14:textId="2CC64F0B" w:rsidR="00B6053A" w:rsidRDefault="00B6053A">
      <w:pPr>
        <w:pStyle w:val="af1"/>
      </w:pPr>
      <w:r>
        <w:rPr>
          <w:rStyle w:val="af0"/>
        </w:rPr>
        <w:annotationRef/>
      </w:r>
      <w:r>
        <w:rPr>
          <w:rFonts w:hint="cs"/>
          <w:rtl/>
        </w:rPr>
        <w:t>مثل التحدي الاول</w:t>
      </w:r>
    </w:p>
  </w:comment>
  <w:comment w:id="213" w:author="الباحث: حسان جمبي" w:date="2026-07-18T21:00:00Z" w:initials="حج">
    <w:p w14:paraId="29155ADE" w14:textId="77777777" w:rsidR="00B6053A" w:rsidRDefault="00B6053A">
      <w:pPr>
        <w:pStyle w:val="af1"/>
        <w:rPr>
          <w:rtl/>
        </w:rPr>
      </w:pPr>
      <w:r>
        <w:rPr>
          <w:rStyle w:val="af0"/>
        </w:rPr>
        <w:annotationRef/>
      </w:r>
      <w:r>
        <w:rPr>
          <w:rFonts w:hint="cs"/>
          <w:rtl/>
        </w:rPr>
        <w:t>وُحدت بنية التحديات الثلاثة.</w:t>
      </w:r>
    </w:p>
  </w:comment>
  <w:comment w:id="214" w:author="Dr. Ibrahim" w:date="2026-06-30T21:49:00Z" w:initials="DI">
    <w:p w14:paraId="4ED31DC8" w14:textId="2FA260CE" w:rsidR="00B6053A" w:rsidRDefault="00B6053A">
      <w:pPr>
        <w:pStyle w:val="af1"/>
      </w:pPr>
      <w:r>
        <w:rPr>
          <w:rStyle w:val="af0"/>
        </w:rPr>
        <w:annotationRef/>
      </w:r>
      <w:r>
        <w:rPr>
          <w:rFonts w:hint="cs"/>
          <w:rtl/>
        </w:rPr>
        <w:t>التقسيم</w:t>
      </w:r>
    </w:p>
  </w:comment>
  <w:comment w:id="215" w:author="الباحث: حسان جمبي" w:date="2026-07-18T21:00:00Z" w:initials="حج">
    <w:p w14:paraId="68470796" w14:textId="77777777" w:rsidR="00B6053A" w:rsidRDefault="00B6053A">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216" w:author="Dr. Ibrahim" w:date="2026-06-30T21:50:00Z" w:initials="DI">
    <w:p w14:paraId="036882BA" w14:textId="4ABE9391" w:rsidR="00B6053A" w:rsidRDefault="00B6053A">
      <w:pPr>
        <w:pStyle w:val="af1"/>
      </w:pPr>
      <w:r>
        <w:rPr>
          <w:rStyle w:val="af0"/>
        </w:rPr>
        <w:annotationRef/>
      </w:r>
      <w:r>
        <w:rPr>
          <w:rFonts w:hint="cs"/>
          <w:rtl/>
        </w:rPr>
        <w:t>ضوابط توظيف الذكاء الاصطناعي في المجال القانوني في ضوء</w:t>
      </w:r>
    </w:p>
  </w:comment>
  <w:comment w:id="217" w:author="الباحث: حسان جمبي" w:date="2026-07-18T21:00:00Z" w:initials="حج">
    <w:p w14:paraId="65E0FF20" w14:textId="77777777" w:rsidR="00B6053A" w:rsidRDefault="00B6053A">
      <w:pPr>
        <w:pStyle w:val="af1"/>
        <w:rPr>
          <w:rtl/>
        </w:rPr>
      </w:pPr>
      <w:r>
        <w:rPr>
          <w:rStyle w:val="af0"/>
        </w:rPr>
        <w:annotationRef/>
      </w:r>
      <w:r>
        <w:rPr>
          <w:rFonts w:hint="cs"/>
          <w:rtl/>
        </w:rPr>
        <w:t>اعتُمد عنوان الدكتور: «ضوابط توظيف الذكاء الاصطناعي في المجال القانوني في ضوء الفقه الإسلامي».</w:t>
      </w:r>
    </w:p>
  </w:comment>
  <w:comment w:id="218" w:author="Dr. Ibrahim" w:date="2026-06-30T21:50:00Z" w:initials="DI">
    <w:p w14:paraId="0C300FD3" w14:textId="0B312C22" w:rsidR="00B6053A" w:rsidRDefault="00B6053A">
      <w:pPr>
        <w:pStyle w:val="af1"/>
      </w:pPr>
      <w:r>
        <w:rPr>
          <w:rStyle w:val="af0"/>
        </w:rPr>
        <w:annotationRef/>
      </w:r>
      <w:r>
        <w:rPr>
          <w:rStyle w:val="af0"/>
          <w:rFonts w:hint="cs"/>
          <w:rtl/>
        </w:rPr>
        <w:t>التقسيم والعنوان هو للذكاء الاصطناعي لابد من تغييره</w:t>
      </w:r>
    </w:p>
  </w:comment>
  <w:comment w:id="219" w:author="الباحث: حسان جمبي" w:date="2026-07-18T21:00:00Z" w:initials="حج">
    <w:p w14:paraId="63597F24" w14:textId="77777777" w:rsidR="00B6053A" w:rsidRDefault="00B6053A">
      <w:pPr>
        <w:pStyle w:val="af1"/>
        <w:rPr>
          <w:rtl/>
        </w:rPr>
      </w:pPr>
      <w:r>
        <w:rPr>
          <w:rStyle w:val="af0"/>
        </w:rPr>
        <w:annotationRef/>
      </w:r>
      <w:r>
        <w:rPr>
          <w:rFonts w:hint="cs"/>
          <w:rtl/>
        </w:rPr>
        <w:t>تم؛ العنوان: «ثالثاً: الذكاء الاصطناعي والوصول إلى العدالة» تحت مطلبه.</w:t>
      </w:r>
    </w:p>
  </w:comment>
  <w:comment w:id="220" w:author="Dr. Ibrahim" w:date="2026-06-30T21:52:00Z" w:initials="DI">
    <w:p w14:paraId="7876BE75" w14:textId="04187958" w:rsidR="00B6053A" w:rsidRDefault="00B6053A">
      <w:pPr>
        <w:pStyle w:val="af1"/>
      </w:pPr>
      <w:r>
        <w:rPr>
          <w:rStyle w:val="af0"/>
        </w:rPr>
        <w:annotationRef/>
      </w:r>
      <w:r>
        <w:rPr>
          <w:rFonts w:hint="cs"/>
          <w:rtl/>
        </w:rPr>
        <w:t>مرجعك في هذا الكلام</w:t>
      </w:r>
    </w:p>
  </w:comment>
  <w:comment w:id="221" w:author="الباحث: حسان جمبي" w:date="2026-07-18T21:00:00Z" w:initials="حج">
    <w:p w14:paraId="35E1822D" w14:textId="77777777" w:rsidR="00B6053A" w:rsidRDefault="00B6053A">
      <w:pPr>
        <w:pStyle w:val="af1"/>
        <w:rPr>
          <w:rtl/>
        </w:rPr>
      </w:pPr>
      <w:r>
        <w:rPr>
          <w:rStyle w:val="af0"/>
        </w:rPr>
        <w:annotationRef/>
      </w:r>
      <w:r>
        <w:rPr>
          <w:rFonts w:hint="cs"/>
          <w:rtl/>
        </w:rPr>
        <w:t>حُذفت التقديرات غير الرسمية، وبقي الوصف التحليلي للفجوات الثلاث دون أرقام غير موثقة.</w:t>
      </w:r>
    </w:p>
  </w:comment>
  <w:comment w:id="222" w:author="Dr. Ibrahim" w:date="2026-07-02T09:28:00Z" w:initials="DI">
    <w:p w14:paraId="74B4D4BA" w14:textId="1A021432" w:rsidR="00B6053A" w:rsidRDefault="00B6053A">
      <w:pPr>
        <w:pStyle w:val="af1"/>
      </w:pPr>
      <w:r>
        <w:rPr>
          <w:rStyle w:val="af0"/>
        </w:rPr>
        <w:annotationRef/>
      </w:r>
      <w:r>
        <w:rPr>
          <w:rFonts w:hint="cs"/>
          <w:rtl/>
        </w:rPr>
        <w:t>ما هو النص القانوني الذي يثبت ذلك</w:t>
      </w:r>
    </w:p>
  </w:comment>
  <w:comment w:id="223" w:author="الباحث: حسان جمبي" w:date="2026-07-18T21:00:00Z" w:initials="حج">
    <w:p w14:paraId="73F14BD4" w14:textId="77777777" w:rsidR="00B6053A" w:rsidRDefault="00B6053A">
      <w:pPr>
        <w:pStyle w:val="af1"/>
        <w:rPr>
          <w:rtl/>
        </w:rPr>
      </w:pPr>
      <w:r>
        <w:rPr>
          <w:rStyle w:val="af0"/>
        </w:rPr>
        <w:annotationRef/>
      </w:r>
      <w:r>
        <w:rPr>
          <w:rFonts w:hint="cs"/>
          <w:rtl/>
        </w:rPr>
        <w:t xml:space="preserve">لم يثبت نص تشريعي إماراتي محدد بهذا المضمون؛ </w:t>
      </w:r>
      <w:proofErr w:type="spellStart"/>
      <w:r>
        <w:rPr>
          <w:rFonts w:hint="cs"/>
          <w:rtl/>
        </w:rPr>
        <w:t>فأعيدت</w:t>
      </w:r>
      <w:proofErr w:type="spellEnd"/>
      <w:r>
        <w:rPr>
          <w:rFonts w:hint="cs"/>
          <w:rtl/>
        </w:rPr>
        <w:t xml:space="preserve"> الصياغة توصيةً من الباحث استئناساً بالاتجاهات المقارنة، دون ادعاء تشريعي غير موثق.</w:t>
      </w:r>
    </w:p>
  </w:comment>
  <w:comment w:id="224" w:author="Dr. Ibrahim" w:date="2026-06-30T21:54:00Z" w:initials="DI">
    <w:p w14:paraId="21BFCAF0" w14:textId="49FA18C9" w:rsidR="00B6053A" w:rsidRDefault="00B6053A">
      <w:pPr>
        <w:pStyle w:val="af1"/>
      </w:pPr>
      <w:r>
        <w:rPr>
          <w:rStyle w:val="af0"/>
        </w:rPr>
        <w:annotationRef/>
      </w:r>
      <w:r>
        <w:rPr>
          <w:rFonts w:hint="cs"/>
          <w:rtl/>
        </w:rPr>
        <w:t>عناوين غير مقبولة في أطروحة قانونية</w:t>
      </w:r>
    </w:p>
  </w:comment>
  <w:comment w:id="225" w:author="الباحث: حسان جمبي" w:date="2026-07-18T21:00:00Z" w:initials="حج">
    <w:p w14:paraId="2A28D687" w14:textId="77777777" w:rsidR="00B6053A" w:rsidRDefault="00B6053A">
      <w:pPr>
        <w:pStyle w:val="af1"/>
        <w:rPr>
          <w:rtl/>
        </w:rPr>
      </w:pPr>
      <w:r>
        <w:rPr>
          <w:rStyle w:val="af0"/>
        </w:rPr>
        <w:annotationRef/>
      </w:r>
      <w:r>
        <w:rPr>
          <w:rFonts w:hint="cs"/>
          <w:rtl/>
        </w:rPr>
        <w:t>استُبدلت العناوين الإنشائية بعناوين علمية مرقمة تحت مطالبها.</w:t>
      </w:r>
    </w:p>
  </w:comment>
  <w:comment w:id="226" w:author="Dr. Ibrahim" w:date="2026-06-30T21:54:00Z" w:initials="DI">
    <w:p w14:paraId="050329BD" w14:textId="4C6A36A9" w:rsidR="00B6053A" w:rsidRDefault="00B6053A">
      <w:pPr>
        <w:pStyle w:val="af1"/>
      </w:pPr>
      <w:r>
        <w:rPr>
          <w:rStyle w:val="af0"/>
        </w:rPr>
        <w:annotationRef/>
      </w:r>
      <w:r>
        <w:rPr>
          <w:rFonts w:hint="cs"/>
          <w:rtl/>
        </w:rPr>
        <w:t>هذا هو العنوان</w:t>
      </w:r>
    </w:p>
  </w:comment>
  <w:comment w:id="227" w:author="الباحث: حسان جمبي" w:date="2026-07-18T21:00:00Z" w:initials="حج">
    <w:p w14:paraId="3D48C30F" w14:textId="77777777" w:rsidR="00B6053A" w:rsidRDefault="00B6053A">
      <w:pPr>
        <w:pStyle w:val="af1"/>
        <w:rPr>
          <w:rtl/>
        </w:rPr>
      </w:pPr>
      <w:r>
        <w:rPr>
          <w:rStyle w:val="af0"/>
        </w:rPr>
        <w:annotationRef/>
      </w:r>
      <w:r>
        <w:rPr>
          <w:rFonts w:hint="cs"/>
          <w:rtl/>
        </w:rPr>
        <w:t>اعتُمد مضمون العنوان الذي أشار إليه الدكتور.</w:t>
      </w:r>
    </w:p>
  </w:comment>
  <w:comment w:id="228" w:author="Dr. Ibrahim" w:date="2026-06-30T21:55:00Z" w:initials="DI">
    <w:p w14:paraId="1A95A612" w14:textId="7177455A" w:rsidR="00B6053A" w:rsidRDefault="00B6053A">
      <w:pPr>
        <w:pStyle w:val="af1"/>
      </w:pPr>
      <w:r>
        <w:rPr>
          <w:rStyle w:val="af0"/>
        </w:rPr>
        <w:annotationRef/>
      </w:r>
      <w:r>
        <w:rPr>
          <w:rFonts w:hint="cs"/>
          <w:rtl/>
        </w:rPr>
        <w:t>المرجع</w:t>
      </w:r>
    </w:p>
  </w:comment>
  <w:comment w:id="229" w:author="الباحث: حسان جمبي" w:date="2026-07-18T21:00:00Z" w:initials="حج">
    <w:p w14:paraId="70280B03" w14:textId="77777777" w:rsidR="00B6053A" w:rsidRDefault="00B6053A">
      <w:pPr>
        <w:pStyle w:val="af1"/>
        <w:rPr>
          <w:rtl/>
        </w:rPr>
      </w:pPr>
      <w:r>
        <w:rPr>
          <w:rStyle w:val="af0"/>
        </w:rPr>
        <w:annotationRef/>
      </w:r>
      <w:r>
        <w:rPr>
          <w:rFonts w:hint="cs"/>
          <w:rtl/>
        </w:rPr>
        <w:t>حُذفت النسبة (78%) لعدم إمكان التحقق منها، وأُبقي الاستشهاد العام بالدراسة الموثقة في الهامش.</w:t>
      </w:r>
    </w:p>
  </w:comment>
  <w:comment w:id="230" w:author="Dr. Ibrahim" w:date="2026-06-30T21:56:00Z" w:initials="DI">
    <w:p w14:paraId="07AC72C7" w14:textId="2EAA762C" w:rsidR="00B6053A" w:rsidRDefault="00B6053A">
      <w:pPr>
        <w:pStyle w:val="af1"/>
      </w:pPr>
      <w:r>
        <w:rPr>
          <w:rStyle w:val="af0"/>
        </w:rPr>
        <w:annotationRef/>
      </w:r>
      <w:r>
        <w:rPr>
          <w:rFonts w:hint="cs"/>
          <w:rtl/>
        </w:rPr>
        <w:t>المرجع؟؟ طبعا هذا ليس كلامك</w:t>
      </w:r>
    </w:p>
  </w:comment>
  <w:comment w:id="231" w:author="الباحث: حسان جمبي" w:date="2026-07-18T21:00:00Z" w:initials="حج">
    <w:p w14:paraId="437807FF" w14:textId="77777777" w:rsidR="00B6053A" w:rsidRDefault="00B6053A">
      <w:pPr>
        <w:pStyle w:val="af1"/>
        <w:rPr>
          <w:rtl/>
        </w:rPr>
      </w:pPr>
      <w:r>
        <w:rPr>
          <w:rStyle w:val="af0"/>
        </w:rPr>
        <w:annotationRef/>
      </w:r>
      <w:r>
        <w:rPr>
          <w:rFonts w:hint="cs"/>
          <w:rtl/>
        </w:rPr>
        <w:t>أُعيدت صياغة المفارقات الثلاث بأسلوب الباحث ونُسبت إليه «يرى الباحث».</w:t>
      </w:r>
    </w:p>
  </w:comment>
  <w:comment w:id="232" w:author="Dr. Ibrahim" w:date="2026-06-30T21:57:00Z" w:initials="DI">
    <w:p w14:paraId="5C844EB3" w14:textId="5FF2CC2E" w:rsidR="00B6053A" w:rsidRDefault="00B6053A">
      <w:pPr>
        <w:pStyle w:val="af1"/>
      </w:pPr>
      <w:r>
        <w:rPr>
          <w:rStyle w:val="af0"/>
        </w:rPr>
        <w:annotationRef/>
      </w:r>
      <w:r>
        <w:rPr>
          <w:rFonts w:hint="cs"/>
          <w:rtl/>
        </w:rPr>
        <w:t>التقسيم</w:t>
      </w:r>
    </w:p>
  </w:comment>
  <w:comment w:id="233" w:author="الباحث: حسان جمبي" w:date="2026-07-18T21:00:00Z" w:initials="حج">
    <w:p w14:paraId="2CC2BE12" w14:textId="77777777" w:rsidR="00B6053A" w:rsidRDefault="00B6053A">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234" w:author="Dr. Ibrahim" w:date="2026-06-30T21:58:00Z" w:initials="DI">
    <w:p w14:paraId="008FEFAF" w14:textId="1C020D0A" w:rsidR="00B6053A" w:rsidRDefault="00B6053A">
      <w:pPr>
        <w:pStyle w:val="af1"/>
      </w:pPr>
      <w:r>
        <w:rPr>
          <w:rStyle w:val="af0"/>
        </w:rPr>
        <w:annotationRef/>
      </w:r>
      <w:r>
        <w:rPr>
          <w:rFonts w:hint="cs"/>
          <w:rtl/>
        </w:rPr>
        <w:t>كتابة ذكاء اصطناعي ؟؟ أين المراجع؟؟؟</w:t>
      </w:r>
    </w:p>
  </w:comment>
  <w:comment w:id="235" w:author="الباحث: حسان جمبي" w:date="2026-07-18T21:00:00Z" w:initials="حج">
    <w:p w14:paraId="1BAF170F" w14:textId="77777777" w:rsidR="00B6053A" w:rsidRDefault="00B6053A">
      <w:pPr>
        <w:pStyle w:val="af1"/>
        <w:rPr>
          <w:rtl/>
        </w:rPr>
      </w:pPr>
      <w:r>
        <w:rPr>
          <w:rStyle w:val="af0"/>
        </w:rPr>
        <w:annotationRef/>
      </w:r>
      <w:r>
        <w:rPr>
          <w:rFonts w:hint="cs"/>
          <w:rtl/>
        </w:rPr>
        <w:t>أُعيدت صياغة المحور بلغة تحليلية مقتضبة، وحُذف الطابع الإنشائي.</w:t>
      </w:r>
    </w:p>
  </w:comment>
  <w:comment w:id="236" w:author="Dr. Ibrahim" w:date="2026-06-30T21:59:00Z" w:initials="DI">
    <w:p w14:paraId="15BAF0FB" w14:textId="65BBA118" w:rsidR="00B6053A" w:rsidRDefault="00B6053A">
      <w:pPr>
        <w:pStyle w:val="af1"/>
      </w:pPr>
      <w:r>
        <w:rPr>
          <w:rStyle w:val="af0"/>
        </w:rPr>
        <w:annotationRef/>
      </w:r>
      <w:r>
        <w:rPr>
          <w:rFonts w:hint="cs"/>
          <w:rtl/>
        </w:rPr>
        <w:t>التقسيم وعنوان غير مقبول في أطروحة قانون</w:t>
      </w:r>
    </w:p>
  </w:comment>
  <w:comment w:id="237" w:author="الباحث: حسان جمبي" w:date="2026-07-18T21:00:00Z" w:initials="حج">
    <w:p w14:paraId="718C030B" w14:textId="77777777" w:rsidR="00B6053A" w:rsidRDefault="00B6053A">
      <w:pPr>
        <w:pStyle w:val="af1"/>
        <w:rPr>
          <w:rtl/>
        </w:rPr>
      </w:pPr>
      <w:r>
        <w:rPr>
          <w:rStyle w:val="af0"/>
        </w:rPr>
        <w:annotationRef/>
      </w:r>
      <w:r>
        <w:rPr>
          <w:rFonts w:hint="cs"/>
          <w:rtl/>
        </w:rPr>
        <w:t>ضُبط العنوان مرقماً، وحُذفت الأرقام غير الموثقة من المحور كله (انظر الردود التالية).</w:t>
      </w:r>
    </w:p>
  </w:comment>
  <w:comment w:id="238" w:author="Dr. Ibrahim" w:date="2026-06-30T22:00:00Z" w:initials="DI">
    <w:p w14:paraId="6A1FF793" w14:textId="63B72716" w:rsidR="00B6053A" w:rsidRDefault="00B6053A">
      <w:pPr>
        <w:pStyle w:val="af1"/>
      </w:pPr>
      <w:r>
        <w:rPr>
          <w:rStyle w:val="af0"/>
        </w:rPr>
        <w:annotationRef/>
      </w:r>
      <w:r>
        <w:rPr>
          <w:rFonts w:hint="cs"/>
          <w:rtl/>
        </w:rPr>
        <w:t xml:space="preserve">تقديرات </w:t>
      </w:r>
      <w:proofErr w:type="gramStart"/>
      <w:r>
        <w:rPr>
          <w:rFonts w:hint="cs"/>
          <w:rtl/>
        </w:rPr>
        <w:t>من ما</w:t>
      </w:r>
      <w:proofErr w:type="gramEnd"/>
      <w:r>
        <w:rPr>
          <w:rFonts w:hint="cs"/>
          <w:rtl/>
        </w:rPr>
        <w:t xml:space="preserve"> هو المرجع</w:t>
      </w:r>
    </w:p>
  </w:comment>
  <w:comment w:id="239" w:author="الباحث: حسان جمبي" w:date="2026-07-18T21:00:00Z" w:initials="حج">
    <w:p w14:paraId="470A1D6F" w14:textId="77777777" w:rsidR="00B6053A" w:rsidRDefault="00B6053A">
      <w:pPr>
        <w:pStyle w:val="af1"/>
        <w:rPr>
          <w:rtl/>
        </w:rPr>
      </w:pPr>
      <w:r>
        <w:rPr>
          <w:rStyle w:val="af0"/>
        </w:rPr>
        <w:annotationRef/>
      </w:r>
      <w:r>
        <w:rPr>
          <w:rFonts w:hint="cs"/>
          <w:rtl/>
        </w:rPr>
        <w:t>حُذفت الأرقام التي لا مصدر رسمياً منشوراً لها (300 مليون دولار، 60 ألف محامٍ، نسب النمو)، وصُرح بعدم توافر إحصاءات رسمية منشورة.</w:t>
      </w:r>
    </w:p>
  </w:comment>
  <w:comment w:id="240" w:author="Dr. Ibrahim" w:date="2026-06-30T22:01:00Z" w:initials="DI">
    <w:p w14:paraId="04636FEE" w14:textId="77893BE8" w:rsidR="00B6053A" w:rsidRDefault="00B6053A">
      <w:pPr>
        <w:pStyle w:val="af1"/>
      </w:pPr>
      <w:r>
        <w:rPr>
          <w:rStyle w:val="af0"/>
        </w:rPr>
        <w:annotationRef/>
      </w:r>
      <w:r>
        <w:rPr>
          <w:rFonts w:hint="cs"/>
          <w:rtl/>
        </w:rPr>
        <w:t>مراجع هذه التقارير</w:t>
      </w:r>
    </w:p>
  </w:comment>
  <w:comment w:id="241" w:author="الباحث: حسان جمبي" w:date="2026-07-18T21:00:00Z" w:initials="حج">
    <w:p w14:paraId="71C173ED" w14:textId="77777777" w:rsidR="00B6053A" w:rsidRDefault="00B6053A">
      <w:pPr>
        <w:pStyle w:val="af1"/>
        <w:rPr>
          <w:rtl/>
        </w:rPr>
      </w:pPr>
      <w:r>
        <w:rPr>
          <w:rStyle w:val="af0"/>
        </w:rPr>
        <w:annotationRef/>
      </w:r>
      <w:r>
        <w:rPr>
          <w:rFonts w:hint="cs"/>
          <w:rtl/>
        </w:rPr>
        <w:t xml:space="preserve">حُذفت الإحالة إلى تقارير غير محددة، </w:t>
      </w:r>
      <w:proofErr w:type="spellStart"/>
      <w:r>
        <w:rPr>
          <w:rFonts w:hint="cs"/>
          <w:rtl/>
        </w:rPr>
        <w:t>وأعيدت</w:t>
      </w:r>
      <w:proofErr w:type="spellEnd"/>
      <w:r>
        <w:rPr>
          <w:rFonts w:hint="cs"/>
          <w:rtl/>
        </w:rPr>
        <w:t xml:space="preserve"> الصياغة بأسلوب الملاحظة التحليلية.</w:t>
      </w:r>
    </w:p>
  </w:comment>
  <w:comment w:id="242" w:author="Dr. Ibrahim" w:date="2026-07-02T09:27:00Z" w:initials="DI">
    <w:p w14:paraId="126AEEB1" w14:textId="442C5B3C" w:rsidR="00B6053A" w:rsidRDefault="00B6053A">
      <w:pPr>
        <w:pStyle w:val="af1"/>
      </w:pPr>
      <w:r>
        <w:rPr>
          <w:rStyle w:val="af0"/>
        </w:rPr>
        <w:annotationRef/>
      </w:r>
      <w:r>
        <w:rPr>
          <w:rFonts w:hint="cs"/>
          <w:rtl/>
        </w:rPr>
        <w:t>المرجع</w:t>
      </w:r>
    </w:p>
  </w:comment>
  <w:comment w:id="243" w:author="الباحث: حسان جمبي" w:date="2026-07-18T21:00:00Z" w:initials="حج">
    <w:p w14:paraId="675120B2" w14:textId="77777777" w:rsidR="00B6053A" w:rsidRDefault="00B6053A">
      <w:pPr>
        <w:pStyle w:val="af1"/>
        <w:rPr>
          <w:rtl/>
        </w:rPr>
      </w:pPr>
      <w:r>
        <w:rPr>
          <w:rStyle w:val="af0"/>
        </w:rPr>
        <w:annotationRef/>
      </w:r>
      <w:r>
        <w:rPr>
          <w:rFonts w:hint="cs"/>
          <w:rtl/>
        </w:rPr>
        <w:t>كما في السابق؛ حُذف غير الموثق.</w:t>
      </w:r>
    </w:p>
  </w:comment>
  <w:comment w:id="244" w:author="Dr. Ibrahim" w:date="2026-06-30T22:01:00Z" w:initials="DI">
    <w:p w14:paraId="66CC21B9" w14:textId="0C853CE4" w:rsidR="00B6053A" w:rsidRDefault="00B6053A">
      <w:pPr>
        <w:pStyle w:val="af1"/>
      </w:pPr>
      <w:r>
        <w:rPr>
          <w:rStyle w:val="af0"/>
        </w:rPr>
        <w:annotationRef/>
      </w:r>
      <w:r>
        <w:rPr>
          <w:rFonts w:hint="cs"/>
          <w:rtl/>
        </w:rPr>
        <w:t>المراجع</w:t>
      </w:r>
    </w:p>
  </w:comment>
  <w:comment w:id="245" w:author="الباحث: حسان جمبي" w:date="2026-07-18T21:00:00Z" w:initials="حج">
    <w:p w14:paraId="3CDCD9B9" w14:textId="77777777" w:rsidR="00B6053A" w:rsidRDefault="00B6053A">
      <w:pPr>
        <w:pStyle w:val="af1"/>
        <w:rPr>
          <w:rtl/>
        </w:rPr>
      </w:pPr>
      <w:r>
        <w:rPr>
          <w:rStyle w:val="af0"/>
        </w:rPr>
        <w:annotationRef/>
      </w:r>
      <w:r>
        <w:rPr>
          <w:rFonts w:hint="cs"/>
          <w:rtl/>
        </w:rPr>
        <w:t>حُذف الرقم غير الموثق (تضاعف الاستثمارات).</w:t>
      </w:r>
    </w:p>
  </w:comment>
  <w:comment w:id="246" w:author="Dr. Ibrahim" w:date="2026-07-03T19:17:00Z" w:initials="DI">
    <w:p w14:paraId="1081E233" w14:textId="6E60E184" w:rsidR="00B6053A" w:rsidRDefault="00B6053A">
      <w:pPr>
        <w:pStyle w:val="af1"/>
        <w:rPr>
          <w:rtl/>
          <w:lang w:bidi="ar-SY"/>
        </w:rPr>
      </w:pPr>
      <w:r>
        <w:rPr>
          <w:rStyle w:val="af0"/>
        </w:rPr>
        <w:annotationRef/>
      </w:r>
      <w:r>
        <w:rPr>
          <w:rFonts w:hint="cs"/>
          <w:rtl/>
          <w:lang w:bidi="ar-SY"/>
        </w:rPr>
        <w:t>التقسيم</w:t>
      </w:r>
    </w:p>
  </w:comment>
  <w:comment w:id="247" w:author="الباحث: حسان جمبي" w:date="2026-07-18T21:00:00Z" w:initials="حج">
    <w:p w14:paraId="23A76690" w14:textId="77777777" w:rsidR="00B6053A" w:rsidRDefault="00B6053A">
      <w:pPr>
        <w:pStyle w:val="af1"/>
        <w:rPr>
          <w:rtl/>
        </w:rPr>
      </w:pPr>
      <w:r>
        <w:rPr>
          <w:rStyle w:val="af0"/>
        </w:rPr>
        <w:annotationRef/>
      </w:r>
      <w:r>
        <w:rPr>
          <w:rFonts w:hint="cs"/>
          <w:rtl/>
        </w:rPr>
        <w:t>تم؛ العنوان مرقم تحت مطلبه: «رابعاً: التأهيل الأكاديمي والكوادر البشرية…».</w:t>
      </w:r>
    </w:p>
  </w:comment>
  <w:comment w:id="248" w:author="Dr. Ibrahim" w:date="2026-06-30T22:02:00Z" w:initials="DI">
    <w:p w14:paraId="6E7DB0BF" w14:textId="7F146CB6" w:rsidR="00B6053A" w:rsidRDefault="00B6053A">
      <w:pPr>
        <w:pStyle w:val="af1"/>
      </w:pPr>
      <w:r>
        <w:rPr>
          <w:rStyle w:val="af0"/>
        </w:rPr>
        <w:annotationRef/>
      </w:r>
      <w:r>
        <w:rPr>
          <w:rFonts w:hint="cs"/>
          <w:rtl/>
        </w:rPr>
        <w:t>المراجع</w:t>
      </w:r>
    </w:p>
  </w:comment>
  <w:comment w:id="249" w:author="الباحث: حسان جمبي" w:date="2026-07-18T21:00:00Z" w:initials="حج">
    <w:p w14:paraId="438062D5" w14:textId="77777777" w:rsidR="00B6053A" w:rsidRDefault="00B6053A">
      <w:pPr>
        <w:pStyle w:val="af1"/>
        <w:rPr>
          <w:rtl/>
        </w:rPr>
      </w:pPr>
      <w:r>
        <w:rPr>
          <w:rStyle w:val="af0"/>
        </w:rPr>
        <w:annotationRef/>
      </w:r>
      <w:r>
        <w:rPr>
          <w:rFonts w:hint="cs"/>
          <w:rtl/>
        </w:rPr>
        <w:t>أُبقي ما هو مشهور متواتر (برامج الجامعات العالمية في القانون والتقنية) بصيغة عامة، وحُذفت التفاصيل غير الموثقة.</w:t>
      </w:r>
    </w:p>
  </w:comment>
  <w:comment w:id="250" w:author="Dr. Ibrahim" w:date="2026-06-30T22:02:00Z" w:initials="DI">
    <w:p w14:paraId="4D9B7090" w14:textId="14A9EF9A" w:rsidR="00B6053A" w:rsidRDefault="00B6053A">
      <w:pPr>
        <w:pStyle w:val="af1"/>
      </w:pPr>
      <w:r>
        <w:rPr>
          <w:rStyle w:val="af0"/>
        </w:rPr>
        <w:annotationRef/>
      </w:r>
      <w:r>
        <w:rPr>
          <w:rFonts w:hint="cs"/>
          <w:rtl/>
        </w:rPr>
        <w:t>التقسيم والموضوع سبق بحثه ويمكن دمجه مع ما سبق</w:t>
      </w:r>
    </w:p>
  </w:comment>
  <w:comment w:id="251" w:author="الباحث: حسان جمبي" w:date="2026-07-18T21:00:00Z" w:initials="حج">
    <w:p w14:paraId="66B52B60" w14:textId="77777777" w:rsidR="00B6053A" w:rsidRDefault="00B6053A">
      <w:pPr>
        <w:pStyle w:val="af1"/>
        <w:rPr>
          <w:rtl/>
        </w:rPr>
      </w:pPr>
      <w:r>
        <w:rPr>
          <w:rStyle w:val="af0"/>
        </w:rPr>
        <w:annotationRef/>
      </w:r>
      <w:r>
        <w:rPr>
          <w:rFonts w:hint="cs"/>
          <w:rtl/>
        </w:rPr>
        <w:t>تم؛ ضُبط العنوان مرقماً «خامساً»، وحُذف المكرر مع ما سبق.</w:t>
      </w:r>
    </w:p>
  </w:comment>
  <w:comment w:id="252" w:author="Dr. Ibrahim" w:date="2026-07-02T09:26:00Z" w:initials="DI">
    <w:p w14:paraId="4837A887" w14:textId="1335CFA0" w:rsidR="00B6053A" w:rsidRDefault="00B6053A">
      <w:pPr>
        <w:pStyle w:val="af1"/>
      </w:pPr>
      <w:r>
        <w:rPr>
          <w:rStyle w:val="af0"/>
        </w:rPr>
        <w:annotationRef/>
      </w:r>
      <w:r>
        <w:rPr>
          <w:rFonts w:hint="cs"/>
          <w:rtl/>
        </w:rPr>
        <w:t>ما هو مرجعك</w:t>
      </w:r>
    </w:p>
  </w:comment>
  <w:comment w:id="253" w:author="الباحث: حسان جمبي" w:date="2026-07-18T21:00:00Z" w:initials="حج">
    <w:p w14:paraId="2205DDBD" w14:textId="77777777" w:rsidR="00B6053A" w:rsidRDefault="00B6053A">
      <w:pPr>
        <w:pStyle w:val="af1"/>
        <w:rPr>
          <w:rtl/>
        </w:rPr>
      </w:pPr>
      <w:r>
        <w:rPr>
          <w:rStyle w:val="af0"/>
        </w:rPr>
        <w:annotationRef/>
      </w:r>
      <w:r>
        <w:rPr>
          <w:rFonts w:hint="cs"/>
          <w:rtl/>
        </w:rPr>
        <w:t>صيغت التطورات المتوقعة بوصفها استقراءً للباحث من اتجاهات معلنة، دون أرقام أو ادعاءات تفتقر لمصدر.</w:t>
      </w:r>
    </w:p>
  </w:comment>
  <w:comment w:id="254" w:author="Dr. Ibrahim" w:date="2026-06-30T22:04:00Z" w:initials="DI">
    <w:p w14:paraId="2F6ACB4D" w14:textId="17C8EA61" w:rsidR="00B6053A" w:rsidRDefault="00B6053A">
      <w:pPr>
        <w:pStyle w:val="af1"/>
      </w:pPr>
      <w:r>
        <w:rPr>
          <w:rStyle w:val="af0"/>
        </w:rPr>
        <w:annotationRef/>
      </w:r>
      <w:r>
        <w:rPr>
          <w:rFonts w:hint="cs"/>
          <w:rtl/>
        </w:rPr>
        <w:t>المراجع</w:t>
      </w:r>
    </w:p>
  </w:comment>
  <w:comment w:id="255" w:author="الباحث: حسان جمبي" w:date="2026-07-18T21:00:00Z" w:initials="حج">
    <w:p w14:paraId="23756069" w14:textId="77777777" w:rsidR="00B6053A" w:rsidRDefault="00B6053A">
      <w:pPr>
        <w:pStyle w:val="af1"/>
        <w:rPr>
          <w:rtl/>
        </w:rPr>
      </w:pPr>
      <w:r>
        <w:rPr>
          <w:rStyle w:val="af0"/>
        </w:rPr>
        <w:annotationRef/>
      </w:r>
      <w:r>
        <w:rPr>
          <w:rFonts w:hint="cs"/>
          <w:rtl/>
        </w:rPr>
        <w:t>كما في السابق.</w:t>
      </w:r>
    </w:p>
  </w:comment>
  <w:comment w:id="256" w:author="Dr. Ibrahim" w:date="2026-06-30T22:04:00Z" w:initials="DI">
    <w:p w14:paraId="11D43A5F" w14:textId="05DC416B" w:rsidR="00B6053A" w:rsidRDefault="00B6053A">
      <w:pPr>
        <w:pStyle w:val="af1"/>
      </w:pPr>
      <w:r>
        <w:rPr>
          <w:rStyle w:val="af0"/>
        </w:rPr>
        <w:annotationRef/>
      </w:r>
      <w:r>
        <w:rPr>
          <w:rFonts w:hint="cs"/>
          <w:rtl/>
        </w:rPr>
        <w:t xml:space="preserve">كتابة الذكاء </w:t>
      </w:r>
      <w:proofErr w:type="spellStart"/>
      <w:r>
        <w:rPr>
          <w:rFonts w:hint="cs"/>
          <w:rtl/>
        </w:rPr>
        <w:t>والموضوغ</w:t>
      </w:r>
      <w:proofErr w:type="spellEnd"/>
      <w:r>
        <w:rPr>
          <w:rFonts w:hint="cs"/>
          <w:rtl/>
        </w:rPr>
        <w:t xml:space="preserve"> سبق طرحه والعنوان غير مقبول</w:t>
      </w:r>
    </w:p>
  </w:comment>
  <w:comment w:id="257" w:author="الباحث: حسان جمبي" w:date="2026-07-18T21:00:00Z" w:initials="حج">
    <w:p w14:paraId="1480DC2C" w14:textId="77777777" w:rsidR="00B6053A" w:rsidRDefault="00B6053A">
      <w:pPr>
        <w:pStyle w:val="af1"/>
        <w:rPr>
          <w:rtl/>
        </w:rPr>
      </w:pPr>
      <w:r>
        <w:rPr>
          <w:rStyle w:val="af0"/>
        </w:rPr>
        <w:annotationRef/>
      </w:r>
      <w:r>
        <w:rPr>
          <w:rFonts w:hint="cs"/>
          <w:rtl/>
        </w:rPr>
        <w:t>تم؛ حُذف مسمى «التركيب» واستُبدل به الترقيم، وضُبط العنوان «أولاً: قراءة في المشهد الكلي»، وأُوجز ما سبق بحثه.</w:t>
      </w:r>
    </w:p>
  </w:comment>
  <w:comment w:id="258" w:author="Dr. Ibrahim" w:date="2026-06-30T22:05:00Z" w:initials="DI">
    <w:p w14:paraId="6DC657B2" w14:textId="78A69DF3" w:rsidR="00B6053A" w:rsidRDefault="00B6053A">
      <w:pPr>
        <w:pStyle w:val="af1"/>
      </w:pPr>
      <w:r>
        <w:rPr>
          <w:rStyle w:val="af0"/>
        </w:rPr>
        <w:annotationRef/>
      </w:r>
      <w:r>
        <w:rPr>
          <w:rFonts w:hint="cs"/>
          <w:rtl/>
        </w:rPr>
        <w:t>هذا الامر من المقدمة واضح</w:t>
      </w:r>
    </w:p>
  </w:comment>
  <w:comment w:id="259" w:author="الباحث: حسان جمبي" w:date="2026-07-18T21:00:00Z" w:initials="حج">
    <w:p w14:paraId="687D725A" w14:textId="77777777" w:rsidR="00B6053A" w:rsidRDefault="00B6053A">
      <w:pPr>
        <w:pStyle w:val="af1"/>
        <w:rPr>
          <w:rtl/>
        </w:rPr>
      </w:pPr>
      <w:r>
        <w:rPr>
          <w:rStyle w:val="af0"/>
        </w:rPr>
        <w:annotationRef/>
      </w:r>
      <w:r>
        <w:rPr>
          <w:rFonts w:hint="cs"/>
          <w:rtl/>
        </w:rPr>
        <w:t>صحيح؛ فاختُصرت الفقرة إلى سطر واحد ضمن الترقيم.</w:t>
      </w:r>
    </w:p>
  </w:comment>
  <w:comment w:id="260" w:author="Dr. Ibrahim" w:date="2026-06-30T22:06:00Z" w:initials="DI">
    <w:p w14:paraId="6E1CC78C" w14:textId="5317F7F1" w:rsidR="00B6053A" w:rsidRDefault="00B6053A">
      <w:pPr>
        <w:pStyle w:val="af1"/>
      </w:pPr>
      <w:r>
        <w:rPr>
          <w:rStyle w:val="af0"/>
        </w:rPr>
        <w:annotationRef/>
      </w:r>
      <w:r>
        <w:rPr>
          <w:rFonts w:hint="cs"/>
          <w:rtl/>
        </w:rPr>
        <w:t>كلمة التركيب حذفها في كل الفقرات السابقة واستبدالها بترقيم</w:t>
      </w:r>
    </w:p>
  </w:comment>
  <w:comment w:id="261" w:author="الباحث: حسان جمبي" w:date="2026-07-18T21:00:00Z" w:initials="حج">
    <w:p w14:paraId="477C927F" w14:textId="77777777" w:rsidR="00B6053A" w:rsidRDefault="00B6053A">
      <w:pPr>
        <w:pStyle w:val="af1"/>
        <w:rPr>
          <w:rtl/>
        </w:rPr>
      </w:pPr>
      <w:r>
        <w:rPr>
          <w:rStyle w:val="af0"/>
        </w:rPr>
        <w:annotationRef/>
      </w:r>
      <w:r>
        <w:rPr>
          <w:rFonts w:hint="cs"/>
          <w:rtl/>
        </w:rPr>
        <w:t>نُفذ؛ حُذفت كلمة «التركيب» في الفقرات كلها واستُبدل بها الترقيم.</w:t>
      </w:r>
    </w:p>
  </w:comment>
  <w:comment w:id="262" w:author="Dr. Ibrahim" w:date="2026-06-30T22:06:00Z" w:initials="DI">
    <w:p w14:paraId="2B066D1D" w14:textId="53909E7B" w:rsidR="00B6053A" w:rsidRDefault="00B6053A">
      <w:pPr>
        <w:pStyle w:val="af1"/>
      </w:pPr>
      <w:r>
        <w:rPr>
          <w:rStyle w:val="af0"/>
        </w:rPr>
        <w:annotationRef/>
      </w:r>
      <w:r>
        <w:rPr>
          <w:rFonts w:hint="cs"/>
          <w:rtl/>
        </w:rPr>
        <w:t>تعديل</w:t>
      </w:r>
    </w:p>
  </w:comment>
  <w:comment w:id="263" w:author="الباحث: حسان جمبي" w:date="2026-07-18T21:00:00Z" w:initials="حج">
    <w:p w14:paraId="70C5674A" w14:textId="77777777" w:rsidR="00B6053A" w:rsidRDefault="00B6053A">
      <w:pPr>
        <w:pStyle w:val="af1"/>
        <w:rPr>
          <w:rtl/>
        </w:rPr>
      </w:pPr>
      <w:r>
        <w:rPr>
          <w:rStyle w:val="af0"/>
        </w:rPr>
        <w:annotationRef/>
      </w:r>
      <w:r>
        <w:rPr>
          <w:rFonts w:hint="cs"/>
          <w:rtl/>
        </w:rPr>
        <w:t>تم التعديل.</w:t>
      </w:r>
    </w:p>
  </w:comment>
  <w:comment w:id="264" w:author="Dr. Ibrahim" w:date="2026-06-30T22:07:00Z" w:initials="DI">
    <w:p w14:paraId="598FB157" w14:textId="639974CA" w:rsidR="00B6053A" w:rsidRDefault="00B6053A">
      <w:pPr>
        <w:pStyle w:val="af1"/>
      </w:pPr>
      <w:r>
        <w:rPr>
          <w:rStyle w:val="af0"/>
        </w:rPr>
        <w:annotationRef/>
      </w:r>
      <w:r>
        <w:rPr>
          <w:rFonts w:hint="cs"/>
          <w:rtl/>
        </w:rPr>
        <w:t>حتى هذه نقلتها حرفيا ؟؟؟</w:t>
      </w:r>
    </w:p>
  </w:comment>
  <w:comment w:id="265" w:author="الباحث: حسان جمبي" w:date="2026-07-18T21:00:00Z" w:initials="حج">
    <w:p w14:paraId="60B71DF5" w14:textId="77777777" w:rsidR="00B6053A" w:rsidRDefault="00B6053A">
      <w:pPr>
        <w:pStyle w:val="af1"/>
        <w:rPr>
          <w:rtl/>
        </w:rPr>
      </w:pPr>
      <w:r>
        <w:rPr>
          <w:rStyle w:val="af0"/>
        </w:rPr>
        <w:annotationRef/>
      </w:r>
      <w:r>
        <w:rPr>
          <w:rFonts w:hint="cs"/>
          <w:rtl/>
        </w:rPr>
        <w:t>أُعيدت الصياغة بقلم الباحث ونُسبت إليه.</w:t>
      </w:r>
    </w:p>
  </w:comment>
  <w:comment w:id="266" w:author="Dr. Ibrahim" w:date="2026-06-30T22:08:00Z" w:initials="DI">
    <w:p w14:paraId="1122470C" w14:textId="1404070E" w:rsidR="00B6053A" w:rsidRDefault="00B6053A">
      <w:pPr>
        <w:pStyle w:val="af1"/>
      </w:pPr>
      <w:r>
        <w:rPr>
          <w:rStyle w:val="af0"/>
        </w:rPr>
        <w:annotationRef/>
      </w:r>
      <w:r>
        <w:rPr>
          <w:rFonts w:hint="cs"/>
          <w:rtl/>
        </w:rPr>
        <w:t>عنوان غير مقبول وماذا عن التقسيم</w:t>
      </w:r>
    </w:p>
  </w:comment>
  <w:comment w:id="267" w:author="الباحث: حسان جمبي" w:date="2026-07-18T21:00:00Z" w:initials="حج">
    <w:p w14:paraId="26062D34" w14:textId="77777777" w:rsidR="00B6053A" w:rsidRDefault="00B6053A">
      <w:pPr>
        <w:pStyle w:val="af1"/>
        <w:rPr>
          <w:rtl/>
        </w:rPr>
      </w:pPr>
      <w:r>
        <w:rPr>
          <w:rStyle w:val="af0"/>
        </w:rPr>
        <w:annotationRef/>
      </w:r>
      <w:r>
        <w:rPr>
          <w:rFonts w:hint="cs"/>
          <w:rtl/>
        </w:rPr>
        <w:t>تم؛ العنوان: «ثانياً: تدابير مؤسسية مقترحة لمكاتب المحاماة قبل صدور التشريع»، والسمات رُقمت (1– إلى 5–).</w:t>
      </w:r>
    </w:p>
  </w:comment>
  <w:comment w:id="268" w:author="Dr. Ibrahim" w:date="2026-07-06T10:13:00Z" w:initials="DI">
    <w:p w14:paraId="7415B863" w14:textId="25B277E2" w:rsidR="00B6053A" w:rsidRDefault="00B6053A">
      <w:pPr>
        <w:pStyle w:val="af1"/>
        <w:rPr>
          <w:rtl/>
          <w:lang w:bidi="ar-SY"/>
        </w:rPr>
      </w:pPr>
      <w:r>
        <w:rPr>
          <w:rStyle w:val="af0"/>
        </w:rPr>
        <w:annotationRef/>
      </w:r>
      <w:r>
        <w:rPr>
          <w:rFonts w:hint="cs"/>
          <w:rtl/>
          <w:lang w:bidi="ar-SY"/>
        </w:rPr>
        <w:t>كتابة ذكاء اصطناعي</w:t>
      </w:r>
    </w:p>
  </w:comment>
  <w:comment w:id="269" w:author="الباحث: حسان جمبي" w:date="2026-07-18T21:00:00Z" w:initials="حج">
    <w:p w14:paraId="335F4170" w14:textId="77777777" w:rsidR="00B6053A" w:rsidRDefault="00B6053A">
      <w:pPr>
        <w:pStyle w:val="af1"/>
        <w:rPr>
          <w:rtl/>
        </w:rPr>
      </w:pPr>
      <w:r>
        <w:rPr>
          <w:rStyle w:val="af0"/>
        </w:rPr>
        <w:annotationRef/>
      </w:r>
      <w:r>
        <w:rPr>
          <w:rFonts w:hint="cs"/>
          <w:rtl/>
        </w:rPr>
        <w:t>أُعيدت صياغة المحور بلغة قانونية موجزة.</w:t>
      </w:r>
    </w:p>
  </w:comment>
  <w:comment w:id="270" w:author="Dr. Ibrahim" w:date="2026-06-30T22:09:00Z" w:initials="DI">
    <w:p w14:paraId="798F6100" w14:textId="3DA1EAF6" w:rsidR="00B6053A" w:rsidRDefault="00B6053A">
      <w:pPr>
        <w:pStyle w:val="af1"/>
      </w:pPr>
      <w:r>
        <w:rPr>
          <w:rStyle w:val="af0"/>
        </w:rPr>
        <w:annotationRef/>
      </w:r>
      <w:r>
        <w:rPr>
          <w:rFonts w:hint="cs"/>
          <w:rtl/>
        </w:rPr>
        <w:t>التقسيم وتغيير العنوان</w:t>
      </w:r>
    </w:p>
  </w:comment>
  <w:comment w:id="271" w:author="الباحث: حسان جمبي" w:date="2026-07-18T21:00:00Z" w:initials="حج">
    <w:p w14:paraId="3F620D41" w14:textId="77777777" w:rsidR="00B6053A" w:rsidRDefault="00B6053A">
      <w:pPr>
        <w:pStyle w:val="af1"/>
        <w:rPr>
          <w:rtl/>
        </w:rPr>
      </w:pPr>
      <w:r>
        <w:rPr>
          <w:rStyle w:val="af0"/>
        </w:rPr>
        <w:annotationRef/>
      </w:r>
      <w:r>
        <w:rPr>
          <w:rFonts w:hint="cs"/>
          <w:rtl/>
        </w:rPr>
        <w:t>تم؛ ضُبط العنوان والترقيم.</w:t>
      </w:r>
    </w:p>
  </w:comment>
  <w:comment w:id="272" w:author="Dr. Ibrahim" w:date="2026-06-30T22:11:00Z" w:initials="DI">
    <w:p w14:paraId="07BFBBC2" w14:textId="586EE887" w:rsidR="00B6053A" w:rsidRDefault="00B6053A">
      <w:pPr>
        <w:pStyle w:val="af1"/>
      </w:pPr>
      <w:r>
        <w:rPr>
          <w:rStyle w:val="af0"/>
        </w:rPr>
        <w:annotationRef/>
      </w:r>
      <w:r>
        <w:rPr>
          <w:rFonts w:hint="cs"/>
          <w:rtl/>
        </w:rPr>
        <w:t>المصطلح غير منضبط</w:t>
      </w:r>
    </w:p>
  </w:comment>
  <w:comment w:id="273" w:author="الباحث: حسان جمبي" w:date="2026-07-18T21:00:00Z" w:initials="حج">
    <w:p w14:paraId="12EE527A" w14:textId="77777777" w:rsidR="00B6053A" w:rsidRDefault="00B6053A">
      <w:pPr>
        <w:pStyle w:val="af1"/>
        <w:rPr>
          <w:rtl/>
        </w:rPr>
      </w:pPr>
      <w:r>
        <w:rPr>
          <w:rStyle w:val="af0"/>
        </w:rPr>
        <w:annotationRef/>
      </w:r>
      <w:r>
        <w:rPr>
          <w:rFonts w:hint="cs"/>
          <w:rtl/>
        </w:rPr>
        <w:t>ضُبط المصطلح: «مبدأ بقاء الإنسان في حلقة القرار (Human-</w:t>
      </w:r>
      <w:proofErr w:type="spellStart"/>
      <w:r>
        <w:rPr>
          <w:rFonts w:hint="cs"/>
          <w:rtl/>
        </w:rPr>
        <w:t>in</w:t>
      </w:r>
      <w:proofErr w:type="spellEnd"/>
      <w:r>
        <w:rPr>
          <w:rFonts w:hint="cs"/>
          <w:rtl/>
        </w:rPr>
        <w:t>-</w:t>
      </w:r>
      <w:proofErr w:type="spellStart"/>
      <w:r>
        <w:rPr>
          <w:rFonts w:hint="cs"/>
          <w:rtl/>
        </w:rPr>
        <w:t>the-Loop</w:t>
      </w:r>
      <w:proofErr w:type="spellEnd"/>
      <w:r>
        <w:rPr>
          <w:rFonts w:hint="cs"/>
          <w:rtl/>
        </w:rPr>
        <w:t>)».</w:t>
      </w:r>
    </w:p>
  </w:comment>
  <w:comment w:id="274" w:author="Dr. Ibrahim" w:date="2026-06-30T22:11:00Z" w:initials="DI">
    <w:p w14:paraId="31DB7084" w14:textId="1CA67BE3" w:rsidR="00B6053A" w:rsidRDefault="00B6053A">
      <w:pPr>
        <w:pStyle w:val="af1"/>
      </w:pPr>
      <w:r>
        <w:rPr>
          <w:rStyle w:val="af0"/>
        </w:rPr>
        <w:annotationRef/>
      </w:r>
      <w:r>
        <w:rPr>
          <w:rFonts w:hint="cs"/>
          <w:rtl/>
        </w:rPr>
        <w:t>الترجمة عير دقيقة</w:t>
      </w:r>
    </w:p>
  </w:comment>
  <w:comment w:id="275" w:author="الباحث: حسان جمبي" w:date="2026-07-18T21:00:00Z" w:initials="حج">
    <w:p w14:paraId="1FAF50DB" w14:textId="77777777" w:rsidR="00B6053A" w:rsidRDefault="00B6053A">
      <w:pPr>
        <w:pStyle w:val="af1"/>
        <w:rPr>
          <w:rtl/>
        </w:rPr>
      </w:pPr>
      <w:r>
        <w:rPr>
          <w:rStyle w:val="af0"/>
        </w:rPr>
        <w:annotationRef/>
      </w:r>
      <w:r>
        <w:rPr>
          <w:rFonts w:hint="cs"/>
          <w:rtl/>
        </w:rPr>
        <w:t>صُححت الترجمة: «التحقق من المصادر (</w:t>
      </w:r>
      <w:proofErr w:type="spellStart"/>
      <w:r>
        <w:rPr>
          <w:rFonts w:hint="cs"/>
          <w:rtl/>
        </w:rPr>
        <w:t>Source</w:t>
      </w:r>
      <w:proofErr w:type="spellEnd"/>
      <w:r>
        <w:rPr>
          <w:rFonts w:hint="cs"/>
          <w:rtl/>
        </w:rPr>
        <w:t xml:space="preserve"> </w:t>
      </w:r>
      <w:proofErr w:type="spellStart"/>
      <w:r>
        <w:rPr>
          <w:rFonts w:hint="cs"/>
          <w:rtl/>
        </w:rPr>
        <w:t>Verification</w:t>
      </w:r>
      <w:proofErr w:type="spellEnd"/>
      <w:r>
        <w:rPr>
          <w:rFonts w:hint="cs"/>
          <w:rtl/>
        </w:rPr>
        <w:t>)».</w:t>
      </w:r>
    </w:p>
  </w:comment>
  <w:comment w:id="276" w:author="Dr. Ibrahim" w:date="2026-06-30T22:12:00Z" w:initials="DI">
    <w:p w14:paraId="39EB6F2F" w14:textId="6F9FFC9C" w:rsidR="00B6053A" w:rsidRDefault="00B6053A">
      <w:pPr>
        <w:pStyle w:val="af1"/>
      </w:pPr>
      <w:r>
        <w:rPr>
          <w:rStyle w:val="af0"/>
        </w:rPr>
        <w:annotationRef/>
      </w:r>
      <w:r>
        <w:rPr>
          <w:rFonts w:hint="cs"/>
          <w:rtl/>
        </w:rPr>
        <w:t>هل نحن في تقرير صحفي</w:t>
      </w:r>
    </w:p>
  </w:comment>
  <w:comment w:id="277" w:author="الباحث: حسان جمبي" w:date="2026-07-18T21:00:00Z" w:initials="حج">
    <w:p w14:paraId="55BE5C4E" w14:textId="77777777" w:rsidR="00B6053A" w:rsidRDefault="00B6053A">
      <w:pPr>
        <w:pStyle w:val="af1"/>
        <w:rPr>
          <w:rtl/>
        </w:rPr>
      </w:pPr>
      <w:r>
        <w:rPr>
          <w:rStyle w:val="af0"/>
        </w:rPr>
        <w:annotationRef/>
      </w:r>
      <w:r>
        <w:rPr>
          <w:rFonts w:hint="cs"/>
          <w:rtl/>
        </w:rPr>
        <w:t>حُذفت الصياغة الصحفية والتوقع غير الموثق، واستُبدلت بها الإشارة للمستجدات التنظيمية المقارنة عموماً.</w:t>
      </w:r>
    </w:p>
  </w:comment>
  <w:comment w:id="278" w:author="Dr. Ibrahim" w:date="2026-06-30T22:12:00Z" w:initials="DI">
    <w:p w14:paraId="67AADB30" w14:textId="7B3396B0" w:rsidR="00B6053A" w:rsidRDefault="00B6053A">
      <w:pPr>
        <w:pStyle w:val="af1"/>
      </w:pPr>
      <w:r>
        <w:rPr>
          <w:rStyle w:val="af0"/>
        </w:rPr>
        <w:annotationRef/>
      </w:r>
      <w:r>
        <w:rPr>
          <w:rFonts w:hint="cs"/>
          <w:rtl/>
        </w:rPr>
        <w:t>التقسيم ثم لا بد من دمج هذه المعلومات في الفقرات</w:t>
      </w:r>
    </w:p>
  </w:comment>
  <w:comment w:id="279" w:author="الباحث: حسان جمبي" w:date="2026-07-18T21:00:00Z" w:initials="حج">
    <w:p w14:paraId="795E1426" w14:textId="77777777" w:rsidR="00B6053A" w:rsidRDefault="00B6053A">
      <w:pPr>
        <w:pStyle w:val="af1"/>
        <w:rPr>
          <w:rtl/>
        </w:rPr>
      </w:pPr>
      <w:r>
        <w:rPr>
          <w:rStyle w:val="af0"/>
        </w:rPr>
        <w:annotationRef/>
      </w:r>
      <w:r>
        <w:rPr>
          <w:rFonts w:hint="cs"/>
          <w:rtl/>
        </w:rPr>
        <w:t>تم؛ حُذف مسمى «الجداول» ودُمجت المعلومات في فقرات مرقمة.</w:t>
      </w:r>
    </w:p>
  </w:comment>
  <w:comment w:id="280" w:author="Dr. Ibrahim" w:date="2026-07-03T19:12:00Z" w:initials="DI">
    <w:p w14:paraId="2A146AD5" w14:textId="2579FDDA" w:rsidR="00B6053A" w:rsidRDefault="00B6053A">
      <w:pPr>
        <w:pStyle w:val="af1"/>
      </w:pPr>
      <w:r>
        <w:rPr>
          <w:rStyle w:val="af0"/>
        </w:rPr>
        <w:annotationRef/>
      </w:r>
      <w:r>
        <w:rPr>
          <w:rFonts w:hint="cs"/>
          <w:rtl/>
        </w:rPr>
        <w:t>هل هذه لغة قانونية</w:t>
      </w:r>
    </w:p>
  </w:comment>
  <w:comment w:id="281" w:author="الباحث: حسان جمبي" w:date="2026-07-18T21:00:00Z" w:initials="حج">
    <w:p w14:paraId="31139851" w14:textId="77777777" w:rsidR="00B6053A" w:rsidRDefault="00B6053A">
      <w:pPr>
        <w:pStyle w:val="af1"/>
        <w:rPr>
          <w:rtl/>
        </w:rPr>
      </w:pPr>
      <w:r>
        <w:rPr>
          <w:rStyle w:val="af0"/>
        </w:rPr>
        <w:annotationRef/>
      </w:r>
      <w:r>
        <w:rPr>
          <w:rFonts w:hint="cs"/>
          <w:rtl/>
        </w:rPr>
        <w:t>تم؛ «اختباراً تطبيقياً» بدل العبارة الأولى، وصُححت الأخطاء اللغوية في الموضع.</w:t>
      </w:r>
    </w:p>
  </w:comment>
  <w:comment w:id="282" w:author="Dr. Ibrahim" w:date="2026-07-03T19:13:00Z" w:initials="DI">
    <w:p w14:paraId="540C5B9A" w14:textId="41AF6654" w:rsidR="00B6053A" w:rsidRDefault="00B6053A">
      <w:pPr>
        <w:pStyle w:val="af1"/>
      </w:pPr>
      <w:r>
        <w:rPr>
          <w:rStyle w:val="af0"/>
        </w:rPr>
        <w:annotationRef/>
      </w:r>
      <w:r>
        <w:rPr>
          <w:rFonts w:hint="cs"/>
          <w:rtl/>
        </w:rPr>
        <w:t>صياغة ذكاء اصطناعي واضحة</w:t>
      </w:r>
    </w:p>
  </w:comment>
  <w:comment w:id="283" w:author="الباحث: حسان جمبي" w:date="2026-07-18T21:00:00Z" w:initials="حج">
    <w:p w14:paraId="77D95B3F" w14:textId="77777777" w:rsidR="00B6053A" w:rsidRDefault="00B6053A">
      <w:pPr>
        <w:pStyle w:val="af1"/>
        <w:rPr>
          <w:rtl/>
        </w:rPr>
      </w:pPr>
      <w:r>
        <w:rPr>
          <w:rStyle w:val="af0"/>
        </w:rPr>
        <w:annotationRef/>
      </w:r>
      <w:r>
        <w:rPr>
          <w:rFonts w:hint="cs"/>
          <w:rtl/>
        </w:rPr>
        <w:t>أُعيدت صياغة الخلاصة النقدية بأسلوب الباحث مع الإبقاء على منهج الاختبار بالمواد لكل نظام.</w:t>
      </w:r>
    </w:p>
  </w:comment>
  <w:comment w:id="284" w:author="Dr. Ibrahim" w:date="2026-06-30T22:14:00Z" w:initials="DI">
    <w:p w14:paraId="1A3A7200" w14:textId="4F342A37" w:rsidR="00B6053A" w:rsidRDefault="00B6053A">
      <w:pPr>
        <w:pStyle w:val="af1"/>
      </w:pPr>
      <w:r>
        <w:rPr>
          <w:rStyle w:val="af0"/>
        </w:rPr>
        <w:annotationRef/>
      </w:r>
    </w:p>
  </w:comment>
  <w:comment w:id="285" w:author="الباحث: حسان جمبي" w:date="2026-07-18T21:00:00Z" w:initials="حج">
    <w:p w14:paraId="1E9FC342" w14:textId="77777777" w:rsidR="00B6053A" w:rsidRDefault="00B6053A">
      <w:pPr>
        <w:pStyle w:val="af1"/>
        <w:rPr>
          <w:rtl/>
        </w:rPr>
      </w:pPr>
      <w:r>
        <w:rPr>
          <w:rStyle w:val="af0"/>
        </w:rPr>
        <w:annotationRef/>
      </w:r>
      <w:r>
        <w:rPr>
          <w:rFonts w:hint="cs"/>
          <w:rtl/>
        </w:rPr>
        <w:t>صُحح اللفظ إلى «الشاملة».</w:t>
      </w:r>
    </w:p>
  </w:comment>
  <w:comment w:id="286" w:author="Dr. Ibrahim" w:date="2026-07-02T09:23:00Z" w:initials="DI">
    <w:p w14:paraId="0048D705" w14:textId="79E83990" w:rsidR="00B6053A" w:rsidRDefault="00B6053A">
      <w:pPr>
        <w:pStyle w:val="af1"/>
        <w:rPr>
          <w:rtl/>
          <w:lang w:bidi="ar-SY"/>
        </w:rPr>
      </w:pPr>
      <w:r>
        <w:rPr>
          <w:rStyle w:val="af0"/>
        </w:rPr>
        <w:annotationRef/>
      </w:r>
      <w:r>
        <w:rPr>
          <w:rFonts w:hint="cs"/>
          <w:rtl/>
          <w:lang w:bidi="ar-SY"/>
        </w:rPr>
        <w:t xml:space="preserve">لا داع لكتابة المراجع في نهاية كل فصل لأننا نضعها اسفل </w:t>
      </w:r>
      <w:proofErr w:type="gramStart"/>
      <w:r>
        <w:rPr>
          <w:rFonts w:hint="cs"/>
          <w:rtl/>
          <w:lang w:bidi="ar-SY"/>
        </w:rPr>
        <w:t>الصفحة  كما</w:t>
      </w:r>
      <w:proofErr w:type="gramEnd"/>
      <w:r>
        <w:rPr>
          <w:rFonts w:hint="cs"/>
          <w:rtl/>
          <w:lang w:bidi="ar-SY"/>
        </w:rPr>
        <w:t xml:space="preserve"> انها جميعا مراجع سابقة</w:t>
      </w:r>
    </w:p>
  </w:comment>
  <w:comment w:id="287" w:author="الباحث: حسان جمبي" w:date="2026-07-18T21:00:00Z" w:initials="حج">
    <w:p w14:paraId="3357B63D" w14:textId="77777777" w:rsidR="00B6053A" w:rsidRDefault="00B6053A">
      <w:pPr>
        <w:pStyle w:val="af1"/>
        <w:rPr>
          <w:rtl/>
        </w:rPr>
      </w:pPr>
      <w:r>
        <w:rPr>
          <w:rStyle w:val="af0"/>
        </w:rPr>
        <w:annotationRef/>
      </w:r>
      <w:r>
        <w:rPr>
          <w:rFonts w:hint="cs"/>
          <w:rtl/>
        </w:rPr>
        <w:t>تم؛ حُذفت قائمة المراجع من نهاية الفصل اكتفاءً بالتوثيق أسفل الصفحات، وتُدرج قائمة موحدة في نهاية الرسالة.</w:t>
      </w:r>
    </w:p>
  </w:comment>
  <w:comment w:id="288" w:author="Dr. Ibrahim" w:date="2026-06-30T22:16:00Z" w:initials="DI">
    <w:p w14:paraId="1F444D02" w14:textId="1A4B1514" w:rsidR="00B6053A" w:rsidRDefault="00B6053A">
      <w:pPr>
        <w:pStyle w:val="af1"/>
      </w:pPr>
      <w:r>
        <w:rPr>
          <w:rStyle w:val="af0"/>
        </w:rPr>
        <w:annotationRef/>
      </w:r>
    </w:p>
  </w:comment>
  <w:comment w:id="289" w:author="الباحث: حسان جمبي" w:date="2026-07-18T21:00:00Z" w:initials="حج">
    <w:p w14:paraId="56EE11ED" w14:textId="77777777" w:rsidR="00B6053A" w:rsidRDefault="00B6053A">
      <w:pPr>
        <w:pStyle w:val="af1"/>
        <w:rPr>
          <w:rtl/>
        </w:rPr>
      </w:pPr>
      <w:r>
        <w:rPr>
          <w:rStyle w:val="af0"/>
        </w:rPr>
        <w:annotationRef/>
      </w:r>
      <w:r>
        <w:rPr>
          <w:rFonts w:hint="cs"/>
          <w:rtl/>
        </w:rPr>
        <w:t>عولج بحذف القائمة وتوحيد التوثيق.</w:t>
      </w:r>
    </w:p>
  </w:comment>
  <w:comment w:id="290" w:author="Dr. Ibrahim" w:date="2026-06-30T22:16:00Z" w:initials="DI">
    <w:p w14:paraId="4D746174" w14:textId="0406A36C" w:rsidR="00B6053A" w:rsidRDefault="00B6053A">
      <w:pPr>
        <w:pStyle w:val="af1"/>
      </w:pPr>
      <w:r>
        <w:rPr>
          <w:rStyle w:val="af0"/>
        </w:rPr>
        <w:annotationRef/>
      </w:r>
      <w:r>
        <w:rPr>
          <w:rFonts w:hint="cs"/>
          <w:rtl/>
        </w:rPr>
        <w:t>غير منضبطة</w:t>
      </w:r>
    </w:p>
  </w:comment>
  <w:comment w:id="291" w:author="الباحث: حسان جمبي" w:date="2026-07-18T21:00:00Z" w:initials="حج">
    <w:p w14:paraId="3A8BED1A" w14:textId="77777777" w:rsidR="00B6053A" w:rsidRDefault="00B6053A">
      <w:pPr>
        <w:pStyle w:val="af1"/>
        <w:rPr>
          <w:rtl/>
        </w:rPr>
      </w:pPr>
      <w:r>
        <w:rPr>
          <w:rStyle w:val="af0"/>
        </w:rPr>
        <w:annotationRef/>
      </w:r>
      <w:r>
        <w:rPr>
          <w:rFonts w:hint="cs"/>
          <w:rtl/>
        </w:rPr>
        <w:t>عولج بحذف القائمة وتوحيد التوثيق.</w:t>
      </w:r>
    </w:p>
  </w:comment>
  <w:comment w:id="292" w:author="Dr. Ibrahim" w:date="2026-06-30T22:16:00Z" w:initials="DI">
    <w:p w14:paraId="0DB81358" w14:textId="69CAD7C8" w:rsidR="00B6053A" w:rsidRDefault="00B6053A">
      <w:pPr>
        <w:pStyle w:val="af1"/>
      </w:pPr>
      <w:r>
        <w:rPr>
          <w:rStyle w:val="af0"/>
        </w:rPr>
        <w:annotationRef/>
      </w:r>
    </w:p>
  </w:comment>
  <w:comment w:id="293" w:author="الباحث: حسان جمبي" w:date="2026-07-18T21:00:00Z" w:initials="حج">
    <w:p w14:paraId="544F87E5" w14:textId="77777777" w:rsidR="00B6053A" w:rsidRDefault="00B6053A">
      <w:pPr>
        <w:pStyle w:val="af1"/>
        <w:rPr>
          <w:rtl/>
        </w:rPr>
      </w:pPr>
      <w:r>
        <w:rPr>
          <w:rStyle w:val="af0"/>
        </w:rPr>
        <w:annotationRef/>
      </w:r>
      <w:r>
        <w:rPr>
          <w:rFonts w:hint="cs"/>
          <w:rtl/>
        </w:rPr>
        <w:t>عولج بحذف القائمة.</w:t>
      </w:r>
    </w:p>
  </w:comment>
  <w:comment w:id="294" w:author="Dr. Ibrahim" w:date="2026-06-30T22:18:00Z" w:initials="DI">
    <w:p w14:paraId="545203EB" w14:textId="696D3372" w:rsidR="00B6053A" w:rsidRDefault="00B6053A">
      <w:pPr>
        <w:pStyle w:val="af1"/>
      </w:pPr>
      <w:r>
        <w:rPr>
          <w:rStyle w:val="af0"/>
        </w:rPr>
        <w:annotationRef/>
      </w:r>
    </w:p>
  </w:comment>
  <w:comment w:id="295" w:author="الباحث: حسان جمبي" w:date="2026-07-18T21:00:00Z" w:initials="حج">
    <w:p w14:paraId="18E2F9EE" w14:textId="77777777" w:rsidR="00B6053A" w:rsidRDefault="00B6053A">
      <w:pPr>
        <w:pStyle w:val="af1"/>
        <w:rPr>
          <w:rtl/>
        </w:rPr>
      </w:pPr>
      <w:r>
        <w:rPr>
          <w:rStyle w:val="af0"/>
        </w:rPr>
        <w:annotationRef/>
      </w:r>
      <w:r>
        <w:rPr>
          <w:rFonts w:hint="cs"/>
          <w:rtl/>
        </w:rPr>
        <w:t>عولج بحذف القائمة.</w:t>
      </w:r>
    </w:p>
  </w:comment>
  <w:comment w:id="296" w:author="Dr. Ibrahim" w:date="2026-06-30T22:20:00Z" w:initials="DI">
    <w:p w14:paraId="47F23312" w14:textId="6B7C764C" w:rsidR="00B6053A" w:rsidRDefault="00B6053A">
      <w:pPr>
        <w:pStyle w:val="af1"/>
      </w:pPr>
      <w:r>
        <w:rPr>
          <w:rStyle w:val="af0"/>
        </w:rPr>
        <w:annotationRef/>
      </w:r>
      <w:r>
        <w:rPr>
          <w:rFonts w:hint="cs"/>
          <w:rtl/>
        </w:rPr>
        <w:t>التاريخ ومكان النشر الرقم التسلسلي غير مطلوب</w:t>
      </w:r>
    </w:p>
  </w:comment>
  <w:comment w:id="297" w:author="الباحث: حسان جمبي" w:date="2026-07-18T21:00:00Z" w:initials="حج">
    <w:p w14:paraId="53B58473" w14:textId="77777777" w:rsidR="00B6053A" w:rsidRDefault="00B6053A">
      <w:pPr>
        <w:pStyle w:val="af1"/>
        <w:rPr>
          <w:rtl/>
        </w:rPr>
      </w:pPr>
      <w:r>
        <w:rPr>
          <w:rStyle w:val="af0"/>
        </w:rPr>
        <w:annotationRef/>
      </w:r>
      <w:r>
        <w:rPr>
          <w:rFonts w:hint="cs"/>
          <w:rtl/>
        </w:rPr>
        <w:t>تم؛ حُذفت البيانات الزائدة (الأرقام التسلسلية ونحوها) من التوثيق.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D2EE69" w15:done="0"/>
  <w15:commentEx w15:paraId="2F6B8BB5" w15:paraIdParent="0DD2EE69" w15:done="0"/>
  <w15:commentEx w15:paraId="363EF316" w15:done="0"/>
  <w15:commentEx w15:paraId="6F285F06" w15:paraIdParent="363EF316" w15:done="0"/>
  <w15:commentEx w15:paraId="3662A418" w15:done="0"/>
  <w15:commentEx w15:paraId="1B6272A4" w15:paraIdParent="3662A418" w15:done="0"/>
  <w15:commentEx w15:paraId="28CA4023" w15:done="0"/>
  <w15:commentEx w15:paraId="36EC1AE8" w15:paraIdParent="28CA4023" w15:done="0"/>
  <w15:commentEx w15:paraId="69CBB145" w15:done="0"/>
  <w15:commentEx w15:paraId="44148A7C" w15:paraIdParent="69CBB145" w15:done="0"/>
  <w15:commentEx w15:paraId="42EB589A" w15:done="0"/>
  <w15:commentEx w15:paraId="6E2C8A7B" w15:paraIdParent="42EB589A" w15:done="0"/>
  <w15:commentEx w15:paraId="19791051" w15:done="0"/>
  <w15:commentEx w15:paraId="2F01A763" w15:paraIdParent="19791051" w15:done="0"/>
  <w15:commentEx w15:paraId="03737AAE" w15:done="0"/>
  <w15:commentEx w15:paraId="38A3629E" w15:paraIdParent="03737AAE" w15:done="0"/>
  <w15:commentEx w15:paraId="43735B00" w15:done="0"/>
  <w15:commentEx w15:paraId="20B7EE0C" w15:paraIdParent="43735B00" w15:done="0"/>
  <w15:commentEx w15:paraId="5547E5BA" w15:done="0"/>
  <w15:commentEx w15:paraId="61732A69" w15:paraIdParent="5547E5BA" w15:done="0"/>
  <w15:commentEx w15:paraId="6175FB9B" w15:done="0"/>
  <w15:commentEx w15:paraId="4478DAF6" w15:paraIdParent="6175FB9B" w15:done="0"/>
  <w15:commentEx w15:paraId="7A2923E2" w15:done="0"/>
  <w15:commentEx w15:paraId="20776B2D" w15:paraIdParent="7A2923E2" w15:done="0"/>
  <w15:commentEx w15:paraId="7E0C7FCB" w15:done="0"/>
  <w15:commentEx w15:paraId="70914465" w15:done="0"/>
  <w15:commentEx w15:paraId="0548AACA" w15:done="0"/>
  <w15:commentEx w15:paraId="44FB7D19" w15:paraIdParent="0548AACA" w15:done="0"/>
  <w15:commentEx w15:paraId="48182834" w15:done="0"/>
  <w15:commentEx w15:paraId="1B28494A" w15:paraIdParent="48182834" w15:done="0"/>
  <w15:commentEx w15:paraId="0C647735" w15:done="0"/>
  <w15:commentEx w15:paraId="1F0E6C9D" w15:done="0"/>
  <w15:commentEx w15:paraId="4E840CD3" w15:done="0"/>
  <w15:commentEx w15:paraId="5683B419" w15:done="0"/>
  <w15:commentEx w15:paraId="61356D6C" w15:paraIdParent="5683B419" w15:done="0"/>
  <w15:commentEx w15:paraId="2A58DAAE" w15:done="0"/>
  <w15:commentEx w15:paraId="3050ACFE" w15:done="0"/>
  <w15:commentEx w15:paraId="3C35FCFE" w15:done="0"/>
  <w15:commentEx w15:paraId="13704B7A" w15:done="0"/>
  <w15:commentEx w15:paraId="5C561F13" w15:paraIdParent="13704B7A" w15:done="0"/>
  <w15:commentEx w15:paraId="01BE7814" w15:done="0"/>
  <w15:commentEx w15:paraId="61B4416C" w15:paraIdParent="01BE7814" w15:done="0"/>
  <w15:commentEx w15:paraId="22AC3E85" w15:done="0"/>
  <w15:commentEx w15:paraId="0D9E3EFD" w15:done="0"/>
  <w15:commentEx w15:paraId="7A41B35B" w15:paraIdParent="0D9E3EFD" w15:done="0"/>
  <w15:commentEx w15:paraId="7E36F8A5" w15:done="0"/>
  <w15:commentEx w15:paraId="745281B0" w15:done="0"/>
  <w15:commentEx w15:paraId="6DBB581D" w15:paraIdParent="745281B0" w15:done="0"/>
  <w15:commentEx w15:paraId="05E02402" w15:done="0"/>
  <w15:commentEx w15:paraId="330F8834" w15:paraIdParent="05E02402" w15:done="0"/>
  <w15:commentEx w15:paraId="1B5C646A" w15:done="0"/>
  <w15:commentEx w15:paraId="544D2066" w15:paraIdParent="1B5C646A" w15:done="0"/>
  <w15:commentEx w15:paraId="14EC19BE" w15:done="0"/>
  <w15:commentEx w15:paraId="64A99D49" w15:paraIdParent="14EC19BE" w15:done="0"/>
  <w15:commentEx w15:paraId="2394BA29" w15:done="0"/>
  <w15:commentEx w15:paraId="583BD268" w15:paraIdParent="2394BA29" w15:done="0"/>
  <w15:commentEx w15:paraId="7A428760" w15:done="0"/>
  <w15:commentEx w15:paraId="6030E470" w15:paraIdParent="7A428760" w15:done="0"/>
  <w15:commentEx w15:paraId="593A47BC" w15:done="0"/>
  <w15:commentEx w15:paraId="2A30325C" w15:paraIdParent="593A47BC" w15:done="0"/>
  <w15:commentEx w15:paraId="18FB5C1D" w15:done="0"/>
  <w15:commentEx w15:paraId="5BD87443" w15:paraIdParent="18FB5C1D" w15:done="0"/>
  <w15:commentEx w15:paraId="22EB283E" w15:done="0"/>
  <w15:commentEx w15:paraId="26A76293" w15:paraIdParent="22EB283E" w15:done="0"/>
  <w15:commentEx w15:paraId="0BABF7D3" w15:done="0"/>
  <w15:commentEx w15:paraId="487A4B33" w15:paraIdParent="0BABF7D3" w15:done="0"/>
  <w15:commentEx w15:paraId="1F0AAA96" w15:done="0"/>
  <w15:commentEx w15:paraId="23E652B5" w15:paraIdParent="1F0AAA96" w15:done="0"/>
  <w15:commentEx w15:paraId="77C6E233" w15:done="0"/>
  <w15:commentEx w15:paraId="3E8CFEFB" w15:paraIdParent="77C6E233" w15:done="0"/>
  <w15:commentEx w15:paraId="1141C9BE" w15:done="0"/>
  <w15:commentEx w15:paraId="7D829439" w15:paraIdParent="1141C9BE" w15:done="0"/>
  <w15:commentEx w15:paraId="7154F861" w15:done="0"/>
  <w15:commentEx w15:paraId="5A40603C" w15:paraIdParent="7154F861" w15:done="0"/>
  <w15:commentEx w15:paraId="4FE361FC" w15:done="0"/>
  <w15:commentEx w15:paraId="60CC2318" w15:paraIdParent="4FE361FC" w15:done="0"/>
  <w15:commentEx w15:paraId="3C0773DE" w15:done="0"/>
  <w15:commentEx w15:paraId="286BDEF4" w15:paraIdParent="3C0773DE" w15:done="0"/>
  <w15:commentEx w15:paraId="569F6EB8" w15:done="0"/>
  <w15:commentEx w15:paraId="309FAE26" w15:paraIdParent="569F6EB8" w15:done="0"/>
  <w15:commentEx w15:paraId="477E0B22" w15:done="0"/>
  <w15:commentEx w15:paraId="6D48A492" w15:paraIdParent="477E0B22" w15:done="0"/>
  <w15:commentEx w15:paraId="2826EF17" w15:done="0"/>
  <w15:commentEx w15:paraId="340CAF75" w15:paraIdParent="2826EF17" w15:done="0"/>
  <w15:commentEx w15:paraId="7149B2F6" w15:done="0"/>
  <w15:commentEx w15:paraId="3494D3F9" w15:paraIdParent="7149B2F6" w15:done="0"/>
  <w15:commentEx w15:paraId="0CE47753" w15:done="0"/>
  <w15:commentEx w15:paraId="1993AA38" w15:paraIdParent="0CE47753" w15:done="0"/>
  <w15:commentEx w15:paraId="69E597DC" w15:done="0"/>
  <w15:commentEx w15:paraId="1DCF63AE" w15:paraIdParent="69E597DC" w15:done="0"/>
  <w15:commentEx w15:paraId="5171DC52" w15:done="0"/>
  <w15:commentEx w15:paraId="2491CDE5" w15:paraIdParent="5171DC52" w15:done="0"/>
  <w15:commentEx w15:paraId="44BA57F7" w15:done="0"/>
  <w15:commentEx w15:paraId="42CA0E5F" w15:paraIdParent="44BA57F7" w15:done="0"/>
  <w15:commentEx w15:paraId="524CE518" w15:done="0"/>
  <w15:commentEx w15:paraId="2A59AAC6" w15:paraIdParent="524CE518" w15:done="0"/>
  <w15:commentEx w15:paraId="1EE8BD17" w15:done="0"/>
  <w15:commentEx w15:paraId="248466A0" w15:paraIdParent="1EE8BD17" w15:done="0"/>
  <w15:commentEx w15:paraId="142C011A" w15:done="0"/>
  <w15:commentEx w15:paraId="47FC4407" w15:paraIdParent="142C011A" w15:done="0"/>
  <w15:commentEx w15:paraId="1775F555" w15:done="0"/>
  <w15:commentEx w15:paraId="5C8653DD" w15:paraIdParent="1775F555" w15:done="0"/>
  <w15:commentEx w15:paraId="7CFBC4B2" w15:done="0"/>
  <w15:commentEx w15:paraId="15FF564C" w15:paraIdParent="7CFBC4B2" w15:done="0"/>
  <w15:commentEx w15:paraId="3CE5E5AE" w15:done="0"/>
  <w15:commentEx w15:paraId="2038A8DC" w15:paraIdParent="3CE5E5AE" w15:done="0"/>
  <w15:commentEx w15:paraId="0174B0E6" w15:done="0"/>
  <w15:commentEx w15:paraId="2A9ED914" w15:paraIdParent="0174B0E6" w15:done="0"/>
  <w15:commentEx w15:paraId="4922F3DA" w15:done="0"/>
  <w15:commentEx w15:paraId="411E588C" w15:paraIdParent="4922F3DA" w15:done="0"/>
  <w15:commentEx w15:paraId="4651A037" w15:done="0"/>
  <w15:commentEx w15:paraId="3047392B" w15:paraIdParent="4651A037" w15:done="0"/>
  <w15:commentEx w15:paraId="7BAB3099" w15:done="0"/>
  <w15:commentEx w15:paraId="2A4EFA51" w15:paraIdParent="7BAB3099" w15:done="0"/>
  <w15:commentEx w15:paraId="474FD8F2" w15:done="0"/>
  <w15:commentEx w15:paraId="67FE9855" w15:paraIdParent="474FD8F2" w15:done="0"/>
  <w15:commentEx w15:paraId="617DEB8A" w15:done="0"/>
  <w15:commentEx w15:paraId="77C14A35" w15:paraIdParent="617DEB8A" w15:done="0"/>
  <w15:commentEx w15:paraId="2DBB0122" w15:done="0"/>
  <w15:commentEx w15:paraId="32168D4E" w15:paraIdParent="2DBB0122" w15:done="0"/>
  <w15:commentEx w15:paraId="6892BCEE" w15:done="0"/>
  <w15:commentEx w15:paraId="25ACD4AC" w15:paraIdParent="6892BCEE" w15:done="0"/>
  <w15:commentEx w15:paraId="65EFAD82" w15:done="0"/>
  <w15:commentEx w15:paraId="62300072" w15:paraIdParent="65EFAD82" w15:done="0"/>
  <w15:commentEx w15:paraId="23EC3D7E" w15:done="0"/>
  <w15:commentEx w15:paraId="5112EDF8" w15:paraIdParent="23EC3D7E" w15:done="0"/>
  <w15:commentEx w15:paraId="7FFA72FD" w15:done="0"/>
  <w15:commentEx w15:paraId="1737C71E" w15:done="0"/>
  <w15:commentEx w15:paraId="20740DED" w15:paraIdParent="1737C71E" w15:done="0"/>
  <w15:commentEx w15:paraId="4F09CA04" w15:done="0"/>
  <w15:commentEx w15:paraId="1860F572" w15:paraIdParent="4F09CA04" w15:done="0"/>
  <w15:commentEx w15:paraId="6ADEC6F0" w15:done="0"/>
  <w15:commentEx w15:paraId="69CCD697" w15:paraIdParent="6ADEC6F0" w15:done="0"/>
  <w15:commentEx w15:paraId="71BA114D" w15:done="0"/>
  <w15:commentEx w15:paraId="4659C3E0" w15:paraIdParent="71BA114D" w15:done="0"/>
  <w15:commentEx w15:paraId="41C8E8F8" w15:done="0"/>
  <w15:commentEx w15:paraId="31CB01FC" w15:paraIdParent="41C8E8F8" w15:done="0"/>
  <w15:commentEx w15:paraId="40D3B4FC" w15:done="0"/>
  <w15:commentEx w15:paraId="3A842226" w15:paraIdParent="40D3B4FC" w15:done="0"/>
  <w15:commentEx w15:paraId="411BDD0B" w15:done="0"/>
  <w15:commentEx w15:paraId="69450363" w15:paraIdParent="411BDD0B" w15:done="0"/>
  <w15:commentEx w15:paraId="7C763551" w15:done="0"/>
  <w15:commentEx w15:paraId="17DF584B" w15:paraIdParent="7C763551" w15:done="0"/>
  <w15:commentEx w15:paraId="327B3ABA" w15:done="0"/>
  <w15:commentEx w15:paraId="4A0D2EB5" w15:paraIdParent="327B3ABA" w15:done="0"/>
  <w15:commentEx w15:paraId="34B7C0B0" w15:done="0"/>
  <w15:commentEx w15:paraId="4D06DDD9" w15:paraIdParent="34B7C0B0" w15:done="0"/>
  <w15:commentEx w15:paraId="00ED515A" w15:done="0"/>
  <w15:commentEx w15:paraId="62ADF263" w15:paraIdParent="00ED515A" w15:done="0"/>
  <w15:commentEx w15:paraId="40D1698E" w15:done="0"/>
  <w15:commentEx w15:paraId="29A15166" w15:paraIdParent="40D1698E" w15:done="0"/>
  <w15:commentEx w15:paraId="6EE3B70A" w15:done="0"/>
  <w15:commentEx w15:paraId="7B72E5FE" w15:paraIdParent="6EE3B70A" w15:done="0"/>
  <w15:commentEx w15:paraId="389DE75C" w15:done="0"/>
  <w15:commentEx w15:paraId="7A228F09" w15:paraIdParent="389DE75C" w15:done="0"/>
  <w15:commentEx w15:paraId="449BBEA1" w15:done="0"/>
  <w15:commentEx w15:paraId="3643E9F6" w15:paraIdParent="449BBEA1" w15:done="0"/>
  <w15:commentEx w15:paraId="107A44F5" w15:done="0"/>
  <w15:commentEx w15:paraId="70D9DF46" w15:paraIdParent="107A44F5" w15:done="0"/>
  <w15:commentEx w15:paraId="1D78B330" w15:done="0"/>
  <w15:commentEx w15:paraId="1A378A06" w15:paraIdParent="1D78B330" w15:done="0"/>
  <w15:commentEx w15:paraId="43CD0AA7" w15:done="0"/>
  <w15:commentEx w15:paraId="507D7CB3" w15:paraIdParent="43CD0AA7" w15:done="0"/>
  <w15:commentEx w15:paraId="7D1ED06F" w15:paraIdParent="43CD0AA7" w15:done="0"/>
  <w15:commentEx w15:paraId="2CF5D1B6" w15:paraIdParent="43CD0AA7" w15:done="0"/>
  <w15:commentEx w15:paraId="3D694E3A" w15:done="0"/>
  <w15:commentEx w15:paraId="520A7CC8" w15:paraIdParent="3D694E3A" w15:done="0"/>
  <w15:commentEx w15:paraId="68A87CAD" w15:done="0"/>
  <w15:commentEx w15:paraId="46C54EA0" w15:paraIdParent="68A87CAD" w15:done="0"/>
  <w15:commentEx w15:paraId="4F9CFE62" w15:done="0"/>
  <w15:commentEx w15:paraId="2DEA7BF6" w15:paraIdParent="4F9CFE62" w15:done="0"/>
  <w15:commentEx w15:paraId="2044A3D8" w15:done="0"/>
  <w15:commentEx w15:paraId="58C98713" w15:paraIdParent="2044A3D8" w15:done="0"/>
  <w15:commentEx w15:paraId="4F4A5042" w15:done="0"/>
  <w15:commentEx w15:paraId="4794E4CF" w15:paraIdParent="4F4A5042" w15:done="0"/>
  <w15:commentEx w15:paraId="4A5CBD11" w15:done="0"/>
  <w15:commentEx w15:paraId="1A21657E" w15:paraIdParent="4A5CBD11" w15:done="0"/>
  <w15:commentEx w15:paraId="055A97BF" w15:done="0"/>
  <w15:commentEx w15:paraId="7651165E" w15:paraIdParent="055A97BF" w15:done="0"/>
  <w15:commentEx w15:paraId="441D8B06" w15:done="0"/>
  <w15:commentEx w15:paraId="5FF3DDD5" w15:paraIdParent="441D8B06" w15:done="0"/>
  <w15:commentEx w15:paraId="7B433EA1" w15:done="0"/>
  <w15:commentEx w15:paraId="5D942C79" w15:paraIdParent="7B433EA1" w15:done="0"/>
  <w15:commentEx w15:paraId="2801511E" w15:done="0"/>
  <w15:commentEx w15:paraId="20F9EAFC" w15:paraIdParent="2801511E" w15:done="0"/>
  <w15:commentEx w15:paraId="6FA7B71B" w15:done="0"/>
  <w15:commentEx w15:paraId="2121605E" w15:paraIdParent="6FA7B71B" w15:done="0"/>
  <w15:commentEx w15:paraId="750F7E94" w15:done="0"/>
  <w15:commentEx w15:paraId="2A0C4580" w15:paraIdParent="750F7E94" w15:done="0"/>
  <w15:commentEx w15:paraId="269FF4A3" w15:done="0"/>
  <w15:commentEx w15:paraId="7819B71C" w15:paraIdParent="269FF4A3" w15:done="0"/>
  <w15:commentEx w15:paraId="683764CB" w15:done="0"/>
  <w15:commentEx w15:paraId="557B0DF7" w15:paraIdParent="683764CB" w15:done="0"/>
  <w15:commentEx w15:paraId="4BECEB83" w15:paraIdParent="683764CB" w15:done="0"/>
  <w15:commentEx w15:paraId="250E4659" w15:paraIdParent="683764CB" w15:done="0"/>
  <w15:commentEx w15:paraId="0473C3C0" w15:done="0"/>
  <w15:commentEx w15:paraId="5EE89CA1" w15:paraIdParent="0473C3C0" w15:done="0"/>
  <w15:commentEx w15:paraId="10CBFEB5" w15:done="0"/>
  <w15:commentEx w15:paraId="73D2511A" w15:paraIdParent="10CBFEB5" w15:done="0"/>
  <w15:commentEx w15:paraId="1B119839" w15:done="0"/>
  <w15:commentEx w15:paraId="61F88B68" w15:paraIdParent="1B119839" w15:done="0"/>
  <w15:commentEx w15:paraId="7F4AEB47" w15:done="0"/>
  <w15:commentEx w15:paraId="5E7F4483" w15:paraIdParent="7F4AEB47" w15:done="0"/>
  <w15:commentEx w15:paraId="7508CF74" w15:done="0"/>
  <w15:commentEx w15:paraId="609E6E85" w15:paraIdParent="7508CF74" w15:done="0"/>
  <w15:commentEx w15:paraId="29274AF7" w15:done="0"/>
  <w15:commentEx w15:paraId="1E3F6731" w15:paraIdParent="29274AF7" w15:done="0"/>
  <w15:commentEx w15:paraId="603D0960" w15:done="0"/>
  <w15:commentEx w15:paraId="7FFFB8FA" w15:paraIdParent="603D0960" w15:done="0"/>
  <w15:commentEx w15:paraId="5934F0BB" w15:done="0"/>
  <w15:commentEx w15:paraId="75B91880" w15:paraIdParent="5934F0BB" w15:done="0"/>
  <w15:commentEx w15:paraId="1ED728BD" w15:done="0"/>
  <w15:commentEx w15:paraId="29155ADE" w15:paraIdParent="1ED728BD" w15:done="0"/>
  <w15:commentEx w15:paraId="4ED31DC8" w15:done="0"/>
  <w15:commentEx w15:paraId="68470796" w15:paraIdParent="4ED31DC8" w15:done="0"/>
  <w15:commentEx w15:paraId="036882BA" w15:paraIdParent="4ED31DC8" w15:done="0"/>
  <w15:commentEx w15:paraId="65E0FF20" w15:paraIdParent="4ED31DC8" w15:done="0"/>
  <w15:commentEx w15:paraId="0C300FD3" w15:done="0"/>
  <w15:commentEx w15:paraId="63597F24" w15:paraIdParent="0C300FD3" w15:done="0"/>
  <w15:commentEx w15:paraId="7876BE75" w15:done="0"/>
  <w15:commentEx w15:paraId="35E1822D" w15:paraIdParent="7876BE75" w15:done="0"/>
  <w15:commentEx w15:paraId="74B4D4BA" w15:done="0"/>
  <w15:commentEx w15:paraId="73F14BD4" w15:paraIdParent="74B4D4BA" w15:done="0"/>
  <w15:commentEx w15:paraId="21BFCAF0" w15:done="0"/>
  <w15:commentEx w15:paraId="2A28D687" w15:paraIdParent="21BFCAF0" w15:done="0"/>
  <w15:commentEx w15:paraId="050329BD" w15:done="0"/>
  <w15:commentEx w15:paraId="3D48C30F" w15:paraIdParent="050329BD" w15:done="0"/>
  <w15:commentEx w15:paraId="1A95A612" w15:done="0"/>
  <w15:commentEx w15:paraId="70280B03" w15:paraIdParent="1A95A612" w15:done="0"/>
  <w15:commentEx w15:paraId="07AC72C7" w15:done="0"/>
  <w15:commentEx w15:paraId="437807FF" w15:paraIdParent="07AC72C7" w15:done="0"/>
  <w15:commentEx w15:paraId="5C844EB3" w15:done="0"/>
  <w15:commentEx w15:paraId="2CC2BE12" w15:paraIdParent="5C844EB3" w15:done="0"/>
  <w15:commentEx w15:paraId="008FEFAF" w15:done="0"/>
  <w15:commentEx w15:paraId="1BAF170F" w15:paraIdParent="008FEFAF" w15:done="0"/>
  <w15:commentEx w15:paraId="15BAF0FB" w15:done="0"/>
  <w15:commentEx w15:paraId="718C030B" w15:paraIdParent="15BAF0FB" w15:done="0"/>
  <w15:commentEx w15:paraId="6A1FF793" w15:done="0"/>
  <w15:commentEx w15:paraId="470A1D6F" w15:paraIdParent="6A1FF793" w15:done="0"/>
  <w15:commentEx w15:paraId="04636FEE" w15:done="0"/>
  <w15:commentEx w15:paraId="71C173ED" w15:paraIdParent="04636FEE" w15:done="0"/>
  <w15:commentEx w15:paraId="126AEEB1" w15:done="0"/>
  <w15:commentEx w15:paraId="675120B2" w15:paraIdParent="126AEEB1" w15:done="0"/>
  <w15:commentEx w15:paraId="66CC21B9" w15:done="0"/>
  <w15:commentEx w15:paraId="3CDCD9B9" w15:paraIdParent="66CC21B9" w15:done="0"/>
  <w15:commentEx w15:paraId="1081E233" w15:done="0"/>
  <w15:commentEx w15:paraId="23A76690" w15:paraIdParent="1081E233" w15:done="0"/>
  <w15:commentEx w15:paraId="6E7DB0BF" w15:done="0"/>
  <w15:commentEx w15:paraId="438062D5" w15:paraIdParent="6E7DB0BF" w15:done="0"/>
  <w15:commentEx w15:paraId="4D9B7090" w15:done="0"/>
  <w15:commentEx w15:paraId="66B52B60" w15:paraIdParent="4D9B7090" w15:done="0"/>
  <w15:commentEx w15:paraId="4837A887" w15:done="0"/>
  <w15:commentEx w15:paraId="2205DDBD" w15:paraIdParent="4837A887" w15:done="0"/>
  <w15:commentEx w15:paraId="2F6ACB4D" w15:done="0"/>
  <w15:commentEx w15:paraId="23756069" w15:paraIdParent="2F6ACB4D" w15:done="0"/>
  <w15:commentEx w15:paraId="11D43A5F" w15:done="0"/>
  <w15:commentEx w15:paraId="1480DC2C" w15:paraIdParent="11D43A5F" w15:done="0"/>
  <w15:commentEx w15:paraId="6DC657B2" w15:done="0"/>
  <w15:commentEx w15:paraId="687D725A" w15:paraIdParent="6DC657B2" w15:done="0"/>
  <w15:commentEx w15:paraId="6E1CC78C" w15:done="0"/>
  <w15:commentEx w15:paraId="477C927F" w15:paraIdParent="6E1CC78C" w15:done="0"/>
  <w15:commentEx w15:paraId="2B066D1D" w15:done="0"/>
  <w15:commentEx w15:paraId="70C5674A" w15:paraIdParent="2B066D1D" w15:done="0"/>
  <w15:commentEx w15:paraId="598FB157" w15:done="0"/>
  <w15:commentEx w15:paraId="60B71DF5" w15:paraIdParent="598FB157" w15:done="0"/>
  <w15:commentEx w15:paraId="1122470C" w15:done="0"/>
  <w15:commentEx w15:paraId="26062D34" w15:paraIdParent="1122470C" w15:done="0"/>
  <w15:commentEx w15:paraId="7415B863" w15:done="0"/>
  <w15:commentEx w15:paraId="335F4170" w15:paraIdParent="7415B863" w15:done="0"/>
  <w15:commentEx w15:paraId="798F6100" w15:done="0"/>
  <w15:commentEx w15:paraId="3F620D41" w15:paraIdParent="798F6100" w15:done="0"/>
  <w15:commentEx w15:paraId="07BFBBC2" w15:done="0"/>
  <w15:commentEx w15:paraId="12EE527A" w15:paraIdParent="07BFBBC2" w15:done="0"/>
  <w15:commentEx w15:paraId="31DB7084" w15:done="0"/>
  <w15:commentEx w15:paraId="1FAF50DB" w15:paraIdParent="31DB7084" w15:done="0"/>
  <w15:commentEx w15:paraId="39EB6F2F" w15:done="0"/>
  <w15:commentEx w15:paraId="55BE5C4E" w15:paraIdParent="39EB6F2F" w15:done="0"/>
  <w15:commentEx w15:paraId="67AADB30" w15:done="0"/>
  <w15:commentEx w15:paraId="795E1426" w15:paraIdParent="67AADB30" w15:done="0"/>
  <w15:commentEx w15:paraId="2A146AD5" w15:done="0"/>
  <w15:commentEx w15:paraId="31139851" w15:paraIdParent="2A146AD5" w15:done="0"/>
  <w15:commentEx w15:paraId="540C5B9A" w15:done="0"/>
  <w15:commentEx w15:paraId="77D95B3F" w15:paraIdParent="540C5B9A" w15:done="0"/>
  <w15:commentEx w15:paraId="1A3A7200" w15:done="0"/>
  <w15:commentEx w15:paraId="1E9FC342" w15:paraIdParent="1A3A7200" w15:done="0"/>
  <w15:commentEx w15:paraId="0048D705" w15:done="0"/>
  <w15:commentEx w15:paraId="3357B63D" w15:paraIdParent="0048D705" w15:done="0"/>
  <w15:commentEx w15:paraId="1F444D02" w15:done="0"/>
  <w15:commentEx w15:paraId="56EE11ED" w15:paraIdParent="1F444D02" w15:done="0"/>
  <w15:commentEx w15:paraId="4D746174" w15:done="0"/>
  <w15:commentEx w15:paraId="3A8BED1A" w15:paraIdParent="4D746174" w15:done="0"/>
  <w15:commentEx w15:paraId="0DB81358" w15:done="0"/>
  <w15:commentEx w15:paraId="544F87E5" w15:paraIdParent="0DB81358" w15:done="0"/>
  <w15:commentEx w15:paraId="545203EB" w15:done="0"/>
  <w15:commentEx w15:paraId="18E2F9EE" w15:paraIdParent="545203EB" w15:done="0"/>
  <w15:commentEx w15:paraId="47F23312" w15:done="0"/>
  <w15:commentEx w15:paraId="53B58473" w15:paraIdParent="47F233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E35574" w16cex:dateUtc="2026-06-29T20:22:00Z"/>
  <w16cex:commentExtensible w16cex:durableId="07C0108E" w16cex:dateUtc="2026-06-29T20:24:00Z"/>
  <w16cex:commentExtensible w16cex:durableId="1DF39578" w16cex:dateUtc="2026-06-29T20:29:00Z"/>
  <w16cex:commentExtensible w16cex:durableId="3C35949A" w16cex:dateUtc="2026-06-29T20:32:00Z"/>
  <w16cex:commentExtensible w16cex:durableId="652E3279" w16cex:dateUtc="2026-06-29T20:34:00Z"/>
  <w16cex:commentExtensible w16cex:durableId="28C09C38" w16cex:dateUtc="2026-06-29T20:36:00Z"/>
  <w16cex:commentExtensible w16cex:durableId="3710723F" w16cex:dateUtc="2026-06-29T20:37:00Z"/>
  <w16cex:commentExtensible w16cex:durableId="05D821AE" w16cex:dateUtc="2026-06-29T20:48:00Z"/>
  <w16cex:commentExtensible w16cex:durableId="08D24E07" w16cex:dateUtc="2026-06-29T20:48:00Z"/>
  <w16cex:commentExtensible w16cex:durableId="03C2B046" w16cex:dateUtc="2026-06-29T20:49:00Z"/>
  <w16cex:commentExtensible w16cex:durableId="38D57904" w16cex:dateUtc="2026-06-29T20:50:00Z"/>
  <w16cex:commentExtensible w16cex:durableId="3DF11A3C" w16cex:dateUtc="2026-06-29T20:50:00Z"/>
  <w16cex:commentExtensible w16cex:durableId="77E3075F" w16cex:dateUtc="2026-06-29T20:50:00Z"/>
  <w16cex:commentExtensible w16cex:durableId="76F04251" w16cex:dateUtc="2026-06-29T20:52:00Z"/>
  <w16cex:commentExtensible w16cex:durableId="4AB172C7" w16cex:dateUtc="2026-06-29T20:52:00Z"/>
  <w16cex:commentExtensible w16cex:durableId="3787CBFD" w16cex:dateUtc="2026-06-29T20:56:00Z"/>
  <w16cex:commentExtensible w16cex:durableId="0817BEF5" w16cex:dateUtc="2026-06-29T20:56:00Z"/>
  <w16cex:commentExtensible w16cex:durableId="1D696185" w16cex:dateUtc="2026-06-29T20:57:00Z"/>
  <w16cex:commentExtensible w16cex:durableId="52750355" w16cex:dateUtc="2026-06-29T20:58:00Z"/>
  <w16cex:commentExtensible w16cex:durableId="7AD1EEC0" w16cex:dateUtc="2026-06-29T20:59:00Z"/>
  <w16cex:commentExtensible w16cex:durableId="3B7A86D9" w16cex:dateUtc="2026-06-29T21:00:00Z"/>
  <w16cex:commentExtensible w16cex:durableId="2798C081" w16cex:dateUtc="2026-06-29T21:02:00Z"/>
  <w16cex:commentExtensible w16cex:durableId="039CE898" w16cex:dateUtc="2026-06-29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D2EE69" w16cid:durableId="0DD2EE69"/>
  <w16cid:commentId w16cid:paraId="2F6B8BB5" w16cid:durableId="7509D5CA"/>
  <w16cid:commentId w16cid:paraId="363EF316" w16cid:durableId="363EF316"/>
  <w16cid:commentId w16cid:paraId="6F285F06" w16cid:durableId="6013354F"/>
  <w16cid:commentId w16cid:paraId="3662A418" w16cid:durableId="3662A418"/>
  <w16cid:commentId w16cid:paraId="1B6272A4" w16cid:durableId="5B43F7E9"/>
  <w16cid:commentId w16cid:paraId="28CA4023" w16cid:durableId="28CA4023"/>
  <w16cid:commentId w16cid:paraId="36EC1AE8" w16cid:durableId="431514F5"/>
  <w16cid:commentId w16cid:paraId="69CBB145" w16cid:durableId="69CBB145"/>
  <w16cid:commentId w16cid:paraId="44148A7C" w16cid:durableId="4D15FB47"/>
  <w16cid:commentId w16cid:paraId="42EB589A" w16cid:durableId="42EB589A"/>
  <w16cid:commentId w16cid:paraId="6E2C8A7B" w16cid:durableId="2E55C38A"/>
  <w16cid:commentId w16cid:paraId="19791051" w16cid:durableId="06E35574"/>
  <w16cid:commentId w16cid:paraId="2F01A763" w16cid:durableId="76D7A71C"/>
  <w16cid:commentId w16cid:paraId="03737AAE" w16cid:durableId="07C0108E"/>
  <w16cid:commentId w16cid:paraId="38A3629E" w16cid:durableId="3A3D60C7"/>
  <w16cid:commentId w16cid:paraId="43735B00" w16cid:durableId="43735B00"/>
  <w16cid:commentId w16cid:paraId="20B7EE0C" w16cid:durableId="7F2C56EF"/>
  <w16cid:commentId w16cid:paraId="5547E5BA" w16cid:durableId="1DF39578"/>
  <w16cid:commentId w16cid:paraId="61732A69" w16cid:durableId="490A1E7B"/>
  <w16cid:commentId w16cid:paraId="6175FB9B" w16cid:durableId="3C35949A"/>
  <w16cid:commentId w16cid:paraId="4478DAF6" w16cid:durableId="21271299"/>
  <w16cid:commentId w16cid:paraId="7A2923E2" w16cid:durableId="652E3279"/>
  <w16cid:commentId w16cid:paraId="20776B2D" w16cid:durableId="4742E766"/>
  <w16cid:commentId w16cid:paraId="0548AACA" w16cid:durableId="28C09C38"/>
  <w16cid:commentId w16cid:paraId="44FB7D19" w16cid:durableId="2E53CFB5"/>
  <w16cid:commentId w16cid:paraId="48182834" w16cid:durableId="3710723F"/>
  <w16cid:commentId w16cid:paraId="1B28494A" w16cid:durableId="7E6ECCFB"/>
  <w16cid:commentId w16cid:paraId="5683B419" w16cid:durableId="5683B419"/>
  <w16cid:commentId w16cid:paraId="61356D6C" w16cid:durableId="4AC12255"/>
  <w16cid:commentId w16cid:paraId="13704B7A" w16cid:durableId="13704B7A"/>
  <w16cid:commentId w16cid:paraId="5C561F13" w16cid:durableId="4FF85E12"/>
  <w16cid:commentId w16cid:paraId="01BE7814" w16cid:durableId="05D821AE"/>
  <w16cid:commentId w16cid:paraId="61B4416C" w16cid:durableId="6672461D"/>
  <w16cid:commentId w16cid:paraId="0D9E3EFD" w16cid:durableId="0D9E3EFD"/>
  <w16cid:commentId w16cid:paraId="7A41B35B" w16cid:durableId="47A93ED3"/>
  <w16cid:commentId w16cid:paraId="745281B0" w16cid:durableId="08D24E07"/>
  <w16cid:commentId w16cid:paraId="6DBB581D" w16cid:durableId="55AFEBAA"/>
  <w16cid:commentId w16cid:paraId="05E02402" w16cid:durableId="03C2B046"/>
  <w16cid:commentId w16cid:paraId="330F8834" w16cid:durableId="7F0D774C"/>
  <w16cid:commentId w16cid:paraId="1B5C646A" w16cid:durableId="38D57904"/>
  <w16cid:commentId w16cid:paraId="544D2066" w16cid:durableId="3CD04D46"/>
  <w16cid:commentId w16cid:paraId="14EC19BE" w16cid:durableId="3DF11A3C"/>
  <w16cid:commentId w16cid:paraId="64A99D49" w16cid:durableId="5B7114E1"/>
  <w16cid:commentId w16cid:paraId="2394BA29" w16cid:durableId="77E3075F"/>
  <w16cid:commentId w16cid:paraId="583BD268" w16cid:durableId="5AB1FC58"/>
  <w16cid:commentId w16cid:paraId="7A428760" w16cid:durableId="76F04251"/>
  <w16cid:commentId w16cid:paraId="6030E470" w16cid:durableId="53309E4E"/>
  <w16cid:commentId w16cid:paraId="593A47BC" w16cid:durableId="4AB172C7"/>
  <w16cid:commentId w16cid:paraId="2A30325C" w16cid:durableId="19AD1910"/>
  <w16cid:commentId w16cid:paraId="18FB5C1D" w16cid:durableId="3787CBFD"/>
  <w16cid:commentId w16cid:paraId="5BD87443" w16cid:durableId="24CDE176"/>
  <w16cid:commentId w16cid:paraId="22EB283E" w16cid:durableId="22EB283E"/>
  <w16cid:commentId w16cid:paraId="26A76293" w16cid:durableId="60A7FB6C"/>
  <w16cid:commentId w16cid:paraId="0BABF7D3" w16cid:durableId="0817BEF5"/>
  <w16cid:commentId w16cid:paraId="487A4B33" w16cid:durableId="6A3DE9F2"/>
  <w16cid:commentId w16cid:paraId="1F0AAA96" w16cid:durableId="1D696185"/>
  <w16cid:commentId w16cid:paraId="23E652B5" w16cid:durableId="4B435A81"/>
  <w16cid:commentId w16cid:paraId="77C6E233" w16cid:durableId="52750355"/>
  <w16cid:commentId w16cid:paraId="3E8CFEFB" w16cid:durableId="109DC58C"/>
  <w16cid:commentId w16cid:paraId="1141C9BE" w16cid:durableId="7AD1EEC0"/>
  <w16cid:commentId w16cid:paraId="7D829439" w16cid:durableId="6E2ACE03"/>
  <w16cid:commentId w16cid:paraId="7154F861" w16cid:durableId="7154F861"/>
  <w16cid:commentId w16cid:paraId="5A40603C" w16cid:durableId="2B9EA6DF"/>
  <w16cid:commentId w16cid:paraId="4FE361FC" w16cid:durableId="3B7A86D9"/>
  <w16cid:commentId w16cid:paraId="60CC2318" w16cid:durableId="491EA7E0"/>
  <w16cid:commentId w16cid:paraId="3C0773DE" w16cid:durableId="2798C081"/>
  <w16cid:commentId w16cid:paraId="286BDEF4" w16cid:durableId="35A806D6"/>
  <w16cid:commentId w16cid:paraId="569F6EB8" w16cid:durableId="039CE898"/>
  <w16cid:commentId w16cid:paraId="309FAE26" w16cid:durableId="2604953A"/>
  <w16cid:commentId w16cid:paraId="477E0B22" w16cid:durableId="477E0B22"/>
  <w16cid:commentId w16cid:paraId="6D48A492" w16cid:durableId="666E2C9D"/>
  <w16cid:commentId w16cid:paraId="2826EF17" w16cid:durableId="2826EF17"/>
  <w16cid:commentId w16cid:paraId="340CAF75" w16cid:durableId="13A46C34"/>
  <w16cid:commentId w16cid:paraId="7149B2F6" w16cid:durableId="7149B2F6"/>
  <w16cid:commentId w16cid:paraId="3494D3F9" w16cid:durableId="33984B1B"/>
  <w16cid:commentId w16cid:paraId="0CE47753" w16cid:durableId="0CE47753"/>
  <w16cid:commentId w16cid:paraId="1993AA38" w16cid:durableId="58B4B48E"/>
  <w16cid:commentId w16cid:paraId="69E597DC" w16cid:durableId="69E597DC"/>
  <w16cid:commentId w16cid:paraId="1DCF63AE" w16cid:durableId="37B64246"/>
  <w16cid:commentId w16cid:paraId="5171DC52" w16cid:durableId="5171DC52"/>
  <w16cid:commentId w16cid:paraId="2491CDE5" w16cid:durableId="2CA58895"/>
  <w16cid:commentId w16cid:paraId="44BA57F7" w16cid:durableId="44BA57F7"/>
  <w16cid:commentId w16cid:paraId="42CA0E5F" w16cid:durableId="515565DE"/>
  <w16cid:commentId w16cid:paraId="524CE518" w16cid:durableId="524CE518"/>
  <w16cid:commentId w16cid:paraId="2A59AAC6" w16cid:durableId="146E8A0F"/>
  <w16cid:commentId w16cid:paraId="1EE8BD17" w16cid:durableId="1EE8BD17"/>
  <w16cid:commentId w16cid:paraId="248466A0" w16cid:durableId="6E8D86DD"/>
  <w16cid:commentId w16cid:paraId="142C011A" w16cid:durableId="142C011A"/>
  <w16cid:commentId w16cid:paraId="47FC4407" w16cid:durableId="3BF24AB7"/>
  <w16cid:commentId w16cid:paraId="1775F555" w16cid:durableId="1775F555"/>
  <w16cid:commentId w16cid:paraId="5C8653DD" w16cid:durableId="541CAC57"/>
  <w16cid:commentId w16cid:paraId="7CFBC4B2" w16cid:durableId="7CFBC4B2"/>
  <w16cid:commentId w16cid:paraId="15FF564C" w16cid:durableId="3A2DE3BC"/>
  <w16cid:commentId w16cid:paraId="3CE5E5AE" w16cid:durableId="3CE5E5AE"/>
  <w16cid:commentId w16cid:paraId="2038A8DC" w16cid:durableId="2B3BB742"/>
  <w16cid:commentId w16cid:paraId="0174B0E6" w16cid:durableId="0174B0E6"/>
  <w16cid:commentId w16cid:paraId="2A9ED914" w16cid:durableId="51ABB54B"/>
  <w16cid:commentId w16cid:paraId="4922F3DA" w16cid:durableId="4922F3DA"/>
  <w16cid:commentId w16cid:paraId="411E588C" w16cid:durableId="11C520B6"/>
  <w16cid:commentId w16cid:paraId="4651A037" w16cid:durableId="4651A037"/>
  <w16cid:commentId w16cid:paraId="3047392B" w16cid:durableId="74283070"/>
  <w16cid:commentId w16cid:paraId="7BAB3099" w16cid:durableId="7BAB3099"/>
  <w16cid:commentId w16cid:paraId="2A4EFA51" w16cid:durableId="4B674065"/>
  <w16cid:commentId w16cid:paraId="474FD8F2" w16cid:durableId="474FD8F2"/>
  <w16cid:commentId w16cid:paraId="67FE9855" w16cid:durableId="116B9DB1"/>
  <w16cid:commentId w16cid:paraId="617DEB8A" w16cid:durableId="617DEB8A"/>
  <w16cid:commentId w16cid:paraId="77C14A35" w16cid:durableId="61039CF4"/>
  <w16cid:commentId w16cid:paraId="2DBB0122" w16cid:durableId="2DBB0122"/>
  <w16cid:commentId w16cid:paraId="32168D4E" w16cid:durableId="23314B4E"/>
  <w16cid:commentId w16cid:paraId="6892BCEE" w16cid:durableId="6892BCEE"/>
  <w16cid:commentId w16cid:paraId="25ACD4AC" w16cid:durableId="5615CFFD"/>
  <w16cid:commentId w16cid:paraId="65EFAD82" w16cid:durableId="65EFAD82"/>
  <w16cid:commentId w16cid:paraId="62300072" w16cid:durableId="6B0CDFE6"/>
  <w16cid:commentId w16cid:paraId="23EC3D7E" w16cid:durableId="23EC3D7E"/>
  <w16cid:commentId w16cid:paraId="5112EDF8" w16cid:durableId="77165FE5"/>
  <w16cid:commentId w16cid:paraId="1737C71E" w16cid:durableId="1737C71E"/>
  <w16cid:commentId w16cid:paraId="20740DED" w16cid:durableId="442C34EB"/>
  <w16cid:commentId w16cid:paraId="4F09CA04" w16cid:durableId="4F09CA04"/>
  <w16cid:commentId w16cid:paraId="1860F572" w16cid:durableId="7D510517"/>
  <w16cid:commentId w16cid:paraId="6ADEC6F0" w16cid:durableId="6ADEC6F0"/>
  <w16cid:commentId w16cid:paraId="69CCD697" w16cid:durableId="4581A98F"/>
  <w16cid:commentId w16cid:paraId="71BA114D" w16cid:durableId="71BA114D"/>
  <w16cid:commentId w16cid:paraId="4659C3E0" w16cid:durableId="68B5C847"/>
  <w16cid:commentId w16cid:paraId="41C8E8F8" w16cid:durableId="41C8E8F8"/>
  <w16cid:commentId w16cid:paraId="31CB01FC" w16cid:durableId="620AC5C2"/>
  <w16cid:commentId w16cid:paraId="40D3B4FC" w16cid:durableId="40D3B4FC"/>
  <w16cid:commentId w16cid:paraId="3A842226" w16cid:durableId="586831DA"/>
  <w16cid:commentId w16cid:paraId="411BDD0B" w16cid:durableId="411BDD0B"/>
  <w16cid:commentId w16cid:paraId="69450363" w16cid:durableId="2530EF5B"/>
  <w16cid:commentId w16cid:paraId="7C763551" w16cid:durableId="7C763551"/>
  <w16cid:commentId w16cid:paraId="17DF584B" w16cid:durableId="41076E30"/>
  <w16cid:commentId w16cid:paraId="327B3ABA" w16cid:durableId="327B3ABA"/>
  <w16cid:commentId w16cid:paraId="4A0D2EB5" w16cid:durableId="2FB2568F"/>
  <w16cid:commentId w16cid:paraId="34B7C0B0" w16cid:durableId="34B7C0B0"/>
  <w16cid:commentId w16cid:paraId="4D06DDD9" w16cid:durableId="4F43146A"/>
  <w16cid:commentId w16cid:paraId="00ED515A" w16cid:durableId="00ED515A"/>
  <w16cid:commentId w16cid:paraId="62ADF263" w16cid:durableId="5D57125F"/>
  <w16cid:commentId w16cid:paraId="40D1698E" w16cid:durableId="40D1698E"/>
  <w16cid:commentId w16cid:paraId="29A15166" w16cid:durableId="79D19A1E"/>
  <w16cid:commentId w16cid:paraId="6EE3B70A" w16cid:durableId="6EE3B70A"/>
  <w16cid:commentId w16cid:paraId="7B72E5FE" w16cid:durableId="2FD9017C"/>
  <w16cid:commentId w16cid:paraId="389DE75C" w16cid:durableId="389DE75C"/>
  <w16cid:commentId w16cid:paraId="7A228F09" w16cid:durableId="744AD4BA"/>
  <w16cid:commentId w16cid:paraId="449BBEA1" w16cid:durableId="449BBEA1"/>
  <w16cid:commentId w16cid:paraId="3643E9F6" w16cid:durableId="7F9737C7"/>
  <w16cid:commentId w16cid:paraId="107A44F5" w16cid:durableId="107A44F5"/>
  <w16cid:commentId w16cid:paraId="70D9DF46" w16cid:durableId="3041887C"/>
  <w16cid:commentId w16cid:paraId="1D78B330" w16cid:durableId="1D78B330"/>
  <w16cid:commentId w16cid:paraId="1A378A06" w16cid:durableId="1C5A2F7C"/>
  <w16cid:commentId w16cid:paraId="43CD0AA7" w16cid:durableId="43CD0AA7"/>
  <w16cid:commentId w16cid:paraId="507D7CB3" w16cid:durableId="3D08D000"/>
  <w16cid:commentId w16cid:paraId="7D1ED06F" w16cid:durableId="7D1ED06F"/>
  <w16cid:commentId w16cid:paraId="2CF5D1B6" w16cid:durableId="6750D0D1"/>
  <w16cid:commentId w16cid:paraId="3D694E3A" w16cid:durableId="3D694E3A"/>
  <w16cid:commentId w16cid:paraId="520A7CC8" w16cid:durableId="799D3B8D"/>
  <w16cid:commentId w16cid:paraId="68A87CAD" w16cid:durableId="68A87CAD"/>
  <w16cid:commentId w16cid:paraId="46C54EA0" w16cid:durableId="24E8A004"/>
  <w16cid:commentId w16cid:paraId="4F9CFE62" w16cid:durableId="4F9CFE62"/>
  <w16cid:commentId w16cid:paraId="2DEA7BF6" w16cid:durableId="637FBE37"/>
  <w16cid:commentId w16cid:paraId="2044A3D8" w16cid:durableId="2044A3D8"/>
  <w16cid:commentId w16cid:paraId="58C98713" w16cid:durableId="2639F948"/>
  <w16cid:commentId w16cid:paraId="4F4A5042" w16cid:durableId="4F4A5042"/>
  <w16cid:commentId w16cid:paraId="4794E4CF" w16cid:durableId="62631514"/>
  <w16cid:commentId w16cid:paraId="4A5CBD11" w16cid:durableId="4A5CBD11"/>
  <w16cid:commentId w16cid:paraId="1A21657E" w16cid:durableId="1E97BD12"/>
  <w16cid:commentId w16cid:paraId="055A97BF" w16cid:durableId="055A97BF"/>
  <w16cid:commentId w16cid:paraId="7651165E" w16cid:durableId="1FF9EF6F"/>
  <w16cid:commentId w16cid:paraId="441D8B06" w16cid:durableId="441D8B06"/>
  <w16cid:commentId w16cid:paraId="5FF3DDD5" w16cid:durableId="75BFCA7D"/>
  <w16cid:commentId w16cid:paraId="7B433EA1" w16cid:durableId="7B433EA1"/>
  <w16cid:commentId w16cid:paraId="5D942C79" w16cid:durableId="164BBBB5"/>
  <w16cid:commentId w16cid:paraId="2801511E" w16cid:durableId="2801511E"/>
  <w16cid:commentId w16cid:paraId="20F9EAFC" w16cid:durableId="1F242F2E"/>
  <w16cid:commentId w16cid:paraId="6FA7B71B" w16cid:durableId="6FA7B71B"/>
  <w16cid:commentId w16cid:paraId="2121605E" w16cid:durableId="4FC59256"/>
  <w16cid:commentId w16cid:paraId="750F7E94" w16cid:durableId="750F7E94"/>
  <w16cid:commentId w16cid:paraId="2A0C4580" w16cid:durableId="6A7C33CC"/>
  <w16cid:commentId w16cid:paraId="269FF4A3" w16cid:durableId="269FF4A3"/>
  <w16cid:commentId w16cid:paraId="7819B71C" w16cid:durableId="6840E497"/>
  <w16cid:commentId w16cid:paraId="683764CB" w16cid:durableId="683764CB"/>
  <w16cid:commentId w16cid:paraId="557B0DF7" w16cid:durableId="1B7E67E1"/>
  <w16cid:commentId w16cid:paraId="4BECEB83" w16cid:durableId="4BECEB83"/>
  <w16cid:commentId w16cid:paraId="250E4659" w16cid:durableId="6C1E72EA"/>
  <w16cid:commentId w16cid:paraId="0473C3C0" w16cid:durableId="0473C3C0"/>
  <w16cid:commentId w16cid:paraId="5EE89CA1" w16cid:durableId="5CB5BBD4"/>
  <w16cid:commentId w16cid:paraId="10CBFEB5" w16cid:durableId="10CBFEB5"/>
  <w16cid:commentId w16cid:paraId="73D2511A" w16cid:durableId="35E05898"/>
  <w16cid:commentId w16cid:paraId="1B119839" w16cid:durableId="1B119839"/>
  <w16cid:commentId w16cid:paraId="61F88B68" w16cid:durableId="132C7CF6"/>
  <w16cid:commentId w16cid:paraId="7F4AEB47" w16cid:durableId="7F4AEB47"/>
  <w16cid:commentId w16cid:paraId="5E7F4483" w16cid:durableId="7597826D"/>
  <w16cid:commentId w16cid:paraId="7508CF74" w16cid:durableId="7508CF74"/>
  <w16cid:commentId w16cid:paraId="609E6E85" w16cid:durableId="66A11D23"/>
  <w16cid:commentId w16cid:paraId="29274AF7" w16cid:durableId="29274AF7"/>
  <w16cid:commentId w16cid:paraId="1E3F6731" w16cid:durableId="6983DF26"/>
  <w16cid:commentId w16cid:paraId="603D0960" w16cid:durableId="603D0960"/>
  <w16cid:commentId w16cid:paraId="7FFFB8FA" w16cid:durableId="629F45EE"/>
  <w16cid:commentId w16cid:paraId="5934F0BB" w16cid:durableId="5934F0BB"/>
  <w16cid:commentId w16cid:paraId="75B91880" w16cid:durableId="1C1F80C6"/>
  <w16cid:commentId w16cid:paraId="1ED728BD" w16cid:durableId="1ED728BD"/>
  <w16cid:commentId w16cid:paraId="29155ADE" w16cid:durableId="52EFE43B"/>
  <w16cid:commentId w16cid:paraId="4ED31DC8" w16cid:durableId="4ED31DC8"/>
  <w16cid:commentId w16cid:paraId="68470796" w16cid:durableId="75940A5E"/>
  <w16cid:commentId w16cid:paraId="036882BA" w16cid:durableId="036882BA"/>
  <w16cid:commentId w16cid:paraId="65E0FF20" w16cid:durableId="3F2DCF73"/>
  <w16cid:commentId w16cid:paraId="0C300FD3" w16cid:durableId="0C300FD3"/>
  <w16cid:commentId w16cid:paraId="63597F24" w16cid:durableId="754A089D"/>
  <w16cid:commentId w16cid:paraId="7876BE75" w16cid:durableId="7876BE75"/>
  <w16cid:commentId w16cid:paraId="35E1822D" w16cid:durableId="693CCE87"/>
  <w16cid:commentId w16cid:paraId="74B4D4BA" w16cid:durableId="74B4D4BA"/>
  <w16cid:commentId w16cid:paraId="73F14BD4" w16cid:durableId="1B2C9FAB"/>
  <w16cid:commentId w16cid:paraId="21BFCAF0" w16cid:durableId="21BFCAF0"/>
  <w16cid:commentId w16cid:paraId="2A28D687" w16cid:durableId="529609CF"/>
  <w16cid:commentId w16cid:paraId="050329BD" w16cid:durableId="050329BD"/>
  <w16cid:commentId w16cid:paraId="3D48C30F" w16cid:durableId="24254DDF"/>
  <w16cid:commentId w16cid:paraId="1A95A612" w16cid:durableId="1A95A612"/>
  <w16cid:commentId w16cid:paraId="70280B03" w16cid:durableId="4CB46633"/>
  <w16cid:commentId w16cid:paraId="07AC72C7" w16cid:durableId="07AC72C7"/>
  <w16cid:commentId w16cid:paraId="437807FF" w16cid:durableId="675E2044"/>
  <w16cid:commentId w16cid:paraId="5C844EB3" w16cid:durableId="5C844EB3"/>
  <w16cid:commentId w16cid:paraId="2CC2BE12" w16cid:durableId="3DDE96D5"/>
  <w16cid:commentId w16cid:paraId="008FEFAF" w16cid:durableId="008FEFAF"/>
  <w16cid:commentId w16cid:paraId="1BAF170F" w16cid:durableId="650E7613"/>
  <w16cid:commentId w16cid:paraId="15BAF0FB" w16cid:durableId="15BAF0FB"/>
  <w16cid:commentId w16cid:paraId="718C030B" w16cid:durableId="33A484E6"/>
  <w16cid:commentId w16cid:paraId="6A1FF793" w16cid:durableId="6A1FF793"/>
  <w16cid:commentId w16cid:paraId="470A1D6F" w16cid:durableId="7512A7B1"/>
  <w16cid:commentId w16cid:paraId="04636FEE" w16cid:durableId="04636FEE"/>
  <w16cid:commentId w16cid:paraId="71C173ED" w16cid:durableId="18B1BD76"/>
  <w16cid:commentId w16cid:paraId="126AEEB1" w16cid:durableId="126AEEB1"/>
  <w16cid:commentId w16cid:paraId="675120B2" w16cid:durableId="67EA2FDB"/>
  <w16cid:commentId w16cid:paraId="66CC21B9" w16cid:durableId="66CC21B9"/>
  <w16cid:commentId w16cid:paraId="3CDCD9B9" w16cid:durableId="5F2B8F02"/>
  <w16cid:commentId w16cid:paraId="1081E233" w16cid:durableId="1081E233"/>
  <w16cid:commentId w16cid:paraId="23A76690" w16cid:durableId="30E1566D"/>
  <w16cid:commentId w16cid:paraId="6E7DB0BF" w16cid:durableId="6E7DB0BF"/>
  <w16cid:commentId w16cid:paraId="438062D5" w16cid:durableId="3DCA3478"/>
  <w16cid:commentId w16cid:paraId="4D9B7090" w16cid:durableId="4D9B7090"/>
  <w16cid:commentId w16cid:paraId="66B52B60" w16cid:durableId="41949484"/>
  <w16cid:commentId w16cid:paraId="4837A887" w16cid:durableId="4837A887"/>
  <w16cid:commentId w16cid:paraId="2205DDBD" w16cid:durableId="5A3EED2D"/>
  <w16cid:commentId w16cid:paraId="2F6ACB4D" w16cid:durableId="2F6ACB4D"/>
  <w16cid:commentId w16cid:paraId="23756069" w16cid:durableId="59037405"/>
  <w16cid:commentId w16cid:paraId="11D43A5F" w16cid:durableId="11D43A5F"/>
  <w16cid:commentId w16cid:paraId="1480DC2C" w16cid:durableId="75253C35"/>
  <w16cid:commentId w16cid:paraId="6DC657B2" w16cid:durableId="6DC657B2"/>
  <w16cid:commentId w16cid:paraId="687D725A" w16cid:durableId="6D709038"/>
  <w16cid:commentId w16cid:paraId="6E1CC78C" w16cid:durableId="6E1CC78C"/>
  <w16cid:commentId w16cid:paraId="477C927F" w16cid:durableId="4D70FC69"/>
  <w16cid:commentId w16cid:paraId="2B066D1D" w16cid:durableId="2B066D1D"/>
  <w16cid:commentId w16cid:paraId="70C5674A" w16cid:durableId="5DFB0487"/>
  <w16cid:commentId w16cid:paraId="598FB157" w16cid:durableId="598FB157"/>
  <w16cid:commentId w16cid:paraId="60B71DF5" w16cid:durableId="5E424C7B"/>
  <w16cid:commentId w16cid:paraId="1122470C" w16cid:durableId="1122470C"/>
  <w16cid:commentId w16cid:paraId="26062D34" w16cid:durableId="10EBDB03"/>
  <w16cid:commentId w16cid:paraId="7415B863" w16cid:durableId="7415B863"/>
  <w16cid:commentId w16cid:paraId="335F4170" w16cid:durableId="5F18DFCE"/>
  <w16cid:commentId w16cid:paraId="798F6100" w16cid:durableId="798F6100"/>
  <w16cid:commentId w16cid:paraId="3F620D41" w16cid:durableId="52A03CB6"/>
  <w16cid:commentId w16cid:paraId="07BFBBC2" w16cid:durableId="07BFBBC2"/>
  <w16cid:commentId w16cid:paraId="12EE527A" w16cid:durableId="407A0385"/>
  <w16cid:commentId w16cid:paraId="31DB7084" w16cid:durableId="31DB7084"/>
  <w16cid:commentId w16cid:paraId="1FAF50DB" w16cid:durableId="2605AD59"/>
  <w16cid:commentId w16cid:paraId="39EB6F2F" w16cid:durableId="39EB6F2F"/>
  <w16cid:commentId w16cid:paraId="55BE5C4E" w16cid:durableId="5F544B04"/>
  <w16cid:commentId w16cid:paraId="67AADB30" w16cid:durableId="67AADB30"/>
  <w16cid:commentId w16cid:paraId="795E1426" w16cid:durableId="390D2AC1"/>
  <w16cid:commentId w16cid:paraId="2A146AD5" w16cid:durableId="2A146AD5"/>
  <w16cid:commentId w16cid:paraId="31139851" w16cid:durableId="4AE41C9D"/>
  <w16cid:commentId w16cid:paraId="540C5B9A" w16cid:durableId="540C5B9A"/>
  <w16cid:commentId w16cid:paraId="77D95B3F" w16cid:durableId="1EFE5501"/>
  <w16cid:commentId w16cid:paraId="1A3A7200" w16cid:durableId="1A3A7200"/>
  <w16cid:commentId w16cid:paraId="1E9FC342" w16cid:durableId="619701B4"/>
  <w16cid:commentId w16cid:paraId="0048D705" w16cid:durableId="0048D705"/>
  <w16cid:commentId w16cid:paraId="3357B63D" w16cid:durableId="507C7278"/>
  <w16cid:commentId w16cid:paraId="1F444D02" w16cid:durableId="1F444D02"/>
  <w16cid:commentId w16cid:paraId="56EE11ED" w16cid:durableId="30EB7496"/>
  <w16cid:commentId w16cid:paraId="4D746174" w16cid:durableId="4D746174"/>
  <w16cid:commentId w16cid:paraId="3A8BED1A" w16cid:durableId="7FD52E45"/>
  <w16cid:commentId w16cid:paraId="0DB81358" w16cid:durableId="0DB81358"/>
  <w16cid:commentId w16cid:paraId="544F87E5" w16cid:durableId="4C63B666"/>
  <w16cid:commentId w16cid:paraId="545203EB" w16cid:durableId="545203EB"/>
  <w16cid:commentId w16cid:paraId="18E2F9EE" w16cid:durableId="5756F3D3"/>
  <w16cid:commentId w16cid:paraId="47F23312" w16cid:durableId="47F23312"/>
  <w16cid:commentId w16cid:paraId="53B58473" w16cid:durableId="4E798CC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13C1D" w14:textId="77777777" w:rsidR="00AE3358" w:rsidRDefault="00AE3358" w:rsidP="00ED5C01">
      <w:pPr>
        <w:spacing w:after="0" w:line="240" w:lineRule="auto"/>
      </w:pPr>
      <w:r>
        <w:separator/>
      </w:r>
    </w:p>
  </w:endnote>
  <w:endnote w:type="continuationSeparator" w:id="0">
    <w:p w14:paraId="6D52C323" w14:textId="77777777" w:rsidR="00AE3358" w:rsidRDefault="00AE3358"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420339"/>
      <w:docPartObj>
        <w:docPartGallery w:val="Page Numbers (Bottom of Page)"/>
        <w:docPartUnique/>
      </w:docPartObj>
    </w:sdtPr>
    <w:sdtContent>
      <w:p w14:paraId="50C59DD7" w14:textId="77777777" w:rsidR="00B6053A" w:rsidRDefault="00B6053A">
        <w:pPr>
          <w:pStyle w:val="ad"/>
        </w:pPr>
        <w:r>
          <w:fldChar w:fldCharType="begin"/>
        </w:r>
        <w:r>
          <w:instrText>PAGE   \* MERGEFORMAT</w:instrText>
        </w:r>
        <w:r>
          <w:fldChar w:fldCharType="separate"/>
        </w:r>
        <w:r w:rsidR="009958C3" w:rsidRPr="009958C3">
          <w:rPr>
            <w:rFonts w:cs="Calibri"/>
            <w:noProof/>
            <w:lang w:val="ar-SA"/>
          </w:rPr>
          <w:t>144</w:t>
        </w:r>
        <w:r>
          <w:fldChar w:fldCharType="end"/>
        </w:r>
      </w:p>
    </w:sdtContent>
  </w:sdt>
  <w:p w14:paraId="484514CD" w14:textId="77777777" w:rsidR="00B6053A" w:rsidRDefault="00B6053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F5A53" w14:textId="77777777" w:rsidR="00AE3358" w:rsidRDefault="00AE3358" w:rsidP="00ED5C01">
      <w:pPr>
        <w:spacing w:after="0" w:line="240" w:lineRule="auto"/>
      </w:pPr>
      <w:r>
        <w:separator/>
      </w:r>
    </w:p>
  </w:footnote>
  <w:footnote w:type="continuationSeparator" w:id="0">
    <w:p w14:paraId="35C6BB04" w14:textId="77777777" w:rsidR="00AE3358" w:rsidRDefault="00AE3358" w:rsidP="00ED5C01">
      <w:pPr>
        <w:spacing w:after="0" w:line="240" w:lineRule="auto"/>
      </w:pPr>
      <w:r>
        <w:continuationSeparator/>
      </w:r>
    </w:p>
  </w:footnote>
  <w:footnote w:id="1">
    <w:p w14:paraId="3B9821B3" w14:textId="77777777" w:rsidR="00B6053A" w:rsidRPr="00E06468" w:rsidRDefault="00B6053A" w:rsidP="002029E8">
      <w:pPr>
        <w:numPr>
          <w:ilvl w:val="0"/>
          <w:numId w:val="1"/>
        </w:numPr>
        <w:bidi/>
        <w:rPr>
          <w:sz w:val="16"/>
          <w:szCs w:val="16"/>
        </w:rPr>
      </w:pP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2">
    <w:p w14:paraId="5651B002" w14:textId="77777777" w:rsidR="00B6053A" w:rsidRPr="001C469F" w:rsidRDefault="00B6053A"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B6053A" w:rsidRPr="001D7F0F" w:rsidRDefault="00B6053A"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60D03BB0" w14:textId="77777777" w:rsidR="00B6053A" w:rsidRDefault="00B6053A" w:rsidP="00292EA9">
      <w:pPr>
        <w:bidi/>
        <w:rPr>
          <w:sz w:val="16"/>
          <w:szCs w:val="16"/>
        </w:rPr>
      </w:pPr>
      <w:r>
        <w:rPr>
          <w:rStyle w:val="af"/>
        </w:rPr>
        <w:footnoteRef/>
      </w:r>
      <w:r>
        <w:t xml:space="preserve"> </w:t>
      </w:r>
      <w:r>
        <w:rPr>
          <w:sz w:val="18"/>
          <w:szCs w:val="18"/>
          <w:rtl/>
        </w:rPr>
        <w:t xml:space="preserve">الغامدي، رهف صالح (2025م). الطبيعة القانونية للعقود الذكية في المملكة العربية السعودية </w:t>
      </w:r>
      <w:proofErr w:type="gramStart"/>
      <w:r>
        <w:rPr>
          <w:sz w:val="18"/>
          <w:szCs w:val="18"/>
          <w:rtl/>
        </w:rPr>
        <w:t>- دراسة</w:t>
      </w:r>
      <w:proofErr w:type="gramEnd"/>
      <w:r>
        <w:rPr>
          <w:sz w:val="18"/>
          <w:szCs w:val="18"/>
          <w:rtl/>
        </w:rPr>
        <w:t xml:space="preserve"> تحليلية. مجلة القانون والأعمال الدولية، الإصدار 57، أبريل/مايو 2025م. ص227. جامعة الملك عبد العزيز. ISSN: 2509-0291.</w:t>
      </w:r>
    </w:p>
  </w:footnote>
  <w:footnote w:id="5">
    <w:p w14:paraId="3DFD8D69" w14:textId="77777777" w:rsidR="00B6053A" w:rsidRDefault="00B6053A"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المجلة العربية للنشر العلمي، الإصدار 7، العدد 73، ص 368-412. DOI: 10.36571/ajsp7321.</w:t>
      </w:r>
    </w:p>
  </w:footnote>
  <w:footnote w:id="6">
    <w:p w14:paraId="4326C684" w14:textId="77777777" w:rsidR="00B6053A" w:rsidRDefault="00B6053A" w:rsidP="00925AAC">
      <w:pPr>
        <w:bidi/>
        <w:rPr>
          <w:sz w:val="16"/>
          <w:szCs w:val="16"/>
        </w:rPr>
      </w:pPr>
      <w:r>
        <w:rPr>
          <w:rStyle w:val="af"/>
        </w:rPr>
        <w:footnoteRef/>
      </w:r>
      <w:r>
        <w:t xml:space="preserve"> </w:t>
      </w:r>
      <w:r>
        <w:rPr>
          <w:sz w:val="18"/>
          <w:szCs w:val="18"/>
          <w:rtl/>
        </w:rPr>
        <w:t xml:space="preserve">وزارة العدل </w:t>
      </w:r>
      <w:proofErr w:type="gramStart"/>
      <w:r>
        <w:rPr>
          <w:sz w:val="18"/>
          <w:szCs w:val="18"/>
          <w:rtl/>
        </w:rPr>
        <w:t>- المملكة</w:t>
      </w:r>
      <w:proofErr w:type="gramEnd"/>
      <w:r>
        <w:rPr>
          <w:sz w:val="18"/>
          <w:szCs w:val="18"/>
          <w:rtl/>
        </w:rPr>
        <w:t xml:space="preserve"> العربية السعودية (1422هـ). اللائحة التنفيذية لنظام المحاماة الصادر بالمرسوم الملكي رقم م/38 بتاريخ 28/7/1422هـ. الرياض: وزارة العدل.</w:t>
      </w:r>
    </w:p>
  </w:footnote>
  <w:footnote w:id="7">
    <w:p w14:paraId="419A99D5" w14:textId="77777777" w:rsidR="00B6053A" w:rsidRDefault="00B6053A" w:rsidP="00925AAC">
      <w:pPr>
        <w:bidi/>
        <w:rPr>
          <w:sz w:val="16"/>
          <w:szCs w:val="16"/>
        </w:rPr>
      </w:pPr>
      <w:r>
        <w:rPr>
          <w:rStyle w:val="af"/>
        </w:rPr>
        <w:footnoteRef/>
      </w:r>
      <w:r>
        <w:t xml:space="preserve"> </w:t>
      </w:r>
      <w:proofErr w:type="spellStart"/>
      <w:r>
        <w:rPr>
          <w:sz w:val="18"/>
          <w:szCs w:val="18"/>
          <w:rtl/>
        </w:rPr>
        <w:t>الغنامي</w:t>
      </w:r>
      <w:proofErr w:type="spellEnd"/>
      <w:r>
        <w:rPr>
          <w:sz w:val="18"/>
          <w:szCs w:val="18"/>
          <w:rtl/>
        </w:rPr>
        <w:t xml:space="preserve">، نايف بن </w:t>
      </w:r>
      <w:proofErr w:type="spellStart"/>
      <w:r>
        <w:rPr>
          <w:sz w:val="18"/>
          <w:szCs w:val="18"/>
          <w:rtl/>
        </w:rPr>
        <w:t>ناشي</w:t>
      </w:r>
      <w:proofErr w:type="spellEnd"/>
      <w:r>
        <w:rPr>
          <w:sz w:val="18"/>
          <w:szCs w:val="18"/>
          <w:rtl/>
        </w:rPr>
        <w:t xml:space="preserve">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8">
    <w:p w14:paraId="630C5F16" w14:textId="77777777" w:rsidR="00B6053A" w:rsidRDefault="00B6053A"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9">
    <w:p w14:paraId="6CA8BF9B" w14:textId="77777777" w:rsidR="00B6053A" w:rsidRDefault="00B6053A"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0">
    <w:p w14:paraId="20CB9DBD" w14:textId="77777777" w:rsidR="00B6053A" w:rsidRPr="0026477A" w:rsidRDefault="00B6053A"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11">
    <w:p w14:paraId="3E6F1C06" w14:textId="77777777" w:rsidR="00B6053A" w:rsidRPr="0026477A" w:rsidRDefault="00B6053A"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12">
    <w:p w14:paraId="4792ED24" w14:textId="77777777" w:rsidR="00B6053A" w:rsidRDefault="00B6053A"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
    <w:p w14:paraId="6AA06B8C" w14:textId="77777777" w:rsidR="00B6053A" w:rsidRDefault="00B6053A"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14">
    <w:p w14:paraId="274AC229" w14:textId="77777777" w:rsidR="00B6053A" w:rsidRDefault="00B6053A"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5">
    <w:p w14:paraId="7A0772BC"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16">
    <w:p w14:paraId="0AC9A052" w14:textId="77777777" w:rsidR="00B6053A" w:rsidRDefault="00B6053A"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7">
    <w:p w14:paraId="74180D61"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18">
    <w:p w14:paraId="59C626CA"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9">
    <w:p w14:paraId="21CB0A99" w14:textId="77777777" w:rsidR="00B6053A" w:rsidRDefault="00B6053A"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
    <w:p w14:paraId="056242B0" w14:textId="77777777" w:rsidR="00B6053A" w:rsidRDefault="00B6053A"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21">
    <w:p w14:paraId="25A508C5" w14:textId="77777777" w:rsidR="00B6053A" w:rsidRDefault="00B6053A" w:rsidP="00925AAC">
      <w:pPr>
        <w:bidi/>
        <w:rPr>
          <w:sz w:val="16"/>
          <w:szCs w:val="16"/>
        </w:rPr>
      </w:pPr>
      <w:r>
        <w:rPr>
          <w:rStyle w:val="af"/>
        </w:rPr>
        <w:footnoteRef/>
      </w:r>
      <w:r>
        <w:t xml:space="preserve"> </w:t>
      </w:r>
      <w:r>
        <w:rPr>
          <w:sz w:val="18"/>
          <w:szCs w:val="18"/>
          <w:rtl/>
        </w:rPr>
        <w:t xml:space="preserve">التونسي، آيات أحمد؛ والمعلم، سليمان محمد (2024م). القواعد والإجراءات المنظمة لاستخدامات الذكاء الاصطناعي بالمملكة العربية السعودية وآثارها القانونية </w:t>
      </w:r>
      <w:proofErr w:type="gramStart"/>
      <w:r>
        <w:rPr>
          <w:sz w:val="18"/>
          <w:szCs w:val="18"/>
          <w:rtl/>
        </w:rPr>
        <w:t>- دراسة</w:t>
      </w:r>
      <w:proofErr w:type="gramEnd"/>
      <w:r>
        <w:rPr>
          <w:sz w:val="18"/>
          <w:szCs w:val="18"/>
          <w:rtl/>
        </w:rPr>
        <w:t xml:space="preserve"> تحليلية مقارنة. المجلة العربية للنشر العلمي، الإصدار 7، العدد 73، ص368. https://doi.org/10.36571/ajsp7321</w:t>
      </w:r>
    </w:p>
  </w:footnote>
  <w:footnote w:id="22">
    <w:p w14:paraId="474E3533" w14:textId="77777777" w:rsidR="00B6053A" w:rsidRDefault="00B6053A" w:rsidP="00925AAC">
      <w:pPr>
        <w:bidi/>
        <w:rPr>
          <w:sz w:val="16"/>
          <w:szCs w:val="16"/>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(2024م). إطار تبني الذكاء الاصطناعي. الرياض: </w:t>
      </w:r>
      <w:proofErr w:type="spellStart"/>
      <w:r>
        <w:rPr>
          <w:sz w:val="18"/>
          <w:szCs w:val="18"/>
          <w:rtl/>
        </w:rPr>
        <w:t>سدايا</w:t>
      </w:r>
      <w:proofErr w:type="spellEnd"/>
      <w:r>
        <w:rPr>
          <w:sz w:val="18"/>
          <w:szCs w:val="18"/>
          <w:rtl/>
        </w:rPr>
        <w:t>، سبتمبر 2024م.</w:t>
      </w:r>
    </w:p>
  </w:footnote>
  <w:footnote w:id="23">
    <w:p w14:paraId="1E5BB1E2" w14:textId="77777777" w:rsidR="00B6053A" w:rsidRPr="00CB64BE" w:rsidRDefault="00B6053A"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24">
    <w:p w14:paraId="3EC3E219" w14:textId="77777777" w:rsidR="00B6053A" w:rsidRDefault="00B6053A"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5">
    <w:p w14:paraId="7BC5BF5B" w14:textId="77777777" w:rsidR="00B6053A" w:rsidRDefault="00B6053A"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26">
    <w:p w14:paraId="6C4B03F0" w14:textId="77777777" w:rsidR="00B6053A" w:rsidRPr="00CB64BE" w:rsidRDefault="00B6053A" w:rsidP="002A34EF">
      <w:pPr>
        <w:pStyle w:val="ae"/>
        <w:jc w:val="right"/>
      </w:pPr>
      <w:r w:rsidRPr="00F10DC6">
        <w:rPr>
          <w:rStyle w:val="af"/>
        </w:rPr>
        <w:footnoteRef/>
      </w:r>
      <w:r w:rsidRPr="00F10DC6">
        <w:t xml:space="preserve"> </w:t>
      </w:r>
      <w:r w:rsidRPr="00F10DC6">
        <w:rPr>
          <w:sz w:val="18"/>
          <w:szCs w:val="18"/>
          <w:rtl/>
        </w:rPr>
        <w:t>الهيئة السعودية للبيانات والذكاء الاصطناعي (</w:t>
      </w:r>
      <w:proofErr w:type="spellStart"/>
      <w:r w:rsidRPr="00F10DC6">
        <w:rPr>
          <w:sz w:val="18"/>
          <w:szCs w:val="18"/>
          <w:rtl/>
        </w:rPr>
        <w:t>سدايا</w:t>
      </w:r>
      <w:proofErr w:type="spellEnd"/>
      <w:r w:rsidRPr="00F10DC6">
        <w:rPr>
          <w:sz w:val="18"/>
          <w:szCs w:val="18"/>
          <w:rtl/>
        </w:rPr>
        <w:t xml:space="preserve">). (2023). وثيقة مبادئ أخلاقيات الذكاء الاصطناعي. الرياض: </w:t>
      </w:r>
      <w:proofErr w:type="spellStart"/>
      <w:r w:rsidRPr="00F10DC6">
        <w:rPr>
          <w:sz w:val="18"/>
          <w:szCs w:val="18"/>
          <w:rtl/>
        </w:rPr>
        <w:t>سدايا</w:t>
      </w:r>
      <w:proofErr w:type="spellEnd"/>
      <w:r w:rsidRPr="00F10DC6">
        <w:rPr>
          <w:sz w:val="18"/>
          <w:szCs w:val="18"/>
          <w:rtl/>
        </w:rPr>
        <w:t>.</w:t>
      </w:r>
    </w:p>
  </w:footnote>
  <w:footnote w:id="27">
    <w:p w14:paraId="14E2EE06" w14:textId="77777777" w:rsidR="00B6053A" w:rsidRDefault="00B6053A" w:rsidP="002A34EF">
      <w:pPr>
        <w:jc w:val="right"/>
        <w:rPr>
          <w:rFonts w:asciiTheme="majorBidi" w:hAnsiTheme="majorBidi" w:cstheme="majorBidi"/>
          <w:sz w:val="18"/>
          <w:szCs w:val="18"/>
        </w:rPr>
      </w:pPr>
      <w:r w:rsidRPr="00F10DC6">
        <w:rPr>
          <w:rtl/>
        </w:rPr>
        <w:footnoteRef/>
      </w:r>
      <w:r w:rsidRPr="00F10DC6">
        <w:rPr>
          <w:rFonts w:asciiTheme="majorBidi" w:hAnsiTheme="majorBidi" w:cstheme="majorBidi"/>
          <w:sz w:val="18"/>
          <w:szCs w:val="18"/>
          <w:rtl/>
        </w:rPr>
        <w:t xml:space="preserve"> </w:t>
      </w:r>
      <w:proofErr w:type="spellStart"/>
      <w:r w:rsidRPr="00F10DC6">
        <w:rPr>
          <w:rFonts w:asciiTheme="majorBidi" w:hAnsiTheme="majorBidi" w:cstheme="majorBidi"/>
          <w:sz w:val="18"/>
          <w:szCs w:val="18"/>
          <w:rtl/>
        </w:rPr>
        <w:t>العجماني</w:t>
      </w:r>
      <w:proofErr w:type="spellEnd"/>
      <w:r w:rsidRPr="00F10DC6">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28">
    <w:p w14:paraId="60D21BF1"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29">
    <w:p w14:paraId="7786DC7E"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(2024م). حجية الدليل الرقمي في نظام الإثبات السعودي. مجلة مواق للدراسات الإسلامية والاجتماعية، (43)، ص1461.</w:t>
      </w:r>
    </w:p>
  </w:footnote>
  <w:footnote w:id="30">
    <w:p w14:paraId="0BC5B5DA" w14:textId="77777777" w:rsidR="00B6053A" w:rsidRDefault="00B6053A"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31">
    <w:p w14:paraId="3ADE2B36" w14:textId="77777777" w:rsidR="00B6053A" w:rsidRDefault="00B6053A"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32">
    <w:p w14:paraId="782C873D" w14:textId="77777777" w:rsidR="00B6053A" w:rsidRDefault="00B6053A"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33">
    <w:p w14:paraId="5F4D1A15"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34">
    <w:p w14:paraId="2BEE7943"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بحث مقدم في مؤتمر التحديات والآفاق القانونية والاقتصادية للذكاء الاصطناعي، كلية الحقوق، جامعة عين شمس، القاهرة.</w:t>
      </w:r>
    </w:p>
  </w:footnote>
  <w:footnote w:id="35">
    <w:p w14:paraId="76AECCD0"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6">
    <w:p w14:paraId="2AF440B9"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37">
    <w:p w14:paraId="7763C81A"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38">
    <w:p w14:paraId="4A0097EA"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39">
    <w:p w14:paraId="13D0B943"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40">
    <w:p w14:paraId="495FFD3B" w14:textId="77777777" w:rsidR="00B6053A" w:rsidRDefault="00B6053A"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1">
    <w:p w14:paraId="02829BA0" w14:textId="77777777" w:rsidR="00B6053A" w:rsidRDefault="00B6053A"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42">
    <w:p w14:paraId="6798FEC6" w14:textId="77777777" w:rsidR="00B6053A" w:rsidRDefault="00B6053A"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43">
    <w:p w14:paraId="7372CDDE" w14:textId="77777777" w:rsidR="00B6053A" w:rsidRDefault="00B6053A"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4">
    <w:p w14:paraId="1650A99F" w14:textId="77777777" w:rsidR="00B6053A" w:rsidRDefault="00B6053A" w:rsidP="00767C10">
      <w:pPr>
        <w:pStyle w:val="ae"/>
        <w:jc w:val="right"/>
        <w:rPr>
          <w:rtl/>
        </w:rPr>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45">
    <w:p w14:paraId="2F8808DD" w14:textId="77777777" w:rsidR="00B6053A" w:rsidRDefault="00B6053A"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46">
    <w:p w14:paraId="10C8C06F" w14:textId="77777777" w:rsidR="00B6053A" w:rsidRDefault="00B6053A"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47">
    <w:p w14:paraId="008B1402" w14:textId="77777777" w:rsidR="00B6053A" w:rsidRDefault="00B6053A"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48">
    <w:p w14:paraId="728B2E3F" w14:textId="77777777" w:rsidR="00B6053A" w:rsidRPr="00122234" w:rsidRDefault="00B6053A"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9">
    <w:p w14:paraId="607A1674"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xml:space="preserve"> (د.ت). الضوابط القانونية للذكاء الاصطناعي في إبرام المعاملات القانونية. قسم القانون، الجامعة السعودية الإلكترونية، الرياض.</w:t>
      </w:r>
    </w:p>
  </w:footnote>
  <w:footnote w:id="50">
    <w:p w14:paraId="46BC575A"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غاسم</w:t>
      </w:r>
      <w:proofErr w:type="spellEnd"/>
      <w:r>
        <w:rPr>
          <w:rFonts w:asciiTheme="majorBidi" w:hAnsiTheme="majorBidi" w:cstheme="majorBidi"/>
          <w:sz w:val="18"/>
          <w:szCs w:val="18"/>
          <w:rtl/>
        </w:rPr>
        <w:t xml:space="preserve">، مراد محمد غالب (2022م). دور الذكاء الاصطناعي في مكافحة الجريمة الإلكترونية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مقارنة. بحث علمي محكّم، مجلة علمية متخصصة.</w:t>
      </w:r>
    </w:p>
  </w:footnote>
  <w:footnote w:id="51">
    <w:p w14:paraId="426FF129"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52">
    <w:p w14:paraId="5B838716"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53">
    <w:p w14:paraId="5FE244FC"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54">
    <w:p w14:paraId="067D6A44"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ص156.</w:t>
      </w:r>
    </w:p>
  </w:footnote>
  <w:footnote w:id="55">
    <w:p w14:paraId="146269B4"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56">
    <w:p w14:paraId="1E7DDE4F"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57">
    <w:p w14:paraId="5DC62DDA"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58">
    <w:p w14:paraId="16D9E408"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59">
    <w:p w14:paraId="400DC698" w14:textId="77777777" w:rsidR="00B6053A" w:rsidRDefault="00B6053A" w:rsidP="00A91133">
      <w:pPr>
        <w:pStyle w:val="ae"/>
        <w:jc w:val="right"/>
        <w:rPr>
          <w:rtl/>
        </w:rPr>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60">
    <w:p w14:paraId="6B889E31" w14:textId="77777777" w:rsidR="00B6053A" w:rsidRDefault="00B6053A"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61">
    <w:p w14:paraId="7329A9FF"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2">
    <w:p w14:paraId="206B8091"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63">
    <w:p w14:paraId="573007ED"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64">
    <w:p w14:paraId="68ACF359"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65">
    <w:p w14:paraId="4E009EE2"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66">
    <w:p w14:paraId="08DC201E"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67">
    <w:p w14:paraId="7FC8D478" w14:textId="77777777" w:rsidR="00B6053A" w:rsidRDefault="00B6053A"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68">
    <w:p w14:paraId="568BFAED"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69">
    <w:p w14:paraId="53262F56"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70">
    <w:p w14:paraId="7AF2DCE4"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71">
    <w:p w14:paraId="5211112F" w14:textId="77777777" w:rsidR="00B6053A" w:rsidRDefault="00B6053A"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72">
    <w:p w14:paraId="73CD29BD"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xml:space="preserve"> (د.ت). الضوابط القانونية للذكاء الاصطناعي في إبرام المعاملات القانونية. قسم القانون، الجامعة السعودية الإلكترونية، الرياض.</w:t>
      </w:r>
    </w:p>
  </w:footnote>
  <w:footnote w:id="73">
    <w:p w14:paraId="20C7268E"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بحث مقدم في مؤتمر التحديات والآفاق القانونية والاقتصادية للذكاء الاصطناعي، كلية الحقوق، جامعة عين شمس.</w:t>
      </w:r>
    </w:p>
  </w:footnote>
  <w:footnote w:id="74">
    <w:p w14:paraId="131EE8D6"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75">
    <w:p w14:paraId="23D705A7"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76">
    <w:p w14:paraId="0B009C15"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ص203.</w:t>
      </w:r>
    </w:p>
  </w:footnote>
  <w:footnote w:id="77">
    <w:p w14:paraId="31707EE3"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78">
    <w:p w14:paraId="43C09937"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79">
    <w:p w14:paraId="4EC2A926"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(2024م). حجية الدليل الرقمي في نظام الإثبات السعودي. مجلة مواق للدراسات الإسلامية والاجتماعية، (43)، ص1468.</w:t>
      </w:r>
    </w:p>
  </w:footnote>
  <w:footnote w:id="80">
    <w:p w14:paraId="1CDFEC4D" w14:textId="77777777" w:rsidR="00B6053A" w:rsidRPr="0095427D" w:rsidRDefault="00B6053A"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81">
    <w:p w14:paraId="5579031D" w14:textId="77777777" w:rsidR="00B6053A" w:rsidRPr="0095427D" w:rsidRDefault="00B6053A"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82">
    <w:p w14:paraId="1E7951C5" w14:textId="77777777" w:rsidR="00B6053A" w:rsidRPr="0095427D" w:rsidRDefault="00B6053A" w:rsidP="00A67437">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83">
    <w:p w14:paraId="2F42AB10"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xml:space="preserve"> (د.ت). الضوابط القانونية للذكاء الاصطناعي في إبرام المعاملات القانونية. قسم القانون، الجامعة السعودية الإلكترونية، الرياض.</w:t>
      </w:r>
    </w:p>
  </w:footnote>
  <w:footnote w:id="84">
    <w:p w14:paraId="2BA95D01" w14:textId="77777777" w:rsidR="00B6053A" w:rsidRDefault="00B6053A"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85">
    <w:p w14:paraId="1B61C130"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86">
    <w:p w14:paraId="103D0F67"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87">
    <w:p w14:paraId="1184A867"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88">
    <w:p w14:paraId="293D43EC"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89">
    <w:p w14:paraId="2E6379AB"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90">
    <w:p w14:paraId="393F7328"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91">
    <w:p w14:paraId="52319DCC"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92">
    <w:p w14:paraId="547F73E6" w14:textId="77777777" w:rsidR="00B6053A" w:rsidRDefault="00B6053A"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93">
    <w:p w14:paraId="388E21C3" w14:textId="77777777" w:rsidR="00B6053A" w:rsidRDefault="00B6053A"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94">
    <w:p w14:paraId="3FB1FC33" w14:textId="77777777" w:rsidR="00B6053A" w:rsidRDefault="00B6053A"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5">
    <w:p w14:paraId="2A24F982" w14:textId="77777777" w:rsidR="00B6053A" w:rsidRPr="005562AF" w:rsidRDefault="00B6053A"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6">
    <w:p w14:paraId="6784C6EB" w14:textId="77777777" w:rsidR="00B6053A" w:rsidRDefault="00B6053A" w:rsidP="004B4795">
      <w:pPr>
        <w:bidi/>
        <w:rPr>
          <w:sz w:val="16"/>
          <w:szCs w:val="16"/>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(2025م). الدليل </w:t>
      </w:r>
      <w:proofErr w:type="spellStart"/>
      <w:r>
        <w:rPr>
          <w:sz w:val="18"/>
          <w:szCs w:val="18"/>
          <w:rtl/>
        </w:rPr>
        <w:t>الاسترشادي</w:t>
      </w:r>
      <w:proofErr w:type="spellEnd"/>
      <w:r>
        <w:rPr>
          <w:sz w:val="18"/>
          <w:szCs w:val="18"/>
          <w:rtl/>
        </w:rPr>
        <w:t xml:space="preserve"> لتقويم مخاطر نقل البيانات الشخصية إلى خارج المملكة أو الإفصاح عنها لجهات خارج المملكة. الرياض: </w:t>
      </w:r>
      <w:proofErr w:type="spellStart"/>
      <w:r>
        <w:rPr>
          <w:sz w:val="18"/>
          <w:szCs w:val="18"/>
          <w:rtl/>
        </w:rPr>
        <w:t>سدايا</w:t>
      </w:r>
      <w:proofErr w:type="spellEnd"/>
      <w:r>
        <w:rPr>
          <w:sz w:val="18"/>
          <w:szCs w:val="18"/>
          <w:rtl/>
        </w:rPr>
        <w:t>، فبراير 2025م.</w:t>
      </w:r>
    </w:p>
  </w:footnote>
  <w:footnote w:id="97">
    <w:p w14:paraId="6BD00547" w14:textId="77777777" w:rsidR="00B6053A" w:rsidRDefault="00B6053A"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8">
    <w:p w14:paraId="266761D1" w14:textId="77777777" w:rsidR="00B6053A" w:rsidRPr="00A918AE" w:rsidRDefault="00B6053A"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9">
    <w:p w14:paraId="67204D7D" w14:textId="77777777" w:rsidR="00B6053A" w:rsidRDefault="00B6053A"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00">
    <w:p w14:paraId="5D49A7F3" w14:textId="77777777" w:rsidR="00B6053A" w:rsidRDefault="00B6053A"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01">
    <w:p w14:paraId="6DBCF290" w14:textId="77777777" w:rsidR="00B6053A" w:rsidRDefault="00B6053A" w:rsidP="00E23555">
      <w:pPr>
        <w:pStyle w:val="ae"/>
        <w:jc w:val="right"/>
        <w:rPr>
          <w:rtl/>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102">
    <w:p w14:paraId="04B25DA0" w14:textId="77777777" w:rsidR="00B6053A" w:rsidRPr="003A40AC" w:rsidRDefault="00B6053A"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roofErr w:type="gramStart"/>
      <w:r>
        <w:rPr>
          <w:sz w:val="18"/>
          <w:szCs w:val="18"/>
          <w:rtl/>
        </w:rPr>
        <w:t>)..</w:t>
      </w:r>
      <w:proofErr w:type="gramEnd"/>
    </w:p>
  </w:footnote>
  <w:footnote w:id="103">
    <w:p w14:paraId="49BE7866" w14:textId="77777777" w:rsidR="00B6053A" w:rsidRPr="008D5357" w:rsidRDefault="00B6053A"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04">
    <w:p w14:paraId="2B1DC084" w14:textId="77777777" w:rsidR="00B6053A" w:rsidRDefault="00B6053A"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بحث مقدم في مؤتمر التحديات والآفاق القانونية والاقتصادية للذكاء الاصطناعي، كلية الحقوق، جامعة عين شمس.</w:t>
      </w:r>
    </w:p>
  </w:footnote>
  <w:footnote w:id="105">
    <w:p w14:paraId="2F6F4B2A" w14:textId="77777777" w:rsidR="00B6053A" w:rsidRDefault="00B6053A" w:rsidP="004B4795">
      <w:pPr>
        <w:bidi/>
        <w:rPr>
          <w:sz w:val="16"/>
          <w:szCs w:val="16"/>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(2024م). إطار تبني الذكاء الاصطناعي. الرياض: </w:t>
      </w:r>
      <w:proofErr w:type="spellStart"/>
      <w:r>
        <w:rPr>
          <w:sz w:val="18"/>
          <w:szCs w:val="18"/>
          <w:rtl/>
        </w:rPr>
        <w:t>سدايا</w:t>
      </w:r>
      <w:proofErr w:type="spellEnd"/>
      <w:r>
        <w:rPr>
          <w:sz w:val="18"/>
          <w:szCs w:val="18"/>
          <w:rtl/>
        </w:rPr>
        <w:t>، سبتمبر 2024م، ص4-12.</w:t>
      </w:r>
    </w:p>
  </w:footnote>
  <w:footnote w:id="106">
    <w:p w14:paraId="5BA36179" w14:textId="77777777" w:rsidR="00B6053A" w:rsidRDefault="00B6053A"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07">
    <w:p w14:paraId="25DF4948" w14:textId="77777777" w:rsidR="00B6053A" w:rsidRDefault="00B6053A"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8">
    <w:p w14:paraId="020B1F55" w14:textId="77777777" w:rsidR="00B6053A" w:rsidRDefault="00B6053A"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09">
    <w:p w14:paraId="7FBDC0FD" w14:textId="77777777" w:rsidR="00B6053A" w:rsidRDefault="00B6053A"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(2024م). حجية الدليل الرقمي في نظام الإثبات السعودي. مجلة مواق للدراسات الإسلامية والاجتماعية، (43)، ص1452.</w:t>
      </w:r>
    </w:p>
  </w:footnote>
  <w:footnote w:id="110">
    <w:p w14:paraId="2DA1A432" w14:textId="77777777" w:rsidR="00B6053A" w:rsidRDefault="00B6053A"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11">
    <w:p w14:paraId="2D24ED81" w14:textId="77777777" w:rsidR="00B6053A" w:rsidRDefault="00B6053A"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12">
    <w:p w14:paraId="7CB83172"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13">
    <w:p w14:paraId="414DDC79"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14">
    <w:p w14:paraId="630FE3C0"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15">
    <w:p w14:paraId="73A115C3"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16">
    <w:p w14:paraId="05CCD1F4"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(2024م). حجية الدليل الرقمي في نظام الإثبات السعودي. مجلة مواق للدراسات الإسلامية والاجتماعية، (43)، ص1455.</w:t>
      </w:r>
    </w:p>
  </w:footnote>
  <w:footnote w:id="117">
    <w:p w14:paraId="1D9F37B6" w14:textId="77777777" w:rsidR="00B6053A" w:rsidRDefault="00B6053A"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18">
    <w:p w14:paraId="00291232" w14:textId="77777777" w:rsidR="00B6053A" w:rsidRPr="00D150CD" w:rsidRDefault="00B6053A" w:rsidP="000D4B35">
      <w:pPr>
        <w:pStyle w:val="ae"/>
        <w:jc w:val="right"/>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119">
    <w:p w14:paraId="42ABA9CF" w14:textId="77777777" w:rsidR="00B6053A" w:rsidRPr="00D150CD" w:rsidRDefault="00B6053A"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20">
    <w:p w14:paraId="4E9E3308" w14:textId="77777777" w:rsidR="00B6053A" w:rsidRPr="00D150CD" w:rsidRDefault="00B6053A"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21">
    <w:p w14:paraId="2618910D" w14:textId="77777777" w:rsidR="00B6053A" w:rsidRPr="00D150CD" w:rsidRDefault="00B6053A"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2">
    <w:p w14:paraId="17815CB8" w14:textId="77777777" w:rsidR="00B6053A" w:rsidRPr="00D150CD" w:rsidRDefault="00B6053A"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23">
    <w:p w14:paraId="58CEACC6" w14:textId="77777777" w:rsidR="00B6053A" w:rsidRPr="00D150CD" w:rsidRDefault="00B6053A"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24">
    <w:p w14:paraId="0BC70F09" w14:textId="77777777" w:rsidR="00B6053A" w:rsidRPr="00D150CD" w:rsidRDefault="00B6053A"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6E987D58" w14:textId="77777777" w:rsidR="00B6053A" w:rsidRPr="00D150CD" w:rsidRDefault="00B6053A"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26">
    <w:p w14:paraId="6B0D9832" w14:textId="77777777" w:rsidR="00B6053A" w:rsidRDefault="00B6053A" w:rsidP="004B4795">
      <w:pPr>
        <w:bidi/>
        <w:rPr>
          <w:sz w:val="16"/>
          <w:szCs w:val="16"/>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(2023م). مبادئ أخلاقيات الذكاء الاصطناعي. الرياض: </w:t>
      </w:r>
      <w:proofErr w:type="spellStart"/>
      <w:r>
        <w:rPr>
          <w:sz w:val="18"/>
          <w:szCs w:val="18"/>
          <w:rtl/>
        </w:rPr>
        <w:t>سدايا</w:t>
      </w:r>
      <w:proofErr w:type="spellEnd"/>
      <w:r>
        <w:rPr>
          <w:sz w:val="18"/>
          <w:szCs w:val="18"/>
          <w:rtl/>
        </w:rPr>
        <w:t>، الإصدار الأول، سبتمبر 2023م.</w:t>
      </w:r>
    </w:p>
  </w:footnote>
  <w:footnote w:id="127">
    <w:p w14:paraId="0394A07E" w14:textId="77777777" w:rsidR="00B6053A" w:rsidRPr="00F237E4" w:rsidRDefault="00B6053A"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77DDABA8" w14:textId="77777777" w:rsidR="00B6053A" w:rsidRPr="00F237E4" w:rsidRDefault="00B6053A"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29">
    <w:p w14:paraId="0E0F3A7B" w14:textId="77777777" w:rsidR="00B6053A" w:rsidRPr="00F237E4" w:rsidRDefault="00B6053A"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30">
    <w:p w14:paraId="79432A44" w14:textId="77777777" w:rsidR="00B6053A" w:rsidRPr="00F237E4" w:rsidRDefault="00B6053A"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31">
    <w:p w14:paraId="20B96BA4" w14:textId="77777777" w:rsidR="00B6053A" w:rsidRDefault="00B6053A"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32">
    <w:p w14:paraId="04632CA7" w14:textId="77777777" w:rsidR="00B6053A" w:rsidRPr="00957EC0" w:rsidRDefault="00B6053A"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3">
    <w:p w14:paraId="6BB4AD60" w14:textId="77777777" w:rsidR="00B6053A" w:rsidRPr="00957EC0" w:rsidRDefault="00B6053A" w:rsidP="000D4B35">
      <w:pPr>
        <w:pStyle w:val="ae"/>
        <w:jc w:val="right"/>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134">
    <w:p w14:paraId="0D6C2A3F"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35">
    <w:p w14:paraId="099D7BCC"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36">
    <w:p w14:paraId="79A2EA77"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37">
    <w:p w14:paraId="7A09E19F"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38">
    <w:p w14:paraId="68217D7B"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ص267.</w:t>
      </w:r>
    </w:p>
  </w:footnote>
  <w:footnote w:id="139">
    <w:p w14:paraId="67D7C71A"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40">
    <w:p w14:paraId="5BFE0E1B" w14:textId="77777777" w:rsidR="00B6053A" w:rsidRPr="00957EC0" w:rsidRDefault="00B6053A"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1">
    <w:p w14:paraId="3C6FFD99" w14:textId="77777777" w:rsidR="00B6053A" w:rsidRPr="00957EC0" w:rsidRDefault="00B6053A"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2">
    <w:p w14:paraId="2F609D9E" w14:textId="77777777" w:rsidR="00B6053A" w:rsidRPr="00957EC0" w:rsidRDefault="00B6053A"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43">
    <w:p w14:paraId="288B715E" w14:textId="77777777" w:rsidR="00B6053A" w:rsidRPr="00957EC0" w:rsidRDefault="00B6053A" w:rsidP="000D4B35">
      <w:pPr>
        <w:pStyle w:val="ae"/>
        <w:jc w:val="right"/>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144">
    <w:p w14:paraId="0888FB1E" w14:textId="77777777" w:rsidR="00B6053A" w:rsidRDefault="00B6053A"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45">
    <w:p w14:paraId="0A166AD2" w14:textId="77777777" w:rsidR="00B6053A" w:rsidRDefault="00B6053A"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46">
    <w:p w14:paraId="190CA141" w14:textId="77777777" w:rsidR="00B6053A" w:rsidRDefault="00B6053A" w:rsidP="004B4795">
      <w:pPr>
        <w:bidi/>
        <w:rPr>
          <w:sz w:val="16"/>
          <w:szCs w:val="16"/>
        </w:rPr>
      </w:pPr>
      <w:r>
        <w:rPr>
          <w:rStyle w:val="af"/>
        </w:rPr>
        <w:footnoteRef/>
      </w:r>
      <w:r>
        <w:t xml:space="preserve"> </w:t>
      </w:r>
      <w:r>
        <w:rPr>
          <w:sz w:val="18"/>
          <w:szCs w:val="18"/>
          <w:rtl/>
        </w:rPr>
        <w:t xml:space="preserve">المالكي، خالد بن عبد الرحيم (2024م). المسؤولية المدنية عن فعل الذكاء الاصطناعي في النظام السعودي </w:t>
      </w:r>
      <w:proofErr w:type="gramStart"/>
      <w:r>
        <w:rPr>
          <w:sz w:val="18"/>
          <w:szCs w:val="18"/>
          <w:rtl/>
        </w:rPr>
        <w:t>- دراسة</w:t>
      </w:r>
      <w:proofErr w:type="gramEnd"/>
      <w:r>
        <w:rPr>
          <w:sz w:val="18"/>
          <w:szCs w:val="18"/>
          <w:rtl/>
        </w:rPr>
        <w:t xml:space="preserve"> تحليلية تأصيلية. مجلة البحوث الفقهية والقانونية، جامعة الأزهر، عدد 47، ص1767.</w:t>
      </w:r>
    </w:p>
  </w:footnote>
  <w:footnote w:id="147">
    <w:p w14:paraId="1492FF7A" w14:textId="77777777" w:rsidR="00B6053A" w:rsidRDefault="00B6053A"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48">
    <w:p w14:paraId="665F9C06" w14:textId="77777777" w:rsidR="00B6053A" w:rsidRPr="00F532FA" w:rsidRDefault="00B6053A"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49">
    <w:p w14:paraId="7CF16E90" w14:textId="77777777" w:rsidR="00B6053A" w:rsidRPr="00F532FA" w:rsidRDefault="00B6053A"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50">
    <w:p w14:paraId="552B8917"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بالل</w:t>
      </w:r>
      <w:proofErr w:type="spellEnd"/>
      <w:r>
        <w:rPr>
          <w:rFonts w:asciiTheme="majorBidi" w:hAnsiTheme="majorBidi" w:cstheme="majorBidi"/>
          <w:sz w:val="18"/>
          <w:szCs w:val="18"/>
          <w:rtl/>
        </w:rPr>
        <w:t xml:space="preserve">، فاطمة عبد العزيز حسن أحمد (2023م). دور الذكاء الاصطناعي في تعزيز العدالة الناجزة أمام القضاء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مقارنة. رسالة ماجستير، كلية القانون، جامعة قطر.</w:t>
      </w:r>
    </w:p>
  </w:footnote>
  <w:footnote w:id="151">
    <w:p w14:paraId="02371E16"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بحث مقدم في مؤتمر التحديات والآفاق القانونية والاقتصادية للذكاء الاصطناعي، كلية الحقوق، جامعة عين شمس.</w:t>
      </w:r>
    </w:p>
  </w:footnote>
  <w:footnote w:id="152">
    <w:p w14:paraId="1789E698"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53">
    <w:p w14:paraId="20601C55"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xml:space="preserve">،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proofErr w:type="gramStart"/>
      <w:r>
        <w:rPr>
          <w:rFonts w:asciiTheme="majorBidi" w:hAnsiTheme="majorBidi" w:cstheme="majorBidi"/>
          <w:sz w:val="18"/>
          <w:szCs w:val="18"/>
          <w:rtl/>
        </w:rPr>
        <w:t>https://doi.org/10.36394/jls.v21.i2.15.,</w:t>
      </w:r>
      <w:proofErr w:type="gramEnd"/>
      <w:r>
        <w:rPr>
          <w:rFonts w:asciiTheme="majorBidi" w:hAnsiTheme="majorBidi" w:cstheme="majorBidi"/>
          <w:sz w:val="18"/>
          <w:szCs w:val="18"/>
          <w:rtl/>
        </w:rPr>
        <w:t xml:space="preserve"> ص7.</w:t>
      </w:r>
    </w:p>
  </w:footnote>
  <w:footnote w:id="154">
    <w:p w14:paraId="222B9B75"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w:t>
      </w:r>
      <w:proofErr w:type="gramStart"/>
      <w:r>
        <w:rPr>
          <w:rFonts w:asciiTheme="majorBidi" w:hAnsiTheme="majorBidi" w:cstheme="majorBidi"/>
          <w:sz w:val="18"/>
          <w:szCs w:val="18"/>
          <w:rtl/>
        </w:rPr>
        <w:t>العلمي.,</w:t>
      </w:r>
      <w:proofErr w:type="gramEnd"/>
      <w:r>
        <w:rPr>
          <w:rFonts w:asciiTheme="majorBidi" w:hAnsiTheme="majorBidi" w:cstheme="majorBidi"/>
          <w:sz w:val="18"/>
          <w:szCs w:val="18"/>
          <w:rtl/>
        </w:rPr>
        <w:t xml:space="preserve"> ص89.</w:t>
      </w:r>
    </w:p>
  </w:footnote>
  <w:footnote w:id="155">
    <w:p w14:paraId="7DF7A247"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ص156.</w:t>
      </w:r>
    </w:p>
  </w:footnote>
  <w:footnote w:id="156">
    <w:p w14:paraId="201988A3"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w:t>
      </w:r>
      <w:proofErr w:type="gramStart"/>
      <w:r>
        <w:rPr>
          <w:rFonts w:asciiTheme="majorBidi" w:hAnsiTheme="majorBidi" w:cstheme="majorBidi"/>
          <w:sz w:val="18"/>
          <w:szCs w:val="18"/>
          <w:rtl/>
        </w:rPr>
        <w:t>).,</w:t>
      </w:r>
      <w:proofErr w:type="gramEnd"/>
      <w:r>
        <w:rPr>
          <w:rFonts w:asciiTheme="majorBidi" w:hAnsiTheme="majorBidi" w:cstheme="majorBidi"/>
          <w:sz w:val="18"/>
          <w:szCs w:val="18"/>
          <w:rtl/>
        </w:rPr>
        <w:t xml:space="preserve"> ص88.</w:t>
      </w:r>
    </w:p>
  </w:footnote>
  <w:footnote w:id="157">
    <w:p w14:paraId="0E9B9F06"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58">
    <w:p w14:paraId="03305970"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w:t>
      </w:r>
      <w:proofErr w:type="gramStart"/>
      <w:r>
        <w:rPr>
          <w:rFonts w:asciiTheme="majorBidi" w:hAnsiTheme="majorBidi" w:cstheme="majorBidi"/>
          <w:sz w:val="18"/>
          <w:szCs w:val="18"/>
          <w:rtl/>
        </w:rPr>
        <w:t>والاقتصادية.,</w:t>
      </w:r>
      <w:proofErr w:type="gramEnd"/>
      <w:r>
        <w:rPr>
          <w:rFonts w:asciiTheme="majorBidi" w:hAnsiTheme="majorBidi" w:cstheme="majorBidi"/>
          <w:sz w:val="18"/>
          <w:szCs w:val="18"/>
          <w:rtl/>
        </w:rPr>
        <w:t xml:space="preserve"> ص42.</w:t>
      </w:r>
    </w:p>
  </w:footnote>
  <w:footnote w:id="159">
    <w:p w14:paraId="70E3D043"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w:t>
      </w:r>
      <w:proofErr w:type="gramStart"/>
      <w:r>
        <w:rPr>
          <w:rFonts w:asciiTheme="majorBidi" w:hAnsiTheme="majorBidi" w:cstheme="majorBidi"/>
          <w:sz w:val="18"/>
          <w:szCs w:val="18"/>
          <w:rtl/>
        </w:rPr>
        <w:t>).,</w:t>
      </w:r>
      <w:proofErr w:type="gramEnd"/>
      <w:r>
        <w:rPr>
          <w:rFonts w:asciiTheme="majorBidi" w:hAnsiTheme="majorBidi" w:cstheme="majorBidi"/>
          <w:sz w:val="18"/>
          <w:szCs w:val="18"/>
          <w:rtl/>
        </w:rPr>
        <w:t xml:space="preserve"> ص575.</w:t>
      </w:r>
    </w:p>
  </w:footnote>
  <w:footnote w:id="160">
    <w:p w14:paraId="6EB98B7B"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61">
    <w:p w14:paraId="5F28E93D" w14:textId="77777777" w:rsidR="00B6053A" w:rsidRDefault="00B6053A"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62">
    <w:p w14:paraId="3F88B73B" w14:textId="77777777" w:rsidR="00B6053A" w:rsidRDefault="00B6053A"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63">
    <w:p w14:paraId="7AEA25C0" w14:textId="77777777" w:rsidR="00B6053A" w:rsidRPr="0063436A" w:rsidRDefault="00B6053A"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64">
    <w:p w14:paraId="03B7365B" w14:textId="77777777" w:rsidR="00B6053A" w:rsidRPr="0063436A" w:rsidRDefault="00B6053A"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65">
    <w:p w14:paraId="26AD016D" w14:textId="77777777" w:rsidR="00B6053A" w:rsidRPr="0063436A" w:rsidRDefault="00B6053A"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66">
    <w:p w14:paraId="561C6732" w14:textId="77777777" w:rsidR="00B6053A" w:rsidRDefault="00B6053A"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67">
    <w:p w14:paraId="1AAFD6A3" w14:textId="77777777" w:rsidR="00B6053A" w:rsidRPr="0063436A" w:rsidRDefault="00B6053A"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68">
    <w:p w14:paraId="66C9ED26" w14:textId="77777777" w:rsidR="00B6053A" w:rsidRPr="0063436A" w:rsidRDefault="00B6053A"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69">
    <w:p w14:paraId="6B9BC503" w14:textId="77777777" w:rsidR="00B6053A" w:rsidRPr="0063436A" w:rsidRDefault="00B6053A"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70">
    <w:p w14:paraId="51E1E7BE" w14:textId="77777777" w:rsidR="00B6053A" w:rsidRPr="0063436A" w:rsidRDefault="00B6053A"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71">
    <w:p w14:paraId="62845457" w14:textId="77777777" w:rsidR="00B6053A" w:rsidRDefault="00B6053A" w:rsidP="000D4B35">
      <w:pPr>
        <w:pStyle w:val="ae"/>
        <w:jc w:val="right"/>
      </w:pPr>
      <w:r>
        <w:rPr>
          <w:rStyle w:val="af"/>
        </w:rPr>
        <w:footnoteRef/>
      </w:r>
      <w:r>
        <w:t xml:space="preserve"> </w:t>
      </w:r>
      <w:r>
        <w:rPr>
          <w:sz w:val="18"/>
          <w:szCs w:val="18"/>
          <w:rtl/>
        </w:rPr>
        <w:t xml:space="preserve">مرسي، م. إ. (2023). مدى ملاءمة عقود الذكاء الاصطناعي المبرمة عبر تقنية البلوك تشين لقانون العقود. </w:t>
      </w:r>
      <w:proofErr w:type="spellStart"/>
      <w:r>
        <w:rPr>
          <w:sz w:val="18"/>
          <w:szCs w:val="18"/>
          <w:rtl/>
        </w:rPr>
        <w:t>Journal</w:t>
      </w:r>
      <w:proofErr w:type="spellEnd"/>
      <w:r>
        <w:rPr>
          <w:sz w:val="18"/>
          <w:szCs w:val="18"/>
          <w:rtl/>
        </w:rPr>
        <w:t xml:space="preserve"> </w:t>
      </w:r>
      <w:proofErr w:type="spellStart"/>
      <w:r>
        <w:rPr>
          <w:sz w:val="18"/>
          <w:szCs w:val="18"/>
          <w:rtl/>
        </w:rPr>
        <w:t>of</w:t>
      </w:r>
      <w:proofErr w:type="spellEnd"/>
      <w:r>
        <w:rPr>
          <w:sz w:val="18"/>
          <w:szCs w:val="18"/>
          <w:rtl/>
        </w:rPr>
        <w:t xml:space="preserve"> </w:t>
      </w:r>
      <w:proofErr w:type="spellStart"/>
      <w:r>
        <w:rPr>
          <w:sz w:val="18"/>
          <w:szCs w:val="18"/>
          <w:rtl/>
        </w:rPr>
        <w:t>Legal</w:t>
      </w:r>
      <w:proofErr w:type="spellEnd"/>
      <w:r>
        <w:rPr>
          <w:sz w:val="18"/>
          <w:szCs w:val="18"/>
          <w:rtl/>
        </w:rPr>
        <w:t xml:space="preserve"> Research.</w:t>
      </w:r>
    </w:p>
  </w:footnote>
  <w:footnote w:id="172">
    <w:p w14:paraId="09A4722A" w14:textId="77777777" w:rsidR="00B6053A" w:rsidRDefault="00B6053A"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73">
    <w:p w14:paraId="04BC5F99" w14:textId="77777777" w:rsidR="00B6053A" w:rsidRPr="00DA5441" w:rsidRDefault="00B6053A" w:rsidP="000D4B35">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174">
    <w:p w14:paraId="49AC15BF"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175">
    <w:p w14:paraId="69CB1DD2"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176">
    <w:p w14:paraId="3043EE89"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77">
    <w:p w14:paraId="3922D12A"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178">
    <w:p w14:paraId="07BF1878" w14:textId="77777777" w:rsidR="00B6053A" w:rsidRPr="00DA5441" w:rsidRDefault="00B6053A"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79">
    <w:p w14:paraId="491A6FC3" w14:textId="77777777" w:rsidR="00B6053A" w:rsidRPr="00DA5441" w:rsidRDefault="00B6053A"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0">
    <w:p w14:paraId="163E6036" w14:textId="77777777" w:rsidR="00B6053A" w:rsidRDefault="00B6053A"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1">
    <w:p w14:paraId="71FDBF52"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82">
    <w:p w14:paraId="2EA1A679" w14:textId="77777777" w:rsidR="00B6053A" w:rsidRDefault="00B6053A"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xml:space="preserve"> (د.ت). الضوابط القانونية للذكاء الاصطناعي في إبرام المعاملات القانونية. قسم القانون، الجامعة السعودية الإلكترونية، الرياض.</w:t>
      </w:r>
    </w:p>
  </w:footnote>
  <w:footnote w:id="183">
    <w:p w14:paraId="0A7C4933" w14:textId="77777777" w:rsidR="00B6053A" w:rsidRDefault="00B6053A"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84">
    <w:p w14:paraId="5D10E9D0" w14:textId="77777777" w:rsidR="00B6053A" w:rsidRDefault="00B6053A" w:rsidP="004E4D2E">
      <w:pPr>
        <w:bidi/>
        <w:rPr>
          <w:sz w:val="16"/>
          <w:szCs w:val="16"/>
        </w:rPr>
      </w:pPr>
      <w:r>
        <w:rPr>
          <w:rStyle w:val="af"/>
        </w:rPr>
        <w:footnoteRef/>
      </w:r>
      <w:r>
        <w:t xml:space="preserve"> </w:t>
      </w:r>
      <w:r>
        <w:rPr>
          <w:sz w:val="18"/>
          <w:szCs w:val="18"/>
          <w:rtl/>
        </w:rPr>
        <w:t xml:space="preserve">أبو العيد، طاهر (2022م). الذكاء الاصطناعي والقانون. نائب رئيس محكمة الاستئناف، ضمن سلسلة المعرفة القانونية. منشور عبر </w:t>
      </w:r>
      <w:proofErr w:type="spellStart"/>
      <w:r>
        <w:rPr>
          <w:sz w:val="18"/>
          <w:szCs w:val="18"/>
          <w:rtl/>
        </w:rPr>
        <w:t>ResearchGate</w:t>
      </w:r>
      <w:proofErr w:type="spellEnd"/>
      <w:r>
        <w:rPr>
          <w:sz w:val="18"/>
          <w:szCs w:val="18"/>
          <w:rtl/>
        </w:rPr>
        <w:t>. https://www.researchgate.net/publication/361722936</w:t>
      </w:r>
    </w:p>
  </w:footnote>
  <w:footnote w:id="185">
    <w:p w14:paraId="6CE6CAEB" w14:textId="77777777" w:rsidR="00B6053A" w:rsidRPr="00CF4F0F" w:rsidRDefault="00B6053A"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86">
    <w:p w14:paraId="6D038AF6" w14:textId="77777777" w:rsidR="00B6053A" w:rsidRPr="00CF4F0F" w:rsidRDefault="00B6053A"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7">
    <w:p w14:paraId="3BF6E74B" w14:textId="77777777" w:rsidR="00B6053A" w:rsidRDefault="00B6053A"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8">
    <w:p w14:paraId="0A13FFB1" w14:textId="77777777" w:rsidR="00B6053A" w:rsidRDefault="00B6053A"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189">
    <w:p w14:paraId="3C44DBCE" w14:textId="77777777" w:rsidR="00B6053A" w:rsidRDefault="00B6053A"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190">
    <w:p w14:paraId="38B131A6" w14:textId="77777777" w:rsidR="00B6053A" w:rsidRDefault="00B6053A" w:rsidP="00624037">
      <w:pPr>
        <w:pStyle w:val="ae"/>
        <w:jc w:val="right"/>
      </w:pPr>
      <w:r>
        <w:rPr>
          <w:rStyle w:val="af"/>
        </w:rPr>
        <w:footnoteRef/>
      </w:r>
      <w:r>
        <w:t xml:space="preserve"> </w:t>
      </w:r>
      <w:r>
        <w:rPr>
          <w:sz w:val="18"/>
          <w:szCs w:val="18"/>
          <w:rtl/>
        </w:rPr>
        <w:t xml:space="preserve">مرسي، م. إ. (2023). مدى ملاءمة عقود الذكاء الاصطناعي المبرمة عبر تقنية البلوك تشين لقانون العقود. </w:t>
      </w:r>
      <w:proofErr w:type="spellStart"/>
      <w:r>
        <w:rPr>
          <w:sz w:val="18"/>
          <w:szCs w:val="18"/>
          <w:rtl/>
        </w:rPr>
        <w:t>Journal</w:t>
      </w:r>
      <w:proofErr w:type="spellEnd"/>
      <w:r>
        <w:rPr>
          <w:sz w:val="18"/>
          <w:szCs w:val="18"/>
          <w:rtl/>
        </w:rPr>
        <w:t xml:space="preserve"> </w:t>
      </w:r>
      <w:proofErr w:type="spellStart"/>
      <w:r>
        <w:rPr>
          <w:sz w:val="18"/>
          <w:szCs w:val="18"/>
          <w:rtl/>
        </w:rPr>
        <w:t>of</w:t>
      </w:r>
      <w:proofErr w:type="spellEnd"/>
      <w:r>
        <w:rPr>
          <w:sz w:val="18"/>
          <w:szCs w:val="18"/>
          <w:rtl/>
        </w:rPr>
        <w:t xml:space="preserve"> </w:t>
      </w:r>
      <w:proofErr w:type="spellStart"/>
      <w:r>
        <w:rPr>
          <w:sz w:val="18"/>
          <w:szCs w:val="18"/>
          <w:rtl/>
        </w:rPr>
        <w:t>Legal</w:t>
      </w:r>
      <w:proofErr w:type="spellEnd"/>
      <w:r>
        <w:rPr>
          <w:sz w:val="18"/>
          <w:szCs w:val="18"/>
          <w:rtl/>
        </w:rPr>
        <w:t xml:space="preserve"> Research.</w:t>
      </w:r>
    </w:p>
  </w:footnote>
  <w:footnote w:id="191">
    <w:p w14:paraId="00CA6F8C" w14:textId="77777777" w:rsidR="00B6053A" w:rsidRPr="00CF4F0F" w:rsidRDefault="00B6053A"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92">
    <w:p w14:paraId="7125F0D9" w14:textId="77777777" w:rsidR="00B6053A" w:rsidRPr="00CF4F0F" w:rsidRDefault="00B6053A"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93">
    <w:p w14:paraId="5795AE5E" w14:textId="77777777" w:rsidR="00B6053A" w:rsidRPr="00CF4F0F" w:rsidRDefault="00B6053A"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4">
    <w:p w14:paraId="244F22FE" w14:textId="77777777" w:rsidR="00B6053A" w:rsidRPr="00CF4F0F" w:rsidRDefault="00B6053A"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5">
    <w:p w14:paraId="0AFE31C2" w14:textId="77777777" w:rsidR="00B6053A" w:rsidRDefault="00B6053A"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6">
    <w:p w14:paraId="54C79DE4" w14:textId="77777777" w:rsidR="00B6053A" w:rsidRPr="00CF4F0F" w:rsidRDefault="00B6053A"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7">
    <w:p w14:paraId="0901196F" w14:textId="77777777" w:rsidR="00B6053A" w:rsidRPr="00CF4F0F" w:rsidRDefault="00B6053A" w:rsidP="00624037">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إطار تبني الذكاء الاصطناعي. الرياض: </w:t>
      </w:r>
      <w:proofErr w:type="spellStart"/>
      <w:r>
        <w:rPr>
          <w:sz w:val="18"/>
          <w:szCs w:val="18"/>
          <w:rtl/>
        </w:rPr>
        <w:t>سدايا</w:t>
      </w:r>
      <w:proofErr w:type="spellEnd"/>
      <w:r>
        <w:rPr>
          <w:sz w:val="18"/>
          <w:szCs w:val="18"/>
          <w:rtl/>
        </w:rPr>
        <w:t>.</w:t>
      </w:r>
    </w:p>
  </w:footnote>
  <w:footnote w:id="198">
    <w:p w14:paraId="0A39767E" w14:textId="77777777" w:rsidR="00B6053A" w:rsidRPr="00CF4F0F" w:rsidRDefault="00B6053A" w:rsidP="00624037">
      <w:pPr>
        <w:pStyle w:val="ae"/>
        <w:jc w:val="right"/>
      </w:pPr>
      <w:r>
        <w:rPr>
          <w:rStyle w:val="af"/>
        </w:rPr>
        <w:footnoteRef/>
      </w:r>
      <w:r>
        <w:t xml:space="preserve"> </w:t>
      </w:r>
      <w:proofErr w:type="spellStart"/>
      <w:r>
        <w:rPr>
          <w:sz w:val="18"/>
          <w:szCs w:val="18"/>
          <w:rtl/>
        </w:rPr>
        <w:t>الغنامي</w:t>
      </w:r>
      <w:proofErr w:type="spellEnd"/>
      <w:r>
        <w:rPr>
          <w:sz w:val="18"/>
          <w:szCs w:val="18"/>
          <w:rtl/>
        </w:rPr>
        <w:t>، ن. ب. ن. (2024). الضوابط القانونية للذكاء الاصطناعي في إبرام المعاملات القانونية (رسالة دكتوراه). الجامعة السعودية الإلكترونية.</w:t>
      </w:r>
    </w:p>
  </w:footnote>
  <w:footnote w:id="199">
    <w:p w14:paraId="598377F8" w14:textId="77777777" w:rsidR="00B6053A" w:rsidRPr="00CF4F0F" w:rsidRDefault="00B6053A"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0">
    <w:p w14:paraId="239E47C7" w14:textId="77777777" w:rsidR="00B6053A" w:rsidRDefault="00B6053A" w:rsidP="004E4D2E">
      <w:pPr>
        <w:bidi/>
        <w:rPr>
          <w:sz w:val="16"/>
          <w:szCs w:val="16"/>
        </w:rPr>
      </w:pPr>
      <w:r>
        <w:rPr>
          <w:rStyle w:val="af"/>
        </w:rPr>
        <w:footnoteRef/>
      </w:r>
      <w:r>
        <w:t xml:space="preserve"> </w:t>
      </w:r>
      <w:r>
        <w:rPr>
          <w:sz w:val="18"/>
          <w:szCs w:val="18"/>
          <w:rtl/>
        </w:rPr>
        <w:t xml:space="preserve">جابر، عبد القادر عبد الله أحمد (2023م). تطبيقات الذكاء الاصطناعي في الحكم القضائي </w:t>
      </w:r>
      <w:proofErr w:type="gramStart"/>
      <w:r>
        <w:rPr>
          <w:sz w:val="18"/>
          <w:szCs w:val="18"/>
          <w:rtl/>
        </w:rPr>
        <w:t>- دراسة</w:t>
      </w:r>
      <w:proofErr w:type="gramEnd"/>
      <w:r>
        <w:rPr>
          <w:sz w:val="18"/>
          <w:szCs w:val="18"/>
          <w:rtl/>
        </w:rPr>
        <w:t xml:space="preserve"> قانونية. المجلة الدولية للبحوث النوعية المتخصصة (IJSSR)، عدد 42، ص52-75. الجامعة السعودية الإلكترونية.</w:t>
      </w:r>
    </w:p>
  </w:footnote>
  <w:footnote w:id="201">
    <w:p w14:paraId="0A34593D" w14:textId="77777777" w:rsidR="00B6053A" w:rsidRDefault="00B6053A"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02">
    <w:p w14:paraId="155038A1" w14:textId="77777777" w:rsidR="00B6053A" w:rsidRDefault="00B6053A"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3">
    <w:p w14:paraId="41992632" w14:textId="77777777" w:rsidR="00B6053A" w:rsidRPr="003D5D6C" w:rsidRDefault="00B6053A"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4">
    <w:p w14:paraId="2B5B1E5D" w14:textId="77777777" w:rsidR="00B6053A" w:rsidRDefault="00B6053A"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w:t>
      </w:r>
      <w:proofErr w:type="gramStart"/>
      <w:r>
        <w:rPr>
          <w:rFonts w:asciiTheme="majorBidi" w:hAnsiTheme="majorBidi" w:cstheme="majorBidi"/>
          <w:sz w:val="18"/>
          <w:szCs w:val="18"/>
          <w:rtl/>
        </w:rPr>
        <w:t>العلمي.,</w:t>
      </w:r>
      <w:proofErr w:type="gramEnd"/>
      <w:r>
        <w:rPr>
          <w:rFonts w:asciiTheme="majorBidi" w:hAnsiTheme="majorBidi" w:cstheme="majorBidi"/>
          <w:sz w:val="18"/>
          <w:szCs w:val="18"/>
          <w:rtl/>
        </w:rPr>
        <w:t xml:space="preserve"> ص72.</w:t>
      </w:r>
    </w:p>
  </w:footnote>
  <w:footnote w:id="205">
    <w:p w14:paraId="61A8933A" w14:textId="77777777" w:rsidR="00B6053A" w:rsidRDefault="00B6053A"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06">
    <w:p w14:paraId="1B24EFD0" w14:textId="77777777" w:rsidR="00B6053A" w:rsidRDefault="00B6053A"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w:t>
      </w:r>
      <w:proofErr w:type="gramStart"/>
      <w:r>
        <w:rPr>
          <w:rFonts w:asciiTheme="majorBidi" w:hAnsiTheme="majorBidi" w:cstheme="majorBidi"/>
          <w:sz w:val="18"/>
          <w:szCs w:val="18"/>
          <w:rtl/>
        </w:rPr>
        <w:t>).,</w:t>
      </w:r>
      <w:proofErr w:type="gramEnd"/>
      <w:r>
        <w:rPr>
          <w:rFonts w:asciiTheme="majorBidi" w:hAnsiTheme="majorBidi" w:cstheme="majorBidi"/>
          <w:sz w:val="18"/>
          <w:szCs w:val="18"/>
          <w:rtl/>
        </w:rPr>
        <w:t xml:space="preserve"> ص93.</w:t>
      </w:r>
    </w:p>
  </w:footnote>
  <w:footnote w:id="207">
    <w:p w14:paraId="7310CCEF" w14:textId="77777777" w:rsidR="00B6053A" w:rsidRDefault="00B6053A"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ص267.</w:t>
      </w:r>
    </w:p>
  </w:footnote>
  <w:footnote w:id="208">
    <w:p w14:paraId="6692ECE0" w14:textId="77777777" w:rsidR="00B6053A" w:rsidRDefault="00B6053A"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9">
    <w:p w14:paraId="2D96378D" w14:textId="77777777" w:rsidR="00B6053A" w:rsidRPr="003D5D6C" w:rsidRDefault="00B6053A"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0">
    <w:p w14:paraId="76DDDE75" w14:textId="77777777" w:rsidR="00B6053A" w:rsidRPr="003D5D6C" w:rsidRDefault="00B6053A" w:rsidP="00624037">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211">
    <w:p w14:paraId="38AC1E39" w14:textId="77777777" w:rsidR="00B6053A" w:rsidRPr="003D5D6C" w:rsidRDefault="00B6053A"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12">
    <w:p w14:paraId="3E1043F4" w14:textId="77777777" w:rsidR="00B6053A" w:rsidRPr="003D5D6C" w:rsidRDefault="00B6053A"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13">
    <w:p w14:paraId="110BB9EA" w14:textId="77777777" w:rsidR="00B6053A" w:rsidRPr="003D5D6C" w:rsidRDefault="00B6053A"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09E80A6C" w14:textId="77777777" w:rsidR="00B6053A" w:rsidRDefault="00B6053A"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15">
    <w:p w14:paraId="25E47E7E" w14:textId="77777777" w:rsidR="00B6053A" w:rsidRDefault="00B6053A"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16">
    <w:p w14:paraId="49D57686" w14:textId="77777777" w:rsidR="00B6053A" w:rsidRDefault="00B6053A"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w:t>
      </w:r>
      <w:proofErr w:type="gramStart"/>
      <w:r>
        <w:rPr>
          <w:rFonts w:asciiTheme="majorBidi" w:hAnsiTheme="majorBidi" w:cstheme="majorBidi"/>
          <w:sz w:val="18"/>
          <w:szCs w:val="18"/>
          <w:rtl/>
        </w:rPr>
        <w:t>).,</w:t>
      </w:r>
      <w:proofErr w:type="gramEnd"/>
      <w:r>
        <w:rPr>
          <w:rFonts w:asciiTheme="majorBidi" w:hAnsiTheme="majorBidi" w:cstheme="majorBidi"/>
          <w:sz w:val="18"/>
          <w:szCs w:val="18"/>
          <w:rtl/>
        </w:rPr>
        <w:t xml:space="preserve"> ص99.</w:t>
      </w:r>
    </w:p>
  </w:footnote>
  <w:footnote w:id="217">
    <w:p w14:paraId="1D30C8DA" w14:textId="77777777" w:rsidR="00B6053A" w:rsidRDefault="00B6053A"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ص312.</w:t>
      </w:r>
    </w:p>
  </w:footnote>
  <w:footnote w:id="218">
    <w:p w14:paraId="73960253"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w:t>
      </w:r>
      <w:proofErr w:type="gramStart"/>
      <w:r>
        <w:rPr>
          <w:rFonts w:asciiTheme="majorBidi" w:hAnsiTheme="majorBidi" w:cstheme="majorBidi"/>
          <w:sz w:val="18"/>
          <w:szCs w:val="18"/>
          <w:rtl/>
        </w:rPr>
        <w:t>).,</w:t>
      </w:r>
      <w:proofErr w:type="gramEnd"/>
      <w:r>
        <w:rPr>
          <w:rFonts w:asciiTheme="majorBidi" w:hAnsiTheme="majorBidi" w:cstheme="majorBidi"/>
          <w:sz w:val="18"/>
          <w:szCs w:val="18"/>
          <w:rtl/>
        </w:rPr>
        <w:t xml:space="preserve"> ص592.</w:t>
      </w:r>
    </w:p>
  </w:footnote>
  <w:footnote w:id="219">
    <w:p w14:paraId="5CE40DA8"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20">
    <w:p w14:paraId="33ECC843"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الغنامي</w:t>
      </w:r>
      <w:proofErr w:type="spellEnd"/>
      <w:r>
        <w:rPr>
          <w:rFonts w:asciiTheme="majorBidi" w:hAnsiTheme="majorBidi" w:cstheme="majorBidi"/>
          <w:sz w:val="18"/>
          <w:szCs w:val="18"/>
          <w:rtl/>
        </w:rPr>
        <w:t xml:space="preserve">، نايف بن </w:t>
      </w:r>
      <w:proofErr w:type="spellStart"/>
      <w:r>
        <w:rPr>
          <w:rFonts w:asciiTheme="majorBidi" w:hAnsiTheme="majorBidi" w:cstheme="majorBidi"/>
          <w:sz w:val="18"/>
          <w:szCs w:val="18"/>
          <w:rtl/>
        </w:rPr>
        <w:t>ناشي</w:t>
      </w:r>
      <w:proofErr w:type="spellEnd"/>
      <w:r>
        <w:rPr>
          <w:rFonts w:asciiTheme="majorBidi" w:hAnsiTheme="majorBidi" w:cstheme="majorBidi"/>
          <w:sz w:val="18"/>
          <w:szCs w:val="18"/>
          <w:rtl/>
        </w:rPr>
        <w:t>. (2024م). حجية الدليل الرقمي في نظام الإثبات السعودي. مجلة مواق للدراسات الإسلامية والاجتماعية، (43)، ص1475.</w:t>
      </w:r>
    </w:p>
  </w:footnote>
  <w:footnote w:id="221">
    <w:p w14:paraId="1DCB9134" w14:textId="77777777" w:rsidR="00B6053A" w:rsidRPr="00A97E4D" w:rsidRDefault="00B6053A" w:rsidP="00624037">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إطار تبني الذكاء الاصطناعي. الرياض: </w:t>
      </w:r>
      <w:proofErr w:type="spellStart"/>
      <w:r>
        <w:rPr>
          <w:sz w:val="18"/>
          <w:szCs w:val="18"/>
          <w:rtl/>
        </w:rPr>
        <w:t>سدايا</w:t>
      </w:r>
      <w:proofErr w:type="spellEnd"/>
      <w:r>
        <w:rPr>
          <w:sz w:val="18"/>
          <w:szCs w:val="18"/>
          <w:rtl/>
        </w:rPr>
        <w:t>.</w:t>
      </w:r>
    </w:p>
  </w:footnote>
  <w:footnote w:id="222">
    <w:p w14:paraId="258E29B8" w14:textId="77777777" w:rsidR="00B6053A" w:rsidRDefault="00B6053A" w:rsidP="004B4795">
      <w:pPr>
        <w:bidi/>
        <w:rPr>
          <w:sz w:val="16"/>
          <w:szCs w:val="16"/>
        </w:rPr>
      </w:pPr>
      <w:r>
        <w:rPr>
          <w:rStyle w:val="af"/>
        </w:rPr>
        <w:footnoteRef/>
      </w:r>
      <w:r>
        <w:t xml:space="preserve"> </w:t>
      </w:r>
      <w:r>
        <w:rPr>
          <w:sz w:val="18"/>
          <w:szCs w:val="18"/>
          <w:rtl/>
        </w:rPr>
        <w:t xml:space="preserve">محمود، سيد أحمد؛ وعناني، مريم عماد محمد (د.ت). الذكاء الاصطناعي والعمل القضائي </w:t>
      </w:r>
      <w:proofErr w:type="gramStart"/>
      <w:r>
        <w:rPr>
          <w:sz w:val="18"/>
          <w:szCs w:val="18"/>
          <w:rtl/>
        </w:rPr>
        <w:t>- دراسة</w:t>
      </w:r>
      <w:proofErr w:type="gramEnd"/>
      <w:r>
        <w:rPr>
          <w:sz w:val="18"/>
          <w:szCs w:val="18"/>
          <w:rtl/>
        </w:rPr>
        <w:t xml:space="preserve"> تحليلية مقارنة. ضمن: التحديات والآفاق القانونية والاقتصادية للذكاء الاصطناعي، ص920. كلية الحقوق، جامعة عين شمس.</w:t>
      </w:r>
    </w:p>
  </w:footnote>
  <w:footnote w:id="223">
    <w:p w14:paraId="59E349AA" w14:textId="77777777" w:rsidR="00B6053A" w:rsidRDefault="00B6053A"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24">
    <w:p w14:paraId="7F8DE615" w14:textId="77777777" w:rsidR="00B6053A" w:rsidRDefault="00B6053A" w:rsidP="004B4795">
      <w:pPr>
        <w:bidi/>
        <w:rPr>
          <w:sz w:val="16"/>
          <w:szCs w:val="16"/>
        </w:rPr>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(2024م). أخلاقيات الذكاء الاصطناعي. سلسلة الذكاء الاصطناعي للتنفيذيين (3)، الطبعة الثانية، أبريل 2024م. الرياض: </w:t>
      </w:r>
      <w:proofErr w:type="spellStart"/>
      <w:r>
        <w:rPr>
          <w:sz w:val="18"/>
          <w:szCs w:val="18"/>
          <w:rtl/>
        </w:rPr>
        <w:t>سدايا</w:t>
      </w:r>
      <w:proofErr w:type="spellEnd"/>
      <w:r>
        <w:rPr>
          <w:sz w:val="18"/>
          <w:szCs w:val="18"/>
          <w:rtl/>
        </w:rPr>
        <w:t>.</w:t>
      </w:r>
    </w:p>
  </w:footnote>
  <w:footnote w:id="225">
    <w:p w14:paraId="01C09FFB" w14:textId="77777777" w:rsidR="00B6053A" w:rsidRPr="00A97E4D" w:rsidRDefault="00B6053A"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26">
    <w:p w14:paraId="55C60679"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27">
    <w:p w14:paraId="28F322D5"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28">
    <w:p w14:paraId="128C0BD1"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w:t>
      </w:r>
      <w:proofErr w:type="gramStart"/>
      <w:r>
        <w:rPr>
          <w:rFonts w:asciiTheme="majorBidi" w:hAnsiTheme="majorBidi" w:cstheme="majorBidi"/>
          <w:sz w:val="18"/>
          <w:szCs w:val="18"/>
          <w:rtl/>
        </w:rPr>
        <w:t>والاقتصادية.,</w:t>
      </w:r>
      <w:proofErr w:type="gramEnd"/>
      <w:r>
        <w:rPr>
          <w:rFonts w:asciiTheme="majorBidi" w:hAnsiTheme="majorBidi" w:cstheme="majorBidi"/>
          <w:sz w:val="18"/>
          <w:szCs w:val="18"/>
          <w:rtl/>
        </w:rPr>
        <w:t xml:space="preserve"> ص58.</w:t>
      </w:r>
    </w:p>
  </w:footnote>
  <w:footnote w:id="229">
    <w:p w14:paraId="21ADFA83"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العرشاني</w:t>
      </w:r>
      <w:proofErr w:type="spellEnd"/>
      <w:r>
        <w:rPr>
          <w:rFonts w:asciiTheme="majorBidi" w:hAnsiTheme="majorBidi" w:cstheme="majorBidi"/>
          <w:sz w:val="18"/>
          <w:szCs w:val="18"/>
          <w:rtl/>
        </w:rPr>
        <w:t>،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0">
    <w:p w14:paraId="2A70462A" w14:textId="77777777" w:rsidR="00B6053A" w:rsidRDefault="00B6053A"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31">
    <w:p w14:paraId="3040732E" w14:textId="77777777" w:rsidR="00B6053A" w:rsidRDefault="00B6053A"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32">
    <w:p w14:paraId="338F6ED9" w14:textId="77777777" w:rsidR="00B6053A" w:rsidRDefault="00B6053A"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33">
    <w:p w14:paraId="209C4B15" w14:textId="77777777" w:rsidR="00B6053A" w:rsidRPr="00BF47F8" w:rsidRDefault="00B6053A" w:rsidP="00CF598B">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إطار تبني الذكاء الاصطناعي. الرياض: </w:t>
      </w:r>
      <w:proofErr w:type="spellStart"/>
      <w:r>
        <w:rPr>
          <w:sz w:val="18"/>
          <w:szCs w:val="18"/>
          <w:rtl/>
        </w:rPr>
        <w:t>سدايا</w:t>
      </w:r>
      <w:proofErr w:type="spellEnd"/>
      <w:r>
        <w:rPr>
          <w:sz w:val="18"/>
          <w:szCs w:val="18"/>
          <w:rtl/>
        </w:rPr>
        <w:t>.</w:t>
      </w:r>
    </w:p>
  </w:footnote>
  <w:footnote w:id="234">
    <w:p w14:paraId="26F92CB6" w14:textId="77777777" w:rsidR="00B6053A" w:rsidRPr="00BF47F8" w:rsidRDefault="00B6053A"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35">
    <w:p w14:paraId="29A5B7D4" w14:textId="77777777" w:rsidR="00B6053A" w:rsidRDefault="00B6053A" w:rsidP="004F0491">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36">
    <w:p w14:paraId="5589F789" w14:textId="77777777" w:rsidR="00B6053A" w:rsidRDefault="00B6053A" w:rsidP="004F0491">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37">
    <w:p w14:paraId="28EA3377" w14:textId="77777777" w:rsidR="00B6053A" w:rsidRDefault="00B6053A" w:rsidP="004F0491">
      <w:pPr>
        <w:bidi/>
        <w:rPr>
          <w:sz w:val="16"/>
          <w:szCs w:val="16"/>
        </w:rPr>
      </w:pPr>
      <w:r>
        <w:rPr>
          <w:rStyle w:val="af"/>
        </w:rPr>
        <w:footnoteRef/>
      </w:r>
      <w:r>
        <w:t xml:space="preserve"> </w:t>
      </w:r>
      <w:r>
        <w:rPr>
          <w:sz w:val="18"/>
          <w:szCs w:val="18"/>
          <w:rtl/>
        </w:rPr>
        <w:t xml:space="preserve">المالكي، خالد بن عبد الرحيم (2024م). المسؤولية المدنية عن فعل الذكاء الاصطناعي في النظام السعودي </w:t>
      </w:r>
      <w:proofErr w:type="gramStart"/>
      <w:r>
        <w:rPr>
          <w:sz w:val="18"/>
          <w:szCs w:val="18"/>
          <w:rtl/>
        </w:rPr>
        <w:t>- دراسة</w:t>
      </w:r>
      <w:proofErr w:type="gramEnd"/>
      <w:r>
        <w:rPr>
          <w:sz w:val="18"/>
          <w:szCs w:val="18"/>
          <w:rtl/>
        </w:rPr>
        <w:t xml:space="preserve"> تحليلية تأصيلية. مجلة البحوث الفقهية والقانونية، جامعة الأزهر، عدد 47، ص1767.</w:t>
      </w:r>
    </w:p>
  </w:footnote>
  <w:footnote w:id="238">
    <w:p w14:paraId="3BC516E6" w14:textId="77777777" w:rsidR="00B6053A" w:rsidRPr="00B97A43" w:rsidRDefault="00B6053A"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39">
    <w:p w14:paraId="130C5803" w14:textId="77777777" w:rsidR="00B6053A" w:rsidRPr="00B97A43" w:rsidRDefault="00B6053A" w:rsidP="004F0491">
      <w:pPr>
        <w:pStyle w:val="ae"/>
        <w:jc w:val="right"/>
      </w:pPr>
      <w:r>
        <w:rPr>
          <w:rStyle w:val="af"/>
        </w:rPr>
        <w:footnoteRef/>
      </w:r>
      <w:r>
        <w:t xml:space="preserve"> </w:t>
      </w:r>
      <w:r>
        <w:rPr>
          <w:sz w:val="18"/>
          <w:szCs w:val="18"/>
          <w:rtl/>
        </w:rPr>
        <w:t xml:space="preserve">مرسي، م. إ. (2023). مدى ملاءمة عقود الذكاء الاصطناعي المبرمة عبر تقنية البلوك تشين لقانون العقود. </w:t>
      </w:r>
      <w:proofErr w:type="spellStart"/>
      <w:r>
        <w:rPr>
          <w:sz w:val="18"/>
          <w:szCs w:val="18"/>
          <w:rtl/>
        </w:rPr>
        <w:t>Journal</w:t>
      </w:r>
      <w:proofErr w:type="spellEnd"/>
      <w:r>
        <w:rPr>
          <w:sz w:val="18"/>
          <w:szCs w:val="18"/>
          <w:rtl/>
        </w:rPr>
        <w:t xml:space="preserve"> </w:t>
      </w:r>
      <w:proofErr w:type="spellStart"/>
      <w:r>
        <w:rPr>
          <w:sz w:val="18"/>
          <w:szCs w:val="18"/>
          <w:rtl/>
        </w:rPr>
        <w:t>of</w:t>
      </w:r>
      <w:proofErr w:type="spellEnd"/>
      <w:r>
        <w:rPr>
          <w:sz w:val="18"/>
          <w:szCs w:val="18"/>
          <w:rtl/>
        </w:rPr>
        <w:t xml:space="preserve"> </w:t>
      </w:r>
      <w:proofErr w:type="spellStart"/>
      <w:r>
        <w:rPr>
          <w:sz w:val="18"/>
          <w:szCs w:val="18"/>
          <w:rtl/>
        </w:rPr>
        <w:t>Legal</w:t>
      </w:r>
      <w:proofErr w:type="spellEnd"/>
      <w:r>
        <w:rPr>
          <w:sz w:val="18"/>
          <w:szCs w:val="18"/>
          <w:rtl/>
        </w:rPr>
        <w:t xml:space="preserve"> Research.</w:t>
      </w:r>
    </w:p>
  </w:footnote>
  <w:footnote w:id="240">
    <w:p w14:paraId="5B99387D" w14:textId="77777777" w:rsidR="00B6053A" w:rsidRDefault="00B6053A" w:rsidP="004F0491">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41">
    <w:p w14:paraId="2019059A" w14:textId="77777777" w:rsidR="00B6053A" w:rsidRPr="00B97A43" w:rsidRDefault="00B6053A"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2">
    <w:p w14:paraId="7AF8B7E3" w14:textId="77777777" w:rsidR="00B6053A" w:rsidRPr="00B97A43" w:rsidRDefault="00B6053A"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43">
    <w:p w14:paraId="32B38297" w14:textId="77777777" w:rsidR="00B6053A" w:rsidRDefault="00B6053A" w:rsidP="004F0491">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44">
    <w:p w14:paraId="2BA5AFE7" w14:textId="77777777" w:rsidR="00B6053A" w:rsidRPr="00B97A43" w:rsidRDefault="00B6053A"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5">
    <w:p w14:paraId="0E59EA9E" w14:textId="77777777" w:rsidR="00B6053A" w:rsidRPr="00B97A43" w:rsidRDefault="00B6053A"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6">
    <w:p w14:paraId="2A8A5DA1" w14:textId="77777777" w:rsidR="00B6053A" w:rsidRPr="00B97A43" w:rsidRDefault="00B6053A"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47">
    <w:p w14:paraId="1936C61A" w14:textId="77777777" w:rsidR="00B6053A" w:rsidRPr="00B97A43" w:rsidRDefault="00B6053A" w:rsidP="004F0491">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إطار تبني الذكاء الاصطناعي. الرياض: </w:t>
      </w:r>
      <w:proofErr w:type="spellStart"/>
      <w:r>
        <w:rPr>
          <w:sz w:val="18"/>
          <w:szCs w:val="18"/>
          <w:rtl/>
        </w:rPr>
        <w:t>سدايا</w:t>
      </w:r>
      <w:proofErr w:type="spellEnd"/>
      <w:r>
        <w:rPr>
          <w:sz w:val="18"/>
          <w:szCs w:val="18"/>
          <w:rtl/>
        </w:rPr>
        <w:t>.</w:t>
      </w:r>
    </w:p>
  </w:footnote>
  <w:footnote w:id="248">
    <w:p w14:paraId="655A9A67" w14:textId="77777777" w:rsidR="00B6053A" w:rsidRPr="00B97A43" w:rsidRDefault="00B6053A" w:rsidP="004F0491">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وثيقة مبادئ أخلاقيات الذكاء الاصطناعي. الرياض: </w:t>
      </w:r>
      <w:proofErr w:type="spellStart"/>
      <w:r>
        <w:rPr>
          <w:sz w:val="18"/>
          <w:szCs w:val="18"/>
          <w:rtl/>
        </w:rPr>
        <w:t>سدايا</w:t>
      </w:r>
      <w:proofErr w:type="spellEnd"/>
      <w:r>
        <w:rPr>
          <w:sz w:val="18"/>
          <w:szCs w:val="18"/>
          <w:rtl/>
        </w:rPr>
        <w:t>.</w:t>
      </w:r>
    </w:p>
  </w:footnote>
  <w:footnote w:id="249">
    <w:p w14:paraId="5FE23BC8" w14:textId="77777777" w:rsidR="00B6053A" w:rsidRDefault="00B6053A"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0">
    <w:p w14:paraId="051C43BF" w14:textId="77777777" w:rsidR="00B6053A" w:rsidRPr="00B97A43" w:rsidRDefault="00B6053A"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51">
    <w:p w14:paraId="285FB2EE" w14:textId="77777777" w:rsidR="00B6053A" w:rsidRDefault="00B6053A"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2">
    <w:p w14:paraId="7A60254E" w14:textId="77777777" w:rsidR="00B6053A" w:rsidRDefault="00B6053A" w:rsidP="004F0491">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53">
    <w:p w14:paraId="5584212A" w14:textId="77777777" w:rsidR="00B6053A" w:rsidRDefault="00B6053A"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4">
    <w:p w14:paraId="48F91D9A" w14:textId="77777777" w:rsidR="00B6053A" w:rsidRPr="005F29C9" w:rsidRDefault="00B6053A"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5">
    <w:p w14:paraId="17F17284" w14:textId="77777777" w:rsidR="00B6053A" w:rsidRPr="005F29C9" w:rsidRDefault="00B6053A"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56">
    <w:p w14:paraId="24C2F611" w14:textId="77777777" w:rsidR="00B6053A" w:rsidRPr="00383E46" w:rsidRDefault="00B6053A"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7">
    <w:p w14:paraId="2EE192BF" w14:textId="77777777" w:rsidR="00B6053A" w:rsidRDefault="00B6053A" w:rsidP="00CF67E5">
      <w:pPr>
        <w:pStyle w:val="ae"/>
        <w:jc w:val="right"/>
        <w:rPr>
          <w:rtl/>
        </w:rPr>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8">
    <w:p w14:paraId="1EC76FE6" w14:textId="77777777" w:rsidR="00B6053A" w:rsidRDefault="00B6053A"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9">
    <w:p w14:paraId="641C7B1B" w14:textId="77777777" w:rsidR="00B6053A" w:rsidRDefault="00B6053A"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0">
    <w:p w14:paraId="33ABAF9F" w14:textId="77777777" w:rsidR="00B6053A" w:rsidRDefault="00B6053A"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1">
    <w:p w14:paraId="5C7D476B" w14:textId="77777777" w:rsidR="00B6053A" w:rsidRDefault="00B6053A" w:rsidP="00CF67E5">
      <w:pPr>
        <w:pStyle w:val="ae"/>
        <w:jc w:val="right"/>
      </w:pPr>
      <w:r>
        <w:rPr>
          <w:rStyle w:val="af"/>
        </w:rPr>
        <w:footnoteRef/>
      </w:r>
      <w:r>
        <w:t xml:space="preserve"> </w:t>
      </w:r>
      <w:r>
        <w:rPr>
          <w:sz w:val="18"/>
          <w:szCs w:val="18"/>
          <w:rtl/>
        </w:rPr>
        <w:t>الهيئة السعودية للبيانات والذكاء الاصطناعي (</w:t>
      </w:r>
      <w:proofErr w:type="spellStart"/>
      <w:r>
        <w:rPr>
          <w:sz w:val="18"/>
          <w:szCs w:val="18"/>
          <w:rtl/>
        </w:rPr>
        <w:t>سدايا</w:t>
      </w:r>
      <w:proofErr w:type="spellEnd"/>
      <w:r>
        <w:rPr>
          <w:sz w:val="18"/>
          <w:szCs w:val="18"/>
          <w:rtl/>
        </w:rPr>
        <w:t xml:space="preserve">). (2023). إطار تبني الذكاء الاصطناعي. الرياض: </w:t>
      </w:r>
      <w:proofErr w:type="spellStart"/>
      <w:r>
        <w:rPr>
          <w:sz w:val="18"/>
          <w:szCs w:val="18"/>
          <w:rtl/>
        </w:rPr>
        <w:t>سدايا</w:t>
      </w:r>
      <w:proofErr w:type="spellEnd"/>
      <w:r>
        <w:rPr>
          <w:sz w:val="18"/>
          <w:szCs w:val="18"/>
          <w:rtl/>
        </w:rPr>
        <w:t>.</w:t>
      </w:r>
    </w:p>
  </w:footnote>
  <w:footnote w:id="262">
    <w:p w14:paraId="4D29B9D9" w14:textId="77777777" w:rsidR="00B6053A" w:rsidRDefault="00B6053A" w:rsidP="00CF67E5">
      <w:pPr>
        <w:rPr>
          <w:sz w:val="16"/>
          <w:szCs w:val="16"/>
        </w:rPr>
      </w:pPr>
      <w:r>
        <w:rPr>
          <w:rStyle w:val="af"/>
        </w:rPr>
        <w:footnoteRef/>
      </w:r>
      <w:r>
        <w:t xml:space="preserve"> </w:t>
      </w:r>
      <w:r>
        <w:rPr>
          <w:sz w:val="18"/>
          <w:szCs w:val="18"/>
          <w:rtl/>
        </w:rPr>
        <w:t xml:space="preserve">بلال، فاطمة عبد العزيز (2023م). دور الذكاء الاصطناعي في تعزيز العدالة الناجزة أمام القضاء </w:t>
      </w:r>
      <w:proofErr w:type="gramStart"/>
      <w:r>
        <w:rPr>
          <w:sz w:val="18"/>
          <w:szCs w:val="18"/>
          <w:rtl/>
        </w:rPr>
        <w:t>- دراسة</w:t>
      </w:r>
      <w:proofErr w:type="gramEnd"/>
      <w:r>
        <w:rPr>
          <w:sz w:val="18"/>
          <w:szCs w:val="18"/>
          <w:rtl/>
        </w:rPr>
        <w:t xml:space="preserve"> مقارنة. رسالة ماجستير، كلية القانون، جامعة قطر، يناير 2023م.</w:t>
      </w:r>
    </w:p>
  </w:footnote>
  <w:footnote w:id="263">
    <w:p w14:paraId="54CB9BD6" w14:textId="77777777" w:rsidR="00B6053A" w:rsidRDefault="00B6053A" w:rsidP="00CF67E5">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64">
    <w:p w14:paraId="22265110" w14:textId="77777777" w:rsidR="00B6053A" w:rsidRDefault="00B6053A" w:rsidP="00CF67E5">
      <w:pPr>
        <w:rPr>
          <w:sz w:val="16"/>
          <w:szCs w:val="16"/>
          <w:rtl/>
        </w:rPr>
      </w:pPr>
      <w:r>
        <w:rPr>
          <w:rStyle w:val="af"/>
        </w:rPr>
        <w:footnoteRef/>
      </w:r>
      <w:r>
        <w:t xml:space="preserve"> </w:t>
      </w:r>
      <w:r>
        <w:rPr>
          <w:sz w:val="18"/>
          <w:szCs w:val="18"/>
          <w:rtl/>
        </w:rPr>
        <w:t xml:space="preserve">محمود، سيد أحمد؛ وعناني، مريم عماد محمد (د.ت). الذكاء الاصطناعي والعمل القضائي </w:t>
      </w:r>
      <w:proofErr w:type="gramStart"/>
      <w:r>
        <w:rPr>
          <w:sz w:val="18"/>
          <w:szCs w:val="18"/>
          <w:rtl/>
        </w:rPr>
        <w:t>- دراسة</w:t>
      </w:r>
      <w:proofErr w:type="gramEnd"/>
      <w:r>
        <w:rPr>
          <w:sz w:val="18"/>
          <w:szCs w:val="18"/>
          <w:rtl/>
        </w:rPr>
        <w:t xml:space="preserve"> تحليلية مقارنة. ضمن: التحديات والآفاق القانونية والاقتصادية للذكاء الاصطناعي، ص921. كلية الحقوق، جامعة عين شمس.</w:t>
      </w:r>
    </w:p>
  </w:footnote>
  <w:footnote w:id="265">
    <w:p w14:paraId="33009101" w14:textId="77777777" w:rsidR="00B6053A" w:rsidRDefault="00B6053A"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6">
    <w:p w14:paraId="37C7A410" w14:textId="77777777" w:rsidR="00B6053A" w:rsidRDefault="00B6053A" w:rsidP="00CF67E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7">
    <w:p w14:paraId="00EDC558" w14:textId="77777777" w:rsidR="00B6053A" w:rsidRDefault="00B6053A" w:rsidP="00CF67E5">
      <w:pPr>
        <w:jc w:val="both"/>
        <w:rPr>
          <w:sz w:val="16"/>
          <w:szCs w:val="16"/>
        </w:rPr>
      </w:pPr>
      <w:r>
        <w:rPr>
          <w:rStyle w:val="af"/>
        </w:rPr>
        <w:footnoteRef/>
      </w:r>
      <w:r>
        <w:t xml:space="preserve"> </w:t>
      </w:r>
      <w:r>
        <w:rPr>
          <w:sz w:val="18"/>
          <w:szCs w:val="18"/>
          <w:rtl/>
        </w:rPr>
        <w:t xml:space="preserve">قاسم، مراد محمد غالب (2024م). دور الذكاء الاصطناعي في مكافحة الجريمة الإلكترونية </w:t>
      </w:r>
      <w:proofErr w:type="gramStart"/>
      <w:r>
        <w:rPr>
          <w:sz w:val="18"/>
          <w:szCs w:val="18"/>
          <w:rtl/>
        </w:rPr>
        <w:t>- دراسة</w:t>
      </w:r>
      <w:proofErr w:type="gramEnd"/>
      <w:r>
        <w:rPr>
          <w:sz w:val="18"/>
          <w:szCs w:val="18"/>
          <w:rtl/>
        </w:rPr>
        <w:t xml:space="preserve"> مقارنة. بحث مقدم لنيل متطلبات التخرج، جامعة تعز، قُبل بتاريخ 26 أبريل 2024م.</w:t>
      </w:r>
    </w:p>
  </w:footnote>
  <w:footnote w:id="268">
    <w:p w14:paraId="3CB8780B" w14:textId="77777777" w:rsidR="00B6053A" w:rsidRDefault="00B6053A"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9">
    <w:p w14:paraId="0BE204E2" w14:textId="77777777" w:rsidR="00B6053A" w:rsidRDefault="00B6053A"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تحليلية مقارنة. بحث مقدم في مؤتمر التحديات والآفاق القانونية والاقتصادية للذكاء الاصطناعي، كلية الحقوق، جامعة عين شمس.</w:t>
      </w:r>
    </w:p>
  </w:footnote>
  <w:footnote w:id="270">
    <w:p w14:paraId="78E20A98" w14:textId="77777777" w:rsidR="00B6053A" w:rsidRDefault="00B6053A"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العجماني</w:t>
      </w:r>
      <w:proofErr w:type="spellEnd"/>
      <w:r>
        <w:rPr>
          <w:rFonts w:asciiTheme="majorBidi" w:hAnsiTheme="majorBidi" w:cstheme="majorBidi"/>
          <w:sz w:val="18"/>
          <w:szCs w:val="18"/>
          <w:rtl/>
        </w:rPr>
        <w:t xml:space="preserve">،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proofErr w:type="gramStart"/>
      <w:r>
        <w:rPr>
          <w:rFonts w:asciiTheme="majorBidi" w:hAnsiTheme="majorBidi" w:cstheme="majorBidi"/>
          <w:sz w:val="18"/>
          <w:szCs w:val="18"/>
        </w:rPr>
        <w:t>https</w:t>
      </w:r>
      <w:proofErr w:type="gramEnd"/>
      <w:r>
        <w:rPr>
          <w:rFonts w:asciiTheme="majorBidi" w:hAnsiTheme="majorBidi" w:cstheme="majorBidi"/>
          <w:sz w:val="18"/>
          <w:szCs w:val="18"/>
        </w:rPr>
        <w:t>://doi.org/10.36394/jls.v21.i2.15</w:t>
      </w:r>
      <w:r>
        <w:rPr>
          <w:rFonts w:asciiTheme="majorBidi" w:hAnsiTheme="majorBidi" w:cstheme="majorBidi"/>
          <w:sz w:val="18"/>
          <w:szCs w:val="18"/>
          <w:rtl/>
        </w:rPr>
        <w:t>., ص25.</w:t>
      </w:r>
    </w:p>
  </w:footnote>
  <w:footnote w:id="271">
    <w:p w14:paraId="12BD67C7" w14:textId="77777777" w:rsidR="00B6053A" w:rsidRDefault="00B6053A" w:rsidP="00CF67E5">
      <w:pPr>
        <w:rPr>
          <w:sz w:val="16"/>
          <w:szCs w:val="16"/>
          <w:rtl/>
        </w:rPr>
      </w:pPr>
      <w:r>
        <w:rPr>
          <w:rStyle w:val="af"/>
        </w:rPr>
        <w:footnoteRef/>
      </w:r>
      <w:r>
        <w:t xml:space="preserve"> </w:t>
      </w:r>
      <w:r>
        <w:rPr>
          <w:sz w:val="18"/>
          <w:szCs w:val="18"/>
          <w:rtl/>
        </w:rPr>
        <w:t>البرلمان الأوروبي والمجلس الأوروبي (2024م). لائحة الذكاء الاصطناعي (</w:t>
      </w:r>
      <w:r>
        <w:rPr>
          <w:sz w:val="18"/>
          <w:szCs w:val="18"/>
        </w:rPr>
        <w:t>EU AI Act</w:t>
      </w:r>
      <w:r>
        <w:rPr>
          <w:sz w:val="18"/>
          <w:szCs w:val="18"/>
          <w:rtl/>
        </w:rPr>
        <w:t xml:space="preserve">) </w:t>
      </w:r>
      <w:proofErr w:type="gramStart"/>
      <w:r>
        <w:rPr>
          <w:sz w:val="18"/>
          <w:szCs w:val="18"/>
          <w:rtl/>
        </w:rPr>
        <w:t>- اللائحة</w:t>
      </w:r>
      <w:proofErr w:type="gramEnd"/>
      <w:r>
        <w:rPr>
          <w:sz w:val="18"/>
          <w:szCs w:val="18"/>
          <w:rtl/>
        </w:rPr>
        <w:t xml:space="preserve"> الأوروبية رقم 2024/1689. بروكسل: الاتحاد الأوروبي، مارس 2024م.</w:t>
      </w:r>
    </w:p>
  </w:footnote>
  <w:footnote w:id="272">
    <w:p w14:paraId="0742E8D5" w14:textId="77777777" w:rsidR="00B6053A" w:rsidRDefault="00B6053A"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w:t>
      </w:r>
      <w:r>
        <w:rPr>
          <w:rFonts w:asciiTheme="majorBidi" w:hAnsiTheme="majorBidi" w:cstheme="majorBidi"/>
          <w:sz w:val="18"/>
          <w:szCs w:val="18"/>
        </w:rPr>
        <w:t>DOI</w:t>
      </w:r>
      <w:r>
        <w:rPr>
          <w:rFonts w:asciiTheme="majorBidi" w:hAnsiTheme="majorBidi" w:cstheme="majorBidi"/>
          <w:sz w:val="18"/>
          <w:szCs w:val="18"/>
          <w:rtl/>
        </w:rPr>
        <w:t>: 10.36571/</w:t>
      </w:r>
      <w:r>
        <w:rPr>
          <w:rFonts w:asciiTheme="majorBidi" w:hAnsiTheme="majorBidi" w:cstheme="majorBidi"/>
          <w:sz w:val="18"/>
          <w:szCs w:val="18"/>
        </w:rPr>
        <w:t>ajsp7321</w:t>
      </w:r>
      <w:r>
        <w:rPr>
          <w:rFonts w:asciiTheme="majorBidi" w:hAnsiTheme="majorBidi" w:cstheme="majorBidi"/>
          <w:sz w:val="18"/>
          <w:szCs w:val="18"/>
          <w:rtl/>
        </w:rPr>
        <w:t>.</w:t>
      </w:r>
    </w:p>
  </w:footnote>
  <w:footnote w:id="273">
    <w:p w14:paraId="2CEAD4F3" w14:textId="77777777" w:rsidR="00B6053A" w:rsidRDefault="00B6053A"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بالل</w:t>
      </w:r>
      <w:proofErr w:type="spellEnd"/>
      <w:r>
        <w:rPr>
          <w:rFonts w:asciiTheme="majorBidi" w:hAnsiTheme="majorBidi" w:cstheme="majorBidi"/>
          <w:sz w:val="18"/>
          <w:szCs w:val="18"/>
          <w:rtl/>
        </w:rPr>
        <w:t xml:space="preserve">، فاطمة عبد العزيز حسن أحمد (2023م). دور الذكاء الاصطناعي في تعزيز العدالة الناجزة أمام القضاء </w:t>
      </w:r>
      <w:proofErr w:type="gramStart"/>
      <w:r>
        <w:rPr>
          <w:rFonts w:asciiTheme="majorBidi" w:hAnsiTheme="majorBidi" w:cstheme="majorBidi"/>
          <w:sz w:val="18"/>
          <w:szCs w:val="18"/>
          <w:rtl/>
        </w:rPr>
        <w:t>- دراسة</w:t>
      </w:r>
      <w:proofErr w:type="gramEnd"/>
      <w:r>
        <w:rPr>
          <w:rFonts w:asciiTheme="majorBidi" w:hAnsiTheme="majorBidi" w:cstheme="majorBidi"/>
          <w:sz w:val="18"/>
          <w:szCs w:val="18"/>
          <w:rtl/>
        </w:rPr>
        <w:t xml:space="preserve"> مقارنة. رسالة ماجستير، كلية القانون، جامعة قطر.</w:t>
      </w:r>
    </w:p>
  </w:footnote>
  <w:footnote w:id="274">
    <w:p w14:paraId="47F83024" w14:textId="77777777" w:rsidR="00B6053A" w:rsidRDefault="00B6053A"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w:t>
      </w:r>
      <w:proofErr w:type="gramStart"/>
      <w:r>
        <w:rPr>
          <w:rFonts w:asciiTheme="majorBidi" w:hAnsiTheme="majorBidi" w:cstheme="majorBidi"/>
          <w:sz w:val="18"/>
          <w:szCs w:val="18"/>
          <w:rtl/>
        </w:rPr>
        <w:t>العلمي.,</w:t>
      </w:r>
      <w:proofErr w:type="gramEnd"/>
      <w:r>
        <w:rPr>
          <w:rFonts w:asciiTheme="majorBidi" w:hAnsiTheme="majorBidi" w:cstheme="majorBidi"/>
          <w:sz w:val="18"/>
          <w:szCs w:val="18"/>
          <w:rtl/>
        </w:rPr>
        <w:t xml:space="preserve"> ص57.</w:t>
      </w:r>
    </w:p>
  </w:footnote>
  <w:footnote w:id="275">
    <w:p w14:paraId="175BA1F5" w14:textId="77777777" w:rsidR="00B6053A" w:rsidRDefault="00B6053A"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المعيبد</w:t>
      </w:r>
      <w:proofErr w:type="spellEnd"/>
      <w:r>
        <w:rPr>
          <w:rFonts w:asciiTheme="majorBidi" w:hAnsiTheme="majorBidi" w:cstheme="majorBidi"/>
          <w:sz w:val="18"/>
          <w:szCs w:val="18"/>
          <w:rtl/>
        </w:rPr>
        <w:t>،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276">
    <w:p w14:paraId="3160F56B" w14:textId="77777777" w:rsidR="00B6053A" w:rsidRDefault="00B6053A"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الخميسي</w:t>
      </w:r>
      <w:proofErr w:type="spellEnd"/>
      <w:r>
        <w:rPr>
          <w:rFonts w:asciiTheme="majorBidi" w:hAnsiTheme="majorBidi" w:cstheme="majorBidi"/>
          <w:sz w:val="18"/>
          <w:szCs w:val="18"/>
          <w:rtl/>
        </w:rPr>
        <w:t>،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277">
    <w:p w14:paraId="6FB3D34C" w14:textId="77777777" w:rsidR="00B6053A" w:rsidRDefault="00B6053A"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w:t>
      </w:r>
      <w:proofErr w:type="gramStart"/>
      <w:r>
        <w:rPr>
          <w:rFonts w:asciiTheme="majorBidi" w:hAnsiTheme="majorBidi" w:cstheme="majorBidi"/>
          <w:sz w:val="18"/>
          <w:szCs w:val="18"/>
          <w:rtl/>
        </w:rPr>
        <w:t>والاقتصادية.,</w:t>
      </w:r>
      <w:proofErr w:type="gramEnd"/>
      <w:r>
        <w:rPr>
          <w:rFonts w:asciiTheme="majorBidi" w:hAnsiTheme="majorBidi" w:cstheme="majorBidi"/>
          <w:sz w:val="18"/>
          <w:szCs w:val="18"/>
          <w:rtl/>
        </w:rPr>
        <w:t xml:space="preserve"> ص74.</w:t>
      </w:r>
    </w:p>
  </w:footnote>
  <w:footnote w:id="278">
    <w:p w14:paraId="60BE0B1C" w14:textId="77777777" w:rsidR="00B6053A" w:rsidRDefault="00B6053A"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w:t>
      </w:r>
      <w:proofErr w:type="spellStart"/>
      <w:r>
        <w:rPr>
          <w:rFonts w:asciiTheme="majorBidi" w:hAnsiTheme="majorBidi" w:cstheme="majorBidi"/>
          <w:sz w:val="18"/>
          <w:szCs w:val="18"/>
          <w:rtl/>
        </w:rPr>
        <w:t>الجلعود</w:t>
      </w:r>
      <w:proofErr w:type="spellEnd"/>
      <w:r>
        <w:rPr>
          <w:rFonts w:asciiTheme="majorBidi" w:hAnsiTheme="majorBidi" w:cstheme="majorBidi"/>
          <w:sz w:val="18"/>
          <w:szCs w:val="18"/>
          <w:rtl/>
        </w:rPr>
        <w:t>، أروى عبد الرحمن عثمان. (د.ت). أحكام تطبيقات الذكاء الاصطناعي في القضاء. الجمعية العلمية القضائية السعودية، ص312.</w:t>
      </w:r>
    </w:p>
  </w:footnote>
  <w:footnote w:id="279">
    <w:p w14:paraId="1E04A356" w14:textId="77777777" w:rsidR="00B6053A" w:rsidRDefault="00B6053A">
      <w:pPr>
        <w:numPr>
          <w:ilvl w:val="0"/>
          <w:numId w:val="1"/>
        </w:numPr>
        <w:bidi/>
        <w:rPr>
          <w:sz w:val="16"/>
          <w:szCs w:val="16"/>
        </w:rPr>
      </w:pPr>
      <w:r>
        <w:rPr>
          <w:rStyle w:val="af"/>
        </w:rPr>
        <w:footnoteRef/>
      </w:r>
      <w:r>
        <w:t xml:space="preserve"> </w:t>
      </w:r>
      <w:r>
        <w:rPr>
          <w:sz w:val="18"/>
          <w:szCs w:val="18"/>
          <w:rtl/>
        </w:rPr>
        <w:t xml:space="preserve">الغامدي، رهف صالح (2025م). الطبيعة القانونية للعقود الذكية في المملكة العربية السعودية </w:t>
      </w:r>
      <w:proofErr w:type="gramStart"/>
      <w:r>
        <w:rPr>
          <w:sz w:val="18"/>
          <w:szCs w:val="18"/>
          <w:rtl/>
        </w:rPr>
        <w:t>- دراسة</w:t>
      </w:r>
      <w:proofErr w:type="gramEnd"/>
      <w:r>
        <w:rPr>
          <w:sz w:val="18"/>
          <w:szCs w:val="18"/>
          <w:rtl/>
        </w:rPr>
        <w:t xml:space="preserve"> تحليلية. مجلة القانون والأعمال الدولية، الإصدار 57، ص228-230.</w:t>
      </w:r>
    </w:p>
  </w:footnote>
  <w:footnote w:id="280">
    <w:p w14:paraId="0E3E6AE5"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w:t>
      </w:r>
      <w:proofErr w:type="gramStart"/>
      <w:r>
        <w:rPr>
          <w:rFonts w:asciiTheme="majorBidi" w:hAnsiTheme="majorBidi" w:cstheme="majorBidi"/>
          <w:sz w:val="20"/>
          <w:szCs w:val="20"/>
          <w:rtl/>
        </w:rPr>
        <w:t>عبدالعزيز</w:t>
      </w:r>
      <w:proofErr w:type="gramEnd"/>
      <w:r>
        <w:rPr>
          <w:rFonts w:asciiTheme="majorBidi" w:hAnsiTheme="majorBidi" w:cstheme="majorBidi"/>
          <w:sz w:val="20"/>
          <w:szCs w:val="20"/>
          <w:rtl/>
        </w:rPr>
        <w:t xml:space="preserve"> عبدالناصر، الذكاء الاصطناعي ودوره في إبرام العقود التجارية الذكية، بحث علمي منشور، 2024م.</w:t>
      </w:r>
    </w:p>
  </w:footnote>
  <w:footnote w:id="281">
    <w:p w14:paraId="0B977D3B"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تقرير التحول الرقمي للقطاع العدلي، الرياض: مركز الدراسات والبحوث القانونية، 2024م.</w:t>
      </w:r>
    </w:p>
  </w:footnote>
  <w:footnote w:id="282">
    <w:p w14:paraId="6DF9578B"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التونسي، آيات بنت أحمد؛ والمعلم، سليمان بن محمد،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2024م.</w:t>
      </w:r>
    </w:p>
  </w:footnote>
  <w:footnote w:id="283">
    <w:p w14:paraId="4DABF016"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محمد شحادة، تأثير الذكاء الاصطناعي على المهن القانونية، مجلة الباحث العربي، مجلد 6، عدد 1، 2025م.</w:t>
      </w:r>
    </w:p>
  </w:footnote>
  <w:footnote w:id="284">
    <w:p w14:paraId="582669E9"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تقرير التحول الرقمي للقطاع العدلي، مرجع سابق.</w:t>
      </w:r>
    </w:p>
  </w:footnote>
  <w:footnote w:id="285">
    <w:p w14:paraId="54B9FB64"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محمود، سيد أحمد؛ وعناني، مريم عماد،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(د.ت).</w:t>
      </w:r>
    </w:p>
  </w:footnote>
  <w:footnote w:id="286">
    <w:p w14:paraId="7DEE0CCE"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Varun</w:t>
      </w:r>
      <w:proofErr w:type="spellEnd"/>
      <w:r>
        <w:rPr>
          <w:rFonts w:asciiTheme="majorBidi" w:hAnsiTheme="majorBidi" w:cstheme="majorBidi"/>
          <w:sz w:val="20"/>
          <w:szCs w:val="20"/>
          <w:rtl/>
        </w:rPr>
        <w:t xml:space="preserve"> </w:t>
      </w:r>
      <w:proofErr w:type="spellStart"/>
      <w:proofErr w:type="gramStart"/>
      <w:r>
        <w:rPr>
          <w:rFonts w:asciiTheme="majorBidi" w:hAnsiTheme="majorBidi" w:cstheme="majorBidi"/>
          <w:sz w:val="20"/>
          <w:szCs w:val="20"/>
          <w:rtl/>
        </w:rPr>
        <w:t>Magesh</w:t>
      </w:r>
      <w:proofErr w:type="spellEnd"/>
      <w:r>
        <w:rPr>
          <w:rFonts w:asciiTheme="majorBidi" w:hAnsiTheme="majorBidi" w:cstheme="majorBidi"/>
          <w:sz w:val="20"/>
          <w:szCs w:val="20"/>
          <w:rtl/>
        </w:rPr>
        <w:t>,</w:t>
      </w:r>
      <w:proofErr w:type="gramEnd"/>
      <w:r>
        <w:rPr>
          <w:rFonts w:asciiTheme="majorBidi" w:hAnsiTheme="majorBidi" w:cstheme="majorBidi"/>
          <w:sz w:val="20"/>
          <w:szCs w:val="20"/>
          <w:rtl/>
        </w:rPr>
        <w:t xml:space="preserve"> </w:t>
      </w:r>
      <w:proofErr w:type="spellStart"/>
      <w:r>
        <w:rPr>
          <w:rFonts w:asciiTheme="majorBidi" w:hAnsiTheme="majorBidi" w:cstheme="majorBidi"/>
          <w:sz w:val="20"/>
          <w:szCs w:val="20"/>
          <w:rtl/>
        </w:rPr>
        <w:t>Faiz</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Surani</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Matthew</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Dahl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Mirac</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Suzgun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Christopher</w:t>
      </w:r>
      <w:proofErr w:type="spellEnd"/>
      <w:r>
        <w:rPr>
          <w:rFonts w:asciiTheme="majorBidi" w:hAnsiTheme="majorBidi" w:cstheme="majorBidi"/>
          <w:sz w:val="20"/>
          <w:szCs w:val="20"/>
          <w:rtl/>
        </w:rPr>
        <w:t xml:space="preserve"> D. </w:t>
      </w:r>
      <w:proofErr w:type="spellStart"/>
      <w:r>
        <w:rPr>
          <w:rFonts w:asciiTheme="majorBidi" w:hAnsiTheme="majorBidi" w:cstheme="majorBidi"/>
          <w:sz w:val="20"/>
          <w:szCs w:val="20"/>
          <w:rtl/>
        </w:rPr>
        <w:t>Manning</w:t>
      </w:r>
      <w:proofErr w:type="spellEnd"/>
      <w:r>
        <w:rPr>
          <w:rFonts w:asciiTheme="majorBidi" w:hAnsiTheme="majorBidi" w:cstheme="majorBidi"/>
          <w:sz w:val="20"/>
          <w:szCs w:val="20"/>
          <w:rtl/>
        </w:rPr>
        <w:t xml:space="preserve"> &amp; </w:t>
      </w:r>
      <w:proofErr w:type="spellStart"/>
      <w:r>
        <w:rPr>
          <w:rFonts w:asciiTheme="majorBidi" w:hAnsiTheme="majorBidi" w:cstheme="majorBidi"/>
          <w:sz w:val="20"/>
          <w:szCs w:val="20"/>
          <w:rtl/>
        </w:rPr>
        <w:t>Daniel</w:t>
      </w:r>
      <w:proofErr w:type="spellEnd"/>
      <w:r>
        <w:rPr>
          <w:rFonts w:asciiTheme="majorBidi" w:hAnsiTheme="majorBidi" w:cstheme="majorBidi"/>
          <w:sz w:val="20"/>
          <w:szCs w:val="20"/>
          <w:rtl/>
        </w:rPr>
        <w:t xml:space="preserve"> E. </w:t>
      </w:r>
      <w:proofErr w:type="spellStart"/>
      <w:r>
        <w:rPr>
          <w:rFonts w:asciiTheme="majorBidi" w:hAnsiTheme="majorBidi" w:cstheme="majorBidi"/>
          <w:sz w:val="20"/>
          <w:szCs w:val="20"/>
          <w:rtl/>
        </w:rPr>
        <w:t>Ho</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Hallucination-Free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Assessing</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the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Reliability</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of</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Leading</w:t>
      </w:r>
      <w:proofErr w:type="spellEnd"/>
      <w:r>
        <w:rPr>
          <w:rFonts w:asciiTheme="majorBidi" w:hAnsiTheme="majorBidi" w:cstheme="majorBidi"/>
          <w:sz w:val="20"/>
          <w:szCs w:val="20"/>
          <w:rtl/>
        </w:rPr>
        <w:t xml:space="preserve"> AI </w:t>
      </w:r>
      <w:proofErr w:type="spellStart"/>
      <w:r>
        <w:rPr>
          <w:rFonts w:asciiTheme="majorBidi" w:hAnsiTheme="majorBidi" w:cstheme="majorBidi"/>
          <w:sz w:val="20"/>
          <w:szCs w:val="20"/>
          <w:rtl/>
        </w:rPr>
        <w:t>Legal</w:t>
      </w:r>
      <w:proofErr w:type="spellEnd"/>
      <w:r>
        <w:rPr>
          <w:rFonts w:asciiTheme="majorBidi" w:hAnsiTheme="majorBidi" w:cstheme="majorBidi"/>
          <w:sz w:val="20"/>
          <w:szCs w:val="20"/>
          <w:rtl/>
        </w:rPr>
        <w:t xml:space="preserve"> Research </w:t>
      </w:r>
      <w:proofErr w:type="spellStart"/>
      <w:r>
        <w:rPr>
          <w:rFonts w:asciiTheme="majorBidi" w:hAnsiTheme="majorBidi" w:cstheme="majorBidi"/>
          <w:sz w:val="20"/>
          <w:szCs w:val="20"/>
          <w:rtl/>
        </w:rPr>
        <w:t>Tools</w:t>
      </w:r>
      <w:proofErr w:type="spellEnd"/>
      <w:r>
        <w:rPr>
          <w:rFonts w:asciiTheme="majorBidi" w:hAnsiTheme="majorBidi" w:cstheme="majorBidi"/>
          <w:sz w:val="20"/>
          <w:szCs w:val="20"/>
          <w:rtl/>
        </w:rPr>
        <w:t xml:space="preserve">, 22(1) </w:t>
      </w:r>
      <w:proofErr w:type="spellStart"/>
      <w:r>
        <w:rPr>
          <w:rFonts w:asciiTheme="majorBidi" w:hAnsiTheme="majorBidi" w:cstheme="majorBidi"/>
          <w:sz w:val="20"/>
          <w:szCs w:val="20"/>
          <w:rtl/>
        </w:rPr>
        <w:t>Journal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of</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Empirical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Legal</w:t>
      </w:r>
      <w:proofErr w:type="spellEnd"/>
      <w:r>
        <w:rPr>
          <w:rFonts w:asciiTheme="majorBidi" w:hAnsiTheme="majorBidi" w:cstheme="majorBidi"/>
          <w:sz w:val="20"/>
          <w:szCs w:val="20"/>
          <w:rtl/>
        </w:rPr>
        <w:t xml:space="preserve"> Studies 216 (</w:t>
      </w:r>
      <w:proofErr w:type="gramStart"/>
      <w:r>
        <w:rPr>
          <w:rFonts w:asciiTheme="majorBidi" w:hAnsiTheme="majorBidi" w:cstheme="majorBidi"/>
          <w:sz w:val="20"/>
          <w:szCs w:val="20"/>
          <w:rtl/>
        </w:rPr>
        <w:t>2025);</w:t>
      </w:r>
      <w:proofErr w:type="gramEnd"/>
      <w:r>
        <w:rPr>
          <w:rFonts w:asciiTheme="majorBidi" w:hAnsiTheme="majorBidi" w:cstheme="majorBidi"/>
          <w:sz w:val="20"/>
          <w:szCs w:val="20"/>
          <w:rtl/>
        </w:rPr>
        <w:t xml:space="preserve"> </w:t>
      </w:r>
      <w:proofErr w:type="spellStart"/>
      <w:r>
        <w:rPr>
          <w:rFonts w:asciiTheme="majorBidi" w:hAnsiTheme="majorBidi" w:cstheme="majorBidi"/>
          <w:sz w:val="20"/>
          <w:szCs w:val="20"/>
          <w:rtl/>
        </w:rPr>
        <w:t>Matthew</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Dahl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Varun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Magesh</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Mirac</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Suzgun</w:t>
      </w:r>
      <w:proofErr w:type="spellEnd"/>
      <w:r>
        <w:rPr>
          <w:rFonts w:asciiTheme="majorBidi" w:hAnsiTheme="majorBidi" w:cstheme="majorBidi"/>
          <w:sz w:val="20"/>
          <w:szCs w:val="20"/>
          <w:rtl/>
        </w:rPr>
        <w:t xml:space="preserve"> &amp; </w:t>
      </w:r>
      <w:proofErr w:type="spellStart"/>
      <w:r>
        <w:rPr>
          <w:rFonts w:asciiTheme="majorBidi" w:hAnsiTheme="majorBidi" w:cstheme="majorBidi"/>
          <w:sz w:val="20"/>
          <w:szCs w:val="20"/>
          <w:rtl/>
        </w:rPr>
        <w:t>Daniel</w:t>
      </w:r>
      <w:proofErr w:type="spellEnd"/>
      <w:r>
        <w:rPr>
          <w:rFonts w:asciiTheme="majorBidi" w:hAnsiTheme="majorBidi" w:cstheme="majorBidi"/>
          <w:sz w:val="20"/>
          <w:szCs w:val="20"/>
          <w:rtl/>
        </w:rPr>
        <w:t xml:space="preserve"> E. </w:t>
      </w:r>
      <w:proofErr w:type="spellStart"/>
      <w:r>
        <w:rPr>
          <w:rFonts w:asciiTheme="majorBidi" w:hAnsiTheme="majorBidi" w:cstheme="majorBidi"/>
          <w:sz w:val="20"/>
          <w:szCs w:val="20"/>
          <w:rtl/>
        </w:rPr>
        <w:t>Ho</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Large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Legal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Fictions</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Profiling</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Legal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Hallucinations</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in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Large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Language</w:t>
      </w:r>
      <w:proofErr w:type="spellEnd"/>
      <w:r>
        <w:rPr>
          <w:rFonts w:asciiTheme="majorBidi" w:hAnsiTheme="majorBidi" w:cstheme="majorBidi"/>
          <w:sz w:val="20"/>
          <w:szCs w:val="20"/>
          <w:rtl/>
        </w:rPr>
        <w:t xml:space="preserve"> Models, 16(1) </w:t>
      </w:r>
      <w:proofErr w:type="spellStart"/>
      <w:r>
        <w:rPr>
          <w:rFonts w:asciiTheme="majorBidi" w:hAnsiTheme="majorBidi" w:cstheme="majorBidi"/>
          <w:sz w:val="20"/>
          <w:szCs w:val="20"/>
          <w:rtl/>
        </w:rPr>
        <w:t>Journal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of</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Legal</w:t>
      </w:r>
      <w:proofErr w:type="spellEnd"/>
      <w:r>
        <w:rPr>
          <w:rFonts w:asciiTheme="majorBidi" w:hAnsiTheme="majorBidi" w:cstheme="majorBidi"/>
          <w:sz w:val="20"/>
          <w:szCs w:val="20"/>
          <w:rtl/>
        </w:rPr>
        <w:t xml:space="preserve"> Analysis 64 (2024).</w:t>
      </w:r>
    </w:p>
  </w:footnote>
  <w:footnote w:id="287">
    <w:p w14:paraId="306E471A"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تحديات المعالجة الحاسوبية للغة القانونية العربية: التونسي، آيات بنت أحمد؛ والمعلم، سليمان بن محمد،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2024م.</w:t>
      </w:r>
    </w:p>
  </w:footnote>
  <w:footnote w:id="288">
    <w:p w14:paraId="11AA8B7D"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التونسي والمعلم، مرجع سابق.</w:t>
      </w:r>
    </w:p>
  </w:footnote>
  <w:footnote w:id="289">
    <w:p w14:paraId="0C7D5A1A"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xml:space="preserve">). (فبراير 2025م). الدليل </w:t>
      </w:r>
      <w:proofErr w:type="spellStart"/>
      <w:r>
        <w:rPr>
          <w:rFonts w:asciiTheme="majorBidi" w:hAnsiTheme="majorBidi" w:cstheme="majorBidi"/>
          <w:sz w:val="20"/>
          <w:szCs w:val="20"/>
          <w:rtl/>
        </w:rPr>
        <w:t>الاسترشادي</w:t>
      </w:r>
      <w:proofErr w:type="spellEnd"/>
      <w:r>
        <w:rPr>
          <w:rFonts w:asciiTheme="majorBidi" w:hAnsiTheme="majorBidi" w:cstheme="majorBidi"/>
          <w:sz w:val="20"/>
          <w:szCs w:val="20"/>
          <w:rtl/>
        </w:rPr>
        <w:t xml:space="preserve"> لتقويم مخاطر نقل البيانات الشخصية إلى خارج المملكة. الرياض: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ص7.</w:t>
      </w:r>
    </w:p>
  </w:footnote>
  <w:footnote w:id="290">
    <w:p w14:paraId="56B5E21F"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خالد بن عبد الرحيم، المسؤولية المدنية عن فعل الذكاء الاصطناعي في النظام السعودي – دراسة تحليلية تأصيلية، مجلة البحوث الفقهية والقانونية، جامعة الأزهر، العدد 47، 2024م.</w:t>
      </w:r>
    </w:p>
  </w:footnote>
  <w:footnote w:id="291">
    <w:p w14:paraId="1AB0A372"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الأسيوطي، أيمن محمد سيد مصطفى، حماية التصرفات القانونية وإثباتها عبر تطبيق الذكاء الاصطناعي، مجلة الباحث العربي، مجلد 1، عدد 1، 2020م.</w:t>
      </w:r>
    </w:p>
  </w:footnote>
  <w:footnote w:id="292">
    <w:p w14:paraId="057AFA46"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الدراسات والبحوث القانونية، استخدام الذكاء الاصطناعي في المحاكم، وزارة العدل، المملكة العربية السعودية، 2024م.</w:t>
      </w:r>
    </w:p>
  </w:footnote>
  <w:footnote w:id="293">
    <w:p w14:paraId="2B55F780"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xml:space="preserve">). (نوفمبر 2023م). مبادئ أخلاقيات الذكاء الاصطناعي. الرياض: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w:t>
      </w:r>
    </w:p>
  </w:footnote>
  <w:footnote w:id="294">
    <w:p w14:paraId="59E00933"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مبادئ أخلاقيات الذكاء الاصطناعي، مرجع سابق، ص12.</w:t>
      </w:r>
    </w:p>
  </w:footnote>
  <w:footnote w:id="295">
    <w:p w14:paraId="7DBE12A9"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xml:space="preserve">). (سبتمبر 2024م). إطار تبني الذكاء الاصطناعي. الرياض: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w:t>
      </w:r>
    </w:p>
  </w:footnote>
  <w:footnote w:id="296">
    <w:p w14:paraId="02CDC518"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إطار تبني الذكاء الاصطناعي، مرجع سابق.</w:t>
      </w:r>
    </w:p>
  </w:footnote>
  <w:footnote w:id="297">
    <w:p w14:paraId="2B0EDBD9"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xml:space="preserve">، الدليل </w:t>
      </w:r>
      <w:proofErr w:type="spellStart"/>
      <w:r>
        <w:rPr>
          <w:rFonts w:asciiTheme="majorBidi" w:hAnsiTheme="majorBidi" w:cstheme="majorBidi"/>
          <w:sz w:val="20"/>
          <w:szCs w:val="20"/>
          <w:rtl/>
        </w:rPr>
        <w:t>الاسترشادي</w:t>
      </w:r>
      <w:proofErr w:type="spellEnd"/>
      <w:r>
        <w:rPr>
          <w:rFonts w:asciiTheme="majorBidi" w:hAnsiTheme="majorBidi" w:cstheme="majorBidi"/>
          <w:sz w:val="20"/>
          <w:szCs w:val="20"/>
          <w:rtl/>
        </w:rPr>
        <w:t xml:space="preserve"> لتقويم مخاطر نقل البيانات الشخصية إلى خارج المملكة، مرجع سابق.</w:t>
      </w:r>
    </w:p>
  </w:footnote>
  <w:footnote w:id="298">
    <w:p w14:paraId="15530370"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رجب، عمر سيد. (2023م). دور الدولة في تأطير أخلاقيات الذكاء الاصطناعي: دراسة مقارنة. مجلة الحقوق والعلوم الإنسانية، 5(2)، ص178.</w:t>
      </w:r>
    </w:p>
  </w:footnote>
  <w:footnote w:id="299">
    <w:p w14:paraId="7414DB2A"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 والمالكي، مرجع سابق.</w:t>
      </w:r>
    </w:p>
  </w:footnote>
  <w:footnote w:id="300">
    <w:p w14:paraId="5F28C81A"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مبادئ أخلاقيات الذكاء الاصطناعي، مرجع سابق.</w:t>
      </w:r>
    </w:p>
  </w:footnote>
  <w:footnote w:id="301">
    <w:p w14:paraId="3A917260"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الصادر بالمرسوم الملكي رقم (م/38) وتاريخ 28/7/1422هـ، المعدل بالمرسومين الملكيين رقم (م/61) لعام 1437هـ ورقم (م/66) لعام 1443هـ.</w:t>
      </w:r>
    </w:p>
  </w:footnote>
  <w:footnote w:id="302">
    <w:p w14:paraId="78DD9A0C"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w:t>
      </w:r>
    </w:p>
  </w:footnote>
  <w:footnote w:id="303">
    <w:p w14:paraId="2A38FA94" w14:textId="77777777" w:rsidR="00B6053A" w:rsidRDefault="00B6053A"/>
    <w:p w14:paraId="1D49A1F9" w14:textId="77777777" w:rsidR="00B6053A" w:rsidRDefault="00B6053A"/>
  </w:footnote>
  <w:footnote w:id="304">
    <w:p w14:paraId="0EE03C6D"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الغامدي، رهف صالح، الطبيعة القانونية للعقود الذكية في المملكة العربية السعودية – دراسة تحليلية، مجلة القانون والأعمال الدولية، الإصدار 57، 2025م؛ ومرسي، محمد إبراهيم عبد المنعم، مدى ملاءمة عقود الذكاء الاصطناعي المبرمة عبر تقنية البلوك تشين لقانون العقود، مجلة البحوث الفقهية والقانونية، جامعة الأزهر، 2023م.</w:t>
      </w:r>
    </w:p>
  </w:footnote>
  <w:footnote w:id="305">
    <w:p w14:paraId="686BC202"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مرجع سابق.</w:t>
      </w:r>
    </w:p>
  </w:footnote>
  <w:footnote w:id="306">
    <w:p w14:paraId="08FEA61D"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Mata</w:t>
      </w:r>
      <w:proofErr w:type="spellEnd"/>
      <w:r>
        <w:rPr>
          <w:rFonts w:asciiTheme="majorBidi" w:hAnsiTheme="majorBidi" w:cstheme="majorBidi"/>
          <w:sz w:val="20"/>
          <w:szCs w:val="20"/>
          <w:rtl/>
        </w:rPr>
        <w:t xml:space="preserve"> v. </w:t>
      </w:r>
      <w:proofErr w:type="spellStart"/>
      <w:proofErr w:type="gramStart"/>
      <w:r>
        <w:rPr>
          <w:rFonts w:asciiTheme="majorBidi" w:hAnsiTheme="majorBidi" w:cstheme="majorBidi"/>
          <w:sz w:val="20"/>
          <w:szCs w:val="20"/>
          <w:rtl/>
        </w:rPr>
        <w:t>Avianca</w:t>
      </w:r>
      <w:proofErr w:type="spellEnd"/>
      <w:r>
        <w:rPr>
          <w:rFonts w:asciiTheme="majorBidi" w:hAnsiTheme="majorBidi" w:cstheme="majorBidi"/>
          <w:sz w:val="20"/>
          <w:szCs w:val="20"/>
          <w:rtl/>
        </w:rPr>
        <w:t>,</w:t>
      </w:r>
      <w:proofErr w:type="gramEnd"/>
      <w:r>
        <w:rPr>
          <w:rFonts w:asciiTheme="majorBidi" w:hAnsiTheme="majorBidi" w:cstheme="majorBidi"/>
          <w:sz w:val="20"/>
          <w:szCs w:val="20"/>
          <w:rtl/>
        </w:rPr>
        <w:t xml:space="preserve"> </w:t>
      </w:r>
      <w:proofErr w:type="spellStart"/>
      <w:r>
        <w:rPr>
          <w:rFonts w:asciiTheme="majorBidi" w:hAnsiTheme="majorBidi" w:cstheme="majorBidi"/>
          <w:sz w:val="20"/>
          <w:szCs w:val="20"/>
          <w:rtl/>
        </w:rPr>
        <w:t>Inc</w:t>
      </w:r>
      <w:proofErr w:type="spellEnd"/>
      <w:r>
        <w:rPr>
          <w:rFonts w:asciiTheme="majorBidi" w:hAnsiTheme="majorBidi" w:cstheme="majorBidi"/>
          <w:sz w:val="20"/>
          <w:szCs w:val="20"/>
          <w:rtl/>
        </w:rPr>
        <w:t xml:space="preserve">., 678 F. </w:t>
      </w:r>
      <w:proofErr w:type="spellStart"/>
      <w:r>
        <w:rPr>
          <w:rFonts w:asciiTheme="majorBidi" w:hAnsiTheme="majorBidi" w:cstheme="majorBidi"/>
          <w:sz w:val="20"/>
          <w:szCs w:val="20"/>
          <w:rtl/>
        </w:rPr>
        <w:t>Supp</w:t>
      </w:r>
      <w:proofErr w:type="spellEnd"/>
      <w:r>
        <w:rPr>
          <w:rFonts w:asciiTheme="majorBidi" w:hAnsiTheme="majorBidi" w:cstheme="majorBidi"/>
          <w:sz w:val="20"/>
          <w:szCs w:val="20"/>
          <w:rtl/>
        </w:rPr>
        <w:t xml:space="preserve">. 3d 443 (S.D.N.Y. 2023); </w:t>
      </w:r>
      <w:proofErr w:type="spellStart"/>
      <w:r>
        <w:rPr>
          <w:rFonts w:asciiTheme="majorBidi" w:hAnsiTheme="majorBidi" w:cstheme="majorBidi"/>
          <w:sz w:val="20"/>
          <w:szCs w:val="20"/>
          <w:rtl/>
        </w:rPr>
        <w:t>Park</w:t>
      </w:r>
      <w:proofErr w:type="spellEnd"/>
      <w:r>
        <w:rPr>
          <w:rFonts w:asciiTheme="majorBidi" w:hAnsiTheme="majorBidi" w:cstheme="majorBidi"/>
          <w:sz w:val="20"/>
          <w:szCs w:val="20"/>
          <w:rtl/>
        </w:rPr>
        <w:t xml:space="preserve"> v. </w:t>
      </w:r>
      <w:proofErr w:type="spellStart"/>
      <w:r>
        <w:rPr>
          <w:rFonts w:asciiTheme="majorBidi" w:hAnsiTheme="majorBidi" w:cstheme="majorBidi"/>
          <w:sz w:val="20"/>
          <w:szCs w:val="20"/>
          <w:rtl/>
        </w:rPr>
        <w:t>Kim</w:t>
      </w:r>
      <w:proofErr w:type="spellEnd"/>
      <w:r>
        <w:rPr>
          <w:rFonts w:asciiTheme="majorBidi" w:hAnsiTheme="majorBidi" w:cstheme="majorBidi"/>
          <w:sz w:val="20"/>
          <w:szCs w:val="20"/>
          <w:rtl/>
        </w:rPr>
        <w:t xml:space="preserve">, 91 F.4th 610 (2d </w:t>
      </w:r>
      <w:proofErr w:type="spellStart"/>
      <w:r>
        <w:rPr>
          <w:rFonts w:asciiTheme="majorBidi" w:hAnsiTheme="majorBidi" w:cstheme="majorBidi"/>
          <w:sz w:val="20"/>
          <w:szCs w:val="20"/>
          <w:rtl/>
        </w:rPr>
        <w:t>Cir</w:t>
      </w:r>
      <w:proofErr w:type="spellEnd"/>
      <w:r>
        <w:rPr>
          <w:rFonts w:asciiTheme="majorBidi" w:hAnsiTheme="majorBidi" w:cstheme="majorBidi"/>
          <w:sz w:val="20"/>
          <w:szCs w:val="20"/>
          <w:rtl/>
        </w:rPr>
        <w:t xml:space="preserve">. 2024); </w:t>
      </w:r>
      <w:proofErr w:type="spellStart"/>
      <w:r>
        <w:rPr>
          <w:rFonts w:asciiTheme="majorBidi" w:hAnsiTheme="majorBidi" w:cstheme="majorBidi"/>
          <w:sz w:val="20"/>
          <w:szCs w:val="20"/>
          <w:rtl/>
        </w:rPr>
        <w:t>Zhang</w:t>
      </w:r>
      <w:proofErr w:type="spellEnd"/>
      <w:r>
        <w:rPr>
          <w:rFonts w:asciiTheme="majorBidi" w:hAnsiTheme="majorBidi" w:cstheme="majorBidi"/>
          <w:sz w:val="20"/>
          <w:szCs w:val="20"/>
          <w:rtl/>
        </w:rPr>
        <w:t xml:space="preserve"> v. </w:t>
      </w:r>
      <w:proofErr w:type="spellStart"/>
      <w:r>
        <w:rPr>
          <w:rFonts w:asciiTheme="majorBidi" w:hAnsiTheme="majorBidi" w:cstheme="majorBidi"/>
          <w:sz w:val="20"/>
          <w:szCs w:val="20"/>
          <w:rtl/>
        </w:rPr>
        <w:t>Chen</w:t>
      </w:r>
      <w:proofErr w:type="spellEnd"/>
      <w:r>
        <w:rPr>
          <w:rFonts w:asciiTheme="majorBidi" w:hAnsiTheme="majorBidi" w:cstheme="majorBidi"/>
          <w:sz w:val="20"/>
          <w:szCs w:val="20"/>
          <w:rtl/>
        </w:rPr>
        <w:t>, 2024 BCSC 285 (</w:t>
      </w:r>
      <w:proofErr w:type="spellStart"/>
      <w:r>
        <w:rPr>
          <w:rFonts w:asciiTheme="majorBidi" w:hAnsiTheme="majorBidi" w:cstheme="majorBidi"/>
          <w:sz w:val="20"/>
          <w:szCs w:val="20"/>
          <w:rtl/>
        </w:rPr>
        <w:t>Can</w:t>
      </w:r>
      <w:proofErr w:type="spellEnd"/>
      <w:r>
        <w:rPr>
          <w:rFonts w:asciiTheme="majorBidi" w:hAnsiTheme="majorBidi" w:cstheme="majorBidi"/>
          <w:sz w:val="20"/>
          <w:szCs w:val="20"/>
          <w:rtl/>
        </w:rPr>
        <w:t>.).</w:t>
      </w:r>
    </w:p>
  </w:footnote>
  <w:footnote w:id="307">
    <w:p w14:paraId="2C3762C7"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المالكي، مرجع سابق.</w:t>
      </w:r>
    </w:p>
  </w:footnote>
  <w:footnote w:id="308">
    <w:p w14:paraId="63D547A1"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التحيز الخوارزمي في السياق العربي: التونسي والمعلم، مرجع سابق.</w:t>
      </w:r>
    </w:p>
  </w:footnote>
  <w:footnote w:id="309">
    <w:p w14:paraId="0829D571"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مرجع سابق.</w:t>
      </w:r>
    </w:p>
  </w:footnote>
  <w:footnote w:id="310">
    <w:p w14:paraId="5023F7A4"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Mata</w:t>
      </w:r>
      <w:proofErr w:type="spellEnd"/>
      <w:r>
        <w:rPr>
          <w:rFonts w:asciiTheme="majorBidi" w:hAnsiTheme="majorBidi" w:cstheme="majorBidi"/>
          <w:sz w:val="20"/>
          <w:szCs w:val="20"/>
          <w:rtl/>
        </w:rPr>
        <w:t xml:space="preserve"> v. </w:t>
      </w:r>
      <w:proofErr w:type="spellStart"/>
      <w:proofErr w:type="gramStart"/>
      <w:r>
        <w:rPr>
          <w:rFonts w:asciiTheme="majorBidi" w:hAnsiTheme="majorBidi" w:cstheme="majorBidi"/>
          <w:sz w:val="20"/>
          <w:szCs w:val="20"/>
          <w:rtl/>
        </w:rPr>
        <w:t>Avianca</w:t>
      </w:r>
      <w:proofErr w:type="spellEnd"/>
      <w:r>
        <w:rPr>
          <w:rFonts w:asciiTheme="majorBidi" w:hAnsiTheme="majorBidi" w:cstheme="majorBidi"/>
          <w:sz w:val="20"/>
          <w:szCs w:val="20"/>
          <w:rtl/>
        </w:rPr>
        <w:t>,</w:t>
      </w:r>
      <w:proofErr w:type="gramEnd"/>
      <w:r>
        <w:rPr>
          <w:rFonts w:asciiTheme="majorBidi" w:hAnsiTheme="majorBidi" w:cstheme="majorBidi"/>
          <w:sz w:val="20"/>
          <w:szCs w:val="20"/>
          <w:rtl/>
        </w:rPr>
        <w:t xml:space="preserve"> </w:t>
      </w:r>
      <w:proofErr w:type="spellStart"/>
      <w:r>
        <w:rPr>
          <w:rFonts w:asciiTheme="majorBidi" w:hAnsiTheme="majorBidi" w:cstheme="majorBidi"/>
          <w:sz w:val="20"/>
          <w:szCs w:val="20"/>
          <w:rtl/>
        </w:rPr>
        <w:t>Inc</w:t>
      </w:r>
      <w:proofErr w:type="spellEnd"/>
      <w:r>
        <w:rPr>
          <w:rFonts w:asciiTheme="majorBidi" w:hAnsiTheme="majorBidi" w:cstheme="majorBidi"/>
          <w:sz w:val="20"/>
          <w:szCs w:val="20"/>
          <w:rtl/>
        </w:rPr>
        <w:t xml:space="preserve">., 678 F. </w:t>
      </w:r>
      <w:proofErr w:type="spellStart"/>
      <w:r>
        <w:rPr>
          <w:rFonts w:asciiTheme="majorBidi" w:hAnsiTheme="majorBidi" w:cstheme="majorBidi"/>
          <w:sz w:val="20"/>
          <w:szCs w:val="20"/>
          <w:rtl/>
        </w:rPr>
        <w:t>Supp</w:t>
      </w:r>
      <w:proofErr w:type="spellEnd"/>
      <w:r>
        <w:rPr>
          <w:rFonts w:asciiTheme="majorBidi" w:hAnsiTheme="majorBidi" w:cstheme="majorBidi"/>
          <w:sz w:val="20"/>
          <w:szCs w:val="20"/>
          <w:rtl/>
        </w:rPr>
        <w:t xml:space="preserve">. 3d 443 (S.D.N.Y. 2023); </w:t>
      </w:r>
      <w:proofErr w:type="spellStart"/>
      <w:r>
        <w:rPr>
          <w:rFonts w:asciiTheme="majorBidi" w:hAnsiTheme="majorBidi" w:cstheme="majorBidi"/>
          <w:sz w:val="20"/>
          <w:szCs w:val="20"/>
          <w:rtl/>
        </w:rPr>
        <w:t>Park</w:t>
      </w:r>
      <w:proofErr w:type="spellEnd"/>
      <w:r>
        <w:rPr>
          <w:rFonts w:asciiTheme="majorBidi" w:hAnsiTheme="majorBidi" w:cstheme="majorBidi"/>
          <w:sz w:val="20"/>
          <w:szCs w:val="20"/>
          <w:rtl/>
        </w:rPr>
        <w:t xml:space="preserve"> v. </w:t>
      </w:r>
      <w:proofErr w:type="spellStart"/>
      <w:r>
        <w:rPr>
          <w:rFonts w:asciiTheme="majorBidi" w:hAnsiTheme="majorBidi" w:cstheme="majorBidi"/>
          <w:sz w:val="20"/>
          <w:szCs w:val="20"/>
          <w:rtl/>
        </w:rPr>
        <w:t>Kim</w:t>
      </w:r>
      <w:proofErr w:type="spellEnd"/>
      <w:r>
        <w:rPr>
          <w:rFonts w:asciiTheme="majorBidi" w:hAnsiTheme="majorBidi" w:cstheme="majorBidi"/>
          <w:sz w:val="20"/>
          <w:szCs w:val="20"/>
          <w:rtl/>
        </w:rPr>
        <w:t xml:space="preserve">, 91 F.4th 610 (2d </w:t>
      </w:r>
      <w:proofErr w:type="spellStart"/>
      <w:r>
        <w:rPr>
          <w:rFonts w:asciiTheme="majorBidi" w:hAnsiTheme="majorBidi" w:cstheme="majorBidi"/>
          <w:sz w:val="20"/>
          <w:szCs w:val="20"/>
          <w:rtl/>
        </w:rPr>
        <w:t>Cir</w:t>
      </w:r>
      <w:proofErr w:type="spellEnd"/>
      <w:r>
        <w:rPr>
          <w:rFonts w:asciiTheme="majorBidi" w:hAnsiTheme="majorBidi" w:cstheme="majorBidi"/>
          <w:sz w:val="20"/>
          <w:szCs w:val="20"/>
          <w:rtl/>
        </w:rPr>
        <w:t xml:space="preserve">. 2024); </w:t>
      </w:r>
      <w:proofErr w:type="spellStart"/>
      <w:r>
        <w:rPr>
          <w:rFonts w:asciiTheme="majorBidi" w:hAnsiTheme="majorBidi" w:cstheme="majorBidi"/>
          <w:sz w:val="20"/>
          <w:szCs w:val="20"/>
          <w:rtl/>
        </w:rPr>
        <w:t>Zhang</w:t>
      </w:r>
      <w:proofErr w:type="spellEnd"/>
      <w:r>
        <w:rPr>
          <w:rFonts w:asciiTheme="majorBidi" w:hAnsiTheme="majorBidi" w:cstheme="majorBidi"/>
          <w:sz w:val="20"/>
          <w:szCs w:val="20"/>
          <w:rtl/>
        </w:rPr>
        <w:t xml:space="preserve"> v. </w:t>
      </w:r>
      <w:proofErr w:type="spellStart"/>
      <w:r>
        <w:rPr>
          <w:rFonts w:asciiTheme="majorBidi" w:hAnsiTheme="majorBidi" w:cstheme="majorBidi"/>
          <w:sz w:val="20"/>
          <w:szCs w:val="20"/>
          <w:rtl/>
        </w:rPr>
        <w:t>Chen</w:t>
      </w:r>
      <w:proofErr w:type="spellEnd"/>
      <w:r>
        <w:rPr>
          <w:rFonts w:asciiTheme="majorBidi" w:hAnsiTheme="majorBidi" w:cstheme="majorBidi"/>
          <w:sz w:val="20"/>
          <w:szCs w:val="20"/>
          <w:rtl/>
        </w:rPr>
        <w:t>, 2024 BCSC 285 (</w:t>
      </w:r>
      <w:proofErr w:type="spellStart"/>
      <w:r>
        <w:rPr>
          <w:rFonts w:asciiTheme="majorBidi" w:hAnsiTheme="majorBidi" w:cstheme="majorBidi"/>
          <w:sz w:val="20"/>
          <w:szCs w:val="20"/>
          <w:rtl/>
        </w:rPr>
        <w:t>Can</w:t>
      </w:r>
      <w:proofErr w:type="spellEnd"/>
      <w:r>
        <w:rPr>
          <w:rFonts w:asciiTheme="majorBidi" w:hAnsiTheme="majorBidi" w:cstheme="majorBidi"/>
          <w:sz w:val="20"/>
          <w:szCs w:val="20"/>
          <w:rtl/>
        </w:rPr>
        <w:t>.).</w:t>
      </w:r>
    </w:p>
  </w:footnote>
  <w:footnote w:id="311">
    <w:p w14:paraId="47EDFD62"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مرجع سابق، المواد (1) و(18) و(37).</w:t>
      </w:r>
    </w:p>
  </w:footnote>
  <w:footnote w:id="312">
    <w:p w14:paraId="491986A3"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مجلس الإمارات للذكاء الاصطناعي. (2017م). الاستراتيجية الوطنية للذكاء الاصطناعي 2031. </w:t>
      </w:r>
      <w:proofErr w:type="gramStart"/>
      <w:r>
        <w:rPr>
          <w:rFonts w:asciiTheme="majorBidi" w:hAnsiTheme="majorBidi" w:cstheme="majorBidi"/>
          <w:sz w:val="20"/>
          <w:szCs w:val="20"/>
          <w:rtl/>
        </w:rPr>
        <w:t>أبوظبي</w:t>
      </w:r>
      <w:proofErr w:type="gramEnd"/>
      <w:r>
        <w:rPr>
          <w:rFonts w:asciiTheme="majorBidi" w:hAnsiTheme="majorBidi" w:cstheme="majorBidi"/>
          <w:sz w:val="20"/>
          <w:szCs w:val="20"/>
          <w:rtl/>
        </w:rPr>
        <w:t>: مجلس الإمارات للذكاء الاصطناعي.</w:t>
      </w:r>
    </w:p>
  </w:footnote>
  <w:footnote w:id="313">
    <w:p w14:paraId="101E6E53"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المبادرات الإماراتية في العدالة الرقمية: بلال، فاطمة عبد العزيز، دور الذكاء الاصطناعي في تعزيز العدالة الناجزة أمام القضاء – دراسة مقارنة، رسالة ماجستير، كلية القانون، جامعة قطر، 2023م.</w:t>
      </w:r>
    </w:p>
  </w:footnote>
  <w:footnote w:id="314">
    <w:p w14:paraId="7A7B11D5"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الغنامي</w:t>
      </w:r>
      <w:proofErr w:type="spellEnd"/>
      <w:r>
        <w:rPr>
          <w:rFonts w:asciiTheme="majorBidi" w:hAnsiTheme="majorBidi" w:cstheme="majorBidi"/>
          <w:sz w:val="20"/>
          <w:szCs w:val="20"/>
          <w:rtl/>
        </w:rPr>
        <w:t xml:space="preserve">، نايف بن </w:t>
      </w:r>
      <w:proofErr w:type="spellStart"/>
      <w:r>
        <w:rPr>
          <w:rFonts w:asciiTheme="majorBidi" w:hAnsiTheme="majorBidi" w:cstheme="majorBidi"/>
          <w:sz w:val="20"/>
          <w:szCs w:val="20"/>
          <w:rtl/>
        </w:rPr>
        <w:t>ناشي</w:t>
      </w:r>
      <w:proofErr w:type="spellEnd"/>
      <w:r>
        <w:rPr>
          <w:rFonts w:asciiTheme="majorBidi" w:hAnsiTheme="majorBidi" w:cstheme="majorBidi"/>
          <w:sz w:val="20"/>
          <w:szCs w:val="20"/>
          <w:rtl/>
        </w:rPr>
        <w:t>، الضوابط القانونية للذكاء الاصطناعي في إبرام المعاملات القانونية، الجامعة السعودية الإلكترونية، (د.ت).</w:t>
      </w:r>
    </w:p>
  </w:footnote>
  <w:footnote w:id="315">
    <w:p w14:paraId="0E5ADEC4" w14:textId="77777777" w:rsidR="00B6053A" w:rsidRDefault="00B6053A"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European </w:t>
      </w:r>
      <w:proofErr w:type="spellStart"/>
      <w:r>
        <w:rPr>
          <w:rFonts w:asciiTheme="majorBidi" w:hAnsiTheme="majorBidi" w:cstheme="majorBidi"/>
          <w:sz w:val="20"/>
          <w:szCs w:val="20"/>
          <w:rtl/>
        </w:rPr>
        <w:t>Parliament</w:t>
      </w:r>
      <w:proofErr w:type="spellEnd"/>
      <w:r>
        <w:rPr>
          <w:rFonts w:asciiTheme="majorBidi" w:hAnsiTheme="majorBidi" w:cstheme="majorBidi"/>
          <w:sz w:val="20"/>
          <w:szCs w:val="20"/>
          <w:rtl/>
        </w:rPr>
        <w:t xml:space="preserve">. (2024). </w:t>
      </w:r>
      <w:proofErr w:type="spellStart"/>
      <w:r>
        <w:rPr>
          <w:rFonts w:asciiTheme="majorBidi" w:hAnsiTheme="majorBidi" w:cstheme="majorBidi"/>
          <w:sz w:val="20"/>
          <w:szCs w:val="20"/>
          <w:rtl/>
        </w:rPr>
        <w:t>Regulation</w:t>
      </w:r>
      <w:proofErr w:type="spellEnd"/>
      <w:r>
        <w:rPr>
          <w:rFonts w:asciiTheme="majorBidi" w:hAnsiTheme="majorBidi" w:cstheme="majorBidi"/>
          <w:sz w:val="20"/>
          <w:szCs w:val="20"/>
          <w:rtl/>
        </w:rPr>
        <w:t xml:space="preserve"> (EU) 2024/1689 </w:t>
      </w:r>
      <w:proofErr w:type="spellStart"/>
      <w:r>
        <w:rPr>
          <w:rFonts w:asciiTheme="majorBidi" w:hAnsiTheme="majorBidi" w:cstheme="majorBidi"/>
          <w:sz w:val="20"/>
          <w:szCs w:val="20"/>
          <w:rtl/>
        </w:rPr>
        <w:t>on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Artificial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Intelligence</w:t>
      </w:r>
      <w:proofErr w:type="spellEnd"/>
      <w:r>
        <w:rPr>
          <w:rFonts w:asciiTheme="majorBidi" w:hAnsiTheme="majorBidi" w:cstheme="majorBidi"/>
          <w:sz w:val="20"/>
          <w:szCs w:val="20"/>
          <w:rtl/>
        </w:rPr>
        <w:t xml:space="preserve"> (EU AI </w:t>
      </w:r>
      <w:proofErr w:type="spellStart"/>
      <w:r>
        <w:rPr>
          <w:rFonts w:asciiTheme="majorBidi" w:hAnsiTheme="majorBidi" w:cstheme="majorBidi"/>
          <w:sz w:val="20"/>
          <w:szCs w:val="20"/>
          <w:rtl/>
        </w:rPr>
        <w:t>Act</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Official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Journal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of</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the</w:t>
      </w:r>
      <w:proofErr w:type="spellEnd"/>
      <w:r>
        <w:rPr>
          <w:rFonts w:asciiTheme="majorBidi" w:hAnsiTheme="majorBidi" w:cstheme="majorBidi"/>
          <w:sz w:val="20"/>
          <w:szCs w:val="20"/>
          <w:rtl/>
        </w:rPr>
        <w:t xml:space="preserve"> European </w:t>
      </w:r>
      <w:proofErr w:type="spellStart"/>
      <w:r>
        <w:rPr>
          <w:rFonts w:asciiTheme="majorBidi" w:hAnsiTheme="majorBidi" w:cstheme="majorBidi"/>
          <w:sz w:val="20"/>
          <w:szCs w:val="20"/>
          <w:rtl/>
        </w:rPr>
        <w:t>Union</w:t>
      </w:r>
      <w:proofErr w:type="spellEnd"/>
      <w:r>
        <w:rPr>
          <w:rFonts w:asciiTheme="majorBidi" w:hAnsiTheme="majorBidi" w:cstheme="majorBidi"/>
          <w:sz w:val="20"/>
          <w:szCs w:val="20"/>
          <w:rtl/>
        </w:rPr>
        <w:t>.</w:t>
      </w:r>
    </w:p>
  </w:footnote>
  <w:footnote w:id="316">
    <w:p w14:paraId="5E68149C"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سدايا</w:t>
      </w:r>
      <w:proofErr w:type="spellEnd"/>
      <w:r>
        <w:rPr>
          <w:rFonts w:asciiTheme="majorBidi" w:hAnsiTheme="majorBidi" w:cstheme="majorBidi"/>
          <w:sz w:val="20"/>
          <w:szCs w:val="20"/>
          <w:rtl/>
        </w:rPr>
        <w:t>، مبادئ أخلاقيات الذكاء الاصطناعي، مرجع سابق.</w:t>
      </w:r>
    </w:p>
  </w:footnote>
  <w:footnote w:id="317">
    <w:p w14:paraId="59EB84CE"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مرجع سابق، المادتان (29) و(31)، والمادة (الحادية والعشرون مكرر).</w:t>
      </w:r>
    </w:p>
  </w:footnote>
  <w:footnote w:id="318">
    <w:p w14:paraId="11A05D32"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w:t>
      </w:r>
      <w:proofErr w:type="spellStart"/>
      <w:r>
        <w:rPr>
          <w:rFonts w:asciiTheme="majorBidi" w:hAnsiTheme="majorBidi" w:cstheme="majorBidi"/>
          <w:sz w:val="20"/>
          <w:szCs w:val="20"/>
          <w:rtl/>
        </w:rPr>
        <w:t>American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Bar</w:t>
      </w:r>
      <w:proofErr w:type="spellEnd"/>
      <w:r>
        <w:rPr>
          <w:rFonts w:asciiTheme="majorBidi" w:hAnsiTheme="majorBidi" w:cstheme="majorBidi"/>
          <w:sz w:val="20"/>
          <w:szCs w:val="20"/>
          <w:rtl/>
        </w:rPr>
        <w:t xml:space="preserve"> </w:t>
      </w:r>
      <w:proofErr w:type="spellStart"/>
      <w:proofErr w:type="gramStart"/>
      <w:r>
        <w:rPr>
          <w:rFonts w:asciiTheme="majorBidi" w:hAnsiTheme="majorBidi" w:cstheme="majorBidi"/>
          <w:sz w:val="20"/>
          <w:szCs w:val="20"/>
          <w:rtl/>
        </w:rPr>
        <w:t>Association</w:t>
      </w:r>
      <w:proofErr w:type="spellEnd"/>
      <w:r>
        <w:rPr>
          <w:rFonts w:asciiTheme="majorBidi" w:hAnsiTheme="majorBidi" w:cstheme="majorBidi"/>
          <w:sz w:val="20"/>
          <w:szCs w:val="20"/>
          <w:rtl/>
        </w:rPr>
        <w:t>,</w:t>
      </w:r>
      <w:proofErr w:type="gramEnd"/>
      <w:r>
        <w:rPr>
          <w:rFonts w:asciiTheme="majorBidi" w:hAnsiTheme="majorBidi" w:cstheme="majorBidi"/>
          <w:sz w:val="20"/>
          <w:szCs w:val="20"/>
          <w:rtl/>
        </w:rPr>
        <w:t xml:space="preserve"> </w:t>
      </w:r>
      <w:proofErr w:type="spellStart"/>
      <w:r>
        <w:rPr>
          <w:rFonts w:asciiTheme="majorBidi" w:hAnsiTheme="majorBidi" w:cstheme="majorBidi"/>
          <w:sz w:val="20"/>
          <w:szCs w:val="20"/>
          <w:rtl/>
        </w:rPr>
        <w:t>Standing</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Committee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on</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Ethics</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and</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Professional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Responsibility</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Formal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Opinion</w:t>
      </w:r>
      <w:proofErr w:type="spellEnd"/>
      <w:r>
        <w:rPr>
          <w:rFonts w:asciiTheme="majorBidi" w:hAnsiTheme="majorBidi" w:cstheme="majorBidi"/>
          <w:sz w:val="20"/>
          <w:szCs w:val="20"/>
          <w:rtl/>
        </w:rPr>
        <w:t xml:space="preserve"> 512: </w:t>
      </w:r>
      <w:proofErr w:type="spellStart"/>
      <w:r>
        <w:rPr>
          <w:rFonts w:asciiTheme="majorBidi" w:hAnsiTheme="majorBidi" w:cstheme="majorBidi"/>
          <w:sz w:val="20"/>
          <w:szCs w:val="20"/>
          <w:rtl/>
        </w:rPr>
        <w:t>Generative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Artificial</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Intelligence</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Tools</w:t>
      </w:r>
      <w:proofErr w:type="spellEnd"/>
      <w:r>
        <w:rPr>
          <w:rFonts w:asciiTheme="majorBidi" w:hAnsiTheme="majorBidi" w:cstheme="majorBidi"/>
          <w:sz w:val="20"/>
          <w:szCs w:val="20"/>
          <w:rtl/>
        </w:rPr>
        <w:t xml:space="preserve"> (</w:t>
      </w:r>
      <w:proofErr w:type="spellStart"/>
      <w:r>
        <w:rPr>
          <w:rFonts w:asciiTheme="majorBidi" w:hAnsiTheme="majorBidi" w:cstheme="majorBidi"/>
          <w:sz w:val="20"/>
          <w:szCs w:val="20"/>
          <w:rtl/>
        </w:rPr>
        <w:t>July</w:t>
      </w:r>
      <w:proofErr w:type="spellEnd"/>
      <w:r>
        <w:rPr>
          <w:rFonts w:asciiTheme="majorBidi" w:hAnsiTheme="majorBidi" w:cstheme="majorBidi"/>
          <w:sz w:val="20"/>
          <w:szCs w:val="20"/>
          <w:rtl/>
        </w:rPr>
        <w:t xml:space="preserve"> 29, 2024).</w:t>
      </w:r>
    </w:p>
  </w:footnote>
  <w:footnote w:id="319">
    <w:p w14:paraId="3B52AE66"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w:t>
      </w:r>
    </w:p>
  </w:footnote>
  <w:footnote w:id="320">
    <w:p w14:paraId="4B7AE003" w14:textId="77777777" w:rsidR="00B6053A" w:rsidRDefault="00B6053A">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مرجع سابق.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35"/>
  </w:num>
  <w:num w:numId="4">
    <w:abstractNumId w:val="42"/>
  </w:num>
  <w:num w:numId="5">
    <w:abstractNumId w:val="8"/>
  </w:num>
  <w:num w:numId="6">
    <w:abstractNumId w:val="0"/>
  </w:num>
  <w:num w:numId="7">
    <w:abstractNumId w:val="24"/>
  </w:num>
  <w:num w:numId="8">
    <w:abstractNumId w:val="30"/>
  </w:num>
  <w:num w:numId="9">
    <w:abstractNumId w:val="15"/>
  </w:num>
  <w:num w:numId="10">
    <w:abstractNumId w:val="6"/>
  </w:num>
  <w:num w:numId="11">
    <w:abstractNumId w:val="5"/>
  </w:num>
  <w:num w:numId="12">
    <w:abstractNumId w:val="54"/>
  </w:num>
  <w:num w:numId="13">
    <w:abstractNumId w:val="32"/>
  </w:num>
  <w:num w:numId="14">
    <w:abstractNumId w:val="28"/>
  </w:num>
  <w:num w:numId="15">
    <w:abstractNumId w:val="13"/>
  </w:num>
  <w:num w:numId="16">
    <w:abstractNumId w:val="27"/>
  </w:num>
  <w:num w:numId="17">
    <w:abstractNumId w:val="3"/>
  </w:num>
  <w:num w:numId="18">
    <w:abstractNumId w:val="17"/>
  </w:num>
  <w:num w:numId="19">
    <w:abstractNumId w:val="23"/>
  </w:num>
  <w:num w:numId="20">
    <w:abstractNumId w:val="38"/>
  </w:num>
  <w:num w:numId="21">
    <w:abstractNumId w:val="2"/>
  </w:num>
  <w:num w:numId="22">
    <w:abstractNumId w:val="53"/>
  </w:num>
  <w:num w:numId="23">
    <w:abstractNumId w:val="34"/>
  </w:num>
  <w:num w:numId="24">
    <w:abstractNumId w:val="29"/>
  </w:num>
  <w:num w:numId="25">
    <w:abstractNumId w:val="33"/>
  </w:num>
  <w:num w:numId="26">
    <w:abstractNumId w:val="14"/>
  </w:num>
  <w:num w:numId="27">
    <w:abstractNumId w:val="7"/>
  </w:num>
  <w:num w:numId="28">
    <w:abstractNumId w:val="49"/>
  </w:num>
  <w:num w:numId="29">
    <w:abstractNumId w:val="11"/>
  </w:num>
  <w:num w:numId="30">
    <w:abstractNumId w:val="46"/>
  </w:num>
  <w:num w:numId="31">
    <w:abstractNumId w:val="31"/>
  </w:num>
  <w:num w:numId="32">
    <w:abstractNumId w:val="18"/>
  </w:num>
  <w:num w:numId="33">
    <w:abstractNumId w:val="25"/>
  </w:num>
  <w:num w:numId="34">
    <w:abstractNumId w:val="37"/>
  </w:num>
  <w:num w:numId="35">
    <w:abstractNumId w:val="19"/>
  </w:num>
  <w:num w:numId="36">
    <w:abstractNumId w:val="50"/>
  </w:num>
  <w:num w:numId="37">
    <w:abstractNumId w:val="12"/>
  </w:num>
  <w:num w:numId="38">
    <w:abstractNumId w:val="22"/>
  </w:num>
  <w:num w:numId="39">
    <w:abstractNumId w:val="4"/>
  </w:num>
  <w:num w:numId="40">
    <w:abstractNumId w:val="41"/>
  </w:num>
  <w:num w:numId="41">
    <w:abstractNumId w:val="26"/>
  </w:num>
  <w:num w:numId="42">
    <w:abstractNumId w:val="43"/>
  </w:num>
  <w:num w:numId="43">
    <w:abstractNumId w:val="40"/>
  </w:num>
  <w:num w:numId="44">
    <w:abstractNumId w:val="20"/>
  </w:num>
  <w:num w:numId="45">
    <w:abstractNumId w:val="10"/>
  </w:num>
  <w:num w:numId="46">
    <w:abstractNumId w:val="9"/>
  </w:num>
  <w:num w:numId="47">
    <w:abstractNumId w:val="36"/>
  </w:num>
  <w:num w:numId="48">
    <w:abstractNumId w:val="47"/>
  </w:num>
  <w:num w:numId="49">
    <w:abstractNumId w:val="44"/>
  </w:num>
  <w:num w:numId="50">
    <w:abstractNumId w:val="55"/>
  </w:num>
  <w:num w:numId="51">
    <w:abstractNumId w:val="52"/>
  </w:num>
  <w:num w:numId="52">
    <w:abstractNumId w:val="39"/>
  </w:num>
  <w:num w:numId="53">
    <w:abstractNumId w:val="21"/>
  </w:num>
  <w:num w:numId="54">
    <w:abstractNumId w:val="48"/>
  </w:num>
  <w:num w:numId="55">
    <w:abstractNumId w:val="45"/>
  </w:num>
  <w:num w:numId="56">
    <w:abstractNumId w:val="51"/>
  </w:num>
  <w:num w:numId="57">
    <w:abstractNumId w:val="19"/>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 Ibrahim">
    <w15:presenceInfo w15:providerId="Windows Live" w15:userId="4943be808cf15238"/>
  </w15:person>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B95"/>
    <w:rsid w:val="000003D3"/>
    <w:rsid w:val="000004FA"/>
    <w:rsid w:val="00025234"/>
    <w:rsid w:val="00035EF7"/>
    <w:rsid w:val="00047425"/>
    <w:rsid w:val="00053121"/>
    <w:rsid w:val="00061491"/>
    <w:rsid w:val="00065298"/>
    <w:rsid w:val="00065C80"/>
    <w:rsid w:val="00071805"/>
    <w:rsid w:val="000775D9"/>
    <w:rsid w:val="000778AD"/>
    <w:rsid w:val="0008039A"/>
    <w:rsid w:val="00085940"/>
    <w:rsid w:val="00085AD1"/>
    <w:rsid w:val="0008617A"/>
    <w:rsid w:val="000A1619"/>
    <w:rsid w:val="000B029D"/>
    <w:rsid w:val="000C69B5"/>
    <w:rsid w:val="000C7173"/>
    <w:rsid w:val="000D4B35"/>
    <w:rsid w:val="000E0175"/>
    <w:rsid w:val="000E1066"/>
    <w:rsid w:val="000E73EA"/>
    <w:rsid w:val="000E75C8"/>
    <w:rsid w:val="000F2879"/>
    <w:rsid w:val="00100B04"/>
    <w:rsid w:val="00101461"/>
    <w:rsid w:val="0010656B"/>
    <w:rsid w:val="00112A03"/>
    <w:rsid w:val="00122234"/>
    <w:rsid w:val="00133FA5"/>
    <w:rsid w:val="00143CF0"/>
    <w:rsid w:val="00147082"/>
    <w:rsid w:val="0015633A"/>
    <w:rsid w:val="00160939"/>
    <w:rsid w:val="0016208C"/>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688"/>
    <w:rsid w:val="00255305"/>
    <w:rsid w:val="00261A94"/>
    <w:rsid w:val="00261CD1"/>
    <w:rsid w:val="0026477A"/>
    <w:rsid w:val="002670D1"/>
    <w:rsid w:val="00271741"/>
    <w:rsid w:val="00292EA9"/>
    <w:rsid w:val="00294297"/>
    <w:rsid w:val="00295F2E"/>
    <w:rsid w:val="002A3106"/>
    <w:rsid w:val="002A34EF"/>
    <w:rsid w:val="002A59C9"/>
    <w:rsid w:val="002B7EAA"/>
    <w:rsid w:val="002C328E"/>
    <w:rsid w:val="002C6710"/>
    <w:rsid w:val="002C6AC6"/>
    <w:rsid w:val="002D0332"/>
    <w:rsid w:val="002E0F58"/>
    <w:rsid w:val="002F0A82"/>
    <w:rsid w:val="002F5F3B"/>
    <w:rsid w:val="00301A79"/>
    <w:rsid w:val="003048E3"/>
    <w:rsid w:val="00327D27"/>
    <w:rsid w:val="00355E75"/>
    <w:rsid w:val="00380C82"/>
    <w:rsid w:val="003835A4"/>
    <w:rsid w:val="0038387E"/>
    <w:rsid w:val="003874FB"/>
    <w:rsid w:val="003A40AC"/>
    <w:rsid w:val="003B50D9"/>
    <w:rsid w:val="003D0156"/>
    <w:rsid w:val="003D6819"/>
    <w:rsid w:val="003F1942"/>
    <w:rsid w:val="003F267E"/>
    <w:rsid w:val="00412166"/>
    <w:rsid w:val="00442486"/>
    <w:rsid w:val="00450EAF"/>
    <w:rsid w:val="00454BE9"/>
    <w:rsid w:val="0045525C"/>
    <w:rsid w:val="004612B8"/>
    <w:rsid w:val="004639DD"/>
    <w:rsid w:val="00476D14"/>
    <w:rsid w:val="004855F3"/>
    <w:rsid w:val="00493ADF"/>
    <w:rsid w:val="00493FED"/>
    <w:rsid w:val="004A2304"/>
    <w:rsid w:val="004B4795"/>
    <w:rsid w:val="004C4A98"/>
    <w:rsid w:val="004D4BEB"/>
    <w:rsid w:val="004D54F4"/>
    <w:rsid w:val="004E4D2E"/>
    <w:rsid w:val="004F0491"/>
    <w:rsid w:val="004F7A59"/>
    <w:rsid w:val="00505B3D"/>
    <w:rsid w:val="00510971"/>
    <w:rsid w:val="0052203F"/>
    <w:rsid w:val="00523C56"/>
    <w:rsid w:val="00534682"/>
    <w:rsid w:val="00535C4D"/>
    <w:rsid w:val="005562AF"/>
    <w:rsid w:val="005705DD"/>
    <w:rsid w:val="00571984"/>
    <w:rsid w:val="00575B64"/>
    <w:rsid w:val="005804B6"/>
    <w:rsid w:val="005A36AC"/>
    <w:rsid w:val="005B1373"/>
    <w:rsid w:val="005B3480"/>
    <w:rsid w:val="005B3BD6"/>
    <w:rsid w:val="005B5B7B"/>
    <w:rsid w:val="005B6F10"/>
    <w:rsid w:val="005C4986"/>
    <w:rsid w:val="005E4000"/>
    <w:rsid w:val="005E6A3A"/>
    <w:rsid w:val="005F338A"/>
    <w:rsid w:val="005F3DEC"/>
    <w:rsid w:val="00601EB6"/>
    <w:rsid w:val="00602DA0"/>
    <w:rsid w:val="0060520F"/>
    <w:rsid w:val="0060573B"/>
    <w:rsid w:val="00624037"/>
    <w:rsid w:val="006363BC"/>
    <w:rsid w:val="006367A6"/>
    <w:rsid w:val="006368EB"/>
    <w:rsid w:val="006379D0"/>
    <w:rsid w:val="0064346D"/>
    <w:rsid w:val="00657550"/>
    <w:rsid w:val="00662232"/>
    <w:rsid w:val="00662485"/>
    <w:rsid w:val="00665564"/>
    <w:rsid w:val="006713B6"/>
    <w:rsid w:val="00691B95"/>
    <w:rsid w:val="0069308E"/>
    <w:rsid w:val="006A5DF6"/>
    <w:rsid w:val="006C5012"/>
    <w:rsid w:val="006D4AD4"/>
    <w:rsid w:val="006F0199"/>
    <w:rsid w:val="006F4E03"/>
    <w:rsid w:val="007319E4"/>
    <w:rsid w:val="00767C10"/>
    <w:rsid w:val="00780164"/>
    <w:rsid w:val="00781B0D"/>
    <w:rsid w:val="0078459A"/>
    <w:rsid w:val="00786384"/>
    <w:rsid w:val="007A6CD6"/>
    <w:rsid w:val="007B611E"/>
    <w:rsid w:val="007C2A87"/>
    <w:rsid w:val="007C31A8"/>
    <w:rsid w:val="007D1662"/>
    <w:rsid w:val="007D4C64"/>
    <w:rsid w:val="007F1A18"/>
    <w:rsid w:val="00800814"/>
    <w:rsid w:val="00800E91"/>
    <w:rsid w:val="00807AA1"/>
    <w:rsid w:val="00811A08"/>
    <w:rsid w:val="008237A5"/>
    <w:rsid w:val="00827487"/>
    <w:rsid w:val="00830A22"/>
    <w:rsid w:val="00834F89"/>
    <w:rsid w:val="00836102"/>
    <w:rsid w:val="008366B9"/>
    <w:rsid w:val="00841438"/>
    <w:rsid w:val="00841BC7"/>
    <w:rsid w:val="00852F51"/>
    <w:rsid w:val="008535D1"/>
    <w:rsid w:val="00863E5E"/>
    <w:rsid w:val="00864613"/>
    <w:rsid w:val="008658B9"/>
    <w:rsid w:val="0089710C"/>
    <w:rsid w:val="008B2644"/>
    <w:rsid w:val="008B4EFD"/>
    <w:rsid w:val="008B5FA5"/>
    <w:rsid w:val="008C5A8E"/>
    <w:rsid w:val="008D5357"/>
    <w:rsid w:val="008F1250"/>
    <w:rsid w:val="00914234"/>
    <w:rsid w:val="00925AAC"/>
    <w:rsid w:val="00925C7C"/>
    <w:rsid w:val="00934B50"/>
    <w:rsid w:val="009426DA"/>
    <w:rsid w:val="0095390F"/>
    <w:rsid w:val="0095426B"/>
    <w:rsid w:val="0095427D"/>
    <w:rsid w:val="00957EC0"/>
    <w:rsid w:val="00960AA5"/>
    <w:rsid w:val="00964DF5"/>
    <w:rsid w:val="00974C84"/>
    <w:rsid w:val="00992A67"/>
    <w:rsid w:val="00994DA4"/>
    <w:rsid w:val="009958C3"/>
    <w:rsid w:val="009A44B7"/>
    <w:rsid w:val="009B1A71"/>
    <w:rsid w:val="009C600B"/>
    <w:rsid w:val="009E1814"/>
    <w:rsid w:val="009E2938"/>
    <w:rsid w:val="00A00ABB"/>
    <w:rsid w:val="00A02FE3"/>
    <w:rsid w:val="00A10B6F"/>
    <w:rsid w:val="00A17FE1"/>
    <w:rsid w:val="00A25236"/>
    <w:rsid w:val="00A302BC"/>
    <w:rsid w:val="00A3402C"/>
    <w:rsid w:val="00A34353"/>
    <w:rsid w:val="00A40287"/>
    <w:rsid w:val="00A4106D"/>
    <w:rsid w:val="00A419BC"/>
    <w:rsid w:val="00A454B6"/>
    <w:rsid w:val="00A46212"/>
    <w:rsid w:val="00A60CD0"/>
    <w:rsid w:val="00A6276A"/>
    <w:rsid w:val="00A66CDD"/>
    <w:rsid w:val="00A67437"/>
    <w:rsid w:val="00A742CD"/>
    <w:rsid w:val="00A83851"/>
    <w:rsid w:val="00A91133"/>
    <w:rsid w:val="00A918AE"/>
    <w:rsid w:val="00A92D8E"/>
    <w:rsid w:val="00A93FA8"/>
    <w:rsid w:val="00A94FD1"/>
    <w:rsid w:val="00A96D97"/>
    <w:rsid w:val="00A97A7C"/>
    <w:rsid w:val="00AA06F2"/>
    <w:rsid w:val="00AA2FAB"/>
    <w:rsid w:val="00AB2138"/>
    <w:rsid w:val="00AB64FA"/>
    <w:rsid w:val="00AC4E6B"/>
    <w:rsid w:val="00AC662A"/>
    <w:rsid w:val="00AD4C3C"/>
    <w:rsid w:val="00AE3358"/>
    <w:rsid w:val="00B102AB"/>
    <w:rsid w:val="00B16B4E"/>
    <w:rsid w:val="00B22DE0"/>
    <w:rsid w:val="00B3608E"/>
    <w:rsid w:val="00B37921"/>
    <w:rsid w:val="00B45D36"/>
    <w:rsid w:val="00B553F3"/>
    <w:rsid w:val="00B6053A"/>
    <w:rsid w:val="00B73B85"/>
    <w:rsid w:val="00B75D02"/>
    <w:rsid w:val="00B8604E"/>
    <w:rsid w:val="00B92CB9"/>
    <w:rsid w:val="00B96F5A"/>
    <w:rsid w:val="00B97307"/>
    <w:rsid w:val="00BA22BF"/>
    <w:rsid w:val="00BA3890"/>
    <w:rsid w:val="00BB08F4"/>
    <w:rsid w:val="00BB185C"/>
    <w:rsid w:val="00BB4FEC"/>
    <w:rsid w:val="00BC5F38"/>
    <w:rsid w:val="00BC6811"/>
    <w:rsid w:val="00BD079A"/>
    <w:rsid w:val="00BD338E"/>
    <w:rsid w:val="00BE5579"/>
    <w:rsid w:val="00C00F5F"/>
    <w:rsid w:val="00C1120C"/>
    <w:rsid w:val="00C126D5"/>
    <w:rsid w:val="00C16B5E"/>
    <w:rsid w:val="00C35724"/>
    <w:rsid w:val="00C41E32"/>
    <w:rsid w:val="00C4231B"/>
    <w:rsid w:val="00C623F0"/>
    <w:rsid w:val="00C64495"/>
    <w:rsid w:val="00C65277"/>
    <w:rsid w:val="00C702A9"/>
    <w:rsid w:val="00C72A09"/>
    <w:rsid w:val="00C80A10"/>
    <w:rsid w:val="00C94490"/>
    <w:rsid w:val="00C965B9"/>
    <w:rsid w:val="00C96977"/>
    <w:rsid w:val="00CA064E"/>
    <w:rsid w:val="00CB3527"/>
    <w:rsid w:val="00CB64BE"/>
    <w:rsid w:val="00CC6698"/>
    <w:rsid w:val="00CD1B15"/>
    <w:rsid w:val="00CD38E9"/>
    <w:rsid w:val="00CF47E9"/>
    <w:rsid w:val="00CF598B"/>
    <w:rsid w:val="00CF67E5"/>
    <w:rsid w:val="00D06FE8"/>
    <w:rsid w:val="00D13B7E"/>
    <w:rsid w:val="00D150CD"/>
    <w:rsid w:val="00D254DC"/>
    <w:rsid w:val="00D41CB7"/>
    <w:rsid w:val="00D536F7"/>
    <w:rsid w:val="00D57654"/>
    <w:rsid w:val="00D650FF"/>
    <w:rsid w:val="00D7288C"/>
    <w:rsid w:val="00D82BFF"/>
    <w:rsid w:val="00D843CF"/>
    <w:rsid w:val="00DA2D94"/>
    <w:rsid w:val="00DA56F5"/>
    <w:rsid w:val="00DC0BE2"/>
    <w:rsid w:val="00DC6C52"/>
    <w:rsid w:val="00DD6051"/>
    <w:rsid w:val="00DE40A0"/>
    <w:rsid w:val="00DE638A"/>
    <w:rsid w:val="00DE7F8F"/>
    <w:rsid w:val="00DF7C8B"/>
    <w:rsid w:val="00E15647"/>
    <w:rsid w:val="00E23555"/>
    <w:rsid w:val="00E302A2"/>
    <w:rsid w:val="00E37932"/>
    <w:rsid w:val="00E600F7"/>
    <w:rsid w:val="00E75685"/>
    <w:rsid w:val="00E77780"/>
    <w:rsid w:val="00E82B9E"/>
    <w:rsid w:val="00E87C1D"/>
    <w:rsid w:val="00EA18DA"/>
    <w:rsid w:val="00EA3EA9"/>
    <w:rsid w:val="00EA406D"/>
    <w:rsid w:val="00EA689F"/>
    <w:rsid w:val="00EB196A"/>
    <w:rsid w:val="00EC71D9"/>
    <w:rsid w:val="00ED0A7F"/>
    <w:rsid w:val="00ED18A5"/>
    <w:rsid w:val="00ED5C01"/>
    <w:rsid w:val="00ED7A3B"/>
    <w:rsid w:val="00EE1923"/>
    <w:rsid w:val="00EE6037"/>
    <w:rsid w:val="00EF14BA"/>
    <w:rsid w:val="00EF734A"/>
    <w:rsid w:val="00F004EA"/>
    <w:rsid w:val="00F02C92"/>
    <w:rsid w:val="00F06D4D"/>
    <w:rsid w:val="00F10DC6"/>
    <w:rsid w:val="00F12321"/>
    <w:rsid w:val="00F13A24"/>
    <w:rsid w:val="00F21735"/>
    <w:rsid w:val="00F219B4"/>
    <w:rsid w:val="00F237E4"/>
    <w:rsid w:val="00F43521"/>
    <w:rsid w:val="00F5007B"/>
    <w:rsid w:val="00F5088E"/>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 w:type="character" w:styleId="af0">
    <w:name w:val="annotation reference"/>
    <w:basedOn w:val="a0"/>
    <w:uiPriority w:val="99"/>
    <w:semiHidden/>
    <w:unhideWhenUsed/>
    <w:rsid w:val="002A59C9"/>
    <w:rPr>
      <w:sz w:val="16"/>
      <w:szCs w:val="16"/>
    </w:rPr>
  </w:style>
  <w:style w:type="paragraph" w:styleId="af1">
    <w:name w:val="annotation text"/>
    <w:basedOn w:val="a"/>
    <w:link w:val="Char6"/>
    <w:uiPriority w:val="99"/>
    <w:unhideWhenUsed/>
    <w:rsid w:val="002A59C9"/>
    <w:pPr>
      <w:spacing w:line="240" w:lineRule="auto"/>
    </w:pPr>
    <w:rPr>
      <w:sz w:val="20"/>
      <w:szCs w:val="20"/>
    </w:rPr>
  </w:style>
  <w:style w:type="character" w:customStyle="1" w:styleId="Char6">
    <w:name w:val="نص تعليق Char"/>
    <w:basedOn w:val="a0"/>
    <w:link w:val="af1"/>
    <w:uiPriority w:val="99"/>
    <w:rsid w:val="002A59C9"/>
    <w:rPr>
      <w:kern w:val="0"/>
      <w:sz w:val="20"/>
      <w:szCs w:val="20"/>
      <w14:ligatures w14:val="none"/>
    </w:rPr>
  </w:style>
  <w:style w:type="paragraph" w:styleId="af2">
    <w:name w:val="annotation subject"/>
    <w:basedOn w:val="af1"/>
    <w:next w:val="af1"/>
    <w:link w:val="Char7"/>
    <w:uiPriority w:val="99"/>
    <w:semiHidden/>
    <w:unhideWhenUsed/>
    <w:rsid w:val="002A59C9"/>
    <w:rPr>
      <w:b/>
      <w:bCs/>
    </w:rPr>
  </w:style>
  <w:style w:type="character" w:customStyle="1" w:styleId="Char7">
    <w:name w:val="موضوع تعليق Char"/>
    <w:basedOn w:val="Char6"/>
    <w:link w:val="af2"/>
    <w:uiPriority w:val="99"/>
    <w:semiHidden/>
    <w:rsid w:val="002A59C9"/>
    <w:rPr>
      <w:b/>
      <w:bCs/>
      <w:kern w:val="0"/>
      <w:sz w:val="20"/>
      <w:szCs w:val="20"/>
      <w14:ligatures w14:val="none"/>
    </w:rPr>
  </w:style>
  <w:style w:type="paragraph" w:styleId="af3">
    <w:name w:val="Balloon Text"/>
    <w:basedOn w:val="a"/>
    <w:link w:val="Char8"/>
    <w:uiPriority w:val="99"/>
    <w:semiHidden/>
    <w:unhideWhenUsed/>
    <w:rsid w:val="00DE7F8F"/>
    <w:pPr>
      <w:spacing w:after="0" w:line="240" w:lineRule="auto"/>
    </w:pPr>
    <w:rPr>
      <w:rFonts w:ascii="Tahoma" w:hAnsi="Tahoma" w:cs="Tahoma"/>
      <w:sz w:val="18"/>
      <w:szCs w:val="18"/>
    </w:rPr>
  </w:style>
  <w:style w:type="character" w:customStyle="1" w:styleId="Char8">
    <w:name w:val="نص في بالون Char"/>
    <w:basedOn w:val="a0"/>
    <w:link w:val="af3"/>
    <w:uiPriority w:val="99"/>
    <w:semiHidden/>
    <w:rsid w:val="00DE7F8F"/>
    <w:rPr>
      <w:rFonts w:ascii="Tahoma" w:hAnsi="Tahoma" w:cs="Tahoma"/>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9A2D3-4C13-4A27-A2FF-C68484BD5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145</Pages>
  <Words>56399</Words>
  <Characters>321478</Characters>
  <Application>Microsoft Office Word</Application>
  <DocSecurity>0</DocSecurity>
  <Lines>2678</Lines>
  <Paragraphs>754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377123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Dr. Ibrahim</cp:lastModifiedBy>
  <cp:revision>8</cp:revision>
  <dcterms:created xsi:type="dcterms:W3CDTF">2026-07-03T15:59:00Z</dcterms:created>
  <dcterms:modified xsi:type="dcterms:W3CDTF">2026-07-22T16:06:00Z</dcterms:modified>
</cp:coreProperties>
</file>