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1F4A2A2A" w:rsidR="00EA22ED" w:rsidRDefault="00055468" w:rsidP="00B45D35">
            <w:pPr>
              <w:bidi/>
              <w:jc w:val="center"/>
            </w:pPr>
            <w:r>
              <w:rPr>
                <w:rFonts w:hint="cs"/>
                <w:rtl/>
              </w:rPr>
              <w:t>-</w:t>
            </w:r>
          </w:p>
        </w:tc>
        <w:tc>
          <w:tcPr>
            <w:tcW w:w="4131" w:type="dxa"/>
            <w:vAlign w:val="center"/>
          </w:tcPr>
          <w:p w14:paraId="3766419F" w14:textId="76EDE3D4" w:rsidR="00EA22ED" w:rsidRDefault="00055468" w:rsidP="00B45D35">
            <w:pPr>
              <w:bidi/>
              <w:jc w:val="center"/>
            </w:pPr>
            <w:r>
              <w:rPr>
                <w:rFonts w:hint="cs"/>
                <w:rtl/>
              </w:rPr>
              <w:t>يرجى الالتزام بتنسيق جامعة ميدأوشن</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642FC71C" w:rsidR="00EA22ED" w:rsidRDefault="00055468" w:rsidP="00B45D35">
            <w:pPr>
              <w:bidi/>
              <w:jc w:val="center"/>
            </w:pPr>
            <w:r>
              <w:rPr>
                <w:rFonts w:hint="cs"/>
                <w:rtl/>
              </w:rPr>
              <w:t>-</w:t>
            </w: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7BD02427" w:rsidR="00EA22ED" w:rsidRDefault="00055468"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80FA0C2" w:rsidR="00B45D35" w:rsidRDefault="00B45D35" w:rsidP="00B45D35">
            <w:pPr>
              <w:bidi/>
              <w:jc w:val="center"/>
              <w:rPr>
                <w:rtl/>
              </w:rPr>
            </w:pPr>
            <w:r>
              <w:rPr>
                <w:rFonts w:hint="cs"/>
                <w:rtl/>
              </w:rPr>
              <w:t>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A972D70" w:rsidR="00EA22ED" w:rsidRDefault="00055468"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4B6D802" w:rsidR="00EA22ED" w:rsidRDefault="00055468"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5589B904" w:rsidR="00EA22ED" w:rsidRDefault="00055468"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1F8BA4B3" w:rsidR="00EA22ED" w:rsidRDefault="00055468"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4B3A1D20" w:rsidR="00EA22ED" w:rsidRDefault="00055468"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lastRenderedPageBreak/>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C0B4AED" w:rsidR="00EA22ED" w:rsidRDefault="00055468" w:rsidP="00B45D35">
            <w:pPr>
              <w:bidi/>
              <w:jc w:val="center"/>
            </w:pPr>
            <w:r>
              <w:rPr>
                <w:rFonts w:hint="cs"/>
                <w:rtl/>
              </w:rPr>
              <w:t>-</w:t>
            </w:r>
          </w:p>
        </w:tc>
        <w:tc>
          <w:tcPr>
            <w:tcW w:w="930" w:type="dxa"/>
            <w:vAlign w:val="center"/>
          </w:tcPr>
          <w:p w14:paraId="6A7499E5" w14:textId="0AC67F38"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58466028" w:rsidR="00EA22ED" w:rsidRDefault="00055468"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1EE3B454" w:rsidR="00EA22ED" w:rsidRDefault="00055468"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4DE9F55" w:rsidR="00EA22ED" w:rsidRDefault="00055468"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10DE2282" w:rsidR="00EA22ED" w:rsidRDefault="00EA22ED" w:rsidP="00B45D35">
            <w:pPr>
              <w:bidi/>
              <w:jc w:val="center"/>
            </w:pP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5B934C01" w:rsidR="00EA22ED" w:rsidRDefault="00055468"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7F20DBE" w14:textId="5898DFD7" w:rsidR="00055468" w:rsidRDefault="00055468" w:rsidP="00055468">
            <w:pPr>
              <w:bidi/>
              <w:rPr>
                <w:rtl/>
              </w:rPr>
            </w:pPr>
            <w:r>
              <w:rPr>
                <w:rFonts w:cs="Arial" w:hint="cs"/>
                <w:rtl/>
              </w:rPr>
              <w:t>اليك بعض ال</w:t>
            </w:r>
            <w:r>
              <w:rPr>
                <w:rFonts w:cs="Arial"/>
                <w:rtl/>
              </w:rPr>
              <w:t xml:space="preserve">عناوين </w:t>
            </w:r>
            <w:r>
              <w:rPr>
                <w:rFonts w:cs="Arial" w:hint="cs"/>
                <w:rtl/>
              </w:rPr>
              <w:t>ال</w:t>
            </w:r>
            <w:r>
              <w:rPr>
                <w:rFonts w:cs="Arial"/>
                <w:rtl/>
              </w:rPr>
              <w:t>بحثية حول إدارة مخاطر الحشود في المسجد الحرام</w:t>
            </w:r>
            <w:r>
              <w:t>:</w:t>
            </w:r>
          </w:p>
          <w:p w14:paraId="6C05D8AF" w14:textId="77777777" w:rsidR="00055468" w:rsidRDefault="00055468" w:rsidP="00055468">
            <w:pPr>
              <w:bidi/>
              <w:rPr>
                <w:rtl/>
              </w:rPr>
            </w:pPr>
            <w:r>
              <w:rPr>
                <w:rFonts w:cs="Arial"/>
                <w:rtl/>
              </w:rPr>
              <w:t>1</w:t>
            </w:r>
            <w:r>
              <w:t>. "</w:t>
            </w:r>
            <w:r>
              <w:rPr>
                <w:rFonts w:cs="Arial"/>
                <w:rtl/>
              </w:rPr>
              <w:t>تقييم استراتيجيات إدارة الحشود وضمان سلامة زوار المسجد الحرام</w:t>
            </w:r>
            <w:r>
              <w:t>"</w:t>
            </w:r>
          </w:p>
          <w:p w14:paraId="3756A74A" w14:textId="77777777" w:rsidR="00055468" w:rsidRDefault="00055468" w:rsidP="00055468">
            <w:pPr>
              <w:bidi/>
              <w:rPr>
                <w:rtl/>
              </w:rPr>
            </w:pPr>
            <w:r>
              <w:rPr>
                <w:rFonts w:cs="Arial"/>
                <w:rtl/>
              </w:rPr>
              <w:t>2</w:t>
            </w:r>
            <w:r>
              <w:t>. "</w:t>
            </w:r>
            <w:r>
              <w:rPr>
                <w:rFonts w:cs="Arial"/>
                <w:rtl/>
              </w:rPr>
              <w:t>تحليل الأساليب الحديثة لتنظيم الحشود وتقليل المخاطر في المسجد الحرام</w:t>
            </w:r>
            <w:r>
              <w:t>"</w:t>
            </w:r>
          </w:p>
          <w:p w14:paraId="125C8326" w14:textId="77777777" w:rsidR="00055468" w:rsidRDefault="00055468" w:rsidP="00055468">
            <w:pPr>
              <w:bidi/>
              <w:rPr>
                <w:rtl/>
              </w:rPr>
            </w:pPr>
            <w:r>
              <w:rPr>
                <w:rFonts w:cs="Arial"/>
                <w:rtl/>
              </w:rPr>
              <w:t>3</w:t>
            </w:r>
            <w:r>
              <w:t>. "</w:t>
            </w:r>
            <w:r>
              <w:rPr>
                <w:rFonts w:cs="Arial"/>
                <w:rtl/>
              </w:rPr>
              <w:t>تطبيقات التكنولوجيا في تحسين إدارة الحشود والحفاظ على الأمن في المسجد الحرام</w:t>
            </w:r>
            <w:r>
              <w:t>"</w:t>
            </w:r>
          </w:p>
          <w:p w14:paraId="0220044D" w14:textId="77777777" w:rsidR="00055468" w:rsidRDefault="00055468" w:rsidP="00055468">
            <w:pPr>
              <w:bidi/>
              <w:rPr>
                <w:rtl/>
              </w:rPr>
            </w:pPr>
            <w:r>
              <w:rPr>
                <w:rFonts w:cs="Arial"/>
                <w:rtl/>
              </w:rPr>
              <w:t>4</w:t>
            </w:r>
            <w:r>
              <w:t>. "</w:t>
            </w:r>
            <w:r>
              <w:rPr>
                <w:rFonts w:cs="Arial"/>
                <w:rtl/>
              </w:rPr>
              <w:t>تقييم التحديات الأمنية واللوجستية في إدارة الحشود خلال الفعاليات الدينية في المسجد الحرام</w:t>
            </w:r>
            <w:r>
              <w:t>"</w:t>
            </w:r>
          </w:p>
          <w:p w14:paraId="31DFD663" w14:textId="2151B9FE" w:rsidR="00055468" w:rsidRDefault="00055468" w:rsidP="00055468">
            <w:pPr>
              <w:bidi/>
              <w:rPr>
                <w:rtl/>
              </w:rPr>
            </w:pPr>
            <w:r>
              <w:rPr>
                <w:rFonts w:cs="Arial"/>
                <w:rtl/>
              </w:rPr>
              <w:t>5. "دور التدريب والتوعية في تعزيز سلامة وأمن الحشود في المسجد الحرام"</w:t>
            </w:r>
          </w:p>
          <w:p w14:paraId="39B5245A" w14:textId="1C8A1F56" w:rsidR="00055468" w:rsidRDefault="00055468" w:rsidP="00055468">
            <w:pPr>
              <w:bidi/>
              <w:jc w:val="center"/>
              <w:rPr>
                <w:rtl/>
              </w:rPr>
            </w:pPr>
            <w:r>
              <w:rPr>
                <w:rFonts w:hint="cs"/>
                <w:rtl/>
              </w:rPr>
              <w:t>لا يجوز كتابة استنتاجات قبل القيام بعملية تحليل البيانات</w:t>
            </w:r>
            <w:bookmarkStart w:id="0" w:name="_GoBack"/>
            <w:bookmarkEnd w:id="0"/>
          </w:p>
          <w:p w14:paraId="0B7DEFE8" w14:textId="3CD7B12F" w:rsidR="00EA22ED" w:rsidRDefault="00892076" w:rsidP="00055468">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55468"/>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597</Words>
  <Characters>3407</Characters>
  <Application>Microsoft Office Word</Application>
  <DocSecurity>0</DocSecurity>
  <Lines>28</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