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1032D" w14:textId="75681833" w:rsidR="00B667DF" w:rsidRPr="00335C45" w:rsidRDefault="00B667DF" w:rsidP="00335C45">
      <w:pPr>
        <w:bidi/>
        <w:spacing w:after="0" w:line="240" w:lineRule="auto"/>
        <w:jc w:val="center"/>
        <w:rPr>
          <w:rFonts w:ascii="Simplified Arabic" w:hAnsi="Simplified Arabic" w:cs="Simplified Arabic"/>
          <w:b/>
          <w:bCs/>
          <w:sz w:val="22"/>
        </w:rPr>
      </w:pPr>
      <w:r w:rsidRPr="00335C45">
        <w:rPr>
          <w:rFonts w:ascii="Simplified Arabic" w:hAnsi="Simplified Arabic" w:cs="Simplified Arabic"/>
          <w:b/>
          <w:bCs/>
          <w:sz w:val="22"/>
          <w:rtl/>
        </w:rPr>
        <w:t>مراجعة الفصل الثاني (مراجعة الأدبيات/الإطار النظري)</w:t>
      </w:r>
    </w:p>
    <w:p w14:paraId="55338E98" w14:textId="77777777" w:rsidR="00B667DF" w:rsidRPr="00335C45" w:rsidRDefault="00B667DF" w:rsidP="00335C45">
      <w:pPr>
        <w:bidi/>
        <w:spacing w:after="0" w:line="240" w:lineRule="auto"/>
        <w:rPr>
          <w:rFonts w:ascii="Simplified Arabic" w:hAnsi="Simplified Arabic" w:cs="Simplified Arabic"/>
          <w:b/>
          <w:bCs/>
          <w:sz w:val="22"/>
        </w:rPr>
      </w:pPr>
      <w:r w:rsidRPr="00335C45">
        <w:rPr>
          <w:rFonts w:ascii="Simplified Arabic" w:hAnsi="Simplified Arabic" w:cs="Simplified Arabic"/>
          <w:b/>
          <w:bCs/>
          <w:sz w:val="22"/>
          <w:rtl/>
        </w:rPr>
        <w:t>اسم الطالب: عاطف البخاري</w:t>
      </w:r>
    </w:p>
    <w:p w14:paraId="35F22E5E" w14:textId="77777777" w:rsidR="00B667DF" w:rsidRPr="00335C45" w:rsidRDefault="00B667DF" w:rsidP="00335C45">
      <w:pPr>
        <w:bidi/>
        <w:spacing w:after="0" w:line="240" w:lineRule="auto"/>
        <w:rPr>
          <w:rFonts w:ascii="Simplified Arabic" w:hAnsi="Simplified Arabic" w:cs="Simplified Arabic"/>
          <w:b/>
          <w:bCs/>
          <w:sz w:val="22"/>
        </w:rPr>
      </w:pPr>
      <w:r w:rsidRPr="00335C45">
        <w:rPr>
          <w:rFonts w:ascii="Simplified Arabic" w:hAnsi="Simplified Arabic" w:cs="Simplified Arabic"/>
          <w:b/>
          <w:bCs/>
          <w:sz w:val="22"/>
          <w:rtl/>
        </w:rPr>
        <w:t>عنوان الرسالة: أثر التحول الرقمي على الاستقرار الوظيفي في المستشفيات الحكومية في المملكة العربية السعودية: دراسة ميدانية على مدينة جدة</w:t>
      </w:r>
    </w:p>
    <w:p w14:paraId="22635389" w14:textId="1DF3310B" w:rsidR="00D018DA" w:rsidRPr="0010361E" w:rsidRDefault="00C24CA0" w:rsidP="0010361E">
      <w:pPr>
        <w:pStyle w:val="ListParagraph"/>
        <w:numPr>
          <w:ilvl w:val="0"/>
          <w:numId w:val="18"/>
        </w:numPr>
        <w:bidi/>
        <w:spacing w:after="0" w:line="240" w:lineRule="auto"/>
        <w:rPr>
          <w:rFonts w:ascii="Simplified Arabic" w:hAnsi="Simplified Arabic" w:cs="Simplified Arabic"/>
          <w:sz w:val="22"/>
        </w:rPr>
      </w:pPr>
      <w:r w:rsidRPr="0010361E">
        <w:rPr>
          <w:rFonts w:ascii="Simplified Arabic" w:hAnsi="Simplified Arabic" w:cs="Simplified Arabic"/>
          <w:b/>
          <w:sz w:val="22"/>
        </w:rPr>
        <w:t>الحكم العام كمشرف</w:t>
      </w:r>
    </w:p>
    <w:tbl>
      <w:tblPr>
        <w:tblStyle w:val="TableGrid"/>
        <w:bidiVisual/>
        <w:tblW w:w="0" w:type="auto"/>
        <w:tblLook w:val="04A0" w:firstRow="1" w:lastRow="0" w:firstColumn="1" w:lastColumn="0" w:noHBand="0" w:noVBand="1"/>
      </w:tblPr>
      <w:tblGrid>
        <w:gridCol w:w="2368"/>
        <w:gridCol w:w="11194"/>
      </w:tblGrid>
      <w:tr w:rsidR="0010361E" w:rsidRPr="00335C45" w14:paraId="41C59E4B" w14:textId="77777777" w:rsidTr="0010361E">
        <w:tc>
          <w:tcPr>
            <w:tcW w:w="2368" w:type="dxa"/>
          </w:tcPr>
          <w:p w14:paraId="5788811D" w14:textId="35A5B24D" w:rsidR="0010361E" w:rsidRPr="00335C45" w:rsidRDefault="0010361E" w:rsidP="0010361E">
            <w:pPr>
              <w:jc w:val="right"/>
              <w:rPr>
                <w:rFonts w:ascii="Simplified Arabic" w:hAnsi="Simplified Arabic" w:cs="Simplified Arabic"/>
                <w:sz w:val="22"/>
              </w:rPr>
            </w:pPr>
            <w:r w:rsidRPr="00565F1D">
              <w:rPr>
                <w:rtl/>
              </w:rPr>
              <w:t>البند</w:t>
            </w:r>
          </w:p>
        </w:tc>
        <w:tc>
          <w:tcPr>
            <w:tcW w:w="11194" w:type="dxa"/>
          </w:tcPr>
          <w:p w14:paraId="2ACE2747" w14:textId="77777777" w:rsidR="0010361E" w:rsidRPr="00335C45" w:rsidRDefault="0010361E" w:rsidP="0010361E">
            <w:pPr>
              <w:jc w:val="right"/>
              <w:rPr>
                <w:rFonts w:ascii="Simplified Arabic" w:hAnsi="Simplified Arabic" w:cs="Simplified Arabic"/>
                <w:sz w:val="22"/>
              </w:rPr>
            </w:pPr>
            <w:r w:rsidRPr="00335C45">
              <w:rPr>
                <w:rFonts w:ascii="Simplified Arabic" w:hAnsi="Simplified Arabic" w:cs="Simplified Arabic"/>
                <w:b/>
                <w:sz w:val="22"/>
              </w:rPr>
              <w:t>التفاصيل</w:t>
            </w:r>
          </w:p>
        </w:tc>
      </w:tr>
      <w:tr w:rsidR="0010361E" w:rsidRPr="00335C45" w14:paraId="592ADAC8" w14:textId="77777777" w:rsidTr="0010361E">
        <w:tc>
          <w:tcPr>
            <w:tcW w:w="2368" w:type="dxa"/>
          </w:tcPr>
          <w:p w14:paraId="5556725F" w14:textId="505437BB" w:rsidR="0010361E" w:rsidRPr="00335C45" w:rsidRDefault="0010361E" w:rsidP="0010361E">
            <w:pPr>
              <w:jc w:val="right"/>
              <w:rPr>
                <w:rFonts w:ascii="Simplified Arabic" w:hAnsi="Simplified Arabic" w:cs="Simplified Arabic"/>
                <w:sz w:val="22"/>
              </w:rPr>
            </w:pPr>
            <w:r w:rsidRPr="00565F1D">
              <w:rPr>
                <w:rtl/>
              </w:rPr>
              <w:t>الحالة</w:t>
            </w:r>
          </w:p>
        </w:tc>
        <w:tc>
          <w:tcPr>
            <w:tcW w:w="11194" w:type="dxa"/>
          </w:tcPr>
          <w:p w14:paraId="706E7928" w14:textId="072D8AC1" w:rsidR="0010361E" w:rsidRPr="0006424A" w:rsidRDefault="0010361E" w:rsidP="0010361E">
            <w:pPr>
              <w:pStyle w:val="ListParagraph"/>
              <w:numPr>
                <w:ilvl w:val="0"/>
                <w:numId w:val="12"/>
              </w:numPr>
              <w:bidi/>
              <w:rPr>
                <w:rFonts w:ascii="Simplified Arabic" w:hAnsi="Simplified Arabic" w:cs="Simplified Arabic"/>
                <w:b/>
                <w:bCs/>
                <w:sz w:val="22"/>
              </w:rPr>
            </w:pPr>
            <w:r w:rsidRPr="0006424A">
              <w:rPr>
                <w:rFonts w:ascii="Simplified Arabic" w:hAnsi="Simplified Arabic" w:cs="Simplified Arabic"/>
                <w:b/>
                <w:bCs/>
                <w:sz w:val="22"/>
              </w:rPr>
              <w:t xml:space="preserve">يحتاج تعديلات جوهرية مع وجود أساس جيد قابل للتطوير </w:t>
            </w:r>
          </w:p>
        </w:tc>
      </w:tr>
      <w:tr w:rsidR="0010361E" w:rsidRPr="00335C45" w14:paraId="68AB5E88" w14:textId="77777777" w:rsidTr="0010361E">
        <w:tc>
          <w:tcPr>
            <w:tcW w:w="2368" w:type="dxa"/>
          </w:tcPr>
          <w:p w14:paraId="5C18102F" w14:textId="73C40B54" w:rsidR="0010361E" w:rsidRPr="00335C45" w:rsidRDefault="0010361E" w:rsidP="0010361E">
            <w:pPr>
              <w:jc w:val="center"/>
              <w:rPr>
                <w:rFonts w:ascii="Simplified Arabic" w:hAnsi="Simplified Arabic" w:cs="Simplified Arabic"/>
                <w:sz w:val="22"/>
              </w:rPr>
            </w:pPr>
            <w:r w:rsidRPr="00565F1D">
              <w:rPr>
                <w:rtl/>
              </w:rPr>
              <w:t>نقاط القوة</w:t>
            </w:r>
          </w:p>
        </w:tc>
        <w:tc>
          <w:tcPr>
            <w:tcW w:w="11194" w:type="dxa"/>
          </w:tcPr>
          <w:p w14:paraId="58D17E96" w14:textId="61B33A88" w:rsidR="0010361E" w:rsidRPr="00335C45" w:rsidRDefault="0010361E" w:rsidP="0010361E">
            <w:pPr>
              <w:pStyle w:val="ListParagraph"/>
              <w:numPr>
                <w:ilvl w:val="0"/>
                <w:numId w:val="11"/>
              </w:numPr>
              <w:bidi/>
              <w:rPr>
                <w:rFonts w:ascii="Simplified Arabic" w:hAnsi="Simplified Arabic" w:cs="Simplified Arabic"/>
                <w:sz w:val="22"/>
              </w:rPr>
            </w:pPr>
            <w:r w:rsidRPr="00335C45">
              <w:rPr>
                <w:rFonts w:ascii="Simplified Arabic" w:hAnsi="Simplified Arabic" w:cs="Simplified Arabic"/>
                <w:sz w:val="22"/>
                <w:rtl/>
              </w:rPr>
              <w:t>الفصل يُظهر وعياً واضحاً بالتمييز بين «الرقمنة» و«التحول الرقمي» وتطوره في الأدبيات (تمييز مفاهيمي مهم</w:t>
            </w:r>
            <w:r w:rsidRPr="00335C45">
              <w:rPr>
                <w:rFonts w:ascii="Simplified Arabic" w:hAnsi="Simplified Arabic" w:cs="Simplified Arabic"/>
                <w:sz w:val="22"/>
              </w:rPr>
              <w:t>).</w:t>
            </w:r>
          </w:p>
          <w:p w14:paraId="77F21F93" w14:textId="12F91E48" w:rsidR="0010361E" w:rsidRPr="00335C45" w:rsidRDefault="0010361E" w:rsidP="0010361E">
            <w:pPr>
              <w:pStyle w:val="ListParagraph"/>
              <w:numPr>
                <w:ilvl w:val="0"/>
                <w:numId w:val="11"/>
              </w:numPr>
              <w:bidi/>
              <w:rPr>
                <w:rFonts w:ascii="Simplified Arabic" w:hAnsi="Simplified Arabic" w:cs="Simplified Arabic"/>
                <w:sz w:val="22"/>
              </w:rPr>
            </w:pPr>
            <w:r w:rsidRPr="00335C45">
              <w:rPr>
                <w:rFonts w:ascii="Simplified Arabic" w:hAnsi="Simplified Arabic" w:cs="Simplified Arabic"/>
                <w:sz w:val="22"/>
                <w:rtl/>
              </w:rPr>
              <w:t>وجود تأصيل نظري متعدد المستويات لتبنّي التحول الرقمي</w:t>
            </w:r>
            <w:r w:rsidRPr="00335C45">
              <w:rPr>
                <w:rFonts w:ascii="Simplified Arabic" w:hAnsi="Simplified Arabic" w:cs="Simplified Arabic"/>
                <w:sz w:val="22"/>
              </w:rPr>
              <w:t xml:space="preserve"> (TOE/DOI/TAM-UTAUT/</w:t>
            </w:r>
            <w:r w:rsidRPr="00335C45">
              <w:rPr>
                <w:rFonts w:ascii="Simplified Arabic" w:hAnsi="Simplified Arabic" w:cs="Simplified Arabic"/>
                <w:sz w:val="22"/>
                <w:rtl/>
              </w:rPr>
              <w:t>النظم الاجتماعية-التقنية) يعكس سعة اطلاع</w:t>
            </w:r>
            <w:r w:rsidRPr="00335C45">
              <w:rPr>
                <w:rFonts w:ascii="Simplified Arabic" w:hAnsi="Simplified Arabic" w:cs="Simplified Arabic"/>
                <w:sz w:val="22"/>
              </w:rPr>
              <w:t>.</w:t>
            </w:r>
          </w:p>
          <w:p w14:paraId="1EB23780" w14:textId="079F232A" w:rsidR="0010361E" w:rsidRPr="00335C45" w:rsidRDefault="0010361E" w:rsidP="0010361E">
            <w:pPr>
              <w:pStyle w:val="ListParagraph"/>
              <w:numPr>
                <w:ilvl w:val="0"/>
                <w:numId w:val="11"/>
              </w:numPr>
              <w:bidi/>
              <w:rPr>
                <w:rFonts w:ascii="Simplified Arabic" w:hAnsi="Simplified Arabic" w:cs="Simplified Arabic"/>
                <w:sz w:val="22"/>
              </w:rPr>
            </w:pPr>
            <w:r w:rsidRPr="00335C45">
              <w:rPr>
                <w:rFonts w:ascii="Simplified Arabic" w:hAnsi="Simplified Arabic" w:cs="Simplified Arabic"/>
                <w:sz w:val="22"/>
                <w:rtl/>
              </w:rPr>
              <w:t>بناء الاستقرار الوظيفي كبناء مركب (الأمن الوظيفي/الرضا/الالتزام) مع سند نظري من أدبيات السلوك التنظيمي</w:t>
            </w:r>
            <w:r w:rsidRPr="00335C45">
              <w:rPr>
                <w:rFonts w:ascii="Simplified Arabic" w:hAnsi="Simplified Arabic" w:cs="Simplified Arabic"/>
                <w:sz w:val="22"/>
              </w:rPr>
              <w:t>.</w:t>
            </w:r>
          </w:p>
          <w:p w14:paraId="23CFED61" w14:textId="77777777" w:rsidR="0010361E" w:rsidRPr="00335C45" w:rsidRDefault="0010361E" w:rsidP="0010361E">
            <w:pPr>
              <w:pStyle w:val="ListParagraph"/>
              <w:numPr>
                <w:ilvl w:val="0"/>
                <w:numId w:val="11"/>
              </w:numPr>
              <w:bidi/>
              <w:rPr>
                <w:rFonts w:ascii="Simplified Arabic" w:hAnsi="Simplified Arabic" w:cs="Simplified Arabic"/>
                <w:sz w:val="22"/>
              </w:rPr>
            </w:pPr>
            <w:r w:rsidRPr="00335C45">
              <w:rPr>
                <w:rFonts w:ascii="Simplified Arabic" w:hAnsi="Simplified Arabic" w:cs="Simplified Arabic"/>
                <w:sz w:val="22"/>
                <w:rtl/>
              </w:rPr>
              <w:t>صياغة منطق لمسارات التأثير (مسارات داعمة ومسارات ضاغطة) يفتح الباب للتفسير وليس الاختبار العددي فقط</w:t>
            </w:r>
            <w:r w:rsidRPr="00335C45">
              <w:rPr>
                <w:rFonts w:ascii="Simplified Arabic" w:hAnsi="Simplified Arabic" w:cs="Simplified Arabic"/>
                <w:sz w:val="22"/>
              </w:rPr>
              <w:t>.</w:t>
            </w:r>
          </w:p>
          <w:p w14:paraId="2231B9A3" w14:textId="30E0314C" w:rsidR="0010361E" w:rsidRPr="00335C45" w:rsidRDefault="0010361E" w:rsidP="0010361E">
            <w:pPr>
              <w:pStyle w:val="ListParagraph"/>
              <w:numPr>
                <w:ilvl w:val="0"/>
                <w:numId w:val="11"/>
              </w:numPr>
              <w:bidi/>
              <w:rPr>
                <w:rFonts w:ascii="Simplified Arabic" w:hAnsi="Simplified Arabic" w:cs="Simplified Arabic"/>
                <w:sz w:val="22"/>
              </w:rPr>
            </w:pPr>
            <w:r w:rsidRPr="00335C45">
              <w:rPr>
                <w:rFonts w:ascii="Simplified Arabic" w:hAnsi="Simplified Arabic" w:cs="Simplified Arabic"/>
                <w:sz w:val="22"/>
                <w:rtl/>
              </w:rPr>
              <w:t>تنظيم الدراسات السابقة إلى محاور ثلاثة مع محاولة تقديم «تعليق تحليلي» بعد كل دراسة (بذرة توليف جيدة</w:t>
            </w:r>
            <w:r w:rsidRPr="00335C45">
              <w:rPr>
                <w:rFonts w:ascii="Simplified Arabic" w:hAnsi="Simplified Arabic" w:cs="Simplified Arabic"/>
                <w:sz w:val="22"/>
              </w:rPr>
              <w:t>).</w:t>
            </w:r>
          </w:p>
        </w:tc>
      </w:tr>
      <w:tr w:rsidR="0010361E" w:rsidRPr="00335C45" w14:paraId="2E8827FC" w14:textId="77777777" w:rsidTr="0010361E">
        <w:tc>
          <w:tcPr>
            <w:tcW w:w="2368" w:type="dxa"/>
          </w:tcPr>
          <w:p w14:paraId="115669B7" w14:textId="44EC5AA0" w:rsidR="0010361E" w:rsidRPr="00335C45" w:rsidRDefault="0010361E" w:rsidP="0010361E">
            <w:pPr>
              <w:jc w:val="right"/>
              <w:rPr>
                <w:rFonts w:ascii="Simplified Arabic" w:hAnsi="Simplified Arabic" w:cs="Simplified Arabic"/>
                <w:sz w:val="22"/>
              </w:rPr>
            </w:pPr>
            <w:r w:rsidRPr="00565F1D">
              <w:rPr>
                <w:rtl/>
              </w:rPr>
              <w:t xml:space="preserve">نقاط الضعف/الفجوات الحرجة </w:t>
            </w:r>
          </w:p>
        </w:tc>
        <w:tc>
          <w:tcPr>
            <w:tcW w:w="11194" w:type="dxa"/>
          </w:tcPr>
          <w:p w14:paraId="58611C44" w14:textId="327207B6"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كثرة الأطر النظرية دون دمجها في «خيط تفسيري واحد» يقود مباشرة إلى نموذج الدراسة وفروضها؛ ما يجعل الفصل أحياناً موسوعياً.</w:t>
            </w:r>
          </w:p>
          <w:p w14:paraId="2086326C" w14:textId="6A98CB08"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ظهور خطاب موجه للقارئ بصيغة «دراساتك» يوحي بنص غير أكاديمي/غير محايد ويضعف الاعتمادية.</w:t>
            </w:r>
          </w:p>
          <w:p w14:paraId="57492B48" w14:textId="00E935F2"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الفجوة البحثية ما تزال عامة (قلة الدراسات/سياق جدة) دون برهنة منهجية أو تلخيص فجوة «تفسيرية/تجريبية» محددة.</w:t>
            </w:r>
          </w:p>
          <w:p w14:paraId="2D0E3F07" w14:textId="7E6CD30D"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تعريف الاستقرار الوظيفي كمتغير كلي واحد يحتاج تبريراً قياسياً أقوى (هل هو بناء من الدرجة الثانية؟ وكيف سيُختبر؟).</w:t>
            </w:r>
          </w:p>
          <w:p w14:paraId="1694A92A" w14:textId="707CA4BC"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العلاقة المفاهيمية بين المتغيرات (مثلاً: هل الكفاءة الرقمية «بعد» للتحول الرقمي أم «مورد بشري/مُعدِّل»؟) تحتاج ضبطاً.</w:t>
            </w:r>
          </w:p>
          <w:p w14:paraId="602A7DE2" w14:textId="14EB326A"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المحور الثاني (الدراسات السابقة) يميل إلى تلخيص دراسة-بدراسة؛ ويحتاج تحويله إلى توليف محاور/نتائج/تناقضات.</w:t>
            </w:r>
          </w:p>
          <w:p w14:paraId="592C27D5" w14:textId="319F7A68"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 xml:space="preserve">بعض الاستشهادات تظهر بأخطاء شكلية (مثل الأقواس المزدوجة، أو عدم اتساق أسلوب </w:t>
            </w:r>
            <w:r w:rsidRPr="007026D9">
              <w:rPr>
                <w:rFonts w:ascii="Simplified Arabic" w:hAnsi="Simplified Arabic" w:cs="Simplified Arabic"/>
                <w:sz w:val="22"/>
              </w:rPr>
              <w:t>APA</w:t>
            </w:r>
            <w:r w:rsidRPr="007026D9">
              <w:rPr>
                <w:rFonts w:ascii="Simplified Arabic" w:hAnsi="Simplified Arabic" w:cs="Simplified Arabic"/>
                <w:sz w:val="22"/>
                <w:rtl/>
              </w:rPr>
              <w:t>) مما يضعف الاحترافية.</w:t>
            </w:r>
          </w:p>
          <w:p w14:paraId="0E010354" w14:textId="326FE844"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الاعتماد على أدبيات رمادية (تقارير/أوراق مؤتمرات/مخطوطات غير منشورة) يحتاج ضبطاً وإسناداً بمصادر محكمة.</w:t>
            </w:r>
          </w:p>
          <w:p w14:paraId="57E96509" w14:textId="23486701"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غياب «خاتمة فصل» قوية تربط الأدبيات بأسئلة الدراسة/الفرضيات وتُمهّد مباشرة للفصل الثالث (المنهج).</w:t>
            </w:r>
          </w:p>
          <w:p w14:paraId="3B2250F2" w14:textId="5D2D74D4" w:rsidR="0010361E" w:rsidRPr="007026D9" w:rsidRDefault="0010361E" w:rsidP="0010361E">
            <w:pPr>
              <w:pStyle w:val="ListParagraph"/>
              <w:numPr>
                <w:ilvl w:val="0"/>
                <w:numId w:val="15"/>
              </w:numPr>
              <w:bidi/>
              <w:rPr>
                <w:rFonts w:ascii="Simplified Arabic" w:hAnsi="Simplified Arabic" w:cs="Simplified Arabic"/>
                <w:sz w:val="22"/>
              </w:rPr>
            </w:pPr>
            <w:r w:rsidRPr="007026D9">
              <w:rPr>
                <w:rFonts w:ascii="Simplified Arabic" w:hAnsi="Simplified Arabic" w:cs="Simplified Arabic"/>
                <w:sz w:val="22"/>
                <w:rtl/>
              </w:rPr>
              <w:t>بعض المفاهيم تحتاج تعريفات حدّية (</w:t>
            </w:r>
            <w:r w:rsidRPr="007026D9">
              <w:rPr>
                <w:rFonts w:ascii="Simplified Arabic" w:hAnsi="Simplified Arabic" w:cs="Simplified Arabic"/>
                <w:sz w:val="22"/>
              </w:rPr>
              <w:t>Boundary conditions</w:t>
            </w:r>
            <w:r w:rsidRPr="007026D9">
              <w:rPr>
                <w:rFonts w:ascii="Simplified Arabic" w:hAnsi="Simplified Arabic" w:cs="Simplified Arabic"/>
                <w:sz w:val="22"/>
                <w:rtl/>
              </w:rPr>
              <w:t>) خاصة طبيعة المستشفيات الحكومية بجدة (التنظيم/الموارد/الضغط التشغيلي).</w:t>
            </w:r>
          </w:p>
        </w:tc>
      </w:tr>
      <w:tr w:rsidR="0010361E" w:rsidRPr="00335C45" w14:paraId="66B3C8C1" w14:textId="77777777" w:rsidTr="0010361E">
        <w:tc>
          <w:tcPr>
            <w:tcW w:w="2368" w:type="dxa"/>
          </w:tcPr>
          <w:p w14:paraId="3872C0BE" w14:textId="7933EBB1" w:rsidR="0010361E" w:rsidRPr="00335C45" w:rsidRDefault="0010361E" w:rsidP="0010361E">
            <w:pPr>
              <w:jc w:val="right"/>
              <w:rPr>
                <w:rFonts w:ascii="Simplified Arabic" w:hAnsi="Simplified Arabic" w:cs="Simplified Arabic"/>
                <w:sz w:val="22"/>
              </w:rPr>
            </w:pPr>
            <w:r w:rsidRPr="00565F1D">
              <w:rPr>
                <w:rtl/>
              </w:rPr>
              <w:t>إجراءات للتعديل (مرتّبة حسب الأولوية)</w:t>
            </w:r>
          </w:p>
        </w:tc>
        <w:tc>
          <w:tcPr>
            <w:tcW w:w="11194" w:type="dxa"/>
          </w:tcPr>
          <w:p w14:paraId="2602B3C9"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1) </w:t>
            </w:r>
            <w:r w:rsidRPr="00335C45">
              <w:rPr>
                <w:rFonts w:ascii="Simplified Arabic" w:hAnsi="Simplified Arabic" w:cs="Simplified Arabic"/>
                <w:sz w:val="22"/>
                <w:rtl/>
              </w:rPr>
              <w:t>اختيار إطار/نموذج تفسيري «محوري» واحد لقيادة الفصل (مثلاً: النظم الاجتماعية-التقنية</w:t>
            </w:r>
            <w:r w:rsidRPr="00335C45">
              <w:rPr>
                <w:rFonts w:ascii="Simplified Arabic" w:hAnsi="Simplified Arabic" w:cs="Simplified Arabic"/>
                <w:sz w:val="22"/>
              </w:rPr>
              <w:t xml:space="preserve"> + JD-R/</w:t>
            </w:r>
            <w:r w:rsidRPr="00335C45">
              <w:rPr>
                <w:rFonts w:ascii="Simplified Arabic" w:hAnsi="Simplified Arabic" w:cs="Simplified Arabic"/>
                <w:sz w:val="22"/>
                <w:rtl/>
              </w:rPr>
              <w:t>التبادل الاجتماعي) ثم توظيف بقية الأطر كدعم ثانوي</w:t>
            </w:r>
            <w:r w:rsidRPr="00335C45">
              <w:rPr>
                <w:rFonts w:ascii="Simplified Arabic" w:hAnsi="Simplified Arabic" w:cs="Simplified Arabic"/>
                <w:sz w:val="22"/>
              </w:rPr>
              <w:t>.</w:t>
            </w:r>
          </w:p>
          <w:p w14:paraId="50B7E57C"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2) </w:t>
            </w:r>
            <w:r w:rsidRPr="00335C45">
              <w:rPr>
                <w:rFonts w:ascii="Simplified Arabic" w:hAnsi="Simplified Arabic" w:cs="Simplified Arabic"/>
                <w:sz w:val="22"/>
                <w:rtl/>
              </w:rPr>
              <w:t>إعادة كتابة المقاطع التي تتضمن «دراساتك» بصياغة محايدة (دراسات سابقة/الأدبيات) مع تدقيق كامل لأسلوب الخطاب</w:t>
            </w:r>
            <w:r w:rsidRPr="00335C45">
              <w:rPr>
                <w:rFonts w:ascii="Simplified Arabic" w:hAnsi="Simplified Arabic" w:cs="Simplified Arabic"/>
                <w:sz w:val="22"/>
              </w:rPr>
              <w:t>.</w:t>
            </w:r>
          </w:p>
          <w:p w14:paraId="39EB9A1E"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3) </w:t>
            </w:r>
            <w:r w:rsidRPr="00335C45">
              <w:rPr>
                <w:rFonts w:ascii="Simplified Arabic" w:hAnsi="Simplified Arabic" w:cs="Simplified Arabic"/>
                <w:sz w:val="22"/>
                <w:rtl/>
              </w:rPr>
              <w:t>بناء فقرة فجوة بحثية في نهاية كل مبحث، ثم فجوة نهائية موحّدة بثلاث صيغ (تجريبية/نظرية/سياقية-منهجية</w:t>
            </w:r>
            <w:r w:rsidRPr="00335C45">
              <w:rPr>
                <w:rFonts w:ascii="Simplified Arabic" w:hAnsi="Simplified Arabic" w:cs="Simplified Arabic"/>
                <w:sz w:val="22"/>
              </w:rPr>
              <w:t>).</w:t>
            </w:r>
          </w:p>
          <w:p w14:paraId="1E844319"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4) </w:t>
            </w:r>
            <w:r w:rsidRPr="00335C45">
              <w:rPr>
                <w:rFonts w:ascii="Simplified Arabic" w:hAnsi="Simplified Arabic" w:cs="Simplified Arabic"/>
                <w:sz w:val="22"/>
                <w:rtl/>
              </w:rPr>
              <w:t>تحويل محور الدراسات السابقة إلى «توليف» عبر مصفوفة: (ما الذي نعرفه؟ ما المختلف؟ لماذا؟ ما الذي لم يُختبر؟</w:t>
            </w:r>
            <w:r w:rsidRPr="00335C45">
              <w:rPr>
                <w:rFonts w:ascii="Simplified Arabic" w:hAnsi="Simplified Arabic" w:cs="Simplified Arabic"/>
                <w:sz w:val="22"/>
              </w:rPr>
              <w:t>).</w:t>
            </w:r>
          </w:p>
          <w:p w14:paraId="530ED386"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5) </w:t>
            </w:r>
            <w:r w:rsidRPr="00335C45">
              <w:rPr>
                <w:rFonts w:ascii="Simplified Arabic" w:hAnsi="Simplified Arabic" w:cs="Simplified Arabic"/>
                <w:sz w:val="22"/>
                <w:rtl/>
              </w:rPr>
              <w:t>تثبيت تعريفات المتغيرات وحدودها: التحول الرقمي (4 أبعاد) والاستقرار الوظيفي (3 أبعاد) وتحديد ما إذا كانت الأبعاد تُحلّل فرعياً أم كلياً</w:t>
            </w:r>
            <w:r w:rsidRPr="00335C45">
              <w:rPr>
                <w:rFonts w:ascii="Simplified Arabic" w:hAnsi="Simplified Arabic" w:cs="Simplified Arabic"/>
                <w:sz w:val="22"/>
              </w:rPr>
              <w:t>.</w:t>
            </w:r>
          </w:p>
          <w:p w14:paraId="7AD5936B"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lastRenderedPageBreak/>
              <w:t xml:space="preserve">6) </w:t>
            </w:r>
            <w:r w:rsidRPr="00335C45">
              <w:rPr>
                <w:rFonts w:ascii="Simplified Arabic" w:hAnsi="Simplified Arabic" w:cs="Simplified Arabic"/>
                <w:sz w:val="22"/>
                <w:rtl/>
              </w:rPr>
              <w:t>تقوية منطق القياس: تحديد مصادر المقاييس، تكييفها للسياق السعودي، وخطة الصدق والثبات (تمهيداً للفصل الثالث</w:t>
            </w:r>
            <w:r w:rsidRPr="00335C45">
              <w:rPr>
                <w:rFonts w:ascii="Simplified Arabic" w:hAnsi="Simplified Arabic" w:cs="Simplified Arabic"/>
                <w:sz w:val="22"/>
              </w:rPr>
              <w:t>).</w:t>
            </w:r>
          </w:p>
          <w:p w14:paraId="6E85649B"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7) </w:t>
            </w:r>
            <w:r w:rsidRPr="00335C45">
              <w:rPr>
                <w:rFonts w:ascii="Simplified Arabic" w:hAnsi="Simplified Arabic" w:cs="Simplified Arabic"/>
                <w:sz w:val="22"/>
                <w:rtl/>
              </w:rPr>
              <w:t>إدخال «آليات التأثير» بشكل أوضح: كيف تنتقل آثار التحول الرقمي إلى الأمن/الرضا/الالتزام؟ (ضغط/موارد/عقد نفسي/تصميم عمل</w:t>
            </w:r>
            <w:r w:rsidRPr="00335C45">
              <w:rPr>
                <w:rFonts w:ascii="Simplified Arabic" w:hAnsi="Simplified Arabic" w:cs="Simplified Arabic"/>
                <w:sz w:val="22"/>
              </w:rPr>
              <w:t>).</w:t>
            </w:r>
          </w:p>
          <w:p w14:paraId="0E718E84"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8) </w:t>
            </w:r>
            <w:r w:rsidRPr="00335C45">
              <w:rPr>
                <w:rFonts w:ascii="Simplified Arabic" w:hAnsi="Simplified Arabic" w:cs="Simplified Arabic"/>
                <w:sz w:val="22"/>
                <w:rtl/>
              </w:rPr>
              <w:t>دعم ادعاءات «الندرة/المحدودية» بتوثيق منهجي: كلمات بحث، قواعد بيانات، معايير إدراج/استبعاد (ولو في فقرة قصيرة</w:t>
            </w:r>
            <w:r w:rsidRPr="00335C45">
              <w:rPr>
                <w:rFonts w:ascii="Simplified Arabic" w:hAnsi="Simplified Arabic" w:cs="Simplified Arabic"/>
                <w:sz w:val="22"/>
              </w:rPr>
              <w:t>).</w:t>
            </w:r>
          </w:p>
          <w:p w14:paraId="35750956" w14:textId="77777777"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9) </w:t>
            </w:r>
            <w:r w:rsidRPr="00335C45">
              <w:rPr>
                <w:rFonts w:ascii="Simplified Arabic" w:hAnsi="Simplified Arabic" w:cs="Simplified Arabic"/>
                <w:sz w:val="22"/>
                <w:rtl/>
              </w:rPr>
              <w:t>تقليل الاعتماد على الأدلة غير المحكمة أو تقديمها كدعم سياقي فقط، مع تعزيز القاعدة بمقالات محكمة حديثة (آخر 5 سنوات) – يلزم إضافة استشهاد هنا عند الحاجة</w:t>
            </w:r>
            <w:r w:rsidRPr="00335C45">
              <w:rPr>
                <w:rFonts w:ascii="Simplified Arabic" w:hAnsi="Simplified Arabic" w:cs="Simplified Arabic"/>
                <w:sz w:val="22"/>
              </w:rPr>
              <w:t>.</w:t>
            </w:r>
          </w:p>
          <w:p w14:paraId="25591CD4" w14:textId="65F40899" w:rsidR="0010361E" w:rsidRPr="00335C45" w:rsidRDefault="0010361E" w:rsidP="0010361E">
            <w:pPr>
              <w:bidi/>
              <w:rPr>
                <w:rFonts w:ascii="Simplified Arabic" w:hAnsi="Simplified Arabic" w:cs="Simplified Arabic"/>
                <w:sz w:val="22"/>
              </w:rPr>
            </w:pPr>
            <w:r w:rsidRPr="00335C45">
              <w:rPr>
                <w:rFonts w:ascii="Simplified Arabic" w:hAnsi="Simplified Arabic" w:cs="Simplified Arabic"/>
                <w:sz w:val="22"/>
              </w:rPr>
              <w:t xml:space="preserve">10) </w:t>
            </w:r>
            <w:r w:rsidRPr="00335C45">
              <w:rPr>
                <w:rFonts w:ascii="Simplified Arabic" w:hAnsi="Simplified Arabic" w:cs="Simplified Arabic"/>
                <w:sz w:val="22"/>
                <w:rtl/>
              </w:rPr>
              <w:t>تحرير لغوي/شكلي شامل: توحيد المصطلحات، تصحيح الأقواس والتوثيق، تقصير الفقرات الطويلة، وإضافة انتقالات وخواتيم</w:t>
            </w:r>
            <w:r w:rsidRPr="00335C45">
              <w:rPr>
                <w:rFonts w:ascii="Simplified Arabic" w:hAnsi="Simplified Arabic" w:cs="Simplified Arabic"/>
                <w:sz w:val="22"/>
              </w:rPr>
              <w:t>.</w:t>
            </w:r>
          </w:p>
        </w:tc>
      </w:tr>
    </w:tbl>
    <w:p w14:paraId="1A2988DB" w14:textId="77777777" w:rsidR="00D018DA" w:rsidRPr="00335C45" w:rsidRDefault="00D018DA" w:rsidP="00335C45">
      <w:pPr>
        <w:bidi/>
        <w:spacing w:after="0" w:line="240" w:lineRule="auto"/>
        <w:rPr>
          <w:rFonts w:ascii="Simplified Arabic" w:hAnsi="Simplified Arabic" w:cs="Simplified Arabic"/>
          <w:sz w:val="22"/>
        </w:rPr>
      </w:pPr>
    </w:p>
    <w:p w14:paraId="4673ECE2" w14:textId="77777777" w:rsidR="00D018DA" w:rsidRPr="00335C45" w:rsidRDefault="00C24CA0" w:rsidP="00335C45">
      <w:pPr>
        <w:bidi/>
        <w:spacing w:after="0" w:line="240" w:lineRule="auto"/>
        <w:rPr>
          <w:rFonts w:ascii="Simplified Arabic" w:hAnsi="Simplified Arabic" w:cs="Simplified Arabic"/>
          <w:sz w:val="22"/>
        </w:rPr>
      </w:pPr>
      <w:r w:rsidRPr="00335C45">
        <w:rPr>
          <w:rFonts w:ascii="Simplified Arabic" w:hAnsi="Simplified Arabic" w:cs="Simplified Arabic"/>
          <w:b/>
          <w:sz w:val="22"/>
        </w:rPr>
        <w:t>2) الهيكل والمنطق وتسلسل الأفكار</w:t>
      </w:r>
    </w:p>
    <w:tbl>
      <w:tblPr>
        <w:tblStyle w:val="TableGrid"/>
        <w:bidiVisual/>
        <w:tblW w:w="0" w:type="auto"/>
        <w:tblLook w:val="04A0" w:firstRow="1" w:lastRow="0" w:firstColumn="1" w:lastColumn="0" w:noHBand="0" w:noVBand="1"/>
      </w:tblPr>
      <w:tblGrid>
        <w:gridCol w:w="2929"/>
        <w:gridCol w:w="10633"/>
      </w:tblGrid>
      <w:tr w:rsidR="0010361E" w:rsidRPr="00335C45" w14:paraId="0B724460" w14:textId="77777777" w:rsidTr="0010361E">
        <w:tc>
          <w:tcPr>
            <w:tcW w:w="2929" w:type="dxa"/>
          </w:tcPr>
          <w:p w14:paraId="68538433" w14:textId="1CD18465" w:rsidR="0010361E" w:rsidRPr="00335C45" w:rsidRDefault="0010361E" w:rsidP="0010361E">
            <w:pPr>
              <w:jc w:val="right"/>
              <w:rPr>
                <w:rFonts w:ascii="Simplified Arabic" w:hAnsi="Simplified Arabic" w:cs="Simplified Arabic"/>
                <w:sz w:val="22"/>
              </w:rPr>
            </w:pPr>
            <w:r w:rsidRPr="00671B7C">
              <w:rPr>
                <w:rtl/>
              </w:rPr>
              <w:t>المحور</w:t>
            </w:r>
          </w:p>
        </w:tc>
        <w:tc>
          <w:tcPr>
            <w:tcW w:w="10633" w:type="dxa"/>
          </w:tcPr>
          <w:p w14:paraId="67037A28" w14:textId="77777777" w:rsidR="0010361E" w:rsidRPr="00335C45" w:rsidRDefault="0010361E" w:rsidP="0010361E">
            <w:pPr>
              <w:jc w:val="right"/>
              <w:rPr>
                <w:rFonts w:ascii="Simplified Arabic" w:hAnsi="Simplified Arabic" w:cs="Simplified Arabic"/>
                <w:sz w:val="22"/>
              </w:rPr>
            </w:pPr>
            <w:r w:rsidRPr="00335C45">
              <w:rPr>
                <w:rFonts w:ascii="Simplified Arabic" w:hAnsi="Simplified Arabic" w:cs="Simplified Arabic"/>
                <w:b/>
                <w:sz w:val="22"/>
              </w:rPr>
              <w:t>التفاصيل</w:t>
            </w:r>
          </w:p>
        </w:tc>
      </w:tr>
      <w:tr w:rsidR="0010361E" w:rsidRPr="00335C45" w14:paraId="193FFDD1" w14:textId="77777777" w:rsidTr="0010361E">
        <w:tc>
          <w:tcPr>
            <w:tcW w:w="2929" w:type="dxa"/>
          </w:tcPr>
          <w:p w14:paraId="39B5C34F" w14:textId="64D6B807" w:rsidR="0010361E" w:rsidRPr="00335C45" w:rsidRDefault="0010361E" w:rsidP="0010361E">
            <w:pPr>
              <w:jc w:val="right"/>
              <w:rPr>
                <w:rFonts w:ascii="Simplified Arabic" w:hAnsi="Simplified Arabic" w:cs="Simplified Arabic"/>
                <w:sz w:val="22"/>
              </w:rPr>
            </w:pPr>
            <w:r w:rsidRPr="00671B7C">
              <w:rPr>
                <w:rtl/>
              </w:rPr>
              <w:t>تقييم البنية الحالية: ما الذي يعمل جيداً؟ وما الذي لا يعمل؟</w:t>
            </w:r>
          </w:p>
        </w:tc>
        <w:tc>
          <w:tcPr>
            <w:tcW w:w="10633" w:type="dxa"/>
          </w:tcPr>
          <w:p w14:paraId="0D127C87" w14:textId="2839CA67" w:rsidR="0010361E" w:rsidRPr="00335C45" w:rsidRDefault="00030739" w:rsidP="0010361E">
            <w:pPr>
              <w:jc w:val="right"/>
              <w:rPr>
                <w:rFonts w:ascii="Simplified Arabic" w:hAnsi="Simplified Arabic" w:cs="Simplified Arabic"/>
                <w:sz w:val="22"/>
              </w:rPr>
            </w:pPr>
            <w:r>
              <w:rPr>
                <w:rFonts w:ascii="Simplified Arabic" w:hAnsi="Simplified Arabic" w:cs="Simplified Arabic"/>
                <w:sz w:val="22"/>
              </w:rPr>
              <w:t xml:space="preserve">• </w:t>
            </w:r>
            <w:r>
              <w:rPr>
                <w:rFonts w:ascii="Simplified Arabic" w:hAnsi="Simplified Arabic" w:cs="Simplified Arabic"/>
                <w:sz w:val="22"/>
                <w:rtl/>
              </w:rPr>
              <w:t>ما يعمل جيداً: الانتقال من تعريف التحول الرقمي إلى نظريات التبني ثم إلى أبعاد التحول الرقمي؛ ثم الانتقال إلى تعريف الاستقرار الوظيفي ونظرياته وأبعاده؛ ثم بناء مسارات العلاقة؛ ثم تجميع الدراسات السابقة.</w:t>
            </w:r>
            <w:r>
              <w:rPr>
                <w:rFonts w:ascii="Simplified Arabic" w:hAnsi="Simplified Arabic" w:cs="Simplified Arabic"/>
                <w:sz w:val="22"/>
              </w:rPr>
              <w:br/>
            </w:r>
            <w:r>
              <w:rPr>
                <w:rFonts w:ascii="Simplified Arabic" w:hAnsi="Simplified Arabic" w:cs="Simplified Arabic"/>
                <w:sz w:val="22"/>
                <w:rtl/>
              </w:rPr>
              <w:t>• ما لا يعمل: تعدد الأطر دون دمج، وغياب تمهيد للفصل</w:t>
            </w:r>
            <w:r>
              <w:rPr>
                <w:rFonts w:ascii="Simplified Arabic" w:hAnsi="Simplified Arabic" w:cs="Simplified Arabic"/>
                <w:sz w:val="22"/>
              </w:rPr>
              <w:t xml:space="preserve"> </w:t>
            </w:r>
            <w:r>
              <w:rPr>
                <w:rFonts w:ascii="Simplified Arabic" w:hAnsi="Simplified Arabic" w:cs="Simplified Arabic"/>
                <w:sz w:val="22"/>
                <w:rtl/>
              </w:rPr>
              <w:t>يوضح منطق المراجعة ومعايير اختيار الدراسات، وضعف جسور الانتقال بين «الإطار النظري» و«الدراسات السابقة» و«النموذج/الفرضيات</w:t>
            </w:r>
            <w:r>
              <w:rPr>
                <w:rFonts w:ascii="Simplified Arabic" w:hAnsi="Simplified Arabic" w:cs="Simplified Arabic"/>
                <w:sz w:val="22"/>
              </w:rPr>
              <w:t>».</w:t>
            </w:r>
          </w:p>
        </w:tc>
      </w:tr>
      <w:tr w:rsidR="0010361E" w:rsidRPr="00335C45" w14:paraId="18E1D11F" w14:textId="77777777" w:rsidTr="0010361E">
        <w:tc>
          <w:tcPr>
            <w:tcW w:w="2929" w:type="dxa"/>
          </w:tcPr>
          <w:p w14:paraId="46F90C4C" w14:textId="7BF96D68" w:rsidR="0010361E" w:rsidRPr="00335C45" w:rsidRDefault="0010361E" w:rsidP="0010361E">
            <w:pPr>
              <w:jc w:val="right"/>
              <w:rPr>
                <w:rFonts w:ascii="Simplified Arabic" w:hAnsi="Simplified Arabic" w:cs="Simplified Arabic"/>
                <w:sz w:val="22"/>
              </w:rPr>
            </w:pPr>
            <w:r w:rsidRPr="00671B7C">
              <w:rPr>
                <w:rtl/>
              </w:rPr>
              <w:t>تقديم مخطط مقترح</w:t>
            </w:r>
            <w:r w:rsidRPr="00671B7C">
              <w:t xml:space="preserve"> </w:t>
            </w:r>
          </w:p>
        </w:tc>
        <w:tc>
          <w:tcPr>
            <w:tcW w:w="10633" w:type="dxa"/>
          </w:tcPr>
          <w:p w14:paraId="5B59A37D" w14:textId="1D6D195F" w:rsidR="0010361E" w:rsidRPr="00335C45" w:rsidRDefault="00030739" w:rsidP="0010361E">
            <w:pPr>
              <w:bidi/>
              <w:rPr>
                <w:rFonts w:ascii="Simplified Arabic" w:hAnsi="Simplified Arabic" w:cs="Simplified Arabic"/>
                <w:sz w:val="22"/>
              </w:rPr>
            </w:pPr>
            <w:r>
              <w:rPr>
                <w:rFonts w:ascii="Simplified Arabic" w:hAnsi="Simplified Arabic" w:cs="Simplified Arabic"/>
                <w:sz w:val="22"/>
              </w:rPr>
              <w:t xml:space="preserve">2.1 </w:t>
            </w:r>
            <w:r>
              <w:rPr>
                <w:rFonts w:ascii="Simplified Arabic" w:hAnsi="Simplified Arabic" w:cs="Simplified Arabic"/>
                <w:sz w:val="22"/>
                <w:rtl/>
              </w:rPr>
              <w:t>تمهيد الفصل ومنهج المراجعة (معايير اختيار الأدبيات، قواعد بيانات، كلمات مفتاحية) بالإضافة إلى تعريفات وحدود المفاهيم. 2.2 التحول الرقمي في المستشفيات الحكومية: المفهوم، التطور، الخصوصية الصحية، السياق السعودي. 2.3 الإطار التفسيري المحوري لتبني التحول</w:t>
            </w:r>
            <w:r>
              <w:rPr>
                <w:rFonts w:ascii="Simplified Arabic" w:hAnsi="Simplified Arabic" w:cs="Simplified Arabic"/>
                <w:sz w:val="22"/>
              </w:rPr>
              <w:t xml:space="preserve"> </w:t>
            </w:r>
            <w:r>
              <w:rPr>
                <w:rFonts w:ascii="Simplified Arabic" w:hAnsi="Simplified Arabic" w:cs="Simplified Arabic"/>
                <w:sz w:val="22"/>
                <w:rtl/>
              </w:rPr>
              <w:t>الرقمي (اختيار إطار رئيسي وتبريره) ثم أُطُر مساندة مختصرة. 2.4 أبعاد التحول الرقمي في الدراسة الحالية وتبريرها، مع التمييز بين «الجانب» و«المُعدِّل/الوسيط» عند الحاجة. 2.5 الاستقرار الوظيفي في المؤسسات الصحية: المفهوم، الحدود، وتمييزه عن مفاهيم ذات صلة (الأمن الوظيفي، الاحتفاظ، دوران العمل). 2.6 الإطار التفسيري لاستقرار العاملين في ظل التغيرات الرقمية</w:t>
            </w:r>
            <w:r>
              <w:rPr>
                <w:rFonts w:ascii="Simplified Arabic" w:hAnsi="Simplified Arabic" w:cs="Simplified Arabic"/>
                <w:sz w:val="22"/>
              </w:rPr>
              <w:t xml:space="preserve"> (JD-R</w:t>
            </w:r>
            <w:r>
              <w:rPr>
                <w:rFonts w:ascii="Simplified Arabic" w:hAnsi="Simplified Arabic" w:cs="Simplified Arabic"/>
                <w:sz w:val="22"/>
                <w:rtl/>
              </w:rPr>
              <w:t>، التبادل الاجتماعي، العقد النفسي، خصائص الوظيفة): اختيار محور واحد أو اثنين. 2.7 مسارات العلاقة بين التحول الرقمي والاستقرار الوظيفي، بالإضافة إلى آليات التأثير (الضغط، الموارد، إعادة تصميم العمل، الثقة). 2.8 مراجعة الدراسات السابقة: توليفها وفقًا لمحاور، سواء كانت حسب الأبعاد أو النتائج، مع تناول التناقضات والحدود. 2.9 التوليف النهائي: تحديد الفجوات، المساهمات البحثية، النموذج المفهومي، الفروض أو التوقعات، وجسر منهجي للفصل الثالث</w:t>
            </w:r>
            <w:r>
              <w:rPr>
                <w:rFonts w:ascii="Simplified Arabic" w:hAnsi="Simplified Arabic" w:cs="Simplified Arabic"/>
                <w:sz w:val="22"/>
              </w:rPr>
              <w:t>.</w:t>
            </w:r>
          </w:p>
        </w:tc>
      </w:tr>
      <w:tr w:rsidR="0010361E" w:rsidRPr="00335C45" w14:paraId="69489607" w14:textId="77777777" w:rsidTr="0010361E">
        <w:tc>
          <w:tcPr>
            <w:tcW w:w="2929" w:type="dxa"/>
          </w:tcPr>
          <w:p w14:paraId="2A205C84" w14:textId="7F282C24" w:rsidR="0010361E" w:rsidRPr="00335C45" w:rsidRDefault="0010361E" w:rsidP="0010361E">
            <w:pPr>
              <w:jc w:val="right"/>
              <w:rPr>
                <w:rFonts w:ascii="Simplified Arabic" w:hAnsi="Simplified Arabic" w:cs="Simplified Arabic"/>
                <w:sz w:val="22"/>
              </w:rPr>
            </w:pPr>
            <w:r w:rsidRPr="00671B7C">
              <w:rPr>
                <w:rtl/>
              </w:rPr>
              <w:t>ما الذي يجب نقله/دمجه/حذفه ولماذا (مع توضيح منطقي)</w:t>
            </w:r>
          </w:p>
        </w:tc>
        <w:tc>
          <w:tcPr>
            <w:tcW w:w="10633" w:type="dxa"/>
          </w:tcPr>
          <w:p w14:paraId="2409C947" w14:textId="77777777" w:rsidR="00030739" w:rsidRDefault="00030739" w:rsidP="0010361E">
            <w:pPr>
              <w:bidi/>
              <w:rPr>
                <w:rFonts w:ascii="Simplified Arabic" w:hAnsi="Simplified Arabic" w:cs="Simplified Arabic"/>
                <w:sz w:val="22"/>
              </w:rPr>
            </w:pPr>
            <w:r>
              <w:rPr>
                <w:rFonts w:ascii="Simplified Arabic" w:hAnsi="Simplified Arabic" w:cs="Simplified Arabic"/>
                <w:sz w:val="22"/>
              </w:rPr>
              <w:t xml:space="preserve">• </w:t>
            </w:r>
            <w:r>
              <w:rPr>
                <w:rFonts w:ascii="Simplified Arabic" w:hAnsi="Simplified Arabic" w:cs="Simplified Arabic"/>
                <w:sz w:val="22"/>
                <w:rtl/>
              </w:rPr>
              <w:t>دمج «نماذج قبول التكنولوجيا» مع «انتشار الابتكار» في محور واحد موجز ما لم تكن جزءًا من فروضك</w:t>
            </w:r>
            <w:r>
              <w:rPr>
                <w:rFonts w:ascii="Simplified Arabic" w:hAnsi="Simplified Arabic" w:cs="Simplified Arabic"/>
                <w:sz w:val="22"/>
              </w:rPr>
              <w:t>.</w:t>
            </w:r>
          </w:p>
          <w:p w14:paraId="69AE8546" w14:textId="77777777" w:rsidR="00030739" w:rsidRDefault="00030739" w:rsidP="0010361E">
            <w:pPr>
              <w:bidi/>
              <w:rPr>
                <w:rFonts w:ascii="Simplified Arabic" w:hAnsi="Simplified Arabic" w:cs="Simplified Arabic"/>
                <w:sz w:val="22"/>
              </w:rPr>
            </w:pPr>
            <w:r>
              <w:rPr>
                <w:rFonts w:ascii="Simplified Arabic" w:hAnsi="Simplified Arabic" w:cs="Simplified Arabic"/>
                <w:sz w:val="22"/>
              </w:rPr>
              <w:t xml:space="preserve">• </w:t>
            </w:r>
            <w:r>
              <w:rPr>
                <w:rFonts w:ascii="Simplified Arabic" w:hAnsi="Simplified Arabic" w:cs="Simplified Arabic"/>
                <w:sz w:val="22"/>
                <w:rtl/>
              </w:rPr>
              <w:t>نقل تفاصيل طويلة من التعريفات الإجرائية والجداول إلى فصل المنهجية/أداة القياس، والإبقاء هنا على التعريف النظري والحدود</w:t>
            </w:r>
            <w:r>
              <w:rPr>
                <w:rFonts w:ascii="Simplified Arabic" w:hAnsi="Simplified Arabic" w:cs="Simplified Arabic"/>
                <w:sz w:val="22"/>
              </w:rPr>
              <w:t>.</w:t>
            </w:r>
          </w:p>
          <w:p w14:paraId="50DF2673" w14:textId="77777777" w:rsidR="00030739" w:rsidRDefault="00030739" w:rsidP="0010361E">
            <w:pPr>
              <w:bidi/>
              <w:rPr>
                <w:rFonts w:ascii="Simplified Arabic" w:hAnsi="Simplified Arabic" w:cs="Simplified Arabic"/>
                <w:sz w:val="22"/>
              </w:rPr>
            </w:pPr>
            <w:r>
              <w:rPr>
                <w:rFonts w:ascii="Simplified Arabic" w:hAnsi="Simplified Arabic" w:cs="Simplified Arabic"/>
                <w:sz w:val="22"/>
              </w:rPr>
              <w:t xml:space="preserve">• </w:t>
            </w:r>
            <w:r>
              <w:rPr>
                <w:rFonts w:ascii="Simplified Arabic" w:hAnsi="Simplified Arabic" w:cs="Simplified Arabic"/>
                <w:sz w:val="22"/>
                <w:rtl/>
              </w:rPr>
              <w:t>استبدال أي عبارات خطابية/موجهة للقارئ (مثل «دراساتك») بصياغة أكاديمية محايدة</w:t>
            </w:r>
            <w:r>
              <w:rPr>
                <w:rFonts w:ascii="Simplified Arabic" w:hAnsi="Simplified Arabic" w:cs="Simplified Arabic"/>
                <w:sz w:val="22"/>
              </w:rPr>
              <w:t>.</w:t>
            </w:r>
          </w:p>
          <w:p w14:paraId="368A0E05" w14:textId="1BD2F7B3" w:rsidR="0010361E" w:rsidRPr="00335C45" w:rsidRDefault="00030739" w:rsidP="0010361E">
            <w:pPr>
              <w:bidi/>
              <w:rPr>
                <w:rFonts w:ascii="Simplified Arabic" w:hAnsi="Simplified Arabic" w:cs="Simplified Arabic"/>
                <w:sz w:val="22"/>
              </w:rPr>
            </w:pPr>
            <w:r>
              <w:rPr>
                <w:rFonts w:ascii="Simplified Arabic" w:hAnsi="Simplified Arabic" w:cs="Simplified Arabic"/>
                <w:sz w:val="22"/>
              </w:rPr>
              <w:t xml:space="preserve">• </w:t>
            </w:r>
            <w:r>
              <w:rPr>
                <w:rFonts w:ascii="Simplified Arabic" w:hAnsi="Simplified Arabic" w:cs="Simplified Arabic"/>
                <w:sz w:val="22"/>
                <w:rtl/>
              </w:rPr>
              <w:t>تقليص عرض الدراسات السابقة دراسةً دراسةً، وإعادة تنظيمها حسب: (أ) نتائج متسقة، (ب) نتائج متناقضة، (ج) فجوات قياس/سياق/منهج</w:t>
            </w:r>
            <w:r>
              <w:rPr>
                <w:rFonts w:ascii="Simplified Arabic" w:hAnsi="Simplified Arabic" w:cs="Simplified Arabic"/>
                <w:sz w:val="22"/>
              </w:rPr>
              <w:t>.</w:t>
            </w:r>
          </w:p>
        </w:tc>
      </w:tr>
    </w:tbl>
    <w:p w14:paraId="20B07DEF" w14:textId="77777777" w:rsidR="00D018DA" w:rsidRPr="00335C45" w:rsidRDefault="00D018DA" w:rsidP="00335C45">
      <w:pPr>
        <w:bidi/>
        <w:spacing w:after="0" w:line="240" w:lineRule="auto"/>
        <w:rPr>
          <w:rFonts w:ascii="Simplified Arabic" w:hAnsi="Simplified Arabic" w:cs="Simplified Arabic"/>
          <w:sz w:val="22"/>
        </w:rPr>
      </w:pPr>
    </w:p>
    <w:p w14:paraId="2DDC092D" w14:textId="5D554159" w:rsidR="00D018DA" w:rsidRPr="00335C45" w:rsidRDefault="00E94F4F" w:rsidP="00335C45">
      <w:pPr>
        <w:bidi/>
        <w:spacing w:after="0" w:line="240" w:lineRule="auto"/>
        <w:rPr>
          <w:rFonts w:ascii="Simplified Arabic" w:hAnsi="Simplified Arabic" w:cs="Simplified Arabic"/>
          <w:sz w:val="22"/>
        </w:rPr>
      </w:pPr>
      <w:r w:rsidRPr="00335C45">
        <w:rPr>
          <w:rFonts w:ascii="Simplified Arabic" w:hAnsi="Simplified Arabic" w:cs="Simplified Arabic"/>
          <w:sz w:val="22"/>
          <w:rtl/>
        </w:rPr>
        <w:t xml:space="preserve">3) التغطية الموضوعية والعمق العلمي </w:t>
      </w:r>
    </w:p>
    <w:tbl>
      <w:tblPr>
        <w:tblStyle w:val="TableGrid"/>
        <w:bidiVisual/>
        <w:tblW w:w="0" w:type="auto"/>
        <w:tblLook w:val="04A0" w:firstRow="1" w:lastRow="0" w:firstColumn="1" w:lastColumn="0" w:noHBand="0" w:noVBand="1"/>
      </w:tblPr>
      <w:tblGrid>
        <w:gridCol w:w="2252"/>
        <w:gridCol w:w="2192"/>
        <w:gridCol w:w="2536"/>
        <w:gridCol w:w="2092"/>
        <w:gridCol w:w="2015"/>
        <w:gridCol w:w="2475"/>
      </w:tblGrid>
      <w:tr w:rsidR="00D018DA" w:rsidRPr="00335C45" w14:paraId="2F5774A4" w14:textId="77777777" w:rsidTr="00E94F4F">
        <w:tc>
          <w:tcPr>
            <w:tcW w:w="2154" w:type="dxa"/>
          </w:tcPr>
          <w:p w14:paraId="6D58C488"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lastRenderedPageBreak/>
              <w:t>القسم</w:t>
            </w:r>
          </w:p>
        </w:tc>
        <w:tc>
          <w:tcPr>
            <w:tcW w:w="2268" w:type="dxa"/>
          </w:tcPr>
          <w:p w14:paraId="017896A9"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ما الهدف العلمي من هذا القسم؟</w:t>
            </w:r>
          </w:p>
        </w:tc>
        <w:tc>
          <w:tcPr>
            <w:tcW w:w="2381" w:type="dxa"/>
          </w:tcPr>
          <w:p w14:paraId="0A38919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ما الذي ينقصه؟</w:t>
            </w:r>
          </w:p>
        </w:tc>
        <w:tc>
          <w:tcPr>
            <w:tcW w:w="2154" w:type="dxa"/>
          </w:tcPr>
          <w:p w14:paraId="3736DAB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ما الذي هو وصفي/مكرر؟</w:t>
            </w:r>
          </w:p>
        </w:tc>
        <w:tc>
          <w:tcPr>
            <w:tcW w:w="2041" w:type="dxa"/>
          </w:tcPr>
          <w:p w14:paraId="4E70DFE1"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أين يحتاج إلى أدلة أقوى؟</w:t>
            </w:r>
          </w:p>
        </w:tc>
        <w:tc>
          <w:tcPr>
            <w:tcW w:w="2494" w:type="dxa"/>
          </w:tcPr>
          <w:p w14:paraId="5B498A9C"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تعليمات تحسين محددة</w:t>
            </w:r>
          </w:p>
        </w:tc>
      </w:tr>
      <w:tr w:rsidR="00D018DA" w:rsidRPr="00335C45" w14:paraId="57DEB264" w14:textId="77777777" w:rsidTr="00E94F4F">
        <w:tc>
          <w:tcPr>
            <w:tcW w:w="2154" w:type="dxa"/>
          </w:tcPr>
          <w:p w14:paraId="4922759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الأول/المطلب الأول: مفهوم التحول الرقمي وتطوره</w:t>
            </w:r>
          </w:p>
        </w:tc>
        <w:tc>
          <w:tcPr>
            <w:tcW w:w="2268" w:type="dxa"/>
          </w:tcPr>
          <w:p w14:paraId="4A071786"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تحديد المفهوم وحدوده وخصوصية التحول الرقمي في الصحة، وتهيئة القارئ لأبعاد الدراسة.</w:t>
            </w:r>
          </w:p>
        </w:tc>
        <w:tc>
          <w:tcPr>
            <w:tcW w:w="2381" w:type="dxa"/>
          </w:tcPr>
          <w:p w14:paraId="0D1E437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تمييز أوضح بين: رقمنة البيانات/أتمتة العمليات/التحول الرقمي كنموذج قيمة. ربط أقوى بسياق المستشفيات الحكومية بجدة (اللوائح/الضغط التشغيلي).</w:t>
            </w:r>
          </w:p>
        </w:tc>
        <w:tc>
          <w:tcPr>
            <w:tcW w:w="2154" w:type="dxa"/>
          </w:tcPr>
          <w:p w14:paraId="5D0E6F76"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بعض الجمل طويلة جداً وتتضمن عدة أفكار في سطر واحد.</w:t>
            </w:r>
          </w:p>
        </w:tc>
        <w:tc>
          <w:tcPr>
            <w:tcW w:w="2041" w:type="dxa"/>
          </w:tcPr>
          <w:p w14:paraId="0DD6F629"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إضافة استشهاد هنا عند الحديث عن «خصوصية المخاطر والزمن» إن لم يكفِ مصدر واحد.</w:t>
            </w:r>
          </w:p>
        </w:tc>
        <w:tc>
          <w:tcPr>
            <w:tcW w:w="2494" w:type="dxa"/>
          </w:tcPr>
          <w:p w14:paraId="0AAE32C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قسّم الفقرات إلى: تعريف + خصائص + تطبيقات صحية + سياق سعودي + خاتمة تربط بالاستقرار الوظيفي.</w:t>
            </w:r>
          </w:p>
        </w:tc>
      </w:tr>
      <w:tr w:rsidR="00D018DA" w:rsidRPr="00335C45" w14:paraId="7A1707DF" w14:textId="77777777" w:rsidTr="00E94F4F">
        <w:tc>
          <w:tcPr>
            <w:tcW w:w="2154" w:type="dxa"/>
          </w:tcPr>
          <w:p w14:paraId="156E85B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الأول/المطلب الثاني: نظريات تبني التحول الرقمي (TOE/DOI/TAM/سوسيو-تقني)</w:t>
            </w:r>
          </w:p>
        </w:tc>
        <w:tc>
          <w:tcPr>
            <w:tcW w:w="2268" w:type="dxa"/>
          </w:tcPr>
          <w:p w14:paraId="4C0C79B9"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تقديم أطر تفسيرية تبرر اختيار أبعاد التحول الرقمي وتوضح شروط نجاحه.</w:t>
            </w:r>
          </w:p>
        </w:tc>
        <w:tc>
          <w:tcPr>
            <w:tcW w:w="2381" w:type="dxa"/>
          </w:tcPr>
          <w:p w14:paraId="15A6898C"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اختيار إطار محوري وتوضيح لماذا هو الأنسب للدراسة الحالية (وليس الاكتفاء بسرد).</w:t>
            </w:r>
          </w:p>
        </w:tc>
        <w:tc>
          <w:tcPr>
            <w:tcW w:w="2154" w:type="dxa"/>
          </w:tcPr>
          <w:p w14:paraId="30F7837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سرد الأطر متتابع دون مقارنات (متى يُفضّل TOE؟ متى TAM؟).</w:t>
            </w:r>
          </w:p>
        </w:tc>
        <w:tc>
          <w:tcPr>
            <w:tcW w:w="2041" w:type="dxa"/>
          </w:tcPr>
          <w:p w14:paraId="227A801C"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إضافة استشهاد هنا عند إدخال «إدارة التغيير» كعامل حاسم إذا لم تُغطَّه المراجع الحالية كفاية.</w:t>
            </w:r>
          </w:p>
        </w:tc>
        <w:tc>
          <w:tcPr>
            <w:tcW w:w="2494" w:type="dxa"/>
          </w:tcPr>
          <w:p w14:paraId="509187E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اختم هذا المطلب بفقرة توليفية: ما الذي يضيفه كل إطار لنموذجك؟ وما الذي لن تستخدمه ولماذا؟</w:t>
            </w:r>
          </w:p>
        </w:tc>
      </w:tr>
      <w:tr w:rsidR="00D018DA" w:rsidRPr="00335C45" w14:paraId="4D3121A7" w14:textId="77777777" w:rsidTr="00E94F4F">
        <w:tc>
          <w:tcPr>
            <w:tcW w:w="2154" w:type="dxa"/>
          </w:tcPr>
          <w:p w14:paraId="6095F23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الأول/المطلب الثالث: أبعاد التحول الرقمي الأربعة</w:t>
            </w:r>
          </w:p>
        </w:tc>
        <w:tc>
          <w:tcPr>
            <w:tcW w:w="2268" w:type="dxa"/>
          </w:tcPr>
          <w:p w14:paraId="737B14A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تحويل التحول الرقمي إلى بناء قابل للقياس عبر أبعاد تشغيلية.</w:t>
            </w:r>
          </w:p>
        </w:tc>
        <w:tc>
          <w:tcPr>
            <w:tcW w:w="2381" w:type="dxa"/>
          </w:tcPr>
          <w:p w14:paraId="53D44C98"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توضيح الحدود بين «البنية التحتية» و«التقنيات» و«التكامل»؛ وتبرير إدراج «الكفاءة الرقمية» كبعد ضمن التحول (بدلاً من مورد/مُعدّل).</w:t>
            </w:r>
          </w:p>
        </w:tc>
        <w:tc>
          <w:tcPr>
            <w:tcW w:w="2154" w:type="dxa"/>
          </w:tcPr>
          <w:p w14:paraId="128B3BD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توجد تكرارات بين شرح التكامل والبنية التحتية.</w:t>
            </w:r>
          </w:p>
        </w:tc>
        <w:tc>
          <w:tcPr>
            <w:tcW w:w="2041" w:type="dxa"/>
          </w:tcPr>
          <w:p w14:paraId="02843C3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إضافة استشهاد هنا لمقاييس/تعريفات كل بعد وكيف قيس في دراسات سابقة.</w:t>
            </w:r>
          </w:p>
        </w:tc>
        <w:tc>
          <w:tcPr>
            <w:tcW w:w="2494" w:type="dxa"/>
          </w:tcPr>
          <w:p w14:paraId="2605F26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في نهاية كل بعد: (تعريف مختصر/مؤشرات قياس/كيف قد يؤثر في الأمن/الرضا/الالتزام).</w:t>
            </w:r>
          </w:p>
        </w:tc>
      </w:tr>
      <w:tr w:rsidR="00D018DA" w:rsidRPr="00335C45" w14:paraId="49EA49D4" w14:textId="77777777" w:rsidTr="00E94F4F">
        <w:tc>
          <w:tcPr>
            <w:tcW w:w="2154" w:type="dxa"/>
          </w:tcPr>
          <w:p w14:paraId="70E4D20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الثاني/المطلب الأول: مفهوم الاستقرار الوظيفي</w:t>
            </w:r>
          </w:p>
        </w:tc>
        <w:tc>
          <w:tcPr>
            <w:tcW w:w="2268" w:type="dxa"/>
          </w:tcPr>
          <w:p w14:paraId="155AC9B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تأصيل مفهوم الاستقرار الوظيفي وتمييزه عن مفاهيم قريبة، وتحديد أبعاده.</w:t>
            </w:r>
          </w:p>
        </w:tc>
        <w:tc>
          <w:tcPr>
            <w:tcW w:w="2381" w:type="dxa"/>
          </w:tcPr>
          <w:p w14:paraId="56F828B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تمييز منهجي بين job stability/job security/retention/turnover intention، وإيضاح لماذا اخترت (الأمن/الرضا/الالتزام).</w:t>
            </w:r>
          </w:p>
        </w:tc>
        <w:tc>
          <w:tcPr>
            <w:tcW w:w="2154" w:type="dxa"/>
          </w:tcPr>
          <w:p w14:paraId="09400FF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الفقرة تعريفية مطولة دون أمثلة سياقية من المستشفيات الحكومية.</w:t>
            </w:r>
          </w:p>
        </w:tc>
        <w:tc>
          <w:tcPr>
            <w:tcW w:w="2041" w:type="dxa"/>
          </w:tcPr>
          <w:p w14:paraId="79B2264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إضافة استشهاد هنا لتعريف «الاستقرار الوظيفي كبناء مركب» إن لم يرد مباشرة في المصادر الحالية.</w:t>
            </w:r>
          </w:p>
        </w:tc>
        <w:tc>
          <w:tcPr>
            <w:tcW w:w="2494" w:type="dxa"/>
          </w:tcPr>
          <w:p w14:paraId="4272D1E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فقرة قصيرة: كيف يظهر عدم الاستقرار في بيئة المستشفى (ضغط مناوبات/أخطاء/إرهاق/تغيير أدوار).</w:t>
            </w:r>
          </w:p>
        </w:tc>
      </w:tr>
      <w:tr w:rsidR="00D018DA" w:rsidRPr="00335C45" w14:paraId="5A20B1AE" w14:textId="77777777" w:rsidTr="00E94F4F">
        <w:tc>
          <w:tcPr>
            <w:tcW w:w="2154" w:type="dxa"/>
          </w:tcPr>
          <w:p w14:paraId="3C1F207C"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الثاني/المطلب الثاني: نظريات الاستقرار (خصائص الوظيفة/التبادل/العقد النفسي/JD-R/الالتزام)</w:t>
            </w:r>
          </w:p>
        </w:tc>
        <w:tc>
          <w:tcPr>
            <w:tcW w:w="2268" w:type="dxa"/>
          </w:tcPr>
          <w:p w14:paraId="112E000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تقديم تفسير «كيف ولماذا» تتشكل أبعاد الاستقرار، لا مجرد تعريفها.</w:t>
            </w:r>
          </w:p>
        </w:tc>
        <w:tc>
          <w:tcPr>
            <w:tcW w:w="2381" w:type="dxa"/>
          </w:tcPr>
          <w:p w14:paraId="2CC4C5B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دمج النظريات في خيط واحد يفسر تأثير التحول الرقمي: التحول الرقمي قد يزيد المطالب أو يضيف موارد؛ وقد يُعد خرقاً للعقد النفسي أو دعماً له.</w:t>
            </w:r>
          </w:p>
        </w:tc>
        <w:tc>
          <w:tcPr>
            <w:tcW w:w="2154" w:type="dxa"/>
          </w:tcPr>
          <w:p w14:paraId="13E2EDC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السرد جيد لكنه يحتاج مقارنات وحدود (متى تكون الرقمنة «مورد» ومتى «مطلب»؟).</w:t>
            </w:r>
          </w:p>
        </w:tc>
        <w:tc>
          <w:tcPr>
            <w:tcW w:w="2041" w:type="dxa"/>
          </w:tcPr>
          <w:p w14:paraId="03C7D5E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إضافة استشهاد هنا عند الاستنتاجات السببية العامة إن لم تكن مدعومة مباشرة.</w:t>
            </w:r>
          </w:p>
        </w:tc>
        <w:tc>
          <w:tcPr>
            <w:tcW w:w="2494" w:type="dxa"/>
          </w:tcPr>
          <w:p w14:paraId="246537F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اختم المطلب بفقرة تربط النظريات بالفرضيات: أي نظرية تدعم H01a-H01d؟</w:t>
            </w:r>
          </w:p>
        </w:tc>
      </w:tr>
      <w:tr w:rsidR="00D018DA" w:rsidRPr="00335C45" w14:paraId="5FAF6C4A" w14:textId="77777777" w:rsidTr="00E94F4F">
        <w:tc>
          <w:tcPr>
            <w:tcW w:w="2154" w:type="dxa"/>
          </w:tcPr>
          <w:p w14:paraId="334D4DD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lastRenderedPageBreak/>
              <w:t>المبحث الثاني/المطلب الثالث: أبعاد الاستقرار الثلاثة</w:t>
            </w:r>
          </w:p>
        </w:tc>
        <w:tc>
          <w:tcPr>
            <w:tcW w:w="2268" w:type="dxa"/>
          </w:tcPr>
          <w:p w14:paraId="37AFB441"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تعريف الأبعاد وتبريرها وتهيئة القياس.</w:t>
            </w:r>
          </w:p>
        </w:tc>
        <w:tc>
          <w:tcPr>
            <w:tcW w:w="2381" w:type="dxa"/>
          </w:tcPr>
          <w:p w14:paraId="6AA2ED3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توضيح هل ستُحلّل الأبعاد فرعياً أم ستُدمج في مؤشر كلي (Second-order).</w:t>
            </w:r>
          </w:p>
        </w:tc>
        <w:tc>
          <w:tcPr>
            <w:tcW w:w="2154" w:type="dxa"/>
          </w:tcPr>
          <w:p w14:paraId="07733B6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بعض التكرار مع الفصل الأول (التعريفات الإجرائية).</w:t>
            </w:r>
          </w:p>
        </w:tc>
        <w:tc>
          <w:tcPr>
            <w:tcW w:w="2041" w:type="dxa"/>
          </w:tcPr>
          <w:p w14:paraId="6ABA07B9"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إضافة استشهاد هنا لمقاييس قياس الأمن/الرضا/الالتزام في المستشفيات أو القطاع العام.</w:t>
            </w:r>
          </w:p>
        </w:tc>
        <w:tc>
          <w:tcPr>
            <w:tcW w:w="2494" w:type="dxa"/>
          </w:tcPr>
          <w:p w14:paraId="7DC73E56"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ضع جدولاً موجزاً (في الفصل 2 أو 3) يربط كل بعد بمصدر المقياس وعدد البنود وخطة التحقق (صدق/ثبات).</w:t>
            </w:r>
          </w:p>
        </w:tc>
      </w:tr>
      <w:tr w:rsidR="00D018DA" w:rsidRPr="00335C45" w14:paraId="4BD340C5" w14:textId="77777777" w:rsidTr="00E94F4F">
        <w:tc>
          <w:tcPr>
            <w:tcW w:w="2154" w:type="dxa"/>
          </w:tcPr>
          <w:p w14:paraId="67DA473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الثالث: العلاقة النظرية بين التحول الرقمي والاستقرار (المسارات/العوامل/النموذج)</w:t>
            </w:r>
          </w:p>
        </w:tc>
        <w:tc>
          <w:tcPr>
            <w:tcW w:w="2268" w:type="dxa"/>
          </w:tcPr>
          <w:p w14:paraId="3BEC1919"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توليد حجة نظرية تربط المتغيرات وتبرر الفروض والآليات.</w:t>
            </w:r>
          </w:p>
        </w:tc>
        <w:tc>
          <w:tcPr>
            <w:tcW w:w="2381" w:type="dxa"/>
          </w:tcPr>
          <w:p w14:paraId="6B8BAC6C"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تحديد آليات أكثر دقة: (غموض الدور، عبء العمل، الدعم التنظيمي، التدريب) كوسطاء أو شروط سياقية.</w:t>
            </w:r>
          </w:p>
        </w:tc>
        <w:tc>
          <w:tcPr>
            <w:tcW w:w="2154" w:type="dxa"/>
          </w:tcPr>
          <w:p w14:paraId="68628AF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بعض الفقرات تجمع عدة مسارات دون فصلها وبدون خاتمة «ماذا يعني ذلك؟».</w:t>
            </w:r>
          </w:p>
        </w:tc>
        <w:tc>
          <w:tcPr>
            <w:tcW w:w="2041" w:type="dxa"/>
          </w:tcPr>
          <w:p w14:paraId="277B118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إضافة استشهاد هنا عند طرح «الأمن القابل للاستخدام» كشرط نفسي إن لم يكن واضحاً.</w:t>
            </w:r>
          </w:p>
        </w:tc>
        <w:tc>
          <w:tcPr>
            <w:tcW w:w="2494" w:type="dxa"/>
          </w:tcPr>
          <w:p w14:paraId="375B7CE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انتهِ من هذا المبحث بفقرة تُنتج صراحة: (أ) ما المتوقع لكل بعد من التحول الرقمي، (ب) لماذا، (ج) ما حدود هذا التوقع في المستشفيات الحكومية.</w:t>
            </w:r>
          </w:p>
        </w:tc>
      </w:tr>
      <w:tr w:rsidR="00D018DA" w:rsidRPr="00335C45" w14:paraId="24F53595" w14:textId="77777777" w:rsidTr="00E94F4F">
        <w:tc>
          <w:tcPr>
            <w:tcW w:w="2154" w:type="dxa"/>
          </w:tcPr>
          <w:p w14:paraId="0268AEC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المحور الثاني: الدراسات السابقة (التصنيف إلى 3 محاور)</w:t>
            </w:r>
          </w:p>
        </w:tc>
        <w:tc>
          <w:tcPr>
            <w:tcW w:w="2268" w:type="dxa"/>
          </w:tcPr>
          <w:p w14:paraId="05056FF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تقديم دليل تجريبي وتحديد ما المعروف وما المختلف والفجوات.</w:t>
            </w:r>
          </w:p>
        </w:tc>
        <w:tc>
          <w:tcPr>
            <w:tcW w:w="2381" w:type="dxa"/>
          </w:tcPr>
          <w:p w14:paraId="3CA4491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تحويل «تلخيص الدراسات» إلى «توليف» عبر محاور (حسب الأبعاد أو النتائج). إدخال تناقضات وحدود سياقية.</w:t>
            </w:r>
          </w:p>
        </w:tc>
        <w:tc>
          <w:tcPr>
            <w:tcW w:w="2154" w:type="dxa"/>
          </w:tcPr>
          <w:p w14:paraId="0595E93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الأسلوب غالباً دراسة-بدراسة، مما يجعل القراءة طويلة ويفقد الفصل قوة الحجة.</w:t>
            </w:r>
          </w:p>
        </w:tc>
        <w:tc>
          <w:tcPr>
            <w:tcW w:w="2041" w:type="dxa"/>
          </w:tcPr>
          <w:p w14:paraId="631FDD88"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إضافة استشهاد هنا عند تعميم نتائج محاور كاملة على السياق السعودي دون تبرير.</w:t>
            </w:r>
          </w:p>
        </w:tc>
        <w:tc>
          <w:tcPr>
            <w:tcW w:w="2494" w:type="dxa"/>
          </w:tcPr>
          <w:p w14:paraId="5882975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استخدم مصفوفة توليف (25–40 دراسة) ثم اكتب: (نتائج متسقة/نتائج متباينة/تفسيرات/فجوات). اختم كل محور بفقرة «ماذا يعني ذلك لدراستي؟».</w:t>
            </w:r>
          </w:p>
        </w:tc>
      </w:tr>
    </w:tbl>
    <w:p w14:paraId="6E155F75" w14:textId="77777777" w:rsidR="00D018DA" w:rsidRPr="00335C45" w:rsidRDefault="00D018DA" w:rsidP="00335C45">
      <w:pPr>
        <w:bidi/>
        <w:spacing w:after="0" w:line="240" w:lineRule="auto"/>
        <w:rPr>
          <w:rFonts w:ascii="Simplified Arabic" w:hAnsi="Simplified Arabic" w:cs="Simplified Arabic"/>
          <w:sz w:val="22"/>
        </w:rPr>
      </w:pPr>
    </w:p>
    <w:p w14:paraId="44FBEC89" w14:textId="464228ED" w:rsidR="00D018DA" w:rsidRPr="00335C45" w:rsidRDefault="00E94F4F" w:rsidP="00335C45">
      <w:pPr>
        <w:bidi/>
        <w:spacing w:after="0" w:line="240" w:lineRule="auto"/>
        <w:rPr>
          <w:rFonts w:ascii="Simplified Arabic" w:hAnsi="Simplified Arabic" w:cs="Simplified Arabic"/>
          <w:sz w:val="22"/>
        </w:rPr>
      </w:pPr>
      <w:r w:rsidRPr="00335C45">
        <w:rPr>
          <w:rFonts w:ascii="Simplified Arabic" w:hAnsi="Simplified Arabic" w:cs="Simplified Arabic"/>
          <w:sz w:val="22"/>
          <w:rtl/>
        </w:rPr>
        <w:t xml:space="preserve">4) التوليف النقدي </w:t>
      </w:r>
    </w:p>
    <w:tbl>
      <w:tblPr>
        <w:tblStyle w:val="TableGrid"/>
        <w:bidiVisual/>
        <w:tblW w:w="13828" w:type="dxa"/>
        <w:tblLook w:val="04A0" w:firstRow="1" w:lastRow="0" w:firstColumn="1" w:lastColumn="0" w:noHBand="0" w:noVBand="1"/>
      </w:tblPr>
      <w:tblGrid>
        <w:gridCol w:w="1494"/>
        <w:gridCol w:w="1572"/>
        <w:gridCol w:w="1107"/>
        <w:gridCol w:w="1487"/>
        <w:gridCol w:w="1591"/>
        <w:gridCol w:w="1641"/>
        <w:gridCol w:w="4936"/>
      </w:tblGrid>
      <w:tr w:rsidR="00D018DA" w:rsidRPr="00335C45" w14:paraId="4CB1F3AD" w14:textId="77777777" w:rsidTr="00335C45">
        <w:tc>
          <w:tcPr>
            <w:tcW w:w="4173" w:type="dxa"/>
            <w:gridSpan w:val="3"/>
          </w:tcPr>
          <w:p w14:paraId="0FAE264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البند</w:t>
            </w:r>
          </w:p>
        </w:tc>
        <w:tc>
          <w:tcPr>
            <w:tcW w:w="9655" w:type="dxa"/>
            <w:gridSpan w:val="4"/>
          </w:tcPr>
          <w:p w14:paraId="27002C58"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التفاصيل</w:t>
            </w:r>
          </w:p>
        </w:tc>
      </w:tr>
      <w:tr w:rsidR="00D018DA" w:rsidRPr="00335C45" w14:paraId="49AA3F93" w14:textId="77777777" w:rsidTr="00335C45">
        <w:tc>
          <w:tcPr>
            <w:tcW w:w="4173" w:type="dxa"/>
            <w:gridSpan w:val="3"/>
          </w:tcPr>
          <w:p w14:paraId="61DE072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تشخيص مستوى الكتابة</w:t>
            </w:r>
          </w:p>
        </w:tc>
        <w:tc>
          <w:tcPr>
            <w:tcW w:w="9655" w:type="dxa"/>
            <w:gridSpan w:val="4"/>
          </w:tcPr>
          <w:p w14:paraId="1DC5D5D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الفصل يقترب من التحليل في أجزاء الإطار النظري، لكنه في «الدراسات السابقة» ما يزال أقرب إلى تلخيص سردي. المطلوب توليف يوضح: ماذا اتفقت عليه الدراسات؟ أين اختلفت؟ لماذا؟ وما شروط السياق؟</w:t>
            </w:r>
          </w:p>
        </w:tc>
      </w:tr>
      <w:tr w:rsidR="00D018DA" w:rsidRPr="00335C45" w14:paraId="6CDB2414" w14:textId="77777777" w:rsidTr="00335C45">
        <w:tc>
          <w:tcPr>
            <w:tcW w:w="4173" w:type="dxa"/>
            <w:gridSpan w:val="3"/>
          </w:tcPr>
          <w:p w14:paraId="2355BE66"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نموذج “مصفوفة التوليف” التي يجب على الطالب تعبئتها</w:t>
            </w:r>
          </w:p>
        </w:tc>
        <w:tc>
          <w:tcPr>
            <w:tcW w:w="9655" w:type="dxa"/>
            <w:gridSpan w:val="4"/>
          </w:tcPr>
          <w:p w14:paraId="2B761A49"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يستخدم الطالب القالب التالي لتوليف الدراسات قبل كتابة النص النهائي (لا يشترط إدراجه في الأطروحة).</w:t>
            </w:r>
          </w:p>
        </w:tc>
      </w:tr>
      <w:tr w:rsidR="00D018DA" w:rsidRPr="00335C45" w14:paraId="2CB092B5" w14:textId="77777777" w:rsidTr="00335C45">
        <w:tc>
          <w:tcPr>
            <w:tcW w:w="1494" w:type="dxa"/>
          </w:tcPr>
          <w:p w14:paraId="2E0410F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المؤلف/السنة</w:t>
            </w:r>
          </w:p>
        </w:tc>
        <w:tc>
          <w:tcPr>
            <w:tcW w:w="1572" w:type="dxa"/>
          </w:tcPr>
          <w:p w14:paraId="6D0CD8A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النظرية/النموذج</w:t>
            </w:r>
          </w:p>
        </w:tc>
        <w:tc>
          <w:tcPr>
            <w:tcW w:w="1107" w:type="dxa"/>
          </w:tcPr>
          <w:p w14:paraId="20E1877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السياق</w:t>
            </w:r>
          </w:p>
        </w:tc>
        <w:tc>
          <w:tcPr>
            <w:tcW w:w="1487" w:type="dxa"/>
          </w:tcPr>
          <w:p w14:paraId="0715DA3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المنهج/العينة</w:t>
            </w:r>
          </w:p>
        </w:tc>
        <w:tc>
          <w:tcPr>
            <w:tcW w:w="1591" w:type="dxa"/>
          </w:tcPr>
          <w:p w14:paraId="6C6018A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النتائج الرئيسة</w:t>
            </w:r>
          </w:p>
        </w:tc>
        <w:tc>
          <w:tcPr>
            <w:tcW w:w="1641" w:type="dxa"/>
          </w:tcPr>
          <w:p w14:paraId="3D9DFDB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القيود/الثغرات</w:t>
            </w:r>
          </w:p>
        </w:tc>
        <w:tc>
          <w:tcPr>
            <w:tcW w:w="4936" w:type="dxa"/>
          </w:tcPr>
          <w:p w14:paraId="711AD028"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الصلة بدراستي</w:t>
            </w:r>
          </w:p>
        </w:tc>
      </w:tr>
    </w:tbl>
    <w:p w14:paraId="5F38F845" w14:textId="189E408C" w:rsidR="00D018DA" w:rsidRDefault="00E94F4F" w:rsidP="00335C45">
      <w:pPr>
        <w:bidi/>
        <w:spacing w:after="0" w:line="240" w:lineRule="auto"/>
        <w:rPr>
          <w:rFonts w:ascii="Simplified Arabic" w:hAnsi="Simplified Arabic" w:cs="Simplified Arabic"/>
          <w:sz w:val="22"/>
        </w:rPr>
      </w:pPr>
      <w:r w:rsidRPr="00335C45">
        <w:rPr>
          <w:rFonts w:ascii="Simplified Arabic" w:hAnsi="Simplified Arabic" w:cs="Simplified Arabic"/>
          <w:sz w:val="22"/>
          <w:rtl/>
        </w:rPr>
        <w:t>إرشادات صناعة الحجة العلمية: (1) المقارنة والموازنة بين الدراسات حسب الأبعاد الأربعة للتحول الرقمي، (2) تفسير التناقضات عبر اختلاف المنهج/العينة/مستوى النضج الرقمي، (3) تحديد شروط السياق (المستشفيات الحكومية/المدينة/التنظيم)، (4) إنهاء كل محور بفقرة «ماذا يعني ذلك لدراستي؟» مرتبطة مباشرة بأسئلة الدراسة والفرضيات.</w:t>
      </w:r>
    </w:p>
    <w:p w14:paraId="3B0DC4A0" w14:textId="77777777" w:rsidR="00030739" w:rsidRPr="00335C45" w:rsidRDefault="00030739" w:rsidP="00030739">
      <w:pPr>
        <w:bidi/>
        <w:spacing w:after="0" w:line="240" w:lineRule="auto"/>
        <w:rPr>
          <w:rFonts w:ascii="Simplified Arabic" w:hAnsi="Simplified Arabic" w:cs="Simplified Arabic"/>
          <w:sz w:val="22"/>
        </w:rPr>
      </w:pPr>
    </w:p>
    <w:p w14:paraId="27995E1D" w14:textId="1749E376" w:rsidR="00D018DA" w:rsidRPr="00335C45" w:rsidRDefault="00E94F4F" w:rsidP="00335C45">
      <w:pPr>
        <w:bidi/>
        <w:spacing w:after="0" w:line="240" w:lineRule="auto"/>
        <w:rPr>
          <w:rFonts w:ascii="Simplified Arabic" w:hAnsi="Simplified Arabic" w:cs="Simplified Arabic"/>
          <w:sz w:val="22"/>
        </w:rPr>
      </w:pPr>
      <w:r w:rsidRPr="00335C45">
        <w:rPr>
          <w:rFonts w:ascii="Simplified Arabic" w:hAnsi="Simplified Arabic" w:cs="Simplified Arabic"/>
          <w:sz w:val="22"/>
          <w:rtl/>
        </w:rPr>
        <w:t>5) الأساس النظري والنموذج/الإطار المفاهيمي</w:t>
      </w:r>
    </w:p>
    <w:tbl>
      <w:tblPr>
        <w:tblStyle w:val="TableGrid"/>
        <w:bidiVisual/>
        <w:tblW w:w="13828" w:type="dxa"/>
        <w:tblLook w:val="04A0" w:firstRow="1" w:lastRow="0" w:firstColumn="1" w:lastColumn="0" w:noHBand="0" w:noVBand="1"/>
      </w:tblPr>
      <w:tblGrid>
        <w:gridCol w:w="2835"/>
        <w:gridCol w:w="10993"/>
      </w:tblGrid>
      <w:tr w:rsidR="00D018DA" w:rsidRPr="00335C45" w14:paraId="79B59183" w14:textId="77777777" w:rsidTr="00335C45">
        <w:tc>
          <w:tcPr>
            <w:tcW w:w="2835" w:type="dxa"/>
          </w:tcPr>
          <w:p w14:paraId="41BC395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lastRenderedPageBreak/>
              <w:t>البند</w:t>
            </w:r>
          </w:p>
        </w:tc>
        <w:tc>
          <w:tcPr>
            <w:tcW w:w="10993" w:type="dxa"/>
          </w:tcPr>
          <w:p w14:paraId="6CF12216"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التفاصيل</w:t>
            </w:r>
          </w:p>
        </w:tc>
      </w:tr>
      <w:tr w:rsidR="00D018DA" w:rsidRPr="00335C45" w14:paraId="53C95C60" w14:textId="77777777" w:rsidTr="00335C45">
        <w:tc>
          <w:tcPr>
            <w:tcW w:w="2835" w:type="dxa"/>
          </w:tcPr>
          <w:p w14:paraId="459C419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تحديد النظريات/النماذج الأنسب للموضوع (استناداً إلى النص)</w:t>
            </w:r>
          </w:p>
        </w:tc>
        <w:tc>
          <w:tcPr>
            <w:tcW w:w="10993" w:type="dxa"/>
          </w:tcPr>
          <w:p w14:paraId="23BAFCF7" w14:textId="77777777" w:rsidR="00E94F4F" w:rsidRPr="00335C45" w:rsidRDefault="00E94F4F" w:rsidP="00335C45">
            <w:pPr>
              <w:bidi/>
              <w:rPr>
                <w:rFonts w:ascii="Simplified Arabic" w:hAnsi="Simplified Arabic" w:cs="Simplified Arabic"/>
                <w:sz w:val="22"/>
              </w:rPr>
            </w:pPr>
            <w:r w:rsidRPr="00335C45">
              <w:rPr>
                <w:rFonts w:ascii="Simplified Arabic" w:hAnsi="Simplified Arabic" w:cs="Simplified Arabic"/>
                <w:sz w:val="22"/>
                <w:rtl/>
              </w:rPr>
              <w:t xml:space="preserve">للتبنّي: </w:t>
            </w:r>
            <w:r w:rsidRPr="00335C45">
              <w:rPr>
                <w:rFonts w:ascii="Simplified Arabic" w:hAnsi="Simplified Arabic" w:cs="Simplified Arabic"/>
                <w:sz w:val="22"/>
              </w:rPr>
              <w:t>TOE</w:t>
            </w:r>
            <w:r w:rsidRPr="00335C45">
              <w:rPr>
                <w:rFonts w:ascii="Simplified Arabic" w:hAnsi="Simplified Arabic" w:cs="Simplified Arabic"/>
                <w:sz w:val="22"/>
                <w:rtl/>
              </w:rPr>
              <w:t xml:space="preserve"> أو منظور النظم الاجتماعية-التقنية (كإطار محوري).</w:t>
            </w:r>
          </w:p>
          <w:p w14:paraId="57875364" w14:textId="77777777" w:rsidR="00E94F4F" w:rsidRPr="00335C45" w:rsidRDefault="00E94F4F" w:rsidP="00335C45">
            <w:pPr>
              <w:bidi/>
              <w:rPr>
                <w:rFonts w:ascii="Simplified Arabic" w:hAnsi="Simplified Arabic" w:cs="Simplified Arabic"/>
                <w:sz w:val="22"/>
              </w:rPr>
            </w:pPr>
            <w:r w:rsidRPr="00335C45">
              <w:rPr>
                <w:rFonts w:ascii="Simplified Arabic" w:hAnsi="Simplified Arabic" w:cs="Simplified Arabic"/>
                <w:sz w:val="22"/>
                <w:rtl/>
              </w:rPr>
              <w:t xml:space="preserve">للأثر على العاملين: </w:t>
            </w:r>
            <w:r w:rsidRPr="00335C45">
              <w:rPr>
                <w:rFonts w:ascii="Simplified Arabic" w:hAnsi="Simplified Arabic" w:cs="Simplified Arabic"/>
                <w:sz w:val="22"/>
              </w:rPr>
              <w:t>JD-R</w:t>
            </w:r>
            <w:r w:rsidRPr="00335C45">
              <w:rPr>
                <w:rFonts w:ascii="Simplified Arabic" w:hAnsi="Simplified Arabic" w:cs="Simplified Arabic"/>
                <w:sz w:val="22"/>
                <w:rtl/>
              </w:rPr>
              <w:t xml:space="preserve"> + التبادل الاجتماعي/العقد النفسي (كإطار محوري لاستقرار العاملين تحت التغيير).</w:t>
            </w:r>
          </w:p>
          <w:p w14:paraId="168DAA42" w14:textId="7D96FDFD" w:rsidR="00D018DA" w:rsidRPr="00335C45" w:rsidRDefault="00E94F4F" w:rsidP="00335C45">
            <w:pPr>
              <w:bidi/>
              <w:rPr>
                <w:rFonts w:ascii="Simplified Arabic" w:hAnsi="Simplified Arabic" w:cs="Simplified Arabic"/>
                <w:sz w:val="22"/>
              </w:rPr>
            </w:pPr>
            <w:r w:rsidRPr="00335C45">
              <w:rPr>
                <w:rFonts w:ascii="Simplified Arabic" w:hAnsi="Simplified Arabic" w:cs="Simplified Arabic"/>
                <w:sz w:val="22"/>
                <w:rtl/>
              </w:rPr>
              <w:t>لتمثيل أبعاد التحول: اعتماد الأبعاد الأربعة مع تبرير تشغيلي وقياسي.</w:t>
            </w:r>
          </w:p>
        </w:tc>
      </w:tr>
      <w:tr w:rsidR="00D018DA" w:rsidRPr="00335C45" w14:paraId="723AD2C5" w14:textId="77777777" w:rsidTr="00335C45">
        <w:tc>
          <w:tcPr>
            <w:tcW w:w="2835" w:type="dxa"/>
          </w:tcPr>
          <w:p w14:paraId="6EE9A3C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تقييم صحة شرح النظرية وتبرير اختيارها</w:t>
            </w:r>
          </w:p>
        </w:tc>
        <w:tc>
          <w:tcPr>
            <w:tcW w:w="10993" w:type="dxa"/>
          </w:tcPr>
          <w:p w14:paraId="143C8EB1" w14:textId="368BF688" w:rsidR="00D018DA" w:rsidRPr="00335C45" w:rsidRDefault="00E94F4F" w:rsidP="00335C45">
            <w:pPr>
              <w:bidi/>
              <w:rPr>
                <w:rFonts w:ascii="Simplified Arabic" w:hAnsi="Simplified Arabic" w:cs="Simplified Arabic"/>
                <w:sz w:val="22"/>
              </w:rPr>
            </w:pPr>
            <w:r w:rsidRPr="00335C45">
              <w:rPr>
                <w:rFonts w:ascii="Simplified Arabic" w:hAnsi="Simplified Arabic" w:cs="Simplified Arabic"/>
                <w:sz w:val="22"/>
                <w:rtl/>
              </w:rPr>
              <w:t>الشرح جيد من حيث التعريف، لكنه يحتاج تبريراً «لماذا هذا الإطار هو الذي سيقود النموذج» وليس مجرد عرض عدة أطر.</w:t>
            </w:r>
          </w:p>
        </w:tc>
      </w:tr>
      <w:tr w:rsidR="00D018DA" w:rsidRPr="00335C45" w14:paraId="1C9E0A57" w14:textId="77777777" w:rsidTr="00335C45">
        <w:tc>
          <w:tcPr>
            <w:tcW w:w="2835" w:type="dxa"/>
          </w:tcPr>
          <w:p w14:paraId="55B4D1C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الربط بين النظرية والبناءات/المتغيرات والعلاقات المتوقعة</w:t>
            </w:r>
          </w:p>
        </w:tc>
        <w:tc>
          <w:tcPr>
            <w:tcW w:w="10993" w:type="dxa"/>
          </w:tcPr>
          <w:p w14:paraId="14E126E6" w14:textId="7AB192A8" w:rsidR="00D018DA" w:rsidRPr="00335C45" w:rsidRDefault="00E94F4F" w:rsidP="00335C45">
            <w:pPr>
              <w:bidi/>
              <w:rPr>
                <w:rFonts w:ascii="Simplified Arabic" w:hAnsi="Simplified Arabic" w:cs="Simplified Arabic"/>
                <w:sz w:val="22"/>
              </w:rPr>
            </w:pPr>
            <w:r w:rsidRPr="00335C45">
              <w:rPr>
                <w:rFonts w:ascii="Simplified Arabic" w:hAnsi="Simplified Arabic" w:cs="Simplified Arabic"/>
                <w:sz w:val="22"/>
                <w:rtl/>
              </w:rPr>
              <w:t>مثال للربط: البنية والتكامل يقللان الطلبات (ازدواجية/أخطاء/غموض)، والكفاءة الرقمية تزيد الموارد (تمكن/ثقة)، والأمن الرقمي يزيد الثقة ويقلل القلق؛ وكلها تُترجم إلى أمن وظيفي/رضا/التزام.</w:t>
            </w:r>
          </w:p>
        </w:tc>
      </w:tr>
      <w:tr w:rsidR="00D018DA" w:rsidRPr="00335C45" w14:paraId="6B45B798" w14:textId="77777777" w:rsidTr="00335C45">
        <w:tc>
          <w:tcPr>
            <w:tcW w:w="2835" w:type="dxa"/>
          </w:tcPr>
          <w:p w14:paraId="75FF7BB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اقتراح “سرد للإطار المفاهيمي” (فقرة واحدة)</w:t>
            </w:r>
          </w:p>
        </w:tc>
        <w:tc>
          <w:tcPr>
            <w:tcW w:w="10993" w:type="dxa"/>
          </w:tcPr>
          <w:p w14:paraId="653988E5" w14:textId="50A689DF" w:rsidR="00D018DA"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تفترض الدراسة أن التحول الرقمي في المستشفيات الحكومية، عبر (البنية التحتية والتقنيات، الكفاءة الرقمية للموظفين، تكامل الأنظمة والرقمنة، الأمن وحماية البيانات)، يعيد تشكيل مطالب العمل وموارده ويؤثر في إدراكات العاملين للثقة والدعم والقدرة على الأداء. وبناءً على أطر (النظم الاجتماعية-التقنية) و(</w:t>
            </w:r>
            <w:r w:rsidRPr="00335C45">
              <w:rPr>
                <w:rFonts w:ascii="Simplified Arabic" w:hAnsi="Simplified Arabic" w:cs="Simplified Arabic"/>
                <w:sz w:val="22"/>
              </w:rPr>
              <w:t>JD-R</w:t>
            </w:r>
            <w:r w:rsidRPr="00335C45">
              <w:rPr>
                <w:rFonts w:ascii="Simplified Arabic" w:hAnsi="Simplified Arabic" w:cs="Simplified Arabic"/>
                <w:sz w:val="22"/>
                <w:rtl/>
              </w:rPr>
              <w:t>/التبادل الاجتماعي)، فإن توازن المطالب والموارد وجودة تصميم العمل ودعم المنظمة ينعكس على الاستقرار الوظيفي بوصفه بناءً مركباً من الأمن الوظيفي والرضا والالتزام التنظيمي.</w:t>
            </w:r>
          </w:p>
        </w:tc>
      </w:tr>
      <w:tr w:rsidR="00D018DA" w:rsidRPr="00335C45" w14:paraId="227DFD86" w14:textId="77777777" w:rsidTr="00335C45">
        <w:tc>
          <w:tcPr>
            <w:tcW w:w="2835" w:type="dxa"/>
          </w:tcPr>
          <w:p w14:paraId="6CA12C7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سلسلة منطقية بنقاط توضح العلاقات</w:t>
            </w:r>
          </w:p>
        </w:tc>
        <w:tc>
          <w:tcPr>
            <w:tcW w:w="10993" w:type="dxa"/>
          </w:tcPr>
          <w:p w14:paraId="5F837798" w14:textId="77777777" w:rsidR="0094649B"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 xml:space="preserve">• بنية رقمية قوية + تكامل فعّال </w:t>
            </w:r>
            <w:r w:rsidRPr="00335C45">
              <w:rPr>
                <w:rFonts w:ascii="Times New Roman" w:hAnsi="Times New Roman" w:cs="Times New Roman" w:hint="cs"/>
                <w:sz w:val="22"/>
                <w:rtl/>
              </w:rPr>
              <w:t>→</w:t>
            </w:r>
            <w:r w:rsidRPr="00335C45">
              <w:rPr>
                <w:rFonts w:ascii="Simplified Arabic" w:hAnsi="Simplified Arabic" w:cs="Simplified Arabic"/>
                <w:sz w:val="22"/>
                <w:rtl/>
              </w:rPr>
              <w:t xml:space="preserve"> تقليل ازدواجية العمل/الغموض </w:t>
            </w:r>
            <w:r w:rsidRPr="00335C45">
              <w:rPr>
                <w:rFonts w:ascii="Times New Roman" w:hAnsi="Times New Roman" w:cs="Times New Roman" w:hint="cs"/>
                <w:sz w:val="22"/>
                <w:rtl/>
              </w:rPr>
              <w:t>→</w:t>
            </w:r>
            <w:r w:rsidRPr="00335C45">
              <w:rPr>
                <w:rFonts w:ascii="Simplified Arabic" w:hAnsi="Simplified Arabic" w:cs="Simplified Arabic"/>
                <w:sz w:val="22"/>
                <w:rtl/>
              </w:rPr>
              <w:t xml:space="preserve"> رضا أعلى.</w:t>
            </w:r>
          </w:p>
          <w:p w14:paraId="518FEC2B" w14:textId="77777777" w:rsidR="0094649B"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 xml:space="preserve">• كفاءة رقمية أعلى </w:t>
            </w:r>
            <w:r w:rsidRPr="00335C45">
              <w:rPr>
                <w:rFonts w:ascii="Times New Roman" w:hAnsi="Times New Roman" w:cs="Times New Roman" w:hint="cs"/>
                <w:sz w:val="22"/>
                <w:rtl/>
              </w:rPr>
              <w:t>→</w:t>
            </w:r>
            <w:r w:rsidRPr="00335C45">
              <w:rPr>
                <w:rFonts w:ascii="Simplified Arabic" w:hAnsi="Simplified Arabic" w:cs="Simplified Arabic"/>
                <w:sz w:val="22"/>
                <w:rtl/>
              </w:rPr>
              <w:t xml:space="preserve"> تمكين وثقة بالقدرة </w:t>
            </w:r>
            <w:r w:rsidRPr="00335C45">
              <w:rPr>
                <w:rFonts w:ascii="Times New Roman" w:hAnsi="Times New Roman" w:cs="Times New Roman" w:hint="cs"/>
                <w:sz w:val="22"/>
                <w:rtl/>
              </w:rPr>
              <w:t>→</w:t>
            </w:r>
            <w:r w:rsidRPr="00335C45">
              <w:rPr>
                <w:rFonts w:ascii="Simplified Arabic" w:hAnsi="Simplified Arabic" w:cs="Simplified Arabic"/>
                <w:sz w:val="22"/>
                <w:rtl/>
              </w:rPr>
              <w:t xml:space="preserve"> أمن وظيفي/التزام أعلى.</w:t>
            </w:r>
          </w:p>
          <w:p w14:paraId="19640152" w14:textId="77777777" w:rsidR="0094649B"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 xml:space="preserve">• أمن بيانات واضح ومطبّق </w:t>
            </w:r>
            <w:r w:rsidRPr="00335C45">
              <w:rPr>
                <w:rFonts w:ascii="Times New Roman" w:hAnsi="Times New Roman" w:cs="Times New Roman" w:hint="cs"/>
                <w:sz w:val="22"/>
                <w:rtl/>
              </w:rPr>
              <w:t>→</w:t>
            </w:r>
            <w:r w:rsidRPr="00335C45">
              <w:rPr>
                <w:rFonts w:ascii="Simplified Arabic" w:hAnsi="Simplified Arabic" w:cs="Simplified Arabic"/>
                <w:sz w:val="22"/>
                <w:rtl/>
              </w:rPr>
              <w:t xml:space="preserve"> ثقة وتقليل قلق مهني </w:t>
            </w:r>
            <w:r w:rsidRPr="00335C45">
              <w:rPr>
                <w:rFonts w:ascii="Times New Roman" w:hAnsi="Times New Roman" w:cs="Times New Roman" w:hint="cs"/>
                <w:sz w:val="22"/>
                <w:rtl/>
              </w:rPr>
              <w:t>→</w:t>
            </w:r>
            <w:r w:rsidRPr="00335C45">
              <w:rPr>
                <w:rFonts w:ascii="Simplified Arabic" w:hAnsi="Simplified Arabic" w:cs="Simplified Arabic"/>
                <w:sz w:val="22"/>
                <w:rtl/>
              </w:rPr>
              <w:t xml:space="preserve"> استقرار أعلى.</w:t>
            </w:r>
          </w:p>
          <w:p w14:paraId="7E33C0F2" w14:textId="2C935625" w:rsidR="00D018DA"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 عند غياب التدريب/الدعم/إدارة التغيير قد يتحول التحول الرقمي إلى «مطلب» يزيد الضغط ويضعف الاستقرار (حدود سياقية).</w:t>
            </w:r>
          </w:p>
        </w:tc>
      </w:tr>
    </w:tbl>
    <w:p w14:paraId="5673D006" w14:textId="77777777" w:rsidR="00D018DA" w:rsidRPr="00335C45" w:rsidRDefault="00D018DA" w:rsidP="00335C45">
      <w:pPr>
        <w:bidi/>
        <w:spacing w:after="0" w:line="240" w:lineRule="auto"/>
        <w:rPr>
          <w:rFonts w:ascii="Simplified Arabic" w:hAnsi="Simplified Arabic" w:cs="Simplified Arabic"/>
          <w:sz w:val="22"/>
        </w:rPr>
      </w:pPr>
    </w:p>
    <w:p w14:paraId="340067EC" w14:textId="61A306A1" w:rsidR="00D018DA" w:rsidRPr="00335C45" w:rsidRDefault="0094649B" w:rsidP="00335C45">
      <w:pPr>
        <w:bidi/>
        <w:spacing w:after="0" w:line="240" w:lineRule="auto"/>
        <w:rPr>
          <w:rFonts w:ascii="Simplified Arabic" w:hAnsi="Simplified Arabic" w:cs="Simplified Arabic"/>
          <w:sz w:val="22"/>
        </w:rPr>
      </w:pPr>
      <w:r w:rsidRPr="00335C45">
        <w:rPr>
          <w:rFonts w:ascii="Simplified Arabic" w:hAnsi="Simplified Arabic" w:cs="Simplified Arabic"/>
          <w:sz w:val="22"/>
          <w:rtl/>
        </w:rPr>
        <w:t xml:space="preserve">6) فجوة البحث والإضافة العلمية </w:t>
      </w:r>
    </w:p>
    <w:tbl>
      <w:tblPr>
        <w:tblStyle w:val="TableGrid"/>
        <w:bidiVisual/>
        <w:tblW w:w="13828" w:type="dxa"/>
        <w:tblLook w:val="04A0" w:firstRow="1" w:lastRow="0" w:firstColumn="1" w:lastColumn="0" w:noHBand="0" w:noVBand="1"/>
      </w:tblPr>
      <w:tblGrid>
        <w:gridCol w:w="2948"/>
        <w:gridCol w:w="10880"/>
      </w:tblGrid>
      <w:tr w:rsidR="00D018DA" w:rsidRPr="00335C45" w14:paraId="64E9A461" w14:textId="77777777" w:rsidTr="00335C45">
        <w:tc>
          <w:tcPr>
            <w:tcW w:w="2948" w:type="dxa"/>
          </w:tcPr>
          <w:p w14:paraId="0E9F983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البند</w:t>
            </w:r>
          </w:p>
        </w:tc>
        <w:tc>
          <w:tcPr>
            <w:tcW w:w="10880" w:type="dxa"/>
          </w:tcPr>
          <w:p w14:paraId="1BA004EC"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التفاصيل</w:t>
            </w:r>
          </w:p>
        </w:tc>
      </w:tr>
      <w:tr w:rsidR="00D018DA" w:rsidRPr="00335C45" w14:paraId="6E535A14" w14:textId="77777777" w:rsidTr="00335C45">
        <w:tc>
          <w:tcPr>
            <w:tcW w:w="2948" w:type="dxa"/>
          </w:tcPr>
          <w:p w14:paraId="7254047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تقييم: هل يقود الفصل فعلاً إلى فجوة بحثية واضحة؟</w:t>
            </w:r>
          </w:p>
        </w:tc>
        <w:tc>
          <w:tcPr>
            <w:tcW w:w="10880" w:type="dxa"/>
          </w:tcPr>
          <w:p w14:paraId="1C3D14CA" w14:textId="67EB3F77" w:rsidR="00D018DA"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يقود إلى فجوة «أولية» لكنه لا يثبتها بما يكفي. تحتاج الفجوة إلى برهنة منهجية (توليف الدراسات + أين النقص بالضبط + لماذا مهم).</w:t>
            </w:r>
          </w:p>
        </w:tc>
      </w:tr>
      <w:tr w:rsidR="00D018DA" w:rsidRPr="00335C45" w14:paraId="04EF7AFB" w14:textId="77777777" w:rsidTr="00335C45">
        <w:tc>
          <w:tcPr>
            <w:tcW w:w="2948" w:type="dxa"/>
          </w:tcPr>
          <w:p w14:paraId="0EB3A329"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إعادة صياغة فجوة البحث بثلاث صيغ أقوى – أ) فجوة تجريبية/دليلية محددة</w:t>
            </w:r>
          </w:p>
        </w:tc>
        <w:tc>
          <w:tcPr>
            <w:tcW w:w="10880" w:type="dxa"/>
          </w:tcPr>
          <w:p w14:paraId="1C8712F8" w14:textId="76255386" w:rsidR="00D018DA"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توجد محدودية في الأدلة الميدانية التي تختبر أثر الأبعاد الأربعة للتحول الرقمي مجتمعـة على الاستقرار الوظيفي للعاملين في المستشفيات الحكومية (وبخاصة في جدة) باستخدام نموذج قياس واضح ومقاييس محكمة.</w:t>
            </w:r>
          </w:p>
        </w:tc>
      </w:tr>
      <w:tr w:rsidR="00D018DA" w:rsidRPr="00335C45" w14:paraId="034F75F9" w14:textId="77777777" w:rsidTr="00335C45">
        <w:tc>
          <w:tcPr>
            <w:tcW w:w="2948" w:type="dxa"/>
          </w:tcPr>
          <w:p w14:paraId="724D9C36"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ب) فجوة نظرية/تفسيرية</w:t>
            </w:r>
          </w:p>
        </w:tc>
        <w:tc>
          <w:tcPr>
            <w:tcW w:w="10880" w:type="dxa"/>
          </w:tcPr>
          <w:p w14:paraId="266ECA31" w14:textId="3258D96C" w:rsidR="00D018DA"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تركّز الأدبيات غالباً على نتائج التحول الرقمي للخدمة/المريض، بينما تظل آليات تأثيره على استقرار العاملين غير مفسرة بما يكفي؛ وتحتاج إلى توظيف إطار يشرح «المطالب/الموارد» أو «العقد النفسي» تحت التحول.</w:t>
            </w:r>
          </w:p>
        </w:tc>
      </w:tr>
      <w:tr w:rsidR="00D018DA" w:rsidRPr="00335C45" w14:paraId="58334482" w14:textId="77777777" w:rsidTr="00335C45">
        <w:tc>
          <w:tcPr>
            <w:tcW w:w="2948" w:type="dxa"/>
          </w:tcPr>
          <w:p w14:paraId="1A6D7F7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lastRenderedPageBreak/>
              <w:t>ج) فجوة سياقية/منهجية</w:t>
            </w:r>
          </w:p>
        </w:tc>
        <w:tc>
          <w:tcPr>
            <w:tcW w:w="10880" w:type="dxa"/>
          </w:tcPr>
          <w:p w14:paraId="75BFBFF0" w14:textId="62B3B86B" w:rsidR="00D018DA"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السياق السعودي يتسم بتسارع التحول الصحي الوطني وخصوصية المستشفيات الحكومية؛ إلا أن القياس المستخدم في الأدبيات الدولية قد لا ينتقل مباشرة. يلزم تكييف المقاييس والتحقق من صدقها وثباتها في جدة.</w:t>
            </w:r>
          </w:p>
        </w:tc>
      </w:tr>
      <w:tr w:rsidR="00D018DA" w:rsidRPr="00335C45" w14:paraId="09730E3D" w14:textId="77777777" w:rsidTr="00335C45">
        <w:tc>
          <w:tcPr>
            <w:tcW w:w="2948" w:type="dxa"/>
          </w:tcPr>
          <w:p w14:paraId="41D825D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اقتراح 3–6 ادعاءات مساهمة/إضافة</w:t>
            </w:r>
          </w:p>
        </w:tc>
        <w:tc>
          <w:tcPr>
            <w:tcW w:w="10880" w:type="dxa"/>
          </w:tcPr>
          <w:p w14:paraId="0A0E92EE" w14:textId="77777777" w:rsidR="0094649B"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1) مساهمة نظرية: تفسير أثر التحول الرقمي على الاستقرار عبر إطار تفسيري محوري (</w:t>
            </w:r>
            <w:r w:rsidRPr="00335C45">
              <w:rPr>
                <w:rFonts w:ascii="Simplified Arabic" w:hAnsi="Simplified Arabic" w:cs="Simplified Arabic"/>
                <w:sz w:val="22"/>
              </w:rPr>
              <w:t>JD-R</w:t>
            </w:r>
            <w:r w:rsidRPr="00335C45">
              <w:rPr>
                <w:rFonts w:ascii="Simplified Arabic" w:hAnsi="Simplified Arabic" w:cs="Simplified Arabic"/>
                <w:sz w:val="22"/>
                <w:rtl/>
              </w:rPr>
              <w:t>/سوسيو-تقني).</w:t>
            </w:r>
          </w:p>
          <w:p w14:paraId="6C275C8C" w14:textId="77777777" w:rsidR="0094649B"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2) مساهمة تجريبية: اختبار نموذج متعدد الأبعاد في مستشفيات حكومية بجدة.</w:t>
            </w:r>
          </w:p>
          <w:p w14:paraId="3D164784" w14:textId="77777777" w:rsidR="0094649B"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3) مساهمة منهجية: تكييف/تحقق قياسي لمقاييس الأبعاد الأربعة والاستقرار.</w:t>
            </w:r>
          </w:p>
          <w:p w14:paraId="1AC27915" w14:textId="77777777" w:rsidR="0094649B"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4) مساهمة تطبيقية: تحديد الأبعاد الأكثر تأثيراً لتوجيه قرارات التدريب/التكامل/الأمن السيبراني.</w:t>
            </w:r>
          </w:p>
          <w:p w14:paraId="1C307130" w14:textId="31ABE436" w:rsidR="00D018DA" w:rsidRPr="00335C45" w:rsidRDefault="0094649B" w:rsidP="00335C45">
            <w:pPr>
              <w:bidi/>
              <w:rPr>
                <w:rFonts w:ascii="Simplified Arabic" w:hAnsi="Simplified Arabic" w:cs="Simplified Arabic"/>
                <w:sz w:val="22"/>
              </w:rPr>
            </w:pPr>
            <w:r w:rsidRPr="00335C45">
              <w:rPr>
                <w:rFonts w:ascii="Simplified Arabic" w:hAnsi="Simplified Arabic" w:cs="Simplified Arabic"/>
                <w:sz w:val="22"/>
                <w:rtl/>
              </w:rPr>
              <w:t>5) مساهمة سياسات: توصيات لبرنامج التحول الصحي لضمان توازن التقنية والبعد البشري.</w:t>
            </w:r>
          </w:p>
        </w:tc>
      </w:tr>
    </w:tbl>
    <w:p w14:paraId="1DF5FECC" w14:textId="77777777" w:rsidR="00D018DA" w:rsidRPr="00335C45" w:rsidRDefault="00D018DA" w:rsidP="00335C45">
      <w:pPr>
        <w:bidi/>
        <w:spacing w:after="0" w:line="240" w:lineRule="auto"/>
        <w:rPr>
          <w:rFonts w:ascii="Simplified Arabic" w:hAnsi="Simplified Arabic" w:cs="Simplified Arabic"/>
          <w:sz w:val="22"/>
        </w:rPr>
      </w:pPr>
    </w:p>
    <w:p w14:paraId="588D065B" w14:textId="474A37C7" w:rsidR="00D018DA" w:rsidRPr="00335C45" w:rsidRDefault="0094649B" w:rsidP="00030739">
      <w:pPr>
        <w:bidi/>
        <w:spacing w:after="0" w:line="240" w:lineRule="auto"/>
        <w:rPr>
          <w:rFonts w:ascii="Simplified Arabic" w:hAnsi="Simplified Arabic" w:cs="Simplified Arabic"/>
          <w:sz w:val="22"/>
        </w:rPr>
      </w:pPr>
      <w:r w:rsidRPr="00335C45">
        <w:rPr>
          <w:rFonts w:ascii="Simplified Arabic" w:hAnsi="Simplified Arabic" w:cs="Simplified Arabic"/>
          <w:sz w:val="22"/>
          <w:rtl/>
        </w:rPr>
        <w:t>7</w:t>
      </w:r>
      <w:r w:rsidR="00FF1935" w:rsidRPr="00335C45">
        <w:rPr>
          <w:rFonts w:ascii="Simplified Arabic" w:hAnsi="Simplified Arabic" w:cs="Simplified Arabic"/>
          <w:sz w:val="22"/>
          <w:rtl/>
        </w:rPr>
        <w:t xml:space="preserve">10) ملاحظات تفصيلية </w:t>
      </w:r>
    </w:p>
    <w:tbl>
      <w:tblPr>
        <w:tblStyle w:val="TableGrid"/>
        <w:bidiVisual/>
        <w:tblW w:w="0" w:type="auto"/>
        <w:tblLook w:val="04A0" w:firstRow="1" w:lastRow="0" w:firstColumn="1" w:lastColumn="0" w:noHBand="0" w:noVBand="1"/>
      </w:tblPr>
      <w:tblGrid>
        <w:gridCol w:w="1814"/>
        <w:gridCol w:w="2268"/>
        <w:gridCol w:w="2247"/>
        <w:gridCol w:w="2268"/>
        <w:gridCol w:w="2268"/>
        <w:gridCol w:w="2381"/>
      </w:tblGrid>
      <w:tr w:rsidR="00D018DA" w:rsidRPr="00335C45" w14:paraId="1F917468" w14:textId="77777777" w:rsidTr="00FF1935">
        <w:tc>
          <w:tcPr>
            <w:tcW w:w="1814" w:type="dxa"/>
          </w:tcPr>
          <w:p w14:paraId="3539B32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العنوان/القسم</w:t>
            </w:r>
          </w:p>
        </w:tc>
        <w:tc>
          <w:tcPr>
            <w:tcW w:w="2268" w:type="dxa"/>
          </w:tcPr>
          <w:p w14:paraId="019A540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رقم الفقرة/بدايتها</w:t>
            </w:r>
          </w:p>
        </w:tc>
        <w:tc>
          <w:tcPr>
            <w:tcW w:w="2041" w:type="dxa"/>
          </w:tcPr>
          <w:p w14:paraId="189581B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ما المشكلة؟</w:t>
            </w:r>
          </w:p>
        </w:tc>
        <w:tc>
          <w:tcPr>
            <w:tcW w:w="2268" w:type="dxa"/>
          </w:tcPr>
          <w:p w14:paraId="3A9EB4D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لماذا تُعد مشكلة أكاديمياً؟</w:t>
            </w:r>
          </w:p>
        </w:tc>
        <w:tc>
          <w:tcPr>
            <w:tcW w:w="2268" w:type="dxa"/>
          </w:tcPr>
          <w:p w14:paraId="758C22C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ماذا يجب تعديله تحديداً؟</w:t>
            </w:r>
          </w:p>
        </w:tc>
        <w:tc>
          <w:tcPr>
            <w:tcW w:w="2381" w:type="dxa"/>
          </w:tcPr>
          <w:p w14:paraId="1C20560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b/>
                <w:sz w:val="22"/>
              </w:rPr>
              <w:t>مثال صياغة بديلة (1–3 جمل)</w:t>
            </w:r>
          </w:p>
        </w:tc>
      </w:tr>
      <w:tr w:rsidR="00D018DA" w:rsidRPr="00335C45" w14:paraId="4377D152" w14:textId="77777777" w:rsidTr="00FF1935">
        <w:tc>
          <w:tcPr>
            <w:tcW w:w="1814" w:type="dxa"/>
          </w:tcPr>
          <w:p w14:paraId="2A2B8B28"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تمهيد الفصل</w:t>
            </w:r>
          </w:p>
        </w:tc>
        <w:tc>
          <w:tcPr>
            <w:tcW w:w="2268" w:type="dxa"/>
          </w:tcPr>
          <w:p w14:paraId="63863B0C"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1 – الفصل الثاني</w:t>
            </w:r>
          </w:p>
        </w:tc>
        <w:tc>
          <w:tcPr>
            <w:tcW w:w="2041" w:type="dxa"/>
          </w:tcPr>
          <w:p w14:paraId="2F941A1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غياب تمهيد يوضح منهج المراجعة ومعايير اختيار الأدبيات.</w:t>
            </w:r>
          </w:p>
        </w:tc>
        <w:tc>
          <w:tcPr>
            <w:tcW w:w="2268" w:type="dxa"/>
          </w:tcPr>
          <w:p w14:paraId="5FB8EEC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في معيار الدكتوراه يجب أن يعرف القارئ كيف جُمعت الأدبيات ولماذا اختيرت.</w:t>
            </w:r>
          </w:p>
        </w:tc>
        <w:tc>
          <w:tcPr>
            <w:tcW w:w="2268" w:type="dxa"/>
          </w:tcPr>
          <w:p w14:paraId="54ADBBC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فقرة 2.1 تمهيد: قواعد بيانات/كلمات مفتاحية/معايير إدراج واستبعاد.</w:t>
            </w:r>
          </w:p>
        </w:tc>
        <w:tc>
          <w:tcPr>
            <w:tcW w:w="2381" w:type="dxa"/>
          </w:tcPr>
          <w:p w14:paraId="280ADAC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«يعتمد هذا الفصل على مراجعة أدبيات محكّمة… وفق كلمات مفتاحية… ومعايير إدراج…»</w:t>
            </w:r>
          </w:p>
        </w:tc>
      </w:tr>
      <w:tr w:rsidR="00D018DA" w:rsidRPr="00335C45" w14:paraId="3FD96258" w14:textId="77777777" w:rsidTr="00FF1935">
        <w:tc>
          <w:tcPr>
            <w:tcW w:w="1814" w:type="dxa"/>
          </w:tcPr>
          <w:p w14:paraId="66A6062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الأول/المطلب الأول</w:t>
            </w:r>
          </w:p>
        </w:tc>
        <w:tc>
          <w:tcPr>
            <w:tcW w:w="2268" w:type="dxa"/>
          </w:tcPr>
          <w:p w14:paraId="0A46544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6 – يعد التحول الرقمي مفهوما تنظيميا إستراتيجيا يرتبط بإعادة بناء طريقة عمل المؤسسة،…</w:t>
            </w:r>
          </w:p>
        </w:tc>
        <w:tc>
          <w:tcPr>
            <w:tcW w:w="2041" w:type="dxa"/>
          </w:tcPr>
          <w:p w14:paraId="471B8F9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الفقرة طويلة وتجمع عدة مفاهيم دون تقسيم.</w:t>
            </w:r>
          </w:p>
        </w:tc>
        <w:tc>
          <w:tcPr>
            <w:tcW w:w="2268" w:type="dxa"/>
          </w:tcPr>
          <w:p w14:paraId="07607A5C"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الطول المفرط يضعف التركيز ويصعّب تتبع الحجة.</w:t>
            </w:r>
          </w:p>
        </w:tc>
        <w:tc>
          <w:tcPr>
            <w:tcW w:w="2268" w:type="dxa"/>
          </w:tcPr>
          <w:p w14:paraId="1B42E17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قسّمها إلى: تعريف/تمييز/تدرج التحول/خاتمة تربط بالاستقرار الوظيفي.</w:t>
            </w:r>
          </w:p>
        </w:tc>
        <w:tc>
          <w:tcPr>
            <w:tcW w:w="2381" w:type="dxa"/>
          </w:tcPr>
          <w:p w14:paraId="6FD0FF2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«يُعرَّف التحول الرقمي بأنه… بينما تشير الرقمنة إلى… وينطوي التحول على…»</w:t>
            </w:r>
          </w:p>
        </w:tc>
      </w:tr>
      <w:tr w:rsidR="00D018DA" w:rsidRPr="00335C45" w14:paraId="26FAC10A" w14:textId="77777777" w:rsidTr="00FF1935">
        <w:tc>
          <w:tcPr>
            <w:tcW w:w="1814" w:type="dxa"/>
          </w:tcPr>
          <w:p w14:paraId="119EA87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الأول/المطلب الثاني (TOE)</w:t>
            </w:r>
          </w:p>
        </w:tc>
        <w:tc>
          <w:tcPr>
            <w:tcW w:w="2268" w:type="dxa"/>
          </w:tcPr>
          <w:p w14:paraId="0EB145D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14 – يعد إطار التكنولوجيا–المنظمة–البيئة من أبرز الأطر في تفسير تبني التقنيات على مستوى…</w:t>
            </w:r>
          </w:p>
        </w:tc>
        <w:tc>
          <w:tcPr>
            <w:tcW w:w="2041" w:type="dxa"/>
          </w:tcPr>
          <w:p w14:paraId="41D1A29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استخدام صيغة خطاب غير أكاديمية: «دراساتك».</w:t>
            </w:r>
          </w:p>
        </w:tc>
        <w:tc>
          <w:tcPr>
            <w:tcW w:w="2268" w:type="dxa"/>
          </w:tcPr>
          <w:p w14:paraId="2258933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يُفقد النص الحياد العلمي وقد يوحي بأن الكاتب يستند إلى أعماله دون توثيق واضح.</w:t>
            </w:r>
          </w:p>
        </w:tc>
        <w:tc>
          <w:tcPr>
            <w:tcW w:w="2268" w:type="dxa"/>
          </w:tcPr>
          <w:p w14:paraId="3B147C9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استبدلها بصياغة محايدة (دراسات سابقة/الأدبيات) وتحقق من الاستشهاد المناسب.</w:t>
            </w:r>
          </w:p>
        </w:tc>
        <w:tc>
          <w:tcPr>
            <w:tcW w:w="2381" w:type="dxa"/>
          </w:tcPr>
          <w:p w14:paraId="1BFBD3D8"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«وقد وظفت دراسات سابقة هذا الإطار…»</w:t>
            </w:r>
          </w:p>
        </w:tc>
      </w:tr>
      <w:tr w:rsidR="00D018DA" w:rsidRPr="00335C45" w14:paraId="57D1D252" w14:textId="77777777" w:rsidTr="00FF1935">
        <w:tc>
          <w:tcPr>
            <w:tcW w:w="1814" w:type="dxa"/>
          </w:tcPr>
          <w:p w14:paraId="7CCC5F9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الأول/المطلب الثاني (TAM/UTAUT)</w:t>
            </w:r>
          </w:p>
        </w:tc>
        <w:tc>
          <w:tcPr>
            <w:tcW w:w="2268" w:type="dxa"/>
          </w:tcPr>
          <w:p w14:paraId="477D191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18 – تفسر نماذج قبول التكنولوجيا تبني الأفراد للأنظمة الرقمية من خلال إدراك المنفعة…</w:t>
            </w:r>
          </w:p>
        </w:tc>
        <w:tc>
          <w:tcPr>
            <w:tcW w:w="2041" w:type="dxa"/>
          </w:tcPr>
          <w:p w14:paraId="2537BE4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الفقرة تُدخل Saeed (2025) بوصفه «دراساتك» وبصياغة تقويمية عامة.</w:t>
            </w:r>
          </w:p>
        </w:tc>
        <w:tc>
          <w:tcPr>
            <w:tcW w:w="2268" w:type="dxa"/>
          </w:tcPr>
          <w:p w14:paraId="668C65F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يجب الفصل بين عرض النظرية وبين الاستشهاد بدراسة تطبيقية، مع ضبط الحياد.</w:t>
            </w:r>
          </w:p>
        </w:tc>
        <w:tc>
          <w:tcPr>
            <w:tcW w:w="2268" w:type="dxa"/>
          </w:tcPr>
          <w:p w14:paraId="333188D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أعد الصياغة: عرّف النموذج أولاً ثم اربط كيف يفيد دراستك، ثم مثال واحد مدعوم.</w:t>
            </w:r>
          </w:p>
        </w:tc>
        <w:tc>
          <w:tcPr>
            <w:tcW w:w="2381" w:type="dxa"/>
          </w:tcPr>
          <w:p w14:paraId="0E5B18C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«وتشير بعض الدراسات إلى أن إدراك الأمن والخصوصية يؤثر في نية الاستخدام…»</w:t>
            </w:r>
          </w:p>
        </w:tc>
      </w:tr>
      <w:tr w:rsidR="00D018DA" w:rsidRPr="00335C45" w14:paraId="5736CFBA" w14:textId="77777777" w:rsidTr="00FF1935">
        <w:tc>
          <w:tcPr>
            <w:tcW w:w="1814" w:type="dxa"/>
          </w:tcPr>
          <w:p w14:paraId="277E79B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lastRenderedPageBreak/>
              <w:t>المبحث الأول/المطلب الثالث</w:t>
            </w:r>
          </w:p>
        </w:tc>
        <w:tc>
          <w:tcPr>
            <w:tcW w:w="2268" w:type="dxa"/>
          </w:tcPr>
          <w:p w14:paraId="3A0F565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23 – إن بناء التحول الرقمي كمفهوم قابل للقياس يتطلب تفكيكه إلى أبعاد تشغيلية…</w:t>
            </w:r>
          </w:p>
        </w:tc>
        <w:tc>
          <w:tcPr>
            <w:tcW w:w="2041" w:type="dxa"/>
          </w:tcPr>
          <w:p w14:paraId="797015A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تبرير اختيار الأبعاد يعتمد على «دراساتك السابقة» دون تحديد منهج انتقاء.</w:t>
            </w:r>
          </w:p>
        </w:tc>
        <w:tc>
          <w:tcPr>
            <w:tcW w:w="2268" w:type="dxa"/>
          </w:tcPr>
          <w:p w14:paraId="5BFC986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المعيار العلمي يتطلب توضيح منطق الانتقاء (شيوع القياس/ملاءمة السياق/تغطية أبعاد التقنية والبشر).</w:t>
            </w:r>
          </w:p>
        </w:tc>
        <w:tc>
          <w:tcPr>
            <w:tcW w:w="2268" w:type="dxa"/>
          </w:tcPr>
          <w:p w14:paraId="046F08A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استبدلها بتبرير قائم على الأدبيات: لماذا هذه الأبعاد الأربعة تحديداً؟ وما الذي استُبعد؟</w:t>
            </w:r>
          </w:p>
        </w:tc>
        <w:tc>
          <w:tcPr>
            <w:tcW w:w="2381" w:type="dxa"/>
          </w:tcPr>
          <w:p w14:paraId="32AAA2D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«استند اختيار الأبعاد إلى شيوعها في الأدبيات وملاءمتها لسياق المستشفيات الحكومية…»</w:t>
            </w:r>
          </w:p>
        </w:tc>
      </w:tr>
      <w:tr w:rsidR="00D018DA" w:rsidRPr="00335C45" w14:paraId="40F283DC" w14:textId="77777777" w:rsidTr="00FF1935">
        <w:tc>
          <w:tcPr>
            <w:tcW w:w="1814" w:type="dxa"/>
          </w:tcPr>
          <w:p w14:paraId="6CCBEB6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تدقيق الاستشهادات</w:t>
            </w:r>
          </w:p>
        </w:tc>
        <w:tc>
          <w:tcPr>
            <w:tcW w:w="2268" w:type="dxa"/>
          </w:tcPr>
          <w:p w14:paraId="6613EB7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64 – المسار الثالث: الأمن وحماية البيانات بوصفه شرطا نفسيا وتنظيميا للإطمئنان المهني إن…</w:t>
            </w:r>
          </w:p>
        </w:tc>
        <w:tc>
          <w:tcPr>
            <w:tcW w:w="2041" w:type="dxa"/>
          </w:tcPr>
          <w:p w14:paraId="253E4FD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وجود أقواس مزدوجة في الاستشهاد: Saeed, 2025)).</w:t>
            </w:r>
          </w:p>
        </w:tc>
        <w:tc>
          <w:tcPr>
            <w:tcW w:w="2268" w:type="dxa"/>
          </w:tcPr>
          <w:p w14:paraId="6288AEE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أخطاء التوثيق تقلل الاحترافية وتُضعف قبول الفصل للتحكيم.</w:t>
            </w:r>
          </w:p>
        </w:tc>
        <w:tc>
          <w:tcPr>
            <w:tcW w:w="2268" w:type="dxa"/>
          </w:tcPr>
          <w:p w14:paraId="30AA098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صحّح جميع الاستشهادات إلى نمط واحد (APA) وتحقق من قائمة المراجع.</w:t>
            </w:r>
          </w:p>
        </w:tc>
        <w:tc>
          <w:tcPr>
            <w:tcW w:w="2381" w:type="dxa"/>
          </w:tcPr>
          <w:p w14:paraId="063BD8A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«(Saeed, 2025).»</w:t>
            </w:r>
          </w:p>
        </w:tc>
      </w:tr>
      <w:tr w:rsidR="00D018DA" w:rsidRPr="00335C45" w14:paraId="396F8A4E" w14:textId="77777777" w:rsidTr="00FF1935">
        <w:tc>
          <w:tcPr>
            <w:tcW w:w="1814" w:type="dxa"/>
          </w:tcPr>
          <w:p w14:paraId="32B973E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الثاني/المطلب الأول</w:t>
            </w:r>
          </w:p>
        </w:tc>
        <w:tc>
          <w:tcPr>
            <w:tcW w:w="2268" w:type="dxa"/>
          </w:tcPr>
          <w:p w14:paraId="0FA11F3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36 – يمثل الإستقرار الوظيفي أحد المفاهيم المحورية في أدبيات السلوك التنظيمي وإدارة الموارد…</w:t>
            </w:r>
          </w:p>
        </w:tc>
        <w:tc>
          <w:tcPr>
            <w:tcW w:w="2041" w:type="dxa"/>
          </w:tcPr>
          <w:p w14:paraId="333866B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تعريف الاستقرار يختلط بمفاهيم قريبة دون تمييز حدّي.</w:t>
            </w:r>
          </w:p>
        </w:tc>
        <w:tc>
          <w:tcPr>
            <w:tcW w:w="2268" w:type="dxa"/>
          </w:tcPr>
          <w:p w14:paraId="15C84DA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قد يسبب إرباكاً عند بناء المقياس والتحليل (هل تقيس الاستقرار أم الأمن أم نية البقاء؟).</w:t>
            </w:r>
          </w:p>
        </w:tc>
        <w:tc>
          <w:tcPr>
            <w:tcW w:w="2268" w:type="dxa"/>
          </w:tcPr>
          <w:p w14:paraId="4056A4E1"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فقرة تُميز بين المفاهيم وتبرر اختيارك للبناء المركب.</w:t>
            </w:r>
          </w:p>
        </w:tc>
        <w:tc>
          <w:tcPr>
            <w:tcW w:w="2381" w:type="dxa"/>
          </w:tcPr>
          <w:p w14:paraId="5700169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«يختلف الاستقرار الوظيفي عن الأمن الوظيفي… ويختلف عن نية الدوران…»</w:t>
            </w:r>
          </w:p>
        </w:tc>
      </w:tr>
      <w:tr w:rsidR="00D018DA" w:rsidRPr="00335C45" w14:paraId="3C040F24" w14:textId="77777777" w:rsidTr="00FF1935">
        <w:tc>
          <w:tcPr>
            <w:tcW w:w="1814" w:type="dxa"/>
          </w:tcPr>
          <w:p w14:paraId="071997F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الثاني/المطلب الثاني (JD-R)</w:t>
            </w:r>
          </w:p>
        </w:tc>
        <w:tc>
          <w:tcPr>
            <w:tcW w:w="2268" w:type="dxa"/>
          </w:tcPr>
          <w:p w14:paraId="7BE6EEE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46 – يفسر نموذج المطالب والموارد أن ضغوط العمل تنشأ حين ترتفع المطالب (عبء…</w:t>
            </w:r>
          </w:p>
        </w:tc>
        <w:tc>
          <w:tcPr>
            <w:tcW w:w="2041" w:type="dxa"/>
          </w:tcPr>
          <w:p w14:paraId="656946B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الانتقال من النظرية إلى نتيجة تجريبية دون توضيح آلية الربط.</w:t>
            </w:r>
          </w:p>
        </w:tc>
        <w:tc>
          <w:tcPr>
            <w:tcW w:w="2268" w:type="dxa"/>
          </w:tcPr>
          <w:p w14:paraId="12CB29C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يجب أن تُشتق الآليات (مورد/مطلب) بوضوح لتبرير فرضياتك.</w:t>
            </w:r>
          </w:p>
        </w:tc>
        <w:tc>
          <w:tcPr>
            <w:tcW w:w="2268" w:type="dxa"/>
          </w:tcPr>
          <w:p w14:paraId="170FB4A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سطراً يوضح: أي بعد من التحول الرقمي يمثل مورداً/مطلباً وكيف ينعكس على كل بعد من الاستقرار.</w:t>
            </w:r>
          </w:p>
        </w:tc>
        <w:tc>
          <w:tcPr>
            <w:tcW w:w="2381" w:type="dxa"/>
          </w:tcPr>
          <w:p w14:paraId="50933FD1"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«تُعد الكفاءة الرقمية مورداً… بينما قد تمثل الرقمنة غير المتكاملة مطلباً…»</w:t>
            </w:r>
          </w:p>
        </w:tc>
      </w:tr>
      <w:tr w:rsidR="00D018DA" w:rsidRPr="00335C45" w14:paraId="38AC2E17" w14:textId="77777777" w:rsidTr="00FF1935">
        <w:tc>
          <w:tcPr>
            <w:tcW w:w="1814" w:type="dxa"/>
          </w:tcPr>
          <w:p w14:paraId="02C5A63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المبحث الثالث/مسارات التأثير</w:t>
            </w:r>
          </w:p>
        </w:tc>
        <w:tc>
          <w:tcPr>
            <w:tcW w:w="2268" w:type="dxa"/>
          </w:tcPr>
          <w:p w14:paraId="7386EA37"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62 – المسار الأول: التحول الرقمي كرافعة لتحسين العمل والرضا والإلتزام حين تتوفر بنية…</w:t>
            </w:r>
          </w:p>
        </w:tc>
        <w:tc>
          <w:tcPr>
            <w:tcW w:w="2041" w:type="dxa"/>
          </w:tcPr>
          <w:p w14:paraId="19D4367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الفقرة تجمع عدة مصادر ونتائج دون توليف يحدد «شرط التأثير».</w:t>
            </w:r>
          </w:p>
        </w:tc>
        <w:tc>
          <w:tcPr>
            <w:tcW w:w="2268" w:type="dxa"/>
          </w:tcPr>
          <w:p w14:paraId="7D39848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التوليف مطلوب لتفسير لماذا تختلف النتائج بين سياقات/عينات.</w:t>
            </w:r>
          </w:p>
        </w:tc>
        <w:tc>
          <w:tcPr>
            <w:tcW w:w="2268" w:type="dxa"/>
          </w:tcPr>
          <w:p w14:paraId="229F574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مقارنة مختصرة: متى يتحسن الرضا؟ متى يزداد الضغط؟</w:t>
            </w:r>
          </w:p>
        </w:tc>
        <w:tc>
          <w:tcPr>
            <w:tcW w:w="2381" w:type="dxa"/>
          </w:tcPr>
          <w:p w14:paraId="55E476B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«تشير الأدبيات إلى أن أثر التحول يتوقف على…»</w:t>
            </w:r>
          </w:p>
        </w:tc>
      </w:tr>
      <w:tr w:rsidR="00D018DA" w:rsidRPr="00335C45" w14:paraId="1D634441" w14:textId="77777777" w:rsidTr="00FF1935">
        <w:tc>
          <w:tcPr>
            <w:tcW w:w="1814" w:type="dxa"/>
          </w:tcPr>
          <w:p w14:paraId="407104B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المحور الثاني/مقدمة الدراسات السابقة</w:t>
            </w:r>
          </w:p>
        </w:tc>
        <w:tc>
          <w:tcPr>
            <w:tcW w:w="2268" w:type="dxa"/>
          </w:tcPr>
          <w:p w14:paraId="4ACFC57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80 – يشهد القطاع الصحي في الوقت الراهن تحولاً رقمياً متسارعاً، يأتي كاستجابة طبيعية…</w:t>
            </w:r>
          </w:p>
        </w:tc>
        <w:tc>
          <w:tcPr>
            <w:tcW w:w="2041" w:type="dxa"/>
          </w:tcPr>
          <w:p w14:paraId="1FD6406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التصنيف جيد، لكن يلزم بيان معايير اختيار الدراسات وعددها ومصادرها.</w:t>
            </w:r>
          </w:p>
        </w:tc>
        <w:tc>
          <w:tcPr>
            <w:tcW w:w="2268" w:type="dxa"/>
          </w:tcPr>
          <w:p w14:paraId="7971FD78"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بدون منهج مراجعة تصبح «قائمة انتقائية» يصعب الدفاع عنها.</w:t>
            </w:r>
          </w:p>
        </w:tc>
        <w:tc>
          <w:tcPr>
            <w:tcW w:w="2268" w:type="dxa"/>
          </w:tcPr>
          <w:p w14:paraId="2515D211"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فقرة قصيرة: قواعد البيانات/سنوات البحث/معايير الإدراج، ثم برر سبب 11/5/6.</w:t>
            </w:r>
          </w:p>
        </w:tc>
        <w:tc>
          <w:tcPr>
            <w:tcW w:w="2381" w:type="dxa"/>
          </w:tcPr>
          <w:p w14:paraId="5128983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«جرى حصر الدراسات بين 2019–2025…»</w:t>
            </w:r>
          </w:p>
        </w:tc>
      </w:tr>
      <w:tr w:rsidR="00D018DA" w:rsidRPr="00335C45" w14:paraId="3723633B" w14:textId="77777777" w:rsidTr="00FF1935">
        <w:tc>
          <w:tcPr>
            <w:tcW w:w="1814" w:type="dxa"/>
          </w:tcPr>
          <w:p w14:paraId="043E2AC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المحور الثاني/محور التحول الرقمي</w:t>
            </w:r>
          </w:p>
        </w:tc>
        <w:tc>
          <w:tcPr>
            <w:tcW w:w="2268" w:type="dxa"/>
          </w:tcPr>
          <w:p w14:paraId="5FFC2B32"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85 – المحور الاول: التحول الرقمي في الخدمات الطبية</w:t>
            </w:r>
          </w:p>
        </w:tc>
        <w:tc>
          <w:tcPr>
            <w:tcW w:w="2041" w:type="dxa"/>
          </w:tcPr>
          <w:p w14:paraId="6812169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العرض دراسة-بدراسة يحتاج خاتمة توليفية للمحور.</w:t>
            </w:r>
          </w:p>
        </w:tc>
        <w:tc>
          <w:tcPr>
            <w:tcW w:w="2268" w:type="dxa"/>
          </w:tcPr>
          <w:p w14:paraId="18FABC76"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بدون خاتمة لا يتولد «خيط الحجة» ولا تُشتق الفجوة.</w:t>
            </w:r>
          </w:p>
        </w:tc>
        <w:tc>
          <w:tcPr>
            <w:tcW w:w="2268" w:type="dxa"/>
          </w:tcPr>
          <w:p w14:paraId="661CC78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فقرة «ماذا يعني ذلك لدراستي؟» بعد كل محور.</w:t>
            </w:r>
          </w:p>
        </w:tc>
        <w:tc>
          <w:tcPr>
            <w:tcW w:w="2381" w:type="dxa"/>
          </w:tcPr>
          <w:p w14:paraId="791F0C2F"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«تشير هذه الدراسات إلى… وتكشف عن فجوة تتمثل في…»</w:t>
            </w:r>
          </w:p>
        </w:tc>
      </w:tr>
      <w:tr w:rsidR="00D018DA" w:rsidRPr="00335C45" w14:paraId="784925BD" w14:textId="77777777" w:rsidTr="00FF1935">
        <w:tc>
          <w:tcPr>
            <w:tcW w:w="1814" w:type="dxa"/>
          </w:tcPr>
          <w:p w14:paraId="63A2A78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lastRenderedPageBreak/>
              <w:t>المبحث الثالث/النموذج والفروض</w:t>
            </w:r>
          </w:p>
        </w:tc>
        <w:tc>
          <w:tcPr>
            <w:tcW w:w="2268" w:type="dxa"/>
          </w:tcPr>
          <w:p w14:paraId="7201986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72 – إنطلاقا من التأصيل النظري والدعم المستخلص من الدراسات السابقة، يتشكل منطق نموذج…</w:t>
            </w:r>
          </w:p>
        </w:tc>
        <w:tc>
          <w:tcPr>
            <w:tcW w:w="2041" w:type="dxa"/>
          </w:tcPr>
          <w:p w14:paraId="424036EE"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الفقرة تبرر النموذج بعبارات عامة دون ربط مباشر بفروض فرعية لكل بعد.</w:t>
            </w:r>
          </w:p>
        </w:tc>
        <w:tc>
          <w:tcPr>
            <w:tcW w:w="2268" w:type="dxa"/>
          </w:tcPr>
          <w:p w14:paraId="3488130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يلزم أن يرتبط كل بعد (البنية/الكفاءة/التكامل/الأمن) بتوقع نظري واضح.</w:t>
            </w:r>
          </w:p>
        </w:tc>
        <w:tc>
          <w:tcPr>
            <w:tcW w:w="2268" w:type="dxa"/>
          </w:tcPr>
          <w:p w14:paraId="634E5006"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حوّلها إلى فقرات قصيرة: لكل بعد (حجة نظرية + توقع الاتجاه + استثناءات).</w:t>
            </w:r>
          </w:p>
        </w:tc>
        <w:tc>
          <w:tcPr>
            <w:tcW w:w="2381" w:type="dxa"/>
          </w:tcPr>
          <w:p w14:paraId="4E60F2A3"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«تتوقع الدراسة أن يؤثر الأمن وحماية البيانات…»</w:t>
            </w:r>
          </w:p>
        </w:tc>
      </w:tr>
      <w:tr w:rsidR="00D018DA" w:rsidRPr="00335C45" w14:paraId="18AE415F" w14:textId="77777777" w:rsidTr="00FF1935">
        <w:tc>
          <w:tcPr>
            <w:tcW w:w="1814" w:type="dxa"/>
          </w:tcPr>
          <w:p w14:paraId="2939AB4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القياس</w:t>
            </w:r>
          </w:p>
        </w:tc>
        <w:tc>
          <w:tcPr>
            <w:tcW w:w="2268" w:type="dxa"/>
          </w:tcPr>
          <w:p w14:paraId="246CF17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36 – يمثل الإستقرار الوظيفي أحد المفاهيم المحورية في أدبيات السلوك التنظيمي وإدارة الموارد…</w:t>
            </w:r>
          </w:p>
        </w:tc>
        <w:tc>
          <w:tcPr>
            <w:tcW w:w="2041" w:type="dxa"/>
          </w:tcPr>
          <w:p w14:paraId="0277B221"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وصف الاستقرار كبناء مركب دون بيان النموذج القياسي (Reflective/Formative).</w:t>
            </w:r>
          </w:p>
        </w:tc>
        <w:tc>
          <w:tcPr>
            <w:tcW w:w="2268" w:type="dxa"/>
          </w:tcPr>
          <w:p w14:paraId="44F95E4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يؤثر مباشرة على اختيار التحليل (EFA/CFA/SEM) وتفسير النتائج.</w:t>
            </w:r>
          </w:p>
        </w:tc>
        <w:tc>
          <w:tcPr>
            <w:tcW w:w="2268" w:type="dxa"/>
          </w:tcPr>
          <w:p w14:paraId="2DA3804D"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أضف فقرة توضّح: هل الأبعاد انعكاسية لمتغير كلي أم تكوينية؟ ولماذا؟</w:t>
            </w:r>
          </w:p>
        </w:tc>
        <w:tc>
          <w:tcPr>
            <w:tcW w:w="2381" w:type="dxa"/>
          </w:tcPr>
          <w:p w14:paraId="747DC9A9"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«سيُعامل الاستقرار الوظيفي كبناء من الدرجة الثانية…»</w:t>
            </w:r>
          </w:p>
        </w:tc>
      </w:tr>
      <w:tr w:rsidR="00D018DA" w:rsidRPr="00335C45" w14:paraId="147A5328" w14:textId="77777777" w:rsidTr="00FF1935">
        <w:tc>
          <w:tcPr>
            <w:tcW w:w="1814" w:type="dxa"/>
          </w:tcPr>
          <w:p w14:paraId="700E9F6B"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حدود السياق</w:t>
            </w:r>
          </w:p>
        </w:tc>
        <w:tc>
          <w:tcPr>
            <w:tcW w:w="2268" w:type="dxa"/>
          </w:tcPr>
          <w:p w14:paraId="7C06B7C4"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63 – المسار الثاني: التحول الرقمي كمصدر لتغير الأدوار وعدم اليقين الوظيفي في المقابل،…</w:t>
            </w:r>
          </w:p>
        </w:tc>
        <w:tc>
          <w:tcPr>
            <w:tcW w:w="2041" w:type="dxa"/>
          </w:tcPr>
          <w:p w14:paraId="28C4C9A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ذكر المسار السلبي جيد، لكنه يحتاج شروطاً سياقية محددة.</w:t>
            </w:r>
          </w:p>
        </w:tc>
        <w:tc>
          <w:tcPr>
            <w:tcW w:w="2268" w:type="dxa"/>
          </w:tcPr>
          <w:p w14:paraId="2077B680"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من دون شروط يصبح الطرح عاماً غير قابل للاختبار/التفسير.</w:t>
            </w:r>
          </w:p>
        </w:tc>
        <w:tc>
          <w:tcPr>
            <w:tcW w:w="2268" w:type="dxa"/>
          </w:tcPr>
          <w:p w14:paraId="2BA108E5"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حدد شروطاً مثل: ضعف التدريب/غياب التكامل/ارتفاع العبء/نضج رقمي منخفض.</w:t>
            </w:r>
          </w:p>
        </w:tc>
        <w:tc>
          <w:tcPr>
            <w:tcW w:w="2381" w:type="dxa"/>
          </w:tcPr>
          <w:p w14:paraId="5BDEFC1A" w14:textId="77777777" w:rsidR="00D018DA" w:rsidRPr="00335C45" w:rsidRDefault="00C24CA0" w:rsidP="00335C45">
            <w:pPr>
              <w:bidi/>
              <w:rPr>
                <w:rFonts w:ascii="Simplified Arabic" w:hAnsi="Simplified Arabic" w:cs="Simplified Arabic"/>
                <w:sz w:val="22"/>
              </w:rPr>
            </w:pPr>
            <w:r w:rsidRPr="00335C45">
              <w:rPr>
                <w:rFonts w:ascii="Simplified Arabic" w:hAnsi="Simplified Arabic" w:cs="Simplified Arabic"/>
                <w:sz w:val="22"/>
              </w:rPr>
              <w:t>«يُتوقع أن يشتد الأثر السلبي عندما…»</w:t>
            </w:r>
          </w:p>
        </w:tc>
      </w:tr>
    </w:tbl>
    <w:p w14:paraId="33D4D39D" w14:textId="77777777" w:rsidR="00D018DA" w:rsidRPr="00335C45" w:rsidRDefault="00D018DA" w:rsidP="00335C45">
      <w:pPr>
        <w:bidi/>
        <w:spacing w:after="0" w:line="240" w:lineRule="auto"/>
        <w:rPr>
          <w:rFonts w:ascii="Simplified Arabic" w:hAnsi="Simplified Arabic" w:cs="Simplified Arabic"/>
          <w:sz w:val="22"/>
        </w:rPr>
      </w:pPr>
    </w:p>
    <w:sectPr w:rsidR="00D018DA" w:rsidRPr="00335C45" w:rsidSect="005B3B4E">
      <w:pgSz w:w="15840" w:h="12240" w:orient="landscape"/>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3276D25"/>
    <w:multiLevelType w:val="hybridMultilevel"/>
    <w:tmpl w:val="C54A2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794911"/>
    <w:multiLevelType w:val="hybridMultilevel"/>
    <w:tmpl w:val="838AD52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F766F3"/>
    <w:multiLevelType w:val="hybridMultilevel"/>
    <w:tmpl w:val="39BA0194"/>
    <w:lvl w:ilvl="0" w:tplc="507AD5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DE5869"/>
    <w:multiLevelType w:val="hybridMultilevel"/>
    <w:tmpl w:val="FEFCAD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D107EE"/>
    <w:multiLevelType w:val="hybridMultilevel"/>
    <w:tmpl w:val="C7882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B4242"/>
    <w:multiLevelType w:val="hybridMultilevel"/>
    <w:tmpl w:val="19E258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6B2190"/>
    <w:multiLevelType w:val="hybridMultilevel"/>
    <w:tmpl w:val="4AAABEE6"/>
    <w:lvl w:ilvl="0" w:tplc="4C1C302A">
      <w:start w:val="1"/>
      <w:numFmt w:val="decimal"/>
      <w:lvlText w:val="%1)"/>
      <w:lvlJc w:val="left"/>
      <w:pPr>
        <w:ind w:left="1155" w:hanging="79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02D0E"/>
    <w:multiLevelType w:val="hybridMultilevel"/>
    <w:tmpl w:val="75D880E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0A49DD"/>
    <w:multiLevelType w:val="hybridMultilevel"/>
    <w:tmpl w:val="BFB892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121080">
    <w:abstractNumId w:val="8"/>
  </w:num>
  <w:num w:numId="2" w16cid:durableId="965352688">
    <w:abstractNumId w:val="6"/>
  </w:num>
  <w:num w:numId="3" w16cid:durableId="995649344">
    <w:abstractNumId w:val="5"/>
  </w:num>
  <w:num w:numId="4" w16cid:durableId="1808354267">
    <w:abstractNumId w:val="4"/>
  </w:num>
  <w:num w:numId="5" w16cid:durableId="410085264">
    <w:abstractNumId w:val="7"/>
  </w:num>
  <w:num w:numId="6" w16cid:durableId="1537086612">
    <w:abstractNumId w:val="3"/>
  </w:num>
  <w:num w:numId="7" w16cid:durableId="188566290">
    <w:abstractNumId w:val="2"/>
  </w:num>
  <w:num w:numId="8" w16cid:durableId="18358711">
    <w:abstractNumId w:val="1"/>
  </w:num>
  <w:num w:numId="9" w16cid:durableId="1801920758">
    <w:abstractNumId w:val="0"/>
  </w:num>
  <w:num w:numId="10" w16cid:durableId="961767845">
    <w:abstractNumId w:val="12"/>
  </w:num>
  <w:num w:numId="11" w16cid:durableId="1492332912">
    <w:abstractNumId w:val="17"/>
  </w:num>
  <w:num w:numId="12" w16cid:durableId="1632438706">
    <w:abstractNumId w:val="13"/>
  </w:num>
  <w:num w:numId="13" w16cid:durableId="1812014162">
    <w:abstractNumId w:val="10"/>
  </w:num>
  <w:num w:numId="14" w16cid:durableId="1131634762">
    <w:abstractNumId w:val="16"/>
  </w:num>
  <w:num w:numId="15" w16cid:durableId="321855632">
    <w:abstractNumId w:val="14"/>
  </w:num>
  <w:num w:numId="16" w16cid:durableId="1793401448">
    <w:abstractNumId w:val="15"/>
  </w:num>
  <w:num w:numId="17" w16cid:durableId="397485205">
    <w:abstractNumId w:val="9"/>
  </w:num>
  <w:num w:numId="18" w16cid:durableId="7182878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cwNrM0MjIwMzEzNzFS0lEKTi0uzszPAykwqgUAlgiLJiwAAAA="/>
  </w:docVars>
  <w:rsids>
    <w:rsidRoot w:val="00B47730"/>
    <w:rsid w:val="00030739"/>
    <w:rsid w:val="00034616"/>
    <w:rsid w:val="0006063C"/>
    <w:rsid w:val="0006424A"/>
    <w:rsid w:val="0010361E"/>
    <w:rsid w:val="0015074B"/>
    <w:rsid w:val="0029639D"/>
    <w:rsid w:val="00326F90"/>
    <w:rsid w:val="00335C45"/>
    <w:rsid w:val="005B3B4E"/>
    <w:rsid w:val="00601AF9"/>
    <w:rsid w:val="00651BA4"/>
    <w:rsid w:val="006614D7"/>
    <w:rsid w:val="006C6F55"/>
    <w:rsid w:val="007026D9"/>
    <w:rsid w:val="0094649B"/>
    <w:rsid w:val="00A72AA0"/>
    <w:rsid w:val="00AA1D8D"/>
    <w:rsid w:val="00B47730"/>
    <w:rsid w:val="00B667DF"/>
    <w:rsid w:val="00C06B72"/>
    <w:rsid w:val="00C24CA0"/>
    <w:rsid w:val="00CB0664"/>
    <w:rsid w:val="00D018DA"/>
    <w:rsid w:val="00E16A27"/>
    <w:rsid w:val="00E9356E"/>
    <w:rsid w:val="00E94F4F"/>
    <w:rsid w:val="00FC1846"/>
    <w:rsid w:val="00FC693F"/>
    <w:rsid w:val="00FF19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84FA76"/>
  <w14:defaultImageDpi w14:val="300"/>
  <w15:docId w15:val="{086DB195-A648-4DFD-B830-517833CE9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2703</Words>
  <Characters>15465</Characters>
  <Application>Microsoft Office Word</Application>
  <DocSecurity>0</DocSecurity>
  <Lines>572</Lines>
  <Paragraphs>297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4</cp:revision>
  <dcterms:created xsi:type="dcterms:W3CDTF">2026-03-03T19:42:00Z</dcterms:created>
  <dcterms:modified xsi:type="dcterms:W3CDTF">2026-03-11T16:44:00Z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3af20505-63b8-4c87-821b-6f74b9468ced</vt:lpwstr>
  </property>
</Properties>
</file>