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A09C702" w14:textId="7777777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2099547B" w14:textId="04409EE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4EA1B8ED" w14:textId="77777777" w:rsidR="00F035EA" w:rsidRDefault="00F035EA" w:rsidP="00F035EA">
      <w:pPr>
        <w:pStyle w:val="a8"/>
        <w:bidi/>
        <w:spacing w:before="0" w:beforeAutospacing="0" w:after="0" w:afterAutospacing="0"/>
        <w:ind w:right="-270"/>
        <w:rPr>
          <w:rFonts w:ascii="Arial" w:hAnsi="Arial" w:cs="Arial"/>
          <w:b/>
          <w:bCs/>
          <w:color w:val="0000FF"/>
          <w:sz w:val="32"/>
          <w:szCs w:val="32"/>
        </w:rPr>
      </w:pPr>
    </w:p>
    <w:p w14:paraId="2D403BEF" w14:textId="77777777" w:rsidR="00F035EA" w:rsidRPr="00395E1F" w:rsidRDefault="00F035EA" w:rsidP="00F035EA">
      <w:pPr>
        <w:bidi/>
        <w:jc w:val="center"/>
        <w:rPr>
          <w:rFonts w:ascii="Arial" w:hAnsi="Arial" w:cs="Akhbar MT"/>
          <w:b/>
          <w:bCs/>
          <w:sz w:val="44"/>
          <w:szCs w:val="44"/>
          <w:rtl/>
        </w:rPr>
      </w:pPr>
    </w:p>
    <w:p w14:paraId="1447FF84" w14:textId="77777777" w:rsidR="00F035EA" w:rsidRPr="00BE609B" w:rsidRDefault="00F035EA" w:rsidP="00F035EA">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29222D91" w14:textId="77777777" w:rsidR="00F035EA" w:rsidRDefault="00F035EA" w:rsidP="00F035EA">
      <w:pPr>
        <w:pStyle w:val="a8"/>
        <w:bidi/>
        <w:spacing w:before="0" w:beforeAutospacing="0" w:after="0" w:afterAutospacing="0"/>
        <w:ind w:right="-270"/>
        <w:jc w:val="both"/>
        <w:rPr>
          <w:rFonts w:ascii="Arial" w:hAnsi="Arial" w:cs="Arial"/>
          <w:b/>
          <w:bCs/>
          <w:color w:val="0000FF"/>
          <w:sz w:val="32"/>
          <w:szCs w:val="32"/>
          <w:rtl/>
          <w:lang w:bidi="ar-JO"/>
        </w:rPr>
      </w:pPr>
    </w:p>
    <w:p w14:paraId="1F3AD983" w14:textId="77777777" w:rsidR="00F035EA" w:rsidRPr="0021414C" w:rsidRDefault="00F035EA" w:rsidP="00F035EA">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2FB73528"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r>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27F0CB6"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7F175909"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3DBFB3F1" w14:textId="77777777" w:rsidR="00F035EA" w:rsidRPr="004C1AE1" w:rsidRDefault="00F035EA" w:rsidP="00F035EA">
      <w:pPr>
        <w:spacing w:line="360" w:lineRule="auto"/>
        <w:ind w:left="534" w:hanging="340"/>
        <w:jc w:val="right"/>
        <w:rPr>
          <w:rFonts w:ascii="Arial" w:hAnsi="Arial" w:cs="Arial"/>
          <w:noProof/>
          <w:sz w:val="20"/>
          <w:szCs w:val="20"/>
        </w:rPr>
      </w:pPr>
    </w:p>
    <w:p w14:paraId="7E67002F" w14:textId="77777777" w:rsidR="00F035EA" w:rsidRPr="004C1AE1" w:rsidRDefault="00F035EA" w:rsidP="00F035EA">
      <w:pPr>
        <w:spacing w:line="360" w:lineRule="auto"/>
        <w:ind w:left="534" w:hanging="340"/>
        <w:jc w:val="right"/>
        <w:rPr>
          <w:rFonts w:ascii="Arial" w:hAnsi="Arial" w:cs="Arial"/>
          <w:b/>
          <w:bCs/>
          <w:noProof/>
          <w:sz w:val="20"/>
          <w:szCs w:val="20"/>
          <w:rtl/>
        </w:rPr>
      </w:pPr>
      <w:r>
        <w:rPr>
          <w:rFonts w:ascii="Arial" w:hAnsi="Arial" w:cs="Arial"/>
          <w:b/>
          <w:bCs/>
          <w:noProof/>
          <w:sz w:val="20"/>
          <w:szCs w:val="28"/>
          <w:rtl/>
        </w:rPr>
        <w:t xml:space="preserve">  ب. </w:t>
      </w:r>
      <w:r>
        <w:rPr>
          <w:rFonts w:ascii="Arial" w:hAnsi="Arial" w:cs="Arial" w:hint="cs"/>
          <w:b/>
          <w:bCs/>
          <w:noProof/>
          <w:sz w:val="20"/>
          <w:szCs w:val="28"/>
          <w:rtl/>
        </w:rPr>
        <w:t>العنوان</w:t>
      </w:r>
      <w:r>
        <w:rPr>
          <w:rFonts w:ascii="Arial" w:hAnsi="Arial" w:cs="Arial"/>
          <w:b/>
          <w:bCs/>
          <w:noProof/>
          <w:sz w:val="20"/>
          <w:szCs w:val="28"/>
          <w:rtl/>
        </w:rPr>
        <w:t xml:space="preserve"> </w:t>
      </w:r>
      <w:r>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35B80AC4" w14:textId="55F33B67" w:rsidR="00F035EA" w:rsidRPr="009A6864" w:rsidRDefault="00F035EA" w:rsidP="009A6864">
      <w:pPr>
        <w:pStyle w:val="a8"/>
        <w:bidi/>
        <w:spacing w:before="0" w:beforeAutospacing="0" w:after="0" w:afterAutospacing="0"/>
        <w:ind w:right="-270"/>
        <w:jc w:val="center"/>
        <w:rPr>
          <w:rFonts w:asciiTheme="majorBidi" w:hAnsiTheme="majorBidi" w:cstheme="majorBidi"/>
          <w:b/>
          <w:bCs/>
          <w:color w:val="0070C0"/>
          <w:szCs w:val="28"/>
          <w:rtl/>
        </w:rPr>
      </w:pPr>
      <w:r>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081D86B" w14:textId="77777777" w:rsidR="00F035EA"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p w14:paraId="40586B32" w14:textId="77777777" w:rsidR="00F035EA" w:rsidRPr="004B484B"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F035EA" w14:paraId="2C3AFCAB" w14:textId="77777777" w:rsidTr="0085711F">
        <w:tc>
          <w:tcPr>
            <w:tcW w:w="1763" w:type="dxa"/>
          </w:tcPr>
          <w:p w14:paraId="1B152D6A"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87" w:type="dxa"/>
          </w:tcPr>
          <w:p w14:paraId="167C039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2EA287A8" w14:textId="3BBBAEC8" w:rsidR="00F035EA" w:rsidRDefault="0024325F" w:rsidP="0085711F">
            <w:pPr>
              <w:pStyle w:val="a8"/>
              <w:bidi/>
              <w:spacing w:before="0" w:beforeAutospacing="0" w:after="0" w:afterAutospacing="0"/>
              <w:ind w:right="-270"/>
              <w:jc w:val="center"/>
              <w:rPr>
                <w:rFonts w:ascii="Sakkal Majalla" w:hAnsi="Sakkal Majalla" w:cs="Sakkal Majalla"/>
                <w:b/>
                <w:bCs/>
                <w:color w:val="0000FF"/>
                <w:sz w:val="36"/>
                <w:szCs w:val="36"/>
              </w:rPr>
            </w:pPr>
            <w:r>
              <w:rPr>
                <w:rStyle w:val="s28"/>
                <w:rFonts w:ascii="Sakkal Majalla" w:hAnsi="Sakkal Majalla" w:cs="Sakkal Majalla"/>
                <w:b/>
                <w:bCs/>
                <w:color w:val="365F91"/>
                <w:sz w:val="27"/>
                <w:szCs w:val="27"/>
                <w:rtl/>
              </w:rPr>
              <w:t>هبه عبد الله</w:t>
            </w:r>
            <w:r>
              <w:rPr>
                <w:rStyle w:val="apple-converted-space"/>
                <w:rFonts w:ascii="Sakkal Majalla" w:hAnsi="Sakkal Majalla" w:cs="Sakkal Majalla"/>
                <w:b/>
                <w:bCs/>
                <w:color w:val="365F91"/>
                <w:sz w:val="27"/>
                <w:szCs w:val="27"/>
                <w:rtl/>
              </w:rPr>
              <w:t> </w:t>
            </w:r>
            <w:r>
              <w:rPr>
                <w:rStyle w:val="s28"/>
                <w:rFonts w:ascii="Sakkal Majalla" w:hAnsi="Sakkal Majalla" w:cs="Sakkal Majalla"/>
                <w:b/>
                <w:bCs/>
                <w:color w:val="365F91"/>
                <w:sz w:val="27"/>
                <w:szCs w:val="27"/>
                <w:rtl/>
              </w:rPr>
              <w:t>المنيع</w:t>
            </w:r>
            <w:r>
              <w:rPr>
                <w:rFonts w:ascii="-webkit-standard" w:hAnsi="-webkit-standard"/>
                <w:color w:val="000000"/>
                <w:sz w:val="18"/>
                <w:szCs w:val="18"/>
                <w:rtl/>
              </w:rPr>
              <w:t> </w:t>
            </w:r>
          </w:p>
        </w:tc>
      </w:tr>
      <w:tr w:rsidR="00F035EA" w14:paraId="40508968" w14:textId="77777777" w:rsidTr="0085711F">
        <w:tc>
          <w:tcPr>
            <w:tcW w:w="1763" w:type="dxa"/>
          </w:tcPr>
          <w:p w14:paraId="6DFBEE48"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74F128E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2BB2392" w14:textId="08DBDCB6" w:rsidR="00F035EA" w:rsidRDefault="00262EC1" w:rsidP="007A743B">
            <w:pPr>
              <w:pStyle w:val="a8"/>
              <w:spacing w:before="0" w:beforeAutospacing="0" w:after="0" w:afterAutospacing="0"/>
              <w:ind w:left="2160" w:right="-270"/>
              <w:rPr>
                <w:rFonts w:ascii="Sakkal Majalla" w:hAnsi="Sakkal Majalla" w:cs="Sakkal Majalla" w:hint="cs"/>
                <w:b/>
                <w:bCs/>
                <w:color w:val="0000FF"/>
                <w:sz w:val="36"/>
                <w:szCs w:val="36"/>
                <w:rtl/>
              </w:rPr>
            </w:pPr>
            <w:r>
              <w:rPr>
                <w:rFonts w:ascii="Sakkal Majalla" w:hAnsi="Sakkal Majalla" w:cs="Sakkal Majalla"/>
                <w:b/>
                <w:bCs/>
                <w:color w:val="365F91"/>
                <w:sz w:val="27"/>
                <w:szCs w:val="27"/>
              </w:rPr>
              <w:t>242001374</w:t>
            </w:r>
          </w:p>
        </w:tc>
      </w:tr>
      <w:tr w:rsidR="00F035EA" w14:paraId="65BDD81F" w14:textId="77777777" w:rsidTr="0085711F">
        <w:tc>
          <w:tcPr>
            <w:tcW w:w="1763" w:type="dxa"/>
          </w:tcPr>
          <w:p w14:paraId="6CB42DCD"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574DF533"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4C49CBD" w14:textId="77777777" w:rsidR="00F035EA" w:rsidRDefault="00F035EA" w:rsidP="0085711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F035EA" w14:paraId="41495A5A" w14:textId="77777777" w:rsidTr="0085711F">
        <w:tc>
          <w:tcPr>
            <w:tcW w:w="1763" w:type="dxa"/>
          </w:tcPr>
          <w:p w14:paraId="3F1918D2"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40D9F7EC"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0508E517" w14:textId="77777777" w:rsidR="00F035EA" w:rsidRDefault="00F035EA" w:rsidP="0085711F">
            <w:pPr>
              <w:pStyle w:val="a8"/>
              <w:bidi/>
              <w:spacing w:before="0" w:beforeAutospacing="0" w:after="0" w:afterAutospacing="0"/>
              <w:ind w:right="-270"/>
              <w:rPr>
                <w:rFonts w:ascii="Sakkal Majalla" w:hAnsi="Sakkal Majalla" w:cs="Sakkal Majalla"/>
                <w:b/>
                <w:bCs/>
                <w:color w:val="0000FF"/>
                <w:sz w:val="36"/>
                <w:szCs w:val="36"/>
                <w:rtl/>
              </w:rPr>
            </w:pPr>
          </w:p>
        </w:tc>
      </w:tr>
    </w:tbl>
    <w:p w14:paraId="6E5D6BF9"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11040F4B"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63CB7002" w14:textId="77777777" w:rsidR="00F035EA" w:rsidRPr="004C1AE1" w:rsidRDefault="00F035EA" w:rsidP="00F035EA">
      <w:pPr>
        <w:spacing w:line="240" w:lineRule="auto"/>
        <w:rPr>
          <w:rFonts w:ascii="Arial" w:hAnsi="Arial" w:cs="Arial"/>
          <w:noProof/>
          <w:rtl/>
          <w:lang w:bidi="ar-JO"/>
        </w:rPr>
      </w:pPr>
    </w:p>
    <w:p w14:paraId="0E94ECAC" w14:textId="77777777" w:rsidR="00F035EA" w:rsidRDefault="00F035EA" w:rsidP="00F035EA">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14٤٧</w:t>
      </w:r>
      <w:r w:rsidRPr="00444B1D">
        <w:rPr>
          <w:rFonts w:ascii="Calibri" w:hAnsi="Calibri" w:cs="Calibri" w:hint="cs"/>
          <w:b/>
          <w:bCs/>
          <w:color w:val="FF0000"/>
          <w:sz w:val="28"/>
          <w:szCs w:val="28"/>
          <w:rtl/>
        </w:rPr>
        <w:t xml:space="preserve">ه </w:t>
      </w:r>
      <w:r>
        <w:rPr>
          <w:rFonts w:ascii="Calibri" w:hAnsi="Calibri" w:cs="Calibri" w:hint="cs"/>
          <w:b/>
          <w:bCs/>
          <w:color w:val="FF0000"/>
          <w:sz w:val="28"/>
          <w:szCs w:val="28"/>
          <w:rtl/>
        </w:rPr>
        <w:t>-  202٦ م</w:t>
      </w:r>
    </w:p>
    <w:p w14:paraId="02484433" w14:textId="7A8F45F8" w:rsidR="00F035EA" w:rsidRDefault="00F035EA" w:rsidP="001F560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 الدراسة</w:t>
      </w:r>
    </w:p>
    <w:p w14:paraId="296D1778" w14:textId="77777777" w:rsidR="00F035EA" w:rsidRPr="004E0378"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lastRenderedPageBreak/>
        <w:t>يشهد العالم في العقد الثالث من القرن الحادي والعشرين طفرة غير مسبوقة في مجال التحول الرقمي، يقودها الذكاء الاصطناعي التوليدي</w:t>
      </w:r>
      <w:r>
        <w:rPr>
          <w:rFonts w:ascii="Simplified Arabic" w:hAnsi="Simplified Arabic" w:cs="Simplified Arabic"/>
        </w:rPr>
        <w:t xml:space="preserve"> (Generative AI) </w:t>
      </w:r>
      <w:r>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Pr>
          <w:rFonts w:ascii="Simplified Arabic" w:hAnsi="Simplified Arabic" w:cs="Simplified Arabic"/>
        </w:rPr>
        <w:t xml:space="preserve"> .(McKinsey &amp; Company, 2024) </w:t>
      </w:r>
    </w:p>
    <w:p w14:paraId="592A2040"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وتكشف الدراسات الحديثة أن أنظمة الذكاء الاصطناعي التوليدي</w:t>
      </w:r>
      <w:r>
        <w:rPr>
          <w:rFonts w:ascii="Simplified Arabic" w:hAnsi="Simplified Arabic" w:cs="Simplified Arabic" w:hint="cs"/>
          <w:rtl/>
        </w:rPr>
        <w:t xml:space="preserve"> </w:t>
      </w:r>
      <w:r>
        <w:rPr>
          <w:rFonts w:ascii="Simplified Arabic" w:hAnsi="Simplified Arabic" w:cs="Simplified Arabic"/>
          <w:rtl/>
        </w:rPr>
        <w:t xml:space="preserve">—مثل </w:t>
      </w:r>
      <w:r>
        <w:rPr>
          <w:rFonts w:ascii="Simplified Arabic" w:hAnsi="Simplified Arabic" w:cs="Simplified Arabic"/>
        </w:rPr>
        <w:t>ChatGPT</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 و</w:t>
      </w:r>
      <w:r>
        <w:rPr>
          <w:rFonts w:ascii="Simplified Arabic" w:hAnsi="Simplified Arabic" w:cs="Simplified Arabic"/>
        </w:rPr>
        <w:t>DALL·E</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Pr>
          <w:rFonts w:ascii="Simplified Arabic" w:hAnsi="Simplified Arabic" w:cs="Simplified Arabic"/>
        </w:rPr>
        <w:t>Heitmann, 2024; Islam et al., 2024</w:t>
      </w:r>
      <w:r>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Pr>
          <w:rFonts w:ascii="Simplified Arabic" w:hAnsi="Simplified Arabic" w:cs="Simplified Arabic"/>
        </w:rPr>
        <w:t>Nuremberg Institute for Market Decisions, 2024</w:t>
      </w:r>
      <w:r>
        <w:rPr>
          <w:rFonts w:ascii="Simplified Arabic" w:hAnsi="Simplified Arabic" w:cs="Simplified Arabic"/>
          <w:rtl/>
        </w:rPr>
        <w:t>).</w:t>
      </w:r>
    </w:p>
    <w:p w14:paraId="402416EF"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على الصعيد الإقليمي، تشير تقديرات</w:t>
      </w:r>
      <w:r>
        <w:rPr>
          <w:rFonts w:ascii="Simplified Arabic" w:hAnsi="Simplified Arabic" w:cs="Simplified Arabic"/>
        </w:rPr>
        <w:t xml:space="preserve"> (McKinsey, 2024) </w:t>
      </w:r>
      <w:r>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Pr>
          <w:rFonts w:ascii="Simplified Arabic" w:hAnsi="Simplified Arabic" w:cs="Simplified Arabic"/>
        </w:rPr>
        <w:t>.</w:t>
      </w:r>
    </w:p>
    <w:p w14:paraId="4390A6F1"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Pr>
          <w:rFonts w:ascii="Simplified Arabic" w:hAnsi="Simplified Arabic" w:cs="Simplified Arabic"/>
        </w:rPr>
        <w:t>SDAIA, 2024</w:t>
      </w:r>
      <w:r>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1F613668"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Pr>
          <w:rFonts w:ascii="Simplified Arabic" w:hAnsi="Simplified Arabic" w:cs="Simplified Arabic"/>
        </w:rPr>
        <w:t>Doshi et al., 2025; Sharabati et al., 2024</w:t>
      </w:r>
      <w:r>
        <w:rPr>
          <w:rFonts w:ascii="Simplified Arabic" w:hAnsi="Simplified Arabic" w:cs="Simplified Arabic"/>
          <w:rtl/>
        </w:rPr>
        <w:t>).</w:t>
      </w:r>
    </w:p>
    <w:p w14:paraId="6F70F8DD"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w:t>
      </w:r>
      <w:r>
        <w:rPr>
          <w:rFonts w:ascii="Simplified Arabic" w:hAnsi="Simplified Arabic" w:cs="Simplified Arabic"/>
          <w:rtl/>
        </w:rPr>
        <w:lastRenderedPageBreak/>
        <w:t>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Pr>
          <w:rFonts w:ascii="Simplified Arabic" w:hAnsi="Simplified Arabic" w:cs="Simplified Arabic"/>
        </w:rPr>
        <w:t>.</w:t>
      </w:r>
    </w:p>
    <w:p w14:paraId="5C082241"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r>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3F170E13"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p>
    <w:p w14:paraId="7283CF68" w14:textId="77777777" w:rsidR="00F035EA" w:rsidRPr="00E940F8" w:rsidRDefault="00F035EA" w:rsidP="00F035EA">
      <w:pPr>
        <w:bidi/>
        <w:spacing w:after="200" w:line="276" w:lineRule="auto"/>
        <w:jc w:val="both"/>
        <w:rPr>
          <w:rFonts w:ascii="Sakkal Majalla" w:hAnsi="Sakkal Majalla" w:cs="Sakkal Majalla"/>
          <w:b/>
          <w:bCs/>
          <w:color w:val="1F497D" w:themeColor="text2"/>
          <w:sz w:val="36"/>
          <w:szCs w:val="36"/>
          <w:rtl/>
        </w:rPr>
      </w:pPr>
      <w:r>
        <w:rPr>
          <w:rFonts w:ascii="Sakkal Majalla" w:hAnsi="Sakkal Majalla" w:cs="Sakkal Majalla" w:hint="cs"/>
          <w:b/>
          <w:bCs/>
          <w:color w:val="00B0F0"/>
          <w:sz w:val="36"/>
          <w:szCs w:val="36"/>
          <w:u w:val="single"/>
          <w:rtl/>
        </w:rPr>
        <w:t>مشكلة الدراسة وأسئلتها</w:t>
      </w:r>
      <w:r>
        <w:rPr>
          <w:rFonts w:ascii="Sakkal Majalla" w:hAnsi="Sakkal Majalla" w:cs="Sakkal Majalla"/>
          <w:b/>
          <w:bCs/>
          <w:color w:val="00B0F0"/>
          <w:sz w:val="36"/>
          <w:szCs w:val="36"/>
          <w:u w:val="single"/>
          <w:rtl/>
        </w:rPr>
        <w:t>:</w:t>
      </w:r>
      <w:r>
        <w:rPr>
          <w:rFonts w:ascii="Sakkal Majalla" w:hAnsi="Sakkal Majalla" w:cs="Sakkal Majalla"/>
          <w:b/>
          <w:bCs/>
          <w:color w:val="00B0F0"/>
          <w:sz w:val="32"/>
          <w:szCs w:val="32"/>
          <w:rtl/>
        </w:rPr>
        <w:t xml:space="preserve"> </w:t>
      </w:r>
      <w:r>
        <w:rPr>
          <w:rFonts w:ascii="Sakkal Majalla" w:hAnsi="Sakkal Majalla" w:cs="Sakkal Majalla" w:hint="cs"/>
          <w:b/>
          <w:bCs/>
          <w:color w:val="00B0F0"/>
          <w:sz w:val="32"/>
          <w:szCs w:val="32"/>
          <w:rtl/>
        </w:rPr>
        <w:t xml:space="preserve">  </w:t>
      </w:r>
    </w:p>
    <w:p w14:paraId="45B8C72F" w14:textId="77777777" w:rsidR="00F035EA" w:rsidRPr="000D4873"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مشكلة الدراسة</w:t>
      </w:r>
    </w:p>
    <w:p w14:paraId="5CBE406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التوسع المتزايد في استخدام تقنيات الذكاء الاصطناعي التوليدي (</w:t>
      </w:r>
      <w:r>
        <w:rPr>
          <w:rFonts w:ascii="Simplified Arabic" w:hAnsi="Simplified Arabic" w:cs="Simplified Arabic"/>
        </w:rPr>
        <w:t>Generative AI</w:t>
      </w:r>
      <w:r>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Pr>
          <w:rFonts w:ascii="Simplified Arabic" w:hAnsi="Simplified Arabic" w:cs="Simplified Arabic"/>
        </w:rPr>
        <w:t>McKinsey &amp; Company, 2024</w:t>
      </w:r>
      <w:r>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Pr>
          <w:rFonts w:ascii="Simplified Arabic" w:hAnsi="Simplified Arabic" w:cs="Simplified Arabic"/>
        </w:rPr>
        <w:t>SDAIA, 2024</w:t>
      </w:r>
      <w:r>
        <w:rPr>
          <w:rFonts w:ascii="Simplified Arabic" w:hAnsi="Simplified Arabic" w:cs="Simplified Arabic"/>
          <w:rtl/>
        </w:rPr>
        <w:t>).</w:t>
      </w:r>
    </w:p>
    <w:p w14:paraId="09B9593B"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كما تُظهر البيانات الصادرة عن</w:t>
      </w:r>
      <w:r>
        <w:rPr>
          <w:rFonts w:ascii="Simplified Arabic" w:hAnsi="Simplified Arabic" w:cs="Simplified Arabic"/>
        </w:rPr>
        <w:t xml:space="preserve"> (Nuremberg Institute for Market Decisions, 2024) </w:t>
      </w:r>
      <w:r>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 Doshi et al., 2025</w:t>
      </w:r>
      <w:r>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26A0ED8C" w14:textId="77777777" w:rsidR="00F035EA" w:rsidRPr="00A22393"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 بناءً عليه، </w:t>
      </w:r>
      <w:r>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Pr>
          <w:rFonts w:ascii="Simplified Arabic" w:hAnsi="Simplified Arabic" w:cs="Simplified Arabic" w:hint="cs"/>
          <w:rtl/>
        </w:rPr>
        <w:t>و</w:t>
      </w:r>
      <w:r>
        <w:rPr>
          <w:rFonts w:ascii="Simplified Arabic" w:hAnsi="Simplified Arabic" w:cs="Simplified Arabic"/>
          <w:rtl/>
        </w:rPr>
        <w:t>بذلك، 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Pr>
          <w:rFonts w:ascii="Simplified Arabic" w:hAnsi="Simplified Arabic" w:cs="Simplified Arabic"/>
        </w:rPr>
        <w:t>.</w:t>
      </w:r>
    </w:p>
    <w:p w14:paraId="06C5E7C8" w14:textId="77777777" w:rsidR="00F035EA"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أسئلة الدراسة</w:t>
      </w:r>
    </w:p>
    <w:p w14:paraId="7159A7EA" w14:textId="77777777" w:rsidR="00F035EA" w:rsidRDefault="00F035EA" w:rsidP="00F035EA">
      <w:pPr>
        <w:bidi/>
        <w:rPr>
          <w:rFonts w:ascii="Simplified Arabic" w:hAnsi="Simplified Arabic" w:cs="Simplified Arabic"/>
          <w:rtl/>
        </w:rPr>
      </w:pPr>
      <w:r>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178BA80F"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السؤال الرئيس</w:t>
      </w:r>
      <w:r>
        <w:rPr>
          <w:rFonts w:ascii="Simplified Arabic" w:hAnsi="Simplified Arabic" w:cs="Simplified Arabic"/>
          <w:b/>
          <w:bCs/>
        </w:rPr>
        <w:t>:</w:t>
      </w:r>
    </w:p>
    <w:p w14:paraId="63BAF813" w14:textId="77777777" w:rsidR="00F035EA" w:rsidRPr="007E5B35" w:rsidRDefault="00F035EA" w:rsidP="00F035EA">
      <w:pPr>
        <w:bidi/>
        <w:rPr>
          <w:rFonts w:ascii="Simplified Arabic" w:hAnsi="Simplified Arabic" w:cs="Simplified Arabic"/>
          <w:rtl/>
        </w:rPr>
      </w:pPr>
      <w:r>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6CBECB0"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b/>
          <w:bCs/>
        </w:rPr>
        <w:t>:</w:t>
      </w:r>
    </w:p>
    <w:p w14:paraId="2843D21D"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4CE06286"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57308D2A"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7CA45FF7" w14:textId="77777777" w:rsidR="00F035EA" w:rsidRDefault="00F035EA" w:rsidP="00F035EA">
      <w:pPr>
        <w:numPr>
          <w:ilvl w:val="0"/>
          <w:numId w:val="2"/>
        </w:numPr>
        <w:bidi/>
        <w:spacing w:after="0" w:line="276" w:lineRule="auto"/>
        <w:rPr>
          <w:rFonts w:ascii="Simplified Arabic" w:hAnsi="Simplified Arabic" w:cs="Simplified Arabic"/>
        </w:rPr>
      </w:pPr>
      <w:r>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49029385" w14:textId="77777777" w:rsidR="00F035EA" w:rsidRPr="007E5B35" w:rsidRDefault="00F035EA" w:rsidP="00F035EA">
      <w:pPr>
        <w:bidi/>
        <w:spacing w:after="0" w:line="276" w:lineRule="auto"/>
        <w:rPr>
          <w:rFonts w:ascii="Simplified Arabic" w:hAnsi="Simplified Arabic" w:cs="Simplified Arabic"/>
        </w:rPr>
      </w:pPr>
    </w:p>
    <w:p w14:paraId="02E23AD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Pr>
          <w:rFonts w:ascii="Sakkal Majalla" w:hAnsi="Sakkal Majalla" w:cs="Sakkal Majalla"/>
          <w:b/>
          <w:bCs/>
          <w:color w:val="00B0F0"/>
          <w:sz w:val="36"/>
          <w:szCs w:val="36"/>
          <w:u w:val="single"/>
          <w:rtl/>
        </w:rPr>
        <w:t>:</w:t>
      </w:r>
    </w:p>
    <w:p w14:paraId="3BF84F07"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t>الأهمية النظرية</w:t>
      </w:r>
    </w:p>
    <w:p w14:paraId="3FFCA23A"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Pr>
          <w:rFonts w:ascii="Simplified Arabic" w:hAnsi="Simplified Arabic" w:cs="Simplified Arabic"/>
        </w:rPr>
        <w:t>.</w:t>
      </w:r>
    </w:p>
    <w:p w14:paraId="59E85E04"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Pr>
          <w:rFonts w:ascii="Simplified Arabic" w:hAnsi="Simplified Arabic" w:cs="Simplified Arabic"/>
        </w:rPr>
        <w:t>.</w:t>
      </w:r>
    </w:p>
    <w:p w14:paraId="426B9C37"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Pr>
          <w:rFonts w:ascii="Simplified Arabic" w:hAnsi="Simplified Arabic" w:cs="Simplified Arabic"/>
        </w:rPr>
        <w:t>.</w:t>
      </w:r>
    </w:p>
    <w:p w14:paraId="3554BEE0" w14:textId="77777777" w:rsidR="00F035EA" w:rsidRDefault="00F035EA" w:rsidP="00F035EA">
      <w:pPr>
        <w:numPr>
          <w:ilvl w:val="0"/>
          <w:numId w:val="5"/>
        </w:numPr>
        <w:bidi/>
        <w:spacing w:before="240" w:after="0"/>
        <w:rPr>
          <w:rFonts w:ascii="Simplified Arabic" w:hAnsi="Simplified Arabic" w:cs="Simplified Arabic"/>
        </w:rPr>
      </w:pPr>
      <w:r>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Pr>
          <w:rFonts w:ascii="Simplified Arabic" w:hAnsi="Simplified Arabic" w:cs="Simplified Arabic"/>
        </w:rPr>
        <w:t>.</w:t>
      </w:r>
    </w:p>
    <w:p w14:paraId="0F2B6980" w14:textId="77777777" w:rsidR="00F035EA" w:rsidRPr="00F15ECE" w:rsidRDefault="00F035EA" w:rsidP="00F035EA">
      <w:pPr>
        <w:numPr>
          <w:ilvl w:val="0"/>
          <w:numId w:val="5"/>
        </w:numPr>
        <w:tabs>
          <w:tab w:val="num" w:pos="720"/>
        </w:tabs>
        <w:bidi/>
        <w:spacing w:before="240" w:after="0"/>
        <w:rPr>
          <w:rFonts w:ascii="Simplified Arabic" w:hAnsi="Simplified Arabic" w:cs="Simplified Arabic"/>
          <w:rtl/>
        </w:rPr>
      </w:pPr>
      <w:r>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Pr>
          <w:rFonts w:ascii="Simplified Arabic" w:hAnsi="Simplified Arabic" w:cs="Simplified Arabic"/>
        </w:rPr>
        <w:t>.</w:t>
      </w:r>
    </w:p>
    <w:p w14:paraId="0F7B09FA" w14:textId="77777777" w:rsidR="00F035EA" w:rsidRDefault="00F035EA" w:rsidP="00F035EA">
      <w:pPr>
        <w:numPr>
          <w:ilvl w:val="0"/>
          <w:numId w:val="5"/>
        </w:numPr>
        <w:bidi/>
        <w:spacing w:before="240" w:after="0"/>
        <w:jc w:val="both"/>
        <w:rPr>
          <w:rFonts w:ascii="Simplified Arabic" w:hAnsi="Simplified Arabic" w:cs="Simplified Arabic"/>
        </w:rPr>
      </w:pPr>
      <w:r>
        <w:rPr>
          <w:rFonts w:ascii="Simplified Arabic" w:hAnsi="Simplified Arabic" w:cs="Simplified Arabic"/>
          <w:rtl/>
        </w:rPr>
        <w:t>تطبق النظرية في مجال جديد وهو تبني تقنيات الذكاء الاصطناعي التوليدي، مما يسهم في تطويرها نظرياً.</w:t>
      </w:r>
    </w:p>
    <w:p w14:paraId="7E3A7151" w14:textId="77777777" w:rsidR="00F035EA" w:rsidRPr="0085283F" w:rsidRDefault="00F035EA" w:rsidP="00F035EA">
      <w:pPr>
        <w:bidi/>
        <w:spacing w:after="0"/>
        <w:jc w:val="both"/>
        <w:rPr>
          <w:rFonts w:ascii="Simplified Arabic" w:hAnsi="Simplified Arabic" w:cs="Simplified Arabic"/>
          <w:rtl/>
        </w:rPr>
      </w:pPr>
    </w:p>
    <w:p w14:paraId="231A24CB"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lastRenderedPageBreak/>
        <w:t>الأهمية التطبيقية</w:t>
      </w:r>
    </w:p>
    <w:p w14:paraId="3D0236A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Pr>
          <w:rFonts w:ascii="Simplified Arabic" w:hAnsi="Simplified Arabic" w:cs="Simplified Arabic"/>
        </w:rPr>
        <w:t>.</w:t>
      </w:r>
    </w:p>
    <w:p w14:paraId="18F81D6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Pr>
          <w:rFonts w:ascii="Simplified Arabic" w:hAnsi="Simplified Arabic" w:cs="Simplified Arabic"/>
        </w:rPr>
        <w:t>.</w:t>
      </w:r>
    </w:p>
    <w:p w14:paraId="018DE09A"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Pr>
          <w:rFonts w:ascii="Simplified Arabic" w:hAnsi="Simplified Arabic" w:cs="Simplified Arabic"/>
        </w:rPr>
        <w:t>.</w:t>
      </w:r>
    </w:p>
    <w:p w14:paraId="3AEE2D0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تساعد الجهات التنظيمية مثل الهيئة السعودية للبيانات والذكاء الاصطناعي</w:t>
      </w:r>
      <w:r>
        <w:rPr>
          <w:rFonts w:ascii="Simplified Arabic" w:hAnsi="Simplified Arabic" w:cs="Simplified Arabic"/>
        </w:rPr>
        <w:t xml:space="preserve"> (SDAIA) </w:t>
      </w:r>
      <w:r>
        <w:rPr>
          <w:rFonts w:ascii="Simplified Arabic" w:hAnsi="Simplified Arabic" w:cs="Simplified Arabic"/>
          <w:rtl/>
        </w:rPr>
        <w:t>في تطوير أطر حوكمة لاستخدام الذكاء الاصطناعي التوليدي في القطاع التسويقي</w:t>
      </w:r>
      <w:r>
        <w:rPr>
          <w:rFonts w:ascii="Simplified Arabic" w:hAnsi="Simplified Arabic" w:cs="Simplified Arabic"/>
        </w:rPr>
        <w:t>.</w:t>
      </w:r>
    </w:p>
    <w:p w14:paraId="5E42C235"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Pr>
          <w:rFonts w:ascii="Simplified Arabic" w:hAnsi="Simplified Arabic" w:cs="Simplified Arabic"/>
        </w:rPr>
        <w:t>.</w:t>
      </w:r>
    </w:p>
    <w:p w14:paraId="42214DE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توفّر مؤشرات أداء قياسية</w:t>
      </w:r>
      <w:r>
        <w:rPr>
          <w:rFonts w:ascii="Simplified Arabic" w:hAnsi="Simplified Arabic" w:cs="Simplified Arabic"/>
        </w:rPr>
        <w:t xml:space="preserve"> (KPIs) </w:t>
      </w:r>
      <w:r>
        <w:rPr>
          <w:rFonts w:ascii="Simplified Arabic" w:hAnsi="Simplified Arabic" w:cs="Simplified Arabic"/>
          <w:rtl/>
        </w:rPr>
        <w:t>لقياس فعالية الحملات التسويقية المدعومة بالذكاء الاصطناعي التوليدي</w:t>
      </w:r>
      <w:r>
        <w:rPr>
          <w:rFonts w:ascii="Simplified Arabic" w:hAnsi="Simplified Arabic" w:cs="Simplified Arabic"/>
        </w:rPr>
        <w:t>.</w:t>
      </w:r>
    </w:p>
    <w:p w14:paraId="12B7AC22" w14:textId="77777777" w:rsidR="00F035EA" w:rsidRDefault="00F035EA" w:rsidP="00F035EA">
      <w:pPr>
        <w:numPr>
          <w:ilvl w:val="0"/>
          <w:numId w:val="4"/>
        </w:numPr>
        <w:bidi/>
        <w:spacing w:line="276" w:lineRule="auto"/>
        <w:rPr>
          <w:rFonts w:ascii="Simplified Arabic" w:hAnsi="Simplified Arabic" w:cs="Simplified Arabic"/>
        </w:rPr>
      </w:pPr>
      <w:r>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2B5353D1" w14:textId="77777777" w:rsidR="00F035EA" w:rsidRPr="004F2B23" w:rsidRDefault="00F035EA" w:rsidP="00F035EA">
      <w:pPr>
        <w:bidi/>
        <w:spacing w:line="276" w:lineRule="auto"/>
        <w:rPr>
          <w:rFonts w:ascii="Simplified Arabic" w:hAnsi="Simplified Arabic" w:cs="Simplified Arabic"/>
          <w:sz w:val="12"/>
          <w:szCs w:val="12"/>
          <w:rtl/>
        </w:rPr>
      </w:pPr>
    </w:p>
    <w:p w14:paraId="36C34CFF"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أهداف الدراسة</w:t>
      </w:r>
      <w:r>
        <w:rPr>
          <w:rFonts w:ascii="Sakkal Majalla" w:hAnsi="Sakkal Majalla" w:cs="Sakkal Majalla"/>
          <w:b/>
          <w:bCs/>
          <w:color w:val="00B0F0"/>
          <w:sz w:val="36"/>
          <w:szCs w:val="36"/>
          <w:u w:val="single"/>
          <w:rtl/>
        </w:rPr>
        <w:t>:</w:t>
      </w:r>
    </w:p>
    <w:p w14:paraId="7D6DA4D4" w14:textId="77777777" w:rsidR="00F035EA" w:rsidRPr="004223DC" w:rsidRDefault="00F035EA" w:rsidP="00F035EA">
      <w:pPr>
        <w:bidi/>
        <w:spacing w:before="240"/>
        <w:rPr>
          <w:rFonts w:ascii="Simplified Arabic" w:hAnsi="Simplified Arabic" w:cs="Simplified Arabic"/>
          <w:rtl/>
        </w:rPr>
      </w:pPr>
      <w:r>
        <w:rPr>
          <w:rFonts w:ascii="Simplified Arabic" w:hAnsi="Simplified Arabic" w:cs="Simplified Arabic"/>
          <w:rtl/>
        </w:rPr>
        <w:t>تسعى الدراسة إلى تحقيق الأهداف العلمية التالية:</w:t>
      </w:r>
    </w:p>
    <w:p w14:paraId="7259632E"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الهدف الرئيسي</w:t>
      </w:r>
    </w:p>
    <w:p w14:paraId="6A3ED9D0" w14:textId="77777777" w:rsidR="00F035EA" w:rsidRDefault="00F035EA" w:rsidP="00F035EA">
      <w:pPr>
        <w:bidi/>
        <w:spacing w:before="240"/>
        <w:rPr>
          <w:rFonts w:ascii="Simplified Arabic" w:hAnsi="Simplified Arabic" w:cs="Simplified Arabic"/>
          <w:b/>
          <w:bCs/>
          <w:rtl/>
        </w:rPr>
      </w:pPr>
      <w:r>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0836F561"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الأهداف الفرعية</w:t>
      </w:r>
    </w:p>
    <w:p w14:paraId="3F704488"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5101FB62"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5415C09B"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lastRenderedPageBreak/>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618AEAA0" w14:textId="77777777" w:rsidR="00F035EA"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2957E0AE" w14:textId="77777777" w:rsidR="00F035EA" w:rsidRPr="004F2B23" w:rsidRDefault="00F035EA" w:rsidP="00F035EA">
      <w:pPr>
        <w:bidi/>
        <w:rPr>
          <w:rFonts w:ascii="Simplified Arabic" w:hAnsi="Simplified Arabic" w:cs="Simplified Arabic"/>
          <w:sz w:val="18"/>
          <w:szCs w:val="18"/>
        </w:rPr>
      </w:pPr>
    </w:p>
    <w:p w14:paraId="2B5343E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bookmarkStart w:id="0" w:name="_Hlk214856741"/>
      <w:r>
        <w:rPr>
          <w:rFonts w:ascii="Sakkal Majalla" w:hAnsi="Sakkal Majalla" w:cs="Sakkal Majalla" w:hint="cs"/>
          <w:b/>
          <w:bCs/>
          <w:color w:val="00B0F0"/>
          <w:sz w:val="36"/>
          <w:szCs w:val="36"/>
          <w:u w:val="single"/>
          <w:rtl/>
        </w:rPr>
        <w:t>فرضيات الدراسة</w:t>
      </w:r>
      <w:r>
        <w:rPr>
          <w:rFonts w:ascii="Sakkal Majalla" w:hAnsi="Sakkal Majalla" w:cs="Sakkal Majalla"/>
          <w:b/>
          <w:bCs/>
          <w:color w:val="00B0F0"/>
          <w:sz w:val="36"/>
          <w:szCs w:val="36"/>
          <w:u w:val="single"/>
          <w:rtl/>
        </w:rPr>
        <w:t>:</w:t>
      </w:r>
    </w:p>
    <w:bookmarkEnd w:id="0"/>
    <w:p w14:paraId="34610D2C"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الفرضية الرئيسة</w:t>
      </w:r>
      <w:r>
        <w:rPr>
          <w:rFonts w:ascii="Simplified Arabic" w:hAnsi="Simplified Arabic" w:cs="Simplified Arabic"/>
          <w:b/>
          <w:bCs/>
        </w:rPr>
        <w:t>:</w:t>
      </w:r>
    </w:p>
    <w:p w14:paraId="0A432E6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Pr>
          <w:rFonts w:ascii="Simplified Arabic" w:hAnsi="Simplified Arabic" w:cs="Simplified Arabic"/>
        </w:rPr>
        <w:t>.</w:t>
      </w:r>
    </w:p>
    <w:p w14:paraId="4E58AC1E"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b/>
          <w:bCs/>
        </w:rPr>
        <w:t>:</w:t>
      </w:r>
    </w:p>
    <w:p w14:paraId="3ACFCE4B"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H1</w:t>
      </w:r>
      <w:r>
        <w:rPr>
          <w:rFonts w:ascii="Simplified Arabic" w:hAnsi="Simplified Arabic" w:cs="Simplified Arabic" w:hint="cs"/>
          <w:b/>
          <w:bCs/>
          <w:rtl/>
        </w:rPr>
        <w:t xml:space="preserve">: </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Pr>
          <w:rFonts w:ascii="Simplified Arabic" w:hAnsi="Simplified Arabic" w:cs="Simplified Arabic"/>
        </w:rPr>
        <w:t>.</w:t>
      </w:r>
    </w:p>
    <w:p w14:paraId="5129F374" w14:textId="77777777" w:rsidR="00F035EA" w:rsidRPr="00A20BAB" w:rsidRDefault="00F035EA" w:rsidP="00F035EA">
      <w:pPr>
        <w:bidi/>
        <w:rPr>
          <w:rFonts w:ascii="Simplified Arabic" w:hAnsi="Simplified Arabic" w:cs="Simplified Arabic"/>
          <w:rtl/>
        </w:rPr>
      </w:pPr>
      <w:r>
        <w:rPr>
          <w:rFonts w:ascii="Simplified Arabic" w:hAnsi="Simplified Arabic" w:cs="Simplified Arabic"/>
          <w:b/>
          <w:bCs/>
        </w:rPr>
        <w:t xml:space="preserve"> :H2</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Pr>
          <w:rFonts w:ascii="Simplified Arabic" w:hAnsi="Simplified Arabic" w:cs="Simplified Arabic"/>
        </w:rPr>
        <w:t>.</w:t>
      </w:r>
    </w:p>
    <w:p w14:paraId="516D8BA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H3</w:t>
      </w:r>
      <w:r>
        <w:rPr>
          <w:rFonts w:ascii="Simplified Arabic" w:hAnsi="Simplified Arabic" w:cs="Simplified Arabic" w:hint="cs"/>
          <w:b/>
          <w:bCs/>
          <w:rtl/>
        </w:rPr>
        <w:t>:</w:t>
      </w:r>
      <w:r>
        <w:rPr>
          <w:rFonts w:ascii="Simplified Arabic" w:hAnsi="Simplified Arabic" w:cs="Simplified Arabic" w:hint="cs"/>
          <w:rtl/>
        </w:rPr>
        <w:t xml:space="preserve"> </w:t>
      </w:r>
      <w:r>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729419DA" w14:textId="77777777" w:rsidR="00F035EA" w:rsidRDefault="00F035EA" w:rsidP="00F035EA">
      <w:pPr>
        <w:bidi/>
        <w:rPr>
          <w:rFonts w:ascii="Simplified Arabic" w:hAnsi="Simplified Arabic" w:cs="Simplified Arabic"/>
          <w:rtl/>
        </w:rPr>
      </w:pPr>
      <w:r>
        <w:rPr>
          <w:rFonts w:ascii="Simplified Arabic" w:hAnsi="Simplified Arabic" w:cs="Simplified Arabic"/>
          <w:b/>
          <w:bCs/>
        </w:rPr>
        <w:t>H4</w:t>
      </w:r>
      <w:r>
        <w:rPr>
          <w:rFonts w:ascii="Simplified Arabic" w:hAnsi="Simplified Arabic" w:cs="Simplified Arabic"/>
          <w:b/>
          <w:bCs/>
          <w:rtl/>
        </w:rPr>
        <w:t>:</w:t>
      </w:r>
      <w:r>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36B0AE44" w14:textId="77777777" w:rsidR="00F035EA" w:rsidRDefault="00F035EA" w:rsidP="00F035EA">
      <w:pPr>
        <w:bidi/>
        <w:rPr>
          <w:rFonts w:ascii="Simplified Arabic" w:hAnsi="Simplified Arabic" w:cs="Simplified Arabic"/>
          <w:b/>
          <w:bCs/>
          <w:rtl/>
        </w:rPr>
      </w:pPr>
    </w:p>
    <w:p w14:paraId="331A3A19" w14:textId="77777777" w:rsidR="00F035EA" w:rsidRDefault="00F035EA" w:rsidP="00F035EA">
      <w:pPr>
        <w:bidi/>
        <w:rPr>
          <w:rFonts w:ascii="Simplified Arabic" w:hAnsi="Simplified Arabic" w:cs="Simplified Arabic"/>
          <w:b/>
          <w:bCs/>
          <w:rtl/>
        </w:rPr>
      </w:pPr>
    </w:p>
    <w:p w14:paraId="1033B14B" w14:textId="77777777" w:rsidR="00F035EA" w:rsidRDefault="00F035EA" w:rsidP="00F035EA">
      <w:pPr>
        <w:bidi/>
        <w:rPr>
          <w:rFonts w:ascii="Simplified Arabic" w:hAnsi="Simplified Arabic" w:cs="Simplified Arabic"/>
          <w:b/>
          <w:bCs/>
          <w:rtl/>
        </w:rPr>
      </w:pPr>
    </w:p>
    <w:p w14:paraId="2A25466A" w14:textId="77777777" w:rsidR="00F035EA" w:rsidRDefault="00F035EA" w:rsidP="00F035EA">
      <w:pPr>
        <w:bidi/>
        <w:rPr>
          <w:rFonts w:ascii="Simplified Arabic" w:hAnsi="Simplified Arabic" w:cs="Simplified Arabic"/>
          <w:b/>
          <w:bCs/>
          <w:rtl/>
        </w:rPr>
      </w:pPr>
    </w:p>
    <w:p w14:paraId="730B24E0" w14:textId="77777777" w:rsidR="00F035EA" w:rsidRDefault="00F035EA" w:rsidP="00F035EA">
      <w:pPr>
        <w:bidi/>
        <w:rPr>
          <w:rFonts w:ascii="Simplified Arabic" w:hAnsi="Simplified Arabic" w:cs="Simplified Arabic"/>
          <w:b/>
          <w:bCs/>
          <w:rtl/>
        </w:rPr>
      </w:pPr>
    </w:p>
    <w:p w14:paraId="0D929373" w14:textId="77777777" w:rsidR="00F035EA" w:rsidRDefault="00F035EA" w:rsidP="00F035EA">
      <w:pPr>
        <w:bidi/>
        <w:rPr>
          <w:rFonts w:ascii="Simplified Arabic" w:hAnsi="Simplified Arabic" w:cs="Simplified Arabic"/>
          <w:b/>
          <w:bCs/>
          <w:rtl/>
        </w:rPr>
      </w:pPr>
    </w:p>
    <w:p w14:paraId="4B2F4FCF" w14:textId="77777777" w:rsidR="00F035EA" w:rsidRDefault="00F035EA" w:rsidP="00F035EA">
      <w:pPr>
        <w:bidi/>
        <w:rPr>
          <w:rFonts w:ascii="Simplified Arabic" w:hAnsi="Simplified Arabic" w:cs="Simplified Arabic"/>
          <w:b/>
          <w:bCs/>
          <w:rtl/>
        </w:rPr>
      </w:pPr>
      <w:r>
        <w:rPr>
          <w:rFonts w:ascii="Simplified Arabic" w:hAnsi="Simplified Arabic" w:cs="Simplified Arabic" w:hint="cs"/>
          <w:b/>
          <w:bCs/>
          <w:rtl/>
        </w:rPr>
        <w:t>نموذج الدراسة المقترح:</w:t>
      </w:r>
    </w:p>
    <w:p w14:paraId="71159868"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rtl/>
        </w:rPr>
        <w:t>شكل رقم (1): نموذج الدراسة المقترح</w:t>
      </w:r>
    </w:p>
    <w:p w14:paraId="6484B04F"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noProof/>
          <w:rtl/>
          <w:lang w:val="ar-SA"/>
        </w:rPr>
        <w:lastRenderedPageBreak/>
        <w:drawing>
          <wp:anchor distT="0" distB="0" distL="114300" distR="114300" simplePos="0" relativeHeight="251661824" behindDoc="0" locked="0" layoutInCell="1" allowOverlap="1" wp14:anchorId="3233FFEA" wp14:editId="0FED7905">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516CC182" w14:textId="77777777" w:rsidR="00F035EA" w:rsidRDefault="00F035EA" w:rsidP="00F035EA">
      <w:pPr>
        <w:bidi/>
        <w:rPr>
          <w:rFonts w:ascii="Simplified Arabic" w:hAnsi="Simplified Arabic" w:cs="Simplified Arabic"/>
          <w:b/>
          <w:bCs/>
          <w:rtl/>
        </w:rPr>
      </w:pPr>
    </w:p>
    <w:p w14:paraId="544866E6" w14:textId="77777777" w:rsidR="00F035EA" w:rsidRDefault="00F035EA" w:rsidP="00F035EA">
      <w:pPr>
        <w:bidi/>
        <w:rPr>
          <w:rFonts w:ascii="Simplified Arabic" w:hAnsi="Simplified Arabic" w:cs="Simplified Arabic"/>
          <w:b/>
          <w:bCs/>
          <w:rtl/>
        </w:rPr>
      </w:pPr>
    </w:p>
    <w:p w14:paraId="78A07B1D" w14:textId="77777777" w:rsidR="00F035EA" w:rsidRDefault="00F035EA" w:rsidP="00F035EA">
      <w:pPr>
        <w:bidi/>
        <w:rPr>
          <w:rFonts w:ascii="Simplified Arabic" w:hAnsi="Simplified Arabic" w:cs="Simplified Arabic"/>
          <w:b/>
          <w:bCs/>
          <w:rtl/>
        </w:rPr>
      </w:pPr>
    </w:p>
    <w:p w14:paraId="3FA00783" w14:textId="77777777" w:rsidR="00F035EA" w:rsidRDefault="00F035EA" w:rsidP="00F035EA">
      <w:pPr>
        <w:bidi/>
        <w:rPr>
          <w:rFonts w:ascii="Simplified Arabic" w:hAnsi="Simplified Arabic" w:cs="Simplified Arabic"/>
          <w:b/>
          <w:bCs/>
          <w:rtl/>
        </w:rPr>
      </w:pPr>
    </w:p>
    <w:p w14:paraId="794D0FB8" w14:textId="77777777" w:rsidR="00F035EA" w:rsidRDefault="00F035EA" w:rsidP="00F035EA">
      <w:pPr>
        <w:bidi/>
        <w:rPr>
          <w:rFonts w:ascii="Simplified Arabic" w:hAnsi="Simplified Arabic" w:cs="Simplified Arabic"/>
          <w:b/>
          <w:bCs/>
          <w:rtl/>
        </w:rPr>
      </w:pPr>
    </w:p>
    <w:p w14:paraId="1C60EB99" w14:textId="77777777" w:rsidR="00F035EA" w:rsidRDefault="00F035EA" w:rsidP="00F035EA">
      <w:pPr>
        <w:bidi/>
        <w:rPr>
          <w:rFonts w:ascii="Simplified Arabic" w:hAnsi="Simplified Arabic" w:cs="Simplified Arabic"/>
          <w:b/>
          <w:bCs/>
          <w:rtl/>
        </w:rPr>
      </w:pPr>
    </w:p>
    <w:p w14:paraId="4D3B19AF" w14:textId="77777777" w:rsidR="00F035EA" w:rsidRDefault="00F035EA" w:rsidP="00F035EA">
      <w:pPr>
        <w:bidi/>
        <w:rPr>
          <w:rFonts w:ascii="Simplified Arabic" w:hAnsi="Simplified Arabic" w:cs="Simplified Arabic"/>
          <w:b/>
          <w:bCs/>
          <w:rtl/>
        </w:rPr>
      </w:pPr>
    </w:p>
    <w:p w14:paraId="6F5524E4" w14:textId="77777777" w:rsidR="00F035EA" w:rsidRDefault="00F035EA" w:rsidP="00F035EA">
      <w:pPr>
        <w:bidi/>
        <w:rPr>
          <w:rFonts w:ascii="Simplified Arabic" w:hAnsi="Simplified Arabic" w:cs="Simplified Arabic"/>
          <w:b/>
          <w:bCs/>
          <w:rtl/>
        </w:rPr>
      </w:pPr>
    </w:p>
    <w:p w14:paraId="30752242" w14:textId="77777777" w:rsidR="00F035EA" w:rsidRDefault="00F035EA" w:rsidP="00F035EA">
      <w:pPr>
        <w:bidi/>
        <w:rPr>
          <w:rFonts w:ascii="Simplified Arabic" w:hAnsi="Simplified Arabic" w:cs="Simplified Arabic"/>
          <w:b/>
          <w:bCs/>
          <w:rtl/>
        </w:rPr>
      </w:pPr>
    </w:p>
    <w:p w14:paraId="18B01951" w14:textId="77777777" w:rsidR="00F035EA" w:rsidRDefault="00F035EA" w:rsidP="00F035EA">
      <w:pPr>
        <w:bidi/>
        <w:rPr>
          <w:rFonts w:ascii="Simplified Arabic" w:hAnsi="Simplified Arabic" w:cs="Simplified Arabic"/>
          <w:b/>
          <w:bCs/>
          <w:rtl/>
        </w:rPr>
      </w:pPr>
    </w:p>
    <w:p w14:paraId="36C7FC03" w14:textId="77777777" w:rsidR="00F035EA" w:rsidRDefault="00F035EA" w:rsidP="00F035EA">
      <w:pPr>
        <w:bidi/>
        <w:rPr>
          <w:rFonts w:ascii="Simplified Arabic" w:hAnsi="Simplified Arabic" w:cs="Simplified Arabic"/>
          <w:b/>
          <w:bCs/>
          <w:rtl/>
        </w:rPr>
      </w:pPr>
    </w:p>
    <w:p w14:paraId="311BD2C9" w14:textId="77777777" w:rsidR="00F035EA" w:rsidRDefault="00F035EA" w:rsidP="00F035EA">
      <w:pPr>
        <w:bidi/>
        <w:rPr>
          <w:rFonts w:ascii="Simplified Arabic" w:hAnsi="Simplified Arabic" w:cs="Simplified Arabic"/>
          <w:b/>
          <w:bCs/>
          <w:rtl/>
        </w:rPr>
      </w:pPr>
    </w:p>
    <w:p w14:paraId="13723EBE" w14:textId="77777777" w:rsidR="00F035EA" w:rsidRDefault="00F035EA" w:rsidP="00F035EA">
      <w:pPr>
        <w:bidi/>
        <w:rPr>
          <w:rFonts w:ascii="Simplified Arabic" w:hAnsi="Simplified Arabic" w:cs="Simplified Arabic"/>
          <w:b/>
          <w:bCs/>
          <w:rtl/>
        </w:rPr>
      </w:pPr>
    </w:p>
    <w:p w14:paraId="20DDAAB5" w14:textId="77777777" w:rsidR="00F035EA" w:rsidRDefault="00F035EA" w:rsidP="00F035EA">
      <w:pPr>
        <w:bidi/>
        <w:rPr>
          <w:rFonts w:ascii="Simplified Arabic" w:hAnsi="Simplified Arabic" w:cs="Simplified Arabic"/>
          <w:b/>
          <w:bCs/>
          <w:rtl/>
        </w:rPr>
      </w:pPr>
    </w:p>
    <w:p w14:paraId="72EAB79E" w14:textId="77777777" w:rsidR="00F035EA" w:rsidRDefault="00F035EA" w:rsidP="00F035EA">
      <w:pPr>
        <w:bidi/>
        <w:rPr>
          <w:rFonts w:ascii="Simplified Arabic" w:hAnsi="Simplified Arabic" w:cs="Simplified Arabic"/>
          <w:b/>
          <w:bCs/>
          <w:rtl/>
        </w:rPr>
      </w:pPr>
    </w:p>
    <w:p w14:paraId="31932EBF" w14:textId="77777777" w:rsidR="00F035EA" w:rsidRPr="004104AA" w:rsidRDefault="00F035EA" w:rsidP="00F035EA">
      <w:pPr>
        <w:bidi/>
        <w:rPr>
          <w:rFonts w:ascii="Simplified Arabic" w:hAnsi="Simplified Arabic" w:cs="Simplified Arabic"/>
          <w:b/>
          <w:bCs/>
          <w:rtl/>
        </w:rPr>
      </w:pPr>
    </w:p>
    <w:p w14:paraId="76752316" w14:textId="77777777" w:rsidR="00F035EA" w:rsidRDefault="00F035EA" w:rsidP="00F035EA">
      <w:pPr>
        <w:bidi/>
        <w:rPr>
          <w:rFonts w:ascii="Simplified Arabic" w:hAnsi="Simplified Arabic" w:cs="Simplified Arabic"/>
          <w:rtl/>
        </w:rPr>
      </w:pPr>
    </w:p>
    <w:p w14:paraId="06CFEAB2" w14:textId="77777777" w:rsidR="00F035EA" w:rsidRDefault="00F035EA" w:rsidP="00F035EA">
      <w:pPr>
        <w:bidi/>
        <w:rPr>
          <w:rFonts w:ascii="Simplified Arabic" w:hAnsi="Simplified Arabic" w:cs="Simplified Arabic"/>
          <w:rtl/>
        </w:rPr>
      </w:pPr>
    </w:p>
    <w:p w14:paraId="716B711F" w14:textId="77777777" w:rsidR="00F035EA" w:rsidRPr="004F2B23" w:rsidRDefault="00F035EA" w:rsidP="00F035EA">
      <w:pPr>
        <w:bidi/>
        <w:rPr>
          <w:rFonts w:ascii="Simplified Arabic" w:hAnsi="Simplified Arabic" w:cs="Simplified Arabic"/>
          <w:sz w:val="10"/>
          <w:szCs w:val="10"/>
          <w:rtl/>
        </w:rPr>
      </w:pPr>
    </w:p>
    <w:p w14:paraId="41DFB6E3" w14:textId="77777777" w:rsidR="00F035EA" w:rsidRDefault="00F035EA" w:rsidP="00F035EA">
      <w:pPr>
        <w:bidi/>
        <w:rPr>
          <w:rFonts w:ascii="Simplified Arabic" w:hAnsi="Simplified Arabic" w:cs="Simplified Arabic"/>
          <w:rtl/>
        </w:rPr>
      </w:pPr>
      <w:r>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3E77E946" w14:textId="77777777" w:rsidR="00F035EA" w:rsidRPr="004104AA" w:rsidRDefault="00F035EA" w:rsidP="00F035EA">
      <w:pPr>
        <w:bidi/>
        <w:rPr>
          <w:rFonts w:ascii="Simplified Arabic" w:hAnsi="Simplified Arabic" w:cs="Simplified Arabic"/>
          <w:rtl/>
        </w:rPr>
      </w:pPr>
    </w:p>
    <w:p w14:paraId="193CEEDC"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منهجية الدراسة</w:t>
      </w:r>
      <w:r>
        <w:rPr>
          <w:rFonts w:ascii="Sakkal Majalla" w:hAnsi="Sakkal Majalla" w:cs="Sakkal Majalla"/>
          <w:b/>
          <w:bCs/>
          <w:color w:val="00B0F0"/>
          <w:sz w:val="36"/>
          <w:szCs w:val="36"/>
          <w:u w:val="single"/>
          <w:rtl/>
        </w:rPr>
        <w:t>:</w:t>
      </w:r>
    </w:p>
    <w:p w14:paraId="51A42BE3" w14:textId="77777777" w:rsidR="00F035EA" w:rsidRPr="00D9067F" w:rsidRDefault="00F035EA" w:rsidP="00F035EA">
      <w:pPr>
        <w:bidi/>
        <w:rPr>
          <w:rFonts w:ascii="Simplified Arabic" w:hAnsi="Simplified Arabic" w:cs="Simplified Arabic"/>
          <w:rtl/>
        </w:rPr>
      </w:pPr>
      <w:r>
        <w:rPr>
          <w:rFonts w:ascii="Simplified Arabic" w:hAnsi="Simplified Arabic" w:cs="Simplified Arabic"/>
          <w:rtl/>
        </w:rPr>
        <w:lastRenderedPageBreak/>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Pr>
          <w:rFonts w:ascii="Simplified Arabic" w:hAnsi="Simplified Arabic" w:cs="Simplified Arabic"/>
        </w:rPr>
        <w:t>.</w:t>
      </w:r>
    </w:p>
    <w:p w14:paraId="223485A0"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1. </w:t>
      </w:r>
      <w:r>
        <w:rPr>
          <w:rFonts w:ascii="Simplified Arabic" w:hAnsi="Simplified Arabic" w:cs="Simplified Arabic"/>
          <w:b/>
          <w:bCs/>
          <w:rtl/>
        </w:rPr>
        <w:t xml:space="preserve">أداة الدراسة  </w:t>
      </w:r>
    </w:p>
    <w:p w14:paraId="53F6FCA7" w14:textId="77777777" w:rsidR="00F035EA" w:rsidRPr="00D9067F" w:rsidRDefault="00F035EA" w:rsidP="00F035EA">
      <w:pPr>
        <w:bidi/>
        <w:rPr>
          <w:rFonts w:ascii="Simplified Arabic" w:hAnsi="Simplified Arabic" w:cs="Simplified Arabic"/>
          <w:rtl/>
        </w:rPr>
      </w:pPr>
      <w:r>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Pr>
          <w:rFonts w:ascii="Simplified Arabic" w:hAnsi="Simplified Arabic" w:cs="Simplified Arabic"/>
        </w:rPr>
        <w:t xml:space="preserve"> (Five-point Likert Scale)</w:t>
      </w:r>
      <w:r>
        <w:rPr>
          <w:rFonts w:ascii="Simplified Arabic" w:hAnsi="Simplified Arabic" w:cs="Simplified Arabic" w:hint="cs"/>
          <w:rtl/>
        </w:rPr>
        <w:t xml:space="preserve"> </w:t>
      </w:r>
      <w:r>
        <w:rPr>
          <w:rFonts w:ascii="Simplified Arabic" w:hAnsi="Simplified Arabic" w:cs="Simplified Arabic"/>
          <w:rtl/>
        </w:rPr>
        <w:t>(من "موافق بشدة" إلى "غير موافق بشدة")، لضمان دقة قياس استجابات المبحوثين حول متغيرات الدراسة</w:t>
      </w:r>
      <w:r>
        <w:rPr>
          <w:rFonts w:ascii="Simplified Arabic" w:hAnsi="Simplified Arabic" w:cs="Simplified Arabic"/>
        </w:rPr>
        <w:t>.</w:t>
      </w:r>
    </w:p>
    <w:p w14:paraId="45476EFB"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2. </w:t>
      </w:r>
      <w:r>
        <w:rPr>
          <w:rFonts w:ascii="Simplified Arabic" w:hAnsi="Simplified Arabic" w:cs="Simplified Arabic"/>
          <w:b/>
          <w:bCs/>
          <w:rtl/>
        </w:rPr>
        <w:t xml:space="preserve">مجتمع وعينة الدراسة </w:t>
      </w:r>
    </w:p>
    <w:p w14:paraId="607964A1" w14:textId="77777777" w:rsidR="00F035EA" w:rsidRPr="009F0B28" w:rsidRDefault="00F035EA" w:rsidP="00F035EA">
      <w:pPr>
        <w:bidi/>
        <w:rPr>
          <w:rFonts w:ascii="Simplified Arabic" w:hAnsi="Simplified Arabic" w:cs="Simplified Arabic"/>
          <w:rtl/>
        </w:rPr>
      </w:pPr>
      <w:r>
        <w:rPr>
          <w:rFonts w:ascii="Simplified Arabic" w:hAnsi="Simplified Arabic" w:cs="Simplified Arabic"/>
          <w:rtl/>
        </w:rPr>
        <w:t>يتمثل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Pr>
          <w:rFonts w:ascii="Simplified Arabic" w:hAnsi="Simplified Arabic" w:cs="Simplified Arabic"/>
        </w:rPr>
        <w:t>Non-probability Sampling</w:t>
      </w:r>
      <w:r>
        <w:rPr>
          <w:rFonts w:ascii="Simplified Arabic" w:hAnsi="Simplified Arabic" w:cs="Simplified Arabic"/>
          <w:rtl/>
        </w:rPr>
        <w:t>)، وتحديداً أسلوب العينة الميسرة (</w:t>
      </w:r>
      <w:r>
        <w:rPr>
          <w:rFonts w:ascii="Simplified Arabic" w:hAnsi="Simplified Arabic" w:cs="Simplified Arabic"/>
        </w:rPr>
        <w:t>Convenience Sampling</w:t>
      </w:r>
      <w:r>
        <w:rPr>
          <w:rFonts w:ascii="Simplified Arabic" w:hAnsi="Simplified Arabic" w:cs="Simplified Arabic"/>
          <w:rtl/>
        </w:rPr>
        <w:t>) وكرة الثلج (</w:t>
      </w:r>
      <w:r>
        <w:rPr>
          <w:rFonts w:ascii="Simplified Arabic" w:hAnsi="Simplified Arabic" w:cs="Simplified Arabic"/>
        </w:rPr>
        <w:t>Snowball Sampling</w:t>
      </w:r>
      <w:r>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Pr>
          <w:rFonts w:ascii="Simplified Arabic" w:hAnsi="Simplified Arabic" w:cs="Simplified Arabic"/>
        </w:rPr>
        <w:t>G*Power</w:t>
      </w:r>
      <w:r>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Pr>
          <w:rFonts w:ascii="Simplified Arabic" w:hAnsi="Simplified Arabic" w:cs="Simplified Arabic" w:hint="cs"/>
          <w:rtl/>
        </w:rPr>
        <w:t>يساعد بالحصول على</w:t>
      </w:r>
      <w:r>
        <w:rPr>
          <w:rFonts w:ascii="Simplified Arabic" w:hAnsi="Simplified Arabic" w:cs="Simplified Arabic"/>
          <w:rtl/>
        </w:rPr>
        <w:t xml:space="preserve"> تمثيل</w:t>
      </w:r>
      <w:r>
        <w:rPr>
          <w:rFonts w:ascii="Simplified Arabic" w:hAnsi="Simplified Arabic" w:cs="Simplified Arabic" w:hint="cs"/>
          <w:rtl/>
        </w:rPr>
        <w:t xml:space="preserve"> </w:t>
      </w:r>
      <w:r>
        <w:rPr>
          <w:rFonts w:ascii="Simplified Arabic" w:hAnsi="Simplified Arabic" w:cs="Simplified Arabic"/>
          <w:rtl/>
        </w:rPr>
        <w:t>إحصائي مقبول</w:t>
      </w:r>
      <w:r>
        <w:rPr>
          <w:rFonts w:ascii="Simplified Arabic" w:hAnsi="Simplified Arabic" w:cs="Simplified Arabic" w:hint="cs"/>
          <w:rtl/>
        </w:rPr>
        <w:t xml:space="preserve"> </w:t>
      </w:r>
      <w:r>
        <w:rPr>
          <w:rFonts w:ascii="Simplified Arabic" w:hAnsi="Simplified Arabic" w:cs="Simplified Arabic"/>
          <w:rtl/>
        </w:rPr>
        <w:t>لتعميم النتائج.</w:t>
      </w:r>
    </w:p>
    <w:p w14:paraId="2C165F56"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3. </w:t>
      </w:r>
      <w:r>
        <w:rPr>
          <w:rFonts w:ascii="Simplified Arabic" w:hAnsi="Simplified Arabic" w:cs="Simplified Arabic"/>
          <w:b/>
          <w:bCs/>
          <w:rtl/>
        </w:rPr>
        <w:t>أساليب المعالجة الإحصائية</w:t>
      </w:r>
    </w:p>
    <w:p w14:paraId="715440D4" w14:textId="77777777" w:rsidR="00F035EA" w:rsidRPr="00D9067F" w:rsidRDefault="00F035EA" w:rsidP="00F035EA">
      <w:pPr>
        <w:bidi/>
        <w:rPr>
          <w:rFonts w:ascii="Simplified Arabic" w:hAnsi="Simplified Arabic" w:cs="Simplified Arabic"/>
          <w:rtl/>
        </w:rPr>
      </w:pPr>
      <w:r>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Pr>
          <w:rFonts w:ascii="Simplified Arabic" w:hAnsi="Simplified Arabic" w:cs="Simplified Arabic"/>
        </w:rPr>
        <w:t xml:space="preserve"> (PLS-SEM) </w:t>
      </w:r>
      <w:r>
        <w:rPr>
          <w:rFonts w:ascii="Simplified Arabic" w:hAnsi="Simplified Arabic" w:cs="Simplified Arabic"/>
          <w:rtl/>
        </w:rPr>
        <w:t>باستخدام برنامج</w:t>
      </w:r>
      <w:r>
        <w:rPr>
          <w:rFonts w:ascii="Simplified Arabic" w:hAnsi="Simplified Arabic" w:cs="Simplified Arabic"/>
        </w:rPr>
        <w:t xml:space="preserve"> (SmartPLS 4)</w:t>
      </w:r>
      <w:r>
        <w:rPr>
          <w:rFonts w:ascii="Simplified Arabic" w:hAnsi="Simplified Arabic" w:cs="Simplified Arabic"/>
          <w:rtl/>
        </w:rPr>
        <w:t>، وذلك للمبررات التالية</w:t>
      </w:r>
      <w:r>
        <w:rPr>
          <w:rFonts w:ascii="Simplified Arabic" w:hAnsi="Simplified Arabic" w:cs="Simplified Arabic"/>
        </w:rPr>
        <w:t>:</w:t>
      </w:r>
    </w:p>
    <w:p w14:paraId="4847F602" w14:textId="77777777" w:rsidR="00F035EA" w:rsidRPr="00D9067F" w:rsidRDefault="00F035EA" w:rsidP="00F035EA">
      <w:pPr>
        <w:numPr>
          <w:ilvl w:val="0"/>
          <w:numId w:val="7"/>
        </w:numPr>
        <w:bidi/>
        <w:rPr>
          <w:rFonts w:ascii="Simplified Arabic" w:hAnsi="Simplified Arabic" w:cs="Simplified Arabic"/>
          <w:rtl/>
        </w:rPr>
      </w:pPr>
      <w:r>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Pr>
          <w:rFonts w:ascii="Simplified Arabic" w:hAnsi="Simplified Arabic" w:cs="Simplified Arabic"/>
        </w:rPr>
        <w:t>.</w:t>
      </w:r>
    </w:p>
    <w:p w14:paraId="0BB58146" w14:textId="77777777" w:rsidR="00F035EA" w:rsidRPr="00D9067F" w:rsidRDefault="00F035EA" w:rsidP="00F035EA">
      <w:pPr>
        <w:numPr>
          <w:ilvl w:val="0"/>
          <w:numId w:val="7"/>
        </w:numPr>
        <w:bidi/>
        <w:rPr>
          <w:rFonts w:ascii="Simplified Arabic" w:hAnsi="Simplified Arabic" w:cs="Simplified Arabic"/>
          <w:rtl/>
        </w:rPr>
      </w:pPr>
      <w:r>
        <w:rPr>
          <w:rFonts w:ascii="Simplified Arabic" w:hAnsi="Simplified Arabic" w:cs="Simplified Arabic"/>
          <w:rtl/>
        </w:rPr>
        <w:t>التحقق من الصدق البنائي</w:t>
      </w:r>
      <w:r>
        <w:rPr>
          <w:rFonts w:ascii="Simplified Arabic" w:hAnsi="Simplified Arabic" w:cs="Simplified Arabic"/>
        </w:rPr>
        <w:t xml:space="preserve"> (Construct Validity) </w:t>
      </w:r>
      <w:r>
        <w:rPr>
          <w:rFonts w:ascii="Simplified Arabic" w:hAnsi="Simplified Arabic" w:cs="Simplified Arabic"/>
          <w:rtl/>
        </w:rPr>
        <w:t>عبر التحليل العاملي التوكيدي</w:t>
      </w:r>
      <w:r>
        <w:rPr>
          <w:rFonts w:ascii="Simplified Arabic" w:hAnsi="Simplified Arabic" w:cs="Simplified Arabic"/>
        </w:rPr>
        <w:t xml:space="preserve"> (CFA).</w:t>
      </w:r>
    </w:p>
    <w:p w14:paraId="4D2D060A" w14:textId="77777777" w:rsidR="00F035EA" w:rsidRDefault="00F035EA" w:rsidP="00F035EA">
      <w:pPr>
        <w:numPr>
          <w:ilvl w:val="0"/>
          <w:numId w:val="7"/>
        </w:numPr>
        <w:bidi/>
        <w:rPr>
          <w:rFonts w:ascii="Simplified Arabic" w:hAnsi="Simplified Arabic" w:cs="Simplified Arabic"/>
        </w:rPr>
      </w:pPr>
      <w:r>
        <w:rPr>
          <w:rFonts w:ascii="Simplified Arabic" w:hAnsi="Simplified Arabic" w:cs="Simplified Arabic"/>
          <w:rtl/>
        </w:rPr>
        <w:t>قياس جودة النموذج الخارجي من خلال اختبارات الثبات المركب (</w:t>
      </w:r>
      <w:r>
        <w:rPr>
          <w:rFonts w:ascii="Simplified Arabic" w:hAnsi="Simplified Arabic" w:cs="Simplified Arabic"/>
        </w:rPr>
        <w:t>Composite Reliability – CR</w:t>
      </w:r>
      <w:r>
        <w:rPr>
          <w:rFonts w:ascii="Simplified Arabic" w:hAnsi="Simplified Arabic" w:cs="Simplified Arabic"/>
          <w:rtl/>
        </w:rPr>
        <w:t>)، ومتوسط التباين المستخرج (</w:t>
      </w:r>
      <w:r>
        <w:rPr>
          <w:rFonts w:ascii="Simplified Arabic" w:hAnsi="Simplified Arabic" w:cs="Simplified Arabic"/>
        </w:rPr>
        <w:t>Average Variance Extracted – AVE</w:t>
      </w:r>
      <w:r>
        <w:rPr>
          <w:rFonts w:ascii="Simplified Arabic" w:hAnsi="Simplified Arabic" w:cs="Simplified Arabic"/>
          <w:rtl/>
        </w:rPr>
        <w:t>) لصدق التقارب، واختبار (</w:t>
      </w:r>
      <w:r>
        <w:rPr>
          <w:rFonts w:ascii="Simplified Arabic" w:hAnsi="Simplified Arabic" w:cs="Simplified Arabic"/>
        </w:rPr>
        <w:t>HTMT</w:t>
      </w:r>
      <w:r>
        <w:rPr>
          <w:rFonts w:ascii="Simplified Arabic" w:hAnsi="Simplified Arabic" w:cs="Simplified Arabic"/>
          <w:rtl/>
        </w:rPr>
        <w:t>) لضمان الصدق التمايزي.</w:t>
      </w:r>
    </w:p>
    <w:p w14:paraId="534D7C88" w14:textId="77777777" w:rsidR="00F035EA" w:rsidRPr="004F2B23" w:rsidRDefault="00F035EA" w:rsidP="00F035EA">
      <w:pPr>
        <w:bidi/>
        <w:ind w:left="360"/>
        <w:rPr>
          <w:rFonts w:ascii="Simplified Arabic" w:hAnsi="Simplified Arabic" w:cs="Simplified Arabic"/>
          <w:sz w:val="14"/>
          <w:szCs w:val="14"/>
          <w:rtl/>
        </w:rPr>
      </w:pPr>
    </w:p>
    <w:p w14:paraId="5EAF5182" w14:textId="77777777" w:rsidR="00F035EA" w:rsidRPr="0062589E" w:rsidRDefault="00F035EA" w:rsidP="00F035EA">
      <w:pPr>
        <w:bidi/>
        <w:spacing w:after="200" w:line="276" w:lineRule="auto"/>
        <w:rPr>
          <w:rFonts w:ascii="Sakkal Majalla" w:hAnsi="Sakkal Majalla" w:cs="Sakkal Majalla"/>
          <w:color w:val="00B0F0"/>
          <w:sz w:val="28"/>
          <w:szCs w:val="28"/>
          <w:rtl/>
        </w:rPr>
      </w:pPr>
      <w:r>
        <w:rPr>
          <w:rFonts w:ascii="Sakkal Majalla" w:hAnsi="Sakkal Majalla" w:cs="Sakkal Majalla" w:hint="cs"/>
          <w:b/>
          <w:bCs/>
          <w:color w:val="00B0F0"/>
          <w:sz w:val="32"/>
          <w:szCs w:val="32"/>
          <w:u w:val="single"/>
          <w:rtl/>
        </w:rPr>
        <w:t>مصطلحات الدراسة وتعريفاتها الإجرائية</w:t>
      </w:r>
    </w:p>
    <w:p w14:paraId="06D6DBD8" w14:textId="77777777" w:rsidR="00F035EA" w:rsidRDefault="00F035EA" w:rsidP="00F035EA">
      <w:pPr>
        <w:bidi/>
        <w:rPr>
          <w:rFonts w:ascii="Simplified Arabic" w:hAnsi="Simplified Arabic" w:cs="Simplified Arabic"/>
          <w:rtl/>
        </w:rPr>
      </w:pPr>
      <w:r>
        <w:rPr>
          <w:rFonts w:ascii="Simplified Arabic" w:hAnsi="Simplified Arabic" w:cs="Simplified Arabic"/>
          <w:b/>
          <w:bCs/>
          <w:rtl/>
        </w:rPr>
        <w:t>1.</w:t>
      </w:r>
      <w:r>
        <w:rPr>
          <w:rFonts w:ascii="Simplified Arabic" w:hAnsi="Simplified Arabic" w:cs="Simplified Arabic" w:hint="cs"/>
          <w:b/>
          <w:bCs/>
          <w:rtl/>
        </w:rPr>
        <w:t xml:space="preserve"> </w:t>
      </w:r>
      <w:r>
        <w:rPr>
          <w:rFonts w:ascii="Simplified Arabic" w:hAnsi="Simplified Arabic" w:cs="Simplified Arabic"/>
          <w:b/>
          <w:bCs/>
          <w:rtl/>
        </w:rPr>
        <w:t>الذكاء الاصطناعي التوليدي (</w:t>
      </w:r>
      <w:r>
        <w:rPr>
          <w:rFonts w:ascii="Simplified Arabic" w:hAnsi="Simplified Arabic" w:cs="Simplified Arabic"/>
          <w:b/>
          <w:bCs/>
        </w:rPr>
        <w:t>Generative AI</w:t>
      </w:r>
      <w:r>
        <w:rPr>
          <w:rFonts w:ascii="Simplified Arabic" w:hAnsi="Simplified Arabic" w:cs="Simplified Arabic"/>
          <w:b/>
          <w:bCs/>
          <w:rtl/>
        </w:rPr>
        <w:t>)</w:t>
      </w:r>
    </w:p>
    <w:p w14:paraId="7BBCAB5B"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w:t>
      </w:r>
      <w:r>
        <w:rPr>
          <w:rFonts w:ascii="Simplified Arabic" w:hAnsi="Simplified Arabic" w:cs="Simplified Arabic" w:hint="cs"/>
          <w:rtl/>
        </w:rPr>
        <w:t>ف</w:t>
      </w:r>
      <w:r>
        <w:rPr>
          <w:rFonts w:ascii="Simplified Arabic" w:hAnsi="Simplified Arabic" w:cs="Simplified Arabic"/>
          <w:rtl/>
        </w:rPr>
        <w:t xml:space="preserve">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استخدام الأدوات التوليدية مثل </w:t>
      </w:r>
      <w:r>
        <w:rPr>
          <w:rFonts w:ascii="Simplified Arabic" w:hAnsi="Simplified Arabic" w:cs="Simplified Arabic"/>
        </w:rPr>
        <w:t>ChatGPT</w:t>
      </w:r>
      <w:r>
        <w:rPr>
          <w:rFonts w:ascii="Simplified Arabic" w:hAnsi="Simplified Arabic" w:cs="Simplified Arabic"/>
          <w:rtl/>
        </w:rPr>
        <w:t xml:space="preserve"> و </w:t>
      </w:r>
      <w:r>
        <w:rPr>
          <w:rFonts w:ascii="Simplified Arabic" w:hAnsi="Simplified Arabic" w:cs="Simplified Arabic"/>
        </w:rPr>
        <w:t>Midjourney</w:t>
      </w:r>
      <w:r>
        <w:rPr>
          <w:rFonts w:ascii="Simplified Arabic" w:hAnsi="Simplified Arabic" w:cs="Simplified Arabic"/>
          <w:rtl/>
        </w:rPr>
        <w:t xml:space="preserve"> و </w:t>
      </w:r>
      <w:r>
        <w:rPr>
          <w:rFonts w:ascii="Simplified Arabic" w:hAnsi="Simplified Arabic" w:cs="Simplified Arabic"/>
        </w:rPr>
        <w:t>DALL·E</w:t>
      </w:r>
      <w:r>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1006C39D" w14:textId="77777777" w:rsidR="00F035EA" w:rsidRPr="004223DC" w:rsidRDefault="00F035EA" w:rsidP="00F035EA">
      <w:pPr>
        <w:numPr>
          <w:ilvl w:val="0"/>
          <w:numId w:val="6"/>
        </w:numPr>
        <w:bidi/>
        <w:spacing w:after="0"/>
        <w:rPr>
          <w:rFonts w:ascii="Simplified Arabic" w:hAnsi="Simplified Arabic" w:cs="Simplified Arabic"/>
          <w:rtl/>
        </w:rPr>
      </w:pPr>
      <w:r>
        <w:rPr>
          <w:rFonts w:ascii="Simplified Arabic" w:hAnsi="Simplified Arabic" w:cs="Simplified Arabic"/>
          <w:rtl/>
        </w:rPr>
        <w:lastRenderedPageBreak/>
        <w:t>التع</w:t>
      </w:r>
      <w:r>
        <w:rPr>
          <w:rFonts w:ascii="Simplified Arabic" w:hAnsi="Simplified Arabic" w:cs="Simplified Arabic" w:hint="cs"/>
          <w:rtl/>
        </w:rPr>
        <w:t>ريف</w:t>
      </w:r>
      <w:r>
        <w:rPr>
          <w:rFonts w:ascii="Simplified Arabic" w:hAnsi="Simplified Arabic" w:cs="Simplified Arabic"/>
          <w:rtl/>
        </w:rPr>
        <w:t xml:space="preserve"> المرجعي: "الذكاء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Pr>
          <w:rFonts w:ascii="Simplified Arabic" w:hAnsi="Simplified Arabic" w:cs="Simplified Arabic" w:hint="cs"/>
          <w:rtl/>
        </w:rPr>
        <w:t>"</w:t>
      </w:r>
      <w:r>
        <w:rPr>
          <w:rFonts w:ascii="Simplified Arabic" w:hAnsi="Simplified Arabic" w:cs="Simplified Arabic"/>
          <w:rtl/>
        </w:rPr>
        <w:t>(</w:t>
      </w:r>
      <w:r>
        <w:rPr>
          <w:rFonts w:ascii="Simplified Arabic" w:hAnsi="Simplified Arabic" w:cs="Simplified Arabic"/>
        </w:rPr>
        <w:t>SDAIA, 2024</w:t>
      </w:r>
      <w:r>
        <w:rPr>
          <w:rFonts w:ascii="Simplified Arabic" w:hAnsi="Simplified Arabic" w:cs="Simplified Arabic" w:hint="cs"/>
          <w:rtl/>
        </w:rPr>
        <w:t>).</w:t>
      </w:r>
    </w:p>
    <w:p w14:paraId="6E8B13C2"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2. تصميم الحملات التسويقية الرقمية</w:t>
      </w:r>
    </w:p>
    <w:p w14:paraId="6881DC61"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58F06C73"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w:t>
      </w:r>
      <w:r>
        <w:rPr>
          <w:rFonts w:ascii="Simplified Arabic" w:hAnsi="Simplified Arabic" w:cs="Simplified Arabic" w:hint="cs"/>
          <w:rtl/>
        </w:rPr>
        <w:t>ي</w:t>
      </w:r>
      <w:r>
        <w:rPr>
          <w:rFonts w:ascii="Simplified Arabic" w:hAnsi="Simplified Arabic" w:cs="Simplified Arabic"/>
          <w:rtl/>
        </w:rPr>
        <w:t>:</w:t>
      </w:r>
      <w:r>
        <w:rPr>
          <w:rFonts w:ascii="Simplified Arabic" w:hAnsi="Simplified Arabic" w:cs="Simplified Arabic" w:hint="cs"/>
          <w:rtl/>
        </w:rPr>
        <w:t xml:space="preserve"> تعرف بإنها </w:t>
      </w:r>
      <w:r>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Islam et al., 2024</w:t>
      </w:r>
      <w:r>
        <w:rPr>
          <w:rFonts w:ascii="Simplified Arabic" w:hAnsi="Simplified Arabic" w:cs="Simplified Arabic" w:hint="cs"/>
          <w:rtl/>
        </w:rPr>
        <w:t>).</w:t>
      </w:r>
    </w:p>
    <w:p w14:paraId="1A7D513F" w14:textId="77777777" w:rsidR="00F035EA" w:rsidRPr="00675F33"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t>3. توظيف تقنيات الذكاء الاصطناعي</w:t>
      </w:r>
    </w:p>
    <w:p w14:paraId="54A28CB7"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7AFD3679"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hint="cs"/>
          <w:rtl/>
        </w:rPr>
        <w:t>).</w:t>
      </w:r>
    </w:p>
    <w:p w14:paraId="5F1FB2AC"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4. فعالية الأداء التسويقي</w:t>
      </w:r>
    </w:p>
    <w:p w14:paraId="5E164DEB" w14:textId="7B5E04E1"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w:t>
      </w:r>
      <w:r w:rsidR="00A87982" w:rsidRPr="00A87982">
        <w:rPr>
          <w:rFonts w:ascii="Simplified Arabic" w:hAnsi="Simplified Arabic" w:cs="Simplified Arabic"/>
          <w:rtl/>
        </w:rPr>
        <w:t>مستوى تحقيق الحملات التسويقية الرقمية في الوكالة لمؤشرات الأداء التسويقي المستهدفة، مثل جودة المحتوى، ومعدل التفاعل، ودقة الاستهداف، وكفاءة الإنفاق التسويقي.</w:t>
      </w:r>
    </w:p>
    <w:p w14:paraId="18B81D9F"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hint="cs"/>
          <w:rtl/>
        </w:rPr>
        <w:t>).</w:t>
      </w:r>
    </w:p>
    <w:p w14:paraId="6A5509CB" w14:textId="77777777" w:rsidR="00F035EA" w:rsidRDefault="00F035EA" w:rsidP="00F035EA">
      <w:pPr>
        <w:bidi/>
        <w:spacing w:before="240" w:after="0" w:line="240" w:lineRule="auto"/>
        <w:rPr>
          <w:rFonts w:ascii="Simplified Arabic" w:hAnsi="Simplified Arabic" w:cs="Simplified Arabic"/>
          <w:rtl/>
        </w:rPr>
      </w:pPr>
      <w:bookmarkStart w:id="1" w:name="_Hlk213563305"/>
      <w:r>
        <w:rPr>
          <w:rFonts w:ascii="Simplified Arabic" w:hAnsi="Simplified Arabic" w:cs="Simplified Arabic"/>
          <w:b/>
          <w:bCs/>
          <w:rtl/>
        </w:rPr>
        <w:t>5. جودة عملية التصميم</w:t>
      </w:r>
    </w:p>
    <w:bookmarkEnd w:id="1"/>
    <w:p w14:paraId="5B6590F4" w14:textId="5EE3D317" w:rsidR="00F035EA" w:rsidRPr="00A87982" w:rsidRDefault="00F035EA" w:rsidP="00A87982">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في هذه الدراسة تُشير إلى</w:t>
      </w:r>
      <w:r w:rsidR="00A87982">
        <w:rPr>
          <w:rFonts w:ascii="Simplified Arabic" w:hAnsi="Simplified Arabic" w:cs="Simplified Arabic" w:hint="cs"/>
          <w:rtl/>
        </w:rPr>
        <w:t xml:space="preserve"> </w:t>
      </w:r>
      <w:r w:rsidR="00A87982" w:rsidRPr="00A87982">
        <w:rPr>
          <w:rFonts w:ascii="Simplified Arabic" w:hAnsi="Simplified Arabic" w:cs="Simplified Arabic"/>
          <w:rtl/>
        </w:rPr>
        <w:t>مستوى جودة عملية تصميم الحملات الرقمية في الوكالة من حيث سرعة الإنجاز، وتنوع البدائل الإبداعية، ودقة استهداف الجمهور، ودرجة تخصيص المحتوى.</w:t>
      </w:r>
    </w:p>
    <w:p w14:paraId="6276C32B"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Pr>
          <w:rFonts w:ascii="Simplified Arabic" w:hAnsi="Simplified Arabic" w:cs="Simplified Arabic" w:hint="cs"/>
          <w:rtl/>
        </w:rPr>
        <w:t xml:space="preserve">" </w:t>
      </w:r>
      <w:r>
        <w:rPr>
          <w:rFonts w:ascii="Simplified Arabic" w:hAnsi="Simplified Arabic" w:cs="Simplified Arabic"/>
        </w:rPr>
        <w:t>.(McKinsey &amp; Company, 2024)</w:t>
      </w:r>
    </w:p>
    <w:p w14:paraId="012A435C" w14:textId="77777777" w:rsidR="00F035EA" w:rsidRPr="00A366CE"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t>6. الدوافع والعوائق</w:t>
      </w:r>
    </w:p>
    <w:p w14:paraId="4D66C1C4" w14:textId="77777777" w:rsidR="00F035EA" w:rsidRPr="00143016" w:rsidRDefault="00F035EA" w:rsidP="00F035EA">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7A244F85" w14:textId="77777777" w:rsidR="00F035EA" w:rsidRDefault="00F035EA" w:rsidP="00F035EA">
      <w:pPr>
        <w:numPr>
          <w:ilvl w:val="0"/>
          <w:numId w:val="6"/>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Pr>
          <w:rFonts w:ascii="Simplified Arabic" w:hAnsi="Simplified Arabic" w:cs="Simplified Arabic" w:hint="cs"/>
          <w:rtl/>
        </w:rPr>
        <w:t xml:space="preserve">"               </w:t>
      </w:r>
      <w:r>
        <w:rPr>
          <w:rFonts w:ascii="Segoe UI" w:hAnsi="Segoe UI" w:cs="Segoe UI"/>
          <w:color w:val="0F1115"/>
          <w:sz w:val="23"/>
          <w:szCs w:val="23"/>
          <w:shd w:val="clear" w:color="auto" w:fill="FFFFFF"/>
        </w:rPr>
        <w:t>(</w:t>
      </w:r>
      <w:proofErr w:type="spellStart"/>
      <w:r>
        <w:rPr>
          <w:rFonts w:ascii="Segoe UI" w:hAnsi="Segoe UI" w:cs="Segoe UI"/>
          <w:color w:val="0F1115"/>
          <w:sz w:val="23"/>
          <w:szCs w:val="23"/>
          <w:shd w:val="clear" w:color="auto" w:fill="FFFFFF"/>
        </w:rPr>
        <w:t>Kılınç</w:t>
      </w:r>
      <w:proofErr w:type="spellEnd"/>
      <w:r>
        <w:rPr>
          <w:rFonts w:ascii="Segoe UI" w:hAnsi="Segoe UI" w:cs="Segoe UI"/>
          <w:color w:val="0F1115"/>
          <w:sz w:val="23"/>
          <w:szCs w:val="23"/>
          <w:shd w:val="clear" w:color="auto" w:fill="FFFFFF"/>
        </w:rPr>
        <w:t xml:space="preserve"> &amp; </w:t>
      </w:r>
      <w:proofErr w:type="spellStart"/>
      <w:r>
        <w:rPr>
          <w:rFonts w:ascii="Segoe UI" w:hAnsi="Segoe UI" w:cs="Segoe UI"/>
          <w:color w:val="0F1115"/>
          <w:sz w:val="23"/>
          <w:szCs w:val="23"/>
          <w:shd w:val="clear" w:color="auto" w:fill="FFFFFF"/>
        </w:rPr>
        <w:t>Keçecioğlu</w:t>
      </w:r>
      <w:proofErr w:type="spellEnd"/>
      <w:r>
        <w:rPr>
          <w:rFonts w:ascii="Segoe UI" w:hAnsi="Segoe UI" w:cs="Segoe UI"/>
          <w:color w:val="0F1115"/>
          <w:sz w:val="23"/>
          <w:szCs w:val="23"/>
          <w:shd w:val="clear" w:color="auto" w:fill="FFFFFF"/>
        </w:rPr>
        <w:t>, 2024)</w:t>
      </w:r>
      <w:r>
        <w:rPr>
          <w:rFonts w:ascii="Simplified Arabic" w:hAnsi="Simplified Arabic" w:cs="Simplified Arabic" w:hint="cs"/>
          <w:rtl/>
        </w:rPr>
        <w:t>.</w:t>
      </w:r>
    </w:p>
    <w:p w14:paraId="5E0BAC62" w14:textId="77777777" w:rsidR="00F035EA" w:rsidRPr="004F2B23" w:rsidRDefault="00F035EA" w:rsidP="00F035EA">
      <w:pPr>
        <w:bidi/>
        <w:ind w:left="360"/>
        <w:rPr>
          <w:rFonts w:ascii="Simplified Arabic" w:hAnsi="Simplified Arabic" w:cs="Simplified Arabic"/>
          <w:sz w:val="18"/>
          <w:szCs w:val="18"/>
          <w:rtl/>
        </w:rPr>
      </w:pPr>
    </w:p>
    <w:p w14:paraId="00E10A3D" w14:textId="77777777" w:rsidR="00F035EA" w:rsidRPr="0062589E" w:rsidRDefault="00F035EA" w:rsidP="00F035EA">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(الموضوعية، المكانية ، الزمانية ، البشرية)</w:t>
      </w:r>
    </w:p>
    <w:p w14:paraId="54528972" w14:textId="77777777" w:rsidR="00F035EA" w:rsidRPr="004223DC" w:rsidRDefault="00F035EA" w:rsidP="00F035EA">
      <w:pPr>
        <w:bidi/>
        <w:rPr>
          <w:rFonts w:ascii="Simplified Arabic" w:hAnsi="Simplified Arabic" w:cs="Simplified Arabic"/>
          <w:rtl/>
        </w:rPr>
      </w:pPr>
      <w:r>
        <w:rPr>
          <w:rFonts w:ascii="Simplified Arabic" w:hAnsi="Simplified Arabic" w:cs="Simplified Arabic"/>
          <w:rtl/>
        </w:rPr>
        <w:t>ستلتزم الدراسة بالحدود التالية التي تحدد نطاقها الإجرائي والمعرفي:</w:t>
      </w:r>
    </w:p>
    <w:p w14:paraId="7D6FB899"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الموضوعية: 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4209B740"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المكانية: 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09C7DADC" w14:textId="77777777" w:rsidR="00F035EA" w:rsidRDefault="00F035EA" w:rsidP="00F035EA">
      <w:pPr>
        <w:numPr>
          <w:ilvl w:val="0"/>
          <w:numId w:val="1"/>
        </w:numPr>
        <w:bidi/>
        <w:rPr>
          <w:rFonts w:ascii="Simplified Arabic" w:hAnsi="Simplified Arabic" w:cs="Simplified Arabic"/>
        </w:rPr>
      </w:pPr>
      <w:r>
        <w:rPr>
          <w:rFonts w:ascii="Simplified Arabic" w:hAnsi="Simplified Arabic" w:cs="Simplified Arabic"/>
          <w:rtl/>
        </w:rPr>
        <w:t>الحدود الزمانية:</w:t>
      </w:r>
      <w:r>
        <w:rPr>
          <w:rFonts w:ascii="Simplified Arabic" w:hAnsi="Simplified Arabic" w:cs="Simplified Arabic" w:hint="cs"/>
          <w:rtl/>
        </w:rPr>
        <w:t xml:space="preserve"> </w:t>
      </w:r>
      <w:r>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323DDC5" w14:textId="77777777" w:rsidR="00F035EA" w:rsidRDefault="00F035EA" w:rsidP="00F035EA">
      <w:pPr>
        <w:numPr>
          <w:ilvl w:val="0"/>
          <w:numId w:val="1"/>
        </w:numPr>
        <w:bidi/>
        <w:rPr>
          <w:rFonts w:ascii="Simplified Arabic" w:hAnsi="Simplified Arabic" w:cs="Simplified Arabic"/>
        </w:rPr>
      </w:pPr>
      <w:r>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21FFC315" w14:textId="77777777" w:rsidR="00F035EA" w:rsidRPr="00A20BAB"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الإطار النظري</w:t>
      </w:r>
    </w:p>
    <w:p w14:paraId="6BEBC169" w14:textId="77777777" w:rsidR="00F035EA" w:rsidRPr="00A20BAB"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w:t>
      </w:r>
      <w:r>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4E67CF9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الذكاء الاصطناعي التوليدي وتقنياته</w:t>
      </w:r>
    </w:p>
    <w:p w14:paraId="7F944DE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تعريف الذكاء الاصطناعي التوليدي وكيف يختلف عن الأنواع الأخرى من الذكاء الاصطناعي</w:t>
      </w:r>
    </w:p>
    <w:p w14:paraId="777D02D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يشير الذكاء الاصطناعي التوليدي (</w:t>
      </w:r>
      <w:r>
        <w:rPr>
          <w:rFonts w:ascii="Simplified Arabic" w:hAnsi="Simplified Arabic" w:cs="Simplified Arabic"/>
        </w:rPr>
        <w:t>Generative AI</w:t>
      </w:r>
      <w:r>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proofErr w:type="spellStart"/>
      <w:r>
        <w:rPr>
          <w:rFonts w:ascii="Simplified Arabic" w:hAnsi="Simplified Arabic" w:cs="Simplified Arabic"/>
        </w:rPr>
        <w:t>Kılınç</w:t>
      </w:r>
      <w:proofErr w:type="spellEnd"/>
      <w:r>
        <w:rPr>
          <w:rFonts w:ascii="Simplified Arabic" w:hAnsi="Simplified Arabic" w:cs="Simplified Arabic"/>
        </w:rPr>
        <w:t xml:space="preserve"> &amp; </w:t>
      </w:r>
      <w:proofErr w:type="spellStart"/>
      <w:r>
        <w:rPr>
          <w:rFonts w:ascii="Simplified Arabic" w:hAnsi="Simplified Arabic" w:cs="Simplified Arabic"/>
        </w:rPr>
        <w:t>Keçecio</w:t>
      </w:r>
      <w:r>
        <w:rPr>
          <w:rFonts w:ascii="Cambria" w:hAnsi="Cambria" w:cs="Cambria"/>
        </w:rPr>
        <w:t>ğ</w:t>
      </w:r>
      <w:r>
        <w:rPr>
          <w:rFonts w:ascii="Simplified Arabic" w:hAnsi="Simplified Arabic" w:cs="Simplified Arabic"/>
        </w:rPr>
        <w:t>lu</w:t>
      </w:r>
      <w:proofErr w:type="spellEnd"/>
      <w:r>
        <w:rPr>
          <w:rFonts w:ascii="Simplified Arabic" w:hAnsi="Simplified Arabic" w:cs="Simplified Arabic"/>
        </w:rPr>
        <w:t>, 2024</w:t>
      </w:r>
      <w:r>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Pr>
          <w:rFonts w:ascii="Simplified Arabic" w:hAnsi="Simplified Arabic" w:cs="Simplified Arabic"/>
        </w:rPr>
        <w:t>Islam et al., 2024</w:t>
      </w:r>
      <w:r>
        <w:rPr>
          <w:rFonts w:ascii="Simplified Arabic" w:hAnsi="Simplified Arabic" w:cs="Simplified Arabic"/>
          <w:rtl/>
        </w:rPr>
        <w:t>).</w:t>
      </w:r>
    </w:p>
    <w:p w14:paraId="11E2B1D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 </w:t>
      </w:r>
      <w:r>
        <w:rPr>
          <w:rFonts w:ascii="Simplified Arabic" w:hAnsi="Simplified Arabic" w:cs="Simplified Arabic"/>
          <w:rtl/>
        </w:rPr>
        <w:t>ويمكن توضيح هذا الفرق في ثلاثة أبعاد مترابطة:</w:t>
      </w:r>
    </w:p>
    <w:p w14:paraId="40CE81A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الاختلاف في طبيعة الوظيفة</w:t>
      </w:r>
    </w:p>
    <w:p w14:paraId="4D5145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41EFAAA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الاختلاف في موقع الاستخدام داخل العملية التسويقية</w:t>
      </w:r>
    </w:p>
    <w:p w14:paraId="2272B9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rtl/>
        </w:rPr>
        <w:t>).</w:t>
      </w:r>
    </w:p>
    <w:p w14:paraId="26325FF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الاختلاف في مسار التأثير على النتائج التسويقية</w:t>
      </w:r>
    </w:p>
    <w:p w14:paraId="7598A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7B40452B"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تشغيلي مباشر: تقليل الوقت والجهد اللازمين لإنتاج المحتوى الأولي.</w:t>
      </w:r>
    </w:p>
    <w:p w14:paraId="6BAA82F9"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Pr>
          <w:rFonts w:ascii="Simplified Arabic" w:hAnsi="Simplified Arabic" w:cs="Simplified Arabic"/>
        </w:rPr>
        <w:t>Nuremberg Institute for Market Decisions, 2024</w:t>
      </w:r>
      <w:r>
        <w:rPr>
          <w:rFonts w:ascii="Simplified Arabic" w:hAnsi="Simplified Arabic" w:cs="Simplified Arabic"/>
          <w:rtl/>
        </w:rPr>
        <w:t>).</w:t>
      </w:r>
    </w:p>
    <w:p w14:paraId="076F6A2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أهم النماذج والأدوات وكيفية عملها</w:t>
      </w:r>
    </w:p>
    <w:p w14:paraId="5847BF4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1.</w:t>
      </w:r>
      <w:r>
        <w:rPr>
          <w:rFonts w:ascii="Simplified Arabic" w:hAnsi="Simplified Arabic" w:cs="Simplified Arabic"/>
          <w:rtl/>
        </w:rPr>
        <w:t xml:space="preserve"> النماذج التوليدية النصية (مثل </w:t>
      </w:r>
      <w:r>
        <w:rPr>
          <w:rFonts w:ascii="Simplified Arabic" w:hAnsi="Simplified Arabic" w:cs="Simplified Arabic"/>
        </w:rPr>
        <w:t>ChatGPT</w:t>
      </w:r>
      <w:r>
        <w:rPr>
          <w:rFonts w:ascii="Simplified Arabic" w:hAnsi="Simplified Arabic" w:cs="Simplified Arabic"/>
          <w:rtl/>
        </w:rPr>
        <w:t>)</w:t>
      </w:r>
    </w:p>
    <w:p w14:paraId="53818BE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Pr>
          <w:rFonts w:ascii="Simplified Arabic" w:hAnsi="Simplified Arabic" w:cs="Simplified Arabic"/>
        </w:rPr>
        <w:t>ChatGPT</w:t>
      </w:r>
      <w:r>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Pr>
          <w:rFonts w:ascii="Simplified Arabic" w:hAnsi="Simplified Arabic" w:cs="Simplified Arabic"/>
        </w:rPr>
        <w:t>Prompts</w:t>
      </w:r>
      <w:r>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Pr>
          <w:rFonts w:ascii="Simplified Arabic" w:hAnsi="Simplified Arabic" w:cs="Simplified Arabic"/>
        </w:rPr>
        <w:t>Islam et al., 2024</w:t>
      </w:r>
      <w:r>
        <w:rPr>
          <w:rFonts w:ascii="Simplified Arabic" w:hAnsi="Simplified Arabic" w:cs="Simplified Arabic"/>
          <w:rtl/>
        </w:rPr>
        <w:t>).</w:t>
      </w:r>
    </w:p>
    <w:p w14:paraId="2BE06AC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Pr>
          <w:rFonts w:ascii="Simplified Arabic" w:hAnsi="Simplified Arabic" w:cs="Simplified Arabic"/>
        </w:rPr>
        <w:t>Heitmann, 2024</w:t>
      </w:r>
      <w:r>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B6DB3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2.</w:t>
      </w:r>
      <w:r>
        <w:rPr>
          <w:rFonts w:ascii="Simplified Arabic" w:hAnsi="Simplified Arabic" w:cs="Simplified Arabic"/>
          <w:rtl/>
        </w:rPr>
        <w:t xml:space="preserve"> النماذج التوليدية البصرية (مثل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w:t>
      </w:r>
    </w:p>
    <w:p w14:paraId="1A94D97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تُستخدم الأدوات البصرية التوليدية—مثل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w:t>
      </w:r>
    </w:p>
    <w:p w14:paraId="5B6662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Pr>
          <w:rFonts w:ascii="Simplified Arabic" w:hAnsi="Simplified Arabic" w:cs="Simplified Arabic"/>
        </w:rPr>
        <w:t>Gujar &amp; Panyam, 2024</w:t>
      </w:r>
      <w:r>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Pr>
          <w:rFonts w:ascii="Simplified Arabic" w:hAnsi="Simplified Arabic" w:cs="Simplified Arabic"/>
        </w:rPr>
        <w:t>Heitmann, 2024</w:t>
      </w:r>
      <w:r>
        <w:rPr>
          <w:rFonts w:ascii="Simplified Arabic" w:hAnsi="Simplified Arabic" w:cs="Simplified Arabic"/>
          <w:rtl/>
        </w:rPr>
        <w:t>).</w:t>
      </w:r>
    </w:p>
    <w:p w14:paraId="01E24B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3.</w:t>
      </w:r>
      <w:r>
        <w:rPr>
          <w:rFonts w:ascii="Simplified Arabic" w:hAnsi="Simplified Arabic" w:cs="Simplified Arabic"/>
          <w:rtl/>
        </w:rPr>
        <w:t xml:space="preserve"> أدوات التوليد متعددة الوسائط ودعم المحتوى التسويقي المركب</w:t>
      </w:r>
    </w:p>
    <w:p w14:paraId="6182A96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w:t>
      </w:r>
    </w:p>
    <w:p w14:paraId="6CA8A0A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4.</w:t>
      </w:r>
      <w:r>
        <w:rPr>
          <w:rFonts w:ascii="Simplified Arabic" w:hAnsi="Simplified Arabic" w:cs="Simplified Arabic"/>
          <w:rtl/>
        </w:rPr>
        <w:t xml:space="preserve"> كيف تعمل هذه الأدوات عمليًا داخل السياق التسويقي؟</w:t>
      </w:r>
    </w:p>
    <w:p w14:paraId="1C2893F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5BC14E75"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21EBD5A4"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توليد مخرجات أولية: تنتج الأداة نصًا أو صورة أو بدائل متعددة تمثل نقطة انطلاق إبداعية.</w:t>
      </w:r>
    </w:p>
    <w:p w14:paraId="6F6FC712"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المراجعة والتوجيه التكراري: تُعدَّل الأوامر أو القيود لتحسين الملاءمة والجودة والاتساق.</w:t>
      </w:r>
    </w:p>
    <w:p w14:paraId="2E34FD38"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Pr>
          <w:rFonts w:ascii="Simplified Arabic" w:hAnsi="Simplified Arabic" w:cs="Simplified Arabic"/>
        </w:rPr>
        <w:t>IAB Tech Lab, 2024</w:t>
      </w:r>
      <w:r>
        <w:rPr>
          <w:rFonts w:ascii="Simplified Arabic" w:hAnsi="Simplified Arabic" w:cs="Simplified Arabic"/>
          <w:rtl/>
        </w:rPr>
        <w:t>).</w:t>
      </w:r>
    </w:p>
    <w:p w14:paraId="41E3149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rtl/>
        </w:rPr>
        <w:t xml:space="preserve"> هندسة التلقين بوصفها عاملًا حاكمًا لجودة مخرجات الأدوات</w:t>
      </w:r>
    </w:p>
    <w:p w14:paraId="3F9A27D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Pr>
          <w:rFonts w:ascii="Simplified Arabic" w:hAnsi="Simplified Arabic" w:cs="Simplified Arabic"/>
        </w:rPr>
        <w:t>Prompt Engineering</w:t>
      </w:r>
      <w:r>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17F66EE5" w14:textId="77777777" w:rsidR="00F035EA" w:rsidRPr="00A20BAB" w:rsidRDefault="00F035EA" w:rsidP="00F035EA">
      <w:pPr>
        <w:bidi/>
        <w:jc w:val="both"/>
        <w:rPr>
          <w:rFonts w:ascii="Simplified Arabic" w:hAnsi="Simplified Arabic" w:cs="Simplified Arabic"/>
          <w:rtl/>
        </w:rPr>
      </w:pPr>
    </w:p>
    <w:p w14:paraId="6409053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مراحل تصميم الحملات التسويقية الرقمية</w:t>
      </w:r>
    </w:p>
    <w:p w14:paraId="491A918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مراحل التخطيط للحملة</w:t>
      </w:r>
      <w:r>
        <w:rPr>
          <w:rFonts w:ascii="Simplified Arabic" w:hAnsi="Simplified Arabic" w:cs="Simplified Arabic" w:hint="cs"/>
          <w:b/>
          <w:bCs/>
          <w:rtl/>
        </w:rPr>
        <w:t xml:space="preserve"> التسويقية</w:t>
      </w:r>
    </w:p>
    <w:p w14:paraId="1B4EEEB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w:t>
      </w:r>
      <w:r>
        <w:rPr>
          <w:rFonts w:ascii="Simplified Arabic" w:hAnsi="Simplified Arabic" w:cs="Simplified Arabic"/>
          <w:rtl/>
        </w:rPr>
        <w:lastRenderedPageBreak/>
        <w:t>مركزية، وهي: تحديد الأهداف، تحليل الجمهور، اختيار القنوات، إنشاء المحتوى، التنفيذ والمتابعة (</w:t>
      </w:r>
      <w:r>
        <w:rPr>
          <w:rFonts w:ascii="Simplified Arabic" w:hAnsi="Simplified Arabic" w:cs="Simplified Arabic"/>
        </w:rPr>
        <w:t>Sharabati et al., 2024</w:t>
      </w:r>
      <w:r>
        <w:rPr>
          <w:rFonts w:ascii="Simplified Arabic" w:hAnsi="Simplified Arabic" w:cs="Simplified Arabic"/>
          <w:rtl/>
        </w:rPr>
        <w:t xml:space="preserve">؛ </w:t>
      </w:r>
      <w:r>
        <w:rPr>
          <w:rFonts w:ascii="Simplified Arabic" w:hAnsi="Simplified Arabic" w:cs="Simplified Arabic"/>
        </w:rPr>
        <w:t>Social Media Today, 2025</w:t>
      </w:r>
      <w:r>
        <w:rPr>
          <w:rFonts w:ascii="Simplified Arabic" w:hAnsi="Simplified Arabic" w:cs="Simplified Arabic"/>
          <w:rtl/>
        </w:rPr>
        <w:t>).</w:t>
      </w:r>
      <w:r>
        <w:rPr>
          <w:rFonts w:ascii="Simplified Arabic" w:hAnsi="Simplified Arabic" w:cs="Simplified Arabic" w:hint="cs"/>
          <w:rtl/>
        </w:rPr>
        <w:t xml:space="preserve"> </w:t>
      </w:r>
    </w:p>
    <w:p w14:paraId="3E28E58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مرحلة تحديد الأهداف التسويقية للحملة</w:t>
      </w:r>
    </w:p>
    <w:p w14:paraId="41FA605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Pr>
          <w:rFonts w:ascii="Simplified Arabic" w:hAnsi="Simplified Arabic" w:cs="Simplified Arabic"/>
        </w:rPr>
        <w:t>Sharabati et al., 2024</w:t>
      </w:r>
      <w:r>
        <w:rPr>
          <w:rFonts w:ascii="Simplified Arabic" w:hAnsi="Simplified Arabic" w:cs="Simplified Arabic"/>
          <w:rtl/>
        </w:rPr>
        <w:t>).</w:t>
      </w:r>
    </w:p>
    <w:p w14:paraId="3D4E731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مرحلة تحليل الجمهور المستهدف</w:t>
      </w:r>
    </w:p>
    <w:p w14:paraId="05A348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Pr>
          <w:rFonts w:ascii="Simplified Arabic" w:hAnsi="Simplified Arabic" w:cs="Simplified Arabic"/>
        </w:rPr>
        <w:t>Mendoza et al., 2025</w:t>
      </w:r>
      <w:r>
        <w:rPr>
          <w:rFonts w:ascii="Simplified Arabic" w:hAnsi="Simplified Arabic" w:cs="Simplified Arabic"/>
          <w:rtl/>
        </w:rPr>
        <w:t>).</w:t>
      </w:r>
    </w:p>
    <w:p w14:paraId="6429C09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مرحلة اختيار القنوات والمنصات الرقمية</w:t>
      </w:r>
    </w:p>
    <w:p w14:paraId="30CE437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Pr>
          <w:rFonts w:ascii="Simplified Arabic" w:hAnsi="Simplified Arabic" w:cs="Simplified Arabic"/>
        </w:rPr>
        <w:t>Sharabati et al., 2024</w:t>
      </w:r>
      <w:r>
        <w:rPr>
          <w:rFonts w:ascii="Simplified Arabic" w:hAnsi="Simplified Arabic" w:cs="Simplified Arabic"/>
          <w:rtl/>
        </w:rPr>
        <w:t>).</w:t>
      </w:r>
    </w:p>
    <w:p w14:paraId="73FEE13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مرحلة إنشاء المحتوى وتصميم الرسائل الإبداعية</w:t>
      </w:r>
    </w:p>
    <w:p w14:paraId="141271D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تمثل</w:t>
      </w:r>
      <w:r>
        <w:rPr>
          <w:rFonts w:ascii="Simplified Arabic" w:hAnsi="Simplified Arabic" w:cs="Simplified Arabic" w:hint="cs"/>
          <w:rtl/>
        </w:rPr>
        <w:t xml:space="preserve"> هذه المرحلة</w:t>
      </w:r>
      <w:r>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22A618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5) مرحلة التنفيذ والمتابعة والتقويم</w:t>
      </w:r>
    </w:p>
    <w:p w14:paraId="5912463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Pr>
          <w:rFonts w:ascii="Simplified Arabic" w:hAnsi="Simplified Arabic" w:cs="Simplified Arabic" w:hint="cs"/>
          <w:rtl/>
        </w:rPr>
        <w:t xml:space="preserve"> </w:t>
      </w:r>
    </w:p>
    <w:p w14:paraId="2D1B97D9" w14:textId="77777777" w:rsidR="00F035EA" w:rsidRDefault="00F035EA" w:rsidP="00F035EA">
      <w:pPr>
        <w:bidi/>
        <w:jc w:val="both"/>
        <w:rPr>
          <w:rFonts w:ascii="Simplified Arabic" w:hAnsi="Simplified Arabic" w:cs="Simplified Arabic"/>
          <w:rtl/>
        </w:rPr>
      </w:pPr>
    </w:p>
    <w:p w14:paraId="169D35B4" w14:textId="77777777" w:rsidR="00F035EA" w:rsidRPr="00A20BAB" w:rsidRDefault="00F035EA" w:rsidP="00F035EA">
      <w:pPr>
        <w:bidi/>
        <w:jc w:val="both"/>
        <w:rPr>
          <w:rFonts w:ascii="Simplified Arabic" w:hAnsi="Simplified Arabic" w:cs="Simplified Arabic"/>
          <w:rtl/>
        </w:rPr>
      </w:pPr>
    </w:p>
    <w:p w14:paraId="2821F40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lastRenderedPageBreak/>
        <w:t xml:space="preserve">ثانياً: توضيح </w:t>
      </w:r>
      <w:r>
        <w:rPr>
          <w:rFonts w:ascii="Simplified Arabic" w:hAnsi="Simplified Arabic" w:cs="Simplified Arabic"/>
          <w:b/>
          <w:bCs/>
          <w:rtl/>
        </w:rPr>
        <w:t>كيف يمكن للذكاء الاصطناعي أن يدعم كل مرحلة</w:t>
      </w:r>
    </w:p>
    <w:p w14:paraId="399AE4B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Pr>
          <w:rFonts w:ascii="Simplified Arabic" w:hAnsi="Simplified Arabic" w:cs="Simplified Arabic"/>
        </w:rPr>
        <w:t>Nguyen et al., 2025</w:t>
      </w:r>
      <w:r>
        <w:rPr>
          <w:rFonts w:ascii="Simplified Arabic" w:hAnsi="Simplified Arabic" w:cs="Simplified Arabic"/>
          <w:rtl/>
        </w:rPr>
        <w:t>).</w:t>
      </w:r>
    </w:p>
    <w:p w14:paraId="0645213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دعم مرحلة تحديد الأهداف</w:t>
      </w:r>
    </w:p>
    <w:p w14:paraId="251801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Pr>
          <w:rFonts w:ascii="Simplified Arabic" w:hAnsi="Simplified Arabic" w:cs="Simplified Arabic"/>
        </w:rPr>
        <w:t>Doshi et al., 2025</w:t>
      </w:r>
      <w:r>
        <w:rPr>
          <w:rFonts w:ascii="Simplified Arabic" w:hAnsi="Simplified Arabic" w:cs="Simplified Arabic"/>
          <w:rtl/>
        </w:rPr>
        <w:t>).</w:t>
      </w:r>
    </w:p>
    <w:p w14:paraId="2500CF3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دعم مرحلة تحليل الجمهور المستهدف</w:t>
      </w:r>
    </w:p>
    <w:p w14:paraId="2B19A1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Pr>
          <w:rFonts w:ascii="Simplified Arabic" w:hAnsi="Simplified Arabic" w:cs="Simplified Arabic"/>
        </w:rPr>
        <w:t>Personas</w:t>
      </w:r>
      <w:r>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xml:space="preserve">؛ </w:t>
      </w:r>
      <w:r>
        <w:rPr>
          <w:rFonts w:ascii="Simplified Arabic" w:hAnsi="Simplified Arabic" w:cs="Simplified Arabic"/>
        </w:rPr>
        <w:t>SDAIA, 2024</w:t>
      </w:r>
      <w:r>
        <w:rPr>
          <w:rFonts w:ascii="Simplified Arabic" w:hAnsi="Simplified Arabic" w:cs="Simplified Arabic"/>
          <w:rtl/>
        </w:rPr>
        <w:t>).</w:t>
      </w:r>
    </w:p>
    <w:p w14:paraId="11632F9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مرحلة اختيار القنوات والمنصات</w:t>
      </w:r>
    </w:p>
    <w:p w14:paraId="2525965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Pr>
          <w:rFonts w:ascii="Simplified Arabic" w:hAnsi="Simplified Arabic" w:cs="Simplified Arabic"/>
        </w:rPr>
        <w:t>Islam et al., 2024</w:t>
      </w:r>
      <w:r>
        <w:rPr>
          <w:rFonts w:ascii="Simplified Arabic" w:hAnsi="Simplified Arabic" w:cs="Simplified Arabic"/>
          <w:rtl/>
        </w:rPr>
        <w:t>).</w:t>
      </w:r>
    </w:p>
    <w:p w14:paraId="2E04487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دعم مرحلة إنشاء المحتوى وتصميم الرسائل</w:t>
      </w:r>
    </w:p>
    <w:p w14:paraId="755CC90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يمثل هذا المجال الاستخدام الأكثر مركزية للذكاء الاصطناعي التوليدي، ويتجلى في:</w:t>
      </w:r>
    </w:p>
    <w:p w14:paraId="039A1766"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النصوص التسويقية عبر توليد نسخ إعلانية وعناوين ورسائل متعددة (</w:t>
      </w:r>
      <w:proofErr w:type="spellStart"/>
      <w:r>
        <w:rPr>
          <w:rFonts w:ascii="Simplified Arabic" w:hAnsi="Simplified Arabic" w:cs="Simplified Arabic"/>
        </w:rPr>
        <w:t>Heitmann</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49805A8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العناصر البصرية عبر بناء تصورات أولية وبدائل تصميمية قابلة للمقارنة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5C1DC8E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دعم التكامل الإبداعي عبر المنصات من خلال تكييف الرسالة نفسها بما يناسب خصائص كل قناة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w:t>
      </w:r>
    </w:p>
    <w:p w14:paraId="7DB13A47"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1315B95F" w14:textId="77777777" w:rsidR="00F035EA" w:rsidRDefault="00F035EA" w:rsidP="00F035EA">
      <w:pPr>
        <w:bidi/>
        <w:jc w:val="both"/>
        <w:rPr>
          <w:rFonts w:ascii="Simplified Arabic" w:hAnsi="Simplified Arabic" w:cs="Simplified Arabic"/>
          <w:rtl/>
        </w:rPr>
      </w:pPr>
    </w:p>
    <w:p w14:paraId="4375237D" w14:textId="77777777" w:rsidR="00F035EA" w:rsidRDefault="00F035EA" w:rsidP="00F035EA">
      <w:pPr>
        <w:bidi/>
        <w:jc w:val="both"/>
        <w:rPr>
          <w:rFonts w:ascii="Simplified Arabic" w:hAnsi="Simplified Arabic" w:cs="Simplified Arabic"/>
          <w:rtl/>
        </w:rPr>
      </w:pPr>
    </w:p>
    <w:p w14:paraId="7FDF522A" w14:textId="77777777" w:rsidR="00F035EA" w:rsidRPr="00A20BAB" w:rsidRDefault="00F035EA" w:rsidP="00F035EA">
      <w:pPr>
        <w:bidi/>
        <w:jc w:val="both"/>
        <w:rPr>
          <w:rFonts w:ascii="Simplified Arabic" w:hAnsi="Simplified Arabic" w:cs="Simplified Arabic"/>
          <w:rtl/>
        </w:rPr>
      </w:pPr>
    </w:p>
    <w:p w14:paraId="35601AB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5. دعم مرحلة التنفيذ والمتابعة والتحسين أثناء الحملة</w:t>
      </w:r>
    </w:p>
    <w:p w14:paraId="42ED589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266B58BE" w14:textId="77777777" w:rsidR="00F035EA" w:rsidRPr="00A20BAB" w:rsidRDefault="00F035EA" w:rsidP="00F035EA">
      <w:pPr>
        <w:bidi/>
        <w:jc w:val="both"/>
        <w:rPr>
          <w:rFonts w:ascii="Simplified Arabic" w:hAnsi="Simplified Arabic" w:cs="Simplified Arabic"/>
          <w:rtl/>
        </w:rPr>
      </w:pPr>
    </w:p>
    <w:p w14:paraId="7F382EFC"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دور الذكاء الاصطناعي التوليدي في تصميم الحملات</w:t>
      </w:r>
    </w:p>
    <w:p w14:paraId="296F821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أفرع تطبيق الذكاء الاصطناعي التوليدي في تصميم الحملات</w:t>
      </w:r>
    </w:p>
    <w:p w14:paraId="35DD9E1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توليد النصوص التسويقية</w:t>
      </w:r>
    </w:p>
    <w:p w14:paraId="1205CE7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Pr>
          <w:rFonts w:ascii="Simplified Arabic" w:hAnsi="Simplified Arabic" w:cs="Simplified Arabic"/>
        </w:rPr>
        <w:t>Islam et al., 2024</w:t>
      </w:r>
      <w:r>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r>
        <w:rPr>
          <w:rFonts w:ascii="Simplified Arabic" w:hAnsi="Simplified Arabic" w:cs="Simplified Arabic" w:hint="cs"/>
          <w:rtl/>
        </w:rPr>
        <w:t xml:space="preserve"> </w:t>
      </w:r>
    </w:p>
    <w:p w14:paraId="03CF62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Pr>
          <w:rFonts w:ascii="Simplified Arabic" w:hAnsi="Simplified Arabic" w:cs="Simplified Arabic" w:hint="cs"/>
          <w:rtl/>
        </w:rPr>
        <w:t>.</w:t>
      </w:r>
    </w:p>
    <w:p w14:paraId="4610566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توليد الصور والتصاميم الإعلانية</w:t>
      </w:r>
    </w:p>
    <w:p w14:paraId="7BCFAE5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proofErr w:type="spellStart"/>
      <w:r>
        <w:rPr>
          <w:rFonts w:ascii="Simplified Arabic" w:hAnsi="Simplified Arabic" w:cs="Simplified Arabic"/>
        </w:rPr>
        <w:t>Dimitrieska</w:t>
      </w:r>
      <w:proofErr w:type="spellEnd"/>
      <w:r>
        <w:rPr>
          <w:rFonts w:ascii="Simplified Arabic" w:hAnsi="Simplified Arabic" w:cs="Simplified Arabic"/>
        </w:rPr>
        <w:t>, 2024</w:t>
      </w:r>
      <w:r>
        <w:rPr>
          <w:rFonts w:ascii="Simplified Arabic" w:hAnsi="Simplified Arabic" w:cs="Simplified Arabic"/>
          <w:rtl/>
        </w:rPr>
        <w:t>). كما تساعد الأدوات البصرية التوليدية على تسريع إنتاج النماذج الأولية (</w:t>
      </w:r>
      <w:r>
        <w:rPr>
          <w:rFonts w:ascii="Simplified Arabic" w:hAnsi="Simplified Arabic" w:cs="Simplified Arabic"/>
        </w:rPr>
        <w:t>Mockups</w:t>
      </w:r>
      <w:r>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Pr>
          <w:rFonts w:ascii="Simplified Arabic" w:hAnsi="Simplified Arabic" w:cs="Simplified Arabic"/>
        </w:rPr>
        <w:t>Gujar &amp; Panyam, 2024</w:t>
      </w:r>
      <w:r>
        <w:rPr>
          <w:rFonts w:ascii="Simplified Arabic" w:hAnsi="Simplified Arabic" w:cs="Simplified Arabic"/>
          <w:rtl/>
        </w:rPr>
        <w:t>).</w:t>
      </w:r>
    </w:p>
    <w:p w14:paraId="69613D2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ومن منظور ا</w:t>
      </w:r>
      <w:r>
        <w:rPr>
          <w:rFonts w:ascii="Simplified Arabic" w:hAnsi="Simplified Arabic" w:cs="Simplified Arabic" w:hint="cs"/>
          <w:rtl/>
        </w:rPr>
        <w:t>لباحث</w:t>
      </w:r>
      <w:r>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Pr>
          <w:rFonts w:ascii="Simplified Arabic" w:hAnsi="Simplified Arabic" w:cs="Simplified Arabic"/>
        </w:rPr>
        <w:t>Heitmann, 2024</w:t>
      </w:r>
      <w:r>
        <w:rPr>
          <w:rFonts w:ascii="Simplified Arabic" w:hAnsi="Simplified Arabic" w:cs="Simplified Arabic"/>
          <w:rtl/>
        </w:rPr>
        <w:t>).</w:t>
      </w:r>
    </w:p>
    <w:p w14:paraId="527364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إنتاج الفيديوهات التسويقية والمحتوى متعدد الوسائط</w:t>
      </w:r>
    </w:p>
    <w:p w14:paraId="2FE7F9B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proofErr w:type="spellStart"/>
      <w:r>
        <w:rPr>
          <w:rFonts w:ascii="Simplified Arabic" w:hAnsi="Simplified Arabic" w:cs="Simplified Arabic"/>
        </w:rPr>
        <w:t>Kujore</w:t>
      </w:r>
      <w:proofErr w:type="spellEnd"/>
      <w:r>
        <w:rPr>
          <w:rFonts w:ascii="Simplified Arabic" w:hAnsi="Simplified Arabic" w:cs="Simplified Arabic"/>
        </w:rPr>
        <w:t xml:space="preserve"> et al., 2025</w:t>
      </w:r>
      <w:r>
        <w:rPr>
          <w:rFonts w:ascii="Simplified Arabic" w:hAnsi="Simplified Arabic" w:cs="Simplified Arabic"/>
          <w:rtl/>
        </w:rPr>
        <w:t xml:space="preserve">). </w:t>
      </w:r>
      <w:r>
        <w:rPr>
          <w:rFonts w:ascii="Simplified Arabic" w:hAnsi="Simplified Arabic" w:cs="Simplified Arabic"/>
          <w:rtl/>
        </w:rPr>
        <w:lastRenderedPageBreak/>
        <w:t>ويكتسب هذا البعد أهمية خاصة في الحملات الرقمية الحديثة التي تعتمد على المحتوى القصير والمتجدد والموجّه لمنصات متعددة.</w:t>
      </w:r>
    </w:p>
    <w:p w14:paraId="71647032"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التخصيص الدقيق للمحتوى واستهداف الجمهور المناسب</w:t>
      </w:r>
    </w:p>
    <w:p w14:paraId="3531124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Pr>
          <w:rFonts w:ascii="Simplified Arabic" w:hAnsi="Simplified Arabic" w:cs="Simplified Arabic"/>
        </w:rPr>
        <w:t>Mendoza et al., 2025</w:t>
      </w:r>
      <w:r>
        <w:rPr>
          <w:rFonts w:ascii="Simplified Arabic" w:hAnsi="Simplified Arabic" w:cs="Simplified Arabic"/>
          <w:rtl/>
        </w:rPr>
        <w:t>).</w:t>
      </w:r>
    </w:p>
    <w:p w14:paraId="3696AE5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ويتجلى هذا الدور في ثلاث وظائف مترابطة:</w:t>
      </w:r>
    </w:p>
    <w:p w14:paraId="4DAA3DAE"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Pr>
          <w:rFonts w:ascii="Simplified Arabic" w:hAnsi="Simplified Arabic" w:cs="Simplified Arabic"/>
        </w:rPr>
        <w:t>Wang et al., 2025</w:t>
      </w:r>
      <w:r>
        <w:rPr>
          <w:rFonts w:ascii="Simplified Arabic" w:hAnsi="Simplified Arabic" w:cs="Simplified Arabic"/>
          <w:rtl/>
        </w:rPr>
        <w:t>).</w:t>
      </w:r>
    </w:p>
    <w:p w14:paraId="170D1767"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تكييف المحتوى بحسب المنصة الرقمية مع تعديل الطول والصياغة والإيقاع وفق خصائص كل قناة (</w:t>
      </w:r>
      <w:r>
        <w:rPr>
          <w:rFonts w:ascii="Simplified Arabic" w:hAnsi="Simplified Arabic" w:cs="Simplified Arabic"/>
        </w:rPr>
        <w:t>Islam et al., 2024</w:t>
      </w:r>
      <w:r>
        <w:rPr>
          <w:rFonts w:ascii="Simplified Arabic" w:hAnsi="Simplified Arabic" w:cs="Simplified Arabic"/>
          <w:rtl/>
        </w:rPr>
        <w:t>).</w:t>
      </w:r>
    </w:p>
    <w:p w14:paraId="6C478010"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تسريع إنتاج بدائل اختبارية للتخصيص بما يدعم التجريب والتحسين المستمر أثناء الحملة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0E08E81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Pr>
          <w:rFonts w:ascii="Simplified Arabic" w:hAnsi="Simplified Arabic" w:cs="Simplified Arabic"/>
        </w:rPr>
        <w:t>SDAIA, 2024</w:t>
      </w:r>
      <w:r>
        <w:rPr>
          <w:rFonts w:ascii="Simplified Arabic" w:hAnsi="Simplified Arabic" w:cs="Simplified Arabic"/>
          <w:rtl/>
        </w:rPr>
        <w:t>).</w:t>
      </w:r>
    </w:p>
    <w:p w14:paraId="06BD759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تحليل البيانات الضخمة وتحسين القرارات أثناء الحملة</w:t>
      </w:r>
    </w:p>
    <w:p w14:paraId="2D548E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Pr>
          <w:rFonts w:ascii="Simplified Arabic" w:hAnsi="Simplified Arabic" w:cs="Simplified Arabic"/>
        </w:rPr>
        <w:t>Islam et al., 2024</w:t>
      </w:r>
      <w:r>
        <w:rPr>
          <w:rFonts w:ascii="Simplified Arabic" w:hAnsi="Simplified Arabic" w:cs="Simplified Arabic"/>
          <w:rtl/>
        </w:rPr>
        <w:t>).</w:t>
      </w:r>
    </w:p>
    <w:p w14:paraId="1FF8094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ويظهر هذا الدور في ثلاثة مستويات رئيسة:</w:t>
      </w:r>
    </w:p>
    <w:p w14:paraId="09879280"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Pr>
          <w:rFonts w:ascii="Simplified Arabic" w:hAnsi="Simplified Arabic" w:cs="Simplified Arabic"/>
        </w:rPr>
        <w:t>Doshi et al., 2025</w:t>
      </w:r>
      <w:r>
        <w:rPr>
          <w:rFonts w:ascii="Simplified Arabic" w:hAnsi="Simplified Arabic" w:cs="Simplified Arabic"/>
          <w:rtl/>
        </w:rPr>
        <w:t>).</w:t>
      </w:r>
    </w:p>
    <w:p w14:paraId="310BFF75"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اقتراح بدائل تحسين أثناء التنفيذ عند ضعف أداء رسالة أو عنصر بصري، بما يعزز مرونة الاستجابة (</w:t>
      </w:r>
      <w:r>
        <w:rPr>
          <w:rFonts w:ascii="Simplified Arabic" w:hAnsi="Simplified Arabic" w:cs="Simplified Arabic"/>
        </w:rPr>
        <w:t>Heitmann, 2024</w:t>
      </w:r>
      <w:r>
        <w:rPr>
          <w:rFonts w:ascii="Simplified Arabic" w:hAnsi="Simplified Arabic" w:cs="Simplified Arabic"/>
          <w:rtl/>
        </w:rPr>
        <w:t>).</w:t>
      </w:r>
    </w:p>
    <w:p w14:paraId="345405DE" w14:textId="77777777" w:rsidR="00F035EA" w:rsidRDefault="00F035EA" w:rsidP="00F035EA">
      <w:pPr>
        <w:numPr>
          <w:ilvl w:val="0"/>
          <w:numId w:val="10"/>
        </w:numPr>
        <w:bidi/>
        <w:jc w:val="both"/>
        <w:rPr>
          <w:rFonts w:ascii="Simplified Arabic" w:hAnsi="Simplified Arabic" w:cs="Simplified Arabic"/>
        </w:rPr>
      </w:pPr>
      <w:r>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Pr>
          <w:rFonts w:ascii="Simplified Arabic" w:hAnsi="Simplified Arabic" w:cs="Simplified Arabic"/>
        </w:rPr>
        <w:t>Doshi et al., 2025</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1671F1BD" w14:textId="77777777" w:rsidR="00F035EA" w:rsidRDefault="00F035EA" w:rsidP="00F035EA">
      <w:pPr>
        <w:bidi/>
        <w:jc w:val="both"/>
        <w:rPr>
          <w:rFonts w:ascii="Simplified Arabic" w:hAnsi="Simplified Arabic" w:cs="Simplified Arabic"/>
          <w:rtl/>
        </w:rPr>
      </w:pPr>
    </w:p>
    <w:p w14:paraId="2C539C34" w14:textId="77777777" w:rsidR="00F035EA" w:rsidRPr="00A20BAB" w:rsidRDefault="00F035EA" w:rsidP="00F035EA">
      <w:pPr>
        <w:bidi/>
        <w:jc w:val="both"/>
        <w:rPr>
          <w:rFonts w:ascii="Simplified Arabic" w:hAnsi="Simplified Arabic" w:cs="Simplified Arabic"/>
          <w:rtl/>
        </w:rPr>
      </w:pPr>
    </w:p>
    <w:p w14:paraId="1E9C47BE"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lastRenderedPageBreak/>
        <w:t>المطلب الرابع: التحديات والأخلاقيات</w:t>
      </w:r>
    </w:p>
    <w:p w14:paraId="6C78F71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التحديات التشغيلية والفنية في توظيف الذكاء الاصطناعي التوليدي</w:t>
      </w:r>
    </w:p>
    <w:p w14:paraId="77AD5BD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جودة البيانات ومدى ملاءمتها</w:t>
      </w:r>
    </w:p>
    <w:p w14:paraId="50A84EF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Pr>
          <w:rFonts w:ascii="Simplified Arabic" w:hAnsi="Simplified Arabic" w:cs="Simplified Arabic"/>
        </w:rPr>
        <w:t>Mendoza et al., 2025</w:t>
      </w:r>
      <w:r>
        <w:rPr>
          <w:rFonts w:ascii="Simplified Arabic" w:hAnsi="Simplified Arabic" w:cs="Simplified Arabic"/>
          <w:rtl/>
        </w:rPr>
        <w:t>).</w:t>
      </w:r>
    </w:p>
    <w:p w14:paraId="63EB6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تفاوت جودة المخرجات والحاجة إلى المراجعة البشرية</w:t>
      </w:r>
    </w:p>
    <w:p w14:paraId="57CFF31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FAE82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التكلفة الكلية للتبني والدمج التشغيلي</w:t>
      </w:r>
    </w:p>
    <w:p w14:paraId="44C09A8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Pr>
          <w:rFonts w:ascii="Simplified Arabic" w:hAnsi="Simplified Arabic" w:cs="Simplified Arabic"/>
        </w:rPr>
        <w:t>Nuremberg Institute for Market Decisions, 2024</w:t>
      </w:r>
      <w:r>
        <w:rPr>
          <w:rFonts w:ascii="Simplified Arabic" w:hAnsi="Simplified Arabic" w:cs="Simplified Arabic"/>
          <w:rtl/>
        </w:rPr>
        <w:t>).</w:t>
      </w:r>
    </w:p>
    <w:p w14:paraId="2BF5B4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صعوبات التكامل مع سير العمل والأنظمة القائمة</w:t>
      </w:r>
    </w:p>
    <w:p w14:paraId="0C1CF20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Pr>
          <w:rFonts w:ascii="Simplified Arabic" w:hAnsi="Simplified Arabic" w:cs="Simplified Arabic"/>
        </w:rPr>
        <w:t>Nguyen et al., 2025</w:t>
      </w:r>
      <w:r>
        <w:rPr>
          <w:rFonts w:ascii="Simplified Arabic" w:hAnsi="Simplified Arabic" w:cs="Simplified Arabic"/>
          <w:rtl/>
        </w:rPr>
        <w:t>).</w:t>
      </w:r>
    </w:p>
    <w:p w14:paraId="4D7C9CE0"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الأبعاد الأخلاقية في استخدام الذكاء الاصطناعي التوليدي بالحملات التسويقية</w:t>
      </w:r>
    </w:p>
    <w:p w14:paraId="409B240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الخصوصية وأمن البيانات</w:t>
      </w:r>
    </w:p>
    <w:p w14:paraId="1AC1F48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w:t>
      </w:r>
      <w:r>
        <w:rPr>
          <w:rFonts w:ascii="Simplified Arabic" w:hAnsi="Simplified Arabic" w:cs="Simplified Arabic"/>
          <w:rtl/>
        </w:rPr>
        <w:lastRenderedPageBreak/>
        <w:t>حدود البيانات المستخدمة وآليات إدخالها وسياسات الحماية والمراجعة (الهيئة السعودية للبيانات والذكاء الاصطناعي [سدايا]، 2024).</w:t>
      </w:r>
    </w:p>
    <w:p w14:paraId="1DCF1D5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الملكية الفكرية وحقوق المحتوى</w:t>
      </w:r>
    </w:p>
    <w:p w14:paraId="2DA63A5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Pr>
          <w:rFonts w:ascii="Simplified Arabic" w:hAnsi="Simplified Arabic" w:cs="Simplified Arabic"/>
        </w:rPr>
        <w:t>Dwivedi et al., 2023</w:t>
      </w:r>
      <w:r>
        <w:rPr>
          <w:rFonts w:ascii="Simplified Arabic" w:hAnsi="Simplified Arabic" w:cs="Simplified Arabic"/>
          <w:rtl/>
        </w:rPr>
        <w:t>).</w:t>
      </w:r>
    </w:p>
    <w:p w14:paraId="5D193FB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التحيز والعدالة في المخرجات التسويقية</w:t>
      </w:r>
    </w:p>
    <w:p w14:paraId="2CAD87E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Pr>
          <w:rFonts w:ascii="Simplified Arabic" w:hAnsi="Simplified Arabic" w:cs="Simplified Arabic"/>
        </w:rPr>
        <w:t>IAB Tech Lab, 2024</w:t>
      </w:r>
      <w:r>
        <w:rPr>
          <w:rFonts w:ascii="Simplified Arabic" w:hAnsi="Simplified Arabic" w:cs="Simplified Arabic"/>
          <w:rtl/>
        </w:rPr>
        <w:t>). وتزداد أهمية ذلك في السياق السعودي بما يتطلبه من مواءمة للقيم والسياق المحلي (</w:t>
      </w:r>
      <w:r>
        <w:rPr>
          <w:rFonts w:ascii="Simplified Arabic" w:hAnsi="Simplified Arabic" w:cs="Simplified Arabic"/>
        </w:rPr>
        <w:t>SDAIA, 2024</w:t>
      </w:r>
      <w:r>
        <w:rPr>
          <w:rFonts w:ascii="Simplified Arabic" w:hAnsi="Simplified Arabic" w:cs="Simplified Arabic"/>
          <w:rtl/>
        </w:rPr>
        <w:t>).</w:t>
      </w:r>
    </w:p>
    <w:p w14:paraId="184457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الشفافية والمساءلة عن المحتوى المنشور</w:t>
      </w:r>
    </w:p>
    <w:p w14:paraId="10CB8FC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Pr>
          <w:rFonts w:ascii="Simplified Arabic" w:hAnsi="Simplified Arabic" w:cs="Simplified Arabic"/>
        </w:rPr>
        <w:t>Dwivedi et al., 2023</w:t>
      </w:r>
      <w:r>
        <w:rPr>
          <w:rFonts w:ascii="Simplified Arabic" w:hAnsi="Simplified Arabic" w:cs="Simplified Arabic"/>
          <w:rtl/>
        </w:rPr>
        <w:t>).</w:t>
      </w:r>
    </w:p>
    <w:p w14:paraId="6C57457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التوازن بين الكفاءة والضبط الأخلاقي في تصميم الحملات</w:t>
      </w:r>
    </w:p>
    <w:p w14:paraId="6B0FE7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C3D798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Pr>
          <w:rFonts w:ascii="Simplified Arabic" w:hAnsi="Simplified Arabic" w:cs="Simplified Arabic"/>
        </w:rPr>
        <w:t>SDAIA, 2024</w:t>
      </w:r>
      <w:r>
        <w:rPr>
          <w:rFonts w:ascii="Simplified Arabic" w:hAnsi="Simplified Arabic" w:cs="Simplified Arabic"/>
          <w:rtl/>
        </w:rPr>
        <w:t>).</w:t>
      </w:r>
    </w:p>
    <w:p w14:paraId="3D6BC480" w14:textId="77777777" w:rsidR="00F035EA" w:rsidRDefault="00F035EA" w:rsidP="00F035EA">
      <w:pPr>
        <w:bidi/>
        <w:jc w:val="both"/>
        <w:rPr>
          <w:rFonts w:ascii="Simplified Arabic" w:hAnsi="Simplified Arabic" w:cs="Simplified Arabic"/>
          <w:rtl/>
        </w:rPr>
      </w:pPr>
    </w:p>
    <w:p w14:paraId="6A5E2C87"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39DF229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دوافع التبني</w:t>
      </w:r>
    </w:p>
    <w:p w14:paraId="403DE14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دافع تحسين الكفاءة التشغيلية وتسريع الإنجاز</w:t>
      </w:r>
    </w:p>
    <w:p w14:paraId="20F7468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Pr>
          <w:rFonts w:ascii="Simplified Arabic" w:hAnsi="Simplified Arabic" w:cs="Simplified Arabic"/>
        </w:rPr>
        <w:t>Heitmann, 2024</w:t>
      </w:r>
      <w:r>
        <w:rPr>
          <w:rFonts w:ascii="Simplified Arabic" w:hAnsi="Simplified Arabic" w:cs="Simplified Arabic"/>
          <w:rtl/>
        </w:rPr>
        <w:t>).</w:t>
      </w:r>
    </w:p>
    <w:p w14:paraId="49590FD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8C2904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5B263C2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دافع خفض التكاليف وإعادة توزيع الموارد</w:t>
      </w:r>
    </w:p>
    <w:p w14:paraId="64DE72C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Pr>
          <w:rFonts w:ascii="Simplified Arabic" w:hAnsi="Simplified Arabic" w:cs="Simplified Arabic"/>
        </w:rPr>
        <w:t>Nuremberg Institute for Market Decisions, 2024</w:t>
      </w:r>
      <w:r>
        <w:rPr>
          <w:rFonts w:ascii="Simplified Arabic" w:hAnsi="Simplified Arabic" w:cs="Simplified Arabic"/>
          <w:rtl/>
        </w:rPr>
        <w:t>).</w:t>
      </w:r>
    </w:p>
    <w:p w14:paraId="44E5B7C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Pr>
          <w:rFonts w:ascii="Simplified Arabic" w:hAnsi="Simplified Arabic" w:cs="Simplified Arabic"/>
        </w:rPr>
        <w:t>Heitmann, 2024</w:t>
      </w:r>
      <w:r>
        <w:rPr>
          <w:rFonts w:ascii="Simplified Arabic" w:hAnsi="Simplified Arabic" w:cs="Simplified Arabic"/>
          <w:rtl/>
        </w:rPr>
        <w:t>).</w:t>
      </w:r>
    </w:p>
    <w:p w14:paraId="3BC8EAD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دافع زيادة القدرة على التخصيص وتحسين ملاءمة الرسائل</w:t>
      </w:r>
    </w:p>
    <w:p w14:paraId="25E6433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Pr>
          <w:rFonts w:ascii="Simplified Arabic" w:hAnsi="Simplified Arabic" w:cs="Simplified Arabic"/>
        </w:rPr>
        <w:t>Mendoza et al., 2025</w:t>
      </w:r>
      <w:r>
        <w:rPr>
          <w:rFonts w:ascii="Simplified Arabic" w:hAnsi="Simplified Arabic" w:cs="Simplified Arabic"/>
          <w:rtl/>
        </w:rPr>
        <w:t>).</w:t>
      </w:r>
    </w:p>
    <w:p w14:paraId="0DADCA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w:t>
      </w:r>
      <w:r>
        <w:rPr>
          <w:rFonts w:ascii="Simplified Arabic" w:hAnsi="Simplified Arabic" w:cs="Simplified Arabic"/>
          <w:rtl/>
        </w:rPr>
        <w:lastRenderedPageBreak/>
        <w:t>التوليدي جذابًا لوكالات التسويق التي تدير حملات لعملاء متنوعين وتحتاج إلى إنتاج محتوى متمايز دون مضاعفة الجهد بصورة خطية (</w:t>
      </w:r>
      <w:r>
        <w:rPr>
          <w:rFonts w:ascii="Simplified Arabic" w:hAnsi="Simplified Arabic" w:cs="Simplified Arabic"/>
        </w:rPr>
        <w:t>Islam et al., 2024</w:t>
      </w:r>
      <w:r>
        <w:rPr>
          <w:rFonts w:ascii="Simplified Arabic" w:hAnsi="Simplified Arabic" w:cs="Simplified Arabic"/>
          <w:rtl/>
        </w:rPr>
        <w:t>).</w:t>
      </w:r>
    </w:p>
    <w:p w14:paraId="5F50E0E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proofErr w:type="spellStart"/>
      <w:r>
        <w:rPr>
          <w:rFonts w:ascii="Simplified Arabic" w:hAnsi="Simplified Arabic" w:cs="Simplified Arabic"/>
        </w:rPr>
        <w:t>Beyari</w:t>
      </w:r>
      <w:proofErr w:type="spellEnd"/>
      <w:r>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CD05F4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دافع مواكبة المنافسة والتحول السوقي</w:t>
      </w:r>
    </w:p>
    <w:p w14:paraId="20E3CF1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E8D0E0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Pr>
          <w:rFonts w:ascii="Simplified Arabic" w:hAnsi="Simplified Arabic" w:cs="Simplified Arabic"/>
        </w:rPr>
        <w:t>McKinsey &amp; Company, 2024</w:t>
      </w:r>
      <w:r>
        <w:rPr>
          <w:rFonts w:ascii="Simplified Arabic" w:hAnsi="Simplified Arabic" w:cs="Simplified Arabic"/>
          <w:rtl/>
        </w:rPr>
        <w:t xml:space="preserve">؛ </w:t>
      </w:r>
      <w:r>
        <w:rPr>
          <w:rFonts w:ascii="Simplified Arabic" w:hAnsi="Simplified Arabic" w:cs="Simplified Arabic"/>
        </w:rPr>
        <w:t>Strategy&amp; (PwC Middle East), 2024</w:t>
      </w:r>
      <w:r>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proofErr w:type="spellStart"/>
      <w:r>
        <w:rPr>
          <w:rFonts w:ascii="Simplified Arabic" w:hAnsi="Simplified Arabic" w:cs="Simplified Arabic"/>
        </w:rPr>
        <w:t>Alotaibi</w:t>
      </w:r>
      <w:proofErr w:type="spellEnd"/>
      <w:r>
        <w:rPr>
          <w:rFonts w:ascii="Simplified Arabic" w:hAnsi="Simplified Arabic" w:cs="Simplified Arabic"/>
        </w:rPr>
        <w:t xml:space="preserve"> &amp; Al </w:t>
      </w:r>
      <w:proofErr w:type="spellStart"/>
      <w:r>
        <w:rPr>
          <w:rFonts w:ascii="Simplified Arabic" w:hAnsi="Simplified Arabic" w:cs="Simplified Arabic"/>
        </w:rPr>
        <w:t>Youbi</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Aljabari</w:t>
      </w:r>
      <w:proofErr w:type="spellEnd"/>
      <w:r>
        <w:rPr>
          <w:rFonts w:ascii="Simplified Arabic" w:hAnsi="Simplified Arabic" w:cs="Simplified Arabic"/>
        </w:rPr>
        <w:t xml:space="preserve"> et al., 2024</w:t>
      </w:r>
      <w:r>
        <w:rPr>
          <w:rFonts w:ascii="Simplified Arabic" w:hAnsi="Simplified Arabic" w:cs="Simplified Arabic"/>
          <w:rtl/>
        </w:rPr>
        <w:t>).</w:t>
      </w:r>
    </w:p>
    <w:p w14:paraId="645F3C57" w14:textId="77777777" w:rsidR="00F035EA" w:rsidRPr="00E04FE4" w:rsidRDefault="00F035EA" w:rsidP="00F035EA">
      <w:pPr>
        <w:bidi/>
        <w:jc w:val="both"/>
        <w:rPr>
          <w:rFonts w:ascii="Simplified Arabic" w:hAnsi="Simplified Arabic" w:cs="Simplified Arabic"/>
          <w:rtl/>
        </w:rPr>
      </w:pPr>
    </w:p>
    <w:p w14:paraId="349AB8B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العوائق الفنية</w:t>
      </w:r>
    </w:p>
    <w:p w14:paraId="2EADEA0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60F8C1D2" w14:textId="77777777" w:rsidR="00F035EA" w:rsidRDefault="00F035EA" w:rsidP="00F035EA">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423091F8" w14:textId="77777777" w:rsidR="00F035EA" w:rsidRDefault="00F035EA" w:rsidP="00F035EA">
      <w:pPr>
        <w:bidi/>
        <w:jc w:val="both"/>
        <w:rPr>
          <w:rFonts w:ascii="Simplified Arabic" w:hAnsi="Simplified Arabic" w:cs="Simplified Arabic"/>
          <w:rtl/>
        </w:rPr>
      </w:pPr>
    </w:p>
    <w:p w14:paraId="5C5CBA86" w14:textId="77777777" w:rsidR="00F035EA" w:rsidRPr="00E04FE4" w:rsidRDefault="00F035EA" w:rsidP="00F035EA">
      <w:pPr>
        <w:bidi/>
        <w:jc w:val="both"/>
        <w:rPr>
          <w:rFonts w:ascii="Simplified Arabic" w:hAnsi="Simplified Arabic" w:cs="Simplified Arabic"/>
          <w:rtl/>
        </w:rPr>
      </w:pPr>
    </w:p>
    <w:p w14:paraId="6C6C81F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lastRenderedPageBreak/>
        <w:t>أولًا: نقص المهارات والمعرفة التقنية</w:t>
      </w:r>
    </w:p>
    <w:p w14:paraId="19C1DD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استخدامًا سطحيًا لا يحقق قيمة فعلية، وقد ينعكس ذلك على جودة المحتوى واتساقه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3D5C824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20FF79E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03F5242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Pr>
          <w:rFonts w:ascii="Simplified Arabic" w:hAnsi="Simplified Arabic" w:cs="Simplified Arabic"/>
        </w:rPr>
        <w:t>Al-Emran et al., 2025</w:t>
      </w:r>
      <w:r>
        <w:rPr>
          <w:rFonts w:ascii="Simplified Arabic" w:hAnsi="Simplified Arabic" w:cs="Simplified Arabic"/>
          <w:rtl/>
        </w:rPr>
        <w:t>).</w:t>
      </w:r>
    </w:p>
    <w:p w14:paraId="6E79E38E"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الحاجة إلى بنية تحتية رقمية متقدمة</w:t>
      </w:r>
    </w:p>
    <w:p w14:paraId="551BBF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48FDBD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Pr>
          <w:rFonts w:ascii="Simplified Arabic" w:hAnsi="Simplified Arabic" w:cs="Simplified Arabic"/>
        </w:rPr>
        <w:t>Mendoza et al., 2025</w:t>
      </w:r>
      <w:r>
        <w:rPr>
          <w:rFonts w:ascii="Simplified Arabic" w:hAnsi="Simplified Arabic" w:cs="Simplified Arabic"/>
          <w:rtl/>
        </w:rPr>
        <w:t>).</w:t>
      </w:r>
    </w:p>
    <w:p w14:paraId="3DF17E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Pr>
          <w:rFonts w:ascii="Simplified Arabic" w:hAnsi="Simplified Arabic" w:cs="Simplified Arabic"/>
        </w:rPr>
        <w:t>Strategy&amp; (PwC Middle East), 2024</w:t>
      </w:r>
      <w:r>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w:t>
      </w:r>
      <w:r>
        <w:rPr>
          <w:rFonts w:ascii="Simplified Arabic" w:hAnsi="Simplified Arabic" w:cs="Simplified Arabic"/>
          <w:rtl/>
        </w:rPr>
        <w:lastRenderedPageBreak/>
        <w:t>على بناء بيئات تشغيل ملائمة وتطوير الجاهزية المؤسسية المصاحبة للتبني (الهيئة السعودية للبيانات والذكاء الاصطناعي [سدايا]، 2024).</w:t>
      </w:r>
    </w:p>
    <w:p w14:paraId="7485517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صعوبات التكامل مع الأنظمة والأدوات القائمة</w:t>
      </w:r>
    </w:p>
    <w:p w14:paraId="3993118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من العوائق الفنية المتكررة في البيئات المهنية أن الأدوات الجديدة</w:t>
      </w:r>
      <w:r>
        <w:rPr>
          <w:rFonts w:ascii="Simplified Arabic" w:hAnsi="Simplified Arabic" w:cs="Simplified Arabic" w:hint="cs"/>
          <w:rtl/>
        </w:rPr>
        <w:t xml:space="preserve"> </w:t>
      </w:r>
      <w:r>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Pr>
          <w:rFonts w:ascii="Simplified Arabic" w:hAnsi="Simplified Arabic" w:cs="Simplified Arabic"/>
        </w:rPr>
        <w:t>Nguyen et al., 2025</w:t>
      </w:r>
      <w:r>
        <w:rPr>
          <w:rFonts w:ascii="Simplified Arabic" w:hAnsi="Simplified Arabic" w:cs="Simplified Arabic"/>
          <w:rtl/>
        </w:rPr>
        <w:t>).</w:t>
      </w:r>
    </w:p>
    <w:p w14:paraId="5A13627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Pr>
          <w:rFonts w:ascii="Simplified Arabic" w:hAnsi="Simplified Arabic" w:cs="Simplified Arabic"/>
        </w:rPr>
        <w:t>Heitmann, 2024</w:t>
      </w:r>
      <w:r>
        <w:rPr>
          <w:rFonts w:ascii="Simplified Arabic" w:hAnsi="Simplified Arabic" w:cs="Simplified Arabic"/>
          <w:rtl/>
        </w:rPr>
        <w:t>).</w:t>
      </w:r>
    </w:p>
    <w:p w14:paraId="34B48E6D" w14:textId="77777777" w:rsidR="00F035EA" w:rsidRPr="00E04FE4" w:rsidRDefault="00F035EA" w:rsidP="00F035EA">
      <w:pPr>
        <w:bidi/>
        <w:jc w:val="both"/>
        <w:rPr>
          <w:rFonts w:ascii="Simplified Arabic" w:hAnsi="Simplified Arabic" w:cs="Simplified Arabic"/>
          <w:rtl/>
        </w:rPr>
      </w:pPr>
    </w:p>
    <w:p w14:paraId="0DC8AB5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العوائق التنظيمية والأخلاقية</w:t>
      </w:r>
    </w:p>
    <w:p w14:paraId="6662D85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Pr>
          <w:rFonts w:ascii="Simplified Arabic" w:hAnsi="Simplified Arabic" w:cs="Simplified Arabic"/>
        </w:rPr>
        <w:t>Dwivedi et al., 2023</w:t>
      </w:r>
      <w:r>
        <w:rPr>
          <w:rFonts w:ascii="Simplified Arabic" w:hAnsi="Simplified Arabic" w:cs="Simplified Arabic"/>
          <w:rtl/>
        </w:rPr>
        <w:t>).</w:t>
      </w:r>
    </w:p>
    <w:p w14:paraId="79134F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74EB903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0C08CABA"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مقاومة التغيير داخل المؤسسات</w:t>
      </w:r>
    </w:p>
    <w:p w14:paraId="48560A5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7D6FA4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7D4D483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Pr>
          <w:rFonts w:ascii="Simplified Arabic" w:hAnsi="Simplified Arabic" w:cs="Simplified Arabic"/>
        </w:rPr>
        <w:t>Nguyen et al., 2025</w:t>
      </w:r>
      <w:r>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18D95E6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المخاوف المتعلقة بالخصوصية وأمن البيانات</w:t>
      </w:r>
    </w:p>
    <w:p w14:paraId="66081E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Pr>
          <w:rFonts w:ascii="Simplified Arabic" w:hAnsi="Simplified Arabic" w:cs="Simplified Arabic"/>
        </w:rPr>
        <w:t>SDAIA, 2024</w:t>
      </w:r>
      <w:r>
        <w:rPr>
          <w:rFonts w:ascii="Simplified Arabic" w:hAnsi="Simplified Arabic" w:cs="Simplified Arabic"/>
          <w:rtl/>
        </w:rPr>
        <w:t>).</w:t>
      </w:r>
    </w:p>
    <w:p w14:paraId="607EDA8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Pr>
          <w:rFonts w:ascii="Simplified Arabic" w:hAnsi="Simplified Arabic" w:cs="Simplified Arabic"/>
        </w:rPr>
        <w:t>SDAIA, 2024</w:t>
      </w:r>
      <w:r>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7D92E24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غياب الأطر التنظيمية والسياسات الداخلية الواضحة</w:t>
      </w:r>
    </w:p>
    <w:p w14:paraId="06FFD18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Pr>
          <w:rFonts w:ascii="Simplified Arabic" w:hAnsi="Simplified Arabic" w:cs="Simplified Arabic"/>
        </w:rPr>
        <w:t>IAB Tech Lab, 2024</w:t>
      </w:r>
      <w:r>
        <w:rPr>
          <w:rFonts w:ascii="Simplified Arabic" w:hAnsi="Simplified Arabic" w:cs="Simplified Arabic"/>
          <w:rtl/>
        </w:rPr>
        <w:t>).</w:t>
      </w:r>
    </w:p>
    <w:p w14:paraId="1F16EF8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وعندما تغيب السياسات الداخلية، تظهر عدة مشكلات عملية داخل الوكالة، مثل:</w:t>
      </w:r>
    </w:p>
    <w:p w14:paraId="4DF0F28D"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تفاوت أساليب الاستخدام بين الأفراد دون معيار موحد.</w:t>
      </w:r>
    </w:p>
    <w:p w14:paraId="2F95EE8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غموض في مسؤولية مراجعة المخرجات واعتمادها.</w:t>
      </w:r>
    </w:p>
    <w:p w14:paraId="25EB983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اختلاف في حدود ما يجوز إدخاله إلى الأدوات من بيانات ومعلومات.</w:t>
      </w:r>
    </w:p>
    <w:p w14:paraId="5A3A54A9"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صعوبة تقييم جودة الاستخدام أو تحسينه بصورة مؤسسية.</w:t>
      </w:r>
    </w:p>
    <w:p w14:paraId="0ACEAE7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Pr>
          <w:rFonts w:ascii="Simplified Arabic" w:hAnsi="Simplified Arabic" w:cs="Simplified Arabic"/>
          <w:rtl/>
        </w:rPr>
        <w:lastRenderedPageBreak/>
        <w:t>ولو بصورة تدريجية—تمثل شرطًا مهمًا لتحويل التبني من استخدام تجريبي متفرق إلى ممارسة مستقرة قابلة للتوسع (</w:t>
      </w:r>
      <w:r>
        <w:rPr>
          <w:rFonts w:ascii="Simplified Arabic" w:hAnsi="Simplified Arabic" w:cs="Simplified Arabic"/>
        </w:rPr>
        <w:t>Nguyen et al., 2025</w:t>
      </w:r>
      <w:r>
        <w:rPr>
          <w:rFonts w:ascii="Simplified Arabic" w:hAnsi="Simplified Arabic" w:cs="Simplified Arabic"/>
          <w:rtl/>
        </w:rPr>
        <w:t>).</w:t>
      </w:r>
    </w:p>
    <w:p w14:paraId="3607C1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Pr>
          <w:rFonts w:ascii="Simplified Arabic" w:hAnsi="Simplified Arabic" w:cs="Simplified Arabic"/>
        </w:rPr>
        <w:t>Dwivedi et al., 2023</w:t>
      </w:r>
      <w:r>
        <w:rPr>
          <w:rFonts w:ascii="Simplified Arabic" w:hAnsi="Simplified Arabic" w:cs="Simplified Arabic"/>
          <w:rtl/>
        </w:rPr>
        <w:t>).</w:t>
      </w:r>
    </w:p>
    <w:p w14:paraId="628DB30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كما </w:t>
      </w:r>
      <w:r>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7119FA44" w14:textId="77777777" w:rsidR="00F035EA" w:rsidRPr="00EB385F" w:rsidRDefault="00F035EA" w:rsidP="00F035EA">
      <w:pPr>
        <w:bidi/>
        <w:jc w:val="both"/>
        <w:rPr>
          <w:rFonts w:ascii="Simplified Arabic" w:hAnsi="Simplified Arabic" w:cs="Simplified Arabic"/>
          <w:sz w:val="20"/>
          <w:szCs w:val="20"/>
          <w:rtl/>
        </w:rPr>
      </w:pPr>
    </w:p>
    <w:p w14:paraId="0CA3040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الرابع: واقع تبني الذكاء الاصطناعي في السعودية</w:t>
      </w:r>
    </w:p>
    <w:p w14:paraId="64DE6E03"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442F516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66523D2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ومن زاوية إقليمية أوسع، تعرض تقارير </w:t>
      </w:r>
      <w:r>
        <w:rPr>
          <w:rFonts w:ascii="Simplified Arabic" w:hAnsi="Simplified Arabic" w:cs="Simplified Arabic"/>
        </w:rPr>
        <w:t>McKinsey &amp; Company</w:t>
      </w:r>
      <w:r>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Pr>
          <w:rFonts w:ascii="Simplified Arabic" w:hAnsi="Simplified Arabic" w:cs="Simplified Arabic"/>
        </w:rPr>
        <w:t>McKinsey &amp; Company, 2024</w:t>
      </w:r>
      <w:r>
        <w:rPr>
          <w:rFonts w:ascii="Simplified Arabic" w:hAnsi="Simplified Arabic" w:cs="Simplified Arabic"/>
          <w:rtl/>
        </w:rPr>
        <w:t>).</w:t>
      </w:r>
    </w:p>
    <w:p w14:paraId="7C01A4A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الاتجاه نفسه، تشير تقارير </w:t>
      </w:r>
      <w:r>
        <w:rPr>
          <w:rFonts w:ascii="Simplified Arabic" w:hAnsi="Simplified Arabic" w:cs="Simplified Arabic"/>
        </w:rPr>
        <w:t>Strategy&amp; (PwC Middle East)</w:t>
      </w:r>
      <w:r>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Pr>
          <w:rFonts w:ascii="Simplified Arabic" w:hAnsi="Simplified Arabic" w:cs="Simplified Arabic"/>
        </w:rPr>
        <w:t>ecosystem</w:t>
      </w:r>
      <w:r>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6615F16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ثانياً</w:t>
      </w:r>
      <w:r>
        <w:rPr>
          <w:rFonts w:ascii="Simplified Arabic" w:hAnsi="Simplified Arabic" w:cs="Simplified Arabic"/>
          <w:b/>
          <w:bCs/>
          <w:rtl/>
        </w:rPr>
        <w:t>: مؤشرات الواقع السعودي من زاوية الجاهزية والاهتمام المؤسسي</w:t>
      </w:r>
    </w:p>
    <w:p w14:paraId="72DA13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يمكن قراءة واقع التبني في السعودية من خلال مؤشرات غير مباشرة لكنها ذات دلالة، أهمها:</w:t>
      </w:r>
    </w:p>
    <w:p w14:paraId="33230428"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الحضور المتزايد للذكاء الاصطناعي في الخطاب المؤسسي والمهني.</w:t>
      </w:r>
    </w:p>
    <w:p w14:paraId="61633930"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lastRenderedPageBreak/>
        <w:t>توسع الإرشادات والسياسات الوطنية المنظمة للاستخدام المسؤول.</w:t>
      </w:r>
    </w:p>
    <w:p w14:paraId="3695CB4B"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تنامي النقاشات التطبيقية حول توظيف الذكاء الاصطناعي في التسويق والإعلام وصناعة المحتوى.</w:t>
      </w:r>
    </w:p>
    <w:p w14:paraId="2BA4C27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Pr>
          <w:rFonts w:ascii="Simplified Arabic" w:hAnsi="Simplified Arabic" w:cs="Simplified Arabic"/>
        </w:rPr>
        <w:t>SDAIA, 2024</w:t>
      </w:r>
      <w:r>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6AC4BD8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8A882C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w:t>
      </w:r>
      <w:r>
        <w:rPr>
          <w:rFonts w:ascii="Simplified Arabic" w:hAnsi="Simplified Arabic" w:cs="Simplified Arabic" w:hint="cs"/>
          <w:b/>
          <w:bCs/>
          <w:rtl/>
        </w:rPr>
        <w:t>لثاً</w:t>
      </w:r>
      <w:r>
        <w:rPr>
          <w:rFonts w:ascii="Simplified Arabic" w:hAnsi="Simplified Arabic" w:cs="Simplified Arabic"/>
          <w:b/>
          <w:bCs/>
          <w:rtl/>
        </w:rPr>
        <w:t>: واقع التبني في المجال التسويقي والإعلامي بوصفه مؤشرًا على بيئة الوكالات</w:t>
      </w:r>
    </w:p>
    <w:p w14:paraId="13AE84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293065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proofErr w:type="spellStart"/>
      <w:r>
        <w:rPr>
          <w:rFonts w:ascii="Simplified Arabic" w:hAnsi="Simplified Arabic" w:cs="Simplified Arabic"/>
        </w:rPr>
        <w:t>Alotaibi</w:t>
      </w:r>
      <w:proofErr w:type="spellEnd"/>
      <w:r>
        <w:rPr>
          <w:rFonts w:ascii="Simplified Arabic" w:hAnsi="Simplified Arabic" w:cs="Simplified Arabic"/>
        </w:rPr>
        <w:t xml:space="preserve"> &amp; Al </w:t>
      </w:r>
      <w:proofErr w:type="spellStart"/>
      <w:r>
        <w:rPr>
          <w:rFonts w:ascii="Simplified Arabic" w:hAnsi="Simplified Arabic" w:cs="Simplified Arabic"/>
        </w:rPr>
        <w:t>Youbi</w:t>
      </w:r>
      <w:proofErr w:type="spellEnd"/>
      <w:r>
        <w:rPr>
          <w:rFonts w:ascii="Simplified Arabic" w:hAnsi="Simplified Arabic" w:cs="Simplified Arabic"/>
        </w:rPr>
        <w:t>, 2024</w:t>
      </w:r>
      <w:r>
        <w:rPr>
          <w:rFonts w:ascii="Simplified Arabic" w:hAnsi="Simplified Arabic" w:cs="Simplified Arabic"/>
          <w:rtl/>
        </w:rPr>
        <w:t xml:space="preserve">؛ </w:t>
      </w:r>
      <w:proofErr w:type="spellStart"/>
      <w:r>
        <w:rPr>
          <w:rFonts w:ascii="Simplified Arabic" w:hAnsi="Simplified Arabic" w:cs="Simplified Arabic"/>
        </w:rPr>
        <w:t>Aljabari</w:t>
      </w:r>
      <w:proofErr w:type="spellEnd"/>
      <w:r>
        <w:rPr>
          <w:rFonts w:ascii="Simplified Arabic" w:hAnsi="Simplified Arabic" w:cs="Simplified Arabic"/>
        </w:rPr>
        <w:t xml:space="preserve"> et al., 2024</w:t>
      </w:r>
      <w:r>
        <w:rPr>
          <w:rFonts w:ascii="Simplified Arabic" w:hAnsi="Simplified Arabic" w:cs="Simplified Arabic"/>
          <w:rtl/>
        </w:rPr>
        <w:t xml:space="preserve">). كما أن دراسة </w:t>
      </w:r>
      <w:r>
        <w:rPr>
          <w:rFonts w:ascii="Simplified Arabic" w:hAnsi="Simplified Arabic" w:cs="Simplified Arabic"/>
        </w:rPr>
        <w:t>Ben Khalifa et al</w:t>
      </w:r>
      <w:r>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40C03FC6"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A5B782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رابعاً</w:t>
      </w:r>
      <w:r>
        <w:rPr>
          <w:rFonts w:ascii="Simplified Arabic" w:hAnsi="Simplified Arabic" w:cs="Simplified Arabic"/>
          <w:b/>
          <w:bCs/>
          <w:rtl/>
        </w:rPr>
        <w:t>: فرص النمو في السوق المحلي وانعكاسها على الوكالات التسويقية</w:t>
      </w:r>
    </w:p>
    <w:p w14:paraId="121C64B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6510C2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1) نمو الطلب على التسويق الرقمي والمحتوى المتخصص</w:t>
      </w:r>
    </w:p>
    <w:p w14:paraId="4E4B690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3E08912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2) تصاعد أهمية التخصيص وتجربة العميل</w:t>
      </w:r>
    </w:p>
    <w:p w14:paraId="69B6333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Pr>
          <w:rFonts w:ascii="Simplified Arabic" w:hAnsi="Simplified Arabic" w:cs="Simplified Arabic"/>
        </w:rPr>
        <w:t>Mendoza et al., 2025</w:t>
      </w:r>
      <w:r>
        <w:rPr>
          <w:rFonts w:ascii="Simplified Arabic" w:hAnsi="Simplified Arabic" w:cs="Simplified Arabic"/>
          <w:rtl/>
        </w:rPr>
        <w:t>؛ رمضان، 2025). كما أن نتائج الدراسات المتعلقة بولاء العملاء الإلكتروني في السوق السعودي تدعم أهمية هذا المسار من زاوية المخرجات التسويقية طويلة الأثر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0DD7332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3) البيئة المؤسسية الداعمة للتحول الرقمي والذكاء الاصطناعي</w:t>
      </w:r>
    </w:p>
    <w:p w14:paraId="13D209CE"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Pr>
          <w:rFonts w:ascii="Simplified Arabic" w:hAnsi="Simplified Arabic" w:cs="Simplified Arabic"/>
        </w:rPr>
        <w:t>SDAIA, 2024</w:t>
      </w:r>
      <w:r>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BCEE4DF" w14:textId="77777777" w:rsidR="00F035EA" w:rsidRPr="00915B55" w:rsidRDefault="00F035EA" w:rsidP="00F035EA">
      <w:pPr>
        <w:bidi/>
        <w:jc w:val="both"/>
        <w:rPr>
          <w:rFonts w:ascii="Simplified Arabic" w:hAnsi="Simplified Arabic" w:cs="Simplified Arabic"/>
          <w:rtl/>
        </w:rPr>
      </w:pPr>
    </w:p>
    <w:p w14:paraId="4B2F3253" w14:textId="77777777" w:rsidR="00F035EA" w:rsidRPr="00915B55" w:rsidRDefault="00F035EA" w:rsidP="00F035EA">
      <w:pPr>
        <w:bidi/>
        <w:spacing w:after="200" w:line="240" w:lineRule="auto"/>
        <w:rPr>
          <w:rFonts w:ascii="Simplified Arabic" w:hAnsi="Simplified Arabic" w:cs="Simplified Arabic"/>
          <w:b/>
          <w:bCs/>
          <w:rtl/>
        </w:rPr>
      </w:pPr>
      <w:r>
        <w:rPr>
          <w:rFonts w:ascii="Sakkal Majalla" w:hAnsi="Sakkal Majalla" w:cs="Sakkal Majalla" w:hint="cs"/>
          <w:b/>
          <w:bCs/>
          <w:color w:val="1F497D" w:themeColor="text2"/>
          <w:sz w:val="32"/>
          <w:szCs w:val="32"/>
          <w:u w:val="single"/>
          <w:rtl/>
        </w:rPr>
        <w:t>ال</w:t>
      </w:r>
      <w:r>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CAA88F8"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الأداء التسويقي ومؤشراته</w:t>
      </w:r>
    </w:p>
    <w:p w14:paraId="655584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Pr>
          <w:rFonts w:ascii="Simplified Arabic" w:hAnsi="Simplified Arabic" w:cs="Simplified Arabic"/>
        </w:rPr>
        <w:t>Sharabati et al., 2024</w:t>
      </w:r>
      <w:r>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1CD1F6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3DF1A856"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تعريف الأداء التسويقي وأبرز مؤشرات قياسه</w:t>
      </w:r>
      <w:r>
        <w:rPr>
          <w:rFonts w:ascii="Simplified Arabic" w:hAnsi="Simplified Arabic" w:cs="Simplified Arabic" w:hint="cs"/>
          <w:b/>
          <w:bCs/>
          <w:rtl/>
        </w:rPr>
        <w:t xml:space="preserve"> </w:t>
      </w:r>
    </w:p>
    <w:p w14:paraId="7AD3C26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28D50CF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w:t>
      </w:r>
      <w:r>
        <w:rPr>
          <w:rFonts w:ascii="Simplified Arabic" w:hAnsi="Simplified Arabic" w:cs="Simplified Arabic"/>
          <w:rtl/>
        </w:rPr>
        <w:lastRenderedPageBreak/>
        <w:t>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Pr>
          <w:rFonts w:ascii="Simplified Arabic" w:hAnsi="Simplified Arabic" w:cs="Simplified Arabic" w:hint="cs"/>
          <w:rtl/>
        </w:rPr>
        <w:t>، و</w:t>
      </w:r>
      <w:r>
        <w:rPr>
          <w:rFonts w:ascii="Simplified Arabic" w:hAnsi="Simplified Arabic" w:cs="Simplified Arabic"/>
          <w:rtl/>
        </w:rPr>
        <w:t>يمكن تنظيم أبرز مؤشرات الأداء التسويقي في المؤشرات الآتية:</w:t>
      </w:r>
    </w:p>
    <w:p w14:paraId="105EE74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حصة السوق</w:t>
      </w:r>
      <w:r>
        <w:rPr>
          <w:rFonts w:ascii="Simplified Arabic" w:hAnsi="Simplified Arabic" w:cs="Simplified Arabic" w:hint="cs"/>
          <w:rtl/>
        </w:rPr>
        <w:t xml:space="preserve"> </w:t>
      </w:r>
    </w:p>
    <w:p w14:paraId="23DC35B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Pr>
          <w:rFonts w:ascii="Simplified Arabic" w:hAnsi="Simplified Arabic" w:cs="Simplified Arabic"/>
        </w:rPr>
        <w:t>Sharabati et al., 2024</w:t>
      </w:r>
      <w:r>
        <w:rPr>
          <w:rFonts w:ascii="Simplified Arabic" w:hAnsi="Simplified Arabic" w:cs="Simplified Arabic"/>
          <w:rtl/>
        </w:rPr>
        <w:t>).</w:t>
      </w:r>
    </w:p>
    <w:p w14:paraId="52055E8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معدل التحويل</w:t>
      </w:r>
      <w:r>
        <w:rPr>
          <w:rFonts w:ascii="Simplified Arabic" w:hAnsi="Simplified Arabic" w:cs="Simplified Arabic" w:hint="cs"/>
          <w:rtl/>
        </w:rPr>
        <w:t xml:space="preserve"> </w:t>
      </w:r>
    </w:p>
    <w:p w14:paraId="33096CD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Pr>
          <w:rFonts w:ascii="Simplified Arabic" w:hAnsi="Simplified Arabic" w:cs="Simplified Arabic"/>
        </w:rPr>
        <w:t>Islam et al., 2024</w:t>
      </w:r>
      <w:r>
        <w:rPr>
          <w:rFonts w:ascii="Simplified Arabic" w:hAnsi="Simplified Arabic" w:cs="Simplified Arabic"/>
          <w:rtl/>
        </w:rPr>
        <w:t>).</w:t>
      </w:r>
    </w:p>
    <w:p w14:paraId="0BA051B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Pr>
          <w:rFonts w:ascii="Simplified Arabic" w:hAnsi="Simplified Arabic" w:cs="Simplified Arabic"/>
        </w:rPr>
        <w:t>Mendoza et al., 2025</w:t>
      </w:r>
      <w:r>
        <w:rPr>
          <w:rFonts w:ascii="Simplified Arabic" w:hAnsi="Simplified Arabic" w:cs="Simplified Arabic"/>
          <w:rtl/>
        </w:rPr>
        <w:t>).</w:t>
      </w:r>
    </w:p>
    <w:p w14:paraId="206C81E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العائد على الاستثمار التسويقي</w:t>
      </w:r>
    </w:p>
    <w:p w14:paraId="7DC01DE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Pr>
          <w:rFonts w:ascii="Simplified Arabic" w:hAnsi="Simplified Arabic" w:cs="Simplified Arabic"/>
        </w:rPr>
        <w:t>Nuremberg Institute for Market Decisions, 2024</w:t>
      </w:r>
      <w:r>
        <w:rPr>
          <w:rFonts w:ascii="Simplified Arabic" w:hAnsi="Simplified Arabic" w:cs="Simplified Arabic"/>
          <w:rtl/>
        </w:rPr>
        <w:t>).</w:t>
      </w:r>
    </w:p>
    <w:p w14:paraId="4E4846D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رضا العملاء</w:t>
      </w:r>
      <w:r>
        <w:rPr>
          <w:rFonts w:ascii="Simplified Arabic" w:hAnsi="Simplified Arabic" w:cs="Simplified Arabic" w:hint="cs"/>
          <w:rtl/>
        </w:rPr>
        <w:t xml:space="preserve"> </w:t>
      </w:r>
    </w:p>
    <w:p w14:paraId="45D18B3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Pr>
          <w:rFonts w:ascii="Simplified Arabic" w:hAnsi="Simplified Arabic" w:cs="Simplified Arabic"/>
        </w:rPr>
        <w:t>Alotaibi &amp; Al Youbi, 2024</w:t>
      </w:r>
      <w:r>
        <w:rPr>
          <w:rFonts w:ascii="Simplified Arabic" w:hAnsi="Simplified Arabic" w:cs="Simplified Arabic"/>
          <w:rtl/>
        </w:rPr>
        <w:t>).</w:t>
      </w:r>
    </w:p>
    <w:p w14:paraId="12D71E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5) ولاء العملاء </w:t>
      </w:r>
      <w:r>
        <w:rPr>
          <w:rFonts w:ascii="Simplified Arabic" w:hAnsi="Simplified Arabic" w:cs="Simplified Arabic" w:hint="cs"/>
          <w:rtl/>
        </w:rPr>
        <w:t xml:space="preserve"> </w:t>
      </w:r>
    </w:p>
    <w:p w14:paraId="61CBBCF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601D9517"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Pr>
          <w:rFonts w:ascii="Simplified Arabic" w:hAnsi="Simplified Arabic" w:cs="Simplified Arabic"/>
        </w:rPr>
        <w:t>Wang et al., 2025</w:t>
      </w:r>
      <w:r>
        <w:rPr>
          <w:rFonts w:ascii="Simplified Arabic" w:hAnsi="Simplified Arabic" w:cs="Simplified Arabic"/>
          <w:rtl/>
        </w:rPr>
        <w:t>).</w:t>
      </w:r>
    </w:p>
    <w:p w14:paraId="69ED7E20" w14:textId="77777777" w:rsidR="00F035EA" w:rsidRPr="00915B55" w:rsidRDefault="00F035EA" w:rsidP="00F035EA">
      <w:pPr>
        <w:bidi/>
        <w:jc w:val="both"/>
        <w:rPr>
          <w:rFonts w:ascii="Simplified Arabic" w:hAnsi="Simplified Arabic" w:cs="Simplified Arabic"/>
          <w:rtl/>
        </w:rPr>
      </w:pPr>
    </w:p>
    <w:p w14:paraId="570C8B9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أبعاد الأداء التسويقي في البيئة الرقمية</w:t>
      </w:r>
    </w:p>
    <w:p w14:paraId="1754AE6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26B43B6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البعد التشغيلي للأداء التسويقي الرقمي</w:t>
      </w:r>
    </w:p>
    <w:p w14:paraId="6B57B3E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Pr>
          <w:rFonts w:ascii="Simplified Arabic" w:hAnsi="Simplified Arabic" w:cs="Simplified Arabic"/>
        </w:rPr>
        <w:t>Heitmann, 2024</w:t>
      </w:r>
      <w:r>
        <w:rPr>
          <w:rFonts w:ascii="Simplified Arabic" w:hAnsi="Simplified Arabic" w:cs="Simplified Arabic"/>
          <w:rtl/>
        </w:rPr>
        <w:t>).</w:t>
      </w:r>
    </w:p>
    <w:p w14:paraId="1E9DD52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الناحية التطبيقية، يُقاس هذا البعد في التسويق الرقمي بمؤشرات تشغيلية مثل:</w:t>
      </w:r>
    </w:p>
    <w:p w14:paraId="2806F50A"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زمن إنتاج المحتوى أو تجهيز الحملة.</w:t>
      </w:r>
    </w:p>
    <w:p w14:paraId="2DF33921"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سرعة الاستجابة للتعديلات أثناء التنفيذ.</w:t>
      </w:r>
    </w:p>
    <w:p w14:paraId="66E37F2D"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عدد البدائل الإبداعية التي يمكن إنتاجها واختبارها ضمن إطار زمني محدد.</w:t>
      </w:r>
    </w:p>
    <w:p w14:paraId="4092D988"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معدل الالتزام بخطة النشر والتنفيذ عبر القنوات.</w:t>
      </w:r>
    </w:p>
    <w:p w14:paraId="5CB01D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Pr>
          <w:rFonts w:ascii="Simplified Arabic" w:hAnsi="Simplified Arabic" w:cs="Simplified Arabic"/>
        </w:rPr>
        <w:t>Nuremberg Institute for Market Decisions, 2024</w:t>
      </w:r>
      <w:r>
        <w:rPr>
          <w:rFonts w:ascii="Simplified Arabic" w:hAnsi="Simplified Arabic" w:cs="Simplified Arabic"/>
          <w:rtl/>
        </w:rPr>
        <w:t>).</w:t>
      </w:r>
    </w:p>
    <w:p w14:paraId="6B717B4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البعد التفاعلي والسلوكي في البيئة الرقمية</w:t>
      </w:r>
    </w:p>
    <w:p w14:paraId="7B9345A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ويشمل هذا البعد مؤشرات مثل:</w:t>
      </w:r>
    </w:p>
    <w:p w14:paraId="5BE42967"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التفاعل مع المحتوى (مثل النقر، المشاركة، التعليق، الحفظ بحسب طبيعة المنصة).</w:t>
      </w:r>
    </w:p>
    <w:p w14:paraId="5B15397F"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 التحويل إلى السلوك المستهدف (شراء، تسجيل، طلب خدمة، تعبئة نموذج).</w:t>
      </w:r>
    </w:p>
    <w:p w14:paraId="584B9840"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الاستجابة للعروض أو الرسائل المخصصة.</w:t>
      </w:r>
    </w:p>
    <w:p w14:paraId="671CA44B"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lastRenderedPageBreak/>
        <w:t>مؤشرات جودة التفاعل (مثل عمق التفاعل أو استمراريته، بحسب ما تتيحه المنصة).</w:t>
      </w:r>
    </w:p>
    <w:p w14:paraId="50D7B14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7DB9D1E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البعد الاقتصادي والنتائجي للأداء التسويقي</w:t>
      </w:r>
    </w:p>
    <w:p w14:paraId="5CB7741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Pr>
          <w:rFonts w:ascii="Simplified Arabic" w:hAnsi="Simplified Arabic" w:cs="Simplified Arabic"/>
        </w:rPr>
        <w:t>Sharabati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وفي التسويق الرقمي، يتجسد هذا البعد غالبًا عبر مؤشرات من أبرزها:</w:t>
      </w:r>
    </w:p>
    <w:p w14:paraId="04ECC3DD"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العائد على الاستثمار التسويقي (</w:t>
      </w:r>
      <w:r>
        <w:rPr>
          <w:rFonts w:ascii="Simplified Arabic" w:hAnsi="Simplified Arabic" w:cs="Simplified Arabic"/>
        </w:rPr>
        <w:t>Marketing ROI</w:t>
      </w:r>
      <w:r>
        <w:rPr>
          <w:rFonts w:ascii="Simplified Arabic" w:hAnsi="Simplified Arabic" w:cs="Simplified Arabic"/>
          <w:rtl/>
        </w:rPr>
        <w:t>): لقياس مردود الحملات مقارنة بالتكلفة.</w:t>
      </w:r>
    </w:p>
    <w:p w14:paraId="0A22A94A"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تكلفة التحويل أو تكلفة اكتساب العميل (بحسب طبيعة النشاط وبيانات القياس المتاحة).</w:t>
      </w:r>
    </w:p>
    <w:p w14:paraId="6EC5319B"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مساهمة الحملات في نمو المبيعات أو الطلبات خلال فترة زمنية محددة.</w:t>
      </w:r>
    </w:p>
    <w:p w14:paraId="1E0CEA37"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تحسن كفاءة الإنفاق الإعلاني عبر مقارنة نتائج القنوات أو الرسائل المختلفة.</w:t>
      </w:r>
    </w:p>
    <w:p w14:paraId="70821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Nuremberg Institute for Market Decisions, 2024</w:t>
      </w:r>
      <w:r>
        <w:rPr>
          <w:rFonts w:ascii="Simplified Arabic" w:hAnsi="Simplified Arabic" w:cs="Simplified Arabic"/>
          <w:rtl/>
        </w:rPr>
        <w:t>).</w:t>
      </w:r>
    </w:p>
    <w:p w14:paraId="48CC6E7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البعد العلاقاتي طويل الأجل</w:t>
      </w:r>
    </w:p>
    <w:p w14:paraId="65B739E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ويُقاس هذا البعد من خلال مؤشرات مثل:</w:t>
      </w:r>
    </w:p>
    <w:p w14:paraId="4134345F"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رضا العملاء عن التجربة الاتصالية أو التسويقية.</w:t>
      </w:r>
    </w:p>
    <w:p w14:paraId="0AC9ECDE"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الولاء (مثل تكرار التعامل أو الاستمرار في التفاعل).</w:t>
      </w:r>
    </w:p>
    <w:p w14:paraId="7F90B7A4"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الميل إلى التوصية بالعلامة التجارية أو تفضيلها.</w:t>
      </w:r>
    </w:p>
    <w:p w14:paraId="6DE21B37"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الاحتفاظ بالعملاء (بحسب طبيعة القطاع والبيانات المتاحة).</w:t>
      </w:r>
    </w:p>
    <w:p w14:paraId="163B0AF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Pr>
          <w:rFonts w:ascii="Simplified Arabic" w:hAnsi="Simplified Arabic" w:cs="Simplified Arabic"/>
        </w:rPr>
        <w:t>Wang et al., 2025</w:t>
      </w:r>
      <w:r>
        <w:rPr>
          <w:rFonts w:ascii="Simplified Arabic" w:hAnsi="Simplified Arabic" w:cs="Simplified Arabic"/>
          <w:rtl/>
        </w:rPr>
        <w:t>).</w:t>
      </w:r>
    </w:p>
    <w:p w14:paraId="721F59B3"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خصائص قياس الأداء التسويقي في البيئة الرقمية</w:t>
      </w:r>
    </w:p>
    <w:p w14:paraId="37C110E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04B3395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السرعة والتتابع الزمني للنتائج</w:t>
      </w:r>
    </w:p>
    <w:p w14:paraId="6AAB0E3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Pr>
          <w:rFonts w:ascii="Simplified Arabic" w:hAnsi="Simplified Arabic" w:cs="Simplified Arabic" w:hint="cs"/>
          <w:rtl/>
        </w:rPr>
        <w:t xml:space="preserve"> </w:t>
      </w:r>
      <w:r>
        <w:rPr>
          <w:rFonts w:ascii="Simplified Arabic" w:hAnsi="Simplified Arabic" w:cs="Simplified Arabic"/>
          <w:rtl/>
        </w:rPr>
        <w:t>(</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p>
    <w:p w14:paraId="3F4CAD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كثافة البيانات وتعدد المؤشرات</w:t>
      </w:r>
    </w:p>
    <w:p w14:paraId="7BB0401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proofErr w:type="spellStart"/>
      <w:r>
        <w:rPr>
          <w:rFonts w:ascii="Simplified Arabic" w:hAnsi="Simplified Arabic" w:cs="Simplified Arabic"/>
        </w:rPr>
        <w:t>Masnita</w:t>
      </w:r>
      <w:proofErr w:type="spellEnd"/>
      <w:r>
        <w:rPr>
          <w:rFonts w:ascii="Simplified Arabic" w:hAnsi="Simplified Arabic" w:cs="Simplified Arabic"/>
        </w:rPr>
        <w:t xml:space="preserve"> et al., 2024</w:t>
      </w:r>
      <w:r>
        <w:rPr>
          <w:rFonts w:ascii="Simplified Arabic" w:hAnsi="Simplified Arabic" w:cs="Simplified Arabic"/>
          <w:rtl/>
        </w:rPr>
        <w:t>).</w:t>
      </w:r>
    </w:p>
    <w:p w14:paraId="33983FB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ترابط الأبعاد وعدم كفاية المؤشر الواحد</w:t>
      </w:r>
    </w:p>
    <w:p w14:paraId="72D1760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hint="cs"/>
          <w:rtl/>
        </w:rPr>
        <w:t>).</w:t>
      </w:r>
    </w:p>
    <w:p w14:paraId="68AA7C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حساسية القياس لجودة التخصيص والمحتوى</w:t>
      </w:r>
    </w:p>
    <w:p w14:paraId="6F65184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p>
    <w:p w14:paraId="1461E9D6" w14:textId="77777777" w:rsidR="00F035EA" w:rsidRPr="00915B55" w:rsidRDefault="00F035EA" w:rsidP="00F035EA">
      <w:pPr>
        <w:bidi/>
        <w:jc w:val="both"/>
        <w:rPr>
          <w:rFonts w:ascii="Simplified Arabic" w:hAnsi="Simplified Arabic" w:cs="Simplified Arabic"/>
          <w:rtl/>
        </w:rPr>
      </w:pPr>
    </w:p>
    <w:p w14:paraId="0B548280"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العلاقة بين الذكاء الاصطناعي التوليدي والأداء التسويقي</w:t>
      </w:r>
    </w:p>
    <w:p w14:paraId="441F0E1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توضيح مسارات </w:t>
      </w:r>
      <w:r>
        <w:rPr>
          <w:rFonts w:ascii="Simplified Arabic" w:hAnsi="Simplified Arabic" w:cs="Simplified Arabic"/>
          <w:b/>
          <w:bCs/>
          <w:rtl/>
        </w:rPr>
        <w:t>أثر الذكاء الاصطناعي التوليدي في فعالية الأداء التسويقي</w:t>
      </w:r>
    </w:p>
    <w:p w14:paraId="766D4F6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5A8C906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مسار التوليد الإبداعي للمحتوى،</w:t>
      </w:r>
      <w:r>
        <w:rPr>
          <w:rFonts w:ascii="Simplified Arabic" w:hAnsi="Simplified Arabic" w:cs="Simplified Arabic" w:hint="cs"/>
          <w:rtl/>
        </w:rPr>
        <w:t xml:space="preserve"> </w:t>
      </w:r>
      <w:r>
        <w:rPr>
          <w:rFonts w:ascii="Simplified Arabic" w:hAnsi="Simplified Arabic" w:cs="Simplified Arabic"/>
          <w:rtl/>
        </w:rPr>
        <w:t>مسار التخصيص والاستهداف،</w:t>
      </w:r>
      <w:r>
        <w:rPr>
          <w:rFonts w:ascii="Simplified Arabic" w:hAnsi="Simplified Arabic" w:cs="Simplified Arabic" w:hint="cs"/>
          <w:rtl/>
        </w:rPr>
        <w:t xml:space="preserve"> </w:t>
      </w:r>
      <w:r>
        <w:rPr>
          <w:rFonts w:ascii="Simplified Arabic" w:hAnsi="Simplified Arabic" w:cs="Simplified Arabic"/>
          <w:rtl/>
        </w:rPr>
        <w:t>مسار التحليل والتحسين المستمر للقرارات.</w:t>
      </w:r>
    </w:p>
    <w:p w14:paraId="5D8C21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Pr>
          <w:rFonts w:ascii="Simplified Arabic" w:hAnsi="Simplified Arabic" w:cs="Simplified Arabic"/>
        </w:rPr>
        <w:t>Islam et al., 2024</w:t>
      </w:r>
      <w:r>
        <w:rPr>
          <w:rFonts w:ascii="Simplified Arabic" w:hAnsi="Simplified Arabic" w:cs="Simplified Arabic"/>
          <w:rtl/>
        </w:rPr>
        <w:t>).</w:t>
      </w:r>
    </w:p>
    <w:p w14:paraId="640018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Pr>
        <w:lastRenderedPageBreak/>
        <w:t>1</w:t>
      </w:r>
      <w:r>
        <w:rPr>
          <w:rFonts w:ascii="Simplified Arabic" w:hAnsi="Simplified Arabic" w:cs="Simplified Arabic" w:hint="cs"/>
          <w:rtl/>
        </w:rPr>
        <w:t xml:space="preserve">. </w:t>
      </w:r>
      <w:r>
        <w:rPr>
          <w:rFonts w:ascii="Simplified Arabic" w:hAnsi="Simplified Arabic" w:cs="Simplified Arabic"/>
          <w:rtl/>
        </w:rPr>
        <w:t>مسار التوليد الإبداعي للمحتوى وأثره في فعالية الأداء</w:t>
      </w:r>
    </w:p>
    <w:p w14:paraId="72BA19C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687B071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w:t>
      </w:r>
    </w:p>
    <w:p w14:paraId="52CBA82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Heitmann, 2024</w:t>
      </w:r>
      <w:r>
        <w:rPr>
          <w:rFonts w:ascii="Simplified Arabic" w:hAnsi="Simplified Arabic" w:cs="Simplified Arabic"/>
          <w:rtl/>
        </w:rPr>
        <w:t>).</w:t>
      </w:r>
    </w:p>
    <w:p w14:paraId="69FE3C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2. </w:t>
      </w:r>
      <w:r>
        <w:rPr>
          <w:rFonts w:ascii="Simplified Arabic" w:hAnsi="Simplified Arabic" w:cs="Simplified Arabic"/>
          <w:rtl/>
        </w:rPr>
        <w:t>مسار التخصيص الدقيق للرسائل وتحسين الاستهداف</w:t>
      </w:r>
    </w:p>
    <w:p w14:paraId="5952A9C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5348C03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Pr>
          <w:rFonts w:ascii="Simplified Arabic" w:hAnsi="Simplified Arabic" w:cs="Simplified Arabic"/>
        </w:rPr>
        <w:t>Wang et al., 2025</w:t>
      </w:r>
      <w:r>
        <w:rPr>
          <w:rFonts w:ascii="Simplified Arabic" w:hAnsi="Simplified Arabic" w:cs="Simplified Arabic"/>
          <w:rtl/>
        </w:rPr>
        <w:t>).</w:t>
      </w:r>
    </w:p>
    <w:p w14:paraId="2903C8C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113AC5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Pr>
          <w:rFonts w:ascii="Simplified Arabic" w:hAnsi="Simplified Arabic" w:cs="Simplified Arabic"/>
        </w:rPr>
        <w:t>SDAIA, 2024</w:t>
      </w:r>
      <w:r>
        <w:rPr>
          <w:rFonts w:ascii="Simplified Arabic" w:hAnsi="Simplified Arabic" w:cs="Simplified Arabic"/>
          <w:rtl/>
        </w:rPr>
        <w:t>).</w:t>
      </w:r>
    </w:p>
    <w:p w14:paraId="16A64B2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3. </w:t>
      </w:r>
      <w:r>
        <w:rPr>
          <w:rFonts w:ascii="Simplified Arabic" w:hAnsi="Simplified Arabic" w:cs="Simplified Arabic"/>
          <w:rtl/>
        </w:rPr>
        <w:t>مسار التحليل والتحسين المستمر للقرارات أثناء الحملة</w:t>
      </w:r>
    </w:p>
    <w:p w14:paraId="049D0EC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Doshi et al., 2025</w:t>
      </w:r>
      <w:r>
        <w:rPr>
          <w:rFonts w:ascii="Simplified Arabic" w:hAnsi="Simplified Arabic" w:cs="Simplified Arabic"/>
          <w:rtl/>
        </w:rPr>
        <w:t>).</w:t>
      </w:r>
    </w:p>
    <w:p w14:paraId="184D91D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72E07D8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Pr>
          <w:rFonts w:ascii="Simplified Arabic" w:hAnsi="Simplified Arabic" w:cs="Simplified Arabic"/>
        </w:rPr>
        <w:t>Nguyen et al., 2025</w:t>
      </w:r>
      <w:r>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93CAC7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ذكر نماذج أو نظريات داعمة مع إبراز أثر الذكاء الاصطناعي على الكفاءة والإبداع</w:t>
      </w:r>
    </w:p>
    <w:p w14:paraId="17B2086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23F9652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منطق “القيمة التسويقية المتولدة” من الذكاء الاصطناعي</w:t>
      </w:r>
    </w:p>
    <w:p w14:paraId="31AB89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Pr>
          <w:rFonts w:ascii="Simplified Arabic" w:hAnsi="Simplified Arabic" w:cs="Simplified Arabic"/>
        </w:rPr>
        <w:t>Nuremberg Institute for Market Decisions</w:t>
      </w:r>
      <w:r>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1CB499E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5781DE68"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عبر تحسين الكفاءة في إنتاج المحتوى وإدارته</w:t>
      </w:r>
      <w:r>
        <w:rPr>
          <w:rFonts w:ascii="Simplified Arabic" w:hAnsi="Simplified Arabic" w:cs="Simplified Arabic" w:hint="cs"/>
          <w:rtl/>
        </w:rPr>
        <w:t>.</w:t>
      </w:r>
    </w:p>
    <w:p w14:paraId="2C3E164C"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تعزيز الإبداع العملي من خلال توسيع البدائل</w:t>
      </w:r>
      <w:r>
        <w:rPr>
          <w:rFonts w:ascii="Simplified Arabic" w:hAnsi="Simplified Arabic" w:cs="Simplified Arabic" w:hint="cs"/>
          <w:rtl/>
        </w:rPr>
        <w:t>.</w:t>
      </w:r>
    </w:p>
    <w:p w14:paraId="64EA2545"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رفع جودة التخصيص بما يخدم التفاعل والتحويل.</w:t>
      </w:r>
    </w:p>
    <w:p w14:paraId="05A4A2BC"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منطق التبني–الدمج–الأثر في فرق التسويق</w:t>
      </w:r>
    </w:p>
    <w:p w14:paraId="1803B1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Pr>
          <w:rFonts w:ascii="Simplified Arabic" w:hAnsi="Simplified Arabic" w:cs="Simplified Arabic"/>
        </w:rPr>
        <w:t>Nguyen et al., 2025</w:t>
      </w:r>
      <w:r>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60BE8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0761175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منطق الثقة/التجربة في تفسير الاستجابة للمخرجات الذكية</w:t>
      </w:r>
    </w:p>
    <w:p w14:paraId="32CA162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رغم أن بعض الأدبيات مثل </w:t>
      </w:r>
      <w:r>
        <w:rPr>
          <w:rFonts w:ascii="Simplified Arabic" w:hAnsi="Simplified Arabic" w:cs="Simplified Arabic"/>
        </w:rPr>
        <w:t>Ameen et al</w:t>
      </w:r>
      <w:r>
        <w:rPr>
          <w:rFonts w:ascii="Simplified Arabic" w:hAnsi="Simplified Arabic" w:cs="Simplified Arabic" w:hint="cs"/>
          <w:rtl/>
        </w:rPr>
        <w:t xml:space="preserve"> </w:t>
      </w:r>
      <w:r>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Pr>
          <w:rFonts w:ascii="Simplified Arabic" w:hAnsi="Simplified Arabic" w:cs="Simplified Arabic"/>
        </w:rPr>
        <w:t>Ameen et al., 2021</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0DC118C3" w14:textId="77777777" w:rsidR="00F035EA" w:rsidRPr="00A20BAB" w:rsidRDefault="00F035EA" w:rsidP="00F035EA">
      <w:pPr>
        <w:bidi/>
        <w:rPr>
          <w:rFonts w:ascii="Simplified Arabic" w:hAnsi="Simplified Arabic" w:cs="Simplified Arabic"/>
          <w:rtl/>
        </w:rPr>
      </w:pPr>
    </w:p>
    <w:p w14:paraId="43DF999A" w14:textId="77777777" w:rsidR="00F035EA" w:rsidRPr="00675F33"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الدراسات السابقة</w:t>
      </w:r>
      <w:r>
        <w:rPr>
          <w:rFonts w:ascii="Sakkal Majalla" w:hAnsi="Sakkal Majalla" w:cs="Sakkal Majalla"/>
          <w:b/>
          <w:bCs/>
          <w:color w:val="00B0F0"/>
          <w:sz w:val="32"/>
          <w:szCs w:val="32"/>
          <w:u w:val="single"/>
          <w:rtl/>
        </w:rPr>
        <w:t>:</w:t>
      </w:r>
    </w:p>
    <w:p w14:paraId="74147B97" w14:textId="77777777" w:rsidR="00F035EA" w:rsidRDefault="00F035EA" w:rsidP="00F035EA">
      <w:pPr>
        <w:bidi/>
        <w:spacing w:after="200" w:line="240" w:lineRule="auto"/>
        <w:rPr>
          <w:rFonts w:ascii="Simplified Arabic" w:hAnsi="Simplified Arabic" w:cs="Simplified Arabic"/>
          <w:b/>
          <w:bCs/>
          <w:color w:val="EE0000"/>
          <w:rtl/>
        </w:rPr>
      </w:pPr>
      <w:r>
        <w:rPr>
          <w:rFonts w:ascii="Sakkal Majalla" w:hAnsi="Sakkal Majalla" w:cs="Sakkal Majalla"/>
          <w:b/>
          <w:bCs/>
          <w:color w:val="1F497D" w:themeColor="text2"/>
          <w:sz w:val="32"/>
          <w:szCs w:val="32"/>
          <w:u w:val="single"/>
          <w:rtl/>
        </w:rPr>
        <w:t>المحور الأول: توظيف تقنيات الذكاء الاصطناعي التوليدي في تصميم الحملات التسويقية الرقمية</w:t>
      </w:r>
    </w:p>
    <w:p w14:paraId="50D6371B" w14:textId="77777777" w:rsidR="00F035EA" w:rsidRDefault="00F035EA" w:rsidP="00F035EA">
      <w:pPr>
        <w:bidi/>
        <w:spacing w:after="200" w:line="240" w:lineRule="auto"/>
        <w:jc w:val="both"/>
        <w:rPr>
          <w:rFonts w:ascii="Simplified Arabic" w:hAnsi="Simplified Arabic" w:cs="Simplified Arabic"/>
          <w:rtl/>
        </w:rPr>
      </w:pPr>
      <w:bookmarkStart w:id="2" w:name="_Hlk213567627"/>
      <w:r>
        <w:rPr>
          <w:rFonts w:ascii="Simplified Arabic" w:hAnsi="Simplified Arabic" w:cs="Simplified Arabic"/>
          <w:rtl/>
        </w:rPr>
        <w:t>أجرى</w:t>
      </w:r>
      <w:bookmarkEnd w:id="2"/>
      <w:r>
        <w:rPr>
          <w:rFonts w:ascii="Simplified Arabic" w:hAnsi="Simplified Arabic" w:cs="Simplified Arabic"/>
          <w:rtl/>
        </w:rPr>
        <w:t xml:space="preserve"> الخطيب </w:t>
      </w:r>
      <w:r>
        <w:rPr>
          <w:rFonts w:ascii="Simplified Arabic" w:hAnsi="Simplified Arabic" w:cs="Simplified Arabic"/>
        </w:rPr>
        <w:t xml:space="preserve"> (2024) </w:t>
      </w:r>
      <w:r>
        <w:rPr>
          <w:rFonts w:ascii="Simplified Arabic" w:hAnsi="Simplified Arabic" w:cs="Simplified Arabic"/>
          <w:rtl/>
        </w:rPr>
        <w:t xml:space="preserve">دراسة بعنوان </w:t>
      </w:r>
      <w:r>
        <w:rPr>
          <w:rFonts w:ascii="Simplified Arabic" w:hAnsi="Simplified Arabic" w:cs="Simplified Arabic"/>
        </w:rPr>
        <w:t>"</w:t>
      </w:r>
      <w:r>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Pr>
          <w:rFonts w:ascii="Simplified Arabic" w:hAnsi="Simplified Arabic" w:cs="Simplified Arabic"/>
        </w:rPr>
        <w:t xml:space="preserve">". </w:t>
      </w:r>
      <w:r>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Pr>
          <w:rFonts w:ascii="Simplified Arabic" w:hAnsi="Simplified Arabic" w:cs="Simplified Arabic"/>
        </w:rPr>
        <w:t xml:space="preserve"> . </w:t>
      </w:r>
      <w:r>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Pr>
          <w:rFonts w:ascii="Simplified Arabic" w:hAnsi="Simplified Arabic" w:cs="Simplified Arabic"/>
        </w:rPr>
        <w:t xml:space="preserve">. </w:t>
      </w:r>
      <w:r>
        <w:rPr>
          <w:rFonts w:ascii="Simplified Arabic" w:hAnsi="Simplified Arabic" w:cs="Simplified Arabic"/>
          <w:rtl/>
        </w:rPr>
        <w:t xml:space="preserve">بلغ حجم العينة (الحد الأدنى) </w:t>
      </w:r>
      <w:r>
        <w:rPr>
          <w:rFonts w:ascii="Simplified Arabic" w:hAnsi="Simplified Arabic" w:cs="Simplified Arabic"/>
        </w:rPr>
        <w:t xml:space="preserve"> 384 </w:t>
      </w:r>
      <w:r>
        <w:rPr>
          <w:rFonts w:ascii="Simplified Arabic" w:hAnsi="Simplified Arabic" w:cs="Simplified Arabic"/>
          <w:rtl/>
        </w:rPr>
        <w:t>مفردة من العملاء، وتم جمع البيانات الأولية من خلال استمارة إلكترونية باستخدام عينة كرة الثلج</w:t>
      </w:r>
      <w:r>
        <w:rPr>
          <w:rFonts w:ascii="Simplified Arabic" w:hAnsi="Simplified Arabic" w:cs="Simplified Arabic"/>
        </w:rPr>
        <w:t xml:space="preserve">(Snowball Sample) </w:t>
      </w:r>
      <w:r>
        <w:rPr>
          <w:rFonts w:ascii="Simplified Arabic" w:hAnsi="Simplified Arabic" w:cs="Simplified Arabic" w:hint="cs"/>
          <w:rtl/>
        </w:rPr>
        <w:t xml:space="preserve">. </w:t>
      </w:r>
      <w:r>
        <w:rPr>
          <w:rFonts w:ascii="Simplified Arabic" w:hAnsi="Simplified Arabic" w:cs="Simplified Arabic"/>
          <w:rtl/>
        </w:rPr>
        <w:t>وقد تضمنت أدوات التحليل الإحصائي المستخدمة معامل الثبات ألفا كرونباخ</w:t>
      </w:r>
      <w:r>
        <w:rPr>
          <w:rFonts w:ascii="Simplified Arabic" w:hAnsi="Simplified Arabic" w:cs="Simplified Arabic"/>
        </w:rPr>
        <w:t xml:space="preserve">(Cronbach's Alpha) </w:t>
      </w:r>
      <w:r>
        <w:rPr>
          <w:rFonts w:ascii="Simplified Arabic" w:hAnsi="Simplified Arabic" w:cs="Simplified Arabic"/>
          <w:rtl/>
        </w:rPr>
        <w:t>، ومعامل الارتباط بيرسون، بالإضافة إلى تحليل الانحدار</w:t>
      </w:r>
      <w:r>
        <w:rPr>
          <w:rFonts w:ascii="Simplified Arabic" w:hAnsi="Simplified Arabic" w:cs="Simplified Arabic"/>
        </w:rPr>
        <w:t xml:space="preserve"> (Regression Analysis) </w:t>
      </w:r>
      <w:r>
        <w:rPr>
          <w:rFonts w:ascii="Simplified Arabic" w:hAnsi="Simplified Arabic" w:cs="Simplified Arabic"/>
          <w:rtl/>
        </w:rPr>
        <w:t>واختبارات</w:t>
      </w:r>
      <w:r>
        <w:rPr>
          <w:rFonts w:ascii="Simplified Arabic" w:hAnsi="Simplified Arabic" w:cs="Simplified Arabic"/>
        </w:rPr>
        <w:t xml:space="preserve"> T-Test </w:t>
      </w:r>
      <w:r>
        <w:rPr>
          <w:rFonts w:ascii="Simplified Arabic" w:hAnsi="Simplified Arabic" w:cs="Simplified Arabic"/>
          <w:rtl/>
        </w:rPr>
        <w:t>و</w:t>
      </w:r>
      <w:r>
        <w:rPr>
          <w:rFonts w:ascii="Simplified Arabic" w:hAnsi="Simplified Arabic" w:cs="Simplified Arabic"/>
        </w:rPr>
        <w:t xml:space="preserve"> F- Test </w:t>
      </w:r>
      <w:r>
        <w:rPr>
          <w:rFonts w:ascii="Simplified Arabic" w:hAnsi="Simplified Arabic" w:cs="Simplified Arabic" w:hint="cs"/>
          <w:rtl/>
        </w:rPr>
        <w:t xml:space="preserve"> </w:t>
      </w:r>
      <w:r>
        <w:rPr>
          <w:rFonts w:ascii="Simplified Arabic" w:hAnsi="Simplified Arabic" w:cs="Simplified Arabic"/>
          <w:rtl/>
        </w:rPr>
        <w:t>لاختبار فروض الدراسة</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Pr>
          <w:rFonts w:ascii="Simplified Arabic" w:hAnsi="Simplified Arabic" w:cs="Simplified Arabic"/>
        </w:rPr>
        <w:t xml:space="preserve">: </w:t>
      </w:r>
      <w:r>
        <w:rPr>
          <w:rFonts w:ascii="Simplified Arabic" w:hAnsi="Simplified Arabic" w:cs="Simplified Arabic"/>
          <w:rtl/>
        </w:rPr>
        <w:t>جذب الانتباه، خلق الاهتمام، إثارة الرغبة، والشراء الفعلي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Pr>
          <w:rFonts w:ascii="Simplified Arabic" w:hAnsi="Simplified Arabic" w:cs="Simplified Arabic"/>
        </w:rPr>
        <w:t xml:space="preserve">. </w:t>
      </w:r>
      <w:r>
        <w:rPr>
          <w:rFonts w:ascii="Simplified Arabic" w:hAnsi="Simplified Arabic" w:cs="Simplified Arabic"/>
          <w:rtl/>
        </w:rPr>
        <w:t>كما أوصت بالتدريب المستمر للمسوقين على تقنية تحسين محركات البحث</w:t>
      </w:r>
      <w:r>
        <w:rPr>
          <w:rFonts w:ascii="Simplified Arabic" w:hAnsi="Simplified Arabic" w:cs="Simplified Arabic"/>
        </w:rPr>
        <w:t xml:space="preserve"> (SEO) </w:t>
      </w:r>
      <w:r>
        <w:rPr>
          <w:rFonts w:ascii="Simplified Arabic" w:hAnsi="Simplified Arabic" w:cs="Simplified Arabic"/>
          <w:rtl/>
        </w:rPr>
        <w:t>وروبوتات الدردشة</w:t>
      </w:r>
      <w:r>
        <w:rPr>
          <w:rFonts w:ascii="Simplified Arabic" w:hAnsi="Simplified Arabic" w:cs="Simplified Arabic"/>
        </w:rPr>
        <w:t>.</w:t>
      </w:r>
    </w:p>
    <w:p w14:paraId="450CEC30" w14:textId="77777777" w:rsidR="00F035EA" w:rsidRPr="0005238F"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1BCDBE10" w14:textId="77777777" w:rsidR="00F035EA" w:rsidRPr="00644BCE" w:rsidRDefault="00F035EA" w:rsidP="00F035EA">
      <w:pPr>
        <w:bidi/>
        <w:spacing w:after="200" w:line="240" w:lineRule="auto"/>
        <w:jc w:val="both"/>
        <w:rPr>
          <w:rFonts w:ascii="Simplified Arabic" w:hAnsi="Simplified Arabic" w:cs="Simplified Arabic"/>
        </w:rPr>
      </w:pPr>
    </w:p>
    <w:p w14:paraId="3F01305F"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rtl/>
        </w:rPr>
        <w:t>أجرى</w:t>
      </w:r>
      <w:r>
        <w:rPr>
          <w:rFonts w:ascii="Simplified Arabic" w:hAnsi="Simplified Arabic" w:cs="Simplified Arabic" w:hint="cs"/>
          <w:rtl/>
        </w:rPr>
        <w:t xml:space="preserve"> الباحثان </w:t>
      </w:r>
      <w:r>
        <w:rPr>
          <w:rFonts w:ascii="Simplified Arabic" w:hAnsi="Simplified Arabic" w:cs="Simplified Arabic"/>
        </w:rPr>
        <w:t>(Gujar &amp; Panyam, 2024)</w:t>
      </w:r>
      <w:r>
        <w:rPr>
          <w:rFonts w:ascii="Simplified Arabic" w:hAnsi="Simplified Arabic" w:cs="Simplified Arabic" w:hint="cs"/>
          <w:rtl/>
        </w:rPr>
        <w:t xml:space="preserve"> دراسة و</w:t>
      </w:r>
      <w:r>
        <w:rPr>
          <w:rFonts w:ascii="Simplified Arabic" w:hAnsi="Simplified Arabic" w:cs="Simplified Arabic"/>
          <w:rtl/>
        </w:rPr>
        <w:t>التي حملت عنوان</w:t>
      </w:r>
      <w:r>
        <w:rPr>
          <w:rFonts w:ascii="Simplified Arabic" w:hAnsi="Simplified Arabic" w:cs="Simplified Arabic"/>
        </w:rPr>
        <w:t xml:space="preserve"> "Generative AI in Digital Advertising Campaigns"</w:t>
      </w:r>
      <w:r>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Pr>
          <w:rFonts w:ascii="Simplified Arabic" w:hAnsi="Simplified Arabic" w:cs="Simplified Arabic"/>
        </w:rPr>
        <w:t xml:space="preserve"> Netflix </w:t>
      </w:r>
      <w:r>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Pr>
          <w:rFonts w:ascii="Simplified Arabic" w:hAnsi="Simplified Arabic" w:cs="Simplified Arabic"/>
        </w:rPr>
        <w:t xml:space="preserve">. </w:t>
      </w:r>
    </w:p>
    <w:p w14:paraId="2BA98E12" w14:textId="77777777" w:rsidR="00F035EA" w:rsidRPr="0005238F"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22BC0F0C"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دراسة إسلام وزملاؤه (</w:t>
      </w:r>
      <w:r>
        <w:rPr>
          <w:rFonts w:ascii="Simplified Arabic" w:hAnsi="Simplified Arabic" w:cs="Simplified Arabic"/>
        </w:rPr>
        <w:t>Islam et al</w:t>
      </w:r>
      <w:r>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Pr>
          <w:rFonts w:ascii="Simplified Arabic" w:hAnsi="Simplified Arabic" w:cs="Simplified Arabic"/>
        </w:rPr>
        <w:t>MARK-GEN</w:t>
      </w:r>
      <w:r>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Pr>
          <w:rFonts w:ascii="Simplified Arabic" w:hAnsi="Simplified Arabic" w:cs="Simplified Arabic"/>
        </w:rPr>
        <w:t>MARK-GEN</w:t>
      </w:r>
      <w:r>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Pr>
          <w:rFonts w:ascii="Simplified Arabic" w:hAnsi="Simplified Arabic" w:cs="Simplified Arabic"/>
        </w:rPr>
        <w:t>Conceptual Framework</w:t>
      </w:r>
      <w:r>
        <w:rPr>
          <w:rFonts w:ascii="Simplified Arabic" w:hAnsi="Simplified Arabic" w:cs="Simplified Arabic"/>
          <w:rtl/>
        </w:rPr>
        <w:t>)، تم تدعيمه وعرضه من خلال دراستي حالة تطبيقيتين (القياس الافتراضي للملابس (</w:t>
      </w:r>
      <w:r>
        <w:rPr>
          <w:rFonts w:ascii="Simplified Arabic" w:hAnsi="Simplified Arabic" w:cs="Simplified Arabic"/>
        </w:rPr>
        <w:t>Virtual Try-On</w:t>
      </w:r>
      <w:r>
        <w:rPr>
          <w:rFonts w:ascii="Simplified Arabic" w:hAnsi="Simplified Arabic" w:cs="Simplified Arabic"/>
          <w:rtl/>
        </w:rPr>
        <w:t xml:space="preserve">) وتوليد الصور إلى فيديوهات </w:t>
      </w:r>
      <w:r>
        <w:rPr>
          <w:rFonts w:ascii="Simplified Arabic" w:hAnsi="Simplified Arabic" w:cs="Simplified Arabic"/>
        </w:rPr>
        <w:t>(Image-to-Video Generation)</w:t>
      </w:r>
      <w:r>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Pr>
          <w:rFonts w:ascii="Simplified Arabic" w:hAnsi="Simplified Arabic" w:cs="Simplified Arabic"/>
        </w:rPr>
        <w:t>GANs</w:t>
      </w:r>
      <w:r>
        <w:rPr>
          <w:rFonts w:ascii="Simplified Arabic" w:hAnsi="Simplified Arabic" w:cs="Simplified Arabic"/>
          <w:rtl/>
        </w:rPr>
        <w:t>) ونماذج الانتشار (</w:t>
      </w:r>
      <w:r>
        <w:rPr>
          <w:rFonts w:ascii="Simplified Arabic" w:hAnsi="Simplified Arabic" w:cs="Simplified Arabic"/>
        </w:rPr>
        <w:t>Diffusion Models</w:t>
      </w:r>
      <w:r>
        <w:rPr>
          <w:rFonts w:ascii="Simplified Arabic" w:hAnsi="Simplified Arabic" w:cs="Simplified Arabic"/>
          <w:rtl/>
        </w:rPr>
        <w:t>) وبنية (</w:t>
      </w:r>
      <w:r>
        <w:rPr>
          <w:rFonts w:ascii="Simplified Arabic" w:hAnsi="Simplified Arabic" w:cs="Simplified Arabic"/>
        </w:rPr>
        <w:t>U-Net</w:t>
      </w:r>
      <w:r>
        <w:rPr>
          <w:rFonts w:ascii="Simplified Arabic" w:hAnsi="Simplified Arabic" w:cs="Simplified Arabic"/>
          <w:rtl/>
        </w:rPr>
        <w:t xml:space="preserve">) (في تطوير نموذج </w:t>
      </w:r>
      <w:r>
        <w:rPr>
          <w:rFonts w:ascii="Simplified Arabic" w:hAnsi="Simplified Arabic" w:cs="Simplified Arabic"/>
        </w:rPr>
        <w:t>SVTON</w:t>
      </w:r>
      <w:r>
        <w:rPr>
          <w:rFonts w:ascii="Simplified Arabic" w:hAnsi="Simplified Arabic" w:cs="Simplified Arabic"/>
          <w:rtl/>
        </w:rPr>
        <w:t xml:space="preserve"> لعمليات القياس الافتراضي ونموذج </w:t>
      </w:r>
      <w:r>
        <w:rPr>
          <w:rFonts w:ascii="Simplified Arabic" w:hAnsi="Simplified Arabic" w:cs="Simplified Arabic"/>
        </w:rPr>
        <w:t>FashionFlow</w:t>
      </w:r>
      <w:r>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Pr>
          <w:rFonts w:ascii="Simplified Arabic" w:hAnsi="Simplified Arabic" w:cs="Simplified Arabic"/>
        </w:rPr>
        <w:t>ground truth</w:t>
      </w:r>
      <w:r>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Pr>
          <w:rFonts w:ascii="Simplified Arabic" w:hAnsi="Simplified Arabic" w:cs="Simplified Arabic"/>
        </w:rPr>
        <w:t>MARK-GEN</w:t>
      </w:r>
      <w:r>
        <w:rPr>
          <w:rFonts w:ascii="Simplified Arabic" w:hAnsi="Simplified Arabic" w:cs="Simplified Arabic"/>
          <w:rtl/>
        </w:rPr>
        <w:t xml:space="preserve">) </w:t>
      </w:r>
      <w:r>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Pr>
          <w:rFonts w:ascii="Simplified Arabic" w:hAnsi="Simplified Arabic" w:cs="Simplified Arabic"/>
        </w:rPr>
        <w:t>GPUs</w:t>
      </w:r>
      <w:r>
        <w:rPr>
          <w:rFonts w:ascii="Simplified Arabic" w:hAnsi="Simplified Arabic" w:cs="Simplified Arabic"/>
          <w:rtl/>
        </w:rPr>
        <w:t>) وطول فترة تدريب نماذج التعلم العميق.</w:t>
      </w:r>
    </w:p>
    <w:p w14:paraId="239A1647" w14:textId="77777777" w:rsidR="00F035EA" w:rsidRPr="0005238F"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Islam</w:t>
      </w:r>
      <w:r>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Pr>
          <w:rFonts w:ascii="Simplified Arabic" w:hAnsi="Simplified Arabic" w:cs="Simplified Arabic"/>
        </w:rPr>
        <w:t>MARK-GEN</w:t>
      </w:r>
      <w:r>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6955703E" w14:textId="77777777" w:rsidR="00F035EA" w:rsidRPr="004F2B23" w:rsidRDefault="00F035EA" w:rsidP="00F035EA">
      <w:pPr>
        <w:bidi/>
        <w:spacing w:after="200" w:line="240" w:lineRule="auto"/>
        <w:jc w:val="both"/>
        <w:rPr>
          <w:rFonts w:ascii="Simplified Arabic" w:hAnsi="Simplified Arabic" w:cs="Simplified Arabic"/>
          <w:sz w:val="2"/>
          <w:szCs w:val="2"/>
          <w:rtl/>
        </w:rPr>
      </w:pPr>
    </w:p>
    <w:p w14:paraId="0DBFDB2F" w14:textId="77777777" w:rsidR="00F035EA" w:rsidRPr="004223DC"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الثاني: الدوافع والعوائق لتبني الذكاء الاصطناعي في وكالات التسويق السعودية</w:t>
      </w:r>
      <w:r>
        <w:rPr>
          <w:rFonts w:ascii="Simplified Arabic" w:hAnsi="Simplified Arabic" w:cs="Simplified Arabic" w:hint="cs"/>
          <w:b/>
          <w:bCs/>
          <w:color w:val="EE0000"/>
          <w:rtl/>
        </w:rPr>
        <w:t xml:space="preserve"> </w:t>
      </w:r>
    </w:p>
    <w:p w14:paraId="144859B1" w14:textId="77777777" w:rsidR="00F035EA" w:rsidRDefault="00F035EA" w:rsidP="00F035EA">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Pr>
          <w:rFonts w:ascii="Simplified Arabic" w:hAnsi="Simplified Arabic" w:cs="Simplified Arabic"/>
        </w:rPr>
        <w:t>AI</w:t>
      </w:r>
      <w:r>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36A596F2"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99C8BDF" w14:textId="77777777" w:rsidR="00F035EA" w:rsidRPr="00361EA9" w:rsidRDefault="00F035EA" w:rsidP="00F035EA">
      <w:pPr>
        <w:bidi/>
        <w:jc w:val="both"/>
        <w:rPr>
          <w:rFonts w:ascii="Simplified Arabic" w:hAnsi="Simplified Arabic" w:cs="Simplified Arabic"/>
          <w:rtl/>
        </w:rPr>
      </w:pPr>
    </w:p>
    <w:p w14:paraId="55AEA834"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w:t>
      </w:r>
      <w:r>
        <w:rPr>
          <w:rFonts w:ascii="Simplified Arabic" w:hAnsi="Simplified Arabic" w:cs="Simplified Arabic"/>
          <w:rtl/>
        </w:rPr>
        <w:lastRenderedPageBreak/>
        <w:t>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Pr>
          <w:rFonts w:ascii="Simplified Arabic" w:hAnsi="Simplified Arabic" w:cs="Simplified Arabic"/>
        </w:rPr>
        <w:t xml:space="preserve"> (Case Study) </w:t>
      </w:r>
      <w:r>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Pr>
          <w:rFonts w:ascii="Simplified Arabic" w:hAnsi="Simplified Arabic" w:cs="Simplified Arabic"/>
        </w:rPr>
        <w:t xml:space="preserve"> (Big Data) </w:t>
      </w:r>
      <w:r>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Pr>
          <w:rFonts w:ascii="Simplified Arabic" w:hAnsi="Simplified Arabic" w:cs="Simplified Arabic"/>
        </w:rPr>
        <w:t>.</w:t>
      </w:r>
    </w:p>
    <w:p w14:paraId="2877A397" w14:textId="77777777" w:rsidR="00F035EA" w:rsidRPr="00CD177D"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10CBA363" w14:textId="77777777" w:rsidR="00F035EA" w:rsidRDefault="00F035EA" w:rsidP="00F035EA">
      <w:pPr>
        <w:bidi/>
        <w:jc w:val="both"/>
        <w:rPr>
          <w:rFonts w:asciiTheme="majorBidi" w:hAnsiTheme="majorBidi" w:cstheme="majorBidi"/>
          <w:rtl/>
        </w:rPr>
      </w:pPr>
    </w:p>
    <w:p w14:paraId="6F47C40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تناولت دراسة كشتري وزملاؤه (</w:t>
      </w:r>
      <w:proofErr w:type="spellStart"/>
      <w:r>
        <w:rPr>
          <w:rFonts w:ascii="Simplified Arabic" w:hAnsi="Simplified Arabic" w:cs="Simplified Arabic"/>
        </w:rPr>
        <w:t>Kshetri</w:t>
      </w:r>
      <w:proofErr w:type="spellEnd"/>
      <w:r>
        <w:rPr>
          <w:rFonts w:ascii="Simplified Arabic" w:hAnsi="Simplified Arabic" w:cs="Simplified Arabic"/>
        </w:rPr>
        <w:t xml:space="preserve"> et al</w:t>
      </w:r>
      <w:r>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Pr>
          <w:rFonts w:ascii="Simplified Arabic" w:hAnsi="Simplified Arabic" w:cs="Simplified Arabic"/>
        </w:rPr>
        <w:t>GAI</w:t>
      </w:r>
      <w:r>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w:t>
      </w:r>
      <w:r>
        <w:rPr>
          <w:rFonts w:ascii="Simplified Arabic" w:hAnsi="Simplified Arabic" w:cs="Simplified Arabic"/>
          <w:rtl/>
        </w:rPr>
        <w:lastRenderedPageBreak/>
        <w:t>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2F387A84"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proofErr w:type="spellStart"/>
      <w:r>
        <w:rPr>
          <w:rFonts w:ascii="Simplified Arabic" w:hAnsi="Simplified Arabic" w:cs="Simplified Arabic"/>
        </w:rPr>
        <w:t>Kshetri</w:t>
      </w:r>
      <w:proofErr w:type="spellEnd"/>
      <w:r>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24C0ED5A" w14:textId="77777777" w:rsidR="00F035EA" w:rsidRPr="004F2B23" w:rsidRDefault="00F035EA" w:rsidP="00F035EA">
      <w:pPr>
        <w:bidi/>
        <w:jc w:val="both"/>
        <w:rPr>
          <w:rFonts w:ascii="Simplified Arabic" w:hAnsi="Simplified Arabic" w:cs="Simplified Arabic"/>
          <w:sz w:val="2"/>
          <w:szCs w:val="2"/>
          <w:rtl/>
        </w:rPr>
      </w:pPr>
    </w:p>
    <w:p w14:paraId="185E4F8B" w14:textId="77777777" w:rsidR="00F035EA"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الثالث: أثر توظيف الذكاء الاصطناعي التوليدي في فعالية الأداء التسويقي</w:t>
      </w:r>
      <w:r>
        <w:rPr>
          <w:rFonts w:ascii="Simplified Arabic" w:hAnsi="Simplified Arabic" w:cs="Simplified Arabic" w:hint="cs"/>
          <w:b/>
          <w:bCs/>
          <w:rtl/>
        </w:rPr>
        <w:t xml:space="preserve"> </w:t>
      </w:r>
    </w:p>
    <w:p w14:paraId="751E43A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Pr>
          <w:rFonts w:ascii="Simplified Arabic" w:hAnsi="Simplified Arabic" w:cs="Simplified Arabic"/>
        </w:rPr>
        <w:t>AI</w:t>
      </w:r>
      <w:r>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Pr>
          <w:rFonts w:ascii="Simplified Arabic" w:hAnsi="Simplified Arabic" w:cs="Simplified Arabic"/>
        </w:rPr>
        <w:t>(TBI)</w:t>
      </w:r>
      <w:r>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Pr>
          <w:rFonts w:ascii="Simplified Arabic" w:hAnsi="Simplified Arabic" w:cs="Simplified Arabic"/>
        </w:rPr>
        <w:t>SPSS v.25</w:t>
      </w:r>
      <w:r>
        <w:rPr>
          <w:rFonts w:ascii="Simplified Arabic" w:hAnsi="Simplified Arabic" w:cs="Simplified Arabic"/>
          <w:rtl/>
        </w:rPr>
        <w:t xml:space="preserve"> و</w:t>
      </w:r>
      <w:r>
        <w:rPr>
          <w:rFonts w:ascii="Simplified Arabic" w:hAnsi="Simplified Arabic" w:cs="Simplified Arabic"/>
        </w:rPr>
        <w:t>SMART PLS v.4.1.0.2</w:t>
      </w:r>
      <w:r>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Pr>
          <w:rFonts w:ascii="Simplified Arabic" w:hAnsi="Simplified Arabic" w:cs="Simplified Arabic"/>
        </w:rPr>
        <w:t>Expert Systems</w:t>
      </w:r>
      <w:r>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2516A521"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0C9AAB1" w14:textId="77777777" w:rsidR="00F035EA" w:rsidRDefault="00F035EA" w:rsidP="00F035EA">
      <w:pPr>
        <w:bidi/>
        <w:jc w:val="both"/>
        <w:rPr>
          <w:rFonts w:asciiTheme="majorBidi" w:hAnsiTheme="majorBidi" w:cstheme="majorBidi"/>
          <w:rtl/>
        </w:rPr>
      </w:pPr>
    </w:p>
    <w:p w14:paraId="03A641FD"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Pr>
          <w:rFonts w:ascii="Simplified Arabic" w:hAnsi="Simplified Arabic" w:cs="Simplified Arabic"/>
        </w:rPr>
        <w:t>Mendoza et al</w:t>
      </w:r>
      <w:r>
        <w:rPr>
          <w:rFonts w:ascii="Simplified Arabic" w:hAnsi="Simplified Arabic" w:cs="Simplified Arabic"/>
          <w:rtl/>
        </w:rPr>
        <w:t xml:space="preserve">.) دراستهم في عام 2025، تحت عنوان "الذكاء الاصطناعي في التسويق الرقمي: تحليل كمي لتأثيره </w:t>
      </w:r>
      <w:r>
        <w:rPr>
          <w:rFonts w:ascii="Simplified Arabic" w:hAnsi="Simplified Arabic" w:cs="Simplified Arabic"/>
          <w:rtl/>
        </w:rPr>
        <w:lastRenderedPageBreak/>
        <w:t>على تخصيص العملاء". تمثّل الهدف الأساسي لهذا البحث في إجراء تحليل منهجي وكمي لتأثير الذكاء الاصطناعي (</w:t>
      </w:r>
      <w:r>
        <w:rPr>
          <w:rFonts w:ascii="Simplified Arabic" w:hAnsi="Simplified Arabic" w:cs="Simplified Arabic"/>
        </w:rPr>
        <w:t>AI</w:t>
      </w:r>
      <w:r>
        <w:rPr>
          <w:rFonts w:ascii="Simplified Arabic" w:hAnsi="Simplified Arabic" w:cs="Simplified Arabic"/>
          <w:rtl/>
        </w:rPr>
        <w:t>) على تخصيص العملاء</w:t>
      </w:r>
      <w:r>
        <w:rPr>
          <w:rFonts w:ascii="Simplified Arabic" w:hAnsi="Simplified Arabic" w:cs="Simplified Arabic" w:hint="cs"/>
          <w:rtl/>
        </w:rPr>
        <w:t xml:space="preserve"> </w:t>
      </w:r>
      <w:r>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Pr>
          <w:rFonts w:ascii="Simplified Arabic" w:hAnsi="Simplified Arabic" w:cs="Simplified Arabic"/>
        </w:rPr>
        <w:t>PRISMA</w:t>
      </w:r>
      <w:r>
        <w:rPr>
          <w:rFonts w:ascii="Simplified Arabic" w:hAnsi="Simplified Arabic" w:cs="Simplified Arabic"/>
          <w:rtl/>
        </w:rPr>
        <w:t xml:space="preserve"> لإجراء البحث في قواعد بيانات متخصصة مثل </w:t>
      </w:r>
      <w:r>
        <w:rPr>
          <w:rFonts w:ascii="Simplified Arabic" w:hAnsi="Simplified Arabic" w:cs="Simplified Arabic"/>
        </w:rPr>
        <w:t>Scopus</w:t>
      </w:r>
      <w:r>
        <w:rPr>
          <w:rFonts w:ascii="Simplified Arabic" w:hAnsi="Simplified Arabic" w:cs="Simplified Arabic"/>
          <w:rtl/>
        </w:rPr>
        <w:t xml:space="preserve"> و </w:t>
      </w:r>
      <w:r>
        <w:rPr>
          <w:rFonts w:ascii="Simplified Arabic" w:hAnsi="Simplified Arabic" w:cs="Simplified Arabic"/>
        </w:rPr>
        <w:t>Web of Science</w:t>
      </w:r>
      <w:r>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1C3E39C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Mendoza</w:t>
      </w:r>
      <w:r>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Pr>
          <w:rFonts w:ascii="Simplified Arabic" w:hAnsi="Simplified Arabic" w:cs="Simplified Arabic"/>
        </w:rPr>
        <w:t>PRISMA</w:t>
      </w:r>
      <w:r>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1A3BBAAD" w14:textId="77777777" w:rsidR="00F035EA" w:rsidRDefault="00F035EA" w:rsidP="00F035EA">
      <w:pPr>
        <w:spacing w:after="200" w:line="240" w:lineRule="auto"/>
        <w:rPr>
          <w:rFonts w:asciiTheme="majorBidi" w:hAnsiTheme="majorBidi" w:cstheme="majorBidi"/>
        </w:rPr>
      </w:pPr>
      <w:r>
        <w:rPr>
          <w:rFonts w:ascii="Simplified Arabic" w:hAnsi="Simplified Arabic" w:cs="Simplified Arabic"/>
        </w:rPr>
        <w:t xml:space="preserve"> </w:t>
      </w:r>
    </w:p>
    <w:p w14:paraId="00752C7C"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Pr>
          <w:rFonts w:ascii="Simplified Arabic" w:hAnsi="Simplified Arabic" w:cs="Simplified Arabic"/>
        </w:rPr>
        <w:t>AI</w:t>
      </w:r>
      <w:r>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Pr>
          <w:rFonts w:ascii="Simplified Arabic" w:hAnsi="Simplified Arabic" w:cs="Simplified Arabic"/>
        </w:rPr>
        <w:t>Purchase Intention</w:t>
      </w:r>
      <w:r>
        <w:rPr>
          <w:rFonts w:ascii="Simplified Arabic" w:hAnsi="Simplified Arabic" w:cs="Simplified Arabic"/>
          <w:rtl/>
        </w:rPr>
        <w:t xml:space="preserve">)، وتفضيل العلامة التجارية </w:t>
      </w:r>
      <w:r>
        <w:rPr>
          <w:rFonts w:ascii="Simplified Arabic" w:hAnsi="Simplified Arabic" w:cs="Simplified Arabic"/>
        </w:rPr>
        <w:t>(Brand Preference)</w:t>
      </w:r>
      <w:r>
        <w:rPr>
          <w:rFonts w:ascii="Simplified Arabic" w:hAnsi="Simplified Arabic" w:cs="Simplified Arabic"/>
          <w:rtl/>
        </w:rPr>
        <w:t>. ولتحقيق هذا الهدف، اعتمدت الدراسة على الإطار النظري لنموذج قبول التكنولوجيا (</w:t>
      </w:r>
      <w:r>
        <w:rPr>
          <w:rFonts w:ascii="Simplified Arabic" w:hAnsi="Simplified Arabic" w:cs="Simplified Arabic"/>
        </w:rPr>
        <w:t>TAM</w:t>
      </w:r>
      <w:r>
        <w:rPr>
          <w:rFonts w:ascii="Simplified Arabic" w:hAnsi="Simplified Arabic" w:cs="Simplified Arabic"/>
          <w:rtl/>
        </w:rPr>
        <w:t xml:space="preserve">) ونظرية الفعل المنطقي </w:t>
      </w:r>
      <w:r>
        <w:rPr>
          <w:rFonts w:ascii="Simplified Arabic" w:hAnsi="Simplified Arabic" w:cs="Simplified Arabic"/>
        </w:rPr>
        <w:t>(TRA)</w:t>
      </w:r>
      <w:r>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Pr>
          <w:rFonts w:ascii="Simplified Arabic" w:hAnsi="Simplified Arabic" w:cs="Simplified Arabic"/>
        </w:rPr>
        <w:t>(Structural Equation Model - SEM)</w:t>
      </w:r>
      <w:r>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Pr>
          <w:rFonts w:ascii="Simplified Arabic" w:hAnsi="Simplified Arabic" w:cs="Simplified Arabic"/>
        </w:rPr>
        <w:t>AVE</w:t>
      </w:r>
      <w:r>
        <w:rPr>
          <w:rFonts w:ascii="Simplified Arabic" w:hAnsi="Simplified Arabic" w:cs="Simplified Arabic"/>
          <w:rtl/>
        </w:rPr>
        <w:t>). وأكدت النتائج الإحصائية أن النموذج الهيكلي ذو دلالة إحصائية (</w:t>
      </w:r>
      <w:r>
        <w:rPr>
          <w:rFonts w:ascii="Simplified Arabic" w:hAnsi="Simplified Arabic" w:cs="Simplified Arabic"/>
        </w:rPr>
        <w:t>CMIN/DF = 3.117</w:t>
      </w:r>
      <w:r>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Pr>
          <w:rFonts w:ascii="Cambria" w:hAnsi="Cambria" w:cs="Cambria"/>
        </w:rPr>
        <w:t>β</w:t>
      </w:r>
      <w:r>
        <w:rPr>
          <w:rFonts w:ascii="Simplified Arabic" w:hAnsi="Simplified Arabic" w:cs="Simplified Arabic"/>
        </w:rPr>
        <w:t>=0.631</w:t>
      </w:r>
      <w:r>
        <w:rPr>
          <w:rFonts w:ascii="Simplified Arabic" w:hAnsi="Simplified Arabic" w:cs="Simplified Arabic"/>
          <w:rtl/>
        </w:rPr>
        <w:t>) وتفضيل العلامة التجارية (</w:t>
      </w:r>
      <w:r>
        <w:rPr>
          <w:rFonts w:ascii="Cambria" w:hAnsi="Cambria" w:cs="Cambria"/>
        </w:rPr>
        <w:t>β</w:t>
      </w:r>
      <w:r>
        <w:rPr>
          <w:rFonts w:ascii="Simplified Arabic" w:hAnsi="Simplified Arabic" w:cs="Simplified Arabic"/>
        </w:rPr>
        <w:t>=0.733</w:t>
      </w:r>
      <w:r>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2A3835E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تتفق دراسة </w:t>
      </w:r>
      <w:proofErr w:type="spellStart"/>
      <w:r>
        <w:rPr>
          <w:rFonts w:ascii="Simplified Arabic" w:hAnsi="Simplified Arabic" w:cs="Simplified Arabic"/>
        </w:rPr>
        <w:t>Beyari</w:t>
      </w:r>
      <w:proofErr w:type="spellEnd"/>
      <w:r>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49791392" w14:textId="77777777" w:rsidR="00F035EA" w:rsidRDefault="00F035EA" w:rsidP="00F035EA">
      <w:pPr>
        <w:bidi/>
        <w:rPr>
          <w:rFonts w:ascii="Simplified Arabic" w:hAnsi="Simplified Arabic" w:cs="Simplified Arabic"/>
          <w:rtl/>
        </w:rPr>
      </w:pPr>
    </w:p>
    <w:p w14:paraId="44F0AAE8" w14:textId="77777777" w:rsidR="00F035EA" w:rsidRPr="00D14DC7"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F035EA" w:rsidRPr="00BE56D1" w14:paraId="64363B48" w14:textId="77777777" w:rsidTr="0085711F">
        <w:trPr>
          <w:trHeight w:val="626"/>
        </w:trPr>
        <w:tc>
          <w:tcPr>
            <w:tcW w:w="0" w:type="auto"/>
            <w:hideMark/>
          </w:tcPr>
          <w:p w14:paraId="5FD966DD"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الدراسة والمرجع</w:t>
            </w:r>
          </w:p>
        </w:tc>
        <w:tc>
          <w:tcPr>
            <w:tcW w:w="0" w:type="auto"/>
            <w:hideMark/>
          </w:tcPr>
          <w:p w14:paraId="324C0B4C"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المنهجية</w:t>
            </w:r>
          </w:p>
        </w:tc>
        <w:tc>
          <w:tcPr>
            <w:tcW w:w="0" w:type="auto"/>
            <w:hideMark/>
          </w:tcPr>
          <w:p w14:paraId="2A5A2260"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العينة</w:t>
            </w:r>
          </w:p>
        </w:tc>
        <w:tc>
          <w:tcPr>
            <w:tcW w:w="0" w:type="auto"/>
            <w:hideMark/>
          </w:tcPr>
          <w:p w14:paraId="5EE58674"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النتائج الرئيسية</w:t>
            </w:r>
          </w:p>
        </w:tc>
        <w:tc>
          <w:tcPr>
            <w:tcW w:w="0" w:type="auto"/>
            <w:hideMark/>
          </w:tcPr>
          <w:p w14:paraId="2663F838"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الفجوات / أوجه التمايز</w:t>
            </w:r>
          </w:p>
        </w:tc>
      </w:tr>
      <w:tr w:rsidR="00F035EA" w:rsidRPr="00BE56D1" w14:paraId="3B792B63" w14:textId="77777777" w:rsidTr="0085711F">
        <w:trPr>
          <w:trHeight w:val="1891"/>
        </w:trPr>
        <w:tc>
          <w:tcPr>
            <w:tcW w:w="0" w:type="auto"/>
            <w:hideMark/>
          </w:tcPr>
          <w:p w14:paraId="0F8D292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الخطيب</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Pr>
                <w:rFonts w:ascii="Simplified Arabic" w:eastAsia="Times New Roman" w:hAnsi="Simplified Arabic" w:cs="Simplified Arabic"/>
                <w:i/>
                <w:iCs/>
                <w:sz w:val="20"/>
                <w:szCs w:val="20"/>
              </w:rPr>
              <w:t>.</w:t>
            </w:r>
          </w:p>
        </w:tc>
        <w:tc>
          <w:tcPr>
            <w:tcW w:w="0" w:type="auto"/>
            <w:hideMark/>
          </w:tcPr>
          <w:p w14:paraId="35716C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5B4A29B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384 </w:t>
            </w:r>
            <w:r>
              <w:rPr>
                <w:rFonts w:ascii="Simplified Arabic" w:eastAsia="Times New Roman" w:hAnsi="Simplified Arabic" w:cs="Simplified Arabic"/>
                <w:sz w:val="20"/>
                <w:szCs w:val="20"/>
                <w:rtl/>
              </w:rPr>
              <w:t>من عملاء المتاجر الإلكترونية في مصر (عينة كرة الثلج)</w:t>
            </w:r>
            <w:r>
              <w:rPr>
                <w:rFonts w:ascii="Simplified Arabic" w:eastAsia="Times New Roman" w:hAnsi="Simplified Arabic" w:cs="Simplified Arabic"/>
                <w:sz w:val="20"/>
                <w:szCs w:val="20"/>
              </w:rPr>
              <w:t>.</w:t>
            </w:r>
          </w:p>
        </w:tc>
        <w:tc>
          <w:tcPr>
            <w:tcW w:w="0" w:type="auto"/>
            <w:hideMark/>
          </w:tcPr>
          <w:p w14:paraId="472F8E9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Pr>
                <w:rFonts w:ascii="Simplified Arabic" w:eastAsia="Times New Roman" w:hAnsi="Simplified Arabic" w:cs="Simplified Arabic"/>
                <w:sz w:val="20"/>
                <w:szCs w:val="20"/>
              </w:rPr>
              <w:t>.</w:t>
            </w:r>
          </w:p>
        </w:tc>
        <w:tc>
          <w:tcPr>
            <w:tcW w:w="0" w:type="auto"/>
            <w:hideMark/>
          </w:tcPr>
          <w:p w14:paraId="067E6F1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Pr>
                <w:rFonts w:ascii="Simplified Arabic" w:eastAsia="Times New Roman" w:hAnsi="Simplified Arabic" w:cs="Simplified Arabic"/>
                <w:sz w:val="20"/>
                <w:szCs w:val="20"/>
              </w:rPr>
              <w:t>.</w:t>
            </w:r>
          </w:p>
        </w:tc>
      </w:tr>
      <w:tr w:rsidR="00F035EA" w:rsidRPr="00BE56D1" w14:paraId="1595951F" w14:textId="77777777" w:rsidTr="0085711F">
        <w:trPr>
          <w:trHeight w:val="1572"/>
        </w:trPr>
        <w:tc>
          <w:tcPr>
            <w:tcW w:w="0" w:type="auto"/>
            <w:hideMark/>
          </w:tcPr>
          <w:p w14:paraId="328240DE"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Gujar &amp; Panyam (2024) </w:t>
            </w:r>
            <w:r>
              <w:rPr>
                <w:rFonts w:ascii="Simplified Arabic" w:eastAsia="Times New Roman" w:hAnsi="Simplified Arabic" w:cs="Simplified Arabic"/>
                <w:i/>
                <w:iCs/>
                <w:sz w:val="20"/>
                <w:szCs w:val="20"/>
              </w:rPr>
              <w:t>Generative AI in Digital Advertising Campaigns.</w:t>
            </w:r>
          </w:p>
        </w:tc>
        <w:tc>
          <w:tcPr>
            <w:tcW w:w="0" w:type="auto"/>
            <w:hideMark/>
          </w:tcPr>
          <w:p w14:paraId="49FF5E9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أدبيات وتحليل دراسات حالة تطبيقية</w:t>
            </w:r>
            <w:r>
              <w:rPr>
                <w:rFonts w:ascii="Simplified Arabic" w:eastAsia="Times New Roman" w:hAnsi="Simplified Arabic" w:cs="Simplified Arabic"/>
                <w:sz w:val="20"/>
                <w:szCs w:val="20"/>
              </w:rPr>
              <w:t>.</w:t>
            </w:r>
          </w:p>
        </w:tc>
        <w:tc>
          <w:tcPr>
            <w:tcW w:w="0" w:type="auto"/>
            <w:hideMark/>
          </w:tcPr>
          <w:p w14:paraId="64DB92F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حملات إعلانية رقمية لشركات عالمية</w:t>
            </w:r>
            <w:r>
              <w:rPr>
                <w:rFonts w:ascii="Simplified Arabic" w:eastAsia="Times New Roman" w:hAnsi="Simplified Arabic" w:cs="Simplified Arabic"/>
                <w:sz w:val="20"/>
                <w:szCs w:val="20"/>
              </w:rPr>
              <w:t xml:space="preserve"> (Netflix </w:t>
            </w:r>
            <w:r>
              <w:rPr>
                <w:rFonts w:ascii="Simplified Arabic" w:eastAsia="Times New Roman" w:hAnsi="Simplified Arabic" w:cs="Simplified Arabic"/>
                <w:sz w:val="20"/>
                <w:szCs w:val="20"/>
                <w:rtl/>
              </w:rPr>
              <w:t>ومتجر أزياء</w:t>
            </w:r>
            <w:r>
              <w:rPr>
                <w:rFonts w:ascii="Simplified Arabic" w:eastAsia="Times New Roman" w:hAnsi="Simplified Arabic" w:cs="Simplified Arabic"/>
                <w:sz w:val="20"/>
                <w:szCs w:val="20"/>
              </w:rPr>
              <w:t>).</w:t>
            </w:r>
          </w:p>
        </w:tc>
        <w:tc>
          <w:tcPr>
            <w:tcW w:w="0" w:type="auto"/>
            <w:hideMark/>
          </w:tcPr>
          <w:p w14:paraId="56A16FE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Pr>
                <w:rFonts w:ascii="Simplified Arabic" w:eastAsia="Times New Roman" w:hAnsi="Simplified Arabic" w:cs="Simplified Arabic"/>
                <w:sz w:val="20"/>
                <w:szCs w:val="20"/>
              </w:rPr>
              <w:t>.</w:t>
            </w:r>
          </w:p>
        </w:tc>
        <w:tc>
          <w:tcPr>
            <w:tcW w:w="0" w:type="auto"/>
            <w:hideMark/>
          </w:tcPr>
          <w:p w14:paraId="0A4F0C3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Pr>
                <w:rFonts w:ascii="Simplified Arabic" w:eastAsia="Times New Roman" w:hAnsi="Simplified Arabic" w:cs="Simplified Arabic"/>
                <w:sz w:val="20"/>
                <w:szCs w:val="20"/>
              </w:rPr>
              <w:t>.</w:t>
            </w:r>
          </w:p>
        </w:tc>
      </w:tr>
      <w:tr w:rsidR="00F035EA" w:rsidRPr="00BE56D1" w14:paraId="397D0C1D" w14:textId="77777777" w:rsidTr="0085711F">
        <w:trPr>
          <w:trHeight w:val="1880"/>
        </w:trPr>
        <w:tc>
          <w:tcPr>
            <w:tcW w:w="0" w:type="auto"/>
            <w:hideMark/>
          </w:tcPr>
          <w:p w14:paraId="26867D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Islam et al. (2024) </w:t>
            </w:r>
            <w:r>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108E929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مفاهيمي مدعوم بدراسات حالة</w:t>
            </w:r>
            <w:r>
              <w:rPr>
                <w:rFonts w:ascii="Simplified Arabic" w:eastAsia="Times New Roman" w:hAnsi="Simplified Arabic" w:cs="Simplified Arabic"/>
                <w:sz w:val="20"/>
                <w:szCs w:val="20"/>
              </w:rPr>
              <w:t>.</w:t>
            </w:r>
          </w:p>
        </w:tc>
        <w:tc>
          <w:tcPr>
            <w:tcW w:w="0" w:type="auto"/>
            <w:hideMark/>
          </w:tcPr>
          <w:p w14:paraId="489B2D9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شركات في قطاع الأزياء والتجارة الإلكترونية</w:t>
            </w:r>
            <w:r>
              <w:rPr>
                <w:rFonts w:ascii="Simplified Arabic" w:eastAsia="Times New Roman" w:hAnsi="Simplified Arabic" w:cs="Simplified Arabic"/>
                <w:sz w:val="20"/>
                <w:szCs w:val="20"/>
              </w:rPr>
              <w:t>.</w:t>
            </w:r>
          </w:p>
        </w:tc>
        <w:tc>
          <w:tcPr>
            <w:tcW w:w="0" w:type="auto"/>
            <w:hideMark/>
          </w:tcPr>
          <w:p w14:paraId="04308ED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قدم إطار</w:t>
            </w:r>
            <w:r>
              <w:rPr>
                <w:rFonts w:ascii="Simplified Arabic" w:eastAsia="Times New Roman" w:hAnsi="Simplified Arabic" w:cs="Simplified Arabic"/>
                <w:sz w:val="20"/>
                <w:szCs w:val="20"/>
              </w:rPr>
              <w:t xml:space="preserve"> MARK-GEN </w:t>
            </w:r>
            <w:r>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Pr>
                <w:rFonts w:ascii="Simplified Arabic" w:eastAsia="Times New Roman" w:hAnsi="Simplified Arabic" w:cs="Simplified Arabic"/>
                <w:sz w:val="20"/>
                <w:szCs w:val="20"/>
              </w:rPr>
              <w:t>.</w:t>
            </w:r>
          </w:p>
        </w:tc>
        <w:tc>
          <w:tcPr>
            <w:tcW w:w="0" w:type="auto"/>
            <w:hideMark/>
          </w:tcPr>
          <w:p w14:paraId="55E47C2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يختبر الإطار ميدانياً، وتجاهل أثر جودة التصميم على الأداء التسويقي</w:t>
            </w:r>
            <w:r>
              <w:rPr>
                <w:rFonts w:ascii="Simplified Arabic" w:eastAsia="Times New Roman" w:hAnsi="Simplified Arabic" w:cs="Simplified Arabic"/>
                <w:sz w:val="20"/>
                <w:szCs w:val="20"/>
              </w:rPr>
              <w:t>.</w:t>
            </w:r>
          </w:p>
        </w:tc>
      </w:tr>
      <w:tr w:rsidR="00F035EA" w:rsidRPr="00BE56D1" w14:paraId="74C3272A" w14:textId="77777777" w:rsidTr="0085711F">
        <w:trPr>
          <w:trHeight w:val="1572"/>
        </w:trPr>
        <w:tc>
          <w:tcPr>
            <w:tcW w:w="0" w:type="auto"/>
            <w:hideMark/>
          </w:tcPr>
          <w:p w14:paraId="0D4683B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آل مرعي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Pr>
                <w:rFonts w:ascii="Simplified Arabic" w:eastAsia="Times New Roman" w:hAnsi="Simplified Arabic" w:cs="Simplified Arabic"/>
                <w:i/>
                <w:iCs/>
                <w:sz w:val="20"/>
                <w:szCs w:val="20"/>
              </w:rPr>
              <w:t>.</w:t>
            </w:r>
          </w:p>
        </w:tc>
        <w:tc>
          <w:tcPr>
            <w:tcW w:w="0" w:type="auto"/>
            <w:hideMark/>
          </w:tcPr>
          <w:p w14:paraId="65389CE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الميداني التحليلي</w:t>
            </w:r>
            <w:r>
              <w:rPr>
                <w:rFonts w:ascii="Simplified Arabic" w:eastAsia="Times New Roman" w:hAnsi="Simplified Arabic" w:cs="Simplified Arabic"/>
                <w:sz w:val="20"/>
                <w:szCs w:val="20"/>
              </w:rPr>
              <w:t>.</w:t>
            </w:r>
          </w:p>
        </w:tc>
        <w:tc>
          <w:tcPr>
            <w:tcW w:w="0" w:type="auto"/>
            <w:hideMark/>
          </w:tcPr>
          <w:p w14:paraId="47E879C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400 </w:t>
            </w:r>
            <w:r>
              <w:rPr>
                <w:rFonts w:ascii="Simplified Arabic" w:eastAsia="Times New Roman" w:hAnsi="Simplified Arabic" w:cs="Simplified Arabic"/>
                <w:sz w:val="20"/>
                <w:szCs w:val="20"/>
                <w:rtl/>
              </w:rPr>
              <w:t>شاب سعودي من متابعي المحتوى المرئي</w:t>
            </w:r>
            <w:r>
              <w:rPr>
                <w:rFonts w:ascii="Simplified Arabic" w:eastAsia="Times New Roman" w:hAnsi="Simplified Arabic" w:cs="Simplified Arabic"/>
                <w:sz w:val="20"/>
                <w:szCs w:val="20"/>
              </w:rPr>
              <w:t>.</w:t>
            </w:r>
          </w:p>
        </w:tc>
        <w:tc>
          <w:tcPr>
            <w:tcW w:w="0" w:type="auto"/>
            <w:hideMark/>
          </w:tcPr>
          <w:p w14:paraId="3C9486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Pr>
                <w:rFonts w:ascii="Simplified Arabic" w:eastAsia="Times New Roman" w:hAnsi="Simplified Arabic" w:cs="Simplified Arabic"/>
                <w:sz w:val="20"/>
                <w:szCs w:val="20"/>
              </w:rPr>
              <w:t>.</w:t>
            </w:r>
          </w:p>
        </w:tc>
        <w:tc>
          <w:tcPr>
            <w:tcW w:w="0" w:type="auto"/>
            <w:hideMark/>
          </w:tcPr>
          <w:p w14:paraId="28FFB4A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Pr>
                <w:rFonts w:ascii="Simplified Arabic" w:eastAsia="Times New Roman" w:hAnsi="Simplified Arabic" w:cs="Simplified Arabic"/>
                <w:sz w:val="20"/>
                <w:szCs w:val="20"/>
              </w:rPr>
              <w:t>.</w:t>
            </w:r>
          </w:p>
        </w:tc>
      </w:tr>
      <w:tr w:rsidR="00F035EA" w:rsidRPr="00BE56D1" w14:paraId="041F13C0" w14:textId="77777777" w:rsidTr="0085711F">
        <w:trPr>
          <w:trHeight w:val="1891"/>
        </w:trPr>
        <w:tc>
          <w:tcPr>
            <w:tcW w:w="0" w:type="auto"/>
            <w:hideMark/>
          </w:tcPr>
          <w:p w14:paraId="7DC259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lastRenderedPageBreak/>
              <w:t>العتيبي واليُوبي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Pr>
                <w:rFonts w:ascii="Simplified Arabic" w:eastAsia="Times New Roman" w:hAnsi="Simplified Arabic" w:cs="Simplified Arabic"/>
                <w:i/>
                <w:iCs/>
                <w:sz w:val="20"/>
                <w:szCs w:val="20"/>
              </w:rPr>
              <w:t>.</w:t>
            </w:r>
          </w:p>
        </w:tc>
        <w:tc>
          <w:tcPr>
            <w:tcW w:w="0" w:type="auto"/>
            <w:hideMark/>
          </w:tcPr>
          <w:p w14:paraId="23F7904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حالة</w:t>
            </w:r>
            <w:r>
              <w:rPr>
                <w:rFonts w:ascii="Simplified Arabic" w:eastAsia="Times New Roman" w:hAnsi="Simplified Arabic" w:cs="Simplified Arabic"/>
                <w:sz w:val="20"/>
                <w:szCs w:val="20"/>
              </w:rPr>
              <w:t>.</w:t>
            </w:r>
          </w:p>
        </w:tc>
        <w:tc>
          <w:tcPr>
            <w:tcW w:w="0" w:type="auto"/>
            <w:hideMark/>
          </w:tcPr>
          <w:p w14:paraId="6B66B77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موظفو شركة موبايلي بالمملكة العربية السعودية</w:t>
            </w:r>
            <w:r>
              <w:rPr>
                <w:rFonts w:ascii="Simplified Arabic" w:eastAsia="Times New Roman" w:hAnsi="Simplified Arabic" w:cs="Simplified Arabic"/>
                <w:sz w:val="20"/>
                <w:szCs w:val="20"/>
              </w:rPr>
              <w:t>.</w:t>
            </w:r>
          </w:p>
        </w:tc>
        <w:tc>
          <w:tcPr>
            <w:tcW w:w="0" w:type="auto"/>
            <w:hideMark/>
          </w:tcPr>
          <w:p w14:paraId="5E98B7C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Pr>
                <w:rFonts w:ascii="Simplified Arabic" w:eastAsia="Times New Roman" w:hAnsi="Simplified Arabic" w:cs="Simplified Arabic"/>
                <w:sz w:val="20"/>
                <w:szCs w:val="20"/>
              </w:rPr>
              <w:t>.</w:t>
            </w:r>
          </w:p>
        </w:tc>
        <w:tc>
          <w:tcPr>
            <w:tcW w:w="0" w:type="auto"/>
            <w:hideMark/>
          </w:tcPr>
          <w:p w14:paraId="23D02B6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Pr>
                <w:rFonts w:ascii="Simplified Arabic" w:eastAsia="Times New Roman" w:hAnsi="Simplified Arabic" w:cs="Simplified Arabic"/>
                <w:sz w:val="20"/>
                <w:szCs w:val="20"/>
              </w:rPr>
              <w:t>.</w:t>
            </w:r>
          </w:p>
        </w:tc>
      </w:tr>
      <w:tr w:rsidR="00F035EA" w:rsidRPr="00BE56D1" w14:paraId="4300E9F2" w14:textId="77777777" w:rsidTr="0085711F">
        <w:trPr>
          <w:trHeight w:val="626"/>
        </w:trPr>
        <w:tc>
          <w:tcPr>
            <w:tcW w:w="0" w:type="auto"/>
            <w:hideMark/>
          </w:tcPr>
          <w:p w14:paraId="374558BC" w14:textId="77777777" w:rsidR="00F035EA" w:rsidRPr="00BE56D1" w:rsidRDefault="00F035EA" w:rsidP="0085711F">
            <w:pPr>
              <w:spacing w:after="0" w:line="240" w:lineRule="auto"/>
              <w:rPr>
                <w:rFonts w:ascii="Simplified Arabic" w:eastAsia="Times New Roman" w:hAnsi="Simplified Arabic" w:cs="Simplified Arabic"/>
                <w:sz w:val="20"/>
                <w:szCs w:val="20"/>
              </w:rPr>
            </w:pPr>
            <w:proofErr w:type="spellStart"/>
            <w:r>
              <w:rPr>
                <w:rFonts w:ascii="Simplified Arabic" w:eastAsia="Times New Roman" w:hAnsi="Simplified Arabic" w:cs="Simplified Arabic"/>
                <w:sz w:val="20"/>
                <w:szCs w:val="20"/>
              </w:rPr>
              <w:t>Kshetri</w:t>
            </w:r>
            <w:proofErr w:type="spellEnd"/>
            <w:r>
              <w:rPr>
                <w:rFonts w:ascii="Simplified Arabic" w:eastAsia="Times New Roman" w:hAnsi="Simplified Arabic" w:cs="Simplified Arabic"/>
                <w:sz w:val="20"/>
                <w:szCs w:val="20"/>
              </w:rPr>
              <w:t xml:space="preserve"> et al. (2023) </w:t>
            </w:r>
            <w:r>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7A69EFA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مفاهيمية تحليلية</w:t>
            </w:r>
            <w:r>
              <w:rPr>
                <w:rFonts w:ascii="Simplified Arabic" w:eastAsia="Times New Roman" w:hAnsi="Simplified Arabic" w:cs="Simplified Arabic"/>
                <w:sz w:val="20"/>
                <w:szCs w:val="20"/>
              </w:rPr>
              <w:t>.</w:t>
            </w:r>
          </w:p>
        </w:tc>
        <w:tc>
          <w:tcPr>
            <w:tcW w:w="0" w:type="auto"/>
            <w:hideMark/>
          </w:tcPr>
          <w:p w14:paraId="4D1C8F5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منظمات تسويق وإعلان عالمية</w:t>
            </w:r>
            <w:r>
              <w:rPr>
                <w:rFonts w:ascii="Simplified Arabic" w:eastAsia="Times New Roman" w:hAnsi="Simplified Arabic" w:cs="Simplified Arabic"/>
                <w:sz w:val="20"/>
                <w:szCs w:val="20"/>
              </w:rPr>
              <w:t>.</w:t>
            </w:r>
          </w:p>
        </w:tc>
        <w:tc>
          <w:tcPr>
            <w:tcW w:w="0" w:type="auto"/>
            <w:hideMark/>
          </w:tcPr>
          <w:p w14:paraId="5BB4188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Pr>
                <w:rFonts w:ascii="Simplified Arabic" w:eastAsia="Times New Roman" w:hAnsi="Simplified Arabic" w:cs="Simplified Arabic"/>
                <w:sz w:val="20"/>
                <w:szCs w:val="20"/>
              </w:rPr>
              <w:t>.</w:t>
            </w:r>
          </w:p>
        </w:tc>
        <w:tc>
          <w:tcPr>
            <w:tcW w:w="0" w:type="auto"/>
            <w:hideMark/>
          </w:tcPr>
          <w:p w14:paraId="271DF30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Pr>
                <w:rFonts w:ascii="Simplified Arabic" w:eastAsia="Times New Roman" w:hAnsi="Simplified Arabic" w:cs="Simplified Arabic"/>
                <w:sz w:val="20"/>
                <w:szCs w:val="20"/>
              </w:rPr>
              <w:t>.</w:t>
            </w:r>
          </w:p>
        </w:tc>
      </w:tr>
      <w:tr w:rsidR="00F035EA" w:rsidRPr="00BE56D1" w14:paraId="22C96BAD" w14:textId="77777777" w:rsidTr="0085711F">
        <w:trPr>
          <w:trHeight w:val="136"/>
        </w:trPr>
        <w:tc>
          <w:tcPr>
            <w:tcW w:w="0" w:type="auto"/>
            <w:hideMark/>
          </w:tcPr>
          <w:p w14:paraId="151BCEAB"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اللهيبي وآخرون</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تطبيق الذكاء الاصطناعي على الأداء التسويقي المصرفي</w:t>
            </w:r>
            <w:r>
              <w:rPr>
                <w:rFonts w:ascii="Simplified Arabic" w:eastAsia="Times New Roman" w:hAnsi="Simplified Arabic" w:cs="Simplified Arabic"/>
                <w:i/>
                <w:iCs/>
                <w:sz w:val="20"/>
                <w:szCs w:val="20"/>
              </w:rPr>
              <w:t>.</w:t>
            </w:r>
          </w:p>
        </w:tc>
        <w:tc>
          <w:tcPr>
            <w:tcW w:w="0" w:type="auto"/>
            <w:hideMark/>
          </w:tcPr>
          <w:p w14:paraId="66D443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7823B80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120 </w:t>
            </w:r>
            <w:r>
              <w:rPr>
                <w:rFonts w:ascii="Simplified Arabic" w:eastAsia="Times New Roman" w:hAnsi="Simplified Arabic" w:cs="Simplified Arabic"/>
                <w:sz w:val="20"/>
                <w:szCs w:val="20"/>
                <w:rtl/>
              </w:rPr>
              <w:t>موظفاً في ثلاثة مصارف حكومية عراقية</w:t>
            </w:r>
            <w:r>
              <w:rPr>
                <w:rFonts w:ascii="Simplified Arabic" w:eastAsia="Times New Roman" w:hAnsi="Simplified Arabic" w:cs="Simplified Arabic"/>
                <w:sz w:val="20"/>
                <w:szCs w:val="20"/>
              </w:rPr>
              <w:t>.</w:t>
            </w:r>
          </w:p>
        </w:tc>
        <w:tc>
          <w:tcPr>
            <w:tcW w:w="0" w:type="auto"/>
            <w:hideMark/>
          </w:tcPr>
          <w:p w14:paraId="0D57A19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تأثير موجبة وذات دلالة معنوية بين تطبيق</w:t>
            </w:r>
            <w:r>
              <w:rPr>
                <w:rFonts w:ascii="Simplified Arabic" w:eastAsia="Times New Roman" w:hAnsi="Simplified Arabic" w:cs="Simplified Arabic"/>
                <w:sz w:val="20"/>
                <w:szCs w:val="20"/>
              </w:rPr>
              <w:t xml:space="preserve"> AI </w:t>
            </w:r>
            <w:r>
              <w:rPr>
                <w:rFonts w:ascii="Simplified Arabic" w:eastAsia="Times New Roman" w:hAnsi="Simplified Arabic" w:cs="Simplified Arabic"/>
                <w:sz w:val="20"/>
                <w:szCs w:val="20"/>
                <w:rtl/>
              </w:rPr>
              <w:t>والأداء التسويقي</w:t>
            </w:r>
            <w:r>
              <w:rPr>
                <w:rFonts w:ascii="Simplified Arabic" w:eastAsia="Times New Roman" w:hAnsi="Simplified Arabic" w:cs="Simplified Arabic"/>
                <w:sz w:val="20"/>
                <w:szCs w:val="20"/>
              </w:rPr>
              <w:t>.</w:t>
            </w:r>
          </w:p>
        </w:tc>
        <w:tc>
          <w:tcPr>
            <w:tcW w:w="0" w:type="auto"/>
            <w:hideMark/>
          </w:tcPr>
          <w:p w14:paraId="75DFB902"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Pr>
                <w:rFonts w:ascii="Simplified Arabic" w:eastAsia="Times New Roman" w:hAnsi="Simplified Arabic" w:cs="Simplified Arabic"/>
                <w:sz w:val="20"/>
                <w:szCs w:val="20"/>
              </w:rPr>
              <w:t>.</w:t>
            </w:r>
          </w:p>
        </w:tc>
      </w:tr>
      <w:tr w:rsidR="00F035EA" w:rsidRPr="00BE56D1" w14:paraId="28A52AB1" w14:textId="77777777" w:rsidTr="0085711F">
        <w:trPr>
          <w:trHeight w:val="136"/>
        </w:trPr>
        <w:tc>
          <w:tcPr>
            <w:tcW w:w="0" w:type="auto"/>
            <w:hideMark/>
          </w:tcPr>
          <w:p w14:paraId="24349F8B"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Mendoza et al. (2025) </w:t>
            </w:r>
            <w:r>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11D96D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منهجية وتحليل كمي</w:t>
            </w:r>
            <w:r>
              <w:rPr>
                <w:rFonts w:ascii="Simplified Arabic" w:eastAsia="Times New Roman" w:hAnsi="Simplified Arabic" w:cs="Simplified Arabic"/>
                <w:sz w:val="20"/>
                <w:szCs w:val="20"/>
              </w:rPr>
              <w:t xml:space="preserve"> (PRISMA).</w:t>
            </w:r>
          </w:p>
        </w:tc>
        <w:tc>
          <w:tcPr>
            <w:tcW w:w="0" w:type="auto"/>
            <w:hideMark/>
          </w:tcPr>
          <w:p w14:paraId="5D3FA9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18 </w:t>
            </w:r>
            <w:r>
              <w:rPr>
                <w:rFonts w:ascii="Simplified Arabic" w:eastAsia="Times New Roman" w:hAnsi="Simplified Arabic" w:cs="Simplified Arabic"/>
                <w:sz w:val="20"/>
                <w:szCs w:val="20"/>
                <w:rtl/>
              </w:rPr>
              <w:t>دراسة من</w:t>
            </w:r>
            <w:r>
              <w:rPr>
                <w:rFonts w:ascii="Simplified Arabic" w:eastAsia="Times New Roman" w:hAnsi="Simplified Arabic" w:cs="Simplified Arabic"/>
                <w:sz w:val="20"/>
                <w:szCs w:val="20"/>
              </w:rPr>
              <w:t xml:space="preserve"> Scopus </w:t>
            </w:r>
            <w:r>
              <w:rPr>
                <w:rFonts w:ascii="Simplified Arabic" w:eastAsia="Times New Roman" w:hAnsi="Simplified Arabic" w:cs="Simplified Arabic"/>
                <w:sz w:val="20"/>
                <w:szCs w:val="20"/>
                <w:rtl/>
              </w:rPr>
              <w:t>و</w:t>
            </w:r>
            <w:r>
              <w:rPr>
                <w:rFonts w:ascii="Simplified Arabic" w:eastAsia="Times New Roman" w:hAnsi="Simplified Arabic" w:cs="Simplified Arabic"/>
                <w:sz w:val="20"/>
                <w:szCs w:val="20"/>
              </w:rPr>
              <w:t xml:space="preserve"> Web of Science.</w:t>
            </w:r>
          </w:p>
        </w:tc>
        <w:tc>
          <w:tcPr>
            <w:tcW w:w="0" w:type="auto"/>
            <w:hideMark/>
          </w:tcPr>
          <w:p w14:paraId="6E44476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Pr>
                <w:rFonts w:ascii="Simplified Arabic" w:eastAsia="Times New Roman" w:hAnsi="Simplified Arabic" w:cs="Simplified Arabic"/>
                <w:sz w:val="20"/>
                <w:szCs w:val="20"/>
              </w:rPr>
              <w:t>.</w:t>
            </w:r>
          </w:p>
        </w:tc>
        <w:tc>
          <w:tcPr>
            <w:tcW w:w="0" w:type="auto"/>
            <w:hideMark/>
          </w:tcPr>
          <w:p w14:paraId="4C746721"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تحليل عالمي دون إسقاط على السياق السعودي أو مراحل التصميم التسويقي</w:t>
            </w:r>
            <w:r>
              <w:rPr>
                <w:rFonts w:ascii="Simplified Arabic" w:eastAsia="Times New Roman" w:hAnsi="Simplified Arabic" w:cs="Simplified Arabic"/>
                <w:sz w:val="20"/>
                <w:szCs w:val="20"/>
              </w:rPr>
              <w:t>.</w:t>
            </w:r>
          </w:p>
        </w:tc>
      </w:tr>
      <w:tr w:rsidR="00F035EA" w:rsidRPr="00BE56D1" w14:paraId="698409ED" w14:textId="77777777" w:rsidTr="0085711F">
        <w:trPr>
          <w:trHeight w:val="1891"/>
        </w:trPr>
        <w:tc>
          <w:tcPr>
            <w:tcW w:w="0" w:type="auto"/>
            <w:hideMark/>
          </w:tcPr>
          <w:p w14:paraId="636389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بياري</w:t>
            </w:r>
            <w:r>
              <w:rPr>
                <w:rFonts w:ascii="Simplified Arabic" w:eastAsia="Times New Roman" w:hAnsi="Simplified Arabic" w:cs="Simplified Arabic"/>
                <w:sz w:val="20"/>
                <w:szCs w:val="20"/>
              </w:rPr>
              <w:t xml:space="preserve"> (2025) </w:t>
            </w:r>
            <w:r>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CA41B0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كمي</w:t>
            </w:r>
            <w:r>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tl/>
              </w:rPr>
              <w:t>نمذجة معادلات هيكلية</w:t>
            </w:r>
            <w:r>
              <w:rPr>
                <w:rFonts w:ascii="Simplified Arabic" w:eastAsia="Times New Roman" w:hAnsi="Simplified Arabic" w:cs="Simplified Arabic"/>
                <w:sz w:val="20"/>
                <w:szCs w:val="20"/>
              </w:rPr>
              <w:t xml:space="preserve"> SEM.</w:t>
            </w:r>
          </w:p>
        </w:tc>
        <w:tc>
          <w:tcPr>
            <w:tcW w:w="0" w:type="auto"/>
            <w:hideMark/>
          </w:tcPr>
          <w:p w14:paraId="3EAE2CE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157 </w:t>
            </w:r>
            <w:r>
              <w:rPr>
                <w:rFonts w:ascii="Simplified Arabic" w:eastAsia="Times New Roman" w:hAnsi="Simplified Arabic" w:cs="Simplified Arabic"/>
                <w:sz w:val="20"/>
                <w:szCs w:val="20"/>
                <w:rtl/>
              </w:rPr>
              <w:t>مشاركاً في منصات التجارة الإلكترونية السعودية</w:t>
            </w:r>
            <w:r>
              <w:rPr>
                <w:rFonts w:ascii="Simplified Arabic" w:eastAsia="Times New Roman" w:hAnsi="Simplified Arabic" w:cs="Simplified Arabic"/>
                <w:sz w:val="20"/>
                <w:szCs w:val="20"/>
              </w:rPr>
              <w:t>.</w:t>
            </w:r>
          </w:p>
        </w:tc>
        <w:tc>
          <w:tcPr>
            <w:tcW w:w="0" w:type="auto"/>
            <w:hideMark/>
          </w:tcPr>
          <w:p w14:paraId="3AFD140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Pr>
                <w:rFonts w:ascii="Simplified Arabic" w:eastAsia="Times New Roman" w:hAnsi="Simplified Arabic" w:cs="Simplified Arabic"/>
                <w:sz w:val="20"/>
                <w:szCs w:val="20"/>
              </w:rPr>
              <w:t>.</w:t>
            </w:r>
          </w:p>
        </w:tc>
        <w:tc>
          <w:tcPr>
            <w:tcW w:w="0" w:type="auto"/>
            <w:hideMark/>
          </w:tcPr>
          <w:p w14:paraId="19F5106E"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Pr>
                <w:rFonts w:ascii="Simplified Arabic" w:eastAsia="Times New Roman" w:hAnsi="Simplified Arabic" w:cs="Simplified Arabic"/>
                <w:sz w:val="20"/>
                <w:szCs w:val="20"/>
              </w:rPr>
              <w:t>.</w:t>
            </w:r>
          </w:p>
        </w:tc>
      </w:tr>
    </w:tbl>
    <w:p w14:paraId="097DAB42" w14:textId="77777777" w:rsidR="00F035EA" w:rsidRPr="00BE56D1" w:rsidRDefault="00F035EA" w:rsidP="00F035EA">
      <w:pPr>
        <w:bidi/>
        <w:rPr>
          <w:rFonts w:ascii="Simplified Arabic" w:hAnsi="Simplified Arabic" w:cs="Simplified Arabic"/>
          <w:rtl/>
        </w:rPr>
      </w:pPr>
    </w:p>
    <w:p w14:paraId="351FB481"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مايميز الدراسة الحالية عن الدراسات السابقة</w:t>
      </w:r>
    </w:p>
    <w:p w14:paraId="1C5C952D"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Pr>
          <w:rFonts w:ascii="Simplified Arabic" w:hAnsi="Simplified Arabic" w:cs="Simplified Arabic"/>
          <w:rtl/>
        </w:rPr>
        <w:t xml:space="preserve">(الخطيب، 2024؛ </w:t>
      </w:r>
      <w:r>
        <w:rPr>
          <w:rFonts w:ascii="Simplified Arabic" w:hAnsi="Simplified Arabic" w:cs="Simplified Arabic"/>
        </w:rPr>
        <w:t>Gujar &amp; Panyam, 2024</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Pr>
          <w:rFonts w:ascii="Simplified Arabic" w:hAnsi="Simplified Arabic" w:cs="Simplified Arabic"/>
        </w:rPr>
        <w:t>.</w:t>
      </w:r>
    </w:p>
    <w:p w14:paraId="26D3B0CC"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Pr>
          <w:rFonts w:ascii="Simplified Arabic" w:hAnsi="Simplified Arabic" w:cs="Simplified Arabic"/>
          <w:rtl/>
        </w:rPr>
        <w:t>(</w:t>
      </w:r>
      <w:proofErr w:type="spellStart"/>
      <w:r>
        <w:rPr>
          <w:rFonts w:ascii="Simplified Arabic" w:hAnsi="Simplified Arabic" w:cs="Simplified Arabic"/>
        </w:rPr>
        <w:t>Kshetri</w:t>
      </w:r>
      <w:proofErr w:type="spellEnd"/>
      <w:r>
        <w:rPr>
          <w:rFonts w:ascii="Simplified Arabic" w:hAnsi="Simplified Arabic" w:cs="Simplified Arabic"/>
        </w:rPr>
        <w:t xml:space="preserve"> et al., 2023</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Pr>
          <w:rFonts w:ascii="Simplified Arabic" w:hAnsi="Simplified Arabic" w:cs="Simplified Arabic"/>
        </w:rPr>
        <w:t>.</w:t>
      </w:r>
    </w:p>
    <w:p w14:paraId="22324699"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Pr>
          <w:rFonts w:ascii="Simplified Arabic" w:hAnsi="Simplified Arabic" w:cs="Simplified Arabic"/>
          <w:rtl/>
        </w:rPr>
        <w:t xml:space="preserve">(اللهيبي وآخرون، 2024؛ </w:t>
      </w:r>
      <w:proofErr w:type="spellStart"/>
      <w:r>
        <w:rPr>
          <w:rFonts w:ascii="Simplified Arabic" w:hAnsi="Simplified Arabic" w:cs="Simplified Arabic"/>
        </w:rPr>
        <w:t>Beyari</w:t>
      </w:r>
      <w:proofErr w:type="spellEnd"/>
      <w:r>
        <w:rPr>
          <w:rFonts w:ascii="Simplified Arabic" w:hAnsi="Simplified Arabic" w:cs="Simplified Arabic"/>
        </w:rPr>
        <w:t>,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Pr>
          <w:rFonts w:ascii="Simplified Arabic" w:hAnsi="Simplified Arabic" w:cs="Simplified Arabic"/>
        </w:rPr>
        <w:t>.</w:t>
      </w:r>
    </w:p>
    <w:p w14:paraId="7DCB0FC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Pr>
          <w:rFonts w:ascii="Simplified Arabic" w:hAnsi="Simplified Arabic" w:cs="Simplified Arabic"/>
        </w:rPr>
        <w:t>.</w:t>
      </w:r>
    </w:p>
    <w:p w14:paraId="722A42D3"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Pr>
          <w:rFonts w:ascii="Simplified Arabic" w:hAnsi="Simplified Arabic" w:cs="Simplified Arabic"/>
        </w:rPr>
        <w:t>.</w:t>
      </w:r>
    </w:p>
    <w:p w14:paraId="5A52958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Pr>
          <w:rFonts w:ascii="Simplified Arabic" w:hAnsi="Simplified Arabic" w:cs="Simplified Arabic"/>
        </w:rPr>
        <w:t>.</w:t>
      </w:r>
    </w:p>
    <w:p w14:paraId="2D4060FF"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Pr>
          <w:rFonts w:ascii="Simplified Arabic" w:hAnsi="Simplified Arabic" w:cs="Simplified Arabic"/>
        </w:rPr>
        <w:t>.</w:t>
      </w:r>
    </w:p>
    <w:p w14:paraId="19D5EC82"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3EDEF0D9" w14:textId="77777777" w:rsidR="00F035EA" w:rsidRDefault="00F035EA" w:rsidP="00F035EA">
      <w:pPr>
        <w:bidi/>
        <w:spacing w:after="200" w:line="276" w:lineRule="auto"/>
        <w:jc w:val="both"/>
        <w:rPr>
          <w:rFonts w:ascii="Simplified Arabic" w:hAnsi="Simplified Arabic" w:cs="Simplified Arabic"/>
          <w:rtl/>
        </w:rPr>
      </w:pPr>
    </w:p>
    <w:p w14:paraId="09CA8276" w14:textId="77777777" w:rsidR="00F035EA" w:rsidRPr="00B65A24"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w:t>
      </w:r>
    </w:p>
    <w:p w14:paraId="38FBA33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تمهيد</w:t>
      </w:r>
    </w:p>
    <w:p w14:paraId="28B221B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يعرض هذا الفصل خطة الإجراءات المنهجية التي سيتّبعها الباحث في الجانب الميداني من الدراسة، بدءًا من تحديد المنهج المناسب لطبيعة المشكلة البحثية، ووصف مجتمع الدراسة وتعريفه إجرائيًا، وبيان أسلوب اختيار العينة وحجمها، مرورًا بخطوات بناء أداة جمع البيانات والتحقق من صدقها وثباتها، وانتهاءً ببيان الأساليب الإحصائية التي ستُستخدم في تنظيف البيانات وتحليلها واختبار الفرضيات. ولمّا كان هذا الفصل جزءًا من مقترح خطة الأطروحة ولم يُنفَّذ الجانب الميداني بعد، فقد رُوعي في صياغته استخدام صيغة الخطة والمستقبل («سيُجرى»، «ستُجمع»، «سيُعتمد») تمييزًا بين ما هو مخطَّط له وما سيُنفَّذ فعليًا بعد الحصول على الموافقات اللازمة، على أن تُحدَّث الصياغة إلى صيغة الماضي عند كتابة التقرير النهائي بعد إنجاز الجانب الميداني.</w:t>
      </w:r>
    </w:p>
    <w:p w14:paraId="54C553E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ويتناول الفصل في عناصره منهج الدراسة وتصميمها ومتغيراتها، ثم مجتمعها ووحدة تحليلها، وتعريف الفئة المستهدفة والمدن المشمولة ومبررات اختيارها، فعينتها وأسلوب اختيارها وحجمها وإجراءات تطبيقها الميدانية، ثم أداة الدراسة وبناءها وإجراءات التحقق من صدقها وثباتها، فالأساليب الإحصائية المستخدمة في تنظيف بياناتها ومعالجتها، وصولًا إلى الجوانب الأخلاقية لإجراءاتها، ويُختتم بملخص للفصل.</w:t>
      </w:r>
    </w:p>
    <w:p w14:paraId="3130DBFA" w14:textId="77777777" w:rsidR="00F035EA" w:rsidRPr="00FF3463" w:rsidRDefault="00F035EA" w:rsidP="00F035EA">
      <w:pPr>
        <w:bidi/>
        <w:spacing w:after="200" w:line="276" w:lineRule="auto"/>
        <w:rPr>
          <w:rFonts w:ascii="Simplified Arabic" w:hAnsi="Simplified Arabic" w:cs="Simplified Arabic"/>
          <w:rtl/>
        </w:rPr>
      </w:pPr>
    </w:p>
    <w:p w14:paraId="3A73C07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منهج الدراسة وتصميمها</w:t>
      </w:r>
    </w:p>
    <w:p w14:paraId="05AC5DDF"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ستعتمد الدراسة المنهج الوصفي التحليلي لملاءمته طبيعة المشكلة وأهداف الدراسة؛ إذ لا يكتفي هذا المنهج بوصف واقع توظيف تقنيات الذكاء الاصطناعي التوليدي في وكالات التسويق السعودية، بل يتجاوزه إلى تحليل العلاقات بين متغيرات الدراسة وتفسير اتجاه هذه العلاقات وقوتها، وهو ما تتطلبه دراسة تستهدف بناء نموذج تفسيري لا مجرد توصيف للظاهرة.</w:t>
      </w:r>
    </w:p>
    <w:p w14:paraId="4099DB0D"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وتندرج الدراسة ضمن البحوث الكمية لاعتمادها على بيانات رقمية ستُجمع بأداة مقنَّنة وتُعالَج إحصائيًا، وهي دراسة مقطعية (Cross-Sectional) ستُجمع بياناتها في فترة زمنية واحدة تعكس واقع الممارسة المهنية وقت التطبيق، دون متابعة تطور المتغيرات عبر الزمن (Creswell &amp; Creswell, 2018).</w:t>
      </w:r>
    </w:p>
    <w:p w14:paraId="69754D8C"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ونظرًا لأن التصميم المقطعي لا يسمح بضبط التتابع الزمني بين المتغيرات، فإن الدراسة تتجنّب وصف العلاقات المختبرة بأنها علاقات سببية بالمعنى التجريبي الصارم، وتستخدم بدلًا من ذلك عبارات أكثر تحفظًا مثل «الأثر الإحصائي» و«العلاقات التفسيرية» و«العلاقة التفسيرية-الترابطية»، بما ينسجم مع طبيعة نمذجة المعادلات البنائية القائمة على المربعات الصغرى الجزئية (PLS-SEM) التي تختبر شبكة من العلاقات الافتراضية بين المتغيرات دون أن تثبت سببية بالمعنى الصارم للكلمة، إذ يتيح هذا الأسلوب فحص أثر المتغير المستقل في المتغير التابع، ودور المتغير الوسيط، وتأثير المتغيرين المعدِّلين، ضمن نموذج واحد.</w:t>
      </w:r>
    </w:p>
    <w:p w14:paraId="542CED2B" w14:textId="77777777" w:rsidR="00F035EA" w:rsidRDefault="00F035EA" w:rsidP="00F035EA">
      <w:pPr>
        <w:bidi/>
        <w:spacing w:after="200" w:line="276" w:lineRule="auto"/>
        <w:jc w:val="both"/>
        <w:rPr>
          <w:rFonts w:ascii="Simplified Arabic" w:hAnsi="Simplified Arabic" w:cs="Simplified Arabic"/>
          <w:rtl/>
        </w:rPr>
      </w:pPr>
    </w:p>
    <w:p w14:paraId="5A93676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متغيرات الدراسة</w:t>
      </w:r>
    </w:p>
    <w:p w14:paraId="63F1EF7E" w14:textId="77777777" w:rsidR="00F035EA" w:rsidRPr="00B65A2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تقوم الدراسة على خمسة متغيرات يتحدد دور كل منها داخل النموذج التفسيري على النحو الآتي</w:t>
      </w:r>
      <w:r>
        <w:rPr>
          <w:rFonts w:ascii="Simplified Arabic" w:hAnsi="Simplified Arabic" w:cs="Simplified Arabic"/>
        </w:rPr>
        <w:t>:</w:t>
      </w:r>
    </w:p>
    <w:p w14:paraId="537DAD42"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Pr>
          <w:rFonts w:ascii="Simplified Arabic" w:hAnsi="Simplified Arabic" w:cs="Simplified Arabic" w:hint="cs"/>
          <w:rtl/>
        </w:rPr>
        <w:t xml:space="preserve"> </w:t>
      </w:r>
      <w:r>
        <w:rPr>
          <w:rFonts w:ascii="Simplified Arabic" w:hAnsi="Simplified Arabic" w:cs="Simplified Arabic"/>
        </w:rPr>
        <w:t>.(GAIU)</w:t>
      </w:r>
    </w:p>
    <w:p w14:paraId="176C99D1"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جودة عملية تصميم الحملات الرقمية، وهو المتغير الوسيط، ويُقاس بثماني فقرات يرمز إليها بالرمز</w:t>
      </w:r>
      <w:r>
        <w:rPr>
          <w:rFonts w:ascii="Simplified Arabic" w:hAnsi="Simplified Arabic" w:cs="Simplified Arabic"/>
        </w:rPr>
        <w:t xml:space="preserve">.(CDQ) </w:t>
      </w:r>
    </w:p>
    <w:p w14:paraId="3C559C6D"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دوافع تبني التقنية، وهو متغير معدِّل معزِّز، ويُقاس بتسع فقرات يرمز إليها بالرمز</w:t>
      </w:r>
      <w:r>
        <w:rPr>
          <w:rFonts w:ascii="Simplified Arabic" w:hAnsi="Simplified Arabic" w:cs="Simplified Arabic"/>
        </w:rPr>
        <w:t xml:space="preserve">.(ADP) </w:t>
      </w:r>
    </w:p>
    <w:p w14:paraId="3B5ECF99"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Pr>
          <w:rFonts w:ascii="Simplified Arabic" w:hAnsi="Simplified Arabic" w:cs="Simplified Arabic"/>
        </w:rPr>
        <w:t xml:space="preserve"> (BAR)</w:t>
      </w:r>
      <w:r>
        <w:rPr>
          <w:rFonts w:ascii="Simplified Arabic" w:hAnsi="Simplified Arabic" w:cs="Simplified Arabic" w:hint="cs"/>
          <w:rtl/>
        </w:rPr>
        <w:t>.</w:t>
      </w:r>
    </w:p>
    <w:p w14:paraId="3F4EFDCB"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فعالية الأداء التسويقي للحملات الرقمية، وهو المتغير التابع، ويُقاس بتسع فقرات يرمز إليها بالرمز</w:t>
      </w:r>
      <w:r>
        <w:rPr>
          <w:rFonts w:ascii="Simplified Arabic" w:hAnsi="Simplified Arabic" w:cs="Simplified Arabic"/>
        </w:rPr>
        <w:t xml:space="preserve">.(MP) </w:t>
      </w:r>
    </w:p>
    <w:p w14:paraId="546B2D16" w14:textId="77777777" w:rsidR="00F035EA" w:rsidRPr="004F4747" w:rsidRDefault="00F035EA" w:rsidP="00F035EA">
      <w:pPr>
        <w:bidi/>
        <w:spacing w:after="200" w:line="276" w:lineRule="auto"/>
        <w:rPr>
          <w:rFonts w:ascii="Simplified Arabic" w:hAnsi="Simplified Arabic" w:cs="Simplified Arabic"/>
          <w:b/>
          <w:bCs/>
          <w:rtl/>
        </w:rPr>
      </w:pPr>
      <w:r>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F035EA" w:rsidRPr="004F4747" w14:paraId="52C303BE" w14:textId="77777777" w:rsidTr="0085711F">
        <w:tc>
          <w:tcPr>
            <w:tcW w:w="1855" w:type="dxa"/>
            <w:shd w:val="clear" w:color="auto" w:fill="BFBFBF" w:themeFill="background1" w:themeFillShade="BF"/>
          </w:tcPr>
          <w:p w14:paraId="2EAD84C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المتغير</w:t>
            </w:r>
          </w:p>
        </w:tc>
        <w:tc>
          <w:tcPr>
            <w:tcW w:w="2400" w:type="dxa"/>
            <w:shd w:val="clear" w:color="auto" w:fill="BFBFBF" w:themeFill="background1" w:themeFillShade="BF"/>
          </w:tcPr>
          <w:p w14:paraId="51CA98D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دوره في النموذج</w:t>
            </w:r>
          </w:p>
        </w:tc>
        <w:tc>
          <w:tcPr>
            <w:tcW w:w="1560" w:type="dxa"/>
            <w:shd w:val="clear" w:color="auto" w:fill="BFBFBF" w:themeFill="background1" w:themeFillShade="BF"/>
          </w:tcPr>
          <w:p w14:paraId="6456107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2400" w:type="dxa"/>
            <w:shd w:val="clear" w:color="auto" w:fill="BFBFBF" w:themeFill="background1" w:themeFillShade="BF"/>
          </w:tcPr>
          <w:p w14:paraId="54C2DDC7"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عدد الفقرات</w:t>
            </w:r>
          </w:p>
        </w:tc>
      </w:tr>
      <w:tr w:rsidR="00F035EA" w:rsidRPr="004F4747" w14:paraId="0CDED43E" w14:textId="77777777" w:rsidTr="0085711F">
        <w:tc>
          <w:tcPr>
            <w:tcW w:w="1855" w:type="dxa"/>
          </w:tcPr>
          <w:p w14:paraId="1E7371C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توظيف تقنيات الذكاء الاصطناعي التوليدي</w:t>
            </w:r>
          </w:p>
        </w:tc>
        <w:tc>
          <w:tcPr>
            <w:tcW w:w="2400" w:type="dxa"/>
          </w:tcPr>
          <w:p w14:paraId="4DE1C73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مستقل</w:t>
            </w:r>
          </w:p>
        </w:tc>
        <w:tc>
          <w:tcPr>
            <w:tcW w:w="1560" w:type="dxa"/>
          </w:tcPr>
          <w:p w14:paraId="69A5ACC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GAIU</w:t>
            </w:r>
          </w:p>
        </w:tc>
        <w:tc>
          <w:tcPr>
            <w:tcW w:w="2400" w:type="dxa"/>
          </w:tcPr>
          <w:p w14:paraId="13E32A6A"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1395E7FC" w14:textId="77777777" w:rsidTr="0085711F">
        <w:trPr>
          <w:trHeight w:val="485"/>
        </w:trPr>
        <w:tc>
          <w:tcPr>
            <w:tcW w:w="1855" w:type="dxa"/>
          </w:tcPr>
          <w:p w14:paraId="5B80F6A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جودة عملية تصميم الحملات</w:t>
            </w:r>
          </w:p>
        </w:tc>
        <w:tc>
          <w:tcPr>
            <w:tcW w:w="2400" w:type="dxa"/>
          </w:tcPr>
          <w:p w14:paraId="7D847F3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وسيط</w:t>
            </w:r>
          </w:p>
        </w:tc>
        <w:tc>
          <w:tcPr>
            <w:tcW w:w="1560" w:type="dxa"/>
          </w:tcPr>
          <w:p w14:paraId="5F10A96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CDQ</w:t>
            </w:r>
          </w:p>
        </w:tc>
        <w:tc>
          <w:tcPr>
            <w:tcW w:w="2400" w:type="dxa"/>
          </w:tcPr>
          <w:p w14:paraId="1D3EF6F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8</w:t>
            </w:r>
          </w:p>
        </w:tc>
      </w:tr>
      <w:tr w:rsidR="00F035EA" w:rsidRPr="004F4747" w14:paraId="64A6B2E3" w14:textId="77777777" w:rsidTr="0085711F">
        <w:tc>
          <w:tcPr>
            <w:tcW w:w="1855" w:type="dxa"/>
          </w:tcPr>
          <w:p w14:paraId="78F1582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دوافع التبني</w:t>
            </w:r>
          </w:p>
        </w:tc>
        <w:tc>
          <w:tcPr>
            <w:tcW w:w="2400" w:type="dxa"/>
          </w:tcPr>
          <w:p w14:paraId="5DCEE2E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معزِّز</w:t>
            </w:r>
          </w:p>
        </w:tc>
        <w:tc>
          <w:tcPr>
            <w:tcW w:w="1560" w:type="dxa"/>
          </w:tcPr>
          <w:p w14:paraId="64E4580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ADP</w:t>
            </w:r>
          </w:p>
        </w:tc>
        <w:tc>
          <w:tcPr>
            <w:tcW w:w="2400" w:type="dxa"/>
          </w:tcPr>
          <w:p w14:paraId="27117AF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219B52DA" w14:textId="77777777" w:rsidTr="0085711F">
        <w:tc>
          <w:tcPr>
            <w:tcW w:w="1855" w:type="dxa"/>
          </w:tcPr>
          <w:p w14:paraId="6A299CE8"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العوائق التقنية والبشرية والتنظيمية والأخلاقية</w:t>
            </w:r>
          </w:p>
        </w:tc>
        <w:tc>
          <w:tcPr>
            <w:tcW w:w="2400" w:type="dxa"/>
          </w:tcPr>
          <w:p w14:paraId="5975667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مثبِّط</w:t>
            </w:r>
          </w:p>
        </w:tc>
        <w:tc>
          <w:tcPr>
            <w:tcW w:w="1560" w:type="dxa"/>
          </w:tcPr>
          <w:p w14:paraId="07E7E80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BAR</w:t>
            </w:r>
          </w:p>
        </w:tc>
        <w:tc>
          <w:tcPr>
            <w:tcW w:w="2400" w:type="dxa"/>
          </w:tcPr>
          <w:p w14:paraId="66BDFCE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264DB95F" w14:textId="77777777" w:rsidTr="0085711F">
        <w:tc>
          <w:tcPr>
            <w:tcW w:w="1855" w:type="dxa"/>
          </w:tcPr>
          <w:p w14:paraId="5EC64C7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فعالية الأداء التسويقي</w:t>
            </w:r>
          </w:p>
        </w:tc>
        <w:tc>
          <w:tcPr>
            <w:tcW w:w="2400" w:type="dxa"/>
          </w:tcPr>
          <w:p w14:paraId="78712256"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تابع</w:t>
            </w:r>
          </w:p>
        </w:tc>
        <w:tc>
          <w:tcPr>
            <w:tcW w:w="1560" w:type="dxa"/>
          </w:tcPr>
          <w:p w14:paraId="273F2FA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MP</w:t>
            </w:r>
          </w:p>
        </w:tc>
        <w:tc>
          <w:tcPr>
            <w:tcW w:w="2400" w:type="dxa"/>
          </w:tcPr>
          <w:p w14:paraId="3E1427F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18E9BBEF" w14:textId="77777777" w:rsidTr="0085711F">
        <w:tc>
          <w:tcPr>
            <w:tcW w:w="1855" w:type="dxa"/>
            <w:shd w:val="clear" w:color="auto" w:fill="BFBFBF" w:themeFill="background1" w:themeFillShade="BF"/>
          </w:tcPr>
          <w:p w14:paraId="0ECD436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الإجمالي</w:t>
            </w:r>
          </w:p>
        </w:tc>
        <w:tc>
          <w:tcPr>
            <w:tcW w:w="2400" w:type="dxa"/>
            <w:shd w:val="clear" w:color="auto" w:fill="BFBFBF" w:themeFill="background1" w:themeFillShade="BF"/>
          </w:tcPr>
          <w:p w14:paraId="739FDB13"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1560" w:type="dxa"/>
            <w:shd w:val="clear" w:color="auto" w:fill="BFBFBF" w:themeFill="background1" w:themeFillShade="BF"/>
          </w:tcPr>
          <w:p w14:paraId="56A4502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2400" w:type="dxa"/>
            <w:shd w:val="clear" w:color="auto" w:fill="BFBFBF" w:themeFill="background1" w:themeFillShade="BF"/>
          </w:tcPr>
          <w:p w14:paraId="78A2CEF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46</w:t>
            </w:r>
          </w:p>
        </w:tc>
      </w:tr>
    </w:tbl>
    <w:p w14:paraId="59DB8522" w14:textId="77777777" w:rsidR="00F035EA" w:rsidRDefault="00F035EA" w:rsidP="00F035EA">
      <w:pPr>
        <w:bidi/>
        <w:spacing w:after="200" w:line="276" w:lineRule="auto"/>
        <w:jc w:val="both"/>
        <w:rPr>
          <w:rFonts w:ascii="Simplified Arabic" w:hAnsi="Simplified Arabic" w:cs="Simplified Arabic"/>
          <w:rtl/>
        </w:rPr>
      </w:pPr>
    </w:p>
    <w:p w14:paraId="558F43DD"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 xml:space="preserve">مجتمع الدراسة </w:t>
      </w:r>
    </w:p>
    <w:p w14:paraId="742B5F4E" w14:textId="77777777" w:rsidR="00F035EA" w:rsidRPr="00AF7DF7"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 xml:space="preserve">يتحدد مجتمع الدراسة إجرائيًا بأنه: جميع العاملين في وكالات التسويق الرقمي المرخَّصة نظاميًا والعاملة فعليًا في ثلاث مدن رئيسة بالمملكة العربية السعودية هي الرياض وجدة والدمام، ممن ترتبط طبيعة عملهم بتخطيط الحملات التسويقية الرقمية أو تصميمها أو تنفيذها أو تحليل أدائها. ويُعتمد هذا التحديد الجغرافي الثلاثي نطاقًا نهائيًا وموحدًا للدراسة في جميع </w:t>
      </w:r>
      <w:r w:rsidRPr="00FF3463">
        <w:rPr>
          <w:rFonts w:ascii="Simplified Arabic" w:hAnsi="Simplified Arabic" w:cs="Simplified Arabic"/>
          <w:rtl/>
        </w:rPr>
        <w:lastRenderedPageBreak/>
        <w:t>أجزائها، بما يشمل شروط الأهلية، والمتغيرات الوصفية، وإجراءات الاستقطاب والمعاينة؛ ومن ثم لا تُدرج أي مدينة أخرى خارج الرياض وجدة والدمام ضمن المجتمع المستهدف أو العينة الفعلية.</w:t>
      </w:r>
    </w:p>
    <w:p w14:paraId="3EF4345D" w14:textId="77777777" w:rsidR="00F035EA" w:rsidRPr="00AF7DF7" w:rsidRDefault="00F035EA" w:rsidP="00F035EA">
      <w:pPr>
        <w:bidi/>
        <w:spacing w:after="200" w:line="276" w:lineRule="auto"/>
        <w:rPr>
          <w:rFonts w:ascii="Simplified Arabic" w:hAnsi="Simplified Arabic" w:cs="Simplified Arabic"/>
          <w:b/>
          <w:bCs/>
          <w:color w:val="EE0000"/>
        </w:rPr>
      </w:pPr>
      <w:r w:rsidRPr="00AF7DF7">
        <w:rPr>
          <w:rFonts w:ascii="Simplified Arabic" w:hAnsi="Simplified Arabic" w:cs="Simplified Arabic"/>
          <w:b/>
          <w:bCs/>
          <w:color w:val="EE0000"/>
          <w:rtl/>
        </w:rPr>
        <w:t>وحدة التحليل</w:t>
      </w:r>
    </w:p>
    <w:p w14:paraId="3989A562" w14:textId="77777777" w:rsidR="00F035EA" w:rsidRPr="00AF7DF7" w:rsidRDefault="00F035EA" w:rsidP="00F035EA">
      <w:pPr>
        <w:bidi/>
        <w:spacing w:after="200" w:line="276" w:lineRule="auto"/>
        <w:rPr>
          <w:rFonts w:ascii="Simplified Arabic" w:hAnsi="Simplified Arabic" w:cs="Simplified Arabic"/>
          <w:color w:val="EE0000"/>
        </w:rPr>
      </w:pPr>
      <w:r w:rsidRPr="00AF7DF7">
        <w:rPr>
          <w:rFonts w:ascii="Simplified Arabic" w:hAnsi="Simplified Arabic" w:cs="Simplified Arabic"/>
          <w:color w:val="EE0000"/>
          <w:rtl/>
        </w:rPr>
        <w:t>تتمثل وحدة التحليل في هذه الدراسة في الفرد العامل في وكالة التسويق الرقمي المرخصة، بوصفه مفردة الاستجابة والقياس والتحليل؛ فالبيانات تُجمع من الموظفين على مستوى الفرد، لا على مستوى الوكالة، لأن إدراك العاملين وممارساتهم اليومية هي التي تعكس واقع توظيف الذكاء الاصطناعي التوليدي وجودة تصميم الحملات وفعالية الأداء. أما خصائص الوكالة، مثل المدينة والحجم وطبيعة العملاء والسياسات الداخلية، فتُستخدم متغيرات وصفية مساعدة على تفسير الفروق بين الأفراد، دون أن تتحول الوكالة بسببها إلى وحدة تحليل. وعند وجود أكثر من مشارك من الوكالة الواحدة، يعامل كل موظف وحدة تحليل مستقلة، مع الاحتفاظ برمز الوكالة لأغراض فحص أثر البيئة التنظيمية المشتركة فقط</w:t>
      </w:r>
      <w:r w:rsidRPr="00AF7DF7">
        <w:rPr>
          <w:rFonts w:ascii="Simplified Arabic" w:hAnsi="Simplified Arabic" w:cs="Simplified Arabic"/>
          <w:color w:val="EE0000"/>
        </w:rPr>
        <w:t>.</w:t>
      </w:r>
    </w:p>
    <w:p w14:paraId="709A730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التعريف الإجرائي لوكالة التسويق الرقمي المرخَّصة</w:t>
      </w:r>
    </w:p>
    <w:p w14:paraId="703B7F86"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يُقصد بوكالة التسويق الرقمي المرخصة في هذه الدراسة كل منشأة تجارية تمتلك سجلًا تجاريًا ساري المفعول صادرًا وفق الأنظمة المعمول بها في المملكة العربية السعودية، ويتضمن نشاطها الرئيس أو أحد أنشطتها المرخصة تقديم خدمات التسويق أو الدعاية والإعلان أو الاتصال التسويقي لعملاء خارجيين، وتشمل خدماتها التخطيط للحملات التسويقية الرقمية أو إنتاج المحتوى وتصميمه أو تنفيذ الحملات أو إدارة قنواتها الرقمية أو تحليل أدائها. وسيُتحقق من الصفة النظامية للمنشأة من خلال بيانات السجل التجاري والأنشطة المسجلة عبر المصادر الحكومية ذات الصلة، ومنها منصة المركز السعودي للأعمال. وفي الحالات التي يتطلب فيها نوع النشاط الإعلامي ترخيصًا إضافيًا، سيُتحقق من الترخيص الصادر عن الهيئة العامة لتنظيم الإعلام وفق طبيعة النشاط.</w:t>
      </w:r>
    </w:p>
    <w:p w14:paraId="3598297F"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t>توثيق إطار الوكالات المشمولة</w:t>
      </w:r>
    </w:p>
    <w:p w14:paraId="297CC3AE"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تشير نشرة قطاع الأعمال الصادرة عن وزارة التجارة إلى أن عدد السجلات التجارية القائمة في نشاط مؤسسات ووكالات الدعاية والإعلان على مستوى المملكة بلغ (26,016) سجلًا بنهاية الربع الأول من عام 2026م، بما يعكس اتساع القطاع محل الدراسة. أما إطار الوكالات المستهدفة في الدراسة الحالية، فسيُبنى بصورة مستقلة للرياض وجدة والدمام من خلال حصر المنشآت ذات الأنشطة ذات الصلة في المصادر الحكومية والمهنية المتاحة، مع استبعاد المنشآت التي لا تستوفي التعريف الإجرائي المعتمد في الدراسة. وسيُوثق العدد الناتج لكل مدينة، ومصدر الحصر، وتاريخ الاستخراج، قبل بدء الاستقطاب الميداني، ويُرفق إطار الوكالات المستخدم ضمن ملحق مستقل.</w:t>
      </w:r>
    </w:p>
    <w:p w14:paraId="326BBC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التمييز بين إطار الوكالات وإطار العاملين</w:t>
      </w:r>
    </w:p>
    <w:p w14:paraId="6A1F25F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سيجري الباحث محاولة أولى للحصول على قائمة بالوكالات العاملة في المدن الثلاث من مصادرها الرسمية المذكورة أعلاه، تُستخدم إطارًا مرجعيًا لتوزيع قنوات الاستقطاب وتنويع نقاط الوصول إلى العاملين، حتى مع تعذّر إعداد إطار معاينة شامل بأسماء الأفراد العاملين داخل هذه الوكالات؛ إذ يظل تعذّر حصر العاملين أمرًا منفصلًا عن إمكان حصر الوكالات نفسها، وسيُستفاد من قائمة الوكالات في توجيه جهود الاستقطاب نحو تغطية أوسع وأكثر توازنًا.</w:t>
      </w:r>
    </w:p>
    <w:p w14:paraId="4800A590"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lastRenderedPageBreak/>
        <w:t>مبررات اختيار المدن المستهدفة</w:t>
      </w:r>
    </w:p>
    <w:p w14:paraId="5BDC5290" w14:textId="77777777" w:rsidR="00F035EA" w:rsidRPr="00FF3463" w:rsidRDefault="00F035EA" w:rsidP="00F035EA">
      <w:pPr>
        <w:bidi/>
        <w:spacing w:after="200" w:line="276" w:lineRule="auto"/>
        <w:rPr>
          <w:rFonts w:ascii="Simplified Arabic" w:hAnsi="Simplified Arabic" w:cs="Simplified Arabic"/>
          <w:b/>
          <w:bCs/>
          <w:rtl/>
        </w:rPr>
      </w:pPr>
      <w:r w:rsidRPr="00FF3463">
        <w:rPr>
          <w:rFonts w:ascii="Simplified Arabic" w:hAnsi="Simplified Arabic" w:cs="Simplified Arabic"/>
          <w:rtl/>
        </w:rPr>
        <w:t>اختيرت الرياض وجدة والدمام بوصفها ثلاثة مراكز اقتصادية وحضرية رئيسة في المملكة، وتتوافر فيها بيئة مؤسسية متنوعة تضم وكالات دعاية وإعلان وتسويق وقطاعات واسعة من العمالء الحكوميين والتجاريين، بما يتيح الوصول إلى وكالات متفاوتة في الحجم وطبيعة النشاط والأدوار الوظيفية. كما سيُستخدم الحصر الرسمي للوكالات المؤهلة في المدن الثلاث، المشار إليه في الفقرة السابقة، لتوثيق حجم النشاط الفعلي في كل مدينة ودعم هذا الاختيار بصورة كمية قبل بدء التطبيق الميداني.</w:t>
      </w:r>
    </w:p>
    <w:p w14:paraId="2E58429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الفئات الوظيفية المؤهلة للمشاركة</w:t>
      </w:r>
    </w:p>
    <w:p w14:paraId="0AFE8FD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حُدِّدت الفئات الوظيفية المؤهلة للمشاركة بمسميات وظيفية محددة تندرج تحت أربع مجموعات رئيسة، على النحو الآتي:</w:t>
      </w:r>
    </w:p>
    <w:p w14:paraId="62E1ED4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(3-2): الفئات الوظيفية المؤهلة للمشاركة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400"/>
      </w:tblGrid>
      <w:tr w:rsidR="00F035EA" w:rsidRPr="00FF3463" w14:paraId="6F4CE91A" w14:textId="77777777" w:rsidTr="0085711F">
        <w:tc>
          <w:tcPr>
            <w:tcW w:w="2200" w:type="dxa"/>
            <w:shd w:val="clear" w:color="auto" w:fill="D9D9D9"/>
            <w:tcMar>
              <w:top w:w="80" w:type="dxa"/>
              <w:left w:w="100" w:type="dxa"/>
              <w:bottom w:w="80" w:type="dxa"/>
              <w:right w:w="100" w:type="dxa"/>
            </w:tcMar>
            <w:vAlign w:val="center"/>
          </w:tcPr>
          <w:p w14:paraId="105958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المجموعة الوظيفية</w:t>
            </w:r>
          </w:p>
        </w:tc>
        <w:tc>
          <w:tcPr>
            <w:tcW w:w="5400" w:type="dxa"/>
            <w:shd w:val="clear" w:color="auto" w:fill="D9D9D9"/>
            <w:tcMar>
              <w:top w:w="80" w:type="dxa"/>
              <w:left w:w="100" w:type="dxa"/>
              <w:bottom w:w="80" w:type="dxa"/>
              <w:right w:w="100" w:type="dxa"/>
            </w:tcMar>
            <w:vAlign w:val="center"/>
          </w:tcPr>
          <w:p w14:paraId="4EA6C7D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أمثلة على المسميات الوظيفية المشمولة</w:t>
            </w:r>
          </w:p>
        </w:tc>
      </w:tr>
      <w:tr w:rsidR="00F035EA" w:rsidRPr="00FF3463" w14:paraId="7BE6C2EC" w14:textId="77777777" w:rsidTr="0085711F">
        <w:tc>
          <w:tcPr>
            <w:tcW w:w="2200" w:type="dxa"/>
            <w:tcMar>
              <w:top w:w="80" w:type="dxa"/>
              <w:left w:w="100" w:type="dxa"/>
              <w:bottom w:w="80" w:type="dxa"/>
              <w:right w:w="100" w:type="dxa"/>
            </w:tcMar>
            <w:vAlign w:val="center"/>
          </w:tcPr>
          <w:p w14:paraId="7497898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التخطيط والاستراتيجية</w:t>
            </w:r>
          </w:p>
        </w:tc>
        <w:tc>
          <w:tcPr>
            <w:tcW w:w="5400" w:type="dxa"/>
            <w:tcMar>
              <w:top w:w="80" w:type="dxa"/>
              <w:left w:w="100" w:type="dxa"/>
              <w:bottom w:w="80" w:type="dxa"/>
              <w:right w:w="100" w:type="dxa"/>
            </w:tcMar>
            <w:vAlign w:val="center"/>
          </w:tcPr>
          <w:p w14:paraId="7483B5E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مخطط استراتيجي، استراتيجي حملات، مدير حسابات استراتيجي، مخطط وسائط</w:t>
            </w:r>
          </w:p>
        </w:tc>
      </w:tr>
      <w:tr w:rsidR="00F035EA" w:rsidRPr="00FF3463" w14:paraId="2DE4E70E" w14:textId="77777777" w:rsidTr="0085711F">
        <w:tc>
          <w:tcPr>
            <w:tcW w:w="2200" w:type="dxa"/>
            <w:tcMar>
              <w:top w:w="80" w:type="dxa"/>
              <w:left w:w="100" w:type="dxa"/>
              <w:bottom w:w="80" w:type="dxa"/>
              <w:right w:w="100" w:type="dxa"/>
            </w:tcMar>
            <w:vAlign w:val="center"/>
          </w:tcPr>
          <w:p w14:paraId="5ED0CDB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الإبداع والتصميم</w:t>
            </w:r>
          </w:p>
        </w:tc>
        <w:tc>
          <w:tcPr>
            <w:tcW w:w="5400" w:type="dxa"/>
            <w:tcMar>
              <w:top w:w="80" w:type="dxa"/>
              <w:left w:w="100" w:type="dxa"/>
              <w:bottom w:w="80" w:type="dxa"/>
              <w:right w:w="100" w:type="dxa"/>
            </w:tcMar>
            <w:vAlign w:val="center"/>
          </w:tcPr>
          <w:p w14:paraId="0B71F5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مصمم جرافيك، مصمم موشن جرافيك، مدير إبداعي، مصمم محتوى بصري</w:t>
            </w:r>
          </w:p>
        </w:tc>
      </w:tr>
      <w:tr w:rsidR="00F035EA" w:rsidRPr="00FF3463" w14:paraId="48B56A49" w14:textId="77777777" w:rsidTr="0085711F">
        <w:tc>
          <w:tcPr>
            <w:tcW w:w="2200" w:type="dxa"/>
            <w:tcMar>
              <w:top w:w="80" w:type="dxa"/>
              <w:left w:w="100" w:type="dxa"/>
              <w:bottom w:w="80" w:type="dxa"/>
              <w:right w:w="100" w:type="dxa"/>
            </w:tcMar>
            <w:vAlign w:val="center"/>
          </w:tcPr>
          <w:p w14:paraId="4180C19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كتابة المحتوى والتنفيذ</w:t>
            </w:r>
          </w:p>
        </w:tc>
        <w:tc>
          <w:tcPr>
            <w:tcW w:w="5400" w:type="dxa"/>
            <w:tcMar>
              <w:top w:w="80" w:type="dxa"/>
              <w:left w:w="100" w:type="dxa"/>
              <w:bottom w:w="80" w:type="dxa"/>
              <w:right w:w="100" w:type="dxa"/>
            </w:tcMar>
            <w:vAlign w:val="center"/>
          </w:tcPr>
          <w:p w14:paraId="03900F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كاتب محتوى، منفذ حملات، أخصائي وسائل تواصل، أخصائي إعلانات مدفوعة</w:t>
            </w:r>
          </w:p>
        </w:tc>
      </w:tr>
      <w:tr w:rsidR="00F035EA" w:rsidRPr="00FF3463" w14:paraId="41BAAADB" w14:textId="77777777" w:rsidTr="0085711F">
        <w:tc>
          <w:tcPr>
            <w:tcW w:w="2200" w:type="dxa"/>
            <w:tcMar>
              <w:top w:w="80" w:type="dxa"/>
              <w:left w:w="100" w:type="dxa"/>
              <w:bottom w:w="80" w:type="dxa"/>
              <w:right w:w="100" w:type="dxa"/>
            </w:tcMar>
            <w:vAlign w:val="center"/>
          </w:tcPr>
          <w:p w14:paraId="72BB4C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تحليل الأداء</w:t>
            </w:r>
          </w:p>
        </w:tc>
        <w:tc>
          <w:tcPr>
            <w:tcW w:w="5400" w:type="dxa"/>
            <w:tcMar>
              <w:top w:w="80" w:type="dxa"/>
              <w:left w:w="100" w:type="dxa"/>
              <w:bottom w:w="80" w:type="dxa"/>
              <w:right w:w="100" w:type="dxa"/>
            </w:tcMar>
            <w:vAlign w:val="center"/>
          </w:tcPr>
          <w:p w14:paraId="1675D6B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محلل أداء تسويقي، محلل بيانات، أخصائي تحسين محركات البحث/الإعلانات</w:t>
            </w:r>
          </w:p>
        </w:tc>
      </w:tr>
    </w:tbl>
    <w:p w14:paraId="313969E1" w14:textId="77777777" w:rsidR="00F035EA" w:rsidRPr="00FF3463" w:rsidRDefault="00F035EA" w:rsidP="00F035EA">
      <w:pPr>
        <w:bidi/>
        <w:spacing w:after="200" w:line="276" w:lineRule="auto"/>
        <w:rPr>
          <w:rFonts w:ascii="Simplified Arabic" w:hAnsi="Simplified Arabic" w:cs="Simplified Arabic"/>
          <w:color w:val="EE0000"/>
          <w:rtl/>
        </w:rPr>
      </w:pPr>
    </w:p>
    <w:p w14:paraId="029F99C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وتُستبعد المسميات الإدارية أو الفنية غير المرتبطة مباشرة بأي من هذه المراحل الأربع (كالمحاسبة أو تقنية المعلومات الداخلية)، ما لم يجمع الموظف بين مهامه الأساسية ومهام تندرج ضمن الفئات المذكورة.</w:t>
      </w:r>
    </w:p>
    <w:p w14:paraId="3FDC4F19" w14:textId="77777777" w:rsidR="00F035EA" w:rsidRDefault="00F035EA" w:rsidP="00F035EA">
      <w:pPr>
        <w:bidi/>
        <w:spacing w:after="200" w:line="276" w:lineRule="auto"/>
        <w:rPr>
          <w:rFonts w:ascii="Simplified Arabic" w:hAnsi="Simplified Arabic" w:cs="Simplified Arabic"/>
          <w:rtl/>
        </w:rPr>
      </w:pPr>
    </w:p>
    <w:p w14:paraId="01D35512" w14:textId="77777777" w:rsidR="00F035EA" w:rsidRDefault="00F035EA" w:rsidP="00F035EA">
      <w:pPr>
        <w:bidi/>
        <w:spacing w:after="200" w:line="276" w:lineRule="auto"/>
        <w:rPr>
          <w:rFonts w:ascii="Simplified Arabic" w:hAnsi="Simplified Arabic" w:cs="Simplified Arabic"/>
          <w:rtl/>
        </w:rPr>
      </w:pPr>
    </w:p>
    <w:p w14:paraId="237335A2" w14:textId="77777777" w:rsidR="00F035EA" w:rsidRPr="00FF3463" w:rsidRDefault="00F035EA" w:rsidP="00F035EA">
      <w:pPr>
        <w:bidi/>
        <w:spacing w:after="200" w:line="276" w:lineRule="auto"/>
        <w:rPr>
          <w:rFonts w:ascii="Simplified Arabic" w:hAnsi="Simplified Arabic" w:cs="Simplified Arabic"/>
          <w:rtl/>
        </w:rPr>
      </w:pPr>
    </w:p>
    <w:p w14:paraId="15DD542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عينة الدراسة</w:t>
      </w:r>
    </w:p>
    <w:p w14:paraId="66F1636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أسلوب المعاينة</w:t>
      </w:r>
    </w:p>
    <w:p w14:paraId="557E87EF"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نظرًا لتعذّر بناء إطار معاينة شامل بأسماء العاملين، ستُختار عينة الدراسة بأسلوب المعاينة غير الاحتمالية (Non-Probability Sampling)، عبر طريقتي العينة الميسرة (Convenience) وكرة الثلج (Snowball)، للوصول إلى المختصين في التخطيط والإبداع والتنفيذ والتحليل داخل الوكالات. وتُعد هاتان الطريقتان من الأساليب المقبولة منهجيًا حين يتعذّر الاختيار العشوائي لغياب إطار المعاينة، شريطة ضبط شروط الأهلية وتوثيق خصائص المستجيبين (Saunders et al., 2019; Etikan et al., 2016)، ويدرك الباحث أن هذا الأسلوب، بحكم طبيعته غير الاحتمالية، يحدّ من إمكانية تعميم النتائج على مجتمع الدراسة كافة؛ ولذلك ستُفسَّر النتائج في حدود خصائص العينة المشاركة، مع السعي إلى تخفيف هذا القيد عبر الإجراءات الموضحة في الفقرات التالية.</w:t>
      </w:r>
    </w:p>
    <w:p w14:paraId="7231B3CA" w14:textId="77777777" w:rsidR="00F035EA" w:rsidRPr="00FF3463" w:rsidRDefault="00F035EA" w:rsidP="00F035EA">
      <w:pPr>
        <w:bidi/>
        <w:spacing w:after="200" w:line="276" w:lineRule="auto"/>
        <w:rPr>
          <w:rFonts w:ascii="Simplified Arabic" w:hAnsi="Simplified Arabic" w:cs="Simplified Arabic"/>
          <w:color w:val="EE0000"/>
          <w:rtl/>
        </w:rPr>
      </w:pPr>
      <w:bookmarkStart w:id="3" w:name="_Hlk237109320"/>
      <w:r w:rsidRPr="00FF3463">
        <w:rPr>
          <w:rFonts w:ascii="Simplified Arabic" w:hAnsi="Simplified Arabic" w:cs="Simplified Arabic"/>
          <w:b/>
          <w:bCs/>
          <w:color w:val="EE0000"/>
          <w:rtl/>
        </w:rPr>
        <w:t>شروط الأهلية ومعايير الاستبعاد</w:t>
      </w:r>
    </w:p>
    <w:p w14:paraId="77CB2FA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تمكين المشارك من إكمال الاستبانة، سيُتحقق من استيفائه شروط الأهلية التالية من خلال أسئلة تمهيدية مبرمجة تُنهي المشاركة تلقائيًا وتعرض رسالة شكر عند عدم تحقق أي شرط منها:</w:t>
      </w:r>
    </w:p>
    <w:p w14:paraId="48F05A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(3-3): شروط أهلية المشاركة في الدراسة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400"/>
      </w:tblGrid>
      <w:tr w:rsidR="00F035EA" w:rsidRPr="00FF3463" w14:paraId="19EC2CD3" w14:textId="77777777" w:rsidTr="0085711F">
        <w:tc>
          <w:tcPr>
            <w:tcW w:w="1200" w:type="dxa"/>
            <w:shd w:val="clear" w:color="auto" w:fill="D9D9D9"/>
            <w:tcMar>
              <w:top w:w="80" w:type="dxa"/>
              <w:left w:w="100" w:type="dxa"/>
              <w:bottom w:w="80" w:type="dxa"/>
              <w:right w:w="100" w:type="dxa"/>
            </w:tcMar>
            <w:vAlign w:val="center"/>
          </w:tcPr>
          <w:p w14:paraId="47BFA2C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الرمز</w:t>
            </w:r>
          </w:p>
        </w:tc>
        <w:tc>
          <w:tcPr>
            <w:tcW w:w="6400" w:type="dxa"/>
            <w:shd w:val="clear" w:color="auto" w:fill="D9D9D9"/>
            <w:tcMar>
              <w:top w:w="80" w:type="dxa"/>
              <w:left w:w="100" w:type="dxa"/>
              <w:bottom w:w="80" w:type="dxa"/>
              <w:right w:w="100" w:type="dxa"/>
            </w:tcMar>
            <w:vAlign w:val="center"/>
          </w:tcPr>
          <w:p w14:paraId="1DD5460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شرط الأهلية</w:t>
            </w:r>
          </w:p>
        </w:tc>
      </w:tr>
      <w:tr w:rsidR="00F035EA" w:rsidRPr="00FF3463" w14:paraId="51180674" w14:textId="77777777" w:rsidTr="0085711F">
        <w:tc>
          <w:tcPr>
            <w:tcW w:w="1200" w:type="dxa"/>
            <w:tcMar>
              <w:top w:w="80" w:type="dxa"/>
              <w:left w:w="100" w:type="dxa"/>
              <w:bottom w:w="80" w:type="dxa"/>
              <w:right w:w="100" w:type="dxa"/>
            </w:tcMar>
            <w:vAlign w:val="center"/>
          </w:tcPr>
          <w:p w14:paraId="1480498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S1</w:t>
            </w:r>
          </w:p>
        </w:tc>
        <w:tc>
          <w:tcPr>
            <w:tcW w:w="6400" w:type="dxa"/>
            <w:tcMar>
              <w:top w:w="80" w:type="dxa"/>
              <w:left w:w="100" w:type="dxa"/>
              <w:bottom w:w="80" w:type="dxa"/>
              <w:right w:w="100" w:type="dxa"/>
            </w:tcMar>
            <w:vAlign w:val="center"/>
          </w:tcPr>
          <w:p w14:paraId="1892C1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العمل الحالي في وكالة تسويق رقمي مرخَّصة عاملة في الرياض أو جدة أو الدمام.</w:t>
            </w:r>
          </w:p>
        </w:tc>
      </w:tr>
      <w:tr w:rsidR="00F035EA" w:rsidRPr="00FF3463" w14:paraId="4C949443" w14:textId="77777777" w:rsidTr="0085711F">
        <w:tc>
          <w:tcPr>
            <w:tcW w:w="1200" w:type="dxa"/>
            <w:tcMar>
              <w:top w:w="80" w:type="dxa"/>
              <w:left w:w="100" w:type="dxa"/>
              <w:bottom w:w="80" w:type="dxa"/>
              <w:right w:w="100" w:type="dxa"/>
            </w:tcMar>
            <w:vAlign w:val="center"/>
          </w:tcPr>
          <w:p w14:paraId="21BC6DE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S2</w:t>
            </w:r>
          </w:p>
        </w:tc>
        <w:tc>
          <w:tcPr>
            <w:tcW w:w="6400" w:type="dxa"/>
            <w:tcMar>
              <w:top w:w="80" w:type="dxa"/>
              <w:left w:w="100" w:type="dxa"/>
              <w:bottom w:w="80" w:type="dxa"/>
              <w:right w:w="100" w:type="dxa"/>
            </w:tcMar>
            <w:vAlign w:val="center"/>
          </w:tcPr>
          <w:p w14:paraId="54D00D2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ارتباط طبيعة العمل بتخطيط الحملات التسويقية الرقمية أو تصميمها أو تنفيذها أو تحليل أدائها، ضمن الفئات الوظيفية المحددة في الجدول (3-2).</w:t>
            </w:r>
          </w:p>
        </w:tc>
      </w:tr>
      <w:tr w:rsidR="00F035EA" w:rsidRPr="00FF3463" w14:paraId="6EFDFD95" w14:textId="77777777" w:rsidTr="0085711F">
        <w:tc>
          <w:tcPr>
            <w:tcW w:w="1200" w:type="dxa"/>
            <w:tcMar>
              <w:top w:w="80" w:type="dxa"/>
              <w:left w:w="100" w:type="dxa"/>
              <w:bottom w:w="80" w:type="dxa"/>
              <w:right w:w="100" w:type="dxa"/>
            </w:tcMar>
            <w:vAlign w:val="center"/>
          </w:tcPr>
          <w:p w14:paraId="7B08B00B"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S3</w:t>
            </w:r>
          </w:p>
        </w:tc>
        <w:tc>
          <w:tcPr>
            <w:tcW w:w="6400" w:type="dxa"/>
            <w:tcMar>
              <w:top w:w="80" w:type="dxa"/>
              <w:left w:w="100" w:type="dxa"/>
              <w:bottom w:w="80" w:type="dxa"/>
              <w:right w:w="100" w:type="dxa"/>
            </w:tcMar>
            <w:vAlign w:val="center"/>
          </w:tcPr>
          <w:p w14:paraId="175690CE"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استخدام مباشر وعملي (Hands-on) لأداة واحدة على الأقل من أدوات الذكاء الاصطناعي التوليدي في سياق العمل على الحملات التسويقية الرقمية خلال آخر اثني عشر شهرًا، بمعدل لا يقل عن مرة شهريًا.</w:t>
            </w:r>
          </w:p>
        </w:tc>
      </w:tr>
      <w:tr w:rsidR="00F035EA" w:rsidRPr="00FF3463" w14:paraId="526330F8" w14:textId="77777777" w:rsidTr="0085711F">
        <w:tc>
          <w:tcPr>
            <w:tcW w:w="1200" w:type="dxa"/>
            <w:tcMar>
              <w:top w:w="80" w:type="dxa"/>
              <w:left w:w="100" w:type="dxa"/>
              <w:bottom w:w="80" w:type="dxa"/>
              <w:right w:w="100" w:type="dxa"/>
            </w:tcMar>
            <w:vAlign w:val="center"/>
          </w:tcPr>
          <w:p w14:paraId="20F639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S4</w:t>
            </w:r>
          </w:p>
        </w:tc>
        <w:tc>
          <w:tcPr>
            <w:tcW w:w="6400" w:type="dxa"/>
            <w:tcMar>
              <w:top w:w="80" w:type="dxa"/>
              <w:left w:w="100" w:type="dxa"/>
              <w:bottom w:w="80" w:type="dxa"/>
              <w:right w:w="100" w:type="dxa"/>
            </w:tcMar>
            <w:vAlign w:val="center"/>
          </w:tcPr>
          <w:p w14:paraId="210EDD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استمرار العمل في الوكالة الحالية أو في مجال الحملات الرقمية مدة ستة أشهر فأكثر.</w:t>
            </w:r>
          </w:p>
        </w:tc>
      </w:tr>
      <w:tr w:rsidR="00F035EA" w:rsidRPr="00FF3463" w14:paraId="1F905A48" w14:textId="77777777" w:rsidTr="0085711F">
        <w:tc>
          <w:tcPr>
            <w:tcW w:w="1200" w:type="dxa"/>
            <w:tcMar>
              <w:top w:w="80" w:type="dxa"/>
              <w:left w:w="100" w:type="dxa"/>
              <w:bottom w:w="80" w:type="dxa"/>
              <w:right w:w="100" w:type="dxa"/>
            </w:tcMar>
            <w:vAlign w:val="center"/>
          </w:tcPr>
          <w:p w14:paraId="425A7C5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S5</w:t>
            </w:r>
          </w:p>
        </w:tc>
        <w:tc>
          <w:tcPr>
            <w:tcW w:w="6400" w:type="dxa"/>
            <w:tcMar>
              <w:top w:w="80" w:type="dxa"/>
              <w:left w:w="100" w:type="dxa"/>
              <w:bottom w:w="80" w:type="dxa"/>
              <w:right w:w="100" w:type="dxa"/>
            </w:tcMar>
            <w:vAlign w:val="center"/>
          </w:tcPr>
          <w:p w14:paraId="24605B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الموافقة الطوعية المستنيرة على المشاركة بعد الاطلاع على تعليمات الدراسة.</w:t>
            </w:r>
          </w:p>
        </w:tc>
      </w:tr>
    </w:tbl>
    <w:p w14:paraId="7FE44DF9" w14:textId="77777777" w:rsidR="00F035EA" w:rsidRPr="00FF3463" w:rsidRDefault="00F035EA" w:rsidP="00F035EA">
      <w:pPr>
        <w:bidi/>
        <w:spacing w:after="200" w:line="276" w:lineRule="auto"/>
        <w:rPr>
          <w:rFonts w:ascii="Simplified Arabic" w:hAnsi="Simplified Arabic" w:cs="Simplified Arabic"/>
          <w:color w:val="EE0000"/>
          <w:rtl/>
        </w:rPr>
      </w:pPr>
    </w:p>
    <w:p w14:paraId="7490572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وتُستبعد من الدراسة الفئات التالية على وجه التحديد: المتدربون، والعاملون المؤقتون أو بعقود أقل من ستة أشهر، والمستقلون (Freelancers) غير المرتبطين بوكالة، ومن لا يملكون تعاملًا مباشرًا وحديثًا (خلال آخر اثني عشر شهرًا) مع أدوات الذكاء الاصطناعي التوليدي؛ إذ استُبعدت عبارة «معرفة عملية أو تعامل غير مباشر» الواردة سابقًا في شرط الأهلية توحيدًا لمنطق الأهلية مع خيارات الأسئلة الوصفية، ولضمان أن العينة تتكوّن من مشاركين ذوي خبرة كافية بموضوع الدراسة.</w:t>
      </w:r>
    </w:p>
    <w:p w14:paraId="606C12D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قنوات الوصول إلى العينة</w:t>
      </w:r>
    </w:p>
    <w:p w14:paraId="2D1C7BD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سيُستقطب المشاركون عبر أربع قنوات رئيسة: (1) التواصل المباشر مع مسؤولي الموارد البشرية أو مديري الوكالات المدرجة في إطار الوكالات الموثَّق سلفًا، لطلب تعميم رابط الاستبانة على العاملين المؤهلين؛ (2) الجمعيات والمجموعات المهنية المتخصصة في التسويق والإعلان في المملكة؛ (3) منصات التواصل المهني، وعلى رأسها لينكدإن، عبر مجموعات ومنتديات التسويق الرقمي السعودية؛ (4) الشبكة الشخصية والمهنية للباحث، والتي ستُستخدم منطلقًا أوليًا لتطبيق أسلوب كرة الثلج.</w:t>
      </w:r>
    </w:p>
    <w:p w14:paraId="38C762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إجراءات تطبيق عينة كرة الثلج وضبط تنوعها</w:t>
      </w:r>
    </w:p>
    <w:p w14:paraId="540D99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ستنطلق سلسلة الإحالات من مجموعة أولية تضم من (15) إلى (20) مشاركًا (Seeds) يُختارون بأسلوب ميسر بحيث يمثّلون تنوعًا مبدئيًا في المدينة الثلاث وحجم الوكالة والدور الوظيفي، ويُسمح لكل مشارك بترشيح ما لا يزيد عن ثلاثة مشاركين آخرين ممن تنطبق عليهم شروط الأهلية. وللحدّ من احتمال سيطرة شبكة مهنية واحدة على العينة، ستُنوَّع نقاط البداية بين عدة وكالات ومجموعات مهنية مستقلة عن بعضها، وسيوضع سقف أقصى لعدد الاستجابات المقبولة من الوكالة الواحدة لا يتجاوز (5%) من حجم العينة المستهدف، وسقف مماثل لعدد الاستجابات الناتجة عن سلسلة الإحالة الواحدة، مع تتبّع مصدر الإحالة (قناة الاستقطاب) ضمن البيانات الوصفية للتحقق لاحقًا من مدى تنوع مصادر العينة.</w:t>
      </w:r>
    </w:p>
    <w:p w14:paraId="28BA753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الحصص الاسترشادية للعينة</w:t>
      </w:r>
    </w:p>
    <w:p w14:paraId="142EBFD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ستُعتمد حصص استرشادية غير ملزمة (لا تُستخدم لتبرير تمثيل احتمالي) لضبط تنوع العينة، على النحو الآتي:</w:t>
      </w:r>
    </w:p>
    <w:p w14:paraId="6081F87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(3-4): الحصص الاسترشادية وتوزيع العدد المستهدف على المدن</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000"/>
        <w:gridCol w:w="3000"/>
      </w:tblGrid>
      <w:tr w:rsidR="00F035EA" w:rsidRPr="00FF3463" w14:paraId="2D8DC65E" w14:textId="77777777" w:rsidTr="0085711F">
        <w:tc>
          <w:tcPr>
            <w:tcW w:w="2600" w:type="dxa"/>
            <w:shd w:val="clear" w:color="auto" w:fill="D9D9D9"/>
            <w:tcMar>
              <w:top w:w="80" w:type="dxa"/>
              <w:left w:w="100" w:type="dxa"/>
              <w:bottom w:w="80" w:type="dxa"/>
              <w:right w:w="100" w:type="dxa"/>
            </w:tcMar>
            <w:vAlign w:val="center"/>
          </w:tcPr>
          <w:p w14:paraId="7526B06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المدينة</w:t>
            </w:r>
          </w:p>
        </w:tc>
        <w:tc>
          <w:tcPr>
            <w:tcW w:w="2000" w:type="dxa"/>
            <w:shd w:val="clear" w:color="auto" w:fill="D9D9D9"/>
            <w:tcMar>
              <w:top w:w="80" w:type="dxa"/>
              <w:left w:w="100" w:type="dxa"/>
              <w:bottom w:w="80" w:type="dxa"/>
              <w:right w:w="100" w:type="dxa"/>
            </w:tcMar>
            <w:vAlign w:val="center"/>
          </w:tcPr>
          <w:p w14:paraId="6849FC7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النسبة الاسترشادية</w:t>
            </w:r>
          </w:p>
        </w:tc>
        <w:tc>
          <w:tcPr>
            <w:tcW w:w="3000" w:type="dxa"/>
            <w:shd w:val="clear" w:color="auto" w:fill="D9D9D9"/>
            <w:tcMar>
              <w:top w:w="80" w:type="dxa"/>
              <w:left w:w="100" w:type="dxa"/>
              <w:bottom w:w="80" w:type="dxa"/>
              <w:right w:w="100" w:type="dxa"/>
            </w:tcMar>
            <w:vAlign w:val="center"/>
          </w:tcPr>
          <w:p w14:paraId="796833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العدد التقريبي المستهدف (من أصل 384)</w:t>
            </w:r>
          </w:p>
        </w:tc>
      </w:tr>
      <w:tr w:rsidR="00F035EA" w:rsidRPr="00FF3463" w14:paraId="1625826E" w14:textId="77777777" w:rsidTr="0085711F">
        <w:tc>
          <w:tcPr>
            <w:tcW w:w="2600" w:type="dxa"/>
            <w:tcMar>
              <w:top w:w="80" w:type="dxa"/>
              <w:left w:w="100" w:type="dxa"/>
              <w:bottom w:w="80" w:type="dxa"/>
              <w:right w:w="100" w:type="dxa"/>
            </w:tcMar>
            <w:vAlign w:val="center"/>
          </w:tcPr>
          <w:p w14:paraId="32FFD572"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الرياض</w:t>
            </w:r>
          </w:p>
        </w:tc>
        <w:tc>
          <w:tcPr>
            <w:tcW w:w="2000" w:type="dxa"/>
            <w:tcMar>
              <w:top w:w="80" w:type="dxa"/>
              <w:left w:w="100" w:type="dxa"/>
              <w:bottom w:w="80" w:type="dxa"/>
              <w:right w:w="100" w:type="dxa"/>
            </w:tcMar>
            <w:vAlign w:val="center"/>
          </w:tcPr>
          <w:p w14:paraId="1BAC535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45%–50%</w:t>
            </w:r>
          </w:p>
        </w:tc>
        <w:tc>
          <w:tcPr>
            <w:tcW w:w="3000" w:type="dxa"/>
            <w:tcMar>
              <w:top w:w="80" w:type="dxa"/>
              <w:left w:w="100" w:type="dxa"/>
              <w:bottom w:w="80" w:type="dxa"/>
              <w:right w:w="100" w:type="dxa"/>
            </w:tcMar>
            <w:vAlign w:val="center"/>
          </w:tcPr>
          <w:p w14:paraId="3D0579F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175–190 مفردة</w:t>
            </w:r>
          </w:p>
        </w:tc>
      </w:tr>
      <w:tr w:rsidR="00F035EA" w:rsidRPr="00FF3463" w14:paraId="14F374EE" w14:textId="77777777" w:rsidTr="0085711F">
        <w:tc>
          <w:tcPr>
            <w:tcW w:w="2600" w:type="dxa"/>
            <w:tcMar>
              <w:top w:w="80" w:type="dxa"/>
              <w:left w:w="100" w:type="dxa"/>
              <w:bottom w:w="80" w:type="dxa"/>
              <w:right w:w="100" w:type="dxa"/>
            </w:tcMar>
            <w:vAlign w:val="center"/>
          </w:tcPr>
          <w:p w14:paraId="38096D2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جدة</w:t>
            </w:r>
          </w:p>
        </w:tc>
        <w:tc>
          <w:tcPr>
            <w:tcW w:w="2000" w:type="dxa"/>
            <w:tcMar>
              <w:top w:w="80" w:type="dxa"/>
              <w:left w:w="100" w:type="dxa"/>
              <w:bottom w:w="80" w:type="dxa"/>
              <w:right w:w="100" w:type="dxa"/>
            </w:tcMar>
            <w:vAlign w:val="center"/>
          </w:tcPr>
          <w:p w14:paraId="5CAE78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25%–30%</w:t>
            </w:r>
          </w:p>
        </w:tc>
        <w:tc>
          <w:tcPr>
            <w:tcW w:w="3000" w:type="dxa"/>
            <w:tcMar>
              <w:top w:w="80" w:type="dxa"/>
              <w:left w:w="100" w:type="dxa"/>
              <w:bottom w:w="80" w:type="dxa"/>
              <w:right w:w="100" w:type="dxa"/>
            </w:tcMar>
            <w:vAlign w:val="center"/>
          </w:tcPr>
          <w:p w14:paraId="2C60B45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95–115 مفردة</w:t>
            </w:r>
          </w:p>
        </w:tc>
      </w:tr>
      <w:tr w:rsidR="00F035EA" w:rsidRPr="00FF3463" w14:paraId="2B4F29C0" w14:textId="77777777" w:rsidTr="0085711F">
        <w:tc>
          <w:tcPr>
            <w:tcW w:w="2600" w:type="dxa"/>
            <w:tcMar>
              <w:top w:w="80" w:type="dxa"/>
              <w:left w:w="100" w:type="dxa"/>
              <w:bottom w:w="80" w:type="dxa"/>
              <w:right w:w="100" w:type="dxa"/>
            </w:tcMar>
            <w:vAlign w:val="center"/>
          </w:tcPr>
          <w:p w14:paraId="5AD983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الدمام</w:t>
            </w:r>
          </w:p>
        </w:tc>
        <w:tc>
          <w:tcPr>
            <w:tcW w:w="2000" w:type="dxa"/>
            <w:tcMar>
              <w:top w:w="80" w:type="dxa"/>
              <w:left w:w="100" w:type="dxa"/>
              <w:bottom w:w="80" w:type="dxa"/>
              <w:right w:w="100" w:type="dxa"/>
            </w:tcMar>
            <w:vAlign w:val="center"/>
          </w:tcPr>
          <w:p w14:paraId="6599E3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20%–25%</w:t>
            </w:r>
          </w:p>
        </w:tc>
        <w:tc>
          <w:tcPr>
            <w:tcW w:w="3000" w:type="dxa"/>
            <w:tcMar>
              <w:top w:w="80" w:type="dxa"/>
              <w:left w:w="100" w:type="dxa"/>
              <w:bottom w:w="80" w:type="dxa"/>
              <w:right w:w="100" w:type="dxa"/>
            </w:tcMar>
            <w:vAlign w:val="center"/>
          </w:tcPr>
          <w:p w14:paraId="5BA6DBE8"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75–95 مفردة</w:t>
            </w:r>
          </w:p>
        </w:tc>
      </w:tr>
    </w:tbl>
    <w:p w14:paraId="170175C2" w14:textId="77777777" w:rsidR="00F035EA" w:rsidRPr="00FF3463" w:rsidRDefault="00F035EA" w:rsidP="00F035EA">
      <w:pPr>
        <w:bidi/>
        <w:spacing w:after="200" w:line="276" w:lineRule="auto"/>
        <w:rPr>
          <w:rFonts w:ascii="Simplified Arabic" w:hAnsi="Simplified Arabic" w:cs="Simplified Arabic"/>
          <w:color w:val="EE0000"/>
          <w:rtl/>
        </w:rPr>
      </w:pPr>
    </w:p>
    <w:p w14:paraId="2E0F402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وتُطبَّق حصص استرشادية مماثلة لتنويع حجم الوكالة (صغيرة/متوسطة/كبيرة) والفئات الوظيفية الأربع، بحيث لا تقل نسبة أي فئة عن (10%) من إجمالي العينة، مع مراجعة دورية لنسب التوزيع أثناء جمع البيانات لتوجيه جهود الاستقطاب نحو الفئات الأقل تمثيلًا.</w:t>
      </w:r>
    </w:p>
    <w:p w14:paraId="1A1C3C1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حجم العينة</w:t>
      </w:r>
    </w:p>
    <w:p w14:paraId="4839C26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 حجم العينة بالجمع بين مدخلين متكاملين: أُجري تحليل القوة الإحصائية القبلي ببرنامج (G*Power 3.1) لتقدير الحد الأدنى اللازم لاختبار أعقد معادلة في نموذج الدراسة، وهي معادلة التنبؤ بجودة عملية التصميم من خمسة متنبئات (المتغير المستقل، والمتغيران المعدِّلان، وحدّا التفاعل)؛ فعند حجم أثر متوسط (f² = 0.15) ومستوى دلالة (0.05) وقوة إحصائية (0.95)، بلغ الحد الأدنى المطلوب (138) مفردة. ويُعتمد هذا الرقم المبرر الإحصائي الرئيس لكفاية العينة لأغراض اختبار الفرضيات في إطار PLS-SEM.</w:t>
      </w:r>
    </w:p>
    <w:p w14:paraId="6AE3BBE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وإلى جانب ذلك، استُرشد بمعادلة كوكران (Cochran, 1977) الشائعة لتقدير حجم العينة في المجتمعات الكبيرة وغير محددة العدد بدقة، فبلغ الحجم الاسترشادي (384) مفردة عند مستوى ثقة (95%) وهامش خطأ (5%). غير أن معادلة كوكران تفترض أساسًا معاينة احتمالية، بينما تستخدم الدراسة معاينة ميسرة وكرة ثلج؛ ولذلك لا يُفسَّر الرقم (384) على أنه يضمن هامش خطأ إحصائيًا محددًا أو تمثيلًا احتماليًا للمجتمع، وإنما يُستخدم هدفًا استرشاديًا لتحسين استقرار التقديرات ودقة النتائج، تحسبًا اختياريًا يتجاوز الحد الأدنى الذي يقتضيه تحليل القوة الإحصائية بما يزيد على الضعفين، بما يتفق مع طبيعة PLS-SEM التي لا تشترط أصلًا أحجام عينات كبيرة، مع الإقرار الصريح بأن الأنسب اعتماد تحليل القوة مبررًا منهجيًا رئيسًا لكفاية العينة، واعتبار العدد الأكبر (384) هدفًا لتحسين استقرار التقديرات فحسب، دون الادعاء بتمثيل احتمالي (Hair et al., 2022).</w:t>
      </w:r>
    </w:p>
    <w:p w14:paraId="3DACD953" w14:textId="77777777" w:rsidR="00F035EA"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وسيُعمم رابط الاستبانة على عدد يفوق العدد النهائي المستهدف، لمواجهة عدم الاستجابة وحالات عدم الأهلية أو عدم اكتمال الإجابات والاستجابات التي قد تُستبعد أثناء تنظيف البيانات. ولأغراض التخطيط الميداني الأولي، يُفترض معدل استجابة يتراوح تقريبًا بين (40% و50%) دون اعتباره معدلًا مضمونًا؛ وبناءً عليه، ومع إضافة هامش احتياطي للاستجابات غير الصالحة، سيُستهدف مبدئيًا إيصال دعوة المشاركة إلى نحو (900–1100) مشارك محتمل، مع متابعة معدل الاستجابة أسبوعيًا وتوسيع جهود الاستقطاب عند الحاجة حتى الحصول على ما لا يقل عن (384) استجابة صالحة للتحليل. وسيُميز في التقرير الميداني بوضوح بين عدد الأشخاص الذين وصلت إليهم الدعوة، وعدد الاستجابات المستلمة إجمالًا، وعدد الاستجابات الصالحة بعد تطبيق معايير الأهلية والتنظيف.</w:t>
      </w:r>
    </w:p>
    <w:p w14:paraId="46E2E8E0" w14:textId="77777777" w:rsidR="00D73443" w:rsidRDefault="00D73443" w:rsidP="00D73443">
      <w:pPr>
        <w:bidi/>
        <w:spacing w:after="200" w:line="276" w:lineRule="auto"/>
        <w:rPr>
          <w:rFonts w:ascii="Simplified Arabic" w:hAnsi="Simplified Arabic" w:cs="Simplified Arabic"/>
          <w:color w:val="EE0000"/>
          <w:rtl/>
        </w:rPr>
      </w:pPr>
    </w:p>
    <w:p w14:paraId="24B7117B" w14:textId="77777777" w:rsidR="00D73443" w:rsidRPr="00FF3463" w:rsidRDefault="00D73443" w:rsidP="00D73443">
      <w:pPr>
        <w:bidi/>
        <w:spacing w:after="200" w:line="276" w:lineRule="auto"/>
        <w:rPr>
          <w:rFonts w:ascii="Simplified Arabic" w:hAnsi="Simplified Arabic" w:cs="Simplified Arabic"/>
          <w:color w:val="EE0000"/>
        </w:rPr>
      </w:pPr>
    </w:p>
    <w:p w14:paraId="0AEBCC8D" w14:textId="72953140" w:rsidR="0006433B" w:rsidRPr="0006433B" w:rsidRDefault="00F035EA" w:rsidP="0006433B">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lastRenderedPageBreak/>
        <w:t>معالجة تداخل المشاركين داخل الوكالة الواحدة</w:t>
      </w:r>
      <w:bookmarkEnd w:id="3"/>
    </w:p>
    <w:p w14:paraId="51F3E8A3" w14:textId="2430C7FC" w:rsidR="00D73443" w:rsidRDefault="0006433B" w:rsidP="0006433B">
      <w:pPr>
        <w:bidi/>
        <w:spacing w:after="200" w:line="276" w:lineRule="auto"/>
        <w:rPr>
          <w:rFonts w:ascii="Simplified Arabic" w:hAnsi="Simplified Arabic" w:cs="Simplified Arabic"/>
          <w:rtl/>
        </w:rPr>
      </w:pPr>
      <w:r w:rsidRPr="0006433B">
        <w:rPr>
          <w:rFonts w:ascii="Simplified Arabic" w:hAnsi="Simplified Arabic" w:cs="Simplified Arabic"/>
          <w:color w:val="EE0000"/>
          <w:rtl/>
        </w:rPr>
        <w:t>نظرًا لاحتمال مشاركة أكثر من موظف من الوكالة نفسها، ستُسجَّل استجابة كل مشارك بوصفها حالة مستقلة في قاعدة البيانات، مع الاحتفاظ برمز مجهول للوكالة لأغراض الفحص فقط دون كشف هوية المنشأة. ولا ي</w:t>
      </w:r>
      <w:r>
        <w:rPr>
          <w:rFonts w:ascii="Simplified Arabic" w:hAnsi="Simplified Arabic" w:cs="Simplified Arabic" w:hint="cs"/>
          <w:color w:val="EE0000"/>
          <w:rtl/>
        </w:rPr>
        <w:t>عتقد الباحث</w:t>
      </w:r>
      <w:r w:rsidRPr="0006433B">
        <w:rPr>
          <w:rFonts w:ascii="Simplified Arabic" w:hAnsi="Simplified Arabic" w:cs="Simplified Arabic"/>
          <w:color w:val="EE0000"/>
          <w:rtl/>
        </w:rPr>
        <w:t xml:space="preserve"> </w:t>
      </w:r>
      <w:r>
        <w:rPr>
          <w:rFonts w:ascii="Simplified Arabic" w:hAnsi="Simplified Arabic" w:cs="Simplified Arabic" w:hint="cs"/>
          <w:color w:val="EE0000"/>
          <w:rtl/>
        </w:rPr>
        <w:t xml:space="preserve">بأن </w:t>
      </w:r>
      <w:r w:rsidRPr="0006433B">
        <w:rPr>
          <w:rFonts w:ascii="Simplified Arabic" w:hAnsi="Simplified Arabic" w:cs="Simplified Arabic"/>
          <w:color w:val="EE0000"/>
          <w:rtl/>
        </w:rPr>
        <w:t>هذا الإجراء كافيًا لإزالة أثر التجمع داخل الوكالة؛ ولذلك إذا ظهر تركّز كبير للاستجابات في وكالات محددة أو تشابه غير مهمل بين استجابات موظفي الوكالة الواحدة، فسيُعتمد تحليل حساسية يقوم على بناء نموذج بديل يُحتفظ فيه باستجابة واحدة فقط من كل وكالة تُختار عشوائيًا، ثم تُقارن النتائج بين النموذجين. وفي جميع الأحوال، سيُعامل أي ارتباط متبقٍ داخل الوكالة لم يُضبط إحصائيًا بوصفه قيدًا منهجيًا، ويُذكر عند تفسير النتائج في الفصل الرابع.</w:t>
      </w:r>
    </w:p>
    <w:p w14:paraId="71700C4F" w14:textId="77777777" w:rsidR="0006433B" w:rsidRPr="00FF3463" w:rsidRDefault="0006433B" w:rsidP="0006433B">
      <w:pPr>
        <w:bidi/>
        <w:spacing w:after="200" w:line="276" w:lineRule="auto"/>
        <w:rPr>
          <w:rFonts w:ascii="Simplified Arabic" w:hAnsi="Simplified Arabic" w:cs="Simplified Arabic"/>
          <w:rtl/>
        </w:rPr>
      </w:pPr>
    </w:p>
    <w:p w14:paraId="57529446" w14:textId="77777777" w:rsidR="00F035EA" w:rsidRPr="00B133F8"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المتغيرات الوصفية لأفراد العينة</w:t>
      </w:r>
    </w:p>
    <w:p w14:paraId="160F2A8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w:t>
      </w:r>
    </w:p>
    <w:p w14:paraId="5EE05D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(3-5): المتغيرات الوصفية لأفراد عينة الدراسة</w:t>
      </w:r>
    </w:p>
    <w:tbl>
      <w:tblPr>
        <w:bidiVisual/>
        <w:tblW w:w="8400" w:type="dxa"/>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2400"/>
        <w:gridCol w:w="5000"/>
      </w:tblGrid>
      <w:tr w:rsidR="00F035EA" w:rsidRPr="00FF3463" w14:paraId="20C230CD" w14:textId="77777777" w:rsidTr="0085711F">
        <w:tc>
          <w:tcPr>
            <w:tcW w:w="1000" w:type="dxa"/>
            <w:shd w:val="clear" w:color="auto" w:fill="D9D9D9"/>
            <w:tcMar>
              <w:top w:w="80" w:type="dxa"/>
              <w:left w:w="100" w:type="dxa"/>
              <w:bottom w:w="80" w:type="dxa"/>
              <w:right w:w="100" w:type="dxa"/>
            </w:tcMar>
            <w:vAlign w:val="center"/>
          </w:tcPr>
          <w:p w14:paraId="606A48B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2400" w:type="dxa"/>
            <w:shd w:val="clear" w:color="auto" w:fill="D9D9D9"/>
            <w:tcMar>
              <w:top w:w="80" w:type="dxa"/>
              <w:left w:w="100" w:type="dxa"/>
              <w:bottom w:w="80" w:type="dxa"/>
              <w:right w:w="100" w:type="dxa"/>
            </w:tcMar>
            <w:vAlign w:val="center"/>
          </w:tcPr>
          <w:p w14:paraId="687595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المتغير</w:t>
            </w:r>
          </w:p>
        </w:tc>
        <w:tc>
          <w:tcPr>
            <w:tcW w:w="5000" w:type="dxa"/>
            <w:shd w:val="clear" w:color="auto" w:fill="D9D9D9"/>
            <w:tcMar>
              <w:top w:w="80" w:type="dxa"/>
              <w:left w:w="100" w:type="dxa"/>
              <w:bottom w:w="80" w:type="dxa"/>
              <w:right w:w="100" w:type="dxa"/>
            </w:tcMar>
            <w:vAlign w:val="center"/>
          </w:tcPr>
          <w:p w14:paraId="01EDF4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الفئات</w:t>
            </w:r>
          </w:p>
        </w:tc>
      </w:tr>
      <w:tr w:rsidR="00F035EA" w:rsidRPr="00FF3463" w14:paraId="39FE8AC9" w14:textId="77777777" w:rsidTr="0085711F">
        <w:tc>
          <w:tcPr>
            <w:tcW w:w="1000" w:type="dxa"/>
            <w:tcMar>
              <w:top w:w="80" w:type="dxa"/>
              <w:left w:w="100" w:type="dxa"/>
              <w:bottom w:w="80" w:type="dxa"/>
              <w:right w:w="100" w:type="dxa"/>
            </w:tcMar>
            <w:vAlign w:val="center"/>
          </w:tcPr>
          <w:p w14:paraId="54D6E17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w:t>
            </w:r>
          </w:p>
        </w:tc>
        <w:tc>
          <w:tcPr>
            <w:tcW w:w="2400" w:type="dxa"/>
            <w:tcMar>
              <w:top w:w="80" w:type="dxa"/>
              <w:left w:w="100" w:type="dxa"/>
              <w:bottom w:w="80" w:type="dxa"/>
              <w:right w:w="100" w:type="dxa"/>
            </w:tcMar>
            <w:vAlign w:val="center"/>
          </w:tcPr>
          <w:p w14:paraId="529598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الجنس</w:t>
            </w:r>
          </w:p>
        </w:tc>
        <w:tc>
          <w:tcPr>
            <w:tcW w:w="5000" w:type="dxa"/>
            <w:tcMar>
              <w:top w:w="80" w:type="dxa"/>
              <w:left w:w="100" w:type="dxa"/>
              <w:bottom w:w="80" w:type="dxa"/>
              <w:right w:w="100" w:type="dxa"/>
            </w:tcMar>
            <w:vAlign w:val="center"/>
          </w:tcPr>
          <w:p w14:paraId="5003B9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ذكر، أنثى (اختيار واحد).</w:t>
            </w:r>
          </w:p>
        </w:tc>
      </w:tr>
      <w:tr w:rsidR="00F035EA" w:rsidRPr="00FF3463" w14:paraId="4E5D80F0" w14:textId="77777777" w:rsidTr="0085711F">
        <w:tc>
          <w:tcPr>
            <w:tcW w:w="1000" w:type="dxa"/>
            <w:tcMar>
              <w:top w:w="80" w:type="dxa"/>
              <w:left w:w="100" w:type="dxa"/>
              <w:bottom w:w="80" w:type="dxa"/>
              <w:right w:w="100" w:type="dxa"/>
            </w:tcMar>
            <w:vAlign w:val="center"/>
          </w:tcPr>
          <w:p w14:paraId="751F14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P2</w:t>
            </w:r>
          </w:p>
        </w:tc>
        <w:tc>
          <w:tcPr>
            <w:tcW w:w="2400" w:type="dxa"/>
            <w:tcMar>
              <w:top w:w="80" w:type="dxa"/>
              <w:left w:w="100" w:type="dxa"/>
              <w:bottom w:w="80" w:type="dxa"/>
              <w:right w:w="100" w:type="dxa"/>
            </w:tcMar>
            <w:vAlign w:val="center"/>
          </w:tcPr>
          <w:p w14:paraId="4467A6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الفئة العمرية</w:t>
            </w:r>
          </w:p>
        </w:tc>
        <w:tc>
          <w:tcPr>
            <w:tcW w:w="5000" w:type="dxa"/>
            <w:tcMar>
              <w:top w:w="80" w:type="dxa"/>
              <w:left w:w="100" w:type="dxa"/>
              <w:bottom w:w="80" w:type="dxa"/>
              <w:right w:w="100" w:type="dxa"/>
            </w:tcMar>
            <w:vAlign w:val="center"/>
          </w:tcPr>
          <w:p w14:paraId="5764BAC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25 سنة، 25–أقل من 35، 35–أقل من 45، 45 فأكثر (اختيار واحد).</w:t>
            </w:r>
          </w:p>
        </w:tc>
      </w:tr>
      <w:tr w:rsidR="00F035EA" w:rsidRPr="00FF3463" w14:paraId="2B1877BE" w14:textId="77777777" w:rsidTr="0085711F">
        <w:tc>
          <w:tcPr>
            <w:tcW w:w="1000" w:type="dxa"/>
            <w:tcMar>
              <w:top w:w="80" w:type="dxa"/>
              <w:left w:w="100" w:type="dxa"/>
              <w:bottom w:w="80" w:type="dxa"/>
              <w:right w:w="100" w:type="dxa"/>
            </w:tcMar>
            <w:vAlign w:val="center"/>
          </w:tcPr>
          <w:p w14:paraId="7428569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P3</w:t>
            </w:r>
          </w:p>
        </w:tc>
        <w:tc>
          <w:tcPr>
            <w:tcW w:w="2400" w:type="dxa"/>
            <w:tcMar>
              <w:top w:w="80" w:type="dxa"/>
              <w:left w:w="100" w:type="dxa"/>
              <w:bottom w:w="80" w:type="dxa"/>
              <w:right w:w="100" w:type="dxa"/>
            </w:tcMar>
            <w:vAlign w:val="center"/>
          </w:tcPr>
          <w:p w14:paraId="4A8E01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المؤهل العلمي</w:t>
            </w:r>
          </w:p>
        </w:tc>
        <w:tc>
          <w:tcPr>
            <w:tcW w:w="5000" w:type="dxa"/>
            <w:tcMar>
              <w:top w:w="80" w:type="dxa"/>
              <w:left w:w="100" w:type="dxa"/>
              <w:bottom w:w="80" w:type="dxa"/>
              <w:right w:w="100" w:type="dxa"/>
            </w:tcMar>
            <w:vAlign w:val="center"/>
          </w:tcPr>
          <w:p w14:paraId="44E1F2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دبلوم فأقل، بكالوريوس، ماجستير، دكتوراه، أخرى (اختيار واحد).</w:t>
            </w:r>
          </w:p>
        </w:tc>
      </w:tr>
      <w:tr w:rsidR="00F035EA" w:rsidRPr="00FF3463" w14:paraId="2747F84B" w14:textId="77777777" w:rsidTr="0085711F">
        <w:tc>
          <w:tcPr>
            <w:tcW w:w="1000" w:type="dxa"/>
            <w:tcMar>
              <w:top w:w="80" w:type="dxa"/>
              <w:left w:w="100" w:type="dxa"/>
              <w:bottom w:w="80" w:type="dxa"/>
              <w:right w:w="100" w:type="dxa"/>
            </w:tcMar>
            <w:vAlign w:val="center"/>
          </w:tcPr>
          <w:p w14:paraId="64B687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P4</w:t>
            </w:r>
          </w:p>
        </w:tc>
        <w:tc>
          <w:tcPr>
            <w:tcW w:w="2400" w:type="dxa"/>
            <w:tcMar>
              <w:top w:w="80" w:type="dxa"/>
              <w:left w:w="100" w:type="dxa"/>
              <w:bottom w:w="80" w:type="dxa"/>
              <w:right w:w="100" w:type="dxa"/>
            </w:tcMar>
            <w:vAlign w:val="center"/>
          </w:tcPr>
          <w:p w14:paraId="4981739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الدور الوظيفي</w:t>
            </w:r>
          </w:p>
        </w:tc>
        <w:tc>
          <w:tcPr>
            <w:tcW w:w="5000" w:type="dxa"/>
            <w:tcMar>
              <w:top w:w="80" w:type="dxa"/>
              <w:left w:w="100" w:type="dxa"/>
              <w:bottom w:w="80" w:type="dxa"/>
              <w:right w:w="100" w:type="dxa"/>
            </w:tcMar>
            <w:vAlign w:val="center"/>
          </w:tcPr>
          <w:p w14:paraId="063B2D5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تخطيط واستراتيجية، إبداع وتصميم، كتابة محتوى، تحليل بيانات وأداء، إدارة حسابات، إدارة حملات، إدارة عليا/إشرافية، أخرى (اختيار واحد).</w:t>
            </w:r>
          </w:p>
        </w:tc>
      </w:tr>
      <w:tr w:rsidR="00F035EA" w:rsidRPr="00FF3463" w14:paraId="3B2B9FD8" w14:textId="77777777" w:rsidTr="0085711F">
        <w:tc>
          <w:tcPr>
            <w:tcW w:w="1000" w:type="dxa"/>
            <w:tcMar>
              <w:top w:w="80" w:type="dxa"/>
              <w:left w:w="100" w:type="dxa"/>
              <w:bottom w:w="80" w:type="dxa"/>
              <w:right w:w="100" w:type="dxa"/>
            </w:tcMar>
            <w:vAlign w:val="center"/>
          </w:tcPr>
          <w:p w14:paraId="0F0D0E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P5</w:t>
            </w:r>
          </w:p>
        </w:tc>
        <w:tc>
          <w:tcPr>
            <w:tcW w:w="2400" w:type="dxa"/>
            <w:tcMar>
              <w:top w:w="80" w:type="dxa"/>
              <w:left w:w="100" w:type="dxa"/>
              <w:bottom w:w="80" w:type="dxa"/>
              <w:right w:w="100" w:type="dxa"/>
            </w:tcMar>
            <w:vAlign w:val="center"/>
          </w:tcPr>
          <w:p w14:paraId="030028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سنوات الخبرة</w:t>
            </w:r>
          </w:p>
        </w:tc>
        <w:tc>
          <w:tcPr>
            <w:tcW w:w="5000" w:type="dxa"/>
            <w:tcMar>
              <w:top w:w="80" w:type="dxa"/>
              <w:left w:w="100" w:type="dxa"/>
              <w:bottom w:w="80" w:type="dxa"/>
              <w:right w:w="100" w:type="dxa"/>
            </w:tcMar>
            <w:vAlign w:val="center"/>
          </w:tcPr>
          <w:p w14:paraId="3815E6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3 سنوات، 3–أقل من 7، 7–أقل من 10، 10 فأكثر (اختيار واحد).</w:t>
            </w:r>
          </w:p>
        </w:tc>
      </w:tr>
      <w:tr w:rsidR="00F035EA" w:rsidRPr="00FF3463" w14:paraId="18BC8D87" w14:textId="77777777" w:rsidTr="0085711F">
        <w:tc>
          <w:tcPr>
            <w:tcW w:w="1000" w:type="dxa"/>
            <w:tcMar>
              <w:top w:w="80" w:type="dxa"/>
              <w:left w:w="100" w:type="dxa"/>
              <w:bottom w:w="80" w:type="dxa"/>
              <w:right w:w="100" w:type="dxa"/>
            </w:tcMar>
            <w:vAlign w:val="center"/>
          </w:tcPr>
          <w:p w14:paraId="139FEFF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P6</w:t>
            </w:r>
          </w:p>
        </w:tc>
        <w:tc>
          <w:tcPr>
            <w:tcW w:w="2400" w:type="dxa"/>
            <w:tcMar>
              <w:top w:w="80" w:type="dxa"/>
              <w:left w:w="100" w:type="dxa"/>
              <w:bottom w:w="80" w:type="dxa"/>
              <w:right w:w="100" w:type="dxa"/>
            </w:tcMar>
            <w:vAlign w:val="center"/>
          </w:tcPr>
          <w:p w14:paraId="79C6CA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حجم الوكالة</w:t>
            </w:r>
          </w:p>
        </w:tc>
        <w:tc>
          <w:tcPr>
            <w:tcW w:w="5000" w:type="dxa"/>
            <w:tcMar>
              <w:top w:w="80" w:type="dxa"/>
              <w:left w:w="100" w:type="dxa"/>
              <w:bottom w:w="80" w:type="dxa"/>
              <w:right w:w="100" w:type="dxa"/>
            </w:tcMar>
            <w:vAlign w:val="center"/>
          </w:tcPr>
          <w:p w14:paraId="5A62BB6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صغيرة (أقل من 30 موظفًا)، متوسطة (30–أقل من 100)، كبيرة (100 فأكثر) — تصنيف إجرائي اعتمده الباحث لأغراض هذه الدراسة (اختيار واحد).</w:t>
            </w:r>
          </w:p>
        </w:tc>
      </w:tr>
      <w:tr w:rsidR="00F035EA" w:rsidRPr="00FF3463" w14:paraId="5CDE2C7F" w14:textId="77777777" w:rsidTr="0085711F">
        <w:tc>
          <w:tcPr>
            <w:tcW w:w="1000" w:type="dxa"/>
            <w:tcMar>
              <w:top w:w="80" w:type="dxa"/>
              <w:left w:w="100" w:type="dxa"/>
              <w:bottom w:w="80" w:type="dxa"/>
              <w:right w:w="100" w:type="dxa"/>
            </w:tcMar>
            <w:vAlign w:val="center"/>
          </w:tcPr>
          <w:p w14:paraId="148E3A7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P7</w:t>
            </w:r>
          </w:p>
        </w:tc>
        <w:tc>
          <w:tcPr>
            <w:tcW w:w="2400" w:type="dxa"/>
            <w:tcMar>
              <w:top w:w="80" w:type="dxa"/>
              <w:left w:w="100" w:type="dxa"/>
              <w:bottom w:w="80" w:type="dxa"/>
              <w:right w:w="100" w:type="dxa"/>
            </w:tcMar>
            <w:vAlign w:val="center"/>
          </w:tcPr>
          <w:p w14:paraId="2F662A4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مدينة الوكالة</w:t>
            </w:r>
          </w:p>
        </w:tc>
        <w:tc>
          <w:tcPr>
            <w:tcW w:w="5000" w:type="dxa"/>
            <w:tcMar>
              <w:top w:w="80" w:type="dxa"/>
              <w:left w:w="100" w:type="dxa"/>
              <w:bottom w:w="80" w:type="dxa"/>
              <w:right w:w="100" w:type="dxa"/>
            </w:tcMar>
            <w:vAlign w:val="center"/>
          </w:tcPr>
          <w:p w14:paraId="7D706BA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الرياض، جدة، الدمام (اختيار واحد؛ يقتصر على المدن الثلاث المستهدفة بما ينسجم مع شرط الأهلية S1).</w:t>
            </w:r>
          </w:p>
        </w:tc>
      </w:tr>
      <w:tr w:rsidR="00F035EA" w:rsidRPr="00FF3463" w14:paraId="2915AC24" w14:textId="77777777" w:rsidTr="0085711F">
        <w:tc>
          <w:tcPr>
            <w:tcW w:w="1000" w:type="dxa"/>
            <w:tcMar>
              <w:top w:w="80" w:type="dxa"/>
              <w:left w:w="100" w:type="dxa"/>
              <w:bottom w:w="80" w:type="dxa"/>
              <w:right w:w="100" w:type="dxa"/>
            </w:tcMar>
            <w:vAlign w:val="center"/>
          </w:tcPr>
          <w:p w14:paraId="525DEDB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P8</w:t>
            </w:r>
          </w:p>
        </w:tc>
        <w:tc>
          <w:tcPr>
            <w:tcW w:w="2400" w:type="dxa"/>
            <w:tcMar>
              <w:top w:w="80" w:type="dxa"/>
              <w:left w:w="100" w:type="dxa"/>
              <w:bottom w:w="80" w:type="dxa"/>
              <w:right w:w="100" w:type="dxa"/>
            </w:tcMar>
            <w:vAlign w:val="center"/>
          </w:tcPr>
          <w:p w14:paraId="7875365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العملاء</w:t>
            </w:r>
          </w:p>
        </w:tc>
        <w:tc>
          <w:tcPr>
            <w:tcW w:w="5000" w:type="dxa"/>
            <w:tcMar>
              <w:top w:w="80" w:type="dxa"/>
              <w:left w:w="100" w:type="dxa"/>
              <w:bottom w:w="80" w:type="dxa"/>
              <w:right w:w="100" w:type="dxa"/>
            </w:tcMar>
            <w:vAlign w:val="center"/>
          </w:tcPr>
          <w:p w14:paraId="43B24534"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جهات حكومية/شبه حكومية، شركات كبرى، منشآت صغيرة ومتوسطة، علامات ناشئة، قطاعات متعددة، أخرى (اختيار متعدد).</w:t>
            </w:r>
          </w:p>
        </w:tc>
      </w:tr>
      <w:tr w:rsidR="00F035EA" w:rsidRPr="00FF3463" w14:paraId="33A03A23" w14:textId="77777777" w:rsidTr="0085711F">
        <w:tc>
          <w:tcPr>
            <w:tcW w:w="1000" w:type="dxa"/>
            <w:tcMar>
              <w:top w:w="80" w:type="dxa"/>
              <w:left w:w="100" w:type="dxa"/>
              <w:bottom w:w="80" w:type="dxa"/>
              <w:right w:w="100" w:type="dxa"/>
            </w:tcMar>
            <w:vAlign w:val="center"/>
          </w:tcPr>
          <w:p w14:paraId="3F79A92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lastRenderedPageBreak/>
              <w:t>P9</w:t>
            </w:r>
          </w:p>
        </w:tc>
        <w:tc>
          <w:tcPr>
            <w:tcW w:w="2400" w:type="dxa"/>
            <w:tcMar>
              <w:top w:w="80" w:type="dxa"/>
              <w:left w:w="100" w:type="dxa"/>
              <w:bottom w:w="80" w:type="dxa"/>
              <w:right w:w="100" w:type="dxa"/>
            </w:tcMar>
            <w:vAlign w:val="center"/>
          </w:tcPr>
          <w:p w14:paraId="395B59B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نضج استخدام التقنية داخل الوكالة</w:t>
            </w:r>
          </w:p>
        </w:tc>
        <w:tc>
          <w:tcPr>
            <w:tcW w:w="5000" w:type="dxa"/>
            <w:tcMar>
              <w:top w:w="80" w:type="dxa"/>
              <w:left w:w="100" w:type="dxa"/>
              <w:bottom w:w="80" w:type="dxa"/>
              <w:right w:w="100" w:type="dxa"/>
            </w:tcMar>
            <w:vAlign w:val="center"/>
          </w:tcPr>
          <w:p w14:paraId="008CC6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فردي محدود، تجريبي، منتظم في بعض المشاريع، مؤسسي مدمج، لا أعلم (اختيار واحد).</w:t>
            </w:r>
          </w:p>
        </w:tc>
      </w:tr>
      <w:tr w:rsidR="00F035EA" w:rsidRPr="00FF3463" w14:paraId="59D06F29" w14:textId="77777777" w:rsidTr="0085711F">
        <w:tc>
          <w:tcPr>
            <w:tcW w:w="1000" w:type="dxa"/>
            <w:tcMar>
              <w:top w:w="80" w:type="dxa"/>
              <w:left w:w="100" w:type="dxa"/>
              <w:bottom w:w="80" w:type="dxa"/>
              <w:right w:w="100" w:type="dxa"/>
            </w:tcMar>
            <w:vAlign w:val="center"/>
          </w:tcPr>
          <w:p w14:paraId="24E3131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P10</w:t>
            </w:r>
          </w:p>
        </w:tc>
        <w:tc>
          <w:tcPr>
            <w:tcW w:w="2400" w:type="dxa"/>
            <w:tcMar>
              <w:top w:w="80" w:type="dxa"/>
              <w:left w:w="100" w:type="dxa"/>
              <w:bottom w:w="80" w:type="dxa"/>
              <w:right w:w="100" w:type="dxa"/>
            </w:tcMar>
            <w:vAlign w:val="center"/>
          </w:tcPr>
          <w:p w14:paraId="3660AF3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أنواع الأدوات المستخدمة</w:t>
            </w:r>
          </w:p>
        </w:tc>
        <w:tc>
          <w:tcPr>
            <w:tcW w:w="5000" w:type="dxa"/>
            <w:tcMar>
              <w:top w:w="80" w:type="dxa"/>
              <w:left w:w="100" w:type="dxa"/>
              <w:bottom w:w="80" w:type="dxa"/>
              <w:right w:w="100" w:type="dxa"/>
            </w:tcMar>
            <w:vAlign w:val="center"/>
          </w:tcPr>
          <w:p w14:paraId="362F90B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نماذج لغوية، توليد صور وتصاميم، توليد فيديو/صوت، تحليل وتلخيص، أتمتة وتسويق، أخرى (اختيار متعدد).</w:t>
            </w:r>
          </w:p>
        </w:tc>
      </w:tr>
      <w:tr w:rsidR="00F035EA" w:rsidRPr="00FF3463" w14:paraId="09CBB385" w14:textId="77777777" w:rsidTr="0085711F">
        <w:tc>
          <w:tcPr>
            <w:tcW w:w="1000" w:type="dxa"/>
            <w:tcMar>
              <w:top w:w="80" w:type="dxa"/>
              <w:left w:w="100" w:type="dxa"/>
              <w:bottom w:w="80" w:type="dxa"/>
              <w:right w:w="100" w:type="dxa"/>
            </w:tcMar>
            <w:vAlign w:val="center"/>
          </w:tcPr>
          <w:p w14:paraId="2C45633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P11</w:t>
            </w:r>
          </w:p>
        </w:tc>
        <w:tc>
          <w:tcPr>
            <w:tcW w:w="2400" w:type="dxa"/>
            <w:tcMar>
              <w:top w:w="80" w:type="dxa"/>
              <w:left w:w="100" w:type="dxa"/>
              <w:bottom w:w="80" w:type="dxa"/>
              <w:right w:w="100" w:type="dxa"/>
            </w:tcMar>
            <w:vAlign w:val="center"/>
          </w:tcPr>
          <w:p w14:paraId="7CFB2CD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عدد الحملات خلال 12 شهرًا</w:t>
            </w:r>
          </w:p>
        </w:tc>
        <w:tc>
          <w:tcPr>
            <w:tcW w:w="5000" w:type="dxa"/>
            <w:tcMar>
              <w:top w:w="80" w:type="dxa"/>
              <w:left w:w="100" w:type="dxa"/>
              <w:bottom w:w="80" w:type="dxa"/>
              <w:right w:w="100" w:type="dxa"/>
            </w:tcMar>
            <w:vAlign w:val="center"/>
          </w:tcPr>
          <w:p w14:paraId="4AF3E602"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لا يوجد، حملة واحدة، 2–5، 6–10، أكثر من 10 (اختيار واحد).</w:t>
            </w:r>
          </w:p>
        </w:tc>
      </w:tr>
      <w:tr w:rsidR="00F035EA" w:rsidRPr="00FF3463" w14:paraId="2B1D48EA" w14:textId="77777777" w:rsidTr="0085711F">
        <w:tc>
          <w:tcPr>
            <w:tcW w:w="1000" w:type="dxa"/>
            <w:tcMar>
              <w:top w:w="80" w:type="dxa"/>
              <w:left w:w="100" w:type="dxa"/>
              <w:bottom w:w="80" w:type="dxa"/>
              <w:right w:w="100" w:type="dxa"/>
            </w:tcMar>
            <w:vAlign w:val="center"/>
          </w:tcPr>
          <w:p w14:paraId="66B2B22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P12</w:t>
            </w:r>
          </w:p>
        </w:tc>
        <w:tc>
          <w:tcPr>
            <w:tcW w:w="2400" w:type="dxa"/>
            <w:tcMar>
              <w:top w:w="80" w:type="dxa"/>
              <w:left w:w="100" w:type="dxa"/>
              <w:bottom w:w="80" w:type="dxa"/>
              <w:right w:w="100" w:type="dxa"/>
            </w:tcMar>
            <w:vAlign w:val="center"/>
          </w:tcPr>
          <w:p w14:paraId="7069954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وجود سياسة داخلية للاستخدام</w:t>
            </w:r>
          </w:p>
        </w:tc>
        <w:tc>
          <w:tcPr>
            <w:tcW w:w="5000" w:type="dxa"/>
            <w:tcMar>
              <w:top w:w="80" w:type="dxa"/>
              <w:left w:w="100" w:type="dxa"/>
              <w:bottom w:w="80" w:type="dxa"/>
              <w:right w:w="100" w:type="dxa"/>
            </w:tcMar>
            <w:vAlign w:val="center"/>
          </w:tcPr>
          <w:p w14:paraId="1D8FA7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نعم مكتوبة، نعم غير مكتملة، لا توجد، لا أعلم (اختيار واحد).</w:t>
            </w:r>
          </w:p>
        </w:tc>
      </w:tr>
      <w:tr w:rsidR="00F035EA" w:rsidRPr="00FF3463" w14:paraId="77D61A71" w14:textId="77777777" w:rsidTr="0085711F">
        <w:tc>
          <w:tcPr>
            <w:tcW w:w="1000" w:type="dxa"/>
            <w:tcMar>
              <w:top w:w="80" w:type="dxa"/>
              <w:left w:w="100" w:type="dxa"/>
              <w:bottom w:w="80" w:type="dxa"/>
              <w:right w:w="100" w:type="dxa"/>
            </w:tcMar>
            <w:vAlign w:val="center"/>
          </w:tcPr>
          <w:p w14:paraId="1D82F28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P13</w:t>
            </w:r>
          </w:p>
        </w:tc>
        <w:tc>
          <w:tcPr>
            <w:tcW w:w="2400" w:type="dxa"/>
            <w:tcMar>
              <w:top w:w="80" w:type="dxa"/>
              <w:left w:w="100" w:type="dxa"/>
              <w:bottom w:w="80" w:type="dxa"/>
              <w:right w:w="100" w:type="dxa"/>
            </w:tcMar>
            <w:vAlign w:val="center"/>
          </w:tcPr>
          <w:p w14:paraId="439FF83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العلاقة بأدوات الذكاء الاصطناعي التوليدي</w:t>
            </w:r>
          </w:p>
        </w:tc>
        <w:tc>
          <w:tcPr>
            <w:tcW w:w="5000" w:type="dxa"/>
            <w:tcMar>
              <w:top w:w="80" w:type="dxa"/>
              <w:left w:w="100" w:type="dxa"/>
              <w:bottom w:w="80" w:type="dxa"/>
              <w:right w:w="100" w:type="dxa"/>
            </w:tcMar>
            <w:vAlign w:val="center"/>
          </w:tcPr>
          <w:p w14:paraId="6B03476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استخدام مباشر للأدوات، مراجعة أو تحرير المخرجات، المشاركة في قرار استخدام الأدوات أو اختيارها، الإشراف على المخرجات أو اعتمادها (اختيار متعدد).</w:t>
            </w:r>
          </w:p>
        </w:tc>
      </w:tr>
      <w:tr w:rsidR="00F035EA" w:rsidRPr="00FF3463" w14:paraId="78332863" w14:textId="77777777" w:rsidTr="0085711F">
        <w:tc>
          <w:tcPr>
            <w:tcW w:w="1000" w:type="dxa"/>
            <w:tcMar>
              <w:top w:w="80" w:type="dxa"/>
              <w:left w:w="100" w:type="dxa"/>
              <w:bottom w:w="80" w:type="dxa"/>
              <w:right w:w="100" w:type="dxa"/>
            </w:tcMar>
            <w:vAlign w:val="center"/>
          </w:tcPr>
          <w:p w14:paraId="6BC168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P14</w:t>
            </w:r>
          </w:p>
        </w:tc>
        <w:tc>
          <w:tcPr>
            <w:tcW w:w="2400" w:type="dxa"/>
            <w:tcMar>
              <w:top w:w="80" w:type="dxa"/>
              <w:left w:w="100" w:type="dxa"/>
              <w:bottom w:w="80" w:type="dxa"/>
              <w:right w:w="100" w:type="dxa"/>
            </w:tcMar>
            <w:vAlign w:val="center"/>
          </w:tcPr>
          <w:p w14:paraId="75E1FF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قناة الوصول للاستبانة</w:t>
            </w:r>
          </w:p>
        </w:tc>
        <w:tc>
          <w:tcPr>
            <w:tcW w:w="5000" w:type="dxa"/>
            <w:tcMar>
              <w:top w:w="80" w:type="dxa"/>
              <w:left w:w="100" w:type="dxa"/>
              <w:bottom w:w="80" w:type="dxa"/>
              <w:right w:w="100" w:type="dxa"/>
            </w:tcMar>
            <w:vAlign w:val="center"/>
          </w:tcPr>
          <w:p w14:paraId="7A06F6B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وكالة/مدير مباشر، جمعية/مجموعة مهنية، لينكدإن، شبكة شخصية (إحالة) — لأغراض تتبّع تنوع مصادر العينة (اختيار واحد).</w:t>
            </w:r>
          </w:p>
        </w:tc>
      </w:tr>
    </w:tbl>
    <w:p w14:paraId="5DA14570" w14:textId="77777777" w:rsidR="00F035EA" w:rsidRPr="00FF3463" w:rsidRDefault="00F035EA" w:rsidP="00F035EA">
      <w:pPr>
        <w:bidi/>
        <w:spacing w:after="200" w:line="276" w:lineRule="auto"/>
        <w:rPr>
          <w:rFonts w:ascii="Simplified Arabic" w:hAnsi="Simplified Arabic" w:cs="Simplified Arabic"/>
          <w:color w:val="EE0000"/>
          <w:rtl/>
        </w:rPr>
      </w:pPr>
    </w:p>
    <w:p w14:paraId="0EF1D40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وتقتصر أسئلة P8 وP10 على الاختيار المتعدد لطبيعتها الموضوعية، بينما تبقى بقية الأسئلة الوصفية اختيارًا واحدًا. وستُراجَع خلال الدراسة الاستطلاعية الحاجة إلى إضافة خيار «لا ينطبق» لأي فقرة من فقرات المحاور الموضوعية يتبيّن أن بعض المشاركين لا يستطيعون الحكم عليها بحكم طبيعة دورهم الوظيفي؛ فإن ثبتت الحاجة إلى هذا الخيار أُضيف، وإلا عُدِّلت شروط المشاركة بما يمنع وصول من لا يستطيعون الإجابة عنها.</w:t>
      </w:r>
    </w:p>
    <w:p w14:paraId="6E609B96"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u w:val="single"/>
          <w:rtl/>
        </w:rPr>
        <w:t>إجراءات التنفيذ الميداني</w:t>
      </w:r>
    </w:p>
    <w:p w14:paraId="0B3DB16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فترة جمع البيانات</w:t>
      </w:r>
    </w:p>
    <w:p w14:paraId="5F099302" w14:textId="1E2669B0" w:rsidR="00D73443" w:rsidRPr="00FF3463" w:rsidRDefault="00F035EA" w:rsidP="00D73443">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يُخطَّط لتنفيذ جمع البيانات الميدانية خلال فترة تمتد نحو ثلاثة أشهر تقريبًا، تبدأ بعد الحصول على موافقة لجنة أخلاقيات البحث العلمي والموافقات الرسمية اللازمة، وتشمل أسبوعين تمهيديين للدراسة الاستطلاعية والمقابلات الإدراكية، تليها فترة التطبيق الأساسي لجمع الاستجابات، وستُحدَّد التواريخ الفعلية بدقة عند اعتماد خطة الأطروحة نهائيًا وصدور الموافقات.</w:t>
      </w:r>
    </w:p>
    <w:p w14:paraId="2BF32EE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منصة الاستبانة الإلكترونية</w:t>
      </w:r>
    </w:p>
    <w:p w14:paraId="2B5C2446" w14:textId="77777777" w:rsidR="00F035EA"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ستُصمم الاستبانة الإلكترونية وتُطبق باستخدام منصة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لما توفره من سهولة الوصول للمشاركين، وإمكان استخدام المنطق الشرطي لإنهاء المشاركة عند عدم استيفاء شروط الأهلية، إضافة إلى إمكان ضبط إعدادات الاستجابة بما يتفق مع متطلبات الدراسة والخصوصية.</w:t>
      </w:r>
    </w:p>
    <w:p w14:paraId="788F9891" w14:textId="77777777" w:rsidR="0006433B" w:rsidRDefault="0006433B" w:rsidP="0006433B">
      <w:pPr>
        <w:bidi/>
        <w:spacing w:after="200" w:line="276" w:lineRule="auto"/>
        <w:rPr>
          <w:rFonts w:ascii="Simplified Arabic" w:hAnsi="Simplified Arabic" w:cs="Simplified Arabic"/>
          <w:b/>
          <w:bCs/>
          <w:color w:val="EE0000"/>
          <w:rtl/>
        </w:rPr>
      </w:pPr>
    </w:p>
    <w:p w14:paraId="30E3048F" w14:textId="77777777" w:rsidR="0006433B" w:rsidRDefault="0006433B" w:rsidP="0006433B">
      <w:pPr>
        <w:bidi/>
        <w:spacing w:after="200" w:line="276" w:lineRule="auto"/>
        <w:rPr>
          <w:rFonts w:ascii="Simplified Arabic" w:hAnsi="Simplified Arabic" w:cs="Simplified Arabic"/>
          <w:b/>
          <w:bCs/>
          <w:color w:val="EE0000"/>
          <w:rtl/>
        </w:rPr>
      </w:pPr>
    </w:p>
    <w:p w14:paraId="019DD120" w14:textId="77777777" w:rsidR="0006433B" w:rsidRPr="00FF3463" w:rsidRDefault="0006433B" w:rsidP="0006433B">
      <w:pPr>
        <w:bidi/>
        <w:spacing w:after="200" w:line="276" w:lineRule="auto"/>
        <w:rPr>
          <w:rFonts w:ascii="Simplified Arabic" w:hAnsi="Simplified Arabic" w:cs="Simplified Arabic"/>
          <w:b/>
          <w:bCs/>
          <w:color w:val="EE0000"/>
          <w:rtl/>
        </w:rPr>
      </w:pPr>
    </w:p>
    <w:p w14:paraId="77D02D58" w14:textId="77777777" w:rsidR="0006433B" w:rsidRPr="00FF3463" w:rsidRDefault="0006433B" w:rsidP="0006433B">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lastRenderedPageBreak/>
        <w:t>طريقة إرسال رابط الاستبانة</w:t>
      </w:r>
    </w:p>
    <w:p w14:paraId="1A762E04" w14:textId="1E6C62E3" w:rsidR="0006433B" w:rsidRPr="0006433B" w:rsidRDefault="0006433B" w:rsidP="0006433B">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سيُرسَل رابط الاستبانة عبر القنوات الأربع الموضحة في فقرة قنوات الوصول إلى العينة: البريد المهني لمسؤولي الوكالات لتعميمه داخليًا، ومجموعات الجمعيات والمنصات المهنية المتخصصة، ومجموعات لينكدإن التسويقية، والتواصل الشخصي المباشر ضمن أسلوب كرة الثلج، مصحوبًا في كل مرة برسالة تعريفية موجزة بهدف الدراسة ومدة الإجابة المتوقعة.</w:t>
      </w:r>
    </w:p>
    <w:p w14:paraId="4473A3C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مدة فتح الاستبانة والتذكيرات</w:t>
      </w:r>
    </w:p>
    <w:p w14:paraId="235F9C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سيظل رابط الاستبانة متاحًا مدة ستة أسابيع من تاريخ فتحه، مع إرسال تذكيرين اثنين للجهات والمجموعات التي عُمِّم عليها الرابط، الأول بعد أسبوعين من الفتح والثاني بعد أسبوعين من التذكير الأول، مراعاةً لعدم الإزعاج المتكرر مع إتاحة فرصة كافية لرفع معدل الاستجابة.</w:t>
      </w:r>
    </w:p>
    <w:p w14:paraId="25FE215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آلية منع تكرار الاستجابة</w:t>
      </w:r>
    </w:p>
    <w:p w14:paraId="21517E4A"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سيُفعّل في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xml:space="preserve"> خيار الحد من الاستجابة إلى مرة واحدة لكل حساب (</w:t>
      </w:r>
      <w:r w:rsidRPr="00FF3463">
        <w:rPr>
          <w:rFonts w:ascii="Simplified Arabic" w:hAnsi="Simplified Arabic" w:cs="Simplified Arabic"/>
          <w:color w:val="EE0000"/>
        </w:rPr>
        <w:t>Limit to 1 response</w:t>
      </w:r>
      <w:r w:rsidRPr="00FF3463">
        <w:rPr>
          <w:rFonts w:ascii="Simplified Arabic" w:hAnsi="Simplified Arabic" w:cs="Simplified Arabic"/>
          <w:color w:val="EE0000"/>
          <w:rtl/>
        </w:rPr>
        <w:t xml:space="preserve">)، وهو ما يتطلب تسجيل المشارك الدخول إلى حساب </w:t>
      </w:r>
      <w:r w:rsidRPr="00FF3463">
        <w:rPr>
          <w:rFonts w:ascii="Simplified Arabic" w:hAnsi="Simplified Arabic" w:cs="Simplified Arabic"/>
          <w:color w:val="EE0000"/>
        </w:rPr>
        <w:t>Google</w:t>
      </w:r>
      <w:r w:rsidRPr="00FF3463">
        <w:rPr>
          <w:rFonts w:ascii="Simplified Arabic" w:hAnsi="Simplified Arabic" w:cs="Simplified Arabic"/>
          <w:color w:val="EE0000"/>
          <w:rtl/>
        </w:rPr>
        <w:t xml:space="preserve"> للتحقق من عدم تكرار الإرسال، مع تعطيل خيار جمع عناوين البريد الإلكتروني؛ وبذلك لا يظهر للمُباحث اسم الحساب أو عنوان البريد الإلكتروني ضمن ملف البيانات. كما ستُراجع البيانات بعد الجمع للكشف عن أي أنماط تكرار غير اعتيادية باستخدام توقيت الاستجابة وتشابه أنماط الإجابة، دون جمع بيانات تعريفية شخصية غير لازمة.</w:t>
      </w:r>
    </w:p>
    <w:p w14:paraId="4E66B08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إنهاء الاستبانة لغير المؤهلين</w:t>
      </w:r>
    </w:p>
    <w:p w14:paraId="548E139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ستُبرمَج أسئلة الأهلية (S1–S5) في مقدمة الاستبانة بحيث تُنهي المشاركة تلقائيًا وتعرض رسالة شكر عند عدم تحقق أي شرط منها، دون الانتقال إلى محاور القياس، وذلك عبر ميزة المنطق الشرطي في منصة الاستبانة.</w:t>
      </w:r>
    </w:p>
    <w:p w14:paraId="6993443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الدراسة الاستطلاعية</w:t>
      </w:r>
    </w:p>
    <w:p w14:paraId="0FAE4428" w14:textId="3F1A6307" w:rsidR="00D73443" w:rsidRPr="00FF3463" w:rsidRDefault="00F035EA" w:rsidP="0006433B">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التطبيق الأساسي، ستُطبَّق الاستبانة على عينة استطلاعية ميسرة تضم من (30) إلى (40) مشاركًا من الفئة نفسها ومن المدن الثلاث المستهدفة، للتحقق من وضوح العبارات والتعليمات، وتقدير الزمن الفعلي اللازم للإجابة، وحساب مؤشرات أولية للاتساق الداخلي تساعد على اكتشاف الفقرات غير الواضحة أو الضعيفة قبل التطبيق الأساسي (تفصيلها في فقرة صدق أداة الدراسة وثباتها).</w:t>
      </w:r>
    </w:p>
    <w:p w14:paraId="5B2E171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المقابلات الإدراكية</w:t>
      </w:r>
    </w:p>
    <w:p w14:paraId="1239490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لحداثة موضوع الدراسة وتعدد مصطلحاته التقنية، ستُعرض الاستبانة قبل الدراسة الاستطلاعية على عدد محدود من المختصين (5 إلى 8 مختصين) في التسويق الرقمي والذكاء الاصطناعي التوليدي، في مقابلات إدراكية قصيرة (Cognitive Interviews) للتأكد من أن فقرات الأداة تُفهم بالمعنى المقصود منها، وتُعدَّل الصياغة بناءً على ملاحظاتهم قبل الدراسة الاستطلاعية.</w:t>
      </w:r>
    </w:p>
    <w:p w14:paraId="3AB3E37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lastRenderedPageBreak/>
        <w:t>الزمن المتوقع للإجابة</w:t>
      </w:r>
    </w:p>
    <w:p w14:paraId="222B30F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تتضمن الأداة خمسة أسئلة أهلية (S1–S5)، و46 فقرة قياس موزعة على خمسة محاور، و14 سؤالًا وصفيًا (P1–P14)، وهو عدد فقرات مرتفع نسبيًا قد يستغرق زمنًا معتبرًا للإجابة عنه؛ لذلك سيُقدَّر الزمن الفعلي المتوسط للإجابة من واقع الدراسة الاستطلاعية، ويُتوقَّع مبدئيًا أن يتراوح بين (10) و(15) دقيقة، وسيُذكَر هذا التقدير صراحةً في مقدمة الاستبانة، مع دراسة أثر طول الأداة في جودة الاستجابات ضمن تحليل تنظيف البيانات (فحص الاستجابات النمطية وزمن الإجابة).</w:t>
      </w:r>
    </w:p>
    <w:p w14:paraId="6E02458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المرجعية الزمنية والموضوعية للإجابة</w:t>
      </w:r>
    </w:p>
    <w:p w14:paraId="6833198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ستوضَّح في مقدمة الاستبانة وتعليماتها مرجعية إجابة المشارك: يُطلَب من كل مشارك الإجابة عن فقرات محاور القياس استنادًا إلى ممارسته الشخصية وخبرته داخل الوكالة (لا عن الوكالة ككل ولا عن حملة بعينها)، وذلك خلال الاثني عشر شهرًا الأخيرة تحديدًا؛ وستُوحَّد هذه الفترة المرجعية (آخر 12 شهرًا) في تعليمات الاستبانة العامة بحيث تنطبق على جميع فقرات محاور الممارسة والأداء دون استثناء، بدلًا من اقتصارها على شرط الأهلية S3 فحسب.</w:t>
      </w:r>
    </w:p>
    <w:p w14:paraId="0B67FC4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فقرات التحقق من الانتباه</w:t>
      </w:r>
    </w:p>
    <w:p w14:paraId="2F4629A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لطول الاستبانة الإلكترونية، ستُضاف فقرتان للتحقق من الانتباه (Attention Check Items) ضمن محاور القياس، بصياغة تطلب من المشارك اختيار درجة محددة («يُرجى اختيار موافق لهذه الفقرة»)، دون أن تؤثر هاتان الفقرتان في احتساب درجات المتغيرات، وتُستخدمان فقط ضمن معايير تنظيف البيانات لاحقًا.</w:t>
      </w:r>
    </w:p>
    <w:p w14:paraId="31B7C64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اختبار تحيز عدم الاستجابة</w:t>
      </w:r>
    </w:p>
    <w:p w14:paraId="723F566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سيُطبَّق إجراء مقارنة المستجيبين المبكرين بالمستجيبين المتأخرين (Early-vs-Late Respondents)، بتقسيم الاستجابات إلى ثلثين وفق ترتيب زمن الورود، ثم إجراء اختبار (t) لعينتين مستقلتين على متوسطات المحاور الرئيسة للتحقق من عدم وجود فروق دالة إحصائيًا تشير إلى تحيز محتمل في عدم الاستجابة.</w:t>
      </w:r>
    </w:p>
    <w:p w14:paraId="02E1C25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المخطط التسلسلي لتنفيذ الدراسة</w:t>
      </w:r>
    </w:p>
    <w:p w14:paraId="29E9949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ستمر إجراءات التنفيذ الميداني بالخطوات المتسلسلة التالية: (1) الحصول على موافقة لجنة أخلاقيات البحث العلمي؛ (2) الحصول على الموافقات الرسمية من الوكالات أو الجهات المهنية عند الحاجة؛ (3) عرض الأداة على المحكِّمين وحساب مؤشرات الصدق الظاهري والمحتوى؛ (4) إجراء المقابلات الإدراكية وتعديل الصياغة؛ (5) تطبيق الدراسة الاستطلاعية وحساب المؤشرات الأولية للاتساق الداخلي؛ (6) تعديل الأداة نهائيًا في ضوء نتائج الاستطلاع؛ (7) الاستقطاب وتوزيع رابط الاستبانة عبر القنوات المحددة؛ (8) متابعة معدل الاستجابة وإرسال التذكيرات؛ (9) إغلاق الاستبانة وتنظيف البيانات؛ (10) تحليل البيانات واختبار الفرضيات.</w:t>
      </w:r>
    </w:p>
    <w:p w14:paraId="00F650E9" w14:textId="77777777" w:rsidR="00F035EA" w:rsidRPr="00B133F8" w:rsidRDefault="00F035EA" w:rsidP="00F035EA">
      <w:pPr>
        <w:bidi/>
        <w:spacing w:after="200" w:line="276" w:lineRule="auto"/>
        <w:rPr>
          <w:rFonts w:ascii="Simplified Arabic" w:hAnsi="Simplified Arabic" w:cs="Simplified Arabic"/>
          <w:rtl/>
        </w:rPr>
      </w:pPr>
    </w:p>
    <w:p w14:paraId="048A9BEB"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lastRenderedPageBreak/>
        <w:t xml:space="preserve"> </w:t>
      </w:r>
      <w:r>
        <w:rPr>
          <w:rFonts w:ascii="Sakkal Majalla" w:hAnsi="Sakkal Majalla" w:cs="Sakkal Majalla"/>
          <w:b/>
          <w:bCs/>
          <w:color w:val="1F497D" w:themeColor="text2"/>
          <w:sz w:val="32"/>
          <w:szCs w:val="32"/>
          <w:u w:val="single"/>
          <w:rtl/>
        </w:rPr>
        <w:t>أداة الدراسة وبناؤها</w:t>
      </w:r>
    </w:p>
    <w:p w14:paraId="548C2C5C"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 xml:space="preserve">ستُستخدَم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وستُصاغ فقرات المحاور وفق مقياس ليكرت الخماسي، الذي يدرّج موافقة المبحوث على كل عبارة في خمسة مستويات، </w:t>
      </w:r>
      <w:r w:rsidRPr="00FF3463">
        <w:rPr>
          <w:rFonts w:ascii="Simplified Arabic" w:eastAsia="Arial" w:hAnsi="Simplified Arabic" w:cs="Simplified Arabic"/>
          <w:color w:val="EE0000"/>
          <w:rtl/>
        </w:rPr>
        <w:t>وستُرفَق الاستبانة في صورتها النهائية كاملة ضمن ملاحق الدراسة (ملحق أ) بعد اعتمادها.</w:t>
      </w:r>
    </w:p>
    <w:p w14:paraId="208EAE49"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(3-6): مستويات مقياس ليكرت الخماسي وتفسير المتوسطات</w:t>
      </w:r>
    </w:p>
    <w:tbl>
      <w:tblPr>
        <w:bidiVisual/>
        <w:tblW w:w="7000"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2600"/>
        <w:gridCol w:w="3200"/>
      </w:tblGrid>
      <w:tr w:rsidR="00F035EA" w:rsidRPr="00FF3463" w14:paraId="5B571EFB" w14:textId="77777777" w:rsidTr="0085711F">
        <w:tc>
          <w:tcPr>
            <w:tcW w:w="1200" w:type="dxa"/>
            <w:shd w:val="clear" w:color="auto" w:fill="D9D9D9"/>
            <w:tcMar>
              <w:top w:w="80" w:type="dxa"/>
              <w:left w:w="100" w:type="dxa"/>
              <w:bottom w:w="80" w:type="dxa"/>
              <w:right w:w="100" w:type="dxa"/>
            </w:tcMar>
            <w:vAlign w:val="center"/>
          </w:tcPr>
          <w:p w14:paraId="1CC0F51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الدرجة</w:t>
            </w:r>
          </w:p>
        </w:tc>
        <w:tc>
          <w:tcPr>
            <w:tcW w:w="2600" w:type="dxa"/>
            <w:shd w:val="clear" w:color="auto" w:fill="D9D9D9"/>
            <w:tcMar>
              <w:top w:w="80" w:type="dxa"/>
              <w:left w:w="100" w:type="dxa"/>
              <w:bottom w:w="80" w:type="dxa"/>
              <w:right w:w="100" w:type="dxa"/>
            </w:tcMar>
            <w:vAlign w:val="center"/>
          </w:tcPr>
          <w:p w14:paraId="31886E7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مستوى الموافقة</w:t>
            </w:r>
          </w:p>
        </w:tc>
        <w:tc>
          <w:tcPr>
            <w:tcW w:w="3200" w:type="dxa"/>
            <w:shd w:val="clear" w:color="auto" w:fill="D9D9D9"/>
            <w:tcMar>
              <w:top w:w="80" w:type="dxa"/>
              <w:left w:w="100" w:type="dxa"/>
              <w:bottom w:w="80" w:type="dxa"/>
              <w:right w:w="100" w:type="dxa"/>
            </w:tcMar>
            <w:vAlign w:val="center"/>
          </w:tcPr>
          <w:p w14:paraId="5A03B58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فئة المتوسط</w:t>
            </w:r>
          </w:p>
        </w:tc>
      </w:tr>
      <w:tr w:rsidR="00F035EA" w:rsidRPr="00FF3463" w14:paraId="33B2467D" w14:textId="77777777" w:rsidTr="0085711F">
        <w:tc>
          <w:tcPr>
            <w:tcW w:w="1200" w:type="dxa"/>
            <w:tcMar>
              <w:top w:w="80" w:type="dxa"/>
              <w:left w:w="100" w:type="dxa"/>
              <w:bottom w:w="80" w:type="dxa"/>
              <w:right w:w="100" w:type="dxa"/>
            </w:tcMar>
            <w:vAlign w:val="center"/>
          </w:tcPr>
          <w:p w14:paraId="384C6C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w:t>
            </w:r>
          </w:p>
        </w:tc>
        <w:tc>
          <w:tcPr>
            <w:tcW w:w="2600" w:type="dxa"/>
            <w:tcMar>
              <w:top w:w="80" w:type="dxa"/>
              <w:left w:w="100" w:type="dxa"/>
              <w:bottom w:w="80" w:type="dxa"/>
              <w:right w:w="100" w:type="dxa"/>
            </w:tcMar>
            <w:vAlign w:val="center"/>
          </w:tcPr>
          <w:p w14:paraId="66E9A63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 بشدة</w:t>
            </w:r>
          </w:p>
        </w:tc>
        <w:tc>
          <w:tcPr>
            <w:tcW w:w="3200" w:type="dxa"/>
            <w:tcMar>
              <w:top w:w="80" w:type="dxa"/>
              <w:left w:w="100" w:type="dxa"/>
              <w:bottom w:w="80" w:type="dxa"/>
              <w:right w:w="100" w:type="dxa"/>
            </w:tcMar>
            <w:vAlign w:val="center"/>
          </w:tcPr>
          <w:p w14:paraId="2C9A3A1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1.00 – 1.80</w:t>
            </w:r>
          </w:p>
        </w:tc>
      </w:tr>
      <w:tr w:rsidR="00F035EA" w:rsidRPr="00FF3463" w14:paraId="6885CF0E" w14:textId="77777777" w:rsidTr="0085711F">
        <w:tc>
          <w:tcPr>
            <w:tcW w:w="1200" w:type="dxa"/>
            <w:tcMar>
              <w:top w:w="80" w:type="dxa"/>
              <w:left w:w="100" w:type="dxa"/>
              <w:bottom w:w="80" w:type="dxa"/>
              <w:right w:w="100" w:type="dxa"/>
            </w:tcMar>
            <w:vAlign w:val="center"/>
          </w:tcPr>
          <w:p w14:paraId="5946F89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2</w:t>
            </w:r>
          </w:p>
        </w:tc>
        <w:tc>
          <w:tcPr>
            <w:tcW w:w="2600" w:type="dxa"/>
            <w:tcMar>
              <w:top w:w="80" w:type="dxa"/>
              <w:left w:w="100" w:type="dxa"/>
              <w:bottom w:w="80" w:type="dxa"/>
              <w:right w:w="100" w:type="dxa"/>
            </w:tcMar>
            <w:vAlign w:val="center"/>
          </w:tcPr>
          <w:p w14:paraId="12BC52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w:t>
            </w:r>
          </w:p>
        </w:tc>
        <w:tc>
          <w:tcPr>
            <w:tcW w:w="3200" w:type="dxa"/>
            <w:tcMar>
              <w:top w:w="80" w:type="dxa"/>
              <w:left w:w="100" w:type="dxa"/>
              <w:bottom w:w="80" w:type="dxa"/>
              <w:right w:w="100" w:type="dxa"/>
            </w:tcMar>
            <w:vAlign w:val="center"/>
          </w:tcPr>
          <w:p w14:paraId="5DAD9DA6"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1.81 – 2.60</w:t>
            </w:r>
          </w:p>
        </w:tc>
      </w:tr>
      <w:tr w:rsidR="00F035EA" w:rsidRPr="00FF3463" w14:paraId="541246A6" w14:textId="77777777" w:rsidTr="0085711F">
        <w:tc>
          <w:tcPr>
            <w:tcW w:w="1200" w:type="dxa"/>
            <w:tcMar>
              <w:top w:w="80" w:type="dxa"/>
              <w:left w:w="100" w:type="dxa"/>
              <w:bottom w:w="80" w:type="dxa"/>
              <w:right w:w="100" w:type="dxa"/>
            </w:tcMar>
            <w:vAlign w:val="center"/>
          </w:tcPr>
          <w:p w14:paraId="70653F8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3</w:t>
            </w:r>
          </w:p>
        </w:tc>
        <w:tc>
          <w:tcPr>
            <w:tcW w:w="2600" w:type="dxa"/>
            <w:tcMar>
              <w:top w:w="80" w:type="dxa"/>
              <w:left w:w="100" w:type="dxa"/>
              <w:bottom w:w="80" w:type="dxa"/>
              <w:right w:w="100" w:type="dxa"/>
            </w:tcMar>
            <w:vAlign w:val="center"/>
          </w:tcPr>
          <w:p w14:paraId="7743DA8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محايد</w:t>
            </w:r>
          </w:p>
        </w:tc>
        <w:tc>
          <w:tcPr>
            <w:tcW w:w="3200" w:type="dxa"/>
            <w:tcMar>
              <w:top w:w="80" w:type="dxa"/>
              <w:left w:w="100" w:type="dxa"/>
              <w:bottom w:w="80" w:type="dxa"/>
              <w:right w:w="100" w:type="dxa"/>
            </w:tcMar>
            <w:vAlign w:val="center"/>
          </w:tcPr>
          <w:p w14:paraId="0123C39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2.61 – 3.40</w:t>
            </w:r>
          </w:p>
        </w:tc>
      </w:tr>
      <w:tr w:rsidR="00F035EA" w:rsidRPr="00FF3463" w14:paraId="6A179130" w14:textId="77777777" w:rsidTr="0085711F">
        <w:tc>
          <w:tcPr>
            <w:tcW w:w="1200" w:type="dxa"/>
            <w:tcMar>
              <w:top w:w="80" w:type="dxa"/>
              <w:left w:w="100" w:type="dxa"/>
              <w:bottom w:w="80" w:type="dxa"/>
              <w:right w:w="100" w:type="dxa"/>
            </w:tcMar>
            <w:vAlign w:val="center"/>
          </w:tcPr>
          <w:p w14:paraId="5C2D384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4</w:t>
            </w:r>
          </w:p>
        </w:tc>
        <w:tc>
          <w:tcPr>
            <w:tcW w:w="2600" w:type="dxa"/>
            <w:tcMar>
              <w:top w:w="80" w:type="dxa"/>
              <w:left w:w="100" w:type="dxa"/>
              <w:bottom w:w="80" w:type="dxa"/>
              <w:right w:w="100" w:type="dxa"/>
            </w:tcMar>
            <w:vAlign w:val="center"/>
          </w:tcPr>
          <w:p w14:paraId="4DD3F4C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w:t>
            </w:r>
          </w:p>
        </w:tc>
        <w:tc>
          <w:tcPr>
            <w:tcW w:w="3200" w:type="dxa"/>
            <w:tcMar>
              <w:top w:w="80" w:type="dxa"/>
              <w:left w:w="100" w:type="dxa"/>
              <w:bottom w:w="80" w:type="dxa"/>
              <w:right w:w="100" w:type="dxa"/>
            </w:tcMar>
            <w:vAlign w:val="center"/>
          </w:tcPr>
          <w:p w14:paraId="57621DA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3.41 – 4.20</w:t>
            </w:r>
          </w:p>
        </w:tc>
      </w:tr>
      <w:tr w:rsidR="00F035EA" w:rsidRPr="00FF3463" w14:paraId="7218F58A" w14:textId="77777777" w:rsidTr="0085711F">
        <w:tc>
          <w:tcPr>
            <w:tcW w:w="1200" w:type="dxa"/>
            <w:tcMar>
              <w:top w:w="80" w:type="dxa"/>
              <w:left w:w="100" w:type="dxa"/>
              <w:bottom w:w="80" w:type="dxa"/>
              <w:right w:w="100" w:type="dxa"/>
            </w:tcMar>
            <w:vAlign w:val="center"/>
          </w:tcPr>
          <w:p w14:paraId="2529C74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5</w:t>
            </w:r>
          </w:p>
        </w:tc>
        <w:tc>
          <w:tcPr>
            <w:tcW w:w="2600" w:type="dxa"/>
            <w:tcMar>
              <w:top w:w="80" w:type="dxa"/>
              <w:left w:w="100" w:type="dxa"/>
              <w:bottom w:w="80" w:type="dxa"/>
              <w:right w:w="100" w:type="dxa"/>
            </w:tcMar>
            <w:vAlign w:val="center"/>
          </w:tcPr>
          <w:p w14:paraId="4ECE33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 بشدة</w:t>
            </w:r>
          </w:p>
        </w:tc>
        <w:tc>
          <w:tcPr>
            <w:tcW w:w="3200" w:type="dxa"/>
            <w:tcMar>
              <w:top w:w="80" w:type="dxa"/>
              <w:left w:w="100" w:type="dxa"/>
              <w:bottom w:w="80" w:type="dxa"/>
              <w:right w:w="100" w:type="dxa"/>
            </w:tcMar>
            <w:vAlign w:val="center"/>
          </w:tcPr>
          <w:p w14:paraId="579E61C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4.21 – 5.00</w:t>
            </w:r>
          </w:p>
        </w:tc>
      </w:tr>
    </w:tbl>
    <w:p w14:paraId="42909376"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وحدت فئات تفسير المتوسطات وفق دليل الجامعة بحيث لا تتداخل حدودها العليا والدنيا، وستُقرَّب القيم الواقعة عند حد فاصل بين فئتين (كـ 1.805 مثلًا) إلى الفئة الأعلى، اتساقًا مع قاعدة تقريب موحدة تُطبَّق على جميع نتائج التحليل الوصفي.</w:t>
      </w:r>
    </w:p>
    <w:p w14:paraId="3F75F81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مكوّنات الأداة</w:t>
      </w:r>
    </w:p>
    <w:p w14:paraId="2BBBB5F1"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جاءت الأداة في صورتها النهائية في ثلاثة أقسام:</w:t>
      </w:r>
    </w:p>
    <w:p w14:paraId="5B3FB6BD"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أسئلة الأهلية والموافقة، وعددها خمسة (S1–S5)، للتحقق من توافر شروط المشاركة قبل البدء.</w:t>
      </w:r>
    </w:p>
    <w:p w14:paraId="365268D9"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المحاور الموضوعية، وهي خمسة محاور تقابل متغيرات الدراسة، وتضم (46) فقرة قياس، إضافة إلى فقرتي تحقق من الانتباه لا تُحتسَب ضمن درجات المتغيرات.</w:t>
      </w:r>
    </w:p>
    <w:p w14:paraId="128D0DCC"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البيانات الشخصية والوظيفية، وعددها أربعة عشر متغيرًا (P1–P14) لوصف خصائص المبحوثين وبيئة عملهم، من بينها متغير قناة الوصول (P14) المستحدث لتتبع تنوع مصادر العينة.</w:t>
      </w:r>
    </w:p>
    <w:p w14:paraId="6BB2A7BE" w14:textId="77777777" w:rsidR="00D73443" w:rsidRDefault="00D73443" w:rsidP="00F035EA">
      <w:pPr>
        <w:bidi/>
        <w:spacing w:before="220" w:after="120" w:line="240" w:lineRule="auto"/>
        <w:rPr>
          <w:rFonts w:ascii="Simplified Arabic" w:eastAsia="Arial" w:hAnsi="Simplified Arabic" w:cs="Simplified Arabic"/>
          <w:b/>
          <w:bCs/>
          <w:color w:val="EE0000"/>
          <w:rtl/>
        </w:rPr>
      </w:pPr>
    </w:p>
    <w:p w14:paraId="48571118" w14:textId="2B7968B5" w:rsidR="00F035EA" w:rsidRPr="00FF3463" w:rsidRDefault="00F035EA" w:rsidP="00D73443">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مصادر بناء فقرات الأداة وربط الفقرات بمصادرها</w:t>
      </w:r>
    </w:p>
    <w:p w14:paraId="4F379238"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xml:space="preserve">اشتُقّت فقرات الأداة من مصدرين متكاملين: دراسات أكاديمية محكَّمة تناولت الذكاء الاصطناعي التوليدي والتسويق الرقمي، وتقارير مؤسسية واستشارية متخصصة (كتقارير McKinsey وNuremberg Institute for Market Decisions) </w:t>
      </w:r>
      <w:r w:rsidRPr="00FF3463">
        <w:rPr>
          <w:rFonts w:ascii="Simplified Arabic" w:eastAsia="Arial" w:hAnsi="Simplified Arabic" w:cs="Simplified Arabic"/>
          <w:color w:val="EE0000"/>
          <w:rtl/>
        </w:rPr>
        <w:lastRenderedPageBreak/>
        <w:t>استُخدمت مصادر معلوماتية وسياقية لصياغة بعض الفقرات دون اعتبارها مقاييس سابقة معتمدة أو أدوات قياس محكَّمة، تمييزًا بين المصادر العلمية المحكَّمة والتقارير المهنية في بناء الأداة.</w:t>
      </w:r>
    </w:p>
    <w:p w14:paraId="21F159A5"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وسيُعَدّ جدول تفصيلي (ملحق ب) يبيّن لكل فقرة من فقرات الأداة: رقمها ورمزها، ومصدرها الأصلي المحدد (لا مجرد قائمة عامة بمصادر المحور)، وطريقة التعديل (فقرة مقتبسة بتصرف، أو مترجمة ومعدَّلة، أو مطوَّرة خصيصًا من الباحث)، وذلك تمييزًا واضحًا بين الفقرات المقتبسة من دراسات سابقة والفقرات التي صاغها الباحث خصيصًا لملاءمة سياق وكالات التسويق السعودية.</w:t>
      </w:r>
    </w:p>
    <w:p w14:paraId="4308C69D"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(3-7): توزيع فقرات الأداة على المحاور وأبرز مصادر الاشتقاق</w:t>
      </w:r>
    </w:p>
    <w:tbl>
      <w:tblPr>
        <w:bidiVisual/>
        <w:tblW w:w="7800"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300"/>
        <w:gridCol w:w="900"/>
        <w:gridCol w:w="3700"/>
      </w:tblGrid>
      <w:tr w:rsidR="00F035EA" w:rsidRPr="00FF3463" w14:paraId="015728E7" w14:textId="77777777" w:rsidTr="0085711F">
        <w:tc>
          <w:tcPr>
            <w:tcW w:w="1900" w:type="dxa"/>
            <w:shd w:val="clear" w:color="auto" w:fill="D9D9D9"/>
            <w:tcMar>
              <w:top w:w="80" w:type="dxa"/>
              <w:left w:w="100" w:type="dxa"/>
              <w:bottom w:w="80" w:type="dxa"/>
              <w:right w:w="100" w:type="dxa"/>
            </w:tcMar>
            <w:vAlign w:val="center"/>
          </w:tcPr>
          <w:p w14:paraId="42B84D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المحور (المتغير)</w:t>
            </w:r>
          </w:p>
        </w:tc>
        <w:tc>
          <w:tcPr>
            <w:tcW w:w="1300" w:type="dxa"/>
            <w:shd w:val="clear" w:color="auto" w:fill="D9D9D9"/>
            <w:tcMar>
              <w:top w:w="80" w:type="dxa"/>
              <w:left w:w="100" w:type="dxa"/>
              <w:bottom w:w="80" w:type="dxa"/>
              <w:right w:w="100" w:type="dxa"/>
            </w:tcMar>
            <w:vAlign w:val="center"/>
          </w:tcPr>
          <w:p w14:paraId="337A5BC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900" w:type="dxa"/>
            <w:shd w:val="clear" w:color="auto" w:fill="D9D9D9"/>
            <w:tcMar>
              <w:top w:w="80" w:type="dxa"/>
              <w:left w:w="100" w:type="dxa"/>
              <w:bottom w:w="80" w:type="dxa"/>
              <w:right w:w="100" w:type="dxa"/>
            </w:tcMar>
            <w:vAlign w:val="center"/>
          </w:tcPr>
          <w:p w14:paraId="781F2B0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الفقرات</w:t>
            </w:r>
          </w:p>
        </w:tc>
        <w:tc>
          <w:tcPr>
            <w:tcW w:w="3700" w:type="dxa"/>
            <w:shd w:val="clear" w:color="auto" w:fill="D9D9D9"/>
            <w:tcMar>
              <w:top w:w="80" w:type="dxa"/>
              <w:left w:w="100" w:type="dxa"/>
              <w:bottom w:w="80" w:type="dxa"/>
              <w:right w:w="100" w:type="dxa"/>
            </w:tcMar>
            <w:vAlign w:val="center"/>
          </w:tcPr>
          <w:p w14:paraId="5EC331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أبرز مصادر الاشتقاق</w:t>
            </w:r>
          </w:p>
        </w:tc>
      </w:tr>
      <w:tr w:rsidR="00F035EA" w:rsidRPr="00FF3463" w14:paraId="132A4321" w14:textId="77777777" w:rsidTr="0085711F">
        <w:tc>
          <w:tcPr>
            <w:tcW w:w="1900" w:type="dxa"/>
            <w:tcMar>
              <w:top w:w="80" w:type="dxa"/>
              <w:left w:w="100" w:type="dxa"/>
              <w:bottom w:w="80" w:type="dxa"/>
              <w:right w:w="100" w:type="dxa"/>
            </w:tcMar>
            <w:vAlign w:val="center"/>
          </w:tcPr>
          <w:p w14:paraId="07C8DD3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توظيف الذكاء الاصطناعي التوليدي</w:t>
            </w:r>
          </w:p>
        </w:tc>
        <w:tc>
          <w:tcPr>
            <w:tcW w:w="1300" w:type="dxa"/>
            <w:tcMar>
              <w:top w:w="80" w:type="dxa"/>
              <w:left w:w="100" w:type="dxa"/>
              <w:bottom w:w="80" w:type="dxa"/>
              <w:right w:w="100" w:type="dxa"/>
            </w:tcMar>
            <w:vAlign w:val="center"/>
          </w:tcPr>
          <w:p w14:paraId="3FDB62C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GAIU1–GAIU10</w:t>
            </w:r>
          </w:p>
        </w:tc>
        <w:tc>
          <w:tcPr>
            <w:tcW w:w="900" w:type="dxa"/>
            <w:tcMar>
              <w:top w:w="80" w:type="dxa"/>
              <w:left w:w="100" w:type="dxa"/>
              <w:bottom w:w="80" w:type="dxa"/>
              <w:right w:w="100" w:type="dxa"/>
            </w:tcMar>
            <w:vAlign w:val="center"/>
          </w:tcPr>
          <w:p w14:paraId="5E68F2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7B1C99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Islam et al. (2024); Gujar &amp; Panyam (2024); Kshetri et al. (2023); Mendoza et al. (2025)</w:t>
            </w:r>
          </w:p>
        </w:tc>
      </w:tr>
      <w:tr w:rsidR="00F035EA" w:rsidRPr="00FF3463" w14:paraId="4095BF03" w14:textId="77777777" w:rsidTr="0085711F">
        <w:tc>
          <w:tcPr>
            <w:tcW w:w="1900" w:type="dxa"/>
            <w:tcMar>
              <w:top w:w="80" w:type="dxa"/>
              <w:left w:w="100" w:type="dxa"/>
              <w:bottom w:w="80" w:type="dxa"/>
              <w:right w:w="100" w:type="dxa"/>
            </w:tcMar>
            <w:vAlign w:val="center"/>
          </w:tcPr>
          <w:p w14:paraId="575E03C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جودة عملية التصميم</w:t>
            </w:r>
          </w:p>
        </w:tc>
        <w:tc>
          <w:tcPr>
            <w:tcW w:w="1300" w:type="dxa"/>
            <w:tcMar>
              <w:top w:w="80" w:type="dxa"/>
              <w:left w:w="100" w:type="dxa"/>
              <w:bottom w:w="80" w:type="dxa"/>
              <w:right w:w="100" w:type="dxa"/>
            </w:tcMar>
            <w:vAlign w:val="center"/>
          </w:tcPr>
          <w:p w14:paraId="4CC4E63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CDQ1–CDQ8</w:t>
            </w:r>
          </w:p>
        </w:tc>
        <w:tc>
          <w:tcPr>
            <w:tcW w:w="900" w:type="dxa"/>
            <w:tcMar>
              <w:top w:w="80" w:type="dxa"/>
              <w:left w:w="100" w:type="dxa"/>
              <w:bottom w:w="80" w:type="dxa"/>
              <w:right w:w="100" w:type="dxa"/>
            </w:tcMar>
            <w:vAlign w:val="center"/>
          </w:tcPr>
          <w:p w14:paraId="38C12A9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8</w:t>
            </w:r>
          </w:p>
        </w:tc>
        <w:tc>
          <w:tcPr>
            <w:tcW w:w="3700" w:type="dxa"/>
            <w:tcMar>
              <w:top w:w="80" w:type="dxa"/>
              <w:left w:w="100" w:type="dxa"/>
              <w:bottom w:w="80" w:type="dxa"/>
              <w:right w:w="100" w:type="dxa"/>
            </w:tcMar>
            <w:vAlign w:val="center"/>
          </w:tcPr>
          <w:p w14:paraId="658BD5C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Heitmann (2024); McKinsey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Gujar &amp; Panyam (2024); Mendoza et al. (2025)</w:t>
            </w:r>
          </w:p>
        </w:tc>
      </w:tr>
      <w:tr w:rsidR="00F035EA" w:rsidRPr="00FF3463" w14:paraId="106A8960" w14:textId="77777777" w:rsidTr="0085711F">
        <w:tc>
          <w:tcPr>
            <w:tcW w:w="1900" w:type="dxa"/>
            <w:tcMar>
              <w:top w:w="80" w:type="dxa"/>
              <w:left w:w="100" w:type="dxa"/>
              <w:bottom w:w="80" w:type="dxa"/>
              <w:right w:w="100" w:type="dxa"/>
            </w:tcMar>
            <w:vAlign w:val="center"/>
          </w:tcPr>
          <w:p w14:paraId="4BCDB0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دوافع التبني</w:t>
            </w:r>
          </w:p>
        </w:tc>
        <w:tc>
          <w:tcPr>
            <w:tcW w:w="1300" w:type="dxa"/>
            <w:tcMar>
              <w:top w:w="80" w:type="dxa"/>
              <w:left w:w="100" w:type="dxa"/>
              <w:bottom w:w="80" w:type="dxa"/>
              <w:right w:w="100" w:type="dxa"/>
            </w:tcMar>
            <w:vAlign w:val="center"/>
          </w:tcPr>
          <w:p w14:paraId="2CE5EF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ADP1–ADP9</w:t>
            </w:r>
          </w:p>
        </w:tc>
        <w:tc>
          <w:tcPr>
            <w:tcW w:w="900" w:type="dxa"/>
            <w:tcMar>
              <w:top w:w="80" w:type="dxa"/>
              <w:left w:w="100" w:type="dxa"/>
              <w:bottom w:w="80" w:type="dxa"/>
              <w:right w:w="100" w:type="dxa"/>
            </w:tcMar>
            <w:vAlign w:val="center"/>
          </w:tcPr>
          <w:p w14:paraId="0C0ECE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2F19EB7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Kshetri et al. (2023); Masnita et al. (2024); Sharabati et al. (2024); العتيبي واليوبي (2024)</w:t>
            </w:r>
          </w:p>
        </w:tc>
      </w:tr>
      <w:tr w:rsidR="00F035EA" w:rsidRPr="00FF3463" w14:paraId="7598585C" w14:textId="77777777" w:rsidTr="0085711F">
        <w:tc>
          <w:tcPr>
            <w:tcW w:w="1900" w:type="dxa"/>
            <w:tcMar>
              <w:top w:w="80" w:type="dxa"/>
              <w:left w:w="100" w:type="dxa"/>
              <w:bottom w:w="80" w:type="dxa"/>
              <w:right w:w="100" w:type="dxa"/>
            </w:tcMar>
            <w:vAlign w:val="center"/>
          </w:tcPr>
          <w:p w14:paraId="6224DF3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العوائق التقنية والبشرية والتنظيمية</w:t>
            </w:r>
          </w:p>
        </w:tc>
        <w:tc>
          <w:tcPr>
            <w:tcW w:w="1300" w:type="dxa"/>
            <w:tcMar>
              <w:top w:w="80" w:type="dxa"/>
              <w:left w:w="100" w:type="dxa"/>
              <w:bottom w:w="80" w:type="dxa"/>
              <w:right w:w="100" w:type="dxa"/>
            </w:tcMar>
            <w:vAlign w:val="center"/>
          </w:tcPr>
          <w:p w14:paraId="3B9556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BAR1–BAR10</w:t>
            </w:r>
          </w:p>
        </w:tc>
        <w:tc>
          <w:tcPr>
            <w:tcW w:w="900" w:type="dxa"/>
            <w:tcMar>
              <w:top w:w="80" w:type="dxa"/>
              <w:left w:w="100" w:type="dxa"/>
              <w:bottom w:w="80" w:type="dxa"/>
              <w:right w:w="100" w:type="dxa"/>
            </w:tcMar>
            <w:vAlign w:val="center"/>
          </w:tcPr>
          <w:p w14:paraId="6B29BAD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3AF21EE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SDAIA (2024); Dwivedi et al. (2023); Kshetri et al. (2023); محيسن وآخرون (2025)</w:t>
            </w:r>
          </w:p>
        </w:tc>
      </w:tr>
      <w:tr w:rsidR="00F035EA" w:rsidRPr="00FF3463" w14:paraId="2DA4D23C" w14:textId="77777777" w:rsidTr="0085711F">
        <w:tc>
          <w:tcPr>
            <w:tcW w:w="1900" w:type="dxa"/>
            <w:tcMar>
              <w:top w:w="80" w:type="dxa"/>
              <w:left w:w="100" w:type="dxa"/>
              <w:bottom w:w="80" w:type="dxa"/>
              <w:right w:w="100" w:type="dxa"/>
            </w:tcMar>
            <w:vAlign w:val="center"/>
          </w:tcPr>
          <w:p w14:paraId="7082B6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فعالية الأداء التسويقي</w:t>
            </w:r>
          </w:p>
        </w:tc>
        <w:tc>
          <w:tcPr>
            <w:tcW w:w="1300" w:type="dxa"/>
            <w:tcMar>
              <w:top w:w="80" w:type="dxa"/>
              <w:left w:w="100" w:type="dxa"/>
              <w:bottom w:w="80" w:type="dxa"/>
              <w:right w:w="100" w:type="dxa"/>
            </w:tcMar>
            <w:vAlign w:val="center"/>
          </w:tcPr>
          <w:p w14:paraId="619E9C1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MP1–MP9</w:t>
            </w:r>
          </w:p>
        </w:tc>
        <w:tc>
          <w:tcPr>
            <w:tcW w:w="900" w:type="dxa"/>
            <w:tcMar>
              <w:top w:w="80" w:type="dxa"/>
              <w:left w:w="100" w:type="dxa"/>
              <w:bottom w:w="80" w:type="dxa"/>
              <w:right w:w="100" w:type="dxa"/>
            </w:tcMar>
            <w:vAlign w:val="center"/>
          </w:tcPr>
          <w:p w14:paraId="1CD611D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5B7835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Nuremberg Institute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Mendoza et al. (2025); Beyari (2025); اللهيبي وآخرون (2024)</w:t>
            </w:r>
          </w:p>
        </w:tc>
      </w:tr>
    </w:tbl>
    <w:p w14:paraId="299F1104" w14:textId="7255CA3C" w:rsidR="00D73443" w:rsidRPr="00FF3463" w:rsidRDefault="00F035EA" w:rsidP="0006433B">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تشير المصادر المؤسسية والاستشارية (McKinsey وNuremberg Institute) إلى مصادر سياقية ومعلوماتية استُعين بها في صياغة بعض الفقرات، ولا تُعامَل بوصفها مقاييس سابقة محكَّمة؛ وسيُفصَّل هذا التمييز لكل فقرة في جدول ملحق (ب).</w:t>
      </w:r>
    </w:p>
    <w:p w14:paraId="6196F13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إجراءات الترجمة</w:t>
      </w:r>
    </w:p>
    <w:p w14:paraId="56EF89F6" w14:textId="565C8D7C" w:rsidR="00F035EA" w:rsidRPr="00FF3463" w:rsidRDefault="00F035EA" w:rsidP="00D73443">
      <w:pPr>
        <w:bidi/>
        <w:spacing w:before="220" w:after="120" w:line="240" w:lineRule="auto"/>
        <w:rPr>
          <w:rFonts w:ascii="Simplified Arabic" w:eastAsia="Arial" w:hAnsi="Simplified Arabic" w:cs="Simplified Arabic"/>
          <w:b/>
          <w:bCs/>
          <w:color w:val="EE0000"/>
          <w:rtl/>
        </w:rPr>
      </w:pPr>
      <w:r w:rsidRPr="00FF3463">
        <w:rPr>
          <w:rFonts w:ascii="Simplified Arabic" w:eastAsia="Arial" w:hAnsi="Simplified Arabic" w:cs="Simplified Arabic"/>
          <w:color w:val="EE0000"/>
          <w:rtl/>
        </w:rPr>
        <w:t>بالنسبة إلى جميع الفقرات التي يكون مصدرها الأصلي باللغة الإنجليزية، ستُترجم إلى العربية ترجمة أولية بواسطة مترجم متمكن من المجالين اللغوي والبحثي، ثم تُراجع لغويًا ومفاهيميًا للتأكد من وضوحها واحتفاظها بالمعنى المقصود. وبعد ذلك ستُطبق الترجمة العكسية (</w:t>
      </w:r>
      <w:r w:rsidRPr="00FF3463">
        <w:rPr>
          <w:rFonts w:ascii="Simplified Arabic" w:eastAsia="Arial" w:hAnsi="Simplified Arabic" w:cs="Simplified Arabic"/>
          <w:color w:val="EE0000"/>
        </w:rPr>
        <w:t>Back-Translation</w:t>
      </w:r>
      <w:r w:rsidRPr="00FF3463">
        <w:rPr>
          <w:rFonts w:ascii="Simplified Arabic" w:eastAsia="Arial" w:hAnsi="Simplified Arabic" w:cs="Simplified Arabic"/>
          <w:color w:val="EE0000"/>
          <w:rtl/>
        </w:rPr>
        <w:t xml:space="preserve">) على جميع الفقرات المترجمة بواسطة مترجم آخر مستقل لم يطلع على </w:t>
      </w:r>
      <w:r w:rsidRPr="00FF3463">
        <w:rPr>
          <w:rFonts w:ascii="Simplified Arabic" w:eastAsia="Arial" w:hAnsi="Simplified Arabic" w:cs="Simplified Arabic"/>
          <w:color w:val="EE0000"/>
          <w:rtl/>
        </w:rPr>
        <w:lastRenderedPageBreak/>
        <w:t>النص الأصلي أثناء الترجمة العكسية، ثم تُقارن النسخة المعادة بالنص الأصلي، وتُناقش أي فروق دلالية بين المترجمين والباحث حتى الوصول إلى صياغة عربية متكافئة مفاهيميًا مع الأصل.</w:t>
      </w:r>
    </w:p>
    <w:p w14:paraId="3E8C8D37"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حقوق استخدام المقاييس</w:t>
      </w:r>
    </w:p>
    <w:p w14:paraId="31125D09"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الباحث، قبل استخدام أي فقرة مقتبسة من مقياس منشور، من شروط إعادة الاستخدام أو التعديل المتاحة في المصدر الأصلي (ترخيص مفتوح، أو نص صريح بالإتاحة للأغراض الأكاديمية، أو غير ذلك)، وسيُطلب إذن مباشر من المؤلفين عند الحاجة، وستُوثَّق المراسلات أو الأذونات المتحصَّل عليها ضمن ملاحق الدراسة.</w:t>
      </w:r>
    </w:p>
    <w:p w14:paraId="2887E4E2"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تحكيم الأداة وصدق المحتوى الكمي</w:t>
      </w:r>
    </w:p>
    <w:p w14:paraId="006477F0"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ستُعرَض الأداة في صورتها الأولية على سبعة محكِّمين من ذوي الاختصاص، يوزَّعون بين التسويق الرقمي (3 محكِّمين)، ومناهج البحث والإحصاء (2 محكِّمين)، والذكاء الاصطناعي التوليدي وتطبيقاته (2 محكِّمين)، لإبداء الرأي في ملاءمة الفقرات لأبعاد المتغيرات، وسلامة صياغتها، ووضوح عباراتها، وانتماء كل فقرة إلى محورها.</w:t>
      </w:r>
    </w:p>
    <w:p w14:paraId="2959F0C1" w14:textId="77777777" w:rsidR="00F035EA" w:rsidRPr="00FF3463" w:rsidRDefault="00F035EA" w:rsidP="00F035EA">
      <w:pPr>
        <w:bidi/>
        <w:spacing w:before="220" w:after="120" w:line="240" w:lineRule="auto"/>
        <w:rPr>
          <w:rFonts w:ascii="Simplified Arabic" w:eastAsia="Arial" w:hAnsi="Simplified Arabic" w:cs="Simplified Arabic"/>
          <w:b/>
          <w:bCs/>
          <w:rtl/>
        </w:rPr>
      </w:pPr>
      <w:r w:rsidRPr="00FF3463">
        <w:rPr>
          <w:rFonts w:ascii="Simplified Arabic" w:eastAsia="Arial" w:hAnsi="Simplified Arabic" w:cs="Simplified Arabic"/>
          <w:rtl/>
        </w:rPr>
        <w:t>وإلى جانب التحكيم النوعي، سيُحسب مؤشر صدق المحتوى على مستوى كل فقرة (</w:t>
      </w:r>
      <w:r w:rsidRPr="00FF3463">
        <w:rPr>
          <w:rFonts w:ascii="Simplified Arabic" w:eastAsia="Arial" w:hAnsi="Simplified Arabic" w:cs="Simplified Arabic"/>
        </w:rPr>
        <w:t>Item-Level Content Validity Index: I-CVI</w:t>
      </w:r>
      <w:r w:rsidRPr="00FF3463">
        <w:rPr>
          <w:rFonts w:ascii="Simplified Arabic" w:eastAsia="Arial" w:hAnsi="Simplified Arabic" w:cs="Simplified Arabic"/>
          <w:rtl/>
        </w:rPr>
        <w:t>)، استنادًا إلى أحكام المحكمين بشأن ملاءمة الفقرة للمتغير الذي تقيسه. ويُعتمد حد لا يقل عن (0.78) لقبول الفقرة؛ وبوجود سبعة محكمين يعني ذلك عمليًا اتفاق ستة محكمين على الأقل من أصل سبعة على ملاءمتها. أما الفقرات التي لا تحقق هذا المستوى فستُراجع صياغتها أو تُحذف بحسب مضمون ملاحظات المحكمين ومدى ضرورتها المفاهيمية. وستوثق نتائج التحكيم وقرارات التعديل والحذف والإضافة في جدول مستقل.</w:t>
      </w:r>
    </w:p>
    <w:p w14:paraId="7A75E94A"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الفقرات العكسية</w:t>
      </w:r>
    </w:p>
    <w:p w14:paraId="1883A78F" w14:textId="77777777" w:rsidR="00F035EA" w:rsidRDefault="00F035EA" w:rsidP="00F035EA">
      <w:pPr>
        <w:bidi/>
        <w:spacing w:line="300" w:lineRule="auto"/>
        <w:jc w:val="both"/>
        <w:rPr>
          <w:rFonts w:ascii="Simplified Arabic" w:eastAsia="Arial" w:hAnsi="Simplified Arabic" w:cs="Simplified Arabic"/>
          <w:color w:val="EE0000"/>
          <w:rtl/>
        </w:rPr>
      </w:pPr>
      <w:r w:rsidRPr="00FF3463">
        <w:rPr>
          <w:rFonts w:ascii="Simplified Arabic" w:eastAsia="Arial" w:hAnsi="Simplified Arabic" w:cs="Simplified Arabic"/>
          <w:color w:val="EE0000"/>
          <w:rtl/>
        </w:rPr>
        <w:t>روجعت جميع فقرات محاور القياس عند الصياغة والتحكيم للتحقق من اتجاه الصياغة، ولم تتضمن الصورة الحالية للأداة فقرات سالبة الاتجاه تحتاج إلى عكس الترميز؛ وفي حال استُحدثت أي فقرة عكسية بناءً على ملاحظات المحكِّمين أو الدراسة الاستطلاعية، فستُحدَّد بوضوح في جدول فقرات الأداة (ملحق ب) وستُعكَس درجتها (Reverse-Coded) قبل احتساب درجة المحور الكلية في مرحلة تنظيف البيانات.</w:t>
      </w:r>
    </w:p>
    <w:p w14:paraId="0DBFCD2D" w14:textId="77777777" w:rsidR="00F035EA" w:rsidRPr="00FF3463" w:rsidRDefault="00F035EA" w:rsidP="00F035EA">
      <w:pPr>
        <w:bidi/>
        <w:spacing w:line="300" w:lineRule="auto"/>
        <w:jc w:val="both"/>
        <w:rPr>
          <w:rFonts w:ascii="Simplified Arabic" w:eastAsia="Arial" w:hAnsi="Simplified Arabic" w:cs="Simplified Arabic"/>
          <w:color w:val="EE0000"/>
          <w:rtl/>
        </w:rPr>
      </w:pPr>
    </w:p>
    <w:p w14:paraId="122F01FB" w14:textId="77777777" w:rsidR="00F035EA" w:rsidRPr="00FF3463" w:rsidRDefault="00F035EA" w:rsidP="00F035EA">
      <w:pPr>
        <w:bidi/>
        <w:spacing w:after="200" w:line="240" w:lineRule="auto"/>
        <w:jc w:val="both"/>
        <w:rPr>
          <w:rFonts w:ascii="Simplified Arabic" w:hAnsi="Simplified Arabic" w:cs="Simplified Arabic"/>
          <w:b/>
          <w:bCs/>
          <w:color w:val="1F497D" w:themeColor="text2"/>
          <w:u w:val="single"/>
          <w:rtl/>
        </w:rPr>
      </w:pPr>
      <w:r>
        <w:rPr>
          <w:rFonts w:ascii="Sakkal Majalla" w:hAnsi="Sakkal Majalla" w:cs="Sakkal Majalla"/>
          <w:b/>
          <w:bCs/>
          <w:color w:val="1F497D" w:themeColor="text2"/>
          <w:sz w:val="32"/>
          <w:szCs w:val="32"/>
          <w:u w:val="single"/>
          <w:rtl/>
        </w:rPr>
        <w:t>صدق أداة الدراسة</w:t>
      </w:r>
      <w:r>
        <w:rPr>
          <w:rFonts w:ascii="Sakkal Majalla" w:hAnsi="Sakkal Majalla" w:cs="Sakkal Majalla" w:hint="cs"/>
          <w:b/>
          <w:bCs/>
          <w:color w:val="1F497D" w:themeColor="text2"/>
          <w:sz w:val="32"/>
          <w:szCs w:val="32"/>
          <w:u w:val="single"/>
          <w:rtl/>
        </w:rPr>
        <w:t xml:space="preserve"> وثباتها</w:t>
      </w:r>
    </w:p>
    <w:p w14:paraId="306BAA5D" w14:textId="77777777" w:rsidR="00F035EA" w:rsidRPr="00FF3463" w:rsidRDefault="00F035EA" w:rsidP="00F035EA">
      <w:pPr>
        <w:bidi/>
        <w:spacing w:before="220" w:after="120"/>
        <w:rPr>
          <w:rFonts w:ascii="Simplified Arabic" w:eastAsia="Arial" w:hAnsi="Simplified Arabic" w:cs="Simplified Arabic"/>
        </w:rPr>
      </w:pPr>
      <w:r w:rsidRPr="00FF3463">
        <w:rPr>
          <w:rFonts w:ascii="Simplified Arabic" w:hAnsi="Simplified Arabic" w:cs="Simplified Arabic"/>
          <w:rtl/>
        </w:rPr>
        <w:t xml:space="preserve"> </w:t>
      </w:r>
      <w:r w:rsidRPr="00FF3463">
        <w:rPr>
          <w:rFonts w:ascii="Simplified Arabic" w:eastAsia="Arial" w:hAnsi="Simplified Arabic" w:cs="Simplified Arabic"/>
          <w:b/>
          <w:bCs/>
          <w:rtl/>
        </w:rPr>
        <w:t>الصدق الظاهري وصدق المحتوى (صدق المحكَّمين)</w:t>
      </w:r>
    </w:p>
    <w:p w14:paraId="2D7383C2"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سبق بيان إجراءات التحكيم واحتساب مؤشر صدق المحتوى الكمي (CVI) في الفقرة السابقة.</w:t>
      </w:r>
    </w:p>
    <w:p w14:paraId="43927860"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الدراسة الاستطلاعية ومؤشرات الاتساق الأولي</w:t>
      </w:r>
    </w:p>
    <w:p w14:paraId="6520DEFA"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xml:space="preserve">قبل التطبيق الأساسي، ستُطبَّق الأداة على عينة استطلاعية ميسرة تضم من (30) إلى (40) مشاركًا من الفئة المستهدفة نفسها في المدن الثلاث، بما يقارب خصائص مجتمع الدراسة الأساسي، وذلك للتحقق من وضوح الفقرات والتعليمات وتقدير زمن الإجابة، ولحساب مؤشرات أولية للاتساق الداخلي (معامل ألفا كرونباخ المبدئي لكل محور) ومعامل ارتباط كل فقرة </w:t>
      </w:r>
      <w:r w:rsidRPr="00FF3463">
        <w:rPr>
          <w:rFonts w:ascii="Simplified Arabic" w:eastAsia="Arial" w:hAnsi="Simplified Arabic" w:cs="Simplified Arabic"/>
          <w:color w:val="EE0000"/>
          <w:rtl/>
        </w:rPr>
        <w:lastRenderedPageBreak/>
        <w:t>بالدرجة الكلية لمحورها (Corrected Item-Total Correlation)، بحيث تُراجَع أو تُحذف الفقرة التي يقل معامل ارتباطها بالدرجة الكلية عن (0.30)، إلى جانب مراجعة الفقرات التي تخفض حذفها معامل ألفا الكلي للمحور.</w:t>
      </w:r>
    </w:p>
    <w:p w14:paraId="3917106F"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صدق البناء (تقييم نموذج القياس)</w:t>
      </w:r>
    </w:p>
    <w:p w14:paraId="44DE5694"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من صدق البناء عبر تقييم نموذج القياس (Measurement Model Assessment) في إطار PLS-SEM، بدلًا من مساواته مباشرة بالتحليل العاملي التوكيدي التقليدي المستخدم في الأساليب القائمة على التغاير؛ إذ يعتمد تقييم نموذج القياس في PLS-SEM على مؤشرات مخصوصة تختلف جزئيًا عن مؤشرات CFA التقليدي. وينظر في هذا الإطار إلى نوعين من الصدق:</w:t>
      </w:r>
    </w:p>
    <w:p w14:paraId="20AC46F5" w14:textId="77777777" w:rsidR="00F035EA" w:rsidRPr="00FF3463" w:rsidRDefault="00F035EA" w:rsidP="00F035EA">
      <w:pPr>
        <w:numPr>
          <w:ilvl w:val="0"/>
          <w:numId w:val="22"/>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التقاربي (Convergent Validity): يُحكم عليه بدلالة تشبّع الفقرات على عواملها وبقيمة متوسط التباين المستخرج (AVE)، بحيث لا تقل عن (0.50) للمتغير الواحد.</w:t>
      </w:r>
    </w:p>
    <w:p w14:paraId="0C2ADAA8" w14:textId="77777777" w:rsidR="00F035EA" w:rsidRPr="00FF3463" w:rsidRDefault="00F035EA" w:rsidP="00F035EA">
      <w:pPr>
        <w:numPr>
          <w:ilvl w:val="0"/>
          <w:numId w:val="22"/>
        </w:numPr>
        <w:bidi/>
        <w:spacing w:after="120"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 (Discriminant Validity): يُحكم عليه باختبار نسبة الارتباط أحادي السمة إلى متعدد السمات (HTMT)، بحيث لا تتجاوز قيمته (0.85)، مع فحص فترات الثقة الناتجة عن إعادة المعاينة (Bootstrapping) للتأكد من عدم احتواء الحد الأعلى للفترة على القيمة (1)، إذ لا يكفي الاكتفاء بمقارنة القيمة النقطية بالحد المرجعي.</w:t>
      </w:r>
    </w:p>
    <w:p w14:paraId="6313149A"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معيار التحميل الخارجي وقواعد الاحتفاظ والحذف</w:t>
      </w:r>
    </w:p>
    <w:p w14:paraId="1D29A3E3" w14:textId="37ACAF61" w:rsidR="00F035EA" w:rsidRPr="00FF3463" w:rsidRDefault="00F035EA" w:rsidP="00D73443">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ستُستبقى الفقرة التي تبلغ قيمة تحميلها الخارجي (Outer Loading) (0.70) فأكثر دون مراجعة إضافية، بينما تُدرَس الفقرات الواقعة بين (0.40) و(0.70) وفق أثر حذفها في قيمتي الثبات المركب (CR) ومتوسط التباين المستخرج (AVE) للمحور؛ فتُستبقى إذا لم يخفض حذفها هاتين القيمتين عن حديهما المرجعيين وكان محتواها مهمًا مفاهيميًا للمحور، وتُحذف إذا حسّن حذفها القيمتين المذكورتين. أما الفقرات التي يقل تحميلها عن (0.40) فتُحذف مباشرة دون حاجة لدراسة أثرها.</w:t>
      </w:r>
    </w:p>
    <w:p w14:paraId="6180EDE4"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ثبات أداة الدراسة</w:t>
      </w:r>
    </w:p>
    <w:p w14:paraId="2A332709" w14:textId="77777777" w:rsidR="00F035EA" w:rsidRPr="00FF3463" w:rsidRDefault="00F035EA" w:rsidP="00F035EA">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اعتمد الباحث في قياس الثبات ثلاثة مؤشرات متكاملة تناسب أسلوب التحليل: معامل ألفا كرونباخ (Cronbach's Alpha)، والثبات المركب (CR)، ومعامل (rho_A) الذي يُعدّ تقديرًا أكثر دقة للاتساق الداخلي في نمذجة PLS-SEM مقارنة بألفا كرونباخ وحده؛ ويُعدّ المتغير مقبول الثبات إذا بلغ كل من هذه المؤشرات (0.70) فأكثر (Hair et al., 2022).</w:t>
      </w:r>
    </w:p>
    <w:p w14:paraId="076D4AA2"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(3-8): مؤشرات الصدق والثبات المعتمدة وقيمها المرجعية</w:t>
      </w:r>
    </w:p>
    <w:tbl>
      <w:tblPr>
        <w:bidiVisual/>
        <w:tblW w:w="7000" w:type="dxa"/>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600"/>
        <w:gridCol w:w="2400"/>
      </w:tblGrid>
      <w:tr w:rsidR="00F035EA" w:rsidRPr="00FF3463" w14:paraId="67A0AB9E" w14:textId="77777777" w:rsidTr="0085711F">
        <w:tc>
          <w:tcPr>
            <w:tcW w:w="2000" w:type="dxa"/>
            <w:shd w:val="clear" w:color="auto" w:fill="D9D9D9"/>
            <w:tcMar>
              <w:top w:w="80" w:type="dxa"/>
              <w:left w:w="100" w:type="dxa"/>
              <w:bottom w:w="80" w:type="dxa"/>
              <w:right w:w="100" w:type="dxa"/>
            </w:tcMar>
            <w:vAlign w:val="center"/>
          </w:tcPr>
          <w:p w14:paraId="06D4CB7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المؤشر</w:t>
            </w:r>
          </w:p>
        </w:tc>
        <w:tc>
          <w:tcPr>
            <w:tcW w:w="2600" w:type="dxa"/>
            <w:shd w:val="clear" w:color="auto" w:fill="D9D9D9"/>
            <w:tcMar>
              <w:top w:w="80" w:type="dxa"/>
              <w:left w:w="100" w:type="dxa"/>
              <w:bottom w:w="80" w:type="dxa"/>
              <w:right w:w="100" w:type="dxa"/>
            </w:tcMar>
            <w:vAlign w:val="center"/>
          </w:tcPr>
          <w:p w14:paraId="2C8E91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الغرض</w:t>
            </w:r>
          </w:p>
        </w:tc>
        <w:tc>
          <w:tcPr>
            <w:tcW w:w="2400" w:type="dxa"/>
            <w:shd w:val="clear" w:color="auto" w:fill="D9D9D9"/>
            <w:tcMar>
              <w:top w:w="80" w:type="dxa"/>
              <w:left w:w="100" w:type="dxa"/>
              <w:bottom w:w="80" w:type="dxa"/>
              <w:right w:w="100" w:type="dxa"/>
            </w:tcMar>
            <w:vAlign w:val="center"/>
          </w:tcPr>
          <w:p w14:paraId="74687D6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القيمة المرجعية</w:t>
            </w:r>
          </w:p>
        </w:tc>
      </w:tr>
      <w:tr w:rsidR="00F035EA" w:rsidRPr="00FF3463" w14:paraId="41E980E0" w14:textId="77777777" w:rsidTr="0085711F">
        <w:tc>
          <w:tcPr>
            <w:tcW w:w="2000" w:type="dxa"/>
            <w:tcMar>
              <w:top w:w="80" w:type="dxa"/>
              <w:left w:w="100" w:type="dxa"/>
              <w:bottom w:w="80" w:type="dxa"/>
              <w:right w:w="100" w:type="dxa"/>
            </w:tcMar>
            <w:vAlign w:val="center"/>
          </w:tcPr>
          <w:p w14:paraId="19E4B1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Cronbach's Alpha</w:t>
            </w:r>
          </w:p>
        </w:tc>
        <w:tc>
          <w:tcPr>
            <w:tcW w:w="2600" w:type="dxa"/>
            <w:tcMar>
              <w:top w:w="80" w:type="dxa"/>
              <w:left w:w="100" w:type="dxa"/>
              <w:bottom w:w="80" w:type="dxa"/>
              <w:right w:w="100" w:type="dxa"/>
            </w:tcMar>
            <w:vAlign w:val="center"/>
          </w:tcPr>
          <w:p w14:paraId="7573B0B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الاتساق الداخلي (الثبات)</w:t>
            </w:r>
          </w:p>
        </w:tc>
        <w:tc>
          <w:tcPr>
            <w:tcW w:w="2400" w:type="dxa"/>
            <w:tcMar>
              <w:top w:w="80" w:type="dxa"/>
              <w:left w:w="100" w:type="dxa"/>
              <w:bottom w:w="80" w:type="dxa"/>
              <w:right w:w="100" w:type="dxa"/>
            </w:tcMar>
            <w:vAlign w:val="center"/>
          </w:tcPr>
          <w:p w14:paraId="724E539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5B7BC399" w14:textId="77777777" w:rsidTr="0085711F">
        <w:tc>
          <w:tcPr>
            <w:tcW w:w="2000" w:type="dxa"/>
            <w:tcMar>
              <w:top w:w="80" w:type="dxa"/>
              <w:left w:w="100" w:type="dxa"/>
              <w:bottom w:w="80" w:type="dxa"/>
              <w:right w:w="100" w:type="dxa"/>
            </w:tcMar>
            <w:vAlign w:val="center"/>
          </w:tcPr>
          <w:p w14:paraId="3601F40E"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lastRenderedPageBreak/>
              <w:t>rho_A</w:t>
            </w:r>
          </w:p>
        </w:tc>
        <w:tc>
          <w:tcPr>
            <w:tcW w:w="2600" w:type="dxa"/>
            <w:tcMar>
              <w:top w:w="80" w:type="dxa"/>
              <w:left w:w="100" w:type="dxa"/>
              <w:bottom w:w="80" w:type="dxa"/>
              <w:right w:w="100" w:type="dxa"/>
            </w:tcMar>
            <w:vAlign w:val="center"/>
          </w:tcPr>
          <w:p w14:paraId="03FC9F65"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تقدير إضافي دقيق للاتساق الداخلي</w:t>
            </w:r>
          </w:p>
        </w:tc>
        <w:tc>
          <w:tcPr>
            <w:tcW w:w="2400" w:type="dxa"/>
            <w:tcMar>
              <w:top w:w="80" w:type="dxa"/>
              <w:left w:w="100" w:type="dxa"/>
              <w:bottom w:w="80" w:type="dxa"/>
              <w:right w:w="100" w:type="dxa"/>
            </w:tcMar>
            <w:vAlign w:val="center"/>
          </w:tcPr>
          <w:p w14:paraId="0D7BA52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w:t>
            </w:r>
          </w:p>
        </w:tc>
      </w:tr>
      <w:tr w:rsidR="00F035EA" w:rsidRPr="00FF3463" w14:paraId="636826EB" w14:textId="77777777" w:rsidTr="0085711F">
        <w:tc>
          <w:tcPr>
            <w:tcW w:w="2000" w:type="dxa"/>
            <w:tcMar>
              <w:top w:w="80" w:type="dxa"/>
              <w:left w:w="100" w:type="dxa"/>
              <w:bottom w:w="80" w:type="dxa"/>
              <w:right w:w="100" w:type="dxa"/>
            </w:tcMar>
            <w:vAlign w:val="center"/>
          </w:tcPr>
          <w:p w14:paraId="360BBD2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Composite Reliability (CR)</w:t>
            </w:r>
          </w:p>
        </w:tc>
        <w:tc>
          <w:tcPr>
            <w:tcW w:w="2600" w:type="dxa"/>
            <w:tcMar>
              <w:top w:w="80" w:type="dxa"/>
              <w:left w:w="100" w:type="dxa"/>
              <w:bottom w:w="80" w:type="dxa"/>
              <w:right w:w="100" w:type="dxa"/>
            </w:tcMar>
            <w:vAlign w:val="center"/>
          </w:tcPr>
          <w:p w14:paraId="7B63F1E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الثبات المركب للمتغير</w:t>
            </w:r>
          </w:p>
        </w:tc>
        <w:tc>
          <w:tcPr>
            <w:tcW w:w="2400" w:type="dxa"/>
            <w:tcMar>
              <w:top w:w="80" w:type="dxa"/>
              <w:left w:w="100" w:type="dxa"/>
              <w:bottom w:w="80" w:type="dxa"/>
              <w:right w:w="100" w:type="dxa"/>
            </w:tcMar>
            <w:vAlign w:val="center"/>
          </w:tcPr>
          <w:p w14:paraId="444342D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1E834A1C" w14:textId="77777777" w:rsidTr="0085711F">
        <w:tc>
          <w:tcPr>
            <w:tcW w:w="2000" w:type="dxa"/>
            <w:tcMar>
              <w:top w:w="80" w:type="dxa"/>
              <w:left w:w="100" w:type="dxa"/>
              <w:bottom w:w="80" w:type="dxa"/>
              <w:right w:w="100" w:type="dxa"/>
            </w:tcMar>
            <w:vAlign w:val="center"/>
          </w:tcPr>
          <w:p w14:paraId="2DA9E60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Average Variance Extracted (AVE)</w:t>
            </w:r>
          </w:p>
        </w:tc>
        <w:tc>
          <w:tcPr>
            <w:tcW w:w="2600" w:type="dxa"/>
            <w:tcMar>
              <w:top w:w="80" w:type="dxa"/>
              <w:left w:w="100" w:type="dxa"/>
              <w:bottom w:w="80" w:type="dxa"/>
              <w:right w:w="100" w:type="dxa"/>
            </w:tcMar>
            <w:vAlign w:val="center"/>
          </w:tcPr>
          <w:p w14:paraId="69EA808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الصدق التقاربي</w:t>
            </w:r>
          </w:p>
        </w:tc>
        <w:tc>
          <w:tcPr>
            <w:tcW w:w="2400" w:type="dxa"/>
            <w:tcMar>
              <w:top w:w="80" w:type="dxa"/>
              <w:left w:w="100" w:type="dxa"/>
              <w:bottom w:w="80" w:type="dxa"/>
              <w:right w:w="100" w:type="dxa"/>
            </w:tcMar>
            <w:vAlign w:val="center"/>
          </w:tcPr>
          <w:p w14:paraId="6451505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0.50 فأكثر</w:t>
            </w:r>
          </w:p>
        </w:tc>
      </w:tr>
      <w:tr w:rsidR="00F035EA" w:rsidRPr="00FF3463" w14:paraId="74539ED6" w14:textId="77777777" w:rsidTr="0085711F">
        <w:tc>
          <w:tcPr>
            <w:tcW w:w="2000" w:type="dxa"/>
            <w:tcMar>
              <w:top w:w="80" w:type="dxa"/>
              <w:left w:w="100" w:type="dxa"/>
              <w:bottom w:w="80" w:type="dxa"/>
              <w:right w:w="100" w:type="dxa"/>
            </w:tcMar>
            <w:vAlign w:val="center"/>
          </w:tcPr>
          <w:p w14:paraId="2DBED25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HTMT (مع فترة الثقة)</w:t>
            </w:r>
          </w:p>
        </w:tc>
        <w:tc>
          <w:tcPr>
            <w:tcW w:w="2600" w:type="dxa"/>
            <w:tcMar>
              <w:top w:w="80" w:type="dxa"/>
              <w:left w:w="100" w:type="dxa"/>
              <w:bottom w:w="80" w:type="dxa"/>
              <w:right w:w="100" w:type="dxa"/>
            </w:tcMar>
            <w:vAlign w:val="center"/>
          </w:tcPr>
          <w:p w14:paraId="0C990A7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w:t>
            </w:r>
          </w:p>
        </w:tc>
        <w:tc>
          <w:tcPr>
            <w:tcW w:w="2400" w:type="dxa"/>
            <w:tcMar>
              <w:top w:w="80" w:type="dxa"/>
              <w:left w:w="100" w:type="dxa"/>
              <w:bottom w:w="80" w:type="dxa"/>
              <w:right w:w="100" w:type="dxa"/>
            </w:tcMar>
            <w:vAlign w:val="center"/>
          </w:tcPr>
          <w:p w14:paraId="6634029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0.85 فأقل، ولا تحتوي فترة الثقة على 1</w:t>
            </w:r>
          </w:p>
        </w:tc>
      </w:tr>
      <w:tr w:rsidR="00F035EA" w:rsidRPr="00FF3463" w14:paraId="50F46007" w14:textId="77777777" w:rsidTr="0085711F">
        <w:tc>
          <w:tcPr>
            <w:tcW w:w="2000" w:type="dxa"/>
            <w:tcMar>
              <w:top w:w="80" w:type="dxa"/>
              <w:left w:w="100" w:type="dxa"/>
              <w:bottom w:w="80" w:type="dxa"/>
              <w:right w:w="100" w:type="dxa"/>
            </w:tcMar>
            <w:vAlign w:val="center"/>
          </w:tcPr>
          <w:p w14:paraId="470164F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تشبّع الفقرة (Outer Loading)</w:t>
            </w:r>
          </w:p>
        </w:tc>
        <w:tc>
          <w:tcPr>
            <w:tcW w:w="2600" w:type="dxa"/>
            <w:tcMar>
              <w:top w:w="80" w:type="dxa"/>
              <w:left w:w="100" w:type="dxa"/>
              <w:bottom w:w="80" w:type="dxa"/>
              <w:right w:w="100" w:type="dxa"/>
            </w:tcMar>
            <w:vAlign w:val="center"/>
          </w:tcPr>
          <w:p w14:paraId="1B8C114F"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ارتباط الفقرة بمتغيرها</w:t>
            </w:r>
          </w:p>
        </w:tc>
        <w:tc>
          <w:tcPr>
            <w:tcW w:w="2400" w:type="dxa"/>
            <w:tcMar>
              <w:top w:w="80" w:type="dxa"/>
              <w:left w:w="100" w:type="dxa"/>
              <w:bottom w:w="80" w:type="dxa"/>
              <w:right w:w="100" w:type="dxa"/>
            </w:tcMar>
            <w:vAlign w:val="center"/>
          </w:tcPr>
          <w:p w14:paraId="6780BD8B"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 (وفق قاعدة الاحتفاظ/الحذف أعلاه للقيم 0.40–0.70)</w:t>
            </w:r>
          </w:p>
        </w:tc>
      </w:tr>
    </w:tbl>
    <w:p w14:paraId="4A14C0E9" w14:textId="77777777" w:rsidR="00F035EA" w:rsidRPr="00FF3463" w:rsidRDefault="00F035EA" w:rsidP="00F035EA">
      <w:pPr>
        <w:bidi/>
        <w:spacing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وتمييزًا لمصدر كل مؤشر: ستُستخرَج المؤشرات الأولية للاتساق الداخلي (ألفا كرونباخ المبدئي ومعامل ارتباط الفقرة بالدرجة الكلية) من العينة الاستطلاعية، بينما تُحسَب جميع مؤشرات نموذج القياس الكاملة (التحميلات الخارجية، وCR، وrho_A، وAVE، وHTMT) من بيانات العينة الأساسية عبر برنامج SmartPLS.</w:t>
      </w:r>
    </w:p>
    <w:p w14:paraId="193998B8"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إجراءات التعامل مع فشل أحد المؤشرات</w:t>
      </w:r>
    </w:p>
    <w:p w14:paraId="51A477CD" w14:textId="77777777" w:rsidR="00F035EA" w:rsidRDefault="00F035EA" w:rsidP="00F035EA">
      <w:pPr>
        <w:bidi/>
        <w:spacing w:before="300" w:after="150" w:line="240" w:lineRule="auto"/>
        <w:outlineLvl w:val="1"/>
        <w:rPr>
          <w:rFonts w:ascii="Simplified Arabic" w:eastAsia="Arial" w:hAnsi="Simplified Arabic" w:cs="Simplified Arabic"/>
          <w:b/>
          <w:bCs/>
          <w:color w:val="EE0000"/>
          <w:u w:val="single"/>
          <w:rtl/>
        </w:rPr>
      </w:pPr>
      <w:r w:rsidRPr="00FF3463">
        <w:rPr>
          <w:rFonts w:ascii="Simplified Arabic" w:eastAsia="Arial" w:hAnsi="Simplified Arabic" w:cs="Simplified Arabic"/>
          <w:color w:val="EE0000"/>
          <w:rtl/>
        </w:rPr>
        <w:t>سيختلف الإجراء بحسب مرحلة الدراسة. ففي مرحلة الدراسة الاستطلاعية، إذا أظهرت مؤشرات الاتساق الداخلي أو ارتباط الفقرات بالدرجة الكلية وجود فقرة ضعيفة، يجوز تعديل صياغتها أو حذفها أو استبدالها قبل اعتماد النسخة النهائية للأداة. أما بعد جمع بيانات العينة الأساسية، فلن تُعاد صياغة أي فقرة أو تُستبدل بفقرة جديدة اعتمادًا على النتائج الإحصائية؛ وإنما تقتصر المعالجة على دراسة حذف الفقرات الضعيفة وفق قواعد التحميلات الخارجية والثبات والصدق المحددة مسبقًا، شريطة ألا يؤدي الحذف إلى إضعاف التغطية المفاهيمية للمتغير. وستوثق جميع قرارات الحذف وأسبابها والقيم الإحصائية التي استندت إليها. وإذا تعذر الوصول إلى نموذج قياس مقبول دون الإخلال بالمحتوى المفاهيمي، فستُعرض المشكلة بوصفها قيدًا في القياس بدل معالجة الفشل بإضافة فقرات لم تُجمع عنها بيانات.</w:t>
      </w:r>
    </w:p>
    <w:p w14:paraId="4935522C" w14:textId="77777777" w:rsidR="00D73443" w:rsidRPr="00FF3463" w:rsidRDefault="00D73443" w:rsidP="00D73443">
      <w:pPr>
        <w:bidi/>
        <w:spacing w:before="300" w:after="150" w:line="240" w:lineRule="auto"/>
        <w:outlineLvl w:val="1"/>
        <w:rPr>
          <w:rFonts w:ascii="Simplified Arabic" w:eastAsia="Arial" w:hAnsi="Simplified Arabic" w:cs="Simplified Arabic"/>
          <w:b/>
          <w:bCs/>
          <w:color w:val="EE0000"/>
          <w:u w:val="single"/>
          <w:rtl/>
        </w:rPr>
      </w:pPr>
    </w:p>
    <w:p w14:paraId="2D94CCB7"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أساليب المعالجة الإحصائية</w:t>
      </w:r>
    </w:p>
    <w:p w14:paraId="407E48C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hAnsi="Simplified Arabic" w:cs="Simplified Arabic"/>
          <w:rtl/>
        </w:rPr>
        <w:t xml:space="preserve"> </w:t>
      </w:r>
      <w:r w:rsidRPr="00B71AAA">
        <w:rPr>
          <w:rFonts w:ascii="Simplified Arabic" w:eastAsia="Arial" w:hAnsi="Simplified Arabic" w:cs="Simplified Arabic"/>
          <w:color w:val="EE0000"/>
          <w:rtl/>
        </w:rPr>
        <w:t>ستُستخدَم برمجيتان متكاملتان في المعالجة: برنامج (SPSS) الإصدار (29) أو الإصدار الأحدث المتاح وقت التحليل، لأغراض ترميز البيانات وتنظيفها وإجراء الإحصاء الوصفي (التكرارات والنسب والمتوسطات والانحرافات المعيارية)؛ وبرنامج (SmartPLS) الإصدار (4.1) أو أحدث، لتقييم نموذج القياس والنموذج الهيكلي واختبار الفرضيات عبر نمذجة المعادلات البنائية بالمربعات الصغرى الجزئية (PLS-SEM)، بما يسمح بتكرار الإجراءات والتحقق منها.</w:t>
      </w:r>
    </w:p>
    <w:p w14:paraId="47BA819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lastRenderedPageBreak/>
        <w:t>ويناسب أسلوب PLS-SEM النماذج التفسيرية متعددة العلاقات، إذ يقدر العلاقات مجتمعة ويختبر أثري الوساطة والتعديل، ولا يشترط التوزيع الطبيعي للبيانات أو حجم عينة كبيرًا كما هي الحال في الأساليب القائمة على التغاير (Hair et al., 2022).</w:t>
      </w:r>
    </w:p>
    <w:p w14:paraId="59093C8A"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تنظيف البيانات وتجهيزها للتحليل</w:t>
      </w:r>
    </w:p>
    <w:p w14:paraId="5264620F"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قبل الشروع في التحليل، ستخضع البيانات المجمَّعة لعملية فحص وتنظيف منهجية على النحو التالي:</w:t>
      </w:r>
    </w:p>
    <w:p w14:paraId="7012B0D0"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المفقودة: ستُفحص كمية القيم المفقودة ونمطها على مستوى كل مؤشر وكل استجابة قبل إجراء التحليل. وإذا كانت نسبة القيم المفقودة أقل من (5%) لكل مؤشر وظهر أنها موزعة عشوائيًا دون نمط منهجي، فيجوز استخدام التعويض بمتوسط المؤشر (</w:t>
      </w:r>
      <w:r w:rsidRPr="00B71AAA">
        <w:rPr>
          <w:rFonts w:ascii="Simplified Arabic" w:eastAsia="Arial" w:hAnsi="Simplified Arabic" w:cs="Simplified Arabic"/>
          <w:color w:val="EE0000"/>
        </w:rPr>
        <w:t>Mean Replacement</w:t>
      </w:r>
      <w:r w:rsidRPr="00B71AAA">
        <w:rPr>
          <w:rFonts w:ascii="Simplified Arabic" w:eastAsia="Arial" w:hAnsi="Simplified Arabic" w:cs="Simplified Arabic"/>
          <w:color w:val="EE0000"/>
          <w:rtl/>
        </w:rPr>
        <w:t xml:space="preserve">) وفق مبررات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أما إذا تجاوز الفقد هذا المستوى أو أظهر نمطًا غير عشوائي، فلن يُستخدم التعويض بالمتوسط تلقائيًا، بل ستُفحص آلية الفقد ويُنظر في بدائل أكثر ملاءمة، مثل الاستبعاد على مستوى الحالة عندما يكون عدد الحالات المتأثرة محدودًا، أو التعويض المتعدد باستخدام </w:t>
      </w:r>
      <w:r w:rsidRPr="00B71AAA">
        <w:rPr>
          <w:rFonts w:ascii="Simplified Arabic" w:eastAsia="Arial" w:hAnsi="Simplified Arabic" w:cs="Simplified Arabic"/>
          <w:color w:val="EE0000"/>
        </w:rPr>
        <w:t>SPSS</w:t>
      </w:r>
      <w:r w:rsidRPr="00B71AAA">
        <w:rPr>
          <w:rFonts w:ascii="Simplified Arabic" w:eastAsia="Arial" w:hAnsi="Simplified Arabic" w:cs="Simplified Arabic"/>
          <w:color w:val="EE0000"/>
          <w:rtl/>
        </w:rPr>
        <w:t xml:space="preserve"> عند الحاجة. كما ستُراجع الحالات أو المؤشرات التي تتجاوز فيها القيم المفقودة نسبة (15%) تمهيدًا لاتخاذ قرار مبرر بشأن استبعادها، مع توثيق جميع الإجراءات في التقرير النهائي.</w:t>
      </w:r>
    </w:p>
    <w:p w14:paraId="181613D3"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المتطرفة (Outliers): تُكتشف عبر مسافة ماهالانوبيس (Mahalanobis Distance) على مستوى المحاور، ويُدعَّم الفحص بمخططات الصندوق (Box Plots) ودرجات z للفقرات المفردة؛ وتُراجَع الاستجابات الشاذة يدويًا قبل قرار استبعادها.</w:t>
      </w:r>
    </w:p>
    <w:p w14:paraId="22034DA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النمطية أو غير الجادة: تُستخدم ثلاثة مؤشرات مجتمعة لا مؤشر واحد: التباين شبه المعدوم بين إجابات المشارك عبر جميع الفقرات (اختيار الدرجة نفسها)، والتناقض مع فقرتي التحقق من الانتباه، وزمن الإكمال غير المنطقي؛ وتُستبعد الاستجابة إذا تحقق فيها مؤشران من الثلاثة معًا.</w:t>
      </w:r>
    </w:p>
    <w:p w14:paraId="73C7153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الحد الأدنى لزمن الإجابة: يُقدَّر الزمن الطبيعي من متوسط زمن إكمال الدراسة الاستطلاعية، وتُراجَع الاستجابات المكتملة في أقل من ثلث هذا المتوسط تمهيدًا لاستبعادها إذا اقترن ذلك بمؤشر آخر من مؤشرات عدم الجدية.</w:t>
      </w:r>
    </w:p>
    <w:p w14:paraId="37861AD4"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المكررة: يُفحَص التكرار باستخدام رمز الجلسة المجهول الذي تولّده المنصة تلقائيًا وطابعها الزمني، مع احترام خصوصية المشاركين وعدم جمع أي بيانات تعريفية شخصية.</w:t>
      </w:r>
    </w:p>
    <w:p w14:paraId="2EBFF8E1"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غير المستوفية لشروط الأهلية أو غير المكتملة لمحاور الأداة: تُستبعد بالكامل من قاعدة البيانات النهائية.</w:t>
      </w:r>
    </w:p>
    <w:p w14:paraId="15BB9C9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وبعد اكتمال هذه الخطوات، ستُعتمَد قاعدة البيانات النهائية التي يُبنى عليها تقييم نموذج القياس ثم النموذج الهيكلي.</w:t>
      </w:r>
    </w:p>
    <w:p w14:paraId="59741ACF"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دليل ترميز البيانات</w:t>
      </w:r>
    </w:p>
    <w:p w14:paraId="563566F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lastRenderedPageBreak/>
        <w:t>سيُعَدّ دليل ترميز شامل (ملحق ج) يوضح رمز كل سؤال وفقرة، والقيم الرقمية المخصصة لكل فئة من فئات الإجابة، ومعالجة الأسئلة متعددة الاختيار (P8 وP10) عبر متغيرات ثنائية منفصلة (Dummy Variables) لكل خيار، وأي فقرات تحتاج إلى إعادة ترميز (Reverse Coding) إن استُحدثت، وذلك لضمان إمكانية تتبّع عملية الترميز والتحقق منها لاحقًا.</w:t>
      </w:r>
    </w:p>
    <w:p w14:paraId="59BCF869"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فحص تحيز الطريقة المشتركة</w:t>
      </w:r>
    </w:p>
    <w:p w14:paraId="4192C1B1"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لأن بيانات الدراسة ستُجمع من مصدر واحد وبأداة واحدة هي الاستبانة، فقد يظهر ما يُعرف بتحيز الطريقة المشتركة الذي قد يضخّم العلاقات بين المتغيرات (Podsakoff et al., 2003). وللحدّ من هذا الاحتمال، اعتُمدت أولًا إجراءات وقائية في تصميم الاستبانة نفسها، منها: ضمان سرية الاستجابات وعدم جمع بيانات تعريفية شخصية، وتوضيح صياغة الفقرات وتجنّب الغموض، والفصل المنطقي بصريًا بين أقسام الاستبانة الثلاثة (الأهلية، ومحاور القياس، والبيانات الوصفية) بحيث لا يستنتج المشارك الروابط النظرية المفترضة بين المحاور.</w:t>
      </w:r>
    </w:p>
    <w:p w14:paraId="361D6C3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وإلى جانب هذه الإجراءات الوقائية، ستُستخدَم اختبارات إحصائية لاحقة مكمِّلة لا بديلة عنها: اختبار العامل الوحيد لهارمان (Harman's Single-Factor Test) للتأكد من أن عاملًا واحدًا لا يفسر النسبة الأكبر من التباين الكلي، إلى جانب فحص الارتباط الخطي الكلي القائم على معاملات تضخم التباين (Full Collinearity VIF) في بيئة PLS-SEM؛ وتُفسَّر القيم الأدنى من (3.3) بوصفها مؤشرًا مساعدًا يدعم عدم وجود تحيز طريقة مشتركة حادّ، لا دليلًا قاطعًا على خلو البيانات كليًا من هذا التحيز (Kock, 2015).</w:t>
      </w:r>
    </w:p>
    <w:p w14:paraId="21CCFCFB"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الأساليب الوصفية</w:t>
      </w:r>
    </w:p>
    <w:p w14:paraId="5011E6D9"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p>
    <w:p w14:paraId="59D1FF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نموذج القياس</w:t>
      </w:r>
    </w:p>
    <w:p w14:paraId="6842D3B1" w14:textId="77777777" w:rsidR="00F035E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يُقصد به التحقق من جودة قياس المتغيرات الكامنة عبر فقراتها، ويشمل فحص التحميلات الخارجية، ومعاملات ألفا كرونباخ وrho_A والثبات المركب للاتساق الداخلي، ومتوسط التباين المستخرج (AVE) للصدق التقاربي، واختبار (HTMT) مع فترات ثقته للصدق التمايزي، وفق القيم المرجعية والإجراءات الموضحة سابقًا، باستخدام بيانات العينة الأساسية.</w:t>
      </w:r>
    </w:p>
    <w:p w14:paraId="588CB4CB" w14:textId="77777777" w:rsidR="00D73443" w:rsidRDefault="00D73443" w:rsidP="00D73443">
      <w:pPr>
        <w:bidi/>
        <w:spacing w:line="300" w:lineRule="auto"/>
        <w:rPr>
          <w:rFonts w:ascii="Simplified Arabic" w:eastAsia="Arial" w:hAnsi="Simplified Arabic" w:cs="Simplified Arabic"/>
          <w:color w:val="EE0000"/>
          <w:rtl/>
        </w:rPr>
      </w:pPr>
    </w:p>
    <w:p w14:paraId="068699D3" w14:textId="77777777" w:rsidR="0006433B" w:rsidRDefault="0006433B" w:rsidP="0006433B">
      <w:pPr>
        <w:bidi/>
        <w:spacing w:line="300" w:lineRule="auto"/>
        <w:rPr>
          <w:rFonts w:ascii="Simplified Arabic" w:eastAsia="Arial" w:hAnsi="Simplified Arabic" w:cs="Simplified Arabic"/>
          <w:color w:val="EE0000"/>
          <w:rtl/>
        </w:rPr>
      </w:pPr>
    </w:p>
    <w:p w14:paraId="186E3D11" w14:textId="77777777" w:rsidR="00D73443" w:rsidRPr="00B71AAA" w:rsidRDefault="00D73443" w:rsidP="00D73443">
      <w:pPr>
        <w:bidi/>
        <w:spacing w:line="300" w:lineRule="auto"/>
        <w:rPr>
          <w:rFonts w:ascii="Simplified Arabic" w:eastAsia="Arial" w:hAnsi="Simplified Arabic" w:cs="Simplified Arabic"/>
          <w:color w:val="EE0000"/>
        </w:rPr>
      </w:pPr>
    </w:p>
    <w:p w14:paraId="66C02E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النموذج الهيكلي واختبار الفرضيات</w:t>
      </w:r>
    </w:p>
    <w:p w14:paraId="75C3DDDA"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lastRenderedPageBreak/>
        <w:t>يُقصد به اختبار العلاقات بين المتغيرات، ويشمل تقييم النموذج الهيكلي تقدير معاملات المسار (</w:t>
      </w:r>
      <w:r w:rsidRPr="00B71AAA">
        <w:rPr>
          <w:rFonts w:ascii="Simplified Arabic" w:eastAsia="Arial" w:hAnsi="Simplified Arabic" w:cs="Simplified Arabic"/>
          <w:color w:val="EE0000"/>
        </w:rPr>
        <w:t>Path Coefficients</w:t>
      </w:r>
      <w:r w:rsidRPr="00B71AAA">
        <w:rPr>
          <w:rFonts w:ascii="Simplified Arabic" w:eastAsia="Arial" w:hAnsi="Simplified Arabic" w:cs="Simplified Arabic"/>
          <w:color w:val="EE0000"/>
          <w:rtl/>
        </w:rPr>
        <w:t>) واختبار دلالتها باستخدام إجراء إعادة المعاينة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بعدد (10,000) عينة فرعية عند مستوى ثقة (95%)، مع استخدام قيمة ثابتة لمولد الأرقام العشوائية (</w:t>
      </w:r>
      <w:r w:rsidRPr="00B71AAA">
        <w:rPr>
          <w:rFonts w:ascii="Simplified Arabic" w:eastAsia="Arial" w:hAnsi="Simplified Arabic" w:cs="Simplified Arabic"/>
          <w:color w:val="EE0000"/>
        </w:rPr>
        <w:t>Fixed Seed</w:t>
      </w:r>
      <w:r w:rsidRPr="00B71AAA">
        <w:rPr>
          <w:rFonts w:ascii="Simplified Arabic" w:eastAsia="Arial" w:hAnsi="Simplified Arabic" w:cs="Simplified Arabic"/>
          <w:color w:val="EE0000"/>
          <w:rtl/>
        </w:rPr>
        <w:t xml:space="preserve">) لدعم قابلية تكرار النتائج، واعتماد فترات الثقة غير المعلمية المناسبة التي يوفرها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ومنها فترة الثقة المصححة للتحيز والمتسارعة (</w:t>
      </w:r>
      <w:proofErr w:type="spellStart"/>
      <w:r w:rsidRPr="00B71AAA">
        <w:rPr>
          <w:rFonts w:ascii="Simplified Arabic" w:eastAsia="Arial" w:hAnsi="Simplified Arabic" w:cs="Simplified Arabic"/>
          <w:color w:val="EE0000"/>
        </w:rPr>
        <w:t>BCa</w:t>
      </w:r>
      <w:proofErr w:type="spellEnd"/>
      <w:r w:rsidRPr="00B71AAA">
        <w:rPr>
          <w:rFonts w:ascii="Simplified Arabic" w:eastAsia="Arial" w:hAnsi="Simplified Arabic" w:cs="Simplified Arabic"/>
          <w:color w:val="EE0000"/>
          <w:rtl/>
        </w:rPr>
        <w:t>) عند اعتمادها في التحليل النهائي.</w:t>
      </w:r>
    </w:p>
    <w:p w14:paraId="7622E4BC"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وتكميلاً لتقييم النموذج الهيكلي، ستُفحص أحجام الأثر (</w:t>
      </w:r>
      <w:r w:rsidRPr="00B71AAA">
        <w:rPr>
          <w:rFonts w:ascii="Simplified Arabic" w:eastAsia="Arial" w:hAnsi="Simplified Arabic" w:cs="Simplified Arabic"/>
          <w:color w:val="EE0000"/>
        </w:rPr>
        <w:t>f²</w:t>
      </w:r>
      <w:r w:rsidRPr="00B71AAA">
        <w:rPr>
          <w:rFonts w:ascii="Simplified Arabic" w:eastAsia="Arial" w:hAnsi="Simplified Arabic" w:cs="Simplified Arabic"/>
          <w:color w:val="EE0000"/>
          <w:rtl/>
        </w:rPr>
        <w:t xml:space="preserve">) للمسارات التفسيرية، كما ستُقيَّم القدرة التنبؤية خارج العينة باستخدام إجراء </w:t>
      </w:r>
      <w:proofErr w:type="spellStart"/>
      <w:r w:rsidRPr="00B71AAA">
        <w:rPr>
          <w:rFonts w:ascii="Simplified Arabic" w:eastAsia="Arial" w:hAnsi="Simplified Arabic" w:cs="Simplified Arabic"/>
          <w:color w:val="EE0000"/>
        </w:rPr>
        <w:t>PLSpredict</w:t>
      </w:r>
      <w:proofErr w:type="spellEnd"/>
      <w:r w:rsidRPr="00B71AAA">
        <w:rPr>
          <w:rFonts w:ascii="Simplified Arabic" w:eastAsia="Arial" w:hAnsi="Simplified Arabic" w:cs="Simplified Arabic"/>
          <w:color w:val="EE0000"/>
          <w:rtl/>
        </w:rPr>
        <w:t xml:space="preserve"> في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بالاعتماد على التحقق المتقاطع ذي العشر طيات (10-</w:t>
      </w:r>
      <w:r w:rsidRPr="00B71AAA">
        <w:rPr>
          <w:rFonts w:ascii="Simplified Arabic" w:eastAsia="Arial" w:hAnsi="Simplified Arabic" w:cs="Simplified Arabic"/>
          <w:color w:val="EE0000"/>
        </w:rPr>
        <w:t>fold cross-validation</w:t>
      </w:r>
      <w:r w:rsidRPr="00B71AAA">
        <w:rPr>
          <w:rFonts w:ascii="Simplified Arabic" w:eastAsia="Arial" w:hAnsi="Simplified Arabic" w:cs="Simplified Arabic"/>
          <w:color w:val="EE0000"/>
          <w:rtl/>
        </w:rPr>
        <w:t xml:space="preserve">) مع عشر عمليات تكرار، وفحص قيم </w:t>
      </w:r>
      <w:r w:rsidRPr="00B71AAA">
        <w:rPr>
          <w:rFonts w:ascii="Simplified Arabic" w:eastAsia="Arial" w:hAnsi="Simplified Arabic" w:cs="Simplified Arabic"/>
          <w:color w:val="EE0000"/>
        </w:rPr>
        <w:t>Q²_predict</w:t>
      </w:r>
      <w:r w:rsidRPr="00B71AAA">
        <w:rPr>
          <w:rFonts w:ascii="Simplified Arabic" w:eastAsia="Arial" w:hAnsi="Simplified Arabic" w:cs="Simplified Arabic"/>
          <w:color w:val="EE0000"/>
          <w:rtl/>
        </w:rPr>
        <w:t xml:space="preserve"> ومؤشري الخطأ التنبؤي </w:t>
      </w:r>
      <w:r w:rsidRPr="00B71AAA">
        <w:rPr>
          <w:rFonts w:ascii="Simplified Arabic" w:eastAsia="Arial" w:hAnsi="Simplified Arabic" w:cs="Simplified Arabic"/>
          <w:color w:val="EE0000"/>
        </w:rPr>
        <w:t>RMSE</w:t>
      </w:r>
      <w:r w:rsidRPr="00B71AAA">
        <w:rPr>
          <w:rFonts w:ascii="Simplified Arabic" w:eastAsia="Arial" w:hAnsi="Simplified Arabic" w:cs="Simplified Arabic"/>
          <w:color w:val="EE0000"/>
          <w:rtl/>
        </w:rPr>
        <w:t xml:space="preserve"> و</w:t>
      </w:r>
      <w:r w:rsidRPr="00B71AAA">
        <w:rPr>
          <w:rFonts w:ascii="Simplified Arabic" w:eastAsia="Arial" w:hAnsi="Simplified Arabic" w:cs="Simplified Arabic"/>
          <w:color w:val="EE0000"/>
        </w:rPr>
        <w:t>MAE</w:t>
      </w:r>
      <w:r w:rsidRPr="00B71AAA">
        <w:rPr>
          <w:rFonts w:ascii="Simplified Arabic" w:eastAsia="Arial" w:hAnsi="Simplified Arabic" w:cs="Simplified Arabic"/>
          <w:color w:val="EE0000"/>
          <w:rtl/>
        </w:rPr>
        <w:t xml:space="preserve"> ومقارنتها بنتائج النموذج الخطي المرجعي (</w:t>
      </w:r>
      <w:r w:rsidRPr="00B71AAA">
        <w:rPr>
          <w:rFonts w:ascii="Simplified Arabic" w:eastAsia="Arial" w:hAnsi="Simplified Arabic" w:cs="Simplified Arabic"/>
          <w:color w:val="EE0000"/>
        </w:rPr>
        <w:t>LM</w:t>
      </w:r>
      <w:r w:rsidRPr="00B71AAA">
        <w:rPr>
          <w:rFonts w:ascii="Simplified Arabic" w:eastAsia="Arial" w:hAnsi="Simplified Arabic" w:cs="Simplified Arabic"/>
          <w:color w:val="EE0000"/>
          <w:rtl/>
        </w:rPr>
        <w:t>). كما سيُستفاد من اختبار القدرة التنبؤية المتحقق منها تقاطعيًا (</w:t>
      </w:r>
      <w:r w:rsidRPr="00B71AAA">
        <w:rPr>
          <w:rFonts w:ascii="Simplified Arabic" w:eastAsia="Arial" w:hAnsi="Simplified Arabic" w:cs="Simplified Arabic"/>
          <w:color w:val="EE0000"/>
        </w:rPr>
        <w:t>CVPAT</w:t>
      </w:r>
      <w:r w:rsidRPr="00B71AAA">
        <w:rPr>
          <w:rFonts w:ascii="Simplified Arabic" w:eastAsia="Arial" w:hAnsi="Simplified Arabic" w:cs="Simplified Arabic"/>
          <w:color w:val="EE0000"/>
          <w:rtl/>
        </w:rPr>
        <w:t xml:space="preserve">) بوصفه اختبارًا مكملًا للأداء التنبؤي عند الحاجة. وسيُعرض مؤشر </w:t>
      </w:r>
      <w:r w:rsidRPr="00B71AAA">
        <w:rPr>
          <w:rFonts w:ascii="Simplified Arabic" w:eastAsia="Arial" w:hAnsi="Simplified Arabic" w:cs="Simplified Arabic"/>
          <w:color w:val="EE0000"/>
        </w:rPr>
        <w:t>SRMR</w:t>
      </w:r>
      <w:r w:rsidRPr="00B71AAA">
        <w:rPr>
          <w:rFonts w:ascii="Simplified Arabic" w:eastAsia="Arial" w:hAnsi="Simplified Arabic" w:cs="Simplified Arabic"/>
          <w:color w:val="EE0000"/>
          <w:rtl/>
        </w:rPr>
        <w:t xml:space="preserve"> بوصفه مؤشرًا تشخيصيًا مساعدًا للملاءمة، لا معيارًا منفردًا للحكم على قبول نموذج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ككل.</w:t>
      </w:r>
    </w:p>
    <w:p w14:paraId="33ADF9C2"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 xml:space="preserve">وسيُختبر الدور الوسيط لجودة عملية التصميم من خلال تقدير الأثر غير المباشر لتوظيف الذكاء الاصطناعي التوليدي في فعالية الأداء التسويقي عبر جودة عملية التصميم، وفحص دلالته وفترة ثقته باستخدام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xml:space="preserve">. وبعد ذلك سيُحدد نمط النتيجة وفق تصنيف </w:t>
      </w:r>
      <w:r w:rsidRPr="00B71AAA">
        <w:rPr>
          <w:rFonts w:ascii="Simplified Arabic" w:eastAsia="Arial" w:hAnsi="Simplified Arabic" w:cs="Simplified Arabic"/>
          <w:color w:val="EE0000"/>
        </w:rPr>
        <w:t>Zhao et al</w:t>
      </w:r>
      <w:r w:rsidRPr="00B71AAA">
        <w:rPr>
          <w:rFonts w:ascii="Simplified Arabic" w:eastAsia="Arial" w:hAnsi="Simplified Arabic" w:cs="Simplified Arabic"/>
          <w:color w:val="EE0000"/>
          <w:rtl/>
        </w:rPr>
        <w:t>. (2010): وساطة غير مباشرة فقط (</w:t>
      </w:r>
      <w:r w:rsidRPr="00B71AAA">
        <w:rPr>
          <w:rFonts w:ascii="Simplified Arabic" w:eastAsia="Arial" w:hAnsi="Simplified Arabic" w:cs="Simplified Arabic"/>
          <w:color w:val="EE0000"/>
        </w:rPr>
        <w:t>Indirect-only Mediation</w:t>
      </w:r>
      <w:r w:rsidRPr="00B71AAA">
        <w:rPr>
          <w:rFonts w:ascii="Simplified Arabic" w:eastAsia="Arial" w:hAnsi="Simplified Arabic" w:cs="Simplified Arabic"/>
          <w:color w:val="EE0000"/>
          <w:rtl/>
        </w:rPr>
        <w:t>) عندما يكون الأثر غير المباشر دالًا والمباشر غير دال؛ ووساطة تكاملية (</w:t>
      </w:r>
      <w:r w:rsidRPr="00B71AAA">
        <w:rPr>
          <w:rFonts w:ascii="Simplified Arabic" w:eastAsia="Arial" w:hAnsi="Simplified Arabic" w:cs="Simplified Arabic"/>
          <w:color w:val="EE0000"/>
        </w:rPr>
        <w:t>Complementary Mediation</w:t>
      </w:r>
      <w:r w:rsidRPr="00B71AAA">
        <w:rPr>
          <w:rFonts w:ascii="Simplified Arabic" w:eastAsia="Arial" w:hAnsi="Simplified Arabic" w:cs="Simplified Arabic"/>
          <w:color w:val="EE0000"/>
          <w:rtl/>
        </w:rPr>
        <w:t>) عندما يكون الأثران المباشر وغير المباشر دالين وفي الاتجاه نفسه؛ ووساطة تنافسية (</w:t>
      </w:r>
      <w:r w:rsidRPr="00B71AAA">
        <w:rPr>
          <w:rFonts w:ascii="Simplified Arabic" w:eastAsia="Arial" w:hAnsi="Simplified Arabic" w:cs="Simplified Arabic"/>
          <w:color w:val="EE0000"/>
        </w:rPr>
        <w:t>Competitive Mediation</w:t>
      </w:r>
      <w:r w:rsidRPr="00B71AAA">
        <w:rPr>
          <w:rFonts w:ascii="Simplified Arabic" w:eastAsia="Arial" w:hAnsi="Simplified Arabic" w:cs="Simplified Arabic"/>
          <w:color w:val="EE0000"/>
          <w:rtl/>
        </w:rPr>
        <w:t>) عندما يكون الأثران دالين ولكن في اتجاهين متعاكسين. وإذا لم يكن الأثر غير المباشر دالًا، فسيُميز بين حالة الأثر المباشر فقط (</w:t>
      </w:r>
      <w:r w:rsidRPr="00B71AAA">
        <w:rPr>
          <w:rFonts w:ascii="Simplified Arabic" w:eastAsia="Arial" w:hAnsi="Simplified Arabic" w:cs="Simplified Arabic"/>
          <w:color w:val="EE0000"/>
        </w:rPr>
        <w:t xml:space="preserve">Direct-only </w:t>
      </w:r>
      <w:proofErr w:type="spellStart"/>
      <w:r w:rsidRPr="00B71AAA">
        <w:rPr>
          <w:rFonts w:ascii="Simplified Arabic" w:eastAsia="Arial" w:hAnsi="Simplified Arabic" w:cs="Simplified Arabic"/>
          <w:color w:val="EE0000"/>
        </w:rPr>
        <w:t>Nonmediation</w:t>
      </w:r>
      <w:proofErr w:type="spellEnd"/>
      <w:r w:rsidRPr="00B71AAA">
        <w:rPr>
          <w:rFonts w:ascii="Simplified Arabic" w:eastAsia="Arial" w:hAnsi="Simplified Arabic" w:cs="Simplified Arabic"/>
          <w:color w:val="EE0000"/>
          <w:rtl/>
        </w:rPr>
        <w:t>) وحالة عدم وجود أثر مباشر أو غير مباشر (</w:t>
      </w:r>
      <w:r w:rsidRPr="00B71AAA">
        <w:rPr>
          <w:rFonts w:ascii="Simplified Arabic" w:eastAsia="Arial" w:hAnsi="Simplified Arabic" w:cs="Simplified Arabic"/>
          <w:color w:val="EE0000"/>
        </w:rPr>
        <w:t xml:space="preserve">No-effect </w:t>
      </w:r>
      <w:proofErr w:type="spellStart"/>
      <w:r w:rsidRPr="00B71AAA">
        <w:rPr>
          <w:rFonts w:ascii="Simplified Arabic" w:eastAsia="Arial" w:hAnsi="Simplified Arabic" w:cs="Simplified Arabic"/>
          <w:color w:val="EE0000"/>
        </w:rPr>
        <w:t>Nonmediation</w:t>
      </w:r>
      <w:proofErr w:type="spellEnd"/>
      <w:r w:rsidRPr="00B71AAA">
        <w:rPr>
          <w:rFonts w:ascii="Simplified Arabic" w:eastAsia="Arial" w:hAnsi="Simplified Arabic" w:cs="Simplified Arabic"/>
          <w:color w:val="EE0000"/>
          <w:rtl/>
        </w:rPr>
        <w:t>).</w:t>
      </w:r>
    </w:p>
    <w:p w14:paraId="34534BE3" w14:textId="77777777" w:rsidR="00F035E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أما الدور المعدِّل فيُختبر من خلال أثر التفاعل في علاقة التوظيف بجودة التصميم، ويُجرى لكل متغير معدِّل على حدة؛ إذ يُبنى حد التفاعل بين المتغير المستقل وكل متغير معدِّل داخل برنامج (SmartPLS) بأسلوب المرحلتين (Two-Stage Approach) لما يوفره من قوة إحصائية أعلى وملاءمة لأغراض اختبار الفرضيات (Hair et al., 2022)، فيُختبر تفاعل الدوافع مع التوظيف (GAIU × ADP) في مسار واحد، ويُختبر تفاعل العوائق مع التوظيف (GAIU × BAR) في مسار مستقل، تمييزًا للأثر المعزز عن الأثر المثبط، ثم تُفحص دلالة كل أثر تفاعلي بأسلوب Bootstrapping.</w:t>
      </w:r>
      <w:r>
        <w:rPr>
          <w:rFonts w:ascii="Simplified Arabic" w:eastAsia="Arial" w:hAnsi="Simplified Arabic" w:cs="Simplified Arabic" w:hint="cs"/>
          <w:rtl/>
        </w:rPr>
        <w:t xml:space="preserve"> </w:t>
      </w:r>
    </w:p>
    <w:p w14:paraId="7A931715" w14:textId="77777777" w:rsidR="00F035EA" w:rsidRPr="00B71AA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وكما سبقت الإشارة، سيُستكمَل تقييم النموذج الهيكلي بتحليل حساسية يقارن نتائج النموذج الأساسي بنموذج بديل يضبط تداخل المشاركين داخل الوكالة الواحدة، للتحقق من ثبات الاستنتاجات.</w:t>
      </w:r>
    </w:p>
    <w:p w14:paraId="77E975BD" w14:textId="77777777" w:rsidR="00F035EA" w:rsidRPr="00B71AAA" w:rsidRDefault="00F035EA" w:rsidP="00F035EA">
      <w:pPr>
        <w:bidi/>
        <w:spacing w:line="300" w:lineRule="auto"/>
        <w:rPr>
          <w:rFonts w:ascii="Simplified Arabic" w:eastAsia="Arial" w:hAnsi="Simplified Arabic" w:cs="Simplified Arabic"/>
        </w:rPr>
      </w:pPr>
    </w:p>
    <w:p w14:paraId="5256D044" w14:textId="77777777" w:rsidR="00F035EA" w:rsidRPr="00B71AAA" w:rsidRDefault="00F035EA" w:rsidP="00F035EA">
      <w:pPr>
        <w:bidi/>
        <w:spacing w:before="240" w:after="8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جدول (3-9): ربط فرضيات الدراسة بأساليب اختبارها الإحصائية</w:t>
      </w:r>
    </w:p>
    <w:tbl>
      <w:tblPr>
        <w:bidiVisual/>
        <w:tblW w:w="8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4700"/>
        <w:gridCol w:w="2400"/>
      </w:tblGrid>
      <w:tr w:rsidR="00F035EA" w:rsidRPr="00B71AAA" w14:paraId="2FB91F9E" w14:textId="77777777" w:rsidTr="0085711F">
        <w:tc>
          <w:tcPr>
            <w:tcW w:w="900" w:type="dxa"/>
            <w:shd w:val="clear" w:color="auto" w:fill="D9D9D9"/>
            <w:tcMar>
              <w:top w:w="80" w:type="dxa"/>
              <w:left w:w="100" w:type="dxa"/>
              <w:bottom w:w="80" w:type="dxa"/>
              <w:right w:w="100" w:type="dxa"/>
            </w:tcMar>
            <w:vAlign w:val="center"/>
          </w:tcPr>
          <w:p w14:paraId="67809D3D"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lastRenderedPageBreak/>
              <w:t>الفرضية</w:t>
            </w:r>
          </w:p>
        </w:tc>
        <w:tc>
          <w:tcPr>
            <w:tcW w:w="4700" w:type="dxa"/>
            <w:shd w:val="clear" w:color="auto" w:fill="D9D9D9"/>
            <w:tcMar>
              <w:top w:w="80" w:type="dxa"/>
              <w:left w:w="100" w:type="dxa"/>
              <w:bottom w:w="80" w:type="dxa"/>
              <w:right w:w="100" w:type="dxa"/>
            </w:tcMar>
            <w:vAlign w:val="center"/>
          </w:tcPr>
          <w:p w14:paraId="4C1D138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مضمونها</w:t>
            </w:r>
          </w:p>
        </w:tc>
        <w:tc>
          <w:tcPr>
            <w:tcW w:w="2400" w:type="dxa"/>
            <w:shd w:val="clear" w:color="auto" w:fill="D9D9D9"/>
            <w:tcMar>
              <w:top w:w="80" w:type="dxa"/>
              <w:left w:w="100" w:type="dxa"/>
              <w:bottom w:w="80" w:type="dxa"/>
              <w:right w:w="100" w:type="dxa"/>
            </w:tcMar>
            <w:vAlign w:val="center"/>
          </w:tcPr>
          <w:p w14:paraId="12826714"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أسلوب الاختبار</w:t>
            </w:r>
          </w:p>
        </w:tc>
      </w:tr>
      <w:tr w:rsidR="00F035EA" w:rsidRPr="00B71AAA" w14:paraId="1DE2110B" w14:textId="77777777" w:rsidTr="0085711F">
        <w:tc>
          <w:tcPr>
            <w:tcW w:w="900" w:type="dxa"/>
            <w:tcMar>
              <w:top w:w="80" w:type="dxa"/>
              <w:left w:w="100" w:type="dxa"/>
              <w:bottom w:w="80" w:type="dxa"/>
              <w:right w:w="100" w:type="dxa"/>
            </w:tcMar>
            <w:vAlign w:val="center"/>
          </w:tcPr>
          <w:p w14:paraId="6BFEB07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H1</w:t>
            </w:r>
          </w:p>
        </w:tc>
        <w:tc>
          <w:tcPr>
            <w:tcW w:w="4700" w:type="dxa"/>
            <w:tcMar>
              <w:top w:w="80" w:type="dxa"/>
              <w:left w:w="100" w:type="dxa"/>
              <w:bottom w:w="80" w:type="dxa"/>
              <w:right w:w="100" w:type="dxa"/>
            </w:tcMar>
            <w:vAlign w:val="center"/>
          </w:tcPr>
          <w:p w14:paraId="24C4845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توظيف الذكاء الاصطناعي التوليدي بجودة عملية التصميم.</w:t>
            </w:r>
          </w:p>
        </w:tc>
        <w:tc>
          <w:tcPr>
            <w:tcW w:w="2400" w:type="dxa"/>
            <w:tcMar>
              <w:top w:w="80" w:type="dxa"/>
              <w:left w:w="100" w:type="dxa"/>
              <w:bottom w:w="80" w:type="dxa"/>
              <w:right w:w="100" w:type="dxa"/>
            </w:tcMar>
            <w:vAlign w:val="center"/>
          </w:tcPr>
          <w:p w14:paraId="2215156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5CAF39DC" w14:textId="77777777" w:rsidTr="0085711F">
        <w:tc>
          <w:tcPr>
            <w:tcW w:w="900" w:type="dxa"/>
            <w:tcMar>
              <w:top w:w="80" w:type="dxa"/>
              <w:left w:w="100" w:type="dxa"/>
              <w:bottom w:w="80" w:type="dxa"/>
              <w:right w:w="100" w:type="dxa"/>
            </w:tcMar>
            <w:vAlign w:val="center"/>
          </w:tcPr>
          <w:p w14:paraId="04B48E91"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H2</w:t>
            </w:r>
          </w:p>
        </w:tc>
        <w:tc>
          <w:tcPr>
            <w:tcW w:w="4700" w:type="dxa"/>
            <w:tcMar>
              <w:top w:w="80" w:type="dxa"/>
              <w:left w:w="100" w:type="dxa"/>
              <w:bottom w:w="80" w:type="dxa"/>
              <w:right w:w="100" w:type="dxa"/>
            </w:tcMar>
            <w:vAlign w:val="center"/>
          </w:tcPr>
          <w:p w14:paraId="1DCE13AA"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جودة عملية التصميم بفعالية الأداء التسويقي.</w:t>
            </w:r>
          </w:p>
        </w:tc>
        <w:tc>
          <w:tcPr>
            <w:tcW w:w="2400" w:type="dxa"/>
            <w:tcMar>
              <w:top w:w="80" w:type="dxa"/>
              <w:left w:w="100" w:type="dxa"/>
              <w:bottom w:w="80" w:type="dxa"/>
              <w:right w:w="100" w:type="dxa"/>
            </w:tcMar>
            <w:vAlign w:val="center"/>
          </w:tcPr>
          <w:p w14:paraId="05D5231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3A5B801A" w14:textId="77777777" w:rsidTr="0085711F">
        <w:tc>
          <w:tcPr>
            <w:tcW w:w="900" w:type="dxa"/>
            <w:tcMar>
              <w:top w:w="80" w:type="dxa"/>
              <w:left w:w="100" w:type="dxa"/>
              <w:bottom w:w="80" w:type="dxa"/>
              <w:right w:w="100" w:type="dxa"/>
            </w:tcMar>
            <w:vAlign w:val="center"/>
          </w:tcPr>
          <w:p w14:paraId="494BA2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H3</w:t>
            </w:r>
          </w:p>
        </w:tc>
        <w:tc>
          <w:tcPr>
            <w:tcW w:w="4700" w:type="dxa"/>
            <w:tcMar>
              <w:top w:w="80" w:type="dxa"/>
              <w:left w:w="100" w:type="dxa"/>
              <w:bottom w:w="80" w:type="dxa"/>
              <w:right w:w="100" w:type="dxa"/>
            </w:tcMar>
            <w:vAlign w:val="center"/>
          </w:tcPr>
          <w:p w14:paraId="759F88EB"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أثر التفاعل المعدِّل في علاقة التوظيف بجودة التصميم، ويُختبر في مسارين: تفاعل الدوافع (GAIU × ADP)، وتفاعل العوائق (GAIU × BAR).</w:t>
            </w:r>
          </w:p>
        </w:tc>
        <w:tc>
          <w:tcPr>
            <w:tcW w:w="2400" w:type="dxa"/>
            <w:tcMar>
              <w:top w:w="80" w:type="dxa"/>
              <w:left w:w="100" w:type="dxa"/>
              <w:bottom w:w="80" w:type="dxa"/>
              <w:right w:w="100" w:type="dxa"/>
            </w:tcMar>
            <w:vAlign w:val="center"/>
          </w:tcPr>
          <w:p w14:paraId="04548ABF"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التعديل لكل تفاعل على حدة (Moderation)</w:t>
            </w:r>
          </w:p>
        </w:tc>
      </w:tr>
      <w:tr w:rsidR="00F035EA" w:rsidRPr="00B71AAA" w14:paraId="3561D379" w14:textId="77777777" w:rsidTr="0085711F">
        <w:tc>
          <w:tcPr>
            <w:tcW w:w="900" w:type="dxa"/>
            <w:tcMar>
              <w:top w:w="80" w:type="dxa"/>
              <w:left w:w="100" w:type="dxa"/>
              <w:bottom w:w="80" w:type="dxa"/>
              <w:right w:w="100" w:type="dxa"/>
            </w:tcMar>
            <w:vAlign w:val="center"/>
          </w:tcPr>
          <w:p w14:paraId="634E408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H4</w:t>
            </w:r>
          </w:p>
        </w:tc>
        <w:tc>
          <w:tcPr>
            <w:tcW w:w="4700" w:type="dxa"/>
            <w:tcMar>
              <w:top w:w="80" w:type="dxa"/>
              <w:left w:w="100" w:type="dxa"/>
              <w:bottom w:w="80" w:type="dxa"/>
              <w:right w:w="100" w:type="dxa"/>
            </w:tcMar>
            <w:vAlign w:val="center"/>
          </w:tcPr>
          <w:p w14:paraId="4C0F82F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العلاقة غير المباشرة بين التوظيف وفعالية الأداء عبر وساطة جودة التصميم.</w:t>
            </w:r>
          </w:p>
        </w:tc>
        <w:tc>
          <w:tcPr>
            <w:tcW w:w="2400" w:type="dxa"/>
            <w:tcMar>
              <w:top w:w="80" w:type="dxa"/>
              <w:left w:w="100" w:type="dxa"/>
              <w:bottom w:w="80" w:type="dxa"/>
              <w:right w:w="100" w:type="dxa"/>
            </w:tcMar>
            <w:vAlign w:val="center"/>
          </w:tcPr>
          <w:p w14:paraId="0A212A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الوساطة (Mediation)</w:t>
            </w:r>
          </w:p>
        </w:tc>
      </w:tr>
    </w:tbl>
    <w:p w14:paraId="04FAA593" w14:textId="77777777" w:rsidR="00F035EA" w:rsidRDefault="00F035EA" w:rsidP="00F035EA">
      <w:pPr>
        <w:bidi/>
        <w:spacing w:after="200" w:line="276" w:lineRule="auto"/>
        <w:rPr>
          <w:rFonts w:ascii="Simplified Arabic" w:hAnsi="Simplified Arabic" w:cs="Simplified Arabic"/>
          <w:rtl/>
        </w:rPr>
      </w:pPr>
    </w:p>
    <w:p w14:paraId="1EAE9900"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الجوانب الأخلاقية لإجراءات الدراسة</w:t>
      </w:r>
    </w:p>
    <w:p w14:paraId="2B30490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سيلتزم الباحث بأخلاقيات البحث العلمي في جميع مراحل الجانب الميداني من الدراسة، على النحو التالي:</w:t>
      </w:r>
    </w:p>
    <w:p w14:paraId="766D6115"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موافقة لجنة أخلاقيات البحث العلمي</w:t>
      </w:r>
    </w:p>
    <w:p w14:paraId="5D326BE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سيُتقدَّم بطلب موافقة أخلاقية إلى لجنة أخلاقيات البحث العلمي بالجامعة قبل بدء أي تطبيق ميداني، بما في ذلك الدراسة الاستطلاعية والمقابلات الإدراكية، وستُدرَج بيانات هذه الموافقة (اسم اللجنة، ورقم الموافقة، وتاريخها) في هذا الموضع فور صدورها.</w:t>
      </w:r>
    </w:p>
    <w:p w14:paraId="72622766"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الموافقات الرسمية من الوكالات والجهات المهنية</w:t>
      </w:r>
    </w:p>
    <w:p w14:paraId="3A8E73E2"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سيُتحقَّق، حسب الحاجة، من متطلبات الحصول على موافقة رسمية من إدارات الوكالات أو الجهات المهنية المعنية قبل تعميم رابط الاستبانة داخليًا، وستُرفَق خطابات التسهيل أو الموافقة اللازمة ضمن ملاحق الدراسة عند الحصول عليها.</w:t>
      </w:r>
    </w:p>
    <w:p w14:paraId="06007A4D"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الموافقة المستنيرة</w:t>
      </w:r>
    </w:p>
    <w:p w14:paraId="5B607D3D"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ستتضمن صفحة الموافقة المستنيرة في مقدمة الاستبانة الإلكترونية: هدف الدراسة وأهميتها، والجهة القائمة عليها، ومدة الإجابة المتوقعة، وطبيعة المشاركة الطوعية وحق الانسحاب في أي وقت دون أي أثر سلبي، والمخاطر المحتملة (وهي محدودة نظرًا لطبيعة الأسئلة) والفوائد العلمية والمهنية المتوقعة، وضمانات السرية وعدم جمع بيانات تعريفية شخصية، ومعلومات التواصل مع الباحث والمشرف الأكاديمي وجهة الأخلاقيات المختصة عند وجود أي استفسار أو شكوى.</w:t>
      </w:r>
    </w:p>
    <w:p w14:paraId="3E21D8AE" w14:textId="77777777" w:rsidR="000E0A79" w:rsidRPr="00B71AAA" w:rsidRDefault="000E0A79" w:rsidP="000E0A79">
      <w:pPr>
        <w:bidi/>
        <w:spacing w:line="300" w:lineRule="auto"/>
        <w:rPr>
          <w:rFonts w:ascii="Simplified Arabic" w:eastAsia="Arial" w:hAnsi="Simplified Arabic" w:cs="Simplified Arabic"/>
          <w:color w:val="EE0000"/>
        </w:rPr>
      </w:pPr>
    </w:p>
    <w:p w14:paraId="0D0B9ABB" w14:textId="77777777" w:rsidR="00F035EA" w:rsidRPr="00B71AAA" w:rsidRDefault="00F035EA" w:rsidP="00F035EA">
      <w:pPr>
        <w:bidi/>
        <w:spacing w:before="300" w:after="150" w:line="240" w:lineRule="auto"/>
        <w:outlineLvl w:val="1"/>
        <w:rPr>
          <w:rFonts w:ascii="Simplified Arabic" w:eastAsia="Arial" w:hAnsi="Simplified Arabic" w:cs="Simplified Arabic"/>
          <w:color w:val="EE0000"/>
        </w:rPr>
      </w:pPr>
      <w:r w:rsidRPr="00B71AAA">
        <w:rPr>
          <w:rFonts w:ascii="Simplified Arabic" w:eastAsia="Arial" w:hAnsi="Simplified Arabic" w:cs="Simplified Arabic"/>
          <w:b/>
          <w:bCs/>
          <w:color w:val="EE0000"/>
          <w:u w:val="single"/>
          <w:rtl/>
        </w:rPr>
        <w:t>ملخص الفصل</w:t>
      </w:r>
    </w:p>
    <w:p w14:paraId="113BBA40"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lastRenderedPageBreak/>
        <w:t>استعرض هذا الفصل الإجراءات المنهجية المخطَّط لها لتنفيذ الجانب الميداني من الدراسة. فبعد بيان اعتماد المنهج الوصفي التحليلي وتصميم مقطعي يستخدم لغة تفسيرية-ترابطية متحفظة بدلًا من اللغة السببية، حُدِّد مجتمع الدراسة إجرائيًا بالعاملين في وكالات التسويق الرقمي المرخَّصة العاملة في الرياض وجدة والدمام ضمن فئات وظيفية محددة، مع توثيق مبررات هذا التحديد الجغرافي والوظيفي. وحُدِّد أسلوب المعاينة غير الاحتمالية (ميسرة وكرة ثلج) وضوابط تنويعها وحصصها الاسترشادية، وحجم العينة المستهدف (384 استجابة صالحة فأكثر) استنادًا إلى تحليل القوة الإحصائية مبررًا رئيسًا.</w:t>
      </w:r>
    </w:p>
    <w:p w14:paraId="3B64D336"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كما عرضت خطوات بناء أداة الدراسة وتحكيمها وترجمتها وحساب صدق محتواها الكمي، وإجراءات دراستها الاستطلاعية ومقابلاتها الإدراكية، وخطة التحقق من صدقها التقاربي والتمايزي وثباتها عبر مؤشرات ألفا كرونباخ وrho_A والثبات المركب في إطار نمذجة PLS-SEM. وأخيرًا، فُصِّلت إجراءات تنظيف البيانات ومعالجتها إحصائيًا عبر برنامجي SPSS وSmartPLS، واختبار الفرضيات المباشرة والوسيطة والتفاعلية، والجوانب الأخلاقية التي ستُراعى طوال مراحل التنفيذ الميداني. وتمثل هذه الإجراءات مجتمعة الأساس الذي ستُبنى عليه نتائج الفصل الرابع وتفسيرها.</w:t>
      </w:r>
    </w:p>
    <w:p w14:paraId="26078DAB" w14:textId="77777777" w:rsidR="00F035EA" w:rsidRPr="00C07A59" w:rsidRDefault="00F035EA" w:rsidP="00F035EA">
      <w:pPr>
        <w:bidi/>
        <w:spacing w:after="200" w:line="276" w:lineRule="auto"/>
        <w:jc w:val="both"/>
        <w:rPr>
          <w:rFonts w:ascii="Simplified Arabic" w:hAnsi="Simplified Arabic" w:cs="Simplified Arabic"/>
          <w:rtl/>
        </w:rPr>
      </w:pPr>
    </w:p>
    <w:p w14:paraId="0AD2A4CD" w14:textId="77777777" w:rsidR="00F035EA" w:rsidRDefault="00F035EA" w:rsidP="00F035EA">
      <w:pPr>
        <w:bidi/>
        <w:spacing w:after="200" w:line="276" w:lineRule="auto"/>
        <w:jc w:val="both"/>
        <w:rPr>
          <w:rFonts w:ascii="Simplified Arabic" w:hAnsi="Simplified Arabic" w:cs="Simplified Arabic"/>
          <w:rtl/>
        </w:rPr>
      </w:pPr>
    </w:p>
    <w:p w14:paraId="4E09117B" w14:textId="77777777" w:rsidR="00F035EA" w:rsidRDefault="00F035EA" w:rsidP="00F035EA">
      <w:pPr>
        <w:bidi/>
        <w:spacing w:after="200" w:line="276" w:lineRule="auto"/>
        <w:jc w:val="both"/>
        <w:rPr>
          <w:rFonts w:ascii="Simplified Arabic" w:hAnsi="Simplified Arabic" w:cs="Simplified Arabic"/>
          <w:rtl/>
        </w:rPr>
      </w:pPr>
    </w:p>
    <w:p w14:paraId="4CF080B0" w14:textId="77777777" w:rsidR="00F035EA" w:rsidRDefault="00F035EA" w:rsidP="00F035EA">
      <w:pPr>
        <w:bidi/>
        <w:spacing w:after="200" w:line="276" w:lineRule="auto"/>
        <w:jc w:val="both"/>
        <w:rPr>
          <w:rFonts w:ascii="Simplified Arabic" w:hAnsi="Simplified Arabic" w:cs="Simplified Arabic"/>
          <w:rtl/>
        </w:rPr>
      </w:pPr>
    </w:p>
    <w:p w14:paraId="4185B415" w14:textId="77777777" w:rsidR="00F035EA" w:rsidRDefault="00F035EA" w:rsidP="00F035EA">
      <w:pPr>
        <w:bidi/>
        <w:spacing w:after="200" w:line="276" w:lineRule="auto"/>
        <w:jc w:val="both"/>
        <w:rPr>
          <w:rFonts w:ascii="Simplified Arabic" w:hAnsi="Simplified Arabic" w:cs="Simplified Arabic"/>
          <w:rtl/>
        </w:rPr>
      </w:pPr>
    </w:p>
    <w:p w14:paraId="415A62CB" w14:textId="77777777" w:rsidR="00F035EA" w:rsidRDefault="00F035EA" w:rsidP="00F035EA">
      <w:pPr>
        <w:bidi/>
        <w:spacing w:after="200" w:line="276" w:lineRule="auto"/>
        <w:jc w:val="both"/>
        <w:rPr>
          <w:rFonts w:ascii="Simplified Arabic" w:hAnsi="Simplified Arabic" w:cs="Simplified Arabic"/>
          <w:rtl/>
        </w:rPr>
      </w:pPr>
    </w:p>
    <w:p w14:paraId="438CE56E" w14:textId="77777777" w:rsidR="00F035EA" w:rsidRDefault="00F035EA" w:rsidP="00F035EA">
      <w:pPr>
        <w:bidi/>
        <w:spacing w:after="200" w:line="276" w:lineRule="auto"/>
        <w:jc w:val="both"/>
        <w:rPr>
          <w:rFonts w:ascii="Simplified Arabic" w:hAnsi="Simplified Arabic" w:cs="Simplified Arabic"/>
          <w:rtl/>
        </w:rPr>
      </w:pPr>
    </w:p>
    <w:p w14:paraId="0F4A8514" w14:textId="77777777" w:rsidR="00F035EA" w:rsidRDefault="00F035EA" w:rsidP="00F035EA">
      <w:pPr>
        <w:bidi/>
        <w:spacing w:after="200" w:line="276" w:lineRule="auto"/>
        <w:jc w:val="both"/>
        <w:rPr>
          <w:rFonts w:ascii="Simplified Arabic" w:hAnsi="Simplified Arabic" w:cs="Simplified Arabic"/>
          <w:rtl/>
        </w:rPr>
      </w:pPr>
    </w:p>
    <w:p w14:paraId="38E01B1F" w14:textId="77777777" w:rsidR="00F035EA" w:rsidRDefault="00F035EA" w:rsidP="00F035EA">
      <w:pPr>
        <w:bidi/>
        <w:spacing w:after="200" w:line="276" w:lineRule="auto"/>
        <w:jc w:val="both"/>
        <w:rPr>
          <w:rFonts w:ascii="Simplified Arabic" w:hAnsi="Simplified Arabic" w:cs="Simplified Arabic"/>
          <w:rtl/>
        </w:rPr>
      </w:pPr>
    </w:p>
    <w:p w14:paraId="087D3959" w14:textId="77777777" w:rsidR="00F035EA" w:rsidRDefault="00F035EA" w:rsidP="00F035EA">
      <w:pPr>
        <w:bidi/>
        <w:spacing w:after="200" w:line="276" w:lineRule="auto"/>
        <w:jc w:val="both"/>
        <w:rPr>
          <w:rFonts w:ascii="Simplified Arabic" w:hAnsi="Simplified Arabic" w:cs="Simplified Arabic"/>
          <w:rtl/>
        </w:rPr>
      </w:pPr>
    </w:p>
    <w:p w14:paraId="470DD0F1" w14:textId="77777777" w:rsidR="00F035EA" w:rsidRDefault="00F035EA" w:rsidP="00F035EA">
      <w:pPr>
        <w:bidi/>
        <w:spacing w:after="200" w:line="276" w:lineRule="auto"/>
        <w:jc w:val="both"/>
        <w:rPr>
          <w:rFonts w:ascii="Simplified Arabic" w:hAnsi="Simplified Arabic" w:cs="Simplified Arabic"/>
          <w:rtl/>
        </w:rPr>
      </w:pPr>
    </w:p>
    <w:p w14:paraId="78157D92" w14:textId="77777777" w:rsidR="00F035EA" w:rsidRDefault="00F035EA" w:rsidP="00F035EA">
      <w:pPr>
        <w:bidi/>
        <w:spacing w:after="200" w:line="276" w:lineRule="auto"/>
        <w:jc w:val="both"/>
        <w:rPr>
          <w:rFonts w:ascii="Simplified Arabic" w:hAnsi="Simplified Arabic" w:cs="Simplified Arabic"/>
          <w:rtl/>
        </w:rPr>
      </w:pPr>
    </w:p>
    <w:p w14:paraId="6B7F49F0" w14:textId="77777777" w:rsidR="00F035EA" w:rsidRPr="00C22AB7" w:rsidRDefault="00F035EA" w:rsidP="00F035EA">
      <w:pPr>
        <w:keepNext/>
        <w:bidi/>
        <w:spacing w:after="0" w:line="240" w:lineRule="auto"/>
        <w:jc w:val="center"/>
        <w:rPr>
          <w:rFonts w:ascii="Simplified Arabic" w:eastAsia="Arial" w:hAnsi="Simplified Arabic" w:cs="Simplified Arabic"/>
          <w:bCs/>
          <w:u w:val="single"/>
        </w:rPr>
      </w:pPr>
      <w:r w:rsidRPr="00C22AB7">
        <w:rPr>
          <w:rFonts w:ascii="Simplified Arabic" w:eastAsia="Noto Naskh Arabic" w:hAnsi="Simplified Arabic" w:cs="Simplified Arabic"/>
          <w:bCs/>
          <w:color w:val="FF0000"/>
          <w:u w:val="single"/>
          <w:rtl/>
        </w:rPr>
        <w:t>ملحق (أ): الاستبانة الخاصة بالمبحوثين</w:t>
      </w:r>
    </w:p>
    <w:p w14:paraId="0D447ECA"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17C0D5F0"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5BDC27C3" w14:textId="77777777" w:rsidR="00F035EA" w:rsidRPr="00C22AB7" w:rsidRDefault="00F035EA" w:rsidP="00F035EA">
      <w:pPr>
        <w:bidi/>
        <w:spacing w:after="60" w:line="240" w:lineRule="auto"/>
        <w:rPr>
          <w:rFonts w:ascii="Simplified Arabic" w:eastAsia="Noto Naskh Arabic" w:hAnsi="Simplified Arabic" w:cs="Simplified Arabic"/>
          <w:b/>
          <w:rtl/>
        </w:rPr>
      </w:pPr>
      <w:r w:rsidRPr="00C22AB7">
        <w:rPr>
          <w:rFonts w:ascii="Simplified Arabic" w:eastAsia="Noto Naskh Arabic" w:hAnsi="Simplified Arabic" w:cs="Simplified Arabic"/>
          <w:b/>
          <w:rtl/>
        </w:rPr>
        <w:t xml:space="preserve">أخي المبحوث المحترم، </w:t>
      </w:r>
    </w:p>
    <w:p w14:paraId="27EE39E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rtl/>
        </w:rPr>
        <w:lastRenderedPageBreak/>
        <w:t>أختي المبحوثة المحترمة،</w:t>
      </w:r>
    </w:p>
    <w:p w14:paraId="79315459"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تحية طيبة وبعد،</w:t>
      </w:r>
    </w:p>
    <w:p w14:paraId="747DC1F4" w14:textId="77777777" w:rsidR="00F035EA" w:rsidRPr="00C22AB7" w:rsidRDefault="00F035EA" w:rsidP="00F035EA">
      <w:pPr>
        <w:bidi/>
        <w:spacing w:after="60" w:line="240" w:lineRule="auto"/>
        <w:rPr>
          <w:rFonts w:ascii="Simplified Arabic" w:eastAsia="Noto Naskh Arabic" w:hAnsi="Simplified Arabic" w:cs="Simplified Arabic"/>
          <w:rtl/>
        </w:rPr>
      </w:pPr>
      <w:r w:rsidRPr="00C22AB7">
        <w:rPr>
          <w:rFonts w:ascii="Simplified Arabic" w:eastAsia="Noto Naskh Arabic" w:hAnsi="Simplified Arabic" w:cs="Simplified Arabic"/>
          <w:rtl/>
        </w:rPr>
        <w:t xml:space="preserve">يقوم الباحث بإجراء دراسة بعنوان: </w:t>
      </w:r>
    </w:p>
    <w:p w14:paraId="1786B5F0" w14:textId="77777777" w:rsidR="00F035EA" w:rsidRPr="00C22AB7" w:rsidRDefault="00F035EA" w:rsidP="00F035EA">
      <w:pPr>
        <w:bidi/>
        <w:spacing w:after="60" w:line="240" w:lineRule="auto"/>
        <w:jc w:val="center"/>
        <w:rPr>
          <w:rFonts w:ascii="Simplified Arabic" w:eastAsia="Noto Naskh Arabic" w:hAnsi="Simplified Arabic" w:cs="Simplified Arabic"/>
          <w:b/>
          <w:bCs/>
          <w:rtl/>
        </w:rPr>
      </w:pPr>
      <w:r w:rsidRPr="00C22AB7">
        <w:rPr>
          <w:rFonts w:ascii="Simplified Arabic" w:eastAsia="Noto Naskh Arabic" w:hAnsi="Simplified Arabic" w:cs="Simplified Arabic"/>
          <w:b/>
          <w:bCs/>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5FE7B4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وذلك استكمالًا لمتطلبات الحصول على درجة الدكتوراه في تخصص التسويق.</w:t>
      </w:r>
    </w:p>
    <w:p w14:paraId="2ECB0F88" w14:textId="77777777" w:rsidR="00F035EA" w:rsidRPr="00C22AB7" w:rsidRDefault="00F035EA" w:rsidP="00F035EA">
      <w:pPr>
        <w:bidi/>
        <w:spacing w:after="60" w:line="240" w:lineRule="auto"/>
        <w:rPr>
          <w:rFonts w:ascii="Simplified Arabic" w:eastAsia="Noto Naskh Arabic" w:hAnsi="Simplified Arabic" w:cs="Simplified Arabic"/>
          <w:rtl/>
        </w:rPr>
      </w:pPr>
    </w:p>
    <w:p w14:paraId="3F1FA09C"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color w:val="FF0000"/>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 والأخلاقية.</w:t>
      </w:r>
    </w:p>
    <w:p w14:paraId="3B615019" w14:textId="77777777" w:rsidR="00F035EA" w:rsidRPr="00C22AB7" w:rsidRDefault="00F035EA" w:rsidP="00F035EA">
      <w:pPr>
        <w:bidi/>
        <w:spacing w:after="60" w:line="240" w:lineRule="auto"/>
        <w:rPr>
          <w:rFonts w:ascii="Simplified Arabic" w:eastAsia="Arial" w:hAnsi="Simplified Arabic" w:cs="Simplified Arabic"/>
        </w:rPr>
      </w:pPr>
    </w:p>
    <w:p w14:paraId="1F4A973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يتوقع مبدئيًا أن تستغرق الإجابة عن الاستبانة نحو 10–15 دقيقة، وسيُحدد الزمن المتوقع بصورة أدق في ضوء نتائج الدراسة الاستطلاعية. مشاركتك طوعية بالكامل، ويحق لك عدم المشاركة أو الانسحاب قبل إرسال الاستجابة دون أي أثر سلبي. لا تنطوي المشاركة على مخاطر جوهرية تتجاوز التأمل المعتاد في الممارسة المهنية، وتتمثل الفائدة المتوقعة في دعم المعرفة العلمية وتطوير الممارسات المهنية في مجال التسويق الرقمي. وستُعامل البيانات بسرية تامة، ولن تُجمع بيانات تعريفية شخصية غير لازمة، وستُحلل النتائج بصورة إجمالية لا تكشف هوية المشاركين أو الجهات التي يعملون بها. ويُطلب منك الإجابة استنادًا إلى خبرتك المباشرة وملاحظتك الفعلية لممارسات الوكالة ضمن نطاق عملك خلال الاثني عشر شهرًا الأخيرة. ولأي استفسار أو شكوى، ستُدرج قبل التطبيق الفعلي بيانات التواصل المعتمدة للباحث والمشرف الأكاديمي والجهة الأخلاقية المختصة.</w:t>
      </w:r>
    </w:p>
    <w:p w14:paraId="0B98D5EE" w14:textId="77777777" w:rsidR="00F035EA" w:rsidRPr="00C22AB7" w:rsidRDefault="00F035EA" w:rsidP="00F035EA">
      <w:pPr>
        <w:bidi/>
        <w:spacing w:after="60" w:line="240" w:lineRule="auto"/>
        <w:rPr>
          <w:rFonts w:ascii="Simplified Arabic" w:eastAsia="Arial" w:hAnsi="Simplified Arabic" w:cs="Simplified Arabic"/>
          <w:rtl/>
        </w:rPr>
      </w:pPr>
    </w:p>
    <w:p w14:paraId="0153CBF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شاكرًا لكم تعاونكم في مشاركتكم في إنجاز هذا العمل الأكاديمي الذي سوف تكون نتيجته مفيدة</w:t>
      </w:r>
      <w:r w:rsidRPr="00C22AB7">
        <w:rPr>
          <w:rFonts w:ascii="Simplified Arabic" w:eastAsia="Arial" w:hAnsi="Simplified Arabic" w:cs="Simplified Arabic"/>
        </w:rPr>
        <w:t>.</w:t>
      </w:r>
    </w:p>
    <w:p w14:paraId="06C4F85C" w14:textId="77777777" w:rsidR="00F035EA" w:rsidRPr="00C22AB7" w:rsidRDefault="00F035EA" w:rsidP="00F035EA">
      <w:pPr>
        <w:bidi/>
        <w:spacing w:after="60" w:line="240" w:lineRule="auto"/>
        <w:rPr>
          <w:rFonts w:ascii="Simplified Arabic" w:eastAsia="Arial" w:hAnsi="Simplified Arabic" w:cs="Simplified Arabic"/>
          <w:rtl/>
        </w:rPr>
      </w:pPr>
    </w:p>
    <w:p w14:paraId="4D78A04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وتفضلوا بقبول فائق الاحترام.</w:t>
      </w:r>
    </w:p>
    <w:p w14:paraId="27AA0513" w14:textId="77777777" w:rsidR="00F035EA" w:rsidRPr="00C22AB7" w:rsidRDefault="00F035EA" w:rsidP="00F035EA">
      <w:pPr>
        <w:bidi/>
        <w:spacing w:after="60" w:line="240" w:lineRule="auto"/>
        <w:rPr>
          <w:rFonts w:ascii="Simplified Arabic" w:eastAsia="Arial" w:hAnsi="Simplified Arabic" w:cs="Simplified Arabic"/>
          <w:rtl/>
        </w:rPr>
      </w:pPr>
    </w:p>
    <w:p w14:paraId="40915F07" w14:textId="77777777" w:rsidR="00F035EA" w:rsidRPr="00C22AB7" w:rsidRDefault="00F035EA" w:rsidP="00F035EA">
      <w:pPr>
        <w:bidi/>
        <w:spacing w:after="60" w:line="240" w:lineRule="auto"/>
        <w:rPr>
          <w:rFonts w:ascii="Simplified Arabic" w:eastAsia="Arial" w:hAnsi="Simplified Arabic" w:cs="Simplified Arabic"/>
          <w:rtl/>
        </w:rPr>
      </w:pPr>
    </w:p>
    <w:p w14:paraId="23F76111" w14:textId="77777777" w:rsidR="00F035EA" w:rsidRPr="00C22AB7" w:rsidRDefault="00F035EA" w:rsidP="00F035EA">
      <w:pPr>
        <w:bidi/>
        <w:spacing w:after="60" w:line="240" w:lineRule="auto"/>
        <w:rPr>
          <w:rFonts w:ascii="Simplified Arabic" w:eastAsia="Arial" w:hAnsi="Simplified Arabic" w:cs="Simplified Arabic"/>
          <w:rtl/>
        </w:rPr>
      </w:pPr>
    </w:p>
    <w:p w14:paraId="645394A0" w14:textId="77777777" w:rsidR="00F035EA" w:rsidRDefault="00F035EA" w:rsidP="00F035EA">
      <w:pPr>
        <w:bidi/>
        <w:spacing w:after="60" w:line="240" w:lineRule="auto"/>
        <w:rPr>
          <w:rFonts w:ascii="Simplified Arabic" w:eastAsia="Arial" w:hAnsi="Simplified Arabic" w:cs="Simplified Arabic"/>
          <w:rtl/>
        </w:rPr>
      </w:pPr>
    </w:p>
    <w:p w14:paraId="7579BAF4" w14:textId="77777777" w:rsidR="00F035EA" w:rsidRDefault="00F035EA" w:rsidP="00F035EA">
      <w:pPr>
        <w:bidi/>
        <w:spacing w:after="60" w:line="240" w:lineRule="auto"/>
        <w:rPr>
          <w:rFonts w:ascii="Simplified Arabic" w:eastAsia="Arial" w:hAnsi="Simplified Arabic" w:cs="Simplified Arabic"/>
          <w:rtl/>
        </w:rPr>
      </w:pPr>
    </w:p>
    <w:p w14:paraId="5A061402" w14:textId="77777777" w:rsidR="00F035EA" w:rsidRDefault="00F035EA" w:rsidP="00F035EA">
      <w:pPr>
        <w:bidi/>
        <w:spacing w:after="60" w:line="240" w:lineRule="auto"/>
        <w:rPr>
          <w:rFonts w:ascii="Simplified Arabic" w:eastAsia="Arial" w:hAnsi="Simplified Arabic" w:cs="Simplified Arabic"/>
          <w:rtl/>
        </w:rPr>
      </w:pPr>
    </w:p>
    <w:p w14:paraId="363A63D3" w14:textId="77777777" w:rsidR="00F035EA" w:rsidRPr="00C22AB7" w:rsidRDefault="00F035EA" w:rsidP="00F035EA">
      <w:pPr>
        <w:bidi/>
        <w:spacing w:after="60" w:line="240" w:lineRule="auto"/>
        <w:rPr>
          <w:rFonts w:ascii="Simplified Arabic" w:eastAsia="Arial" w:hAnsi="Simplified Arabic" w:cs="Simplified Arabic"/>
          <w:rtl/>
        </w:rPr>
      </w:pPr>
    </w:p>
    <w:p w14:paraId="791459FC" w14:textId="77777777" w:rsidR="00F035EA" w:rsidRPr="00C22AB7" w:rsidRDefault="00F035EA" w:rsidP="00F035EA">
      <w:pPr>
        <w:bidi/>
        <w:spacing w:after="6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أسئلة الأهلية والموافقة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2"/>
        <w:gridCol w:w="3582"/>
        <w:gridCol w:w="4036"/>
      </w:tblGrid>
      <w:tr w:rsidR="00F035EA" w:rsidRPr="00C22AB7" w14:paraId="3193FD8E" w14:textId="77777777" w:rsidTr="0085711F">
        <w:trPr>
          <w:cantSplit/>
          <w:jc w:val="center"/>
        </w:trPr>
        <w:tc>
          <w:tcPr>
            <w:tcW w:w="794" w:type="dxa"/>
            <w:shd w:val="clear" w:color="auto" w:fill="D9D9D9"/>
            <w:tcMar>
              <w:top w:w="60" w:type="dxa"/>
              <w:left w:w="80" w:type="dxa"/>
              <w:bottom w:w="60" w:type="dxa"/>
              <w:right w:w="80" w:type="dxa"/>
            </w:tcMar>
            <w:vAlign w:val="center"/>
          </w:tcPr>
          <w:p w14:paraId="1CCD0B9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الرمز</w:t>
            </w:r>
          </w:p>
        </w:tc>
        <w:tc>
          <w:tcPr>
            <w:tcW w:w="4422" w:type="dxa"/>
            <w:shd w:val="clear" w:color="auto" w:fill="D9D9D9"/>
            <w:tcMar>
              <w:top w:w="60" w:type="dxa"/>
              <w:left w:w="80" w:type="dxa"/>
              <w:bottom w:w="60" w:type="dxa"/>
              <w:right w:w="80" w:type="dxa"/>
            </w:tcMar>
            <w:vAlign w:val="center"/>
          </w:tcPr>
          <w:p w14:paraId="014166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السؤال</w:t>
            </w:r>
          </w:p>
        </w:tc>
        <w:tc>
          <w:tcPr>
            <w:tcW w:w="4989" w:type="dxa"/>
            <w:shd w:val="clear" w:color="auto" w:fill="D9D9D9"/>
            <w:tcMar>
              <w:top w:w="60" w:type="dxa"/>
              <w:left w:w="80" w:type="dxa"/>
              <w:bottom w:w="60" w:type="dxa"/>
              <w:right w:w="80" w:type="dxa"/>
            </w:tcMar>
            <w:vAlign w:val="center"/>
          </w:tcPr>
          <w:p w14:paraId="44FCCEB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الخيارات</w:t>
            </w:r>
          </w:p>
        </w:tc>
      </w:tr>
      <w:tr w:rsidR="00F035EA" w:rsidRPr="00C22AB7" w14:paraId="7A5041F0" w14:textId="77777777" w:rsidTr="0085711F">
        <w:trPr>
          <w:cantSplit/>
          <w:jc w:val="center"/>
        </w:trPr>
        <w:tc>
          <w:tcPr>
            <w:tcW w:w="794" w:type="dxa"/>
            <w:tcMar>
              <w:top w:w="60" w:type="dxa"/>
              <w:left w:w="80" w:type="dxa"/>
              <w:bottom w:w="60" w:type="dxa"/>
              <w:right w:w="80" w:type="dxa"/>
            </w:tcMar>
            <w:vAlign w:val="center"/>
          </w:tcPr>
          <w:p w14:paraId="15730E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S1</w:t>
            </w:r>
          </w:p>
        </w:tc>
        <w:tc>
          <w:tcPr>
            <w:tcW w:w="4422" w:type="dxa"/>
            <w:tcMar>
              <w:top w:w="60" w:type="dxa"/>
              <w:left w:w="80" w:type="dxa"/>
              <w:bottom w:w="60" w:type="dxa"/>
              <w:right w:w="80" w:type="dxa"/>
            </w:tcMar>
            <w:vAlign w:val="center"/>
          </w:tcPr>
          <w:p w14:paraId="79F382C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تعمل حاليًا في وكالة تسويق رقمي مرخَّصة عاملة في الرياض أو جدة أو الدمام؟</w:t>
            </w:r>
          </w:p>
        </w:tc>
        <w:tc>
          <w:tcPr>
            <w:tcW w:w="4989" w:type="dxa"/>
            <w:tcMar>
              <w:top w:w="60" w:type="dxa"/>
              <w:left w:w="80" w:type="dxa"/>
              <w:bottom w:w="60" w:type="dxa"/>
              <w:right w:w="80" w:type="dxa"/>
            </w:tcMar>
            <w:vAlign w:val="center"/>
          </w:tcPr>
          <w:p w14:paraId="0DEDE3FE"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7CB28BD" w14:textId="77777777" w:rsidTr="0085711F">
        <w:trPr>
          <w:cantSplit/>
          <w:jc w:val="center"/>
        </w:trPr>
        <w:tc>
          <w:tcPr>
            <w:tcW w:w="794" w:type="dxa"/>
            <w:tcMar>
              <w:top w:w="60" w:type="dxa"/>
              <w:left w:w="80" w:type="dxa"/>
              <w:bottom w:w="60" w:type="dxa"/>
              <w:right w:w="80" w:type="dxa"/>
            </w:tcMar>
            <w:vAlign w:val="center"/>
          </w:tcPr>
          <w:p w14:paraId="73FE9D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lastRenderedPageBreak/>
              <w:t>S2</w:t>
            </w:r>
          </w:p>
        </w:tc>
        <w:tc>
          <w:tcPr>
            <w:tcW w:w="4422" w:type="dxa"/>
            <w:tcMar>
              <w:top w:w="60" w:type="dxa"/>
              <w:left w:w="80" w:type="dxa"/>
              <w:bottom w:w="60" w:type="dxa"/>
              <w:right w:w="80" w:type="dxa"/>
            </w:tcMar>
            <w:vAlign w:val="center"/>
          </w:tcPr>
          <w:p w14:paraId="09DA232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يرتبط عملك بتخطيط الحملات التسويقية الرقمية أو تصميمها أو تنفيذها أو تحليل أدائها ضمن أحد الأدوار الوظيفية ذات الصلة؟</w:t>
            </w:r>
          </w:p>
        </w:tc>
        <w:tc>
          <w:tcPr>
            <w:tcW w:w="4989" w:type="dxa"/>
            <w:tcMar>
              <w:top w:w="60" w:type="dxa"/>
              <w:left w:w="80" w:type="dxa"/>
              <w:bottom w:w="60" w:type="dxa"/>
              <w:right w:w="80" w:type="dxa"/>
            </w:tcMar>
            <w:vAlign w:val="center"/>
          </w:tcPr>
          <w:p w14:paraId="108274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2549091" w14:textId="77777777" w:rsidTr="0085711F">
        <w:trPr>
          <w:cantSplit/>
          <w:jc w:val="center"/>
        </w:trPr>
        <w:tc>
          <w:tcPr>
            <w:tcW w:w="794" w:type="dxa"/>
            <w:tcMar>
              <w:top w:w="60" w:type="dxa"/>
              <w:left w:w="80" w:type="dxa"/>
              <w:bottom w:w="60" w:type="dxa"/>
              <w:right w:w="80" w:type="dxa"/>
            </w:tcMar>
            <w:vAlign w:val="center"/>
          </w:tcPr>
          <w:p w14:paraId="47E6D9A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S3</w:t>
            </w:r>
          </w:p>
        </w:tc>
        <w:tc>
          <w:tcPr>
            <w:tcW w:w="4422" w:type="dxa"/>
            <w:tcMar>
              <w:top w:w="60" w:type="dxa"/>
              <w:left w:w="80" w:type="dxa"/>
              <w:bottom w:w="60" w:type="dxa"/>
              <w:right w:w="80" w:type="dxa"/>
            </w:tcMar>
            <w:vAlign w:val="center"/>
          </w:tcPr>
          <w:p w14:paraId="7E3924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استخدمت بصورة مباشرة وعملية أداة واحدة على الأقل من أدوات الذكاء الاصطناعي التوليدي في سياق العمل على الحملات التسويقية الرقمية خلال آخر 12 شهرًا، وبمعدل لا يقل عن مرة شهريًا؟</w:t>
            </w:r>
          </w:p>
        </w:tc>
        <w:tc>
          <w:tcPr>
            <w:tcW w:w="4989" w:type="dxa"/>
            <w:tcMar>
              <w:top w:w="60" w:type="dxa"/>
              <w:left w:w="80" w:type="dxa"/>
              <w:bottom w:w="60" w:type="dxa"/>
              <w:right w:w="80" w:type="dxa"/>
            </w:tcMar>
            <w:vAlign w:val="center"/>
          </w:tcPr>
          <w:p w14:paraId="712ACF0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E509620" w14:textId="77777777" w:rsidTr="0085711F">
        <w:trPr>
          <w:cantSplit/>
          <w:jc w:val="center"/>
        </w:trPr>
        <w:tc>
          <w:tcPr>
            <w:tcW w:w="794" w:type="dxa"/>
            <w:tcMar>
              <w:top w:w="60" w:type="dxa"/>
              <w:left w:w="80" w:type="dxa"/>
              <w:bottom w:w="60" w:type="dxa"/>
              <w:right w:w="80" w:type="dxa"/>
            </w:tcMar>
            <w:vAlign w:val="center"/>
          </w:tcPr>
          <w:p w14:paraId="513AC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S4</w:t>
            </w:r>
          </w:p>
        </w:tc>
        <w:tc>
          <w:tcPr>
            <w:tcW w:w="4422" w:type="dxa"/>
            <w:tcMar>
              <w:top w:w="60" w:type="dxa"/>
              <w:left w:w="80" w:type="dxa"/>
              <w:bottom w:w="60" w:type="dxa"/>
              <w:right w:w="80" w:type="dxa"/>
            </w:tcMar>
            <w:vAlign w:val="center"/>
          </w:tcPr>
          <w:p w14:paraId="5644685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لديك خبرة مستمرة في الوكالة الحالية أو في مجال الحملات التسويقية الرقمية لمدة ستة أشهر فأكثر؟</w:t>
            </w:r>
          </w:p>
        </w:tc>
        <w:tc>
          <w:tcPr>
            <w:tcW w:w="4989" w:type="dxa"/>
            <w:tcMar>
              <w:top w:w="60" w:type="dxa"/>
              <w:left w:w="80" w:type="dxa"/>
              <w:bottom w:w="60" w:type="dxa"/>
              <w:right w:w="80" w:type="dxa"/>
            </w:tcMar>
            <w:vAlign w:val="center"/>
          </w:tcPr>
          <w:p w14:paraId="1963A22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87CFD24" w14:textId="77777777" w:rsidTr="0085711F">
        <w:trPr>
          <w:cantSplit/>
          <w:jc w:val="center"/>
        </w:trPr>
        <w:tc>
          <w:tcPr>
            <w:tcW w:w="794" w:type="dxa"/>
            <w:tcMar>
              <w:top w:w="60" w:type="dxa"/>
              <w:left w:w="80" w:type="dxa"/>
              <w:bottom w:w="60" w:type="dxa"/>
              <w:right w:w="80" w:type="dxa"/>
            </w:tcMar>
            <w:vAlign w:val="center"/>
          </w:tcPr>
          <w:p w14:paraId="149C08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S5</w:t>
            </w:r>
          </w:p>
        </w:tc>
        <w:tc>
          <w:tcPr>
            <w:tcW w:w="4422" w:type="dxa"/>
            <w:tcMar>
              <w:top w:w="60" w:type="dxa"/>
              <w:left w:w="80" w:type="dxa"/>
              <w:bottom w:w="60" w:type="dxa"/>
              <w:right w:w="80" w:type="dxa"/>
            </w:tcMar>
            <w:vAlign w:val="center"/>
          </w:tcPr>
          <w:p w14:paraId="410FCBA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توافق طوعًا على المشاركة في هذه الدراسة بعد الاطلاع على معلومات المشاركة والموافقة المستنيرة؟</w:t>
            </w:r>
          </w:p>
        </w:tc>
        <w:tc>
          <w:tcPr>
            <w:tcW w:w="4989" w:type="dxa"/>
            <w:tcMar>
              <w:top w:w="60" w:type="dxa"/>
              <w:left w:w="80" w:type="dxa"/>
              <w:bottom w:w="60" w:type="dxa"/>
              <w:right w:w="80" w:type="dxa"/>
            </w:tcMar>
            <w:vAlign w:val="center"/>
          </w:tcPr>
          <w:p w14:paraId="1605D3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bl>
    <w:p w14:paraId="6E085339" w14:textId="77777777" w:rsidR="00F035EA" w:rsidRPr="00C22AB7" w:rsidRDefault="00F035EA" w:rsidP="00F035EA">
      <w:pPr>
        <w:bidi/>
        <w:spacing w:after="40" w:line="240" w:lineRule="auto"/>
        <w:jc w:val="right"/>
        <w:rPr>
          <w:rFonts w:ascii="Simplified Arabic" w:eastAsia="Arial" w:hAnsi="Simplified Arabic" w:cs="Simplified Arabic"/>
        </w:rPr>
      </w:pPr>
    </w:p>
    <w:p w14:paraId="506DA95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color w:val="FF0000"/>
          <w:rtl/>
        </w:rPr>
        <w:t>ملاحظة: في حال كانت الإجابة بـ «لا» عن أي من الأسئلة S1 إلى S5، تُنهى المشاركة تلقائيًا ولا ينتقل المشارك إلى بقية أقسام الاستبانة.</w:t>
      </w:r>
    </w:p>
    <w:p w14:paraId="1A075823" w14:textId="77777777" w:rsidR="00F035EA" w:rsidRPr="00C22AB7" w:rsidRDefault="00F035EA" w:rsidP="00F035EA">
      <w:pPr>
        <w:bidi/>
        <w:spacing w:after="40" w:line="240" w:lineRule="auto"/>
        <w:jc w:val="right"/>
        <w:rPr>
          <w:rFonts w:ascii="Simplified Arabic" w:eastAsia="Arial" w:hAnsi="Simplified Arabic" w:cs="Simplified Arabic"/>
        </w:rPr>
      </w:pPr>
    </w:p>
    <w:p w14:paraId="26CCFA27" w14:textId="77777777" w:rsidR="00F035EA" w:rsidRPr="00C22AB7" w:rsidRDefault="00F035EA" w:rsidP="00F035EA">
      <w:pPr>
        <w:keepNext/>
        <w:bidi/>
        <w:spacing w:after="12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محاور الاستبانة الموضوعية</w:t>
      </w:r>
    </w:p>
    <w:p w14:paraId="20A56FE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يرجى تحديد درجة موافقتك على كل عبارة من العبارات الآتية وفق مقياس ليكرت الخماسي، واستند في إجاباتك إلى خبرتك المباشرة وملاحظتك الفعلية لممارسات الوكالة ضمن نطاق عملك خلال آخر 12 شهرًا، دون الحكم على جوانب لا تطلع عليها بحكم دورك الوظيفي: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90"/>
        <w:gridCol w:w="5700"/>
      </w:tblGrid>
      <w:tr w:rsidR="00F035EA" w:rsidRPr="00C22AB7" w14:paraId="3A4C694C" w14:textId="77777777" w:rsidTr="0085711F">
        <w:trPr>
          <w:jc w:val="center"/>
        </w:trPr>
        <w:tc>
          <w:tcPr>
            <w:tcW w:w="1417" w:type="dxa"/>
            <w:shd w:val="clear" w:color="auto" w:fill="D9D9D9"/>
            <w:tcMar>
              <w:top w:w="60" w:type="dxa"/>
              <w:left w:w="80" w:type="dxa"/>
              <w:bottom w:w="60" w:type="dxa"/>
              <w:right w:w="80" w:type="dxa"/>
            </w:tcMar>
            <w:vAlign w:val="center"/>
          </w:tcPr>
          <w:p w14:paraId="05C3B51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الدرجة</w:t>
            </w:r>
          </w:p>
        </w:tc>
        <w:tc>
          <w:tcPr>
            <w:tcW w:w="3118" w:type="dxa"/>
            <w:shd w:val="clear" w:color="auto" w:fill="D9D9D9"/>
            <w:tcMar>
              <w:top w:w="60" w:type="dxa"/>
              <w:left w:w="80" w:type="dxa"/>
              <w:bottom w:w="60" w:type="dxa"/>
              <w:right w:w="80" w:type="dxa"/>
            </w:tcMar>
            <w:vAlign w:val="center"/>
          </w:tcPr>
          <w:p w14:paraId="4005D1B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مستوى الموافقة</w:t>
            </w:r>
          </w:p>
        </w:tc>
      </w:tr>
      <w:tr w:rsidR="00F035EA" w:rsidRPr="00C22AB7" w14:paraId="2A8F630C" w14:textId="77777777" w:rsidTr="0085711F">
        <w:trPr>
          <w:jc w:val="center"/>
        </w:trPr>
        <w:tc>
          <w:tcPr>
            <w:tcW w:w="1417" w:type="dxa"/>
            <w:tcMar>
              <w:top w:w="60" w:type="dxa"/>
              <w:left w:w="80" w:type="dxa"/>
              <w:bottom w:w="60" w:type="dxa"/>
              <w:right w:w="80" w:type="dxa"/>
            </w:tcMar>
            <w:vAlign w:val="center"/>
          </w:tcPr>
          <w:p w14:paraId="20706B7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1</w:t>
            </w:r>
          </w:p>
        </w:tc>
        <w:tc>
          <w:tcPr>
            <w:tcW w:w="3118" w:type="dxa"/>
            <w:tcMar>
              <w:top w:w="60" w:type="dxa"/>
              <w:left w:w="80" w:type="dxa"/>
              <w:bottom w:w="60" w:type="dxa"/>
              <w:right w:w="80" w:type="dxa"/>
            </w:tcMar>
            <w:vAlign w:val="center"/>
          </w:tcPr>
          <w:p w14:paraId="13D697E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 بشدة</w:t>
            </w:r>
          </w:p>
        </w:tc>
      </w:tr>
      <w:tr w:rsidR="00F035EA" w:rsidRPr="00C22AB7" w14:paraId="7ACCEA3D" w14:textId="77777777" w:rsidTr="0085711F">
        <w:trPr>
          <w:jc w:val="center"/>
        </w:trPr>
        <w:tc>
          <w:tcPr>
            <w:tcW w:w="1417" w:type="dxa"/>
            <w:tcMar>
              <w:top w:w="60" w:type="dxa"/>
              <w:left w:w="80" w:type="dxa"/>
              <w:bottom w:w="60" w:type="dxa"/>
              <w:right w:w="80" w:type="dxa"/>
            </w:tcMar>
            <w:vAlign w:val="center"/>
          </w:tcPr>
          <w:p w14:paraId="59D798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2</w:t>
            </w:r>
          </w:p>
        </w:tc>
        <w:tc>
          <w:tcPr>
            <w:tcW w:w="3118" w:type="dxa"/>
            <w:tcMar>
              <w:top w:w="60" w:type="dxa"/>
              <w:left w:w="80" w:type="dxa"/>
              <w:bottom w:w="60" w:type="dxa"/>
              <w:right w:w="80" w:type="dxa"/>
            </w:tcMar>
            <w:vAlign w:val="center"/>
          </w:tcPr>
          <w:p w14:paraId="3EF5E7D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w:t>
            </w:r>
          </w:p>
        </w:tc>
      </w:tr>
      <w:tr w:rsidR="00F035EA" w:rsidRPr="00C22AB7" w14:paraId="3A534E5C" w14:textId="77777777" w:rsidTr="0085711F">
        <w:trPr>
          <w:jc w:val="center"/>
        </w:trPr>
        <w:tc>
          <w:tcPr>
            <w:tcW w:w="1417" w:type="dxa"/>
            <w:tcMar>
              <w:top w:w="60" w:type="dxa"/>
              <w:left w:w="80" w:type="dxa"/>
              <w:bottom w:w="60" w:type="dxa"/>
              <w:right w:w="80" w:type="dxa"/>
            </w:tcMar>
            <w:vAlign w:val="center"/>
          </w:tcPr>
          <w:p w14:paraId="2243280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3</w:t>
            </w:r>
          </w:p>
        </w:tc>
        <w:tc>
          <w:tcPr>
            <w:tcW w:w="3118" w:type="dxa"/>
            <w:tcMar>
              <w:top w:w="60" w:type="dxa"/>
              <w:left w:w="80" w:type="dxa"/>
              <w:bottom w:w="60" w:type="dxa"/>
              <w:right w:w="80" w:type="dxa"/>
            </w:tcMar>
            <w:vAlign w:val="center"/>
          </w:tcPr>
          <w:p w14:paraId="0562CCB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محايد</w:t>
            </w:r>
          </w:p>
        </w:tc>
      </w:tr>
      <w:tr w:rsidR="00F035EA" w:rsidRPr="00C22AB7" w14:paraId="55535C69" w14:textId="77777777" w:rsidTr="0085711F">
        <w:trPr>
          <w:jc w:val="center"/>
        </w:trPr>
        <w:tc>
          <w:tcPr>
            <w:tcW w:w="1417" w:type="dxa"/>
            <w:tcMar>
              <w:top w:w="60" w:type="dxa"/>
              <w:left w:w="80" w:type="dxa"/>
              <w:bottom w:w="60" w:type="dxa"/>
              <w:right w:w="80" w:type="dxa"/>
            </w:tcMar>
            <w:vAlign w:val="center"/>
          </w:tcPr>
          <w:p w14:paraId="28F1F1C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4</w:t>
            </w:r>
          </w:p>
        </w:tc>
        <w:tc>
          <w:tcPr>
            <w:tcW w:w="3118" w:type="dxa"/>
            <w:tcMar>
              <w:top w:w="60" w:type="dxa"/>
              <w:left w:w="80" w:type="dxa"/>
              <w:bottom w:w="60" w:type="dxa"/>
              <w:right w:w="80" w:type="dxa"/>
            </w:tcMar>
            <w:vAlign w:val="center"/>
          </w:tcPr>
          <w:p w14:paraId="64D4DD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w:t>
            </w:r>
          </w:p>
        </w:tc>
      </w:tr>
      <w:tr w:rsidR="00F035EA" w:rsidRPr="00C22AB7" w14:paraId="1F04C977" w14:textId="77777777" w:rsidTr="0085711F">
        <w:trPr>
          <w:jc w:val="center"/>
        </w:trPr>
        <w:tc>
          <w:tcPr>
            <w:tcW w:w="1417" w:type="dxa"/>
            <w:tcMar>
              <w:top w:w="60" w:type="dxa"/>
              <w:left w:w="80" w:type="dxa"/>
              <w:bottom w:w="60" w:type="dxa"/>
              <w:right w:w="80" w:type="dxa"/>
            </w:tcMar>
            <w:vAlign w:val="center"/>
          </w:tcPr>
          <w:p w14:paraId="7A0D1D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5</w:t>
            </w:r>
          </w:p>
        </w:tc>
        <w:tc>
          <w:tcPr>
            <w:tcW w:w="3118" w:type="dxa"/>
            <w:tcMar>
              <w:top w:w="60" w:type="dxa"/>
              <w:left w:w="80" w:type="dxa"/>
              <w:bottom w:w="60" w:type="dxa"/>
              <w:right w:w="80" w:type="dxa"/>
            </w:tcMar>
            <w:vAlign w:val="center"/>
          </w:tcPr>
          <w:p w14:paraId="6436A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 بشدة</w:t>
            </w:r>
          </w:p>
        </w:tc>
      </w:tr>
    </w:tbl>
    <w:p w14:paraId="1CD69BFC" w14:textId="77777777" w:rsidR="00F035EA" w:rsidRPr="00C22AB7" w:rsidRDefault="00F035EA" w:rsidP="00F035EA">
      <w:pPr>
        <w:keepNext/>
        <w:bidi/>
        <w:spacing w:after="10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0000"/>
          <w:rtl/>
        </w:rPr>
        <w:t>المحور: توظيف تقنيات الذكاء الاصطناعي التوليدي في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4FC1998" w14:textId="77777777" w:rsidTr="0085711F">
        <w:trPr>
          <w:jc w:val="center"/>
        </w:trPr>
        <w:tc>
          <w:tcPr>
            <w:tcW w:w="850" w:type="dxa"/>
            <w:shd w:val="clear" w:color="auto" w:fill="D9D9D9"/>
            <w:tcMar>
              <w:top w:w="60" w:type="dxa"/>
              <w:left w:w="80" w:type="dxa"/>
              <w:bottom w:w="60" w:type="dxa"/>
              <w:right w:w="80" w:type="dxa"/>
            </w:tcMar>
            <w:vAlign w:val="center"/>
          </w:tcPr>
          <w:p w14:paraId="702ACA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349C9E9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777D9F7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295B551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2FDB80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2D4535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768D47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1A06D166" w14:textId="77777777" w:rsidTr="0085711F">
        <w:trPr>
          <w:jc w:val="center"/>
        </w:trPr>
        <w:tc>
          <w:tcPr>
            <w:tcW w:w="850" w:type="dxa"/>
            <w:tcMar>
              <w:top w:w="60" w:type="dxa"/>
              <w:left w:w="80" w:type="dxa"/>
              <w:bottom w:w="60" w:type="dxa"/>
              <w:right w:w="80" w:type="dxa"/>
            </w:tcMar>
            <w:vAlign w:val="center"/>
          </w:tcPr>
          <w:p w14:paraId="766EA2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w:t>
            </w:r>
          </w:p>
        </w:tc>
        <w:tc>
          <w:tcPr>
            <w:tcW w:w="6520" w:type="dxa"/>
            <w:tcMar>
              <w:top w:w="60" w:type="dxa"/>
              <w:left w:w="80" w:type="dxa"/>
              <w:bottom w:w="60" w:type="dxa"/>
              <w:right w:w="80" w:type="dxa"/>
            </w:tcMar>
            <w:vAlign w:val="center"/>
          </w:tcPr>
          <w:p w14:paraId="0D6B50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68F1ADA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9F4DF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C7F9B7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67C9CD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99D8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2BC3807" w14:textId="77777777" w:rsidTr="0085711F">
        <w:trPr>
          <w:jc w:val="center"/>
        </w:trPr>
        <w:tc>
          <w:tcPr>
            <w:tcW w:w="850" w:type="dxa"/>
            <w:tcMar>
              <w:top w:w="60" w:type="dxa"/>
              <w:left w:w="80" w:type="dxa"/>
              <w:bottom w:w="60" w:type="dxa"/>
              <w:right w:w="80" w:type="dxa"/>
            </w:tcMar>
            <w:vAlign w:val="center"/>
          </w:tcPr>
          <w:p w14:paraId="129BFF7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GAIU2</w:t>
            </w:r>
          </w:p>
        </w:tc>
        <w:tc>
          <w:tcPr>
            <w:tcW w:w="6520" w:type="dxa"/>
            <w:tcMar>
              <w:top w:w="60" w:type="dxa"/>
              <w:left w:w="80" w:type="dxa"/>
              <w:bottom w:w="60" w:type="dxa"/>
              <w:right w:w="80" w:type="dxa"/>
            </w:tcMar>
            <w:vAlign w:val="center"/>
          </w:tcPr>
          <w:p w14:paraId="05A5123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28B7829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AD6A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7AA2D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AD9B8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3343C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F12A14" w14:textId="77777777" w:rsidTr="0085711F">
        <w:trPr>
          <w:jc w:val="center"/>
        </w:trPr>
        <w:tc>
          <w:tcPr>
            <w:tcW w:w="850" w:type="dxa"/>
            <w:tcMar>
              <w:top w:w="60" w:type="dxa"/>
              <w:left w:w="80" w:type="dxa"/>
              <w:bottom w:w="60" w:type="dxa"/>
              <w:right w:w="80" w:type="dxa"/>
            </w:tcMar>
            <w:vAlign w:val="center"/>
          </w:tcPr>
          <w:p w14:paraId="39BE65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GAIU3</w:t>
            </w:r>
          </w:p>
        </w:tc>
        <w:tc>
          <w:tcPr>
            <w:tcW w:w="6520" w:type="dxa"/>
            <w:tcMar>
              <w:top w:w="60" w:type="dxa"/>
              <w:left w:w="80" w:type="dxa"/>
              <w:bottom w:w="60" w:type="dxa"/>
              <w:right w:w="80" w:type="dxa"/>
            </w:tcMar>
            <w:vAlign w:val="center"/>
          </w:tcPr>
          <w:p w14:paraId="58512360"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BC70A6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DE77D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D85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9EE39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8ED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7D174D6" w14:textId="77777777" w:rsidTr="0085711F">
        <w:trPr>
          <w:jc w:val="center"/>
        </w:trPr>
        <w:tc>
          <w:tcPr>
            <w:tcW w:w="850" w:type="dxa"/>
            <w:tcMar>
              <w:top w:w="60" w:type="dxa"/>
              <w:left w:w="80" w:type="dxa"/>
              <w:bottom w:w="60" w:type="dxa"/>
              <w:right w:w="80" w:type="dxa"/>
            </w:tcMar>
            <w:vAlign w:val="center"/>
          </w:tcPr>
          <w:p w14:paraId="47E7F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GAIU4</w:t>
            </w:r>
          </w:p>
        </w:tc>
        <w:tc>
          <w:tcPr>
            <w:tcW w:w="6520" w:type="dxa"/>
            <w:tcMar>
              <w:top w:w="60" w:type="dxa"/>
              <w:left w:w="80" w:type="dxa"/>
              <w:bottom w:w="60" w:type="dxa"/>
              <w:right w:w="80" w:type="dxa"/>
            </w:tcMar>
            <w:vAlign w:val="center"/>
          </w:tcPr>
          <w:p w14:paraId="2885501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1D5F6F4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3C01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024EC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9430E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260D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76DCDC" w14:textId="77777777" w:rsidTr="0085711F">
        <w:trPr>
          <w:jc w:val="center"/>
        </w:trPr>
        <w:tc>
          <w:tcPr>
            <w:tcW w:w="850" w:type="dxa"/>
            <w:tcMar>
              <w:top w:w="60" w:type="dxa"/>
              <w:left w:w="80" w:type="dxa"/>
              <w:bottom w:w="60" w:type="dxa"/>
              <w:right w:w="80" w:type="dxa"/>
            </w:tcMar>
            <w:vAlign w:val="center"/>
          </w:tcPr>
          <w:p w14:paraId="697C20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GAIU5</w:t>
            </w:r>
          </w:p>
        </w:tc>
        <w:tc>
          <w:tcPr>
            <w:tcW w:w="6520" w:type="dxa"/>
            <w:tcMar>
              <w:top w:w="60" w:type="dxa"/>
              <w:left w:w="80" w:type="dxa"/>
              <w:bottom w:w="60" w:type="dxa"/>
              <w:right w:w="80" w:type="dxa"/>
            </w:tcMar>
            <w:vAlign w:val="center"/>
          </w:tcPr>
          <w:p w14:paraId="59ECBC1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69F89D9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1C27E8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7CBE4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59BD32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0157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4327AC4" w14:textId="77777777" w:rsidTr="0085711F">
        <w:trPr>
          <w:jc w:val="center"/>
        </w:trPr>
        <w:tc>
          <w:tcPr>
            <w:tcW w:w="850" w:type="dxa"/>
            <w:tcMar>
              <w:top w:w="60" w:type="dxa"/>
              <w:left w:w="80" w:type="dxa"/>
              <w:bottom w:w="60" w:type="dxa"/>
              <w:right w:w="80" w:type="dxa"/>
            </w:tcMar>
            <w:vAlign w:val="center"/>
          </w:tcPr>
          <w:p w14:paraId="47038CA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AC1</w:t>
            </w:r>
          </w:p>
        </w:tc>
        <w:tc>
          <w:tcPr>
            <w:tcW w:w="6520" w:type="dxa"/>
            <w:tcMar>
              <w:top w:w="60" w:type="dxa"/>
              <w:left w:w="80" w:type="dxa"/>
              <w:bottom w:w="60" w:type="dxa"/>
              <w:right w:w="80" w:type="dxa"/>
            </w:tcMar>
            <w:vAlign w:val="center"/>
          </w:tcPr>
          <w:p w14:paraId="6E38E83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جودة الاستجابة، يرجى اختيار «موافق» لهذه العبارة.</w:t>
            </w:r>
          </w:p>
        </w:tc>
        <w:tc>
          <w:tcPr>
            <w:tcW w:w="567" w:type="dxa"/>
            <w:tcMar>
              <w:top w:w="60" w:type="dxa"/>
              <w:left w:w="80" w:type="dxa"/>
              <w:bottom w:w="60" w:type="dxa"/>
              <w:right w:w="80" w:type="dxa"/>
            </w:tcMar>
            <w:vAlign w:val="center"/>
          </w:tcPr>
          <w:p w14:paraId="18319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40F81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0814A53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B12A6D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5965B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618CBDD7" w14:textId="77777777" w:rsidTr="0085711F">
        <w:trPr>
          <w:jc w:val="center"/>
        </w:trPr>
        <w:tc>
          <w:tcPr>
            <w:tcW w:w="850" w:type="dxa"/>
            <w:tcMar>
              <w:top w:w="60" w:type="dxa"/>
              <w:left w:w="80" w:type="dxa"/>
              <w:bottom w:w="60" w:type="dxa"/>
              <w:right w:w="80" w:type="dxa"/>
            </w:tcMar>
            <w:vAlign w:val="center"/>
          </w:tcPr>
          <w:p w14:paraId="7F9CAE7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GAIU6</w:t>
            </w:r>
          </w:p>
        </w:tc>
        <w:tc>
          <w:tcPr>
            <w:tcW w:w="6520" w:type="dxa"/>
            <w:tcMar>
              <w:top w:w="60" w:type="dxa"/>
              <w:left w:w="80" w:type="dxa"/>
              <w:bottom w:w="60" w:type="dxa"/>
              <w:right w:w="80" w:type="dxa"/>
            </w:tcMar>
            <w:vAlign w:val="center"/>
          </w:tcPr>
          <w:p w14:paraId="38DE997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4EB37D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F09A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6797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CB1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C46CB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56E8A6" w14:textId="77777777" w:rsidTr="0085711F">
        <w:trPr>
          <w:jc w:val="center"/>
        </w:trPr>
        <w:tc>
          <w:tcPr>
            <w:tcW w:w="850" w:type="dxa"/>
            <w:tcMar>
              <w:top w:w="60" w:type="dxa"/>
              <w:left w:w="80" w:type="dxa"/>
              <w:bottom w:w="60" w:type="dxa"/>
              <w:right w:w="80" w:type="dxa"/>
            </w:tcMar>
            <w:vAlign w:val="center"/>
          </w:tcPr>
          <w:p w14:paraId="6F5BD4D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GAIU7</w:t>
            </w:r>
          </w:p>
        </w:tc>
        <w:tc>
          <w:tcPr>
            <w:tcW w:w="6520" w:type="dxa"/>
            <w:tcMar>
              <w:top w:w="60" w:type="dxa"/>
              <w:left w:w="80" w:type="dxa"/>
              <w:bottom w:w="60" w:type="dxa"/>
              <w:right w:w="80" w:type="dxa"/>
            </w:tcMar>
            <w:vAlign w:val="center"/>
          </w:tcPr>
          <w:p w14:paraId="31023AD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3D981D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9F587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1261F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F442C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729F5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23A460" w14:textId="77777777" w:rsidTr="0085711F">
        <w:trPr>
          <w:jc w:val="center"/>
        </w:trPr>
        <w:tc>
          <w:tcPr>
            <w:tcW w:w="850" w:type="dxa"/>
            <w:tcMar>
              <w:top w:w="60" w:type="dxa"/>
              <w:left w:w="80" w:type="dxa"/>
              <w:bottom w:w="60" w:type="dxa"/>
              <w:right w:w="80" w:type="dxa"/>
            </w:tcMar>
            <w:vAlign w:val="center"/>
          </w:tcPr>
          <w:p w14:paraId="16281C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GAIU8</w:t>
            </w:r>
          </w:p>
        </w:tc>
        <w:tc>
          <w:tcPr>
            <w:tcW w:w="6520" w:type="dxa"/>
            <w:tcMar>
              <w:top w:w="60" w:type="dxa"/>
              <w:left w:w="80" w:type="dxa"/>
              <w:bottom w:w="60" w:type="dxa"/>
              <w:right w:w="80" w:type="dxa"/>
            </w:tcMar>
            <w:vAlign w:val="center"/>
          </w:tcPr>
          <w:p w14:paraId="1BE0A96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14CFDA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EE7F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B112B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28798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A47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2A2B927" w14:textId="77777777" w:rsidTr="0085711F">
        <w:trPr>
          <w:jc w:val="center"/>
        </w:trPr>
        <w:tc>
          <w:tcPr>
            <w:tcW w:w="850" w:type="dxa"/>
            <w:tcMar>
              <w:top w:w="60" w:type="dxa"/>
              <w:left w:w="80" w:type="dxa"/>
              <w:bottom w:w="60" w:type="dxa"/>
              <w:right w:w="80" w:type="dxa"/>
            </w:tcMar>
            <w:vAlign w:val="center"/>
          </w:tcPr>
          <w:p w14:paraId="5465C71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GAIU9</w:t>
            </w:r>
          </w:p>
        </w:tc>
        <w:tc>
          <w:tcPr>
            <w:tcW w:w="6520" w:type="dxa"/>
            <w:tcMar>
              <w:top w:w="60" w:type="dxa"/>
              <w:left w:w="80" w:type="dxa"/>
              <w:bottom w:w="60" w:type="dxa"/>
              <w:right w:w="80" w:type="dxa"/>
            </w:tcMar>
            <w:vAlign w:val="center"/>
          </w:tcPr>
          <w:p w14:paraId="5F94DEB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6D3095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E62D3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61A5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251E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EE6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A8F6200" w14:textId="77777777" w:rsidTr="0085711F">
        <w:trPr>
          <w:jc w:val="center"/>
        </w:trPr>
        <w:tc>
          <w:tcPr>
            <w:tcW w:w="850" w:type="dxa"/>
            <w:tcMar>
              <w:top w:w="60" w:type="dxa"/>
              <w:left w:w="80" w:type="dxa"/>
              <w:bottom w:w="60" w:type="dxa"/>
              <w:right w:w="80" w:type="dxa"/>
            </w:tcMar>
            <w:vAlign w:val="center"/>
          </w:tcPr>
          <w:p w14:paraId="77A5D99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GAIU10</w:t>
            </w:r>
          </w:p>
        </w:tc>
        <w:tc>
          <w:tcPr>
            <w:tcW w:w="6520" w:type="dxa"/>
            <w:tcMar>
              <w:top w:w="60" w:type="dxa"/>
              <w:left w:w="80" w:type="dxa"/>
              <w:bottom w:w="60" w:type="dxa"/>
              <w:right w:w="80" w:type="dxa"/>
            </w:tcMar>
            <w:vAlign w:val="center"/>
          </w:tcPr>
          <w:p w14:paraId="3099808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0BE55D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11A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7882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0BFD1E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9E3931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19AF891F" w14:textId="77777777" w:rsidR="00F035EA" w:rsidRPr="00C22AB7" w:rsidRDefault="00F035EA" w:rsidP="00F035EA">
      <w:pPr>
        <w:bidi/>
        <w:spacing w:after="40" w:line="240" w:lineRule="auto"/>
        <w:jc w:val="right"/>
        <w:rPr>
          <w:rFonts w:ascii="Simplified Arabic" w:eastAsia="Arial" w:hAnsi="Simplified Arabic" w:cs="Simplified Arabic"/>
        </w:rPr>
      </w:pPr>
    </w:p>
    <w:p w14:paraId="7E2C2C0C"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جودة عملية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B6066BC" w14:textId="77777777" w:rsidTr="0085711F">
        <w:trPr>
          <w:jc w:val="center"/>
        </w:trPr>
        <w:tc>
          <w:tcPr>
            <w:tcW w:w="850" w:type="dxa"/>
            <w:shd w:val="clear" w:color="auto" w:fill="D9D9D9"/>
            <w:tcMar>
              <w:top w:w="60" w:type="dxa"/>
              <w:left w:w="80" w:type="dxa"/>
              <w:bottom w:w="60" w:type="dxa"/>
              <w:right w:w="80" w:type="dxa"/>
            </w:tcMar>
            <w:vAlign w:val="center"/>
          </w:tcPr>
          <w:p w14:paraId="7FA2B4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FF8707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8FF2E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10B99A3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3B5EEE3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43E504C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43F50F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4A844DA0" w14:textId="77777777" w:rsidTr="0085711F">
        <w:trPr>
          <w:jc w:val="center"/>
        </w:trPr>
        <w:tc>
          <w:tcPr>
            <w:tcW w:w="850" w:type="dxa"/>
            <w:tcMar>
              <w:top w:w="60" w:type="dxa"/>
              <w:left w:w="80" w:type="dxa"/>
              <w:bottom w:w="60" w:type="dxa"/>
              <w:right w:w="80" w:type="dxa"/>
            </w:tcMar>
            <w:vAlign w:val="center"/>
          </w:tcPr>
          <w:p w14:paraId="2C520DD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CDQ1</w:t>
            </w:r>
          </w:p>
        </w:tc>
        <w:tc>
          <w:tcPr>
            <w:tcW w:w="6520" w:type="dxa"/>
            <w:tcMar>
              <w:top w:w="60" w:type="dxa"/>
              <w:left w:w="80" w:type="dxa"/>
              <w:bottom w:w="60" w:type="dxa"/>
              <w:right w:w="80" w:type="dxa"/>
            </w:tcMar>
            <w:vAlign w:val="center"/>
          </w:tcPr>
          <w:p w14:paraId="62E9DF40" w14:textId="42B1001A"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تتم عملية تصميم الحملات في الوكالة ضمن زمن مناسب للانتقال من موجز العميل إلى التصورات الأولية.</w:t>
            </w:r>
          </w:p>
        </w:tc>
        <w:tc>
          <w:tcPr>
            <w:tcW w:w="567" w:type="dxa"/>
            <w:tcMar>
              <w:top w:w="60" w:type="dxa"/>
              <w:left w:w="80" w:type="dxa"/>
              <w:bottom w:w="60" w:type="dxa"/>
              <w:right w:w="80" w:type="dxa"/>
            </w:tcMar>
            <w:vAlign w:val="center"/>
          </w:tcPr>
          <w:p w14:paraId="412674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51A74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8A29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5E595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9642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14A6885" w14:textId="77777777" w:rsidTr="0085711F">
        <w:trPr>
          <w:jc w:val="center"/>
        </w:trPr>
        <w:tc>
          <w:tcPr>
            <w:tcW w:w="850" w:type="dxa"/>
            <w:tcMar>
              <w:top w:w="60" w:type="dxa"/>
              <w:left w:w="80" w:type="dxa"/>
              <w:bottom w:w="60" w:type="dxa"/>
              <w:right w:w="80" w:type="dxa"/>
            </w:tcMar>
            <w:vAlign w:val="center"/>
          </w:tcPr>
          <w:p w14:paraId="50A2DF9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CDQ2</w:t>
            </w:r>
          </w:p>
        </w:tc>
        <w:tc>
          <w:tcPr>
            <w:tcW w:w="6520" w:type="dxa"/>
            <w:tcMar>
              <w:top w:w="60" w:type="dxa"/>
              <w:left w:w="80" w:type="dxa"/>
              <w:bottom w:w="60" w:type="dxa"/>
              <w:right w:w="80" w:type="dxa"/>
            </w:tcMar>
            <w:vAlign w:val="center"/>
          </w:tcPr>
          <w:p w14:paraId="1369B134" w14:textId="2DF05FFB"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تُنجز المهام المتكررة في التصميم والمحتوى بكفاءة عالية.</w:t>
            </w:r>
          </w:p>
        </w:tc>
        <w:tc>
          <w:tcPr>
            <w:tcW w:w="567" w:type="dxa"/>
            <w:tcMar>
              <w:top w:w="60" w:type="dxa"/>
              <w:left w:w="80" w:type="dxa"/>
              <w:bottom w:w="60" w:type="dxa"/>
              <w:right w:w="80" w:type="dxa"/>
            </w:tcMar>
            <w:vAlign w:val="center"/>
          </w:tcPr>
          <w:p w14:paraId="58BFD49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4B36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A86803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F22D6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C3A2D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E0DE3B" w14:textId="77777777" w:rsidTr="0085711F">
        <w:trPr>
          <w:jc w:val="center"/>
        </w:trPr>
        <w:tc>
          <w:tcPr>
            <w:tcW w:w="850" w:type="dxa"/>
            <w:tcMar>
              <w:top w:w="60" w:type="dxa"/>
              <w:left w:w="80" w:type="dxa"/>
              <w:bottom w:w="60" w:type="dxa"/>
              <w:right w:w="80" w:type="dxa"/>
            </w:tcMar>
            <w:vAlign w:val="center"/>
          </w:tcPr>
          <w:p w14:paraId="5E98976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CDQ3</w:t>
            </w:r>
          </w:p>
        </w:tc>
        <w:tc>
          <w:tcPr>
            <w:tcW w:w="6520" w:type="dxa"/>
            <w:tcMar>
              <w:top w:w="60" w:type="dxa"/>
              <w:left w:w="80" w:type="dxa"/>
              <w:bottom w:w="60" w:type="dxa"/>
              <w:right w:w="80" w:type="dxa"/>
            </w:tcMar>
            <w:vAlign w:val="center"/>
          </w:tcPr>
          <w:p w14:paraId="1EF5F3A9" w14:textId="694F996D"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تتوافر لدى الفريق بدائل إبداعية متعددة قبل اعتماد فكرة الحملة.</w:t>
            </w:r>
          </w:p>
        </w:tc>
        <w:tc>
          <w:tcPr>
            <w:tcW w:w="567" w:type="dxa"/>
            <w:tcMar>
              <w:top w:w="60" w:type="dxa"/>
              <w:left w:w="80" w:type="dxa"/>
              <w:bottom w:w="60" w:type="dxa"/>
              <w:right w:w="80" w:type="dxa"/>
            </w:tcMar>
            <w:vAlign w:val="center"/>
          </w:tcPr>
          <w:p w14:paraId="5C9163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A9B0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D3B2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6623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7E6B2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211FBCF0" w14:textId="77777777" w:rsidTr="0085711F">
        <w:trPr>
          <w:jc w:val="center"/>
        </w:trPr>
        <w:tc>
          <w:tcPr>
            <w:tcW w:w="850" w:type="dxa"/>
            <w:tcMar>
              <w:top w:w="60" w:type="dxa"/>
              <w:left w:w="80" w:type="dxa"/>
              <w:bottom w:w="60" w:type="dxa"/>
              <w:right w:w="80" w:type="dxa"/>
            </w:tcMar>
            <w:vAlign w:val="center"/>
          </w:tcPr>
          <w:p w14:paraId="56BA3F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CDQ4</w:t>
            </w:r>
          </w:p>
        </w:tc>
        <w:tc>
          <w:tcPr>
            <w:tcW w:w="6520" w:type="dxa"/>
            <w:tcMar>
              <w:top w:w="60" w:type="dxa"/>
              <w:left w:w="80" w:type="dxa"/>
              <w:bottom w:w="60" w:type="dxa"/>
              <w:right w:w="80" w:type="dxa"/>
            </w:tcMar>
            <w:vAlign w:val="center"/>
          </w:tcPr>
          <w:p w14:paraId="4234F252" w14:textId="6405EE5D"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تُقارن البدائل الإبداعية في ضوء أهداف الحملة والجمهور المستهدف قبل الاختيار.</w:t>
            </w:r>
          </w:p>
        </w:tc>
        <w:tc>
          <w:tcPr>
            <w:tcW w:w="567" w:type="dxa"/>
            <w:tcMar>
              <w:top w:w="60" w:type="dxa"/>
              <w:left w:w="80" w:type="dxa"/>
              <w:bottom w:w="60" w:type="dxa"/>
              <w:right w:w="80" w:type="dxa"/>
            </w:tcMar>
            <w:vAlign w:val="center"/>
          </w:tcPr>
          <w:p w14:paraId="04411C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FC3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ED15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4EE0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16FE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DCFD1E3" w14:textId="77777777" w:rsidTr="0085711F">
        <w:trPr>
          <w:jc w:val="center"/>
        </w:trPr>
        <w:tc>
          <w:tcPr>
            <w:tcW w:w="850" w:type="dxa"/>
            <w:tcMar>
              <w:top w:w="60" w:type="dxa"/>
              <w:left w:w="80" w:type="dxa"/>
              <w:bottom w:w="60" w:type="dxa"/>
              <w:right w:w="80" w:type="dxa"/>
            </w:tcMar>
            <w:vAlign w:val="center"/>
          </w:tcPr>
          <w:p w14:paraId="599FF63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CDQ5</w:t>
            </w:r>
          </w:p>
        </w:tc>
        <w:tc>
          <w:tcPr>
            <w:tcW w:w="6520" w:type="dxa"/>
            <w:tcMar>
              <w:top w:w="60" w:type="dxa"/>
              <w:left w:w="80" w:type="dxa"/>
              <w:bottom w:w="60" w:type="dxa"/>
              <w:right w:w="80" w:type="dxa"/>
            </w:tcMar>
            <w:vAlign w:val="center"/>
          </w:tcPr>
          <w:p w14:paraId="68B56A34" w14:textId="2735BFFA"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تتسم الرسائل والمخرجات التصميمية بالاتساق مع هوية العلامة التجارية.</w:t>
            </w:r>
          </w:p>
        </w:tc>
        <w:tc>
          <w:tcPr>
            <w:tcW w:w="567" w:type="dxa"/>
            <w:tcMar>
              <w:top w:w="60" w:type="dxa"/>
              <w:left w:w="80" w:type="dxa"/>
              <w:bottom w:w="60" w:type="dxa"/>
              <w:right w:w="80" w:type="dxa"/>
            </w:tcMar>
            <w:vAlign w:val="center"/>
          </w:tcPr>
          <w:p w14:paraId="12B83F0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55FBB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A609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EBE96F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B1BDE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3E1881" w14:textId="77777777" w:rsidTr="0085711F">
        <w:trPr>
          <w:jc w:val="center"/>
        </w:trPr>
        <w:tc>
          <w:tcPr>
            <w:tcW w:w="850" w:type="dxa"/>
            <w:tcMar>
              <w:top w:w="60" w:type="dxa"/>
              <w:left w:w="80" w:type="dxa"/>
              <w:bottom w:w="60" w:type="dxa"/>
              <w:right w:w="80" w:type="dxa"/>
            </w:tcMar>
            <w:vAlign w:val="center"/>
          </w:tcPr>
          <w:p w14:paraId="08B3D26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CDQ6</w:t>
            </w:r>
          </w:p>
        </w:tc>
        <w:tc>
          <w:tcPr>
            <w:tcW w:w="6520" w:type="dxa"/>
            <w:tcMar>
              <w:top w:w="60" w:type="dxa"/>
              <w:left w:w="80" w:type="dxa"/>
              <w:bottom w:w="60" w:type="dxa"/>
              <w:right w:w="80" w:type="dxa"/>
            </w:tcMar>
            <w:vAlign w:val="center"/>
          </w:tcPr>
          <w:p w14:paraId="759C54B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096B0EB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20E7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599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13485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CA91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58811DA" w14:textId="77777777" w:rsidTr="0085711F">
        <w:trPr>
          <w:jc w:val="center"/>
        </w:trPr>
        <w:tc>
          <w:tcPr>
            <w:tcW w:w="850" w:type="dxa"/>
            <w:tcMar>
              <w:top w:w="60" w:type="dxa"/>
              <w:left w:w="80" w:type="dxa"/>
              <w:bottom w:w="60" w:type="dxa"/>
              <w:right w:w="80" w:type="dxa"/>
            </w:tcMar>
            <w:vAlign w:val="center"/>
          </w:tcPr>
          <w:p w14:paraId="453EB74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CDQ7</w:t>
            </w:r>
          </w:p>
        </w:tc>
        <w:tc>
          <w:tcPr>
            <w:tcW w:w="6520" w:type="dxa"/>
            <w:tcMar>
              <w:top w:w="60" w:type="dxa"/>
              <w:left w:w="80" w:type="dxa"/>
              <w:bottom w:w="60" w:type="dxa"/>
              <w:right w:w="80" w:type="dxa"/>
            </w:tcMar>
            <w:vAlign w:val="center"/>
          </w:tcPr>
          <w:p w14:paraId="1209CAEE" w14:textId="2CD60943"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يُخصص المحتوى بما يلائم خصائص الشرائح والمنصات المختلفة.</w:t>
            </w:r>
          </w:p>
        </w:tc>
        <w:tc>
          <w:tcPr>
            <w:tcW w:w="567" w:type="dxa"/>
            <w:tcMar>
              <w:top w:w="60" w:type="dxa"/>
              <w:left w:w="80" w:type="dxa"/>
              <w:bottom w:w="60" w:type="dxa"/>
              <w:right w:w="80" w:type="dxa"/>
            </w:tcMar>
            <w:vAlign w:val="center"/>
          </w:tcPr>
          <w:p w14:paraId="1CBABF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4E0CC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4C8B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8049D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F9EAE0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3E4ACAB" w14:textId="77777777" w:rsidTr="0085711F">
        <w:trPr>
          <w:jc w:val="center"/>
        </w:trPr>
        <w:tc>
          <w:tcPr>
            <w:tcW w:w="850" w:type="dxa"/>
            <w:tcMar>
              <w:top w:w="60" w:type="dxa"/>
              <w:left w:w="80" w:type="dxa"/>
              <w:bottom w:w="60" w:type="dxa"/>
              <w:right w:w="80" w:type="dxa"/>
            </w:tcMar>
            <w:vAlign w:val="center"/>
          </w:tcPr>
          <w:p w14:paraId="502185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CDQ8</w:t>
            </w:r>
          </w:p>
        </w:tc>
        <w:tc>
          <w:tcPr>
            <w:tcW w:w="6520" w:type="dxa"/>
            <w:tcMar>
              <w:top w:w="60" w:type="dxa"/>
              <w:left w:w="80" w:type="dxa"/>
              <w:bottom w:w="60" w:type="dxa"/>
              <w:right w:w="80" w:type="dxa"/>
            </w:tcMar>
            <w:vAlign w:val="center"/>
          </w:tcPr>
          <w:p w14:paraId="31122181" w14:textId="1D3F0272" w:rsidR="00F035EA" w:rsidRPr="00C22AB7" w:rsidRDefault="00D73443" w:rsidP="0085711F">
            <w:pPr>
              <w:bidi/>
              <w:spacing w:after="0" w:line="240" w:lineRule="auto"/>
              <w:rPr>
                <w:rFonts w:ascii="Simplified Arabic" w:eastAsia="Noto Naskh Arabic" w:hAnsi="Simplified Arabic" w:cs="Simplified Arabic"/>
              </w:rPr>
            </w:pPr>
            <w:r w:rsidRPr="00D73443">
              <w:rPr>
                <w:rFonts w:ascii="Simplified Arabic" w:eastAsia="Noto Naskh Arabic" w:hAnsi="Simplified Arabic" w:cs="Simplified Arabic"/>
                <w:rtl/>
              </w:rPr>
              <w:t>تمر عناصر الحملة بدورة مراجعة وتحسين فعالة قبل الاعتماد النهائي.</w:t>
            </w:r>
          </w:p>
        </w:tc>
        <w:tc>
          <w:tcPr>
            <w:tcW w:w="567" w:type="dxa"/>
            <w:tcMar>
              <w:top w:w="60" w:type="dxa"/>
              <w:left w:w="80" w:type="dxa"/>
              <w:bottom w:w="60" w:type="dxa"/>
              <w:right w:w="80" w:type="dxa"/>
            </w:tcMar>
            <w:vAlign w:val="center"/>
          </w:tcPr>
          <w:p w14:paraId="1F9C1B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DE45B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4263C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EFAAB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755FA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66C0EBC5" w14:textId="77777777" w:rsidR="00F035EA" w:rsidRPr="00C22AB7" w:rsidRDefault="00F035EA" w:rsidP="00F035EA">
      <w:pPr>
        <w:bidi/>
        <w:spacing w:after="40" w:line="240" w:lineRule="auto"/>
        <w:jc w:val="right"/>
        <w:rPr>
          <w:rFonts w:ascii="Simplified Arabic" w:eastAsia="Arial" w:hAnsi="Simplified Arabic" w:cs="Simplified Arabic"/>
        </w:rPr>
      </w:pPr>
    </w:p>
    <w:p w14:paraId="1221C1A1"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دوافع تبني تقنيات الذكاء الاصطناعي التوليدي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FADDD23" w14:textId="77777777" w:rsidTr="0085711F">
        <w:trPr>
          <w:jc w:val="center"/>
        </w:trPr>
        <w:tc>
          <w:tcPr>
            <w:tcW w:w="850" w:type="dxa"/>
            <w:shd w:val="clear" w:color="auto" w:fill="D9D9D9"/>
            <w:tcMar>
              <w:top w:w="60" w:type="dxa"/>
              <w:left w:w="80" w:type="dxa"/>
              <w:bottom w:w="60" w:type="dxa"/>
              <w:right w:w="80" w:type="dxa"/>
            </w:tcMar>
            <w:vAlign w:val="center"/>
          </w:tcPr>
          <w:p w14:paraId="340E07E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9519DD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B20AC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5F80C67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6A4AD8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5457670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3818EFA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325D2D98" w14:textId="77777777" w:rsidTr="0085711F">
        <w:trPr>
          <w:jc w:val="center"/>
        </w:trPr>
        <w:tc>
          <w:tcPr>
            <w:tcW w:w="850" w:type="dxa"/>
            <w:tcMar>
              <w:top w:w="60" w:type="dxa"/>
              <w:left w:w="80" w:type="dxa"/>
              <w:bottom w:w="60" w:type="dxa"/>
              <w:right w:w="80" w:type="dxa"/>
            </w:tcMar>
            <w:vAlign w:val="center"/>
          </w:tcPr>
          <w:p w14:paraId="3C096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ADP1</w:t>
            </w:r>
          </w:p>
        </w:tc>
        <w:tc>
          <w:tcPr>
            <w:tcW w:w="6520" w:type="dxa"/>
            <w:tcMar>
              <w:top w:w="60" w:type="dxa"/>
              <w:left w:w="80" w:type="dxa"/>
              <w:bottom w:w="60" w:type="dxa"/>
              <w:right w:w="80" w:type="dxa"/>
            </w:tcMar>
            <w:vAlign w:val="center"/>
          </w:tcPr>
          <w:p w14:paraId="4F970EC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711DF90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E73F2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36DE10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5EB60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7A781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ABE690" w14:textId="77777777" w:rsidTr="0085711F">
        <w:trPr>
          <w:jc w:val="center"/>
        </w:trPr>
        <w:tc>
          <w:tcPr>
            <w:tcW w:w="850" w:type="dxa"/>
            <w:tcMar>
              <w:top w:w="60" w:type="dxa"/>
              <w:left w:w="80" w:type="dxa"/>
              <w:bottom w:w="60" w:type="dxa"/>
              <w:right w:w="80" w:type="dxa"/>
            </w:tcMar>
            <w:vAlign w:val="center"/>
          </w:tcPr>
          <w:p w14:paraId="3BAAFF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ADP2</w:t>
            </w:r>
          </w:p>
        </w:tc>
        <w:tc>
          <w:tcPr>
            <w:tcW w:w="6520" w:type="dxa"/>
            <w:tcMar>
              <w:top w:w="60" w:type="dxa"/>
              <w:left w:w="80" w:type="dxa"/>
              <w:bottom w:w="60" w:type="dxa"/>
              <w:right w:w="80" w:type="dxa"/>
            </w:tcMar>
            <w:vAlign w:val="center"/>
          </w:tcPr>
          <w:p w14:paraId="2A059A9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3408427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BE983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5E044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D7B8B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3D62D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F47F59A" w14:textId="77777777" w:rsidTr="0085711F">
        <w:trPr>
          <w:jc w:val="center"/>
        </w:trPr>
        <w:tc>
          <w:tcPr>
            <w:tcW w:w="850" w:type="dxa"/>
            <w:tcMar>
              <w:top w:w="60" w:type="dxa"/>
              <w:left w:w="80" w:type="dxa"/>
              <w:bottom w:w="60" w:type="dxa"/>
              <w:right w:w="80" w:type="dxa"/>
            </w:tcMar>
            <w:vAlign w:val="center"/>
          </w:tcPr>
          <w:p w14:paraId="3FB8EE8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ADP3</w:t>
            </w:r>
          </w:p>
        </w:tc>
        <w:tc>
          <w:tcPr>
            <w:tcW w:w="6520" w:type="dxa"/>
            <w:tcMar>
              <w:top w:w="60" w:type="dxa"/>
              <w:left w:w="80" w:type="dxa"/>
              <w:bottom w:w="60" w:type="dxa"/>
              <w:right w:w="80" w:type="dxa"/>
            </w:tcMar>
            <w:vAlign w:val="center"/>
          </w:tcPr>
          <w:p w14:paraId="34A30D6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6E450A6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AC9B7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D4BE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9878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45BBF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154246" w14:textId="77777777" w:rsidTr="0085711F">
        <w:trPr>
          <w:jc w:val="center"/>
        </w:trPr>
        <w:tc>
          <w:tcPr>
            <w:tcW w:w="850" w:type="dxa"/>
            <w:tcMar>
              <w:top w:w="60" w:type="dxa"/>
              <w:left w:w="80" w:type="dxa"/>
              <w:bottom w:w="60" w:type="dxa"/>
              <w:right w:w="80" w:type="dxa"/>
            </w:tcMar>
            <w:vAlign w:val="center"/>
          </w:tcPr>
          <w:p w14:paraId="26A5E1C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ADP4</w:t>
            </w:r>
          </w:p>
        </w:tc>
        <w:tc>
          <w:tcPr>
            <w:tcW w:w="6520" w:type="dxa"/>
            <w:tcMar>
              <w:top w:w="60" w:type="dxa"/>
              <w:left w:w="80" w:type="dxa"/>
              <w:bottom w:w="60" w:type="dxa"/>
              <w:right w:w="80" w:type="dxa"/>
            </w:tcMar>
            <w:vAlign w:val="center"/>
          </w:tcPr>
          <w:p w14:paraId="44D23D3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508274B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7C46A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2CBD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72275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D0E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3D9EE24" w14:textId="77777777" w:rsidTr="0085711F">
        <w:trPr>
          <w:jc w:val="center"/>
        </w:trPr>
        <w:tc>
          <w:tcPr>
            <w:tcW w:w="850" w:type="dxa"/>
            <w:tcMar>
              <w:top w:w="60" w:type="dxa"/>
              <w:left w:w="80" w:type="dxa"/>
              <w:bottom w:w="60" w:type="dxa"/>
              <w:right w:w="80" w:type="dxa"/>
            </w:tcMar>
            <w:vAlign w:val="center"/>
          </w:tcPr>
          <w:p w14:paraId="099C580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ADP5</w:t>
            </w:r>
          </w:p>
        </w:tc>
        <w:tc>
          <w:tcPr>
            <w:tcW w:w="6520" w:type="dxa"/>
            <w:tcMar>
              <w:top w:w="60" w:type="dxa"/>
              <w:left w:w="80" w:type="dxa"/>
              <w:bottom w:w="60" w:type="dxa"/>
              <w:right w:w="80" w:type="dxa"/>
            </w:tcMar>
            <w:vAlign w:val="center"/>
          </w:tcPr>
          <w:p w14:paraId="4DE94A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09CC87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6BEC3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5122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9B637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4395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A754EF" w14:textId="77777777" w:rsidTr="0085711F">
        <w:trPr>
          <w:jc w:val="center"/>
        </w:trPr>
        <w:tc>
          <w:tcPr>
            <w:tcW w:w="850" w:type="dxa"/>
            <w:tcMar>
              <w:top w:w="60" w:type="dxa"/>
              <w:left w:w="80" w:type="dxa"/>
              <w:bottom w:w="60" w:type="dxa"/>
              <w:right w:w="80" w:type="dxa"/>
            </w:tcMar>
            <w:vAlign w:val="center"/>
          </w:tcPr>
          <w:p w14:paraId="0A91E2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ADP6</w:t>
            </w:r>
          </w:p>
        </w:tc>
        <w:tc>
          <w:tcPr>
            <w:tcW w:w="6520" w:type="dxa"/>
            <w:tcMar>
              <w:top w:w="60" w:type="dxa"/>
              <w:left w:w="80" w:type="dxa"/>
              <w:bottom w:w="60" w:type="dxa"/>
              <w:right w:w="80" w:type="dxa"/>
            </w:tcMar>
            <w:vAlign w:val="center"/>
          </w:tcPr>
          <w:p w14:paraId="19AFDE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0AED49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2BE1C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810E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4234A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FBC45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6DB829" w14:textId="77777777" w:rsidTr="0085711F">
        <w:trPr>
          <w:jc w:val="center"/>
        </w:trPr>
        <w:tc>
          <w:tcPr>
            <w:tcW w:w="850" w:type="dxa"/>
            <w:tcMar>
              <w:top w:w="60" w:type="dxa"/>
              <w:left w:w="80" w:type="dxa"/>
              <w:bottom w:w="60" w:type="dxa"/>
              <w:right w:w="80" w:type="dxa"/>
            </w:tcMar>
            <w:vAlign w:val="center"/>
          </w:tcPr>
          <w:p w14:paraId="37721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ADP7</w:t>
            </w:r>
          </w:p>
        </w:tc>
        <w:tc>
          <w:tcPr>
            <w:tcW w:w="6520" w:type="dxa"/>
            <w:tcMar>
              <w:top w:w="60" w:type="dxa"/>
              <w:left w:w="80" w:type="dxa"/>
              <w:bottom w:w="60" w:type="dxa"/>
              <w:right w:w="80" w:type="dxa"/>
            </w:tcMar>
            <w:vAlign w:val="center"/>
          </w:tcPr>
          <w:p w14:paraId="2E22533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75DF72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3656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AEE8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A41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4725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B07F149" w14:textId="77777777" w:rsidTr="0085711F">
        <w:trPr>
          <w:jc w:val="center"/>
        </w:trPr>
        <w:tc>
          <w:tcPr>
            <w:tcW w:w="850" w:type="dxa"/>
            <w:tcMar>
              <w:top w:w="60" w:type="dxa"/>
              <w:left w:w="80" w:type="dxa"/>
              <w:bottom w:w="60" w:type="dxa"/>
              <w:right w:w="80" w:type="dxa"/>
            </w:tcMar>
            <w:vAlign w:val="center"/>
          </w:tcPr>
          <w:p w14:paraId="563ECC8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ADP8</w:t>
            </w:r>
          </w:p>
        </w:tc>
        <w:tc>
          <w:tcPr>
            <w:tcW w:w="6520" w:type="dxa"/>
            <w:tcMar>
              <w:top w:w="60" w:type="dxa"/>
              <w:left w:w="80" w:type="dxa"/>
              <w:bottom w:w="60" w:type="dxa"/>
              <w:right w:w="80" w:type="dxa"/>
            </w:tcMar>
            <w:vAlign w:val="center"/>
          </w:tcPr>
          <w:p w14:paraId="4239CD8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3E8FB1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93B1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14D8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AF45C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4AB9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66B7FAF" w14:textId="77777777" w:rsidTr="0085711F">
        <w:trPr>
          <w:jc w:val="center"/>
        </w:trPr>
        <w:tc>
          <w:tcPr>
            <w:tcW w:w="850" w:type="dxa"/>
            <w:tcMar>
              <w:top w:w="60" w:type="dxa"/>
              <w:left w:w="80" w:type="dxa"/>
              <w:bottom w:w="60" w:type="dxa"/>
              <w:right w:w="80" w:type="dxa"/>
            </w:tcMar>
            <w:vAlign w:val="center"/>
          </w:tcPr>
          <w:p w14:paraId="2AC05C2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ADP9</w:t>
            </w:r>
          </w:p>
        </w:tc>
        <w:tc>
          <w:tcPr>
            <w:tcW w:w="6520" w:type="dxa"/>
            <w:tcMar>
              <w:top w:w="60" w:type="dxa"/>
              <w:left w:w="80" w:type="dxa"/>
              <w:bottom w:w="60" w:type="dxa"/>
              <w:right w:w="80" w:type="dxa"/>
            </w:tcMar>
            <w:vAlign w:val="center"/>
          </w:tcPr>
          <w:p w14:paraId="309C2D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729968F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D47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F83CC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50D66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3F1D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450E4912" w14:textId="77777777" w:rsidR="00F035EA" w:rsidRPr="00C22AB7" w:rsidRDefault="00F035EA" w:rsidP="00F035EA">
      <w:pPr>
        <w:bidi/>
        <w:spacing w:after="40" w:line="240" w:lineRule="auto"/>
        <w:jc w:val="right"/>
        <w:rPr>
          <w:rFonts w:ascii="Simplified Arabic" w:eastAsia="Arial" w:hAnsi="Simplified Arabic" w:cs="Simplified Arabic"/>
        </w:rPr>
      </w:pPr>
    </w:p>
    <w:p w14:paraId="501611FA"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FF0000"/>
          <w:rtl/>
        </w:rPr>
        <w:lastRenderedPageBreak/>
        <w:t>المحور: العوائق التقنية والبشرية والتنظيمية والأخلاقية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3F9BFBB8" w14:textId="77777777" w:rsidTr="0085711F">
        <w:trPr>
          <w:jc w:val="center"/>
        </w:trPr>
        <w:tc>
          <w:tcPr>
            <w:tcW w:w="850" w:type="dxa"/>
            <w:shd w:val="clear" w:color="auto" w:fill="D9D9D9"/>
            <w:tcMar>
              <w:top w:w="60" w:type="dxa"/>
              <w:left w:w="80" w:type="dxa"/>
              <w:bottom w:w="60" w:type="dxa"/>
              <w:right w:w="80" w:type="dxa"/>
            </w:tcMar>
            <w:vAlign w:val="center"/>
          </w:tcPr>
          <w:p w14:paraId="79BC86D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508F1E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D84DC3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0D0020B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8F3C8F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B70DC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53BAC8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542B8ED5" w14:textId="77777777" w:rsidTr="0085711F">
        <w:trPr>
          <w:jc w:val="center"/>
        </w:trPr>
        <w:tc>
          <w:tcPr>
            <w:tcW w:w="850" w:type="dxa"/>
            <w:tcMar>
              <w:top w:w="60" w:type="dxa"/>
              <w:left w:w="80" w:type="dxa"/>
              <w:bottom w:w="60" w:type="dxa"/>
              <w:right w:w="80" w:type="dxa"/>
            </w:tcMar>
            <w:vAlign w:val="center"/>
          </w:tcPr>
          <w:p w14:paraId="5E148CF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BAR1</w:t>
            </w:r>
          </w:p>
        </w:tc>
        <w:tc>
          <w:tcPr>
            <w:tcW w:w="6520" w:type="dxa"/>
            <w:tcMar>
              <w:top w:w="60" w:type="dxa"/>
              <w:left w:w="80" w:type="dxa"/>
              <w:bottom w:w="60" w:type="dxa"/>
              <w:right w:w="80" w:type="dxa"/>
            </w:tcMar>
            <w:vAlign w:val="center"/>
          </w:tcPr>
          <w:p w14:paraId="5571F39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0F9AE9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0496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5ED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6B60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45C4E1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AC21ADA" w14:textId="77777777" w:rsidTr="0085711F">
        <w:trPr>
          <w:jc w:val="center"/>
        </w:trPr>
        <w:tc>
          <w:tcPr>
            <w:tcW w:w="850" w:type="dxa"/>
            <w:tcMar>
              <w:top w:w="60" w:type="dxa"/>
              <w:left w:w="80" w:type="dxa"/>
              <w:bottom w:w="60" w:type="dxa"/>
              <w:right w:w="80" w:type="dxa"/>
            </w:tcMar>
            <w:vAlign w:val="center"/>
          </w:tcPr>
          <w:p w14:paraId="2613651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BAR2</w:t>
            </w:r>
          </w:p>
        </w:tc>
        <w:tc>
          <w:tcPr>
            <w:tcW w:w="6520" w:type="dxa"/>
            <w:tcMar>
              <w:top w:w="60" w:type="dxa"/>
              <w:left w:w="80" w:type="dxa"/>
              <w:bottom w:w="60" w:type="dxa"/>
              <w:right w:w="80" w:type="dxa"/>
            </w:tcMar>
            <w:vAlign w:val="center"/>
          </w:tcPr>
          <w:p w14:paraId="511AB3F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08761D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531E7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45C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0F07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9F851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B602BD6" w14:textId="77777777" w:rsidTr="0085711F">
        <w:trPr>
          <w:jc w:val="center"/>
        </w:trPr>
        <w:tc>
          <w:tcPr>
            <w:tcW w:w="850" w:type="dxa"/>
            <w:tcMar>
              <w:top w:w="60" w:type="dxa"/>
              <w:left w:w="80" w:type="dxa"/>
              <w:bottom w:w="60" w:type="dxa"/>
              <w:right w:w="80" w:type="dxa"/>
            </w:tcMar>
            <w:vAlign w:val="center"/>
          </w:tcPr>
          <w:p w14:paraId="438CDF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BAR3</w:t>
            </w:r>
          </w:p>
        </w:tc>
        <w:tc>
          <w:tcPr>
            <w:tcW w:w="6520" w:type="dxa"/>
            <w:tcMar>
              <w:top w:w="60" w:type="dxa"/>
              <w:left w:w="80" w:type="dxa"/>
              <w:bottom w:w="60" w:type="dxa"/>
              <w:right w:w="80" w:type="dxa"/>
            </w:tcMar>
            <w:vAlign w:val="center"/>
          </w:tcPr>
          <w:p w14:paraId="0E788DC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41E3C19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87985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EB7E6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CC5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C0448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EA972B" w14:textId="77777777" w:rsidTr="0085711F">
        <w:trPr>
          <w:jc w:val="center"/>
        </w:trPr>
        <w:tc>
          <w:tcPr>
            <w:tcW w:w="850" w:type="dxa"/>
            <w:tcMar>
              <w:top w:w="60" w:type="dxa"/>
              <w:left w:w="80" w:type="dxa"/>
              <w:bottom w:w="60" w:type="dxa"/>
              <w:right w:w="80" w:type="dxa"/>
            </w:tcMar>
            <w:vAlign w:val="center"/>
          </w:tcPr>
          <w:p w14:paraId="037E565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BAR4</w:t>
            </w:r>
          </w:p>
        </w:tc>
        <w:tc>
          <w:tcPr>
            <w:tcW w:w="6520" w:type="dxa"/>
            <w:tcMar>
              <w:top w:w="60" w:type="dxa"/>
              <w:left w:w="80" w:type="dxa"/>
              <w:bottom w:w="60" w:type="dxa"/>
              <w:right w:w="80" w:type="dxa"/>
            </w:tcMar>
            <w:vAlign w:val="center"/>
          </w:tcPr>
          <w:p w14:paraId="20C3C1F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10F40F1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F2FB2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B05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2183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3B175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FD0E39" w14:textId="77777777" w:rsidTr="0085711F">
        <w:trPr>
          <w:jc w:val="center"/>
        </w:trPr>
        <w:tc>
          <w:tcPr>
            <w:tcW w:w="850" w:type="dxa"/>
            <w:tcMar>
              <w:top w:w="60" w:type="dxa"/>
              <w:left w:w="80" w:type="dxa"/>
              <w:bottom w:w="60" w:type="dxa"/>
              <w:right w:w="80" w:type="dxa"/>
            </w:tcMar>
            <w:vAlign w:val="center"/>
          </w:tcPr>
          <w:p w14:paraId="37B644E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BAR5</w:t>
            </w:r>
          </w:p>
        </w:tc>
        <w:tc>
          <w:tcPr>
            <w:tcW w:w="6520" w:type="dxa"/>
            <w:tcMar>
              <w:top w:w="60" w:type="dxa"/>
              <w:left w:w="80" w:type="dxa"/>
              <w:bottom w:w="60" w:type="dxa"/>
              <w:right w:w="80" w:type="dxa"/>
            </w:tcMar>
            <w:vAlign w:val="center"/>
          </w:tcPr>
          <w:p w14:paraId="667D5A1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71F6AD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F57C8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A50F2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8420B8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C015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6ED22A9" w14:textId="77777777" w:rsidTr="0085711F">
        <w:trPr>
          <w:jc w:val="center"/>
        </w:trPr>
        <w:tc>
          <w:tcPr>
            <w:tcW w:w="850" w:type="dxa"/>
            <w:tcMar>
              <w:top w:w="60" w:type="dxa"/>
              <w:left w:w="80" w:type="dxa"/>
              <w:bottom w:w="60" w:type="dxa"/>
              <w:right w:w="80" w:type="dxa"/>
            </w:tcMar>
            <w:vAlign w:val="center"/>
          </w:tcPr>
          <w:p w14:paraId="46177AD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AC2</w:t>
            </w:r>
          </w:p>
        </w:tc>
        <w:tc>
          <w:tcPr>
            <w:tcW w:w="6520" w:type="dxa"/>
            <w:tcMar>
              <w:top w:w="60" w:type="dxa"/>
              <w:left w:w="80" w:type="dxa"/>
              <w:bottom w:w="60" w:type="dxa"/>
              <w:right w:w="80" w:type="dxa"/>
            </w:tcMar>
            <w:vAlign w:val="center"/>
          </w:tcPr>
          <w:p w14:paraId="0DD09E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الانتباه، يرجى اختيار «غير موافق» لهذه العبارة.</w:t>
            </w:r>
          </w:p>
        </w:tc>
        <w:tc>
          <w:tcPr>
            <w:tcW w:w="567" w:type="dxa"/>
            <w:tcMar>
              <w:top w:w="60" w:type="dxa"/>
              <w:left w:w="80" w:type="dxa"/>
              <w:bottom w:w="60" w:type="dxa"/>
              <w:right w:w="80" w:type="dxa"/>
            </w:tcMar>
            <w:vAlign w:val="center"/>
          </w:tcPr>
          <w:p w14:paraId="174AC85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2AF541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DD10C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77D844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EBEC08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75D918B3" w14:textId="77777777" w:rsidTr="0085711F">
        <w:trPr>
          <w:jc w:val="center"/>
        </w:trPr>
        <w:tc>
          <w:tcPr>
            <w:tcW w:w="850" w:type="dxa"/>
            <w:tcMar>
              <w:top w:w="60" w:type="dxa"/>
              <w:left w:w="80" w:type="dxa"/>
              <w:bottom w:w="60" w:type="dxa"/>
              <w:right w:w="80" w:type="dxa"/>
            </w:tcMar>
            <w:vAlign w:val="center"/>
          </w:tcPr>
          <w:p w14:paraId="42576D8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BAR6</w:t>
            </w:r>
          </w:p>
        </w:tc>
        <w:tc>
          <w:tcPr>
            <w:tcW w:w="6520" w:type="dxa"/>
            <w:tcMar>
              <w:top w:w="60" w:type="dxa"/>
              <w:left w:w="80" w:type="dxa"/>
              <w:bottom w:w="60" w:type="dxa"/>
              <w:right w:w="80" w:type="dxa"/>
            </w:tcMar>
            <w:vAlign w:val="center"/>
          </w:tcPr>
          <w:p w14:paraId="2F11E6D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5CD1267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EBE4A3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324B1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57892A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E88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DAB704" w14:textId="77777777" w:rsidTr="0085711F">
        <w:trPr>
          <w:jc w:val="center"/>
        </w:trPr>
        <w:tc>
          <w:tcPr>
            <w:tcW w:w="850" w:type="dxa"/>
            <w:tcMar>
              <w:top w:w="60" w:type="dxa"/>
              <w:left w:w="80" w:type="dxa"/>
              <w:bottom w:w="60" w:type="dxa"/>
              <w:right w:w="80" w:type="dxa"/>
            </w:tcMar>
            <w:vAlign w:val="center"/>
          </w:tcPr>
          <w:p w14:paraId="24958C9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BAR7</w:t>
            </w:r>
          </w:p>
        </w:tc>
        <w:tc>
          <w:tcPr>
            <w:tcW w:w="6520" w:type="dxa"/>
            <w:tcMar>
              <w:top w:w="60" w:type="dxa"/>
              <w:left w:w="80" w:type="dxa"/>
              <w:bottom w:w="60" w:type="dxa"/>
              <w:right w:w="80" w:type="dxa"/>
            </w:tcMar>
            <w:vAlign w:val="center"/>
          </w:tcPr>
          <w:p w14:paraId="183EE5D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4004BF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124194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0EB2B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F8BA4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1056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DF49DF1" w14:textId="77777777" w:rsidTr="0085711F">
        <w:trPr>
          <w:jc w:val="center"/>
        </w:trPr>
        <w:tc>
          <w:tcPr>
            <w:tcW w:w="850" w:type="dxa"/>
            <w:tcMar>
              <w:top w:w="60" w:type="dxa"/>
              <w:left w:w="80" w:type="dxa"/>
              <w:bottom w:w="60" w:type="dxa"/>
              <w:right w:w="80" w:type="dxa"/>
            </w:tcMar>
            <w:vAlign w:val="center"/>
          </w:tcPr>
          <w:p w14:paraId="2BABF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BAR8</w:t>
            </w:r>
          </w:p>
        </w:tc>
        <w:tc>
          <w:tcPr>
            <w:tcW w:w="6520" w:type="dxa"/>
            <w:tcMar>
              <w:top w:w="60" w:type="dxa"/>
              <w:left w:w="80" w:type="dxa"/>
              <w:bottom w:w="60" w:type="dxa"/>
              <w:right w:w="80" w:type="dxa"/>
            </w:tcMar>
            <w:vAlign w:val="center"/>
          </w:tcPr>
          <w:p w14:paraId="7E689ED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0EA275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8734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F9914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B46ED0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084D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99BC23C" w14:textId="77777777" w:rsidTr="0085711F">
        <w:trPr>
          <w:jc w:val="center"/>
        </w:trPr>
        <w:tc>
          <w:tcPr>
            <w:tcW w:w="850" w:type="dxa"/>
            <w:tcMar>
              <w:top w:w="60" w:type="dxa"/>
              <w:left w:w="80" w:type="dxa"/>
              <w:bottom w:w="60" w:type="dxa"/>
              <w:right w:w="80" w:type="dxa"/>
            </w:tcMar>
            <w:vAlign w:val="center"/>
          </w:tcPr>
          <w:p w14:paraId="5C5C1A1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BAR9</w:t>
            </w:r>
          </w:p>
        </w:tc>
        <w:tc>
          <w:tcPr>
            <w:tcW w:w="6520" w:type="dxa"/>
            <w:tcMar>
              <w:top w:w="60" w:type="dxa"/>
              <w:left w:w="80" w:type="dxa"/>
              <w:bottom w:w="60" w:type="dxa"/>
              <w:right w:w="80" w:type="dxa"/>
            </w:tcMar>
            <w:vAlign w:val="center"/>
          </w:tcPr>
          <w:p w14:paraId="5461C1A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454E8F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F2D3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B996B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7CD66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E1C6F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28509B2" w14:textId="77777777" w:rsidTr="0085711F">
        <w:trPr>
          <w:jc w:val="center"/>
        </w:trPr>
        <w:tc>
          <w:tcPr>
            <w:tcW w:w="850" w:type="dxa"/>
            <w:tcMar>
              <w:top w:w="60" w:type="dxa"/>
              <w:left w:w="80" w:type="dxa"/>
              <w:bottom w:w="60" w:type="dxa"/>
              <w:right w:w="80" w:type="dxa"/>
            </w:tcMar>
            <w:vAlign w:val="center"/>
          </w:tcPr>
          <w:p w14:paraId="077747F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BAR10</w:t>
            </w:r>
          </w:p>
        </w:tc>
        <w:tc>
          <w:tcPr>
            <w:tcW w:w="6520" w:type="dxa"/>
            <w:tcMar>
              <w:top w:w="60" w:type="dxa"/>
              <w:left w:w="80" w:type="dxa"/>
              <w:bottom w:w="60" w:type="dxa"/>
              <w:right w:w="80" w:type="dxa"/>
            </w:tcMar>
            <w:vAlign w:val="center"/>
          </w:tcPr>
          <w:p w14:paraId="0610DC9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4FEAA0F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2DC1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16A03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885F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1089D3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01DB29F6" w14:textId="77777777" w:rsidR="0006433B" w:rsidRDefault="0006433B" w:rsidP="00F035EA">
      <w:pPr>
        <w:keepNext/>
        <w:bidi/>
        <w:spacing w:after="100" w:line="240" w:lineRule="auto"/>
        <w:rPr>
          <w:rFonts w:ascii="Simplified Arabic" w:eastAsia="Noto Naskh Arabic" w:hAnsi="Simplified Arabic" w:cs="Simplified Arabic"/>
          <w:bCs/>
          <w:color w:val="000000"/>
          <w:rtl/>
        </w:rPr>
      </w:pPr>
    </w:p>
    <w:p w14:paraId="24D1D805" w14:textId="5F455502" w:rsidR="00F035EA" w:rsidRPr="00C22AB7" w:rsidRDefault="00F035EA" w:rsidP="0006433B">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فعالية الأداء التسويقي للحملات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63C45828" w14:textId="77777777" w:rsidTr="0085711F">
        <w:trPr>
          <w:jc w:val="center"/>
        </w:trPr>
        <w:tc>
          <w:tcPr>
            <w:tcW w:w="850" w:type="dxa"/>
            <w:shd w:val="clear" w:color="auto" w:fill="D9D9D9"/>
            <w:tcMar>
              <w:top w:w="60" w:type="dxa"/>
              <w:left w:w="80" w:type="dxa"/>
              <w:bottom w:w="60" w:type="dxa"/>
              <w:right w:w="80" w:type="dxa"/>
            </w:tcMar>
            <w:vAlign w:val="center"/>
          </w:tcPr>
          <w:p w14:paraId="2158EF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6BF9A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35E4EF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3408D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26E9C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787D7B8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00F8CC5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65864374" w14:textId="77777777" w:rsidTr="0085711F">
        <w:trPr>
          <w:jc w:val="center"/>
        </w:trPr>
        <w:tc>
          <w:tcPr>
            <w:tcW w:w="850" w:type="dxa"/>
            <w:tcMar>
              <w:top w:w="60" w:type="dxa"/>
              <w:left w:w="80" w:type="dxa"/>
              <w:bottom w:w="60" w:type="dxa"/>
              <w:right w:w="80" w:type="dxa"/>
            </w:tcMar>
            <w:vAlign w:val="center"/>
          </w:tcPr>
          <w:p w14:paraId="7E76F0F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MP1</w:t>
            </w:r>
          </w:p>
        </w:tc>
        <w:tc>
          <w:tcPr>
            <w:tcW w:w="6520" w:type="dxa"/>
            <w:tcMar>
              <w:top w:w="60" w:type="dxa"/>
              <w:left w:w="80" w:type="dxa"/>
              <w:bottom w:w="60" w:type="dxa"/>
              <w:right w:w="80" w:type="dxa"/>
            </w:tcMar>
            <w:vAlign w:val="center"/>
          </w:tcPr>
          <w:p w14:paraId="34071164" w14:textId="20B227E7"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المحتوى النهائي للحملات الرقمية في الوكالة ملائم لأهداف الحملة.</w:t>
            </w:r>
          </w:p>
        </w:tc>
        <w:tc>
          <w:tcPr>
            <w:tcW w:w="567" w:type="dxa"/>
            <w:tcMar>
              <w:top w:w="60" w:type="dxa"/>
              <w:left w:w="80" w:type="dxa"/>
              <w:bottom w:w="60" w:type="dxa"/>
              <w:right w:w="80" w:type="dxa"/>
            </w:tcMar>
            <w:vAlign w:val="center"/>
          </w:tcPr>
          <w:p w14:paraId="0E3305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816E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7489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D70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76116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B5BE5EE" w14:textId="77777777" w:rsidTr="0085711F">
        <w:trPr>
          <w:jc w:val="center"/>
        </w:trPr>
        <w:tc>
          <w:tcPr>
            <w:tcW w:w="850" w:type="dxa"/>
            <w:tcMar>
              <w:top w:w="60" w:type="dxa"/>
              <w:left w:w="80" w:type="dxa"/>
              <w:bottom w:w="60" w:type="dxa"/>
              <w:right w:w="80" w:type="dxa"/>
            </w:tcMar>
            <w:vAlign w:val="center"/>
          </w:tcPr>
          <w:p w14:paraId="6AD6AB6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MP2</w:t>
            </w:r>
          </w:p>
        </w:tc>
        <w:tc>
          <w:tcPr>
            <w:tcW w:w="6520" w:type="dxa"/>
            <w:tcMar>
              <w:top w:w="60" w:type="dxa"/>
              <w:left w:w="80" w:type="dxa"/>
              <w:bottom w:w="60" w:type="dxa"/>
              <w:right w:w="80" w:type="dxa"/>
            </w:tcMar>
            <w:vAlign w:val="center"/>
          </w:tcPr>
          <w:p w14:paraId="487A8EB2" w14:textId="0B7E85DD"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تتصف الرسائل الإعلانية للحملات الرقمية بالوضوح والجاذبية والاتساق.</w:t>
            </w:r>
          </w:p>
        </w:tc>
        <w:tc>
          <w:tcPr>
            <w:tcW w:w="567" w:type="dxa"/>
            <w:tcMar>
              <w:top w:w="60" w:type="dxa"/>
              <w:left w:w="80" w:type="dxa"/>
              <w:bottom w:w="60" w:type="dxa"/>
              <w:right w:w="80" w:type="dxa"/>
            </w:tcMar>
            <w:vAlign w:val="center"/>
          </w:tcPr>
          <w:p w14:paraId="20C11B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B41549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578C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58E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07051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9CB8725" w14:textId="77777777" w:rsidTr="0085711F">
        <w:trPr>
          <w:jc w:val="center"/>
        </w:trPr>
        <w:tc>
          <w:tcPr>
            <w:tcW w:w="850" w:type="dxa"/>
            <w:tcMar>
              <w:top w:w="60" w:type="dxa"/>
              <w:left w:w="80" w:type="dxa"/>
              <w:bottom w:w="60" w:type="dxa"/>
              <w:right w:w="80" w:type="dxa"/>
            </w:tcMar>
            <w:vAlign w:val="center"/>
          </w:tcPr>
          <w:p w14:paraId="2F909E6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MP3</w:t>
            </w:r>
          </w:p>
        </w:tc>
        <w:tc>
          <w:tcPr>
            <w:tcW w:w="6520" w:type="dxa"/>
            <w:tcMar>
              <w:top w:w="60" w:type="dxa"/>
              <w:left w:w="80" w:type="dxa"/>
              <w:bottom w:w="60" w:type="dxa"/>
              <w:right w:w="80" w:type="dxa"/>
            </w:tcMar>
            <w:vAlign w:val="center"/>
          </w:tcPr>
          <w:p w14:paraId="5A188438" w14:textId="72655411"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تتناسب الرسالة التسويقية مع الجمهور المستهدف عند تنفيذ الحملات.</w:t>
            </w:r>
          </w:p>
        </w:tc>
        <w:tc>
          <w:tcPr>
            <w:tcW w:w="567" w:type="dxa"/>
            <w:tcMar>
              <w:top w:w="60" w:type="dxa"/>
              <w:left w:w="80" w:type="dxa"/>
              <w:bottom w:w="60" w:type="dxa"/>
              <w:right w:w="80" w:type="dxa"/>
            </w:tcMar>
            <w:vAlign w:val="center"/>
          </w:tcPr>
          <w:p w14:paraId="79952CC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E4100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48DEA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925FF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797D5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6C813E00" w14:textId="77777777" w:rsidTr="0085711F">
        <w:trPr>
          <w:jc w:val="center"/>
        </w:trPr>
        <w:tc>
          <w:tcPr>
            <w:tcW w:w="850" w:type="dxa"/>
            <w:tcMar>
              <w:top w:w="60" w:type="dxa"/>
              <w:left w:w="80" w:type="dxa"/>
              <w:bottom w:w="60" w:type="dxa"/>
              <w:right w:w="80" w:type="dxa"/>
            </w:tcMar>
            <w:vAlign w:val="center"/>
          </w:tcPr>
          <w:p w14:paraId="300C6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MP4</w:t>
            </w:r>
          </w:p>
        </w:tc>
        <w:tc>
          <w:tcPr>
            <w:tcW w:w="6520" w:type="dxa"/>
            <w:tcMar>
              <w:top w:w="60" w:type="dxa"/>
              <w:left w:w="80" w:type="dxa"/>
              <w:bottom w:w="60" w:type="dxa"/>
              <w:right w:w="80" w:type="dxa"/>
            </w:tcMar>
            <w:vAlign w:val="center"/>
          </w:tcPr>
          <w:p w14:paraId="6662012A" w14:textId="03F1AD56"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تحقق الحملات الرقمية للوكالة معدلات تفاعل مرتفعة مقارنة بالحملات المشابهة في السوق.</w:t>
            </w:r>
          </w:p>
        </w:tc>
        <w:tc>
          <w:tcPr>
            <w:tcW w:w="567" w:type="dxa"/>
            <w:tcMar>
              <w:top w:w="60" w:type="dxa"/>
              <w:left w:w="80" w:type="dxa"/>
              <w:bottom w:w="60" w:type="dxa"/>
              <w:right w:w="80" w:type="dxa"/>
            </w:tcMar>
            <w:vAlign w:val="center"/>
          </w:tcPr>
          <w:p w14:paraId="58D39D7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94BFB8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FE219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5BA81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4CA5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3C8446E6" w14:textId="77777777" w:rsidTr="0085711F">
        <w:trPr>
          <w:jc w:val="center"/>
        </w:trPr>
        <w:tc>
          <w:tcPr>
            <w:tcW w:w="850" w:type="dxa"/>
            <w:tcMar>
              <w:top w:w="60" w:type="dxa"/>
              <w:left w:w="80" w:type="dxa"/>
              <w:bottom w:w="60" w:type="dxa"/>
              <w:right w:w="80" w:type="dxa"/>
            </w:tcMar>
            <w:vAlign w:val="center"/>
          </w:tcPr>
          <w:p w14:paraId="35347D5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MP5</w:t>
            </w:r>
          </w:p>
        </w:tc>
        <w:tc>
          <w:tcPr>
            <w:tcW w:w="6520" w:type="dxa"/>
            <w:tcMar>
              <w:top w:w="60" w:type="dxa"/>
              <w:left w:w="80" w:type="dxa"/>
              <w:bottom w:w="60" w:type="dxa"/>
              <w:right w:w="80" w:type="dxa"/>
            </w:tcMar>
            <w:vAlign w:val="center"/>
          </w:tcPr>
          <w:p w14:paraId="39BA19E6" w14:textId="3ED7310E"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تسهم الحملات الرقمية في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338060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F01EC9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DDD5C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60638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D814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9362A0E" w14:textId="77777777" w:rsidTr="0085711F">
        <w:trPr>
          <w:jc w:val="center"/>
        </w:trPr>
        <w:tc>
          <w:tcPr>
            <w:tcW w:w="850" w:type="dxa"/>
            <w:tcMar>
              <w:top w:w="60" w:type="dxa"/>
              <w:left w:w="80" w:type="dxa"/>
              <w:bottom w:w="60" w:type="dxa"/>
              <w:right w:w="80" w:type="dxa"/>
            </w:tcMar>
            <w:vAlign w:val="center"/>
          </w:tcPr>
          <w:p w14:paraId="39A0CBE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MP6</w:t>
            </w:r>
          </w:p>
        </w:tc>
        <w:tc>
          <w:tcPr>
            <w:tcW w:w="6520" w:type="dxa"/>
            <w:tcMar>
              <w:top w:w="60" w:type="dxa"/>
              <w:left w:w="80" w:type="dxa"/>
              <w:bottom w:w="60" w:type="dxa"/>
              <w:right w:w="80" w:type="dxa"/>
            </w:tcMar>
            <w:vAlign w:val="center"/>
          </w:tcPr>
          <w:p w14:paraId="68BB61C3" w14:textId="591203F2"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يتسم الإنفاق الإعلاني في الحملات الرقمية بالكفاءة من خلال تقليل الهدر وتحسين توجيه الرسائل.</w:t>
            </w:r>
          </w:p>
        </w:tc>
        <w:tc>
          <w:tcPr>
            <w:tcW w:w="567" w:type="dxa"/>
            <w:tcMar>
              <w:top w:w="60" w:type="dxa"/>
              <w:left w:w="80" w:type="dxa"/>
              <w:bottom w:w="60" w:type="dxa"/>
              <w:right w:w="80" w:type="dxa"/>
            </w:tcMar>
            <w:vAlign w:val="center"/>
          </w:tcPr>
          <w:p w14:paraId="77A277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EDF32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9EB1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A19D6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508C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7D93E2E9" w14:textId="77777777" w:rsidTr="0085711F">
        <w:trPr>
          <w:jc w:val="center"/>
        </w:trPr>
        <w:tc>
          <w:tcPr>
            <w:tcW w:w="850" w:type="dxa"/>
            <w:tcMar>
              <w:top w:w="60" w:type="dxa"/>
              <w:left w:w="80" w:type="dxa"/>
              <w:bottom w:w="60" w:type="dxa"/>
              <w:right w:w="80" w:type="dxa"/>
            </w:tcMar>
            <w:vAlign w:val="center"/>
          </w:tcPr>
          <w:p w14:paraId="7DF81A8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MP7</w:t>
            </w:r>
          </w:p>
        </w:tc>
        <w:tc>
          <w:tcPr>
            <w:tcW w:w="6520" w:type="dxa"/>
            <w:tcMar>
              <w:top w:w="60" w:type="dxa"/>
              <w:left w:w="80" w:type="dxa"/>
              <w:bottom w:w="60" w:type="dxa"/>
              <w:right w:w="80" w:type="dxa"/>
            </w:tcMar>
            <w:vAlign w:val="center"/>
          </w:tcPr>
          <w:p w14:paraId="321F674B" w14:textId="55305992"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تحقق الحملات الرقمية مؤشرات الأداء المحددة مسبقًا.</w:t>
            </w:r>
          </w:p>
        </w:tc>
        <w:tc>
          <w:tcPr>
            <w:tcW w:w="567" w:type="dxa"/>
            <w:tcMar>
              <w:top w:w="60" w:type="dxa"/>
              <w:left w:w="80" w:type="dxa"/>
              <w:bottom w:w="60" w:type="dxa"/>
              <w:right w:w="80" w:type="dxa"/>
            </w:tcMar>
            <w:vAlign w:val="center"/>
          </w:tcPr>
          <w:p w14:paraId="79CA7A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C824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3ABD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7D01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A98D0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57FB8A5D" w14:textId="77777777" w:rsidTr="0085711F">
        <w:trPr>
          <w:jc w:val="center"/>
        </w:trPr>
        <w:tc>
          <w:tcPr>
            <w:tcW w:w="850" w:type="dxa"/>
            <w:tcMar>
              <w:top w:w="60" w:type="dxa"/>
              <w:left w:w="80" w:type="dxa"/>
              <w:bottom w:w="60" w:type="dxa"/>
              <w:right w:w="80" w:type="dxa"/>
            </w:tcMar>
            <w:vAlign w:val="center"/>
          </w:tcPr>
          <w:p w14:paraId="2D750CA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MP8</w:t>
            </w:r>
          </w:p>
        </w:tc>
        <w:tc>
          <w:tcPr>
            <w:tcW w:w="6520" w:type="dxa"/>
            <w:tcMar>
              <w:top w:w="60" w:type="dxa"/>
              <w:left w:w="80" w:type="dxa"/>
              <w:bottom w:w="60" w:type="dxa"/>
              <w:right w:w="80" w:type="dxa"/>
            </w:tcMar>
            <w:vAlign w:val="center"/>
          </w:tcPr>
          <w:p w14:paraId="7E72BD20" w14:textId="7A2BA5F8"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يرتفع رضا العملاء عن سرعة وجودة مخرجات الحملات الرقمية.</w:t>
            </w:r>
          </w:p>
        </w:tc>
        <w:tc>
          <w:tcPr>
            <w:tcW w:w="567" w:type="dxa"/>
            <w:tcMar>
              <w:top w:w="60" w:type="dxa"/>
              <w:left w:w="80" w:type="dxa"/>
              <w:bottom w:w="60" w:type="dxa"/>
              <w:right w:w="80" w:type="dxa"/>
            </w:tcMar>
            <w:vAlign w:val="center"/>
          </w:tcPr>
          <w:p w14:paraId="12CE74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561DAD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14616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EAD38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C2246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E367D3A" w14:textId="77777777" w:rsidTr="0085711F">
        <w:trPr>
          <w:jc w:val="center"/>
        </w:trPr>
        <w:tc>
          <w:tcPr>
            <w:tcW w:w="850" w:type="dxa"/>
            <w:tcMar>
              <w:top w:w="60" w:type="dxa"/>
              <w:left w:w="80" w:type="dxa"/>
              <w:bottom w:w="60" w:type="dxa"/>
              <w:right w:w="80" w:type="dxa"/>
            </w:tcMar>
            <w:vAlign w:val="center"/>
          </w:tcPr>
          <w:p w14:paraId="67F7F0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MP9</w:t>
            </w:r>
          </w:p>
        </w:tc>
        <w:tc>
          <w:tcPr>
            <w:tcW w:w="6520" w:type="dxa"/>
            <w:tcMar>
              <w:top w:w="60" w:type="dxa"/>
              <w:left w:w="80" w:type="dxa"/>
              <w:bottom w:w="60" w:type="dxa"/>
              <w:right w:w="80" w:type="dxa"/>
            </w:tcMar>
            <w:vAlign w:val="center"/>
          </w:tcPr>
          <w:p w14:paraId="2DDD81E0" w14:textId="58243809" w:rsidR="00F035EA" w:rsidRPr="00C22AB7" w:rsidRDefault="0006433B" w:rsidP="0085711F">
            <w:pPr>
              <w:bidi/>
              <w:spacing w:after="0" w:line="240" w:lineRule="auto"/>
              <w:rPr>
                <w:rFonts w:ascii="Simplified Arabic" w:eastAsia="Arial" w:hAnsi="Simplified Arabic" w:cs="Simplified Arabic"/>
              </w:rPr>
            </w:pPr>
            <w:r w:rsidRPr="0006433B">
              <w:rPr>
                <w:rFonts w:ascii="Simplified Arabic" w:eastAsia="Noto Naskh Arabic" w:hAnsi="Simplified Arabic" w:cs="Simplified Arabic"/>
                <w:rtl/>
              </w:rPr>
              <w:t>بصورة عامة، تتسم الحملات الرقمية للوكالة بفعالية تسويقية عالية.</w:t>
            </w:r>
          </w:p>
        </w:tc>
        <w:tc>
          <w:tcPr>
            <w:tcW w:w="567" w:type="dxa"/>
            <w:tcMar>
              <w:top w:w="60" w:type="dxa"/>
              <w:left w:w="80" w:type="dxa"/>
              <w:bottom w:w="60" w:type="dxa"/>
              <w:right w:w="80" w:type="dxa"/>
            </w:tcMar>
            <w:vAlign w:val="center"/>
          </w:tcPr>
          <w:p w14:paraId="25CC37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8B73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E318C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AA0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32D58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bl>
    <w:p w14:paraId="5B6EE419" w14:textId="77777777" w:rsidR="00F035EA" w:rsidRPr="00C22AB7" w:rsidRDefault="00F035EA" w:rsidP="00F035EA">
      <w:pPr>
        <w:bidi/>
        <w:spacing w:after="40" w:line="240" w:lineRule="auto"/>
        <w:jc w:val="right"/>
        <w:rPr>
          <w:rFonts w:ascii="Simplified Arabic" w:eastAsia="Arial" w:hAnsi="Simplified Arabic" w:cs="Simplified Arabic"/>
        </w:rPr>
      </w:pPr>
    </w:p>
    <w:p w14:paraId="48317E9B"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سؤال مفتوح اختياري</w:t>
      </w:r>
    </w:p>
    <w:p w14:paraId="2DD2CCE3"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0B0AEC5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3D1AAC1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4347BA74"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rtl/>
        </w:rPr>
        <w:t>................................................................................................................................................................</w:t>
      </w:r>
    </w:p>
    <w:p w14:paraId="31C8C969" w14:textId="77777777" w:rsidR="00F035EA" w:rsidRDefault="00F035EA" w:rsidP="00F035EA">
      <w:pPr>
        <w:keepNext/>
        <w:bidi/>
        <w:spacing w:after="120" w:line="256" w:lineRule="auto"/>
        <w:rPr>
          <w:rFonts w:ascii="Simplified Arabic" w:eastAsia="Noto Naskh Arabic" w:hAnsi="Simplified Arabic" w:cs="Simplified Arabic"/>
          <w:b/>
          <w:color w:val="006699"/>
          <w:rtl/>
        </w:rPr>
      </w:pPr>
    </w:p>
    <w:p w14:paraId="480325D5" w14:textId="77777777" w:rsidR="000E0A79" w:rsidRPr="00C22AB7" w:rsidRDefault="000E0A79" w:rsidP="000E0A79">
      <w:pPr>
        <w:keepNext/>
        <w:bidi/>
        <w:spacing w:after="120" w:line="256" w:lineRule="auto"/>
        <w:rPr>
          <w:rFonts w:ascii="Simplified Arabic" w:eastAsia="Noto Naskh Arabic" w:hAnsi="Simplified Arabic" w:cs="Simplified Arabic"/>
          <w:b/>
          <w:color w:val="006699"/>
        </w:rPr>
      </w:pPr>
    </w:p>
    <w:p w14:paraId="7EE38FBE" w14:textId="77777777" w:rsidR="00F035EA" w:rsidRPr="00C22AB7" w:rsidRDefault="00F035EA" w:rsidP="00F035EA">
      <w:pPr>
        <w:keepNext/>
        <w:bidi/>
        <w:spacing w:after="120" w:line="256" w:lineRule="auto"/>
        <w:rPr>
          <w:rFonts w:ascii="Simplified Arabic" w:eastAsia="Calibri" w:hAnsi="Simplified Arabic" w:cs="Simplified Arabic"/>
          <w:bCs/>
          <w:rtl/>
        </w:rPr>
      </w:pPr>
      <w:r w:rsidRPr="00C22AB7">
        <w:rPr>
          <w:rFonts w:ascii="Simplified Arabic" w:eastAsia="Noto Naskh Arabic" w:hAnsi="Simplified Arabic" w:cs="Simplified Arabic"/>
          <w:bCs/>
          <w:color w:val="006699"/>
          <w:rtl/>
        </w:rPr>
        <w:t>البيانات الشخصية والوظيفية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3"/>
        <w:gridCol w:w="2445"/>
        <w:gridCol w:w="5172"/>
      </w:tblGrid>
      <w:tr w:rsidR="00F035EA" w:rsidRPr="00C22AB7" w14:paraId="66C5E9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B0E5A9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0B73D22"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40B1242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الخيارات</w:t>
            </w:r>
          </w:p>
        </w:tc>
      </w:tr>
      <w:tr w:rsidR="00F035EA" w:rsidRPr="00C22AB7" w14:paraId="3428518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1899619"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500DC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82D7D2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ذكر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أنثى</w:t>
            </w:r>
          </w:p>
        </w:tc>
      </w:tr>
      <w:tr w:rsidR="00F035EA" w:rsidRPr="00C22AB7" w14:paraId="4CFD727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CBD57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BC9565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029AE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3AE64AE2"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1C7A26"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86CB8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33A33E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دبلوم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فأقل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بكالوريوس</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ماجستير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دكتوراه</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773017FA"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D3A6C1"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5B10E1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77136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تخطيط</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واستراتيجية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إبداع</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كتابة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إعلانية</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محتوى</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بيانات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وأداء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حسابات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وعملاء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حملات</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شراء</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إعلامي</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عليا</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إشرافية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7C5AF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14CF8E"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6B261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A23B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638540B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5D86C6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lastRenderedPageBreak/>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AC4381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4A971F3"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صغيرة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موظفًا</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متوسطة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كبيرة</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5AF65C6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1039E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B89CD6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098A4C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الرياض</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الدمام</w:t>
            </w:r>
          </w:p>
        </w:tc>
      </w:tr>
      <w:tr w:rsidR="00F035EA" w:rsidRPr="00C22AB7" w14:paraId="7F4982A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42D94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795F259"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العملاء الذين تخدمهم الوكالة غالبًا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E7F28B5"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جهات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شبه</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شركات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كبرى</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منشآت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صغيرة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ومتوسطة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علامات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تجارية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ناشئة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قطاعات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متعددة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أخرى</w:t>
            </w:r>
            <w:r w:rsidRPr="00C22AB7">
              <w:rPr>
                <w:rFonts w:ascii="Simplified Arabic" w:eastAsia="Noto Naskh Arabic" w:hAnsi="Simplified Arabic" w:cs="Simplified Arabic"/>
                <w:color w:val="FF0000"/>
                <w:rtl/>
              </w:rPr>
              <w:t>: .................</w:t>
            </w:r>
          </w:p>
        </w:tc>
      </w:tr>
      <w:tr w:rsidR="00F035EA" w:rsidRPr="00C22AB7" w14:paraId="3A470AF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225B41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B7A4FB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E4FE66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فردي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محدود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تجريبي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داخل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الفرق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منتظم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المشاريع</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مؤسسي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مدمج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سير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العمل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4B8A163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27C376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266B24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D12BC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نماذج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لغوية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مثل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rPr>
              <w:t>ChatGPT/Gemini</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صور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وتصاميم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فيديو</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صوت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تلخيص</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وتقارير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أتمتة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وتسويق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D1163AF"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82218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A4E109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DE45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توجد</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واحدة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2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5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6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أكثر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p>
        </w:tc>
      </w:tr>
      <w:tr w:rsidR="00F035EA" w:rsidRPr="00C22AB7" w14:paraId="6ECEB46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2A0638"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A3D5D6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F35D23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مكتوبة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وواضحة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لكنها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مكتملة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توجد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7BCCC1C6"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EB3873"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CE1384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علاقتك بأدوات الذكاء الاصطناعي التوليدي في الحملات التسويقية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738742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أستخدم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مباشرة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عملي</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أراجع</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أحرر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أشارك</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قرار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استخدام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اختيارها</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أشرف</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على</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أعتمدها</w:t>
            </w:r>
          </w:p>
        </w:tc>
      </w:tr>
      <w:tr w:rsidR="00F035EA" w:rsidRPr="00C22AB7" w14:paraId="10498E9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932BF50"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AE25FF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قناة الوصول إلى الاستبانة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98862F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عن</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طريق</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الوكالة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المدير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المباشر</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جمعية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مجموعة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مهنية</w:t>
            </w:r>
            <w:r>
              <w:rPr>
                <w:rFonts w:ascii="Simplified Arabic" w:eastAsia="Noto Naskh Arabic" w:hAnsi="Simplified Arabic" w:cs="Simplified Arabic" w:hint="cs"/>
                <w:color w:val="FF0000"/>
                <w:rtl/>
              </w:rPr>
              <w:t xml:space="preserve">  </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LinkedIn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شبكة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شخصية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إحالة</w:t>
            </w:r>
          </w:p>
        </w:tc>
      </w:tr>
    </w:tbl>
    <w:p w14:paraId="2B2934F1" w14:textId="295F07BD" w:rsidR="00F035EA" w:rsidRPr="008E51DC" w:rsidRDefault="00F035EA" w:rsidP="008E51DC">
      <w:pPr>
        <w:bidi/>
        <w:spacing w:after="0" w:line="240" w:lineRule="auto"/>
        <w:jc w:val="center"/>
        <w:rPr>
          <w:rFonts w:ascii="Simplified Arabic" w:eastAsia="Arial" w:hAnsi="Simplified Arabic" w:cs="Simplified Arabic"/>
        </w:rPr>
      </w:pPr>
      <w:r w:rsidRPr="00C22AB7">
        <w:rPr>
          <w:rFonts w:ascii="Simplified Arabic" w:eastAsia="Arial" w:hAnsi="Simplified Arabic" w:cs="Simplified Arabic"/>
        </w:rPr>
        <w:br w:type="page"/>
      </w:r>
      <w:r w:rsidRPr="00C22AB7">
        <w:rPr>
          <w:rFonts w:ascii="Sakkal Majalla" w:eastAsia="Noto Naskh Arabic" w:hAnsi="Sakkal Majalla" w:cs="Sakkal Majalla"/>
          <w:bCs/>
          <w:color w:val="FF0000"/>
          <w:sz w:val="36"/>
          <w:szCs w:val="28"/>
          <w:u w:val="single"/>
          <w:rtl/>
        </w:rPr>
        <w:lastRenderedPageBreak/>
        <w:t>ملحق (ب): ربط فقرات أداة الدراسة بمصادرها وطبيعة التعديل</w:t>
      </w:r>
    </w:p>
    <w:p w14:paraId="66E0CFB3" w14:textId="77777777" w:rsidR="00F035EA" w:rsidRPr="00C22AB7" w:rsidRDefault="00F035EA" w:rsidP="00F035EA">
      <w:pPr>
        <w:bidi/>
        <w:spacing w:after="60" w:line="240" w:lineRule="auto"/>
        <w:rPr>
          <w:rFonts w:ascii="Arial" w:eastAsia="Arial" w:hAnsi="Arial" w:cs="Arial"/>
        </w:rPr>
      </w:pPr>
      <w:r w:rsidRPr="00C22AB7">
        <w:rPr>
          <w:rFonts w:ascii="Sakkal Majalla" w:eastAsia="Noto Naskh Arabic" w:hAnsi="Sakkal Majalla" w:cs="Sakkal Majalla"/>
          <w:color w:val="FF0000"/>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7"/>
        <w:gridCol w:w="2589"/>
        <w:gridCol w:w="2413"/>
        <w:gridCol w:w="2501"/>
      </w:tblGrid>
      <w:tr w:rsidR="00F035EA" w:rsidRPr="00C22AB7" w14:paraId="204BBB2E" w14:textId="77777777" w:rsidTr="0085711F">
        <w:trPr>
          <w:trHeight w:val="503"/>
          <w:jc w:val="center"/>
        </w:trPr>
        <w:tc>
          <w:tcPr>
            <w:tcW w:w="964" w:type="dxa"/>
            <w:shd w:val="clear" w:color="auto" w:fill="D9D9D9"/>
            <w:tcMar>
              <w:top w:w="60" w:type="dxa"/>
              <w:left w:w="80" w:type="dxa"/>
              <w:bottom w:w="60" w:type="dxa"/>
              <w:right w:w="80" w:type="dxa"/>
            </w:tcMar>
            <w:vAlign w:val="center"/>
          </w:tcPr>
          <w:p w14:paraId="598CF12C"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رمز الفقرة</w:t>
            </w:r>
          </w:p>
        </w:tc>
        <w:tc>
          <w:tcPr>
            <w:tcW w:w="3288" w:type="dxa"/>
            <w:shd w:val="clear" w:color="auto" w:fill="D9D9D9"/>
            <w:tcMar>
              <w:top w:w="60" w:type="dxa"/>
              <w:left w:w="80" w:type="dxa"/>
              <w:bottom w:w="60" w:type="dxa"/>
              <w:right w:w="80" w:type="dxa"/>
            </w:tcMar>
            <w:vAlign w:val="center"/>
          </w:tcPr>
          <w:p w14:paraId="0F0D1B73"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الفقرة</w:t>
            </w:r>
          </w:p>
        </w:tc>
        <w:tc>
          <w:tcPr>
            <w:tcW w:w="3061" w:type="dxa"/>
            <w:shd w:val="clear" w:color="auto" w:fill="D9D9D9"/>
            <w:tcMar>
              <w:top w:w="60" w:type="dxa"/>
              <w:left w:w="80" w:type="dxa"/>
              <w:bottom w:w="60" w:type="dxa"/>
              <w:right w:w="80" w:type="dxa"/>
            </w:tcMar>
            <w:vAlign w:val="center"/>
          </w:tcPr>
          <w:p w14:paraId="04E2C4ED"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المصدر</w:t>
            </w:r>
          </w:p>
        </w:tc>
        <w:tc>
          <w:tcPr>
            <w:tcW w:w="3175" w:type="dxa"/>
            <w:shd w:val="clear" w:color="auto" w:fill="D9D9D9"/>
            <w:tcMar>
              <w:top w:w="60" w:type="dxa"/>
              <w:left w:w="80" w:type="dxa"/>
              <w:bottom w:w="60" w:type="dxa"/>
              <w:right w:w="80" w:type="dxa"/>
            </w:tcMar>
            <w:vAlign w:val="center"/>
          </w:tcPr>
          <w:p w14:paraId="0AA969C7"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طبيعة التعديل</w:t>
            </w:r>
          </w:p>
        </w:tc>
      </w:tr>
      <w:tr w:rsidR="00F035EA" w:rsidRPr="00C22AB7" w14:paraId="5B32F5E5" w14:textId="77777777" w:rsidTr="0085711F">
        <w:trPr>
          <w:jc w:val="center"/>
        </w:trPr>
        <w:tc>
          <w:tcPr>
            <w:tcW w:w="964" w:type="dxa"/>
            <w:tcMar>
              <w:top w:w="60" w:type="dxa"/>
              <w:left w:w="80" w:type="dxa"/>
              <w:bottom w:w="60" w:type="dxa"/>
              <w:right w:w="80" w:type="dxa"/>
            </w:tcMar>
            <w:vAlign w:val="center"/>
          </w:tcPr>
          <w:p w14:paraId="14589CE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w:t>
            </w:r>
          </w:p>
        </w:tc>
        <w:tc>
          <w:tcPr>
            <w:tcW w:w="3288" w:type="dxa"/>
            <w:tcMar>
              <w:top w:w="60" w:type="dxa"/>
              <w:left w:w="80" w:type="dxa"/>
              <w:bottom w:w="60" w:type="dxa"/>
              <w:right w:w="80" w:type="dxa"/>
            </w:tcMar>
            <w:vAlign w:val="center"/>
          </w:tcPr>
          <w:p w14:paraId="2688A89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تحليل السوق والاتجاهات قبل تصميم الحملة</w:t>
            </w:r>
          </w:p>
        </w:tc>
        <w:tc>
          <w:tcPr>
            <w:tcW w:w="3061" w:type="dxa"/>
            <w:tcMar>
              <w:top w:w="60" w:type="dxa"/>
              <w:left w:w="80" w:type="dxa"/>
              <w:bottom w:w="60" w:type="dxa"/>
              <w:right w:w="80" w:type="dxa"/>
            </w:tcMar>
            <w:vAlign w:val="center"/>
          </w:tcPr>
          <w:p w14:paraId="63B915DA" w14:textId="77777777" w:rsidR="00F035EA" w:rsidRPr="00C22AB7" w:rsidRDefault="00F035EA" w:rsidP="0085711F">
            <w:pPr>
              <w:bidi/>
              <w:spacing w:after="0" w:line="240" w:lineRule="auto"/>
              <w:jc w:val="right"/>
              <w:rPr>
                <w:rFonts w:ascii="Arial" w:eastAsia="Arial" w:hAnsi="Arial" w:cs="Arial"/>
              </w:rPr>
            </w:pPr>
            <w:r w:rsidRPr="00C22AB7">
              <w:rPr>
                <w:rFonts w:ascii="Times New Roman" w:eastAsia="Noto Naskh Arabic" w:hAnsi="Times New Roman" w:cs="Arial"/>
                <w:color w:val="FF0000"/>
                <w:sz w:val="18"/>
                <w:rtl/>
              </w:rPr>
              <w:t>Islam et al. (2024); Sharabati et al. (2024)</w:t>
            </w:r>
          </w:p>
        </w:tc>
        <w:tc>
          <w:tcPr>
            <w:tcW w:w="3175" w:type="dxa"/>
            <w:tcMar>
              <w:top w:w="60" w:type="dxa"/>
              <w:left w:w="80" w:type="dxa"/>
              <w:bottom w:w="60" w:type="dxa"/>
              <w:right w:w="80" w:type="dxa"/>
            </w:tcMar>
            <w:vAlign w:val="center"/>
          </w:tcPr>
          <w:p w14:paraId="4E883A5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ربطت الفقرة بمرحلة التخطيط والتحليل داخل وكالات التسويق السعودية.</w:t>
            </w:r>
          </w:p>
        </w:tc>
      </w:tr>
      <w:tr w:rsidR="00F035EA" w:rsidRPr="00C22AB7" w14:paraId="2FAA78FC" w14:textId="77777777" w:rsidTr="0085711F">
        <w:trPr>
          <w:jc w:val="center"/>
        </w:trPr>
        <w:tc>
          <w:tcPr>
            <w:tcW w:w="964" w:type="dxa"/>
            <w:tcMar>
              <w:top w:w="60" w:type="dxa"/>
              <w:left w:w="80" w:type="dxa"/>
              <w:bottom w:w="60" w:type="dxa"/>
              <w:right w:w="80" w:type="dxa"/>
            </w:tcMar>
            <w:vAlign w:val="center"/>
          </w:tcPr>
          <w:p w14:paraId="4D10274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GAIU2</w:t>
            </w:r>
          </w:p>
        </w:tc>
        <w:tc>
          <w:tcPr>
            <w:tcW w:w="3288" w:type="dxa"/>
            <w:tcMar>
              <w:top w:w="60" w:type="dxa"/>
              <w:left w:w="80" w:type="dxa"/>
              <w:bottom w:w="60" w:type="dxa"/>
              <w:right w:w="80" w:type="dxa"/>
            </w:tcMar>
            <w:vAlign w:val="center"/>
          </w:tcPr>
          <w:p w14:paraId="7FC0E8B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بناء تصورات عن الجمهور وتقسيمه</w:t>
            </w:r>
          </w:p>
        </w:tc>
        <w:tc>
          <w:tcPr>
            <w:tcW w:w="3061" w:type="dxa"/>
            <w:tcMar>
              <w:top w:w="60" w:type="dxa"/>
              <w:left w:w="80" w:type="dxa"/>
              <w:bottom w:w="60" w:type="dxa"/>
              <w:right w:w="80" w:type="dxa"/>
            </w:tcMar>
            <w:vAlign w:val="center"/>
          </w:tcPr>
          <w:p w14:paraId="26ACF80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Heitmann (2024)</w:t>
            </w:r>
          </w:p>
        </w:tc>
        <w:tc>
          <w:tcPr>
            <w:tcW w:w="3175" w:type="dxa"/>
            <w:tcMar>
              <w:top w:w="60" w:type="dxa"/>
              <w:left w:w="80" w:type="dxa"/>
              <w:bottom w:w="60" w:type="dxa"/>
              <w:right w:w="80" w:type="dxa"/>
            </w:tcMar>
            <w:vAlign w:val="center"/>
          </w:tcPr>
          <w:p w14:paraId="54B49AF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صياغة الفقرة لقياس فهم الجمهور ودقة الاستهداف.</w:t>
            </w:r>
          </w:p>
        </w:tc>
      </w:tr>
      <w:tr w:rsidR="00F035EA" w:rsidRPr="00C22AB7" w14:paraId="486942A2" w14:textId="77777777" w:rsidTr="0085711F">
        <w:trPr>
          <w:jc w:val="center"/>
        </w:trPr>
        <w:tc>
          <w:tcPr>
            <w:tcW w:w="964" w:type="dxa"/>
            <w:tcMar>
              <w:top w:w="60" w:type="dxa"/>
              <w:left w:w="80" w:type="dxa"/>
              <w:bottom w:w="60" w:type="dxa"/>
              <w:right w:w="80" w:type="dxa"/>
            </w:tcMar>
            <w:vAlign w:val="center"/>
          </w:tcPr>
          <w:p w14:paraId="39F0214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GAIU3</w:t>
            </w:r>
          </w:p>
        </w:tc>
        <w:tc>
          <w:tcPr>
            <w:tcW w:w="3288" w:type="dxa"/>
            <w:tcMar>
              <w:top w:w="60" w:type="dxa"/>
              <w:left w:w="80" w:type="dxa"/>
              <w:bottom w:w="60" w:type="dxa"/>
              <w:right w:w="80" w:type="dxa"/>
            </w:tcMar>
            <w:vAlign w:val="center"/>
          </w:tcPr>
          <w:p w14:paraId="4C3A8B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ومفاهيم إبداعية</w:t>
            </w:r>
          </w:p>
        </w:tc>
        <w:tc>
          <w:tcPr>
            <w:tcW w:w="3061" w:type="dxa"/>
            <w:tcMar>
              <w:top w:w="60" w:type="dxa"/>
              <w:left w:w="80" w:type="dxa"/>
              <w:bottom w:w="60" w:type="dxa"/>
              <w:right w:w="80" w:type="dxa"/>
            </w:tcMar>
            <w:vAlign w:val="center"/>
          </w:tcPr>
          <w:p w14:paraId="7CFEB3E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5248A83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لمرحلة الإبداع وتوليد المفاهيم الأولية.</w:t>
            </w:r>
          </w:p>
        </w:tc>
      </w:tr>
      <w:tr w:rsidR="00F035EA" w:rsidRPr="00C22AB7" w14:paraId="6E821E9A" w14:textId="77777777" w:rsidTr="0085711F">
        <w:trPr>
          <w:jc w:val="center"/>
        </w:trPr>
        <w:tc>
          <w:tcPr>
            <w:tcW w:w="964" w:type="dxa"/>
            <w:tcMar>
              <w:top w:w="60" w:type="dxa"/>
              <w:left w:w="80" w:type="dxa"/>
              <w:bottom w:w="60" w:type="dxa"/>
              <w:right w:w="80" w:type="dxa"/>
            </w:tcMar>
            <w:vAlign w:val="center"/>
          </w:tcPr>
          <w:p w14:paraId="092E0AB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GAIU4</w:t>
            </w:r>
          </w:p>
        </w:tc>
        <w:tc>
          <w:tcPr>
            <w:tcW w:w="3288" w:type="dxa"/>
            <w:tcMar>
              <w:top w:w="60" w:type="dxa"/>
              <w:left w:w="80" w:type="dxa"/>
              <w:bottom w:w="60" w:type="dxa"/>
              <w:right w:w="80" w:type="dxa"/>
            </w:tcMar>
            <w:vAlign w:val="center"/>
          </w:tcPr>
          <w:p w14:paraId="465E858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صياغة بدائل متعددة للنصوص والرسائل</w:t>
            </w:r>
          </w:p>
        </w:tc>
        <w:tc>
          <w:tcPr>
            <w:tcW w:w="3061" w:type="dxa"/>
            <w:tcMar>
              <w:top w:w="60" w:type="dxa"/>
              <w:left w:w="80" w:type="dxa"/>
              <w:bottom w:w="60" w:type="dxa"/>
              <w:right w:w="80" w:type="dxa"/>
            </w:tcMar>
            <w:vAlign w:val="center"/>
          </w:tcPr>
          <w:p w14:paraId="3335142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Gujar &amp; Panyam (2024)</w:t>
            </w:r>
          </w:p>
        </w:tc>
        <w:tc>
          <w:tcPr>
            <w:tcW w:w="3175" w:type="dxa"/>
            <w:tcMar>
              <w:top w:w="60" w:type="dxa"/>
              <w:left w:w="80" w:type="dxa"/>
              <w:bottom w:w="60" w:type="dxa"/>
              <w:right w:w="80" w:type="dxa"/>
            </w:tcMar>
            <w:vAlign w:val="center"/>
          </w:tcPr>
          <w:p w14:paraId="16524D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إنتاج النصوص التسويقية والرسائل الرئيسة للحملة.</w:t>
            </w:r>
          </w:p>
        </w:tc>
      </w:tr>
      <w:tr w:rsidR="00F035EA" w:rsidRPr="00C22AB7" w14:paraId="4A40A40B" w14:textId="77777777" w:rsidTr="0085711F">
        <w:trPr>
          <w:jc w:val="center"/>
        </w:trPr>
        <w:tc>
          <w:tcPr>
            <w:tcW w:w="964" w:type="dxa"/>
            <w:tcMar>
              <w:top w:w="60" w:type="dxa"/>
              <w:left w:w="80" w:type="dxa"/>
              <w:bottom w:w="60" w:type="dxa"/>
              <w:right w:w="80" w:type="dxa"/>
            </w:tcMar>
            <w:vAlign w:val="center"/>
          </w:tcPr>
          <w:p w14:paraId="10DCFBC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GAIU5</w:t>
            </w:r>
          </w:p>
        </w:tc>
        <w:tc>
          <w:tcPr>
            <w:tcW w:w="3288" w:type="dxa"/>
            <w:tcMar>
              <w:top w:w="60" w:type="dxa"/>
              <w:left w:w="80" w:type="dxa"/>
              <w:bottom w:w="60" w:type="dxa"/>
              <w:right w:w="80" w:type="dxa"/>
            </w:tcMar>
            <w:vAlign w:val="center"/>
          </w:tcPr>
          <w:p w14:paraId="08B492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إنتاج تصورات أو عناصر تصميمية مبدئية</w:t>
            </w:r>
          </w:p>
        </w:tc>
        <w:tc>
          <w:tcPr>
            <w:tcW w:w="3061" w:type="dxa"/>
            <w:tcMar>
              <w:top w:w="60" w:type="dxa"/>
              <w:left w:w="80" w:type="dxa"/>
              <w:bottom w:w="60" w:type="dxa"/>
              <w:right w:w="80" w:type="dxa"/>
            </w:tcMar>
            <w:vAlign w:val="center"/>
          </w:tcPr>
          <w:p w14:paraId="126CFC2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7A131CB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البعد البصري بوصفه جزءًا من تصميم الحملات الرقمية.</w:t>
            </w:r>
          </w:p>
        </w:tc>
      </w:tr>
      <w:tr w:rsidR="00F035EA" w:rsidRPr="00C22AB7" w14:paraId="1DF0615C" w14:textId="77777777" w:rsidTr="0085711F">
        <w:trPr>
          <w:jc w:val="center"/>
        </w:trPr>
        <w:tc>
          <w:tcPr>
            <w:tcW w:w="964" w:type="dxa"/>
            <w:tcMar>
              <w:top w:w="60" w:type="dxa"/>
              <w:left w:w="80" w:type="dxa"/>
              <w:bottom w:w="60" w:type="dxa"/>
              <w:right w:w="80" w:type="dxa"/>
            </w:tcMar>
            <w:vAlign w:val="center"/>
          </w:tcPr>
          <w:p w14:paraId="2CE2097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GAIU6</w:t>
            </w:r>
          </w:p>
        </w:tc>
        <w:tc>
          <w:tcPr>
            <w:tcW w:w="3288" w:type="dxa"/>
            <w:tcMar>
              <w:top w:w="60" w:type="dxa"/>
              <w:left w:w="80" w:type="dxa"/>
              <w:bottom w:w="60" w:type="dxa"/>
              <w:right w:w="80" w:type="dxa"/>
            </w:tcMar>
            <w:vAlign w:val="center"/>
          </w:tcPr>
          <w:p w14:paraId="76931C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تكييف المحتوى مع خصائص المنصات الرقمية</w:t>
            </w:r>
          </w:p>
        </w:tc>
        <w:tc>
          <w:tcPr>
            <w:tcW w:w="3061" w:type="dxa"/>
            <w:tcMar>
              <w:top w:w="60" w:type="dxa"/>
              <w:left w:w="80" w:type="dxa"/>
              <w:bottom w:w="60" w:type="dxa"/>
              <w:right w:w="80" w:type="dxa"/>
            </w:tcMar>
            <w:vAlign w:val="center"/>
          </w:tcPr>
          <w:p w14:paraId="04B008F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Heitmann (2024)</w:t>
            </w:r>
          </w:p>
        </w:tc>
        <w:tc>
          <w:tcPr>
            <w:tcW w:w="3175" w:type="dxa"/>
            <w:tcMar>
              <w:top w:w="60" w:type="dxa"/>
              <w:left w:w="80" w:type="dxa"/>
              <w:bottom w:w="60" w:type="dxa"/>
              <w:right w:w="80" w:type="dxa"/>
            </w:tcMar>
            <w:vAlign w:val="center"/>
          </w:tcPr>
          <w:p w14:paraId="705592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بملاءمة المحتوى للمنصات المختلفة.</w:t>
            </w:r>
          </w:p>
        </w:tc>
      </w:tr>
      <w:tr w:rsidR="00F035EA" w:rsidRPr="00C22AB7" w14:paraId="5B939AB7" w14:textId="77777777" w:rsidTr="0085711F">
        <w:trPr>
          <w:jc w:val="center"/>
        </w:trPr>
        <w:tc>
          <w:tcPr>
            <w:tcW w:w="964" w:type="dxa"/>
            <w:tcMar>
              <w:top w:w="60" w:type="dxa"/>
              <w:left w:w="80" w:type="dxa"/>
              <w:bottom w:w="60" w:type="dxa"/>
              <w:right w:w="80" w:type="dxa"/>
            </w:tcMar>
            <w:vAlign w:val="center"/>
          </w:tcPr>
          <w:p w14:paraId="29D3D2E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GAIU7</w:t>
            </w:r>
          </w:p>
        </w:tc>
        <w:tc>
          <w:tcPr>
            <w:tcW w:w="3288" w:type="dxa"/>
            <w:tcMar>
              <w:top w:w="60" w:type="dxa"/>
              <w:left w:w="80" w:type="dxa"/>
              <w:bottom w:w="60" w:type="dxa"/>
              <w:right w:w="80" w:type="dxa"/>
            </w:tcMar>
            <w:vAlign w:val="center"/>
          </w:tcPr>
          <w:p w14:paraId="3E4F930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اقتراح صيغ للرسائل بحسب شرائح الجمهور</w:t>
            </w:r>
          </w:p>
        </w:tc>
        <w:tc>
          <w:tcPr>
            <w:tcW w:w="3061" w:type="dxa"/>
            <w:tcMar>
              <w:top w:w="60" w:type="dxa"/>
              <w:left w:w="80" w:type="dxa"/>
              <w:bottom w:w="60" w:type="dxa"/>
              <w:right w:w="80" w:type="dxa"/>
            </w:tcMar>
            <w:vAlign w:val="center"/>
          </w:tcPr>
          <w:p w14:paraId="0DC877F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Nuremberg Institute for Market Decisions (2024)</w:t>
            </w:r>
          </w:p>
        </w:tc>
        <w:tc>
          <w:tcPr>
            <w:tcW w:w="3175" w:type="dxa"/>
            <w:tcMar>
              <w:top w:w="60" w:type="dxa"/>
              <w:left w:w="80" w:type="dxa"/>
              <w:bottom w:w="60" w:type="dxa"/>
              <w:right w:w="80" w:type="dxa"/>
            </w:tcMar>
            <w:vAlign w:val="center"/>
          </w:tcPr>
          <w:p w14:paraId="5EAE30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تنويع الرسائل وفق خصائص الجمهور.</w:t>
            </w:r>
          </w:p>
        </w:tc>
      </w:tr>
      <w:tr w:rsidR="00F035EA" w:rsidRPr="00C22AB7" w14:paraId="390770C5" w14:textId="77777777" w:rsidTr="0085711F">
        <w:trPr>
          <w:jc w:val="center"/>
        </w:trPr>
        <w:tc>
          <w:tcPr>
            <w:tcW w:w="964" w:type="dxa"/>
            <w:tcMar>
              <w:top w:w="60" w:type="dxa"/>
              <w:left w:w="80" w:type="dxa"/>
              <w:bottom w:w="60" w:type="dxa"/>
              <w:right w:w="80" w:type="dxa"/>
            </w:tcMar>
            <w:vAlign w:val="center"/>
          </w:tcPr>
          <w:p w14:paraId="48A341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GAIU8</w:t>
            </w:r>
          </w:p>
        </w:tc>
        <w:tc>
          <w:tcPr>
            <w:tcW w:w="3288" w:type="dxa"/>
            <w:tcMar>
              <w:top w:w="60" w:type="dxa"/>
              <w:left w:w="80" w:type="dxa"/>
              <w:bottom w:w="60" w:type="dxa"/>
              <w:right w:w="80" w:type="dxa"/>
            </w:tcMar>
            <w:vAlign w:val="center"/>
          </w:tcPr>
          <w:p w14:paraId="3A1BC3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إدخال المخرجات في العصف الذهني والمراجعة</w:t>
            </w:r>
          </w:p>
        </w:tc>
        <w:tc>
          <w:tcPr>
            <w:tcW w:w="3061" w:type="dxa"/>
            <w:tcMar>
              <w:top w:w="60" w:type="dxa"/>
              <w:left w:w="80" w:type="dxa"/>
              <w:bottom w:w="60" w:type="dxa"/>
              <w:right w:w="80" w:type="dxa"/>
            </w:tcMar>
            <w:vAlign w:val="center"/>
          </w:tcPr>
          <w:p w14:paraId="5620039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Doshi et al. (2025)</w:t>
            </w:r>
          </w:p>
        </w:tc>
        <w:tc>
          <w:tcPr>
            <w:tcW w:w="3175" w:type="dxa"/>
            <w:tcMar>
              <w:top w:w="60" w:type="dxa"/>
              <w:left w:w="80" w:type="dxa"/>
              <w:bottom w:w="60" w:type="dxa"/>
              <w:right w:w="80" w:type="dxa"/>
            </w:tcMar>
            <w:vAlign w:val="center"/>
          </w:tcPr>
          <w:p w14:paraId="25368E8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دمج مخرجات التقنية في سير العمل الجماعي.</w:t>
            </w:r>
          </w:p>
        </w:tc>
      </w:tr>
      <w:tr w:rsidR="00F035EA" w:rsidRPr="00C22AB7" w14:paraId="7C9A5C23" w14:textId="77777777" w:rsidTr="0085711F">
        <w:trPr>
          <w:jc w:val="center"/>
        </w:trPr>
        <w:tc>
          <w:tcPr>
            <w:tcW w:w="964" w:type="dxa"/>
            <w:tcMar>
              <w:top w:w="60" w:type="dxa"/>
              <w:left w:w="80" w:type="dxa"/>
              <w:bottom w:w="60" w:type="dxa"/>
              <w:right w:w="80" w:type="dxa"/>
            </w:tcMar>
            <w:vAlign w:val="center"/>
          </w:tcPr>
          <w:p w14:paraId="6D7DFC3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GAIU9</w:t>
            </w:r>
          </w:p>
        </w:tc>
        <w:tc>
          <w:tcPr>
            <w:tcW w:w="3288" w:type="dxa"/>
            <w:tcMar>
              <w:top w:w="60" w:type="dxa"/>
              <w:left w:w="80" w:type="dxa"/>
              <w:bottom w:w="60" w:type="dxa"/>
              <w:right w:w="80" w:type="dxa"/>
            </w:tcMar>
            <w:vAlign w:val="center"/>
          </w:tcPr>
          <w:p w14:paraId="1541FB9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تلخيص بيانات الأداء واقتراح تحسينات</w:t>
            </w:r>
          </w:p>
        </w:tc>
        <w:tc>
          <w:tcPr>
            <w:tcW w:w="3061" w:type="dxa"/>
            <w:tcMar>
              <w:top w:w="60" w:type="dxa"/>
              <w:left w:w="80" w:type="dxa"/>
              <w:bottom w:w="60" w:type="dxa"/>
              <w:right w:w="80" w:type="dxa"/>
            </w:tcMar>
            <w:vAlign w:val="center"/>
          </w:tcPr>
          <w:p w14:paraId="1F5C898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Doshi et al. (2025)</w:t>
            </w:r>
          </w:p>
        </w:tc>
        <w:tc>
          <w:tcPr>
            <w:tcW w:w="3175" w:type="dxa"/>
            <w:tcMar>
              <w:top w:w="60" w:type="dxa"/>
              <w:left w:w="80" w:type="dxa"/>
              <w:bottom w:w="60" w:type="dxa"/>
              <w:right w:w="80" w:type="dxa"/>
            </w:tcMar>
            <w:vAlign w:val="center"/>
          </w:tcPr>
          <w:p w14:paraId="3C1494B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بمرحلة التحليل والتحسين.</w:t>
            </w:r>
          </w:p>
        </w:tc>
      </w:tr>
      <w:tr w:rsidR="00F035EA" w:rsidRPr="00C22AB7" w14:paraId="017D20C2" w14:textId="77777777" w:rsidTr="0085711F">
        <w:trPr>
          <w:jc w:val="center"/>
        </w:trPr>
        <w:tc>
          <w:tcPr>
            <w:tcW w:w="964" w:type="dxa"/>
            <w:tcMar>
              <w:top w:w="60" w:type="dxa"/>
              <w:left w:w="80" w:type="dxa"/>
              <w:bottom w:w="60" w:type="dxa"/>
              <w:right w:w="80" w:type="dxa"/>
            </w:tcMar>
            <w:vAlign w:val="center"/>
          </w:tcPr>
          <w:p w14:paraId="48CDB0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GAIU10</w:t>
            </w:r>
          </w:p>
        </w:tc>
        <w:tc>
          <w:tcPr>
            <w:tcW w:w="3288" w:type="dxa"/>
            <w:tcMar>
              <w:top w:w="60" w:type="dxa"/>
              <w:left w:w="80" w:type="dxa"/>
              <w:bottom w:w="60" w:type="dxa"/>
              <w:right w:w="80" w:type="dxa"/>
            </w:tcMar>
            <w:vAlign w:val="center"/>
          </w:tcPr>
          <w:p w14:paraId="15EEE1D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دمج التقنية في سير عمل تصميم الحملات</w:t>
            </w:r>
          </w:p>
        </w:tc>
        <w:tc>
          <w:tcPr>
            <w:tcW w:w="3061" w:type="dxa"/>
            <w:tcMar>
              <w:top w:w="60" w:type="dxa"/>
              <w:left w:w="80" w:type="dxa"/>
              <w:bottom w:w="60" w:type="dxa"/>
              <w:right w:w="80" w:type="dxa"/>
            </w:tcMar>
            <w:vAlign w:val="center"/>
          </w:tcPr>
          <w:p w14:paraId="085B9CA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3D94689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مستوى الدمج المؤسسي لا الاستخدام الفردي العارض.</w:t>
            </w:r>
          </w:p>
        </w:tc>
      </w:tr>
      <w:tr w:rsidR="00F035EA" w:rsidRPr="00C22AB7" w14:paraId="0D6A5073" w14:textId="77777777" w:rsidTr="0085711F">
        <w:trPr>
          <w:jc w:val="center"/>
        </w:trPr>
        <w:tc>
          <w:tcPr>
            <w:tcW w:w="964" w:type="dxa"/>
            <w:tcMar>
              <w:top w:w="60" w:type="dxa"/>
              <w:left w:w="80" w:type="dxa"/>
              <w:bottom w:w="60" w:type="dxa"/>
              <w:right w:w="80" w:type="dxa"/>
            </w:tcMar>
            <w:vAlign w:val="center"/>
          </w:tcPr>
          <w:p w14:paraId="385E52E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CDQ1</w:t>
            </w:r>
          </w:p>
        </w:tc>
        <w:tc>
          <w:tcPr>
            <w:tcW w:w="3288" w:type="dxa"/>
            <w:tcMar>
              <w:top w:w="60" w:type="dxa"/>
              <w:left w:w="80" w:type="dxa"/>
              <w:bottom w:w="60" w:type="dxa"/>
              <w:right w:w="80" w:type="dxa"/>
            </w:tcMar>
            <w:vAlign w:val="center"/>
          </w:tcPr>
          <w:p w14:paraId="159FF42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3466B8B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McKinsey &amp; Company (2024)</w:t>
            </w:r>
          </w:p>
        </w:tc>
        <w:tc>
          <w:tcPr>
            <w:tcW w:w="3175" w:type="dxa"/>
            <w:tcMar>
              <w:top w:w="60" w:type="dxa"/>
              <w:left w:w="80" w:type="dxa"/>
              <w:bottom w:w="60" w:type="dxa"/>
              <w:right w:w="80" w:type="dxa"/>
            </w:tcMar>
            <w:vAlign w:val="center"/>
          </w:tcPr>
          <w:p w14:paraId="63C81213" w14:textId="2999B0D6"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سرعة الانتقال من الموجز إلى التصورات بوصفها مؤشرًا لجودة التصميم.</w:t>
            </w:r>
          </w:p>
        </w:tc>
      </w:tr>
      <w:tr w:rsidR="00F035EA" w:rsidRPr="00C22AB7" w14:paraId="3584754C" w14:textId="77777777" w:rsidTr="0085711F">
        <w:trPr>
          <w:jc w:val="center"/>
        </w:trPr>
        <w:tc>
          <w:tcPr>
            <w:tcW w:w="964" w:type="dxa"/>
            <w:tcMar>
              <w:top w:w="60" w:type="dxa"/>
              <w:left w:w="80" w:type="dxa"/>
              <w:bottom w:w="60" w:type="dxa"/>
              <w:right w:w="80" w:type="dxa"/>
            </w:tcMar>
            <w:vAlign w:val="center"/>
          </w:tcPr>
          <w:p w14:paraId="429D14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CDQ2</w:t>
            </w:r>
          </w:p>
        </w:tc>
        <w:tc>
          <w:tcPr>
            <w:tcW w:w="3288" w:type="dxa"/>
            <w:tcMar>
              <w:top w:w="60" w:type="dxa"/>
              <w:left w:w="80" w:type="dxa"/>
              <w:bottom w:w="60" w:type="dxa"/>
              <w:right w:w="80" w:type="dxa"/>
            </w:tcMar>
            <w:vAlign w:val="center"/>
          </w:tcPr>
          <w:p w14:paraId="1F2F4D4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إنجاز المهام المتكررة بكفاءة أعلى</w:t>
            </w:r>
          </w:p>
        </w:tc>
        <w:tc>
          <w:tcPr>
            <w:tcW w:w="3061" w:type="dxa"/>
            <w:tcMar>
              <w:top w:w="60" w:type="dxa"/>
              <w:left w:w="80" w:type="dxa"/>
              <w:bottom w:w="60" w:type="dxa"/>
              <w:right w:w="80" w:type="dxa"/>
            </w:tcMar>
            <w:vAlign w:val="center"/>
          </w:tcPr>
          <w:p w14:paraId="74B540A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McKinsey &amp; Company (2024)</w:t>
            </w:r>
          </w:p>
        </w:tc>
        <w:tc>
          <w:tcPr>
            <w:tcW w:w="3175" w:type="dxa"/>
            <w:tcMar>
              <w:top w:w="60" w:type="dxa"/>
              <w:left w:w="80" w:type="dxa"/>
              <w:bottom w:w="60" w:type="dxa"/>
              <w:right w:w="80" w:type="dxa"/>
            </w:tcMar>
            <w:vAlign w:val="center"/>
          </w:tcPr>
          <w:p w14:paraId="687D99D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الكفاءة التشغيلية داخل عملية التصميم.</w:t>
            </w:r>
          </w:p>
        </w:tc>
      </w:tr>
      <w:tr w:rsidR="00F035EA" w:rsidRPr="00C22AB7" w14:paraId="5D6EFF61" w14:textId="77777777" w:rsidTr="0085711F">
        <w:trPr>
          <w:jc w:val="center"/>
        </w:trPr>
        <w:tc>
          <w:tcPr>
            <w:tcW w:w="964" w:type="dxa"/>
            <w:tcMar>
              <w:top w:w="60" w:type="dxa"/>
              <w:left w:w="80" w:type="dxa"/>
              <w:bottom w:w="60" w:type="dxa"/>
              <w:right w:w="80" w:type="dxa"/>
            </w:tcMar>
            <w:vAlign w:val="center"/>
          </w:tcPr>
          <w:p w14:paraId="3594BF6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CDQ3</w:t>
            </w:r>
          </w:p>
        </w:tc>
        <w:tc>
          <w:tcPr>
            <w:tcW w:w="3288" w:type="dxa"/>
            <w:tcMar>
              <w:top w:w="60" w:type="dxa"/>
              <w:left w:w="80" w:type="dxa"/>
              <w:bottom w:w="60" w:type="dxa"/>
              <w:right w:w="80" w:type="dxa"/>
            </w:tcMar>
            <w:vAlign w:val="center"/>
          </w:tcPr>
          <w:p w14:paraId="268071C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زيادة تنوع البدائل الإبداعية</w:t>
            </w:r>
          </w:p>
        </w:tc>
        <w:tc>
          <w:tcPr>
            <w:tcW w:w="3061" w:type="dxa"/>
            <w:tcMar>
              <w:top w:w="60" w:type="dxa"/>
              <w:left w:w="80" w:type="dxa"/>
              <w:bottom w:w="60" w:type="dxa"/>
              <w:right w:w="80" w:type="dxa"/>
            </w:tcMar>
            <w:vAlign w:val="center"/>
          </w:tcPr>
          <w:p w14:paraId="28995CB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1E87DE7C" w14:textId="46AF0693"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تنوع البدائل الإبداعية المتاحة قبل اعتماد الفكرة.</w:t>
            </w:r>
          </w:p>
        </w:tc>
      </w:tr>
      <w:tr w:rsidR="00F035EA" w:rsidRPr="00C22AB7" w14:paraId="1B2DFD03" w14:textId="77777777" w:rsidTr="0085711F">
        <w:trPr>
          <w:jc w:val="center"/>
        </w:trPr>
        <w:tc>
          <w:tcPr>
            <w:tcW w:w="964" w:type="dxa"/>
            <w:tcMar>
              <w:top w:w="60" w:type="dxa"/>
              <w:left w:w="80" w:type="dxa"/>
              <w:bottom w:w="60" w:type="dxa"/>
              <w:right w:w="80" w:type="dxa"/>
            </w:tcMar>
            <w:vAlign w:val="center"/>
          </w:tcPr>
          <w:p w14:paraId="06481F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CDQ4</w:t>
            </w:r>
          </w:p>
        </w:tc>
        <w:tc>
          <w:tcPr>
            <w:tcW w:w="3288" w:type="dxa"/>
            <w:tcMar>
              <w:top w:w="60" w:type="dxa"/>
              <w:left w:w="80" w:type="dxa"/>
              <w:bottom w:w="60" w:type="dxa"/>
              <w:right w:w="80" w:type="dxa"/>
            </w:tcMar>
            <w:vAlign w:val="center"/>
          </w:tcPr>
          <w:p w14:paraId="17E3D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مقارنة البدائل وفق الأهداف والجمهور</w:t>
            </w:r>
          </w:p>
        </w:tc>
        <w:tc>
          <w:tcPr>
            <w:tcW w:w="3061" w:type="dxa"/>
            <w:tcMar>
              <w:top w:w="60" w:type="dxa"/>
              <w:left w:w="80" w:type="dxa"/>
              <w:bottom w:w="60" w:type="dxa"/>
              <w:right w:w="80" w:type="dxa"/>
            </w:tcMar>
            <w:vAlign w:val="center"/>
          </w:tcPr>
          <w:p w14:paraId="1A3511D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Nguyen et al. (2025)</w:t>
            </w:r>
          </w:p>
        </w:tc>
        <w:tc>
          <w:tcPr>
            <w:tcW w:w="3175" w:type="dxa"/>
            <w:tcMar>
              <w:top w:w="60" w:type="dxa"/>
              <w:left w:w="80" w:type="dxa"/>
              <w:bottom w:w="60" w:type="dxa"/>
              <w:right w:w="80" w:type="dxa"/>
            </w:tcMar>
            <w:vAlign w:val="center"/>
          </w:tcPr>
          <w:p w14:paraId="00FA3E20" w14:textId="78AE779F"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المفاضلة بين البدائل وفق الأهداف والجمهور.</w:t>
            </w:r>
          </w:p>
        </w:tc>
      </w:tr>
      <w:tr w:rsidR="00F035EA" w:rsidRPr="00C22AB7" w14:paraId="4AA2D840" w14:textId="77777777" w:rsidTr="0085711F">
        <w:trPr>
          <w:jc w:val="center"/>
        </w:trPr>
        <w:tc>
          <w:tcPr>
            <w:tcW w:w="964" w:type="dxa"/>
            <w:tcMar>
              <w:top w:w="60" w:type="dxa"/>
              <w:left w:w="80" w:type="dxa"/>
              <w:bottom w:w="60" w:type="dxa"/>
              <w:right w:w="80" w:type="dxa"/>
            </w:tcMar>
            <w:vAlign w:val="center"/>
          </w:tcPr>
          <w:p w14:paraId="4E5016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CDQ5</w:t>
            </w:r>
          </w:p>
        </w:tc>
        <w:tc>
          <w:tcPr>
            <w:tcW w:w="3288" w:type="dxa"/>
            <w:tcMar>
              <w:top w:w="60" w:type="dxa"/>
              <w:left w:w="80" w:type="dxa"/>
              <w:bottom w:w="60" w:type="dxa"/>
              <w:right w:w="80" w:type="dxa"/>
            </w:tcMar>
            <w:vAlign w:val="center"/>
          </w:tcPr>
          <w:p w14:paraId="716C1F9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اتساق الرسائل والمخرجات مع هوية العلامة</w:t>
            </w:r>
          </w:p>
        </w:tc>
        <w:tc>
          <w:tcPr>
            <w:tcW w:w="3061" w:type="dxa"/>
            <w:tcMar>
              <w:top w:w="60" w:type="dxa"/>
              <w:left w:w="80" w:type="dxa"/>
              <w:bottom w:w="60" w:type="dxa"/>
              <w:right w:w="80" w:type="dxa"/>
            </w:tcMar>
            <w:vAlign w:val="center"/>
          </w:tcPr>
          <w:p w14:paraId="5C050B6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4893013A" w14:textId="164D0047"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الاتساق مع الهوية لا الجودة العامة فقط.</w:t>
            </w:r>
          </w:p>
        </w:tc>
      </w:tr>
      <w:tr w:rsidR="00F035EA" w:rsidRPr="00C22AB7" w14:paraId="465D2444" w14:textId="77777777" w:rsidTr="0085711F">
        <w:trPr>
          <w:jc w:val="center"/>
        </w:trPr>
        <w:tc>
          <w:tcPr>
            <w:tcW w:w="964" w:type="dxa"/>
            <w:tcMar>
              <w:top w:w="60" w:type="dxa"/>
              <w:left w:w="80" w:type="dxa"/>
              <w:bottom w:w="60" w:type="dxa"/>
              <w:right w:w="80" w:type="dxa"/>
            </w:tcMar>
            <w:vAlign w:val="center"/>
          </w:tcPr>
          <w:p w14:paraId="644EE25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CDQ6</w:t>
            </w:r>
          </w:p>
        </w:tc>
        <w:tc>
          <w:tcPr>
            <w:tcW w:w="3288" w:type="dxa"/>
            <w:tcMar>
              <w:top w:w="60" w:type="dxa"/>
              <w:left w:w="80" w:type="dxa"/>
              <w:bottom w:w="60" w:type="dxa"/>
              <w:right w:w="80" w:type="dxa"/>
            </w:tcMar>
            <w:vAlign w:val="center"/>
          </w:tcPr>
          <w:p w14:paraId="414E3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دقة تصور الجمهور قبل الإطلاق</w:t>
            </w:r>
          </w:p>
        </w:tc>
        <w:tc>
          <w:tcPr>
            <w:tcW w:w="3061" w:type="dxa"/>
            <w:tcMar>
              <w:top w:w="60" w:type="dxa"/>
              <w:left w:w="80" w:type="dxa"/>
              <w:bottom w:w="60" w:type="dxa"/>
              <w:right w:w="80" w:type="dxa"/>
            </w:tcMar>
            <w:vAlign w:val="center"/>
          </w:tcPr>
          <w:p w14:paraId="704750C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Mendoza et al. (2025)</w:t>
            </w:r>
          </w:p>
        </w:tc>
        <w:tc>
          <w:tcPr>
            <w:tcW w:w="3175" w:type="dxa"/>
            <w:tcMar>
              <w:top w:w="60" w:type="dxa"/>
              <w:left w:w="80" w:type="dxa"/>
              <w:bottom w:w="60" w:type="dxa"/>
              <w:right w:w="80" w:type="dxa"/>
            </w:tcMar>
            <w:vAlign w:val="center"/>
          </w:tcPr>
          <w:p w14:paraId="7AF28ECC" w14:textId="0647B3AD"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دقة تصور الجمهور قبل الإطلاق.</w:t>
            </w:r>
          </w:p>
        </w:tc>
      </w:tr>
      <w:tr w:rsidR="00F035EA" w:rsidRPr="00C22AB7" w14:paraId="62A3C17D" w14:textId="77777777" w:rsidTr="0085711F">
        <w:trPr>
          <w:jc w:val="center"/>
        </w:trPr>
        <w:tc>
          <w:tcPr>
            <w:tcW w:w="964" w:type="dxa"/>
            <w:tcMar>
              <w:top w:w="60" w:type="dxa"/>
              <w:left w:w="80" w:type="dxa"/>
              <w:bottom w:w="60" w:type="dxa"/>
              <w:right w:w="80" w:type="dxa"/>
            </w:tcMar>
            <w:vAlign w:val="center"/>
          </w:tcPr>
          <w:p w14:paraId="7E451D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CDQ7</w:t>
            </w:r>
          </w:p>
        </w:tc>
        <w:tc>
          <w:tcPr>
            <w:tcW w:w="3288" w:type="dxa"/>
            <w:tcMar>
              <w:top w:w="60" w:type="dxa"/>
              <w:left w:w="80" w:type="dxa"/>
              <w:bottom w:w="60" w:type="dxa"/>
              <w:right w:w="80" w:type="dxa"/>
            </w:tcMar>
            <w:vAlign w:val="center"/>
          </w:tcPr>
          <w:p w14:paraId="3C94CD7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تخصيص المحتوى حسب الشرائح والمنصات</w:t>
            </w:r>
          </w:p>
        </w:tc>
        <w:tc>
          <w:tcPr>
            <w:tcW w:w="3061" w:type="dxa"/>
            <w:tcMar>
              <w:top w:w="60" w:type="dxa"/>
              <w:left w:w="80" w:type="dxa"/>
              <w:bottom w:w="60" w:type="dxa"/>
              <w:right w:w="80" w:type="dxa"/>
            </w:tcMar>
            <w:vAlign w:val="center"/>
          </w:tcPr>
          <w:p w14:paraId="339B041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5CF94A4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تخصيص المحتوى حسب الجمهور والمنصة.</w:t>
            </w:r>
          </w:p>
        </w:tc>
      </w:tr>
      <w:tr w:rsidR="00F035EA" w:rsidRPr="00C22AB7" w14:paraId="24A3C9CB" w14:textId="77777777" w:rsidTr="0085711F">
        <w:trPr>
          <w:jc w:val="center"/>
        </w:trPr>
        <w:tc>
          <w:tcPr>
            <w:tcW w:w="964" w:type="dxa"/>
            <w:tcMar>
              <w:top w:w="60" w:type="dxa"/>
              <w:left w:w="80" w:type="dxa"/>
              <w:bottom w:w="60" w:type="dxa"/>
              <w:right w:w="80" w:type="dxa"/>
            </w:tcMar>
            <w:vAlign w:val="center"/>
          </w:tcPr>
          <w:p w14:paraId="3F42B2A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CDQ8</w:t>
            </w:r>
          </w:p>
        </w:tc>
        <w:tc>
          <w:tcPr>
            <w:tcW w:w="3288" w:type="dxa"/>
            <w:tcMar>
              <w:top w:w="60" w:type="dxa"/>
              <w:left w:w="80" w:type="dxa"/>
              <w:bottom w:w="60" w:type="dxa"/>
              <w:right w:w="80" w:type="dxa"/>
            </w:tcMar>
            <w:vAlign w:val="center"/>
          </w:tcPr>
          <w:p w14:paraId="7CCB724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دعم دورة المراجعة والتحسين</w:t>
            </w:r>
          </w:p>
        </w:tc>
        <w:tc>
          <w:tcPr>
            <w:tcW w:w="3061" w:type="dxa"/>
            <w:tcMar>
              <w:top w:w="60" w:type="dxa"/>
              <w:left w:w="80" w:type="dxa"/>
              <w:bottom w:w="60" w:type="dxa"/>
              <w:right w:w="80" w:type="dxa"/>
            </w:tcMar>
            <w:vAlign w:val="center"/>
          </w:tcPr>
          <w:p w14:paraId="23EBD29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Nguyen et al. (2025)</w:t>
            </w:r>
          </w:p>
        </w:tc>
        <w:tc>
          <w:tcPr>
            <w:tcW w:w="3175" w:type="dxa"/>
            <w:tcMar>
              <w:top w:w="60" w:type="dxa"/>
              <w:left w:w="80" w:type="dxa"/>
              <w:bottom w:w="60" w:type="dxa"/>
              <w:right w:w="80" w:type="dxa"/>
            </w:tcMar>
            <w:vAlign w:val="center"/>
          </w:tcPr>
          <w:p w14:paraId="28FA47DE" w14:textId="6103F1DB"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فعالية دورة المراجعة والتحسين.</w:t>
            </w:r>
          </w:p>
        </w:tc>
      </w:tr>
      <w:tr w:rsidR="00F035EA" w:rsidRPr="00C22AB7" w14:paraId="77905C4D" w14:textId="77777777" w:rsidTr="0085711F">
        <w:trPr>
          <w:jc w:val="center"/>
        </w:trPr>
        <w:tc>
          <w:tcPr>
            <w:tcW w:w="964" w:type="dxa"/>
            <w:tcMar>
              <w:top w:w="60" w:type="dxa"/>
              <w:left w:w="80" w:type="dxa"/>
              <w:bottom w:w="60" w:type="dxa"/>
              <w:right w:w="80" w:type="dxa"/>
            </w:tcMar>
            <w:vAlign w:val="center"/>
          </w:tcPr>
          <w:p w14:paraId="3A8148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ADP1</w:t>
            </w:r>
          </w:p>
        </w:tc>
        <w:tc>
          <w:tcPr>
            <w:tcW w:w="3288" w:type="dxa"/>
            <w:tcMar>
              <w:top w:w="60" w:type="dxa"/>
              <w:left w:w="80" w:type="dxa"/>
              <w:bottom w:w="60" w:type="dxa"/>
              <w:right w:w="80" w:type="dxa"/>
            </w:tcMar>
            <w:vAlign w:val="center"/>
          </w:tcPr>
          <w:p w14:paraId="0CD2314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الوقت اللازم للتخطيط والإنتاج</w:t>
            </w:r>
          </w:p>
        </w:tc>
        <w:tc>
          <w:tcPr>
            <w:tcW w:w="3061" w:type="dxa"/>
            <w:tcMar>
              <w:top w:w="60" w:type="dxa"/>
              <w:left w:w="80" w:type="dxa"/>
              <w:bottom w:w="60" w:type="dxa"/>
              <w:right w:w="80" w:type="dxa"/>
            </w:tcMar>
            <w:vAlign w:val="center"/>
          </w:tcPr>
          <w:p w14:paraId="76B8ED4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Bazurto Pico &amp; Sánchez Bailón (2025)</w:t>
            </w:r>
          </w:p>
        </w:tc>
        <w:tc>
          <w:tcPr>
            <w:tcW w:w="3175" w:type="dxa"/>
            <w:tcMar>
              <w:top w:w="60" w:type="dxa"/>
              <w:left w:w="80" w:type="dxa"/>
              <w:bottom w:w="60" w:type="dxa"/>
              <w:right w:w="80" w:type="dxa"/>
            </w:tcMar>
            <w:vAlign w:val="center"/>
          </w:tcPr>
          <w:p w14:paraId="2F735B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التشغيلي المرتبط بتقليل الوقت.</w:t>
            </w:r>
          </w:p>
        </w:tc>
      </w:tr>
      <w:tr w:rsidR="00F035EA" w:rsidRPr="00C22AB7" w14:paraId="20260E67" w14:textId="77777777" w:rsidTr="0085711F">
        <w:trPr>
          <w:jc w:val="center"/>
        </w:trPr>
        <w:tc>
          <w:tcPr>
            <w:tcW w:w="964" w:type="dxa"/>
            <w:tcMar>
              <w:top w:w="60" w:type="dxa"/>
              <w:left w:w="80" w:type="dxa"/>
              <w:bottom w:w="60" w:type="dxa"/>
              <w:right w:w="80" w:type="dxa"/>
            </w:tcMar>
            <w:vAlign w:val="center"/>
          </w:tcPr>
          <w:p w14:paraId="7831E41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ADP2</w:t>
            </w:r>
          </w:p>
        </w:tc>
        <w:tc>
          <w:tcPr>
            <w:tcW w:w="3288" w:type="dxa"/>
            <w:tcMar>
              <w:top w:w="60" w:type="dxa"/>
              <w:left w:w="80" w:type="dxa"/>
              <w:bottom w:w="60" w:type="dxa"/>
              <w:right w:w="80" w:type="dxa"/>
            </w:tcMar>
            <w:vAlign w:val="center"/>
          </w:tcPr>
          <w:p w14:paraId="2D092D3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إنتاجية فرق العمل</w:t>
            </w:r>
          </w:p>
        </w:tc>
        <w:tc>
          <w:tcPr>
            <w:tcW w:w="3061" w:type="dxa"/>
            <w:tcMar>
              <w:top w:w="60" w:type="dxa"/>
              <w:left w:w="80" w:type="dxa"/>
              <w:bottom w:w="60" w:type="dxa"/>
              <w:right w:w="80" w:type="dxa"/>
            </w:tcMar>
            <w:vAlign w:val="center"/>
          </w:tcPr>
          <w:p w14:paraId="54175FA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Islam et al. (2024)</w:t>
            </w:r>
          </w:p>
        </w:tc>
        <w:tc>
          <w:tcPr>
            <w:tcW w:w="3175" w:type="dxa"/>
            <w:tcMar>
              <w:top w:w="60" w:type="dxa"/>
              <w:left w:w="80" w:type="dxa"/>
              <w:bottom w:w="60" w:type="dxa"/>
              <w:right w:w="80" w:type="dxa"/>
            </w:tcMar>
            <w:vAlign w:val="center"/>
          </w:tcPr>
          <w:p w14:paraId="1FBC91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الإنتاجية داخل الوكالات.</w:t>
            </w:r>
          </w:p>
        </w:tc>
      </w:tr>
      <w:tr w:rsidR="00F035EA" w:rsidRPr="00C22AB7" w14:paraId="3AC7D8E4" w14:textId="77777777" w:rsidTr="0085711F">
        <w:trPr>
          <w:jc w:val="center"/>
        </w:trPr>
        <w:tc>
          <w:tcPr>
            <w:tcW w:w="964" w:type="dxa"/>
            <w:tcMar>
              <w:top w:w="60" w:type="dxa"/>
              <w:left w:w="80" w:type="dxa"/>
              <w:bottom w:w="60" w:type="dxa"/>
              <w:right w:w="80" w:type="dxa"/>
            </w:tcMar>
            <w:vAlign w:val="center"/>
          </w:tcPr>
          <w:p w14:paraId="6F033C6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ADP3</w:t>
            </w:r>
          </w:p>
        </w:tc>
        <w:tc>
          <w:tcPr>
            <w:tcW w:w="3288" w:type="dxa"/>
            <w:tcMar>
              <w:top w:w="60" w:type="dxa"/>
              <w:left w:w="80" w:type="dxa"/>
              <w:bottom w:w="60" w:type="dxa"/>
              <w:right w:w="80" w:type="dxa"/>
            </w:tcMar>
            <w:vAlign w:val="center"/>
          </w:tcPr>
          <w:p w14:paraId="6A3194C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0B25BA9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Heitmann (2024)</w:t>
            </w:r>
          </w:p>
        </w:tc>
        <w:tc>
          <w:tcPr>
            <w:tcW w:w="3175" w:type="dxa"/>
            <w:tcMar>
              <w:top w:w="60" w:type="dxa"/>
              <w:left w:w="80" w:type="dxa"/>
              <w:bottom w:w="60" w:type="dxa"/>
              <w:right w:w="80" w:type="dxa"/>
            </w:tcMar>
            <w:vAlign w:val="center"/>
          </w:tcPr>
          <w:p w14:paraId="4174D97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بتحويل الجهد إلى المهام الأعلى قيمة.</w:t>
            </w:r>
          </w:p>
        </w:tc>
      </w:tr>
      <w:tr w:rsidR="00F035EA" w:rsidRPr="00C22AB7" w14:paraId="477A4BC2" w14:textId="77777777" w:rsidTr="0085711F">
        <w:trPr>
          <w:jc w:val="center"/>
        </w:trPr>
        <w:tc>
          <w:tcPr>
            <w:tcW w:w="964" w:type="dxa"/>
            <w:tcMar>
              <w:top w:w="60" w:type="dxa"/>
              <w:left w:w="80" w:type="dxa"/>
              <w:bottom w:w="60" w:type="dxa"/>
              <w:right w:w="80" w:type="dxa"/>
            </w:tcMar>
            <w:vAlign w:val="center"/>
          </w:tcPr>
          <w:p w14:paraId="1FD865D1"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ADP4</w:t>
            </w:r>
          </w:p>
        </w:tc>
        <w:tc>
          <w:tcPr>
            <w:tcW w:w="3288" w:type="dxa"/>
            <w:tcMar>
              <w:top w:w="60" w:type="dxa"/>
              <w:left w:w="80" w:type="dxa"/>
              <w:bottom w:w="60" w:type="dxa"/>
              <w:right w:w="80" w:type="dxa"/>
            </w:tcMar>
            <w:vAlign w:val="center"/>
          </w:tcPr>
          <w:p w14:paraId="4BC6C5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خفض تكاليف المهام التشغيلية المتكررة</w:t>
            </w:r>
          </w:p>
        </w:tc>
        <w:tc>
          <w:tcPr>
            <w:tcW w:w="3061" w:type="dxa"/>
            <w:tcMar>
              <w:top w:w="60" w:type="dxa"/>
              <w:left w:w="80" w:type="dxa"/>
              <w:bottom w:w="60" w:type="dxa"/>
              <w:right w:w="80" w:type="dxa"/>
            </w:tcMar>
            <w:vAlign w:val="center"/>
          </w:tcPr>
          <w:p w14:paraId="238985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Kumar (2023)</w:t>
            </w:r>
          </w:p>
        </w:tc>
        <w:tc>
          <w:tcPr>
            <w:tcW w:w="3175" w:type="dxa"/>
            <w:tcMar>
              <w:top w:w="60" w:type="dxa"/>
              <w:left w:w="80" w:type="dxa"/>
              <w:bottom w:w="60" w:type="dxa"/>
              <w:right w:w="80" w:type="dxa"/>
            </w:tcMar>
            <w:vAlign w:val="center"/>
          </w:tcPr>
          <w:p w14:paraId="6DD2B51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تقليل التكلفة.</w:t>
            </w:r>
          </w:p>
        </w:tc>
      </w:tr>
      <w:tr w:rsidR="00F035EA" w:rsidRPr="00C22AB7" w14:paraId="7A931F2B" w14:textId="77777777" w:rsidTr="0085711F">
        <w:trPr>
          <w:jc w:val="center"/>
        </w:trPr>
        <w:tc>
          <w:tcPr>
            <w:tcW w:w="964" w:type="dxa"/>
            <w:tcMar>
              <w:top w:w="60" w:type="dxa"/>
              <w:left w:w="80" w:type="dxa"/>
              <w:bottom w:w="60" w:type="dxa"/>
              <w:right w:w="80" w:type="dxa"/>
            </w:tcMar>
            <w:vAlign w:val="center"/>
          </w:tcPr>
          <w:p w14:paraId="39B93C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ADP5</w:t>
            </w:r>
          </w:p>
        </w:tc>
        <w:tc>
          <w:tcPr>
            <w:tcW w:w="3288" w:type="dxa"/>
            <w:tcMar>
              <w:top w:w="60" w:type="dxa"/>
              <w:left w:w="80" w:type="dxa"/>
              <w:bottom w:w="60" w:type="dxa"/>
              <w:right w:w="80" w:type="dxa"/>
            </w:tcMar>
            <w:vAlign w:val="center"/>
          </w:tcPr>
          <w:p w14:paraId="126035D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توقعات العملاء لمخرجات أسرع وأكثر تنوعًا</w:t>
            </w:r>
          </w:p>
        </w:tc>
        <w:tc>
          <w:tcPr>
            <w:tcW w:w="3061" w:type="dxa"/>
            <w:tcMar>
              <w:top w:w="60" w:type="dxa"/>
              <w:left w:w="80" w:type="dxa"/>
              <w:bottom w:w="60" w:type="dxa"/>
              <w:right w:w="80" w:type="dxa"/>
            </w:tcMar>
            <w:vAlign w:val="center"/>
          </w:tcPr>
          <w:p w14:paraId="0FFE26E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Masnita et al. (2024)</w:t>
            </w:r>
          </w:p>
        </w:tc>
        <w:tc>
          <w:tcPr>
            <w:tcW w:w="3175" w:type="dxa"/>
            <w:tcMar>
              <w:top w:w="60" w:type="dxa"/>
              <w:left w:w="80" w:type="dxa"/>
              <w:bottom w:w="60" w:type="dxa"/>
              <w:right w:w="80" w:type="dxa"/>
            </w:tcMar>
            <w:vAlign w:val="center"/>
          </w:tcPr>
          <w:p w14:paraId="2426AB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توقعات العملاء بوصفها دافعًا سوقيًا.</w:t>
            </w:r>
          </w:p>
        </w:tc>
      </w:tr>
      <w:tr w:rsidR="00F035EA" w:rsidRPr="00C22AB7" w14:paraId="66AAE45C" w14:textId="77777777" w:rsidTr="0085711F">
        <w:trPr>
          <w:jc w:val="center"/>
        </w:trPr>
        <w:tc>
          <w:tcPr>
            <w:tcW w:w="964" w:type="dxa"/>
            <w:tcMar>
              <w:top w:w="60" w:type="dxa"/>
              <w:left w:w="80" w:type="dxa"/>
              <w:bottom w:w="60" w:type="dxa"/>
              <w:right w:w="80" w:type="dxa"/>
            </w:tcMar>
            <w:vAlign w:val="center"/>
          </w:tcPr>
          <w:p w14:paraId="791FB31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ADP6</w:t>
            </w:r>
          </w:p>
        </w:tc>
        <w:tc>
          <w:tcPr>
            <w:tcW w:w="3288" w:type="dxa"/>
            <w:tcMar>
              <w:top w:w="60" w:type="dxa"/>
              <w:left w:w="80" w:type="dxa"/>
              <w:bottom w:w="60" w:type="dxa"/>
              <w:right w:w="80" w:type="dxa"/>
            </w:tcMar>
            <w:vAlign w:val="center"/>
          </w:tcPr>
          <w:p w14:paraId="5026B7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مواكبة المنافسين وتقديم خدمات أكثر تطورًا</w:t>
            </w:r>
          </w:p>
        </w:tc>
        <w:tc>
          <w:tcPr>
            <w:tcW w:w="3061" w:type="dxa"/>
            <w:tcMar>
              <w:top w:w="60" w:type="dxa"/>
              <w:left w:w="80" w:type="dxa"/>
              <w:bottom w:w="60" w:type="dxa"/>
              <w:right w:w="80" w:type="dxa"/>
            </w:tcMar>
            <w:vAlign w:val="center"/>
          </w:tcPr>
          <w:p w14:paraId="7852CA2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العتيبي واليوبي (2024)</w:t>
            </w:r>
          </w:p>
        </w:tc>
        <w:tc>
          <w:tcPr>
            <w:tcW w:w="3175" w:type="dxa"/>
            <w:tcMar>
              <w:top w:w="60" w:type="dxa"/>
              <w:left w:w="80" w:type="dxa"/>
              <w:bottom w:w="60" w:type="dxa"/>
              <w:right w:w="80" w:type="dxa"/>
            </w:tcMar>
            <w:vAlign w:val="center"/>
          </w:tcPr>
          <w:p w14:paraId="1B2146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التنافسي والابتكار التسويقي.</w:t>
            </w:r>
          </w:p>
        </w:tc>
      </w:tr>
      <w:tr w:rsidR="00F035EA" w:rsidRPr="00C22AB7" w14:paraId="169835B2" w14:textId="77777777" w:rsidTr="0085711F">
        <w:trPr>
          <w:jc w:val="center"/>
        </w:trPr>
        <w:tc>
          <w:tcPr>
            <w:tcW w:w="964" w:type="dxa"/>
            <w:tcMar>
              <w:top w:w="60" w:type="dxa"/>
              <w:left w:w="80" w:type="dxa"/>
              <w:bottom w:w="60" w:type="dxa"/>
              <w:right w:w="80" w:type="dxa"/>
            </w:tcMar>
            <w:vAlign w:val="center"/>
          </w:tcPr>
          <w:p w14:paraId="45079DB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ADP7</w:t>
            </w:r>
          </w:p>
        </w:tc>
        <w:tc>
          <w:tcPr>
            <w:tcW w:w="3288" w:type="dxa"/>
            <w:tcMar>
              <w:top w:w="60" w:type="dxa"/>
              <w:left w:w="80" w:type="dxa"/>
              <w:bottom w:w="60" w:type="dxa"/>
              <w:right w:w="80" w:type="dxa"/>
            </w:tcMar>
            <w:vAlign w:val="center"/>
          </w:tcPr>
          <w:p w14:paraId="5039B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تخصيص الرسائل والمحتوى</w:t>
            </w:r>
          </w:p>
        </w:tc>
        <w:tc>
          <w:tcPr>
            <w:tcW w:w="3061" w:type="dxa"/>
            <w:tcMar>
              <w:top w:w="60" w:type="dxa"/>
              <w:left w:w="80" w:type="dxa"/>
              <w:bottom w:w="60" w:type="dxa"/>
              <w:right w:w="80" w:type="dxa"/>
            </w:tcMar>
            <w:vAlign w:val="center"/>
          </w:tcPr>
          <w:p w14:paraId="50D4D9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10A49F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التخصيص.</w:t>
            </w:r>
          </w:p>
        </w:tc>
      </w:tr>
      <w:tr w:rsidR="00F035EA" w:rsidRPr="00C22AB7" w14:paraId="2A2BF826" w14:textId="77777777" w:rsidTr="0085711F">
        <w:trPr>
          <w:jc w:val="center"/>
        </w:trPr>
        <w:tc>
          <w:tcPr>
            <w:tcW w:w="964" w:type="dxa"/>
            <w:tcMar>
              <w:top w:w="60" w:type="dxa"/>
              <w:left w:w="80" w:type="dxa"/>
              <w:bottom w:w="60" w:type="dxa"/>
              <w:right w:w="80" w:type="dxa"/>
            </w:tcMar>
            <w:vAlign w:val="center"/>
          </w:tcPr>
          <w:p w14:paraId="6850A50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ADP8</w:t>
            </w:r>
          </w:p>
        </w:tc>
        <w:tc>
          <w:tcPr>
            <w:tcW w:w="3288" w:type="dxa"/>
            <w:tcMar>
              <w:top w:w="60" w:type="dxa"/>
              <w:left w:w="80" w:type="dxa"/>
              <w:bottom w:w="60" w:type="dxa"/>
              <w:right w:w="80" w:type="dxa"/>
            </w:tcMar>
            <w:vAlign w:val="center"/>
          </w:tcPr>
          <w:p w14:paraId="78D82D0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وأساليب إبداعية جديدة</w:t>
            </w:r>
          </w:p>
        </w:tc>
        <w:tc>
          <w:tcPr>
            <w:tcW w:w="3061" w:type="dxa"/>
            <w:tcMar>
              <w:top w:w="60" w:type="dxa"/>
              <w:left w:w="80" w:type="dxa"/>
              <w:bottom w:w="60" w:type="dxa"/>
              <w:right w:w="80" w:type="dxa"/>
            </w:tcMar>
            <w:vAlign w:val="center"/>
          </w:tcPr>
          <w:p w14:paraId="1844287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09D0CB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بالدافع الإبداعي.</w:t>
            </w:r>
          </w:p>
        </w:tc>
      </w:tr>
      <w:tr w:rsidR="00F035EA" w:rsidRPr="00C22AB7" w14:paraId="0C70AC22" w14:textId="77777777" w:rsidTr="0085711F">
        <w:trPr>
          <w:jc w:val="center"/>
        </w:trPr>
        <w:tc>
          <w:tcPr>
            <w:tcW w:w="964" w:type="dxa"/>
            <w:tcMar>
              <w:top w:w="60" w:type="dxa"/>
              <w:left w:w="80" w:type="dxa"/>
              <w:bottom w:w="60" w:type="dxa"/>
              <w:right w:w="80" w:type="dxa"/>
            </w:tcMar>
            <w:vAlign w:val="center"/>
          </w:tcPr>
          <w:p w14:paraId="73DB945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ADP9</w:t>
            </w:r>
          </w:p>
        </w:tc>
        <w:tc>
          <w:tcPr>
            <w:tcW w:w="3288" w:type="dxa"/>
            <w:tcMar>
              <w:top w:w="60" w:type="dxa"/>
              <w:left w:w="80" w:type="dxa"/>
              <w:bottom w:w="60" w:type="dxa"/>
              <w:right w:w="80" w:type="dxa"/>
            </w:tcMar>
            <w:vAlign w:val="center"/>
          </w:tcPr>
          <w:p w14:paraId="49D75CF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تقديم قيمة تسويقية أعلى للعملاء</w:t>
            </w:r>
          </w:p>
        </w:tc>
        <w:tc>
          <w:tcPr>
            <w:tcW w:w="3061" w:type="dxa"/>
            <w:tcMar>
              <w:top w:w="60" w:type="dxa"/>
              <w:left w:w="80" w:type="dxa"/>
              <w:bottom w:w="60" w:type="dxa"/>
              <w:right w:w="80" w:type="dxa"/>
            </w:tcMar>
            <w:vAlign w:val="center"/>
          </w:tcPr>
          <w:p w14:paraId="661778B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Nuremberg Institute for Market Decisions (2024)</w:t>
            </w:r>
          </w:p>
        </w:tc>
        <w:tc>
          <w:tcPr>
            <w:tcW w:w="3175" w:type="dxa"/>
            <w:tcMar>
              <w:top w:w="60" w:type="dxa"/>
              <w:left w:w="80" w:type="dxa"/>
              <w:bottom w:w="60" w:type="dxa"/>
              <w:right w:w="80" w:type="dxa"/>
            </w:tcMar>
            <w:vAlign w:val="center"/>
          </w:tcPr>
          <w:p w14:paraId="2D7F6C7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القيمة التسويقية المدركة من التبني.</w:t>
            </w:r>
          </w:p>
        </w:tc>
      </w:tr>
      <w:tr w:rsidR="00F035EA" w:rsidRPr="00C22AB7" w14:paraId="17374343" w14:textId="77777777" w:rsidTr="0085711F">
        <w:trPr>
          <w:jc w:val="center"/>
        </w:trPr>
        <w:tc>
          <w:tcPr>
            <w:tcW w:w="964" w:type="dxa"/>
            <w:tcMar>
              <w:top w:w="60" w:type="dxa"/>
              <w:left w:w="80" w:type="dxa"/>
              <w:bottom w:w="60" w:type="dxa"/>
              <w:right w:w="80" w:type="dxa"/>
            </w:tcMar>
            <w:vAlign w:val="center"/>
          </w:tcPr>
          <w:p w14:paraId="59884F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w:t>
            </w:r>
          </w:p>
        </w:tc>
        <w:tc>
          <w:tcPr>
            <w:tcW w:w="3288" w:type="dxa"/>
            <w:tcMar>
              <w:top w:w="60" w:type="dxa"/>
              <w:left w:w="80" w:type="dxa"/>
              <w:bottom w:w="60" w:type="dxa"/>
              <w:right w:w="80" w:type="dxa"/>
            </w:tcMar>
            <w:vAlign w:val="center"/>
          </w:tcPr>
          <w:p w14:paraId="5D6BF3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ضعف دقة المخرجات أو عدم ملاءمتها للسياق</w:t>
            </w:r>
          </w:p>
        </w:tc>
        <w:tc>
          <w:tcPr>
            <w:tcW w:w="3061" w:type="dxa"/>
            <w:tcMar>
              <w:top w:w="60" w:type="dxa"/>
              <w:left w:w="80" w:type="dxa"/>
              <w:bottom w:w="60" w:type="dxa"/>
              <w:right w:w="80" w:type="dxa"/>
            </w:tcMar>
            <w:vAlign w:val="center"/>
          </w:tcPr>
          <w:p w14:paraId="1176B8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Kshetri et al. (2023)</w:t>
            </w:r>
          </w:p>
        </w:tc>
        <w:tc>
          <w:tcPr>
            <w:tcW w:w="3175" w:type="dxa"/>
            <w:tcMar>
              <w:top w:w="60" w:type="dxa"/>
              <w:left w:w="80" w:type="dxa"/>
              <w:bottom w:w="60" w:type="dxa"/>
              <w:right w:w="80" w:type="dxa"/>
            </w:tcMar>
            <w:vAlign w:val="center"/>
          </w:tcPr>
          <w:p w14:paraId="1295C87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جودة المخرجات والملاءمة المحلية.</w:t>
            </w:r>
          </w:p>
        </w:tc>
      </w:tr>
      <w:tr w:rsidR="00F035EA" w:rsidRPr="00C22AB7" w14:paraId="7649BE0F" w14:textId="77777777" w:rsidTr="0085711F">
        <w:trPr>
          <w:jc w:val="center"/>
        </w:trPr>
        <w:tc>
          <w:tcPr>
            <w:tcW w:w="964" w:type="dxa"/>
            <w:tcMar>
              <w:top w:w="60" w:type="dxa"/>
              <w:left w:w="80" w:type="dxa"/>
              <w:bottom w:w="60" w:type="dxa"/>
              <w:right w:w="80" w:type="dxa"/>
            </w:tcMar>
            <w:vAlign w:val="center"/>
          </w:tcPr>
          <w:p w14:paraId="3E1C1B4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BAR2</w:t>
            </w:r>
          </w:p>
        </w:tc>
        <w:tc>
          <w:tcPr>
            <w:tcW w:w="3288" w:type="dxa"/>
            <w:tcMar>
              <w:top w:w="60" w:type="dxa"/>
              <w:left w:w="80" w:type="dxa"/>
              <w:bottom w:w="60" w:type="dxa"/>
              <w:right w:w="80" w:type="dxa"/>
            </w:tcMar>
            <w:vAlign w:val="center"/>
          </w:tcPr>
          <w:p w14:paraId="574E9C7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أخطاء لغوية أو مفاهيمية باللغة العربية</w:t>
            </w:r>
          </w:p>
        </w:tc>
        <w:tc>
          <w:tcPr>
            <w:tcW w:w="3061" w:type="dxa"/>
            <w:tcMar>
              <w:top w:w="60" w:type="dxa"/>
              <w:left w:w="80" w:type="dxa"/>
              <w:bottom w:w="60" w:type="dxa"/>
              <w:right w:w="80" w:type="dxa"/>
            </w:tcMar>
            <w:vAlign w:val="center"/>
          </w:tcPr>
          <w:p w14:paraId="7DD5C49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عبد الرزاق (2022); SDAIA (2024)</w:t>
            </w:r>
          </w:p>
        </w:tc>
        <w:tc>
          <w:tcPr>
            <w:tcW w:w="3175" w:type="dxa"/>
            <w:tcMar>
              <w:top w:w="60" w:type="dxa"/>
              <w:left w:w="80" w:type="dxa"/>
              <w:bottom w:w="60" w:type="dxa"/>
              <w:right w:w="80" w:type="dxa"/>
            </w:tcMar>
            <w:vAlign w:val="center"/>
          </w:tcPr>
          <w:p w14:paraId="0CE2DD2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لتحديات اللغة العربية والمراجعة البشرية.</w:t>
            </w:r>
          </w:p>
        </w:tc>
      </w:tr>
      <w:tr w:rsidR="00F035EA" w:rsidRPr="00C22AB7" w14:paraId="44C2479D" w14:textId="77777777" w:rsidTr="0085711F">
        <w:trPr>
          <w:jc w:val="center"/>
        </w:trPr>
        <w:tc>
          <w:tcPr>
            <w:tcW w:w="964" w:type="dxa"/>
            <w:tcMar>
              <w:top w:w="60" w:type="dxa"/>
              <w:left w:w="80" w:type="dxa"/>
              <w:bottom w:w="60" w:type="dxa"/>
              <w:right w:w="80" w:type="dxa"/>
            </w:tcMar>
            <w:vAlign w:val="center"/>
          </w:tcPr>
          <w:p w14:paraId="060D307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BAR3</w:t>
            </w:r>
          </w:p>
        </w:tc>
        <w:tc>
          <w:tcPr>
            <w:tcW w:w="3288" w:type="dxa"/>
            <w:tcMar>
              <w:top w:w="60" w:type="dxa"/>
              <w:left w:w="80" w:type="dxa"/>
              <w:bottom w:w="60" w:type="dxa"/>
              <w:right w:w="80" w:type="dxa"/>
            </w:tcMar>
            <w:vAlign w:val="center"/>
          </w:tcPr>
          <w:p w14:paraId="43086D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356E78F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Kumar (2023); McKinsey &amp; Company (2024)</w:t>
            </w:r>
          </w:p>
        </w:tc>
        <w:tc>
          <w:tcPr>
            <w:tcW w:w="3175" w:type="dxa"/>
            <w:tcMar>
              <w:top w:w="60" w:type="dxa"/>
              <w:left w:w="80" w:type="dxa"/>
              <w:bottom w:w="60" w:type="dxa"/>
              <w:right w:w="80" w:type="dxa"/>
            </w:tcMar>
            <w:vAlign w:val="center"/>
          </w:tcPr>
          <w:p w14:paraId="6A22667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التكلفة وتوفر الأدوات.</w:t>
            </w:r>
          </w:p>
        </w:tc>
      </w:tr>
      <w:tr w:rsidR="00F035EA" w:rsidRPr="00C22AB7" w14:paraId="4A6674AD" w14:textId="77777777" w:rsidTr="0085711F">
        <w:trPr>
          <w:jc w:val="center"/>
        </w:trPr>
        <w:tc>
          <w:tcPr>
            <w:tcW w:w="964" w:type="dxa"/>
            <w:tcMar>
              <w:top w:w="60" w:type="dxa"/>
              <w:left w:w="80" w:type="dxa"/>
              <w:bottom w:w="60" w:type="dxa"/>
              <w:right w:w="80" w:type="dxa"/>
            </w:tcMar>
            <w:vAlign w:val="center"/>
          </w:tcPr>
          <w:p w14:paraId="6C421E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BAR4</w:t>
            </w:r>
          </w:p>
        </w:tc>
        <w:tc>
          <w:tcPr>
            <w:tcW w:w="3288" w:type="dxa"/>
            <w:tcMar>
              <w:top w:w="60" w:type="dxa"/>
              <w:left w:w="80" w:type="dxa"/>
              <w:bottom w:w="60" w:type="dxa"/>
              <w:right w:w="80" w:type="dxa"/>
            </w:tcMar>
            <w:vAlign w:val="center"/>
          </w:tcPr>
          <w:p w14:paraId="3F8919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صعوبة الدمج مع أنظمة العمل والمنصات</w:t>
            </w:r>
          </w:p>
        </w:tc>
        <w:tc>
          <w:tcPr>
            <w:tcW w:w="3061" w:type="dxa"/>
            <w:tcMar>
              <w:top w:w="60" w:type="dxa"/>
              <w:left w:w="80" w:type="dxa"/>
              <w:bottom w:w="60" w:type="dxa"/>
              <w:right w:w="80" w:type="dxa"/>
            </w:tcMar>
            <w:vAlign w:val="center"/>
          </w:tcPr>
          <w:p w14:paraId="09B143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708571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التكامل التقني والتنظيمي.</w:t>
            </w:r>
          </w:p>
        </w:tc>
      </w:tr>
      <w:tr w:rsidR="00F035EA" w:rsidRPr="00C22AB7" w14:paraId="3FC0A0F2" w14:textId="77777777" w:rsidTr="0085711F">
        <w:trPr>
          <w:jc w:val="center"/>
        </w:trPr>
        <w:tc>
          <w:tcPr>
            <w:tcW w:w="964" w:type="dxa"/>
            <w:tcMar>
              <w:top w:w="60" w:type="dxa"/>
              <w:left w:w="80" w:type="dxa"/>
              <w:bottom w:w="60" w:type="dxa"/>
              <w:right w:w="80" w:type="dxa"/>
            </w:tcMar>
            <w:vAlign w:val="center"/>
          </w:tcPr>
          <w:p w14:paraId="5796FC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BAR5</w:t>
            </w:r>
          </w:p>
        </w:tc>
        <w:tc>
          <w:tcPr>
            <w:tcW w:w="3288" w:type="dxa"/>
            <w:tcMar>
              <w:top w:w="60" w:type="dxa"/>
              <w:left w:w="80" w:type="dxa"/>
              <w:bottom w:w="60" w:type="dxa"/>
              <w:right w:w="80" w:type="dxa"/>
            </w:tcMar>
            <w:vAlign w:val="center"/>
          </w:tcPr>
          <w:p w14:paraId="5668149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نقص مهارات صياغة الأوامر وتقييم المخرجات</w:t>
            </w:r>
          </w:p>
        </w:tc>
        <w:tc>
          <w:tcPr>
            <w:tcW w:w="3061" w:type="dxa"/>
            <w:tcMar>
              <w:top w:w="60" w:type="dxa"/>
              <w:left w:w="80" w:type="dxa"/>
              <w:bottom w:w="60" w:type="dxa"/>
              <w:right w:w="80" w:type="dxa"/>
            </w:tcMar>
            <w:vAlign w:val="center"/>
          </w:tcPr>
          <w:p w14:paraId="71EA06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محيسن، مجاهد، وبصبوص (2025)</w:t>
            </w:r>
          </w:p>
        </w:tc>
        <w:tc>
          <w:tcPr>
            <w:tcW w:w="3175" w:type="dxa"/>
            <w:tcMar>
              <w:top w:w="60" w:type="dxa"/>
              <w:left w:w="80" w:type="dxa"/>
              <w:bottom w:w="60" w:type="dxa"/>
              <w:right w:w="80" w:type="dxa"/>
            </w:tcMar>
            <w:vAlign w:val="center"/>
          </w:tcPr>
          <w:p w14:paraId="3A1481B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مهارات هندسة التلقين وتقييم الجودة.</w:t>
            </w:r>
          </w:p>
        </w:tc>
      </w:tr>
      <w:tr w:rsidR="00F035EA" w:rsidRPr="00C22AB7" w14:paraId="75C71EB6" w14:textId="77777777" w:rsidTr="0085711F">
        <w:trPr>
          <w:jc w:val="center"/>
        </w:trPr>
        <w:tc>
          <w:tcPr>
            <w:tcW w:w="964" w:type="dxa"/>
            <w:tcMar>
              <w:top w:w="60" w:type="dxa"/>
              <w:left w:w="80" w:type="dxa"/>
              <w:bottom w:w="60" w:type="dxa"/>
              <w:right w:w="80" w:type="dxa"/>
            </w:tcMar>
            <w:vAlign w:val="center"/>
          </w:tcPr>
          <w:p w14:paraId="5BEB3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BAR6</w:t>
            </w:r>
          </w:p>
        </w:tc>
        <w:tc>
          <w:tcPr>
            <w:tcW w:w="3288" w:type="dxa"/>
            <w:tcMar>
              <w:top w:w="60" w:type="dxa"/>
              <w:left w:w="80" w:type="dxa"/>
              <w:bottom w:w="60" w:type="dxa"/>
              <w:right w:w="80" w:type="dxa"/>
            </w:tcMar>
            <w:vAlign w:val="center"/>
          </w:tcPr>
          <w:p w14:paraId="692318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محدودية البرامج التدريبية المتخصصة</w:t>
            </w:r>
          </w:p>
        </w:tc>
        <w:tc>
          <w:tcPr>
            <w:tcW w:w="3061" w:type="dxa"/>
            <w:tcMar>
              <w:top w:w="60" w:type="dxa"/>
              <w:left w:w="80" w:type="dxa"/>
              <w:bottom w:w="60" w:type="dxa"/>
              <w:right w:w="80" w:type="dxa"/>
            </w:tcMar>
            <w:vAlign w:val="center"/>
          </w:tcPr>
          <w:p w14:paraId="026FDB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محيسن، مجاهد، وبصبوص (2025); Masnita et al. (2024)</w:t>
            </w:r>
          </w:p>
        </w:tc>
        <w:tc>
          <w:tcPr>
            <w:tcW w:w="3175" w:type="dxa"/>
            <w:tcMar>
              <w:top w:w="60" w:type="dxa"/>
              <w:left w:w="80" w:type="dxa"/>
              <w:bottom w:w="60" w:type="dxa"/>
              <w:right w:w="80" w:type="dxa"/>
            </w:tcMar>
            <w:vAlign w:val="center"/>
          </w:tcPr>
          <w:p w14:paraId="18404C9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بفجوة التدريب العملي.</w:t>
            </w:r>
          </w:p>
        </w:tc>
      </w:tr>
      <w:tr w:rsidR="00F035EA" w:rsidRPr="00C22AB7" w14:paraId="5E3956F4" w14:textId="77777777" w:rsidTr="0085711F">
        <w:trPr>
          <w:jc w:val="center"/>
        </w:trPr>
        <w:tc>
          <w:tcPr>
            <w:tcW w:w="964" w:type="dxa"/>
            <w:tcMar>
              <w:top w:w="60" w:type="dxa"/>
              <w:left w:w="80" w:type="dxa"/>
              <w:bottom w:w="60" w:type="dxa"/>
              <w:right w:w="80" w:type="dxa"/>
            </w:tcMar>
            <w:vAlign w:val="center"/>
          </w:tcPr>
          <w:p w14:paraId="72F225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BAR7</w:t>
            </w:r>
          </w:p>
        </w:tc>
        <w:tc>
          <w:tcPr>
            <w:tcW w:w="3288" w:type="dxa"/>
            <w:tcMar>
              <w:top w:w="60" w:type="dxa"/>
              <w:left w:w="80" w:type="dxa"/>
              <w:bottom w:w="60" w:type="dxa"/>
              <w:right w:w="80" w:type="dxa"/>
            </w:tcMar>
            <w:vAlign w:val="center"/>
          </w:tcPr>
          <w:p w14:paraId="4E95833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مقاومة التغيير وتفضيل الأساليب التقليدية</w:t>
            </w:r>
          </w:p>
        </w:tc>
        <w:tc>
          <w:tcPr>
            <w:tcW w:w="3061" w:type="dxa"/>
            <w:tcMar>
              <w:top w:w="60" w:type="dxa"/>
              <w:left w:w="80" w:type="dxa"/>
              <w:bottom w:w="60" w:type="dxa"/>
              <w:right w:w="80" w:type="dxa"/>
            </w:tcMar>
            <w:vAlign w:val="center"/>
          </w:tcPr>
          <w:p w14:paraId="58D83F4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Sharabati et al. (2024)</w:t>
            </w:r>
          </w:p>
        </w:tc>
        <w:tc>
          <w:tcPr>
            <w:tcW w:w="3175" w:type="dxa"/>
            <w:tcMar>
              <w:top w:w="60" w:type="dxa"/>
              <w:left w:w="80" w:type="dxa"/>
              <w:bottom w:w="60" w:type="dxa"/>
              <w:right w:w="80" w:type="dxa"/>
            </w:tcMar>
            <w:vAlign w:val="center"/>
          </w:tcPr>
          <w:p w14:paraId="7B00869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مقاومة التغيير داخل الوكالات.</w:t>
            </w:r>
          </w:p>
        </w:tc>
      </w:tr>
      <w:tr w:rsidR="00F035EA" w:rsidRPr="00C22AB7" w14:paraId="12437DBF" w14:textId="77777777" w:rsidTr="0085711F">
        <w:trPr>
          <w:jc w:val="center"/>
        </w:trPr>
        <w:tc>
          <w:tcPr>
            <w:tcW w:w="964" w:type="dxa"/>
            <w:tcMar>
              <w:top w:w="60" w:type="dxa"/>
              <w:left w:w="80" w:type="dxa"/>
              <w:bottom w:w="60" w:type="dxa"/>
              <w:right w:w="80" w:type="dxa"/>
            </w:tcMar>
            <w:vAlign w:val="center"/>
          </w:tcPr>
          <w:p w14:paraId="58C9BC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BAR8</w:t>
            </w:r>
          </w:p>
        </w:tc>
        <w:tc>
          <w:tcPr>
            <w:tcW w:w="3288" w:type="dxa"/>
            <w:tcMar>
              <w:top w:w="60" w:type="dxa"/>
              <w:left w:w="80" w:type="dxa"/>
              <w:bottom w:w="60" w:type="dxa"/>
              <w:right w:w="80" w:type="dxa"/>
            </w:tcMar>
            <w:vAlign w:val="center"/>
          </w:tcPr>
          <w:p w14:paraId="4E5965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مخاوف حماية البيانات وخصوصية الحملات</w:t>
            </w:r>
          </w:p>
        </w:tc>
        <w:tc>
          <w:tcPr>
            <w:tcW w:w="3061" w:type="dxa"/>
            <w:tcMar>
              <w:top w:w="60" w:type="dxa"/>
              <w:left w:w="80" w:type="dxa"/>
              <w:bottom w:w="60" w:type="dxa"/>
              <w:right w:w="80" w:type="dxa"/>
            </w:tcMar>
            <w:vAlign w:val="center"/>
          </w:tcPr>
          <w:p w14:paraId="569552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هيئة الحكومة الرقمية (2023)</w:t>
            </w:r>
          </w:p>
        </w:tc>
        <w:tc>
          <w:tcPr>
            <w:tcW w:w="3175" w:type="dxa"/>
            <w:tcMar>
              <w:top w:w="60" w:type="dxa"/>
              <w:left w:w="80" w:type="dxa"/>
              <w:bottom w:w="60" w:type="dxa"/>
              <w:right w:w="80" w:type="dxa"/>
            </w:tcMar>
            <w:vAlign w:val="center"/>
          </w:tcPr>
          <w:p w14:paraId="399B34C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بالخصوصية وأمن البيانات.</w:t>
            </w:r>
          </w:p>
        </w:tc>
      </w:tr>
      <w:tr w:rsidR="00F035EA" w:rsidRPr="00C22AB7" w14:paraId="12F9492C" w14:textId="77777777" w:rsidTr="0085711F">
        <w:trPr>
          <w:jc w:val="center"/>
        </w:trPr>
        <w:tc>
          <w:tcPr>
            <w:tcW w:w="964" w:type="dxa"/>
            <w:tcMar>
              <w:top w:w="60" w:type="dxa"/>
              <w:left w:w="80" w:type="dxa"/>
              <w:bottom w:w="60" w:type="dxa"/>
              <w:right w:w="80" w:type="dxa"/>
            </w:tcMar>
            <w:vAlign w:val="center"/>
          </w:tcPr>
          <w:p w14:paraId="423BD39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BAR9</w:t>
            </w:r>
          </w:p>
        </w:tc>
        <w:tc>
          <w:tcPr>
            <w:tcW w:w="3288" w:type="dxa"/>
            <w:tcMar>
              <w:top w:w="60" w:type="dxa"/>
              <w:left w:w="80" w:type="dxa"/>
              <w:bottom w:w="60" w:type="dxa"/>
              <w:right w:w="80" w:type="dxa"/>
            </w:tcMar>
            <w:vAlign w:val="center"/>
          </w:tcPr>
          <w:p w14:paraId="0C3215F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788155B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ملتقى أسبار (2023); SDAIA (2024)</w:t>
            </w:r>
          </w:p>
        </w:tc>
        <w:tc>
          <w:tcPr>
            <w:tcW w:w="3175" w:type="dxa"/>
            <w:tcMar>
              <w:top w:w="60" w:type="dxa"/>
              <w:left w:w="80" w:type="dxa"/>
              <w:bottom w:w="60" w:type="dxa"/>
              <w:right w:w="80" w:type="dxa"/>
            </w:tcMar>
            <w:vAlign w:val="center"/>
          </w:tcPr>
          <w:p w14:paraId="14C2DF3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لعائق الملكية الفكرية والمسؤولية القانونية.</w:t>
            </w:r>
          </w:p>
        </w:tc>
      </w:tr>
      <w:tr w:rsidR="00F035EA" w:rsidRPr="00C22AB7" w14:paraId="5B5D8969" w14:textId="77777777" w:rsidTr="0085711F">
        <w:trPr>
          <w:jc w:val="center"/>
        </w:trPr>
        <w:tc>
          <w:tcPr>
            <w:tcW w:w="964" w:type="dxa"/>
            <w:tcMar>
              <w:top w:w="60" w:type="dxa"/>
              <w:left w:w="80" w:type="dxa"/>
              <w:bottom w:w="60" w:type="dxa"/>
              <w:right w:w="80" w:type="dxa"/>
            </w:tcMar>
            <w:vAlign w:val="center"/>
          </w:tcPr>
          <w:p w14:paraId="0078E5D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BAR10</w:t>
            </w:r>
          </w:p>
        </w:tc>
        <w:tc>
          <w:tcPr>
            <w:tcW w:w="3288" w:type="dxa"/>
            <w:tcMar>
              <w:top w:w="60" w:type="dxa"/>
              <w:left w:w="80" w:type="dxa"/>
              <w:bottom w:w="60" w:type="dxa"/>
              <w:right w:w="80" w:type="dxa"/>
            </w:tcMar>
            <w:vAlign w:val="center"/>
          </w:tcPr>
          <w:p w14:paraId="39154B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01053A5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SDAIA (2024)</w:t>
            </w:r>
          </w:p>
        </w:tc>
        <w:tc>
          <w:tcPr>
            <w:tcW w:w="3175" w:type="dxa"/>
            <w:tcMar>
              <w:top w:w="60" w:type="dxa"/>
              <w:left w:w="80" w:type="dxa"/>
              <w:bottom w:w="60" w:type="dxa"/>
              <w:right w:w="80" w:type="dxa"/>
            </w:tcMar>
            <w:vAlign w:val="center"/>
          </w:tcPr>
          <w:p w14:paraId="409CD32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الحوكمة والسياسات الداخلية.</w:t>
            </w:r>
          </w:p>
        </w:tc>
      </w:tr>
      <w:tr w:rsidR="00F035EA" w:rsidRPr="00C22AB7" w14:paraId="29AE60E0" w14:textId="77777777" w:rsidTr="0085711F">
        <w:trPr>
          <w:jc w:val="center"/>
        </w:trPr>
        <w:tc>
          <w:tcPr>
            <w:tcW w:w="964" w:type="dxa"/>
            <w:tcMar>
              <w:top w:w="60" w:type="dxa"/>
              <w:left w:w="80" w:type="dxa"/>
              <w:bottom w:w="60" w:type="dxa"/>
              <w:right w:w="80" w:type="dxa"/>
            </w:tcMar>
            <w:vAlign w:val="center"/>
          </w:tcPr>
          <w:p w14:paraId="2E6D6B5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MP1</w:t>
            </w:r>
          </w:p>
        </w:tc>
        <w:tc>
          <w:tcPr>
            <w:tcW w:w="3288" w:type="dxa"/>
            <w:tcMar>
              <w:top w:w="60" w:type="dxa"/>
              <w:left w:w="80" w:type="dxa"/>
              <w:bottom w:w="60" w:type="dxa"/>
              <w:right w:w="80" w:type="dxa"/>
            </w:tcMar>
            <w:vAlign w:val="center"/>
          </w:tcPr>
          <w:p w14:paraId="36BAEB07" w14:textId="62C92121" w:rsidR="00F035EA" w:rsidRPr="00C22AB7" w:rsidRDefault="008E51DC" w:rsidP="0085711F">
            <w:pPr>
              <w:bidi/>
              <w:spacing w:after="0" w:line="240" w:lineRule="auto"/>
              <w:jc w:val="center"/>
              <w:rPr>
                <w:rFonts w:ascii="Arial" w:eastAsia="Arial" w:hAnsi="Arial" w:cs="Arial"/>
              </w:rPr>
            </w:pPr>
            <w:r w:rsidRPr="008E51DC">
              <w:rPr>
                <w:rFonts w:ascii="Times New Roman" w:eastAsia="Noto Naskh Arabic" w:hAnsi="Times New Roman" w:cs="Arial"/>
                <w:color w:val="FF0000"/>
                <w:sz w:val="18"/>
                <w:rtl/>
              </w:rPr>
              <w:t>المحتوى النهائي للحملات الرقمية في الوكالة ملائم لأهداف الحملة.</w:t>
            </w:r>
          </w:p>
        </w:tc>
        <w:tc>
          <w:tcPr>
            <w:tcW w:w="3061" w:type="dxa"/>
            <w:tcMar>
              <w:top w:w="60" w:type="dxa"/>
              <w:left w:w="80" w:type="dxa"/>
              <w:bottom w:w="60" w:type="dxa"/>
              <w:right w:w="80" w:type="dxa"/>
            </w:tcMar>
            <w:vAlign w:val="center"/>
          </w:tcPr>
          <w:p w14:paraId="3BD734E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Nuremberg Institute for Market Decisions (2024); Islam et al. (2024)</w:t>
            </w:r>
          </w:p>
        </w:tc>
        <w:tc>
          <w:tcPr>
            <w:tcW w:w="3175" w:type="dxa"/>
            <w:tcMar>
              <w:top w:w="60" w:type="dxa"/>
              <w:left w:w="80" w:type="dxa"/>
              <w:bottom w:w="60" w:type="dxa"/>
              <w:right w:w="80" w:type="dxa"/>
            </w:tcMar>
            <w:vAlign w:val="center"/>
          </w:tcPr>
          <w:p w14:paraId="4A152EBA" w14:textId="19E1E6A0"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جودة المحتوى النهائي وملاءمته للأهداف.</w:t>
            </w:r>
          </w:p>
        </w:tc>
      </w:tr>
      <w:tr w:rsidR="00F035EA" w:rsidRPr="00C22AB7" w14:paraId="1289815E" w14:textId="77777777" w:rsidTr="0085711F">
        <w:trPr>
          <w:jc w:val="center"/>
        </w:trPr>
        <w:tc>
          <w:tcPr>
            <w:tcW w:w="964" w:type="dxa"/>
            <w:tcMar>
              <w:top w:w="60" w:type="dxa"/>
              <w:left w:w="80" w:type="dxa"/>
              <w:bottom w:w="60" w:type="dxa"/>
              <w:right w:w="80" w:type="dxa"/>
            </w:tcMar>
            <w:vAlign w:val="center"/>
          </w:tcPr>
          <w:p w14:paraId="21C739E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MP2</w:t>
            </w:r>
          </w:p>
        </w:tc>
        <w:tc>
          <w:tcPr>
            <w:tcW w:w="3288" w:type="dxa"/>
            <w:tcMar>
              <w:top w:w="60" w:type="dxa"/>
              <w:left w:w="80" w:type="dxa"/>
              <w:bottom w:w="60" w:type="dxa"/>
              <w:right w:w="80" w:type="dxa"/>
            </w:tcMar>
            <w:vAlign w:val="center"/>
          </w:tcPr>
          <w:p w14:paraId="73054C8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2D55A9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Heitmann (2024)</w:t>
            </w:r>
          </w:p>
        </w:tc>
        <w:tc>
          <w:tcPr>
            <w:tcW w:w="3175" w:type="dxa"/>
            <w:tcMar>
              <w:top w:w="60" w:type="dxa"/>
              <w:left w:w="80" w:type="dxa"/>
              <w:bottom w:w="60" w:type="dxa"/>
              <w:right w:w="80" w:type="dxa"/>
            </w:tcMar>
            <w:vAlign w:val="center"/>
          </w:tcPr>
          <w:p w14:paraId="4A4D4CD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جودة الرسائل الإعلانية.</w:t>
            </w:r>
          </w:p>
        </w:tc>
      </w:tr>
      <w:tr w:rsidR="00F035EA" w:rsidRPr="00C22AB7" w14:paraId="095E34B7" w14:textId="77777777" w:rsidTr="0085711F">
        <w:trPr>
          <w:jc w:val="center"/>
        </w:trPr>
        <w:tc>
          <w:tcPr>
            <w:tcW w:w="964" w:type="dxa"/>
            <w:tcMar>
              <w:top w:w="60" w:type="dxa"/>
              <w:left w:w="80" w:type="dxa"/>
              <w:bottom w:w="60" w:type="dxa"/>
              <w:right w:w="80" w:type="dxa"/>
            </w:tcMar>
            <w:vAlign w:val="center"/>
          </w:tcPr>
          <w:p w14:paraId="40349B8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MP3</w:t>
            </w:r>
          </w:p>
        </w:tc>
        <w:tc>
          <w:tcPr>
            <w:tcW w:w="3288" w:type="dxa"/>
            <w:tcMar>
              <w:top w:w="60" w:type="dxa"/>
              <w:left w:w="80" w:type="dxa"/>
              <w:bottom w:w="60" w:type="dxa"/>
              <w:right w:w="80" w:type="dxa"/>
            </w:tcMar>
            <w:vAlign w:val="center"/>
          </w:tcPr>
          <w:p w14:paraId="3D3FAC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ملاءمة الرسالة للجمهور المستهدف</w:t>
            </w:r>
          </w:p>
        </w:tc>
        <w:tc>
          <w:tcPr>
            <w:tcW w:w="3061" w:type="dxa"/>
            <w:tcMar>
              <w:top w:w="60" w:type="dxa"/>
              <w:left w:w="80" w:type="dxa"/>
              <w:bottom w:w="60" w:type="dxa"/>
              <w:right w:w="80" w:type="dxa"/>
            </w:tcMar>
            <w:vAlign w:val="center"/>
          </w:tcPr>
          <w:p w14:paraId="4EDA48A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27231EB8" w14:textId="257A4BF1"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دقة ملاءمة الرسالة للجمهور.</w:t>
            </w:r>
          </w:p>
        </w:tc>
      </w:tr>
      <w:tr w:rsidR="00F035EA" w:rsidRPr="00C22AB7" w14:paraId="3ED6E455" w14:textId="77777777" w:rsidTr="0085711F">
        <w:trPr>
          <w:jc w:val="center"/>
        </w:trPr>
        <w:tc>
          <w:tcPr>
            <w:tcW w:w="964" w:type="dxa"/>
            <w:tcMar>
              <w:top w:w="60" w:type="dxa"/>
              <w:left w:w="80" w:type="dxa"/>
              <w:bottom w:w="60" w:type="dxa"/>
              <w:right w:w="80" w:type="dxa"/>
            </w:tcMar>
            <w:vAlign w:val="center"/>
          </w:tcPr>
          <w:p w14:paraId="7E1908F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MP4</w:t>
            </w:r>
          </w:p>
        </w:tc>
        <w:tc>
          <w:tcPr>
            <w:tcW w:w="3288" w:type="dxa"/>
            <w:tcMar>
              <w:top w:w="60" w:type="dxa"/>
              <w:left w:w="80" w:type="dxa"/>
              <w:bottom w:w="60" w:type="dxa"/>
              <w:right w:w="80" w:type="dxa"/>
            </w:tcMar>
            <w:vAlign w:val="center"/>
          </w:tcPr>
          <w:p w14:paraId="217A370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معدلات التفاعل الرقمي</w:t>
            </w:r>
          </w:p>
        </w:tc>
        <w:tc>
          <w:tcPr>
            <w:tcW w:w="3061" w:type="dxa"/>
            <w:tcMar>
              <w:top w:w="60" w:type="dxa"/>
              <w:left w:w="80" w:type="dxa"/>
              <w:bottom w:w="60" w:type="dxa"/>
              <w:right w:w="80" w:type="dxa"/>
            </w:tcMar>
            <w:vAlign w:val="center"/>
          </w:tcPr>
          <w:p w14:paraId="689D3FF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الخطيب (2024); Gujar &amp; Panyam (2024)</w:t>
            </w:r>
          </w:p>
        </w:tc>
        <w:tc>
          <w:tcPr>
            <w:tcW w:w="3175" w:type="dxa"/>
            <w:tcMar>
              <w:top w:w="60" w:type="dxa"/>
              <w:left w:w="80" w:type="dxa"/>
              <w:bottom w:w="60" w:type="dxa"/>
              <w:right w:w="80" w:type="dxa"/>
            </w:tcMar>
            <w:vAlign w:val="center"/>
          </w:tcPr>
          <w:p w14:paraId="73AC94D7" w14:textId="3E52CA41"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مستوى التفاعل الرقمي المتحقق.</w:t>
            </w:r>
          </w:p>
        </w:tc>
      </w:tr>
      <w:tr w:rsidR="00F035EA" w:rsidRPr="00C22AB7" w14:paraId="7F2CC372" w14:textId="77777777" w:rsidTr="0085711F">
        <w:trPr>
          <w:jc w:val="center"/>
        </w:trPr>
        <w:tc>
          <w:tcPr>
            <w:tcW w:w="964" w:type="dxa"/>
            <w:tcMar>
              <w:top w:w="60" w:type="dxa"/>
              <w:left w:w="80" w:type="dxa"/>
              <w:bottom w:w="60" w:type="dxa"/>
              <w:right w:w="80" w:type="dxa"/>
            </w:tcMar>
            <w:vAlign w:val="center"/>
          </w:tcPr>
          <w:p w14:paraId="55025DD4"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MP5</w:t>
            </w:r>
          </w:p>
        </w:tc>
        <w:tc>
          <w:tcPr>
            <w:tcW w:w="3288" w:type="dxa"/>
            <w:tcMar>
              <w:top w:w="60" w:type="dxa"/>
              <w:left w:w="80" w:type="dxa"/>
              <w:bottom w:w="60" w:type="dxa"/>
              <w:right w:w="80" w:type="dxa"/>
            </w:tcMar>
            <w:vAlign w:val="center"/>
          </w:tcPr>
          <w:p w14:paraId="56D67CC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7D7D0A2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Nuremberg Institute for Market Decisions (2024)</w:t>
            </w:r>
          </w:p>
        </w:tc>
        <w:tc>
          <w:tcPr>
            <w:tcW w:w="3175" w:type="dxa"/>
            <w:tcMar>
              <w:top w:w="60" w:type="dxa"/>
              <w:left w:w="80" w:type="dxa"/>
              <w:bottom w:w="60" w:type="dxa"/>
              <w:right w:w="80" w:type="dxa"/>
            </w:tcMar>
            <w:vAlign w:val="center"/>
          </w:tcPr>
          <w:p w14:paraId="40FB2E51" w14:textId="31C4D556"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التحويل وتوليد العملاء المحتملين.</w:t>
            </w:r>
          </w:p>
        </w:tc>
      </w:tr>
      <w:tr w:rsidR="00F035EA" w:rsidRPr="00C22AB7" w14:paraId="0E2AB8A5" w14:textId="77777777" w:rsidTr="0085711F">
        <w:trPr>
          <w:jc w:val="center"/>
        </w:trPr>
        <w:tc>
          <w:tcPr>
            <w:tcW w:w="964" w:type="dxa"/>
            <w:tcMar>
              <w:top w:w="60" w:type="dxa"/>
              <w:left w:w="80" w:type="dxa"/>
              <w:bottom w:w="60" w:type="dxa"/>
              <w:right w:w="80" w:type="dxa"/>
            </w:tcMar>
            <w:vAlign w:val="center"/>
          </w:tcPr>
          <w:p w14:paraId="7352ED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MP6</w:t>
            </w:r>
          </w:p>
        </w:tc>
        <w:tc>
          <w:tcPr>
            <w:tcW w:w="3288" w:type="dxa"/>
            <w:tcMar>
              <w:top w:w="60" w:type="dxa"/>
              <w:left w:w="80" w:type="dxa"/>
              <w:bottom w:w="60" w:type="dxa"/>
              <w:right w:w="80" w:type="dxa"/>
            </w:tcMar>
            <w:vAlign w:val="center"/>
          </w:tcPr>
          <w:p w14:paraId="4F6BD9A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كفاءة الإنفاق الإعلاني وتقليل الهدر</w:t>
            </w:r>
          </w:p>
        </w:tc>
        <w:tc>
          <w:tcPr>
            <w:tcW w:w="3061" w:type="dxa"/>
            <w:tcMar>
              <w:top w:w="60" w:type="dxa"/>
              <w:left w:w="80" w:type="dxa"/>
              <w:bottom w:w="60" w:type="dxa"/>
              <w:right w:w="80" w:type="dxa"/>
            </w:tcMar>
            <w:vAlign w:val="center"/>
          </w:tcPr>
          <w:p w14:paraId="778987C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Islam et al. (2024)</w:t>
            </w:r>
          </w:p>
        </w:tc>
        <w:tc>
          <w:tcPr>
            <w:tcW w:w="3175" w:type="dxa"/>
            <w:tcMar>
              <w:top w:w="60" w:type="dxa"/>
              <w:left w:w="80" w:type="dxa"/>
              <w:bottom w:w="60" w:type="dxa"/>
              <w:right w:w="80" w:type="dxa"/>
            </w:tcMar>
            <w:vAlign w:val="center"/>
          </w:tcPr>
          <w:p w14:paraId="722B9CC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كفاءة الإنفاق الإعلاني.</w:t>
            </w:r>
          </w:p>
        </w:tc>
      </w:tr>
      <w:tr w:rsidR="00F035EA" w:rsidRPr="00C22AB7" w14:paraId="6588DB4A" w14:textId="77777777" w:rsidTr="0085711F">
        <w:trPr>
          <w:jc w:val="center"/>
        </w:trPr>
        <w:tc>
          <w:tcPr>
            <w:tcW w:w="964" w:type="dxa"/>
            <w:tcMar>
              <w:top w:w="60" w:type="dxa"/>
              <w:left w:w="80" w:type="dxa"/>
              <w:bottom w:w="60" w:type="dxa"/>
              <w:right w:w="80" w:type="dxa"/>
            </w:tcMar>
            <w:vAlign w:val="center"/>
          </w:tcPr>
          <w:p w14:paraId="17FA3B8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MP7</w:t>
            </w:r>
          </w:p>
        </w:tc>
        <w:tc>
          <w:tcPr>
            <w:tcW w:w="3288" w:type="dxa"/>
            <w:tcMar>
              <w:top w:w="60" w:type="dxa"/>
              <w:left w:w="80" w:type="dxa"/>
              <w:bottom w:w="60" w:type="dxa"/>
              <w:right w:w="80" w:type="dxa"/>
            </w:tcMar>
            <w:vAlign w:val="center"/>
          </w:tcPr>
          <w:p w14:paraId="75CA7C9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تحقيق مؤشرات الأداء المحددة مسبقًا</w:t>
            </w:r>
          </w:p>
        </w:tc>
        <w:tc>
          <w:tcPr>
            <w:tcW w:w="3061" w:type="dxa"/>
            <w:tcMar>
              <w:top w:w="60" w:type="dxa"/>
              <w:left w:w="80" w:type="dxa"/>
              <w:bottom w:w="60" w:type="dxa"/>
              <w:right w:w="80" w:type="dxa"/>
            </w:tcMar>
            <w:vAlign w:val="center"/>
          </w:tcPr>
          <w:p w14:paraId="741B73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Nuremberg Institute for Market Decisions (2024)</w:t>
            </w:r>
          </w:p>
        </w:tc>
        <w:tc>
          <w:tcPr>
            <w:tcW w:w="3175" w:type="dxa"/>
            <w:tcMar>
              <w:top w:w="60" w:type="dxa"/>
              <w:left w:w="80" w:type="dxa"/>
              <w:bottom w:w="60" w:type="dxa"/>
              <w:right w:w="80" w:type="dxa"/>
            </w:tcMar>
            <w:vAlign w:val="center"/>
          </w:tcPr>
          <w:p w14:paraId="5C23D400" w14:textId="6ED96B1F" w:rsidR="00F035EA" w:rsidRPr="00C22AB7" w:rsidRDefault="008E51DC" w:rsidP="0085711F">
            <w:pPr>
              <w:bidi/>
              <w:spacing w:after="0" w:line="240" w:lineRule="auto"/>
              <w:rPr>
                <w:rFonts w:ascii="Arial" w:eastAsia="Arial" w:hAnsi="Arial" w:cs="Arial"/>
              </w:rPr>
            </w:pPr>
            <w:r w:rsidRPr="008E51DC">
              <w:rPr>
                <w:rFonts w:ascii="Times New Roman" w:eastAsia="Noto Naskh Arabic" w:hAnsi="Times New Roman" w:cs="Arial"/>
                <w:color w:val="FF0000"/>
                <w:sz w:val="18"/>
                <w:rtl/>
              </w:rPr>
              <w:t>قياس تحقيق مؤشرات الأداء المحددة.</w:t>
            </w:r>
          </w:p>
        </w:tc>
      </w:tr>
      <w:tr w:rsidR="00F035EA" w:rsidRPr="00C22AB7" w14:paraId="2188563B" w14:textId="77777777" w:rsidTr="0085711F">
        <w:trPr>
          <w:jc w:val="center"/>
        </w:trPr>
        <w:tc>
          <w:tcPr>
            <w:tcW w:w="964" w:type="dxa"/>
            <w:tcMar>
              <w:top w:w="60" w:type="dxa"/>
              <w:left w:w="80" w:type="dxa"/>
              <w:bottom w:w="60" w:type="dxa"/>
              <w:right w:w="80" w:type="dxa"/>
            </w:tcMar>
            <w:vAlign w:val="center"/>
          </w:tcPr>
          <w:p w14:paraId="4E51972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MP8</w:t>
            </w:r>
          </w:p>
        </w:tc>
        <w:tc>
          <w:tcPr>
            <w:tcW w:w="3288" w:type="dxa"/>
            <w:tcMar>
              <w:top w:w="60" w:type="dxa"/>
              <w:left w:w="80" w:type="dxa"/>
              <w:bottom w:w="60" w:type="dxa"/>
              <w:right w:w="80" w:type="dxa"/>
            </w:tcMar>
            <w:vAlign w:val="center"/>
          </w:tcPr>
          <w:p w14:paraId="2B21656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رضا العملاء عن سرعة وجودة المخرجات</w:t>
            </w:r>
          </w:p>
        </w:tc>
        <w:tc>
          <w:tcPr>
            <w:tcW w:w="3061" w:type="dxa"/>
            <w:tcMar>
              <w:top w:w="60" w:type="dxa"/>
              <w:left w:w="80" w:type="dxa"/>
              <w:bottom w:w="60" w:type="dxa"/>
              <w:right w:w="80" w:type="dxa"/>
            </w:tcMar>
            <w:vAlign w:val="center"/>
          </w:tcPr>
          <w:p w14:paraId="3B3BE1E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بياري (2025); Mendoza et al. (2025)</w:t>
            </w:r>
          </w:p>
        </w:tc>
        <w:tc>
          <w:tcPr>
            <w:tcW w:w="3175" w:type="dxa"/>
            <w:tcMar>
              <w:top w:w="60" w:type="dxa"/>
              <w:left w:w="80" w:type="dxa"/>
              <w:bottom w:w="60" w:type="dxa"/>
              <w:right w:w="80" w:type="dxa"/>
            </w:tcMar>
            <w:vAlign w:val="center"/>
          </w:tcPr>
          <w:p w14:paraId="035651A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رضا العملاء عن مخرجات الحملة.</w:t>
            </w:r>
          </w:p>
        </w:tc>
      </w:tr>
      <w:tr w:rsidR="00F035EA" w:rsidRPr="00C22AB7" w14:paraId="202F8AD0" w14:textId="77777777" w:rsidTr="0085711F">
        <w:trPr>
          <w:jc w:val="center"/>
        </w:trPr>
        <w:tc>
          <w:tcPr>
            <w:tcW w:w="964" w:type="dxa"/>
            <w:tcMar>
              <w:top w:w="60" w:type="dxa"/>
              <w:left w:w="80" w:type="dxa"/>
              <w:bottom w:w="60" w:type="dxa"/>
              <w:right w:w="80" w:type="dxa"/>
            </w:tcMar>
            <w:vAlign w:val="center"/>
          </w:tcPr>
          <w:p w14:paraId="0660DCF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MP9</w:t>
            </w:r>
          </w:p>
        </w:tc>
        <w:tc>
          <w:tcPr>
            <w:tcW w:w="3288" w:type="dxa"/>
            <w:tcMar>
              <w:top w:w="60" w:type="dxa"/>
              <w:left w:w="80" w:type="dxa"/>
              <w:bottom w:w="60" w:type="dxa"/>
              <w:right w:w="80" w:type="dxa"/>
            </w:tcMar>
            <w:vAlign w:val="center"/>
          </w:tcPr>
          <w:p w14:paraId="4D0AC1A8" w14:textId="02986159" w:rsidR="00F035EA" w:rsidRPr="00C22AB7" w:rsidRDefault="008E51DC" w:rsidP="0085711F">
            <w:pPr>
              <w:bidi/>
              <w:spacing w:after="0" w:line="240" w:lineRule="auto"/>
              <w:jc w:val="center"/>
              <w:rPr>
                <w:rFonts w:ascii="Arial" w:eastAsia="Arial" w:hAnsi="Arial" w:cs="Arial"/>
              </w:rPr>
            </w:pPr>
            <w:r w:rsidRPr="008E51DC">
              <w:rPr>
                <w:rFonts w:ascii="Times New Roman" w:eastAsia="Noto Naskh Arabic" w:hAnsi="Times New Roman" w:cs="Arial"/>
                <w:color w:val="FF0000"/>
                <w:sz w:val="18"/>
                <w:rtl/>
              </w:rPr>
              <w:t>بصورة عامة، تتسم الحملات الرقمية للوكالة بفعالية تسويقية عالية.</w:t>
            </w:r>
          </w:p>
        </w:tc>
        <w:tc>
          <w:tcPr>
            <w:tcW w:w="3061" w:type="dxa"/>
            <w:tcMar>
              <w:top w:w="60" w:type="dxa"/>
              <w:left w:w="80" w:type="dxa"/>
              <w:bottom w:w="60" w:type="dxa"/>
              <w:right w:w="80" w:type="dxa"/>
            </w:tcMar>
            <w:vAlign w:val="center"/>
          </w:tcPr>
          <w:p w14:paraId="30B42B8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بياري (2025)</w:t>
            </w:r>
          </w:p>
        </w:tc>
        <w:tc>
          <w:tcPr>
            <w:tcW w:w="3175" w:type="dxa"/>
            <w:tcMar>
              <w:top w:w="60" w:type="dxa"/>
              <w:left w:w="80" w:type="dxa"/>
              <w:bottom w:w="60" w:type="dxa"/>
              <w:right w:w="80" w:type="dxa"/>
            </w:tcMar>
            <w:vAlign w:val="center"/>
          </w:tcPr>
          <w:p w14:paraId="0AF6267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الفعالية التسويقية العامة المدركة.</w:t>
            </w:r>
          </w:p>
        </w:tc>
      </w:tr>
    </w:tbl>
    <w:p w14:paraId="5AED1BA3" w14:textId="77777777" w:rsidR="00F035EA" w:rsidRPr="00C22AB7" w:rsidRDefault="00F035EA" w:rsidP="00F035EA">
      <w:pPr>
        <w:bidi/>
        <w:spacing w:after="0" w:line="240" w:lineRule="auto"/>
        <w:rPr>
          <w:rFonts w:ascii="Arial" w:eastAsia="Arial" w:hAnsi="Arial" w:cs="Arial"/>
          <w:rtl/>
        </w:rPr>
      </w:pPr>
      <w:r w:rsidRPr="00C22AB7">
        <w:rPr>
          <w:rFonts w:ascii="Arial" w:eastAsia="Arial" w:hAnsi="Arial" w:cs="Arial"/>
        </w:rPr>
        <w:br w:type="page"/>
      </w:r>
    </w:p>
    <w:p w14:paraId="554A2065" w14:textId="77777777" w:rsidR="00F035EA" w:rsidRPr="002E4425" w:rsidRDefault="00F035EA" w:rsidP="00F035EA">
      <w:pPr>
        <w:keepNext/>
        <w:bidi/>
        <w:spacing w:after="120" w:line="240" w:lineRule="auto"/>
        <w:jc w:val="center"/>
        <w:rPr>
          <w:rFonts w:ascii="Sakkal Majalla" w:eastAsia="Noto Naskh Arabic" w:hAnsi="Sakkal Majalla" w:cs="Sakkal Majalla"/>
          <w:bCs/>
          <w:color w:val="FF0000"/>
          <w:sz w:val="36"/>
          <w:szCs w:val="28"/>
          <w:u w:val="single"/>
        </w:rPr>
      </w:pPr>
      <w:r w:rsidRPr="002E4425">
        <w:rPr>
          <w:rFonts w:ascii="Sakkal Majalla" w:eastAsia="Noto Naskh Arabic" w:hAnsi="Sakkal Majalla" w:cs="Sakkal Majalla"/>
          <w:bCs/>
          <w:color w:val="FF0000"/>
          <w:sz w:val="36"/>
          <w:szCs w:val="28"/>
          <w:u w:val="single"/>
          <w:rtl/>
        </w:rPr>
        <w:lastRenderedPageBreak/>
        <w:t>ملحق (ج): دليل ترميز بيانات الاستبانة</w:t>
      </w:r>
    </w:p>
    <w:p w14:paraId="17C996EA"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يوضح هذا الملحق رموز أسئلة الأداة وفقراتها وقواعد الترميز المسبقة لإعداد ملف البيانات للتحليل الإحصائي. ولا تمثل القيم الواردة نتائج للدراسة، وإنما قواعد تشغيلية للترميز والتحقق من جودة البيانات.</w:t>
      </w:r>
    </w:p>
    <w:tbl>
      <w:tblPr>
        <w:bidiVisual/>
        <w:tblW w:w="0" w:type="auto"/>
        <w:jc w:val="center"/>
        <w:tblLook w:val="04A0" w:firstRow="1" w:lastRow="0" w:firstColumn="1" w:lastColumn="0" w:noHBand="0" w:noVBand="1"/>
      </w:tblPr>
      <w:tblGrid>
        <w:gridCol w:w="826"/>
        <w:gridCol w:w="5209"/>
        <w:gridCol w:w="2261"/>
      </w:tblGrid>
      <w:tr w:rsidR="00F035EA" w:rsidRPr="002E4425" w14:paraId="4DC8B9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2BAF48C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الرمز</w:t>
            </w:r>
          </w:p>
        </w:tc>
        <w:tc>
          <w:tcPr>
            <w:tcW w:w="5209"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7E87D5DA" w14:textId="77777777" w:rsidR="00F035EA" w:rsidRPr="002E4425" w:rsidRDefault="00F035EA" w:rsidP="0085711F">
            <w:pPr>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rPr>
              <w:t>السؤال أو الفقرة</w:t>
            </w:r>
          </w:p>
        </w:tc>
        <w:tc>
          <w:tcPr>
            <w:tcW w:w="2261"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3C240B0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قاعدة الترميز</w:t>
            </w:r>
          </w:p>
        </w:tc>
      </w:tr>
      <w:tr w:rsidR="00F035EA" w:rsidRPr="002E4425" w14:paraId="469A7A7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7304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8BEFD5" w14:textId="77777777" w:rsidR="00F035EA" w:rsidRPr="002E4425" w:rsidRDefault="00F035EA" w:rsidP="0085711F">
            <w:pPr>
              <w:keepLines/>
              <w:bidi/>
              <w:spacing w:after="0" w:line="240" w:lineRule="auto"/>
              <w:rPr>
                <w:rFonts w:ascii="Simplified Arabic" w:eastAsia="Arial" w:hAnsi="Simplified Arabic" w:cs="Simplified Arabic"/>
                <w:rtl/>
              </w:rPr>
            </w:pPr>
            <w:r w:rsidRPr="002E4425">
              <w:rPr>
                <w:rFonts w:ascii="Simplified Arabic" w:eastAsia="Arial" w:hAnsi="Simplified Arabic" w:cs="Simplified Arabic"/>
                <w:color w:val="FF0000"/>
                <w:rtl/>
                <w:lang w:val="ar-SA"/>
              </w:rPr>
              <w:t>هل تعمل حاليًا في وكالة تسويق رقمي مرخَّصة عاملة في الرياض أو جدة أو الدمام؟</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7CA38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0DF77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F59DE5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B343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يرتبط عملك بتخطيط الحملات التسويقية الرقمية أو تصميمها أو تنفيذها أو تحليل أدائها ضمن أحد الأدوار الوظيفية ذات الصلة؟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2A2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766383C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00BD0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60F16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استخدمت بصورة مباشرة وعملية أداة واحدة على الأقل من أدوات الذكاء الاصطناعي التوليدي في سياق العمل على الحملات التسويقية الرقمية خلال آخر اثني عشر شهرًا، وبمعدل لا يقل عن مرة واحدة شهريًا؟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194B1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04B072D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2C461B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2E632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لديك خبرة مستمرة في الوكالة الحالية أو في مجال الحملات التسويقية الرقمية لمدة ستة أشهر فأكثر؟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26845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412F42A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032B5F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7AA07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توافق طوعًا على المشاركة في هذه الدراسة بعد الاطلاع على معلومات المشاركة والموافقة المستنيرة؟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6BAF4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75A5F9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D1CEC0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9820A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الوكالة أدوات الذكاء الاصطناعي التوليدي في تحليل السوق والاتجاهات قبل تصميم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28E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10539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11DD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5EDF7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الأدوات في بناء تصورات عن الجمهور المستهدف وتقسيمه إلى شرائح قابلة للاستهداف.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AFA31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3380D9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63290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2B0B8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تقنيات الذكاء الاصطناعي التوليدي في توليد أفكار أولية ومفاهيم إبداعية للحملات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266F7A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06CD8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6F76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32976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تساعد هذه التقنيات في صياغة بدائل متعددة للنصوص الإعلانية والعناوين والرسائل الرئيسة.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E7F9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E165F4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C66ED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GAIU5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98032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التوليد البصري في إنتاج تصورات أو عناصر تصميمية مبدئية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BECE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BD37E8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B51EB3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AC1</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40B8FD96"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جودة الاستجابة، يرجى اختيار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13E5394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موافق، وقيمتها ٤</w:t>
            </w:r>
          </w:p>
        </w:tc>
      </w:tr>
      <w:tr w:rsidR="00F035EA" w:rsidRPr="002E4425" w14:paraId="20D40BC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BAA1F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87EB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التقنيات في تكييف المحتوى مع خصائص المنصات الرقمية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5B262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BA32B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D38D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D020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الذكاء الاصطناعي التوليدي في اقتراح صيغ مختلفة للرسائل بما يتناسب مع شرائح الجمهور.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8A3D1F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01B8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38EAD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95980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تدخل مخرجات الذكاء الاصطناعي التوليدي ضمن جلسات العصف الذهني والمراجعة الإبداعية داخل الفريق.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5927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2581B6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87F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3F178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هذه الأدوات في تلخيص بيانات الأداء واقتراح تحسينات أثناء تنفيذ الحملة أو بعدها.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B9DC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A0F1EF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203F7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52ECA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أصبح توظيف الذكاء الاصطناعي التوليدي جزءًا واضحًا من سير عمل تصميم الحملات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08A78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612B4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22A8A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AC720C" w14:textId="54259973" w:rsidR="00F035EA" w:rsidRPr="002E4425" w:rsidRDefault="008E51DC" w:rsidP="0085711F">
            <w:pPr>
              <w:keepLines/>
              <w:bidi/>
              <w:spacing w:after="0" w:line="240" w:lineRule="auto"/>
              <w:rPr>
                <w:rFonts w:ascii="Simplified Arabic" w:eastAsia="Arial" w:hAnsi="Simplified Arabic" w:cs="Simplified Arabic"/>
              </w:rPr>
            </w:pPr>
            <w:r w:rsidRPr="008E51DC">
              <w:rPr>
                <w:rFonts w:ascii="Simplified Arabic" w:eastAsia="Arial" w:hAnsi="Simplified Arabic" w:cs="Simplified Arabic"/>
                <w:color w:val="FF0000"/>
                <w:rtl/>
                <w:lang w:val="ar-SA"/>
              </w:rPr>
              <w:t>تتم عملية تصميم الحملات في الوكالة ضمن زمن مناسب للانتقال من موجز العميل إلى التصورات الأولية.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A00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A19F3F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C741C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324A99" w14:textId="4481739A" w:rsidR="00F035EA" w:rsidRPr="002E4425" w:rsidRDefault="008E51DC" w:rsidP="0085711F">
            <w:pPr>
              <w:keepLines/>
              <w:bidi/>
              <w:spacing w:after="0" w:line="240" w:lineRule="auto"/>
              <w:rPr>
                <w:rFonts w:ascii="Simplified Arabic" w:eastAsia="Arial" w:hAnsi="Simplified Arabic" w:cs="Simplified Arabic"/>
              </w:rPr>
            </w:pPr>
            <w:r w:rsidRPr="008E51DC">
              <w:rPr>
                <w:rFonts w:ascii="Simplified Arabic" w:eastAsia="Arial" w:hAnsi="Simplified Arabic" w:cs="Simplified Arabic"/>
                <w:color w:val="FF0000"/>
                <w:rtl/>
                <w:lang w:val="ar-SA"/>
              </w:rPr>
              <w:t>تُنجز المهام المتكررة في التصميم والمحتوى بكفاءة عالية.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64C65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990FF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0B1F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95D8FB" w14:textId="5A9E7BD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تتوافر لدى الفريق بدائل إبداعية متعددة قبل اعتماد فكرة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DB1D0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D31E7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B50F6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1D23A9" w14:textId="44A4203F"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تُقارن البدائل الإبداعية في ضوء أهداف الحملة والجمهور المستهدف قبل الاختيار.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BEDCF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0BFBF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6D0B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D187CC" w14:textId="3B5FD59C"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تتسم الرسائل والمخرجات التصميمية بالاتساق مع هوية العلامة التجارية.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53611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2C7A12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2A909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F9EB38" w14:textId="12F6841C"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يكون تصور الجمهور المستهدف قبل إطلاق الحملة دقيقًا وواضحًا.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C168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E9036A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F391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BD8629" w14:textId="4CBDBCD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يُخصص المحتوى بما يلائم خصائص الشرائح والمنصات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D0C13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8798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8DE4B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8BE27F" w14:textId="396A25E9"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تمر عناصر الحملة بدورة مراجعة وتحسين فعالة قبل الاعتماد النهائي.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7D0DC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31B072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0FA682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7A07B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تقليص الوقت اللازم لإنجاز مهام التخطيط والإنتاج أحد الدوافع الرئيسة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7D59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AA130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EF686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85C2A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رفع إنتاجية فرق العمل دافعًا مهمًا لتبني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AB0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E19DF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D74B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283D77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تبني هذه التقنيات على إعادة توجيه جهد الفريق من المهام الروتينية إلى المهام ذات القيمة الإبداعية والاستراتيجية.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6ED712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FF9112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A882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8AE5D4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خفض تكاليف بعض المهام التشغيلية المتكررة دافعًا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3CE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EBCB87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538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633CC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تدفع توقعات العملاء بالحصول على مخرجات أسرع وأكثر تنوعًا الوكالة إلى تبني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39569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1DDBC5"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FEDCD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6A21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تمثل الرغبة في مواكبة المنافسين وتقديم خدمات أكثر تطورًا دافعًا رئيسًا لتوظيف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8E7B5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B2AE2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84EC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ADP7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6D40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تحسين القدرة على تخصيص الرسائل والمحتوى لكل شريحة من الجمهور دافعًا مهمًا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6159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2C2970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1D012A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67FCD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يسهم السعي إلى توليد أفكار وأساليب إبداعية جديدة في تعزيز توجه الوكالة نحو استخدام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5A8C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E0A51C"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28374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DDEC9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ترى الوكالة أن تبني الذكاء الاصطناعي التوليدي يعزز قدرتها على تقديم قيمة تسويقية أعلى للعملاء.</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7CB7F5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ABD9B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2B1D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607766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ضعف دقة بعض المخرجات التوليدية أو عدم ملاءمتها للسياق المحلي السعودي يحد من الاستفادة منها.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56747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93FF6B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01251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F840B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وجود أخطاء لغوية أو مفاهيمية في المحتوى المولّد باللغة العربية يتطلب مراجعة بشرية مكثفة.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86FA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B18FD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E9B3C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2FAE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ارتفاع تكلفة الاشتراكات أو محدودية توفر الأدوات المناسبة داخل الوكالة يعيق التوظيف المنتظم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80B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6933A8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E76D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612EF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صعوبة دمج أدوات الذكاء الاصطناعي التوليدي مع أنظمة العمل والمنصات المستخدمة في الوكالة تحد من فعاليتها.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5323D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80B6D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9799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BAR5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AEF0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نقص مهارات الفريق في صياغة الأوامر التوليدية وتقييم المخرجات يضعف الاستفادة من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AF959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539D7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982C2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AC2</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786F74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الانتباه، يرجى اختيار «غير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6E61ED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غير موافق، وقيمتها ٢</w:t>
            </w:r>
          </w:p>
        </w:tc>
      </w:tr>
      <w:tr w:rsidR="00F035EA" w:rsidRPr="002E4425" w14:paraId="27799DA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FEC9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7AB7C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محدودية البرامج التدريبية المتخصصة في استخدام الذكاء الاصطناعي التوليدي داخل مجال التسويق تمثل عائقًا عمليًا.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E8EA8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2E7981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A1BF0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B2A1B3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مقاومة بعض العاملين للتغيير أو تفضيلهم للأساليب التقليدية يحد من دمج هذه التقنيات في سير العمل.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63560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B968DF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C3875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2D248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تثير حماية بيانات العملاء وخصوصية الحملات مخاوف تحد من 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DE05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D7DF08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9D05A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3B14A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الغموض المرتبط بحقوق الملكية الفكرية والمسؤولية عن المحتوى المولّد يقيد الاستخدام الواسع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A94E7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AB010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10E8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918618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غياب سياسات داخلية واضحة تحدد ضوابط الاستخدام والمراجعة والاعتماد يعيق التبني المنظم لهذه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762999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767D8B3"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7528AB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9F3710" w14:textId="3EAF26E6"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المحتوى النهائي للحملات الرقمية في الوكالة ملائم لأهداف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10325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69FE2F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5F0FB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8DF125A" w14:textId="630DE1F7"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تتصف الرسائل الإعلانية للحملات الرقمية بالوضوح والجاذبية والاتساق.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0D000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FD77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D4216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128BA4" w14:textId="0416BA25"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تتناسب الرسالة التسويقية مع الجمهور المستهدف عند تنفيذ الحملات.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3EBE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70AAA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DC46A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F4045" w14:textId="075D58D3"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تحقق الحملات الرقمية للوكالة معدلات تفاعل مرتفعة مقارنة بالحملات المشابهة في السوق.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A17B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A0FBE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4445E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AD92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استخدام هذه التقنيات على تحسين معدلات التحويل أو توليد العملاء المحتملين عند توافر أهداف قابلة للقياس.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9A1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6B68F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EBA0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8AB6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تدعم هذه التقنيات كفاءة الإنفاق الإعلاني من خلال تقليل الهدر وتحسين توجيه الرسائل.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577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B7E6F5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A7EDA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560D66" w14:textId="152CB47E"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تحقق الحملات الرقمية مؤشرات الأداء المحددة مسبقًا.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4CA5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230ED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8335C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0B3CC58" w14:textId="751AEB08"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يرتفع رضا العملاء عن سرعة وجودة مخرجات الحملات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CB321C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B19DCB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FDB94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BAC5B3" w14:textId="1394CBA5" w:rsidR="00F035EA" w:rsidRPr="002E4425" w:rsidRDefault="00AD2143" w:rsidP="0085711F">
            <w:pPr>
              <w:keepLines/>
              <w:bidi/>
              <w:spacing w:after="0" w:line="240" w:lineRule="auto"/>
              <w:rPr>
                <w:rFonts w:ascii="Simplified Arabic" w:eastAsia="Arial" w:hAnsi="Simplified Arabic" w:cs="Simplified Arabic"/>
              </w:rPr>
            </w:pPr>
            <w:r w:rsidRPr="00AD2143">
              <w:rPr>
                <w:rFonts w:ascii="Simplified Arabic" w:eastAsia="Arial" w:hAnsi="Simplified Arabic" w:cs="Simplified Arabic"/>
                <w:color w:val="FF0000"/>
                <w:rtl/>
                <w:lang w:val="ar-SA"/>
              </w:rPr>
              <w:t>بصورة عامة، تتسم الحملات الرقمية للوكالة بفعالية تسويقية عالية.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63F07C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018FAF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34611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7EAE9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الجنس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FD9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ذكر، القيمة ١</w:t>
            </w:r>
            <w:r w:rsidRPr="002E4425">
              <w:rPr>
                <w:rFonts w:ascii="Simplified Arabic" w:eastAsia="Arial" w:hAnsi="Simplified Arabic" w:cs="Simplified Arabic"/>
                <w:color w:val="FF0000"/>
                <w:rtl/>
                <w:lang w:val="ar-SA"/>
              </w:rPr>
              <w:br/>
              <w:t>أنثى، القيمة ٢</w:t>
            </w:r>
          </w:p>
        </w:tc>
      </w:tr>
      <w:tr w:rsidR="00F035EA" w:rsidRPr="002E4425" w14:paraId="5FFE93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60D39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2A2E7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الفئة العمرية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833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٢٥ سنة، القيمة ١</w:t>
            </w:r>
            <w:r w:rsidRPr="002E4425">
              <w:rPr>
                <w:rFonts w:ascii="Simplified Arabic" w:eastAsia="Arial" w:hAnsi="Simplified Arabic" w:cs="Simplified Arabic"/>
                <w:color w:val="FF0000"/>
                <w:rtl/>
                <w:lang w:val="ar-SA"/>
              </w:rPr>
              <w:br/>
              <w:t>من ٢٥ إلى أقل من ٣٥ سنة، القيمة ٢</w:t>
            </w:r>
            <w:r w:rsidRPr="002E4425">
              <w:rPr>
                <w:rFonts w:ascii="Simplified Arabic" w:eastAsia="Arial" w:hAnsi="Simplified Arabic" w:cs="Simplified Arabic"/>
                <w:color w:val="FF0000"/>
                <w:rtl/>
                <w:lang w:val="ar-SA"/>
              </w:rPr>
              <w:br/>
              <w:t>من ٣٥ إلى أقل من ٤٥ سنة، القيمة ٣</w:t>
            </w:r>
            <w:r w:rsidRPr="002E4425">
              <w:rPr>
                <w:rFonts w:ascii="Simplified Arabic" w:eastAsia="Arial" w:hAnsi="Simplified Arabic" w:cs="Simplified Arabic"/>
                <w:color w:val="FF0000"/>
                <w:rtl/>
                <w:lang w:val="ar-SA"/>
              </w:rPr>
              <w:br/>
              <w:t>٤٥ سنة فأكثر، القيمة ٤</w:t>
            </w:r>
          </w:p>
        </w:tc>
      </w:tr>
      <w:tr w:rsidR="00F035EA" w:rsidRPr="002E4425" w14:paraId="34806B9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6B538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7151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المؤهل العلمي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615ED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دبلوم فأقل، القيمة ١</w:t>
            </w:r>
            <w:r w:rsidRPr="002E4425">
              <w:rPr>
                <w:rFonts w:ascii="Simplified Arabic" w:eastAsia="Arial" w:hAnsi="Simplified Arabic" w:cs="Simplified Arabic"/>
                <w:color w:val="FF0000"/>
                <w:rtl/>
                <w:lang w:val="ar-SA"/>
              </w:rPr>
              <w:br/>
              <w:t>بكالوريوس، القيمة ٢</w:t>
            </w:r>
            <w:r w:rsidRPr="002E4425">
              <w:rPr>
                <w:rFonts w:ascii="Simplified Arabic" w:eastAsia="Arial" w:hAnsi="Simplified Arabic" w:cs="Simplified Arabic"/>
                <w:color w:val="FF0000"/>
                <w:rtl/>
                <w:lang w:val="ar-SA"/>
              </w:rPr>
              <w:br/>
              <w:t>ماجستير، القيمة ٣</w:t>
            </w:r>
            <w:r w:rsidRPr="002E4425">
              <w:rPr>
                <w:rFonts w:ascii="Simplified Arabic" w:eastAsia="Arial" w:hAnsi="Simplified Arabic" w:cs="Simplified Arabic"/>
                <w:color w:val="FF0000"/>
                <w:rtl/>
                <w:lang w:val="ar-SA"/>
              </w:rPr>
              <w:br/>
              <w:t>دكتوراه، القيمة ٤</w:t>
            </w:r>
            <w:r w:rsidRPr="002E4425">
              <w:rPr>
                <w:rFonts w:ascii="Simplified Arabic" w:eastAsia="Arial" w:hAnsi="Simplified Arabic" w:cs="Simplified Arabic"/>
                <w:color w:val="FF0000"/>
                <w:rtl/>
                <w:lang w:val="ar-SA"/>
              </w:rPr>
              <w:br/>
              <w:t>أخرى، القيمة ٥</w:t>
            </w:r>
          </w:p>
        </w:tc>
      </w:tr>
      <w:tr w:rsidR="00F035EA" w:rsidRPr="002E4425" w14:paraId="11A7FE9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AB97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ADF228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المسمى أو الدور الوظيفي الأقرب لطبيعة عملك</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D3D3F0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تخطيط واستراتيجية، القيمة ١</w:t>
            </w:r>
            <w:r w:rsidRPr="002E4425">
              <w:rPr>
                <w:rFonts w:ascii="Simplified Arabic" w:eastAsia="Arial" w:hAnsi="Simplified Arabic" w:cs="Simplified Arabic"/>
                <w:color w:val="FF0000"/>
                <w:rtl/>
                <w:lang w:val="ar-SA"/>
              </w:rPr>
              <w:br/>
              <w:t>إبداع وتصميم، القيمة ٢</w:t>
            </w:r>
            <w:r w:rsidRPr="002E4425">
              <w:rPr>
                <w:rFonts w:ascii="Simplified Arabic" w:eastAsia="Arial" w:hAnsi="Simplified Arabic" w:cs="Simplified Arabic"/>
                <w:color w:val="FF0000"/>
                <w:rtl/>
                <w:lang w:val="ar-SA"/>
              </w:rPr>
              <w:br/>
              <w:t>كتابة إعلانية أو محتوى، القيمة ٣</w:t>
            </w:r>
            <w:r w:rsidRPr="002E4425">
              <w:rPr>
                <w:rFonts w:ascii="Simplified Arabic" w:eastAsia="Arial" w:hAnsi="Simplified Arabic" w:cs="Simplified Arabic"/>
                <w:color w:val="FF0000"/>
                <w:rtl/>
                <w:lang w:val="ar-SA"/>
              </w:rPr>
              <w:br/>
              <w:t>تحليل بيانات وأداء، القيمة ٤</w:t>
            </w:r>
            <w:r w:rsidRPr="002E4425">
              <w:rPr>
                <w:rFonts w:ascii="Simplified Arabic" w:eastAsia="Arial" w:hAnsi="Simplified Arabic" w:cs="Simplified Arabic"/>
                <w:color w:val="FF0000"/>
                <w:rtl/>
                <w:lang w:val="ar-SA"/>
              </w:rPr>
              <w:br/>
              <w:t>إدارة حسابات وعملاء، القيمة ٥</w:t>
            </w:r>
            <w:r w:rsidRPr="002E4425">
              <w:rPr>
                <w:rFonts w:ascii="Simplified Arabic" w:eastAsia="Arial" w:hAnsi="Simplified Arabic" w:cs="Simplified Arabic"/>
                <w:color w:val="FF0000"/>
                <w:rtl/>
                <w:lang w:val="ar-SA"/>
              </w:rPr>
              <w:br/>
              <w:t>إدارة حملات أو شراء إعلامي، القيمة ٦</w:t>
            </w:r>
            <w:r w:rsidRPr="002E4425">
              <w:rPr>
                <w:rFonts w:ascii="Simplified Arabic" w:eastAsia="Arial" w:hAnsi="Simplified Arabic" w:cs="Simplified Arabic"/>
                <w:color w:val="FF0000"/>
                <w:rtl/>
                <w:lang w:val="ar-SA"/>
              </w:rPr>
              <w:br/>
              <w:t>إدارة عليا أو إشرافية، القيمة ٧</w:t>
            </w:r>
            <w:r w:rsidRPr="002E4425">
              <w:rPr>
                <w:rFonts w:ascii="Simplified Arabic" w:eastAsia="Arial" w:hAnsi="Simplified Arabic" w:cs="Simplified Arabic"/>
                <w:color w:val="FF0000"/>
                <w:rtl/>
                <w:lang w:val="ar-SA"/>
              </w:rPr>
              <w:br/>
              <w:t>أخرى، القيمة ٨</w:t>
            </w:r>
          </w:p>
        </w:tc>
      </w:tr>
      <w:tr w:rsidR="00F035EA" w:rsidRPr="002E4425" w14:paraId="7BAE558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DE6A7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3A6B33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سنوات الخبرة في التسويق الرقمي أو الاتصال التسويقي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D352A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٣ سنوات، القيمة ١</w:t>
            </w:r>
            <w:r w:rsidRPr="002E4425">
              <w:rPr>
                <w:rFonts w:ascii="Simplified Arabic" w:eastAsia="Arial" w:hAnsi="Simplified Arabic" w:cs="Simplified Arabic"/>
                <w:color w:val="FF0000"/>
                <w:rtl/>
                <w:lang w:val="ar-SA"/>
              </w:rPr>
              <w:br/>
              <w:t>من ٣ إلى أقل من ٧ سنوات، القيمة ٢</w:t>
            </w:r>
            <w:r w:rsidRPr="002E4425">
              <w:rPr>
                <w:rFonts w:ascii="Simplified Arabic" w:eastAsia="Arial" w:hAnsi="Simplified Arabic" w:cs="Simplified Arabic"/>
                <w:color w:val="FF0000"/>
                <w:rtl/>
                <w:lang w:val="ar-SA"/>
              </w:rPr>
              <w:br/>
              <w:t>من ٧ إلى أقل من ١٠ سنوات، القيمة ٣</w:t>
            </w:r>
            <w:r w:rsidRPr="002E4425">
              <w:rPr>
                <w:rFonts w:ascii="Simplified Arabic" w:eastAsia="Arial" w:hAnsi="Simplified Arabic" w:cs="Simplified Arabic"/>
                <w:color w:val="FF0000"/>
                <w:rtl/>
                <w:lang w:val="ar-SA"/>
              </w:rPr>
              <w:br/>
              <w:t>١٠ سنوات فأكثر، القيمة ٤</w:t>
            </w:r>
          </w:p>
        </w:tc>
      </w:tr>
      <w:tr w:rsidR="00F035EA" w:rsidRPr="002E4425" w14:paraId="43DF1C5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15563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F9890C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حجم الوكالة من حيث عدد الموظفين</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F63F1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صغيرة: أقل من ٣٠ موظفًا، القيمة ١</w:t>
            </w:r>
            <w:r w:rsidRPr="002E4425">
              <w:rPr>
                <w:rFonts w:ascii="Simplified Arabic" w:eastAsia="Arial" w:hAnsi="Simplified Arabic" w:cs="Simplified Arabic"/>
                <w:color w:val="FF0000"/>
                <w:rtl/>
                <w:lang w:val="ar-SA"/>
              </w:rPr>
              <w:br/>
              <w:t>متوسطة: من ٣٠ إلى أقل من ١٠٠ موظف، القيمة ٢</w:t>
            </w:r>
            <w:r w:rsidRPr="002E4425">
              <w:rPr>
                <w:rFonts w:ascii="Simplified Arabic" w:eastAsia="Arial" w:hAnsi="Simplified Arabic" w:cs="Simplified Arabic"/>
                <w:color w:val="FF0000"/>
                <w:rtl/>
                <w:lang w:val="ar-SA"/>
              </w:rPr>
              <w:br/>
              <w:t>كبيرة: ١٠٠ موظف فأكثر، القيمة ٣</w:t>
            </w:r>
          </w:p>
        </w:tc>
      </w:tr>
      <w:tr w:rsidR="00F035EA" w:rsidRPr="002E4425" w14:paraId="7E72F38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4E036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8E648B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الموقع الرئيس للوكالة داخل المملكة العربية السعودية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57F44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الرياض، القيمة ١</w:t>
            </w:r>
            <w:r w:rsidRPr="002E4425">
              <w:rPr>
                <w:rFonts w:ascii="Simplified Arabic" w:eastAsia="Arial" w:hAnsi="Simplified Arabic" w:cs="Simplified Arabic"/>
                <w:color w:val="FF0000"/>
                <w:rtl/>
                <w:lang w:val="ar-SA"/>
              </w:rPr>
              <w:br/>
              <w:t>جدة، القيمة ٢</w:t>
            </w:r>
            <w:r w:rsidRPr="002E4425">
              <w:rPr>
                <w:rFonts w:ascii="Simplified Arabic" w:eastAsia="Arial" w:hAnsi="Simplified Arabic" w:cs="Simplified Arabic"/>
                <w:color w:val="FF0000"/>
                <w:rtl/>
                <w:lang w:val="ar-SA"/>
              </w:rPr>
              <w:br/>
              <w:t>الدمام، القيمة ٣</w:t>
            </w:r>
          </w:p>
        </w:tc>
      </w:tr>
      <w:tr w:rsidR="00F035EA" w:rsidRPr="002E4425" w14:paraId="68296DD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F581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41D3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العملاء الذين تخدمهم الوكالة غالبًا؛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6141E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50E7E96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866C84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A1E95C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مستوى نضج استخدام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265A7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استخدام فردي محدود، القيمة ١</w:t>
            </w:r>
            <w:r w:rsidRPr="002E4425">
              <w:rPr>
                <w:rFonts w:ascii="Simplified Arabic" w:eastAsia="Arial" w:hAnsi="Simplified Arabic" w:cs="Simplified Arabic"/>
                <w:color w:val="FF0000"/>
                <w:rtl/>
                <w:lang w:val="ar-SA"/>
              </w:rPr>
              <w:br/>
              <w:t>استخدام تجريبي داخل بعض الفرق، القيمة ٢</w:t>
            </w:r>
            <w:r w:rsidRPr="002E4425">
              <w:rPr>
                <w:rFonts w:ascii="Simplified Arabic" w:eastAsia="Arial" w:hAnsi="Simplified Arabic" w:cs="Simplified Arabic"/>
                <w:color w:val="FF0000"/>
                <w:rtl/>
                <w:lang w:val="ar-SA"/>
              </w:rPr>
              <w:br/>
              <w:t>استخدام منتظم في بعض المشاريع، القيمة ٣</w:t>
            </w:r>
            <w:r w:rsidRPr="002E4425">
              <w:rPr>
                <w:rFonts w:ascii="Simplified Arabic" w:eastAsia="Arial" w:hAnsi="Simplified Arabic" w:cs="Simplified Arabic"/>
                <w:color w:val="FF0000"/>
                <w:rtl/>
                <w:lang w:val="ar-SA"/>
              </w:rPr>
              <w:br/>
              <w:t>استخدام مؤسسي مدمج في سير العمل، القيمة ٤</w:t>
            </w:r>
            <w:r w:rsidRPr="002E4425">
              <w:rPr>
                <w:rFonts w:ascii="Simplified Arabic" w:eastAsia="Arial" w:hAnsi="Simplified Arabic" w:cs="Simplified Arabic"/>
                <w:color w:val="FF0000"/>
                <w:rtl/>
                <w:lang w:val="ar-SA"/>
              </w:rPr>
              <w:br/>
              <w:t>لا أعلم، القيمة ٥</w:t>
            </w:r>
          </w:p>
        </w:tc>
      </w:tr>
      <w:tr w:rsidR="00F035EA" w:rsidRPr="002E4425" w14:paraId="38D9FC4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BF187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E09D5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أنواع أدوات الذكاء الاصطناعي التوليدي المستخدمة بانتظام في الوكالة؛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0102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22CFA7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B073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P11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4EE6A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عدد الحملات الرقمية التي شاركت فيها واستخدمت فيها أدوات ذكاء اصطناعي توليدي خلال آخر اثني عشر شهرًا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F39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لا توجد حملات، القيمة ٠</w:t>
            </w:r>
            <w:r w:rsidRPr="002E4425">
              <w:rPr>
                <w:rFonts w:ascii="Simplified Arabic" w:eastAsia="Arial" w:hAnsi="Simplified Arabic" w:cs="Simplified Arabic"/>
                <w:color w:val="FF0000"/>
                <w:rtl/>
                <w:lang w:val="ar-SA"/>
              </w:rPr>
              <w:br/>
              <w:t>حملة واحدة، القيمة ١</w:t>
            </w:r>
            <w:r w:rsidRPr="002E4425">
              <w:rPr>
                <w:rFonts w:ascii="Simplified Arabic" w:eastAsia="Arial" w:hAnsi="Simplified Arabic" w:cs="Simplified Arabic"/>
                <w:color w:val="FF0000"/>
                <w:rtl/>
                <w:lang w:val="ar-SA"/>
              </w:rPr>
              <w:br/>
              <w:t>من حملتين إلى ٥ حملات، القيمة ٢</w:t>
            </w:r>
            <w:r w:rsidRPr="002E4425">
              <w:rPr>
                <w:rFonts w:ascii="Simplified Arabic" w:eastAsia="Arial" w:hAnsi="Simplified Arabic" w:cs="Simplified Arabic"/>
                <w:color w:val="FF0000"/>
                <w:rtl/>
                <w:lang w:val="ar-SA"/>
              </w:rPr>
              <w:br/>
              <w:t>من ٦ إلى ١٠ حملات، القيمة ٣</w:t>
            </w:r>
            <w:r w:rsidRPr="002E4425">
              <w:rPr>
                <w:rFonts w:ascii="Simplified Arabic" w:eastAsia="Arial" w:hAnsi="Simplified Arabic" w:cs="Simplified Arabic"/>
                <w:color w:val="FF0000"/>
                <w:rtl/>
                <w:lang w:val="ar-SA"/>
              </w:rPr>
              <w:br/>
              <w:t>أكثر من ١٠ حملات، القيمة ٤</w:t>
            </w:r>
          </w:p>
        </w:tc>
      </w:tr>
      <w:tr w:rsidR="00F035EA" w:rsidRPr="002E4425" w14:paraId="77EF2DF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91ED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5965B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توجد في الوكالة سياسة أو ضوابط داخلية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9EF3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مكتوبة وواضحة، القيمة ١</w:t>
            </w:r>
            <w:r w:rsidRPr="002E4425">
              <w:rPr>
                <w:rFonts w:ascii="Simplified Arabic" w:eastAsia="Arial" w:hAnsi="Simplified Arabic" w:cs="Simplified Arabic"/>
                <w:color w:val="FF0000"/>
                <w:rtl/>
                <w:lang w:val="ar-SA"/>
              </w:rPr>
              <w:br/>
              <w:t>نعم، لكنها غير مكتملة، القيمة ٢</w:t>
            </w:r>
            <w:r w:rsidRPr="002E4425">
              <w:rPr>
                <w:rFonts w:ascii="Simplified Arabic" w:eastAsia="Arial" w:hAnsi="Simplified Arabic" w:cs="Simplified Arabic"/>
                <w:color w:val="FF0000"/>
                <w:rtl/>
                <w:lang w:val="ar-SA"/>
              </w:rPr>
              <w:br/>
              <w:t>لا توجد، القيمة ٣</w:t>
            </w:r>
            <w:r w:rsidRPr="002E4425">
              <w:rPr>
                <w:rFonts w:ascii="Simplified Arabic" w:eastAsia="Arial" w:hAnsi="Simplified Arabic" w:cs="Simplified Arabic"/>
                <w:color w:val="FF0000"/>
                <w:rtl/>
                <w:lang w:val="ar-SA"/>
              </w:rPr>
              <w:br/>
              <w:t>لا أعلم، القيمة ٤</w:t>
            </w:r>
          </w:p>
        </w:tc>
      </w:tr>
      <w:tr w:rsidR="00F035EA" w:rsidRPr="002E4425" w14:paraId="7B600AA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C341B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BD9D7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علاقتك بأدوات الذكاء الاصطناعي التوليدي في الحملات التسويقية؛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34DD1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3EA5AE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E85F3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E9A33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قناة الوصول إلى الاستبانة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27D38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عن طريق الوكالة أو المدير المباشر، القيمة ١</w:t>
            </w:r>
            <w:r w:rsidRPr="002E4425">
              <w:rPr>
                <w:rFonts w:ascii="Simplified Arabic" w:eastAsia="Arial" w:hAnsi="Simplified Arabic" w:cs="Simplified Arabic"/>
                <w:color w:val="FF0000"/>
                <w:rtl/>
                <w:lang w:val="ar-SA"/>
              </w:rPr>
              <w:br/>
              <w:t>جمعية أو مجموعة مهنية، القيمة ٢</w:t>
            </w:r>
            <w:r w:rsidRPr="002E4425">
              <w:rPr>
                <w:rFonts w:ascii="Simplified Arabic" w:eastAsia="Arial" w:hAnsi="Simplified Arabic" w:cs="Simplified Arabic"/>
                <w:color w:val="FF0000"/>
                <w:rtl/>
                <w:lang w:val="ar-SA"/>
              </w:rPr>
              <w:br/>
              <w:t>لينكدإن، القيمة ٣</w:t>
            </w:r>
            <w:r w:rsidRPr="002E4425">
              <w:rPr>
                <w:rFonts w:ascii="Simplified Arabic" w:eastAsia="Arial" w:hAnsi="Simplified Arabic" w:cs="Simplified Arabic"/>
                <w:color w:val="FF0000"/>
                <w:rtl/>
                <w:lang w:val="ar-SA"/>
              </w:rPr>
              <w:br/>
              <w:t>شبكة شخصية أو إحالة، القيمة ٤</w:t>
            </w:r>
          </w:p>
        </w:tc>
      </w:tr>
    </w:tbl>
    <w:p w14:paraId="40AF061F"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ملاحظة: تُترك الخلايا ذات القيم المفقودة فارغة في ملف البيانات، ثم تُعالج وفق بروتوكول تنظيف البيانات الوارد في الفصل الثالث. ولا تتضمن الصورة الحالية للأداة أي فقرة عكسية؛ وإذا استُحدثت فقرة عكسية بعد التحكيم أو الدراسة الاستطلاعية، فتُوثق صراحةً قبل بدء التحليل.</w:t>
      </w:r>
    </w:p>
    <w:p w14:paraId="158AACCE" w14:textId="77777777" w:rsidR="00F035EA" w:rsidRPr="002E4425" w:rsidRDefault="00F035EA" w:rsidP="00F035EA">
      <w:pPr>
        <w:bidi/>
        <w:spacing w:after="200" w:line="276" w:lineRule="auto"/>
        <w:jc w:val="both"/>
        <w:rPr>
          <w:rFonts w:ascii="Simplified Arabic" w:hAnsi="Simplified Arabic" w:cs="Simplified Arabic"/>
          <w:rtl/>
        </w:rPr>
      </w:pPr>
    </w:p>
    <w:p w14:paraId="041410A3" w14:textId="77777777" w:rsidR="00F035EA" w:rsidRDefault="00F035EA" w:rsidP="00F035EA">
      <w:pPr>
        <w:bidi/>
        <w:spacing w:after="200" w:line="276" w:lineRule="auto"/>
        <w:jc w:val="both"/>
        <w:rPr>
          <w:rFonts w:ascii="Simplified Arabic" w:hAnsi="Simplified Arabic" w:cs="Simplified Arabic"/>
          <w:rtl/>
        </w:rPr>
      </w:pPr>
    </w:p>
    <w:p w14:paraId="10CF00BA" w14:textId="77777777" w:rsidR="00F035EA" w:rsidRDefault="00F035EA" w:rsidP="00F035EA">
      <w:pPr>
        <w:bidi/>
        <w:spacing w:after="200" w:line="276" w:lineRule="auto"/>
        <w:jc w:val="both"/>
        <w:rPr>
          <w:rFonts w:ascii="Simplified Arabic" w:hAnsi="Simplified Arabic" w:cs="Simplified Arabic"/>
          <w:rtl/>
        </w:rPr>
      </w:pPr>
    </w:p>
    <w:p w14:paraId="705BAC4B" w14:textId="77777777" w:rsidR="00F035EA" w:rsidRDefault="00F035EA" w:rsidP="00F035EA">
      <w:pPr>
        <w:bidi/>
        <w:spacing w:after="200" w:line="276" w:lineRule="auto"/>
        <w:jc w:val="both"/>
        <w:rPr>
          <w:rFonts w:ascii="Simplified Arabic" w:hAnsi="Simplified Arabic" w:cs="Simplified Arabic"/>
          <w:rtl/>
        </w:rPr>
      </w:pPr>
    </w:p>
    <w:p w14:paraId="07EDB974" w14:textId="77777777" w:rsidR="00F035EA" w:rsidRDefault="00F035EA" w:rsidP="00F035EA">
      <w:pPr>
        <w:bidi/>
        <w:spacing w:after="200" w:line="276" w:lineRule="auto"/>
        <w:jc w:val="both"/>
        <w:rPr>
          <w:rFonts w:ascii="Simplified Arabic" w:hAnsi="Simplified Arabic" w:cs="Simplified Arabic"/>
          <w:rtl/>
        </w:rPr>
      </w:pPr>
    </w:p>
    <w:p w14:paraId="45F04286" w14:textId="77777777" w:rsidR="00F035EA" w:rsidRPr="00E04FE4" w:rsidRDefault="00F035EA" w:rsidP="00F035EA">
      <w:pPr>
        <w:bidi/>
        <w:spacing w:after="200" w:line="276" w:lineRule="auto"/>
        <w:jc w:val="both"/>
        <w:rPr>
          <w:rFonts w:ascii="Simplified Arabic" w:hAnsi="Simplified Arabic" w:cs="Simplified Arabic"/>
          <w:rtl/>
        </w:rPr>
      </w:pPr>
    </w:p>
    <w:p w14:paraId="013AF322"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Pr>
          <w:rFonts w:ascii="Sakkal Majalla" w:hAnsi="Sakkal Majalla" w:cs="Sakkal Majalla"/>
          <w:b/>
          <w:bCs/>
          <w:color w:val="00B0F0"/>
          <w:sz w:val="36"/>
          <w:szCs w:val="36"/>
          <w:u w:val="single"/>
          <w:rtl/>
        </w:rPr>
        <w:t>:</w:t>
      </w:r>
    </w:p>
    <w:p w14:paraId="4D8E209D" w14:textId="77777777" w:rsidR="00F035EA" w:rsidRPr="00ED07DE"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w:t>
      </w:r>
      <w:r>
        <w:rPr>
          <w:rFonts w:ascii="Sakkal Majalla" w:hAnsi="Sakkal Majalla" w:cs="Sakkal Majalla" w:hint="cs"/>
          <w:b/>
          <w:bCs/>
          <w:color w:val="1F497D" w:themeColor="text2"/>
          <w:sz w:val="32"/>
          <w:szCs w:val="32"/>
          <w:u w:val="single"/>
          <w:rtl/>
        </w:rPr>
        <w:t>راجع العربية</w:t>
      </w:r>
    </w:p>
    <w:p w14:paraId="608608E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rtl/>
        </w:rPr>
        <w:t xml:space="preserve"> </w:t>
      </w:r>
      <w:r w:rsidRPr="00081602">
        <w:rPr>
          <w:rFonts w:ascii="Simplified Arabic" w:hAnsi="Simplified Arabic" w:cs="Simplified Arabic"/>
          <w:b/>
          <w:bCs/>
          <w:color w:val="EE0000"/>
          <w:sz w:val="28"/>
          <w:szCs w:val="28"/>
          <w:rtl/>
        </w:rPr>
        <w:t xml:space="preserve">الأسدودي، ن. ن. </w:t>
      </w:r>
      <w:r w:rsidRPr="00081602">
        <w:rPr>
          <w:rFonts w:ascii="Simplified Arabic" w:hAnsi="Simplified Arabic" w:cs="Simplified Arabic"/>
          <w:color w:val="EE0000"/>
          <w:sz w:val="28"/>
          <w:szCs w:val="28"/>
          <w:rtl/>
        </w:rPr>
        <w:t xml:space="preserve">(2023). تطبيق آليات الذكاء الاصطناعي في التسويق الرقمي وآثارها في تحقيق المزايا التنافسية: دراسة ميدانية على الخبراء.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67(2), 837–902.</w:t>
      </w:r>
    </w:p>
    <w:p w14:paraId="111000A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1" w:history="1">
        <w:r w:rsidRPr="00081602">
          <w:rPr>
            <w:rStyle w:val="Hyperlink"/>
            <w:rFonts w:ascii="Simplified Arabic" w:hAnsi="Simplified Arabic" w:cs="Simplified Arabic"/>
            <w:color w:val="EE0000"/>
            <w:sz w:val="20"/>
            <w:szCs w:val="20"/>
          </w:rPr>
          <w:t>https://doi.org/10.21608/jsb.2023.230616.1633</w:t>
        </w:r>
      </w:hyperlink>
      <w:r w:rsidRPr="00081602">
        <w:rPr>
          <w:rFonts w:ascii="Simplified Arabic" w:hAnsi="Simplified Arabic" w:cs="Simplified Arabic"/>
          <w:color w:val="EE0000"/>
          <w:sz w:val="27"/>
          <w:szCs w:val="27"/>
        </w:rPr>
        <w:t xml:space="preserve"> </w:t>
      </w:r>
    </w:p>
    <w:p w14:paraId="2DF6AB4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آل مرعي، ع. ب. ع. </w:t>
      </w:r>
      <w:r w:rsidRPr="00081602">
        <w:rPr>
          <w:rFonts w:ascii="Simplified Arabic" w:hAnsi="Simplified Arabic" w:cs="Simplified Arabic"/>
          <w:color w:val="EE0000"/>
          <w:sz w:val="28"/>
          <w:szCs w:val="28"/>
          <w:rtl/>
        </w:rPr>
        <w:t xml:space="preserve">(2024). إدراك الشباب السعودي لتقنيات الذكاء الاصطناعي وتأثيراتها على تحقيق جودة المحتوى المرئي عبر وسائل الإعلام: دراسة ميدانية.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72(2), 957–1054.</w:t>
      </w:r>
    </w:p>
    <w:p w14:paraId="6B150EF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2" w:history="1">
        <w:r w:rsidRPr="00081602">
          <w:rPr>
            <w:rStyle w:val="Hyperlink"/>
            <w:rFonts w:ascii="Simplified Arabic" w:hAnsi="Simplified Arabic" w:cs="Simplified Arabic"/>
            <w:color w:val="EE0000"/>
            <w:sz w:val="20"/>
            <w:szCs w:val="20"/>
          </w:rPr>
          <w:t>https://doi.org/10.21608/jsb.2024.307517.1782</w:t>
        </w:r>
      </w:hyperlink>
      <w:r w:rsidRPr="00081602">
        <w:rPr>
          <w:rFonts w:ascii="Simplified Arabic" w:hAnsi="Simplified Arabic" w:cs="Simplified Arabic"/>
          <w:color w:val="EE0000"/>
          <w:sz w:val="27"/>
          <w:szCs w:val="27"/>
        </w:rPr>
        <w:t xml:space="preserve"> </w:t>
      </w:r>
    </w:p>
    <w:p w14:paraId="21EB191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البخيت، م. ع. </w:t>
      </w:r>
      <w:r w:rsidRPr="00081602">
        <w:rPr>
          <w:rFonts w:ascii="Simplified Arabic" w:hAnsi="Simplified Arabic" w:cs="Simplified Arabic"/>
          <w:color w:val="EE0000"/>
          <w:sz w:val="28"/>
          <w:szCs w:val="28"/>
          <w:rtl/>
        </w:rPr>
        <w:t xml:space="preserve">(2025). واقع استخدام تطبيقات الذكاء الاصطناعي لدى أعضاء هيئة التدريس بكلية الآداب والفنون بجامعة حائل: دراسة ميدانية. </w:t>
      </w:r>
      <w:r w:rsidRPr="00081602">
        <w:rPr>
          <w:rFonts w:ascii="Simplified Arabic" w:hAnsi="Simplified Arabic" w:cs="Simplified Arabic"/>
          <w:i/>
          <w:iCs/>
          <w:color w:val="EE0000"/>
          <w:sz w:val="28"/>
          <w:szCs w:val="28"/>
          <w:rtl/>
        </w:rPr>
        <w:t>مجلة جامعة الملك عبدالعزيز: الاتصال والدراسات الإعلامية</w:t>
      </w:r>
      <w:r w:rsidRPr="00081602">
        <w:rPr>
          <w:rFonts w:ascii="Simplified Arabic" w:hAnsi="Simplified Arabic" w:cs="Simplified Arabic"/>
          <w:color w:val="EE0000"/>
          <w:sz w:val="28"/>
          <w:szCs w:val="28"/>
          <w:rtl/>
        </w:rPr>
        <w:t>، 2(1), 178–203.</w:t>
      </w:r>
    </w:p>
    <w:p w14:paraId="532DF2E6"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3" w:history="1">
        <w:r w:rsidRPr="00081602">
          <w:rPr>
            <w:rStyle w:val="Hyperlink"/>
            <w:rFonts w:ascii="Simplified Arabic" w:hAnsi="Simplified Arabic" w:cs="Simplified Arabic"/>
            <w:color w:val="EE0000"/>
            <w:sz w:val="20"/>
            <w:szCs w:val="20"/>
          </w:rPr>
          <w:t>https://doi.org/10.4197/Comm.2-1.5</w:t>
        </w:r>
      </w:hyperlink>
      <w:r w:rsidRPr="00081602">
        <w:rPr>
          <w:rFonts w:ascii="Simplified Arabic" w:hAnsi="Simplified Arabic" w:cs="Simplified Arabic"/>
          <w:color w:val="EE0000"/>
          <w:sz w:val="27"/>
          <w:szCs w:val="27"/>
        </w:rPr>
        <w:t xml:space="preserve"> </w:t>
      </w:r>
    </w:p>
    <w:p w14:paraId="24CC4B3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الخطيب، أ. س. م. ع. </w:t>
      </w:r>
      <w:r w:rsidRPr="00081602">
        <w:rPr>
          <w:rFonts w:ascii="Simplified Arabic" w:hAnsi="Simplified Arabic" w:cs="Simplified Arabic"/>
          <w:color w:val="EE0000"/>
          <w:sz w:val="28"/>
          <w:szCs w:val="28"/>
          <w:rtl/>
        </w:rPr>
        <w:t xml:space="preserve">(2024). تأثير تقنيات التسويق الرقمي المدعومة بالذكاء الاصطناعي في السلوك الشرائي: دراسة ميدانية على عملاء المتاجر الإلكترونية. </w:t>
      </w:r>
      <w:r w:rsidRPr="00081602">
        <w:rPr>
          <w:rFonts w:ascii="Simplified Arabic" w:hAnsi="Simplified Arabic" w:cs="Simplified Arabic"/>
          <w:i/>
          <w:iCs/>
          <w:color w:val="EE0000"/>
          <w:sz w:val="28"/>
          <w:szCs w:val="28"/>
          <w:rtl/>
        </w:rPr>
        <w:t>مجلة جامعة الصالحية الجديدة للعلوم الإدارية والاقتصادية</w:t>
      </w:r>
      <w:r w:rsidRPr="00081602">
        <w:rPr>
          <w:rFonts w:ascii="Simplified Arabic" w:hAnsi="Simplified Arabic" w:cs="Simplified Arabic"/>
          <w:color w:val="EE0000"/>
          <w:sz w:val="28"/>
          <w:szCs w:val="28"/>
          <w:rtl/>
        </w:rPr>
        <w:t>، 1(2), 159–219.</w:t>
      </w:r>
    </w:p>
    <w:p w14:paraId="4C6DE813"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4" w:history="1">
        <w:r w:rsidRPr="00081602">
          <w:rPr>
            <w:rStyle w:val="Hyperlink"/>
            <w:rFonts w:ascii="Simplified Arabic" w:hAnsi="Simplified Arabic" w:cs="Simplified Arabic"/>
            <w:color w:val="EE0000"/>
            <w:sz w:val="20"/>
            <w:szCs w:val="20"/>
          </w:rPr>
          <w:t>https://doi.org/10.21608/jsasc.2024.335098.1016</w:t>
        </w:r>
      </w:hyperlink>
      <w:r w:rsidRPr="00081602">
        <w:rPr>
          <w:rFonts w:ascii="Simplified Arabic" w:hAnsi="Simplified Arabic" w:cs="Simplified Arabic"/>
          <w:color w:val="EE0000"/>
          <w:sz w:val="27"/>
          <w:szCs w:val="27"/>
        </w:rPr>
        <w:t xml:space="preserve"> </w:t>
      </w:r>
    </w:p>
    <w:p w14:paraId="2F6D071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رمضان، ن. </w:t>
      </w:r>
      <w:r w:rsidRPr="00081602">
        <w:rPr>
          <w:rFonts w:ascii="Simplified Arabic" w:hAnsi="Simplified Arabic" w:cs="Simplified Arabic"/>
          <w:color w:val="EE0000"/>
          <w:sz w:val="28"/>
          <w:szCs w:val="28"/>
          <w:rtl/>
        </w:rPr>
        <w:t xml:space="preserve">(2025، 27 مايو). </w:t>
      </w:r>
      <w:r w:rsidRPr="00081602">
        <w:rPr>
          <w:rFonts w:ascii="Simplified Arabic" w:hAnsi="Simplified Arabic" w:cs="Simplified Arabic"/>
          <w:i/>
          <w:iCs/>
          <w:color w:val="EE0000"/>
          <w:sz w:val="28"/>
          <w:szCs w:val="28"/>
          <w:rtl/>
        </w:rPr>
        <w:t>من العام إلى الفردي... كيف يغيّر الذكاء الاصطناعي قواعد التسويق في السعودية؟</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الشرق الأوسط.</w:t>
      </w:r>
    </w:p>
    <w:p w14:paraId="04B6675C"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5" w:history="1">
        <w:r w:rsidRPr="00081602">
          <w:rPr>
            <w:rStyle w:val="Hyperlink"/>
            <w:rFonts w:ascii="Simplified Arabic" w:hAnsi="Simplified Arabic" w:cs="Simplified Arabic"/>
            <w:color w:val="EE0000"/>
            <w:sz w:val="20"/>
            <w:szCs w:val="20"/>
          </w:rPr>
          <w: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w:t>
        </w:r>
      </w:hyperlink>
      <w:r w:rsidRPr="00081602">
        <w:rPr>
          <w:rFonts w:ascii="Simplified Arabic" w:hAnsi="Simplified Arabic" w:cs="Simplified Arabic"/>
          <w:color w:val="EE0000"/>
          <w:sz w:val="27"/>
          <w:szCs w:val="27"/>
        </w:rPr>
        <w:t xml:space="preserve"> </w:t>
      </w:r>
    </w:p>
    <w:p w14:paraId="64A7F203"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عبد الرازق، م. م. </w:t>
      </w:r>
      <w:r w:rsidRPr="00081602">
        <w:rPr>
          <w:rFonts w:ascii="Simplified Arabic" w:hAnsi="Simplified Arabic" w:cs="Simplified Arabic"/>
          <w:color w:val="EE0000"/>
          <w:sz w:val="28"/>
          <w:szCs w:val="28"/>
          <w:rtl/>
        </w:rPr>
        <w:t xml:space="preserve">(2022). تقنيات الذكاء الاصطناعي في الإعلام: الواقع والتطورات المستقبلية: دراسة تطبيقية على القائمين بالاتصال بالوسائل الإعلامية المصرية والعربية. </w:t>
      </w:r>
      <w:r w:rsidRPr="00081602">
        <w:rPr>
          <w:rFonts w:ascii="Simplified Arabic" w:hAnsi="Simplified Arabic" w:cs="Simplified Arabic"/>
          <w:i/>
          <w:iCs/>
          <w:color w:val="EE0000"/>
          <w:sz w:val="28"/>
          <w:szCs w:val="28"/>
          <w:rtl/>
        </w:rPr>
        <w:t>المجلة المصرية لبحوث الإعلام</w:t>
      </w:r>
      <w:r w:rsidRPr="00081602">
        <w:rPr>
          <w:rFonts w:ascii="Simplified Arabic" w:hAnsi="Simplified Arabic" w:cs="Simplified Arabic"/>
          <w:color w:val="EE0000"/>
          <w:sz w:val="28"/>
          <w:szCs w:val="28"/>
          <w:rtl/>
        </w:rPr>
        <w:t>، 81, 1–74.</w:t>
      </w:r>
    </w:p>
    <w:p w14:paraId="19FC42C5"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16" w:history="1">
        <w:r w:rsidRPr="00081602">
          <w:rPr>
            <w:rStyle w:val="Hyperlink"/>
            <w:rFonts w:ascii="Simplified Arabic" w:hAnsi="Simplified Arabic" w:cs="Simplified Arabic"/>
            <w:color w:val="EE0000"/>
            <w:sz w:val="20"/>
            <w:szCs w:val="20"/>
          </w:rPr>
          <w:t>https://doi.org/10.21608/ejsc.2022.272038</w:t>
        </w:r>
      </w:hyperlink>
      <w:r w:rsidRPr="00081602">
        <w:rPr>
          <w:rFonts w:ascii="Simplified Arabic" w:hAnsi="Simplified Arabic" w:cs="Simplified Arabic"/>
          <w:color w:val="EE0000"/>
          <w:sz w:val="27"/>
          <w:szCs w:val="27"/>
        </w:rPr>
        <w:t xml:space="preserve"> </w:t>
      </w:r>
    </w:p>
    <w:p w14:paraId="7D9A45B2"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lastRenderedPageBreak/>
        <w:t xml:space="preserve">العتيبي، ع. </w:t>
      </w:r>
      <w:r w:rsidRPr="00081602">
        <w:rPr>
          <w:rFonts w:ascii="Simplified Arabic" w:hAnsi="Simplified Arabic" w:cs="Simplified Arabic"/>
          <w:color w:val="EE0000"/>
          <w:sz w:val="28"/>
          <w:szCs w:val="28"/>
          <w:rtl/>
        </w:rPr>
        <w:t xml:space="preserve">(2024). </w:t>
      </w:r>
      <w:r w:rsidRPr="00081602">
        <w:rPr>
          <w:rFonts w:ascii="Simplified Arabic" w:hAnsi="Simplified Arabic" w:cs="Simplified Arabic"/>
          <w:i/>
          <w:iCs/>
          <w:color w:val="EE0000"/>
          <w:sz w:val="28"/>
          <w:szCs w:val="28"/>
          <w:rtl/>
        </w:rPr>
        <w:t>أهم إحصائيات عن التسويق الإلكتروني بشكل عام لسنة 2024.</w:t>
      </w:r>
      <w:r w:rsidRPr="00081602">
        <w:rPr>
          <w:rFonts w:ascii="Simplified Arabic" w:hAnsi="Simplified Arabic" w:cs="Simplified Arabic"/>
          <w:color w:val="EE0000"/>
          <w:sz w:val="28"/>
          <w:szCs w:val="28"/>
          <w:rtl/>
        </w:rPr>
        <w:t xml:space="preserve"> عبد الرحمن العتيبي.</w:t>
      </w:r>
    </w:p>
    <w:p w14:paraId="2270BE7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7" w:history="1">
        <w:r w:rsidRPr="00081602">
          <w:rPr>
            <w:rStyle w:val="Hyperlink"/>
            <w:rFonts w:ascii="Simplified Arabic" w:hAnsi="Simplified Arabic" w:cs="Simplified Arabic"/>
            <w:color w:val="EE0000"/>
            <w:sz w:val="20"/>
            <w:szCs w:val="20"/>
          </w:rPr>
          <w:t>https://abdulrahmanalotaibi.sa/%D8%A7%D8%AD%D8%B5%D8%A7%D8%A6%D9%8A%D8%A7%D8%AA-%D8%B9%D9%86-%D8%A7%D9%84%D8%AA%D8%B3%D9%88%D9%8A%D9%82-%D8%A7%D9%84%D8%A7%D9%84%D9%83%D8%AA%D8%B1%D9%88%D9%86%D9%8A/</w:t>
        </w:r>
      </w:hyperlink>
      <w:r w:rsidRPr="00081602">
        <w:rPr>
          <w:rFonts w:ascii="Simplified Arabic" w:hAnsi="Simplified Arabic" w:cs="Simplified Arabic"/>
          <w:color w:val="EE0000"/>
          <w:sz w:val="27"/>
          <w:szCs w:val="27"/>
        </w:rPr>
        <w:t xml:space="preserve"> </w:t>
      </w:r>
    </w:p>
    <w:p w14:paraId="5A47BE5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اللهيبي، س. ع.، وسماكة، ع. م. ع. </w:t>
      </w:r>
      <w:r w:rsidRPr="00081602">
        <w:rPr>
          <w:rFonts w:ascii="Simplified Arabic" w:hAnsi="Simplified Arabic" w:cs="Simplified Arabic"/>
          <w:color w:val="EE0000"/>
          <w:sz w:val="28"/>
          <w:szCs w:val="28"/>
          <w:rtl/>
        </w:rPr>
        <w:t xml:space="preserve">(2024). أثر تطبيق الذكاء الاصطناعي على الأداء التسويقي المصرفي: دراسة تحليلية لآراء عينة من العاملين في القطاع المصرفي الحكومي في محافظة النجف الأشرف. </w:t>
      </w:r>
      <w:r w:rsidRPr="00081602">
        <w:rPr>
          <w:rFonts w:ascii="Simplified Arabic" w:hAnsi="Simplified Arabic" w:cs="Simplified Arabic"/>
          <w:i/>
          <w:iCs/>
          <w:color w:val="EE0000"/>
          <w:sz w:val="28"/>
          <w:szCs w:val="28"/>
          <w:rtl/>
        </w:rPr>
        <w:t>مجلة الغري للعلوم الاقتصادية والإدارية</w:t>
      </w:r>
      <w:r w:rsidRPr="00081602">
        <w:rPr>
          <w:rFonts w:ascii="Simplified Arabic" w:hAnsi="Simplified Arabic" w:cs="Simplified Arabic"/>
          <w:color w:val="EE0000"/>
          <w:sz w:val="28"/>
          <w:szCs w:val="28"/>
          <w:rtl/>
        </w:rPr>
        <w:t>، 20(3), 438–469.</w:t>
      </w:r>
    </w:p>
    <w:p w14:paraId="0D5EB52E"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8" w:history="1">
        <w:r w:rsidRPr="00081602">
          <w:rPr>
            <w:rStyle w:val="Hyperlink"/>
            <w:rFonts w:ascii="Simplified Arabic" w:hAnsi="Simplified Arabic" w:cs="Simplified Arabic"/>
            <w:color w:val="EE0000"/>
            <w:sz w:val="20"/>
            <w:szCs w:val="20"/>
          </w:rPr>
          <w:t>https://doi.org/10.36325/ghjec.v20i3.16786</w:t>
        </w:r>
      </w:hyperlink>
      <w:r w:rsidRPr="00081602">
        <w:rPr>
          <w:rFonts w:ascii="Simplified Arabic" w:hAnsi="Simplified Arabic" w:cs="Simplified Arabic"/>
          <w:color w:val="EE0000"/>
          <w:sz w:val="27"/>
          <w:szCs w:val="27"/>
        </w:rPr>
        <w:t xml:space="preserve"> </w:t>
      </w:r>
    </w:p>
    <w:p w14:paraId="05594C7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محيسن، ح. أ.، مجاهد، ح.، وبصبوص، ر. </w:t>
      </w:r>
      <w:r w:rsidRPr="00081602">
        <w:rPr>
          <w:rFonts w:ascii="Simplified Arabic" w:hAnsi="Simplified Arabic" w:cs="Simplified Arabic"/>
          <w:color w:val="EE0000"/>
          <w:sz w:val="28"/>
          <w:szCs w:val="28"/>
          <w:rtl/>
        </w:rPr>
        <w:t xml:space="preserve">(2025). أثر هندسة التلقين لأدوات الذكاء الاصطناعي التوليدي في جودة إنتاج المحتوى النصي التسويقي العربي. </w:t>
      </w:r>
      <w:r w:rsidRPr="00081602">
        <w:rPr>
          <w:rFonts w:ascii="Simplified Arabic" w:hAnsi="Simplified Arabic" w:cs="Simplified Arabic"/>
          <w:i/>
          <w:iCs/>
          <w:color w:val="EE0000"/>
          <w:sz w:val="28"/>
          <w:szCs w:val="28"/>
          <w:rtl/>
        </w:rPr>
        <w:t>مجلة جامعة فلسطين الأهلية للبحوث والدراسات</w:t>
      </w:r>
      <w:r w:rsidRPr="00081602">
        <w:rPr>
          <w:rFonts w:ascii="Simplified Arabic" w:hAnsi="Simplified Arabic" w:cs="Simplified Arabic"/>
          <w:color w:val="EE0000"/>
          <w:sz w:val="28"/>
          <w:szCs w:val="28"/>
          <w:rtl/>
        </w:rPr>
        <w:t>، 4(2), 161–198.</w:t>
      </w:r>
    </w:p>
    <w:p w14:paraId="4DD6AE1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9" w:history="1">
        <w:r w:rsidRPr="00081602">
          <w:rPr>
            <w:rStyle w:val="Hyperlink"/>
            <w:rFonts w:ascii="Simplified Arabic" w:hAnsi="Simplified Arabic" w:cs="Simplified Arabic"/>
            <w:color w:val="EE0000"/>
            <w:sz w:val="20"/>
            <w:szCs w:val="20"/>
          </w:rPr>
          <w:t>https://doi.org/10.59994/pau.2025.2.161</w:t>
        </w:r>
      </w:hyperlink>
      <w:r w:rsidRPr="00081602">
        <w:rPr>
          <w:rFonts w:ascii="Simplified Arabic" w:hAnsi="Simplified Arabic" w:cs="Simplified Arabic"/>
          <w:color w:val="EE0000"/>
          <w:sz w:val="27"/>
          <w:szCs w:val="27"/>
        </w:rPr>
        <w:t xml:space="preserve"> </w:t>
      </w:r>
    </w:p>
    <w:p w14:paraId="3FE1B226"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ملتقى أسبار. </w:t>
      </w:r>
      <w:r w:rsidRPr="00081602">
        <w:rPr>
          <w:rFonts w:ascii="Simplified Arabic" w:hAnsi="Simplified Arabic" w:cs="Simplified Arabic"/>
          <w:color w:val="EE0000"/>
          <w:sz w:val="28"/>
          <w:szCs w:val="28"/>
          <w:rtl/>
        </w:rPr>
        <w:t xml:space="preserve">(2023، 1 أكتوبر). </w:t>
      </w:r>
      <w:r w:rsidRPr="00081602">
        <w:rPr>
          <w:rFonts w:ascii="Simplified Arabic" w:hAnsi="Simplified Arabic" w:cs="Simplified Arabic"/>
          <w:i/>
          <w:iCs/>
          <w:color w:val="EE0000"/>
          <w:sz w:val="28"/>
          <w:szCs w:val="28"/>
          <w:rtl/>
        </w:rPr>
        <w:t>استشراف تطبيقات الذكاء الاصطناعي في خدمة الإعلام السعودي وقضايا المملكة</w:t>
      </w:r>
      <w:r w:rsidRPr="00081602">
        <w:rPr>
          <w:rFonts w:ascii="Simplified Arabic" w:hAnsi="Simplified Arabic" w:cs="Simplified Arabic"/>
          <w:color w:val="EE0000"/>
          <w:sz w:val="28"/>
          <w:szCs w:val="28"/>
          <w:rtl/>
        </w:rPr>
        <w:t xml:space="preserve"> [تقرير رقم 115].</w:t>
      </w:r>
    </w:p>
    <w:p w14:paraId="507C371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0" w:history="1">
        <w:r w:rsidRPr="00081602">
          <w:rPr>
            <w:rStyle w:val="Hyperlink"/>
            <w:rFonts w:ascii="Simplified Arabic" w:hAnsi="Simplified Arabic" w:cs="Simplified Arabic"/>
            <w:color w:val="EE0000"/>
            <w:sz w:val="20"/>
            <w:szCs w:val="20"/>
          </w:rPr>
          <w:t>https://asbar.com/report/%D8%AA%D9%82%D8%B1%D9%8A%D8%B1-%D8%B1%D9%82%D9%85-115/</w:t>
        </w:r>
      </w:hyperlink>
      <w:r w:rsidRPr="00081602">
        <w:rPr>
          <w:rFonts w:ascii="Simplified Arabic" w:hAnsi="Simplified Arabic" w:cs="Simplified Arabic"/>
          <w:color w:val="EE0000"/>
          <w:sz w:val="27"/>
          <w:szCs w:val="27"/>
        </w:rPr>
        <w:t xml:space="preserve"> </w:t>
      </w:r>
    </w:p>
    <w:p w14:paraId="48596A28"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السعودية للبيانات والذكاء الاصطناعي (سدايا). </w:t>
      </w:r>
      <w:r w:rsidRPr="00081602">
        <w:rPr>
          <w:rFonts w:ascii="Simplified Arabic" w:hAnsi="Simplified Arabic" w:cs="Simplified Arabic"/>
          <w:color w:val="EE0000"/>
          <w:sz w:val="28"/>
          <w:szCs w:val="28"/>
          <w:rtl/>
        </w:rPr>
        <w:t>(2024</w:t>
      </w:r>
      <w:r w:rsidRPr="00081602">
        <w:rPr>
          <w:rFonts w:ascii="Simplified Arabic" w:hAnsi="Simplified Arabic" w:cs="Simplified Arabic"/>
          <w:color w:val="EE0000"/>
          <w:sz w:val="28"/>
          <w:szCs w:val="28"/>
        </w:rPr>
        <w:t>b</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معادلة النمو الجديدة: فرصة الذكاء الاصطناعي التوليدي في المملكة العربية السعودية.</w:t>
      </w:r>
    </w:p>
    <w:p w14:paraId="294A5859"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1" w:history="1">
        <w:r w:rsidRPr="00081602">
          <w:rPr>
            <w:rStyle w:val="Hyperlink"/>
            <w:rFonts w:ascii="Simplified Arabic" w:hAnsi="Simplified Arabic" w:cs="Simplified Arabic"/>
            <w:color w:val="EE0000"/>
            <w:sz w:val="20"/>
            <w:szCs w:val="20"/>
          </w:rPr>
          <w:t>https://sdaia.gov.sa/ar/MediaCenter/KnowledgeCenter/Pages/SDAIAPublications.aspx</w:t>
        </w:r>
      </w:hyperlink>
      <w:r w:rsidRPr="00081602">
        <w:rPr>
          <w:rFonts w:ascii="Simplified Arabic" w:hAnsi="Simplified Arabic" w:cs="Simplified Arabic"/>
          <w:color w:val="EE0000"/>
          <w:sz w:val="27"/>
          <w:szCs w:val="27"/>
        </w:rPr>
        <w:t xml:space="preserve"> </w:t>
      </w:r>
    </w:p>
    <w:p w14:paraId="242C23AD"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العامة لتنظيم الإعلام.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قطاع الإعلانات.</w:t>
      </w:r>
      <w:r w:rsidRPr="00081602">
        <w:rPr>
          <w:rFonts w:ascii="Simplified Arabic" w:hAnsi="Simplified Arabic" w:cs="Simplified Arabic"/>
          <w:color w:val="EE0000"/>
          <w:sz w:val="28"/>
          <w:szCs w:val="28"/>
          <w:rtl/>
        </w:rPr>
        <w:t xml:space="preserve"> تم الاسترجاع في 9 أغسطس 2026، من</w:t>
      </w:r>
    </w:p>
    <w:p w14:paraId="4C61796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2" w:history="1">
        <w:r w:rsidRPr="00081602">
          <w:rPr>
            <w:rStyle w:val="Hyperlink"/>
            <w:rFonts w:ascii="Simplified Arabic" w:hAnsi="Simplified Arabic" w:cs="Simplified Arabic"/>
            <w:color w:val="EE0000"/>
            <w:sz w:val="20"/>
            <w:szCs w:val="20"/>
          </w:rPr>
          <w:t>https://investment.gmedia.gov.sa/details/advertising.html</w:t>
        </w:r>
      </w:hyperlink>
      <w:r w:rsidRPr="00081602">
        <w:rPr>
          <w:rFonts w:ascii="Simplified Arabic" w:hAnsi="Simplified Arabic" w:cs="Simplified Arabic"/>
          <w:color w:val="EE0000"/>
          <w:sz w:val="27"/>
          <w:szCs w:val="27"/>
        </w:rPr>
        <w:t xml:space="preserve"> </w:t>
      </w:r>
    </w:p>
    <w:p w14:paraId="527BC1F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المركز السعودي للأعمال.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مكاتب الدعاية والإعلان الإعلامية المرئية والمسموعة ومكاتب التسويق ووكالات الدعاية.</w:t>
      </w:r>
      <w:r w:rsidRPr="00081602">
        <w:rPr>
          <w:rFonts w:ascii="Simplified Arabic" w:hAnsi="Simplified Arabic" w:cs="Simplified Arabic"/>
          <w:color w:val="EE0000"/>
          <w:sz w:val="28"/>
          <w:szCs w:val="28"/>
          <w:rtl/>
        </w:rPr>
        <w:t xml:space="preserve"> تم الاسترجاع في 9 أغسطس 2026، من</w:t>
      </w:r>
    </w:p>
    <w:p w14:paraId="70CD984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3" w:history="1">
        <w:r w:rsidRPr="00081602">
          <w:rPr>
            <w:rStyle w:val="Hyperlink"/>
            <w:rFonts w:ascii="Simplified Arabic" w:hAnsi="Simplified Arabic" w:cs="Simplified Arabic"/>
            <w:color w:val="EE0000"/>
            <w:sz w:val="20"/>
            <w:szCs w:val="20"/>
          </w:rPr>
          <w:t>https://business.sa/eservices/details/3871715e-ab32-4b90-e2c3-08dc6d4c5607</w:t>
        </w:r>
      </w:hyperlink>
      <w:r w:rsidRPr="00081602">
        <w:rPr>
          <w:rFonts w:ascii="Simplified Arabic" w:hAnsi="Simplified Arabic" w:cs="Simplified Arabic"/>
          <w:color w:val="EE0000"/>
          <w:sz w:val="27"/>
          <w:szCs w:val="27"/>
        </w:rPr>
        <w:t xml:space="preserve"> </w:t>
      </w:r>
    </w:p>
    <w:p w14:paraId="1A58547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وزارة التجارة. </w:t>
      </w:r>
      <w:r w:rsidRPr="00081602">
        <w:rPr>
          <w:rFonts w:ascii="Simplified Arabic" w:hAnsi="Simplified Arabic" w:cs="Simplified Arabic"/>
          <w:color w:val="EE0000"/>
          <w:sz w:val="28"/>
          <w:szCs w:val="28"/>
          <w:rtl/>
        </w:rPr>
        <w:t xml:space="preserve">(2026، 7 أبريل). </w:t>
      </w:r>
      <w:r w:rsidRPr="00081602">
        <w:rPr>
          <w:rFonts w:ascii="Simplified Arabic" w:hAnsi="Simplified Arabic" w:cs="Simplified Arabic"/>
          <w:i/>
          <w:iCs/>
          <w:color w:val="EE0000"/>
          <w:sz w:val="28"/>
          <w:szCs w:val="28"/>
          <w:rtl/>
        </w:rPr>
        <w:t>«التجارة» تُصدر نشرة قطاع الأعمال.. وتبرز نمو سجلات الذكاء الاصطناعي والقطاعات الواعدة ضمن رؤية 2030.</w:t>
      </w:r>
    </w:p>
    <w:p w14:paraId="49ADC76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24" w:history="1">
        <w:r w:rsidRPr="00081602">
          <w:rPr>
            <w:rStyle w:val="Hyperlink"/>
            <w:rFonts w:ascii="Simplified Arabic" w:hAnsi="Simplified Arabic" w:cs="Simplified Arabic"/>
            <w:color w:val="EE0000"/>
            <w:sz w:val="20"/>
            <w:szCs w:val="20"/>
          </w:rPr>
          <w:t>https://mc.gov.sa/ar/mediacenter/News/Pages/07-04-26-01.aspx</w:t>
        </w:r>
      </w:hyperlink>
      <w:r w:rsidRPr="00081602">
        <w:rPr>
          <w:rFonts w:ascii="Simplified Arabic" w:hAnsi="Simplified Arabic" w:cs="Simplified Arabic"/>
          <w:color w:val="EE0000"/>
          <w:sz w:val="27"/>
          <w:szCs w:val="27"/>
        </w:rPr>
        <w:t xml:space="preserve"> </w:t>
      </w:r>
    </w:p>
    <w:p w14:paraId="2AC88B26" w14:textId="77777777" w:rsidR="00F035EA" w:rsidRDefault="00F035EA" w:rsidP="00F035EA">
      <w:pPr>
        <w:bidi/>
        <w:spacing w:after="200" w:line="240" w:lineRule="auto"/>
        <w:rPr>
          <w:rFonts w:asciiTheme="majorBidi" w:hAnsiTheme="majorBidi" w:cstheme="majorBidi"/>
          <w:rtl/>
        </w:rPr>
      </w:pPr>
    </w:p>
    <w:p w14:paraId="35B68BC8" w14:textId="77777777" w:rsidR="00063F89" w:rsidRDefault="00063F89" w:rsidP="00F035EA">
      <w:pPr>
        <w:bidi/>
        <w:spacing w:after="200" w:line="240" w:lineRule="auto"/>
        <w:rPr>
          <w:rFonts w:ascii="Sakkal Majalla" w:hAnsi="Sakkal Majalla" w:cs="Sakkal Majalla"/>
          <w:b/>
          <w:bCs/>
          <w:color w:val="1F497D" w:themeColor="text2"/>
          <w:sz w:val="32"/>
          <w:szCs w:val="32"/>
          <w:u w:val="single"/>
          <w:rtl/>
        </w:rPr>
      </w:pPr>
    </w:p>
    <w:p w14:paraId="78AFDF1E"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050D250A"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6A8EEF84" w14:textId="0E0F8926" w:rsidR="00F035EA" w:rsidRPr="00081602" w:rsidRDefault="00F035EA" w:rsidP="00063F89">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 xml:space="preserve">المراجع الأجنبية </w:t>
      </w:r>
    </w:p>
    <w:p w14:paraId="08879C6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Al-Emran, M., Al-Qaysi, N., Al-Sharafi, M. A., Khoshkam, M., Foroughi, B., &amp; </w:t>
      </w:r>
      <w:proofErr w:type="spellStart"/>
      <w:r w:rsidRPr="00081602">
        <w:rPr>
          <w:rFonts w:asciiTheme="majorBidi" w:hAnsiTheme="majorBidi" w:cstheme="majorBidi"/>
          <w:b/>
          <w:bCs/>
          <w:color w:val="EE0000"/>
        </w:rPr>
        <w:t>Ghobakhloo</w:t>
      </w:r>
      <w:proofErr w:type="spellEnd"/>
      <w:r w:rsidRPr="00081602">
        <w:rPr>
          <w:rFonts w:asciiTheme="majorBidi" w:hAnsiTheme="majorBidi" w:cstheme="majorBidi"/>
          <w:b/>
          <w:bCs/>
          <w:color w:val="EE0000"/>
        </w:rPr>
        <w:t>, M.</w:t>
      </w:r>
      <w:r w:rsidRPr="00081602">
        <w:rPr>
          <w:rFonts w:asciiTheme="majorBidi" w:hAnsiTheme="majorBidi" w:cstheme="majorBidi"/>
          <w:color w:val="EE0000"/>
        </w:rPr>
        <w:t xml:space="preserve"> (2025). Role of perceived threats and knowledge management in shaping generative AI use in education and its impact on social sustainability. </w:t>
      </w:r>
      <w:r w:rsidRPr="00081602">
        <w:rPr>
          <w:rFonts w:asciiTheme="majorBidi" w:hAnsiTheme="majorBidi" w:cstheme="majorBidi"/>
          <w:i/>
          <w:iCs/>
          <w:color w:val="EE0000"/>
        </w:rPr>
        <w:t>The International Journal of Management Education</w:t>
      </w:r>
      <w:r w:rsidRPr="00081602">
        <w:rPr>
          <w:rFonts w:asciiTheme="majorBidi" w:hAnsiTheme="majorBidi" w:cstheme="majorBidi"/>
          <w:color w:val="EE0000"/>
        </w:rPr>
        <w:t xml:space="preserve">, </w:t>
      </w:r>
      <w:r w:rsidRPr="00081602">
        <w:rPr>
          <w:rFonts w:asciiTheme="majorBidi" w:hAnsiTheme="majorBidi" w:cstheme="majorBidi"/>
          <w:i/>
          <w:iCs/>
          <w:color w:val="EE0000"/>
        </w:rPr>
        <w:t>23</w:t>
      </w:r>
      <w:r w:rsidRPr="00081602">
        <w:rPr>
          <w:rFonts w:asciiTheme="majorBidi" w:hAnsiTheme="majorBidi" w:cstheme="majorBidi"/>
          <w:color w:val="EE0000"/>
        </w:rPr>
        <w:t xml:space="preserve">(1), Article 101105. </w:t>
      </w:r>
      <w:hyperlink r:id="rId25" w:history="1">
        <w:r w:rsidRPr="00081602">
          <w:rPr>
            <w:rStyle w:val="Hyperlink"/>
            <w:rFonts w:asciiTheme="majorBidi" w:hAnsiTheme="majorBidi" w:cstheme="majorBidi"/>
            <w:color w:val="EE0000"/>
          </w:rPr>
          <w:t>https://doi.org/10.1016/j.ijme.2024.101105</w:t>
        </w:r>
      </w:hyperlink>
      <w:r w:rsidRPr="00081602">
        <w:rPr>
          <w:rFonts w:asciiTheme="majorBidi" w:hAnsiTheme="majorBidi" w:cstheme="majorBidi"/>
          <w:color w:val="EE0000"/>
        </w:rPr>
        <w:t xml:space="preserve"> </w:t>
      </w:r>
    </w:p>
    <w:p w14:paraId="5588FD01" w14:textId="77777777" w:rsidR="00F035EA" w:rsidRPr="00081602" w:rsidRDefault="00F035EA" w:rsidP="00F035EA">
      <w:pPr>
        <w:spacing w:after="200" w:line="276" w:lineRule="auto"/>
        <w:ind w:left="720" w:hanging="720"/>
        <w:rPr>
          <w:rFonts w:asciiTheme="majorBidi" w:hAnsiTheme="majorBidi" w:cstheme="majorBidi"/>
          <w:color w:val="EE0000"/>
        </w:rPr>
      </w:pPr>
      <w:proofErr w:type="spellStart"/>
      <w:r w:rsidRPr="00081602">
        <w:rPr>
          <w:rFonts w:asciiTheme="majorBidi" w:hAnsiTheme="majorBidi" w:cstheme="majorBidi"/>
          <w:b/>
          <w:bCs/>
          <w:color w:val="EE0000"/>
        </w:rPr>
        <w:t>Aljabari</w:t>
      </w:r>
      <w:proofErr w:type="spellEnd"/>
      <w:r w:rsidRPr="00081602">
        <w:rPr>
          <w:rFonts w:asciiTheme="majorBidi" w:hAnsiTheme="majorBidi" w:cstheme="majorBidi"/>
          <w:b/>
          <w:bCs/>
          <w:color w:val="EE0000"/>
        </w:rPr>
        <w:t xml:space="preserve">, M., </w:t>
      </w:r>
      <w:proofErr w:type="spellStart"/>
      <w:r w:rsidRPr="00081602">
        <w:rPr>
          <w:rFonts w:asciiTheme="majorBidi" w:hAnsiTheme="majorBidi" w:cstheme="majorBidi"/>
          <w:b/>
          <w:bCs/>
          <w:color w:val="EE0000"/>
        </w:rPr>
        <w:t>Althuwaini</w:t>
      </w:r>
      <w:proofErr w:type="spellEnd"/>
      <w:r w:rsidRPr="00081602">
        <w:rPr>
          <w:rFonts w:asciiTheme="majorBidi" w:hAnsiTheme="majorBidi" w:cstheme="majorBidi"/>
          <w:b/>
          <w:bCs/>
          <w:color w:val="EE0000"/>
        </w:rPr>
        <w:t xml:space="preserve">, S., Bouguerra, A., Sharabati, A., </w:t>
      </w:r>
      <w:proofErr w:type="spellStart"/>
      <w:r w:rsidRPr="00081602">
        <w:rPr>
          <w:rFonts w:asciiTheme="majorBidi" w:hAnsiTheme="majorBidi" w:cstheme="majorBidi"/>
          <w:b/>
          <w:bCs/>
          <w:color w:val="EE0000"/>
        </w:rPr>
        <w:t>Allahham</w:t>
      </w:r>
      <w:proofErr w:type="spellEnd"/>
      <w:r w:rsidRPr="00081602">
        <w:rPr>
          <w:rFonts w:asciiTheme="majorBidi" w:hAnsiTheme="majorBidi" w:cstheme="majorBidi"/>
          <w:b/>
          <w:bCs/>
          <w:color w:val="EE0000"/>
        </w:rPr>
        <w:t>, M., &amp; Allan, M.</w:t>
      </w:r>
      <w:r w:rsidRPr="00081602">
        <w:rPr>
          <w:rFonts w:asciiTheme="majorBidi" w:hAnsiTheme="majorBidi" w:cstheme="majorBidi"/>
          <w:color w:val="EE0000"/>
        </w:rPr>
        <w:t xml:space="preserve"> (2024). The impact of digital marketing strategies on innovation: The mediating role of AI: A critical study of SMEs in the KSA market. </w:t>
      </w:r>
      <w:r w:rsidRPr="00081602">
        <w:rPr>
          <w:rFonts w:asciiTheme="majorBidi" w:hAnsiTheme="majorBidi" w:cstheme="majorBidi"/>
          <w:i/>
          <w:iCs/>
          <w:color w:val="EE0000"/>
        </w:rPr>
        <w:t>International Journal of Data and Network Science</w:t>
      </w:r>
      <w:r w:rsidRPr="00081602">
        <w:rPr>
          <w:rFonts w:asciiTheme="majorBidi" w:hAnsiTheme="majorBidi" w:cstheme="majorBidi"/>
          <w:color w:val="EE0000"/>
        </w:rPr>
        <w:t xml:space="preserve">, </w:t>
      </w:r>
      <w:r w:rsidRPr="00081602">
        <w:rPr>
          <w:rFonts w:asciiTheme="majorBidi" w:hAnsiTheme="majorBidi" w:cstheme="majorBidi"/>
          <w:i/>
          <w:iCs/>
          <w:color w:val="EE0000"/>
        </w:rPr>
        <w:t>8</w:t>
      </w:r>
      <w:r w:rsidRPr="00081602">
        <w:rPr>
          <w:rFonts w:asciiTheme="majorBidi" w:hAnsiTheme="majorBidi" w:cstheme="majorBidi"/>
          <w:color w:val="EE0000"/>
        </w:rPr>
        <w:t xml:space="preserve">(4), 2029–2036. </w:t>
      </w:r>
      <w:hyperlink r:id="rId26" w:history="1">
        <w:r w:rsidRPr="00081602">
          <w:rPr>
            <w:rStyle w:val="Hyperlink"/>
            <w:rFonts w:asciiTheme="majorBidi" w:hAnsiTheme="majorBidi" w:cstheme="majorBidi"/>
            <w:color w:val="EE0000"/>
          </w:rPr>
          <w:t>https://doi.org/10.5267/j.ijdns.2024.7.006</w:t>
        </w:r>
      </w:hyperlink>
      <w:r w:rsidRPr="00081602">
        <w:rPr>
          <w:rFonts w:asciiTheme="majorBidi" w:hAnsiTheme="majorBidi" w:cstheme="majorBidi"/>
          <w:color w:val="EE0000"/>
        </w:rPr>
        <w:t xml:space="preserve"> </w:t>
      </w:r>
    </w:p>
    <w:p w14:paraId="035EEF6D"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Alotaibi, M. M., &amp; </w:t>
      </w:r>
      <w:proofErr w:type="spellStart"/>
      <w:r w:rsidRPr="00081602">
        <w:rPr>
          <w:rFonts w:asciiTheme="majorBidi" w:hAnsiTheme="majorBidi" w:cstheme="majorBidi"/>
          <w:b/>
          <w:bCs/>
          <w:color w:val="EE0000"/>
        </w:rPr>
        <w:t>Al-Youbi</w:t>
      </w:r>
      <w:proofErr w:type="spellEnd"/>
      <w:r w:rsidRPr="00081602">
        <w:rPr>
          <w:rFonts w:asciiTheme="majorBidi" w:hAnsiTheme="majorBidi" w:cstheme="majorBidi"/>
          <w:b/>
          <w:bCs/>
          <w:color w:val="EE0000"/>
        </w:rPr>
        <w:t>, L. A.</w:t>
      </w:r>
      <w:r w:rsidRPr="00081602">
        <w:rPr>
          <w:rFonts w:asciiTheme="majorBidi" w:hAnsiTheme="majorBidi" w:cstheme="majorBidi"/>
          <w:color w:val="EE0000"/>
        </w:rPr>
        <w:t xml:space="preserve"> (2024). The impact of artificial intelligence techniques on marketing innovation: An applied study on Mobily company in Saudi Arabia. </w:t>
      </w:r>
      <w:r w:rsidRPr="00081602">
        <w:rPr>
          <w:rFonts w:asciiTheme="majorBidi" w:hAnsiTheme="majorBidi" w:cstheme="majorBidi"/>
          <w:i/>
          <w:iCs/>
          <w:color w:val="EE0000"/>
        </w:rPr>
        <w:t>Journal of Humanities &amp; Social Sciences, 8</w:t>
      </w:r>
      <w:r w:rsidRPr="00081602">
        <w:rPr>
          <w:rFonts w:asciiTheme="majorBidi" w:hAnsiTheme="majorBidi" w:cstheme="majorBidi"/>
          <w:color w:val="EE0000"/>
        </w:rPr>
        <w:t xml:space="preserve">(11), 10–26. </w:t>
      </w:r>
      <w:hyperlink r:id="rId27" w:history="1">
        <w:r w:rsidRPr="00081602">
          <w:rPr>
            <w:rStyle w:val="Hyperlink"/>
            <w:rFonts w:asciiTheme="majorBidi" w:hAnsiTheme="majorBidi" w:cstheme="majorBidi"/>
            <w:color w:val="EE0000"/>
          </w:rPr>
          <w:t>https://doi.org/10.26389/AJSRP.L180924</w:t>
        </w:r>
      </w:hyperlink>
      <w:r w:rsidRPr="00081602">
        <w:rPr>
          <w:rFonts w:asciiTheme="majorBidi" w:hAnsiTheme="majorBidi" w:cstheme="majorBidi"/>
          <w:color w:val="EE0000"/>
        </w:rPr>
        <w:t xml:space="preserve"> </w:t>
      </w:r>
    </w:p>
    <w:p w14:paraId="6C13D6D3"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Ameen, N., </w:t>
      </w:r>
      <w:proofErr w:type="spellStart"/>
      <w:r w:rsidRPr="00081602">
        <w:rPr>
          <w:rFonts w:asciiTheme="majorBidi" w:hAnsiTheme="majorBidi" w:cstheme="majorBidi"/>
          <w:b/>
          <w:bCs/>
          <w:color w:val="EE0000"/>
        </w:rPr>
        <w:t>Tarhini</w:t>
      </w:r>
      <w:proofErr w:type="spellEnd"/>
      <w:r w:rsidRPr="00081602">
        <w:rPr>
          <w:rFonts w:asciiTheme="majorBidi" w:hAnsiTheme="majorBidi" w:cstheme="majorBidi"/>
          <w:b/>
          <w:bCs/>
          <w:color w:val="EE0000"/>
        </w:rPr>
        <w:t>, A., Reppel, A., &amp; Anand, A.</w:t>
      </w:r>
      <w:r w:rsidRPr="00081602">
        <w:rPr>
          <w:rFonts w:asciiTheme="majorBidi" w:hAnsiTheme="majorBidi" w:cstheme="majorBidi"/>
          <w:color w:val="EE0000"/>
        </w:rPr>
        <w:t xml:space="preserve"> (2021). Customer experiences in the age of artificial intelligence. </w:t>
      </w:r>
      <w:r w:rsidRPr="00081602">
        <w:rPr>
          <w:rFonts w:asciiTheme="majorBidi" w:hAnsiTheme="majorBidi" w:cstheme="majorBidi"/>
          <w:i/>
          <w:iCs/>
          <w:color w:val="EE0000"/>
        </w:rPr>
        <w:t>Computers in Human Behavior</w:t>
      </w:r>
      <w:r w:rsidRPr="00081602">
        <w:rPr>
          <w:rFonts w:asciiTheme="majorBidi" w:hAnsiTheme="majorBidi" w:cstheme="majorBidi"/>
          <w:color w:val="EE0000"/>
        </w:rPr>
        <w:t xml:space="preserve">, </w:t>
      </w:r>
      <w:r w:rsidRPr="00081602">
        <w:rPr>
          <w:rFonts w:asciiTheme="majorBidi" w:hAnsiTheme="majorBidi" w:cstheme="majorBidi"/>
          <w:i/>
          <w:iCs/>
          <w:color w:val="EE0000"/>
        </w:rPr>
        <w:t>114</w:t>
      </w:r>
      <w:r w:rsidRPr="00081602">
        <w:rPr>
          <w:rFonts w:asciiTheme="majorBidi" w:hAnsiTheme="majorBidi" w:cstheme="majorBidi"/>
          <w:color w:val="EE0000"/>
        </w:rPr>
        <w:t xml:space="preserve">, Article 106548. </w:t>
      </w:r>
      <w:hyperlink r:id="rId28" w:history="1">
        <w:r w:rsidRPr="00081602">
          <w:rPr>
            <w:rStyle w:val="Hyperlink"/>
            <w:rFonts w:asciiTheme="majorBidi" w:hAnsiTheme="majorBidi" w:cstheme="majorBidi"/>
            <w:color w:val="EE0000"/>
          </w:rPr>
          <w:t>https://doi.org/10.1016/j.chb.2020.106548</w:t>
        </w:r>
      </w:hyperlink>
      <w:r w:rsidRPr="00081602">
        <w:rPr>
          <w:rFonts w:asciiTheme="majorBidi" w:hAnsiTheme="majorBidi" w:cstheme="majorBidi"/>
          <w:color w:val="EE0000"/>
        </w:rPr>
        <w:t xml:space="preserve"> </w:t>
      </w:r>
    </w:p>
    <w:p w14:paraId="50255FA0"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Ben Khalifa, W. A., Alshorman, B. A., Seddik, W. A. S., Zahou, A. M. E., </w:t>
      </w:r>
      <w:proofErr w:type="spellStart"/>
      <w:r w:rsidRPr="00081602">
        <w:rPr>
          <w:rFonts w:asciiTheme="majorBidi" w:hAnsiTheme="majorBidi" w:cstheme="majorBidi"/>
          <w:b/>
          <w:bCs/>
          <w:color w:val="EE0000"/>
        </w:rPr>
        <w:t>Torky</w:t>
      </w:r>
      <w:proofErr w:type="spellEnd"/>
      <w:r w:rsidRPr="00081602">
        <w:rPr>
          <w:rFonts w:asciiTheme="majorBidi" w:hAnsiTheme="majorBidi" w:cstheme="majorBidi"/>
          <w:b/>
          <w:bCs/>
          <w:color w:val="EE0000"/>
        </w:rPr>
        <w:t>, M. S., Rizk, M. F., Hussein, W. A. M., Rabie, M. H., &amp; Yousif, M. A. A. B.</w:t>
      </w:r>
      <w:r w:rsidRPr="00081602">
        <w:rPr>
          <w:rFonts w:asciiTheme="majorBidi" w:hAnsiTheme="majorBidi" w:cstheme="majorBidi"/>
          <w:color w:val="EE0000"/>
        </w:rPr>
        <w:t xml:space="preserve"> (2023). The reality of using artificial intelligence applications in developing e-marketing in the Kingdom of Saudi Arabia. </w:t>
      </w:r>
      <w:r w:rsidRPr="00081602">
        <w:rPr>
          <w:rFonts w:asciiTheme="majorBidi" w:hAnsiTheme="majorBidi" w:cstheme="majorBidi"/>
          <w:i/>
          <w:iCs/>
          <w:color w:val="EE0000"/>
        </w:rPr>
        <w:t>Migration Letters</w:t>
      </w:r>
      <w:r w:rsidRPr="00081602">
        <w:rPr>
          <w:rFonts w:asciiTheme="majorBidi" w:hAnsiTheme="majorBidi" w:cstheme="majorBidi"/>
          <w:color w:val="EE0000"/>
        </w:rPr>
        <w:t xml:space="preserve">, </w:t>
      </w:r>
      <w:r w:rsidRPr="00081602">
        <w:rPr>
          <w:rFonts w:asciiTheme="majorBidi" w:hAnsiTheme="majorBidi" w:cstheme="majorBidi"/>
          <w:i/>
          <w:iCs/>
          <w:color w:val="EE0000"/>
        </w:rPr>
        <w:t>20</w:t>
      </w:r>
      <w:r w:rsidRPr="00081602">
        <w:rPr>
          <w:rFonts w:asciiTheme="majorBidi" w:hAnsiTheme="majorBidi" w:cstheme="majorBidi"/>
          <w:color w:val="EE0000"/>
        </w:rPr>
        <w:t xml:space="preserve">(S3), 146–158. </w:t>
      </w:r>
      <w:hyperlink r:id="rId29" w:history="1">
        <w:r w:rsidRPr="00081602">
          <w:rPr>
            <w:rStyle w:val="Hyperlink"/>
            <w:rFonts w:asciiTheme="majorBidi" w:hAnsiTheme="majorBidi" w:cstheme="majorBidi"/>
            <w:color w:val="EE0000"/>
          </w:rPr>
          <w:t>https://doi.org/10.59670/ml.v20iS3.3768</w:t>
        </w:r>
      </w:hyperlink>
      <w:r w:rsidRPr="00081602">
        <w:rPr>
          <w:rFonts w:asciiTheme="majorBidi" w:hAnsiTheme="majorBidi" w:cstheme="majorBidi"/>
          <w:color w:val="EE0000"/>
        </w:rPr>
        <w:t xml:space="preserve"> </w:t>
      </w:r>
    </w:p>
    <w:p w14:paraId="44D26A72"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Beyari</w:t>
      </w:r>
      <w:proofErr w:type="spellEnd"/>
      <w:r w:rsidRPr="00081602">
        <w:rPr>
          <w:rFonts w:asciiTheme="majorBidi" w:hAnsiTheme="majorBidi" w:cstheme="majorBidi"/>
          <w:b/>
          <w:bCs/>
        </w:rPr>
        <w:t>, H.</w:t>
      </w:r>
      <w:r w:rsidRPr="00081602">
        <w:rPr>
          <w:rFonts w:asciiTheme="majorBidi" w:hAnsiTheme="majorBidi" w:cstheme="majorBidi"/>
        </w:rPr>
        <w:t xml:space="preserve"> (2025). Assessing artificial intelligence’s impact on </w:t>
      </w:r>
      <w:proofErr w:type="spellStart"/>
      <w:r w:rsidRPr="00081602">
        <w:rPr>
          <w:rFonts w:asciiTheme="majorBidi" w:hAnsiTheme="majorBidi" w:cstheme="majorBidi"/>
        </w:rPr>
        <w:t>ecustomer</w:t>
      </w:r>
      <w:proofErr w:type="spellEnd"/>
      <w:r w:rsidRPr="00081602">
        <w:rPr>
          <w:rFonts w:asciiTheme="majorBidi" w:hAnsiTheme="majorBidi" w:cstheme="majorBidi"/>
        </w:rPr>
        <w:t xml:space="preserve"> loyalty in the Saudi Arabian market. </w:t>
      </w:r>
      <w:r w:rsidRPr="00081602">
        <w:rPr>
          <w:rFonts w:asciiTheme="majorBidi" w:hAnsiTheme="majorBidi" w:cstheme="majorBidi"/>
          <w:i/>
          <w:iCs/>
        </w:rPr>
        <w:t>Frontiers in Artificial Intelligence, 8</w:t>
      </w:r>
      <w:r w:rsidRPr="00081602">
        <w:rPr>
          <w:rFonts w:asciiTheme="majorBidi" w:hAnsiTheme="majorBidi" w:cstheme="majorBidi"/>
        </w:rPr>
        <w:t xml:space="preserve">, Article 1541678. </w:t>
      </w:r>
      <w:hyperlink r:id="rId30" w:history="1">
        <w:r w:rsidRPr="00081602">
          <w:rPr>
            <w:rStyle w:val="Hyperlink"/>
            <w:rFonts w:asciiTheme="majorBidi" w:hAnsiTheme="majorBidi" w:cstheme="majorBidi"/>
            <w:color w:val="auto"/>
          </w:rPr>
          <w:t>https://doi.org/10.3389/frai.2025.1541678</w:t>
        </w:r>
      </w:hyperlink>
      <w:r w:rsidRPr="00081602">
        <w:rPr>
          <w:rFonts w:asciiTheme="majorBidi" w:hAnsiTheme="majorBidi" w:cstheme="majorBidi"/>
        </w:rPr>
        <w:t xml:space="preserve">  </w:t>
      </w:r>
    </w:p>
    <w:p w14:paraId="574A71C7"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 xml:space="preserve">Buder, F., Hesel, N., &amp; </w:t>
      </w:r>
      <w:proofErr w:type="spellStart"/>
      <w:r w:rsidRPr="00081602">
        <w:rPr>
          <w:rFonts w:asciiTheme="majorBidi" w:hAnsiTheme="majorBidi" w:cstheme="majorBidi"/>
          <w:b/>
          <w:bCs/>
          <w:color w:val="EE0000"/>
        </w:rPr>
        <w:t>Heimstädt</w:t>
      </w:r>
      <w:proofErr w:type="spellEnd"/>
      <w:r w:rsidRPr="00081602">
        <w:rPr>
          <w:rFonts w:asciiTheme="majorBidi" w:hAnsiTheme="majorBidi" w:cstheme="majorBidi"/>
          <w:b/>
          <w:bCs/>
          <w:color w:val="EE0000"/>
        </w:rPr>
        <w:t>, A.</w:t>
      </w:r>
      <w:r w:rsidRPr="00081602">
        <w:rPr>
          <w:rFonts w:asciiTheme="majorBidi" w:hAnsiTheme="majorBidi" w:cstheme="majorBidi"/>
          <w:color w:val="EE0000"/>
        </w:rPr>
        <w:t xml:space="preserve"> (2024). </w:t>
      </w:r>
      <w:r w:rsidRPr="00081602">
        <w:rPr>
          <w:rFonts w:asciiTheme="majorBidi" w:hAnsiTheme="majorBidi" w:cstheme="majorBidi"/>
          <w:i/>
          <w:iCs/>
          <w:color w:val="EE0000"/>
        </w:rPr>
        <w:t>Beyond the buzz: Creating marketing value with generative AI</w:t>
      </w:r>
      <w:r w:rsidRPr="00081602">
        <w:rPr>
          <w:rFonts w:asciiTheme="majorBidi" w:hAnsiTheme="majorBidi" w:cstheme="majorBidi"/>
          <w:color w:val="EE0000"/>
        </w:rPr>
        <w:t xml:space="preserve"> [Research report]. Nuremberg Institute for Market Decisions. </w:t>
      </w:r>
      <w:hyperlink r:id="rId31" w:history="1">
        <w:r w:rsidRPr="00081602">
          <w:rPr>
            <w:rStyle w:val="Hyperlink"/>
            <w:rFonts w:asciiTheme="majorBidi" w:hAnsiTheme="majorBidi" w:cstheme="majorBidi"/>
            <w:color w:val="EE0000"/>
          </w:rPr>
          <w:t>https://www.nim.org/en/research/projects-overview/detail-research-project/beyond-the-buzz-creating-marketing-value-with-generative-ai-research-report</w:t>
        </w:r>
      </w:hyperlink>
      <w:r w:rsidRPr="00081602">
        <w:rPr>
          <w:rFonts w:asciiTheme="majorBidi" w:hAnsiTheme="majorBidi" w:cstheme="majorBidi"/>
          <w:color w:val="EE0000"/>
        </w:rPr>
        <w:t xml:space="preserve"> </w:t>
      </w:r>
    </w:p>
    <w:p w14:paraId="5DFBBB61"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Cochran, W. G.</w:t>
      </w:r>
      <w:r w:rsidRPr="00081602">
        <w:rPr>
          <w:rFonts w:asciiTheme="majorBidi" w:hAnsiTheme="majorBidi" w:cstheme="majorBidi"/>
        </w:rPr>
        <w:t xml:space="preserve"> (1977). </w:t>
      </w:r>
      <w:r w:rsidRPr="00081602">
        <w:rPr>
          <w:rFonts w:asciiTheme="majorBidi" w:hAnsiTheme="majorBidi" w:cstheme="majorBidi"/>
          <w:i/>
          <w:iCs/>
        </w:rPr>
        <w:t>Sampling techniques</w:t>
      </w:r>
      <w:r w:rsidRPr="00081602">
        <w:rPr>
          <w:rFonts w:asciiTheme="majorBidi" w:hAnsiTheme="majorBidi" w:cstheme="majorBidi"/>
        </w:rPr>
        <w:t xml:space="preserve"> (3rd ed.). John Wiley &amp; Sons. </w:t>
      </w:r>
    </w:p>
    <w:p w14:paraId="1D505B25"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Creswell, J. W., &amp; Creswell, J. D.</w:t>
      </w:r>
      <w:r w:rsidRPr="00081602">
        <w:rPr>
          <w:rFonts w:asciiTheme="majorBidi" w:hAnsiTheme="majorBidi" w:cstheme="majorBidi"/>
        </w:rPr>
        <w:t xml:space="preserve"> (2018). </w:t>
      </w:r>
      <w:r w:rsidRPr="00081602">
        <w:rPr>
          <w:rFonts w:asciiTheme="majorBidi" w:hAnsiTheme="majorBidi" w:cstheme="majorBidi"/>
          <w:i/>
          <w:iCs/>
        </w:rPr>
        <w:t>Research design: Qualitative, quantitative, and mixed methods approaches</w:t>
      </w:r>
      <w:r w:rsidRPr="00081602">
        <w:rPr>
          <w:rFonts w:asciiTheme="majorBidi" w:hAnsiTheme="majorBidi" w:cstheme="majorBidi"/>
        </w:rPr>
        <w:t xml:space="preserve"> (5th ed.). SAGE Publications. </w:t>
      </w:r>
    </w:p>
    <w:p w14:paraId="2EC56B4A"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Dimitrieska</w:t>
      </w:r>
      <w:proofErr w:type="spellEnd"/>
      <w:r w:rsidRPr="00081602">
        <w:rPr>
          <w:rFonts w:asciiTheme="majorBidi" w:hAnsiTheme="majorBidi" w:cstheme="majorBidi"/>
          <w:b/>
          <w:bCs/>
        </w:rPr>
        <w:t>, S.</w:t>
      </w:r>
      <w:r w:rsidRPr="00081602">
        <w:rPr>
          <w:rFonts w:asciiTheme="majorBidi" w:hAnsiTheme="majorBidi" w:cstheme="majorBidi"/>
        </w:rPr>
        <w:t xml:space="preserve"> (2024). Generative artificial intelligence and advertising. </w:t>
      </w:r>
      <w:r w:rsidRPr="00081602">
        <w:rPr>
          <w:rFonts w:asciiTheme="majorBidi" w:hAnsiTheme="majorBidi" w:cstheme="majorBidi"/>
          <w:i/>
          <w:iCs/>
        </w:rPr>
        <w:t>Trends in Economics, Finance and Management Journal, 6</w:t>
      </w:r>
      <w:r w:rsidRPr="00081602">
        <w:rPr>
          <w:rFonts w:asciiTheme="majorBidi" w:hAnsiTheme="majorBidi" w:cstheme="majorBidi"/>
        </w:rPr>
        <w:t xml:space="preserve">(1), 23–33. </w:t>
      </w:r>
      <w:hyperlink r:id="rId32" w:history="1">
        <w:r w:rsidRPr="00081602">
          <w:rPr>
            <w:rStyle w:val="Hyperlink"/>
            <w:rFonts w:asciiTheme="majorBidi" w:hAnsiTheme="majorBidi" w:cstheme="majorBidi"/>
            <w:color w:val="auto"/>
          </w:rPr>
          <w:t>https://doi.org/10.69648/EYZI2281</w:t>
        </w:r>
      </w:hyperlink>
      <w:r w:rsidRPr="00081602">
        <w:rPr>
          <w:rFonts w:asciiTheme="majorBidi" w:hAnsiTheme="majorBidi" w:cstheme="majorBidi"/>
        </w:rPr>
        <w:t xml:space="preserve">   </w:t>
      </w:r>
    </w:p>
    <w:p w14:paraId="66B1CF5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Doshi, A. R., Bell, J. J., Mirzayev, E., &amp; Vanneste, B. S.</w:t>
      </w:r>
      <w:r w:rsidRPr="00081602">
        <w:rPr>
          <w:rFonts w:asciiTheme="majorBidi" w:hAnsiTheme="majorBidi" w:cstheme="majorBidi"/>
        </w:rPr>
        <w:t xml:space="preserve"> (2025). Generative artificial intelligence and evaluating strategic decisions. </w:t>
      </w:r>
      <w:r w:rsidRPr="00081602">
        <w:rPr>
          <w:rFonts w:asciiTheme="majorBidi" w:hAnsiTheme="majorBidi" w:cstheme="majorBidi"/>
          <w:i/>
          <w:iCs/>
        </w:rPr>
        <w:t>Strategic Management Journal, 46</w:t>
      </w:r>
      <w:r w:rsidRPr="00081602">
        <w:rPr>
          <w:rFonts w:asciiTheme="majorBidi" w:hAnsiTheme="majorBidi" w:cstheme="majorBidi"/>
        </w:rPr>
        <w:t xml:space="preserve">(3), 583–610. </w:t>
      </w:r>
      <w:hyperlink r:id="rId33" w:history="1">
        <w:r w:rsidRPr="00081602">
          <w:rPr>
            <w:rStyle w:val="Hyperlink"/>
            <w:rFonts w:asciiTheme="majorBidi" w:hAnsiTheme="majorBidi" w:cstheme="majorBidi"/>
            <w:color w:val="auto"/>
          </w:rPr>
          <w:t>https://doi.org/10.1002/smj.3677</w:t>
        </w:r>
      </w:hyperlink>
      <w:r w:rsidRPr="00081602">
        <w:rPr>
          <w:rFonts w:asciiTheme="majorBidi" w:hAnsiTheme="majorBidi" w:cstheme="majorBidi"/>
        </w:rPr>
        <w:t xml:space="preserve"> </w:t>
      </w:r>
    </w:p>
    <w:p w14:paraId="4E6C5E8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lastRenderedPageBreak/>
        <w:t xml:space="preserve">Dwivedi, Y. K., </w:t>
      </w:r>
      <w:proofErr w:type="spellStart"/>
      <w:r w:rsidRPr="00081602">
        <w:rPr>
          <w:rFonts w:asciiTheme="majorBidi" w:hAnsiTheme="majorBidi" w:cstheme="majorBidi"/>
          <w:b/>
          <w:bCs/>
          <w:color w:val="EE0000"/>
        </w:rPr>
        <w:t>Kshetri</w:t>
      </w:r>
      <w:proofErr w:type="spellEnd"/>
      <w:r w:rsidRPr="00081602">
        <w:rPr>
          <w:rFonts w:asciiTheme="majorBidi" w:hAnsiTheme="majorBidi" w:cstheme="majorBidi"/>
          <w:b/>
          <w:bCs/>
          <w:color w:val="EE0000"/>
        </w:rPr>
        <w:t xml:space="preserve">, N., Hughes, L., Slade, E. L., Jeyaraj, A., Kar, A. K., </w:t>
      </w:r>
      <w:proofErr w:type="spellStart"/>
      <w:r w:rsidRPr="00081602">
        <w:rPr>
          <w:rFonts w:asciiTheme="majorBidi" w:hAnsiTheme="majorBidi" w:cstheme="majorBidi"/>
          <w:b/>
          <w:bCs/>
          <w:color w:val="EE0000"/>
        </w:rPr>
        <w:t>Baabdullah</w:t>
      </w:r>
      <w:proofErr w:type="spellEnd"/>
      <w:r w:rsidRPr="00081602">
        <w:rPr>
          <w:rFonts w:asciiTheme="majorBidi" w:hAnsiTheme="majorBidi" w:cstheme="majorBidi"/>
          <w:b/>
          <w:bCs/>
          <w:color w:val="EE0000"/>
        </w:rPr>
        <w:t xml:space="preserve">, A. M., </w:t>
      </w:r>
      <w:proofErr w:type="spellStart"/>
      <w:r w:rsidRPr="00081602">
        <w:rPr>
          <w:rFonts w:asciiTheme="majorBidi" w:hAnsiTheme="majorBidi" w:cstheme="majorBidi"/>
          <w:b/>
          <w:bCs/>
          <w:color w:val="EE0000"/>
        </w:rPr>
        <w:t>Koohang</w:t>
      </w:r>
      <w:proofErr w:type="spellEnd"/>
      <w:r w:rsidRPr="00081602">
        <w:rPr>
          <w:rFonts w:asciiTheme="majorBidi" w:hAnsiTheme="majorBidi" w:cstheme="majorBidi"/>
          <w:b/>
          <w:bCs/>
          <w:color w:val="EE0000"/>
        </w:rPr>
        <w:t xml:space="preserve">, A., Raghavan, V., Ahuja, M., Albanna, H., </w:t>
      </w:r>
      <w:proofErr w:type="spellStart"/>
      <w:r w:rsidRPr="00081602">
        <w:rPr>
          <w:rFonts w:asciiTheme="majorBidi" w:hAnsiTheme="majorBidi" w:cstheme="majorBidi"/>
          <w:b/>
          <w:bCs/>
          <w:color w:val="EE0000"/>
        </w:rPr>
        <w:t>Albashrawi</w:t>
      </w:r>
      <w:proofErr w:type="spellEnd"/>
      <w:r w:rsidRPr="00081602">
        <w:rPr>
          <w:rFonts w:asciiTheme="majorBidi" w:hAnsiTheme="majorBidi" w:cstheme="majorBidi"/>
          <w:b/>
          <w:bCs/>
          <w:color w:val="EE0000"/>
        </w:rPr>
        <w:t xml:space="preserve">, M. A., Al-Busaidi, A. S., Balakrishnan, J., Barlette, Y., Basu, S., Bose, I., Brooks, L., </w:t>
      </w:r>
      <w:proofErr w:type="spellStart"/>
      <w:r w:rsidRPr="00081602">
        <w:rPr>
          <w:rFonts w:asciiTheme="majorBidi" w:hAnsiTheme="majorBidi" w:cstheme="majorBidi"/>
          <w:b/>
          <w:bCs/>
          <w:color w:val="EE0000"/>
        </w:rPr>
        <w:t>Buhalis</w:t>
      </w:r>
      <w:proofErr w:type="spellEnd"/>
      <w:r w:rsidRPr="00081602">
        <w:rPr>
          <w:rFonts w:asciiTheme="majorBidi" w:hAnsiTheme="majorBidi" w:cstheme="majorBidi"/>
          <w:b/>
          <w:bCs/>
          <w:color w:val="EE0000"/>
        </w:rPr>
        <w:t>, D., … Wright, R.</w:t>
      </w:r>
      <w:r w:rsidRPr="00081602">
        <w:rPr>
          <w:rFonts w:asciiTheme="majorBidi" w:hAnsiTheme="majorBidi" w:cstheme="majorBidi"/>
          <w:color w:val="EE0000"/>
        </w:rPr>
        <w:t xml:space="preserve"> (2023). Opinion paper: “So what if ChatGPT wrote it?” Multidisciplinary perspectives on opportunities, challenges and implications of generative conversational AI for research, practice and policy. </w:t>
      </w:r>
      <w:r w:rsidRPr="00081602">
        <w:rPr>
          <w:rFonts w:asciiTheme="majorBidi" w:hAnsiTheme="majorBidi" w:cstheme="majorBidi"/>
          <w:i/>
          <w:iCs/>
          <w:color w:val="EE0000"/>
        </w:rPr>
        <w:t>International Journal of Information Management</w:t>
      </w:r>
      <w:r w:rsidRPr="00081602">
        <w:rPr>
          <w:rFonts w:asciiTheme="majorBidi" w:hAnsiTheme="majorBidi" w:cstheme="majorBidi"/>
          <w:color w:val="EE0000"/>
        </w:rPr>
        <w:t xml:space="preserve">, </w:t>
      </w:r>
      <w:r w:rsidRPr="00081602">
        <w:rPr>
          <w:rFonts w:asciiTheme="majorBidi" w:hAnsiTheme="majorBidi" w:cstheme="majorBidi"/>
          <w:i/>
          <w:iCs/>
          <w:color w:val="EE0000"/>
        </w:rPr>
        <w:t>71</w:t>
      </w:r>
      <w:r w:rsidRPr="00081602">
        <w:rPr>
          <w:rFonts w:asciiTheme="majorBidi" w:hAnsiTheme="majorBidi" w:cstheme="majorBidi"/>
          <w:color w:val="EE0000"/>
        </w:rPr>
        <w:t xml:space="preserve">, Article 102642. </w:t>
      </w:r>
      <w:hyperlink r:id="rId34" w:history="1">
        <w:r w:rsidRPr="00081602">
          <w:rPr>
            <w:rStyle w:val="Hyperlink"/>
            <w:rFonts w:asciiTheme="majorBidi" w:hAnsiTheme="majorBidi" w:cstheme="majorBidi"/>
            <w:color w:val="EE0000"/>
          </w:rPr>
          <w:t>https://doi.org/10.1016/j.ijinfomgt.2023.102642</w:t>
        </w:r>
      </w:hyperlink>
      <w:r w:rsidRPr="00081602">
        <w:rPr>
          <w:rFonts w:asciiTheme="majorBidi" w:hAnsiTheme="majorBidi" w:cstheme="majorBidi"/>
          <w:color w:val="EE0000"/>
        </w:rPr>
        <w:t xml:space="preserve"> </w:t>
      </w:r>
    </w:p>
    <w:p w14:paraId="2E7328AD"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Etikan</w:t>
      </w:r>
      <w:proofErr w:type="spellEnd"/>
      <w:r w:rsidRPr="00081602">
        <w:rPr>
          <w:rFonts w:asciiTheme="majorBidi" w:hAnsiTheme="majorBidi" w:cstheme="majorBidi"/>
          <w:b/>
          <w:bCs/>
        </w:rPr>
        <w:t>, I., Musa, S. A., &amp; Alkassim, R. S.</w:t>
      </w:r>
      <w:r w:rsidRPr="00081602">
        <w:rPr>
          <w:rFonts w:asciiTheme="majorBidi" w:hAnsiTheme="majorBidi" w:cstheme="majorBidi"/>
        </w:rPr>
        <w:t xml:space="preserve"> (2016). Comparison of convenience sampling and purposive sampling. </w:t>
      </w:r>
      <w:r w:rsidRPr="00081602">
        <w:rPr>
          <w:rFonts w:asciiTheme="majorBidi" w:hAnsiTheme="majorBidi" w:cstheme="majorBidi"/>
          <w:i/>
          <w:iCs/>
        </w:rPr>
        <w:t>American Journal of Theoretical and Applied Statistics, 5</w:t>
      </w:r>
      <w:r w:rsidRPr="00081602">
        <w:rPr>
          <w:rFonts w:asciiTheme="majorBidi" w:hAnsiTheme="majorBidi" w:cstheme="majorBidi"/>
        </w:rPr>
        <w:t xml:space="preserve">(1), 1–5. </w:t>
      </w:r>
      <w:hyperlink r:id="rId35" w:history="1">
        <w:r w:rsidRPr="00081602">
          <w:rPr>
            <w:rStyle w:val="Hyperlink"/>
            <w:rFonts w:asciiTheme="majorBidi" w:hAnsiTheme="majorBidi" w:cstheme="majorBidi"/>
            <w:color w:val="auto"/>
          </w:rPr>
          <w:t>https://doi.org/10.11648/j.ajtas.20160501.11</w:t>
        </w:r>
      </w:hyperlink>
      <w:r w:rsidRPr="00081602">
        <w:rPr>
          <w:rFonts w:asciiTheme="majorBidi" w:hAnsiTheme="majorBidi" w:cstheme="majorBidi"/>
        </w:rPr>
        <w:t xml:space="preserve">  </w:t>
      </w:r>
    </w:p>
    <w:p w14:paraId="12EC413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Gujar, P., &amp; Panyam, S.</w:t>
      </w:r>
      <w:r w:rsidRPr="00081602">
        <w:rPr>
          <w:rFonts w:asciiTheme="majorBidi" w:hAnsiTheme="majorBidi" w:cstheme="majorBidi"/>
        </w:rPr>
        <w:t xml:space="preserve"> (2024). Generative AI in digital advertising campaigns. </w:t>
      </w:r>
      <w:r w:rsidRPr="00081602">
        <w:rPr>
          <w:rFonts w:asciiTheme="majorBidi" w:hAnsiTheme="majorBidi" w:cstheme="majorBidi"/>
          <w:i/>
          <w:iCs/>
        </w:rPr>
        <w:t>International Journal of Computer Trends and Technology, 72</w:t>
      </w:r>
      <w:r w:rsidRPr="00081602">
        <w:rPr>
          <w:rFonts w:asciiTheme="majorBidi" w:hAnsiTheme="majorBidi" w:cstheme="majorBidi"/>
        </w:rPr>
        <w:t xml:space="preserve">(5), 51–55. </w:t>
      </w:r>
      <w:hyperlink r:id="rId36" w:history="1">
        <w:r w:rsidRPr="00081602">
          <w:rPr>
            <w:rStyle w:val="Hyperlink"/>
            <w:rFonts w:asciiTheme="majorBidi" w:hAnsiTheme="majorBidi" w:cstheme="majorBidi"/>
            <w:color w:val="auto"/>
          </w:rPr>
          <w:t>https://doi.org/10.14445/22312803/IJCTT-V72I5P106</w:t>
        </w:r>
      </w:hyperlink>
      <w:r w:rsidRPr="00081602">
        <w:rPr>
          <w:rFonts w:asciiTheme="majorBidi" w:hAnsiTheme="majorBidi" w:cstheme="majorBidi"/>
        </w:rPr>
        <w:t xml:space="preserve">  </w:t>
      </w:r>
    </w:p>
    <w:p w14:paraId="0C8E1EE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Hair, J. F., Hult, G. T. M., Ringle, C. M., &amp; Sarstedt, M.</w:t>
      </w:r>
      <w:r w:rsidRPr="00081602">
        <w:rPr>
          <w:rFonts w:asciiTheme="majorBidi" w:hAnsiTheme="majorBidi" w:cstheme="majorBidi"/>
        </w:rPr>
        <w:t xml:space="preserve"> (2022). </w:t>
      </w:r>
      <w:r w:rsidRPr="00081602">
        <w:rPr>
          <w:rFonts w:asciiTheme="majorBidi" w:hAnsiTheme="majorBidi" w:cstheme="majorBidi"/>
          <w:i/>
          <w:iCs/>
        </w:rPr>
        <w:t>A primer on partial least squares structural equation modeling (PLS-SEM)</w:t>
      </w:r>
      <w:r w:rsidRPr="00081602">
        <w:rPr>
          <w:rFonts w:asciiTheme="majorBidi" w:hAnsiTheme="majorBidi" w:cstheme="majorBidi"/>
        </w:rPr>
        <w:t xml:space="preserve"> (3rd ed.). SAGE Publications. </w:t>
      </w:r>
    </w:p>
    <w:p w14:paraId="4343D0BE"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Heitmann, M.</w:t>
      </w:r>
      <w:r w:rsidRPr="00081602">
        <w:rPr>
          <w:rFonts w:asciiTheme="majorBidi" w:hAnsiTheme="majorBidi" w:cstheme="majorBidi"/>
        </w:rPr>
        <w:t xml:space="preserve"> (2024). Generative AI for marketing content creation: New rules for an old game. </w:t>
      </w:r>
      <w:r w:rsidRPr="00081602">
        <w:rPr>
          <w:rFonts w:asciiTheme="majorBidi" w:hAnsiTheme="majorBidi" w:cstheme="majorBidi"/>
          <w:i/>
          <w:iCs/>
        </w:rPr>
        <w:t>NIM Marketing Intelligence Review, 16</w:t>
      </w:r>
      <w:r w:rsidRPr="00081602">
        <w:rPr>
          <w:rFonts w:asciiTheme="majorBidi" w:hAnsiTheme="majorBidi" w:cstheme="majorBidi"/>
        </w:rPr>
        <w:t xml:space="preserve">(1), 10–17. </w:t>
      </w:r>
      <w:hyperlink r:id="rId37" w:history="1">
        <w:r w:rsidRPr="00081602">
          <w:rPr>
            <w:rStyle w:val="Hyperlink"/>
            <w:rFonts w:asciiTheme="majorBidi" w:hAnsiTheme="majorBidi" w:cstheme="majorBidi"/>
            <w:color w:val="auto"/>
          </w:rPr>
          <w:t>https://doi.org/10.2478/nimmir-2024-0002</w:t>
        </w:r>
      </w:hyperlink>
      <w:r w:rsidRPr="00081602">
        <w:rPr>
          <w:rFonts w:asciiTheme="majorBidi" w:hAnsiTheme="majorBidi" w:cstheme="majorBidi"/>
        </w:rPr>
        <w:t xml:space="preserve">  </w:t>
      </w:r>
    </w:p>
    <w:p w14:paraId="1BABE08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IAB Tech Lab.</w:t>
      </w:r>
      <w:r w:rsidRPr="00081602">
        <w:rPr>
          <w:rFonts w:asciiTheme="majorBidi" w:hAnsiTheme="majorBidi" w:cstheme="majorBidi"/>
          <w:color w:val="EE0000"/>
        </w:rPr>
        <w:t xml:space="preserve"> (2024, October 16). </w:t>
      </w:r>
      <w:r w:rsidRPr="00081602">
        <w:rPr>
          <w:rFonts w:asciiTheme="majorBidi" w:hAnsiTheme="majorBidi" w:cstheme="majorBidi"/>
          <w:i/>
          <w:iCs/>
          <w:color w:val="EE0000"/>
        </w:rPr>
        <w:t>AI in advertising primer</w:t>
      </w:r>
      <w:r w:rsidRPr="00081602">
        <w:rPr>
          <w:rFonts w:asciiTheme="majorBidi" w:hAnsiTheme="majorBidi" w:cstheme="majorBidi"/>
          <w:color w:val="EE0000"/>
        </w:rPr>
        <w:t xml:space="preserve">. </w:t>
      </w:r>
      <w:hyperlink r:id="rId38" w:history="1">
        <w:r w:rsidRPr="00081602">
          <w:rPr>
            <w:rStyle w:val="Hyperlink"/>
            <w:rFonts w:asciiTheme="majorBidi" w:hAnsiTheme="majorBidi" w:cstheme="majorBidi"/>
            <w:color w:val="EE0000"/>
          </w:rPr>
          <w:t>https://iabtechlab.com/iab-tech-lab-releases-ai-in-advertising-primer/</w:t>
        </w:r>
      </w:hyperlink>
      <w:r w:rsidRPr="00081602">
        <w:rPr>
          <w:rFonts w:asciiTheme="majorBidi" w:hAnsiTheme="majorBidi" w:cstheme="majorBidi"/>
          <w:color w:val="EE0000"/>
        </w:rPr>
        <w:t xml:space="preserve"> </w:t>
      </w:r>
    </w:p>
    <w:p w14:paraId="2BD1EDF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Islam, T., Miron, A., Nandy, M., </w:t>
      </w:r>
      <w:proofErr w:type="spellStart"/>
      <w:r w:rsidRPr="00081602">
        <w:rPr>
          <w:rFonts w:asciiTheme="majorBidi" w:hAnsiTheme="majorBidi" w:cstheme="majorBidi"/>
          <w:b/>
          <w:bCs/>
        </w:rPr>
        <w:t>Choudrie</w:t>
      </w:r>
      <w:proofErr w:type="spellEnd"/>
      <w:r w:rsidRPr="00081602">
        <w:rPr>
          <w:rFonts w:asciiTheme="majorBidi" w:hAnsiTheme="majorBidi" w:cstheme="majorBidi"/>
          <w:b/>
          <w:bCs/>
        </w:rPr>
        <w:t>, J., Liu, X., &amp; Li, Y.</w:t>
      </w:r>
      <w:r w:rsidRPr="00081602">
        <w:rPr>
          <w:rFonts w:asciiTheme="majorBidi" w:hAnsiTheme="majorBidi" w:cstheme="majorBidi"/>
        </w:rPr>
        <w:t xml:space="preserve"> (2024). Transforming digital marketing with generative AI. </w:t>
      </w:r>
      <w:r w:rsidRPr="00081602">
        <w:rPr>
          <w:rFonts w:asciiTheme="majorBidi" w:hAnsiTheme="majorBidi" w:cstheme="majorBidi"/>
          <w:i/>
          <w:iCs/>
        </w:rPr>
        <w:t>Computers, 13</w:t>
      </w:r>
      <w:r w:rsidRPr="00081602">
        <w:rPr>
          <w:rFonts w:asciiTheme="majorBidi" w:hAnsiTheme="majorBidi" w:cstheme="majorBidi"/>
        </w:rPr>
        <w:t xml:space="preserve">(7), 168. </w:t>
      </w:r>
      <w:hyperlink r:id="rId39" w:history="1">
        <w:r w:rsidRPr="00081602">
          <w:rPr>
            <w:rStyle w:val="Hyperlink"/>
            <w:rFonts w:asciiTheme="majorBidi" w:hAnsiTheme="majorBidi" w:cstheme="majorBidi"/>
            <w:color w:val="auto"/>
          </w:rPr>
          <w:t>https://doi.org/10.3390/computers13070168</w:t>
        </w:r>
      </w:hyperlink>
      <w:r w:rsidRPr="00081602">
        <w:rPr>
          <w:rFonts w:asciiTheme="majorBidi" w:hAnsiTheme="majorBidi" w:cstheme="majorBidi"/>
        </w:rPr>
        <w:t xml:space="preserve"> </w:t>
      </w:r>
    </w:p>
    <w:p w14:paraId="2FA302C9"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Kılınç</w:t>
      </w:r>
      <w:proofErr w:type="spellEnd"/>
      <w:r w:rsidRPr="00081602">
        <w:rPr>
          <w:rFonts w:asciiTheme="majorBidi" w:hAnsiTheme="majorBidi" w:cstheme="majorBidi"/>
          <w:b/>
          <w:bCs/>
        </w:rPr>
        <w:t xml:space="preserve">, H. K., &amp; </w:t>
      </w:r>
      <w:proofErr w:type="spellStart"/>
      <w:r w:rsidRPr="00081602">
        <w:rPr>
          <w:rFonts w:asciiTheme="majorBidi" w:hAnsiTheme="majorBidi" w:cstheme="majorBidi"/>
          <w:b/>
          <w:bCs/>
        </w:rPr>
        <w:t>Keçecioğlu</w:t>
      </w:r>
      <w:proofErr w:type="spellEnd"/>
      <w:r w:rsidRPr="00081602">
        <w:rPr>
          <w:rFonts w:asciiTheme="majorBidi" w:hAnsiTheme="majorBidi" w:cstheme="majorBidi"/>
          <w:b/>
          <w:bCs/>
        </w:rPr>
        <w:t>, Ö. F.</w:t>
      </w:r>
      <w:r w:rsidRPr="00081602">
        <w:rPr>
          <w:rFonts w:asciiTheme="majorBidi" w:hAnsiTheme="majorBidi" w:cstheme="majorBidi"/>
        </w:rPr>
        <w:t xml:space="preserve"> (2024). Generative artificial intelligence: A historical and future perspective. </w:t>
      </w:r>
      <w:r w:rsidRPr="00081602">
        <w:rPr>
          <w:rFonts w:asciiTheme="majorBidi" w:hAnsiTheme="majorBidi" w:cstheme="majorBidi"/>
          <w:i/>
          <w:iCs/>
        </w:rPr>
        <w:t>Academic Platform Journal of Engineering and Smart Systems, 12</w:t>
      </w:r>
      <w:r w:rsidRPr="00081602">
        <w:rPr>
          <w:rFonts w:asciiTheme="majorBidi" w:hAnsiTheme="majorBidi" w:cstheme="majorBidi"/>
        </w:rPr>
        <w:t xml:space="preserve">(2), 47–58. </w:t>
      </w:r>
      <w:hyperlink r:id="rId40" w:history="1">
        <w:r w:rsidRPr="00081602">
          <w:rPr>
            <w:rStyle w:val="Hyperlink"/>
            <w:rFonts w:asciiTheme="majorBidi" w:hAnsiTheme="majorBidi" w:cstheme="majorBidi"/>
            <w:color w:val="auto"/>
          </w:rPr>
          <w:t>https://doi.org/10.21541/apjess.1398155</w:t>
        </w:r>
      </w:hyperlink>
      <w:r w:rsidRPr="00081602">
        <w:rPr>
          <w:rFonts w:asciiTheme="majorBidi" w:hAnsiTheme="majorBidi" w:cstheme="majorBidi"/>
        </w:rPr>
        <w:t xml:space="preserve"> </w:t>
      </w:r>
    </w:p>
    <w:p w14:paraId="1BAE9BA2"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Kock, N.</w:t>
      </w:r>
      <w:r w:rsidRPr="00081602">
        <w:rPr>
          <w:rFonts w:asciiTheme="majorBidi" w:hAnsiTheme="majorBidi" w:cstheme="majorBidi"/>
        </w:rPr>
        <w:t xml:space="preserve"> (2015). Common method bias in PLS-SEM: A full collinearity assessment approach. </w:t>
      </w:r>
      <w:r w:rsidRPr="00081602">
        <w:rPr>
          <w:rFonts w:asciiTheme="majorBidi" w:hAnsiTheme="majorBidi" w:cstheme="majorBidi"/>
          <w:i/>
          <w:iCs/>
        </w:rPr>
        <w:t>International Journal of e-Collaboration, 11</w:t>
      </w:r>
      <w:r w:rsidRPr="00081602">
        <w:rPr>
          <w:rFonts w:asciiTheme="majorBidi" w:hAnsiTheme="majorBidi" w:cstheme="majorBidi"/>
        </w:rPr>
        <w:t xml:space="preserve">(4), 1–10. </w:t>
      </w:r>
      <w:hyperlink r:id="rId41" w:history="1">
        <w:r w:rsidRPr="00081602">
          <w:rPr>
            <w:rStyle w:val="Hyperlink"/>
            <w:rFonts w:asciiTheme="majorBidi" w:hAnsiTheme="majorBidi" w:cstheme="majorBidi"/>
            <w:color w:val="auto"/>
          </w:rPr>
          <w:t>https://doi.org/10.4018/ijec.2015100101</w:t>
        </w:r>
      </w:hyperlink>
      <w:r w:rsidRPr="00081602">
        <w:rPr>
          <w:rFonts w:asciiTheme="majorBidi" w:hAnsiTheme="majorBidi" w:cstheme="majorBidi"/>
        </w:rPr>
        <w:t xml:space="preserve">  </w:t>
      </w:r>
    </w:p>
    <w:p w14:paraId="14955BB0"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Kshetri</w:t>
      </w:r>
      <w:proofErr w:type="spellEnd"/>
      <w:r w:rsidRPr="00081602">
        <w:rPr>
          <w:rFonts w:asciiTheme="majorBidi" w:hAnsiTheme="majorBidi" w:cstheme="majorBidi"/>
          <w:b/>
          <w:bCs/>
        </w:rPr>
        <w:t>, N., Dwivedi, Y., Davenport, T., &amp; Panteli, N.</w:t>
      </w:r>
      <w:r w:rsidRPr="00081602">
        <w:rPr>
          <w:rFonts w:asciiTheme="majorBidi" w:hAnsiTheme="majorBidi" w:cstheme="majorBidi"/>
        </w:rPr>
        <w:t xml:space="preserve"> (2023). Generative artificial intelligence in marketing: Applications, opportunities, challenges, and research agenda. </w:t>
      </w:r>
      <w:r w:rsidRPr="00081602">
        <w:rPr>
          <w:rFonts w:asciiTheme="majorBidi" w:hAnsiTheme="majorBidi" w:cstheme="majorBidi"/>
          <w:i/>
          <w:iCs/>
        </w:rPr>
        <w:t>International Journal of Information Management, 75</w:t>
      </w:r>
      <w:r w:rsidRPr="00081602">
        <w:rPr>
          <w:rFonts w:asciiTheme="majorBidi" w:hAnsiTheme="majorBidi" w:cstheme="majorBidi"/>
        </w:rPr>
        <w:t xml:space="preserve">, Article 102716. </w:t>
      </w:r>
      <w:hyperlink r:id="rId42" w:history="1">
        <w:r w:rsidRPr="00081602">
          <w:rPr>
            <w:rStyle w:val="Hyperlink"/>
            <w:rFonts w:asciiTheme="majorBidi" w:hAnsiTheme="majorBidi" w:cstheme="majorBidi"/>
            <w:color w:val="auto"/>
          </w:rPr>
          <w:t>https://doi.org/10.1016/j.ijinfomgt.2023.102716</w:t>
        </w:r>
      </w:hyperlink>
      <w:r w:rsidRPr="00081602">
        <w:rPr>
          <w:rFonts w:asciiTheme="majorBidi" w:hAnsiTheme="majorBidi" w:cstheme="majorBidi"/>
        </w:rPr>
        <w:t xml:space="preserve"> </w:t>
      </w:r>
    </w:p>
    <w:p w14:paraId="40EB2D81"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Kujore</w:t>
      </w:r>
      <w:proofErr w:type="spellEnd"/>
      <w:r w:rsidRPr="00081602">
        <w:rPr>
          <w:rFonts w:asciiTheme="majorBidi" w:hAnsiTheme="majorBidi" w:cstheme="majorBidi"/>
          <w:b/>
          <w:bCs/>
        </w:rPr>
        <w:t xml:space="preserve">, V., Adebayo, A., </w:t>
      </w:r>
      <w:proofErr w:type="spellStart"/>
      <w:r w:rsidRPr="00081602">
        <w:rPr>
          <w:rFonts w:asciiTheme="majorBidi" w:hAnsiTheme="majorBidi" w:cstheme="majorBidi"/>
          <w:b/>
          <w:bCs/>
        </w:rPr>
        <w:t>Sambakiu</w:t>
      </w:r>
      <w:proofErr w:type="spellEnd"/>
      <w:r w:rsidRPr="00081602">
        <w:rPr>
          <w:rFonts w:asciiTheme="majorBidi" w:hAnsiTheme="majorBidi" w:cstheme="majorBidi"/>
          <w:b/>
          <w:bCs/>
        </w:rPr>
        <w:t xml:space="preserve">, O., &amp; </w:t>
      </w:r>
      <w:proofErr w:type="spellStart"/>
      <w:r w:rsidRPr="00081602">
        <w:rPr>
          <w:rFonts w:asciiTheme="majorBidi" w:hAnsiTheme="majorBidi" w:cstheme="majorBidi"/>
          <w:b/>
          <w:bCs/>
        </w:rPr>
        <w:t>Segbenu</w:t>
      </w:r>
      <w:proofErr w:type="spellEnd"/>
      <w:r w:rsidRPr="00081602">
        <w:rPr>
          <w:rFonts w:asciiTheme="majorBidi" w:hAnsiTheme="majorBidi" w:cstheme="majorBidi"/>
          <w:b/>
          <w:bCs/>
        </w:rPr>
        <w:t>, B. S.</w:t>
      </w:r>
      <w:r w:rsidRPr="00081602">
        <w:rPr>
          <w:rFonts w:asciiTheme="majorBidi" w:hAnsiTheme="majorBidi" w:cstheme="majorBidi"/>
        </w:rPr>
        <w:t xml:space="preserve"> (2025). Transformative role of generative AI in marketing content creation and brand engagement strategies. </w:t>
      </w:r>
      <w:r w:rsidRPr="00081602">
        <w:rPr>
          <w:rFonts w:asciiTheme="majorBidi" w:hAnsiTheme="majorBidi" w:cstheme="majorBidi"/>
          <w:i/>
          <w:iCs/>
        </w:rPr>
        <w:t>GSC Advanced Research and Reviews, 23</w:t>
      </w:r>
      <w:r w:rsidRPr="00081602">
        <w:rPr>
          <w:rFonts w:asciiTheme="majorBidi" w:hAnsiTheme="majorBidi" w:cstheme="majorBidi"/>
        </w:rPr>
        <w:t xml:space="preserve">(3), 1–11. </w:t>
      </w:r>
      <w:hyperlink r:id="rId43" w:history="1">
        <w:r w:rsidRPr="00081602">
          <w:rPr>
            <w:rStyle w:val="Hyperlink"/>
            <w:rFonts w:asciiTheme="majorBidi" w:hAnsiTheme="majorBidi" w:cstheme="majorBidi"/>
            <w:color w:val="auto"/>
          </w:rPr>
          <w:t>https://doi.org/10.30574/gscarr.2025.23.3.0145</w:t>
        </w:r>
      </w:hyperlink>
      <w:r w:rsidRPr="00081602">
        <w:rPr>
          <w:rFonts w:asciiTheme="majorBidi" w:hAnsiTheme="majorBidi" w:cstheme="majorBidi"/>
        </w:rPr>
        <w:t xml:space="preserve">  </w:t>
      </w:r>
    </w:p>
    <w:p w14:paraId="193D7B0B" w14:textId="77777777" w:rsidR="00F035EA" w:rsidRPr="00081602" w:rsidRDefault="00F035EA" w:rsidP="00F035EA">
      <w:pPr>
        <w:spacing w:after="200" w:line="276" w:lineRule="auto"/>
        <w:ind w:left="720" w:hanging="720"/>
        <w:rPr>
          <w:rFonts w:asciiTheme="majorBidi" w:hAnsiTheme="majorBidi" w:cstheme="majorBidi"/>
        </w:rPr>
      </w:pPr>
      <w:proofErr w:type="spellStart"/>
      <w:r w:rsidRPr="00081602">
        <w:rPr>
          <w:rFonts w:asciiTheme="majorBidi" w:hAnsiTheme="majorBidi" w:cstheme="majorBidi"/>
          <w:b/>
          <w:bCs/>
        </w:rPr>
        <w:t>Masnita</w:t>
      </w:r>
      <w:proofErr w:type="spellEnd"/>
      <w:r w:rsidRPr="00081602">
        <w:rPr>
          <w:rFonts w:asciiTheme="majorBidi" w:hAnsiTheme="majorBidi" w:cstheme="majorBidi"/>
          <w:b/>
          <w:bCs/>
        </w:rPr>
        <w:t xml:space="preserve">, Y., </w:t>
      </w:r>
      <w:proofErr w:type="spellStart"/>
      <w:r w:rsidRPr="00081602">
        <w:rPr>
          <w:rFonts w:asciiTheme="majorBidi" w:hAnsiTheme="majorBidi" w:cstheme="majorBidi"/>
          <w:b/>
          <w:bCs/>
        </w:rPr>
        <w:t>Kasuma</w:t>
      </w:r>
      <w:proofErr w:type="spellEnd"/>
      <w:r w:rsidRPr="00081602">
        <w:rPr>
          <w:rFonts w:asciiTheme="majorBidi" w:hAnsiTheme="majorBidi" w:cstheme="majorBidi"/>
          <w:b/>
          <w:bCs/>
        </w:rPr>
        <w:t xml:space="preserve"> Ali, J., Zahra, A., Wilson, N., &amp; </w:t>
      </w:r>
      <w:proofErr w:type="spellStart"/>
      <w:r w:rsidRPr="00081602">
        <w:rPr>
          <w:rFonts w:asciiTheme="majorBidi" w:hAnsiTheme="majorBidi" w:cstheme="majorBidi"/>
          <w:b/>
          <w:bCs/>
        </w:rPr>
        <w:t>Murwonugroho</w:t>
      </w:r>
      <w:proofErr w:type="spellEnd"/>
      <w:r w:rsidRPr="00081602">
        <w:rPr>
          <w:rFonts w:asciiTheme="majorBidi" w:hAnsiTheme="majorBidi" w:cstheme="majorBidi"/>
          <w:b/>
          <w:bCs/>
        </w:rPr>
        <w:t>, W.</w:t>
      </w:r>
      <w:r w:rsidRPr="00081602">
        <w:rPr>
          <w:rFonts w:asciiTheme="majorBidi" w:hAnsiTheme="majorBidi" w:cstheme="majorBidi"/>
        </w:rPr>
        <w:t xml:space="preserve"> (2024). Artificial intelligence in marketing: Literature review and future research agenda. </w:t>
      </w:r>
      <w:r w:rsidRPr="00081602">
        <w:rPr>
          <w:rFonts w:asciiTheme="majorBidi" w:hAnsiTheme="majorBidi" w:cstheme="majorBidi"/>
          <w:i/>
          <w:iCs/>
        </w:rPr>
        <w:lastRenderedPageBreak/>
        <w:t>Journal of System and Management Sciences, 14</w:t>
      </w:r>
      <w:r w:rsidRPr="00081602">
        <w:rPr>
          <w:rFonts w:asciiTheme="majorBidi" w:hAnsiTheme="majorBidi" w:cstheme="majorBidi"/>
        </w:rPr>
        <w:t xml:space="preserve">(1), 120–140. </w:t>
      </w:r>
      <w:hyperlink r:id="rId44" w:history="1">
        <w:r w:rsidRPr="00081602">
          <w:rPr>
            <w:rStyle w:val="Hyperlink"/>
            <w:rFonts w:asciiTheme="majorBidi" w:hAnsiTheme="majorBidi" w:cstheme="majorBidi"/>
            <w:color w:val="auto"/>
          </w:rPr>
          <w:t>https://doi.org/10.33168/JSMS.2024.0108</w:t>
        </w:r>
      </w:hyperlink>
      <w:r w:rsidRPr="00081602">
        <w:rPr>
          <w:rFonts w:asciiTheme="majorBidi" w:hAnsiTheme="majorBidi" w:cstheme="majorBidi"/>
        </w:rPr>
        <w:t xml:space="preserve"> </w:t>
      </w:r>
    </w:p>
    <w:p w14:paraId="66A60BE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McKinsey &amp; Company.</w:t>
      </w:r>
      <w:r w:rsidRPr="00081602">
        <w:rPr>
          <w:rFonts w:asciiTheme="majorBidi" w:hAnsiTheme="majorBidi" w:cstheme="majorBidi"/>
          <w:color w:val="EE0000"/>
        </w:rPr>
        <w:t xml:space="preserve"> (2024, November 6). </w:t>
      </w:r>
      <w:r w:rsidRPr="00081602">
        <w:rPr>
          <w:rFonts w:asciiTheme="majorBidi" w:hAnsiTheme="majorBidi" w:cstheme="majorBidi"/>
          <w:i/>
          <w:iCs/>
          <w:color w:val="EE0000"/>
        </w:rPr>
        <w:t>The state of gen AI in the Middle East’s GCC countries: A 2024 report card</w:t>
      </w:r>
      <w:r w:rsidRPr="00081602">
        <w:rPr>
          <w:rFonts w:asciiTheme="majorBidi" w:hAnsiTheme="majorBidi" w:cstheme="majorBidi"/>
          <w:color w:val="EE0000"/>
        </w:rPr>
        <w:t xml:space="preserve">. </w:t>
      </w:r>
      <w:hyperlink r:id="rId45" w:history="1">
        <w:r w:rsidRPr="00081602">
          <w:rPr>
            <w:rStyle w:val="Hyperlink"/>
            <w:rFonts w:asciiTheme="majorBidi" w:hAnsiTheme="majorBidi" w:cstheme="majorBidi"/>
            <w:color w:val="EE0000"/>
          </w:rPr>
          <w:t>https://www.mckinsey.com/capabilities/quantumblack/our-insights/the-state-of-gen-ai-in-the-middle-easts-gcc-countries-a-2024-report-card</w:t>
        </w:r>
      </w:hyperlink>
      <w:r w:rsidRPr="00081602">
        <w:rPr>
          <w:rFonts w:asciiTheme="majorBidi" w:hAnsiTheme="majorBidi" w:cstheme="majorBidi"/>
          <w:color w:val="EE0000"/>
        </w:rPr>
        <w:t xml:space="preserve"> </w:t>
      </w:r>
    </w:p>
    <w:p w14:paraId="0B2415A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Mendoza, J. A. G., Franco, H. H. M., &amp; Torres, O. A. P.</w:t>
      </w:r>
      <w:r w:rsidRPr="00081602">
        <w:rPr>
          <w:rFonts w:asciiTheme="majorBidi" w:hAnsiTheme="majorBidi" w:cstheme="majorBidi"/>
          <w:color w:val="EE0000"/>
        </w:rPr>
        <w:t xml:space="preserve"> (2025). Artificial intelligence in digital marketing: Quantitative analysis of its impact on customer personalization. </w:t>
      </w:r>
      <w:r w:rsidRPr="00081602">
        <w:rPr>
          <w:rFonts w:asciiTheme="majorBidi" w:hAnsiTheme="majorBidi" w:cstheme="majorBidi"/>
          <w:i/>
          <w:iCs/>
          <w:color w:val="EE0000"/>
        </w:rPr>
        <w:t>Journal of Posthumanism</w:t>
      </w:r>
      <w:r w:rsidRPr="00081602">
        <w:rPr>
          <w:rFonts w:asciiTheme="majorBidi" w:hAnsiTheme="majorBidi" w:cstheme="majorBidi"/>
          <w:color w:val="EE0000"/>
        </w:rPr>
        <w:t xml:space="preserve">, </w:t>
      </w:r>
      <w:r w:rsidRPr="00081602">
        <w:rPr>
          <w:rFonts w:asciiTheme="majorBidi" w:hAnsiTheme="majorBidi" w:cstheme="majorBidi"/>
          <w:i/>
          <w:iCs/>
          <w:color w:val="EE0000"/>
        </w:rPr>
        <w:t>5</w:t>
      </w:r>
      <w:r w:rsidRPr="00081602">
        <w:rPr>
          <w:rFonts w:asciiTheme="majorBidi" w:hAnsiTheme="majorBidi" w:cstheme="majorBidi"/>
          <w:color w:val="EE0000"/>
        </w:rPr>
        <w:t xml:space="preserve">(6), 4206–4218. </w:t>
      </w:r>
      <w:hyperlink r:id="rId46" w:history="1">
        <w:r w:rsidRPr="00081602">
          <w:rPr>
            <w:rStyle w:val="Hyperlink"/>
            <w:rFonts w:asciiTheme="majorBidi" w:hAnsiTheme="majorBidi" w:cstheme="majorBidi"/>
            <w:color w:val="EE0000"/>
          </w:rPr>
          <w:t>https://doi.org/10.63332/joph.v5i6.2596</w:t>
        </w:r>
      </w:hyperlink>
      <w:r w:rsidRPr="00081602">
        <w:rPr>
          <w:rFonts w:asciiTheme="majorBidi" w:hAnsiTheme="majorBidi" w:cstheme="majorBidi"/>
          <w:color w:val="EE0000"/>
        </w:rPr>
        <w:t xml:space="preserve"> </w:t>
      </w:r>
    </w:p>
    <w:p w14:paraId="02608FD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Nguyen, C. A., Langan, R. J., &amp; Anderson, J. E.</w:t>
      </w:r>
      <w:r w:rsidRPr="00081602">
        <w:rPr>
          <w:rFonts w:asciiTheme="majorBidi" w:hAnsiTheme="majorBidi" w:cstheme="majorBidi"/>
          <w:color w:val="EE0000"/>
        </w:rPr>
        <w:t xml:space="preserve"> (2025). Integrating generative AI into team-based marketing workflows. </w:t>
      </w:r>
      <w:r w:rsidRPr="00081602">
        <w:rPr>
          <w:rFonts w:asciiTheme="majorBidi" w:hAnsiTheme="majorBidi" w:cstheme="majorBidi"/>
          <w:i/>
          <w:iCs/>
          <w:color w:val="EE0000"/>
        </w:rPr>
        <w:t>Business Forum, 30</w:t>
      </w:r>
      <w:r w:rsidRPr="00081602">
        <w:rPr>
          <w:rFonts w:asciiTheme="majorBidi" w:hAnsiTheme="majorBidi" w:cstheme="majorBidi"/>
          <w:color w:val="EE0000"/>
        </w:rPr>
        <w:t xml:space="preserve">(2). </w:t>
      </w:r>
      <w:hyperlink r:id="rId47" w:history="1">
        <w:r w:rsidRPr="00081602">
          <w:rPr>
            <w:rStyle w:val="Hyperlink"/>
            <w:rFonts w:asciiTheme="majorBidi" w:hAnsiTheme="majorBidi" w:cstheme="majorBidi"/>
            <w:color w:val="EE0000"/>
          </w:rPr>
          <w:t>https://www.calstatela.edu/business/businessforum/business-forum-vol-30-issue-2</w:t>
        </w:r>
      </w:hyperlink>
      <w:r w:rsidRPr="00081602">
        <w:rPr>
          <w:rFonts w:asciiTheme="majorBidi" w:hAnsiTheme="majorBidi" w:cstheme="majorBidi"/>
          <w:color w:val="EE0000"/>
        </w:rPr>
        <w:t xml:space="preserve"> </w:t>
      </w:r>
    </w:p>
    <w:p w14:paraId="4D7B574A"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Podsakoff, P. M., MacKenzie, S. B., Lee, J.-Y., &amp; Podsakoff, N. P.</w:t>
      </w:r>
      <w:r w:rsidRPr="00081602">
        <w:rPr>
          <w:rFonts w:asciiTheme="majorBidi" w:hAnsiTheme="majorBidi" w:cstheme="majorBidi"/>
        </w:rPr>
        <w:t xml:space="preserve"> (2003). Common method biases in behavioral research: A critical review of the literature and recommended remedies. </w:t>
      </w:r>
      <w:r w:rsidRPr="00081602">
        <w:rPr>
          <w:rFonts w:asciiTheme="majorBidi" w:hAnsiTheme="majorBidi" w:cstheme="majorBidi"/>
          <w:i/>
          <w:iCs/>
        </w:rPr>
        <w:t>Journal of Applied Psychology, 88</w:t>
      </w:r>
      <w:r w:rsidRPr="00081602">
        <w:rPr>
          <w:rFonts w:asciiTheme="majorBidi" w:hAnsiTheme="majorBidi" w:cstheme="majorBidi"/>
        </w:rPr>
        <w:t xml:space="preserve">(5), 879–903. </w:t>
      </w:r>
      <w:hyperlink r:id="rId48" w:history="1">
        <w:r w:rsidRPr="00081602">
          <w:rPr>
            <w:rStyle w:val="Hyperlink"/>
            <w:rFonts w:asciiTheme="majorBidi" w:hAnsiTheme="majorBidi" w:cstheme="majorBidi"/>
            <w:color w:val="auto"/>
          </w:rPr>
          <w:t>https://doi.org/10.1037/0021-9010.88.5.879</w:t>
        </w:r>
      </w:hyperlink>
      <w:r w:rsidRPr="00081602">
        <w:rPr>
          <w:rFonts w:asciiTheme="majorBidi" w:hAnsiTheme="majorBidi" w:cstheme="majorBidi"/>
        </w:rPr>
        <w:t xml:space="preserve">  </w:t>
      </w:r>
    </w:p>
    <w:p w14:paraId="0FD09B7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Saudi Data &amp; AI Authority (SDAIA).</w:t>
      </w:r>
      <w:r w:rsidRPr="00081602">
        <w:rPr>
          <w:rFonts w:asciiTheme="majorBidi" w:hAnsiTheme="majorBidi" w:cstheme="majorBidi"/>
          <w:color w:val="EE0000"/>
        </w:rPr>
        <w:t xml:space="preserve"> (2024a). </w:t>
      </w:r>
      <w:r w:rsidRPr="00081602">
        <w:rPr>
          <w:rFonts w:asciiTheme="majorBidi" w:hAnsiTheme="majorBidi" w:cstheme="majorBidi"/>
          <w:i/>
          <w:iCs/>
          <w:color w:val="EE0000"/>
        </w:rPr>
        <w:t>Generative artificial intelligence guidelines for the public</w:t>
      </w:r>
      <w:r w:rsidRPr="00081602">
        <w:rPr>
          <w:rFonts w:asciiTheme="majorBidi" w:hAnsiTheme="majorBidi" w:cstheme="majorBidi"/>
          <w:color w:val="EE0000"/>
        </w:rPr>
        <w:t xml:space="preserve">. </w:t>
      </w:r>
      <w:hyperlink r:id="rId49" w:history="1">
        <w:r w:rsidRPr="00081602">
          <w:rPr>
            <w:rStyle w:val="Hyperlink"/>
            <w:rFonts w:asciiTheme="majorBidi" w:hAnsiTheme="majorBidi" w:cstheme="majorBidi"/>
            <w:color w:val="EE0000"/>
          </w:rPr>
          <w:t>https://sdaia.gov.sa/en/SDAIA/about/Files/GenerativeAIPublicEN.pdf</w:t>
        </w:r>
      </w:hyperlink>
      <w:r w:rsidRPr="00081602">
        <w:rPr>
          <w:rFonts w:asciiTheme="majorBidi" w:hAnsiTheme="majorBidi" w:cstheme="majorBidi"/>
          <w:color w:val="EE0000"/>
        </w:rPr>
        <w:t xml:space="preserve"> </w:t>
      </w:r>
    </w:p>
    <w:p w14:paraId="50E8C5B9"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Saunders, M., Lewis, P., &amp; Thornhill, A.</w:t>
      </w:r>
      <w:r w:rsidRPr="00081602">
        <w:rPr>
          <w:rFonts w:asciiTheme="majorBidi" w:hAnsiTheme="majorBidi" w:cstheme="majorBidi"/>
        </w:rPr>
        <w:t xml:space="preserve"> (2019). </w:t>
      </w:r>
      <w:r w:rsidRPr="00081602">
        <w:rPr>
          <w:rFonts w:asciiTheme="majorBidi" w:hAnsiTheme="majorBidi" w:cstheme="majorBidi"/>
          <w:i/>
          <w:iCs/>
        </w:rPr>
        <w:t>Research methods for business students</w:t>
      </w:r>
      <w:r w:rsidRPr="00081602">
        <w:rPr>
          <w:rFonts w:asciiTheme="majorBidi" w:hAnsiTheme="majorBidi" w:cstheme="majorBidi"/>
        </w:rPr>
        <w:t xml:space="preserve"> (8th ed.). Pearson Education. </w:t>
      </w:r>
    </w:p>
    <w:p w14:paraId="0CF62B7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Sharabati, A.-A. A., Ali, A. A. A., </w:t>
      </w:r>
      <w:proofErr w:type="spellStart"/>
      <w:r w:rsidRPr="00081602">
        <w:rPr>
          <w:rFonts w:asciiTheme="majorBidi" w:hAnsiTheme="majorBidi" w:cstheme="majorBidi"/>
          <w:b/>
          <w:bCs/>
        </w:rPr>
        <w:t>Allahham</w:t>
      </w:r>
      <w:proofErr w:type="spellEnd"/>
      <w:r w:rsidRPr="00081602">
        <w:rPr>
          <w:rFonts w:asciiTheme="majorBidi" w:hAnsiTheme="majorBidi" w:cstheme="majorBidi"/>
          <w:b/>
          <w:bCs/>
        </w:rPr>
        <w:t xml:space="preserve">, M. I., Hussein, A. A., </w:t>
      </w:r>
      <w:proofErr w:type="spellStart"/>
      <w:r w:rsidRPr="00081602">
        <w:rPr>
          <w:rFonts w:asciiTheme="majorBidi" w:hAnsiTheme="majorBidi" w:cstheme="majorBidi"/>
          <w:b/>
          <w:bCs/>
        </w:rPr>
        <w:t>Alheet</w:t>
      </w:r>
      <w:proofErr w:type="spellEnd"/>
      <w:r w:rsidRPr="00081602">
        <w:rPr>
          <w:rFonts w:asciiTheme="majorBidi" w:hAnsiTheme="majorBidi" w:cstheme="majorBidi"/>
          <w:b/>
          <w:bCs/>
        </w:rPr>
        <w:t>, A. F., &amp; Mohammad, A. S.</w:t>
      </w:r>
      <w:r w:rsidRPr="00081602">
        <w:rPr>
          <w:rFonts w:asciiTheme="majorBidi" w:hAnsiTheme="majorBidi" w:cstheme="majorBidi"/>
        </w:rPr>
        <w:t xml:space="preserve"> (2024). The impact of digital marketing on the performance of SMEs: An analytical study in light of modern digital transformations. </w:t>
      </w:r>
      <w:r w:rsidRPr="00081602">
        <w:rPr>
          <w:rFonts w:asciiTheme="majorBidi" w:hAnsiTheme="majorBidi" w:cstheme="majorBidi"/>
          <w:i/>
          <w:iCs/>
        </w:rPr>
        <w:t>Sustainability, 16</w:t>
      </w:r>
      <w:r w:rsidRPr="00081602">
        <w:rPr>
          <w:rFonts w:asciiTheme="majorBidi" w:hAnsiTheme="majorBidi" w:cstheme="majorBidi"/>
        </w:rPr>
        <w:t xml:space="preserve">(19), 8667. </w:t>
      </w:r>
      <w:hyperlink r:id="rId50" w:history="1">
        <w:r w:rsidRPr="00081602">
          <w:rPr>
            <w:rStyle w:val="Hyperlink"/>
            <w:rFonts w:asciiTheme="majorBidi" w:hAnsiTheme="majorBidi" w:cstheme="majorBidi"/>
            <w:color w:val="auto"/>
          </w:rPr>
          <w:t>https://doi.org/10.3390/su16198667</w:t>
        </w:r>
      </w:hyperlink>
      <w:r w:rsidRPr="00081602">
        <w:rPr>
          <w:rFonts w:asciiTheme="majorBidi" w:hAnsiTheme="majorBidi" w:cstheme="majorBidi"/>
        </w:rPr>
        <w:t xml:space="preserve">  </w:t>
      </w:r>
    </w:p>
    <w:p w14:paraId="5AEE453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Social Media Today.</w:t>
      </w:r>
      <w:r w:rsidRPr="00081602">
        <w:rPr>
          <w:rFonts w:asciiTheme="majorBidi" w:hAnsiTheme="majorBidi" w:cstheme="majorBidi"/>
          <w:color w:val="EE0000"/>
        </w:rPr>
        <w:t xml:space="preserve"> (2025, July 8). </w:t>
      </w:r>
      <w:r w:rsidRPr="00081602">
        <w:rPr>
          <w:rFonts w:asciiTheme="majorBidi" w:hAnsiTheme="majorBidi" w:cstheme="majorBidi"/>
          <w:i/>
          <w:iCs/>
          <w:color w:val="EE0000"/>
        </w:rPr>
        <w:t>Digital marketing statistics of 2025: H1 by the numbers</w:t>
      </w:r>
      <w:r w:rsidRPr="00081602">
        <w:rPr>
          <w:rFonts w:asciiTheme="majorBidi" w:hAnsiTheme="majorBidi" w:cstheme="majorBidi"/>
          <w:color w:val="EE0000"/>
        </w:rPr>
        <w:t xml:space="preserve">. </w:t>
      </w:r>
      <w:hyperlink r:id="rId51" w:history="1">
        <w:r w:rsidRPr="00081602">
          <w:rPr>
            <w:rStyle w:val="Hyperlink"/>
            <w:rFonts w:asciiTheme="majorBidi" w:hAnsiTheme="majorBidi" w:cstheme="majorBidi"/>
            <w:color w:val="EE0000"/>
          </w:rPr>
          <w:t>https://www.socialmediatoday.com/news/digital-marketing-statistics-2025-h1-by-the-numbers/752547/</w:t>
        </w:r>
      </w:hyperlink>
      <w:r w:rsidRPr="00081602">
        <w:rPr>
          <w:rFonts w:asciiTheme="majorBidi" w:hAnsiTheme="majorBidi" w:cstheme="majorBidi"/>
          <w:color w:val="EE0000"/>
        </w:rPr>
        <w:t xml:space="preserve"> </w:t>
      </w:r>
    </w:p>
    <w:p w14:paraId="01E2A97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Strategy&amp; (PwC Middle East).</w:t>
      </w:r>
      <w:r w:rsidRPr="00081602">
        <w:rPr>
          <w:rFonts w:asciiTheme="majorBidi" w:hAnsiTheme="majorBidi" w:cstheme="majorBidi"/>
          <w:color w:val="EE0000"/>
        </w:rPr>
        <w:t xml:space="preserve"> (2024). </w:t>
      </w:r>
      <w:r w:rsidRPr="00081602">
        <w:rPr>
          <w:rFonts w:asciiTheme="majorBidi" w:hAnsiTheme="majorBidi" w:cstheme="majorBidi"/>
          <w:i/>
          <w:iCs/>
          <w:color w:val="EE0000"/>
        </w:rPr>
        <w:t>Overcoming regional ecosystem challenges in AI</w:t>
      </w:r>
      <w:r w:rsidRPr="00081602">
        <w:rPr>
          <w:rFonts w:asciiTheme="majorBidi" w:hAnsiTheme="majorBidi" w:cstheme="majorBidi"/>
          <w:color w:val="EE0000"/>
        </w:rPr>
        <w:t xml:space="preserve">. </w:t>
      </w:r>
      <w:hyperlink r:id="rId52" w:history="1">
        <w:r w:rsidRPr="00081602">
          <w:rPr>
            <w:rStyle w:val="Hyperlink"/>
            <w:rFonts w:asciiTheme="majorBidi" w:hAnsiTheme="majorBidi" w:cstheme="majorBidi"/>
            <w:color w:val="EE0000"/>
          </w:rPr>
          <w:t>https://www.strategyand.pwc.com/m1/en/industries/technology/regional-ecosystem-challenges-in-ai.html</w:t>
        </w:r>
      </w:hyperlink>
      <w:r w:rsidRPr="00081602">
        <w:rPr>
          <w:rFonts w:asciiTheme="majorBidi" w:hAnsiTheme="majorBidi" w:cstheme="majorBidi"/>
          <w:color w:val="EE0000"/>
        </w:rPr>
        <w:t xml:space="preserve"> </w:t>
      </w:r>
    </w:p>
    <w:p w14:paraId="6F8C53E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 xml:space="preserve">Wang, Y., </w:t>
      </w:r>
      <w:proofErr w:type="spellStart"/>
      <w:r w:rsidRPr="00081602">
        <w:rPr>
          <w:rFonts w:asciiTheme="majorBidi" w:hAnsiTheme="majorBidi" w:cstheme="majorBidi"/>
          <w:b/>
          <w:bCs/>
        </w:rPr>
        <w:t>Sauka</w:t>
      </w:r>
      <w:proofErr w:type="spellEnd"/>
      <w:r w:rsidRPr="00081602">
        <w:rPr>
          <w:rFonts w:asciiTheme="majorBidi" w:hAnsiTheme="majorBidi" w:cstheme="majorBidi"/>
          <w:b/>
          <w:bCs/>
        </w:rPr>
        <w:t xml:space="preserve">, K., &amp; </w:t>
      </w:r>
      <w:proofErr w:type="spellStart"/>
      <w:r w:rsidRPr="00081602">
        <w:rPr>
          <w:rFonts w:asciiTheme="majorBidi" w:hAnsiTheme="majorBidi" w:cstheme="majorBidi"/>
          <w:b/>
          <w:bCs/>
        </w:rPr>
        <w:t>Situmeang</w:t>
      </w:r>
      <w:proofErr w:type="spellEnd"/>
      <w:r w:rsidRPr="00081602">
        <w:rPr>
          <w:rFonts w:asciiTheme="majorBidi" w:hAnsiTheme="majorBidi" w:cstheme="majorBidi"/>
          <w:b/>
          <w:bCs/>
        </w:rPr>
        <w:t>, F. B. I.</w:t>
      </w:r>
      <w:r w:rsidRPr="00081602">
        <w:rPr>
          <w:rFonts w:asciiTheme="majorBidi" w:hAnsiTheme="majorBidi" w:cstheme="majorBidi"/>
        </w:rPr>
        <w:t xml:space="preserve"> (2025). Anthropomorphism and transparency interplay on consumer </w:t>
      </w:r>
      <w:proofErr w:type="spellStart"/>
      <w:r w:rsidRPr="00081602">
        <w:rPr>
          <w:rFonts w:asciiTheme="majorBidi" w:hAnsiTheme="majorBidi" w:cstheme="majorBidi"/>
        </w:rPr>
        <w:t>behaviour</w:t>
      </w:r>
      <w:proofErr w:type="spellEnd"/>
      <w:r w:rsidRPr="00081602">
        <w:rPr>
          <w:rFonts w:asciiTheme="majorBidi" w:hAnsiTheme="majorBidi" w:cstheme="majorBidi"/>
        </w:rPr>
        <w:t xml:space="preserve"> in generative </w:t>
      </w:r>
      <w:proofErr w:type="spellStart"/>
      <w:r w:rsidRPr="00081602">
        <w:rPr>
          <w:rFonts w:asciiTheme="majorBidi" w:hAnsiTheme="majorBidi" w:cstheme="majorBidi"/>
        </w:rPr>
        <w:t>AIdriven</w:t>
      </w:r>
      <w:proofErr w:type="spellEnd"/>
      <w:r w:rsidRPr="00081602">
        <w:rPr>
          <w:rFonts w:asciiTheme="majorBidi" w:hAnsiTheme="majorBidi" w:cstheme="majorBidi"/>
        </w:rPr>
        <w:t xml:space="preserve"> marketing communication. </w:t>
      </w:r>
      <w:r w:rsidRPr="00081602">
        <w:rPr>
          <w:rFonts w:asciiTheme="majorBidi" w:hAnsiTheme="majorBidi" w:cstheme="majorBidi"/>
          <w:i/>
          <w:iCs/>
        </w:rPr>
        <w:t>Journal of Consumer Marketing, 42</w:t>
      </w:r>
      <w:r w:rsidRPr="00081602">
        <w:rPr>
          <w:rFonts w:asciiTheme="majorBidi" w:hAnsiTheme="majorBidi" w:cstheme="majorBidi"/>
        </w:rPr>
        <w:t xml:space="preserve">(4), 512–536. </w:t>
      </w:r>
      <w:hyperlink r:id="rId53" w:history="1">
        <w:r w:rsidRPr="00081602">
          <w:rPr>
            <w:rStyle w:val="Hyperlink"/>
            <w:rFonts w:asciiTheme="majorBidi" w:hAnsiTheme="majorBidi" w:cstheme="majorBidi"/>
            <w:color w:val="auto"/>
          </w:rPr>
          <w:t>https://doi.org/10.1108/JCM-04-2024-6806</w:t>
        </w:r>
      </w:hyperlink>
      <w:r w:rsidRPr="00081602">
        <w:rPr>
          <w:rFonts w:asciiTheme="majorBidi" w:hAnsiTheme="majorBidi" w:cstheme="majorBidi"/>
        </w:rPr>
        <w:t xml:space="preserve">  </w:t>
      </w:r>
    </w:p>
    <w:p w14:paraId="757BDA06"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Zhao, X., Lynch, J. G., Jr., &amp; Chen, Q.</w:t>
      </w:r>
      <w:r w:rsidRPr="00081602">
        <w:rPr>
          <w:rFonts w:asciiTheme="majorBidi" w:hAnsiTheme="majorBidi" w:cstheme="majorBidi"/>
        </w:rPr>
        <w:t xml:space="preserve"> (2010). Reconsidering Baron and Kenny: Myths and truths about mediation analysis. </w:t>
      </w:r>
      <w:r w:rsidRPr="00081602">
        <w:rPr>
          <w:rFonts w:asciiTheme="majorBidi" w:hAnsiTheme="majorBidi" w:cstheme="majorBidi"/>
          <w:i/>
          <w:iCs/>
        </w:rPr>
        <w:t>Journal of Consumer Research, 37</w:t>
      </w:r>
      <w:r w:rsidRPr="00081602">
        <w:rPr>
          <w:rFonts w:asciiTheme="majorBidi" w:hAnsiTheme="majorBidi" w:cstheme="majorBidi"/>
        </w:rPr>
        <w:t xml:space="preserve">(2), 197–206. </w:t>
      </w:r>
      <w:hyperlink r:id="rId54" w:history="1">
        <w:r w:rsidRPr="00081602">
          <w:rPr>
            <w:rStyle w:val="Hyperlink"/>
            <w:rFonts w:asciiTheme="majorBidi" w:hAnsiTheme="majorBidi" w:cstheme="majorBidi"/>
            <w:color w:val="auto"/>
          </w:rPr>
          <w:t>https://doi.org/10.1086/651257</w:t>
        </w:r>
      </w:hyperlink>
      <w:r w:rsidRPr="00081602">
        <w:rPr>
          <w:rFonts w:asciiTheme="majorBidi" w:hAnsiTheme="majorBidi" w:cstheme="majorBidi"/>
        </w:rPr>
        <w:t xml:space="preserve">  </w:t>
      </w:r>
    </w:p>
    <w:p w14:paraId="2521E6A0" w14:textId="6452A6E1" w:rsidR="00F035EA" w:rsidRPr="00063F89" w:rsidRDefault="00F035EA" w:rsidP="00063F89">
      <w:pPr>
        <w:spacing w:after="200" w:line="276" w:lineRule="auto"/>
        <w:ind w:left="720" w:hanging="720"/>
        <w:rPr>
          <w:rFonts w:asciiTheme="majorBidi" w:hAnsiTheme="majorBidi" w:cstheme="majorBidi"/>
          <w:rtl/>
        </w:rPr>
      </w:pPr>
      <w:r>
        <w:rPr>
          <w:rFonts w:asciiTheme="majorBidi" w:hAnsiTheme="majorBidi" w:cstheme="majorBidi"/>
        </w:rPr>
        <w:t xml:space="preserve"> </w:t>
      </w:r>
    </w:p>
    <w:sectPr w:rsidR="00F035EA" w:rsidRPr="00063F89" w:rsidSect="00395E1F">
      <w:headerReference w:type="even" r:id="rId55"/>
      <w:headerReference w:type="default" r:id="rId56"/>
      <w:footerReference w:type="even" r:id="rId57"/>
      <w:footerReference w:type="default" r:id="rId58"/>
      <w:headerReference w:type="first" r:id="rId59"/>
      <w:footerReference w:type="first" r:id="rId6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71A7DA" w14:textId="77777777" w:rsidR="006B3147" w:rsidRDefault="006B3147" w:rsidP="00F628F0">
      <w:pPr>
        <w:spacing w:after="0" w:line="240" w:lineRule="auto"/>
      </w:pPr>
      <w:r>
        <w:separator/>
      </w:r>
    </w:p>
  </w:endnote>
  <w:endnote w:type="continuationSeparator" w:id="0">
    <w:p w14:paraId="1EF959A7" w14:textId="77777777" w:rsidR="006B3147" w:rsidRDefault="006B314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webkit-standard">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Naskh Arabic">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607896" w14:textId="77777777" w:rsidR="0045025F" w:rsidRDefault="0045025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5EE23A21" w:rsidR="00883E09" w:rsidRPr="00883E09" w:rsidRDefault="00264677" w:rsidP="0045025F">
    <w:pPr>
      <w:pStyle w:val="a5"/>
      <w:bidi/>
      <w:rPr>
        <w:sz w:val="24"/>
        <w:szCs w:val="24"/>
      </w:rPr>
    </w:pPr>
    <w:r>
      <w:rPr>
        <w:rFonts w:ascii="Times New Roman"/>
        <w:b/>
        <w:noProof/>
        <w:sz w:val="20"/>
      </w:rPr>
      <w:drawing>
        <wp:anchor distT="0" distB="0" distL="114300" distR="114300" simplePos="0" relativeHeight="25165619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45025F" w:rsidRPr="0045025F">
      <w:rPr>
        <w:rFonts w:ascii="Arial" w:hAnsi="Arial" w:cs="Arial"/>
        <w:b/>
        <w:bCs/>
        <w:color w:val="0070C0"/>
        <w:sz w:val="18"/>
        <w:szCs w:val="18"/>
        <w:rtl/>
      </w:rPr>
      <w:t xml:space="preserve"> </w:t>
    </w:r>
    <w:r w:rsidR="0045025F"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96326C" w14:textId="77777777" w:rsidR="006B3147" w:rsidRDefault="006B3147" w:rsidP="00F628F0">
      <w:pPr>
        <w:spacing w:after="0" w:line="240" w:lineRule="auto"/>
      </w:pPr>
      <w:r>
        <w:separator/>
      </w:r>
    </w:p>
  </w:footnote>
  <w:footnote w:type="continuationSeparator" w:id="0">
    <w:p w14:paraId="4CAE655F" w14:textId="77777777" w:rsidR="006B3147" w:rsidRDefault="006B314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073263">
    <w:pPr>
      <w:pStyle w:val="a4"/>
    </w:pPr>
    <w:r>
      <w:rPr>
        <w:noProof/>
      </w:rPr>
    </w:r>
    <w:r w:rsidR="00073263">
      <w:rPr>
        <w:noProof/>
      </w:rPr>
      <w:pict w14:anchorId="29DBC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073263">
    <w:pPr>
      <w:pStyle w:val="a4"/>
    </w:pPr>
    <w:r>
      <w:rPr>
        <w:noProof/>
      </w:rPr>
    </w:r>
    <w:r w:rsidR="00073263">
      <w:rPr>
        <w:noProof/>
      </w:rPr>
      <w:pict w14:anchorId="069C3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EndPr/>
    <w:sdtContent>
      <w:p w14:paraId="2C592018" w14:textId="2BE52E38" w:rsidR="003235C8" w:rsidRDefault="00073263">
        <w:pPr>
          <w:pStyle w:val="a4"/>
        </w:pPr>
        <w:r>
          <w:rPr>
            <w:noProof/>
          </w:rPr>
        </w:r>
        <w:r w:rsidR="00073263">
          <w:rPr>
            <w:noProof/>
          </w:rPr>
          <w:pict w14:anchorId="2EDCC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002F6"/>
    <w:multiLevelType w:val="hybridMultilevel"/>
    <w:tmpl w:val="FFFFFFFF"/>
    <w:lvl w:ilvl="0" w:tplc="A1B65FBE">
      <w:start w:val="1"/>
      <w:numFmt w:val="bullet"/>
      <w:lvlText w:val="•"/>
      <w:lvlJc w:val="right"/>
      <w:pPr>
        <w:ind w:right="720" w:hanging="260"/>
      </w:pPr>
    </w:lvl>
    <w:lvl w:ilvl="1" w:tplc="902C85B0">
      <w:numFmt w:val="decimal"/>
      <w:lvlText w:val=""/>
      <w:lvlJc w:val="left"/>
    </w:lvl>
    <w:lvl w:ilvl="2" w:tplc="33CEB5CA">
      <w:numFmt w:val="decimal"/>
      <w:lvlText w:val=""/>
      <w:lvlJc w:val="left"/>
    </w:lvl>
    <w:lvl w:ilvl="3" w:tplc="A7FACB16">
      <w:numFmt w:val="decimal"/>
      <w:lvlText w:val=""/>
      <w:lvlJc w:val="left"/>
    </w:lvl>
    <w:lvl w:ilvl="4" w:tplc="7EAAAC00">
      <w:numFmt w:val="decimal"/>
      <w:lvlText w:val=""/>
      <w:lvlJc w:val="left"/>
    </w:lvl>
    <w:lvl w:ilvl="5" w:tplc="17D0D3D8">
      <w:numFmt w:val="decimal"/>
      <w:lvlText w:val=""/>
      <w:lvlJc w:val="left"/>
    </w:lvl>
    <w:lvl w:ilvl="6" w:tplc="B6F2193A">
      <w:numFmt w:val="decimal"/>
      <w:lvlText w:val=""/>
      <w:lvlJc w:val="left"/>
    </w:lvl>
    <w:lvl w:ilvl="7" w:tplc="38A20624">
      <w:numFmt w:val="decimal"/>
      <w:lvlText w:val=""/>
      <w:lvlJc w:val="left"/>
    </w:lvl>
    <w:lvl w:ilvl="8" w:tplc="04E8AA0A">
      <w:numFmt w:val="decimal"/>
      <w:lvlText w:val=""/>
      <w:lvlJc w:val="left"/>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080E34"/>
    <w:multiLevelType w:val="hybridMultilevel"/>
    <w:tmpl w:val="FFFFFFFF"/>
    <w:lvl w:ilvl="0" w:tplc="0F686EEA">
      <w:start w:val="1"/>
      <w:numFmt w:val="decimal"/>
      <w:lvlText w:val="%1."/>
      <w:lvlJc w:val="right"/>
      <w:pPr>
        <w:ind w:right="720" w:hanging="260"/>
      </w:pPr>
    </w:lvl>
    <w:lvl w:ilvl="1" w:tplc="681A24DE">
      <w:numFmt w:val="decimal"/>
      <w:lvlText w:val=""/>
      <w:lvlJc w:val="left"/>
    </w:lvl>
    <w:lvl w:ilvl="2" w:tplc="C79A148E">
      <w:numFmt w:val="decimal"/>
      <w:lvlText w:val=""/>
      <w:lvlJc w:val="left"/>
    </w:lvl>
    <w:lvl w:ilvl="3" w:tplc="CF3A8A74">
      <w:numFmt w:val="decimal"/>
      <w:lvlText w:val=""/>
      <w:lvlJc w:val="left"/>
    </w:lvl>
    <w:lvl w:ilvl="4" w:tplc="1550F57C">
      <w:numFmt w:val="decimal"/>
      <w:lvlText w:val=""/>
      <w:lvlJc w:val="left"/>
    </w:lvl>
    <w:lvl w:ilvl="5" w:tplc="60A86B90">
      <w:numFmt w:val="decimal"/>
      <w:lvlText w:val=""/>
      <w:lvlJc w:val="left"/>
    </w:lvl>
    <w:lvl w:ilvl="6" w:tplc="F6CA2D9A">
      <w:numFmt w:val="decimal"/>
      <w:lvlText w:val=""/>
      <w:lvlJc w:val="left"/>
    </w:lvl>
    <w:lvl w:ilvl="7" w:tplc="BCF80B34">
      <w:numFmt w:val="decimal"/>
      <w:lvlText w:val=""/>
      <w:lvlJc w:val="left"/>
    </w:lvl>
    <w:lvl w:ilvl="8" w:tplc="09707934">
      <w:numFmt w:val="decimal"/>
      <w:lvlText w:val=""/>
      <w:lvlJc w:val="left"/>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1"/>
  </w:num>
  <w:num w:numId="3" w16cid:durableId="1539509467">
    <w:abstractNumId w:val="16"/>
  </w:num>
  <w:num w:numId="4" w16cid:durableId="1909067862">
    <w:abstractNumId w:val="13"/>
  </w:num>
  <w:num w:numId="5" w16cid:durableId="1679650334">
    <w:abstractNumId w:val="12"/>
  </w:num>
  <w:num w:numId="6" w16cid:durableId="592784671">
    <w:abstractNumId w:val="20"/>
  </w:num>
  <w:num w:numId="7" w16cid:durableId="435633386">
    <w:abstractNumId w:val="2"/>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1"/>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0"/>
  </w:num>
  <w:num w:numId="19" w16cid:durableId="919213346">
    <w:abstractNumId w:val="15"/>
  </w:num>
  <w:num w:numId="20" w16cid:durableId="1335955242">
    <w:abstractNumId w:val="14"/>
  </w:num>
  <w:num w:numId="21" w16cid:durableId="1316956123">
    <w:abstractNumId w:val="17"/>
    <w:lvlOverride w:ilvl="0">
      <w:startOverride w:val="1"/>
    </w:lvlOverride>
  </w:num>
  <w:num w:numId="22" w16cid:durableId="1904103729">
    <w:abstractNumId w:val="3"/>
    <w:lvlOverride w:ilvl="0">
      <w:startOverride w:val="1"/>
    </w:lvlOverride>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3"/>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010"/>
    <w:rsid w:val="00015F0D"/>
    <w:rsid w:val="0001620A"/>
    <w:rsid w:val="00022442"/>
    <w:rsid w:val="000252C0"/>
    <w:rsid w:val="00027A34"/>
    <w:rsid w:val="000322E7"/>
    <w:rsid w:val="000343D5"/>
    <w:rsid w:val="00044CFD"/>
    <w:rsid w:val="0005238F"/>
    <w:rsid w:val="000528EF"/>
    <w:rsid w:val="0005455F"/>
    <w:rsid w:val="00061A09"/>
    <w:rsid w:val="00063F89"/>
    <w:rsid w:val="0006433B"/>
    <w:rsid w:val="00072CF8"/>
    <w:rsid w:val="00073263"/>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0A79"/>
    <w:rsid w:val="000E12E4"/>
    <w:rsid w:val="000E23AB"/>
    <w:rsid w:val="000E6887"/>
    <w:rsid w:val="000F0A0D"/>
    <w:rsid w:val="000F7F04"/>
    <w:rsid w:val="00104C2B"/>
    <w:rsid w:val="00110665"/>
    <w:rsid w:val="0011126E"/>
    <w:rsid w:val="001123D7"/>
    <w:rsid w:val="00116AE4"/>
    <w:rsid w:val="00117CA1"/>
    <w:rsid w:val="00127653"/>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609"/>
    <w:rsid w:val="001F5CB8"/>
    <w:rsid w:val="002010FC"/>
    <w:rsid w:val="0020239B"/>
    <w:rsid w:val="00213439"/>
    <w:rsid w:val="0021414C"/>
    <w:rsid w:val="0022051E"/>
    <w:rsid w:val="002209EB"/>
    <w:rsid w:val="00222468"/>
    <w:rsid w:val="002267E3"/>
    <w:rsid w:val="00231AB1"/>
    <w:rsid w:val="00232A16"/>
    <w:rsid w:val="0024045F"/>
    <w:rsid w:val="0024325F"/>
    <w:rsid w:val="00250CC6"/>
    <w:rsid w:val="00251580"/>
    <w:rsid w:val="00257F01"/>
    <w:rsid w:val="002616CF"/>
    <w:rsid w:val="00262EC1"/>
    <w:rsid w:val="00263733"/>
    <w:rsid w:val="00264677"/>
    <w:rsid w:val="00265C31"/>
    <w:rsid w:val="00274C5B"/>
    <w:rsid w:val="00291FB9"/>
    <w:rsid w:val="00296B99"/>
    <w:rsid w:val="002A0F37"/>
    <w:rsid w:val="002A113E"/>
    <w:rsid w:val="002B6766"/>
    <w:rsid w:val="002C2285"/>
    <w:rsid w:val="002C5909"/>
    <w:rsid w:val="002D019D"/>
    <w:rsid w:val="002D0DD5"/>
    <w:rsid w:val="002D3349"/>
    <w:rsid w:val="002D46ED"/>
    <w:rsid w:val="002D638C"/>
    <w:rsid w:val="002D68BB"/>
    <w:rsid w:val="002D72E5"/>
    <w:rsid w:val="002E03CF"/>
    <w:rsid w:val="002E33D3"/>
    <w:rsid w:val="002E7312"/>
    <w:rsid w:val="002E7D73"/>
    <w:rsid w:val="002F0EEA"/>
    <w:rsid w:val="002F20A7"/>
    <w:rsid w:val="002F20B5"/>
    <w:rsid w:val="002F4C38"/>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3649"/>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5025F"/>
    <w:rsid w:val="004613A1"/>
    <w:rsid w:val="00466097"/>
    <w:rsid w:val="004667A1"/>
    <w:rsid w:val="0047054C"/>
    <w:rsid w:val="004737B5"/>
    <w:rsid w:val="00473F99"/>
    <w:rsid w:val="004839F8"/>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931A2"/>
    <w:rsid w:val="006A7DC3"/>
    <w:rsid w:val="006B1075"/>
    <w:rsid w:val="006B3147"/>
    <w:rsid w:val="006B366F"/>
    <w:rsid w:val="006B51C2"/>
    <w:rsid w:val="006C10F3"/>
    <w:rsid w:val="006C2E76"/>
    <w:rsid w:val="006C54C9"/>
    <w:rsid w:val="006F0B1E"/>
    <w:rsid w:val="006F1837"/>
    <w:rsid w:val="006F3CD1"/>
    <w:rsid w:val="0070272D"/>
    <w:rsid w:val="00703A9A"/>
    <w:rsid w:val="00704C25"/>
    <w:rsid w:val="00705F1D"/>
    <w:rsid w:val="00706AC7"/>
    <w:rsid w:val="00711248"/>
    <w:rsid w:val="00714DBF"/>
    <w:rsid w:val="00716A33"/>
    <w:rsid w:val="007239AC"/>
    <w:rsid w:val="00723DF1"/>
    <w:rsid w:val="00723E95"/>
    <w:rsid w:val="00727EAF"/>
    <w:rsid w:val="00733953"/>
    <w:rsid w:val="007341D6"/>
    <w:rsid w:val="00736364"/>
    <w:rsid w:val="0073642B"/>
    <w:rsid w:val="00740AB1"/>
    <w:rsid w:val="007507AF"/>
    <w:rsid w:val="00750F2F"/>
    <w:rsid w:val="00754496"/>
    <w:rsid w:val="00754FEB"/>
    <w:rsid w:val="007565F1"/>
    <w:rsid w:val="0076684E"/>
    <w:rsid w:val="00766A58"/>
    <w:rsid w:val="00767A1C"/>
    <w:rsid w:val="00772432"/>
    <w:rsid w:val="00772F74"/>
    <w:rsid w:val="007738FE"/>
    <w:rsid w:val="007764F4"/>
    <w:rsid w:val="00776AB8"/>
    <w:rsid w:val="00781550"/>
    <w:rsid w:val="00781E83"/>
    <w:rsid w:val="007822A3"/>
    <w:rsid w:val="00790119"/>
    <w:rsid w:val="00793616"/>
    <w:rsid w:val="00794E5F"/>
    <w:rsid w:val="007969DC"/>
    <w:rsid w:val="00797AF9"/>
    <w:rsid w:val="007A075D"/>
    <w:rsid w:val="007A31DC"/>
    <w:rsid w:val="007A743B"/>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57B50"/>
    <w:rsid w:val="0086333D"/>
    <w:rsid w:val="00864B2B"/>
    <w:rsid w:val="008806D9"/>
    <w:rsid w:val="0088301D"/>
    <w:rsid w:val="00883E09"/>
    <w:rsid w:val="00886510"/>
    <w:rsid w:val="00886B5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51DC"/>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03A0"/>
    <w:rsid w:val="00962E14"/>
    <w:rsid w:val="0096761A"/>
    <w:rsid w:val="009705B3"/>
    <w:rsid w:val="00971016"/>
    <w:rsid w:val="009813A6"/>
    <w:rsid w:val="00997F9A"/>
    <w:rsid w:val="009A22B4"/>
    <w:rsid w:val="009A6864"/>
    <w:rsid w:val="009B3649"/>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87982"/>
    <w:rsid w:val="00A90432"/>
    <w:rsid w:val="00AB0DB7"/>
    <w:rsid w:val="00AB0E27"/>
    <w:rsid w:val="00AC24D4"/>
    <w:rsid w:val="00AC46F5"/>
    <w:rsid w:val="00AC4F32"/>
    <w:rsid w:val="00AC68E2"/>
    <w:rsid w:val="00AC6DEF"/>
    <w:rsid w:val="00AD191A"/>
    <w:rsid w:val="00AD2143"/>
    <w:rsid w:val="00AD5DDB"/>
    <w:rsid w:val="00AD783C"/>
    <w:rsid w:val="00AE3D96"/>
    <w:rsid w:val="00AE6B9C"/>
    <w:rsid w:val="00AF5EDA"/>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1E3D"/>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7A1"/>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5018"/>
    <w:rsid w:val="00D66F8C"/>
    <w:rsid w:val="00D70797"/>
    <w:rsid w:val="00D73443"/>
    <w:rsid w:val="00D73F64"/>
    <w:rsid w:val="00D776C9"/>
    <w:rsid w:val="00D9067F"/>
    <w:rsid w:val="00D9144F"/>
    <w:rsid w:val="00D922B7"/>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385F"/>
    <w:rsid w:val="00EB684E"/>
    <w:rsid w:val="00EC25CF"/>
    <w:rsid w:val="00EC36A7"/>
    <w:rsid w:val="00EC4694"/>
    <w:rsid w:val="00ED07DE"/>
    <w:rsid w:val="00ED72DC"/>
    <w:rsid w:val="00ED75B0"/>
    <w:rsid w:val="00EE1A99"/>
    <w:rsid w:val="00EE2921"/>
    <w:rsid w:val="00EE664C"/>
    <w:rsid w:val="00EE7D55"/>
    <w:rsid w:val="00EF040F"/>
    <w:rsid w:val="00EF1678"/>
    <w:rsid w:val="00F035EA"/>
    <w:rsid w:val="00F05002"/>
    <w:rsid w:val="00F13C08"/>
    <w:rsid w:val="00F1409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 w:type="character" w:customStyle="1" w:styleId="s28">
    <w:name w:val="s28"/>
    <w:basedOn w:val="a0"/>
    <w:rsid w:val="0024325F"/>
  </w:style>
  <w:style w:type="character" w:customStyle="1" w:styleId="apple-converted-space">
    <w:name w:val="apple-converted-space"/>
    <w:basedOn w:val="a0"/>
    <w:rsid w:val="00243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97/Comm.2-1.5" TargetMode="External"/><Relationship Id="rId18" Type="http://schemas.openxmlformats.org/officeDocument/2006/relationships/hyperlink" Target="https://doi.org/10.36325/ghjec.v20i3.16786" TargetMode="External"/><Relationship Id="rId26" Type="http://schemas.openxmlformats.org/officeDocument/2006/relationships/hyperlink" Target="https://doi.org/10.5267/j.ijdns.2024.7.006" TargetMode="External"/><Relationship Id="rId39" Type="http://schemas.openxmlformats.org/officeDocument/2006/relationships/hyperlink" Target="https://doi.org/10.3390/computers13070168" TargetMode="External"/><Relationship Id="rId21" Type="http://schemas.openxmlformats.org/officeDocument/2006/relationships/hyperlink" Target="https://sdaia.gov.sa/ar/MediaCenter/KnowledgeCenter/Pages/SDAIAPublications.aspx" TargetMode="External"/><Relationship Id="rId34" Type="http://schemas.openxmlformats.org/officeDocument/2006/relationships/hyperlink" Target="https://doi.org/10.1016/j.ijinfomgt.2023.102642" TargetMode="External"/><Relationship Id="rId42" Type="http://schemas.openxmlformats.org/officeDocument/2006/relationships/hyperlink" Target="https://doi.org/10.1016/j.ijinfomgt.2023.102716" TargetMode="External"/><Relationship Id="rId47" Type="http://schemas.openxmlformats.org/officeDocument/2006/relationships/hyperlink" Target="https://www.calstatela.edu/business/businessforum/business-forum-vol-30-issue-2" TargetMode="External"/><Relationship Id="rId50" Type="http://schemas.openxmlformats.org/officeDocument/2006/relationships/hyperlink" Target="https://doi.org/10.3390/su16198667"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59670/ml.v20iS3.3768" TargetMode="External"/><Relationship Id="rId11" Type="http://schemas.openxmlformats.org/officeDocument/2006/relationships/hyperlink" Target="https://doi.org/10.21608/jsb.2023.230616.1633" TargetMode="External"/><Relationship Id="rId24" Type="http://schemas.openxmlformats.org/officeDocument/2006/relationships/hyperlink" Target="https://mc.gov.sa/ar/mediacenter/News/Pages/07-04-26-01.aspx" TargetMode="External"/><Relationship Id="rId32" Type="http://schemas.openxmlformats.org/officeDocument/2006/relationships/hyperlink" Target="https://doi.org/10.69648/EYZI2281" TargetMode="External"/><Relationship Id="rId37" Type="http://schemas.openxmlformats.org/officeDocument/2006/relationships/hyperlink" Target="https://doi.org/10.2478/nimmir-2024-0002" TargetMode="External"/><Relationship Id="rId40" Type="http://schemas.openxmlformats.org/officeDocument/2006/relationships/hyperlink" Target="https://doi.org/10.21541/apjess.1398155" TargetMode="External"/><Relationship Id="rId45" Type="http://schemas.openxmlformats.org/officeDocument/2006/relationships/hyperlink" Target="https://www.mckinsey.com/capabilities/quantumblack/our-insights/the-state-of-gen-ai-in-the-middle-easts-gcc-countries-a-2024-report-card" TargetMode="External"/><Relationship Id="rId53" Type="http://schemas.openxmlformats.org/officeDocument/2006/relationships/hyperlink" Target="https://doi.org/10.1108/JCM-04-2024-6806"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59994/pau.2025.2.161" TargetMode="External"/><Relationship Id="rId14" Type="http://schemas.openxmlformats.org/officeDocument/2006/relationships/hyperlink" Target="https://doi.org/10.21608/jsasc.2024.335098.1016" TargetMode="External"/><Relationship Id="rId22" Type="http://schemas.openxmlformats.org/officeDocument/2006/relationships/hyperlink" Target="https://investment.gmedia.gov.sa/details/advertising.html" TargetMode="External"/><Relationship Id="rId27" Type="http://schemas.openxmlformats.org/officeDocument/2006/relationships/hyperlink" Target="https://doi.org/10.26389/AJSRP.L180924" TargetMode="External"/><Relationship Id="rId30" Type="http://schemas.openxmlformats.org/officeDocument/2006/relationships/hyperlink" Target="https://doi.org/10.3389/frai.2025.1541678" TargetMode="External"/><Relationship Id="rId35" Type="http://schemas.openxmlformats.org/officeDocument/2006/relationships/hyperlink" Target="https://doi.org/10.11648/j.ajtas.20160501.11" TargetMode="External"/><Relationship Id="rId43" Type="http://schemas.openxmlformats.org/officeDocument/2006/relationships/hyperlink" Target="https://doi.org/10.30574/gscarr.2025.23.3.0145" TargetMode="External"/><Relationship Id="rId48" Type="http://schemas.openxmlformats.org/officeDocument/2006/relationships/hyperlink" Target="https://doi.org/10.1037/0021-9010.88.5.879"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socialmediatoday.com/news/digital-marketing-statistics-2025-h1-by-the-numbers/752547/" TargetMode="External"/><Relationship Id="rId3" Type="http://schemas.openxmlformats.org/officeDocument/2006/relationships/styles" Target="styles.xml"/><Relationship Id="rId12" Type="http://schemas.openxmlformats.org/officeDocument/2006/relationships/hyperlink" Target="https://doi.org/10.21608/jsb.2024.307517.1782" TargetMode="External"/><Relationship Id="rId17" Type="http://schemas.openxmlformats.org/officeDocument/2006/relationships/hyperlink" Target="https://abdulrahmanalotaibi.sa/%D8%A7%D8%AD%D8%B5%D8%A7%D8%A6%D9%8A%D8%A7%D8%AA-%D8%B9%D9%86-%D8%A7%D9%84%D8%AA%D8%B3%D9%88%D9%8A%D9%82-%D8%A7%D9%84%D8%A7%D9%84%D9%83%D8%AA%D8%B1%D9%88%D9%86%D9%8A/" TargetMode="External"/><Relationship Id="rId25" Type="http://schemas.openxmlformats.org/officeDocument/2006/relationships/hyperlink" Target="https://doi.org/10.1016/j.ijme.2024.101105" TargetMode="External"/><Relationship Id="rId33" Type="http://schemas.openxmlformats.org/officeDocument/2006/relationships/hyperlink" Target="https://doi.org/10.1002/smj.3677" TargetMode="External"/><Relationship Id="rId38" Type="http://schemas.openxmlformats.org/officeDocument/2006/relationships/hyperlink" Target="https://iabtechlab.com/iab-tech-lab-releases-ai-in-advertising-primer/" TargetMode="External"/><Relationship Id="rId46" Type="http://schemas.openxmlformats.org/officeDocument/2006/relationships/hyperlink" Target="https://doi.org/10.63332/joph.v5i6.2596" TargetMode="External"/><Relationship Id="rId59" Type="http://schemas.openxmlformats.org/officeDocument/2006/relationships/header" Target="header3.xml"/><Relationship Id="rId20" Type="http://schemas.openxmlformats.org/officeDocument/2006/relationships/hyperlink" Target="https://asbar.com/report/%D8%AA%D9%82%D8%B1%D9%8A%D8%B1-%D8%B1%D9%82%D9%85-115/" TargetMode="External"/><Relationship Id="rId41" Type="http://schemas.openxmlformats.org/officeDocument/2006/relationships/hyperlink" Target="https://doi.org/10.4018/ijec.2015100101" TargetMode="External"/><Relationship Id="rId54" Type="http://schemas.openxmlformats.org/officeDocument/2006/relationships/hyperlink" Target="https://doi.org/10.1086/65125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 TargetMode="External"/><Relationship Id="rId23" Type="http://schemas.openxmlformats.org/officeDocument/2006/relationships/hyperlink" Target="https://business.sa/eservices/details/3871715e-ab32-4b90-e2c3-08dc6d4c5607" TargetMode="External"/><Relationship Id="rId28" Type="http://schemas.openxmlformats.org/officeDocument/2006/relationships/hyperlink" Target="https://doi.org/10.1016/j.chb.2020.106548" TargetMode="External"/><Relationship Id="rId36" Type="http://schemas.openxmlformats.org/officeDocument/2006/relationships/hyperlink" Target="https://doi.org/10.14445/22312803/IJCTT-V72I5P106" TargetMode="External"/><Relationship Id="rId49" Type="http://schemas.openxmlformats.org/officeDocument/2006/relationships/hyperlink" Target="https://sdaia.gov.sa/en/SDAIA/about/Files/GenerativeAIPublicEN.pdf" TargetMode="External"/><Relationship Id="rId57" Type="http://schemas.openxmlformats.org/officeDocument/2006/relationships/footer" Target="footer1.xml"/><Relationship Id="rId10" Type="http://schemas.microsoft.com/office/2007/relationships/hdphoto" Target="media/hdphoto1.wdp"/><Relationship Id="rId31" Type="http://schemas.openxmlformats.org/officeDocument/2006/relationships/hyperlink" Target="https://www.nim.org/en/research/projects-overview/detail-research-project/beyond-the-buzz-creating-marketing-value-with-generative-ai-research-report" TargetMode="External"/><Relationship Id="rId44" Type="http://schemas.openxmlformats.org/officeDocument/2006/relationships/hyperlink" Target="https://doi.org/10.33168/JSMS.2024.0108" TargetMode="External"/><Relationship Id="rId52" Type="http://schemas.openxmlformats.org/officeDocument/2006/relationships/hyperlink" Target="https://www.strategyand.pwc.com/m1/en/industries/technology/regional-ecosystem-challenges-in-ai.html"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87</Pages>
  <Words>27818</Words>
  <Characters>158566</Characters>
  <Application>Microsoft Office Word</Application>
  <DocSecurity>0</DocSecurity>
  <Lines>1321</Lines>
  <Paragraphs>372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2</cp:revision>
  <cp:lastPrinted>2025-07-06T06:14:00Z</cp:lastPrinted>
  <dcterms:created xsi:type="dcterms:W3CDTF">2026-08-18T09:14:00Z</dcterms:created>
  <dcterms:modified xsi:type="dcterms:W3CDTF">2026-08-18T09:14:00Z</dcterms:modified>
</cp:coreProperties>
</file>