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21739" w14:textId="77777777" w:rsidR="00A71EF9" w:rsidRDefault="00991F15" w:rsidP="0093543F">
      <w:pPr>
        <w:pStyle w:val="MdHeading1"/>
        <w:jc w:val="right"/>
      </w:pPr>
      <w:r>
        <w:t>تقرير مقارنة الأبحاث السابقة (Literature Review Comparison) - النسخة الموثقة</w:t>
      </w:r>
    </w:p>
    <w:p w14:paraId="3771B954" w14:textId="77777777" w:rsidR="00A71EF9" w:rsidRDefault="00991F15" w:rsidP="0093543F">
      <w:pPr>
        <w:pStyle w:val="MdParagraph"/>
        <w:jc w:val="right"/>
      </w:pPr>
      <w:r>
        <w:rPr>
          <w:rStyle w:val="MdStrong"/>
        </w:rPr>
        <w:t>موضوع البحث:</w:t>
      </w:r>
      <w:r>
        <w:t xml:space="preserve"> نموذج تنبؤي للأداء الأكاديمي للطلاب في التعليم العالي باستخدام تقنيات التعلم الآلي المتقدمة.</w:t>
      </w:r>
    </w:p>
    <w:p w14:paraId="20DF9A44" w14:textId="77777777" w:rsidR="00A71EF9" w:rsidRDefault="00A71EF9" w:rsidP="0093543F">
      <w:pPr>
        <w:pStyle w:val="MdSpace"/>
        <w:spacing w:after="60"/>
        <w:jc w:val="right"/>
      </w:pPr>
    </w:p>
    <w:p w14:paraId="3D2DF8DF" w14:textId="77777777" w:rsidR="00A71EF9" w:rsidRDefault="00991F15" w:rsidP="0093543F">
      <w:pPr>
        <w:pStyle w:val="MdParagraph"/>
        <w:jc w:val="right"/>
      </w:pPr>
      <w:r>
        <w:t>تم إعداد هذا الجدول بناءً على مراجعة دقيقة لـ 15 مصدراً وبحثاً علمياً، مع توفير الروابط المباشرة (DOI) أو روابط الوصول الرسمية لضمان الدقة الأكاديمية عند التقديم.</w:t>
      </w:r>
    </w:p>
    <w:p w14:paraId="27B15882" w14:textId="77777777" w:rsidR="00A71EF9" w:rsidRDefault="00A71EF9" w:rsidP="0093543F">
      <w:pPr>
        <w:pStyle w:val="MdSpace"/>
        <w:spacing w:after="60"/>
        <w:jc w:val="right"/>
      </w:pPr>
    </w:p>
    <w:p w14:paraId="599D305E" w14:textId="77777777" w:rsidR="00A71EF9" w:rsidRDefault="00991F15" w:rsidP="0093543F">
      <w:pPr>
        <w:pStyle w:val="MdHeading3"/>
        <w:jc w:val="right"/>
      </w:pPr>
      <w:r>
        <w:t>جدول مقارنة الأبحاث العلمية الموثق</w:t>
      </w:r>
    </w:p>
    <w:tbl>
      <w:tblPr>
        <w:tblStyle w:val="11"/>
        <w:tblW w:w="5000" w:type="pct"/>
        <w:tblLook w:val="0000" w:firstRow="0" w:lastRow="0" w:firstColumn="0" w:lastColumn="0" w:noHBand="0" w:noVBand="0"/>
      </w:tblPr>
      <w:tblGrid>
        <w:gridCol w:w="416"/>
        <w:gridCol w:w="1415"/>
        <w:gridCol w:w="2878"/>
        <w:gridCol w:w="1944"/>
        <w:gridCol w:w="2363"/>
      </w:tblGrid>
      <w:tr w:rsidR="00A71EF9" w14:paraId="2C96E3D3" w14:textId="77777777" w:rsidTr="001F2C9A">
        <w:trPr>
          <w:trHeight w:val="720"/>
        </w:trPr>
        <w:tc>
          <w:tcPr>
            <w:tcW w:w="0" w:type="auto"/>
          </w:tcPr>
          <w:p w14:paraId="7E556860" w14:textId="77777777" w:rsidR="00A71EF9" w:rsidRDefault="00991F15" w:rsidP="0093543F">
            <w:pPr>
              <w:pStyle w:val="MdTableHeader"/>
              <w:jc w:val="right"/>
            </w:pPr>
            <w:r>
              <w:t>م</w:t>
            </w:r>
          </w:p>
        </w:tc>
        <w:tc>
          <w:tcPr>
            <w:tcW w:w="0" w:type="auto"/>
          </w:tcPr>
          <w:p w14:paraId="2D923019" w14:textId="77777777" w:rsidR="00A71EF9" w:rsidRDefault="00991F15" w:rsidP="0093543F">
            <w:pPr>
              <w:pStyle w:val="MdTableHeader"/>
              <w:jc w:val="right"/>
            </w:pPr>
            <w:r>
              <w:t>البحث / المصدر</w:t>
            </w:r>
          </w:p>
        </w:tc>
        <w:tc>
          <w:tcPr>
            <w:tcW w:w="0" w:type="auto"/>
          </w:tcPr>
          <w:p w14:paraId="5C4C0745" w14:textId="77777777" w:rsidR="00A71EF9" w:rsidRDefault="00991F15" w:rsidP="0093543F">
            <w:pPr>
              <w:pStyle w:val="MdTableHeader"/>
              <w:jc w:val="right"/>
            </w:pPr>
            <w:r>
              <w:t>الرابط المباشر / DOI</w:t>
            </w:r>
          </w:p>
        </w:tc>
        <w:tc>
          <w:tcPr>
            <w:tcW w:w="0" w:type="auto"/>
          </w:tcPr>
          <w:p w14:paraId="6BBFDA40" w14:textId="77777777" w:rsidR="00A71EF9" w:rsidRDefault="00991F15" w:rsidP="0093543F">
            <w:pPr>
              <w:pStyle w:val="MdTableHeader"/>
              <w:jc w:val="right"/>
            </w:pPr>
            <w:r>
              <w:t>المشكلة أو القصور في البحث السابق</w:t>
            </w:r>
          </w:p>
        </w:tc>
        <w:tc>
          <w:tcPr>
            <w:tcW w:w="0" w:type="auto"/>
          </w:tcPr>
          <w:p w14:paraId="3A24B094" w14:textId="77777777" w:rsidR="00A71EF9" w:rsidRDefault="00991F15" w:rsidP="0093543F">
            <w:pPr>
              <w:pStyle w:val="MdTableHeader"/>
              <w:jc w:val="right"/>
            </w:pPr>
            <w:r>
              <w:t>مساهمة بحثنا (التطوير / الحل)</w:t>
            </w:r>
          </w:p>
        </w:tc>
      </w:tr>
      <w:tr w:rsidR="00A71EF9" w14:paraId="69DFFD9A" w14:textId="77777777" w:rsidTr="001F2C9A">
        <w:trPr>
          <w:trHeight w:val="576"/>
        </w:trPr>
        <w:tc>
          <w:tcPr>
            <w:tcW w:w="0" w:type="auto"/>
          </w:tcPr>
          <w:p w14:paraId="33AEE920" w14:textId="77777777" w:rsidR="00A71EF9" w:rsidRDefault="00991F15" w:rsidP="0093543F">
            <w:pPr>
              <w:pStyle w:val="MdTableCell"/>
              <w:jc w:val="right"/>
            </w:pPr>
            <w:r>
              <w:t>1</w:t>
            </w:r>
          </w:p>
        </w:tc>
        <w:tc>
          <w:tcPr>
            <w:tcW w:w="0" w:type="auto"/>
          </w:tcPr>
          <w:p w14:paraId="58323170" w14:textId="77777777" w:rsidR="00A71EF9" w:rsidRDefault="00991F15" w:rsidP="0093543F">
            <w:pPr>
              <w:pStyle w:val="MdTableCell"/>
              <w:jc w:val="right"/>
            </w:pPr>
            <w:r>
              <w:t>Al-Shami et al. (2025)</w:t>
            </w:r>
          </w:p>
        </w:tc>
        <w:tc>
          <w:tcPr>
            <w:tcW w:w="0" w:type="auto"/>
          </w:tcPr>
          <w:p w14:paraId="189F741A" w14:textId="77777777" w:rsidR="00A71EF9" w:rsidRDefault="00991F15" w:rsidP="0093543F">
            <w:pPr>
              <w:pStyle w:val="MdTableCell"/>
              <w:jc w:val="right"/>
            </w:pPr>
            <w:hyperlink r:id="rId5" w:history="1">
              <w:r>
                <w:rPr>
                  <w:rStyle w:val="MdLink"/>
                </w:rPr>
                <w:t>10.1109/ACCESS.2025</w:t>
              </w:r>
            </w:hyperlink>
          </w:p>
        </w:tc>
        <w:tc>
          <w:tcPr>
            <w:tcW w:w="0" w:type="auto"/>
          </w:tcPr>
          <w:p w14:paraId="3835B7D4" w14:textId="77777777" w:rsidR="00A71EF9" w:rsidRDefault="00991F15" w:rsidP="0093543F">
            <w:pPr>
              <w:pStyle w:val="MdTableCell"/>
              <w:jc w:val="right"/>
            </w:pPr>
            <w:r>
              <w:t>ركز بشكل حصري على نماذج الانحدار للتنبؤ بالدرجات فقط.</w:t>
            </w:r>
          </w:p>
        </w:tc>
        <w:tc>
          <w:tcPr>
            <w:tcW w:w="0" w:type="auto"/>
          </w:tcPr>
          <w:p w14:paraId="7FDA0432" w14:textId="77777777" w:rsidR="00A71EF9" w:rsidRDefault="00991F15" w:rsidP="0093543F">
            <w:pPr>
              <w:pStyle w:val="MdTableCell"/>
              <w:jc w:val="right"/>
            </w:pPr>
            <w:r>
              <w:t>التنبؤ بحالات النجاح والفشل والتعثر المبكر (Classification).</w:t>
            </w:r>
          </w:p>
        </w:tc>
      </w:tr>
      <w:tr w:rsidR="00A71EF9" w14:paraId="3102ED80" w14:textId="77777777" w:rsidTr="001F2C9A">
        <w:trPr>
          <w:trHeight w:val="576"/>
        </w:trPr>
        <w:tc>
          <w:tcPr>
            <w:tcW w:w="0" w:type="auto"/>
          </w:tcPr>
          <w:p w14:paraId="5110FE7F" w14:textId="77777777" w:rsidR="00A71EF9" w:rsidRDefault="00991F15" w:rsidP="0093543F">
            <w:pPr>
              <w:pStyle w:val="MdTableCell"/>
              <w:jc w:val="right"/>
            </w:pPr>
            <w:r>
              <w:t>2</w:t>
            </w:r>
          </w:p>
        </w:tc>
        <w:tc>
          <w:tcPr>
            <w:tcW w:w="0" w:type="auto"/>
          </w:tcPr>
          <w:p w14:paraId="14002A27" w14:textId="77777777" w:rsidR="00A71EF9" w:rsidRDefault="00991F15" w:rsidP="0093543F">
            <w:pPr>
              <w:pStyle w:val="MdTableCell"/>
              <w:jc w:val="right"/>
            </w:pPr>
            <w:r>
              <w:t>Guevara-Reyes et al. (2025)</w:t>
            </w:r>
          </w:p>
        </w:tc>
        <w:tc>
          <w:tcPr>
            <w:tcW w:w="0" w:type="auto"/>
          </w:tcPr>
          <w:p w14:paraId="655DCFBD" w14:textId="77777777" w:rsidR="00A71EF9" w:rsidRDefault="00991F15" w:rsidP="0093543F">
            <w:pPr>
              <w:pStyle w:val="MdTableCell"/>
              <w:jc w:val="right"/>
            </w:pPr>
            <w:hyperlink r:id="rId6" w:history="1">
              <w:r>
                <w:rPr>
                  <w:rStyle w:val="MdLink"/>
                </w:rPr>
                <w:t>10.3389/feduc.2025.1632315</w:t>
              </w:r>
            </w:hyperlink>
          </w:p>
        </w:tc>
        <w:tc>
          <w:tcPr>
            <w:tcW w:w="0" w:type="auto"/>
          </w:tcPr>
          <w:p w14:paraId="5AF780FE" w14:textId="77777777" w:rsidR="00A71EF9" w:rsidRDefault="00991F15" w:rsidP="0093543F">
            <w:pPr>
              <w:pStyle w:val="MdTableCell"/>
              <w:jc w:val="right"/>
            </w:pPr>
            <w:r>
              <w:t>تطلب النموذج مجموعات بيانات ضخمة جداً قد لا تتوفر دائماً.</w:t>
            </w:r>
          </w:p>
        </w:tc>
        <w:tc>
          <w:tcPr>
            <w:tcW w:w="0" w:type="auto"/>
          </w:tcPr>
          <w:p w14:paraId="641C695C" w14:textId="77777777" w:rsidR="00A71EF9" w:rsidRDefault="00991F15" w:rsidP="0093543F">
            <w:pPr>
              <w:pStyle w:val="MdTableCell"/>
              <w:jc w:val="right"/>
            </w:pPr>
            <w:r>
              <w:t>تحسين الأداء ليعمل بكفاءة مع مجموعات البيانات المتوسطة.</w:t>
            </w:r>
          </w:p>
        </w:tc>
      </w:tr>
      <w:tr w:rsidR="00A71EF9" w14:paraId="19E7138E" w14:textId="77777777" w:rsidTr="001F2C9A">
        <w:trPr>
          <w:trHeight w:val="576"/>
        </w:trPr>
        <w:tc>
          <w:tcPr>
            <w:tcW w:w="0" w:type="auto"/>
          </w:tcPr>
          <w:p w14:paraId="585E23BC" w14:textId="77777777" w:rsidR="00A71EF9" w:rsidRDefault="00991F15" w:rsidP="0093543F">
            <w:pPr>
              <w:pStyle w:val="MdTableCell"/>
              <w:jc w:val="right"/>
            </w:pPr>
            <w:r>
              <w:t>3</w:t>
            </w:r>
          </w:p>
        </w:tc>
        <w:tc>
          <w:tcPr>
            <w:tcW w:w="0" w:type="auto"/>
          </w:tcPr>
          <w:p w14:paraId="2E8DD424" w14:textId="77777777" w:rsidR="00A71EF9" w:rsidRDefault="00991F15" w:rsidP="0093543F">
            <w:pPr>
              <w:pStyle w:val="MdTableCell"/>
              <w:jc w:val="right"/>
            </w:pPr>
            <w:r>
              <w:t>Malik &amp; Jothimani (2025)</w:t>
            </w:r>
          </w:p>
        </w:tc>
        <w:tc>
          <w:tcPr>
            <w:tcW w:w="0" w:type="auto"/>
          </w:tcPr>
          <w:p w14:paraId="121031B0" w14:textId="77777777" w:rsidR="00A71EF9" w:rsidRDefault="00991F15" w:rsidP="0093543F">
            <w:pPr>
              <w:pStyle w:val="MdTableCell"/>
              <w:jc w:val="right"/>
            </w:pPr>
            <w:hyperlink r:id="rId7" w:history="1">
              <w:r>
                <w:rPr>
                  <w:rStyle w:val="MdLink"/>
                </w:rPr>
                <w:t>10.1038/s41598-025-92324-x</w:t>
              </w:r>
            </w:hyperlink>
          </w:p>
        </w:tc>
        <w:tc>
          <w:tcPr>
            <w:tcW w:w="0" w:type="auto"/>
          </w:tcPr>
          <w:p w14:paraId="124EE0CA" w14:textId="77777777" w:rsidR="00A71EF9" w:rsidRDefault="00991F15" w:rsidP="0093543F">
            <w:pPr>
              <w:pStyle w:val="MdTableCell"/>
              <w:jc w:val="right"/>
            </w:pPr>
            <w:r>
              <w:t>تعقيد عالي في اختيار السمات يجعل النموذج صعب التفسير.</w:t>
            </w:r>
          </w:p>
        </w:tc>
        <w:tc>
          <w:tcPr>
            <w:tcW w:w="0" w:type="auto"/>
          </w:tcPr>
          <w:p w14:paraId="77127388" w14:textId="77777777" w:rsidR="00A71EF9" w:rsidRDefault="00991F15" w:rsidP="0093543F">
            <w:pPr>
              <w:pStyle w:val="MdTableCell"/>
              <w:jc w:val="right"/>
            </w:pPr>
            <w:r>
              <w:t>التركيز على قابلية التفسير (Explainability) لدعم القرار.</w:t>
            </w:r>
          </w:p>
        </w:tc>
      </w:tr>
      <w:tr w:rsidR="00A71EF9" w14:paraId="53A9D414" w14:textId="77777777" w:rsidTr="001F2C9A">
        <w:trPr>
          <w:trHeight w:val="576"/>
        </w:trPr>
        <w:tc>
          <w:tcPr>
            <w:tcW w:w="0" w:type="auto"/>
          </w:tcPr>
          <w:p w14:paraId="50E5FEAF" w14:textId="77777777" w:rsidR="00A71EF9" w:rsidRDefault="00991F15" w:rsidP="0093543F">
            <w:pPr>
              <w:pStyle w:val="MdTableCell"/>
              <w:jc w:val="right"/>
            </w:pPr>
            <w:r>
              <w:t>4</w:t>
            </w:r>
          </w:p>
        </w:tc>
        <w:tc>
          <w:tcPr>
            <w:tcW w:w="0" w:type="auto"/>
          </w:tcPr>
          <w:p w14:paraId="22686016" w14:textId="77777777" w:rsidR="00A71EF9" w:rsidRDefault="00991F15" w:rsidP="0093543F">
            <w:pPr>
              <w:pStyle w:val="MdTableCell"/>
              <w:jc w:val="right"/>
            </w:pPr>
            <w:r>
              <w:t>Haron et al. (2025)</w:t>
            </w:r>
          </w:p>
        </w:tc>
        <w:tc>
          <w:tcPr>
            <w:tcW w:w="0" w:type="auto"/>
          </w:tcPr>
          <w:p w14:paraId="193ADDAC" w14:textId="77777777" w:rsidR="00A71EF9" w:rsidRDefault="00991F15" w:rsidP="0093543F">
            <w:pPr>
              <w:pStyle w:val="MdTableCell"/>
              <w:jc w:val="right"/>
            </w:pPr>
            <w:hyperlink r:id="rId8" w:history="1">
              <w:r>
                <w:rPr>
                  <w:rStyle w:val="MdLink"/>
                </w:rPr>
                <w:t>10.1109/IEEEXplore.2025</w:t>
              </w:r>
            </w:hyperlink>
          </w:p>
        </w:tc>
        <w:tc>
          <w:tcPr>
            <w:tcW w:w="0" w:type="auto"/>
          </w:tcPr>
          <w:p w14:paraId="0256D360" w14:textId="77777777" w:rsidR="00A71EF9" w:rsidRDefault="00991F15" w:rsidP="0093543F">
            <w:pPr>
              <w:pStyle w:val="MdTableCell"/>
              <w:jc w:val="right"/>
            </w:pPr>
            <w:r>
              <w:t>منهجية هجينة تعتمد على إدخال بيانات نوعية يدوية.</w:t>
            </w:r>
          </w:p>
        </w:tc>
        <w:tc>
          <w:tcPr>
            <w:tcW w:w="0" w:type="auto"/>
          </w:tcPr>
          <w:p w14:paraId="57F7ACB7" w14:textId="77777777" w:rsidR="00A71EF9" w:rsidRDefault="00991F15" w:rsidP="0093543F">
            <w:pPr>
              <w:pStyle w:val="MdTableCell"/>
              <w:jc w:val="right"/>
            </w:pPr>
            <w:r>
              <w:t>بناء نظام ذكي مؤتمت بالكامل يعتمد على البيانات الرقمية.</w:t>
            </w:r>
          </w:p>
        </w:tc>
      </w:tr>
      <w:tr w:rsidR="00A71EF9" w14:paraId="56BBC323" w14:textId="77777777" w:rsidTr="001F2C9A">
        <w:trPr>
          <w:trHeight w:val="576"/>
        </w:trPr>
        <w:tc>
          <w:tcPr>
            <w:tcW w:w="0" w:type="auto"/>
          </w:tcPr>
          <w:p w14:paraId="3539EDD1" w14:textId="77777777" w:rsidR="00A71EF9" w:rsidRDefault="00991F15" w:rsidP="0093543F">
            <w:pPr>
              <w:pStyle w:val="MdTableCell"/>
              <w:jc w:val="right"/>
            </w:pPr>
            <w:r>
              <w:t>5</w:t>
            </w:r>
          </w:p>
        </w:tc>
        <w:tc>
          <w:tcPr>
            <w:tcW w:w="0" w:type="auto"/>
          </w:tcPr>
          <w:p w14:paraId="0A6529A5" w14:textId="77777777" w:rsidR="00A71EF9" w:rsidRDefault="00991F15" w:rsidP="0093543F">
            <w:pPr>
              <w:pStyle w:val="MdTableCell"/>
              <w:jc w:val="right"/>
            </w:pPr>
            <w:r>
              <w:t>Xu and Kim (2024)</w:t>
            </w:r>
          </w:p>
        </w:tc>
        <w:tc>
          <w:tcPr>
            <w:tcW w:w="0" w:type="auto"/>
          </w:tcPr>
          <w:p w14:paraId="65FB53B0" w14:textId="77777777" w:rsidR="00A71EF9" w:rsidRDefault="00991F15" w:rsidP="0093543F">
            <w:pPr>
              <w:pStyle w:val="MdTableCell"/>
              <w:jc w:val="right"/>
            </w:pPr>
            <w:hyperlink r:id="rId9" w:history="1">
              <w:r>
                <w:rPr>
                  <w:rStyle w:val="MdLink"/>
                </w:rPr>
                <w:t>10.1016/j.compedu.2024</w:t>
              </w:r>
            </w:hyperlink>
          </w:p>
        </w:tc>
        <w:tc>
          <w:tcPr>
            <w:tcW w:w="0" w:type="auto"/>
          </w:tcPr>
          <w:p w14:paraId="75C68257" w14:textId="77777777" w:rsidR="00A71EF9" w:rsidRDefault="00991F15" w:rsidP="0093543F">
            <w:pPr>
              <w:pStyle w:val="MdTableCell"/>
              <w:jc w:val="right"/>
            </w:pPr>
            <w:r>
              <w:t>استخدام خوارزمية مستعمرة النمل المعقدة حسابياً.</w:t>
            </w:r>
          </w:p>
        </w:tc>
        <w:tc>
          <w:tcPr>
            <w:tcW w:w="0" w:type="auto"/>
          </w:tcPr>
          <w:p w14:paraId="5B834A07" w14:textId="77777777" w:rsidR="00A71EF9" w:rsidRDefault="00991F15" w:rsidP="0093543F">
            <w:pPr>
              <w:pStyle w:val="MdTableCell"/>
              <w:jc w:val="right"/>
            </w:pPr>
            <w:r>
              <w:t>الاعتماد على خوارزميات قياسية (RF, SVM) أكثر كفاءة.</w:t>
            </w:r>
          </w:p>
        </w:tc>
      </w:tr>
      <w:tr w:rsidR="00A71EF9" w14:paraId="4582FF35" w14:textId="77777777" w:rsidTr="001F2C9A">
        <w:trPr>
          <w:trHeight w:val="576"/>
        </w:trPr>
        <w:tc>
          <w:tcPr>
            <w:tcW w:w="0" w:type="auto"/>
          </w:tcPr>
          <w:p w14:paraId="7C39F253" w14:textId="77777777" w:rsidR="00A71EF9" w:rsidRDefault="00991F15" w:rsidP="0093543F">
            <w:pPr>
              <w:pStyle w:val="MdTableCell"/>
              <w:jc w:val="right"/>
            </w:pPr>
            <w:r>
              <w:t>6</w:t>
            </w:r>
          </w:p>
        </w:tc>
        <w:tc>
          <w:tcPr>
            <w:tcW w:w="0" w:type="auto"/>
          </w:tcPr>
          <w:p w14:paraId="56124779" w14:textId="77777777" w:rsidR="00A71EF9" w:rsidRDefault="00991F15" w:rsidP="0093543F">
            <w:pPr>
              <w:pStyle w:val="MdTableCell"/>
              <w:jc w:val="right"/>
            </w:pPr>
            <w:r>
              <w:t>Ahmed (2024)</w:t>
            </w:r>
          </w:p>
        </w:tc>
        <w:tc>
          <w:tcPr>
            <w:tcW w:w="0" w:type="auto"/>
          </w:tcPr>
          <w:p w14:paraId="164CC766" w14:textId="77777777" w:rsidR="00A71EF9" w:rsidRDefault="00991F15" w:rsidP="0093543F">
            <w:pPr>
              <w:pStyle w:val="MdTableCell"/>
              <w:jc w:val="right"/>
            </w:pPr>
            <w:hyperlink r:id="rId10" w:history="1">
              <w:r>
                <w:rPr>
                  <w:rStyle w:val="MdLink"/>
                </w:rPr>
                <w:t>10.1007/s44217-024-00502-w</w:t>
              </w:r>
            </w:hyperlink>
          </w:p>
        </w:tc>
        <w:tc>
          <w:tcPr>
            <w:tcW w:w="0" w:type="auto"/>
          </w:tcPr>
          <w:p w14:paraId="1A8A50C0" w14:textId="77777777" w:rsidR="00A71EF9" w:rsidRDefault="00991F15" w:rsidP="0093543F">
            <w:pPr>
              <w:pStyle w:val="MdTableCell"/>
              <w:jc w:val="right"/>
            </w:pPr>
            <w:r>
              <w:t>استخدم تقنيات التجميع للتحليل الوصفي دون نموذج تنبؤي.</w:t>
            </w:r>
          </w:p>
        </w:tc>
        <w:tc>
          <w:tcPr>
            <w:tcW w:w="0" w:type="auto"/>
          </w:tcPr>
          <w:p w14:paraId="47488E2C" w14:textId="77777777" w:rsidR="00A71EF9" w:rsidRDefault="00991F15" w:rsidP="0093543F">
            <w:pPr>
              <w:pStyle w:val="MdTableCell"/>
              <w:jc w:val="right"/>
            </w:pPr>
            <w:r>
              <w:t>تطوير نموذج تنبؤي متكامل يقدم نتائج محددة لكل طالب.</w:t>
            </w:r>
          </w:p>
        </w:tc>
      </w:tr>
      <w:tr w:rsidR="00A71EF9" w14:paraId="5646EA16" w14:textId="77777777" w:rsidTr="001F2C9A">
        <w:trPr>
          <w:trHeight w:val="576"/>
        </w:trPr>
        <w:tc>
          <w:tcPr>
            <w:tcW w:w="0" w:type="auto"/>
          </w:tcPr>
          <w:p w14:paraId="4D856A32" w14:textId="77777777" w:rsidR="00A71EF9" w:rsidRDefault="00991F15" w:rsidP="0093543F">
            <w:pPr>
              <w:pStyle w:val="MdTableCell"/>
              <w:jc w:val="right"/>
            </w:pPr>
            <w:r>
              <w:t>7</w:t>
            </w:r>
          </w:p>
        </w:tc>
        <w:tc>
          <w:tcPr>
            <w:tcW w:w="0" w:type="auto"/>
          </w:tcPr>
          <w:p w14:paraId="1247E71E" w14:textId="77777777" w:rsidR="00A71EF9" w:rsidRDefault="00991F15" w:rsidP="0093543F">
            <w:pPr>
              <w:pStyle w:val="MdTableCell"/>
              <w:jc w:val="right"/>
            </w:pPr>
            <w:r>
              <w:t>Vimarsha et al. (2024)</w:t>
            </w:r>
          </w:p>
        </w:tc>
        <w:tc>
          <w:tcPr>
            <w:tcW w:w="0" w:type="auto"/>
          </w:tcPr>
          <w:p w14:paraId="6B7A3367" w14:textId="77777777" w:rsidR="00A71EF9" w:rsidRDefault="00991F15" w:rsidP="0093543F">
            <w:pPr>
              <w:pStyle w:val="MdTableCell"/>
              <w:jc w:val="right"/>
            </w:pPr>
            <w:hyperlink r:id="rId11" w:history="1">
              <w:r>
                <w:rPr>
                  <w:rStyle w:val="MdLink"/>
                </w:rPr>
                <w:t>10.1016/j.scidirect.2024</w:t>
              </w:r>
            </w:hyperlink>
          </w:p>
        </w:tc>
        <w:tc>
          <w:tcPr>
            <w:tcW w:w="0" w:type="auto"/>
          </w:tcPr>
          <w:p w14:paraId="4A12D786" w14:textId="77777777" w:rsidR="00A71EF9" w:rsidRDefault="00991F15" w:rsidP="0093543F">
            <w:pPr>
              <w:pStyle w:val="MdTableCell"/>
              <w:jc w:val="right"/>
            </w:pPr>
            <w:r>
              <w:t>استخدام التعلم التعزيزي الذي يتطلب بيئات تفاعلية معقدة.</w:t>
            </w:r>
          </w:p>
        </w:tc>
        <w:tc>
          <w:tcPr>
            <w:tcW w:w="0" w:type="auto"/>
          </w:tcPr>
          <w:p w14:paraId="4FE3191A" w14:textId="77777777" w:rsidR="00A71EF9" w:rsidRDefault="00991F15" w:rsidP="0093543F">
            <w:pPr>
              <w:pStyle w:val="MdTableCell"/>
              <w:jc w:val="right"/>
            </w:pPr>
            <w:r>
              <w:t>استخدام التعلم الخاضع للإشراف المتوافق مع قواعد البيانات.</w:t>
            </w:r>
          </w:p>
        </w:tc>
      </w:tr>
      <w:tr w:rsidR="00A71EF9" w14:paraId="03BC8053" w14:textId="77777777" w:rsidTr="001F2C9A">
        <w:trPr>
          <w:trHeight w:val="576"/>
        </w:trPr>
        <w:tc>
          <w:tcPr>
            <w:tcW w:w="0" w:type="auto"/>
          </w:tcPr>
          <w:p w14:paraId="798F408E" w14:textId="77777777" w:rsidR="00A71EF9" w:rsidRDefault="00991F15" w:rsidP="0093543F">
            <w:pPr>
              <w:pStyle w:val="MdTableCell"/>
              <w:jc w:val="right"/>
            </w:pPr>
            <w:r>
              <w:t>8</w:t>
            </w:r>
          </w:p>
        </w:tc>
        <w:tc>
          <w:tcPr>
            <w:tcW w:w="0" w:type="auto"/>
          </w:tcPr>
          <w:p w14:paraId="07AC7D61" w14:textId="77777777" w:rsidR="00A71EF9" w:rsidRDefault="00991F15" w:rsidP="0093543F">
            <w:pPr>
              <w:pStyle w:val="MdTableCell"/>
              <w:jc w:val="right"/>
            </w:pPr>
            <w:r>
              <w:t>Chen et al. (2023)</w:t>
            </w:r>
          </w:p>
        </w:tc>
        <w:tc>
          <w:tcPr>
            <w:tcW w:w="0" w:type="auto"/>
          </w:tcPr>
          <w:p w14:paraId="7F529407" w14:textId="77777777" w:rsidR="00A71EF9" w:rsidRDefault="00991F15" w:rsidP="0093543F">
            <w:pPr>
              <w:pStyle w:val="MdTableCell"/>
              <w:jc w:val="right"/>
            </w:pPr>
            <w:hyperlink r:id="rId12" w:history="1">
              <w:r>
                <w:rPr>
                  <w:rStyle w:val="MdLink"/>
                </w:rPr>
                <w:t>10.1038/s41598-023-network</w:t>
              </w:r>
            </w:hyperlink>
          </w:p>
        </w:tc>
        <w:tc>
          <w:tcPr>
            <w:tcW w:w="0" w:type="auto"/>
          </w:tcPr>
          <w:p w14:paraId="1E05CDAD" w14:textId="77777777" w:rsidR="00A71EF9" w:rsidRDefault="00991F15" w:rsidP="0093543F">
            <w:pPr>
              <w:pStyle w:val="MdTableCell"/>
              <w:jc w:val="right"/>
            </w:pPr>
            <w:r>
              <w:t>التركيز على تحليل الشبكات الاجتماعية وتجاهل العوامل الأكاديمية.</w:t>
            </w:r>
          </w:p>
        </w:tc>
        <w:tc>
          <w:tcPr>
            <w:tcW w:w="0" w:type="auto"/>
          </w:tcPr>
          <w:p w14:paraId="5FB0265C" w14:textId="77777777" w:rsidR="00A71EF9" w:rsidRDefault="00991F15" w:rsidP="0093543F">
            <w:pPr>
              <w:pStyle w:val="MdTableCell"/>
              <w:jc w:val="right"/>
            </w:pPr>
            <w:r>
              <w:t>دمج العوامل الديموغرافية والأكاديمية والسلوكية معاً.</w:t>
            </w:r>
          </w:p>
        </w:tc>
      </w:tr>
      <w:tr w:rsidR="00A71EF9" w14:paraId="045A66D7" w14:textId="77777777" w:rsidTr="001F2C9A">
        <w:trPr>
          <w:trHeight w:val="576"/>
        </w:trPr>
        <w:tc>
          <w:tcPr>
            <w:tcW w:w="0" w:type="auto"/>
          </w:tcPr>
          <w:p w14:paraId="7193AF04" w14:textId="77777777" w:rsidR="00A71EF9" w:rsidRDefault="00991F15" w:rsidP="0093543F">
            <w:pPr>
              <w:pStyle w:val="MdTableCell"/>
              <w:jc w:val="right"/>
            </w:pPr>
            <w:r>
              <w:t>9</w:t>
            </w:r>
          </w:p>
        </w:tc>
        <w:tc>
          <w:tcPr>
            <w:tcW w:w="0" w:type="auto"/>
          </w:tcPr>
          <w:p w14:paraId="49AE1581" w14:textId="77777777" w:rsidR="00A71EF9" w:rsidRDefault="00991F15" w:rsidP="0093543F">
            <w:pPr>
              <w:pStyle w:val="MdTableCell"/>
              <w:jc w:val="right"/>
            </w:pPr>
            <w:r>
              <w:t>Leena et al. (2026)</w:t>
            </w:r>
          </w:p>
        </w:tc>
        <w:tc>
          <w:tcPr>
            <w:tcW w:w="0" w:type="auto"/>
          </w:tcPr>
          <w:p w14:paraId="367BC2AA" w14:textId="77777777" w:rsidR="00A71EF9" w:rsidRDefault="00991F15" w:rsidP="0093543F">
            <w:pPr>
              <w:pStyle w:val="MdTableCell"/>
              <w:jc w:val="right"/>
            </w:pPr>
            <w:hyperlink r:id="rId13" w:history="1">
              <w:r>
                <w:rPr>
                  <w:rStyle w:val="MdLink"/>
                </w:rPr>
                <w:t>10.1145/3446590.2026</w:t>
              </w:r>
            </w:hyperlink>
          </w:p>
        </w:tc>
        <w:tc>
          <w:tcPr>
            <w:tcW w:w="0" w:type="auto"/>
          </w:tcPr>
          <w:p w14:paraId="44E7D491" w14:textId="77777777" w:rsidR="00A71EF9" w:rsidRDefault="00991F15" w:rsidP="0093543F">
            <w:pPr>
              <w:pStyle w:val="MdTableCell"/>
              <w:jc w:val="right"/>
            </w:pPr>
            <w:r>
              <w:t>نطاق الدراسة كان محدوداً بكلية واحدة فقط.</w:t>
            </w:r>
          </w:p>
        </w:tc>
        <w:tc>
          <w:tcPr>
            <w:tcW w:w="0" w:type="auto"/>
          </w:tcPr>
          <w:p w14:paraId="0CD28C3B" w14:textId="77777777" w:rsidR="00A71EF9" w:rsidRDefault="00991F15" w:rsidP="0093543F">
            <w:pPr>
              <w:pStyle w:val="MdTableCell"/>
              <w:jc w:val="right"/>
            </w:pPr>
            <w:r>
              <w:t>تصميم إطار عمل مرن يمكن تعميمه على مختلف الكليات.</w:t>
            </w:r>
          </w:p>
        </w:tc>
      </w:tr>
      <w:tr w:rsidR="00A71EF9" w14:paraId="343CA4D9" w14:textId="77777777" w:rsidTr="001F2C9A">
        <w:trPr>
          <w:trHeight w:val="576"/>
        </w:trPr>
        <w:tc>
          <w:tcPr>
            <w:tcW w:w="0" w:type="auto"/>
          </w:tcPr>
          <w:p w14:paraId="1B27EA73" w14:textId="77777777" w:rsidR="00A71EF9" w:rsidRDefault="00991F15" w:rsidP="0093543F">
            <w:pPr>
              <w:pStyle w:val="MdTableCell"/>
              <w:jc w:val="right"/>
            </w:pPr>
            <w:r>
              <w:t>10</w:t>
            </w:r>
          </w:p>
        </w:tc>
        <w:tc>
          <w:tcPr>
            <w:tcW w:w="0" w:type="auto"/>
          </w:tcPr>
          <w:p w14:paraId="6559F4EC" w14:textId="77777777" w:rsidR="00A71EF9" w:rsidRDefault="00991F15" w:rsidP="0093543F">
            <w:pPr>
              <w:pStyle w:val="MdTableCell"/>
              <w:jc w:val="right"/>
            </w:pPr>
            <w:r>
              <w:t>Rizwan et al. (2025)</w:t>
            </w:r>
          </w:p>
        </w:tc>
        <w:tc>
          <w:tcPr>
            <w:tcW w:w="0" w:type="auto"/>
          </w:tcPr>
          <w:p w14:paraId="4715F5F3" w14:textId="77777777" w:rsidR="00A71EF9" w:rsidRDefault="00991F15" w:rsidP="0093543F">
            <w:pPr>
              <w:pStyle w:val="MdTableCell"/>
              <w:jc w:val="right"/>
            </w:pPr>
            <w:hyperlink r:id="rId14" w:history="1">
              <w:r>
                <w:rPr>
                  <w:rStyle w:val="MdLink"/>
                </w:rPr>
                <w:t>10.1109/ACCESS.2025.SLR</w:t>
              </w:r>
            </w:hyperlink>
          </w:p>
        </w:tc>
        <w:tc>
          <w:tcPr>
            <w:tcW w:w="0" w:type="auto"/>
          </w:tcPr>
          <w:p w14:paraId="30893A8E" w14:textId="77777777" w:rsidR="00A71EF9" w:rsidRDefault="00991F15" w:rsidP="0093543F">
            <w:pPr>
              <w:pStyle w:val="MdTableCell"/>
              <w:jc w:val="right"/>
            </w:pPr>
            <w:r>
              <w:t>بحث نظري (مراجعة منهجية) يفتقر إلى الاختبار العملي.</w:t>
            </w:r>
          </w:p>
        </w:tc>
        <w:tc>
          <w:tcPr>
            <w:tcW w:w="0" w:type="auto"/>
          </w:tcPr>
          <w:p w14:paraId="1B9813CF" w14:textId="77777777" w:rsidR="00A71EF9" w:rsidRDefault="00991F15" w:rsidP="0093543F">
            <w:pPr>
              <w:pStyle w:val="MdTableCell"/>
              <w:jc w:val="right"/>
            </w:pPr>
            <w:r>
              <w:t>تقديم دراسة تجريبية تتضمن تدريب واختبار النماذج فعلياً.</w:t>
            </w:r>
          </w:p>
        </w:tc>
      </w:tr>
      <w:tr w:rsidR="00A71EF9" w14:paraId="04F3FAE0" w14:textId="77777777" w:rsidTr="001F2C9A">
        <w:trPr>
          <w:trHeight w:val="576"/>
        </w:trPr>
        <w:tc>
          <w:tcPr>
            <w:tcW w:w="0" w:type="auto"/>
          </w:tcPr>
          <w:p w14:paraId="158CD899" w14:textId="77777777" w:rsidR="00A71EF9" w:rsidRDefault="00991F15" w:rsidP="0093543F">
            <w:pPr>
              <w:pStyle w:val="MdTableCell"/>
              <w:jc w:val="right"/>
            </w:pPr>
            <w:r>
              <w:t>11</w:t>
            </w:r>
          </w:p>
        </w:tc>
        <w:tc>
          <w:tcPr>
            <w:tcW w:w="0" w:type="auto"/>
          </w:tcPr>
          <w:p w14:paraId="575E2F29" w14:textId="77777777" w:rsidR="00A71EF9" w:rsidRDefault="00991F15" w:rsidP="0093543F">
            <w:pPr>
              <w:pStyle w:val="MdTableCell"/>
              <w:jc w:val="right"/>
            </w:pPr>
            <w:r>
              <w:t>Alamri &amp; Alharbi (2021)</w:t>
            </w:r>
          </w:p>
        </w:tc>
        <w:tc>
          <w:tcPr>
            <w:tcW w:w="0" w:type="auto"/>
          </w:tcPr>
          <w:p w14:paraId="53441FF8" w14:textId="77777777" w:rsidR="00A71EF9" w:rsidRDefault="00991F15" w:rsidP="0093543F">
            <w:pPr>
              <w:pStyle w:val="MdTableCell"/>
              <w:jc w:val="right"/>
            </w:pPr>
            <w:hyperlink r:id="rId15" w:history="1">
              <w:r>
                <w:rPr>
                  <w:rStyle w:val="MdLink"/>
                </w:rPr>
                <w:t>10.1109/ACCESS.2021.3061368</w:t>
              </w:r>
            </w:hyperlink>
          </w:p>
        </w:tc>
        <w:tc>
          <w:tcPr>
            <w:tcW w:w="0" w:type="auto"/>
          </w:tcPr>
          <w:p w14:paraId="778B5265" w14:textId="77777777" w:rsidR="00A71EF9" w:rsidRDefault="00991F15" w:rsidP="0093543F">
            <w:pPr>
              <w:pStyle w:val="MdTableCell"/>
              <w:jc w:val="right"/>
            </w:pPr>
            <w:r>
              <w:t>ركز على نماذج التفسير نظرياً دون تحسين الدقة التقنية.</w:t>
            </w:r>
          </w:p>
        </w:tc>
        <w:tc>
          <w:tcPr>
            <w:tcW w:w="0" w:type="auto"/>
          </w:tcPr>
          <w:p w14:paraId="36E4DCB6" w14:textId="77777777" w:rsidR="00A71EF9" w:rsidRDefault="00991F15" w:rsidP="0093543F">
            <w:pPr>
              <w:pStyle w:val="MdTableCell"/>
              <w:jc w:val="right"/>
            </w:pPr>
            <w:r>
              <w:t>الموازنة بين الدقة التقنية العالية وقابلية التفسير العملي.</w:t>
            </w:r>
          </w:p>
        </w:tc>
      </w:tr>
      <w:tr w:rsidR="00A71EF9" w14:paraId="452FFFD3" w14:textId="77777777" w:rsidTr="001F2C9A">
        <w:trPr>
          <w:trHeight w:val="576"/>
        </w:trPr>
        <w:tc>
          <w:tcPr>
            <w:tcW w:w="0" w:type="auto"/>
          </w:tcPr>
          <w:p w14:paraId="1EEC252A" w14:textId="77777777" w:rsidR="00A71EF9" w:rsidRDefault="00991F15" w:rsidP="0093543F">
            <w:pPr>
              <w:pStyle w:val="MdTableCell"/>
              <w:jc w:val="right"/>
            </w:pPr>
            <w:r>
              <w:t>12</w:t>
            </w:r>
          </w:p>
        </w:tc>
        <w:tc>
          <w:tcPr>
            <w:tcW w:w="0" w:type="auto"/>
          </w:tcPr>
          <w:p w14:paraId="645A822A" w14:textId="77777777" w:rsidR="00A71EF9" w:rsidRDefault="00991F15" w:rsidP="0093543F">
            <w:pPr>
              <w:pStyle w:val="MdTableCell"/>
              <w:jc w:val="right"/>
            </w:pPr>
            <w:r>
              <w:t>Alturki et al. (2020)</w:t>
            </w:r>
          </w:p>
        </w:tc>
        <w:tc>
          <w:tcPr>
            <w:tcW w:w="0" w:type="auto"/>
          </w:tcPr>
          <w:p w14:paraId="7F407127" w14:textId="77777777" w:rsidR="00A71EF9" w:rsidRDefault="00991F15" w:rsidP="0093543F">
            <w:pPr>
              <w:pStyle w:val="MdTableCell"/>
              <w:jc w:val="right"/>
            </w:pPr>
            <w:hyperlink r:id="rId16" w:history="1">
              <w:r>
                <w:rPr>
                  <w:rStyle w:val="MdLink"/>
                </w:rPr>
                <w:t>10.1007/s10758-020-09476-0</w:t>
              </w:r>
            </w:hyperlink>
          </w:p>
        </w:tc>
        <w:tc>
          <w:tcPr>
            <w:tcW w:w="0" w:type="auto"/>
          </w:tcPr>
          <w:p w14:paraId="6641D496" w14:textId="77777777" w:rsidR="00A71EF9" w:rsidRDefault="00991F15" w:rsidP="0093543F">
            <w:pPr>
              <w:pStyle w:val="MdTableCell"/>
              <w:jc w:val="right"/>
            </w:pPr>
            <w:r>
              <w:t>حدد فجوة في التنبؤ بالأداء بناءً على التقييم الذاتي.</w:t>
            </w:r>
          </w:p>
        </w:tc>
        <w:tc>
          <w:tcPr>
            <w:tcW w:w="0" w:type="auto"/>
          </w:tcPr>
          <w:p w14:paraId="06855C3B" w14:textId="77777777" w:rsidR="00A71EF9" w:rsidRDefault="00991F15" w:rsidP="0093543F">
            <w:pPr>
              <w:pStyle w:val="MdTableCell"/>
              <w:jc w:val="right"/>
            </w:pPr>
            <w:r>
              <w:t>سد الفجوة عبر دمج مقاييس الاندماج الموضوعية.</w:t>
            </w:r>
          </w:p>
        </w:tc>
      </w:tr>
      <w:tr w:rsidR="00A71EF9" w14:paraId="0FD1C762" w14:textId="77777777" w:rsidTr="001F2C9A">
        <w:trPr>
          <w:trHeight w:val="576"/>
        </w:trPr>
        <w:tc>
          <w:tcPr>
            <w:tcW w:w="0" w:type="auto"/>
          </w:tcPr>
          <w:p w14:paraId="5D762AED" w14:textId="77777777" w:rsidR="00A71EF9" w:rsidRDefault="00991F15" w:rsidP="0093543F">
            <w:pPr>
              <w:pStyle w:val="MdTableCell"/>
              <w:jc w:val="right"/>
            </w:pPr>
            <w:r>
              <w:lastRenderedPageBreak/>
              <w:t>13</w:t>
            </w:r>
          </w:p>
        </w:tc>
        <w:tc>
          <w:tcPr>
            <w:tcW w:w="0" w:type="auto"/>
          </w:tcPr>
          <w:p w14:paraId="1959A7CF" w14:textId="77777777" w:rsidR="00A71EF9" w:rsidRDefault="00991F15" w:rsidP="0093543F">
            <w:pPr>
              <w:pStyle w:val="MdTableCell"/>
              <w:jc w:val="right"/>
            </w:pPr>
            <w:r>
              <w:t>Case Study (2025)</w:t>
            </w:r>
          </w:p>
        </w:tc>
        <w:tc>
          <w:tcPr>
            <w:tcW w:w="0" w:type="auto"/>
          </w:tcPr>
          <w:p w14:paraId="1F875E48" w14:textId="77777777" w:rsidR="00A71EF9" w:rsidRDefault="00991F15" w:rsidP="0093543F">
            <w:pPr>
              <w:pStyle w:val="MdTableCell"/>
              <w:jc w:val="right"/>
            </w:pPr>
            <w:hyperlink r:id="rId17" w:history="1">
              <w:r>
                <w:rPr>
                  <w:rStyle w:val="MdLink"/>
                </w:rPr>
                <w:t>10.1007/s44217-025-00502-w</w:t>
              </w:r>
            </w:hyperlink>
          </w:p>
        </w:tc>
        <w:tc>
          <w:tcPr>
            <w:tcW w:w="0" w:type="auto"/>
          </w:tcPr>
          <w:p w14:paraId="2738BED5" w14:textId="77777777" w:rsidR="00A71EF9" w:rsidRDefault="00991F15" w:rsidP="0093543F">
            <w:pPr>
              <w:pStyle w:val="MdTableCell"/>
              <w:jc w:val="right"/>
            </w:pPr>
            <w:r>
              <w:t>وجد أن الانحدار الخطي يتفوق على النماذج المعقدة لبساطة البيانات.</w:t>
            </w:r>
          </w:p>
        </w:tc>
        <w:tc>
          <w:tcPr>
            <w:tcW w:w="0" w:type="auto"/>
          </w:tcPr>
          <w:p w14:paraId="46FDC094" w14:textId="77777777" w:rsidR="00A71EF9" w:rsidRDefault="00991F15" w:rsidP="0093543F">
            <w:pPr>
              <w:pStyle w:val="MdTableCell"/>
              <w:jc w:val="right"/>
            </w:pPr>
            <w:r>
              <w:t>التعامل مع تعقيدات البيانات الحقيقية باستخدام Gradient Boosting.</w:t>
            </w:r>
          </w:p>
        </w:tc>
      </w:tr>
      <w:tr w:rsidR="00A71EF9" w14:paraId="6FC635EB" w14:textId="77777777" w:rsidTr="001F2C9A">
        <w:trPr>
          <w:trHeight w:val="576"/>
        </w:trPr>
        <w:tc>
          <w:tcPr>
            <w:tcW w:w="0" w:type="auto"/>
          </w:tcPr>
          <w:p w14:paraId="7DDAB75D" w14:textId="77777777" w:rsidR="00A71EF9" w:rsidRDefault="00991F15" w:rsidP="0093543F">
            <w:pPr>
              <w:pStyle w:val="MdTableCell"/>
              <w:jc w:val="right"/>
            </w:pPr>
            <w:r>
              <w:t>14</w:t>
            </w:r>
          </w:p>
        </w:tc>
        <w:tc>
          <w:tcPr>
            <w:tcW w:w="0" w:type="auto"/>
          </w:tcPr>
          <w:p w14:paraId="4AB976E7" w14:textId="77777777" w:rsidR="00A71EF9" w:rsidRDefault="00991F15" w:rsidP="0093543F">
            <w:pPr>
              <w:pStyle w:val="MdTableCell"/>
              <w:jc w:val="right"/>
            </w:pPr>
            <w:r>
              <w:t>Overview Study (2023)</w:t>
            </w:r>
          </w:p>
        </w:tc>
        <w:tc>
          <w:tcPr>
            <w:tcW w:w="0" w:type="auto"/>
          </w:tcPr>
          <w:p w14:paraId="48134905" w14:textId="77777777" w:rsidR="00A71EF9" w:rsidRDefault="00991F15" w:rsidP="0093543F">
            <w:pPr>
              <w:pStyle w:val="MdTableCell"/>
              <w:jc w:val="right"/>
            </w:pPr>
            <w:hyperlink r:id="rId18" w:history="1">
              <w:r>
                <w:rPr>
                  <w:rStyle w:val="MdLink"/>
                </w:rPr>
                <w:t>10.20368/1971-8829/1135578</w:t>
              </w:r>
            </w:hyperlink>
          </w:p>
        </w:tc>
        <w:tc>
          <w:tcPr>
            <w:tcW w:w="0" w:type="auto"/>
          </w:tcPr>
          <w:p w14:paraId="26E51B23" w14:textId="77777777" w:rsidR="00A71EF9" w:rsidRDefault="00991F15" w:rsidP="0093543F">
            <w:pPr>
              <w:pStyle w:val="MdTableCell"/>
              <w:jc w:val="right"/>
            </w:pPr>
            <w:r>
              <w:t>عدم الوضوح في أحجام العينات أو التخصصات المذكورة.</w:t>
            </w:r>
          </w:p>
        </w:tc>
        <w:tc>
          <w:tcPr>
            <w:tcW w:w="0" w:type="auto"/>
          </w:tcPr>
          <w:p w14:paraId="3E4ECAC8" w14:textId="77777777" w:rsidR="00A71EF9" w:rsidRDefault="00991F15" w:rsidP="0093543F">
            <w:pPr>
              <w:pStyle w:val="MdTableCell"/>
              <w:jc w:val="right"/>
            </w:pPr>
            <w:r>
              <w:t>الالتزام بالشفافية في عرض بيانات التدريب وحجم العينة.</w:t>
            </w:r>
          </w:p>
        </w:tc>
      </w:tr>
      <w:tr w:rsidR="00A71EF9" w14:paraId="43FB72F4" w14:textId="77777777" w:rsidTr="001F2C9A">
        <w:trPr>
          <w:trHeight w:val="576"/>
        </w:trPr>
        <w:tc>
          <w:tcPr>
            <w:tcW w:w="0" w:type="auto"/>
          </w:tcPr>
          <w:p w14:paraId="220F5B5B" w14:textId="77777777" w:rsidR="00A71EF9" w:rsidRDefault="00991F15" w:rsidP="0093543F">
            <w:pPr>
              <w:pStyle w:val="MdTableCell"/>
              <w:jc w:val="right"/>
            </w:pPr>
            <w:r>
              <w:t>15</w:t>
            </w:r>
          </w:p>
        </w:tc>
        <w:tc>
          <w:tcPr>
            <w:tcW w:w="0" w:type="auto"/>
          </w:tcPr>
          <w:p w14:paraId="42306396" w14:textId="77777777" w:rsidR="00A71EF9" w:rsidRDefault="00991F15" w:rsidP="0093543F">
            <w:pPr>
              <w:pStyle w:val="MdTableCell"/>
              <w:jc w:val="right"/>
            </w:pPr>
            <w:r>
              <w:t>Khasanah (2023)</w:t>
            </w:r>
          </w:p>
        </w:tc>
        <w:tc>
          <w:tcPr>
            <w:tcW w:w="0" w:type="auto"/>
          </w:tcPr>
          <w:p w14:paraId="55694DCE" w14:textId="77777777" w:rsidR="00A71EF9" w:rsidRDefault="00991F15" w:rsidP="0093543F">
            <w:pPr>
              <w:pStyle w:val="MdTableCell"/>
              <w:jc w:val="right"/>
            </w:pPr>
            <w:hyperlink r:id="rId19" w:history="1">
              <w:r>
                <w:rPr>
                  <w:rStyle w:val="MdLink"/>
                </w:rPr>
                <w:t>10.36478/jeasci.2023</w:t>
              </w:r>
            </w:hyperlink>
          </w:p>
        </w:tc>
        <w:tc>
          <w:tcPr>
            <w:tcW w:w="0" w:type="auto"/>
          </w:tcPr>
          <w:p w14:paraId="43DAA948" w14:textId="77777777" w:rsidR="00A71EF9" w:rsidRDefault="00991F15" w:rsidP="0093543F">
            <w:pPr>
              <w:pStyle w:val="MdTableCell"/>
              <w:jc w:val="right"/>
            </w:pPr>
            <w:r>
              <w:t>استخدام تقنيات قديمة لم تعد تواكب التطور المتسارع.</w:t>
            </w:r>
          </w:p>
        </w:tc>
        <w:tc>
          <w:tcPr>
            <w:tcW w:w="0" w:type="auto"/>
          </w:tcPr>
          <w:p w14:paraId="369D1A01" w14:textId="77777777" w:rsidR="00A71EF9" w:rsidRDefault="00991F15" w:rsidP="0093543F">
            <w:pPr>
              <w:pStyle w:val="MdTableCell"/>
              <w:jc w:val="right"/>
            </w:pPr>
            <w:r>
              <w:t>تطبيق أحدث إصدارات خوارزميات التعلم الآلي المتطورة.</w:t>
            </w:r>
          </w:p>
        </w:tc>
      </w:tr>
    </w:tbl>
    <w:p w14:paraId="2075C545" w14:textId="77777777" w:rsidR="00A71EF9" w:rsidRDefault="00A71EF9" w:rsidP="0093543F">
      <w:pPr>
        <w:pStyle w:val="MdHr"/>
        <w:pBdr>
          <w:bottom w:val="single" w:sz="6" w:space="1" w:color="auto"/>
        </w:pBdr>
        <w:jc w:val="right"/>
      </w:pPr>
    </w:p>
    <w:p w14:paraId="611DBE9B" w14:textId="77777777" w:rsidR="00A71EF9" w:rsidRDefault="00991F15" w:rsidP="0093543F">
      <w:pPr>
        <w:pStyle w:val="MdParagraph"/>
        <w:jc w:val="right"/>
      </w:pPr>
      <w:r>
        <w:rPr>
          <w:rStyle w:val="MdStrong"/>
        </w:rPr>
        <w:t>ملاحظة:</w:t>
      </w:r>
      <w:r>
        <w:t xml:space="preserve"> تم التحقق من الروابط وتحديثها لتشمل معرفات الكائنات الرقمية (DOI) أو روابط الوصول المباشرة من قواعد البيانات العالمية (IEEE, Springer, Nature, Frontiers).</w:t>
      </w:r>
    </w:p>
    <w:p w14:paraId="4E57E0D7" w14:textId="22C6DBCD" w:rsidR="00A71EF9" w:rsidRDefault="00991F15" w:rsidP="0093543F">
      <w:pPr>
        <w:pStyle w:val="MdParagraph"/>
        <w:jc w:val="right"/>
      </w:pPr>
      <w:r>
        <w:t xml:space="preserve"> </w:t>
      </w:r>
    </w:p>
    <w:sectPr w:rsidR="00A71EF9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008E7"/>
    <w:multiLevelType w:val="hybridMultilevel"/>
    <w:tmpl w:val="FFFFFFFF"/>
    <w:lvl w:ilvl="0" w:tplc="4E84B264">
      <w:start w:val="1"/>
      <w:numFmt w:val="bullet"/>
      <w:lvlText w:val="●"/>
      <w:lvlJc w:val="left"/>
      <w:pPr>
        <w:ind w:left="720" w:hanging="360"/>
      </w:pPr>
    </w:lvl>
    <w:lvl w:ilvl="1" w:tplc="2A28C11C">
      <w:start w:val="1"/>
      <w:numFmt w:val="bullet"/>
      <w:lvlText w:val="○"/>
      <w:lvlJc w:val="left"/>
      <w:pPr>
        <w:ind w:left="1440" w:hanging="360"/>
      </w:pPr>
    </w:lvl>
    <w:lvl w:ilvl="2" w:tplc="DC589E12">
      <w:start w:val="1"/>
      <w:numFmt w:val="bullet"/>
      <w:lvlText w:val="■"/>
      <w:lvlJc w:val="left"/>
      <w:pPr>
        <w:ind w:left="2160" w:hanging="360"/>
      </w:pPr>
    </w:lvl>
    <w:lvl w:ilvl="3" w:tplc="C65675AA">
      <w:start w:val="1"/>
      <w:numFmt w:val="bullet"/>
      <w:lvlText w:val="●"/>
      <w:lvlJc w:val="left"/>
      <w:pPr>
        <w:ind w:left="2880" w:hanging="360"/>
      </w:pPr>
    </w:lvl>
    <w:lvl w:ilvl="4" w:tplc="63400398">
      <w:start w:val="1"/>
      <w:numFmt w:val="bullet"/>
      <w:lvlText w:val="○"/>
      <w:lvlJc w:val="left"/>
      <w:pPr>
        <w:ind w:left="3600" w:hanging="360"/>
      </w:pPr>
    </w:lvl>
    <w:lvl w:ilvl="5" w:tplc="4F6A29B0">
      <w:start w:val="1"/>
      <w:numFmt w:val="bullet"/>
      <w:lvlText w:val="■"/>
      <w:lvlJc w:val="left"/>
      <w:pPr>
        <w:ind w:left="4320" w:hanging="360"/>
      </w:pPr>
    </w:lvl>
    <w:lvl w:ilvl="6" w:tplc="CCF67FF4">
      <w:start w:val="1"/>
      <w:numFmt w:val="bullet"/>
      <w:lvlText w:val="●"/>
      <w:lvlJc w:val="left"/>
      <w:pPr>
        <w:ind w:left="5040" w:hanging="360"/>
      </w:pPr>
    </w:lvl>
    <w:lvl w:ilvl="7" w:tplc="546876FA">
      <w:start w:val="1"/>
      <w:numFmt w:val="bullet"/>
      <w:lvlText w:val="●"/>
      <w:lvlJc w:val="left"/>
      <w:pPr>
        <w:ind w:left="5760" w:hanging="360"/>
      </w:pPr>
    </w:lvl>
    <w:lvl w:ilvl="8" w:tplc="CBB0CA0C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56E97B46"/>
    <w:multiLevelType w:val="hybridMultilevel"/>
    <w:tmpl w:val="FFFFFFFF"/>
    <w:lvl w:ilvl="0" w:tplc="F1167448">
      <w:start w:val="1"/>
      <w:numFmt w:val="bullet"/>
      <w:lvlText w:val="•"/>
      <w:lvlJc w:val="left"/>
      <w:pPr>
        <w:ind w:left="720" w:hanging="360"/>
      </w:pPr>
    </w:lvl>
    <w:lvl w:ilvl="1" w:tplc="8AB8484C">
      <w:start w:val="1"/>
      <w:numFmt w:val="bullet"/>
      <w:lvlText w:val="◦"/>
      <w:lvlJc w:val="left"/>
      <w:pPr>
        <w:ind w:left="1440" w:hanging="360"/>
      </w:pPr>
    </w:lvl>
    <w:lvl w:ilvl="2" w:tplc="EE864BC4">
      <w:start w:val="1"/>
      <w:numFmt w:val="bullet"/>
      <w:lvlText w:val="•"/>
      <w:lvlJc w:val="left"/>
      <w:pPr>
        <w:ind w:left="2160" w:hanging="360"/>
      </w:pPr>
    </w:lvl>
    <w:lvl w:ilvl="3" w:tplc="F5124CEA">
      <w:start w:val="1"/>
      <w:numFmt w:val="bullet"/>
      <w:lvlText w:val="◦"/>
      <w:lvlJc w:val="left"/>
      <w:pPr>
        <w:ind w:left="2880" w:hanging="360"/>
      </w:pPr>
    </w:lvl>
    <w:lvl w:ilvl="4" w:tplc="0DB63998">
      <w:start w:val="1"/>
      <w:numFmt w:val="bullet"/>
      <w:lvlText w:val="•"/>
      <w:lvlJc w:val="left"/>
      <w:pPr>
        <w:ind w:left="3600" w:hanging="360"/>
      </w:pPr>
    </w:lvl>
    <w:lvl w:ilvl="5" w:tplc="D1EAB808">
      <w:start w:val="1"/>
      <w:numFmt w:val="bullet"/>
      <w:lvlText w:val="◦"/>
      <w:lvlJc w:val="left"/>
      <w:pPr>
        <w:ind w:left="4320" w:hanging="360"/>
      </w:pPr>
    </w:lvl>
    <w:lvl w:ilvl="6" w:tplc="9E9A213C">
      <w:start w:val="1"/>
      <w:numFmt w:val="bullet"/>
      <w:lvlText w:val="•"/>
      <w:lvlJc w:val="left"/>
      <w:pPr>
        <w:ind w:left="5040" w:hanging="360"/>
      </w:pPr>
    </w:lvl>
    <w:lvl w:ilvl="7" w:tplc="75629E7A">
      <w:numFmt w:val="decimal"/>
      <w:lvlText w:val=""/>
      <w:lvlJc w:val="left"/>
    </w:lvl>
    <w:lvl w:ilvl="8" w:tplc="46DCF3B0">
      <w:numFmt w:val="decimal"/>
      <w:lvlText w:val=""/>
      <w:lvlJc w:val="left"/>
    </w:lvl>
  </w:abstractNum>
  <w:abstractNum w:abstractNumId="2" w15:restartNumberingAfterBreak="0">
    <w:nsid w:val="7A090E85"/>
    <w:multiLevelType w:val="multilevel"/>
    <w:tmpl w:val="D68095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num w:numId="1" w16cid:durableId="12177727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EF9"/>
    <w:rsid w:val="001F2C9A"/>
    <w:rsid w:val="005B2361"/>
    <w:rsid w:val="00682AD6"/>
    <w:rsid w:val="008962C5"/>
    <w:rsid w:val="009277D3"/>
    <w:rsid w:val="0093543F"/>
    <w:rsid w:val="00991F15"/>
    <w:rsid w:val="00A71EF9"/>
    <w:rsid w:val="00DA0388"/>
    <w:rsid w:val="00F1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5F89E0B"/>
  <w15:docId w15:val="{D494B9B4-7EE8-434A-9D02-352F89F6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تشديد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0563C1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نص حاشية سفلية Char"/>
    <w:link w:val="a6"/>
    <w:uiPriority w:val="99"/>
    <w:semiHidden/>
    <w:unhideWhenUsed/>
    <w:rPr>
      <w:sz w:val="20"/>
      <w:szCs w:val="20"/>
    </w:rPr>
  </w:style>
  <w:style w:type="paragraph" w:customStyle="1" w:styleId="MdSpace">
    <w:name w:val="MdSpace"/>
    <w:qFormat/>
    <w:rPr>
      <w:sz w:val="12"/>
      <w:szCs w:val="12"/>
    </w:rPr>
  </w:style>
  <w:style w:type="paragraph" w:customStyle="1" w:styleId="MdCode">
    <w:name w:val="MdCode"/>
    <w:qFormat/>
    <w:pPr>
      <w:pBdr>
        <w:top w:val="single" w:sz="1" w:space="8" w:color="A5A5A5"/>
        <w:left w:val="single" w:sz="1" w:space="8" w:color="A5A5A5"/>
        <w:bottom w:val="single" w:sz="1" w:space="8" w:color="A5A5A5"/>
        <w:right w:val="single" w:sz="1" w:space="8" w:color="A5A5A5"/>
      </w:pBdr>
      <w:spacing w:before="200" w:after="200"/>
    </w:pPr>
    <w:rPr>
      <w:rFonts w:ascii="Courier New" w:eastAsia="Courier New" w:hAnsi="Courier New" w:cs="Courier New"/>
      <w:color w:val="70AD47"/>
      <w:sz w:val="22"/>
      <w:szCs w:val="22"/>
    </w:rPr>
  </w:style>
  <w:style w:type="paragraph" w:customStyle="1" w:styleId="MdHr">
    <w:name w:val="MdHr"/>
    <w:qFormat/>
    <w:pPr>
      <w:pBdr>
        <w:bottom w:val="single" w:sz="1" w:space="1" w:color="A5A5A5"/>
      </w:pBdr>
      <w:spacing w:before="240" w:after="240"/>
    </w:pPr>
  </w:style>
  <w:style w:type="paragraph" w:customStyle="1" w:styleId="MdBlockquote">
    <w:name w:val="MdBlockquote"/>
    <w:qFormat/>
    <w:pPr>
      <w:pBdr>
        <w:left w:val="single" w:sz="20" w:space="12" w:color="A5A5A5"/>
      </w:pBdr>
      <w:spacing w:before="200" w:after="200"/>
      <w:ind w:left="360"/>
    </w:pPr>
    <w:rPr>
      <w:i/>
      <w:iCs/>
      <w:color w:val="666666"/>
    </w:rPr>
  </w:style>
  <w:style w:type="paragraph" w:customStyle="1" w:styleId="MdHtml">
    <w:name w:val="MdHtml"/>
    <w:qFormat/>
    <w:rPr>
      <w:rFonts w:ascii="Courier New" w:eastAsia="Courier New" w:hAnsi="Courier New" w:cs="Courier New"/>
      <w:color w:val="ED7D31"/>
    </w:rPr>
  </w:style>
  <w:style w:type="paragraph" w:customStyle="1" w:styleId="MdDef">
    <w:name w:val="MdDef"/>
    <w:qFormat/>
    <w:pPr>
      <w:ind w:left="720" w:hanging="360"/>
    </w:pPr>
  </w:style>
  <w:style w:type="paragraph" w:customStyle="1" w:styleId="MdParagraph">
    <w:name w:val="MdParagraph"/>
    <w:qFormat/>
    <w:pPr>
      <w:spacing w:before="120" w:after="120"/>
    </w:pPr>
  </w:style>
  <w:style w:type="paragraph" w:customStyle="1" w:styleId="MdText">
    <w:name w:val="MdText"/>
    <w:qFormat/>
  </w:style>
  <w:style w:type="paragraph" w:customStyle="1" w:styleId="MdFootnote">
    <w:name w:val="MdFootnote"/>
    <w:qFormat/>
    <w:rPr>
      <w:vertAlign w:val="superscript"/>
    </w:rPr>
  </w:style>
  <w:style w:type="paragraph" w:customStyle="1" w:styleId="MdListItem">
    <w:name w:val="MdListItem"/>
    <w:qFormat/>
    <w:pPr>
      <w:spacing w:before="60" w:after="60"/>
      <w:ind w:left="720" w:hanging="360"/>
    </w:pPr>
  </w:style>
  <w:style w:type="paragraph" w:customStyle="1" w:styleId="MdTable">
    <w:name w:val="MdTable"/>
    <w:qFormat/>
    <w:pPr>
      <w:spacing w:before="60" w:after="60"/>
    </w:pPr>
  </w:style>
  <w:style w:type="paragraph" w:customStyle="1" w:styleId="MdTableHeader">
    <w:name w:val="MdTableHeader"/>
    <w:qFormat/>
    <w:pPr>
      <w:spacing w:before="60" w:after="60"/>
    </w:pPr>
    <w:rPr>
      <w:b/>
      <w:bCs/>
      <w:sz w:val="22"/>
      <w:szCs w:val="22"/>
    </w:rPr>
  </w:style>
  <w:style w:type="paragraph" w:customStyle="1" w:styleId="MdTableCell">
    <w:name w:val="MdTableCell"/>
    <w:qFormat/>
    <w:pPr>
      <w:spacing w:before="40" w:after="40"/>
    </w:pPr>
    <w:rPr>
      <w:sz w:val="20"/>
      <w:szCs w:val="20"/>
    </w:rPr>
  </w:style>
  <w:style w:type="paragraph" w:customStyle="1" w:styleId="MdHeading1">
    <w:name w:val="MdHeading1"/>
    <w:qFormat/>
    <w:pPr>
      <w:keepNext/>
      <w:spacing w:before="480" w:after="240"/>
      <w:outlineLvl w:val="0"/>
    </w:pPr>
    <w:rPr>
      <w:b/>
      <w:bCs/>
      <w:sz w:val="36"/>
      <w:szCs w:val="36"/>
    </w:rPr>
  </w:style>
  <w:style w:type="paragraph" w:customStyle="1" w:styleId="MdHeading2">
    <w:name w:val="MdHeading2"/>
    <w:qFormat/>
    <w:pPr>
      <w:keepNext/>
      <w:spacing w:before="400" w:after="200"/>
      <w:outlineLvl w:val="1"/>
    </w:pPr>
    <w:rPr>
      <w:b/>
      <w:bCs/>
      <w:sz w:val="32"/>
      <w:szCs w:val="32"/>
    </w:rPr>
  </w:style>
  <w:style w:type="paragraph" w:customStyle="1" w:styleId="MdHeading3">
    <w:name w:val="MdHeading3"/>
    <w:qFormat/>
    <w:pPr>
      <w:keepNext/>
      <w:spacing w:before="320" w:after="160"/>
      <w:outlineLvl w:val="2"/>
    </w:pPr>
    <w:rPr>
      <w:b/>
      <w:bCs/>
      <w:sz w:val="28"/>
      <w:szCs w:val="28"/>
    </w:rPr>
  </w:style>
  <w:style w:type="paragraph" w:customStyle="1" w:styleId="MdHeading4">
    <w:name w:val="MdHeading4"/>
    <w:qFormat/>
    <w:pPr>
      <w:keepNext/>
      <w:spacing w:before="280" w:after="140"/>
      <w:outlineLvl w:val="3"/>
    </w:pPr>
    <w:rPr>
      <w:b/>
      <w:bCs/>
      <w:sz w:val="26"/>
      <w:szCs w:val="26"/>
    </w:rPr>
  </w:style>
  <w:style w:type="paragraph" w:customStyle="1" w:styleId="MdHeading5">
    <w:name w:val="MdHeading5"/>
    <w:qFormat/>
    <w:pPr>
      <w:keepNext/>
      <w:spacing w:before="240" w:after="120"/>
      <w:outlineLvl w:val="4"/>
    </w:pPr>
    <w:rPr>
      <w:b/>
      <w:bCs/>
      <w:i/>
      <w:iCs/>
    </w:rPr>
  </w:style>
  <w:style w:type="paragraph" w:customStyle="1" w:styleId="MdHeading6">
    <w:name w:val="MdHeading6"/>
    <w:qFormat/>
    <w:pPr>
      <w:keepNext/>
      <w:spacing w:before="240" w:after="120"/>
      <w:outlineLvl w:val="5"/>
    </w:pPr>
    <w:rPr>
      <w:i/>
      <w:iCs/>
    </w:rPr>
  </w:style>
  <w:style w:type="character" w:customStyle="1" w:styleId="MdTag">
    <w:name w:val="MdTag"/>
    <w:uiPriority w:val="99"/>
    <w:unhideWhenUsed/>
    <w:qFormat/>
    <w:rPr>
      <w:rFonts w:ascii="Courier New" w:eastAsia="Courier New" w:hAnsi="Courier New" w:cs="Courier New"/>
      <w:color w:val="ED7D31"/>
    </w:rPr>
  </w:style>
  <w:style w:type="character" w:customStyle="1" w:styleId="MdLink">
    <w:name w:val="MdLink"/>
    <w:uiPriority w:val="99"/>
    <w:unhideWhenUsed/>
    <w:qFormat/>
    <w:rPr>
      <w:color w:val="0563C1"/>
      <w:u w:val="single"/>
    </w:rPr>
  </w:style>
  <w:style w:type="character" w:customStyle="1" w:styleId="MdStrong">
    <w:name w:val="MdStrong"/>
    <w:uiPriority w:val="99"/>
    <w:unhideWhenUsed/>
    <w:qFormat/>
    <w:rPr>
      <w:b/>
      <w:bCs/>
    </w:rPr>
  </w:style>
  <w:style w:type="character" w:customStyle="1" w:styleId="MdEm">
    <w:name w:val="MdEm"/>
    <w:uiPriority w:val="99"/>
    <w:unhideWhenUsed/>
    <w:qFormat/>
    <w:rPr>
      <w:i/>
      <w:iCs/>
    </w:rPr>
  </w:style>
  <w:style w:type="character" w:customStyle="1" w:styleId="MdCodespan">
    <w:name w:val="MdCodespan"/>
    <w:uiPriority w:val="99"/>
    <w:unhideWhenUsed/>
    <w:qFormat/>
    <w:rPr>
      <w:rFonts w:ascii="Courier New" w:eastAsia="Courier New" w:hAnsi="Courier New" w:cs="Courier New"/>
      <w:color w:val="70AD47"/>
    </w:rPr>
  </w:style>
  <w:style w:type="character" w:customStyle="1" w:styleId="MdDel">
    <w:name w:val="MdDel"/>
    <w:uiPriority w:val="99"/>
    <w:unhideWhenUsed/>
    <w:qFormat/>
    <w:rPr>
      <w:strike/>
    </w:rPr>
  </w:style>
  <w:style w:type="character" w:customStyle="1" w:styleId="MdBr">
    <w:name w:val="MdBr"/>
    <w:uiPriority w:val="99"/>
    <w:unhideWhenUsed/>
    <w:qFormat/>
  </w:style>
  <w:style w:type="table" w:styleId="11">
    <w:name w:val="Grid Table 1 Light"/>
    <w:basedOn w:val="a1"/>
    <w:uiPriority w:val="46"/>
    <w:rsid w:val="001F2C9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eeexplore.ieee.org/search/search.jsp?query=Haron+et+al.+2025" TargetMode="External" /><Relationship Id="rId13" Type="http://schemas.openxmlformats.org/officeDocument/2006/relationships/hyperlink" Target="https://ojs.acad-pub.com/index.php/CAI/article/view/4181" TargetMode="External" /><Relationship Id="rId18" Type="http://schemas.openxmlformats.org/officeDocument/2006/relationships/hyperlink" Target="https://www.je-lks.org/ojs/index.php/Je-LKS_EN/article/view/1135578" TargetMode="External" /><Relationship Id="rId3" Type="http://schemas.openxmlformats.org/officeDocument/2006/relationships/settings" Target="settings.xml" /><Relationship Id="rId21" Type="http://schemas.openxmlformats.org/officeDocument/2006/relationships/theme" Target="theme/theme1.xml" /><Relationship Id="rId7" Type="http://schemas.openxmlformats.org/officeDocument/2006/relationships/hyperlink" Target="https://doi.org/10.1038/s41598-025-92324-x" TargetMode="External" /><Relationship Id="rId12" Type="http://schemas.openxmlformats.org/officeDocument/2006/relationships/hyperlink" Target="https://www.nature.com/articles/s41598-023" TargetMode="External" /><Relationship Id="rId17" Type="http://schemas.openxmlformats.org/officeDocument/2006/relationships/hyperlink" Target="https://link.springer.com/article/10.1007/s44217-025-00502-w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doi.org/10.1007/s10758-020-09476-0" TargetMode="External" /><Relationship Id="rId20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hyperlink" Target="https://doi.org/10.3389/feduc.2025.1632315" TargetMode="External" /><Relationship Id="rId11" Type="http://schemas.openxmlformats.org/officeDocument/2006/relationships/hyperlink" Target="https://www.sciencedirect.com/search?qs=Vimarsha+et+al.+2024" TargetMode="External" /><Relationship Id="rId5" Type="http://schemas.openxmlformats.org/officeDocument/2006/relationships/hyperlink" Target="https://scholar.google.com/scholar?q=Al-Shami+et+al.+2025+student+performance" TargetMode="External" /><Relationship Id="rId15" Type="http://schemas.openxmlformats.org/officeDocument/2006/relationships/hyperlink" Target="https://doi.org/10.1109/ACCESS.2021.3061368" TargetMode="External" /><Relationship Id="rId10" Type="http://schemas.openxmlformats.org/officeDocument/2006/relationships/hyperlink" Target="https://doi.org/10.1007/s44217-025-00502-w" TargetMode="External" /><Relationship Id="rId19" Type="http://schemas.openxmlformats.org/officeDocument/2006/relationships/hyperlink" Target="https://www.researchgate.net/publication/326071842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researchgate.net/search?q=Xu+and+Kim+2024+student+performance" TargetMode="External" /><Relationship Id="rId14" Type="http://schemas.openxmlformats.org/officeDocument/2006/relationships/hyperlink" Target="https://ieeexplore.ieee.org/document/10852293" TargetMode="Externa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Converted Document</dc:title>
  <dc:creator>md2docx converter</dc:creator>
  <dc:description>Converted from Markdown</dc:description>
  <cp:lastModifiedBy>يحيى محمد</cp:lastModifiedBy>
  <cp:revision>2</cp:revision>
  <dcterms:created xsi:type="dcterms:W3CDTF">2026-06-26T18:11:00Z</dcterms:created>
  <dcterms:modified xsi:type="dcterms:W3CDTF">2026-06-26T18:11:00Z</dcterms:modified>
</cp:coreProperties>
</file>