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175EC" w14:textId="77777777" w:rsidR="0003532E" w:rsidRPr="004C4E7C" w:rsidRDefault="009837BA">
      <w:pPr>
        <w:bidi/>
        <w:spacing w:after="160"/>
        <w:jc w:val="center"/>
        <w:rPr>
          <w:sz w:val="28"/>
          <w:szCs w:val="28"/>
        </w:rPr>
      </w:pPr>
      <w:r w:rsidRPr="004C4E7C">
        <w:rPr>
          <w:rFonts w:ascii="Traditional Arabic" w:eastAsia="Traditional Arabic" w:hAnsi="Traditional Arabic" w:cs="Traditional Arabic"/>
          <w:b/>
          <w:bCs/>
          <w:color w:val="1F3864"/>
          <w:sz w:val="36"/>
          <w:szCs w:val="36"/>
          <w:rtl/>
        </w:rPr>
        <w:t>جدول الاستجابة لملاحظات لجنة المناقشة — الفصل الثالث (منهجية الدراسة)</w:t>
      </w:r>
    </w:p>
    <w:p w14:paraId="36C175ED" w14:textId="77777777" w:rsidR="0003532E" w:rsidRPr="004C4E7C" w:rsidRDefault="009837BA">
      <w:pPr>
        <w:bidi/>
        <w:spacing w:after="240"/>
        <w:jc w:val="center"/>
        <w:rPr>
          <w:sz w:val="28"/>
          <w:szCs w:val="28"/>
        </w:rPr>
      </w:pPr>
      <w:r w:rsidRPr="004C4E7C">
        <w:rPr>
          <w:rFonts w:ascii="Traditional Arabic" w:eastAsia="Traditional Arabic" w:hAnsi="Traditional Arabic" w:cs="Traditional Arabic"/>
          <w:color w:val="444444"/>
          <w:sz w:val="28"/>
          <w:szCs w:val="28"/>
          <w:rtl/>
        </w:rPr>
        <w:t>أطروحة الدكتوراه: أثر تقنية الترميز على الأمن السيبراني وكفاءة العمليات المالية في المؤسسات المالية السعودية</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47"/>
        <w:gridCol w:w="3119"/>
        <w:gridCol w:w="2023"/>
        <w:gridCol w:w="1685"/>
        <w:gridCol w:w="2023"/>
        <w:gridCol w:w="507"/>
      </w:tblGrid>
      <w:tr w:rsidR="002C73CA" w14:paraId="36C175F5" w14:textId="77777777" w:rsidTr="002C73CA">
        <w:tblPrEx>
          <w:tblCellMar>
            <w:top w:w="0" w:type="dxa"/>
            <w:bottom w:w="0" w:type="dxa"/>
          </w:tblCellMar>
        </w:tblPrEx>
        <w:trPr>
          <w:tblHeader/>
        </w:trPr>
        <w:tc>
          <w:tcPr>
            <w:tcW w:w="629" w:type="pct"/>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36C175EF" w14:textId="77777777" w:rsidR="002C73CA" w:rsidRDefault="002C73CA" w:rsidP="002C73CA">
            <w:pPr>
              <w:bidi/>
              <w:jc w:val="center"/>
            </w:pPr>
            <w:r>
              <w:rPr>
                <w:rFonts w:ascii="Traditional Arabic" w:eastAsia="Traditional Arabic" w:hAnsi="Traditional Arabic" w:cs="Traditional Arabic"/>
                <w:b/>
                <w:bCs/>
                <w:color w:val="FFFFFF"/>
                <w:rtl/>
              </w:rPr>
              <w:t>الموقع في الفصل</w:t>
            </w:r>
          </w:p>
        </w:tc>
        <w:tc>
          <w:tcPr>
            <w:tcW w:w="1457" w:type="pct"/>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36C175F0" w14:textId="77777777" w:rsidR="002C73CA" w:rsidRDefault="002C73CA" w:rsidP="002C73CA">
            <w:pPr>
              <w:bidi/>
              <w:jc w:val="center"/>
            </w:pPr>
            <w:r>
              <w:rPr>
                <w:rFonts w:ascii="Traditional Arabic" w:eastAsia="Traditional Arabic" w:hAnsi="Traditional Arabic" w:cs="Traditional Arabic"/>
                <w:b/>
                <w:bCs/>
                <w:color w:val="FFFFFF"/>
                <w:rtl/>
              </w:rPr>
              <w:t>النسخة النهائية (التقديم الثاني)</w:t>
            </w:r>
          </w:p>
        </w:tc>
        <w:tc>
          <w:tcPr>
            <w:tcW w:w="945" w:type="pct"/>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36C175F1" w14:textId="77777777" w:rsidR="002C73CA" w:rsidRDefault="002C73CA" w:rsidP="002C73CA">
            <w:pPr>
              <w:bidi/>
              <w:jc w:val="center"/>
            </w:pPr>
            <w:r>
              <w:rPr>
                <w:rFonts w:ascii="Traditional Arabic" w:eastAsia="Traditional Arabic" w:hAnsi="Traditional Arabic" w:cs="Traditional Arabic"/>
                <w:b/>
                <w:bCs/>
                <w:color w:val="FFFFFF"/>
                <w:rtl/>
              </w:rPr>
              <w:t>النسخة الأولى (التقديم الأول)</w:t>
            </w:r>
          </w:p>
        </w:tc>
        <w:tc>
          <w:tcPr>
            <w:tcW w:w="787" w:type="pct"/>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36C175F2" w14:textId="77777777" w:rsidR="002C73CA" w:rsidRDefault="002C73CA" w:rsidP="002C73CA">
            <w:pPr>
              <w:bidi/>
              <w:jc w:val="center"/>
            </w:pPr>
            <w:r>
              <w:rPr>
                <w:rFonts w:ascii="Traditional Arabic" w:eastAsia="Traditional Arabic" w:hAnsi="Traditional Arabic" w:cs="Traditional Arabic"/>
                <w:b/>
                <w:bCs/>
                <w:color w:val="FFFFFF"/>
                <w:rtl/>
              </w:rPr>
              <w:t>المطلوب من اللجنة</w:t>
            </w:r>
          </w:p>
        </w:tc>
        <w:tc>
          <w:tcPr>
            <w:tcW w:w="945" w:type="pct"/>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36C175F3" w14:textId="77777777" w:rsidR="002C73CA" w:rsidRDefault="002C73CA" w:rsidP="002C73CA">
            <w:pPr>
              <w:bidi/>
              <w:jc w:val="center"/>
            </w:pPr>
            <w:r>
              <w:rPr>
                <w:rFonts w:ascii="Traditional Arabic" w:eastAsia="Traditional Arabic" w:hAnsi="Traditional Arabic" w:cs="Traditional Arabic"/>
                <w:b/>
                <w:bCs/>
                <w:color w:val="FFFFFF"/>
                <w:rtl/>
              </w:rPr>
              <w:t>ملاحظة لجنة المناقشة</w:t>
            </w:r>
          </w:p>
        </w:tc>
        <w:tc>
          <w:tcPr>
            <w:tcW w:w="237" w:type="pct"/>
            <w:tcBorders>
              <w:top w:val="single" w:sz="1" w:space="0" w:color="AAAAAA"/>
              <w:left w:val="single" w:sz="1" w:space="0" w:color="AAAAAA"/>
              <w:bottom w:val="single" w:sz="1" w:space="0" w:color="AAAAAA"/>
              <w:right w:val="single" w:sz="1" w:space="0" w:color="AAAAAA"/>
            </w:tcBorders>
            <w:shd w:val="clear" w:color="auto" w:fill="1F3864"/>
            <w:tcMar>
              <w:top w:w="100" w:type="dxa"/>
              <w:left w:w="120" w:type="dxa"/>
              <w:bottom w:w="100" w:type="dxa"/>
              <w:right w:w="120" w:type="dxa"/>
            </w:tcMar>
            <w:vAlign w:val="center"/>
          </w:tcPr>
          <w:p w14:paraId="36C175F4" w14:textId="77777777" w:rsidR="002C73CA" w:rsidRDefault="002C73CA" w:rsidP="002C73CA">
            <w:pPr>
              <w:bidi/>
              <w:jc w:val="center"/>
            </w:pPr>
            <w:r>
              <w:rPr>
                <w:rFonts w:ascii="Traditional Arabic" w:eastAsia="Traditional Arabic" w:hAnsi="Traditional Arabic" w:cs="Traditional Arabic"/>
                <w:b/>
                <w:bCs/>
                <w:color w:val="FFFFFF"/>
                <w:rtl/>
              </w:rPr>
              <w:t>#</w:t>
            </w:r>
          </w:p>
        </w:tc>
      </w:tr>
      <w:tr w:rsidR="002C73CA" w14:paraId="36C175FD"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5F7" w14:textId="77777777" w:rsidR="002C73CA" w:rsidRDefault="002C73CA" w:rsidP="002C73CA">
            <w:pPr>
              <w:bidi/>
              <w:jc w:val="center"/>
            </w:pPr>
            <w:r>
              <w:rPr>
                <w:rFonts w:ascii="Traditional Arabic" w:eastAsia="Traditional Arabic" w:hAnsi="Traditional Arabic" w:cs="Traditional Arabic"/>
                <w:color w:val="1F3864"/>
                <w:sz w:val="19"/>
                <w:szCs w:val="19"/>
                <w:rtl/>
              </w:rPr>
              <w:t>3.4.1 مجتمع الدراسة</w:t>
            </w:r>
          </w:p>
        </w:tc>
        <w:tc>
          <w:tcPr>
            <w:tcW w:w="145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5F8" w14:textId="77777777" w:rsidR="002C73CA" w:rsidRDefault="002C73CA" w:rsidP="002C73CA">
            <w:pPr>
              <w:bidi/>
              <w:jc w:val="center"/>
            </w:pPr>
            <w:r>
              <w:rPr>
                <w:rFonts w:ascii="Traditional Arabic" w:eastAsia="Traditional Arabic" w:hAnsi="Traditional Arabic" w:cs="Traditional Arabic"/>
                <w:color w:val="000000"/>
                <w:sz w:val="19"/>
                <w:szCs w:val="19"/>
                <w:rtl/>
              </w:rPr>
              <w:t xml:space="preserve">تم تحديد البنوك الرقمية بـ 2 بنوك: STC </w:t>
            </w:r>
            <w:proofErr w:type="spellStart"/>
            <w:r>
              <w:rPr>
                <w:rFonts w:ascii="Traditional Arabic" w:eastAsia="Traditional Arabic" w:hAnsi="Traditional Arabic" w:cs="Traditional Arabic"/>
                <w:color w:val="000000"/>
                <w:sz w:val="19"/>
                <w:szCs w:val="19"/>
                <w:rtl/>
              </w:rPr>
              <w:t>Pay</w:t>
            </w:r>
            <w:proofErr w:type="spellEnd"/>
            <w:r>
              <w:rPr>
                <w:rFonts w:ascii="Traditional Arabic" w:eastAsia="Traditional Arabic" w:hAnsi="Traditional Arabic" w:cs="Traditional Arabic"/>
                <w:color w:val="000000"/>
                <w:sz w:val="19"/>
                <w:szCs w:val="19"/>
                <w:rtl/>
              </w:rPr>
              <w:t xml:space="preserve"> وD360، وفق قائمة المرخصين الصادرة عن ساما (2024). وبلغ إجمالي مجتمع الدراسة 237 مؤسسة.</w:t>
            </w:r>
          </w:p>
        </w:tc>
        <w:tc>
          <w:tcPr>
            <w:tcW w:w="945" w:type="pct"/>
            <w:tcBorders>
              <w:top w:val="single" w:sz="1" w:space="0" w:color="AAAAAA"/>
              <w:left w:val="single" w:sz="1" w:space="0" w:color="AAAAAA"/>
              <w:bottom w:val="single" w:sz="1" w:space="0" w:color="AAAAAA"/>
              <w:right w:val="single" w:sz="1" w:space="0" w:color="AAAAAA"/>
            </w:tcBorders>
            <w:shd w:val="clear" w:color="auto" w:fill="EEF4FF"/>
            <w:tcMar>
              <w:top w:w="100" w:type="dxa"/>
              <w:left w:w="120" w:type="dxa"/>
              <w:bottom w:w="100" w:type="dxa"/>
              <w:right w:w="120" w:type="dxa"/>
            </w:tcMar>
            <w:vAlign w:val="center"/>
          </w:tcPr>
          <w:p w14:paraId="36C175F9" w14:textId="77777777" w:rsidR="002C73CA" w:rsidRDefault="002C73CA" w:rsidP="002C73CA">
            <w:pPr>
              <w:bidi/>
              <w:jc w:val="center"/>
            </w:pPr>
            <w:r>
              <w:rPr>
                <w:rFonts w:ascii="Traditional Arabic" w:eastAsia="Traditional Arabic" w:hAnsi="Traditional Arabic" w:cs="Traditional Arabic"/>
                <w:color w:val="000000"/>
                <w:sz w:val="19"/>
                <w:szCs w:val="19"/>
                <w:rtl/>
              </w:rPr>
              <w:t>ذُكرت البنوك الرقمية ضمن مجتمع الدراسة دون تحديد عددها الدقيق.</w:t>
            </w:r>
          </w:p>
        </w:tc>
        <w:tc>
          <w:tcPr>
            <w:tcW w:w="78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5FA" w14:textId="77777777" w:rsidR="002C73CA" w:rsidRDefault="002C73CA" w:rsidP="002C73CA">
            <w:pPr>
              <w:bidi/>
              <w:jc w:val="center"/>
            </w:pPr>
            <w:r>
              <w:rPr>
                <w:rFonts w:ascii="Traditional Arabic" w:eastAsia="Traditional Arabic" w:hAnsi="Traditional Arabic" w:cs="Traditional Arabic"/>
                <w:color w:val="000000"/>
                <w:sz w:val="19"/>
                <w:szCs w:val="19"/>
                <w:rtl/>
              </w:rPr>
              <w:t>ذكر العدد الدقيق للبنوك الرقمية موثقاً بمصدر رسمي من ساما</w:t>
            </w:r>
          </w:p>
        </w:tc>
        <w:tc>
          <w:tcPr>
            <w:tcW w:w="945"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5FB"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تحديد العدد الدقيق للبنوك الرقمية ضمن مجتمع الدراسة</w:t>
            </w:r>
          </w:p>
        </w:tc>
        <w:tc>
          <w:tcPr>
            <w:tcW w:w="23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5FC" w14:textId="77777777" w:rsidR="002C73CA" w:rsidRDefault="002C73CA" w:rsidP="002C73CA">
            <w:pPr>
              <w:jc w:val="center"/>
            </w:pPr>
            <w:r>
              <w:rPr>
                <w:rFonts w:ascii="Arial" w:eastAsia="Arial" w:hAnsi="Arial" w:cs="Arial"/>
                <w:b/>
                <w:bCs/>
                <w:color w:val="1F3864"/>
              </w:rPr>
              <w:t>1</w:t>
            </w:r>
          </w:p>
        </w:tc>
      </w:tr>
      <w:tr w:rsidR="002C73CA" w14:paraId="36C17605"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5FF" w14:textId="77777777" w:rsidR="002C73CA" w:rsidRDefault="002C73CA" w:rsidP="002C73CA">
            <w:pPr>
              <w:bidi/>
              <w:jc w:val="center"/>
            </w:pPr>
            <w:r>
              <w:rPr>
                <w:rFonts w:ascii="Traditional Arabic" w:eastAsia="Traditional Arabic" w:hAnsi="Traditional Arabic" w:cs="Traditional Arabic"/>
                <w:color w:val="1F3864"/>
                <w:sz w:val="19"/>
                <w:szCs w:val="19"/>
                <w:rtl/>
              </w:rPr>
              <w:t>3.5.1 الاستبانة الإلكترونية</w:t>
            </w:r>
          </w:p>
        </w:tc>
        <w:tc>
          <w:tcPr>
            <w:tcW w:w="145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00" w14:textId="77777777" w:rsidR="002C73CA" w:rsidRDefault="002C73CA" w:rsidP="002C73CA">
            <w:pPr>
              <w:bidi/>
              <w:jc w:val="center"/>
            </w:pPr>
            <w:r>
              <w:rPr>
                <w:rFonts w:ascii="Traditional Arabic" w:eastAsia="Traditional Arabic" w:hAnsi="Traditional Arabic" w:cs="Traditional Arabic"/>
                <w:color w:val="000000"/>
                <w:sz w:val="19"/>
                <w:szCs w:val="19"/>
                <w:rtl/>
              </w:rPr>
              <w:t>أُضيف جدول (3.2-أ) يوضح المصادر العلمية لبناء كل محور (</w:t>
            </w:r>
            <w:proofErr w:type="spellStart"/>
            <w:r>
              <w:rPr>
                <w:rFonts w:ascii="Traditional Arabic" w:eastAsia="Traditional Arabic" w:hAnsi="Traditional Arabic" w:cs="Traditional Arabic"/>
                <w:color w:val="000000"/>
                <w:sz w:val="19"/>
                <w:szCs w:val="19"/>
                <w:rtl/>
              </w:rPr>
              <w:t>EMVCo</w:t>
            </w:r>
            <w:proofErr w:type="spellEnd"/>
            <w:r>
              <w:rPr>
                <w:rFonts w:ascii="Traditional Arabic" w:eastAsia="Traditional Arabic" w:hAnsi="Traditional Arabic" w:cs="Traditional Arabic"/>
                <w:color w:val="000000"/>
                <w:sz w:val="19"/>
                <w:szCs w:val="19"/>
                <w:rtl/>
              </w:rPr>
              <w:t>, PCI DSS, NCA, NIST, SAMA, BIS). وأُشير إلى أن الفقرات خضعت لتعديلات بناءً على ملاحظات المشرف وستخضع لمراجعة المحكّمين.</w:t>
            </w:r>
          </w:p>
        </w:tc>
        <w:tc>
          <w:tcPr>
            <w:tcW w:w="945" w:type="pct"/>
            <w:tcBorders>
              <w:top w:val="single" w:sz="1" w:space="0" w:color="AAAAAA"/>
              <w:left w:val="single" w:sz="1" w:space="0" w:color="AAAAAA"/>
              <w:bottom w:val="single" w:sz="1" w:space="0" w:color="AAAAAA"/>
              <w:right w:val="single" w:sz="1" w:space="0" w:color="AAAAAA"/>
            </w:tcBorders>
            <w:shd w:val="clear" w:color="auto" w:fill="F9F9F9"/>
            <w:tcMar>
              <w:top w:w="100" w:type="dxa"/>
              <w:left w:w="120" w:type="dxa"/>
              <w:bottom w:w="100" w:type="dxa"/>
              <w:right w:w="120" w:type="dxa"/>
            </w:tcMar>
            <w:vAlign w:val="center"/>
          </w:tcPr>
          <w:p w14:paraId="36C17601" w14:textId="77777777" w:rsidR="002C73CA" w:rsidRDefault="002C73CA" w:rsidP="002C73CA">
            <w:pPr>
              <w:bidi/>
              <w:jc w:val="center"/>
            </w:pPr>
            <w:r>
              <w:rPr>
                <w:rFonts w:ascii="Traditional Arabic" w:eastAsia="Traditional Arabic" w:hAnsi="Traditional Arabic" w:cs="Traditional Arabic"/>
                <w:color w:val="000000"/>
                <w:sz w:val="19"/>
                <w:szCs w:val="19"/>
                <w:rtl/>
              </w:rPr>
              <w:t>لم يُشر إلى المصادر العلمية التي بُنيت عليها فقرات الاستبانة بشكل تفصيلي.</w:t>
            </w:r>
          </w:p>
        </w:tc>
        <w:tc>
          <w:tcPr>
            <w:tcW w:w="78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02" w14:textId="77777777" w:rsidR="002C73CA" w:rsidRDefault="002C73CA" w:rsidP="002C73CA">
            <w:pPr>
              <w:bidi/>
              <w:jc w:val="center"/>
            </w:pPr>
            <w:r>
              <w:rPr>
                <w:rFonts w:ascii="Traditional Arabic" w:eastAsia="Traditional Arabic" w:hAnsi="Traditional Arabic" w:cs="Traditional Arabic"/>
                <w:color w:val="000000"/>
                <w:sz w:val="19"/>
                <w:szCs w:val="19"/>
                <w:rtl/>
              </w:rPr>
              <w:t>إضافة قائمة بالمصادر لكل محور أو مجموعة فقرات في متن الفصل الثالث</w:t>
            </w:r>
          </w:p>
        </w:tc>
        <w:tc>
          <w:tcPr>
            <w:tcW w:w="945"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03"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شرح مصادر بناء فقرات الاستبانة وذكر الأدبيات والدراسات السابقة التي استُند إليها في كل محور</w:t>
            </w:r>
          </w:p>
        </w:tc>
        <w:tc>
          <w:tcPr>
            <w:tcW w:w="23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04" w14:textId="77777777" w:rsidR="002C73CA" w:rsidRDefault="002C73CA" w:rsidP="002C73CA">
            <w:pPr>
              <w:jc w:val="center"/>
            </w:pPr>
            <w:r>
              <w:rPr>
                <w:rFonts w:ascii="Arial" w:eastAsia="Arial" w:hAnsi="Arial" w:cs="Arial"/>
                <w:b/>
                <w:bCs/>
                <w:color w:val="1F3864"/>
              </w:rPr>
              <w:t>2</w:t>
            </w:r>
          </w:p>
        </w:tc>
      </w:tr>
      <w:tr w:rsidR="002C73CA" w14:paraId="36C1760D"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07" w14:textId="77777777" w:rsidR="002C73CA" w:rsidRDefault="002C73CA" w:rsidP="002C73CA">
            <w:pPr>
              <w:bidi/>
              <w:jc w:val="center"/>
            </w:pPr>
            <w:r>
              <w:rPr>
                <w:rFonts w:ascii="Traditional Arabic" w:eastAsia="Traditional Arabic" w:hAnsi="Traditional Arabic" w:cs="Traditional Arabic"/>
                <w:color w:val="1F3864"/>
                <w:sz w:val="19"/>
                <w:szCs w:val="19"/>
                <w:rtl/>
              </w:rPr>
              <w:t>ملحق الاستبانة — القسم الأول</w:t>
            </w:r>
          </w:p>
        </w:tc>
        <w:tc>
          <w:tcPr>
            <w:tcW w:w="145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08" w14:textId="77777777" w:rsidR="002C73CA" w:rsidRDefault="002C73CA" w:rsidP="002C73CA">
            <w:pPr>
              <w:bidi/>
              <w:jc w:val="center"/>
            </w:pPr>
            <w:r>
              <w:rPr>
                <w:rFonts w:ascii="Traditional Arabic" w:eastAsia="Traditional Arabic" w:hAnsi="Traditional Arabic" w:cs="Traditional Arabic"/>
                <w:color w:val="000000"/>
                <w:sz w:val="19"/>
                <w:szCs w:val="19"/>
                <w:rtl/>
              </w:rPr>
              <w:t>تم تغيير المسمى إلى 'البيانات الديموغرافية والوظيفية' في الاستبانة ومتن الفصل.</w:t>
            </w:r>
          </w:p>
        </w:tc>
        <w:tc>
          <w:tcPr>
            <w:tcW w:w="945" w:type="pct"/>
            <w:tcBorders>
              <w:top w:val="single" w:sz="1" w:space="0" w:color="AAAAAA"/>
              <w:left w:val="single" w:sz="1" w:space="0" w:color="AAAAAA"/>
              <w:bottom w:val="single" w:sz="1" w:space="0" w:color="AAAAAA"/>
              <w:right w:val="single" w:sz="1" w:space="0" w:color="AAAAAA"/>
            </w:tcBorders>
            <w:shd w:val="clear" w:color="auto" w:fill="EEF4FF"/>
            <w:tcMar>
              <w:top w:w="100" w:type="dxa"/>
              <w:left w:w="120" w:type="dxa"/>
              <w:bottom w:w="100" w:type="dxa"/>
              <w:right w:w="120" w:type="dxa"/>
            </w:tcMar>
            <w:vAlign w:val="center"/>
          </w:tcPr>
          <w:p w14:paraId="36C17609" w14:textId="77777777" w:rsidR="002C73CA" w:rsidRDefault="002C73CA" w:rsidP="002C73CA">
            <w:pPr>
              <w:bidi/>
              <w:jc w:val="center"/>
            </w:pPr>
            <w:r>
              <w:rPr>
                <w:rFonts w:ascii="Traditional Arabic" w:eastAsia="Traditional Arabic" w:hAnsi="Traditional Arabic" w:cs="Traditional Arabic"/>
                <w:color w:val="000000"/>
                <w:sz w:val="19"/>
                <w:szCs w:val="19"/>
                <w:rtl/>
              </w:rPr>
              <w:t>استُخدم مسمى 'البيانات الديموغرافية والوصفية' في قسم الاستبانة الأول.</w:t>
            </w:r>
          </w:p>
        </w:tc>
        <w:tc>
          <w:tcPr>
            <w:tcW w:w="78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0A" w14:textId="77777777" w:rsidR="002C73CA" w:rsidRDefault="002C73CA" w:rsidP="002C73CA">
            <w:pPr>
              <w:bidi/>
              <w:jc w:val="center"/>
            </w:pPr>
            <w:r>
              <w:rPr>
                <w:rFonts w:ascii="Traditional Arabic" w:eastAsia="Traditional Arabic" w:hAnsi="Traditional Arabic" w:cs="Traditional Arabic"/>
                <w:color w:val="000000"/>
                <w:sz w:val="19"/>
                <w:szCs w:val="19"/>
                <w:rtl/>
              </w:rPr>
              <w:t>تعديل المسمى في الاستبانة ومتن الفصل</w:t>
            </w:r>
          </w:p>
        </w:tc>
        <w:tc>
          <w:tcPr>
            <w:tcW w:w="945"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0B"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تغيير مسمى 'البيانات الديموغرافية والوصفية' إلى 'البيانات الديموغرافية والوظيفية' لأن المشاركين موظفون</w:t>
            </w:r>
          </w:p>
        </w:tc>
        <w:tc>
          <w:tcPr>
            <w:tcW w:w="23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0C" w14:textId="77777777" w:rsidR="002C73CA" w:rsidRDefault="002C73CA" w:rsidP="002C73CA">
            <w:pPr>
              <w:jc w:val="center"/>
            </w:pPr>
            <w:r>
              <w:rPr>
                <w:rFonts w:ascii="Arial" w:eastAsia="Arial" w:hAnsi="Arial" w:cs="Arial"/>
                <w:b/>
                <w:bCs/>
                <w:color w:val="1F3864"/>
              </w:rPr>
              <w:t>3</w:t>
            </w:r>
          </w:p>
        </w:tc>
      </w:tr>
      <w:tr w:rsidR="002C73CA" w14:paraId="36C17615"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0F" w14:textId="77777777" w:rsidR="002C73CA" w:rsidRDefault="002C73CA" w:rsidP="002C73CA">
            <w:pPr>
              <w:bidi/>
              <w:jc w:val="center"/>
            </w:pPr>
            <w:r>
              <w:rPr>
                <w:rFonts w:ascii="Traditional Arabic" w:eastAsia="Traditional Arabic" w:hAnsi="Traditional Arabic" w:cs="Traditional Arabic"/>
                <w:color w:val="1F3864"/>
                <w:sz w:val="19"/>
                <w:szCs w:val="19"/>
                <w:rtl/>
              </w:rPr>
              <w:t>ملحق الاستبانة — القسم الأول</w:t>
            </w:r>
          </w:p>
        </w:tc>
        <w:tc>
          <w:tcPr>
            <w:tcW w:w="145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10" w14:textId="77777777" w:rsidR="002C73CA" w:rsidRDefault="002C73CA" w:rsidP="002C73CA">
            <w:pPr>
              <w:bidi/>
              <w:jc w:val="center"/>
            </w:pPr>
            <w:r>
              <w:rPr>
                <w:rFonts w:ascii="Traditional Arabic" w:eastAsia="Traditional Arabic" w:hAnsi="Traditional Arabic" w:cs="Traditional Arabic"/>
                <w:color w:val="000000"/>
                <w:sz w:val="19"/>
                <w:szCs w:val="19"/>
                <w:rtl/>
              </w:rPr>
              <w:t xml:space="preserve">أُضيف: س6 (الإدارة أو القسم: IT / </w:t>
            </w:r>
            <w:proofErr w:type="spellStart"/>
            <w:r>
              <w:rPr>
                <w:rFonts w:ascii="Traditional Arabic" w:eastAsia="Traditional Arabic" w:hAnsi="Traditional Arabic" w:cs="Traditional Arabic"/>
                <w:color w:val="000000"/>
                <w:sz w:val="19"/>
                <w:szCs w:val="19"/>
                <w:rtl/>
              </w:rPr>
              <w:t>Risk</w:t>
            </w:r>
            <w:proofErr w:type="spellEnd"/>
            <w:r>
              <w:rPr>
                <w:rFonts w:ascii="Traditional Arabic" w:eastAsia="Traditional Arabic" w:hAnsi="Traditional Arabic" w:cs="Traditional Arabic"/>
                <w:color w:val="000000"/>
                <w:sz w:val="19"/>
                <w:szCs w:val="19"/>
                <w:rtl/>
              </w:rPr>
              <w:t xml:space="preserve"> / </w:t>
            </w:r>
            <w:proofErr w:type="spellStart"/>
            <w:r>
              <w:rPr>
                <w:rFonts w:ascii="Traditional Arabic" w:eastAsia="Traditional Arabic" w:hAnsi="Traditional Arabic" w:cs="Traditional Arabic"/>
                <w:color w:val="000000"/>
                <w:sz w:val="19"/>
                <w:szCs w:val="19"/>
                <w:rtl/>
              </w:rPr>
              <w:t>Operations</w:t>
            </w:r>
            <w:proofErr w:type="spellEnd"/>
            <w:r>
              <w:rPr>
                <w:rFonts w:ascii="Traditional Arabic" w:eastAsia="Traditional Arabic" w:hAnsi="Traditional Arabic" w:cs="Traditional Arabic"/>
                <w:color w:val="000000"/>
                <w:sz w:val="19"/>
                <w:szCs w:val="19"/>
                <w:rtl/>
              </w:rPr>
              <w:t xml:space="preserve"> / </w:t>
            </w:r>
            <w:proofErr w:type="spellStart"/>
            <w:r>
              <w:rPr>
                <w:rFonts w:ascii="Traditional Arabic" w:eastAsia="Traditional Arabic" w:hAnsi="Traditional Arabic" w:cs="Traditional Arabic"/>
                <w:color w:val="000000"/>
                <w:sz w:val="19"/>
                <w:szCs w:val="19"/>
                <w:rtl/>
              </w:rPr>
              <w:t>Compliance</w:t>
            </w:r>
            <w:proofErr w:type="spellEnd"/>
            <w:r>
              <w:rPr>
                <w:rFonts w:ascii="Traditional Arabic" w:eastAsia="Traditional Arabic" w:hAnsi="Traditional Arabic" w:cs="Traditional Arabic"/>
                <w:color w:val="000000"/>
                <w:sz w:val="19"/>
                <w:szCs w:val="19"/>
                <w:rtl/>
              </w:rPr>
              <w:t xml:space="preserve"> / أخرى) وس7 (عدد سنوات عمل المؤسسة في الخدمات الرقمية: أقل من 3 / 3-7 / أكثر من 7 سنوات).</w:t>
            </w:r>
          </w:p>
        </w:tc>
        <w:tc>
          <w:tcPr>
            <w:tcW w:w="945" w:type="pct"/>
            <w:tcBorders>
              <w:top w:val="single" w:sz="1" w:space="0" w:color="AAAAAA"/>
              <w:left w:val="single" w:sz="1" w:space="0" w:color="AAAAAA"/>
              <w:bottom w:val="single" w:sz="1" w:space="0" w:color="AAAAAA"/>
              <w:right w:val="single" w:sz="1" w:space="0" w:color="AAAAAA"/>
            </w:tcBorders>
            <w:shd w:val="clear" w:color="auto" w:fill="F9F9F9"/>
            <w:tcMar>
              <w:top w:w="100" w:type="dxa"/>
              <w:left w:w="120" w:type="dxa"/>
              <w:bottom w:w="100" w:type="dxa"/>
              <w:right w:w="120" w:type="dxa"/>
            </w:tcMar>
            <w:vAlign w:val="center"/>
          </w:tcPr>
          <w:p w14:paraId="36C17611" w14:textId="77777777" w:rsidR="002C73CA" w:rsidRDefault="002C73CA" w:rsidP="002C73CA">
            <w:pPr>
              <w:bidi/>
              <w:jc w:val="center"/>
            </w:pPr>
            <w:r>
              <w:rPr>
                <w:rFonts w:ascii="Traditional Arabic" w:eastAsia="Traditional Arabic" w:hAnsi="Traditional Arabic" w:cs="Traditional Arabic"/>
                <w:color w:val="000000"/>
                <w:sz w:val="19"/>
                <w:szCs w:val="19"/>
                <w:rtl/>
              </w:rPr>
              <w:t>اقتصر القسم الأول على: نوع المؤسسة، سنوات الخبرة، المستوى الوظيفي، المؤهل العلمي.</w:t>
            </w:r>
          </w:p>
        </w:tc>
        <w:tc>
          <w:tcPr>
            <w:tcW w:w="78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12" w14:textId="77777777" w:rsidR="002C73CA" w:rsidRDefault="002C73CA" w:rsidP="002C73CA">
            <w:pPr>
              <w:bidi/>
              <w:jc w:val="center"/>
            </w:pPr>
            <w:r>
              <w:rPr>
                <w:rFonts w:ascii="Traditional Arabic" w:eastAsia="Traditional Arabic" w:hAnsi="Traditional Arabic" w:cs="Traditional Arabic"/>
                <w:color w:val="000000"/>
                <w:sz w:val="19"/>
                <w:szCs w:val="19"/>
                <w:rtl/>
              </w:rPr>
              <w:t>إضافة هذه المتغيرات إلى القسم الأول من الاستبانة</w:t>
            </w:r>
          </w:p>
        </w:tc>
        <w:tc>
          <w:tcPr>
            <w:tcW w:w="945"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13"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نقص متغيرات ديموغرافية مهمة: حجم المؤسسة، الإدارة/القسم (IT-</w:t>
            </w:r>
            <w:proofErr w:type="spellStart"/>
            <w:r>
              <w:rPr>
                <w:rFonts w:ascii="Traditional Arabic" w:eastAsia="Traditional Arabic" w:hAnsi="Traditional Arabic" w:cs="Traditional Arabic"/>
                <w:b/>
                <w:bCs/>
                <w:color w:val="000000"/>
                <w:sz w:val="19"/>
                <w:szCs w:val="19"/>
                <w:rtl/>
              </w:rPr>
              <w:t>Risk</w:t>
            </w:r>
            <w:proofErr w:type="spellEnd"/>
            <w:r>
              <w:rPr>
                <w:rFonts w:ascii="Traditional Arabic" w:eastAsia="Traditional Arabic" w:hAnsi="Traditional Arabic" w:cs="Traditional Arabic"/>
                <w:b/>
                <w:bCs/>
                <w:color w:val="000000"/>
                <w:sz w:val="19"/>
                <w:szCs w:val="19"/>
                <w:rtl/>
              </w:rPr>
              <w:t>-</w:t>
            </w:r>
            <w:proofErr w:type="spellStart"/>
            <w:r>
              <w:rPr>
                <w:rFonts w:ascii="Traditional Arabic" w:eastAsia="Traditional Arabic" w:hAnsi="Traditional Arabic" w:cs="Traditional Arabic"/>
                <w:b/>
                <w:bCs/>
                <w:color w:val="000000"/>
                <w:sz w:val="19"/>
                <w:szCs w:val="19"/>
                <w:rtl/>
              </w:rPr>
              <w:t>Operations-Compliance</w:t>
            </w:r>
            <w:proofErr w:type="spellEnd"/>
            <w:r>
              <w:rPr>
                <w:rFonts w:ascii="Traditional Arabic" w:eastAsia="Traditional Arabic" w:hAnsi="Traditional Arabic" w:cs="Traditional Arabic"/>
                <w:b/>
                <w:bCs/>
                <w:color w:val="000000"/>
                <w:sz w:val="19"/>
                <w:szCs w:val="19"/>
                <w:rtl/>
              </w:rPr>
              <w:t>)، عدد سنوات عمل المؤسسة في الخدمات الرقمية</w:t>
            </w:r>
          </w:p>
        </w:tc>
        <w:tc>
          <w:tcPr>
            <w:tcW w:w="23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14" w14:textId="77777777" w:rsidR="002C73CA" w:rsidRDefault="002C73CA" w:rsidP="002C73CA">
            <w:pPr>
              <w:jc w:val="center"/>
            </w:pPr>
            <w:r>
              <w:rPr>
                <w:rFonts w:ascii="Arial" w:eastAsia="Arial" w:hAnsi="Arial" w:cs="Arial"/>
                <w:b/>
                <w:bCs/>
                <w:color w:val="1F3864"/>
              </w:rPr>
              <w:t>4</w:t>
            </w:r>
          </w:p>
        </w:tc>
      </w:tr>
      <w:tr w:rsidR="002C73CA" w14:paraId="36C1761D"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17" w14:textId="77777777" w:rsidR="002C73CA" w:rsidRDefault="002C73CA" w:rsidP="002C73CA">
            <w:pPr>
              <w:bidi/>
              <w:jc w:val="center"/>
            </w:pPr>
            <w:r>
              <w:rPr>
                <w:rFonts w:ascii="Traditional Arabic" w:eastAsia="Traditional Arabic" w:hAnsi="Traditional Arabic" w:cs="Traditional Arabic"/>
                <w:color w:val="1F3864"/>
                <w:sz w:val="19"/>
                <w:szCs w:val="19"/>
                <w:rtl/>
              </w:rPr>
              <w:t>ملحق الاستبانة — جدول (3.6-أ)</w:t>
            </w:r>
          </w:p>
        </w:tc>
        <w:tc>
          <w:tcPr>
            <w:tcW w:w="145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18" w14:textId="77777777" w:rsidR="002C73CA" w:rsidRDefault="002C73CA" w:rsidP="002C73CA">
            <w:pPr>
              <w:bidi/>
              <w:jc w:val="center"/>
            </w:pPr>
            <w:r>
              <w:rPr>
                <w:rFonts w:ascii="Traditional Arabic" w:eastAsia="Traditional Arabic" w:hAnsi="Traditional Arabic" w:cs="Traditional Arabic"/>
                <w:color w:val="000000"/>
                <w:sz w:val="19"/>
                <w:szCs w:val="19"/>
                <w:rtl/>
              </w:rPr>
              <w:t>أُعيدت صياغة 7 فقرات إلى صيغة إدراكية. مثال: 'يُسهم تطبيق تقنية الترميز في تعزيز حماية البيانات من الاختراقات وتقليص مخاطرها.' وأُرفق جدول (3.6-أ) يقارن الصياغات الأصلية والمعدَّلة.</w:t>
            </w:r>
          </w:p>
        </w:tc>
        <w:tc>
          <w:tcPr>
            <w:tcW w:w="945" w:type="pct"/>
            <w:tcBorders>
              <w:top w:val="single" w:sz="1" w:space="0" w:color="AAAAAA"/>
              <w:left w:val="single" w:sz="1" w:space="0" w:color="AAAAAA"/>
              <w:bottom w:val="single" w:sz="1" w:space="0" w:color="AAAAAA"/>
              <w:right w:val="single" w:sz="1" w:space="0" w:color="AAAAAA"/>
            </w:tcBorders>
            <w:shd w:val="clear" w:color="auto" w:fill="EEF4FF"/>
            <w:tcMar>
              <w:top w:w="100" w:type="dxa"/>
              <w:left w:w="120" w:type="dxa"/>
              <w:bottom w:w="100" w:type="dxa"/>
              <w:right w:w="120" w:type="dxa"/>
            </w:tcMar>
            <w:vAlign w:val="center"/>
          </w:tcPr>
          <w:p w14:paraId="36C17619" w14:textId="77777777" w:rsidR="002C73CA" w:rsidRDefault="002C73CA" w:rsidP="002C73CA">
            <w:pPr>
              <w:bidi/>
              <w:jc w:val="center"/>
            </w:pPr>
            <w:r>
              <w:rPr>
                <w:rFonts w:ascii="Traditional Arabic" w:eastAsia="Traditional Arabic" w:hAnsi="Traditional Arabic" w:cs="Traditional Arabic"/>
                <w:color w:val="000000"/>
                <w:sz w:val="19"/>
                <w:szCs w:val="19"/>
                <w:rtl/>
              </w:rPr>
              <w:t>مثال: 'أسهم تطبيق تقنية الترميز في تقليص عدد حوادث اختراق البيانات.'</w:t>
            </w:r>
          </w:p>
        </w:tc>
        <w:tc>
          <w:tcPr>
            <w:tcW w:w="78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1A" w14:textId="77777777" w:rsidR="002C73CA" w:rsidRDefault="002C73CA" w:rsidP="002C73CA">
            <w:pPr>
              <w:bidi/>
              <w:jc w:val="center"/>
            </w:pPr>
            <w:r>
              <w:rPr>
                <w:rFonts w:ascii="Traditional Arabic" w:eastAsia="Traditional Arabic" w:hAnsi="Traditional Arabic" w:cs="Traditional Arabic"/>
                <w:color w:val="000000"/>
                <w:sz w:val="19"/>
                <w:szCs w:val="19"/>
                <w:rtl/>
              </w:rPr>
              <w:t>إعادة صياغة العبارات السببية في محور الأمن السيبراني</w:t>
            </w:r>
          </w:p>
        </w:tc>
        <w:tc>
          <w:tcPr>
            <w:tcW w:w="945"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1B"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بعض عبارات الأمن السيبراني تفترض علاقة سببية مباشرة — يُفضَّل تحويلها إلى صيغة إدراكية (</w:t>
            </w:r>
            <w:proofErr w:type="spellStart"/>
            <w:r>
              <w:rPr>
                <w:rFonts w:ascii="Traditional Arabic" w:eastAsia="Traditional Arabic" w:hAnsi="Traditional Arabic" w:cs="Traditional Arabic"/>
                <w:b/>
                <w:bCs/>
                <w:color w:val="000000"/>
                <w:sz w:val="19"/>
                <w:szCs w:val="19"/>
                <w:rtl/>
              </w:rPr>
              <w:t>Perception-based</w:t>
            </w:r>
            <w:proofErr w:type="spellEnd"/>
            <w:r>
              <w:rPr>
                <w:rFonts w:ascii="Traditional Arabic" w:eastAsia="Traditional Arabic" w:hAnsi="Traditional Arabic" w:cs="Traditional Arabic"/>
                <w:b/>
                <w:bCs/>
                <w:color w:val="000000"/>
                <w:sz w:val="19"/>
                <w:szCs w:val="19"/>
                <w:rtl/>
              </w:rPr>
              <w:t>)</w:t>
            </w:r>
          </w:p>
        </w:tc>
        <w:tc>
          <w:tcPr>
            <w:tcW w:w="23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1C" w14:textId="77777777" w:rsidR="002C73CA" w:rsidRDefault="002C73CA" w:rsidP="002C73CA">
            <w:pPr>
              <w:jc w:val="center"/>
            </w:pPr>
            <w:r>
              <w:rPr>
                <w:rFonts w:ascii="Arial" w:eastAsia="Arial" w:hAnsi="Arial" w:cs="Arial"/>
                <w:b/>
                <w:bCs/>
                <w:color w:val="1F3864"/>
              </w:rPr>
              <w:t>5</w:t>
            </w:r>
          </w:p>
        </w:tc>
      </w:tr>
      <w:tr w:rsidR="002C73CA" w14:paraId="36C17625"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1F" w14:textId="77777777" w:rsidR="002C73CA" w:rsidRDefault="002C73CA" w:rsidP="002C73CA">
            <w:pPr>
              <w:bidi/>
              <w:jc w:val="center"/>
            </w:pPr>
            <w:r>
              <w:rPr>
                <w:rFonts w:ascii="Traditional Arabic" w:eastAsia="Traditional Arabic" w:hAnsi="Traditional Arabic" w:cs="Traditional Arabic"/>
                <w:color w:val="1F3864"/>
                <w:sz w:val="19"/>
                <w:szCs w:val="19"/>
                <w:rtl/>
              </w:rPr>
              <w:t>ملحق الاستبانة — جدول (3.10)</w:t>
            </w:r>
          </w:p>
        </w:tc>
        <w:tc>
          <w:tcPr>
            <w:tcW w:w="145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20" w14:textId="77777777" w:rsidR="002C73CA" w:rsidRDefault="002C73CA" w:rsidP="002C73CA">
            <w:pPr>
              <w:bidi/>
              <w:jc w:val="center"/>
            </w:pPr>
            <w:r>
              <w:rPr>
                <w:rFonts w:ascii="Traditional Arabic" w:eastAsia="Traditional Arabic" w:hAnsi="Traditional Arabic" w:cs="Traditional Arabic"/>
                <w:color w:val="000000"/>
                <w:sz w:val="19"/>
                <w:szCs w:val="19"/>
                <w:rtl/>
              </w:rPr>
              <w:t>تم استبدال الفقرات المتعلقة بتجربة العملاء بفقرات تشغيلية: سرعة المعالجة، خفض التكاليف، تقليل الأخطاء، الإنتاجية، والتكامل مع الأنظمة الخارجية. مثال: 'يُسهم الترميز في رفع كفاءة تنفيذ المعاملات من حيث السرعة والدقة والإنتاجية التشغيلية.'</w:t>
            </w:r>
          </w:p>
        </w:tc>
        <w:tc>
          <w:tcPr>
            <w:tcW w:w="945" w:type="pct"/>
            <w:tcBorders>
              <w:top w:val="single" w:sz="1" w:space="0" w:color="AAAAAA"/>
              <w:left w:val="single" w:sz="1" w:space="0" w:color="AAAAAA"/>
              <w:bottom w:val="single" w:sz="1" w:space="0" w:color="AAAAAA"/>
              <w:right w:val="single" w:sz="1" w:space="0" w:color="AAAAAA"/>
            </w:tcBorders>
            <w:shd w:val="clear" w:color="auto" w:fill="F9F9F9"/>
            <w:tcMar>
              <w:top w:w="100" w:type="dxa"/>
              <w:left w:w="120" w:type="dxa"/>
              <w:bottom w:w="100" w:type="dxa"/>
              <w:right w:w="120" w:type="dxa"/>
            </w:tcMar>
            <w:vAlign w:val="center"/>
          </w:tcPr>
          <w:p w14:paraId="36C17621" w14:textId="77777777" w:rsidR="002C73CA" w:rsidRDefault="002C73CA" w:rsidP="002C73CA">
            <w:pPr>
              <w:bidi/>
              <w:jc w:val="center"/>
            </w:pPr>
            <w:r>
              <w:rPr>
                <w:rFonts w:ascii="Traditional Arabic" w:eastAsia="Traditional Arabic" w:hAnsi="Traditional Arabic" w:cs="Traditional Arabic"/>
                <w:color w:val="000000"/>
                <w:sz w:val="19"/>
                <w:szCs w:val="19"/>
                <w:rtl/>
              </w:rPr>
              <w:t>مثال: 'حسّن الترميز تجربة العملاء في المعاملات الرقمية.'</w:t>
            </w:r>
          </w:p>
        </w:tc>
        <w:tc>
          <w:tcPr>
            <w:tcW w:w="78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22" w14:textId="77777777" w:rsidR="002C73CA" w:rsidRDefault="002C73CA" w:rsidP="002C73CA">
            <w:pPr>
              <w:bidi/>
              <w:jc w:val="center"/>
            </w:pPr>
            <w:r>
              <w:rPr>
                <w:rFonts w:ascii="Traditional Arabic" w:eastAsia="Traditional Arabic" w:hAnsi="Traditional Arabic" w:cs="Traditional Arabic"/>
                <w:color w:val="000000"/>
                <w:sz w:val="19"/>
                <w:szCs w:val="19"/>
                <w:rtl/>
              </w:rPr>
              <w:t>إعادة صياغة عبارات الكفاءة لتركز على المؤشرات التشغيلية وحذف ما يتعلق بتجربة العملاء</w:t>
            </w:r>
          </w:p>
        </w:tc>
        <w:tc>
          <w:tcPr>
            <w:tcW w:w="945"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23"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خلط بين متغير كفاءة العمليات المالية وتجربة العملاء — عبارات الكفاءة يجب أن تُقاس بالسرعة والتكلفة والدقة والإنتاجية فقط</w:t>
            </w:r>
          </w:p>
        </w:tc>
        <w:tc>
          <w:tcPr>
            <w:tcW w:w="23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24" w14:textId="77777777" w:rsidR="002C73CA" w:rsidRDefault="002C73CA" w:rsidP="002C73CA">
            <w:pPr>
              <w:jc w:val="center"/>
            </w:pPr>
            <w:r>
              <w:rPr>
                <w:rFonts w:ascii="Arial" w:eastAsia="Arial" w:hAnsi="Arial" w:cs="Arial"/>
                <w:b/>
                <w:bCs/>
                <w:color w:val="1F3864"/>
              </w:rPr>
              <w:t>6</w:t>
            </w:r>
          </w:p>
        </w:tc>
      </w:tr>
      <w:tr w:rsidR="002C73CA" w14:paraId="36C1762D"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27" w14:textId="77777777" w:rsidR="002C73CA" w:rsidRDefault="002C73CA" w:rsidP="002C73CA">
            <w:pPr>
              <w:bidi/>
              <w:jc w:val="center"/>
            </w:pPr>
            <w:r>
              <w:rPr>
                <w:rFonts w:ascii="Traditional Arabic" w:eastAsia="Traditional Arabic" w:hAnsi="Traditional Arabic" w:cs="Traditional Arabic"/>
                <w:color w:val="1F3864"/>
                <w:sz w:val="19"/>
                <w:szCs w:val="19"/>
                <w:rtl/>
              </w:rPr>
              <w:t>ملحق الاستبانة — قبل القسم الثاني</w:t>
            </w:r>
          </w:p>
        </w:tc>
        <w:tc>
          <w:tcPr>
            <w:tcW w:w="145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28" w14:textId="77777777" w:rsidR="002C73CA" w:rsidRDefault="002C73CA" w:rsidP="002C73CA">
            <w:pPr>
              <w:bidi/>
              <w:jc w:val="center"/>
            </w:pPr>
            <w:r>
              <w:rPr>
                <w:rFonts w:ascii="Traditional Arabic" w:eastAsia="Traditional Arabic" w:hAnsi="Traditional Arabic" w:cs="Traditional Arabic"/>
                <w:color w:val="000000"/>
                <w:sz w:val="19"/>
                <w:szCs w:val="19"/>
                <w:rtl/>
              </w:rPr>
              <w:t>أُضيف جدول 'تعريفات إجرائية للمصطلحات التقنية' قبل القسم الثاني، يشمل: تقنية الترميز، الترميز في حالة التخزين (</w:t>
            </w:r>
            <w:proofErr w:type="spellStart"/>
            <w:r>
              <w:rPr>
                <w:rFonts w:ascii="Traditional Arabic" w:eastAsia="Traditional Arabic" w:hAnsi="Traditional Arabic" w:cs="Traditional Arabic"/>
                <w:color w:val="000000"/>
                <w:sz w:val="19"/>
                <w:szCs w:val="19"/>
                <w:rtl/>
              </w:rPr>
              <w:t>at</w:t>
            </w:r>
            <w:proofErr w:type="spellEnd"/>
            <w:r>
              <w:rPr>
                <w:rFonts w:ascii="Traditional Arabic" w:eastAsia="Traditional Arabic" w:hAnsi="Traditional Arabic" w:cs="Traditional Arabic"/>
                <w:color w:val="000000"/>
                <w:sz w:val="19"/>
                <w:szCs w:val="19"/>
                <w:rtl/>
              </w:rPr>
              <w:t xml:space="preserve"> </w:t>
            </w:r>
            <w:proofErr w:type="spellStart"/>
            <w:r>
              <w:rPr>
                <w:rFonts w:ascii="Traditional Arabic" w:eastAsia="Traditional Arabic" w:hAnsi="Traditional Arabic" w:cs="Traditional Arabic"/>
                <w:color w:val="000000"/>
                <w:sz w:val="19"/>
                <w:szCs w:val="19"/>
                <w:rtl/>
              </w:rPr>
              <w:t>Rest</w:t>
            </w:r>
            <w:proofErr w:type="spellEnd"/>
            <w:r>
              <w:rPr>
                <w:rFonts w:ascii="Traditional Arabic" w:eastAsia="Traditional Arabic" w:hAnsi="Traditional Arabic" w:cs="Traditional Arabic"/>
                <w:color w:val="000000"/>
                <w:sz w:val="19"/>
                <w:szCs w:val="19"/>
                <w:rtl/>
              </w:rPr>
              <w:t>)، الترميز أثناء النقل (</w:t>
            </w:r>
            <w:proofErr w:type="spellStart"/>
            <w:r>
              <w:rPr>
                <w:rFonts w:ascii="Traditional Arabic" w:eastAsia="Traditional Arabic" w:hAnsi="Traditional Arabic" w:cs="Traditional Arabic"/>
                <w:color w:val="000000"/>
                <w:sz w:val="19"/>
                <w:szCs w:val="19"/>
                <w:rtl/>
              </w:rPr>
              <w:t>in</w:t>
            </w:r>
            <w:proofErr w:type="spellEnd"/>
            <w:r>
              <w:rPr>
                <w:rFonts w:ascii="Traditional Arabic" w:eastAsia="Traditional Arabic" w:hAnsi="Traditional Arabic" w:cs="Traditional Arabic"/>
                <w:color w:val="000000"/>
                <w:sz w:val="19"/>
                <w:szCs w:val="19"/>
                <w:rtl/>
              </w:rPr>
              <w:t xml:space="preserve"> </w:t>
            </w:r>
            <w:proofErr w:type="spellStart"/>
            <w:r>
              <w:rPr>
                <w:rFonts w:ascii="Traditional Arabic" w:eastAsia="Traditional Arabic" w:hAnsi="Traditional Arabic" w:cs="Traditional Arabic"/>
                <w:color w:val="000000"/>
                <w:sz w:val="19"/>
                <w:szCs w:val="19"/>
                <w:rtl/>
              </w:rPr>
              <w:t>Transit</w:t>
            </w:r>
            <w:proofErr w:type="spellEnd"/>
            <w:r>
              <w:rPr>
                <w:rFonts w:ascii="Traditional Arabic" w:eastAsia="Traditional Arabic" w:hAnsi="Traditional Arabic" w:cs="Traditional Arabic"/>
                <w:color w:val="000000"/>
                <w:sz w:val="19"/>
                <w:szCs w:val="19"/>
                <w:rtl/>
              </w:rPr>
              <w:t>)، معيار PCI DSS، والضوابط الأساسية للأمن السيبراني (ECC).</w:t>
            </w:r>
          </w:p>
        </w:tc>
        <w:tc>
          <w:tcPr>
            <w:tcW w:w="945" w:type="pct"/>
            <w:tcBorders>
              <w:top w:val="single" w:sz="1" w:space="0" w:color="AAAAAA"/>
              <w:left w:val="single" w:sz="1" w:space="0" w:color="AAAAAA"/>
              <w:bottom w:val="single" w:sz="1" w:space="0" w:color="AAAAAA"/>
              <w:right w:val="single" w:sz="1" w:space="0" w:color="AAAAAA"/>
            </w:tcBorders>
            <w:shd w:val="clear" w:color="auto" w:fill="EEF4FF"/>
            <w:tcMar>
              <w:top w:w="100" w:type="dxa"/>
              <w:left w:w="120" w:type="dxa"/>
              <w:bottom w:w="100" w:type="dxa"/>
              <w:right w:w="120" w:type="dxa"/>
            </w:tcMar>
            <w:vAlign w:val="center"/>
          </w:tcPr>
          <w:p w14:paraId="36C17629" w14:textId="77777777" w:rsidR="002C73CA" w:rsidRDefault="002C73CA" w:rsidP="002C73CA">
            <w:pPr>
              <w:bidi/>
              <w:jc w:val="center"/>
            </w:pPr>
            <w:r>
              <w:rPr>
                <w:rFonts w:ascii="Traditional Arabic" w:eastAsia="Traditional Arabic" w:hAnsi="Traditional Arabic" w:cs="Traditional Arabic"/>
                <w:color w:val="000000"/>
                <w:sz w:val="19"/>
                <w:szCs w:val="19"/>
                <w:rtl/>
              </w:rPr>
              <w:t>لم تُعرَّف المصطلحات التقنية داخل الاستبانة.</w:t>
            </w:r>
          </w:p>
        </w:tc>
        <w:tc>
          <w:tcPr>
            <w:tcW w:w="78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2A" w14:textId="77777777" w:rsidR="002C73CA" w:rsidRDefault="002C73CA" w:rsidP="002C73CA">
            <w:pPr>
              <w:bidi/>
              <w:jc w:val="center"/>
            </w:pPr>
            <w:r>
              <w:rPr>
                <w:rFonts w:ascii="Traditional Arabic" w:eastAsia="Traditional Arabic" w:hAnsi="Traditional Arabic" w:cs="Traditional Arabic"/>
                <w:color w:val="000000"/>
                <w:sz w:val="19"/>
                <w:szCs w:val="19"/>
                <w:rtl/>
              </w:rPr>
              <w:t>إضافة تعريف مختصر لهذه المصطلحات قبل القسم الثاني من الاستبانة</w:t>
            </w:r>
          </w:p>
        </w:tc>
        <w:tc>
          <w:tcPr>
            <w:tcW w:w="945"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2B"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وجود مصطلحات تقنية قد لا تكون واضحة للمشاركين (</w:t>
            </w:r>
            <w:proofErr w:type="spellStart"/>
            <w:r>
              <w:rPr>
                <w:rFonts w:ascii="Traditional Arabic" w:eastAsia="Traditional Arabic" w:hAnsi="Traditional Arabic" w:cs="Traditional Arabic"/>
                <w:b/>
                <w:bCs/>
                <w:color w:val="000000"/>
                <w:sz w:val="19"/>
                <w:szCs w:val="19"/>
                <w:rtl/>
              </w:rPr>
              <w:t>Tokenization</w:t>
            </w:r>
            <w:proofErr w:type="spellEnd"/>
            <w:r>
              <w:rPr>
                <w:rFonts w:ascii="Traditional Arabic" w:eastAsia="Traditional Arabic" w:hAnsi="Traditional Arabic" w:cs="Traditional Arabic"/>
                <w:b/>
                <w:bCs/>
                <w:color w:val="000000"/>
                <w:sz w:val="19"/>
                <w:szCs w:val="19"/>
                <w:rtl/>
              </w:rPr>
              <w:t xml:space="preserve"> </w:t>
            </w:r>
            <w:proofErr w:type="spellStart"/>
            <w:r>
              <w:rPr>
                <w:rFonts w:ascii="Traditional Arabic" w:eastAsia="Traditional Arabic" w:hAnsi="Traditional Arabic" w:cs="Traditional Arabic"/>
                <w:b/>
                <w:bCs/>
                <w:color w:val="000000"/>
                <w:sz w:val="19"/>
                <w:szCs w:val="19"/>
                <w:rtl/>
              </w:rPr>
              <w:t>at</w:t>
            </w:r>
            <w:proofErr w:type="spellEnd"/>
            <w:r>
              <w:rPr>
                <w:rFonts w:ascii="Traditional Arabic" w:eastAsia="Traditional Arabic" w:hAnsi="Traditional Arabic" w:cs="Traditional Arabic"/>
                <w:b/>
                <w:bCs/>
                <w:color w:val="000000"/>
                <w:sz w:val="19"/>
                <w:szCs w:val="19"/>
                <w:rtl/>
              </w:rPr>
              <w:t xml:space="preserve"> </w:t>
            </w:r>
            <w:proofErr w:type="spellStart"/>
            <w:r>
              <w:rPr>
                <w:rFonts w:ascii="Traditional Arabic" w:eastAsia="Traditional Arabic" w:hAnsi="Traditional Arabic" w:cs="Traditional Arabic"/>
                <w:b/>
                <w:bCs/>
                <w:color w:val="000000"/>
                <w:sz w:val="19"/>
                <w:szCs w:val="19"/>
                <w:rtl/>
              </w:rPr>
              <w:t>Rest</w:t>
            </w:r>
            <w:proofErr w:type="spellEnd"/>
            <w:r>
              <w:rPr>
                <w:rFonts w:ascii="Traditional Arabic" w:eastAsia="Traditional Arabic" w:hAnsi="Traditional Arabic" w:cs="Traditional Arabic"/>
                <w:b/>
                <w:bCs/>
                <w:color w:val="000000"/>
                <w:sz w:val="19"/>
                <w:szCs w:val="19"/>
                <w:rtl/>
              </w:rPr>
              <w:t xml:space="preserve">, </w:t>
            </w:r>
            <w:proofErr w:type="spellStart"/>
            <w:r>
              <w:rPr>
                <w:rFonts w:ascii="Traditional Arabic" w:eastAsia="Traditional Arabic" w:hAnsi="Traditional Arabic" w:cs="Traditional Arabic"/>
                <w:b/>
                <w:bCs/>
                <w:color w:val="000000"/>
                <w:sz w:val="19"/>
                <w:szCs w:val="19"/>
                <w:rtl/>
              </w:rPr>
              <w:t>Tokenization</w:t>
            </w:r>
            <w:proofErr w:type="spellEnd"/>
            <w:r>
              <w:rPr>
                <w:rFonts w:ascii="Traditional Arabic" w:eastAsia="Traditional Arabic" w:hAnsi="Traditional Arabic" w:cs="Traditional Arabic"/>
                <w:b/>
                <w:bCs/>
                <w:color w:val="000000"/>
                <w:sz w:val="19"/>
                <w:szCs w:val="19"/>
                <w:rtl/>
              </w:rPr>
              <w:t xml:space="preserve"> </w:t>
            </w:r>
            <w:proofErr w:type="spellStart"/>
            <w:r>
              <w:rPr>
                <w:rFonts w:ascii="Traditional Arabic" w:eastAsia="Traditional Arabic" w:hAnsi="Traditional Arabic" w:cs="Traditional Arabic"/>
                <w:b/>
                <w:bCs/>
                <w:color w:val="000000"/>
                <w:sz w:val="19"/>
                <w:szCs w:val="19"/>
                <w:rtl/>
              </w:rPr>
              <w:t>in</w:t>
            </w:r>
            <w:proofErr w:type="spellEnd"/>
            <w:r>
              <w:rPr>
                <w:rFonts w:ascii="Traditional Arabic" w:eastAsia="Traditional Arabic" w:hAnsi="Traditional Arabic" w:cs="Traditional Arabic"/>
                <w:b/>
                <w:bCs/>
                <w:color w:val="000000"/>
                <w:sz w:val="19"/>
                <w:szCs w:val="19"/>
                <w:rtl/>
              </w:rPr>
              <w:t xml:space="preserve"> </w:t>
            </w:r>
            <w:proofErr w:type="spellStart"/>
            <w:r>
              <w:rPr>
                <w:rFonts w:ascii="Traditional Arabic" w:eastAsia="Traditional Arabic" w:hAnsi="Traditional Arabic" w:cs="Traditional Arabic"/>
                <w:b/>
                <w:bCs/>
                <w:color w:val="000000"/>
                <w:sz w:val="19"/>
                <w:szCs w:val="19"/>
                <w:rtl/>
              </w:rPr>
              <w:t>Transit</w:t>
            </w:r>
            <w:proofErr w:type="spellEnd"/>
            <w:r>
              <w:rPr>
                <w:rFonts w:ascii="Traditional Arabic" w:eastAsia="Traditional Arabic" w:hAnsi="Traditional Arabic" w:cs="Traditional Arabic"/>
                <w:b/>
                <w:bCs/>
                <w:color w:val="000000"/>
                <w:sz w:val="19"/>
                <w:szCs w:val="19"/>
                <w:rtl/>
              </w:rPr>
              <w:t>, PCI DSS, ECC)</w:t>
            </w:r>
          </w:p>
        </w:tc>
        <w:tc>
          <w:tcPr>
            <w:tcW w:w="23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2C" w14:textId="77777777" w:rsidR="002C73CA" w:rsidRDefault="002C73CA" w:rsidP="002C73CA">
            <w:pPr>
              <w:jc w:val="center"/>
            </w:pPr>
            <w:r>
              <w:rPr>
                <w:rFonts w:ascii="Arial" w:eastAsia="Arial" w:hAnsi="Arial" w:cs="Arial"/>
                <w:b/>
                <w:bCs/>
                <w:color w:val="1F3864"/>
              </w:rPr>
              <w:t>7</w:t>
            </w:r>
          </w:p>
        </w:tc>
      </w:tr>
      <w:tr w:rsidR="002C73CA" w14:paraId="36C17635"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2F" w14:textId="77777777" w:rsidR="002C73CA" w:rsidRDefault="002C73CA" w:rsidP="002C73CA">
            <w:pPr>
              <w:bidi/>
              <w:jc w:val="center"/>
            </w:pPr>
            <w:r>
              <w:rPr>
                <w:rFonts w:ascii="Traditional Arabic" w:eastAsia="Traditional Arabic" w:hAnsi="Traditional Arabic" w:cs="Traditional Arabic"/>
                <w:color w:val="1F3864"/>
                <w:sz w:val="19"/>
                <w:szCs w:val="19"/>
                <w:rtl/>
              </w:rPr>
              <w:t>ملحق الاستبانة — جداول (3.9) و(3.10)</w:t>
            </w:r>
          </w:p>
        </w:tc>
        <w:tc>
          <w:tcPr>
            <w:tcW w:w="145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30" w14:textId="77777777" w:rsidR="002C73CA" w:rsidRDefault="002C73CA" w:rsidP="002C73CA">
            <w:pPr>
              <w:bidi/>
              <w:jc w:val="center"/>
            </w:pPr>
            <w:r>
              <w:rPr>
                <w:rFonts w:ascii="Traditional Arabic" w:eastAsia="Traditional Arabic" w:hAnsi="Traditional Arabic" w:cs="Traditional Arabic"/>
                <w:color w:val="000000"/>
                <w:sz w:val="19"/>
                <w:szCs w:val="19"/>
                <w:rtl/>
              </w:rPr>
              <w:t>(1) → 'يسهم تطبيق الترميز في تحقيق متطلبات الضوابط الأساسية للأمن السيبراني' (2) → 'يسهم الترميز في تسريع الاستجابة للحوادث السيبرانية' (3) → 'يسهم الترميز في تحقيق تكامل أكثر سلاسة مع الأنظمة المالية الخارجية'</w:t>
            </w:r>
          </w:p>
        </w:tc>
        <w:tc>
          <w:tcPr>
            <w:tcW w:w="945" w:type="pct"/>
            <w:tcBorders>
              <w:top w:val="single" w:sz="1" w:space="0" w:color="AAAAAA"/>
              <w:left w:val="single" w:sz="1" w:space="0" w:color="AAAAAA"/>
              <w:bottom w:val="single" w:sz="1" w:space="0" w:color="AAAAAA"/>
              <w:right w:val="single" w:sz="1" w:space="0" w:color="AAAAAA"/>
            </w:tcBorders>
            <w:shd w:val="clear" w:color="auto" w:fill="F9F9F9"/>
            <w:tcMar>
              <w:top w:w="100" w:type="dxa"/>
              <w:left w:w="120" w:type="dxa"/>
              <w:bottom w:w="100" w:type="dxa"/>
              <w:right w:w="120" w:type="dxa"/>
            </w:tcMar>
            <w:vAlign w:val="center"/>
          </w:tcPr>
          <w:p w14:paraId="36C17631" w14:textId="77777777" w:rsidR="002C73CA" w:rsidRDefault="002C73CA" w:rsidP="002C73CA">
            <w:pPr>
              <w:bidi/>
              <w:jc w:val="center"/>
            </w:pPr>
            <w:r>
              <w:rPr>
                <w:rFonts w:ascii="Traditional Arabic" w:eastAsia="Traditional Arabic" w:hAnsi="Traditional Arabic" w:cs="Traditional Arabic"/>
                <w:color w:val="000000"/>
                <w:sz w:val="19"/>
                <w:szCs w:val="19"/>
                <w:rtl/>
              </w:rPr>
              <w:t>(1) 'يسهم الترميز في استيفاء متطلبات...' (2) 'يسرّع الترميز عملية الاستجابة...' (3) 'يتيح الترميز تكاملاً أكثر سلاسة'</w:t>
            </w:r>
          </w:p>
        </w:tc>
        <w:tc>
          <w:tcPr>
            <w:tcW w:w="78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32" w14:textId="77777777" w:rsidR="002C73CA" w:rsidRDefault="002C73CA" w:rsidP="002C73CA">
            <w:pPr>
              <w:bidi/>
              <w:jc w:val="center"/>
            </w:pPr>
            <w:r>
              <w:rPr>
                <w:rFonts w:ascii="Traditional Arabic" w:eastAsia="Traditional Arabic" w:hAnsi="Traditional Arabic" w:cs="Traditional Arabic"/>
                <w:color w:val="000000"/>
                <w:sz w:val="19"/>
                <w:szCs w:val="19"/>
                <w:rtl/>
              </w:rPr>
              <w:t>تعديل الصياغة وفق المقترحات المحددة في وثيقة الملاحظات</w:t>
            </w:r>
          </w:p>
        </w:tc>
        <w:tc>
          <w:tcPr>
            <w:tcW w:w="945"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33"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ملاحظات لغوية: ثلاث عبارات تحتاج تحسيناً في الصياغة</w:t>
            </w:r>
          </w:p>
        </w:tc>
        <w:tc>
          <w:tcPr>
            <w:tcW w:w="23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34" w14:textId="77777777" w:rsidR="002C73CA" w:rsidRDefault="002C73CA" w:rsidP="002C73CA">
            <w:pPr>
              <w:jc w:val="center"/>
            </w:pPr>
            <w:r>
              <w:rPr>
                <w:rFonts w:ascii="Arial" w:eastAsia="Arial" w:hAnsi="Arial" w:cs="Arial"/>
                <w:b/>
                <w:bCs/>
                <w:color w:val="1F3864"/>
              </w:rPr>
              <w:t>8</w:t>
            </w:r>
          </w:p>
        </w:tc>
      </w:tr>
      <w:tr w:rsidR="002C73CA" w14:paraId="36C1763D"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37" w14:textId="77777777" w:rsidR="002C73CA" w:rsidRDefault="002C73CA" w:rsidP="002C73CA">
            <w:pPr>
              <w:bidi/>
              <w:jc w:val="center"/>
            </w:pPr>
            <w:r>
              <w:rPr>
                <w:rFonts w:ascii="Traditional Arabic" w:eastAsia="Traditional Arabic" w:hAnsi="Traditional Arabic" w:cs="Traditional Arabic"/>
                <w:color w:val="1F3864"/>
                <w:sz w:val="19"/>
                <w:szCs w:val="19"/>
                <w:rtl/>
              </w:rPr>
              <w:t>ملحق الاستبانة — جميع الأقسام</w:t>
            </w:r>
          </w:p>
        </w:tc>
        <w:tc>
          <w:tcPr>
            <w:tcW w:w="145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38" w14:textId="77777777" w:rsidR="002C73CA" w:rsidRDefault="002C73CA" w:rsidP="002C73CA">
            <w:pPr>
              <w:bidi/>
              <w:jc w:val="center"/>
            </w:pPr>
            <w:r>
              <w:rPr>
                <w:rFonts w:ascii="Traditional Arabic" w:eastAsia="Traditional Arabic" w:hAnsi="Traditional Arabic" w:cs="Traditional Arabic"/>
                <w:color w:val="000000"/>
                <w:sz w:val="19"/>
                <w:szCs w:val="19"/>
                <w:rtl/>
              </w:rPr>
              <w:t xml:space="preserve">حُذفت جميع مراجع الجداول (3.6 إلى 3.12) من نموذج الاستبانة كلياً، واستُبدلت بعناوين وصفية فقط كـ 'مقياس </w:t>
            </w:r>
            <w:proofErr w:type="spellStart"/>
            <w:r>
              <w:rPr>
                <w:rFonts w:ascii="Traditional Arabic" w:eastAsia="Traditional Arabic" w:hAnsi="Traditional Arabic" w:cs="Traditional Arabic"/>
                <w:color w:val="000000"/>
                <w:sz w:val="19"/>
                <w:szCs w:val="19"/>
                <w:rtl/>
              </w:rPr>
              <w:t>ليكرت</w:t>
            </w:r>
            <w:proofErr w:type="spellEnd"/>
            <w:r>
              <w:rPr>
                <w:rFonts w:ascii="Traditional Arabic" w:eastAsia="Traditional Arabic" w:hAnsi="Traditional Arabic" w:cs="Traditional Arabic"/>
                <w:color w:val="000000"/>
                <w:sz w:val="19"/>
                <w:szCs w:val="19"/>
                <w:rtl/>
              </w:rPr>
              <w:t xml:space="preserve"> الخماسي المستخدم'.</w:t>
            </w:r>
          </w:p>
        </w:tc>
        <w:tc>
          <w:tcPr>
            <w:tcW w:w="945" w:type="pct"/>
            <w:tcBorders>
              <w:top w:val="single" w:sz="1" w:space="0" w:color="AAAAAA"/>
              <w:left w:val="single" w:sz="1" w:space="0" w:color="AAAAAA"/>
              <w:bottom w:val="single" w:sz="1" w:space="0" w:color="AAAAAA"/>
              <w:right w:val="single" w:sz="1" w:space="0" w:color="AAAAAA"/>
            </w:tcBorders>
            <w:shd w:val="clear" w:color="auto" w:fill="EEF4FF"/>
            <w:tcMar>
              <w:top w:w="100" w:type="dxa"/>
              <w:left w:w="120" w:type="dxa"/>
              <w:bottom w:w="100" w:type="dxa"/>
              <w:right w:w="120" w:type="dxa"/>
            </w:tcMar>
            <w:vAlign w:val="center"/>
          </w:tcPr>
          <w:p w14:paraId="36C17639" w14:textId="77777777" w:rsidR="002C73CA" w:rsidRDefault="002C73CA" w:rsidP="002C73CA">
            <w:pPr>
              <w:bidi/>
              <w:jc w:val="center"/>
            </w:pPr>
            <w:r>
              <w:rPr>
                <w:rFonts w:ascii="Traditional Arabic" w:eastAsia="Traditional Arabic" w:hAnsi="Traditional Arabic" w:cs="Traditional Arabic"/>
                <w:color w:val="000000"/>
                <w:sz w:val="19"/>
                <w:szCs w:val="19"/>
                <w:rtl/>
              </w:rPr>
              <w:t>كانت بعض الجداول داخل الاستبانة تحمل ترقيماً: جدول (3.6)، جدول (3.7)، إلخ.</w:t>
            </w:r>
          </w:p>
        </w:tc>
        <w:tc>
          <w:tcPr>
            <w:tcW w:w="78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3A" w14:textId="77777777" w:rsidR="002C73CA" w:rsidRDefault="002C73CA" w:rsidP="002C73CA">
            <w:pPr>
              <w:bidi/>
              <w:jc w:val="center"/>
            </w:pPr>
            <w:r>
              <w:rPr>
                <w:rFonts w:ascii="Traditional Arabic" w:eastAsia="Traditional Arabic" w:hAnsi="Traditional Arabic" w:cs="Traditional Arabic"/>
                <w:color w:val="000000"/>
                <w:sz w:val="19"/>
                <w:szCs w:val="19"/>
                <w:rtl/>
              </w:rPr>
              <w:t>حذف أرقام الجداول من نموذج الاستبانة — تبقى في متن الفصل فقط</w:t>
            </w:r>
          </w:p>
        </w:tc>
        <w:tc>
          <w:tcPr>
            <w:tcW w:w="945"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3B"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عدم وضع ترقيم الجداول داخل نموذج الاستبانة (جدول 3.6، جدول 3.7، إلخ)</w:t>
            </w:r>
          </w:p>
        </w:tc>
        <w:tc>
          <w:tcPr>
            <w:tcW w:w="23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3C" w14:textId="77777777" w:rsidR="002C73CA" w:rsidRDefault="002C73CA" w:rsidP="002C73CA">
            <w:pPr>
              <w:jc w:val="center"/>
            </w:pPr>
            <w:r>
              <w:rPr>
                <w:rFonts w:ascii="Arial" w:eastAsia="Arial" w:hAnsi="Arial" w:cs="Arial"/>
                <w:b/>
                <w:bCs/>
                <w:color w:val="1F3864"/>
              </w:rPr>
              <w:t>9</w:t>
            </w:r>
          </w:p>
        </w:tc>
      </w:tr>
      <w:tr w:rsidR="002C73CA" w14:paraId="36C17645"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3F" w14:textId="77777777" w:rsidR="002C73CA" w:rsidRDefault="002C73CA" w:rsidP="002C73CA">
            <w:pPr>
              <w:bidi/>
              <w:jc w:val="center"/>
            </w:pPr>
            <w:r>
              <w:rPr>
                <w:rFonts w:ascii="Traditional Arabic" w:eastAsia="Traditional Arabic" w:hAnsi="Traditional Arabic" w:cs="Traditional Arabic"/>
                <w:color w:val="1F3864"/>
                <w:sz w:val="19"/>
                <w:szCs w:val="19"/>
                <w:rtl/>
              </w:rPr>
              <w:lastRenderedPageBreak/>
              <w:t>3.5.1 و3.6.2 و3.7</w:t>
            </w:r>
          </w:p>
        </w:tc>
        <w:tc>
          <w:tcPr>
            <w:tcW w:w="145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40" w14:textId="77777777" w:rsidR="002C73CA" w:rsidRDefault="002C73CA" w:rsidP="002C73CA">
            <w:pPr>
              <w:bidi/>
              <w:jc w:val="center"/>
            </w:pPr>
            <w:r>
              <w:rPr>
                <w:rFonts w:ascii="Traditional Arabic" w:eastAsia="Traditional Arabic" w:hAnsi="Traditional Arabic" w:cs="Traditional Arabic"/>
                <w:color w:val="000000"/>
                <w:sz w:val="19"/>
                <w:szCs w:val="19"/>
                <w:rtl/>
              </w:rPr>
              <w:t>أُضيف توثيق المصادر في 3.5.1 + وُسِّع قسم 3.6.2 بمعيار (r &gt; 0.30 عند p &lt; 0.05) + وُسِّع قسم 3.7 بقيم القبول (≥ 0.70 مقبول، &gt; 0.80 ممتاز).</w:t>
            </w:r>
          </w:p>
        </w:tc>
        <w:tc>
          <w:tcPr>
            <w:tcW w:w="945" w:type="pct"/>
            <w:tcBorders>
              <w:top w:val="single" w:sz="1" w:space="0" w:color="AAAAAA"/>
              <w:left w:val="single" w:sz="1" w:space="0" w:color="AAAAAA"/>
              <w:bottom w:val="single" w:sz="1" w:space="0" w:color="AAAAAA"/>
              <w:right w:val="single" w:sz="1" w:space="0" w:color="AAAAAA"/>
            </w:tcBorders>
            <w:shd w:val="clear" w:color="auto" w:fill="F9F9F9"/>
            <w:tcMar>
              <w:top w:w="100" w:type="dxa"/>
              <w:left w:w="120" w:type="dxa"/>
              <w:bottom w:w="100" w:type="dxa"/>
              <w:right w:w="120" w:type="dxa"/>
            </w:tcMar>
            <w:vAlign w:val="center"/>
          </w:tcPr>
          <w:p w14:paraId="36C17641" w14:textId="77777777" w:rsidR="002C73CA" w:rsidRDefault="002C73CA" w:rsidP="002C73CA">
            <w:pPr>
              <w:bidi/>
              <w:jc w:val="center"/>
            </w:pPr>
            <w:r>
              <w:rPr>
                <w:rFonts w:ascii="Traditional Arabic" w:eastAsia="Traditional Arabic" w:hAnsi="Traditional Arabic" w:cs="Traditional Arabic"/>
                <w:color w:val="000000"/>
                <w:sz w:val="19"/>
                <w:szCs w:val="19"/>
                <w:rtl/>
              </w:rPr>
              <w:t>لم يُعرض توثيق تفصيلي لمصادر بناء العبارات ومعايير الصدق والثبات.</w:t>
            </w:r>
          </w:p>
        </w:tc>
        <w:tc>
          <w:tcPr>
            <w:tcW w:w="78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42" w14:textId="77777777" w:rsidR="002C73CA" w:rsidRDefault="002C73CA" w:rsidP="002C73CA">
            <w:pPr>
              <w:bidi/>
              <w:jc w:val="center"/>
            </w:pPr>
            <w:r>
              <w:rPr>
                <w:rFonts w:ascii="Traditional Arabic" w:eastAsia="Traditional Arabic" w:hAnsi="Traditional Arabic" w:cs="Traditional Arabic"/>
                <w:color w:val="000000"/>
                <w:sz w:val="19"/>
                <w:szCs w:val="19"/>
                <w:rtl/>
              </w:rPr>
              <w:t>توثيق مصادر العبارات وإجراءات الصدق والثبات بشكل صريح في متن الفصل</w:t>
            </w:r>
          </w:p>
        </w:tc>
        <w:tc>
          <w:tcPr>
            <w:tcW w:w="945"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43"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يجب ذكر مصدر بناء العبارات ودراسات سابقة استخدمت المقاييس، واختبار الصدق والثبات في الفصل الثالث</w:t>
            </w:r>
          </w:p>
        </w:tc>
        <w:tc>
          <w:tcPr>
            <w:tcW w:w="23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44" w14:textId="77777777" w:rsidR="002C73CA" w:rsidRDefault="002C73CA" w:rsidP="002C73CA">
            <w:pPr>
              <w:jc w:val="center"/>
            </w:pPr>
            <w:r>
              <w:rPr>
                <w:rFonts w:ascii="Arial" w:eastAsia="Arial" w:hAnsi="Arial" w:cs="Arial"/>
                <w:b/>
                <w:bCs/>
                <w:color w:val="1F3864"/>
              </w:rPr>
              <w:t>10</w:t>
            </w:r>
          </w:p>
        </w:tc>
      </w:tr>
      <w:tr w:rsidR="002C73CA" w14:paraId="36C1764D"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47" w14:textId="77777777" w:rsidR="002C73CA" w:rsidRDefault="002C73CA" w:rsidP="002C73CA">
            <w:pPr>
              <w:bidi/>
              <w:jc w:val="center"/>
            </w:pPr>
            <w:r>
              <w:rPr>
                <w:rFonts w:ascii="Traditional Arabic" w:eastAsia="Traditional Arabic" w:hAnsi="Traditional Arabic" w:cs="Traditional Arabic"/>
                <w:color w:val="1F3864"/>
                <w:sz w:val="19"/>
                <w:szCs w:val="19"/>
                <w:rtl/>
              </w:rPr>
              <w:t>3.6.3 قسم جديد</w:t>
            </w:r>
          </w:p>
        </w:tc>
        <w:tc>
          <w:tcPr>
            <w:tcW w:w="145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48" w14:textId="77777777" w:rsidR="002C73CA" w:rsidRDefault="002C73CA" w:rsidP="002C73CA">
            <w:pPr>
              <w:bidi/>
              <w:jc w:val="center"/>
            </w:pPr>
            <w:r>
              <w:rPr>
                <w:rFonts w:ascii="Traditional Arabic" w:eastAsia="Traditional Arabic" w:hAnsi="Traditional Arabic" w:cs="Traditional Arabic"/>
                <w:color w:val="000000"/>
                <w:sz w:val="19"/>
                <w:szCs w:val="19"/>
                <w:rtl/>
              </w:rPr>
              <w:t xml:space="preserve">أُضيف القسم (3.6.3) يتضمن: المحكّمون وتخصصاتهم من جامعة </w:t>
            </w:r>
            <w:proofErr w:type="spellStart"/>
            <w:r>
              <w:rPr>
                <w:rFonts w:ascii="Traditional Arabic" w:eastAsia="Traditional Arabic" w:hAnsi="Traditional Arabic" w:cs="Traditional Arabic"/>
                <w:color w:val="000000"/>
                <w:sz w:val="19"/>
                <w:szCs w:val="19"/>
                <w:rtl/>
              </w:rPr>
              <w:t>Midocean</w:t>
            </w:r>
            <w:proofErr w:type="spellEnd"/>
            <w:r>
              <w:rPr>
                <w:rFonts w:ascii="Traditional Arabic" w:eastAsia="Traditional Arabic" w:hAnsi="Traditional Arabic" w:cs="Traditional Arabic"/>
                <w:color w:val="000000"/>
                <w:sz w:val="19"/>
                <w:szCs w:val="19"/>
                <w:rtl/>
              </w:rPr>
              <w:t>، إجراءات التحكيم، معيار القبول (موافقة ≥ 80%)، وجدول يلخص الملاحظات والإجراءات المتخذة حيالها.</w:t>
            </w:r>
          </w:p>
        </w:tc>
        <w:tc>
          <w:tcPr>
            <w:tcW w:w="945" w:type="pct"/>
            <w:tcBorders>
              <w:top w:val="single" w:sz="1" w:space="0" w:color="AAAAAA"/>
              <w:left w:val="single" w:sz="1" w:space="0" w:color="AAAAAA"/>
              <w:bottom w:val="single" w:sz="1" w:space="0" w:color="AAAAAA"/>
              <w:right w:val="single" w:sz="1" w:space="0" w:color="AAAAAA"/>
            </w:tcBorders>
            <w:shd w:val="clear" w:color="auto" w:fill="EEF4FF"/>
            <w:tcMar>
              <w:top w:w="100" w:type="dxa"/>
              <w:left w:w="120" w:type="dxa"/>
              <w:bottom w:w="100" w:type="dxa"/>
              <w:right w:w="120" w:type="dxa"/>
            </w:tcMar>
            <w:vAlign w:val="center"/>
          </w:tcPr>
          <w:p w14:paraId="36C17649" w14:textId="77777777" w:rsidR="002C73CA" w:rsidRDefault="002C73CA" w:rsidP="002C73CA">
            <w:pPr>
              <w:bidi/>
              <w:jc w:val="center"/>
            </w:pPr>
            <w:r>
              <w:rPr>
                <w:rFonts w:ascii="Traditional Arabic" w:eastAsia="Traditional Arabic" w:hAnsi="Traditional Arabic" w:cs="Traditional Arabic"/>
                <w:color w:val="000000"/>
                <w:sz w:val="19"/>
                <w:szCs w:val="19"/>
                <w:rtl/>
              </w:rPr>
              <w:t>لم يكن هناك قسم مفصّل يصف عملية التحكيم وإجراءاته.</w:t>
            </w:r>
          </w:p>
        </w:tc>
        <w:tc>
          <w:tcPr>
            <w:tcW w:w="78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4A" w14:textId="77777777" w:rsidR="002C73CA" w:rsidRDefault="002C73CA" w:rsidP="002C73CA">
            <w:pPr>
              <w:bidi/>
              <w:jc w:val="center"/>
            </w:pPr>
            <w:r>
              <w:rPr>
                <w:rFonts w:ascii="Traditional Arabic" w:eastAsia="Traditional Arabic" w:hAnsi="Traditional Arabic" w:cs="Traditional Arabic"/>
                <w:color w:val="000000"/>
                <w:sz w:val="19"/>
                <w:szCs w:val="19"/>
                <w:rtl/>
              </w:rPr>
              <w:t>إضافة قسم مستقل لإجراءات التحكيم وصدق المحتوى</w:t>
            </w:r>
          </w:p>
        </w:tc>
        <w:tc>
          <w:tcPr>
            <w:tcW w:w="945"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4B"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تحكيم أدوات الدراسة: إضافة قسم يوضح عملية التحكيم (عدد المحكّمين، تخصصاتهم، ملخص تعليقاتهم، الإجراءات المتخذة) لإثبات صدق المحتوى (</w:t>
            </w:r>
            <w:proofErr w:type="spellStart"/>
            <w:r>
              <w:rPr>
                <w:rFonts w:ascii="Traditional Arabic" w:eastAsia="Traditional Arabic" w:hAnsi="Traditional Arabic" w:cs="Traditional Arabic"/>
                <w:b/>
                <w:bCs/>
                <w:color w:val="000000"/>
                <w:sz w:val="19"/>
                <w:szCs w:val="19"/>
                <w:rtl/>
              </w:rPr>
              <w:t>Content</w:t>
            </w:r>
            <w:proofErr w:type="spellEnd"/>
            <w:r>
              <w:rPr>
                <w:rFonts w:ascii="Traditional Arabic" w:eastAsia="Traditional Arabic" w:hAnsi="Traditional Arabic" w:cs="Traditional Arabic"/>
                <w:b/>
                <w:bCs/>
                <w:color w:val="000000"/>
                <w:sz w:val="19"/>
                <w:szCs w:val="19"/>
                <w:rtl/>
              </w:rPr>
              <w:t xml:space="preserve"> </w:t>
            </w:r>
            <w:proofErr w:type="spellStart"/>
            <w:r>
              <w:rPr>
                <w:rFonts w:ascii="Traditional Arabic" w:eastAsia="Traditional Arabic" w:hAnsi="Traditional Arabic" w:cs="Traditional Arabic"/>
                <w:b/>
                <w:bCs/>
                <w:color w:val="000000"/>
                <w:sz w:val="19"/>
                <w:szCs w:val="19"/>
                <w:rtl/>
              </w:rPr>
              <w:t>Validity</w:t>
            </w:r>
            <w:proofErr w:type="spellEnd"/>
            <w:r>
              <w:rPr>
                <w:rFonts w:ascii="Traditional Arabic" w:eastAsia="Traditional Arabic" w:hAnsi="Traditional Arabic" w:cs="Traditional Arabic"/>
                <w:b/>
                <w:bCs/>
                <w:color w:val="000000"/>
                <w:sz w:val="19"/>
                <w:szCs w:val="19"/>
                <w:rtl/>
              </w:rPr>
              <w:t>)</w:t>
            </w:r>
          </w:p>
        </w:tc>
        <w:tc>
          <w:tcPr>
            <w:tcW w:w="23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4C" w14:textId="77777777" w:rsidR="002C73CA" w:rsidRDefault="002C73CA" w:rsidP="002C73CA">
            <w:pPr>
              <w:jc w:val="center"/>
            </w:pPr>
            <w:r>
              <w:rPr>
                <w:rFonts w:ascii="Arial" w:eastAsia="Arial" w:hAnsi="Arial" w:cs="Arial"/>
                <w:b/>
                <w:bCs/>
                <w:color w:val="1F3864"/>
              </w:rPr>
              <w:t>11</w:t>
            </w:r>
          </w:p>
        </w:tc>
      </w:tr>
      <w:tr w:rsidR="002C73CA" w14:paraId="36C17655"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4F" w14:textId="77777777" w:rsidR="002C73CA" w:rsidRDefault="002C73CA" w:rsidP="002C73CA">
            <w:pPr>
              <w:bidi/>
              <w:jc w:val="center"/>
            </w:pPr>
            <w:r>
              <w:rPr>
                <w:rFonts w:ascii="Traditional Arabic" w:eastAsia="Traditional Arabic" w:hAnsi="Traditional Arabic" w:cs="Traditional Arabic"/>
                <w:color w:val="1F3864"/>
                <w:sz w:val="19"/>
                <w:szCs w:val="19"/>
                <w:rtl/>
              </w:rPr>
              <w:t>3.6.2 صدق الاتساق الداخلي</w:t>
            </w:r>
          </w:p>
        </w:tc>
        <w:tc>
          <w:tcPr>
            <w:tcW w:w="145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50" w14:textId="77777777" w:rsidR="002C73CA" w:rsidRDefault="002C73CA" w:rsidP="002C73CA">
            <w:pPr>
              <w:bidi/>
              <w:jc w:val="center"/>
            </w:pPr>
            <w:r>
              <w:rPr>
                <w:rFonts w:ascii="Traditional Arabic" w:eastAsia="Traditional Arabic" w:hAnsi="Traditional Arabic" w:cs="Traditional Arabic"/>
                <w:color w:val="000000"/>
                <w:sz w:val="19"/>
                <w:szCs w:val="19"/>
                <w:rtl/>
              </w:rPr>
              <w:t>وُسِّع قسم 3.6.2 بجدول نموذجي (3.3) يبيّن: رقم الفقرة، معامل الارتباط مع البُعد، معامل الارتباط مع الدرجة الكلية، والدلالة الإحصائية. المعيار: r &gt; 0.30 عند p &lt; 0.05. القيم ستُكتمَل بعد جمع البيانات.</w:t>
            </w:r>
          </w:p>
        </w:tc>
        <w:tc>
          <w:tcPr>
            <w:tcW w:w="945" w:type="pct"/>
            <w:tcBorders>
              <w:top w:val="single" w:sz="1" w:space="0" w:color="AAAAAA"/>
              <w:left w:val="single" w:sz="1" w:space="0" w:color="AAAAAA"/>
              <w:bottom w:val="single" w:sz="1" w:space="0" w:color="AAAAAA"/>
              <w:right w:val="single" w:sz="1" w:space="0" w:color="AAAAAA"/>
            </w:tcBorders>
            <w:shd w:val="clear" w:color="auto" w:fill="F9F9F9"/>
            <w:tcMar>
              <w:top w:w="100" w:type="dxa"/>
              <w:left w:w="120" w:type="dxa"/>
              <w:bottom w:w="100" w:type="dxa"/>
              <w:right w:w="120" w:type="dxa"/>
            </w:tcMar>
            <w:vAlign w:val="center"/>
          </w:tcPr>
          <w:p w14:paraId="36C17651" w14:textId="77777777" w:rsidR="002C73CA" w:rsidRDefault="002C73CA" w:rsidP="002C73CA">
            <w:pPr>
              <w:bidi/>
              <w:jc w:val="center"/>
            </w:pPr>
            <w:r>
              <w:rPr>
                <w:rFonts w:ascii="Traditional Arabic" w:eastAsia="Traditional Arabic" w:hAnsi="Traditional Arabic" w:cs="Traditional Arabic"/>
                <w:color w:val="000000"/>
                <w:sz w:val="19"/>
                <w:szCs w:val="19"/>
                <w:rtl/>
              </w:rPr>
              <w:t>لم يُعرض جدول صدق الاتساق الداخلي بشكل كامل مع معايير القبول.</w:t>
            </w:r>
          </w:p>
        </w:tc>
        <w:tc>
          <w:tcPr>
            <w:tcW w:w="78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52" w14:textId="77777777" w:rsidR="002C73CA" w:rsidRDefault="002C73CA" w:rsidP="002C73CA">
            <w:pPr>
              <w:bidi/>
              <w:jc w:val="center"/>
            </w:pPr>
            <w:r>
              <w:rPr>
                <w:rFonts w:ascii="Traditional Arabic" w:eastAsia="Traditional Arabic" w:hAnsi="Traditional Arabic" w:cs="Traditional Arabic"/>
                <w:color w:val="000000"/>
                <w:sz w:val="19"/>
                <w:szCs w:val="19"/>
                <w:rtl/>
              </w:rPr>
              <w:t>إدراج جدول قيم الارتباط مع شرح دلالتها</w:t>
            </w:r>
          </w:p>
        </w:tc>
        <w:tc>
          <w:tcPr>
            <w:tcW w:w="945"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53"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الصدق البنائي (</w:t>
            </w:r>
            <w:proofErr w:type="spellStart"/>
            <w:r>
              <w:rPr>
                <w:rFonts w:ascii="Traditional Arabic" w:eastAsia="Traditional Arabic" w:hAnsi="Traditional Arabic" w:cs="Traditional Arabic"/>
                <w:b/>
                <w:bCs/>
                <w:color w:val="000000"/>
                <w:sz w:val="19"/>
                <w:szCs w:val="19"/>
                <w:rtl/>
              </w:rPr>
              <w:t>Construct</w:t>
            </w:r>
            <w:proofErr w:type="spellEnd"/>
            <w:r>
              <w:rPr>
                <w:rFonts w:ascii="Traditional Arabic" w:eastAsia="Traditional Arabic" w:hAnsi="Traditional Arabic" w:cs="Traditional Arabic"/>
                <w:b/>
                <w:bCs/>
                <w:color w:val="000000"/>
                <w:sz w:val="19"/>
                <w:szCs w:val="19"/>
                <w:rtl/>
              </w:rPr>
              <w:t xml:space="preserve"> </w:t>
            </w:r>
            <w:proofErr w:type="spellStart"/>
            <w:r>
              <w:rPr>
                <w:rFonts w:ascii="Traditional Arabic" w:eastAsia="Traditional Arabic" w:hAnsi="Traditional Arabic" w:cs="Traditional Arabic"/>
                <w:b/>
                <w:bCs/>
                <w:color w:val="000000"/>
                <w:sz w:val="19"/>
                <w:szCs w:val="19"/>
                <w:rtl/>
              </w:rPr>
              <w:t>Validity</w:t>
            </w:r>
            <w:proofErr w:type="spellEnd"/>
            <w:r>
              <w:rPr>
                <w:rFonts w:ascii="Traditional Arabic" w:eastAsia="Traditional Arabic" w:hAnsi="Traditional Arabic" w:cs="Traditional Arabic"/>
                <w:b/>
                <w:bCs/>
                <w:color w:val="000000"/>
                <w:sz w:val="19"/>
                <w:szCs w:val="19"/>
                <w:rtl/>
              </w:rPr>
              <w:t>): إدراج قيم الارتباط لجميع الفقرات مع توضيح الدلالة الإحصائية (p &lt; 0.05)</w:t>
            </w:r>
          </w:p>
        </w:tc>
        <w:tc>
          <w:tcPr>
            <w:tcW w:w="23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54" w14:textId="77777777" w:rsidR="002C73CA" w:rsidRDefault="002C73CA" w:rsidP="002C73CA">
            <w:pPr>
              <w:jc w:val="center"/>
            </w:pPr>
            <w:r>
              <w:rPr>
                <w:rFonts w:ascii="Arial" w:eastAsia="Arial" w:hAnsi="Arial" w:cs="Arial"/>
                <w:b/>
                <w:bCs/>
                <w:color w:val="1F3864"/>
              </w:rPr>
              <w:t>12</w:t>
            </w:r>
          </w:p>
        </w:tc>
      </w:tr>
      <w:tr w:rsidR="002C73CA" w14:paraId="36C1765D"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57" w14:textId="77777777" w:rsidR="002C73CA" w:rsidRDefault="002C73CA" w:rsidP="002C73CA">
            <w:pPr>
              <w:bidi/>
              <w:jc w:val="center"/>
            </w:pPr>
            <w:r>
              <w:rPr>
                <w:rFonts w:ascii="Traditional Arabic" w:eastAsia="Traditional Arabic" w:hAnsi="Traditional Arabic" w:cs="Traditional Arabic"/>
                <w:color w:val="1F3864"/>
                <w:sz w:val="19"/>
                <w:szCs w:val="19"/>
                <w:rtl/>
              </w:rPr>
              <w:t>3.7 ثبات أداة القياس</w:t>
            </w:r>
          </w:p>
        </w:tc>
        <w:tc>
          <w:tcPr>
            <w:tcW w:w="145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58" w14:textId="77777777" w:rsidR="002C73CA" w:rsidRDefault="002C73CA" w:rsidP="002C73CA">
            <w:pPr>
              <w:bidi/>
              <w:jc w:val="center"/>
            </w:pPr>
            <w:r>
              <w:rPr>
                <w:rFonts w:ascii="Traditional Arabic" w:eastAsia="Traditional Arabic" w:hAnsi="Traditional Arabic" w:cs="Traditional Arabic"/>
                <w:color w:val="000000"/>
                <w:sz w:val="19"/>
                <w:szCs w:val="19"/>
                <w:rtl/>
              </w:rPr>
              <w:t>وُسِّع قسم 3.7: القيمة المقبولة ≥ 0.70، الممتازة &gt; 0.80. يُجرَى الاختبار على عينة استطلاعية من 30 مشاركاً. وتُوثَّق الفقرات التي أُزيلت أو عُدِّلت لتحسين معامل الثبات.</w:t>
            </w:r>
          </w:p>
        </w:tc>
        <w:tc>
          <w:tcPr>
            <w:tcW w:w="945" w:type="pct"/>
            <w:tcBorders>
              <w:top w:val="single" w:sz="1" w:space="0" w:color="AAAAAA"/>
              <w:left w:val="single" w:sz="1" w:space="0" w:color="AAAAAA"/>
              <w:bottom w:val="single" w:sz="1" w:space="0" w:color="AAAAAA"/>
              <w:right w:val="single" w:sz="1" w:space="0" w:color="AAAAAA"/>
            </w:tcBorders>
            <w:shd w:val="clear" w:color="auto" w:fill="EEF4FF"/>
            <w:tcMar>
              <w:top w:w="100" w:type="dxa"/>
              <w:left w:w="120" w:type="dxa"/>
              <w:bottom w:w="100" w:type="dxa"/>
              <w:right w:w="120" w:type="dxa"/>
            </w:tcMar>
            <w:vAlign w:val="center"/>
          </w:tcPr>
          <w:p w14:paraId="36C17659" w14:textId="77777777" w:rsidR="002C73CA" w:rsidRDefault="002C73CA" w:rsidP="002C73CA">
            <w:pPr>
              <w:bidi/>
              <w:jc w:val="center"/>
            </w:pPr>
            <w:r>
              <w:rPr>
                <w:rFonts w:ascii="Traditional Arabic" w:eastAsia="Traditional Arabic" w:hAnsi="Traditional Arabic" w:cs="Traditional Arabic"/>
                <w:color w:val="000000"/>
                <w:sz w:val="19"/>
                <w:szCs w:val="19"/>
                <w:rtl/>
              </w:rPr>
              <w:t>لم تُذكَر عينة الاختبار الاستطلاعي (</w:t>
            </w:r>
            <w:proofErr w:type="spellStart"/>
            <w:r>
              <w:rPr>
                <w:rFonts w:ascii="Traditional Arabic" w:eastAsia="Traditional Arabic" w:hAnsi="Traditional Arabic" w:cs="Traditional Arabic"/>
                <w:color w:val="000000"/>
                <w:sz w:val="19"/>
                <w:szCs w:val="19"/>
                <w:rtl/>
              </w:rPr>
              <w:t>Prototype</w:t>
            </w:r>
            <w:proofErr w:type="spellEnd"/>
            <w:r>
              <w:rPr>
                <w:rFonts w:ascii="Traditional Arabic" w:eastAsia="Traditional Arabic" w:hAnsi="Traditional Arabic" w:cs="Traditional Arabic"/>
                <w:color w:val="000000"/>
                <w:sz w:val="19"/>
                <w:szCs w:val="19"/>
                <w:rtl/>
              </w:rPr>
              <w:t xml:space="preserve">) ولم تُوضَّح معايير قبول ألفا </w:t>
            </w:r>
            <w:proofErr w:type="spellStart"/>
            <w:r>
              <w:rPr>
                <w:rFonts w:ascii="Traditional Arabic" w:eastAsia="Traditional Arabic" w:hAnsi="Traditional Arabic" w:cs="Traditional Arabic"/>
                <w:color w:val="000000"/>
                <w:sz w:val="19"/>
                <w:szCs w:val="19"/>
                <w:rtl/>
              </w:rPr>
              <w:t>كرونباخ</w:t>
            </w:r>
            <w:proofErr w:type="spellEnd"/>
            <w:r>
              <w:rPr>
                <w:rFonts w:ascii="Traditional Arabic" w:eastAsia="Traditional Arabic" w:hAnsi="Traditional Arabic" w:cs="Traditional Arabic"/>
                <w:color w:val="000000"/>
                <w:sz w:val="19"/>
                <w:szCs w:val="19"/>
                <w:rtl/>
              </w:rPr>
              <w:t>.</w:t>
            </w:r>
          </w:p>
        </w:tc>
        <w:tc>
          <w:tcPr>
            <w:tcW w:w="78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5A" w14:textId="77777777" w:rsidR="002C73CA" w:rsidRDefault="002C73CA" w:rsidP="002C73CA">
            <w:pPr>
              <w:bidi/>
              <w:jc w:val="center"/>
            </w:pPr>
            <w:r>
              <w:rPr>
                <w:rFonts w:ascii="Traditional Arabic" w:eastAsia="Traditional Arabic" w:hAnsi="Traditional Arabic" w:cs="Traditional Arabic"/>
                <w:color w:val="000000"/>
                <w:sz w:val="19"/>
                <w:szCs w:val="19"/>
                <w:rtl/>
              </w:rPr>
              <w:t>توسيع قسم الثبات بهذه التفاصيل الأربعة</w:t>
            </w:r>
          </w:p>
        </w:tc>
        <w:tc>
          <w:tcPr>
            <w:tcW w:w="945"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5B"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ثبات الاستبانة (</w:t>
            </w:r>
            <w:proofErr w:type="spellStart"/>
            <w:r>
              <w:rPr>
                <w:rFonts w:ascii="Traditional Arabic" w:eastAsia="Traditional Arabic" w:hAnsi="Traditional Arabic" w:cs="Traditional Arabic"/>
                <w:b/>
                <w:bCs/>
                <w:color w:val="000000"/>
                <w:sz w:val="19"/>
                <w:szCs w:val="19"/>
                <w:rtl/>
              </w:rPr>
              <w:t>Reliability</w:t>
            </w:r>
            <w:proofErr w:type="spellEnd"/>
            <w:r>
              <w:rPr>
                <w:rFonts w:ascii="Traditional Arabic" w:eastAsia="Traditional Arabic" w:hAnsi="Traditional Arabic" w:cs="Traditional Arabic"/>
                <w:b/>
                <w:bCs/>
                <w:color w:val="000000"/>
                <w:sz w:val="19"/>
                <w:szCs w:val="19"/>
                <w:rtl/>
              </w:rPr>
              <w:t xml:space="preserve">): حساب ألفا </w:t>
            </w:r>
            <w:proofErr w:type="spellStart"/>
            <w:r>
              <w:rPr>
                <w:rFonts w:ascii="Traditional Arabic" w:eastAsia="Traditional Arabic" w:hAnsi="Traditional Arabic" w:cs="Traditional Arabic"/>
                <w:b/>
                <w:bCs/>
                <w:color w:val="000000"/>
                <w:sz w:val="19"/>
                <w:szCs w:val="19"/>
                <w:rtl/>
              </w:rPr>
              <w:t>كرونباخ</w:t>
            </w:r>
            <w:proofErr w:type="spellEnd"/>
            <w:r>
              <w:rPr>
                <w:rFonts w:ascii="Traditional Arabic" w:eastAsia="Traditional Arabic" w:hAnsi="Traditional Arabic" w:cs="Traditional Arabic"/>
                <w:b/>
                <w:bCs/>
                <w:color w:val="000000"/>
                <w:sz w:val="19"/>
                <w:szCs w:val="19"/>
                <w:rtl/>
              </w:rPr>
              <w:t xml:space="preserve"> لكل محور على حدة وللثبات الكلي، مع توضيح قيم القبول والعينة الاستطلاعية وأي فقرات أُزيلت لتحسين الثبات</w:t>
            </w:r>
          </w:p>
        </w:tc>
        <w:tc>
          <w:tcPr>
            <w:tcW w:w="23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5C" w14:textId="77777777" w:rsidR="002C73CA" w:rsidRDefault="002C73CA" w:rsidP="002C73CA">
            <w:pPr>
              <w:jc w:val="center"/>
            </w:pPr>
            <w:r>
              <w:rPr>
                <w:rFonts w:ascii="Arial" w:eastAsia="Arial" w:hAnsi="Arial" w:cs="Arial"/>
                <w:b/>
                <w:bCs/>
                <w:color w:val="1F3864"/>
              </w:rPr>
              <w:t>13</w:t>
            </w:r>
          </w:p>
        </w:tc>
      </w:tr>
      <w:tr w:rsidR="002C73CA" w14:paraId="36C17665"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5F" w14:textId="77777777" w:rsidR="002C73CA" w:rsidRDefault="002C73CA" w:rsidP="002C73CA">
            <w:pPr>
              <w:bidi/>
              <w:jc w:val="center"/>
            </w:pPr>
            <w:r>
              <w:rPr>
                <w:rFonts w:ascii="Traditional Arabic" w:eastAsia="Traditional Arabic" w:hAnsi="Traditional Arabic" w:cs="Traditional Arabic"/>
                <w:color w:val="1F3864"/>
                <w:sz w:val="19"/>
                <w:szCs w:val="19"/>
                <w:rtl/>
              </w:rPr>
              <w:t>3.7.1 قسم جديد</w:t>
            </w:r>
          </w:p>
        </w:tc>
        <w:tc>
          <w:tcPr>
            <w:tcW w:w="145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60" w14:textId="77777777" w:rsidR="002C73CA" w:rsidRDefault="002C73CA" w:rsidP="002C73CA">
            <w:pPr>
              <w:bidi/>
              <w:jc w:val="center"/>
            </w:pPr>
            <w:r>
              <w:rPr>
                <w:rFonts w:ascii="Traditional Arabic" w:eastAsia="Traditional Arabic" w:hAnsi="Traditional Arabic" w:cs="Traditional Arabic"/>
                <w:color w:val="000000"/>
                <w:sz w:val="19"/>
                <w:szCs w:val="19"/>
                <w:rtl/>
              </w:rPr>
              <w:t>أُضيف القسم (3.7.1) يشمل: حجم العينة الاستطلاعية (30 مشاركاً)، أهداف التطبيق الخمسة، وآلية توثيق التعديلات المبنية على نتائجه.</w:t>
            </w:r>
          </w:p>
        </w:tc>
        <w:tc>
          <w:tcPr>
            <w:tcW w:w="945" w:type="pct"/>
            <w:tcBorders>
              <w:top w:val="single" w:sz="1" w:space="0" w:color="AAAAAA"/>
              <w:left w:val="single" w:sz="1" w:space="0" w:color="AAAAAA"/>
              <w:bottom w:val="single" w:sz="1" w:space="0" w:color="AAAAAA"/>
              <w:right w:val="single" w:sz="1" w:space="0" w:color="AAAAAA"/>
            </w:tcBorders>
            <w:shd w:val="clear" w:color="auto" w:fill="F9F9F9"/>
            <w:tcMar>
              <w:top w:w="100" w:type="dxa"/>
              <w:left w:w="120" w:type="dxa"/>
              <w:bottom w:w="100" w:type="dxa"/>
              <w:right w:w="120" w:type="dxa"/>
            </w:tcMar>
            <w:vAlign w:val="center"/>
          </w:tcPr>
          <w:p w14:paraId="36C17661" w14:textId="77777777" w:rsidR="002C73CA" w:rsidRDefault="002C73CA" w:rsidP="002C73CA">
            <w:pPr>
              <w:bidi/>
              <w:jc w:val="center"/>
            </w:pPr>
            <w:r>
              <w:rPr>
                <w:rFonts w:ascii="Traditional Arabic" w:eastAsia="Traditional Arabic" w:hAnsi="Traditional Arabic" w:cs="Traditional Arabic"/>
                <w:color w:val="000000"/>
                <w:sz w:val="19"/>
                <w:szCs w:val="19"/>
                <w:rtl/>
              </w:rPr>
              <w:t>لم يكن هناك قسم مخصص لنتائج التطبيق الاستطلاعي.</w:t>
            </w:r>
          </w:p>
        </w:tc>
        <w:tc>
          <w:tcPr>
            <w:tcW w:w="78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62" w14:textId="77777777" w:rsidR="002C73CA" w:rsidRDefault="002C73CA" w:rsidP="002C73CA">
            <w:pPr>
              <w:bidi/>
              <w:jc w:val="center"/>
            </w:pPr>
            <w:r>
              <w:rPr>
                <w:rFonts w:ascii="Traditional Arabic" w:eastAsia="Traditional Arabic" w:hAnsi="Traditional Arabic" w:cs="Traditional Arabic"/>
                <w:color w:val="000000"/>
                <w:sz w:val="19"/>
                <w:szCs w:val="19"/>
                <w:rtl/>
              </w:rPr>
              <w:t>إضافة قسم مستقل لنتائج التطبيق الاستطلاعي</w:t>
            </w:r>
          </w:p>
        </w:tc>
        <w:tc>
          <w:tcPr>
            <w:tcW w:w="945"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63"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قسم مستقل لعرض نتائج النسخة التجريبية (</w:t>
            </w:r>
            <w:proofErr w:type="spellStart"/>
            <w:r>
              <w:rPr>
                <w:rFonts w:ascii="Traditional Arabic" w:eastAsia="Traditional Arabic" w:hAnsi="Traditional Arabic" w:cs="Traditional Arabic"/>
                <w:b/>
                <w:bCs/>
                <w:color w:val="000000"/>
                <w:sz w:val="19"/>
                <w:szCs w:val="19"/>
                <w:rtl/>
              </w:rPr>
              <w:t>Prototype</w:t>
            </w:r>
            <w:proofErr w:type="spellEnd"/>
            <w:r>
              <w:rPr>
                <w:rFonts w:ascii="Traditional Arabic" w:eastAsia="Traditional Arabic" w:hAnsi="Traditional Arabic" w:cs="Traditional Arabic"/>
                <w:b/>
                <w:bCs/>
                <w:color w:val="000000"/>
                <w:sz w:val="19"/>
                <w:szCs w:val="19"/>
                <w:rtl/>
              </w:rPr>
              <w:t>): حجم العينة (25-30)، هدف التجربة، ملاحظات المشاركين، التعديلات التي تمت</w:t>
            </w:r>
          </w:p>
        </w:tc>
        <w:tc>
          <w:tcPr>
            <w:tcW w:w="237" w:type="pct"/>
            <w:tcBorders>
              <w:top w:val="single" w:sz="1" w:space="0" w:color="AAAAAA"/>
              <w:left w:val="single" w:sz="1" w:space="0" w:color="AAAAAA"/>
              <w:bottom w:val="single" w:sz="1" w:space="0" w:color="AAAAAA"/>
              <w:right w:val="single" w:sz="1" w:space="0" w:color="AAAAAA"/>
            </w:tcBorders>
            <w:shd w:val="clear" w:color="auto" w:fill="FFFFFF"/>
            <w:tcMar>
              <w:top w:w="100" w:type="dxa"/>
              <w:left w:w="120" w:type="dxa"/>
              <w:bottom w:w="100" w:type="dxa"/>
              <w:right w:w="120" w:type="dxa"/>
            </w:tcMar>
            <w:vAlign w:val="center"/>
          </w:tcPr>
          <w:p w14:paraId="36C17664" w14:textId="77777777" w:rsidR="002C73CA" w:rsidRDefault="002C73CA" w:rsidP="002C73CA">
            <w:pPr>
              <w:jc w:val="center"/>
            </w:pPr>
            <w:r>
              <w:rPr>
                <w:rFonts w:ascii="Arial" w:eastAsia="Arial" w:hAnsi="Arial" w:cs="Arial"/>
                <w:b/>
                <w:bCs/>
                <w:color w:val="1F3864"/>
              </w:rPr>
              <w:t>14</w:t>
            </w:r>
          </w:p>
        </w:tc>
      </w:tr>
      <w:tr w:rsidR="002C73CA" w14:paraId="36C1766D" w14:textId="77777777" w:rsidTr="002C73CA">
        <w:tblPrEx>
          <w:tblCellMar>
            <w:top w:w="0" w:type="dxa"/>
            <w:bottom w:w="0" w:type="dxa"/>
          </w:tblCellMar>
        </w:tblPrEx>
        <w:tc>
          <w:tcPr>
            <w:tcW w:w="629"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67" w14:textId="77777777" w:rsidR="002C73CA" w:rsidRDefault="002C73CA" w:rsidP="002C73CA">
            <w:pPr>
              <w:bidi/>
              <w:jc w:val="center"/>
            </w:pPr>
            <w:r>
              <w:rPr>
                <w:rFonts w:ascii="Traditional Arabic" w:eastAsia="Traditional Arabic" w:hAnsi="Traditional Arabic" w:cs="Traditional Arabic"/>
                <w:color w:val="1F3864"/>
                <w:sz w:val="19"/>
                <w:szCs w:val="19"/>
                <w:rtl/>
              </w:rPr>
              <w:t>—</w:t>
            </w:r>
          </w:p>
        </w:tc>
        <w:tc>
          <w:tcPr>
            <w:tcW w:w="145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68" w14:textId="77777777" w:rsidR="002C73CA" w:rsidRDefault="002C73CA" w:rsidP="002C73CA">
            <w:pPr>
              <w:bidi/>
              <w:jc w:val="center"/>
            </w:pPr>
            <w:r>
              <w:rPr>
                <w:rFonts w:ascii="Traditional Arabic" w:eastAsia="Traditional Arabic" w:hAnsi="Traditional Arabic" w:cs="Traditional Arabic"/>
                <w:color w:val="000000"/>
                <w:sz w:val="19"/>
                <w:szCs w:val="19"/>
                <w:rtl/>
              </w:rPr>
              <w:t>حُذف المنهج النوعي بالكامل (مقابلات، مجموعات تركيز، تحليل وثائق) نظراً لصعوبة الحصول على التراخيص التنظيمية وقيود السرية في المؤسسات المالية. تحوّل الفصل إلى منهج كمي بحت باستخدام الاستبانة الإلكترونية أداةً وحيدة.</w:t>
            </w:r>
          </w:p>
        </w:tc>
        <w:tc>
          <w:tcPr>
            <w:tcW w:w="945" w:type="pct"/>
            <w:tcBorders>
              <w:top w:val="single" w:sz="1" w:space="0" w:color="AAAAAA"/>
              <w:left w:val="single" w:sz="1" w:space="0" w:color="AAAAAA"/>
              <w:bottom w:val="single" w:sz="1" w:space="0" w:color="AAAAAA"/>
              <w:right w:val="single" w:sz="1" w:space="0" w:color="AAAAAA"/>
            </w:tcBorders>
            <w:shd w:val="clear" w:color="auto" w:fill="EEF4FF"/>
            <w:tcMar>
              <w:top w:w="100" w:type="dxa"/>
              <w:left w:w="120" w:type="dxa"/>
              <w:bottom w:w="100" w:type="dxa"/>
              <w:right w:w="120" w:type="dxa"/>
            </w:tcMar>
            <w:vAlign w:val="center"/>
          </w:tcPr>
          <w:p w14:paraId="36C17669" w14:textId="77777777" w:rsidR="002C73CA" w:rsidRDefault="002C73CA" w:rsidP="002C73CA">
            <w:pPr>
              <w:bidi/>
              <w:jc w:val="center"/>
            </w:pPr>
            <w:r>
              <w:rPr>
                <w:rFonts w:ascii="Traditional Arabic" w:eastAsia="Traditional Arabic" w:hAnsi="Traditional Arabic" w:cs="Traditional Arabic"/>
                <w:color w:val="000000"/>
                <w:sz w:val="19"/>
                <w:szCs w:val="19"/>
                <w:rtl/>
              </w:rPr>
              <w:t>تضمنت النسخة الأولى منهجاً مختلطاً يشمل المقابلات ومجموعات التركيز.</w:t>
            </w:r>
          </w:p>
        </w:tc>
        <w:tc>
          <w:tcPr>
            <w:tcW w:w="78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6A" w14:textId="77777777" w:rsidR="002C73CA" w:rsidRDefault="002C73CA" w:rsidP="002C73CA">
            <w:pPr>
              <w:bidi/>
              <w:jc w:val="center"/>
            </w:pPr>
            <w:r>
              <w:rPr>
                <w:rFonts w:ascii="Traditional Arabic" w:eastAsia="Traditional Arabic" w:hAnsi="Traditional Arabic" w:cs="Traditional Arabic"/>
                <w:color w:val="000000"/>
                <w:sz w:val="19"/>
                <w:szCs w:val="19"/>
                <w:rtl/>
              </w:rPr>
              <w:t>إضافة قسم تفصيلي لمنهجية المقابلات</w:t>
            </w:r>
          </w:p>
        </w:tc>
        <w:tc>
          <w:tcPr>
            <w:tcW w:w="945"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6B" w14:textId="77777777" w:rsidR="002C73CA" w:rsidRDefault="002C73CA" w:rsidP="002C73CA">
            <w:pPr>
              <w:bidi/>
              <w:jc w:val="center"/>
            </w:pPr>
            <w:r>
              <w:rPr>
                <w:rFonts w:ascii="Traditional Arabic" w:eastAsia="Traditional Arabic" w:hAnsi="Traditional Arabic" w:cs="Traditional Arabic"/>
                <w:b/>
                <w:bCs/>
                <w:color w:val="000000"/>
                <w:sz w:val="19"/>
                <w:szCs w:val="19"/>
                <w:rtl/>
              </w:rPr>
              <w:t>منهجية المقابلات (</w:t>
            </w:r>
            <w:proofErr w:type="spellStart"/>
            <w:r>
              <w:rPr>
                <w:rFonts w:ascii="Traditional Arabic" w:eastAsia="Traditional Arabic" w:hAnsi="Traditional Arabic" w:cs="Traditional Arabic"/>
                <w:b/>
                <w:bCs/>
                <w:color w:val="000000"/>
                <w:sz w:val="19"/>
                <w:szCs w:val="19"/>
                <w:rtl/>
              </w:rPr>
              <w:t>Interviews</w:t>
            </w:r>
            <w:proofErr w:type="spellEnd"/>
            <w:r>
              <w:rPr>
                <w:rFonts w:ascii="Traditional Arabic" w:eastAsia="Traditional Arabic" w:hAnsi="Traditional Arabic" w:cs="Traditional Arabic"/>
                <w:b/>
                <w:bCs/>
                <w:color w:val="000000"/>
                <w:sz w:val="19"/>
                <w:szCs w:val="19"/>
                <w:rtl/>
              </w:rPr>
              <w:t xml:space="preserve"> </w:t>
            </w:r>
            <w:proofErr w:type="spellStart"/>
            <w:r>
              <w:rPr>
                <w:rFonts w:ascii="Traditional Arabic" w:eastAsia="Traditional Arabic" w:hAnsi="Traditional Arabic" w:cs="Traditional Arabic"/>
                <w:b/>
                <w:bCs/>
                <w:color w:val="000000"/>
                <w:sz w:val="19"/>
                <w:szCs w:val="19"/>
                <w:rtl/>
              </w:rPr>
              <w:t>Methodology</w:t>
            </w:r>
            <w:proofErr w:type="spellEnd"/>
            <w:r>
              <w:rPr>
                <w:rFonts w:ascii="Traditional Arabic" w:eastAsia="Traditional Arabic" w:hAnsi="Traditional Arabic" w:cs="Traditional Arabic"/>
                <w:b/>
                <w:bCs/>
                <w:color w:val="000000"/>
                <w:sz w:val="19"/>
                <w:szCs w:val="19"/>
                <w:rtl/>
              </w:rPr>
              <w:t>): إضافة قسم تفصيلي يغطي الهدف، مجتمع المقابلات، دليل المقابلة، إجراءات التنفيذ، أسلوب التحليل، ضمانات المصداقية</w:t>
            </w:r>
          </w:p>
        </w:tc>
        <w:tc>
          <w:tcPr>
            <w:tcW w:w="237" w:type="pct"/>
            <w:tcBorders>
              <w:top w:val="single" w:sz="1" w:space="0" w:color="AAAAAA"/>
              <w:left w:val="single" w:sz="1" w:space="0" w:color="AAAAAA"/>
              <w:bottom w:val="single" w:sz="1" w:space="0" w:color="AAAAAA"/>
              <w:right w:val="single" w:sz="1" w:space="0" w:color="AAAAAA"/>
            </w:tcBorders>
            <w:shd w:val="clear" w:color="auto" w:fill="F2F7FF"/>
            <w:tcMar>
              <w:top w:w="100" w:type="dxa"/>
              <w:left w:w="120" w:type="dxa"/>
              <w:bottom w:w="100" w:type="dxa"/>
              <w:right w:w="120" w:type="dxa"/>
            </w:tcMar>
            <w:vAlign w:val="center"/>
          </w:tcPr>
          <w:p w14:paraId="36C1766C" w14:textId="77777777" w:rsidR="002C73CA" w:rsidRDefault="002C73CA" w:rsidP="002C73CA">
            <w:pPr>
              <w:jc w:val="center"/>
            </w:pPr>
            <w:r>
              <w:rPr>
                <w:rFonts w:ascii="Arial" w:eastAsia="Arial" w:hAnsi="Arial" w:cs="Arial"/>
                <w:b/>
                <w:bCs/>
                <w:color w:val="1F3864"/>
              </w:rPr>
              <w:t>15</w:t>
            </w:r>
          </w:p>
        </w:tc>
      </w:tr>
    </w:tbl>
    <w:p w14:paraId="36C1766E" w14:textId="77777777" w:rsidR="0003532E" w:rsidRPr="004C4E7C" w:rsidRDefault="009837BA" w:rsidP="004C4E7C">
      <w:pPr>
        <w:bidi/>
        <w:spacing w:before="200" w:after="60"/>
        <w:rPr>
          <w:sz w:val="30"/>
          <w:szCs w:val="30"/>
        </w:rPr>
      </w:pPr>
      <w:r w:rsidRPr="004C4E7C">
        <w:rPr>
          <w:rFonts w:ascii="Traditional Arabic" w:eastAsia="Traditional Arabic" w:hAnsi="Traditional Arabic" w:cs="Traditional Arabic"/>
          <w:b/>
          <w:bCs/>
          <w:color w:val="1F3864"/>
          <w:sz w:val="28"/>
          <w:szCs w:val="28"/>
          <w:rtl/>
        </w:rPr>
        <w:t xml:space="preserve">ملاحظة للجنة: </w:t>
      </w:r>
      <w:r w:rsidRPr="004C4E7C">
        <w:rPr>
          <w:rFonts w:ascii="Traditional Arabic" w:eastAsia="Traditional Arabic" w:hAnsi="Traditional Arabic" w:cs="Traditional Arabic"/>
          <w:color w:val="333333"/>
          <w:sz w:val="28"/>
          <w:szCs w:val="28"/>
          <w:rtl/>
        </w:rPr>
        <w:t>جميع الملاحظات من 1 إلى 14 نُفِّذت كاملاً في التقديم الثاني. الملاحظة رقم 15 (منهجية المقابلات) لا تنطبق لأن الدراسة اعتمدت المنهج الكمي الوصفي التحليلي أداةً وحيدة بسبب القيود التنظيمية وقيود السرية في القطاع المالي السعودي.</w:t>
      </w:r>
    </w:p>
    <w:p w14:paraId="36C1766F" w14:textId="77777777" w:rsidR="0003532E" w:rsidRPr="004C4E7C" w:rsidRDefault="009837BA" w:rsidP="004C4E7C">
      <w:pPr>
        <w:bidi/>
        <w:rPr>
          <w:sz w:val="30"/>
          <w:szCs w:val="30"/>
        </w:rPr>
      </w:pPr>
      <w:r w:rsidRPr="004C4E7C">
        <w:rPr>
          <w:rFonts w:ascii="Traditional Arabic" w:eastAsia="Traditional Arabic" w:hAnsi="Traditional Arabic" w:cs="Traditional Arabic"/>
          <w:color w:val="555555"/>
          <w:sz w:val="28"/>
          <w:szCs w:val="28"/>
          <w:rtl/>
        </w:rPr>
        <w:t>✅ تم التنفيذ بالكامل     ⚠️ لا ينطبق (قرار منهجي موثَّق)</w:t>
      </w:r>
    </w:p>
    <w:sectPr w:rsidR="0003532E" w:rsidRPr="004C4E7C">
      <w:pgSz w:w="11906" w:h="16838" w:orient="landscape"/>
      <w:pgMar w:top="600" w:right="600" w:bottom="600" w:left="6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5408C"/>
    <w:multiLevelType w:val="hybridMultilevel"/>
    <w:tmpl w:val="2B6AE820"/>
    <w:lvl w:ilvl="0" w:tplc="B3463204">
      <w:start w:val="1"/>
      <w:numFmt w:val="bullet"/>
      <w:lvlText w:val="●"/>
      <w:lvlJc w:val="left"/>
      <w:pPr>
        <w:ind w:left="720" w:hanging="360"/>
      </w:pPr>
    </w:lvl>
    <w:lvl w:ilvl="1" w:tplc="4E30FDB6">
      <w:start w:val="1"/>
      <w:numFmt w:val="bullet"/>
      <w:lvlText w:val="○"/>
      <w:lvlJc w:val="left"/>
      <w:pPr>
        <w:ind w:left="1440" w:hanging="360"/>
      </w:pPr>
    </w:lvl>
    <w:lvl w:ilvl="2" w:tplc="DEF4F6BA">
      <w:start w:val="1"/>
      <w:numFmt w:val="bullet"/>
      <w:lvlText w:val="■"/>
      <w:lvlJc w:val="left"/>
      <w:pPr>
        <w:ind w:left="2160" w:hanging="360"/>
      </w:pPr>
    </w:lvl>
    <w:lvl w:ilvl="3" w:tplc="07549216">
      <w:start w:val="1"/>
      <w:numFmt w:val="bullet"/>
      <w:lvlText w:val="●"/>
      <w:lvlJc w:val="left"/>
      <w:pPr>
        <w:ind w:left="2880" w:hanging="360"/>
      </w:pPr>
    </w:lvl>
    <w:lvl w:ilvl="4" w:tplc="FE1C309C">
      <w:start w:val="1"/>
      <w:numFmt w:val="bullet"/>
      <w:lvlText w:val="○"/>
      <w:lvlJc w:val="left"/>
      <w:pPr>
        <w:ind w:left="3600" w:hanging="360"/>
      </w:pPr>
    </w:lvl>
    <w:lvl w:ilvl="5" w:tplc="5D7A77F8">
      <w:start w:val="1"/>
      <w:numFmt w:val="bullet"/>
      <w:lvlText w:val="■"/>
      <w:lvlJc w:val="left"/>
      <w:pPr>
        <w:ind w:left="4320" w:hanging="360"/>
      </w:pPr>
    </w:lvl>
    <w:lvl w:ilvl="6" w:tplc="CEF4E894">
      <w:start w:val="1"/>
      <w:numFmt w:val="bullet"/>
      <w:lvlText w:val="●"/>
      <w:lvlJc w:val="left"/>
      <w:pPr>
        <w:ind w:left="5040" w:hanging="360"/>
      </w:pPr>
    </w:lvl>
    <w:lvl w:ilvl="7" w:tplc="06FEBD5A">
      <w:start w:val="1"/>
      <w:numFmt w:val="bullet"/>
      <w:lvlText w:val="●"/>
      <w:lvlJc w:val="left"/>
      <w:pPr>
        <w:ind w:left="5760" w:hanging="360"/>
      </w:pPr>
    </w:lvl>
    <w:lvl w:ilvl="8" w:tplc="DF22BBC8">
      <w:start w:val="1"/>
      <w:numFmt w:val="bullet"/>
      <w:lvlText w:val="●"/>
      <w:lvlJc w:val="left"/>
      <w:pPr>
        <w:ind w:left="6480" w:hanging="360"/>
      </w:pPr>
    </w:lvl>
  </w:abstractNum>
  <w:num w:numId="1" w16cid:durableId="17092610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32E"/>
    <w:rsid w:val="0003532E"/>
    <w:rsid w:val="002C73CA"/>
    <w:rsid w:val="004C4E7C"/>
    <w:rsid w:val="009837BA"/>
    <w:rsid w:val="00E951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175EC"/>
  <w15:docId w15:val="{AF4DB873-723C-4049-9EB3-262839DD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2a9f5ad-a81f-483c-8dd6-d98ddbcea336}"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1040</Words>
  <Characters>5934</Characters>
  <Application>Microsoft Office Word</Application>
  <DocSecurity>0</DocSecurity>
  <Lines>49</Lines>
  <Paragraphs>13</Paragraphs>
  <ScaleCrop>false</ScaleCrop>
  <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Bandar AlGhamdi</cp:lastModifiedBy>
  <cp:revision>3</cp:revision>
  <dcterms:created xsi:type="dcterms:W3CDTF">2026-04-05T15:21:00Z</dcterms:created>
  <dcterms:modified xsi:type="dcterms:W3CDTF">2026-04-05T15:24:00Z</dcterms:modified>
</cp:coreProperties>
</file>