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60" w:before="0" w:line="320"/>
        <w:jc w:val="center"/>
      </w:pPr>
      <w:r>
        <w:rPr>
          <w:rFonts w:ascii="Arial" w:cs="Arial" w:eastAsia="Arial" w:hAnsi="Arial"/>
          <w:b/>
          <w:bCs/>
          <w:i w:val="false"/>
          <w:iCs w:val="false"/>
          <w:color w:val="1F3864"/>
          <w:sz w:val="28"/>
          <w:szCs w:val="28"/>
          <w:rtl/>
        </w:rPr>
        <w:t xml:space="preserve">جامعة ميدأوشن</w:t>
      </w:r>
    </w:p>
    <w:p>
      <w:pPr>
        <w:bidi/>
        <w:spacing w:after="60" w:before="0" w:line="320"/>
        <w:jc w:val="center"/>
      </w:pPr>
      <w:r>
        <w:rPr>
          <w:rFonts w:ascii="Arial" w:cs="Arial" w:eastAsia="Arial" w:hAnsi="Arial"/>
          <w:b/>
          <w:bCs/>
          <w:i w:val="false"/>
          <w:iCs w:val="false"/>
          <w:sz w:val="26"/>
          <w:szCs w:val="26"/>
          <w:rtl/>
        </w:rPr>
        <w:t xml:space="preserve">كلية الإعلام والتسويق</w:t>
      </w:r>
    </w:p>
    <w:p>
      <w:pPr>
        <w:bidi/>
        <w:spacing w:after="500" w:before="0" w:line="320"/>
        <w:jc w:val="center"/>
      </w:pPr>
      <w:r>
        <w:rPr>
          <w:rFonts w:ascii="Arial" w:cs="Arial" w:eastAsia="Arial" w:hAnsi="Arial"/>
          <w:b w:val="false"/>
          <w:bCs w:val="false"/>
          <w:i w:val="false"/>
          <w:iCs w:val="false"/>
          <w:sz w:val="24"/>
          <w:szCs w:val="24"/>
          <w:rtl/>
        </w:rPr>
        <w:t xml:space="preserve">بكالوريوس الإعلام الرقمي</w:t>
      </w:r>
    </w:p>
    <w:p>
      <w:pPr>
        <w:bidi/>
        <w:spacing w:after="500" w:before="0" w:line="320"/>
        <w:jc w:val="center"/>
      </w:pPr>
      <w:r>
        <w:rPr>
          <w:rFonts w:ascii="Arial" w:cs="Arial" w:eastAsia="Arial" w:hAnsi="Arial"/>
          <w:b/>
          <w:bCs/>
          <w:i w:val="false"/>
          <w:iCs w:val="false"/>
          <w:color w:val="2E75B6"/>
          <w:sz w:val="26"/>
          <w:szCs w:val="26"/>
          <w:rtl/>
        </w:rPr>
        <w:t xml:space="preserve">الواجب السادس — تحليل البيانات والنتائج العامة</w:t>
      </w:r>
    </w:p>
    <w:p>
      <w:pPr>
        <w:bidi/>
        <w:spacing w:after="600" w:before="0" w:line="320"/>
        <w:jc w:val="center"/>
      </w:pPr>
      <w:r>
        <w:rPr>
          <w:rFonts w:ascii="Arial" w:cs="Arial" w:eastAsia="Arial" w:hAnsi="Arial"/>
          <w:b/>
          <w:bCs/>
          <w:i w:val="false"/>
          <w:iCs w:val="false"/>
          <w:color w:val="1F3864"/>
          <w:sz w:val="30"/>
          <w:szCs w:val="30"/>
          <w:rtl/>
        </w:rPr>
        <w:t xml:space="preserve">أنماط الخطاب الإعلامي للمؤثرين على تيك توك: دراسة تحليلية للمضمون</w:t>
      </w:r>
    </w:p>
    <w:p>
      <w:pPr>
        <w:bidi/>
        <w:spacing w:after="80" w:before="0" w:line="320"/>
        <w:jc w:val="center"/>
      </w:pPr>
      <w:r>
        <w:rPr>
          <w:rFonts w:ascii="Arial" w:cs="Arial" w:eastAsia="Arial" w:hAnsi="Arial"/>
          <w:b w:val="false"/>
          <w:bCs w:val="false"/>
          <w:i w:val="false"/>
          <w:iCs w:val="false"/>
          <w:sz w:val="26"/>
          <w:szCs w:val="26"/>
          <w:rtl/>
        </w:rPr>
        <w:t xml:space="preserve">إعداد الطالب: عبدالله عبدالرحمن عباس</w:t>
      </w:r>
    </w:p>
    <w:p>
      <w:pPr>
        <w:bidi/>
        <w:spacing w:after="200" w:before="0" w:line="320"/>
        <w:jc w:val="center"/>
      </w:pPr>
      <w:r>
        <w:rPr>
          <w:rFonts w:ascii="Arial" w:cs="Arial" w:eastAsia="Arial" w:hAnsi="Arial"/>
          <w:b w:val="false"/>
          <w:bCs w:val="false"/>
          <w:i w:val="false"/>
          <w:iCs w:val="false"/>
          <w:sz w:val="26"/>
          <w:szCs w:val="26"/>
          <w:rtl/>
        </w:rPr>
        <w:t xml:space="preserve">الرقم الأكاديمي: 232000682</w:t>
      </w:r>
    </w:p>
    <w:p>
      <w:pPr>
        <w:bidi/>
        <w:spacing w:after="500" w:before="0" w:line="320"/>
        <w:jc w:val="center"/>
      </w:pPr>
      <w:r>
        <w:rPr>
          <w:rFonts w:ascii="Arial" w:cs="Arial" w:eastAsia="Arial" w:hAnsi="Arial"/>
          <w:b/>
          <w:bCs/>
          <w:i w:val="false"/>
          <w:iCs w:val="false"/>
          <w:sz w:val="26"/>
          <w:szCs w:val="26"/>
          <w:rtl/>
        </w:rPr>
        <w:t xml:space="preserve">إشراف: د. توفيق عمري</w:t>
      </w:r>
    </w:p>
    <w:p>
      <w:pPr>
        <w:bidi/>
        <w:spacing w:after="140" w:before="0" w:line="320"/>
        <w:jc w:val="center"/>
      </w:pPr>
      <w:r>
        <w:rPr>
          <w:rFonts w:ascii="Arial" w:cs="Arial" w:eastAsia="Arial" w:hAnsi="Arial"/>
          <w:b w:val="false"/>
          <w:bCs w:val="false"/>
          <w:i w:val="false"/>
          <w:iCs w:val="false"/>
          <w:sz w:val="24"/>
          <w:szCs w:val="24"/>
          <w:rtl/>
        </w:rPr>
        <w:t xml:space="preserve">2026</w:t>
      </w:r>
    </w:p>
    <w:p>
      <w:r>
        <w:br w:type="page"/>
      </w:r>
    </w:p>
    <w:p>
      <w:pPr>
        <w:pBdr>
          <w:bottom w:val="single" w:color="2E75B6" w:sz="6" w:space="2"/>
        </w:pBdr>
        <w:bidi/>
        <w:spacing w:after="160" w:before="300"/>
        <w:jc w:val="right"/>
      </w:pPr>
      <w:r>
        <w:rPr>
          <w:rFonts w:ascii="Arial" w:cs="Arial" w:eastAsia="Arial" w:hAnsi="Arial"/>
          <w:b/>
          <w:bCs/>
          <w:color w:val="1F3864"/>
          <w:sz w:val="30"/>
          <w:szCs w:val="30"/>
          <w:rtl/>
        </w:rPr>
        <w:t xml:space="preserve">أولًا: تمهيد ووصف العيّنة</w:t>
      </w:r>
    </w:p>
    <w:p>
      <w:pPr>
        <w:bidi/>
        <w:spacing w:after="140" w:before="0" w:line="320"/>
        <w:jc w:val="right"/>
      </w:pPr>
      <w:r>
        <w:rPr>
          <w:rFonts w:ascii="Arial" w:cs="Arial" w:eastAsia="Arial" w:hAnsi="Arial"/>
          <w:b w:val="false"/>
          <w:bCs w:val="false"/>
          <w:i w:val="false"/>
          <w:iCs w:val="false"/>
          <w:sz w:val="24"/>
          <w:szCs w:val="24"/>
          <w:rtl/>
        </w:rPr>
        <w:t xml:space="preserve">طبّق الباحث استمارة تحليل المضمون على عيّنة قصدية مكوّنة من (25) منشورًا لستة من المؤثرين على منصة تيك توك، تنوّعت مجالاتهم بين العطور والمحتوى الكوميدي والمحتوى الرياضي والمحتوى الترويجي. وقد جرى ترميز كل منشور وفق فئات الاستمارة الأربع: نوع المحتوى، وأسلوب الإقناع، ووجود الإعلان والإفصاح عنه، ومستوى التفاعل. ويعرض الجدول الآتي توزيع العيّنة على المؤثرين:</w:t>
      </w:r>
    </w:p>
    <w:p>
      <w:pPr>
        <w:bidi/>
        <w:spacing w:after="100" w:before="220"/>
        <w:jc w:val="right"/>
      </w:pPr>
      <w:r>
        <w:rPr>
          <w:rFonts w:ascii="Arial" w:cs="Arial" w:eastAsia="Arial" w:hAnsi="Arial"/>
          <w:b/>
          <w:bCs/>
          <w:color w:val="548235"/>
          <w:sz w:val="26"/>
          <w:szCs w:val="26"/>
          <w:rtl/>
        </w:rPr>
        <w:t xml:space="preserve">جدول (1): توزيع عيّنة الدراسة على المؤثرين</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2200"/>
        <w:gridCol w:w="2600"/>
        <w:gridCol w:w="1900"/>
        <w:gridCol w:w="1600"/>
      </w:tblGrid>
      <w:tr>
        <w:trPr>
          <w:tblHeader/>
        </w:trPr>
        <w:tc>
          <w:tcPr>
            <w:tcW w:type="dxa" w:w="22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المؤثر</w:t>
            </w:r>
          </w:p>
        </w:tc>
        <w:tc>
          <w:tcPr>
            <w:tcW w:type="dxa" w:w="2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مجال المحتوى</w:t>
            </w:r>
          </w:p>
        </w:tc>
        <w:tc>
          <w:tcPr>
            <w:tcW w:type="dxa" w:w="19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عدد المنشورات</w:t>
            </w:r>
          </w:p>
        </w:tc>
        <w:tc>
          <w:tcPr>
            <w:tcW w:type="dxa" w:w="1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الأول</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عطور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20%</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الثاني</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كوميدي/اجتماعي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6</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24%</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الثالث</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رياضي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20%</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الرابع</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ترويجي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16%</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الخامس</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ترويجي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السادس</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ترويجي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16%</w:t>
            </w:r>
          </w:p>
        </w:tc>
      </w:tr>
      <w:tr>
        <w:trPr>
          <w:tblHeader w:val="false"/>
        </w:trPr>
        <w:tc>
          <w:tcPr>
            <w:tcW w:type="dxa" w:w="22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w:t>
            </w:r>
          </w:p>
        </w:tc>
        <w:tc>
          <w:tcPr>
            <w:tcW w:type="dxa" w:w="19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1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r>
        <w:br w:type="page"/>
      </w:r>
    </w:p>
    <w:p>
      <w:pPr>
        <w:pBdr>
          <w:bottom w:val="single" w:color="2E75B6" w:sz="6" w:space="2"/>
        </w:pBdr>
        <w:bidi/>
        <w:spacing w:after="160" w:before="300"/>
        <w:jc w:val="right"/>
      </w:pPr>
      <w:r>
        <w:rPr>
          <w:rFonts w:ascii="Arial" w:cs="Arial" w:eastAsia="Arial" w:hAnsi="Arial"/>
          <w:b/>
          <w:bCs/>
          <w:color w:val="1F3864"/>
          <w:sz w:val="30"/>
          <w:szCs w:val="30"/>
          <w:rtl/>
        </w:rPr>
        <w:t xml:space="preserve">ثانيًا: نتائج تحليل فئات المضمون</w:t>
      </w:r>
    </w:p>
    <w:p>
      <w:pPr>
        <w:bidi/>
        <w:spacing w:after="100" w:before="220"/>
        <w:jc w:val="right"/>
      </w:pPr>
      <w:r>
        <w:rPr>
          <w:rFonts w:ascii="Arial" w:cs="Arial" w:eastAsia="Arial" w:hAnsi="Arial"/>
          <w:b/>
          <w:bCs/>
          <w:color w:val="548235"/>
          <w:sz w:val="26"/>
          <w:szCs w:val="26"/>
          <w:rtl/>
        </w:rPr>
        <w:t xml:space="preserve">جدول (2): توزيع المنشورات وفق نوع المحتوى</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نوع المحتوى</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تجاري / ترويجي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14</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56%</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ترفيهي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11</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44%</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توعوي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لايف ستايل</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يتبيّن من الجدول (2) أن المحتوى التجاري الترويجي جاء في المرتبة الأولى بنسبة (56%)، يليه المحتوى الترفيهي بنسبة (44%)، في حين غاب المحتوى التوعوي ومحتوى نمط الحياة عن العيّنة تمامًا. ويشير ذلك إلى هيمنة البُعد التجاري والترفيهي على خطاب المؤثرين، وضعف حضور المحتوى الهادف.</w:t>
      </w:r>
    </w:p>
    <w:p>
      <w:pPr>
        <w:bidi/>
        <w:spacing w:after="100" w:before="220"/>
        <w:jc w:val="right"/>
      </w:pPr>
      <w:r>
        <w:rPr>
          <w:rFonts w:ascii="Arial" w:cs="Arial" w:eastAsia="Arial" w:hAnsi="Arial"/>
          <w:b/>
          <w:bCs/>
          <w:color w:val="548235"/>
          <w:sz w:val="26"/>
          <w:szCs w:val="26"/>
          <w:rtl/>
        </w:rPr>
        <w:t xml:space="preserve">جدول (3): وجود المحتوى الترويجي في المنشورات</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الفئة</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يوجد ترويج لمنتج/خدمة</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14</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56%</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لا يوجد ترويج</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11</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44%</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يوضح الجدول (3) أن أكثر من نصف المنشورات (56%) تضمّنت ترويجًا لمنتج أو خدمة، وهي نسبة مرتفعة تؤكد أن المنصة أصبحت مساحة تجارية بالدرجة الأولى بالنسبة لعدد من المؤثرين.</w:t>
      </w:r>
    </w:p>
    <w:p>
      <w:pPr>
        <w:bidi/>
        <w:spacing w:after="100" w:before="220"/>
        <w:jc w:val="right"/>
      </w:pPr>
      <w:r>
        <w:rPr>
          <w:rFonts w:ascii="Arial" w:cs="Arial" w:eastAsia="Arial" w:hAnsi="Arial"/>
          <w:b/>
          <w:bCs/>
          <w:color w:val="548235"/>
          <w:sz w:val="26"/>
          <w:szCs w:val="26"/>
          <w:rtl/>
        </w:rPr>
        <w:t xml:space="preserve">جدول (4): مدى الإفصاح عن الإعلانات (من إجمالي 14 منشورًا ترويجيًا)</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الفئة</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غير مُفصَح عنه</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9</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64%</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مُفصَح عنه</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36%</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14</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bCs/>
          <w:sz w:val="24"/>
          <w:szCs w:val="24"/>
          <w:rtl/>
        </w:rPr>
        <w:t xml:space="preserve">وتُعدّ هذه أهم نتيجة توصّلت إليها الدراسة؛ </w:t>
      </w:r>
      <w:r>
        <w:rPr>
          <w:rFonts w:ascii="Arial" w:cs="Arial" w:eastAsia="Arial" w:hAnsi="Arial"/>
          <w:sz w:val="24"/>
          <w:szCs w:val="24"/>
          <w:rtl/>
        </w:rPr>
        <w:t xml:space="preserve">إذ إن نحو ثلثي المنشورات الترويجية (64%) لم يُفصَح فيها عن كونها إعلانًا أو شراكة مدفوعة، واعتمدت بدلًا من ذلك على أدوات غير مباشرة مثل أكواد الخصم والروابط في السيرة الشخصية (البايو). وهذا يعني أن المتابع يتلقى رسالة تجارية وهو يعتقد أنها رأي شخصي صادق.</w:t>
      </w:r>
    </w:p>
    <w:p>
      <w:pPr>
        <w:bidi/>
        <w:spacing w:after="100" w:before="220"/>
        <w:jc w:val="right"/>
      </w:pPr>
      <w:r>
        <w:rPr>
          <w:rFonts w:ascii="Arial" w:cs="Arial" w:eastAsia="Arial" w:hAnsi="Arial"/>
          <w:b/>
          <w:bCs/>
          <w:color w:val="548235"/>
          <w:sz w:val="26"/>
          <w:szCs w:val="26"/>
          <w:rtl/>
        </w:rPr>
        <w:t xml:space="preserve">جدول (5): أساليب الإقناع المستخدمة</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أسلوب الإقناع</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عاطفي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12</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48%</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عقلي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7</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28%</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فكاهة / تسلية</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6</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24%</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يتضح من الجدول (5) تصدّر الأسلوب العاطفي بنسبة (48%)، ثم الأسلوب العقلي (28%)، فالفكاهة (24%). ويدل ذلك على اعتماد المؤثرين في المقام الأول على استثارة مشاعر المتابع بدلًا من تقديم معلومات موضوعية عن المنتج.</w:t>
      </w:r>
    </w:p>
    <w:p>
      <w:pPr>
        <w:bidi/>
        <w:spacing w:after="100" w:before="220"/>
        <w:jc w:val="right"/>
      </w:pPr>
      <w:r>
        <w:rPr>
          <w:rFonts w:ascii="Arial" w:cs="Arial" w:eastAsia="Arial" w:hAnsi="Arial"/>
          <w:b/>
          <w:bCs/>
          <w:color w:val="548235"/>
          <w:sz w:val="26"/>
          <w:szCs w:val="26"/>
          <w:rtl/>
        </w:rPr>
        <w:t xml:space="preserve">جدول (6): مستوى التفاعل مع المنشورات</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مستوى التفاعل (الإعجابات)</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مرتفع (أكثر من 100 ألف)</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متوسط (10–100 ألف)</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25</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100%</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منخفض (أقل من 10 آلاف)</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جاءت جميع منشورات العيّنة (100%) في مستوى التفاعل المتوسط، ما يشير إلى تقارب معدلات التفاعل بين المحتوى الترويجي والمحتوى الترفيهي في العيّنة المدروسة.</w:t>
      </w:r>
    </w:p>
    <w:p>
      <w:r>
        <w:br w:type="page"/>
      </w:r>
    </w:p>
    <w:p>
      <w:pPr>
        <w:pBdr>
          <w:bottom w:val="single" w:color="2E75B6" w:sz="6" w:space="2"/>
        </w:pBdr>
        <w:bidi/>
        <w:spacing w:after="160" w:before="300"/>
        <w:jc w:val="right"/>
      </w:pPr>
      <w:r>
        <w:rPr>
          <w:rFonts w:ascii="Arial" w:cs="Arial" w:eastAsia="Arial" w:hAnsi="Arial"/>
          <w:b/>
          <w:bCs/>
          <w:color w:val="1F3864"/>
          <w:sz w:val="30"/>
          <w:szCs w:val="30"/>
          <w:rtl/>
        </w:rPr>
        <w:t xml:space="preserve">ثالثًا: النتائج العامة للدراسة</w:t>
      </w:r>
    </w:p>
    <w:p>
      <w:pPr>
        <w:bidi/>
        <w:spacing w:after="140" w:before="0" w:line="320"/>
        <w:jc w:val="right"/>
      </w:pPr>
      <w:r>
        <w:rPr>
          <w:rFonts w:ascii="Arial" w:cs="Arial" w:eastAsia="Arial" w:hAnsi="Arial"/>
          <w:b w:val="false"/>
          <w:bCs w:val="false"/>
          <w:i w:val="false"/>
          <w:iCs w:val="false"/>
          <w:sz w:val="24"/>
          <w:szCs w:val="24"/>
          <w:rtl/>
        </w:rPr>
        <w:t xml:space="preserve">1) هيمن المحتوى التجاري الترويجي على خطاب المؤثرين بنسبة (56%)، مقابل (44%) للمحتوى الترفيهي، مع غياب تام للمحتوى التوعوي.</w:t>
      </w:r>
    </w:p>
    <w:p>
      <w:pPr>
        <w:bidi/>
        <w:spacing w:after="140" w:before="0" w:line="320"/>
        <w:jc w:val="right"/>
      </w:pPr>
      <w:r>
        <w:rPr>
          <w:rFonts w:ascii="Arial" w:cs="Arial" w:eastAsia="Arial" w:hAnsi="Arial"/>
          <w:b w:val="false"/>
          <w:bCs w:val="false"/>
          <w:i w:val="false"/>
          <w:iCs w:val="false"/>
          <w:sz w:val="24"/>
          <w:szCs w:val="24"/>
          <w:rtl/>
        </w:rPr>
        <w:t xml:space="preserve">2) تضمّن (56%) من إجمالي المنشورات ترويجًا صريحًا أو ضمنيًا لمنتجات وخدمات.</w:t>
      </w:r>
    </w:p>
    <w:p>
      <w:pPr>
        <w:bidi/>
        <w:spacing w:after="140" w:before="0" w:line="320"/>
        <w:jc w:val="right"/>
      </w:pPr>
      <w:r>
        <w:rPr>
          <w:rFonts w:ascii="Arial" w:cs="Arial" w:eastAsia="Arial" w:hAnsi="Arial"/>
          <w:b w:val="false"/>
          <w:bCs w:val="false"/>
          <w:i w:val="false"/>
          <w:iCs w:val="false"/>
          <w:sz w:val="24"/>
          <w:szCs w:val="24"/>
          <w:rtl/>
        </w:rPr>
        <w:t xml:space="preserve">3) لم يُفصَح عن الطابع الإعلاني في (64%) من المنشورات الترويجية، واعتمدت على أكواد الخصم والروابط دون توضيح أنها شراكة مدفوعة.</w:t>
      </w:r>
    </w:p>
    <w:p>
      <w:pPr>
        <w:bidi/>
        <w:spacing w:after="140" w:before="0" w:line="320"/>
        <w:jc w:val="right"/>
      </w:pPr>
      <w:r>
        <w:rPr>
          <w:rFonts w:ascii="Arial" w:cs="Arial" w:eastAsia="Arial" w:hAnsi="Arial"/>
          <w:b w:val="false"/>
          <w:bCs w:val="false"/>
          <w:i w:val="false"/>
          <w:iCs w:val="false"/>
          <w:sz w:val="24"/>
          <w:szCs w:val="24"/>
          <w:rtl/>
        </w:rPr>
        <w:t xml:space="preserve">4) تصدّر الأسلوب العاطفي أساليب الإقناع بنسبة (48%)، ما يعني أن الإقناع يقوم على المشاعر أكثر من المعلومة.</w:t>
      </w:r>
    </w:p>
    <w:p>
      <w:pPr>
        <w:bidi/>
        <w:spacing w:after="140" w:before="0" w:line="320"/>
        <w:jc w:val="right"/>
      </w:pPr>
      <w:r>
        <w:rPr>
          <w:rFonts w:ascii="Arial" w:cs="Arial" w:eastAsia="Arial" w:hAnsi="Arial"/>
          <w:b w:val="false"/>
          <w:bCs w:val="false"/>
          <w:i w:val="false"/>
          <w:iCs w:val="false"/>
          <w:sz w:val="24"/>
          <w:szCs w:val="24"/>
          <w:rtl/>
        </w:rPr>
        <w:t xml:space="preserve">5) اختلفت أنماط المؤثرين فيما بينها؛ فبعضهم يقوم محتواه بالكامل على الترويج التجاري، وبعضهم ترفيهي خالٍ من الإعلانات، وهو ما يعكس تبايُن أنماط الخطاب على المنصة.</w:t>
      </w:r>
    </w:p>
    <w:p>
      <w:pPr>
        <w:bidi/>
        <w:spacing w:after="140" w:before="0" w:line="320"/>
        <w:jc w:val="right"/>
      </w:pPr>
      <w:r>
        <w:rPr>
          <w:rFonts w:ascii="Arial" w:cs="Arial" w:eastAsia="Arial" w:hAnsi="Arial"/>
          <w:b w:val="false"/>
          <w:bCs w:val="false"/>
          <w:i w:val="false"/>
          <w:iCs w:val="false"/>
          <w:sz w:val="24"/>
          <w:szCs w:val="24"/>
          <w:rtl/>
        </w:rPr>
        <w:t xml:space="preserve">6) تباينت سياسات الإفصاح بين المؤثرين أنفسهم؛ فبعضهم يُفصح عن الإعلان بوضوح، وبعضهم يدمجه في المحتوى دون تنبيه المتابع.</w:t>
      </w:r>
    </w:p>
    <w:p>
      <w:pPr>
        <w:pBdr>
          <w:bottom w:val="single" w:color="2E75B6" w:sz="6" w:space="2"/>
        </w:pBdr>
        <w:bidi/>
        <w:spacing w:after="160" w:before="300"/>
        <w:jc w:val="right"/>
      </w:pPr>
      <w:r>
        <w:rPr>
          <w:rFonts w:ascii="Arial" w:cs="Arial" w:eastAsia="Arial" w:hAnsi="Arial"/>
          <w:b/>
          <w:bCs/>
          <w:color w:val="1F3864"/>
          <w:sz w:val="30"/>
          <w:szCs w:val="30"/>
          <w:rtl/>
        </w:rPr>
        <w:t xml:space="preserve">رابعًا: مناقشة النتائج في ضوء الدراسات السابقة</w:t>
      </w:r>
    </w:p>
    <w:p>
      <w:pPr>
        <w:bidi/>
        <w:spacing w:after="140" w:before="0" w:line="320"/>
        <w:jc w:val="right"/>
      </w:pPr>
      <w:r>
        <w:rPr>
          <w:rFonts w:ascii="Arial" w:cs="Arial" w:eastAsia="Arial" w:hAnsi="Arial"/>
          <w:b w:val="false"/>
          <w:bCs w:val="false"/>
          <w:i w:val="false"/>
          <w:iCs w:val="false"/>
          <w:sz w:val="24"/>
          <w:szCs w:val="24"/>
          <w:rtl/>
        </w:rPr>
        <w:t xml:space="preserve">تتفق نتائج هذه الدراسة مع ما توصّلت إليه دراسة هوجنس وجرونلي (2025) التي وصفت تيك توك بأنه "ملعب تجاري" تتخفى فيه الرسائل التجارية خلف قناع الترفيه، إذ أظهرت الدراسة الحالية أن ثلثي المحتوى الترويجي يُقدَّم دون إفصاح.</w:t>
      </w:r>
    </w:p>
    <w:p>
      <w:pPr>
        <w:bidi/>
        <w:spacing w:after="140" w:before="0" w:line="320"/>
        <w:jc w:val="right"/>
      </w:pPr>
      <w:r>
        <w:rPr>
          <w:rFonts w:ascii="Arial" w:cs="Arial" w:eastAsia="Arial" w:hAnsi="Arial"/>
          <w:b w:val="false"/>
          <w:bCs w:val="false"/>
          <w:i w:val="false"/>
          <w:iCs w:val="false"/>
          <w:sz w:val="24"/>
          <w:szCs w:val="24"/>
          <w:rtl/>
        </w:rPr>
        <w:t xml:space="preserve">كما تنسجم مع دراسة أزمة الثقة (2025) التي أكدت أن عدم الإفصاح عن الإعلانات الممولة هو العامل الأقوى في زعزعة ثقة المستهلك.</w:t>
      </w:r>
    </w:p>
    <w:p>
      <w:pPr>
        <w:bidi/>
        <w:spacing w:after="140" w:before="0" w:line="320"/>
        <w:jc w:val="right"/>
      </w:pPr>
      <w:r>
        <w:rPr>
          <w:rFonts w:ascii="Arial" w:cs="Arial" w:eastAsia="Arial" w:hAnsi="Arial"/>
          <w:b w:val="false"/>
          <w:bCs w:val="false"/>
          <w:i w:val="false"/>
          <w:iCs w:val="false"/>
          <w:sz w:val="24"/>
          <w:szCs w:val="24"/>
          <w:rtl/>
        </w:rPr>
        <w:t xml:space="preserve">وتتقارب أيضًا مع دراسة عيسى المستنير (2024) في ضعف حضور المحتوى الجاد والتوعوي لدى المؤثرين الأكثر شهرة، وهو ما ظهر في العيّنة الحالية بغياب المحتوى التوعوي كليًا.</w:t>
      </w:r>
    </w:p>
    <w:p>
      <w:pPr>
        <w:bidi/>
        <w:spacing w:after="140" w:before="0" w:line="320"/>
        <w:jc w:val="right"/>
      </w:pPr>
      <w:r>
        <w:rPr>
          <w:rFonts w:ascii="Arial" w:cs="Arial" w:eastAsia="Arial" w:hAnsi="Arial"/>
          <w:b w:val="false"/>
          <w:bCs w:val="false"/>
          <w:i w:val="false"/>
          <w:iCs w:val="false"/>
          <w:sz w:val="24"/>
          <w:szCs w:val="24"/>
          <w:rtl/>
        </w:rPr>
        <w:t xml:space="preserve">وأخيرًا، يتوافق تصدّر الأسلوب العاطفي مع ما رصدته الدراسات التي ربطت بين الاستثارة الوجدانية وقرارات الشراء الاندفاعي لدى متابعي المؤثرين.</w:t>
      </w:r>
    </w:p>
    <w:p>
      <w:pPr>
        <w:pBdr>
          <w:bottom w:val="single" w:color="2E75B6" w:sz="6" w:space="2"/>
        </w:pBdr>
        <w:bidi/>
        <w:spacing w:after="160" w:before="300"/>
        <w:jc w:val="right"/>
      </w:pPr>
      <w:r>
        <w:rPr>
          <w:rFonts w:ascii="Arial" w:cs="Arial" w:eastAsia="Arial" w:hAnsi="Arial"/>
          <w:b/>
          <w:bCs/>
          <w:color w:val="1F3864"/>
          <w:sz w:val="30"/>
          <w:szCs w:val="30"/>
          <w:rtl/>
        </w:rPr>
        <w:t xml:space="preserve">خامسًا: حدود الدراسة</w:t>
      </w:r>
    </w:p>
    <w:p>
      <w:pPr>
        <w:bidi/>
        <w:spacing w:after="200" w:before="0" w:line="320"/>
        <w:jc w:val="right"/>
      </w:pPr>
      <w:r>
        <w:rPr>
          <w:rFonts w:ascii="Arial" w:cs="Arial" w:eastAsia="Arial" w:hAnsi="Arial"/>
          <w:b w:val="false"/>
          <w:bCs w:val="false"/>
          <w:i w:val="false"/>
          <w:iCs w:val="false"/>
          <w:sz w:val="24"/>
          <w:szCs w:val="24"/>
          <w:rtl/>
        </w:rPr>
        <w:t xml:space="preserve">اقتصرت الدراسة على عيّنة قصدية من (25) منشورًا لستة مؤثرين، وهي عيّنة محدودة لا تسمح بتعميم النتائج على جميع المؤثرين على المنصة، إلا أنها تقدّم مؤشرات أولية دالّة على أنماط الخطاب السائدة. كما اعتمد قياس التفاعل على فئات تقديرية (منخفض/متوسط/مرتفع) لا على الأرقام المطلقة.</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2026-07-30T14:20:30.490Z</dcterms:created>
  <dcterms:modified xsi:type="dcterms:W3CDTF">2026-07-30T14:20:30.503Z</dcterms:modified>
</cp:coreProperties>
</file>

<file path=docProps/custom.xml><?xml version="1.0" encoding="utf-8"?>
<Properties xmlns="http://schemas.openxmlformats.org/officeDocument/2006/custom-properties" xmlns:vt="http://schemas.openxmlformats.org/officeDocument/2006/docPropsVTypes"/>
</file>