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E0CE09A" w:rsidR="009125CE" w:rsidRPr="008A328B" w:rsidRDefault="001C3133" w:rsidP="001C313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8A328B">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76FDB78">
            <wp:simplePos x="0" y="0"/>
            <wp:positionH relativeFrom="margin">
              <wp:posOffset>262890</wp:posOffset>
            </wp:positionH>
            <wp:positionV relativeFrom="margin">
              <wp:posOffset>-194310</wp:posOffset>
            </wp:positionV>
            <wp:extent cx="1571625" cy="1457960"/>
            <wp:effectExtent l="0" t="0" r="9525"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1457960"/>
                    </a:xfrm>
                    <a:prstGeom prst="rect">
                      <a:avLst/>
                    </a:prstGeom>
                  </pic:spPr>
                </pic:pic>
              </a:graphicData>
            </a:graphic>
            <wp14:sizeRelH relativeFrom="margin">
              <wp14:pctWidth>0</wp14:pctWidth>
            </wp14:sizeRelH>
            <wp14:sizeRelV relativeFrom="margin">
              <wp14:pctHeight>0</wp14:pctHeight>
            </wp14:sizeRelV>
          </wp:anchor>
        </w:drawing>
      </w:r>
      <w:r w:rsidR="009125CE" w:rsidRPr="008A328B">
        <w:rPr>
          <w:rFonts w:ascii="Simplified Arabic" w:hAnsi="Simplified Arabic" w:cs="Simplified Arabic"/>
          <w:b/>
          <w:bCs/>
          <w:color w:val="000000" w:themeColor="text1"/>
          <w:sz w:val="32"/>
          <w:szCs w:val="32"/>
          <w:rtl/>
          <w:lang w:bidi="ar-EG"/>
        </w:rPr>
        <w:t xml:space="preserve">جامعة ميدأوشن </w:t>
      </w:r>
    </w:p>
    <w:p w14:paraId="1E957002" w14:textId="06073870" w:rsidR="00F546CE" w:rsidRPr="008A328B" w:rsidRDefault="009125CE" w:rsidP="001C313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A328B">
        <w:rPr>
          <w:rFonts w:ascii="Simplified Arabic" w:hAnsi="Simplified Arabic" w:cs="Simplified Arabic"/>
          <w:b/>
          <w:bCs/>
          <w:color w:val="000000" w:themeColor="text1"/>
          <w:sz w:val="32"/>
          <w:szCs w:val="32"/>
          <w:rtl/>
          <w:lang w:bidi="ar-EG"/>
        </w:rPr>
        <w:t xml:space="preserve">كلية </w:t>
      </w:r>
      <w:r w:rsidR="008C42C1" w:rsidRPr="008A328B">
        <w:rPr>
          <w:rFonts w:ascii="Simplified Arabic" w:hAnsi="Simplified Arabic" w:cs="Simplified Arabic"/>
          <w:b/>
          <w:bCs/>
          <w:color w:val="000000" w:themeColor="text1"/>
          <w:sz w:val="32"/>
          <w:szCs w:val="32"/>
          <w:rtl/>
          <w:lang w:bidi="ar-EG"/>
        </w:rPr>
        <w:t>الإدارة</w:t>
      </w:r>
      <w:r w:rsidRPr="008A328B">
        <w:rPr>
          <w:rFonts w:ascii="Simplified Arabic" w:hAnsi="Simplified Arabic" w:cs="Simplified Arabic"/>
          <w:b/>
          <w:bCs/>
          <w:color w:val="000000" w:themeColor="text1"/>
          <w:sz w:val="32"/>
          <w:szCs w:val="32"/>
          <w:rtl/>
          <w:lang w:bidi="ar-EG"/>
        </w:rPr>
        <w:t xml:space="preserve"> </w:t>
      </w:r>
    </w:p>
    <w:p w14:paraId="0217C513" w14:textId="004DB05D" w:rsidR="009125CE" w:rsidRPr="008A328B" w:rsidRDefault="009125CE" w:rsidP="001C313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A328B">
        <w:rPr>
          <w:rFonts w:ascii="Simplified Arabic" w:hAnsi="Simplified Arabic" w:cs="Simplified Arabic"/>
          <w:b/>
          <w:bCs/>
          <w:color w:val="000000" w:themeColor="text1"/>
          <w:sz w:val="32"/>
          <w:szCs w:val="32"/>
          <w:rtl/>
          <w:lang w:bidi="ar-EG"/>
        </w:rPr>
        <w:t>تخصص</w:t>
      </w:r>
      <w:r w:rsidR="00B15A9E" w:rsidRPr="008A328B">
        <w:rPr>
          <w:rFonts w:ascii="Simplified Arabic" w:hAnsi="Simplified Arabic" w:cs="Simplified Arabic"/>
          <w:b/>
          <w:bCs/>
          <w:color w:val="000000" w:themeColor="text1"/>
          <w:sz w:val="32"/>
          <w:szCs w:val="32"/>
          <w:rtl/>
          <w:lang w:bidi="ar-EG"/>
        </w:rPr>
        <w:t xml:space="preserve"> </w:t>
      </w:r>
      <w:r w:rsidR="006111E3" w:rsidRPr="008A328B">
        <w:rPr>
          <w:rFonts w:ascii="Simplified Arabic" w:hAnsi="Simplified Arabic" w:cs="Simplified Arabic"/>
          <w:b/>
          <w:bCs/>
          <w:color w:val="000000" w:themeColor="text1"/>
          <w:sz w:val="32"/>
          <w:szCs w:val="32"/>
          <w:rtl/>
          <w:lang w:bidi="ar-EG"/>
        </w:rPr>
        <w:t xml:space="preserve"> إدارة أعمال</w:t>
      </w:r>
    </w:p>
    <w:p w14:paraId="0A25F43C" w14:textId="77777777" w:rsidR="008C7BB4" w:rsidRPr="008A328B" w:rsidRDefault="008C7BB4" w:rsidP="001C313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D13EEF7" w14:textId="3BC142F3" w:rsidR="001C3133" w:rsidRPr="008A328B" w:rsidRDefault="004744E0" w:rsidP="005A3161">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8A328B">
        <w:rPr>
          <w:rFonts w:ascii="Simplified Arabic" w:hAnsi="Simplified Arabic" w:cs="Simplified Arabic"/>
          <w:b/>
          <w:bCs/>
          <w:color w:val="000000" w:themeColor="text1"/>
          <w:sz w:val="40"/>
          <w:szCs w:val="40"/>
          <w:rtl/>
        </w:rPr>
        <w:t>أثر تبني الذكاء الاصطناعي التوليدي على مؤشرات الأداء وكفاءة الموظفين في الوظائف المعرفية: دراسة حالات متعددة في شركات سعودية في ظل رؤية 2030</w:t>
      </w:r>
    </w:p>
    <w:p w14:paraId="751A7E65" w14:textId="62E6841D" w:rsidR="009125CE" w:rsidRPr="008A328B" w:rsidRDefault="009125CE" w:rsidP="001C31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328B">
        <w:rPr>
          <w:rFonts w:ascii="Simplified Arabic" w:hAnsi="Simplified Arabic" w:cs="Simplified Arabic"/>
          <w:b/>
          <w:bCs/>
          <w:color w:val="000000" w:themeColor="text1"/>
          <w:sz w:val="36"/>
          <w:szCs w:val="36"/>
          <w:rtl/>
          <w:lang w:bidi="ar-EG"/>
        </w:rPr>
        <w:t>إعداد الطالب/</w:t>
      </w:r>
    </w:p>
    <w:p w14:paraId="7FFD4D99" w14:textId="71A4FB27" w:rsidR="005A3161" w:rsidRDefault="00CA4525" w:rsidP="001C31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سارا أحمد محيل المطيري</w:t>
      </w:r>
    </w:p>
    <w:p w14:paraId="20D528F5" w14:textId="0E683C32" w:rsidR="0058553D" w:rsidRPr="008A328B" w:rsidRDefault="005144F1" w:rsidP="001C31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253000251</w:t>
      </w:r>
    </w:p>
    <w:tbl>
      <w:tblPr>
        <w:bidiVisual/>
        <w:tblW w:w="0" w:type="auto"/>
        <w:tblLook w:val="04A0" w:firstRow="1" w:lastRow="0" w:firstColumn="1" w:lastColumn="0" w:noHBand="0" w:noVBand="1"/>
      </w:tblPr>
      <w:tblGrid>
        <w:gridCol w:w="4530"/>
        <w:gridCol w:w="4531"/>
      </w:tblGrid>
      <w:tr w:rsidR="005A3161" w:rsidRPr="008A328B" w14:paraId="2EFE5941" w14:textId="77777777" w:rsidTr="006A273E">
        <w:tc>
          <w:tcPr>
            <w:tcW w:w="4530" w:type="dxa"/>
          </w:tcPr>
          <w:p w14:paraId="3C773D7E" w14:textId="77777777" w:rsidR="005A3161" w:rsidRPr="008A328B" w:rsidRDefault="005A3161" w:rsidP="006A273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328B">
              <w:rPr>
                <w:rFonts w:ascii="Simplified Arabic" w:hAnsi="Simplified Arabic" w:cs="Simplified Arabic" w:hint="cs"/>
                <w:b/>
                <w:bCs/>
                <w:color w:val="000000" w:themeColor="text1"/>
                <w:sz w:val="36"/>
                <w:szCs w:val="36"/>
                <w:rtl/>
                <w:lang w:bidi="ar-EG"/>
              </w:rPr>
              <w:t>المشرف الرئيسي/</w:t>
            </w:r>
          </w:p>
        </w:tc>
        <w:tc>
          <w:tcPr>
            <w:tcW w:w="4531" w:type="dxa"/>
          </w:tcPr>
          <w:p w14:paraId="457EDD58" w14:textId="77777777" w:rsidR="005A3161" w:rsidRPr="008A328B" w:rsidRDefault="005A3161" w:rsidP="006A273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328B">
              <w:rPr>
                <w:rFonts w:ascii="Simplified Arabic" w:hAnsi="Simplified Arabic" w:cs="Simplified Arabic" w:hint="cs"/>
                <w:b/>
                <w:bCs/>
                <w:color w:val="000000" w:themeColor="text1"/>
                <w:sz w:val="36"/>
                <w:szCs w:val="36"/>
                <w:rtl/>
                <w:lang w:bidi="ar-EG"/>
              </w:rPr>
              <w:t>المشرف الثاني/</w:t>
            </w:r>
          </w:p>
        </w:tc>
      </w:tr>
      <w:tr w:rsidR="005A3161" w:rsidRPr="008A328B" w14:paraId="02168329" w14:textId="77777777" w:rsidTr="006A273E">
        <w:tc>
          <w:tcPr>
            <w:tcW w:w="4530" w:type="dxa"/>
          </w:tcPr>
          <w:p w14:paraId="6EB2D5BF" w14:textId="77777777" w:rsidR="005A3161" w:rsidRPr="008A328B" w:rsidRDefault="005A3161" w:rsidP="006A273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328B">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DBEF6FF" w14:textId="77777777" w:rsidR="005A3161" w:rsidRPr="008A328B" w:rsidRDefault="005A3161" w:rsidP="006A273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328B">
              <w:rPr>
                <w:rFonts w:ascii="Simplified Arabic" w:eastAsia="Calibri" w:hAnsi="Simplified Arabic" w:cs="Simplified Arabic"/>
                <w:color w:val="000000" w:themeColor="text1"/>
                <w:kern w:val="0"/>
                <w:sz w:val="36"/>
                <w:szCs w:val="36"/>
                <w:rtl/>
                <w:lang w:bidi="ar-EG"/>
                <w14:ligatures w14:val="none"/>
              </w:rPr>
              <w:t>د.فايز جراد</w:t>
            </w:r>
          </w:p>
        </w:tc>
      </w:tr>
    </w:tbl>
    <w:p w14:paraId="34B26C4D" w14:textId="77777777" w:rsidR="005A3161" w:rsidRPr="008A328B" w:rsidRDefault="005A3161" w:rsidP="005A316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A328B">
        <w:rPr>
          <w:rFonts w:ascii="Simplified Arabic" w:hAnsi="Simplified Arabic" w:cs="Simplified Arabic"/>
          <w:b/>
          <w:bCs/>
          <w:color w:val="000000" w:themeColor="text1"/>
          <w:sz w:val="36"/>
          <w:szCs w:val="36"/>
          <w:rtl/>
          <w:lang w:bidi="ar-EG"/>
        </w:rPr>
        <w:t>العام الدراسي:</w:t>
      </w:r>
    </w:p>
    <w:p w14:paraId="3BF1867D" w14:textId="77777777" w:rsidR="005A3161" w:rsidRPr="008A328B" w:rsidRDefault="005A3161" w:rsidP="005A316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A328B">
        <w:rPr>
          <w:rFonts w:ascii="Simplified Arabic" w:hAnsi="Simplified Arabic" w:cs="Simplified Arabic" w:hint="cs"/>
          <w:color w:val="000000" w:themeColor="text1"/>
          <w:sz w:val="36"/>
          <w:szCs w:val="36"/>
          <w:rtl/>
          <w:lang w:bidi="ar-EG"/>
        </w:rPr>
        <w:t xml:space="preserve">1448 </w:t>
      </w:r>
      <w:r w:rsidRPr="008A328B">
        <w:rPr>
          <w:rFonts w:ascii="Simplified Arabic" w:hAnsi="Simplified Arabic" w:cs="Simplified Arabic"/>
          <w:color w:val="000000" w:themeColor="text1"/>
          <w:sz w:val="36"/>
          <w:szCs w:val="36"/>
          <w:rtl/>
          <w:lang w:bidi="ar-EG"/>
        </w:rPr>
        <w:t>–</w:t>
      </w:r>
      <w:r w:rsidRPr="008A328B">
        <w:rPr>
          <w:rFonts w:ascii="Simplified Arabic" w:hAnsi="Simplified Arabic" w:cs="Simplified Arabic" w:hint="cs"/>
          <w:color w:val="000000" w:themeColor="text1"/>
          <w:sz w:val="36"/>
          <w:szCs w:val="36"/>
          <w:rtl/>
          <w:lang w:bidi="ar-EG"/>
        </w:rPr>
        <w:t xml:space="preserve"> 2026</w:t>
      </w:r>
    </w:p>
    <w:p w14:paraId="18912457" w14:textId="77777777" w:rsidR="005A3161" w:rsidRPr="008A328B" w:rsidRDefault="005A3161" w:rsidP="005A316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5A3161" w:rsidRPr="008A328B" w:rsidSect="005A3161">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57D0CAA0" w14:textId="6410DF58" w:rsidR="005A3161" w:rsidRPr="008A328B" w:rsidRDefault="005A3161" w:rsidP="005A3161">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823310"/>
      <w:bookmarkStart w:id="1" w:name="_Hlk172151144"/>
      <w:bookmarkStart w:id="2" w:name="_Toc169790489"/>
      <w:r w:rsidRPr="008A328B">
        <w:rPr>
          <w:rFonts w:ascii="Simplified Arabic" w:hAnsi="Simplified Arabic" w:cs="Simplified Arabic" w:hint="cs"/>
          <w:b/>
          <w:bCs/>
          <w:color w:val="000000" w:themeColor="text1"/>
          <w:sz w:val="40"/>
          <w:szCs w:val="40"/>
          <w:rtl/>
        </w:rPr>
        <w:t>الفصل الأول: الإطار العام للدراسة</w:t>
      </w:r>
      <w:bookmarkEnd w:id="0"/>
    </w:p>
    <w:p w14:paraId="7FFA5129" w14:textId="142C2FCB" w:rsidR="005A3161" w:rsidRPr="008A328B" w:rsidRDefault="005A3161" w:rsidP="005A3161">
      <w:pPr>
        <w:pStyle w:val="a8"/>
        <w:bidi/>
        <w:spacing w:line="276" w:lineRule="auto"/>
        <w:outlineLvl w:val="1"/>
        <w:rPr>
          <w:rFonts w:ascii="Simplified Arabic" w:hAnsi="Simplified Arabic" w:cs="Simplified Arabic"/>
          <w:b/>
          <w:bCs/>
          <w:color w:val="000000" w:themeColor="text1"/>
          <w:sz w:val="36"/>
          <w:szCs w:val="36"/>
          <w:rtl/>
        </w:rPr>
      </w:pPr>
      <w:bookmarkStart w:id="3" w:name="_Toc233823311"/>
      <w:r w:rsidRPr="008A328B">
        <w:rPr>
          <w:rFonts w:ascii="Simplified Arabic" w:hAnsi="Simplified Arabic" w:cs="Simplified Arabic" w:hint="cs"/>
          <w:b/>
          <w:bCs/>
          <w:color w:val="000000" w:themeColor="text1"/>
          <w:sz w:val="36"/>
          <w:szCs w:val="36"/>
          <w:rtl/>
        </w:rPr>
        <w:t>1.1 المقدمة</w:t>
      </w:r>
      <w:bookmarkEnd w:id="3"/>
    </w:p>
    <w:p w14:paraId="50B7973D" w14:textId="0D7EFA6F"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يعيش العالم المعاصر موجة تحول رقمي غير مسبوقة أعادت تشكيل مفاهيم العمل والإنتاجية والتنافسية المؤسسية، إذ باتت التقنيات الناشئة تُمثِّل محركاً رئيساً للنمو الاقتصادي وركيزة أساسية في استراتيجيات المنظمات الساعية إلى تعزيز مكانتها في أسواق تتسم بالتعقيد والديناميكية المتسارعة. وقد برز الذكاء الاصطناعي بوصفه أكثر هذه التقنيات تأثيراً وأوسعها نطاقاً، حيث تجاوز دوره التقليدي في أتمتة المهام الروتينية ليمتد إلى صميم العمل المعرفي الذي كان يُعدّ حكراً على القدرات الذهنية البشرية العليا كالتحليل والاستدلال والإبداع</w:t>
      </w:r>
      <w:r w:rsidRPr="008A328B">
        <w:rPr>
          <w:rFonts w:ascii="Simplified Arabic" w:hAnsi="Simplified Arabic" w:cs="Simplified Arabic"/>
          <w:color w:val="000000" w:themeColor="text1"/>
          <w:sz w:val="28"/>
          <w:szCs w:val="28"/>
        </w:rPr>
        <w:t xml:space="preserve"> (Brynjolfsson&amp; Raymond, 2025).</w:t>
      </w:r>
    </w:p>
    <w:p w14:paraId="2E31E823" w14:textId="77777777"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وفي خضم هذا التحول، يُمثِّل الذكاء الاصطناعي التوليدي النقلة النوعية الأحدث والأكثر جدلاً في مسيرة تطور الذكاء الاصطناعي، إذ تتميز نماذجه بقدرتها الفريدة على إنتاج محتوى جديد ومتنوع يشمل النصوص والصور والأكواد البرمجية والتحليلات، مما يُتيح للمنظمات إعادة هندسة عملياتها المعرفية على نحو جذري. وقد أظهرت الأدبيات الحديثة أن تبني هذه التقنية في بيئات العمل يتطلب توافر منظومة متكاملة من العوامل التنظيمية تتضمن البنية التحتية التقنية الملائمة، وتأهيل الكوادر البشرية، والدعم القيادي الفاعل، فضلاً عن تكامل العمليات المؤسسية مع أدوات الأتمتة الذكية (سعيدي، 2025). كما أن تبني هذه التقنية لا يقتصر على الجانب التقني المحض، بل يستلزم تحولاً ثقافياً وتنظيمياً عميقاً يُعيد صياغة العلاقة بين الإنسان والآلة في سياق العمل المعرفي</w:t>
      </w:r>
      <w:r w:rsidRPr="008A328B">
        <w:rPr>
          <w:rFonts w:ascii="Simplified Arabic" w:hAnsi="Simplified Arabic" w:cs="Simplified Arabic"/>
          <w:color w:val="000000" w:themeColor="text1"/>
          <w:sz w:val="28"/>
          <w:szCs w:val="28"/>
        </w:rPr>
        <w:t xml:space="preserve"> (Agarwal &amp; Ojha, 2025).</w:t>
      </w:r>
    </w:p>
    <w:p w14:paraId="4BA3638D" w14:textId="33D6F13D"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تحظى مؤشرات الأداء الوظيفي وكفاءة الموظفين باهتمام متزايد في الأدبيات الإدارية المعاصرة، ولا سيما في ظل تنامي الاعتماد على الأدوات التقنية الذكية في تنفيذ المهام المعرفية</w:t>
      </w:r>
      <w:r w:rsidRPr="008A328B">
        <w:rPr>
          <w:rFonts w:ascii="Simplified Arabic" w:hAnsi="Simplified Arabic" w:cs="Simplified Arabic"/>
          <w:color w:val="000000" w:themeColor="text1"/>
          <w:sz w:val="28"/>
          <w:szCs w:val="28"/>
        </w:rPr>
        <w:t xml:space="preserve">. </w:t>
      </w:r>
      <w:r w:rsidRPr="008A328B">
        <w:rPr>
          <w:rFonts w:ascii="Simplified Arabic" w:hAnsi="Simplified Arabic" w:cs="Simplified Arabic"/>
          <w:color w:val="000000" w:themeColor="text1"/>
          <w:sz w:val="28"/>
          <w:szCs w:val="28"/>
          <w:rtl/>
        </w:rPr>
        <w:t>وتُشير الدراسات إلى أن الأداء في الوظائف المعرفية يتسم بطبيعة متعددة الأبعاد تتجاوز مقاييس الكم والسرعة لتشمل جودة المخرجات ودقة اتخاذ القرار والقدرة على الابتكار في حل المشكلات المعقدة (الشعار، الصرايرة، والعدوان، 2024). وتُعدّ كفاءة الموظفين المعرفيين تحديداً من أبرز المحددات التي تُميِّز المنظمات عالية الأداء عن غيرها، إذ يرتبط أداء هؤلاء الموظفين ارتباطاً وثيقاً بقدرة المنظمة على توليد المعرفة واستثمارها وتحويلها إلى ميزة تنافسية مستدامة</w:t>
      </w:r>
      <w:r w:rsidRPr="008A328B">
        <w:rPr>
          <w:rFonts w:ascii="Simplified Arabic" w:hAnsi="Simplified Arabic" w:cs="Simplified Arabic"/>
          <w:color w:val="000000" w:themeColor="text1"/>
          <w:sz w:val="28"/>
          <w:szCs w:val="28"/>
        </w:rPr>
        <w:t xml:space="preserve"> (Saleem</w:t>
      </w:r>
      <w:r w:rsidR="004744E0" w:rsidRPr="008A328B">
        <w:rPr>
          <w:rFonts w:ascii="Simplified Arabic" w:hAnsi="Simplified Arabic" w:cs="Simplified Arabic"/>
          <w:color w:val="000000" w:themeColor="text1"/>
          <w:sz w:val="28"/>
          <w:szCs w:val="28"/>
        </w:rPr>
        <w:t xml:space="preserve"> etal.</w:t>
      </w:r>
      <w:r w:rsidRPr="008A328B">
        <w:rPr>
          <w:rFonts w:ascii="Simplified Arabic" w:hAnsi="Simplified Arabic" w:cs="Simplified Arabic"/>
          <w:color w:val="000000" w:themeColor="text1"/>
          <w:sz w:val="28"/>
          <w:szCs w:val="28"/>
        </w:rPr>
        <w:t>, 2024).</w:t>
      </w:r>
    </w:p>
    <w:p w14:paraId="562EF415" w14:textId="77777777"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ويكتسب البحث في العلاقة بين تبني الذكاء الاصطناعي التوليدي ومؤشرات الأداء أهمية خاصة في السياق السعودي، حيث تسعى المملكة العربية السعودية من خلال رؤية 2030 واستراتيجيتها الوطنية للبيانات والذكاء الاصطناعي إلى بناء اقتصاد معرفي متنوع يرتكز على التقنية والابتكار. وقد رصدت المملكة استثمارات تتجاوز 75 مليار ريال في مجال الذكاء الاصطناعي واستهدفت الارتقاء إلى مصاف أفضل 15 دولة عالمياً في الجاهزية لهذا المجال، مما يجعل دراسة أثر هذا التبني على كفاءة رأس المال البشري المعرفي ضرورة بحثية وعملية في آن واحد (الدهشان والمنصوري، 2025)</w:t>
      </w:r>
      <w:r w:rsidRPr="008A328B">
        <w:rPr>
          <w:rFonts w:ascii="Simplified Arabic" w:hAnsi="Simplified Arabic" w:cs="Simplified Arabic"/>
          <w:color w:val="000000" w:themeColor="text1"/>
          <w:sz w:val="28"/>
          <w:szCs w:val="28"/>
        </w:rPr>
        <w:t>.</w:t>
      </w:r>
    </w:p>
    <w:p w14:paraId="6256BDFE" w14:textId="77777777"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وعليه، تأتي هذه الدراسة لتستقصي أثر تبني الذكاء الاصطناعي التوليدي بأبعاده المتمثلة في البنية التحتية التقنية والجاهزية الرقمية، وكفاءة الموارد البشرية وتأهيلها، ودعم القيادة التنظيمية والثقافة المؤسسية، وتكامل العمليات والأتمتة الذكية، على مؤشرات الأداء وكفاءة الموظفين في الوظائف المعرفية بالشركات السعودية، ساعيةً إلى تقديم إسهام علمي وعملي يُثري الأدبيات العربية في هذا الحقل البحثي الناشئ ويُزوِّد صانعي القرار بأدلة بحثية تدعم مسيرة التحول الرقمي الوطني</w:t>
      </w:r>
      <w:r w:rsidRPr="008A328B">
        <w:rPr>
          <w:rFonts w:ascii="Simplified Arabic" w:hAnsi="Simplified Arabic" w:cs="Simplified Arabic"/>
          <w:color w:val="000000" w:themeColor="text1"/>
          <w:sz w:val="28"/>
          <w:szCs w:val="28"/>
        </w:rPr>
        <w:t>.</w:t>
      </w:r>
    </w:p>
    <w:p w14:paraId="570466D0" w14:textId="0DA0282F" w:rsidR="005A3161" w:rsidRPr="008A328B" w:rsidRDefault="005A3161" w:rsidP="005A3161">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823312"/>
      <w:bookmarkStart w:id="5" w:name="_Toc223935779"/>
      <w:bookmarkStart w:id="6" w:name="_Toc169790500"/>
      <w:bookmarkEnd w:id="1"/>
      <w:bookmarkEnd w:id="2"/>
      <w:r w:rsidRPr="008A328B">
        <w:rPr>
          <w:rFonts w:ascii="Simplified Arabic" w:hAnsi="Simplified Arabic" w:cs="Simplified Arabic"/>
          <w:b/>
          <w:bCs/>
          <w:color w:val="000000" w:themeColor="text1"/>
          <w:sz w:val="36"/>
          <w:szCs w:val="36"/>
          <w:rtl/>
        </w:rPr>
        <w:t>2.1 مشكلة الدراسة</w:t>
      </w:r>
      <w:bookmarkEnd w:id="4"/>
    </w:p>
    <w:p w14:paraId="3CD09BB2" w14:textId="77777777"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يشهد العالم تحولاً جذرياً غير مسبوق في بنية العمل المعرفي مدفوعاً بالانتشار المتسارع لتقنيات الذكاء الاصطناعي التوليدي، تلك التقنيات التي انتقلت في غضون أشهر قليلة من المختبرات البحثية إلى صميم العمليات التشغيلية اليومية في المنظمات. وقد كشف تقرير ماكنزي</w:t>
      </w:r>
      <w:r w:rsidRPr="008A328B">
        <w:rPr>
          <w:rFonts w:ascii="Simplified Arabic" w:hAnsi="Simplified Arabic" w:cs="Simplified Arabic"/>
          <w:color w:val="000000" w:themeColor="text1"/>
          <w:sz w:val="28"/>
          <w:szCs w:val="28"/>
        </w:rPr>
        <w:t xml:space="preserve"> (McKinsey, 2025) </w:t>
      </w:r>
      <w:r w:rsidRPr="008A328B">
        <w:rPr>
          <w:rFonts w:ascii="Simplified Arabic" w:hAnsi="Simplified Arabic" w:cs="Simplified Arabic"/>
          <w:color w:val="000000" w:themeColor="text1"/>
          <w:sz w:val="28"/>
          <w:szCs w:val="28"/>
          <w:rtl/>
        </w:rPr>
        <w:t>عن مفارقة لافتة تُلخِّص جوهر الإشكالية المعاصرة، إذ بيَّن أن 92% من الشركات عالمياً تُخطِّط لزيادة استثماراتها في الذكاء الاصطناعي التوليدي خلال السنوات الثلاث المقبلة، غير أن 1% فقط من قياداتها تصف مستوى نضجها في نشر هذه التقنيات بأنه "ناضج" ومُدمَج فعلياً في تدفقات العمل بما يُولِّد قيمة مؤسسية حقيقية. وتكشف هذه الفجوة الصارخة بين ضخامة الاستثمار وضآلة النضج عن إشكالية هيكلية عميقة تتجاوز مجرد تبني التقنية إلى كيفية ترجمتها فعلياً إلى مؤشرات أداء قابلة للقياس وكفاءة ملموسة في مخرجات الموظفين المعرفيين</w:t>
      </w:r>
      <w:r w:rsidRPr="008A328B">
        <w:rPr>
          <w:rFonts w:ascii="Simplified Arabic" w:hAnsi="Simplified Arabic" w:cs="Simplified Arabic"/>
          <w:color w:val="000000" w:themeColor="text1"/>
          <w:sz w:val="28"/>
          <w:szCs w:val="28"/>
        </w:rPr>
        <w:t>.</w:t>
      </w:r>
    </w:p>
    <w:p w14:paraId="29F1D116" w14:textId="48C9E91E"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وفي السياق السعودي تحديداً، تتضاعف أبعاد هذه الإشكالية وتتشابك مع خصوصيات التحول الوطني. فقد أظهر مسح</w:t>
      </w:r>
      <w:r w:rsidRPr="008A328B">
        <w:rPr>
          <w:rFonts w:ascii="Simplified Arabic" w:hAnsi="Simplified Arabic" w:cs="Simplified Arabic"/>
          <w:color w:val="000000" w:themeColor="text1"/>
          <w:sz w:val="28"/>
          <w:szCs w:val="28"/>
        </w:rPr>
        <w:t xml:space="preserve"> SAP-YouGov (2025) </w:t>
      </w:r>
      <w:r w:rsidRPr="008A328B">
        <w:rPr>
          <w:rFonts w:ascii="Simplified Arabic" w:hAnsi="Simplified Arabic" w:cs="Simplified Arabic"/>
          <w:color w:val="000000" w:themeColor="text1"/>
          <w:sz w:val="28"/>
          <w:szCs w:val="28"/>
          <w:rtl/>
        </w:rPr>
        <w:t>أن 81% من الشركات السعودية باتت تستخدم بالفعل حلول الذكاء الاصطناعي المُخصَّصة لقطاعاتها، وأن 96% منها تعتزم الاستثمار في جودة البيانات وتوحيدها خلال الاثني عشر شهراً المقبلة. كما أوضح مسح</w:t>
      </w:r>
      <w:r w:rsidRPr="008A328B">
        <w:rPr>
          <w:rFonts w:ascii="Simplified Arabic" w:hAnsi="Simplified Arabic" w:cs="Simplified Arabic"/>
          <w:color w:val="000000" w:themeColor="text1"/>
          <w:sz w:val="28"/>
          <w:szCs w:val="28"/>
        </w:rPr>
        <w:t xml:space="preserve"> PwC </w:t>
      </w:r>
      <w:r w:rsidRPr="008A328B">
        <w:rPr>
          <w:rFonts w:ascii="Simplified Arabic" w:hAnsi="Simplified Arabic" w:cs="Simplified Arabic"/>
          <w:color w:val="000000" w:themeColor="text1"/>
          <w:sz w:val="28"/>
          <w:szCs w:val="28"/>
          <w:rtl/>
        </w:rPr>
        <w:t>للقوى العاملة في الشرق الأوسط (2025) أن 75% من الموظفين في المنطقة استخدموا أدوات الذكاء الاصطناعي في أعمالهم خلال العام الماضي — متقدمين على المتوسط العالمي البالغ 69% — وأن نحو ثمانية من كل عشرة موظفين أفادوا بأن الذكاء الاصطناعي حسَّن إنتاجيتهم</w:t>
      </w:r>
      <w:r w:rsidR="004744E0" w:rsidRPr="008A328B">
        <w:rPr>
          <w:rFonts w:ascii="Simplified Arabic" w:hAnsi="Simplified Arabic" w:cs="Simplified Arabic"/>
          <w:color w:val="000000" w:themeColor="text1"/>
          <w:sz w:val="28"/>
          <w:szCs w:val="28"/>
          <w:rtl/>
        </w:rPr>
        <w:t>، و</w:t>
      </w:r>
      <w:r w:rsidRPr="008A328B">
        <w:rPr>
          <w:rFonts w:ascii="Simplified Arabic" w:hAnsi="Simplified Arabic" w:cs="Simplified Arabic"/>
          <w:color w:val="000000" w:themeColor="text1"/>
          <w:sz w:val="28"/>
          <w:szCs w:val="28"/>
          <w:rtl/>
        </w:rPr>
        <w:t>أن هذا التبني الواسع لا يُقابَل بوضوح مماثل في قياس الأثر الفعلي على مؤشرات الأداء المؤسسي وكفاءة الموظفين، لا سيما في الوظائف المعرفية التي تتطلب تفكيراً تحليلياً وإبداعياً معقداً كالاستشارات والتحليل المالي والتسويق الاستراتيجي وإدارة المشاريع</w:t>
      </w:r>
      <w:r w:rsidRPr="008A328B">
        <w:rPr>
          <w:rFonts w:ascii="Simplified Arabic" w:hAnsi="Simplified Arabic" w:cs="Simplified Arabic"/>
          <w:color w:val="000000" w:themeColor="text1"/>
          <w:sz w:val="28"/>
          <w:szCs w:val="28"/>
        </w:rPr>
        <w:t>.</w:t>
      </w:r>
    </w:p>
    <w:p w14:paraId="3CEEEF2A" w14:textId="318E40E7"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وتتجلّى الفجوة البحثية بوضوح حين يُستقرأ أن معظم الدراسات التجريبية الرائدة في هذا الحقل — كدراسة</w:t>
      </w:r>
      <w:r w:rsidRPr="008A328B">
        <w:rPr>
          <w:rFonts w:ascii="Simplified Arabic" w:hAnsi="Simplified Arabic" w:cs="Simplified Arabic"/>
          <w:color w:val="000000" w:themeColor="text1"/>
          <w:sz w:val="28"/>
          <w:szCs w:val="28"/>
        </w:rPr>
        <w:t xml:space="preserve"> Brynjolfsson </w:t>
      </w:r>
      <w:r w:rsidRPr="008A328B">
        <w:rPr>
          <w:rFonts w:ascii="Simplified Arabic" w:hAnsi="Simplified Arabic" w:cs="Simplified Arabic"/>
          <w:color w:val="000000" w:themeColor="text1"/>
          <w:sz w:val="28"/>
          <w:szCs w:val="28"/>
          <w:rtl/>
        </w:rPr>
        <w:t>وزملائه (2025) التي رصدت تحسناً بنسبة 15% في إنتاجية موظفي خدمة العملاء، ودراسة</w:t>
      </w:r>
      <w:r w:rsidRPr="008A328B">
        <w:rPr>
          <w:rFonts w:ascii="Simplified Arabic" w:hAnsi="Simplified Arabic" w:cs="Simplified Arabic"/>
          <w:color w:val="000000" w:themeColor="text1"/>
          <w:sz w:val="28"/>
          <w:szCs w:val="28"/>
        </w:rPr>
        <w:t xml:space="preserve"> Dell'Acqua </w:t>
      </w:r>
      <w:r w:rsidRPr="008A328B">
        <w:rPr>
          <w:rFonts w:ascii="Simplified Arabic" w:hAnsi="Simplified Arabic" w:cs="Simplified Arabic"/>
          <w:color w:val="000000" w:themeColor="text1"/>
          <w:sz w:val="28"/>
          <w:szCs w:val="28"/>
          <w:rtl/>
        </w:rPr>
        <w:t>وزملائه (2023) التي وثَّقت ارتفاعاً بنسبة 12.2% في إنتاجية المستشارين وتسارعاً بنسبة 25.1% في سرعة الإنجاز — قد أُجريت في سياقات غربية وعلى مهام نمطية نسبياً، مما يُثير تساؤلات جوهرية حول قابلية تعميم نتائجها على البيئة التنظيمية السعودية بخصائصها الثقافية والتشريعية والتنموية المميزة، وفي ظل رؤية 2030 التي رصدت استثمارات تتجاوز 75 مليار ريال في الذكاء الاصطناعي واستهدفت أن تكون المملكة من أفضل 15 دولة في جاهزية الذكاء الاصطناعي</w:t>
      </w:r>
      <w:r w:rsidRPr="008A328B">
        <w:rPr>
          <w:rFonts w:ascii="Simplified Arabic" w:hAnsi="Simplified Arabic" w:cs="Simplified Arabic"/>
          <w:color w:val="000000" w:themeColor="text1"/>
          <w:sz w:val="28"/>
          <w:szCs w:val="28"/>
        </w:rPr>
        <w:t>.</w:t>
      </w:r>
    </w:p>
    <w:p w14:paraId="596FB328" w14:textId="0500FC05" w:rsidR="00525FBC" w:rsidRPr="008A328B" w:rsidRDefault="00525FBC" w:rsidP="005A3161">
      <w:pPr>
        <w:pStyle w:val="a8"/>
        <w:bidi/>
        <w:spacing w:line="276" w:lineRule="auto"/>
        <w:ind w:firstLine="424"/>
        <w:jc w:val="both"/>
        <w:rPr>
          <w:rFonts w:ascii="Simplified Arabic" w:hAnsi="Simplified Arabic" w:cs="Simplified Arabic"/>
          <w:color w:val="000000" w:themeColor="text1"/>
          <w:sz w:val="28"/>
          <w:szCs w:val="28"/>
        </w:rPr>
      </w:pPr>
      <w:r w:rsidRPr="008A328B">
        <w:rPr>
          <w:rFonts w:ascii="Simplified Arabic" w:hAnsi="Simplified Arabic" w:cs="Simplified Arabic"/>
          <w:color w:val="000000" w:themeColor="text1"/>
          <w:sz w:val="28"/>
          <w:szCs w:val="28"/>
          <w:rtl/>
        </w:rPr>
        <w:t>وبناءً على ما تقدَّم، تتبلور مشكلة الدراسة في الحاجة العلمية والعملية الملحّة إلى استقصاء أثر تبني الذكاء الاصطناعي التوليدي — بأبعاده الأربعة: البنية التحتية التقنية والجاهزية الرقمية، وكفاءة الموارد البشرية وتأهيلها، ودعم القيادة التنظيمية والثقافة المؤسسية، وتكامل العمليات والأتمتة الذكية — على مؤشرات الأداء وكفاءة الموظفين في الوظائف المعرفية بالشركات السعودية</w:t>
      </w:r>
      <w:r w:rsidRPr="008A328B">
        <w:rPr>
          <w:rFonts w:ascii="Simplified Arabic" w:hAnsi="Simplified Arabic" w:cs="Simplified Arabic"/>
          <w:color w:val="000000" w:themeColor="text1"/>
          <w:sz w:val="28"/>
          <w:szCs w:val="28"/>
        </w:rPr>
        <w:t>.</w:t>
      </w:r>
    </w:p>
    <w:p w14:paraId="46EE8543" w14:textId="0789CCCD" w:rsidR="005A3161" w:rsidRPr="008A328B" w:rsidRDefault="005A3161" w:rsidP="005A316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823313"/>
      <w:bookmarkStart w:id="8" w:name="_Toc223935780"/>
      <w:bookmarkEnd w:id="5"/>
      <w:r w:rsidRPr="008A328B">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454BE317" w14:textId="77777777" w:rsidR="00525FBC" w:rsidRPr="008A328B" w:rsidRDefault="00525FBC" w:rsidP="005A316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تبني الذكاء الاصطناعي التوليدي بأبعاده الأربعة</w:t>
      </w:r>
      <w:r w:rsidRPr="008A328B">
        <w:rPr>
          <w:rFonts w:ascii="Simplified Arabic" w:eastAsia="Times New Roman" w:hAnsi="Simplified Arabic" w:cs="Simplified Arabic"/>
          <w:color w:val="000000" w:themeColor="text1"/>
          <w:kern w:val="0"/>
          <w:sz w:val="28"/>
          <w:szCs w:val="28"/>
          <w14:ligatures w14:val="none"/>
        </w:rPr>
        <w:t xml:space="preserve"> — </w:t>
      </w:r>
      <w:r w:rsidRPr="008A328B">
        <w:rPr>
          <w:rFonts w:ascii="Simplified Arabic" w:eastAsia="Times New Roman" w:hAnsi="Simplified Arabic" w:cs="Simplified Arabic"/>
          <w:color w:val="000000" w:themeColor="text1"/>
          <w:kern w:val="0"/>
          <w:sz w:val="28"/>
          <w:szCs w:val="28"/>
          <w:rtl/>
          <w14:ligatures w14:val="none"/>
        </w:rPr>
        <w:t xml:space="preserve">البنية التحتية التقنية والجاهزية الرقمية، وكفاءة الموارد البشرية وتأهيلها لاستخدام الذكاء الاصطناعي، ودعم القيادة التنظيمية والثقافة المؤسسية، وتكامل العمليات والأتمتة الذكية </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على مؤشرات الأداء وكفاءة الموظفين في الوظائف المعرفية بالشركات السعودية في ظل رؤية 2030</w:t>
      </w:r>
      <w:r w:rsidRPr="008A328B">
        <w:rPr>
          <w:rFonts w:ascii="Simplified Arabic" w:eastAsia="Times New Roman" w:hAnsi="Simplified Arabic" w:cs="Simplified Arabic"/>
          <w:color w:val="000000" w:themeColor="text1"/>
          <w:kern w:val="0"/>
          <w:sz w:val="28"/>
          <w:szCs w:val="28"/>
          <w14:ligatures w14:val="none"/>
        </w:rPr>
        <w:t>.</w:t>
      </w:r>
    </w:p>
    <w:p w14:paraId="263DB4CE" w14:textId="2639D549" w:rsidR="00525FBC" w:rsidRPr="008A328B" w:rsidRDefault="00525FBC"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ويتفرَّع من هذا الهدف الرئيس الأهداف الفرعية التالية</w:t>
      </w:r>
      <w:r w:rsidRPr="008A328B">
        <w:rPr>
          <w:rFonts w:ascii="Simplified Arabic" w:eastAsia="Times New Roman" w:hAnsi="Simplified Arabic" w:cs="Simplified Arabic"/>
          <w:b/>
          <w:bCs/>
          <w:color w:val="000000" w:themeColor="text1"/>
          <w:kern w:val="0"/>
          <w:sz w:val="28"/>
          <w:szCs w:val="28"/>
          <w14:ligatures w14:val="none"/>
        </w:rPr>
        <w:t>:</w:t>
      </w:r>
    </w:p>
    <w:p w14:paraId="284E0CF1"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التعرُّف على واقع تبني الذكاء الاصطناعي التوليدي بأبعاده الأربعة في الشركات السعودية العاملة في الوظائف المعرفية</w:t>
      </w:r>
      <w:r w:rsidRPr="008A328B">
        <w:rPr>
          <w:rFonts w:ascii="Simplified Arabic" w:eastAsia="Times New Roman" w:hAnsi="Simplified Arabic" w:cs="Simplified Arabic"/>
          <w:color w:val="000000" w:themeColor="text1"/>
          <w:kern w:val="0"/>
          <w:sz w:val="28"/>
          <w:szCs w:val="28"/>
          <w14:ligatures w14:val="none"/>
        </w:rPr>
        <w:t>.</w:t>
      </w:r>
    </w:p>
    <w:p w14:paraId="555345AD"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قياس مستوى مؤشرات الأداء الوظيفي وكفاءة الموظفين في الشركات السعودية محل الدراسة</w:t>
      </w:r>
      <w:r w:rsidRPr="008A328B">
        <w:rPr>
          <w:rFonts w:ascii="Simplified Arabic" w:eastAsia="Times New Roman" w:hAnsi="Simplified Arabic" w:cs="Simplified Arabic"/>
          <w:color w:val="000000" w:themeColor="text1"/>
          <w:kern w:val="0"/>
          <w:sz w:val="28"/>
          <w:szCs w:val="28"/>
          <w14:ligatures w14:val="none"/>
        </w:rPr>
        <w:t>.</w:t>
      </w:r>
    </w:p>
    <w:p w14:paraId="76A4ECAA"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تحديد أثر بُعد البنية التحتية التقنية والجاهزية الرقمية على مؤشرات الأداء وكفاءة الموظفين في الوظائف المعرفية</w:t>
      </w:r>
      <w:r w:rsidRPr="008A328B">
        <w:rPr>
          <w:rFonts w:ascii="Simplified Arabic" w:eastAsia="Times New Roman" w:hAnsi="Simplified Arabic" w:cs="Simplified Arabic"/>
          <w:color w:val="000000" w:themeColor="text1"/>
          <w:kern w:val="0"/>
          <w:sz w:val="28"/>
          <w:szCs w:val="28"/>
          <w14:ligatures w14:val="none"/>
        </w:rPr>
        <w:t>.</w:t>
      </w:r>
    </w:p>
    <w:p w14:paraId="30182866"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تحديد أثر بُعد كفاءة الموارد البشرية وتأهيلها لاستخدام الذكاء الاصطناعي على مؤشرات الأداء وكفاءة الموظفين في الوظائف المعرفية</w:t>
      </w:r>
      <w:r w:rsidRPr="008A328B">
        <w:rPr>
          <w:rFonts w:ascii="Simplified Arabic" w:eastAsia="Times New Roman" w:hAnsi="Simplified Arabic" w:cs="Simplified Arabic"/>
          <w:color w:val="000000" w:themeColor="text1"/>
          <w:kern w:val="0"/>
          <w:sz w:val="28"/>
          <w:szCs w:val="28"/>
          <w14:ligatures w14:val="none"/>
        </w:rPr>
        <w:t>.</w:t>
      </w:r>
    </w:p>
    <w:p w14:paraId="29D2A799"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تحديد أثر بُعد دعم القيادة التنظيمية والثقافة المؤسسية على مؤشرات الأداء وكفاءة الموظفين في الوظائف المعرفية</w:t>
      </w:r>
      <w:r w:rsidRPr="008A328B">
        <w:rPr>
          <w:rFonts w:ascii="Simplified Arabic" w:eastAsia="Times New Roman" w:hAnsi="Simplified Arabic" w:cs="Simplified Arabic"/>
          <w:color w:val="000000" w:themeColor="text1"/>
          <w:kern w:val="0"/>
          <w:sz w:val="28"/>
          <w:szCs w:val="28"/>
          <w14:ligatures w14:val="none"/>
        </w:rPr>
        <w:t>.</w:t>
      </w:r>
    </w:p>
    <w:p w14:paraId="11746A8F"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تحديد أثر بُعد تكامل العمليات والأتمتة الذكية على مؤشرات الأداء وكفاءة الموظفين في الوظائف المعرفية</w:t>
      </w:r>
      <w:r w:rsidRPr="008A328B">
        <w:rPr>
          <w:rFonts w:ascii="Simplified Arabic" w:eastAsia="Times New Roman" w:hAnsi="Simplified Arabic" w:cs="Simplified Arabic"/>
          <w:color w:val="000000" w:themeColor="text1"/>
          <w:kern w:val="0"/>
          <w:sz w:val="28"/>
          <w:szCs w:val="28"/>
          <w14:ligatures w14:val="none"/>
        </w:rPr>
        <w:t>.</w:t>
      </w:r>
    </w:p>
    <w:p w14:paraId="426EB127"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تقديم إطار مقترح لتعزيز تبني الذكاء الاصطناعي التوليدي في الشركات السعودية بما يُسهم في تحقيق مستهدفات رؤية </w:t>
      </w:r>
      <w:r w:rsidRPr="008A328B">
        <w:rPr>
          <w:rFonts w:ascii="Simplified Arabic" w:eastAsia="Times New Roman" w:hAnsi="Simplified Arabic" w:cs="Simplified Arabic"/>
          <w:color w:val="000000" w:themeColor="text1"/>
          <w:kern w:val="0"/>
          <w:sz w:val="28"/>
          <w:szCs w:val="28"/>
          <w14:ligatures w14:val="none"/>
        </w:rPr>
        <w:t xml:space="preserve">2030 </w:t>
      </w:r>
      <w:r w:rsidRPr="008A328B">
        <w:rPr>
          <w:rFonts w:ascii="Simplified Arabic" w:eastAsia="Times New Roman" w:hAnsi="Simplified Arabic" w:cs="Simplified Arabic"/>
          <w:color w:val="000000" w:themeColor="text1"/>
          <w:kern w:val="0"/>
          <w:sz w:val="28"/>
          <w:szCs w:val="28"/>
          <w:rtl/>
          <w14:ligatures w14:val="none"/>
        </w:rPr>
        <w:t>المتعلقة بالتحول الرقمي ورفع الإنتاجية</w:t>
      </w:r>
      <w:r w:rsidRPr="008A328B">
        <w:rPr>
          <w:rFonts w:ascii="Simplified Arabic" w:eastAsia="Times New Roman" w:hAnsi="Simplified Arabic" w:cs="Simplified Arabic"/>
          <w:color w:val="000000" w:themeColor="text1"/>
          <w:kern w:val="0"/>
          <w:sz w:val="28"/>
          <w:szCs w:val="28"/>
          <w14:ligatures w14:val="none"/>
        </w:rPr>
        <w:t>.</w:t>
      </w:r>
    </w:p>
    <w:p w14:paraId="2B8EF26C"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رصد أبرز التحديات والمعوقات التي تواجه الشركات السعودية في تبني الذكاء الاصطناعي التوليدي وتوظيفه في الوظائف المعرفية</w:t>
      </w:r>
      <w:r w:rsidRPr="008A328B">
        <w:rPr>
          <w:rFonts w:ascii="Simplified Arabic" w:eastAsia="Times New Roman" w:hAnsi="Simplified Arabic" w:cs="Simplified Arabic"/>
          <w:color w:val="000000" w:themeColor="text1"/>
          <w:kern w:val="0"/>
          <w:sz w:val="28"/>
          <w:szCs w:val="28"/>
          <w14:ligatures w14:val="none"/>
        </w:rPr>
        <w:t>.</w:t>
      </w:r>
    </w:p>
    <w:p w14:paraId="25F6D721" w14:textId="77777777" w:rsidR="00525FBC" w:rsidRPr="008A328B" w:rsidRDefault="00525FBC" w:rsidP="005A3161">
      <w:pPr>
        <w:pStyle w:val="a6"/>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استشراف فرص التطوير المستقبلية لتوظيف الذكاء الاصطناعي التوليدي في تحسين جودة المخرجات المعرفية ورفع الكفاءة التشغيلية للموظفين</w:t>
      </w:r>
      <w:r w:rsidRPr="008A328B">
        <w:rPr>
          <w:rFonts w:ascii="Simplified Arabic" w:eastAsia="Times New Roman" w:hAnsi="Simplified Arabic" w:cs="Simplified Arabic"/>
          <w:color w:val="000000" w:themeColor="text1"/>
          <w:kern w:val="0"/>
          <w:sz w:val="28"/>
          <w:szCs w:val="28"/>
          <w14:ligatures w14:val="none"/>
        </w:rPr>
        <w:t>.</w:t>
      </w:r>
    </w:p>
    <w:p w14:paraId="26E6D3F5" w14:textId="77777777" w:rsidR="005A3161" w:rsidRPr="008A328B" w:rsidRDefault="005A3161" w:rsidP="005A316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823314"/>
      <w:bookmarkStart w:id="10" w:name="_Toc223935789"/>
      <w:bookmarkEnd w:id="8"/>
      <w:r w:rsidRPr="008A328B">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14:paraId="7A01D320" w14:textId="005E3107" w:rsidR="005A3161" w:rsidRPr="008A328B" w:rsidRDefault="005A3161" w:rsidP="005A316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A328B">
        <w:rPr>
          <w:rFonts w:ascii="Simplified Arabic" w:eastAsia="Times New Roman" w:hAnsi="Simplified Arabic" w:cs="Simplified Arabic"/>
          <w:b/>
          <w:bCs/>
          <w:color w:val="000000" w:themeColor="text1"/>
          <w:kern w:val="0"/>
          <w:sz w:val="32"/>
          <w:szCs w:val="32"/>
          <w:rtl/>
          <w14:ligatures w14:val="none"/>
        </w:rPr>
        <w:t>السؤال الرئيس</w:t>
      </w:r>
    </w:p>
    <w:p w14:paraId="78F83B62" w14:textId="77777777" w:rsidR="00525FBC" w:rsidRPr="008A328B" w:rsidRDefault="00525FBC" w:rsidP="005A316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أثر تبني الذكاء الاصطناعي التوليدي بأبعاده (البنية التحتية التقنية والجاهزية الرقمية، كفاءة الموارد البشرية وتأهيلها، دعم القيادة التنظيمية والثقافة المؤسسية، تكامل العمليات والأتمتة الذكية) على مؤشرات الأداء وكفاءة الموظفين في الوظائف المعرفية بالشركات السعودية في ظل رؤية 2030؟</w:t>
      </w:r>
    </w:p>
    <w:p w14:paraId="660B17E9" w14:textId="77777777" w:rsidR="00525FBC" w:rsidRPr="008A328B" w:rsidRDefault="00525FBC" w:rsidP="005A316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الأسئلة الفرعية</w:t>
      </w:r>
    </w:p>
    <w:p w14:paraId="52A1227B" w14:textId="77777777" w:rsidR="00525FBC" w:rsidRPr="008A328B" w:rsidRDefault="00525FBC" w:rsidP="005A3161">
      <w:pPr>
        <w:pStyle w:val="a6"/>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واقع تبني الذكاء الاصطناعي التوليدي بأبعاده الأربعة في الشركات السعودية العاملة في الوظائف المعرفية من وجهة نظر الموظفين؟</w:t>
      </w:r>
    </w:p>
    <w:p w14:paraId="0AB4A48D" w14:textId="77777777" w:rsidR="00525FBC" w:rsidRPr="008A328B" w:rsidRDefault="00525FBC" w:rsidP="005A3161">
      <w:pPr>
        <w:pStyle w:val="a6"/>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مستوى مؤشرات الأداء الوظيفي وكفاءة الموظفين في الشركات السعودية محل الدراسة؟</w:t>
      </w:r>
    </w:p>
    <w:p w14:paraId="4F195CDC" w14:textId="77777777" w:rsidR="00525FBC" w:rsidRPr="008A328B" w:rsidRDefault="00525FBC" w:rsidP="005A3161">
      <w:pPr>
        <w:pStyle w:val="a6"/>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أثر بُعد البنية التحتية التقنية والجاهزية الرقمية على مؤشرات الأداء وكفاءة الموظفين في الوظائف المعرفية؟</w:t>
      </w:r>
    </w:p>
    <w:p w14:paraId="1B0C4123" w14:textId="77777777" w:rsidR="00525FBC" w:rsidRPr="008A328B" w:rsidRDefault="00525FBC" w:rsidP="005A3161">
      <w:pPr>
        <w:pStyle w:val="a6"/>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أثر بُعد كفاءة الموارد البشرية وتأهيلها لاستخدام الذكاء الاصطناعي على مؤشرات الأداء وكفاءة الموظفين في الوظائف المعرفية؟</w:t>
      </w:r>
    </w:p>
    <w:p w14:paraId="402B8DB1" w14:textId="77777777" w:rsidR="00525FBC" w:rsidRPr="008A328B" w:rsidRDefault="00525FBC" w:rsidP="005A3161">
      <w:pPr>
        <w:pStyle w:val="a6"/>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أثر بُعد دعم القيادة التنظيمية والثقافة المؤسسية على مؤشرات الأداء وكفاءة الموظفين في الوظائف المعرفية؟</w:t>
      </w:r>
    </w:p>
    <w:p w14:paraId="61E79F0F" w14:textId="77777777" w:rsidR="00525FBC" w:rsidRPr="008A328B" w:rsidRDefault="00525FBC" w:rsidP="005A3161">
      <w:pPr>
        <w:pStyle w:val="a6"/>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أثر بُعد تكامل العمليات والأتمتة الذكية على مؤشرات الأداء وكفاءة الموظفين في الوظائف المعرفية؟</w:t>
      </w:r>
    </w:p>
    <w:p w14:paraId="2E520B81" w14:textId="77777777" w:rsidR="00525FBC" w:rsidRPr="008A328B" w:rsidRDefault="00525FBC" w:rsidP="005A3161">
      <w:pPr>
        <w:pStyle w:val="a6"/>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أبرز التحديات التي تواجه الشركات السعودية في تبني الذكاء الاصطناعي التوليدي في الوظائف المعرفية؟</w:t>
      </w:r>
    </w:p>
    <w:p w14:paraId="1C901953" w14:textId="77777777" w:rsidR="00525FBC" w:rsidRPr="008A328B" w:rsidRDefault="00525FBC" w:rsidP="005A3161">
      <w:pPr>
        <w:pStyle w:val="a6"/>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ما الإطار المقترح لتعزيز فاعلية تبني الذكاء الاصطناعي التوليدي في تحسين مؤشرات الأداء وكفاءة الموظفين بما يتوافق مع رؤية 2030؟</w:t>
      </w:r>
    </w:p>
    <w:p w14:paraId="5392DB5E" w14:textId="77777777" w:rsidR="006A273E" w:rsidRPr="008A328B" w:rsidRDefault="006A273E" w:rsidP="006A273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823315"/>
      <w:r w:rsidRPr="008A328B">
        <w:rPr>
          <w:rFonts w:ascii="Simplified Arabic" w:eastAsia="Times New Roman" w:hAnsi="Simplified Arabic" w:cs="Simplified Arabic"/>
          <w:b/>
          <w:bCs/>
          <w:color w:val="000000" w:themeColor="text1"/>
          <w:kern w:val="0"/>
          <w:sz w:val="36"/>
          <w:szCs w:val="36"/>
          <w:rtl/>
          <w14:ligatures w14:val="none"/>
        </w:rPr>
        <w:t>5.1 فرضيات الدراسة</w:t>
      </w:r>
      <w:bookmarkEnd w:id="11"/>
    </w:p>
    <w:p w14:paraId="458D43BF" w14:textId="43F6747F" w:rsidR="006A273E" w:rsidRPr="008A328B" w:rsidRDefault="006A273E"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A328B">
        <w:rPr>
          <w:rFonts w:ascii="Simplified Arabic" w:eastAsia="Times New Roman" w:hAnsi="Simplified Arabic" w:cs="Simplified Arabic"/>
          <w:b/>
          <w:bCs/>
          <w:color w:val="000000" w:themeColor="text1"/>
          <w:kern w:val="0"/>
          <w:sz w:val="32"/>
          <w:szCs w:val="32"/>
          <w:rtl/>
          <w14:ligatures w14:val="none"/>
        </w:rPr>
        <w:t>الفرضية الرئيسة</w:t>
      </w:r>
    </w:p>
    <w:p w14:paraId="5A083648" w14:textId="77777777" w:rsidR="00525FBC" w:rsidRPr="008A328B" w:rsidRDefault="00525FBC" w:rsidP="006A273E">
      <w:pPr>
        <w:pStyle w:val="a6"/>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14:ligatures w14:val="none"/>
        </w:rPr>
        <w:t>H</w:t>
      </w:r>
      <w:r w:rsidRPr="008A328B">
        <w:rPr>
          <w:rFonts w:ascii="Times New Roman" w:eastAsia="Times New Roman" w:hAnsi="Times New Roman" w:cs="Times New Roman"/>
          <w:color w:val="000000" w:themeColor="text1"/>
          <w:kern w:val="0"/>
          <w:sz w:val="28"/>
          <w:szCs w:val="28"/>
          <w14:ligatures w14:val="none"/>
        </w:rPr>
        <w:t>₀</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α</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Times New Roman" w:eastAsia="Times New Roman" w:hAnsi="Times New Roman" w:cs="Times New Roman"/>
          <w:color w:val="000000" w:themeColor="text1"/>
          <w:kern w:val="0"/>
          <w:sz w:val="28"/>
          <w:szCs w:val="28"/>
          <w14:ligatures w14:val="none"/>
        </w:rPr>
        <w:t>≤</w:t>
      </w:r>
      <w:r w:rsidRPr="008A328B">
        <w:rPr>
          <w:rFonts w:ascii="Simplified Arabic" w:eastAsia="Times New Roman" w:hAnsi="Simplified Arabic" w:cs="Simplified Arabic"/>
          <w:color w:val="000000" w:themeColor="text1"/>
          <w:kern w:val="0"/>
          <w:sz w:val="28"/>
          <w:szCs w:val="28"/>
          <w14:ligatures w14:val="none"/>
        </w:rPr>
        <w:t xml:space="preserve"> 0.05) </w:t>
      </w:r>
      <w:r w:rsidRPr="008A328B">
        <w:rPr>
          <w:rFonts w:ascii="Simplified Arabic" w:eastAsia="Times New Roman" w:hAnsi="Simplified Arabic" w:cs="Simplified Arabic"/>
          <w:color w:val="000000" w:themeColor="text1"/>
          <w:kern w:val="0"/>
          <w:sz w:val="28"/>
          <w:szCs w:val="28"/>
          <w:rtl/>
          <w14:ligatures w14:val="none"/>
        </w:rPr>
        <w:t>لتبني الذكاء الاصطناعي التوليدي بأبعاده مجتمعة على مؤشرات الأداء وكفاءة الموظفين في الوظائف المعرفية بالشركات السعودية</w:t>
      </w:r>
      <w:r w:rsidRPr="008A328B">
        <w:rPr>
          <w:rFonts w:ascii="Simplified Arabic" w:eastAsia="Times New Roman" w:hAnsi="Simplified Arabic" w:cs="Simplified Arabic"/>
          <w:color w:val="000000" w:themeColor="text1"/>
          <w:kern w:val="0"/>
          <w:sz w:val="28"/>
          <w:szCs w:val="28"/>
          <w14:ligatures w14:val="none"/>
        </w:rPr>
        <w:t>.</w:t>
      </w:r>
    </w:p>
    <w:p w14:paraId="08175E19"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الفرضيات الفرعية</w:t>
      </w:r>
    </w:p>
    <w:p w14:paraId="038194D1" w14:textId="77777777" w:rsidR="00525FBC" w:rsidRPr="008A328B" w:rsidRDefault="00525FBC" w:rsidP="006A273E">
      <w:pPr>
        <w:pStyle w:val="a6"/>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8A328B">
        <w:rPr>
          <w:rFonts w:ascii="Simplified Arabic" w:eastAsia="Times New Roman" w:hAnsi="Simplified Arabic" w:cs="Simplified Arabic"/>
          <w:color w:val="000000" w:themeColor="text1"/>
          <w:kern w:val="0"/>
          <w:sz w:val="28"/>
          <w:szCs w:val="28"/>
          <w14:ligatures w14:val="none"/>
        </w:rPr>
        <w:t>H</w:t>
      </w:r>
      <w:r w:rsidRPr="008A328B">
        <w:rPr>
          <w:rFonts w:ascii="Times New Roman" w:eastAsia="Times New Roman" w:hAnsi="Times New Roman" w:cs="Times New Roman"/>
          <w:color w:val="000000" w:themeColor="text1"/>
          <w:kern w:val="0"/>
          <w:sz w:val="28"/>
          <w:szCs w:val="28"/>
          <w14:ligatures w14:val="none"/>
        </w:rPr>
        <w:t>₀₁</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α</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Times New Roman" w:eastAsia="Times New Roman" w:hAnsi="Times New Roman" w:cs="Times New Roman"/>
          <w:color w:val="000000" w:themeColor="text1"/>
          <w:kern w:val="0"/>
          <w:sz w:val="28"/>
          <w:szCs w:val="28"/>
          <w14:ligatures w14:val="none"/>
        </w:rPr>
        <w:t>≤</w:t>
      </w:r>
      <w:r w:rsidRPr="008A328B">
        <w:rPr>
          <w:rFonts w:ascii="Simplified Arabic" w:eastAsia="Times New Roman" w:hAnsi="Simplified Arabic" w:cs="Simplified Arabic"/>
          <w:color w:val="000000" w:themeColor="text1"/>
          <w:kern w:val="0"/>
          <w:sz w:val="28"/>
          <w:szCs w:val="28"/>
          <w14:ligatures w14:val="none"/>
        </w:rPr>
        <w:t xml:space="preserve"> 0.05) </w:t>
      </w:r>
      <w:r w:rsidRPr="008A328B">
        <w:rPr>
          <w:rFonts w:ascii="Simplified Arabic" w:eastAsia="Times New Roman" w:hAnsi="Simplified Arabic" w:cs="Simplified Arabic"/>
          <w:color w:val="000000" w:themeColor="text1"/>
          <w:kern w:val="0"/>
          <w:sz w:val="28"/>
          <w:szCs w:val="28"/>
          <w:rtl/>
          <w14:ligatures w14:val="none"/>
        </w:rPr>
        <w:t>لبُعد البنية التحتية التقنية والجاهزية الرقمية على مؤشرات الأداء وكفاءة الموظفين في الوظائف المعرفية بالشركات السعودية</w:t>
      </w:r>
      <w:r w:rsidRPr="008A328B">
        <w:rPr>
          <w:rFonts w:ascii="Simplified Arabic" w:eastAsia="Times New Roman" w:hAnsi="Simplified Arabic" w:cs="Simplified Arabic"/>
          <w:color w:val="000000" w:themeColor="text1"/>
          <w:kern w:val="0"/>
          <w:sz w:val="28"/>
          <w:szCs w:val="28"/>
          <w14:ligatures w14:val="none"/>
        </w:rPr>
        <w:t>.</w:t>
      </w:r>
    </w:p>
    <w:p w14:paraId="1D36BE17" w14:textId="77777777" w:rsidR="00525FBC" w:rsidRPr="008A328B" w:rsidRDefault="00525FBC" w:rsidP="006A273E">
      <w:pPr>
        <w:pStyle w:val="a6"/>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14:ligatures w14:val="none"/>
        </w:rPr>
        <w:t>H</w:t>
      </w:r>
      <w:r w:rsidRPr="008A328B">
        <w:rPr>
          <w:rFonts w:ascii="Times New Roman" w:eastAsia="Times New Roman" w:hAnsi="Times New Roman" w:cs="Times New Roman"/>
          <w:color w:val="000000" w:themeColor="text1"/>
          <w:kern w:val="0"/>
          <w:sz w:val="28"/>
          <w:szCs w:val="28"/>
          <w14:ligatures w14:val="none"/>
        </w:rPr>
        <w:t>₀₂</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α</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Times New Roman" w:eastAsia="Times New Roman" w:hAnsi="Times New Roman" w:cs="Times New Roman"/>
          <w:color w:val="000000" w:themeColor="text1"/>
          <w:kern w:val="0"/>
          <w:sz w:val="28"/>
          <w:szCs w:val="28"/>
          <w14:ligatures w14:val="none"/>
        </w:rPr>
        <w:t>≤</w:t>
      </w:r>
      <w:r w:rsidRPr="008A328B">
        <w:rPr>
          <w:rFonts w:ascii="Simplified Arabic" w:eastAsia="Times New Roman" w:hAnsi="Simplified Arabic" w:cs="Simplified Arabic"/>
          <w:color w:val="000000" w:themeColor="text1"/>
          <w:kern w:val="0"/>
          <w:sz w:val="28"/>
          <w:szCs w:val="28"/>
          <w14:ligatures w14:val="none"/>
        </w:rPr>
        <w:t xml:space="preserve"> 0.05) </w:t>
      </w:r>
      <w:r w:rsidRPr="008A328B">
        <w:rPr>
          <w:rFonts w:ascii="Simplified Arabic" w:eastAsia="Times New Roman" w:hAnsi="Simplified Arabic" w:cs="Simplified Arabic"/>
          <w:color w:val="000000" w:themeColor="text1"/>
          <w:kern w:val="0"/>
          <w:sz w:val="28"/>
          <w:szCs w:val="28"/>
          <w:rtl/>
          <w14:ligatures w14:val="none"/>
        </w:rPr>
        <w:t>لبُعد كفاءة الموارد البشرية وتأهيلها لاستخدام الذكاء الاصطناعي على مؤشرات الأداء وكفاءة الموظفين في الوظائف المعرفية بالشركات السعودية</w:t>
      </w:r>
      <w:r w:rsidRPr="008A328B">
        <w:rPr>
          <w:rFonts w:ascii="Simplified Arabic" w:eastAsia="Times New Roman" w:hAnsi="Simplified Arabic" w:cs="Simplified Arabic"/>
          <w:color w:val="000000" w:themeColor="text1"/>
          <w:kern w:val="0"/>
          <w:sz w:val="28"/>
          <w:szCs w:val="28"/>
          <w14:ligatures w14:val="none"/>
        </w:rPr>
        <w:t>.</w:t>
      </w:r>
    </w:p>
    <w:p w14:paraId="5827399E" w14:textId="77777777" w:rsidR="00525FBC" w:rsidRPr="008A328B" w:rsidRDefault="00525FBC" w:rsidP="006A273E">
      <w:pPr>
        <w:pStyle w:val="a6"/>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14:ligatures w14:val="none"/>
        </w:rPr>
        <w:t>H</w:t>
      </w:r>
      <w:r w:rsidRPr="008A328B">
        <w:rPr>
          <w:rFonts w:ascii="Times New Roman" w:eastAsia="Times New Roman" w:hAnsi="Times New Roman" w:cs="Times New Roman"/>
          <w:color w:val="000000" w:themeColor="text1"/>
          <w:kern w:val="0"/>
          <w:sz w:val="28"/>
          <w:szCs w:val="28"/>
          <w14:ligatures w14:val="none"/>
        </w:rPr>
        <w:t>₀₃</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α</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Times New Roman" w:eastAsia="Times New Roman" w:hAnsi="Times New Roman" w:cs="Times New Roman"/>
          <w:color w:val="000000" w:themeColor="text1"/>
          <w:kern w:val="0"/>
          <w:sz w:val="28"/>
          <w:szCs w:val="28"/>
          <w14:ligatures w14:val="none"/>
        </w:rPr>
        <w:t>≤</w:t>
      </w:r>
      <w:r w:rsidRPr="008A328B">
        <w:rPr>
          <w:rFonts w:ascii="Simplified Arabic" w:eastAsia="Times New Roman" w:hAnsi="Simplified Arabic" w:cs="Simplified Arabic"/>
          <w:color w:val="000000" w:themeColor="text1"/>
          <w:kern w:val="0"/>
          <w:sz w:val="28"/>
          <w:szCs w:val="28"/>
          <w14:ligatures w14:val="none"/>
        </w:rPr>
        <w:t xml:space="preserve"> 0.05) </w:t>
      </w:r>
      <w:r w:rsidRPr="008A328B">
        <w:rPr>
          <w:rFonts w:ascii="Simplified Arabic" w:eastAsia="Times New Roman" w:hAnsi="Simplified Arabic" w:cs="Simplified Arabic"/>
          <w:color w:val="000000" w:themeColor="text1"/>
          <w:kern w:val="0"/>
          <w:sz w:val="28"/>
          <w:szCs w:val="28"/>
          <w:rtl/>
          <w14:ligatures w14:val="none"/>
        </w:rPr>
        <w:t>لبُعد دعم القيادة التنظيمية والثقافة المؤسسية على مؤشرات الأداء وكفاءة الموظفين في الوظائف المعرفية بالشركات السعودية</w:t>
      </w:r>
      <w:r w:rsidRPr="008A328B">
        <w:rPr>
          <w:rFonts w:ascii="Simplified Arabic" w:eastAsia="Times New Roman" w:hAnsi="Simplified Arabic" w:cs="Simplified Arabic"/>
          <w:color w:val="000000" w:themeColor="text1"/>
          <w:kern w:val="0"/>
          <w:sz w:val="28"/>
          <w:szCs w:val="28"/>
          <w14:ligatures w14:val="none"/>
        </w:rPr>
        <w:t>.</w:t>
      </w:r>
    </w:p>
    <w:p w14:paraId="73DA4440" w14:textId="77777777" w:rsidR="00525FBC" w:rsidRPr="008A328B" w:rsidRDefault="00525FBC" w:rsidP="006A273E">
      <w:pPr>
        <w:pStyle w:val="a6"/>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14:ligatures w14:val="none"/>
        </w:rPr>
        <w:t>H</w:t>
      </w:r>
      <w:r w:rsidRPr="008A328B">
        <w:rPr>
          <w:rFonts w:ascii="Times New Roman" w:eastAsia="Times New Roman" w:hAnsi="Times New Roman" w:cs="Times New Roman"/>
          <w:color w:val="000000" w:themeColor="text1"/>
          <w:kern w:val="0"/>
          <w:sz w:val="28"/>
          <w:szCs w:val="28"/>
          <w14:ligatures w14:val="none"/>
        </w:rPr>
        <w:t>₀₄</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α</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Times New Roman" w:eastAsia="Times New Roman" w:hAnsi="Times New Roman" w:cs="Times New Roman"/>
          <w:color w:val="000000" w:themeColor="text1"/>
          <w:kern w:val="0"/>
          <w:sz w:val="28"/>
          <w:szCs w:val="28"/>
          <w14:ligatures w14:val="none"/>
        </w:rPr>
        <w:t>≤</w:t>
      </w:r>
      <w:r w:rsidRPr="008A328B">
        <w:rPr>
          <w:rFonts w:ascii="Simplified Arabic" w:eastAsia="Times New Roman" w:hAnsi="Simplified Arabic" w:cs="Simplified Arabic"/>
          <w:color w:val="000000" w:themeColor="text1"/>
          <w:kern w:val="0"/>
          <w:sz w:val="28"/>
          <w:szCs w:val="28"/>
          <w14:ligatures w14:val="none"/>
        </w:rPr>
        <w:t xml:space="preserve"> 0.05) </w:t>
      </w:r>
      <w:r w:rsidRPr="008A328B">
        <w:rPr>
          <w:rFonts w:ascii="Simplified Arabic" w:eastAsia="Times New Roman" w:hAnsi="Simplified Arabic" w:cs="Simplified Arabic"/>
          <w:color w:val="000000" w:themeColor="text1"/>
          <w:kern w:val="0"/>
          <w:sz w:val="28"/>
          <w:szCs w:val="28"/>
          <w:rtl/>
          <w14:ligatures w14:val="none"/>
        </w:rPr>
        <w:t>لبُعد تكامل العمليات والأتمتة الذكية على مؤشرات الأداء وكفاءة الموظفين في الوظائف المعرفية بالشركات السعودية</w:t>
      </w:r>
      <w:r w:rsidRPr="008A328B">
        <w:rPr>
          <w:rFonts w:ascii="Simplified Arabic" w:eastAsia="Times New Roman" w:hAnsi="Simplified Arabic" w:cs="Simplified Arabic"/>
          <w:color w:val="000000" w:themeColor="text1"/>
          <w:kern w:val="0"/>
          <w:sz w:val="28"/>
          <w:szCs w:val="28"/>
          <w14:ligatures w14:val="none"/>
        </w:rPr>
        <w:t>.</w:t>
      </w:r>
    </w:p>
    <w:p w14:paraId="0555958D" w14:textId="77777777" w:rsidR="006A273E" w:rsidRPr="008A328B" w:rsidRDefault="006A273E" w:rsidP="006A273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823316"/>
      <w:r w:rsidRPr="008A328B">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6B1B1B6B" w14:textId="3F570715" w:rsidR="006A273E" w:rsidRPr="008A328B" w:rsidRDefault="006A273E"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B5FF19E" w14:textId="77777777" w:rsidR="00525FBC" w:rsidRPr="008A328B" w:rsidRDefault="00525FBC" w:rsidP="006A273E">
      <w:pPr>
        <w:pStyle w:val="a6"/>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تكتسب هذه الدراسة أهميتها العلمية من عدة جوانب جوهرية. فمن حيث الإثراء المعرفي، تُسهم الدراسة في سد الفجوة البحثية الواضحة في الأدبيات العربية والسعودية تحديداً فيما يخص أثر الذكاء الاصطناعي التوليدي على الأداء المؤسسي، إذ إن معظم الدراسات المتاحة أُجريت في سياقات غربية وآسيوية، مما يخلق حاجة ملحّة لبحث هذا الأثر في البيئة السعودية ذات الخصوصية الثقافية والتنظيمية المرتبطة برؤية </w:t>
      </w:r>
      <w:r w:rsidRPr="008A328B">
        <w:rPr>
          <w:rFonts w:ascii="Simplified Arabic" w:eastAsia="Times New Roman" w:hAnsi="Simplified Arabic" w:cs="Simplified Arabic"/>
          <w:color w:val="000000" w:themeColor="text1"/>
          <w:kern w:val="0"/>
          <w:sz w:val="28"/>
          <w:szCs w:val="28"/>
          <w14:ligatures w14:val="none"/>
        </w:rPr>
        <w:t>2030.</w:t>
      </w:r>
    </w:p>
    <w:p w14:paraId="2AC5434B" w14:textId="0DAB715F" w:rsidR="00525FBC" w:rsidRPr="008A328B" w:rsidRDefault="00525FBC" w:rsidP="006A273E">
      <w:pPr>
        <w:pStyle w:val="a6"/>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تُقدِّم الدراسة إطاراً نظرياً تكاملياً يربط بين أربعة أبعاد لتبني الذكاء الاصطناعي التوليدي (البنية التحتية التقنية، كفاءة الموارد البشرية، دعم القيادة التنظيمية، تكامل العمليات</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ومؤشرات الأداء وكفاءة الموظفين، وهو ما يُثري النماذج النظرية القائمة مثل نموذج قبول التكنولوجيا</w:t>
      </w:r>
      <w:r w:rsidRPr="008A328B">
        <w:rPr>
          <w:rFonts w:ascii="Simplified Arabic" w:eastAsia="Times New Roman" w:hAnsi="Simplified Arabic" w:cs="Simplified Arabic"/>
          <w:color w:val="000000" w:themeColor="text1"/>
          <w:kern w:val="0"/>
          <w:sz w:val="28"/>
          <w:szCs w:val="28"/>
          <w14:ligatures w14:val="none"/>
        </w:rPr>
        <w:t xml:space="preserve"> (TAM) </w:t>
      </w:r>
      <w:r w:rsidRPr="008A328B">
        <w:rPr>
          <w:rFonts w:ascii="Simplified Arabic" w:eastAsia="Times New Roman" w:hAnsi="Simplified Arabic" w:cs="Simplified Arabic"/>
          <w:color w:val="000000" w:themeColor="text1"/>
          <w:kern w:val="0"/>
          <w:sz w:val="28"/>
          <w:szCs w:val="28"/>
          <w:rtl/>
          <w14:ligatures w14:val="none"/>
        </w:rPr>
        <w:t>وإطار التكنولوجيا-التنظيم-البيئة</w:t>
      </w:r>
      <w:r w:rsidRPr="008A328B">
        <w:rPr>
          <w:rFonts w:ascii="Simplified Arabic" w:eastAsia="Times New Roman" w:hAnsi="Simplified Arabic" w:cs="Simplified Arabic"/>
          <w:color w:val="000000" w:themeColor="text1"/>
          <w:kern w:val="0"/>
          <w:sz w:val="28"/>
          <w:szCs w:val="28"/>
          <w14:ligatures w14:val="none"/>
        </w:rPr>
        <w:t xml:space="preserve"> (TOE) </w:t>
      </w:r>
      <w:r w:rsidRPr="008A328B">
        <w:rPr>
          <w:rFonts w:ascii="Simplified Arabic" w:eastAsia="Times New Roman" w:hAnsi="Simplified Arabic" w:cs="Simplified Arabic"/>
          <w:color w:val="000000" w:themeColor="text1"/>
          <w:kern w:val="0"/>
          <w:sz w:val="28"/>
          <w:szCs w:val="28"/>
          <w:rtl/>
          <w14:ligatures w14:val="none"/>
        </w:rPr>
        <w:t>من خلال تطبيقهما في سياق الذكاء الاصطناعي التوليدي</w:t>
      </w:r>
      <w:r w:rsidRPr="008A328B">
        <w:rPr>
          <w:rFonts w:ascii="Simplified Arabic" w:eastAsia="Times New Roman" w:hAnsi="Simplified Arabic" w:cs="Simplified Arabic"/>
          <w:color w:val="000000" w:themeColor="text1"/>
          <w:kern w:val="0"/>
          <w:sz w:val="28"/>
          <w:szCs w:val="28"/>
          <w14:ligatures w14:val="none"/>
        </w:rPr>
        <w:t>.</w:t>
      </w:r>
    </w:p>
    <w:p w14:paraId="39C41CFA" w14:textId="643C7540" w:rsidR="00525FBC" w:rsidRPr="008A328B" w:rsidRDefault="00525FBC" w:rsidP="006A273E">
      <w:pPr>
        <w:pStyle w:val="a6"/>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توفر الدراسة قاعدة بيانات كمية موثوقة يمكن أن تُستخدم مرجعاً مقارناً</w:t>
      </w:r>
      <w:r w:rsidRPr="008A328B">
        <w:rPr>
          <w:rFonts w:ascii="Simplified Arabic" w:eastAsia="Times New Roman" w:hAnsi="Simplified Arabic" w:cs="Simplified Arabic"/>
          <w:color w:val="000000" w:themeColor="text1"/>
          <w:kern w:val="0"/>
          <w:sz w:val="28"/>
          <w:szCs w:val="28"/>
          <w14:ligatures w14:val="none"/>
        </w:rPr>
        <w:t xml:space="preserve"> (Benchmark) </w:t>
      </w:r>
      <w:r w:rsidRPr="008A328B">
        <w:rPr>
          <w:rFonts w:ascii="Simplified Arabic" w:eastAsia="Times New Roman" w:hAnsi="Simplified Arabic" w:cs="Simplified Arabic"/>
          <w:color w:val="000000" w:themeColor="text1"/>
          <w:kern w:val="0"/>
          <w:sz w:val="28"/>
          <w:szCs w:val="28"/>
          <w:rtl/>
          <w14:ligatures w14:val="none"/>
        </w:rPr>
        <w:t>للدراسات المستقبلية حول تطور تبني الذكاء الاصطناعي التوليدي في المنظمات السعودية، خاصة في ظل التسارع الكبير في هذا المجال</w:t>
      </w:r>
      <w:r w:rsidRPr="008A328B">
        <w:rPr>
          <w:rFonts w:ascii="Simplified Arabic" w:eastAsia="Times New Roman" w:hAnsi="Simplified Arabic" w:cs="Simplified Arabic"/>
          <w:color w:val="000000" w:themeColor="text1"/>
          <w:kern w:val="0"/>
          <w:sz w:val="28"/>
          <w:szCs w:val="28"/>
          <w14:ligatures w14:val="none"/>
        </w:rPr>
        <w:t>.</w:t>
      </w:r>
    </w:p>
    <w:p w14:paraId="3398722C" w14:textId="7E6AFE00" w:rsidR="00525FBC" w:rsidRPr="008A328B" w:rsidRDefault="00525FBC" w:rsidP="006A273E">
      <w:pPr>
        <w:pStyle w:val="a6"/>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تفتح الدراسة آفاقاً بحثية جديدة من خلال تحديد المتغيرات الوسيطة والمُعدِّلة المحتملة (كالقيادة التحويلية، والثقافة التنظيمية الرقمية، ومقاومة التغيير) التي يمكن أن تُستقصى في دراسات لاحقة</w:t>
      </w:r>
      <w:r w:rsidRPr="008A328B">
        <w:rPr>
          <w:rFonts w:ascii="Simplified Arabic" w:eastAsia="Times New Roman" w:hAnsi="Simplified Arabic" w:cs="Simplified Arabic"/>
          <w:color w:val="000000" w:themeColor="text1"/>
          <w:kern w:val="0"/>
          <w:sz w:val="28"/>
          <w:szCs w:val="28"/>
          <w14:ligatures w14:val="none"/>
        </w:rPr>
        <w:t>.</w:t>
      </w:r>
    </w:p>
    <w:p w14:paraId="7A60C32B"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14:paraId="6D2C49DF" w14:textId="6F63FBA0" w:rsidR="00525FBC" w:rsidRPr="008A328B" w:rsidRDefault="00525FBC" w:rsidP="006A273E">
      <w:pPr>
        <w:pStyle w:val="a6"/>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تنبع أهمية الدراسة من تقديمها توصيات عملية مبنية على أدلة بحثية لصانعي القرار في الشركات السعودية حول كيفية التبني الأمثل لأدوات الذكاء الاصطناعي التوليدي في الوظائف المعرفية، بما يُعظِّم العائد على الاستثمار التقني ويُقلِّل الهدر في الموارد</w:t>
      </w:r>
      <w:r w:rsidRPr="008A328B">
        <w:rPr>
          <w:rFonts w:ascii="Simplified Arabic" w:eastAsia="Times New Roman" w:hAnsi="Simplified Arabic" w:cs="Simplified Arabic"/>
          <w:color w:val="000000" w:themeColor="text1"/>
          <w:kern w:val="0"/>
          <w:sz w:val="28"/>
          <w:szCs w:val="28"/>
          <w14:ligatures w14:val="none"/>
        </w:rPr>
        <w:t>.</w:t>
      </w:r>
    </w:p>
    <w:p w14:paraId="571AD696" w14:textId="77777777" w:rsidR="00525FBC" w:rsidRPr="008A328B" w:rsidRDefault="00525FBC" w:rsidP="006A273E">
      <w:pPr>
        <w:pStyle w:val="a6"/>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وتُقدِّم الدراسة لقادة الموارد البشرية والمديرين التنفيذيين خارطة طريق واضحة لتحديد الأولويات بين الأبعاد الأربعة لتبني الذكاء الاصطناعي التوليدي، مما يُساعد في تخصيص الميزانيات والبرامج التدريبية بكفاءة أعلى</w:t>
      </w:r>
      <w:r w:rsidRPr="008A328B">
        <w:rPr>
          <w:rFonts w:ascii="Simplified Arabic" w:eastAsia="Times New Roman" w:hAnsi="Simplified Arabic" w:cs="Simplified Arabic"/>
          <w:color w:val="000000" w:themeColor="text1"/>
          <w:kern w:val="0"/>
          <w:sz w:val="28"/>
          <w:szCs w:val="28"/>
          <w14:ligatures w14:val="none"/>
        </w:rPr>
        <w:t>.</w:t>
      </w:r>
    </w:p>
    <w:p w14:paraId="3BA72BF5" w14:textId="77777777" w:rsidR="00525FBC" w:rsidRPr="008A328B" w:rsidRDefault="00525FBC" w:rsidP="006A273E">
      <w:pPr>
        <w:pStyle w:val="a6"/>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كما تخدم الدراسة مستهدفات الاستراتيجية الوطنية للبيانات والذكاء الاصطناعي</w:t>
      </w:r>
      <w:r w:rsidRPr="008A328B">
        <w:rPr>
          <w:rFonts w:ascii="Simplified Arabic" w:eastAsia="Times New Roman" w:hAnsi="Simplified Arabic" w:cs="Simplified Arabic"/>
          <w:color w:val="000000" w:themeColor="text1"/>
          <w:kern w:val="0"/>
          <w:sz w:val="28"/>
          <w:szCs w:val="28"/>
          <w14:ligatures w14:val="none"/>
        </w:rPr>
        <w:t xml:space="preserve"> (NSDAI) </w:t>
      </w:r>
      <w:r w:rsidRPr="008A328B">
        <w:rPr>
          <w:rFonts w:ascii="Simplified Arabic" w:eastAsia="Times New Roman" w:hAnsi="Simplified Arabic" w:cs="Simplified Arabic"/>
          <w:color w:val="000000" w:themeColor="text1"/>
          <w:kern w:val="0"/>
          <w:sz w:val="28"/>
          <w:szCs w:val="28"/>
          <w:rtl/>
          <w14:ligatures w14:val="none"/>
        </w:rPr>
        <w:t>التي أطلقتها الهيئة السعودية للبيانات والذكاء الاصطناعي (سدايا) ضمن رؤية 2030، والتي تستهدف جعل المملكة من أفضل 15 دولة في جاهزية الذكاء الاصطناعي بحلول 2030، وذلك من خلال تقديم مؤشرات قابلة للقياس حول واقع التبني ومعوقاته</w:t>
      </w:r>
      <w:r w:rsidRPr="008A328B">
        <w:rPr>
          <w:rFonts w:ascii="Simplified Arabic" w:eastAsia="Times New Roman" w:hAnsi="Simplified Arabic" w:cs="Simplified Arabic"/>
          <w:color w:val="000000" w:themeColor="text1"/>
          <w:kern w:val="0"/>
          <w:sz w:val="28"/>
          <w:szCs w:val="28"/>
          <w14:ligatures w14:val="none"/>
        </w:rPr>
        <w:t>.</w:t>
      </w:r>
    </w:p>
    <w:p w14:paraId="174E2C53" w14:textId="77777777" w:rsidR="00525FBC" w:rsidRPr="008A328B" w:rsidRDefault="00525FBC" w:rsidP="006A273E">
      <w:pPr>
        <w:pStyle w:val="a6"/>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وتُفيد نتائج الدراسة الجهات التنظيمية والرقابية في تطوير سياسات وتشريعات داعمة لتبني الذكاء الاصطناعي التوليدي مع ضمان الحوكمة الرشيدة وحماية خصوصية البيانات والاعتبارات الأخلاقية</w:t>
      </w:r>
      <w:r w:rsidRPr="008A328B">
        <w:rPr>
          <w:rFonts w:ascii="Simplified Arabic" w:eastAsia="Times New Roman" w:hAnsi="Simplified Arabic" w:cs="Simplified Arabic"/>
          <w:color w:val="000000" w:themeColor="text1"/>
          <w:kern w:val="0"/>
          <w:sz w:val="28"/>
          <w:szCs w:val="28"/>
          <w14:ligatures w14:val="none"/>
        </w:rPr>
        <w:t>.</w:t>
      </w:r>
    </w:p>
    <w:p w14:paraId="2D072938" w14:textId="3F6E65E9" w:rsidR="00525FBC" w:rsidRPr="008A328B" w:rsidRDefault="00525FBC" w:rsidP="006A273E">
      <w:pPr>
        <w:pStyle w:val="a6"/>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تُوجِّه الدراسة شركات التقنية ومُقدِّمي حلول الذكاء الاصطناعي إلى احتياجات السوق السعودي الفعلية وأولوياته، مما يُسهم في تصميم منتجات وحلول أكثر ملاءمة للسياق المحلي</w:t>
      </w:r>
      <w:r w:rsidRPr="008A328B">
        <w:rPr>
          <w:rFonts w:ascii="Simplified Arabic" w:eastAsia="Times New Roman" w:hAnsi="Simplified Arabic" w:cs="Simplified Arabic"/>
          <w:color w:val="000000" w:themeColor="text1"/>
          <w:kern w:val="0"/>
          <w:sz w:val="28"/>
          <w:szCs w:val="28"/>
          <w14:ligatures w14:val="none"/>
        </w:rPr>
        <w:t>.</w:t>
      </w:r>
    </w:p>
    <w:p w14:paraId="06C5249C" w14:textId="4C2ED216" w:rsidR="00525FBC" w:rsidRPr="008A328B" w:rsidRDefault="00525FBC" w:rsidP="006A273E">
      <w:pPr>
        <w:pStyle w:val="a6"/>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تُساعد الدراسة الموظفين أنفسهم في فهم كيف يُمكن لأدوات الذكاء الاصطناعي التوليدي أن تكون رافعة لكفاءتهم المهنية لا تهديداً لوظائفهم، مما يُعزِّز التقبل الإيجابي للتحول الرقمي ويُقلِّل من مقاومة التغيير التنظيمي</w:t>
      </w:r>
      <w:r w:rsidRPr="008A328B">
        <w:rPr>
          <w:rFonts w:ascii="Simplified Arabic" w:eastAsia="Times New Roman" w:hAnsi="Simplified Arabic" w:cs="Simplified Arabic"/>
          <w:color w:val="000000" w:themeColor="text1"/>
          <w:kern w:val="0"/>
          <w:sz w:val="28"/>
          <w:szCs w:val="28"/>
          <w14:ligatures w14:val="none"/>
        </w:rPr>
        <w:t>.</w:t>
      </w:r>
    </w:p>
    <w:p w14:paraId="5D733C80" w14:textId="7F57BDEB" w:rsidR="006A273E" w:rsidRPr="008A328B" w:rsidRDefault="006A273E" w:rsidP="006A27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3" w:name="_Toc233823317"/>
      <w:bookmarkStart w:id="14" w:name="_Toc223935791"/>
      <w:bookmarkStart w:id="15" w:name="_Toc169790501"/>
      <w:bookmarkEnd w:id="6"/>
      <w:bookmarkEnd w:id="10"/>
      <w:r w:rsidRPr="008A328B">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715BA651" w14:textId="77777777" w:rsidR="006A273E" w:rsidRPr="008A328B" w:rsidRDefault="006A273E" w:rsidP="006A273E">
      <w:pPr>
        <w:pStyle w:val="a6"/>
        <w:numPr>
          <w:ilvl w:val="0"/>
          <w:numId w:val="28"/>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باجبير (2024) بعنوان: "علاقة مؤشرات قياس الأداء بالذكاء الاصطناعي في المنظمات اليمنية</w:t>
      </w:r>
      <w:r w:rsidRPr="008A328B">
        <w:rPr>
          <w:rFonts w:ascii="Simplified Arabic" w:eastAsia="Times New Roman" w:hAnsi="Simplified Arabic" w:cs="Simplified Arabic"/>
          <w:b/>
          <w:bCs/>
          <w:color w:val="000000" w:themeColor="text1"/>
          <w:kern w:val="0"/>
          <w:sz w:val="28"/>
          <w:szCs w:val="28"/>
          <w14:ligatures w14:val="none"/>
        </w:rPr>
        <w:t>"</w:t>
      </w:r>
    </w:p>
    <w:p w14:paraId="7000FFA1" w14:textId="309A9AA7"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مؤشرات قياس الأداء والذكاء الاصطناعي بأبعاده (التعلم الآلي، معالجة اللغة الطبيعية، الأنظمة الخبيرة، الروبوتات الذكية) على تحسين قياس الأداء المؤسسي في المنظمات اليمنية. واستخدمت الدراسة المنهج الوصفي التحليلي، وتكونت العينة من مجموعة من المديرين والموظفين العاملين في المنظمات اليمنية في القطاعين العام والخاص، وتم جمع البيانات عبر الاستبانة. وتوصلت نتائج الدراسة إلى وجود علاقة ارتباطية إيجابية ذات دلالة إحصائية بين استخدام تطبيقات الذكاء الاصطناعي ومؤشرات قياس الأداء، حيث يُسهم الذكاء الاصطناعي في تحسين دقة القياس وسرعة الحصول على النتائج وموضوعية التقييم</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كما أظهرت النتائج أن مستوى تبني الذكاء الاصطناعي في المنظمات اليمنية لا يزال في مراحله الأولى بسبب محدودية البنية التحتية التقنية وضعف التمويل</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 xml:space="preserve">وأوصت الدراسة بضرورة تعزيز الاستثمار في تقنيات الذكاء الاصطناعي داخل المنظمات، وتطوير البنية التحتية الرقمية، وتأهيل الكوادر البشرية لاستخدام هذه التقنيات في عمليات قياس وتقييم </w:t>
      </w:r>
    </w:p>
    <w:p w14:paraId="6224FCA5" w14:textId="77777777" w:rsidR="006A273E" w:rsidRPr="008A328B" w:rsidRDefault="006A273E" w:rsidP="006A273E">
      <w:pPr>
        <w:pStyle w:val="a6"/>
        <w:numPr>
          <w:ilvl w:val="0"/>
          <w:numId w:val="28"/>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بلحاج ونصيرات (2024) بعنوان: "تبني الذكاء الاصطناعي التوليدي في صناعة الخدمات المالية: دراسة حالة</w:t>
      </w:r>
      <w:r w:rsidRPr="008A328B">
        <w:rPr>
          <w:rFonts w:ascii="Simplified Arabic" w:eastAsia="Times New Roman" w:hAnsi="Simplified Arabic" w:cs="Simplified Arabic"/>
          <w:b/>
          <w:bCs/>
          <w:color w:val="000000" w:themeColor="text1"/>
          <w:kern w:val="0"/>
          <w:sz w:val="28"/>
          <w:szCs w:val="28"/>
          <w14:ligatures w14:val="none"/>
        </w:rPr>
        <w:t>"</w:t>
      </w:r>
    </w:p>
    <w:p w14:paraId="3FFD1E0F" w14:textId="77777777"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تبني الذكاء الاصطناعي التوليدي في صناعة الخدمات المالية بأبعاده (أتمتة العمليات، تحليل البيانات، تحسين خدمة العملاء، إدارة المخاطر) على تطوير وإعادة تشكيل هذه الصناعة، وتقديم رؤية مستقبلية حول دوره في القطاع المالي. واستخدمت الدراسة منهج دراسة الحالة النوعية المعتمد على تحليل المحتوى والمقابلات شبه المهيكلة، وتكونت العينة من مجموعة من المؤسسات المالية التي تبنّت حلول الذكاء الاصطناعي التوليدي في عملياتها. وتوصلت نتائج الدراسة إلى أن الذكاء الاصطناعي التوليدي يُحدث تحولاً جوهرياً في القطاع المالي من خلال تسريع عمليات تحليل البيانات بنسبة ملحوظة، وتحسين دقة التنبؤات المالية، وخفض تكاليف التشغيل، وتعزيز تجربة العملاء عبر روبوتات المحادثة الذكية. كما أظهرت النتائج وجود تحديات تتعلق بالخصوصية والأمن السيبراني والامتثال التنظيمي. وأوصت الدراسة بضرورة تطوير أطر تنظيمية واضحة لاستخدام الذكاء الاصطناعي التوليدي في المؤسسات المالية، والاستثمار في تأهيل الكوادر البشرية للعمل بالتكامل مع هذه التقنيات، وإنشاء وحدات متخصصة للابتكار الرقمي داخل المؤسسات المالية</w:t>
      </w:r>
      <w:r w:rsidRPr="008A328B">
        <w:rPr>
          <w:rFonts w:ascii="Simplified Arabic" w:eastAsia="Times New Roman" w:hAnsi="Simplified Arabic" w:cs="Simplified Arabic"/>
          <w:color w:val="000000" w:themeColor="text1"/>
          <w:kern w:val="0"/>
          <w:sz w:val="28"/>
          <w:szCs w:val="28"/>
          <w14:ligatures w14:val="none"/>
        </w:rPr>
        <w:t>.</w:t>
      </w:r>
    </w:p>
    <w:p w14:paraId="6C76F04D" w14:textId="77777777" w:rsidR="006A273E" w:rsidRPr="008A328B" w:rsidRDefault="006A273E"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الأحمدي وآخرون (2024) بعنوان</w:t>
      </w:r>
      <w:r w:rsidRPr="008A328B">
        <w:rPr>
          <w:rFonts w:ascii="Simplified Arabic" w:eastAsia="Times New Roman" w:hAnsi="Simplified Arabic" w:cs="Simplified Arabic"/>
          <w:b/>
          <w:bCs/>
          <w:color w:val="000000" w:themeColor="text1"/>
          <w:kern w:val="0"/>
          <w:sz w:val="28"/>
          <w:szCs w:val="28"/>
          <w14:ligatures w14:val="none"/>
        </w:rPr>
        <w:t>: "</w:t>
      </w:r>
      <w:r w:rsidRPr="008A328B">
        <w:rPr>
          <w:rFonts w:ascii="Simplified Arabic" w:eastAsia="Times New Roman" w:hAnsi="Simplified Arabic" w:cs="Simplified Arabic"/>
          <w:b/>
          <w:bCs/>
          <w:color w:val="000000" w:themeColor="text1"/>
          <w:kern w:val="0"/>
          <w:sz w:val="28"/>
          <w:szCs w:val="28"/>
          <w:rtl/>
          <w14:ligatures w14:val="none"/>
        </w:rPr>
        <w:t>استخدام الذكاء الاصطناعي التوليدي في أبحاث الدراسات العليا: دراسة حالة جامعة الملك عبد العزيز</w:t>
      </w:r>
      <w:r w:rsidRPr="008A328B">
        <w:rPr>
          <w:rFonts w:ascii="Simplified Arabic" w:eastAsia="Times New Roman" w:hAnsi="Simplified Arabic" w:cs="Simplified Arabic"/>
          <w:b/>
          <w:bCs/>
          <w:color w:val="000000" w:themeColor="text1"/>
          <w:kern w:val="0"/>
          <w:sz w:val="28"/>
          <w:szCs w:val="28"/>
          <w14:ligatures w14:val="none"/>
        </w:rPr>
        <w:t>"</w:t>
      </w:r>
    </w:p>
    <w:p w14:paraId="114A156F" w14:textId="1CEFE5FF"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مستوى استخدام طلاب الدراسات العليا بجامعة الملك عبد العزيز للذكاء الاصطناعي التوليدي في البحث العلمي بأبعاده (استخدام أدوات توليد النصوص، تحليل البيانات، مراجعة الأدبيات، صياغة الأسئلة البحثية) على جودة المخرجات البحثية ومستوى الإنتاجية الأكاديمية. واستخدمت الدراسة المنهج الوصفي المسحي، وتكونت العينة من طلاب الدراسات العليا في مختلف التخصصات بجامعة الملك عبد العزيز، واعتمدت الاستبانة الإلكترونية كأداة لجمع البيانات. وتوصلت نتائج الدراسة إلى أن مستوى استخدام أدوات الذكاء الاصطناعي التوليدي جاء متوسطاً، وأن أكثر الاستخدامات شيوعاً تمثلت في مراجعة الأدبيات وتلخيص النصوص، بينما كان الاستخدام في التحليل الإحصائي وتوليد الفرضيات أقل انتشاراً. كما أظهرت النتائج وجود فروق ذات دلالة إحصائية في مستوى الاستخدام تُعزى لمتغيرات التخصص والمستوى الدراسي. وأوصت الدراسة بضرورة إدراج مقررات تدريبية حول أدوات الذكاء الاصطناعي التوليدي ضمن برامج الدراسات العليا، ووضع سياسات أكاديمية واضحة تنظم استخدام هذه الأدوات بما يضمن النزاهة العلمية</w:t>
      </w:r>
      <w:r w:rsidRPr="008A328B">
        <w:rPr>
          <w:rFonts w:ascii="Simplified Arabic" w:eastAsia="Times New Roman" w:hAnsi="Simplified Arabic" w:cs="Simplified Arabic"/>
          <w:color w:val="000000" w:themeColor="text1"/>
          <w:kern w:val="0"/>
          <w:sz w:val="28"/>
          <w:szCs w:val="28"/>
          <w14:ligatures w14:val="none"/>
        </w:rPr>
        <w:t>.</w:t>
      </w:r>
    </w:p>
    <w:p w14:paraId="55E20C43" w14:textId="77777777" w:rsidR="00525FBC" w:rsidRPr="008A328B" w:rsidRDefault="00525FBC"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سعيدي (2025) بعنوان: "اتجاهات تبني الذكاء الاصطناعي في إدارة المعرفة: دراسة تحليلية باستخدام نموذج قبول التكنولوجيا</w:t>
      </w:r>
      <w:r w:rsidRPr="008A328B">
        <w:rPr>
          <w:rFonts w:ascii="Simplified Arabic" w:eastAsia="Times New Roman" w:hAnsi="Simplified Arabic" w:cs="Simplified Arabic"/>
          <w:b/>
          <w:bCs/>
          <w:color w:val="000000" w:themeColor="text1"/>
          <w:kern w:val="0"/>
          <w:sz w:val="28"/>
          <w:szCs w:val="28"/>
          <w14:ligatures w14:val="none"/>
        </w:rPr>
        <w:t xml:space="preserve"> (TAM) </w:t>
      </w:r>
      <w:r w:rsidRPr="008A328B">
        <w:rPr>
          <w:rFonts w:ascii="Simplified Arabic" w:eastAsia="Times New Roman" w:hAnsi="Simplified Arabic" w:cs="Simplified Arabic"/>
          <w:b/>
          <w:bCs/>
          <w:color w:val="000000" w:themeColor="text1"/>
          <w:kern w:val="0"/>
          <w:sz w:val="28"/>
          <w:szCs w:val="28"/>
          <w:rtl/>
          <w14:ligatures w14:val="none"/>
        </w:rPr>
        <w:t>في المؤسسات السعودية وفق رؤية 2030</w:t>
      </w:r>
      <w:r w:rsidRPr="008A328B">
        <w:rPr>
          <w:rFonts w:ascii="Simplified Arabic" w:eastAsia="Times New Roman" w:hAnsi="Simplified Arabic" w:cs="Simplified Arabic"/>
          <w:b/>
          <w:bCs/>
          <w:color w:val="000000" w:themeColor="text1"/>
          <w:kern w:val="0"/>
          <w:sz w:val="28"/>
          <w:szCs w:val="28"/>
          <w14:ligatures w14:val="none"/>
        </w:rPr>
        <w:t>"</w:t>
      </w:r>
    </w:p>
    <w:p w14:paraId="5BFD408D"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تبني الذكاء الاصطناعي في إدارة المعرفة بالمؤسسات السعودية، وذلك باستخدام نموذج قبول التكنولوجيا</w:t>
      </w:r>
      <w:r w:rsidRPr="008A328B">
        <w:rPr>
          <w:rFonts w:ascii="Simplified Arabic" w:eastAsia="Times New Roman" w:hAnsi="Simplified Arabic" w:cs="Simplified Arabic"/>
          <w:color w:val="000000" w:themeColor="text1"/>
          <w:kern w:val="0"/>
          <w:sz w:val="28"/>
          <w:szCs w:val="28"/>
          <w14:ligatures w14:val="none"/>
        </w:rPr>
        <w:t xml:space="preserve"> (TAM) </w:t>
      </w:r>
      <w:r w:rsidRPr="008A328B">
        <w:rPr>
          <w:rFonts w:ascii="Simplified Arabic" w:eastAsia="Times New Roman" w:hAnsi="Simplified Arabic" w:cs="Simplified Arabic"/>
          <w:color w:val="000000" w:themeColor="text1"/>
          <w:kern w:val="0"/>
          <w:sz w:val="28"/>
          <w:szCs w:val="28"/>
          <w:rtl/>
          <w14:ligatures w14:val="none"/>
        </w:rPr>
        <w:t>بأبعاده (سهولة الاستخدام المدركة، الفائدة المدركة، الاتجاه نحو الاستخدام، النية السلوكية للاستخدام) على التبني الفعلي للذكاء الاصطناعي في المنظمات السعودية. واستخدمت الدراسة المنهج الوصفي التحليلي، وتكونت العينة من (384) موظفاً يعملون في مؤسسات سعودية تستخدم تقنيات الذكاء الاصطناعي، وتم جمع البيانات عبر استبانة إلكترونية بمقياس ليكرت الخماسي، وحُللت البيانات باستخدام الانحدار الخطي المتعدد عبر برنامج</w:t>
      </w:r>
      <w:r w:rsidRPr="008A328B">
        <w:rPr>
          <w:rFonts w:ascii="Simplified Arabic" w:eastAsia="Times New Roman" w:hAnsi="Simplified Arabic" w:cs="Simplified Arabic"/>
          <w:color w:val="000000" w:themeColor="text1"/>
          <w:kern w:val="0"/>
          <w:sz w:val="28"/>
          <w:szCs w:val="28"/>
          <w14:ligatures w14:val="none"/>
        </w:rPr>
        <w:t xml:space="preserve"> SPSS 27. </w:t>
      </w:r>
      <w:r w:rsidRPr="008A328B">
        <w:rPr>
          <w:rFonts w:ascii="Simplified Arabic" w:eastAsia="Times New Roman" w:hAnsi="Simplified Arabic" w:cs="Simplified Arabic"/>
          <w:color w:val="000000" w:themeColor="text1"/>
          <w:kern w:val="0"/>
          <w:sz w:val="28"/>
          <w:szCs w:val="28"/>
          <w:rtl/>
          <w14:ligatures w14:val="none"/>
        </w:rPr>
        <w:t>وتوصلت نتائج الدراسة إلى أن الاتجاه نحو الاستخدام</w:t>
      </w:r>
      <w:r w:rsidRPr="008A328B">
        <w:rPr>
          <w:rFonts w:ascii="Simplified Arabic" w:eastAsia="Times New Roman" w:hAnsi="Simplified Arabic" w:cs="Simplified Arabic"/>
          <w:color w:val="000000" w:themeColor="text1"/>
          <w:kern w:val="0"/>
          <w:sz w:val="28"/>
          <w:szCs w:val="28"/>
          <w14:ligatures w14:val="none"/>
        </w:rPr>
        <w:t xml:space="preserve"> (ATU) </w:t>
      </w:r>
      <w:r w:rsidRPr="008A328B">
        <w:rPr>
          <w:rFonts w:ascii="Simplified Arabic" w:eastAsia="Times New Roman" w:hAnsi="Simplified Arabic" w:cs="Simplified Arabic"/>
          <w:color w:val="000000" w:themeColor="text1"/>
          <w:kern w:val="0"/>
          <w:sz w:val="28"/>
          <w:szCs w:val="28"/>
          <w:rtl/>
          <w14:ligatures w14:val="none"/>
        </w:rPr>
        <w:t>كان العامل الأكثر تأثيراً في التبني الفعلي بمعامل انحدار قوي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β</w:t>
      </w:r>
      <w:r w:rsidRPr="008A328B">
        <w:rPr>
          <w:rFonts w:ascii="Simplified Arabic" w:eastAsia="Times New Roman" w:hAnsi="Simplified Arabic" w:cs="Simplified Arabic"/>
          <w:color w:val="000000" w:themeColor="text1"/>
          <w:kern w:val="0"/>
          <w:sz w:val="28"/>
          <w:szCs w:val="28"/>
          <w14:ligatures w14:val="none"/>
        </w:rPr>
        <w:t xml:space="preserve"> = 0.943)</w:t>
      </w:r>
      <w:r w:rsidRPr="008A328B">
        <w:rPr>
          <w:rFonts w:ascii="Simplified Arabic" w:eastAsia="Times New Roman" w:hAnsi="Simplified Arabic" w:cs="Simplified Arabic"/>
          <w:color w:val="000000" w:themeColor="text1"/>
          <w:kern w:val="0"/>
          <w:sz w:val="28"/>
          <w:szCs w:val="28"/>
          <w:rtl/>
          <w14:ligatures w14:val="none"/>
        </w:rPr>
        <w:t>، كما أظهرت النية السلوكية تأثيراً إيجابياً</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β</w:t>
      </w:r>
      <w:r w:rsidRPr="008A328B">
        <w:rPr>
          <w:rFonts w:ascii="Simplified Arabic" w:eastAsia="Times New Roman" w:hAnsi="Simplified Arabic" w:cs="Simplified Arabic"/>
          <w:color w:val="000000" w:themeColor="text1"/>
          <w:kern w:val="0"/>
          <w:sz w:val="28"/>
          <w:szCs w:val="28"/>
          <w14:ligatures w14:val="none"/>
        </w:rPr>
        <w:t xml:space="preserve"> = 0.287)</w:t>
      </w:r>
      <w:r w:rsidRPr="008A328B">
        <w:rPr>
          <w:rFonts w:ascii="Simplified Arabic" w:eastAsia="Times New Roman" w:hAnsi="Simplified Arabic" w:cs="Simplified Arabic"/>
          <w:color w:val="000000" w:themeColor="text1"/>
          <w:kern w:val="0"/>
          <w:sz w:val="28"/>
          <w:szCs w:val="28"/>
          <w:rtl/>
          <w14:ligatures w14:val="none"/>
        </w:rPr>
        <w:t>، بينما سجّلت الفائدة المدركة أثراً سلبياً غير متوقع</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β</w:t>
      </w:r>
      <w:r w:rsidRPr="008A328B">
        <w:rPr>
          <w:rFonts w:ascii="Simplified Arabic" w:eastAsia="Times New Roman" w:hAnsi="Simplified Arabic" w:cs="Simplified Arabic"/>
          <w:color w:val="000000" w:themeColor="text1"/>
          <w:kern w:val="0"/>
          <w:sz w:val="28"/>
          <w:szCs w:val="28"/>
          <w14:ligatures w14:val="none"/>
        </w:rPr>
        <w:t xml:space="preserve"> = -0.320)</w:t>
      </w:r>
      <w:r w:rsidRPr="008A328B">
        <w:rPr>
          <w:rFonts w:ascii="Simplified Arabic" w:eastAsia="Times New Roman" w:hAnsi="Simplified Arabic" w:cs="Simplified Arabic"/>
          <w:color w:val="000000" w:themeColor="text1"/>
          <w:kern w:val="0"/>
          <w:sz w:val="28"/>
          <w:szCs w:val="28"/>
          <w:rtl/>
          <w14:ligatures w14:val="none"/>
        </w:rPr>
        <w:t>، ولم تُظهر سهولة الاستخدام المدركة أثراً دالاً إحصائياً. وأوصت الدراسة بضرورة تحسين البنية التحتية التقنية في المؤسسات السعودية، وتقديم برامج تدريبية متخصصة لدعم التحول الرقمي تماشياً مع أهداف رؤية 2030، فضلاً عن معالجة تحديات التكلفة العالية لتطبيق أنظمة الذكاء الاصطناعي</w:t>
      </w:r>
      <w:r w:rsidRPr="008A328B">
        <w:rPr>
          <w:rFonts w:ascii="Simplified Arabic" w:eastAsia="Times New Roman" w:hAnsi="Simplified Arabic" w:cs="Simplified Arabic"/>
          <w:color w:val="000000" w:themeColor="text1"/>
          <w:kern w:val="0"/>
          <w:sz w:val="28"/>
          <w:szCs w:val="28"/>
          <w14:ligatures w14:val="none"/>
        </w:rPr>
        <w:t>.</w:t>
      </w:r>
    </w:p>
    <w:p w14:paraId="58E645B6" w14:textId="77777777" w:rsidR="00525FBC" w:rsidRPr="008A328B" w:rsidRDefault="00525FBC"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الدهشان والمنصوري (2025) بعنوان: "تأثير الذكاء الاصطناعي على إنتاجية الأعمال وربحيتها في المملكة العربية السعودية</w:t>
      </w:r>
      <w:r w:rsidRPr="008A328B">
        <w:rPr>
          <w:rFonts w:ascii="Simplified Arabic" w:eastAsia="Times New Roman" w:hAnsi="Simplified Arabic" w:cs="Simplified Arabic"/>
          <w:b/>
          <w:bCs/>
          <w:color w:val="000000" w:themeColor="text1"/>
          <w:kern w:val="0"/>
          <w:sz w:val="28"/>
          <w:szCs w:val="28"/>
          <w14:ligatures w14:val="none"/>
        </w:rPr>
        <w:t>"</w:t>
      </w:r>
    </w:p>
    <w:p w14:paraId="150D3C80"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دور وتطبيقات الذكاء الاصطناعي في المملكة العربية السعودية بأبعاده (تحسين اتخاذ القرار، تعزيز الإبداع، رفع مستوى الإنتاج، زيادة الإيرادات، دعم الابتكار</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على إنتاجية الأعمال وربحيتها في إطار رؤية 2030. واستخدمت الدراسة منهج المراجعة المنهجية للأدبيات، حيث تم اختيار المجلات ذات الصلة من قاعدة بيانات</w:t>
      </w:r>
      <w:r w:rsidRPr="008A328B">
        <w:rPr>
          <w:rFonts w:ascii="Simplified Arabic" w:eastAsia="Times New Roman" w:hAnsi="Simplified Arabic" w:cs="Simplified Arabic"/>
          <w:color w:val="000000" w:themeColor="text1"/>
          <w:kern w:val="0"/>
          <w:sz w:val="28"/>
          <w:szCs w:val="28"/>
          <w14:ligatures w14:val="none"/>
        </w:rPr>
        <w:t xml:space="preserve"> Scopus </w:t>
      </w:r>
      <w:r w:rsidRPr="008A328B">
        <w:rPr>
          <w:rFonts w:ascii="Simplified Arabic" w:eastAsia="Times New Roman" w:hAnsi="Simplified Arabic" w:cs="Simplified Arabic"/>
          <w:color w:val="000000" w:themeColor="text1"/>
          <w:kern w:val="0"/>
          <w:sz w:val="28"/>
          <w:szCs w:val="28"/>
          <w:rtl/>
          <w14:ligatures w14:val="none"/>
        </w:rPr>
        <w:t>لتحليل الفوائد والتحديات المحتملة للذكاء الاصطناعي في بيئة الأعمال السعودية. وتوصلت نتائج الدراسة إلى أن تبني الذكاء الاصطناعي يُحقق تحسناً بنسبة تقارب 20% في عملية اتخاذ القرار، وزيادة بنسبة 15% في مستوى الابتكار المؤسسي، فضلاً عن تعزيز الإنتاجية والربحية بشكل ملحوظ</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كما كشفت الدراسة عن حاجة المملكة لتحسينات كبيرة في البنية التحتية ومبادرات استثمارية لسد الفجوات المعرفية وضمان التبني الكامل للذكاء الاصطناعي بحلول 2030. وأوصت الدراسة بضرورة فهم مديري الأعمال والجهات الحكومية لديناميكيات هذه التقنية، وتحسين وتدريب الموارد البشرية لمواءمة مهاراتهم مع متطلبات إدارة وتطبيق الذكاء الاصطناعي</w:t>
      </w:r>
      <w:r w:rsidRPr="008A328B">
        <w:rPr>
          <w:rFonts w:ascii="Simplified Arabic" w:eastAsia="Times New Roman" w:hAnsi="Simplified Arabic" w:cs="Simplified Arabic"/>
          <w:color w:val="000000" w:themeColor="text1"/>
          <w:kern w:val="0"/>
          <w:sz w:val="28"/>
          <w:szCs w:val="28"/>
          <w14:ligatures w14:val="none"/>
        </w:rPr>
        <w:t>.</w:t>
      </w:r>
    </w:p>
    <w:p w14:paraId="5FBB7A21" w14:textId="77777777" w:rsidR="006A273E" w:rsidRPr="008A328B" w:rsidRDefault="006A273E"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Noy &amp; Zhang (2023)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"Experimental Evidence on the Productivity Effects of Generative Artificial Intelligence"</w:t>
      </w:r>
    </w:p>
    <w:p w14:paraId="3649252C" w14:textId="77777777"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آثار الإنتاجية المترتبة على استخدام الذكاء الاصطناعي التوليدي بأبعاده (سرعة إنجاز المهام، جودة المخرجات، تقليص فجوة الأداء بين العاملين) على أداء العاملين في مهام الكتابة المهنية. واستخدمت الدراسة المنهج التجريبي العشوائي المضبوط</w:t>
      </w:r>
      <w:r w:rsidRPr="008A328B">
        <w:rPr>
          <w:rFonts w:ascii="Simplified Arabic" w:eastAsia="Times New Roman" w:hAnsi="Simplified Arabic" w:cs="Simplified Arabic"/>
          <w:color w:val="000000" w:themeColor="text1"/>
          <w:kern w:val="0"/>
          <w:sz w:val="28"/>
          <w:szCs w:val="28"/>
          <w14:ligatures w14:val="none"/>
        </w:rPr>
        <w:t xml:space="preserve"> (Randomized Controlled Experiment)</w:t>
      </w:r>
      <w:r w:rsidRPr="008A328B">
        <w:rPr>
          <w:rFonts w:ascii="Simplified Arabic" w:eastAsia="Times New Roman" w:hAnsi="Simplified Arabic" w:cs="Simplified Arabic"/>
          <w:color w:val="000000" w:themeColor="text1"/>
          <w:kern w:val="0"/>
          <w:sz w:val="28"/>
          <w:szCs w:val="28"/>
          <w:rtl/>
          <w14:ligatures w14:val="none"/>
        </w:rPr>
        <w:t>، وتكونت العينة من</w:t>
      </w:r>
      <w:r w:rsidRPr="008A328B">
        <w:rPr>
          <w:rFonts w:ascii="Simplified Arabic" w:eastAsia="Times New Roman" w:hAnsi="Simplified Arabic" w:cs="Simplified Arabic"/>
          <w:color w:val="000000" w:themeColor="text1"/>
          <w:kern w:val="0"/>
          <w:sz w:val="28"/>
          <w:szCs w:val="28"/>
          <w14:ligatures w14:val="none"/>
        </w:rPr>
        <w:t xml:space="preserve"> (444) </w:t>
      </w:r>
      <w:r w:rsidRPr="008A328B">
        <w:rPr>
          <w:rFonts w:ascii="Simplified Arabic" w:eastAsia="Times New Roman" w:hAnsi="Simplified Arabic" w:cs="Simplified Arabic"/>
          <w:color w:val="000000" w:themeColor="text1"/>
          <w:kern w:val="0"/>
          <w:sz w:val="28"/>
          <w:szCs w:val="28"/>
          <w:rtl/>
          <w14:ligatures w14:val="none"/>
        </w:rPr>
        <w:t>مشاركاً من المهنيين الحاصلين على شهادات جامعية، تم تقسيمهم عشوائياً إلى مجموعة تجريبية تستخدم</w:t>
      </w:r>
      <w:r w:rsidRPr="008A328B">
        <w:rPr>
          <w:rFonts w:ascii="Simplified Arabic" w:eastAsia="Times New Roman" w:hAnsi="Simplified Arabic" w:cs="Simplified Arabic"/>
          <w:color w:val="000000" w:themeColor="text1"/>
          <w:kern w:val="0"/>
          <w:sz w:val="28"/>
          <w:szCs w:val="28"/>
          <w14:ligatures w14:val="none"/>
        </w:rPr>
        <w:t xml:space="preserve"> ChatGPT </w:t>
      </w:r>
      <w:r w:rsidRPr="008A328B">
        <w:rPr>
          <w:rFonts w:ascii="Simplified Arabic" w:eastAsia="Times New Roman" w:hAnsi="Simplified Arabic" w:cs="Simplified Arabic"/>
          <w:color w:val="000000" w:themeColor="text1"/>
          <w:kern w:val="0"/>
          <w:sz w:val="28"/>
          <w:szCs w:val="28"/>
          <w:rtl/>
          <w14:ligatures w14:val="none"/>
        </w:rPr>
        <w:t>ومجموعة ضابطة. وطُلب من المشاركين إنجاز مهام كتابية مهنية كإعداد بيانات صحفية ورسائل تغطية وتقارير تحليلية</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وتوصلت نتائج الدراسة إلى أن استخدام</w:t>
      </w:r>
      <w:r w:rsidRPr="008A328B">
        <w:rPr>
          <w:rFonts w:ascii="Simplified Arabic" w:eastAsia="Times New Roman" w:hAnsi="Simplified Arabic" w:cs="Simplified Arabic"/>
          <w:color w:val="000000" w:themeColor="text1"/>
          <w:kern w:val="0"/>
          <w:sz w:val="28"/>
          <w:szCs w:val="28"/>
          <w14:ligatures w14:val="none"/>
        </w:rPr>
        <w:t xml:space="preserve"> ChatGPT </w:t>
      </w:r>
      <w:r w:rsidRPr="008A328B">
        <w:rPr>
          <w:rFonts w:ascii="Simplified Arabic" w:eastAsia="Times New Roman" w:hAnsi="Simplified Arabic" w:cs="Simplified Arabic"/>
          <w:color w:val="000000" w:themeColor="text1"/>
          <w:kern w:val="0"/>
          <w:sz w:val="28"/>
          <w:szCs w:val="28"/>
          <w:rtl/>
          <w14:ligatures w14:val="none"/>
        </w:rPr>
        <w:t xml:space="preserve">قلّص زمن إنجاز المهام بنسبة </w:t>
      </w:r>
      <w:r w:rsidRPr="008A328B">
        <w:rPr>
          <w:rFonts w:ascii="Simplified Arabic" w:eastAsia="Times New Roman" w:hAnsi="Simplified Arabic" w:cs="Simplified Arabic"/>
          <w:color w:val="000000" w:themeColor="text1"/>
          <w:kern w:val="0"/>
          <w:sz w:val="28"/>
          <w:szCs w:val="28"/>
          <w14:ligatures w14:val="none"/>
        </w:rPr>
        <w:t xml:space="preserve">40% </w:t>
      </w:r>
      <w:r w:rsidRPr="008A328B">
        <w:rPr>
          <w:rFonts w:ascii="Simplified Arabic" w:eastAsia="Times New Roman" w:hAnsi="Simplified Arabic" w:cs="Simplified Arabic"/>
          <w:color w:val="000000" w:themeColor="text1"/>
          <w:kern w:val="0"/>
          <w:sz w:val="28"/>
          <w:szCs w:val="28"/>
          <w:rtl/>
          <w14:ligatures w14:val="none"/>
        </w:rPr>
        <w:t>ورفع جودة المخرجات بنسبة 18% وفقاً لتقييمات المحكّمين المستقلين</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والأهم أن الذكاء الاصطناعي قلّص فجوة عدم المساواة في الأداء بين العاملين بنسبة 35%، حيث استفاد الموظفون الأقل مهارة بدرجة أكبر. وأوصت الدراسة بضرورة دراسة الآثار طويلة الأجل لاستخدام الذكاء الاصطناعي التوليدي على تنمية المهارات البشرية والتفكير النقدي، والتحقق من إمكانية تعميم النتائج على مهام مهنية أكثر تعقيداً</w:t>
      </w:r>
      <w:r w:rsidRPr="008A328B">
        <w:rPr>
          <w:rFonts w:ascii="Simplified Arabic" w:eastAsia="Times New Roman" w:hAnsi="Simplified Arabic" w:cs="Simplified Arabic"/>
          <w:color w:val="000000" w:themeColor="text1"/>
          <w:kern w:val="0"/>
          <w:sz w:val="28"/>
          <w:szCs w:val="28"/>
          <w14:ligatures w14:val="none"/>
        </w:rPr>
        <w:t>.</w:t>
      </w:r>
    </w:p>
    <w:p w14:paraId="716AE353" w14:textId="77777777" w:rsidR="006A273E" w:rsidRPr="008A328B" w:rsidRDefault="006A273E"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Dell'Acqua et al. (2023)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"Navigating the Jagged Technological Frontier: Field Experimental Evidence of the Effects of AI on Knowledge Worker Productivity and Quality"</w:t>
      </w:r>
    </w:p>
    <w:p w14:paraId="2C9FEC60" w14:textId="77777777"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الذكاء الاصطناعي التوليدي</w:t>
      </w:r>
      <w:r w:rsidRPr="008A328B">
        <w:rPr>
          <w:rFonts w:ascii="Simplified Arabic" w:eastAsia="Times New Roman" w:hAnsi="Simplified Arabic" w:cs="Simplified Arabic"/>
          <w:color w:val="000000" w:themeColor="text1"/>
          <w:kern w:val="0"/>
          <w:sz w:val="28"/>
          <w:szCs w:val="28"/>
          <w14:ligatures w14:val="none"/>
        </w:rPr>
        <w:t xml:space="preserve"> (GPT-4) </w:t>
      </w:r>
      <w:r w:rsidRPr="008A328B">
        <w:rPr>
          <w:rFonts w:ascii="Simplified Arabic" w:eastAsia="Times New Roman" w:hAnsi="Simplified Arabic" w:cs="Simplified Arabic"/>
          <w:color w:val="000000" w:themeColor="text1"/>
          <w:kern w:val="0"/>
          <w:sz w:val="28"/>
          <w:szCs w:val="28"/>
          <w:rtl/>
          <w14:ligatures w14:val="none"/>
        </w:rPr>
        <w:t>بأبعاده (إنجاز المهام الاستشارية، جودة المخرجات، سرعة الأداء، الإبداع في الحلول) على إنتاجية وجودة عمل العاملين في مجال المعرفة (المستشارين الإداريين) في شركة</w:t>
      </w:r>
      <w:r w:rsidRPr="008A328B">
        <w:rPr>
          <w:rFonts w:ascii="Simplified Arabic" w:eastAsia="Times New Roman" w:hAnsi="Simplified Arabic" w:cs="Simplified Arabic"/>
          <w:color w:val="000000" w:themeColor="text1"/>
          <w:kern w:val="0"/>
          <w:sz w:val="28"/>
          <w:szCs w:val="28"/>
          <w14:ligatures w14:val="none"/>
        </w:rPr>
        <w:t xml:space="preserve"> Boston Consulting Group. </w:t>
      </w:r>
      <w:r w:rsidRPr="008A328B">
        <w:rPr>
          <w:rFonts w:ascii="Simplified Arabic" w:eastAsia="Times New Roman" w:hAnsi="Simplified Arabic" w:cs="Simplified Arabic"/>
          <w:color w:val="000000" w:themeColor="text1"/>
          <w:kern w:val="0"/>
          <w:sz w:val="28"/>
          <w:szCs w:val="28"/>
          <w:rtl/>
          <w14:ligatures w14:val="none"/>
        </w:rPr>
        <w:t>واستخدمت الدراسة المنهج التجريبي الميداني</w:t>
      </w:r>
      <w:r w:rsidRPr="008A328B">
        <w:rPr>
          <w:rFonts w:ascii="Simplified Arabic" w:eastAsia="Times New Roman" w:hAnsi="Simplified Arabic" w:cs="Simplified Arabic"/>
          <w:color w:val="000000" w:themeColor="text1"/>
          <w:kern w:val="0"/>
          <w:sz w:val="28"/>
          <w:szCs w:val="28"/>
          <w14:ligatures w14:val="none"/>
        </w:rPr>
        <w:t xml:space="preserve"> (Field Experiment)</w:t>
      </w:r>
      <w:r w:rsidRPr="008A328B">
        <w:rPr>
          <w:rFonts w:ascii="Simplified Arabic" w:eastAsia="Times New Roman" w:hAnsi="Simplified Arabic" w:cs="Simplified Arabic"/>
          <w:color w:val="000000" w:themeColor="text1"/>
          <w:kern w:val="0"/>
          <w:sz w:val="28"/>
          <w:szCs w:val="28"/>
          <w:rtl/>
          <w14:ligatures w14:val="none"/>
        </w:rPr>
        <w:t>، وتكونت العينة من (758) مستشاراً في شركة</w:t>
      </w:r>
      <w:r w:rsidRPr="008A328B">
        <w:rPr>
          <w:rFonts w:ascii="Simplified Arabic" w:eastAsia="Times New Roman" w:hAnsi="Simplified Arabic" w:cs="Simplified Arabic"/>
          <w:color w:val="000000" w:themeColor="text1"/>
          <w:kern w:val="0"/>
          <w:sz w:val="28"/>
          <w:szCs w:val="28"/>
          <w14:ligatures w14:val="none"/>
        </w:rPr>
        <w:t xml:space="preserve"> BCG </w:t>
      </w:r>
      <w:r w:rsidRPr="008A328B">
        <w:rPr>
          <w:rFonts w:ascii="Simplified Arabic" w:eastAsia="Times New Roman" w:hAnsi="Simplified Arabic" w:cs="Simplified Arabic"/>
          <w:color w:val="000000" w:themeColor="text1"/>
          <w:kern w:val="0"/>
          <w:sz w:val="28"/>
          <w:szCs w:val="28"/>
          <w:rtl/>
          <w14:ligatures w14:val="none"/>
        </w:rPr>
        <w:t xml:space="preserve">تم تقسيمهم عشوائياً إلى مجموعات تجريبية وضابطة، وطُلب منهم إنجاز (18) مهمة استشارية واقعية. وتوصلت نتائج الدراسة إلى أن المستشارين الذين استخدموا الذكاء الاصطناعي كانوا أكثر إنتاجية بنسبة 12.2% في عدد المهام المنجزة وأسرع بنسبة 25.1%، وأن جودة مخرجاتهم تحسنت بنسبة 40% مقارنة بالمجموعة الضابطة، وذلك في المهام الواقعة ضمن "الحدود التقنية" للذكاء الاصطناعي. إلا أن النتائج كشفت عن ظاهرة "الحافة المسننة" حيث انخفض أداء المستشارين بنسبة </w:t>
      </w:r>
      <w:r w:rsidRPr="008A328B">
        <w:rPr>
          <w:rFonts w:ascii="Simplified Arabic" w:eastAsia="Times New Roman" w:hAnsi="Simplified Arabic" w:cs="Simplified Arabic"/>
          <w:color w:val="000000" w:themeColor="text1"/>
          <w:kern w:val="0"/>
          <w:sz w:val="28"/>
          <w:szCs w:val="28"/>
          <w14:ligatures w14:val="none"/>
        </w:rPr>
        <w:t xml:space="preserve">19% </w:t>
      </w:r>
      <w:r w:rsidRPr="008A328B">
        <w:rPr>
          <w:rFonts w:ascii="Simplified Arabic" w:eastAsia="Times New Roman" w:hAnsi="Simplified Arabic" w:cs="Simplified Arabic"/>
          <w:color w:val="000000" w:themeColor="text1"/>
          <w:kern w:val="0"/>
          <w:sz w:val="28"/>
          <w:szCs w:val="28"/>
          <w:rtl/>
          <w14:ligatures w14:val="none"/>
        </w:rPr>
        <w:t>عند استخدام الذكاء الاصطناعي في مهام تتجاوز قدراته. وأوصت الدراسة بأن المنظمات يجب أن تُدرّب موظفيها على التمييز بين المهام المناسبة وغير المناسبة للذكاء الاصطناعي، وتطوير نماذج تعاون "السنتور والسايبورغ" بين الإنسان والآلة</w:t>
      </w:r>
      <w:r w:rsidRPr="008A328B">
        <w:rPr>
          <w:rFonts w:ascii="Simplified Arabic" w:eastAsia="Times New Roman" w:hAnsi="Simplified Arabic" w:cs="Simplified Arabic"/>
          <w:color w:val="000000" w:themeColor="text1"/>
          <w:kern w:val="0"/>
          <w:sz w:val="28"/>
          <w:szCs w:val="28"/>
          <w14:ligatures w14:val="none"/>
        </w:rPr>
        <w:t>.</w:t>
      </w:r>
    </w:p>
    <w:p w14:paraId="15CF32CF" w14:textId="77777777" w:rsidR="006A273E" w:rsidRPr="008A328B" w:rsidRDefault="006A273E"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Al Naqbi, Bahroun, &amp; Ahmed (2024)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"Enhancing Work Productivity through Generative Artificial Intelligence: A Comprehensive Literature Review"</w:t>
      </w:r>
    </w:p>
    <w:p w14:paraId="48DCF2C9" w14:textId="77777777"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الذكاء الاصطناعي التوليدي بأبعاده (روبوتات المحادثة والوكلاء التفاعليين، نماذج الذكاء الاصطناعي التوليدي، خوارزميات وتقنيات الذكاء الاصطناعي، دمج الذكاء الاصطناعي في العمليات) على تعزيز إنتاجية العمل عبر مختلف القطاعات المهنية. واستخدمت الدراسة منهج المراجعة المنهجية للأدبيات وفق بروتوكول </w:t>
      </w:r>
      <w:r w:rsidRPr="008A328B">
        <w:rPr>
          <w:rFonts w:ascii="Simplified Arabic" w:eastAsia="Times New Roman" w:hAnsi="Simplified Arabic" w:cs="Simplified Arabic"/>
          <w:color w:val="000000" w:themeColor="text1"/>
          <w:kern w:val="0"/>
          <w:sz w:val="28"/>
          <w:szCs w:val="28"/>
          <w14:ligatures w14:val="none"/>
        </w:rPr>
        <w:t>PRISMA</w:t>
      </w:r>
      <w:r w:rsidRPr="008A328B">
        <w:rPr>
          <w:rFonts w:ascii="Simplified Arabic" w:eastAsia="Times New Roman" w:hAnsi="Simplified Arabic" w:cs="Simplified Arabic"/>
          <w:color w:val="000000" w:themeColor="text1"/>
          <w:kern w:val="0"/>
          <w:sz w:val="28"/>
          <w:szCs w:val="28"/>
          <w:rtl/>
          <w14:ligatures w14:val="none"/>
        </w:rPr>
        <w:t xml:space="preserve">، وتكونت العينة من (159) منشوراً بحثياً مختاراً من قاعدة بيانات </w:t>
      </w:r>
      <w:r w:rsidRPr="008A328B">
        <w:rPr>
          <w:rFonts w:ascii="Simplified Arabic" w:eastAsia="Times New Roman" w:hAnsi="Simplified Arabic" w:cs="Simplified Arabic"/>
          <w:color w:val="000000" w:themeColor="text1"/>
          <w:kern w:val="0"/>
          <w:sz w:val="28"/>
          <w:szCs w:val="28"/>
          <w14:ligatures w14:val="none"/>
        </w:rPr>
        <w:t xml:space="preserve">Scopus </w:t>
      </w:r>
      <w:r w:rsidRPr="008A328B">
        <w:rPr>
          <w:rFonts w:ascii="Simplified Arabic" w:eastAsia="Times New Roman" w:hAnsi="Simplified Arabic" w:cs="Simplified Arabic"/>
          <w:color w:val="000000" w:themeColor="text1"/>
          <w:kern w:val="0"/>
          <w:sz w:val="28"/>
          <w:szCs w:val="28"/>
          <w:rtl/>
          <w14:ligatures w14:val="none"/>
        </w:rPr>
        <w:t>خلال الفترة من 2014 إلى سبتمبر 2023، وأُجري تحليل محتوى وتحليل بيبليومتري شامل. وتوصلت نتائج الدراسة إلى أن الذكاء الاصطناعي التوليدي يُحدث تحولاً جوهرياً في ثمانية قطاعات مهنية تشمل الأكاديميا والهندسة والتكنولوجيا والاتصالات والرعاية الصحية والزراعة والإدارة الحكومية والأعمال التجارية. كما كشفت عن اتجاه متسارع في أبحاث الذكاء الاصطناعي التوليدي مع طفرة ملحوظة في المنشورات عام 2023، وأن روبوتات المحادثة والوكلاء التفاعليين هي الأدوات الأكثر هيمنة. وأوصت الدراسة بضرورة تحسين تصميم أدوات الذكاء الاصطناعي التوليدي والتخطيط الاستراتيجي طويل الأجل، ومعالجة التحديات الأخلاقية والخصوصية، وإجراء مزيد من الدراسات التجريبية لقياس الأثر الفعلي على تجربة المستخدم المهني</w:t>
      </w:r>
      <w:r w:rsidRPr="008A328B">
        <w:rPr>
          <w:rFonts w:ascii="Simplified Arabic" w:eastAsia="Times New Roman" w:hAnsi="Simplified Arabic" w:cs="Simplified Arabic"/>
          <w:color w:val="000000" w:themeColor="text1"/>
          <w:kern w:val="0"/>
          <w:sz w:val="28"/>
          <w:szCs w:val="28"/>
          <w14:ligatures w14:val="none"/>
        </w:rPr>
        <w:t>.</w:t>
      </w:r>
    </w:p>
    <w:p w14:paraId="050ED2AA" w14:textId="06BFD446" w:rsidR="00525FBC" w:rsidRPr="008A328B" w:rsidRDefault="00525FBC"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Brynjolfsson, Li, &amp; Raymond (2025) </w:t>
      </w:r>
    </w:p>
    <w:p w14:paraId="24B48360"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تبني أداة ذكاء اصطناعي توليدي قائمة على المحادثة بأبعادها (اقتراحات الاستجابة الفورية، الروابط التقنية الداخلية، تحسين طلاقة اللغة، تسريع التعلم) على إنتاجية وكلاء خدمة العملاء في شركة ضمن قائمة</w:t>
      </w:r>
      <w:r w:rsidRPr="008A328B">
        <w:rPr>
          <w:rFonts w:ascii="Simplified Arabic" w:eastAsia="Times New Roman" w:hAnsi="Simplified Arabic" w:cs="Simplified Arabic"/>
          <w:color w:val="000000" w:themeColor="text1"/>
          <w:kern w:val="0"/>
          <w:sz w:val="28"/>
          <w:szCs w:val="28"/>
          <w14:ligatures w14:val="none"/>
        </w:rPr>
        <w:t xml:space="preserve"> Fortune 500. </w:t>
      </w:r>
      <w:r w:rsidRPr="008A328B">
        <w:rPr>
          <w:rFonts w:ascii="Simplified Arabic" w:eastAsia="Times New Roman" w:hAnsi="Simplified Arabic" w:cs="Simplified Arabic"/>
          <w:color w:val="000000" w:themeColor="text1"/>
          <w:kern w:val="0"/>
          <w:sz w:val="28"/>
          <w:szCs w:val="28"/>
          <w:rtl/>
          <w14:ligatures w14:val="none"/>
        </w:rPr>
        <w:t>واستخدمت الدراسة المنهج شبه التجريبي من خلال النشر المتتابع</w:t>
      </w:r>
      <w:r w:rsidRPr="008A328B">
        <w:rPr>
          <w:rFonts w:ascii="Simplified Arabic" w:eastAsia="Times New Roman" w:hAnsi="Simplified Arabic" w:cs="Simplified Arabic"/>
          <w:color w:val="000000" w:themeColor="text1"/>
          <w:kern w:val="0"/>
          <w:sz w:val="28"/>
          <w:szCs w:val="28"/>
          <w14:ligatures w14:val="none"/>
        </w:rPr>
        <w:t xml:space="preserve"> (Staggered Rollout) </w:t>
      </w:r>
      <w:r w:rsidRPr="008A328B">
        <w:rPr>
          <w:rFonts w:ascii="Simplified Arabic" w:eastAsia="Times New Roman" w:hAnsi="Simplified Arabic" w:cs="Simplified Arabic"/>
          <w:color w:val="000000" w:themeColor="text1"/>
          <w:kern w:val="0"/>
          <w:sz w:val="28"/>
          <w:szCs w:val="28"/>
          <w:rtl/>
          <w14:ligatures w14:val="none"/>
        </w:rPr>
        <w:t>لأداة الذكاء الاصطناعي المبنية على نموذج</w:t>
      </w:r>
      <w:r w:rsidRPr="008A328B">
        <w:rPr>
          <w:rFonts w:ascii="Simplified Arabic" w:eastAsia="Times New Roman" w:hAnsi="Simplified Arabic" w:cs="Simplified Arabic"/>
          <w:color w:val="000000" w:themeColor="text1"/>
          <w:kern w:val="0"/>
          <w:sz w:val="28"/>
          <w:szCs w:val="28"/>
          <w14:ligatures w14:val="none"/>
        </w:rPr>
        <w:t xml:space="preserve"> GPT-3</w:t>
      </w:r>
      <w:r w:rsidRPr="008A328B">
        <w:rPr>
          <w:rFonts w:ascii="Simplified Arabic" w:eastAsia="Times New Roman" w:hAnsi="Simplified Arabic" w:cs="Simplified Arabic"/>
          <w:color w:val="000000" w:themeColor="text1"/>
          <w:kern w:val="0"/>
          <w:sz w:val="28"/>
          <w:szCs w:val="28"/>
          <w:rtl/>
          <w14:ligatures w14:val="none"/>
        </w:rPr>
        <w:t>، وتكونت العينة من</w:t>
      </w:r>
      <w:r w:rsidRPr="008A328B">
        <w:rPr>
          <w:rFonts w:ascii="Simplified Arabic" w:eastAsia="Times New Roman" w:hAnsi="Simplified Arabic" w:cs="Simplified Arabic"/>
          <w:color w:val="000000" w:themeColor="text1"/>
          <w:kern w:val="0"/>
          <w:sz w:val="28"/>
          <w:szCs w:val="28"/>
          <w14:ligatures w14:val="none"/>
        </w:rPr>
        <w:t xml:space="preserve"> (5,172) </w:t>
      </w:r>
      <w:r w:rsidRPr="008A328B">
        <w:rPr>
          <w:rFonts w:ascii="Simplified Arabic" w:eastAsia="Times New Roman" w:hAnsi="Simplified Arabic" w:cs="Simplified Arabic"/>
          <w:color w:val="000000" w:themeColor="text1"/>
          <w:kern w:val="0"/>
          <w:sz w:val="28"/>
          <w:szCs w:val="28"/>
          <w:rtl/>
          <w14:ligatures w14:val="none"/>
        </w:rPr>
        <w:t>وكيل خدمة عملاء يعملون لدى شركة برمجيات أعمال أمريكية كبرى، مع تحليل بيانات أكثر من (3) ملايين محادثة نصية. وتوصلت نتائج الدراسة إلى أن الوصول إلى مساعدة الذكاء الاصطناعي رفع إنتاجية العاملين بنسبة 15% في المتوسط من حيث عدد المشكلات المحلولة في الساعة، مع تفاوت كبير بين العاملين؛ إذ حقّق الموظفون الأقل خبرة ومهارة تحسناً بنسبة 30%، بينما كان التأثير محدوداً على الموظفين الأكثر مهارة. كما أظهرت النتائج أن الذكاء الاصطناعي يُسرّع منحنى التعلم ويُحسّن طلاقة اللغة الإنجليزية لدى الوكلاء الدوليين، ويُقلل من معدل ترك العمل. وأوصت الدراسة بضرورة التعامل بحذر مع ديناميكيات التبني طويلة الأجل، حيث إن اعتماد الموظفين المهرة على اقتراحات الذكاء الاصطناعي قد يُقلل من مساهماتهم الأصلية مما يؤثر على تطوير النماذج المستقبلية</w:t>
      </w:r>
      <w:r w:rsidRPr="008A328B">
        <w:rPr>
          <w:rFonts w:ascii="Simplified Arabic" w:eastAsia="Times New Roman" w:hAnsi="Simplified Arabic" w:cs="Simplified Arabic"/>
          <w:color w:val="000000" w:themeColor="text1"/>
          <w:kern w:val="0"/>
          <w:sz w:val="28"/>
          <w:szCs w:val="28"/>
          <w14:ligatures w14:val="none"/>
        </w:rPr>
        <w:t>.</w:t>
      </w:r>
    </w:p>
    <w:p w14:paraId="05876FAA" w14:textId="77777777" w:rsidR="00525FBC" w:rsidRPr="008A328B" w:rsidRDefault="00525FBC"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Agarwal &amp; Ojha (2025)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"Optimizing Employee Roles in the Era of Generative AI: A Multi-Criteria Decision-Making Analysis of Co-Creation Dynamics"</w:t>
      </w:r>
    </w:p>
    <w:p w14:paraId="37D37BBD"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الأبعاد الأكثر أهمية لتحسين أدوار الموظفين في عصر الذكاء الاصطناعي التوليدي بمعاييرها </w:t>
      </w:r>
      <w:r w:rsidRPr="008A328B">
        <w:rPr>
          <w:rFonts w:ascii="Simplified Arabic" w:eastAsia="Times New Roman" w:hAnsi="Simplified Arabic" w:cs="Simplified Arabic"/>
          <w:color w:val="000000" w:themeColor="text1"/>
          <w:kern w:val="0"/>
          <w:sz w:val="28"/>
          <w:szCs w:val="28"/>
          <w14:ligatures w14:val="none"/>
        </w:rPr>
        <w:t>(</w:t>
      </w:r>
      <w:r w:rsidRPr="008A328B">
        <w:rPr>
          <w:rFonts w:ascii="Simplified Arabic" w:eastAsia="Times New Roman" w:hAnsi="Simplified Arabic" w:cs="Simplified Arabic"/>
          <w:color w:val="000000" w:themeColor="text1"/>
          <w:kern w:val="0"/>
          <w:sz w:val="28"/>
          <w:szCs w:val="28"/>
          <w:rtl/>
          <w14:ligatures w14:val="none"/>
        </w:rPr>
        <w:t>الابتكارية، تعزيز الإنتاجية، تغيير تجربة العملاء، الاعتبارات الأخلاقية، تطوير مهارات الموظفين) على تحقيق الإبداع المشترك بين الإنسان والذكاء الاصطناعي في بيئات العمل. واستخدمت الدراسة منهج المراجعة المنهجية للأدبيات مع تطبيق أسلوب التحليل الهرمي</w:t>
      </w:r>
      <w:r w:rsidRPr="008A328B">
        <w:rPr>
          <w:rFonts w:ascii="Simplified Arabic" w:eastAsia="Times New Roman" w:hAnsi="Simplified Arabic" w:cs="Simplified Arabic"/>
          <w:color w:val="000000" w:themeColor="text1"/>
          <w:kern w:val="0"/>
          <w:sz w:val="28"/>
          <w:szCs w:val="28"/>
          <w14:ligatures w14:val="none"/>
        </w:rPr>
        <w:t xml:space="preserve"> (AHP) </w:t>
      </w:r>
      <w:r w:rsidRPr="008A328B">
        <w:rPr>
          <w:rFonts w:ascii="Simplified Arabic" w:eastAsia="Times New Roman" w:hAnsi="Simplified Arabic" w:cs="Simplified Arabic"/>
          <w:color w:val="000000" w:themeColor="text1"/>
          <w:kern w:val="0"/>
          <w:sz w:val="28"/>
          <w:szCs w:val="28"/>
          <w:rtl/>
          <w14:ligatures w14:val="none"/>
        </w:rPr>
        <w:t>كإطار للقرارات متعددة المعايير</w:t>
      </w:r>
      <w:r w:rsidRPr="008A328B">
        <w:rPr>
          <w:rFonts w:ascii="Simplified Arabic" w:eastAsia="Times New Roman" w:hAnsi="Simplified Arabic" w:cs="Simplified Arabic"/>
          <w:color w:val="000000" w:themeColor="text1"/>
          <w:kern w:val="0"/>
          <w:sz w:val="28"/>
          <w:szCs w:val="28"/>
          <w14:ligatures w14:val="none"/>
        </w:rPr>
        <w:t xml:space="preserve"> (MCDM)</w:t>
      </w:r>
      <w:r w:rsidRPr="008A328B">
        <w:rPr>
          <w:rFonts w:ascii="Simplified Arabic" w:eastAsia="Times New Roman" w:hAnsi="Simplified Arabic" w:cs="Simplified Arabic"/>
          <w:color w:val="000000" w:themeColor="text1"/>
          <w:kern w:val="0"/>
          <w:sz w:val="28"/>
          <w:szCs w:val="28"/>
          <w:rtl/>
          <w14:ligatures w14:val="none"/>
        </w:rPr>
        <w:t>، وتكونت العينة من (7) خبراء متخصصين من الأكاديميا والشركات أجروا مقارنات زوجية للمعايير والبدائل باستخدام مقياس</w:t>
      </w:r>
      <w:r w:rsidRPr="008A328B">
        <w:rPr>
          <w:rFonts w:ascii="Simplified Arabic" w:eastAsia="Times New Roman" w:hAnsi="Simplified Arabic" w:cs="Simplified Arabic"/>
          <w:color w:val="000000" w:themeColor="text1"/>
          <w:kern w:val="0"/>
          <w:sz w:val="28"/>
          <w:szCs w:val="28"/>
          <w14:ligatures w14:val="none"/>
        </w:rPr>
        <w:t xml:space="preserve"> Saaty </w:t>
      </w:r>
      <w:r w:rsidRPr="008A328B">
        <w:rPr>
          <w:rFonts w:ascii="Simplified Arabic" w:eastAsia="Times New Roman" w:hAnsi="Simplified Arabic" w:cs="Simplified Arabic"/>
          <w:color w:val="000000" w:themeColor="text1"/>
          <w:kern w:val="0"/>
          <w:sz w:val="28"/>
          <w:szCs w:val="28"/>
          <w:rtl/>
          <w14:ligatures w14:val="none"/>
        </w:rPr>
        <w:t xml:space="preserve">التساعي. وتوصلت نتائج الدراسة إلى أن الابتكارية جاءت المعيار الأكثر أهمية بوزن (38.1%)، يليها تعزيز الإنتاجية (23.3%) ثم تغيير تجربة العملاء </w:t>
      </w:r>
      <w:r w:rsidRPr="008A328B">
        <w:rPr>
          <w:rFonts w:ascii="Simplified Arabic" w:eastAsia="Times New Roman" w:hAnsi="Simplified Arabic" w:cs="Simplified Arabic"/>
          <w:color w:val="000000" w:themeColor="text1"/>
          <w:kern w:val="0"/>
          <w:sz w:val="28"/>
          <w:szCs w:val="28"/>
          <w14:ligatures w14:val="none"/>
        </w:rPr>
        <w:t xml:space="preserve">(20.8%). </w:t>
      </w:r>
      <w:r w:rsidRPr="008A328B">
        <w:rPr>
          <w:rFonts w:ascii="Simplified Arabic" w:eastAsia="Times New Roman" w:hAnsi="Simplified Arabic" w:cs="Simplified Arabic"/>
          <w:color w:val="000000" w:themeColor="text1"/>
          <w:kern w:val="0"/>
          <w:sz w:val="28"/>
          <w:szCs w:val="28"/>
          <w:rtl/>
          <w14:ligatures w14:val="none"/>
        </w:rPr>
        <w:t>أما على مستوى البدائل الاستراتيجية، فجاء الهيكل التنظيمي المرن في المرتبة الأولى (16.4%)، يليه فرق الذكاء الاصطناعي المتخصصة</w:t>
      </w:r>
      <w:r w:rsidRPr="008A328B">
        <w:rPr>
          <w:rFonts w:ascii="Simplified Arabic" w:eastAsia="Times New Roman" w:hAnsi="Simplified Arabic" w:cs="Simplified Arabic"/>
          <w:color w:val="000000" w:themeColor="text1"/>
          <w:kern w:val="0"/>
          <w:sz w:val="28"/>
          <w:szCs w:val="28"/>
          <w14:ligatures w14:val="none"/>
        </w:rPr>
        <w:t xml:space="preserve"> (12.7%)</w:t>
      </w:r>
      <w:r w:rsidRPr="008A328B">
        <w:rPr>
          <w:rFonts w:ascii="Simplified Arabic" w:eastAsia="Times New Roman" w:hAnsi="Simplified Arabic" w:cs="Simplified Arabic"/>
          <w:color w:val="000000" w:themeColor="text1"/>
          <w:kern w:val="0"/>
          <w:sz w:val="28"/>
          <w:szCs w:val="28"/>
          <w:rtl/>
          <w14:ligatures w14:val="none"/>
        </w:rPr>
        <w:t>، ثم الرقابة الأخلاقية والحوكمة (12%). وأكد تحليل الحساسية متانة النتائج</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وأوصت الدراسة بأن المنظمات يجب أن تتبنى هياكل تنظيمية مرنة تستوعب التكامل مع الذكاء الاصطناعي، وتُنشئ فرقاً متخصصة، وتُرسي أطراً أخلاقية واضحة، وتستثمر في التعلم والتطوير المستمر لموظفيها</w:t>
      </w:r>
      <w:r w:rsidRPr="008A328B">
        <w:rPr>
          <w:rFonts w:ascii="Simplified Arabic" w:eastAsia="Times New Roman" w:hAnsi="Simplified Arabic" w:cs="Simplified Arabic"/>
          <w:color w:val="000000" w:themeColor="text1"/>
          <w:kern w:val="0"/>
          <w:sz w:val="28"/>
          <w:szCs w:val="28"/>
          <w14:ligatures w14:val="none"/>
        </w:rPr>
        <w:t>.</w:t>
      </w:r>
    </w:p>
    <w:p w14:paraId="650ED09B"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(مؤشرات الأداء وكفاءة الموظفين في الوظائف المعرفية)</w:t>
      </w:r>
    </w:p>
    <w:p w14:paraId="245D7A3C" w14:textId="77777777" w:rsidR="006A273E" w:rsidRPr="008A328B" w:rsidRDefault="006A273E"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أبو صالح والحربي</w:t>
      </w:r>
      <w:r w:rsidRPr="008A328B">
        <w:rPr>
          <w:rFonts w:ascii="Simplified Arabic" w:eastAsia="Times New Roman" w:hAnsi="Simplified Arabic" w:cs="Simplified Arabic"/>
          <w:b/>
          <w:bCs/>
          <w:color w:val="000000" w:themeColor="text1"/>
          <w:kern w:val="0"/>
          <w:sz w:val="28"/>
          <w:szCs w:val="28"/>
          <w14:ligatures w14:val="none"/>
        </w:rPr>
        <w:t xml:space="preserve"> (2024) </w:t>
      </w:r>
      <w:r w:rsidRPr="008A328B">
        <w:rPr>
          <w:rFonts w:ascii="Simplified Arabic" w:eastAsia="Times New Roman" w:hAnsi="Simplified Arabic" w:cs="Simplified Arabic"/>
          <w:b/>
          <w:bCs/>
          <w:color w:val="000000" w:themeColor="text1"/>
          <w:kern w:val="0"/>
          <w:sz w:val="28"/>
          <w:szCs w:val="28"/>
          <w:rtl/>
          <w14:ligatures w14:val="none"/>
        </w:rPr>
        <w:t>بعنوان: "أثر المواطنة التنظيمية على الأداء الوظيفي للعاملين بقطاع السيارات الخاص في المملكة العربية السعودية في ظل رؤية 2030</w:t>
      </w:r>
      <w:r w:rsidRPr="008A328B">
        <w:rPr>
          <w:rFonts w:ascii="Simplified Arabic" w:eastAsia="Times New Roman" w:hAnsi="Simplified Arabic" w:cs="Simplified Arabic"/>
          <w:b/>
          <w:bCs/>
          <w:color w:val="000000" w:themeColor="text1"/>
          <w:kern w:val="0"/>
          <w:sz w:val="28"/>
          <w:szCs w:val="28"/>
          <w14:ligatures w14:val="none"/>
        </w:rPr>
        <w:t>"</w:t>
      </w:r>
    </w:p>
    <w:p w14:paraId="25CC2969" w14:textId="464A05D4"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المواطنة التنظيمية بأبعادها (الإيثار، الكياسة، الروح الرياضية، الضمير الحي، السلوك الحضاري) على الأداء الوظيفي للعاملين بأبعاده (جودة الأداء، كمية الإنجاز، الالتزام بمواعيد العمل، التطوير والإبداع) في قطاع السيارات الخاص بالمملكة العربية السعودية في ظل رؤية 2030. واستخدمت الدراسة المنهج الوصفي التحليلي، وتكونت العينة من العاملين في شركات السيارات الخاصة بالمملكة العربية السعودية، وتم جمع البيانات عبر استبانة محكّمة، وحُللت البيانات باستخدام الأساليب الإحصائية الوصفية والتحليلية. وتوصلت نتائج الدراسة إلى وجود أثر ذي دلالة إحصائية للمواطنة التنظيمية بجميع أبعادها على الأداء الوظيفي، وأن بُعد الضمير الحي كان الأكثر تأثيراً يليه الإيثار ثم الكياسة. كما أظهرت النتائج أن تعزيز سلوكيات المواطنة التنظيمية يرفع من مستوى جودة الأداء والإبداع والالتزام الوظيفي. وأوصت الدراسة بضرورة تعزيز ثقافة المواطنة التنظيمية من خلال برامج تحفيزية ومكافآت للسلوكيات الإيجابية، ودمج مبادئها ضمن معايير تقييم الأداء الوظيفي تماشياً مع مستهدفات رؤية 2030</w:t>
      </w:r>
      <w:r w:rsidRPr="008A328B">
        <w:rPr>
          <w:rFonts w:ascii="Simplified Arabic" w:eastAsia="Times New Roman" w:hAnsi="Simplified Arabic" w:cs="Simplified Arabic"/>
          <w:color w:val="000000" w:themeColor="text1"/>
          <w:kern w:val="0"/>
          <w:sz w:val="28"/>
          <w:szCs w:val="28"/>
          <w14:ligatures w14:val="none"/>
        </w:rPr>
        <w:t>.</w:t>
      </w:r>
    </w:p>
    <w:p w14:paraId="552FAEF1" w14:textId="77777777" w:rsidR="00525FBC" w:rsidRPr="008A328B" w:rsidRDefault="00525FBC" w:rsidP="006A273E">
      <w:pPr>
        <w:pStyle w:val="a6"/>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 xml:space="preserve">دراسة الشعار والصرايرة والعدوان </w:t>
      </w:r>
      <w:r w:rsidRPr="008A328B">
        <w:rPr>
          <w:rFonts w:ascii="Simplified Arabic" w:eastAsia="Times New Roman" w:hAnsi="Simplified Arabic" w:cs="Simplified Arabic"/>
          <w:b/>
          <w:bCs/>
          <w:color w:val="000000" w:themeColor="text1"/>
          <w:kern w:val="0"/>
          <w:sz w:val="28"/>
          <w:szCs w:val="28"/>
          <w14:ligatures w14:val="none"/>
        </w:rPr>
        <w:t xml:space="preserve">(2024) </w:t>
      </w:r>
      <w:r w:rsidRPr="008A328B">
        <w:rPr>
          <w:rFonts w:ascii="Simplified Arabic" w:eastAsia="Times New Roman" w:hAnsi="Simplified Arabic" w:cs="Simplified Arabic"/>
          <w:b/>
          <w:bCs/>
          <w:color w:val="000000" w:themeColor="text1"/>
          <w:kern w:val="0"/>
          <w:sz w:val="28"/>
          <w:szCs w:val="28"/>
          <w:rtl/>
          <w14:ligatures w14:val="none"/>
        </w:rPr>
        <w:t>بعنوان: "أثر استخدام تقنيات الذكاء الاصطناعي في تحسين أداء العاملين: الدور الوسيط للقيادة الخادمة — دراسة تطبيقية على الشركات الصناعية الخدمية الأردنية</w:t>
      </w:r>
      <w:r w:rsidRPr="008A328B">
        <w:rPr>
          <w:rFonts w:ascii="Simplified Arabic" w:eastAsia="Times New Roman" w:hAnsi="Simplified Arabic" w:cs="Simplified Arabic"/>
          <w:b/>
          <w:bCs/>
          <w:color w:val="000000" w:themeColor="text1"/>
          <w:kern w:val="0"/>
          <w:sz w:val="28"/>
          <w:szCs w:val="28"/>
          <w14:ligatures w14:val="none"/>
        </w:rPr>
        <w:t>"</w:t>
      </w:r>
    </w:p>
    <w:p w14:paraId="21572E4B"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استخدام تقنيات الذكاء الاصطناعي بأبعاده (بصمة العميل، روبوتات الدردشة، الفروع الذكية، منع الاحتيال) على أداء العاملين بأبعاده (جودة الأداء، حجم العمل، إجراءات العمل) في الشركات الصناعية الخدمية الأردنية، مع دراسة الدور الوسيط للقيادة الخادمة. واستخدمت الدراسة المنهج الوصفي التحليلي، وتكونت العينة من (270) فرداً يمثلون الوظائف القيادية والإشرافية والعاملين في الشركات الصناعية الخدمية الأردنية البالغ إجمالي موظفيها (7,260) موظفاً، وتم اختيارهم بالعينة العشوائية البسيطة، واستُخدمت الاستبانة كأداة لجمع البيانات. وتوصلت نتائج الدراسة إلى وجود أثر ذي دلالة إحصائية عند مستوى </w:t>
      </w:r>
      <w:r w:rsidRPr="008A328B">
        <w:rPr>
          <w:rFonts w:ascii="Simplified Arabic" w:eastAsia="Times New Roman" w:hAnsi="Simplified Arabic" w:cs="Simplified Arabic"/>
          <w:color w:val="000000" w:themeColor="text1"/>
          <w:kern w:val="0"/>
          <w:sz w:val="28"/>
          <w:szCs w:val="28"/>
          <w14:ligatures w14:val="none"/>
        </w:rPr>
        <w:t>(</w:t>
      </w:r>
      <w:r w:rsidRPr="008A328B">
        <w:rPr>
          <w:rFonts w:ascii="Cambria" w:eastAsia="Times New Roman" w:hAnsi="Cambria" w:cs="Cambria"/>
          <w:color w:val="000000" w:themeColor="text1"/>
          <w:kern w:val="0"/>
          <w:sz w:val="28"/>
          <w:szCs w:val="28"/>
          <w14:ligatures w14:val="none"/>
        </w:rPr>
        <w:t>α</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Times New Roman" w:eastAsia="Times New Roman" w:hAnsi="Times New Roman" w:cs="Times New Roman"/>
          <w:color w:val="000000" w:themeColor="text1"/>
          <w:kern w:val="0"/>
          <w:sz w:val="28"/>
          <w:szCs w:val="28"/>
          <w14:ligatures w14:val="none"/>
        </w:rPr>
        <w:t>≤</w:t>
      </w:r>
      <w:r w:rsidRPr="008A328B">
        <w:rPr>
          <w:rFonts w:ascii="Simplified Arabic" w:eastAsia="Times New Roman" w:hAnsi="Simplified Arabic" w:cs="Simplified Arabic"/>
          <w:color w:val="000000" w:themeColor="text1"/>
          <w:kern w:val="0"/>
          <w:sz w:val="28"/>
          <w:szCs w:val="28"/>
          <w14:ligatures w14:val="none"/>
        </w:rPr>
        <w:t xml:space="preserve"> 0.05) </w:t>
      </w:r>
      <w:r w:rsidRPr="008A328B">
        <w:rPr>
          <w:rFonts w:ascii="Simplified Arabic" w:eastAsia="Times New Roman" w:hAnsi="Simplified Arabic" w:cs="Simplified Arabic"/>
          <w:color w:val="000000" w:themeColor="text1"/>
          <w:kern w:val="0"/>
          <w:sz w:val="28"/>
          <w:szCs w:val="28"/>
          <w:rtl/>
          <w14:ligatures w14:val="none"/>
        </w:rPr>
        <w:t>لاستخدام تقنيات الذكاء الاصطناعي بجميع أبعاده على أداء العاملين بجميع أبعاده، كما ثبت أن القيادة الخادمة تلعب دوراً وسيطاً في تعزيز هذا الأثر. وأوصت الدراسة بضرورة تحسين مستوى القيادة الخادمة لدى المديرين وجعله أكثر انفتاحاً وتبادلاً للخبرات وتقبلاً لعمليات التغيير المطلوبة لتعظيم فوائد تقنيات الذكاء الاصطناعي</w:t>
      </w:r>
      <w:r w:rsidRPr="008A328B">
        <w:rPr>
          <w:rFonts w:ascii="Simplified Arabic" w:eastAsia="Times New Roman" w:hAnsi="Simplified Arabic" w:cs="Simplified Arabic"/>
          <w:color w:val="000000" w:themeColor="text1"/>
          <w:kern w:val="0"/>
          <w:sz w:val="28"/>
          <w:szCs w:val="28"/>
          <w14:ligatures w14:val="none"/>
        </w:rPr>
        <w:t>.</w:t>
      </w:r>
    </w:p>
    <w:p w14:paraId="5CB2FB13" w14:textId="77777777" w:rsidR="00525FBC" w:rsidRPr="008A328B" w:rsidRDefault="00525FBC" w:rsidP="006A273E">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حسن وعلي (2025) بعنوان: "أثر استخدام تطبيقات وبرمجيات الذكاء الاصطناعي على الأداء الوظيفي</w:t>
      </w:r>
      <w:r w:rsidRPr="008A328B">
        <w:rPr>
          <w:rFonts w:ascii="Simplified Arabic" w:eastAsia="Times New Roman" w:hAnsi="Simplified Arabic" w:cs="Simplified Arabic"/>
          <w:b/>
          <w:bCs/>
          <w:color w:val="000000" w:themeColor="text1"/>
          <w:kern w:val="0"/>
          <w:sz w:val="28"/>
          <w:szCs w:val="28"/>
          <w14:ligatures w14:val="none"/>
        </w:rPr>
        <w:t>"</w:t>
      </w:r>
    </w:p>
    <w:p w14:paraId="595700FC"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وأثر استخدام تطبيقات وبرمجيات الذكاء الاصطناعي بأبعاده (التعلم الآلي، معالجة اللغة الطبيعية، التعرف على الصور، الأنظمة الخبيرة) على مستوى الأداء الوظيفي للموظفين في بيئة العمل المعاصرة. واستخدمت الدراسة المنهج الوصفي التحليلي، وتكونت العينة من مجموعة من الموظفين في مؤسسات تستخدم تطبيقات الذكاء الاصطناعي، وتم جمع البيانات عبر استبانة إلكترونية وحُللت باستخدام الأساليب الإحصائية المناسبة. وتوصلت نتائج الدراسة إلى وجود علاقة طردية ذات دلالة إحصائية بين استخدام الذكاء الاصطناعي ومستوى أداء الموظفين، حيث أظهرت النتائج أن بعض أبعاد الذكاء الاصطناعي تُسهم بشكل أكبر في رفع كفاءة الأداء مثل التعلم الآلي ومعالجة اللغة الطبيعية، بينما كان أثر بعض الأبعاد الأخرى أقل وضوحاً. وأوصت الدراسة بضرورة تعزيز استخدام تطبيقات الذكاء الاصطناعي في المؤسسات مع التركيز على التطبيقات ذات الأثر الأعلى على الأداء، وتوفير برامج تدريبية متخصصة لتأهيل الموظفين للتعامل مع هذه التطبيقات بكفاءة</w:t>
      </w:r>
      <w:r w:rsidRPr="008A328B">
        <w:rPr>
          <w:rFonts w:ascii="Simplified Arabic" w:eastAsia="Times New Roman" w:hAnsi="Simplified Arabic" w:cs="Simplified Arabic"/>
          <w:color w:val="000000" w:themeColor="text1"/>
          <w:kern w:val="0"/>
          <w:sz w:val="28"/>
          <w:szCs w:val="28"/>
          <w14:ligatures w14:val="none"/>
        </w:rPr>
        <w:t>.</w:t>
      </w:r>
    </w:p>
    <w:p w14:paraId="63298D75" w14:textId="77777777" w:rsidR="00525FBC" w:rsidRPr="008A328B" w:rsidRDefault="00525FBC" w:rsidP="006A273E">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الجندي وعبد الحميد</w:t>
      </w:r>
      <w:r w:rsidRPr="008A328B">
        <w:rPr>
          <w:rFonts w:ascii="Simplified Arabic" w:eastAsia="Times New Roman" w:hAnsi="Simplified Arabic" w:cs="Simplified Arabic"/>
          <w:b/>
          <w:bCs/>
          <w:color w:val="000000" w:themeColor="text1"/>
          <w:kern w:val="0"/>
          <w:sz w:val="28"/>
          <w:szCs w:val="28"/>
          <w14:ligatures w14:val="none"/>
        </w:rPr>
        <w:t xml:space="preserve"> (2025) </w:t>
      </w:r>
      <w:r w:rsidRPr="008A328B">
        <w:rPr>
          <w:rFonts w:ascii="Simplified Arabic" w:eastAsia="Times New Roman" w:hAnsi="Simplified Arabic" w:cs="Simplified Arabic"/>
          <w:b/>
          <w:bCs/>
          <w:color w:val="000000" w:themeColor="text1"/>
          <w:kern w:val="0"/>
          <w:sz w:val="28"/>
          <w:szCs w:val="28"/>
          <w:rtl/>
          <w14:ligatures w14:val="none"/>
        </w:rPr>
        <w:t>بعنوان: "أثر استخدام أدوات الذكاء الاصطناعي على الرضا الوظيفي: دراسة ميدانية على المشروعات الصغيرة والمتوسطة</w:t>
      </w:r>
      <w:r w:rsidRPr="008A328B">
        <w:rPr>
          <w:rFonts w:ascii="Simplified Arabic" w:eastAsia="Times New Roman" w:hAnsi="Simplified Arabic" w:cs="Simplified Arabic"/>
          <w:b/>
          <w:bCs/>
          <w:color w:val="000000" w:themeColor="text1"/>
          <w:kern w:val="0"/>
          <w:sz w:val="28"/>
          <w:szCs w:val="28"/>
          <w14:ligatures w14:val="none"/>
        </w:rPr>
        <w:t>"</w:t>
      </w:r>
    </w:p>
    <w:p w14:paraId="4C24B904"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أدوات الذكاء الاصطناعي بأبعاده (سهولة الاستخدام، الفعالية، الاعتمادية) على أبعاد الرضا الوظيفي (الرضا عن بيئة العمل، الرضا عن المهام الوظيفية، الرضا عن العلاقات المهنية) لدى الموظفين الإداريين بجامعة الملك عبدالعزيز. واستخدمت الدراسة المنهج الوصفي التحليلي، وتكونت العينة من الموظفين الإداريين العاملين في جامعة الملك عبدالعزيز، وتم جمع البيانات عبر استبانة محكّمة. وتوصلت نتائج الدراسة إلى أن استخدام أدوات الذكاء الاصطناعي رفع مستوى الرضا الوظيفي الإجمالي بنسبة 39%، وحسّن كفاءة الوقت واتخاذ القرار بنسبة 25.4%، وعزّز الرضا عن المهام الوظيفية. كما أظهرت النتائج أن سهولة استخدام أدوات الذكاء الاصطناعي ترتبط ارتباطاً طردياً قوياً بشعور الموظف بالرضا عن وظيفته. وأوصت الدراسة بضرورة توسيع نطاق استخدام أدوات الذكاء الاصطناعي في الجامعات السعودية لتحسين الأداء الإداري، وتطوير واجهات مستخدم سهلة وبسيطة لهذه الأدوات، وعقد دورات تدريبية منتظمة لرفع كفاءة الموظفين في استخدامها</w:t>
      </w:r>
      <w:r w:rsidRPr="008A328B">
        <w:rPr>
          <w:rFonts w:ascii="Simplified Arabic" w:eastAsia="Times New Roman" w:hAnsi="Simplified Arabic" w:cs="Simplified Arabic"/>
          <w:color w:val="000000" w:themeColor="text1"/>
          <w:kern w:val="0"/>
          <w:sz w:val="28"/>
          <w:szCs w:val="28"/>
          <w14:ligatures w14:val="none"/>
        </w:rPr>
        <w:t>.</w:t>
      </w:r>
    </w:p>
    <w:p w14:paraId="2953E46D" w14:textId="77777777" w:rsidR="00525FBC" w:rsidRPr="008A328B" w:rsidRDefault="00525FBC" w:rsidP="006A273E">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 القحطاني (2025) بعنوان: "تأثير التحول الرقمي على أداء الموظفين في المؤسسات السعودية</w:t>
      </w:r>
      <w:r w:rsidRPr="008A328B">
        <w:rPr>
          <w:rFonts w:ascii="Simplified Arabic" w:eastAsia="Times New Roman" w:hAnsi="Simplified Arabic" w:cs="Simplified Arabic"/>
          <w:b/>
          <w:bCs/>
          <w:color w:val="000000" w:themeColor="text1"/>
          <w:kern w:val="0"/>
          <w:sz w:val="28"/>
          <w:szCs w:val="28"/>
          <w14:ligatures w14:val="none"/>
        </w:rPr>
        <w:t>"</w:t>
      </w:r>
    </w:p>
    <w:p w14:paraId="126EF102"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(العمليات الرقمية، الابتكار، البنية التحتية لتقنيات المعلومات، القدرات الرقمية للموظفين) على أداء الموظفين في المؤسسات السعودية في إطار تحقيق مستهدفات رؤية 2030. واستخدمت الدراسة المنهج الوصفي التحليلي، وتكونت العينة من مجموعة من الموظفين العاملين في مؤسسات سعودية خاضت تجربة التحول الرقمي، وتم جمع البيانات عبر استبانة إلكترونية محكّمة. وتوصلت نتائج الدراسة إلى وجود أثر إيجابي ذي دلالة إحصائية للتحول الرقمي بجميع أبعاده على أداء الموظفين، حيث أظهرت النتائج أن بُعد القدرات الرقمية للموظفين كان الأكثر تأثيراً، يليه بُعد الابتكار ثم البنية التحتية لتقنيات المعلومات. كما كشفت الدراسة أن المؤسسات التي تستثمر في تطوير القدرات الرقمية لموظفيها تحقق مستويات أعلى من الكفاءة التشغيلية والإنتاجية. وأوصت الدراسة بضرورة زيادة الاستثمار في البنية التحتية الرقمية للمؤسسات السعودية، وتصميم برامج تدريبية متخصصة لتطوير المهارات الرقمية للموظفين، وربط مبادرات التحول الرقمي بمؤشرات أداء واضحة وقابلة للقياس</w:t>
      </w:r>
      <w:r w:rsidRPr="008A328B">
        <w:rPr>
          <w:rFonts w:ascii="Simplified Arabic" w:eastAsia="Times New Roman" w:hAnsi="Simplified Arabic" w:cs="Simplified Arabic"/>
          <w:color w:val="000000" w:themeColor="text1"/>
          <w:kern w:val="0"/>
          <w:sz w:val="28"/>
          <w:szCs w:val="28"/>
          <w14:ligatures w14:val="none"/>
        </w:rPr>
        <w:t>.</w:t>
      </w:r>
    </w:p>
    <w:p w14:paraId="283299EA" w14:textId="77777777" w:rsidR="006A273E" w:rsidRPr="008A328B" w:rsidRDefault="006A273E" w:rsidP="006A273E">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Chatterjee, Chaudhuri, &amp; Vrontis (2024)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"Examining the Impact of Artificial Intelligence on Employee Performance in the HRM Area"</w:t>
      </w:r>
    </w:p>
    <w:p w14:paraId="384768EB" w14:textId="77777777"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بأبعاده (أتمتة عمليات الموارد البشرية، دعم اتخاذ القرار، تحليلات الأداء، تخصيص التعلم والتطوير) على أداء الموظفين في مجال إدارة الموارد البشرية في عصر التحول الرقمي. واستخدمت الدراسة منهج المراجعة المنهجية للأدبيات</w:t>
      </w:r>
      <w:r w:rsidRPr="008A328B">
        <w:rPr>
          <w:rFonts w:ascii="Simplified Arabic" w:eastAsia="Times New Roman" w:hAnsi="Simplified Arabic" w:cs="Simplified Arabic"/>
          <w:color w:val="000000" w:themeColor="text1"/>
          <w:kern w:val="0"/>
          <w:sz w:val="28"/>
          <w:szCs w:val="28"/>
          <w14:ligatures w14:val="none"/>
        </w:rPr>
        <w:t xml:space="preserve"> (Systematic Literature Review)</w:t>
      </w:r>
      <w:r w:rsidRPr="008A328B">
        <w:rPr>
          <w:rFonts w:ascii="Simplified Arabic" w:eastAsia="Times New Roman" w:hAnsi="Simplified Arabic" w:cs="Simplified Arabic"/>
          <w:color w:val="000000" w:themeColor="text1"/>
          <w:kern w:val="0"/>
          <w:sz w:val="28"/>
          <w:szCs w:val="28"/>
          <w:rtl/>
          <w14:ligatures w14:val="none"/>
        </w:rPr>
        <w:t>، حيث تم تحليل الدراسات التجريبية المنشورة في الفترة من 2018 إلى 2024 في قواعد البيانات العلمية الرئيسية. وتوصلت نتائج الدراسة إلى أن الذكاء الاصطناعي يُحدث تأثيراً إيجابياً ملموساً على أداء الموظفين من خلال تحسين دقة تقييم الأداء وتقليل التحيز في عمليات الاستقطاب والاختيار وتسريع عمليات التدريب والتطوير المخصص. كما كشفت عن تحديات تتعلق بمقاومة الموظفين للتغيير ومخاوف الخصوصية والحاجة لإعادة تصميم العمليات التنظيمية. وأوصت الدراسة بضرورة تبني المنظمات نهجاً تدريجياً في دمج الذكاء الاصطناعي في عمليات الموارد البشرية، مع إشراك الموظفين في عملية التغيير وضمان الشفافية في خوارزميات اتخاذ القرار</w:t>
      </w:r>
      <w:r w:rsidRPr="008A328B">
        <w:rPr>
          <w:rFonts w:ascii="Simplified Arabic" w:eastAsia="Times New Roman" w:hAnsi="Simplified Arabic" w:cs="Simplified Arabic"/>
          <w:color w:val="000000" w:themeColor="text1"/>
          <w:kern w:val="0"/>
          <w:sz w:val="28"/>
          <w:szCs w:val="28"/>
          <w14:ligatures w14:val="none"/>
        </w:rPr>
        <w:t>.</w:t>
      </w:r>
    </w:p>
    <w:p w14:paraId="1139B1B7" w14:textId="77777777" w:rsidR="006A273E" w:rsidRPr="008A328B" w:rsidRDefault="006A273E" w:rsidP="006A273E">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Gusti Ayu et al. (2024)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"Artificial Intelligence for Employee Engagement and Productivity"</w:t>
      </w:r>
    </w:p>
    <w:p w14:paraId="6D63665C" w14:textId="77777777"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بأبعاده (الأتمتة الذكية، التحليلات التنبؤية، المساعدات الافتراضية، أنظمة التوصية) على مستوى اندماج الموظفين وإنتاجيتهم في بيئة العمل المعاصرة. واستخدمت الدراسة المنهج الكمي التحليلي، وتكونت العينة من موظفين يعملون في مؤسسات تستخدم تطبيقات الذكاء الاصطناعي في عملياتها التشغيلية، وتم جمع البيانات عبر استبانة محكّمة وحُللت باستخدام أساليب التحليل الإحصائي متعددة المتغيرات. وتوصلت نتائج الدراسة إلى أن استخدام الذكاء الاصطناعي يُسهم بشكل إيجابي ومعنوي في رفع مستوى اندماج الموظفين وإنتاجيتهم، حيث إن الموظفين الذين يستخدمون أدوات الذكاء الاصطناعي يعملون بشكل أسرع وأكثر فعالية وكفاءة. كما أظهرت النتائج أن التحليلات التنبؤية كانت البعد الأكثر تأثيراً على الإنتاجية، بينما كانت المساعدات الافتراضية الأكثر تأثيراً على مستوى الاندماج الوظيفي. وأوصت الدراسة بضرورة استثمار المنظمات في أدوات الذكاء الاصطناعي المصممة لتعزيز تجربة الموظف، وتوفير تدريب مستمر للموظفين، ومراقبة مؤشرات الاندماج والإنتاجية بشكل دوري</w:t>
      </w:r>
      <w:r w:rsidRPr="008A328B">
        <w:rPr>
          <w:rFonts w:ascii="Simplified Arabic" w:eastAsia="Times New Roman" w:hAnsi="Simplified Arabic" w:cs="Simplified Arabic"/>
          <w:color w:val="000000" w:themeColor="text1"/>
          <w:kern w:val="0"/>
          <w:sz w:val="28"/>
          <w:szCs w:val="28"/>
          <w14:ligatures w14:val="none"/>
        </w:rPr>
        <w:t>.</w:t>
      </w:r>
    </w:p>
    <w:p w14:paraId="70F2CA4F" w14:textId="77777777" w:rsidR="006A273E" w:rsidRPr="008A328B" w:rsidRDefault="006A273E" w:rsidP="006A273E">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Saleem, Ahmed, &amp; Akhtar (2024)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"Impact of Knowledge Management on Knowledge Worker Productivity"</w:t>
      </w:r>
    </w:p>
    <w:p w14:paraId="2D4827E5" w14:textId="77777777" w:rsidR="006A273E" w:rsidRPr="008A328B" w:rsidRDefault="006A273E"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المعرفة بأبعادها (توليد المعرفة، تخزين المعرفة، مشاركة المعرفة، تطبيق المعرفة) على إنتاجية العاملين في الوظائف المعرفية، مع بيان العلاقة بين الانخراط الفردي في إدارة المعرفة ومستوى الإنتاجية. واستخدمت الدراسة المنهج الكمي التحليلي، وتكونت العينة من العاملين في الوظائف المعرفية في مؤسسات متعددة القطاعات، وتم جمع البيانات عبر استبانة محكّمة وحُللت باستخدام نمذجة المعادلات الهيكلية. وتوصلت نتائج الدراسة إلى وجود علاقة واضحة وإيجابية بين إنتاجية العاملين المعرفيين ومستوى انخراطهم الفردي في عمليات إدارة المعرفة، حيث أظهرت النتائج أن بُعد مشاركة المعرفة كان الأكثر تأثيراً على الإنتاجية يليه تطبيق المعرفة ثم توليد المعرفة. كما كشفت عن أن المنظمات التي تُوفر بنية تحتية داعمة لإدارة المعرفة تحقق مستويات إنتاجية أعلى بين موظفيها المعرفيين. وأوصت الدراسة بضرورة تعزيز ثقافة مشاركة المعرفة داخل المنظمات، وتطوير منصات رقمية تُسهل تبادل المعرفة، وربط مؤشرات إدارة المعرفة بأنظمة تقييم الأداء الوظيفي</w:t>
      </w:r>
      <w:r w:rsidRPr="008A328B">
        <w:rPr>
          <w:rFonts w:ascii="Simplified Arabic" w:eastAsia="Times New Roman" w:hAnsi="Simplified Arabic" w:cs="Simplified Arabic"/>
          <w:color w:val="000000" w:themeColor="text1"/>
          <w:kern w:val="0"/>
          <w:sz w:val="28"/>
          <w:szCs w:val="28"/>
          <w14:ligatures w14:val="none"/>
        </w:rPr>
        <w:t>.</w:t>
      </w:r>
    </w:p>
    <w:p w14:paraId="1EC9385D" w14:textId="77777777" w:rsidR="00525FBC" w:rsidRPr="008A328B" w:rsidRDefault="00525FBC" w:rsidP="006A273E">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Zhang, Zhu, Zhang, &amp; Shohruh (2026)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"The Influence of Generative Artificial Intelligence Usage on Employees' Innovative Job Performance"</w:t>
      </w:r>
    </w:p>
    <w:p w14:paraId="288418B6"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أدوات الذكاء الاصطناعي التوليدي بأبعاده (الاستخدام المعرفي، الاستخدام الاجتماعي) على الأداء الوظيفي الابتكاري للموظفين من خلال المتغيرات الوسيطة (نقل المعرفة، اكتساب الموارد، الرضا الوظيفي)، وذلك في إطار نظرية الاستخدامات والإشباعات</w:t>
      </w:r>
      <w:r w:rsidRPr="008A328B">
        <w:rPr>
          <w:rFonts w:ascii="Simplified Arabic" w:eastAsia="Times New Roman" w:hAnsi="Simplified Arabic" w:cs="Simplified Arabic"/>
          <w:color w:val="000000" w:themeColor="text1"/>
          <w:kern w:val="0"/>
          <w:sz w:val="28"/>
          <w:szCs w:val="28"/>
          <w14:ligatures w14:val="none"/>
        </w:rPr>
        <w:t xml:space="preserve"> (UGT). </w:t>
      </w:r>
      <w:r w:rsidRPr="008A328B">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باستخدام نمذجة المعادلات الهيكلية</w:t>
      </w:r>
      <w:r w:rsidRPr="008A328B">
        <w:rPr>
          <w:rFonts w:ascii="Simplified Arabic" w:eastAsia="Times New Roman" w:hAnsi="Simplified Arabic" w:cs="Simplified Arabic"/>
          <w:color w:val="000000" w:themeColor="text1"/>
          <w:kern w:val="0"/>
          <w:sz w:val="28"/>
          <w:szCs w:val="28"/>
          <w14:ligatures w14:val="none"/>
        </w:rPr>
        <w:t xml:space="preserve"> (PLS-SEM) </w:t>
      </w:r>
      <w:r w:rsidRPr="008A328B">
        <w:rPr>
          <w:rFonts w:ascii="Simplified Arabic" w:eastAsia="Times New Roman" w:hAnsi="Simplified Arabic" w:cs="Simplified Arabic"/>
          <w:color w:val="000000" w:themeColor="text1"/>
          <w:kern w:val="0"/>
          <w:sz w:val="28"/>
          <w:szCs w:val="28"/>
          <w:rtl/>
          <w14:ligatures w14:val="none"/>
        </w:rPr>
        <w:t>عبر برنامج</w:t>
      </w:r>
      <w:r w:rsidRPr="008A328B">
        <w:rPr>
          <w:rFonts w:ascii="Simplified Arabic" w:eastAsia="Times New Roman" w:hAnsi="Simplified Arabic" w:cs="Simplified Arabic"/>
          <w:color w:val="000000" w:themeColor="text1"/>
          <w:kern w:val="0"/>
          <w:sz w:val="28"/>
          <w:szCs w:val="28"/>
          <w14:ligatures w14:val="none"/>
        </w:rPr>
        <w:t xml:space="preserve"> SmartPLS 4.0</w:t>
      </w:r>
      <w:r w:rsidRPr="008A328B">
        <w:rPr>
          <w:rFonts w:ascii="Simplified Arabic" w:eastAsia="Times New Roman" w:hAnsi="Simplified Arabic" w:cs="Simplified Arabic"/>
          <w:color w:val="000000" w:themeColor="text1"/>
          <w:kern w:val="0"/>
          <w:sz w:val="28"/>
          <w:szCs w:val="28"/>
          <w:rtl/>
          <w14:ligatures w14:val="none"/>
        </w:rPr>
        <w:t>، وتكونت العينة من (366) موظفاً يعملون في مؤسسات صينية متنوعة، وتم جمع البيانات عبر منصة</w:t>
      </w:r>
      <w:r w:rsidRPr="008A328B">
        <w:rPr>
          <w:rFonts w:ascii="Simplified Arabic" w:eastAsia="Times New Roman" w:hAnsi="Simplified Arabic" w:cs="Simplified Arabic"/>
          <w:color w:val="000000" w:themeColor="text1"/>
          <w:kern w:val="0"/>
          <w:sz w:val="28"/>
          <w:szCs w:val="28"/>
          <w14:ligatures w14:val="none"/>
        </w:rPr>
        <w:t xml:space="preserve"> Credamo </w:t>
      </w:r>
      <w:r w:rsidRPr="008A328B">
        <w:rPr>
          <w:rFonts w:ascii="Simplified Arabic" w:eastAsia="Times New Roman" w:hAnsi="Simplified Arabic" w:cs="Simplified Arabic"/>
          <w:color w:val="000000" w:themeColor="text1"/>
          <w:kern w:val="0"/>
          <w:sz w:val="28"/>
          <w:szCs w:val="28"/>
          <w:rtl/>
          <w14:ligatures w14:val="none"/>
        </w:rPr>
        <w:t>باستخدام مقياس ليكرت السباعي. وتوصلت نتائج الدراسة إلى أن الاستخدام المعرفي لأدوات الذكاء الاصطناعي التوليدي يُعزز سلوكيات نقل المعرفة</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β</w:t>
      </w:r>
      <w:r w:rsidRPr="008A328B">
        <w:rPr>
          <w:rFonts w:ascii="Simplified Arabic" w:eastAsia="Times New Roman" w:hAnsi="Simplified Arabic" w:cs="Simplified Arabic"/>
          <w:color w:val="000000" w:themeColor="text1"/>
          <w:kern w:val="0"/>
          <w:sz w:val="28"/>
          <w:szCs w:val="28"/>
          <w14:ligatures w14:val="none"/>
        </w:rPr>
        <w:t xml:space="preserve"> = 0.689)</w:t>
      </w:r>
      <w:r w:rsidRPr="008A328B">
        <w:rPr>
          <w:rFonts w:ascii="Simplified Arabic" w:eastAsia="Times New Roman" w:hAnsi="Simplified Arabic" w:cs="Simplified Arabic"/>
          <w:color w:val="000000" w:themeColor="text1"/>
          <w:kern w:val="0"/>
          <w:sz w:val="28"/>
          <w:szCs w:val="28"/>
          <w:rtl/>
          <w14:ligatures w14:val="none"/>
        </w:rPr>
        <w:t>، بينما يُعزز الاستخدام الاجتماعي قدرات اكتساب الموارد</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β</w:t>
      </w:r>
      <w:r w:rsidRPr="008A328B">
        <w:rPr>
          <w:rFonts w:ascii="Simplified Arabic" w:eastAsia="Times New Roman" w:hAnsi="Simplified Arabic" w:cs="Simplified Arabic"/>
          <w:color w:val="000000" w:themeColor="text1"/>
          <w:kern w:val="0"/>
          <w:sz w:val="28"/>
          <w:szCs w:val="28"/>
          <w14:ligatures w14:val="none"/>
        </w:rPr>
        <w:t xml:space="preserve"> = 0.558)</w:t>
      </w:r>
      <w:r w:rsidRPr="008A328B">
        <w:rPr>
          <w:rFonts w:ascii="Simplified Arabic" w:eastAsia="Times New Roman" w:hAnsi="Simplified Arabic" w:cs="Simplified Arabic"/>
          <w:color w:val="000000" w:themeColor="text1"/>
          <w:kern w:val="0"/>
          <w:sz w:val="28"/>
          <w:szCs w:val="28"/>
          <w:rtl/>
          <w14:ligatures w14:val="none"/>
        </w:rPr>
        <w:t>، وكلاهما يُسهم في رفع الرضا الوظيفي الذي يُحسّن بدوره الأداء الابتكاري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Cambria" w:eastAsia="Times New Roman" w:hAnsi="Cambria" w:cs="Cambria"/>
          <w:color w:val="000000" w:themeColor="text1"/>
          <w:kern w:val="0"/>
          <w:sz w:val="28"/>
          <w:szCs w:val="28"/>
          <w14:ligatures w14:val="none"/>
        </w:rPr>
        <w:t>β</w:t>
      </w:r>
      <w:r w:rsidRPr="008A328B">
        <w:rPr>
          <w:rFonts w:ascii="Simplified Arabic" w:eastAsia="Times New Roman" w:hAnsi="Simplified Arabic" w:cs="Simplified Arabic"/>
          <w:color w:val="000000" w:themeColor="text1"/>
          <w:kern w:val="0"/>
          <w:sz w:val="28"/>
          <w:szCs w:val="28"/>
          <w14:ligatures w14:val="none"/>
        </w:rPr>
        <w:t xml:space="preserve"> = 0.556). </w:t>
      </w:r>
      <w:r w:rsidRPr="008A328B">
        <w:rPr>
          <w:rFonts w:ascii="Simplified Arabic" w:eastAsia="Times New Roman" w:hAnsi="Simplified Arabic" w:cs="Simplified Arabic"/>
          <w:color w:val="000000" w:themeColor="text1"/>
          <w:kern w:val="0"/>
          <w:sz w:val="28"/>
          <w:szCs w:val="28"/>
          <w:rtl/>
          <w14:ligatures w14:val="none"/>
        </w:rPr>
        <w:t>كما كشفت النتائج عن وساطة كاملة للاستخدام الاجتماعي ووساطة جزئية للاستخدام المعرفي في التأثير على الأداء الابتكاري. وأوصت الدراسة بأن المنظمات يجب أن تُهيئ بيئة تقنية عالية الجودة تشجع الموظفين على الاستخدام الفعّال لأدوات الذكاء الاصطناعي التوليدي، مع تحسين وظائف هذه الأدوات باستمرار</w:t>
      </w:r>
      <w:r w:rsidRPr="008A328B">
        <w:rPr>
          <w:rFonts w:ascii="Simplified Arabic" w:eastAsia="Times New Roman" w:hAnsi="Simplified Arabic" w:cs="Simplified Arabic"/>
          <w:color w:val="000000" w:themeColor="text1"/>
          <w:kern w:val="0"/>
          <w:sz w:val="28"/>
          <w:szCs w:val="28"/>
          <w14:ligatures w14:val="none"/>
        </w:rPr>
        <w:t>.</w:t>
      </w:r>
    </w:p>
    <w:p w14:paraId="0DF3CE52" w14:textId="77777777" w:rsidR="00525FBC" w:rsidRPr="008A328B" w:rsidRDefault="00525FBC" w:rsidP="006A273E">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دراسة</w:t>
      </w:r>
      <w:r w:rsidRPr="008A328B">
        <w:rPr>
          <w:rFonts w:ascii="Simplified Arabic" w:eastAsia="Times New Roman" w:hAnsi="Simplified Arabic" w:cs="Simplified Arabic"/>
          <w:b/>
          <w:bCs/>
          <w:color w:val="000000" w:themeColor="text1"/>
          <w:kern w:val="0"/>
          <w:sz w:val="28"/>
          <w:szCs w:val="28"/>
          <w14:ligatures w14:val="none"/>
        </w:rPr>
        <w:t xml:space="preserve"> Tariq, Malik, &amp; Ali (2025) </w:t>
      </w:r>
      <w:r w:rsidRPr="008A328B">
        <w:rPr>
          <w:rFonts w:ascii="Simplified Arabic" w:eastAsia="Times New Roman" w:hAnsi="Simplified Arabic" w:cs="Simplified Arabic"/>
          <w:b/>
          <w:bCs/>
          <w:color w:val="000000" w:themeColor="text1"/>
          <w:kern w:val="0"/>
          <w:sz w:val="28"/>
          <w:szCs w:val="28"/>
          <w:rtl/>
          <w14:ligatures w14:val="none"/>
        </w:rPr>
        <w:t>بعنوان</w:t>
      </w:r>
      <w:r w:rsidRPr="008A328B">
        <w:rPr>
          <w:rFonts w:ascii="Simplified Arabic" w:eastAsia="Times New Roman" w:hAnsi="Simplified Arabic" w:cs="Simplified Arabic"/>
          <w:b/>
          <w:bCs/>
          <w:color w:val="000000" w:themeColor="text1"/>
          <w:kern w:val="0"/>
          <w:sz w:val="28"/>
          <w:szCs w:val="28"/>
          <w14:ligatures w14:val="none"/>
        </w:rPr>
        <w:t>: "Enhancing Organizational Performance through AI-Driven HRM Practices"</w:t>
      </w:r>
    </w:p>
    <w:p w14:paraId="5D3ED330"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الموارد البشرية المدعومة بالذكاء الاصطناعي بأبعادها (الاستقطاب الذكي، تقييم الأداء المؤتمت، التعلم التكيّفي، تحليلات رأس المال البشري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على تعزيز الأداء المؤسسي بأبعاده (الكفاءة التشغيلية، الابتكار المؤسسي، رضا الموظفين، الأداء المالي). واستخدمت الدراسة المنهج الكمي التحليلي، وتكونت العينة من موظفي ومديري الموارد البشرية في مؤسسات متعددة القطاعات تتبنى تطبيقات الذكاء الاصطناعي، وتم جمع البيانات عبر استبانة محكّمة وحُللت باستخدام أساليب التحليل الإحصائي المتقدمة. وتوصلت نتائج الدراسة إلى أن ممارسات إدارة الموارد البشرية المدعومة بالذكاء الاصطناعي تُسهم إسهاماً معنوياً في تعزيز الأداء المؤسسي على جميع الأبعاد، حيث تُتيح مقاييس الأداء المعززة بالذكاء الاصطناعي للمنظمات وضع أهداف دقيقة وقابلة للقياس وتقديم تغذية راجعة مستمرة. كما أظهرت النتائج أن التعلم التكيّفي المدعوم بالذكاء الاصطناعي يُحسّن قدرات الموظفين بشكل أسرع مقارنة بالأساليب التقليدية. وأوصت الدراسة بضرورة دمج أدوات الذكاء الاصطناعي في جميع مراحل دورة حياة الموظف، وبناء ثقافة تنظيمية داعمة للابتكار الرقمي، وتطوير سياسات أخلاقية واضحة لاستخدام الذكاء الاصطناعي في قرارات الموارد البشرية</w:t>
      </w:r>
      <w:r w:rsidRPr="008A328B">
        <w:rPr>
          <w:rFonts w:ascii="Simplified Arabic" w:eastAsia="Times New Roman" w:hAnsi="Simplified Arabic" w:cs="Simplified Arabic"/>
          <w:color w:val="000000" w:themeColor="text1"/>
          <w:kern w:val="0"/>
          <w:sz w:val="28"/>
          <w:szCs w:val="28"/>
          <w14:ligatures w14:val="none"/>
        </w:rPr>
        <w:t>.</w:t>
      </w:r>
    </w:p>
    <w:p w14:paraId="649AFD7A" w14:textId="55DDC765" w:rsidR="006A273E" w:rsidRPr="008A328B" w:rsidRDefault="006A273E" w:rsidP="006A273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33823318"/>
      <w:bookmarkStart w:id="17" w:name="_Toc223935792"/>
      <w:bookmarkEnd w:id="14"/>
      <w:r w:rsidRPr="008A328B">
        <w:rPr>
          <w:rFonts w:ascii="Simplified Arabic" w:hAnsi="Simplified Arabic" w:cs="Simplified Arabic"/>
          <w:b/>
          <w:bCs/>
          <w:color w:val="000000" w:themeColor="text1"/>
          <w:sz w:val="36"/>
          <w:szCs w:val="36"/>
          <w:rtl/>
        </w:rPr>
        <w:t>8.1 الفجوة البحثية</w:t>
      </w:r>
      <w:bookmarkEnd w:id="16"/>
    </w:p>
    <w:p w14:paraId="0F731D52" w14:textId="775B3573" w:rsidR="00A74F76" w:rsidRPr="008A328B" w:rsidRDefault="004744E0" w:rsidP="006A273E">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8A328B">
        <w:rPr>
          <w:rFonts w:ascii="Simplified Arabic" w:hAnsi="Simplified Arabic" w:cs="Simplified Arabic"/>
          <w:color w:val="000000" w:themeColor="text1"/>
          <w:sz w:val="28"/>
          <w:szCs w:val="28"/>
          <w:rtl/>
        </w:rPr>
        <w:t>باستقراء الدراسات السابقة التي تم استعراضها في محوري المتغير المستقل والمتغير التابع، يتبيَّن أن الأدبيات العربية والأجنبية قد قطعت شوطاً ملحوظاً في تناول الذكاء الاصطناعي وعلاقته بالأداء المؤسسي، غير أن ثمة فجوات بحثية جوهرية لا تزال قائمة وتُشكِّل المسوِّغ العلمي الأساسي لهذه الدراسة. فمن حيث السياق الجغرافي والثقافي، أُجريت معظم الدراسات التجريبية الرائدة في بيئات غربية — كدراسة</w:t>
      </w:r>
      <w:r w:rsidRPr="008A328B">
        <w:rPr>
          <w:rFonts w:ascii="Simplified Arabic" w:hAnsi="Simplified Arabic" w:cs="Simplified Arabic"/>
          <w:color w:val="000000" w:themeColor="text1"/>
          <w:sz w:val="28"/>
          <w:szCs w:val="28"/>
        </w:rPr>
        <w:t xml:space="preserve"> Brynjolfsson </w:t>
      </w:r>
      <w:r w:rsidRPr="008A328B">
        <w:rPr>
          <w:rFonts w:ascii="Simplified Arabic" w:hAnsi="Simplified Arabic" w:cs="Simplified Arabic"/>
          <w:color w:val="000000" w:themeColor="text1"/>
          <w:sz w:val="28"/>
          <w:szCs w:val="28"/>
          <w:rtl/>
        </w:rPr>
        <w:t>وزملائه (2025) في شركة أمريكية ودراسة</w:t>
      </w:r>
      <w:r w:rsidRPr="008A328B">
        <w:rPr>
          <w:rFonts w:ascii="Simplified Arabic" w:hAnsi="Simplified Arabic" w:cs="Simplified Arabic"/>
          <w:color w:val="000000" w:themeColor="text1"/>
          <w:sz w:val="28"/>
          <w:szCs w:val="28"/>
        </w:rPr>
        <w:t xml:space="preserve"> Dell'Acqua </w:t>
      </w:r>
      <w:r w:rsidRPr="008A328B">
        <w:rPr>
          <w:rFonts w:ascii="Simplified Arabic" w:hAnsi="Simplified Arabic" w:cs="Simplified Arabic"/>
          <w:color w:val="000000" w:themeColor="text1"/>
          <w:sz w:val="28"/>
          <w:szCs w:val="28"/>
          <w:rtl/>
        </w:rPr>
        <w:t>وزملائه (2023) على مستشاري</w:t>
      </w:r>
      <w:r w:rsidRPr="008A328B">
        <w:rPr>
          <w:rFonts w:ascii="Simplified Arabic" w:hAnsi="Simplified Arabic" w:cs="Simplified Arabic"/>
          <w:color w:val="000000" w:themeColor="text1"/>
          <w:sz w:val="28"/>
          <w:szCs w:val="28"/>
        </w:rPr>
        <w:t xml:space="preserve"> BCG </w:t>
      </w:r>
      <w:r w:rsidRPr="008A328B">
        <w:rPr>
          <w:rFonts w:ascii="Simplified Arabic" w:hAnsi="Simplified Arabic" w:cs="Simplified Arabic"/>
          <w:color w:val="000000" w:themeColor="text1"/>
          <w:sz w:val="28"/>
          <w:szCs w:val="28"/>
          <w:rtl/>
        </w:rPr>
        <w:t xml:space="preserve">ودراسة </w:t>
      </w:r>
      <w:r w:rsidRPr="008A328B">
        <w:rPr>
          <w:rFonts w:ascii="Simplified Arabic" w:hAnsi="Simplified Arabic" w:cs="Simplified Arabic"/>
          <w:color w:val="000000" w:themeColor="text1"/>
          <w:sz w:val="28"/>
          <w:szCs w:val="28"/>
        </w:rPr>
        <w:t xml:space="preserve">Noy </w:t>
      </w:r>
      <w:r w:rsidRPr="008A328B">
        <w:rPr>
          <w:rFonts w:ascii="Simplified Arabic" w:hAnsi="Simplified Arabic" w:cs="Simplified Arabic"/>
          <w:color w:val="000000" w:themeColor="text1"/>
          <w:sz w:val="28"/>
          <w:szCs w:val="28"/>
          <w:rtl/>
        </w:rPr>
        <w:t>و</w:t>
      </w:r>
      <w:r w:rsidRPr="008A328B">
        <w:rPr>
          <w:rFonts w:ascii="Simplified Arabic" w:hAnsi="Simplified Arabic" w:cs="Simplified Arabic"/>
          <w:color w:val="000000" w:themeColor="text1"/>
          <w:sz w:val="28"/>
          <w:szCs w:val="28"/>
        </w:rPr>
        <w:t xml:space="preserve">Zhang (2023) </w:t>
      </w:r>
      <w:r w:rsidRPr="008A328B">
        <w:rPr>
          <w:rFonts w:ascii="Simplified Arabic" w:hAnsi="Simplified Arabic" w:cs="Simplified Arabic"/>
          <w:color w:val="000000" w:themeColor="text1"/>
          <w:sz w:val="28"/>
          <w:szCs w:val="28"/>
          <w:rtl/>
        </w:rPr>
        <w:t>على مهنيين أمريكيين — مما يُحدث قصوراً واضحاً في قابلية تعميم نتائجها على البيئة التنظيمية السعودية ذات الخصوصية الثقافية والتشريعية والتنموية المرتبطة بمستهدفات رؤية 2030. ومن حيث طبيعة المتغير المستقل، ركَّزت غالبية الدراسات على الذكاء الاصطناعي بمفهومه العام أو على تطبيق واحد بعينه كروبوتات الدردشة — كما في دراسة الشعار وزملائه (2024) التي تناولت بصمة العميل والفروع الذكية ومنع الاحتيال، ودراسة</w:t>
      </w:r>
      <w:r w:rsidRPr="008A328B">
        <w:rPr>
          <w:rFonts w:ascii="Simplified Arabic" w:hAnsi="Simplified Arabic" w:cs="Simplified Arabic"/>
          <w:color w:val="000000" w:themeColor="text1"/>
          <w:sz w:val="28"/>
          <w:szCs w:val="28"/>
        </w:rPr>
        <w:t xml:space="preserve"> Zhang </w:t>
      </w:r>
      <w:r w:rsidRPr="008A328B">
        <w:rPr>
          <w:rFonts w:ascii="Simplified Arabic" w:hAnsi="Simplified Arabic" w:cs="Simplified Arabic"/>
          <w:color w:val="000000" w:themeColor="text1"/>
          <w:sz w:val="28"/>
          <w:szCs w:val="28"/>
          <w:rtl/>
        </w:rPr>
        <w:t xml:space="preserve">وزملائه (2026) التي ميَّزت بين الاستخدام المعرفي والاجتماعي </w:t>
      </w:r>
      <w:r w:rsidRPr="008A328B">
        <w:rPr>
          <w:rFonts w:ascii="Simplified Arabic" w:hAnsi="Simplified Arabic" w:cs="Simplified Arabic"/>
          <w:color w:val="000000" w:themeColor="text1"/>
          <w:sz w:val="28"/>
          <w:szCs w:val="28"/>
        </w:rPr>
        <w:t xml:space="preserve">— </w:t>
      </w:r>
      <w:r w:rsidRPr="008A328B">
        <w:rPr>
          <w:rFonts w:ascii="Simplified Arabic" w:hAnsi="Simplified Arabic" w:cs="Simplified Arabic"/>
          <w:color w:val="000000" w:themeColor="text1"/>
          <w:sz w:val="28"/>
          <w:szCs w:val="28"/>
          <w:rtl/>
        </w:rPr>
        <w:t>دون أن تتناول تبني الذكاء الاصطناعي التوليدي تحديداً بوصفه ظاهرة تنظيمية متعددة الأبعاد تتطلب بنية تحتية تقنية وتأهيلاً بشرياً ودعماً قيادياً وتكاملاً في العمليات. ومن حيث المتغير التابع، اتجهت دراسات عديدة إلى قياس الأداء بمؤشرات أحادية كسرعة الإنجاز أو عدد المهام المُنجزة</w:t>
      </w:r>
      <w:r w:rsidRPr="008A328B">
        <w:rPr>
          <w:rFonts w:ascii="Simplified Arabic" w:hAnsi="Simplified Arabic" w:cs="Simplified Arabic"/>
          <w:color w:val="000000" w:themeColor="text1"/>
          <w:sz w:val="28"/>
          <w:szCs w:val="28"/>
        </w:rPr>
        <w:t xml:space="preserve"> — </w:t>
      </w:r>
      <w:r w:rsidRPr="008A328B">
        <w:rPr>
          <w:rFonts w:ascii="Simplified Arabic" w:hAnsi="Simplified Arabic" w:cs="Simplified Arabic"/>
          <w:color w:val="000000" w:themeColor="text1"/>
          <w:sz w:val="28"/>
          <w:szCs w:val="28"/>
          <w:rtl/>
        </w:rPr>
        <w:t>كما فعل</w:t>
      </w:r>
      <w:r w:rsidRPr="008A328B">
        <w:rPr>
          <w:rFonts w:ascii="Simplified Arabic" w:hAnsi="Simplified Arabic" w:cs="Simplified Arabic"/>
          <w:color w:val="000000" w:themeColor="text1"/>
          <w:sz w:val="28"/>
          <w:szCs w:val="28"/>
        </w:rPr>
        <w:t xml:space="preserve"> Brynjolfsson </w:t>
      </w:r>
      <w:r w:rsidRPr="008A328B">
        <w:rPr>
          <w:rFonts w:ascii="Simplified Arabic" w:hAnsi="Simplified Arabic" w:cs="Simplified Arabic"/>
          <w:color w:val="000000" w:themeColor="text1"/>
          <w:sz w:val="28"/>
          <w:szCs w:val="28"/>
          <w:rtl/>
        </w:rPr>
        <w:t>وزملاؤه بقياس عدد المشكلات المحلولة في الساعة — أو اقتصرت على الرضا الوظيفي كما في دراسة الجندي وعبد الحميد (2025)، في حين تفتقر الأدبيات إلى قياس شامل ومتكامل لمؤشرات أداء الموظفين المعرفيين يجمع بين الجودة والسرعة والدقة والابتكار والإنتاجية في آن واحد. ومن حيث الفئة المستهدفة، استهدفت دراسات مثل</w:t>
      </w:r>
      <w:r w:rsidRPr="008A328B">
        <w:rPr>
          <w:rFonts w:ascii="Simplified Arabic" w:hAnsi="Simplified Arabic" w:cs="Simplified Arabic"/>
          <w:color w:val="000000" w:themeColor="text1"/>
          <w:sz w:val="28"/>
          <w:szCs w:val="28"/>
        </w:rPr>
        <w:t xml:space="preserve"> Brynjolfsson </w:t>
      </w:r>
      <w:r w:rsidRPr="008A328B">
        <w:rPr>
          <w:rFonts w:ascii="Simplified Arabic" w:hAnsi="Simplified Arabic" w:cs="Simplified Arabic"/>
          <w:color w:val="000000" w:themeColor="text1"/>
          <w:sz w:val="28"/>
          <w:szCs w:val="28"/>
          <w:rtl/>
        </w:rPr>
        <w:t>وزملائه موظفي خدمة العملاء، ودراسة</w:t>
      </w:r>
      <w:r w:rsidRPr="008A328B">
        <w:rPr>
          <w:rFonts w:ascii="Simplified Arabic" w:hAnsi="Simplified Arabic" w:cs="Simplified Arabic"/>
          <w:color w:val="000000" w:themeColor="text1"/>
          <w:sz w:val="28"/>
          <w:szCs w:val="28"/>
        </w:rPr>
        <w:t xml:space="preserve"> Dewi </w:t>
      </w:r>
      <w:r w:rsidRPr="008A328B">
        <w:rPr>
          <w:rFonts w:ascii="Simplified Arabic" w:hAnsi="Simplified Arabic" w:cs="Simplified Arabic"/>
          <w:color w:val="000000" w:themeColor="text1"/>
          <w:sz w:val="28"/>
          <w:szCs w:val="28"/>
          <w:rtl/>
        </w:rPr>
        <w:t xml:space="preserve">وزملائها (2024) الموظفين بشكل عام، بينما لم تُفرد الدراسات — ولا سيما العربية منها — اهتماماً كافياً بالموظفين المعرفيين </w:t>
      </w:r>
      <w:r w:rsidRPr="008A328B">
        <w:rPr>
          <w:rFonts w:ascii="Simplified Arabic" w:hAnsi="Simplified Arabic" w:cs="Simplified Arabic"/>
          <w:color w:val="000000" w:themeColor="text1"/>
          <w:sz w:val="28"/>
          <w:szCs w:val="28"/>
        </w:rPr>
        <w:t xml:space="preserve">(Knowledge Workers) </w:t>
      </w:r>
      <w:r w:rsidRPr="008A328B">
        <w:rPr>
          <w:rFonts w:ascii="Simplified Arabic" w:hAnsi="Simplified Arabic" w:cs="Simplified Arabic"/>
          <w:color w:val="000000" w:themeColor="text1"/>
          <w:sz w:val="28"/>
          <w:szCs w:val="28"/>
          <w:rtl/>
        </w:rPr>
        <w:t>الذين يُمثِّلون الشريحة الأكثر تأثراً والأعلى قيمة مضافة في سياق تبني الذكاء الاصطناعي التوليدي. وعليه، تأتي هذه الدراسة لسد هذه الفجوات المتراكمة من خلال تقديم نموذج بحثي يربط — للمرة الأولى في حدود علم الباحث — بين تبني الذكاء الاصطناعي التوليدي بأبعاده التنظيمية الأربعة المتكاملة ومؤشرات الأداء وكفاءة الموظفين في الوظائف المعرفية بالشركات السعودية، مما يُسهم في إثراء الأدبيات العربية بإطار نظري وتطبيقي جديد يُعالج الخصوصية السعودية في ظل رؤية 2030</w:t>
      </w:r>
      <w:r w:rsidRPr="008A328B">
        <w:rPr>
          <w:rFonts w:ascii="Simplified Arabic" w:hAnsi="Simplified Arabic" w:cs="Simplified Arabic"/>
          <w:color w:val="000000" w:themeColor="text1"/>
          <w:sz w:val="28"/>
          <w:szCs w:val="28"/>
        </w:rPr>
        <w:t>.</w:t>
      </w:r>
      <w:r w:rsidRPr="008A328B">
        <w:rPr>
          <w:rFonts w:ascii="Simplified Arabic" w:hAnsi="Simplified Arabic" w:cs="Simplified Arabic"/>
          <w:color w:val="000000" w:themeColor="text1"/>
          <w:sz w:val="28"/>
          <w:szCs w:val="28"/>
          <w:rtl/>
        </w:rPr>
        <w:t xml:space="preserve"> </w:t>
      </w:r>
      <w:r w:rsidR="00A74F76" w:rsidRPr="008A328B">
        <w:rPr>
          <w:rFonts w:ascii="Simplified Arabic" w:hAnsi="Simplified Arabic" w:cs="Simplified Arabic"/>
          <w:color w:val="000000" w:themeColor="text1"/>
          <w:sz w:val="28"/>
          <w:szCs w:val="28"/>
          <w:rtl/>
        </w:rPr>
        <w:t>المنطلقات النظرية للدراسة:</w:t>
      </w:r>
      <w:bookmarkEnd w:id="15"/>
      <w:bookmarkEnd w:id="17"/>
    </w:p>
    <w:p w14:paraId="0831C42B" w14:textId="53EA111A" w:rsidR="00525FBC" w:rsidRPr="008A328B" w:rsidRDefault="006A273E" w:rsidP="006A273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18" w:name="_Toc233823319"/>
      <w:bookmarkStart w:id="19" w:name="_Toc169790502"/>
      <w:r w:rsidRPr="008A328B">
        <w:rPr>
          <w:rFonts w:ascii="Simplified Arabic" w:eastAsia="Times New Roman" w:hAnsi="Simplified Arabic" w:cs="Simplified Arabic" w:hint="cs"/>
          <w:b/>
          <w:bCs/>
          <w:color w:val="000000" w:themeColor="text1"/>
          <w:kern w:val="36"/>
          <w:sz w:val="36"/>
          <w:szCs w:val="36"/>
          <w:rtl/>
          <w14:ligatures w14:val="none"/>
        </w:rPr>
        <w:t xml:space="preserve">9.1 </w:t>
      </w:r>
      <w:r w:rsidR="00525FBC" w:rsidRPr="008A328B">
        <w:rPr>
          <w:rFonts w:ascii="Simplified Arabic" w:eastAsia="Times New Roman" w:hAnsi="Simplified Arabic" w:cs="Simplified Arabic"/>
          <w:b/>
          <w:bCs/>
          <w:color w:val="000000" w:themeColor="text1"/>
          <w:kern w:val="36"/>
          <w:sz w:val="36"/>
          <w:szCs w:val="36"/>
          <w:rtl/>
          <w14:ligatures w14:val="none"/>
        </w:rPr>
        <w:t>مصطلحات الدراسة</w:t>
      </w:r>
      <w:bookmarkEnd w:id="18"/>
    </w:p>
    <w:p w14:paraId="783F47DC"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أولاً: الذكاء الاصطناعي التوليدي</w:t>
      </w:r>
      <w:r w:rsidRPr="008A328B">
        <w:rPr>
          <w:rFonts w:ascii="Simplified Arabic" w:eastAsia="Times New Roman" w:hAnsi="Simplified Arabic" w:cs="Simplified Arabic"/>
          <w:b/>
          <w:bCs/>
          <w:color w:val="000000" w:themeColor="text1"/>
          <w:kern w:val="0"/>
          <w:sz w:val="32"/>
          <w:szCs w:val="32"/>
          <w14:ligatures w14:val="none"/>
        </w:rPr>
        <w:t xml:space="preserve"> (Generative Artificial Intelligence)</w:t>
      </w:r>
    </w:p>
    <w:p w14:paraId="2EB4C380"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فرع متقدم من فروع الذكاء الاصطناعي يعتمد على نماذج التعلم العميق والشبكات العصبية واسعة النطاق</w:t>
      </w:r>
      <w:r w:rsidRPr="008A328B">
        <w:rPr>
          <w:rFonts w:ascii="Simplified Arabic" w:eastAsia="Times New Roman" w:hAnsi="Simplified Arabic" w:cs="Simplified Arabic"/>
          <w:color w:val="000000" w:themeColor="text1"/>
          <w:kern w:val="0"/>
          <w:sz w:val="28"/>
          <w:szCs w:val="28"/>
          <w14:ligatures w14:val="none"/>
        </w:rPr>
        <w:t xml:space="preserve"> (Large Language Models) </w:t>
      </w:r>
      <w:r w:rsidRPr="008A328B">
        <w:rPr>
          <w:rFonts w:ascii="Simplified Arabic" w:eastAsia="Times New Roman" w:hAnsi="Simplified Arabic" w:cs="Simplified Arabic"/>
          <w:color w:val="000000" w:themeColor="text1"/>
          <w:kern w:val="0"/>
          <w:sz w:val="28"/>
          <w:szCs w:val="28"/>
          <w:rtl/>
          <w14:ligatures w14:val="none"/>
        </w:rPr>
        <w:t xml:space="preserve">القادرة على إنتاج محتوى جديد ومتنوع </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يشمل النصوص والصور والأكواد البرمجية والتحليلات والمحاكاة — استجابةً لمُدخلات المستخدم</w:t>
      </w:r>
      <w:r w:rsidRPr="008A328B">
        <w:rPr>
          <w:rFonts w:ascii="Simplified Arabic" w:eastAsia="Times New Roman" w:hAnsi="Simplified Arabic" w:cs="Simplified Arabic"/>
          <w:color w:val="000000" w:themeColor="text1"/>
          <w:kern w:val="0"/>
          <w:sz w:val="28"/>
          <w:szCs w:val="28"/>
          <w14:ligatures w14:val="none"/>
        </w:rPr>
        <w:t xml:space="preserve"> (Prompts)</w:t>
      </w:r>
      <w:r w:rsidRPr="008A328B">
        <w:rPr>
          <w:rFonts w:ascii="Simplified Arabic" w:eastAsia="Times New Roman" w:hAnsi="Simplified Arabic" w:cs="Simplified Arabic"/>
          <w:color w:val="000000" w:themeColor="text1"/>
          <w:kern w:val="0"/>
          <w:sz w:val="28"/>
          <w:szCs w:val="28"/>
          <w:rtl/>
          <w14:ligatures w14:val="none"/>
        </w:rPr>
        <w:t>، وذلك من خلال تعلُّم الأنماط والبنى الكامنة في مجموعات بيانات ضخمة وإعادة توليدها بصور مبتكرة لم تكن موجودة سلفاً في بيانات التدريب</w:t>
      </w:r>
      <w:r w:rsidRPr="008A328B">
        <w:rPr>
          <w:rFonts w:ascii="Simplified Arabic" w:eastAsia="Times New Roman" w:hAnsi="Simplified Arabic" w:cs="Simplified Arabic"/>
          <w:color w:val="000000" w:themeColor="text1"/>
          <w:kern w:val="0"/>
          <w:sz w:val="28"/>
          <w:szCs w:val="28"/>
          <w14:ligatures w14:val="none"/>
        </w:rPr>
        <w:t xml:space="preserve"> (Al Naqbi, Bahroun, &amp; Ahmed, 2024).</w:t>
      </w:r>
    </w:p>
    <w:p w14:paraId="67BCD3A6"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يُقصد بالذكاء الاصطناعي التوليدي في هذه الدراسة مجموعة الأدوات والتطبيقات والنماذج اللغوية الكبيرة — كـ</w:t>
      </w:r>
      <w:r w:rsidRPr="008A328B">
        <w:rPr>
          <w:rFonts w:ascii="Simplified Arabic" w:eastAsia="Times New Roman" w:hAnsi="Simplified Arabic" w:cs="Simplified Arabic"/>
          <w:color w:val="000000" w:themeColor="text1"/>
          <w:kern w:val="0"/>
          <w:sz w:val="28"/>
          <w:szCs w:val="28"/>
          <w14:ligatures w14:val="none"/>
        </w:rPr>
        <w:t xml:space="preserve"> ChatGPT </w:t>
      </w:r>
      <w:r w:rsidRPr="008A328B">
        <w:rPr>
          <w:rFonts w:ascii="Simplified Arabic" w:eastAsia="Times New Roman" w:hAnsi="Simplified Arabic" w:cs="Simplified Arabic"/>
          <w:color w:val="000000" w:themeColor="text1"/>
          <w:kern w:val="0"/>
          <w:sz w:val="28"/>
          <w:szCs w:val="28"/>
          <w:rtl/>
          <w14:ligatures w14:val="none"/>
        </w:rPr>
        <w:t>و</w:t>
      </w:r>
      <w:r w:rsidRPr="008A328B">
        <w:rPr>
          <w:rFonts w:ascii="Simplified Arabic" w:eastAsia="Times New Roman" w:hAnsi="Simplified Arabic" w:cs="Simplified Arabic"/>
          <w:color w:val="000000" w:themeColor="text1"/>
          <w:kern w:val="0"/>
          <w:sz w:val="28"/>
          <w:szCs w:val="28"/>
          <w14:ligatures w14:val="none"/>
        </w:rPr>
        <w:t xml:space="preserve">Gemini </w:t>
      </w:r>
      <w:r w:rsidRPr="008A328B">
        <w:rPr>
          <w:rFonts w:ascii="Simplified Arabic" w:eastAsia="Times New Roman" w:hAnsi="Simplified Arabic" w:cs="Simplified Arabic"/>
          <w:color w:val="000000" w:themeColor="text1"/>
          <w:kern w:val="0"/>
          <w:sz w:val="28"/>
          <w:szCs w:val="28"/>
          <w:rtl/>
          <w14:ligatures w14:val="none"/>
        </w:rPr>
        <w:t>و</w:t>
      </w:r>
      <w:r w:rsidRPr="008A328B">
        <w:rPr>
          <w:rFonts w:ascii="Simplified Arabic" w:eastAsia="Times New Roman" w:hAnsi="Simplified Arabic" w:cs="Simplified Arabic"/>
          <w:color w:val="000000" w:themeColor="text1"/>
          <w:kern w:val="0"/>
          <w:sz w:val="28"/>
          <w:szCs w:val="28"/>
          <w14:ligatures w14:val="none"/>
        </w:rPr>
        <w:t xml:space="preserve">Copilot </w:t>
      </w:r>
      <w:r w:rsidRPr="008A328B">
        <w:rPr>
          <w:rFonts w:ascii="Simplified Arabic" w:eastAsia="Times New Roman" w:hAnsi="Simplified Arabic" w:cs="Simplified Arabic"/>
          <w:color w:val="000000" w:themeColor="text1"/>
          <w:kern w:val="0"/>
          <w:sz w:val="28"/>
          <w:szCs w:val="28"/>
          <w:rtl/>
          <w14:ligatures w14:val="none"/>
        </w:rPr>
        <w:t>وما يماثلها</w:t>
      </w:r>
      <w:r w:rsidRPr="008A328B">
        <w:rPr>
          <w:rFonts w:ascii="Simplified Arabic" w:eastAsia="Times New Roman" w:hAnsi="Simplified Arabic" w:cs="Simplified Arabic"/>
          <w:color w:val="000000" w:themeColor="text1"/>
          <w:kern w:val="0"/>
          <w:sz w:val="28"/>
          <w:szCs w:val="28"/>
          <w14:ligatures w14:val="none"/>
        </w:rPr>
        <w:t xml:space="preserve"> — </w:t>
      </w:r>
      <w:r w:rsidRPr="008A328B">
        <w:rPr>
          <w:rFonts w:ascii="Simplified Arabic" w:eastAsia="Times New Roman" w:hAnsi="Simplified Arabic" w:cs="Simplified Arabic"/>
          <w:color w:val="000000" w:themeColor="text1"/>
          <w:kern w:val="0"/>
          <w:sz w:val="28"/>
          <w:szCs w:val="28"/>
          <w:rtl/>
          <w14:ligatures w14:val="none"/>
        </w:rPr>
        <w:t>التي تتبنّاها الشركات السعودية محل الدراسة وتُوظِّفها في دعم المهام المعرفية لموظفيها كإعداد التقارير والتحليلات وصياغة المحتوى واتخاذ القرارات، ويُقاس مستوى تبنيها من خلال استجابات أفراد العينة على فقرات محور المتغير المستقل في الاستبانة المُعدَّة لهذا الغرض</w:t>
      </w:r>
      <w:r w:rsidRPr="008A328B">
        <w:rPr>
          <w:rFonts w:ascii="Simplified Arabic" w:eastAsia="Times New Roman" w:hAnsi="Simplified Arabic" w:cs="Simplified Arabic"/>
          <w:color w:val="000000" w:themeColor="text1"/>
          <w:kern w:val="0"/>
          <w:sz w:val="28"/>
          <w:szCs w:val="28"/>
          <w14:ligatures w14:val="none"/>
        </w:rPr>
        <w:t>.</w:t>
      </w:r>
    </w:p>
    <w:p w14:paraId="5C039C3D"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ثانياً: تبني الذكاء الاصطناعي التوليدي</w:t>
      </w:r>
      <w:r w:rsidRPr="008A328B">
        <w:rPr>
          <w:rFonts w:ascii="Simplified Arabic" w:eastAsia="Times New Roman" w:hAnsi="Simplified Arabic" w:cs="Simplified Arabic"/>
          <w:b/>
          <w:bCs/>
          <w:color w:val="000000" w:themeColor="text1"/>
          <w:kern w:val="0"/>
          <w:sz w:val="32"/>
          <w:szCs w:val="32"/>
          <w14:ligatures w14:val="none"/>
        </w:rPr>
        <w:t xml:space="preserve"> (Generative AI Adoption)</w:t>
      </w:r>
    </w:p>
    <w:p w14:paraId="118DB0AC"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عملية تنظيمية متعددة المراحل تتضمن قرار المنظمة بقبول تقنية الذكاء الاصطناعي التوليدي ودمجها في عملياتها وهياكلها التشغيلية، بدءاً من مرحلة الوعي والاستكشاف، مروراً بالتجريب والتطبيق المحدود، ووصولاً إلى التكامل الكامل والنشر واسع النطاق عبر الوحدات التنظيمية المختلفة (سعيدي، 2025)</w:t>
      </w:r>
      <w:r w:rsidRPr="008A328B">
        <w:rPr>
          <w:rFonts w:ascii="Simplified Arabic" w:eastAsia="Times New Roman" w:hAnsi="Simplified Arabic" w:cs="Simplified Arabic"/>
          <w:color w:val="000000" w:themeColor="text1"/>
          <w:kern w:val="0"/>
          <w:sz w:val="28"/>
          <w:szCs w:val="28"/>
          <w14:ligatures w14:val="none"/>
        </w:rPr>
        <w:t>.</w:t>
      </w:r>
    </w:p>
    <w:p w14:paraId="03BF682A"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يُعرَّف تبني الذكاء الاصطناعي التوليدي إجرائياً في هذه الدراسة بأنه الدرجة التي تحصل عليها استجابات أفراد العينة على محاور الاستبانة الأربعة المُقيسة لأبعاد التبني، وهي: البنية التحتية التقنية والجاهزية الرقمية، وكفاءة الموارد البشرية وتأهيلها، ودعم القيادة التنظيمية والثقافة المؤسسية، وتكامل العمليات والأتمتة الذكية</w:t>
      </w:r>
      <w:r w:rsidRPr="008A328B">
        <w:rPr>
          <w:rFonts w:ascii="Simplified Arabic" w:eastAsia="Times New Roman" w:hAnsi="Simplified Arabic" w:cs="Simplified Arabic"/>
          <w:color w:val="000000" w:themeColor="text1"/>
          <w:kern w:val="0"/>
          <w:sz w:val="28"/>
          <w:szCs w:val="28"/>
          <w14:ligatures w14:val="none"/>
        </w:rPr>
        <w:t>.</w:t>
      </w:r>
    </w:p>
    <w:p w14:paraId="1E496FA6"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ثالثاً: البنية التحتية التقنية والجاهزية الرقمية</w:t>
      </w:r>
      <w:r w:rsidRPr="008A328B">
        <w:rPr>
          <w:rFonts w:ascii="Simplified Arabic" w:eastAsia="Times New Roman" w:hAnsi="Simplified Arabic" w:cs="Simplified Arabic"/>
          <w:b/>
          <w:bCs/>
          <w:color w:val="000000" w:themeColor="text1"/>
          <w:kern w:val="0"/>
          <w:sz w:val="32"/>
          <w:szCs w:val="32"/>
          <w14:ligatures w14:val="none"/>
        </w:rPr>
        <w:t xml:space="preserve"> (Technical Infrastructure and Digital Readiness)</w:t>
      </w:r>
    </w:p>
    <w:p w14:paraId="024CF88B"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مجموعة الموارد التقنية المادية والبرمجية التي تمتلكها المنظمة وتشمل الخوادم والشبكات والحوسبة السحابية وقواعد البيانات ومنصات التكامل وأنظمة الأمن السيبراني، والتي تُشكِّل الأساس التقني اللازم لنشر تطبيقات الذكاء الاصطناعي التوليدي وتشغيلها بكفاءة واستدامة</w:t>
      </w:r>
      <w:r w:rsidRPr="008A328B">
        <w:rPr>
          <w:rFonts w:ascii="Simplified Arabic" w:eastAsia="Times New Roman" w:hAnsi="Simplified Arabic" w:cs="Simplified Arabic"/>
          <w:color w:val="000000" w:themeColor="text1"/>
          <w:kern w:val="0"/>
          <w:sz w:val="28"/>
          <w:szCs w:val="28"/>
          <w14:ligatures w14:val="none"/>
        </w:rPr>
        <w:t xml:space="preserve"> (Brynjolfsson, Li, &amp; Raymond, 2025).</w:t>
      </w:r>
    </w:p>
    <w:p w14:paraId="5DE799AD"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 xml:space="preserve">يُقصد بها في هذه الدراسة مدى توافر البنية التقنية والرقمية في الشركات السعودية محل الدراسة من حيث جاهزية الأنظمة والشبكات وقواعد البيانات والحوسبة السحابية لدعم أدوات الذكاء الاصطناعي التوليدي، ويُقاس هذا البُعد من خلال </w:t>
      </w:r>
      <w:r w:rsidRPr="008A328B">
        <w:rPr>
          <w:rFonts w:ascii="Simplified Arabic" w:eastAsia="Times New Roman" w:hAnsi="Simplified Arabic" w:cs="Simplified Arabic"/>
          <w:color w:val="000000" w:themeColor="text1"/>
          <w:kern w:val="0"/>
          <w:sz w:val="28"/>
          <w:szCs w:val="28"/>
          <w14:ligatures w14:val="none"/>
        </w:rPr>
        <w:t xml:space="preserve">(4) </w:t>
      </w:r>
      <w:r w:rsidRPr="008A328B">
        <w:rPr>
          <w:rFonts w:ascii="Simplified Arabic" w:eastAsia="Times New Roman" w:hAnsi="Simplified Arabic" w:cs="Simplified Arabic"/>
          <w:color w:val="000000" w:themeColor="text1"/>
          <w:kern w:val="0"/>
          <w:sz w:val="28"/>
          <w:szCs w:val="28"/>
          <w:rtl/>
          <w14:ligatures w14:val="none"/>
        </w:rPr>
        <w:t>فقرات في الاستبانة</w:t>
      </w:r>
      <w:r w:rsidRPr="008A328B">
        <w:rPr>
          <w:rFonts w:ascii="Simplified Arabic" w:eastAsia="Times New Roman" w:hAnsi="Simplified Arabic" w:cs="Simplified Arabic"/>
          <w:color w:val="000000" w:themeColor="text1"/>
          <w:kern w:val="0"/>
          <w:sz w:val="28"/>
          <w:szCs w:val="28"/>
          <w14:ligatures w14:val="none"/>
        </w:rPr>
        <w:t>.</w:t>
      </w:r>
    </w:p>
    <w:p w14:paraId="1A785491"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رابعاً: كفاءة الموارد البشرية وتأهيلها لاستخدام الذكاء الاصطناعي</w:t>
      </w:r>
      <w:r w:rsidRPr="008A328B">
        <w:rPr>
          <w:rFonts w:ascii="Simplified Arabic" w:eastAsia="Times New Roman" w:hAnsi="Simplified Arabic" w:cs="Simplified Arabic"/>
          <w:b/>
          <w:bCs/>
          <w:color w:val="000000" w:themeColor="text1"/>
          <w:kern w:val="0"/>
          <w:sz w:val="32"/>
          <w:szCs w:val="32"/>
          <w14:ligatures w14:val="none"/>
        </w:rPr>
        <w:t xml:space="preserve"> (Human Resource Competency and AI Readiness)</w:t>
      </w:r>
    </w:p>
    <w:p w14:paraId="15510ABB"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مستوى المعارف والمهارات والقدرات التقنية والمعرفية التي يمتلكها الموظفون والتي تُمكِّنهم من التفاعل الفعّال مع أدوات الذكاء الاصطناعي التوليدي وتوظيفها في مهامهم الوظيفية، بما يشمل مهارات صياغة الأوامر</w:t>
      </w:r>
      <w:r w:rsidRPr="008A328B">
        <w:rPr>
          <w:rFonts w:ascii="Simplified Arabic" w:eastAsia="Times New Roman" w:hAnsi="Simplified Arabic" w:cs="Simplified Arabic"/>
          <w:color w:val="000000" w:themeColor="text1"/>
          <w:kern w:val="0"/>
          <w:sz w:val="28"/>
          <w:szCs w:val="28"/>
          <w14:ligatures w14:val="none"/>
        </w:rPr>
        <w:t xml:space="preserve"> (Prompt Engineering) </w:t>
      </w:r>
      <w:r w:rsidRPr="008A328B">
        <w:rPr>
          <w:rFonts w:ascii="Simplified Arabic" w:eastAsia="Times New Roman" w:hAnsi="Simplified Arabic" w:cs="Simplified Arabic"/>
          <w:color w:val="000000" w:themeColor="text1"/>
          <w:kern w:val="0"/>
          <w:sz w:val="28"/>
          <w:szCs w:val="28"/>
          <w:rtl/>
          <w14:ligatures w14:val="none"/>
        </w:rPr>
        <w:t>والتفكير النقدي في تقييم مخرجات الذكاء الاصطناعي والقدرة على دمجها في سياقات العمل المعرفي</w:t>
      </w:r>
      <w:r w:rsidRPr="008A328B">
        <w:rPr>
          <w:rFonts w:ascii="Simplified Arabic" w:eastAsia="Times New Roman" w:hAnsi="Simplified Arabic" w:cs="Simplified Arabic"/>
          <w:color w:val="000000" w:themeColor="text1"/>
          <w:kern w:val="0"/>
          <w:sz w:val="28"/>
          <w:szCs w:val="28"/>
          <w14:ligatures w14:val="none"/>
        </w:rPr>
        <w:t xml:space="preserve"> (Dell'Acqua et al., 2023).</w:t>
      </w:r>
    </w:p>
    <w:p w14:paraId="6115696B"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يُقصد بها في هذه الدراسة مدى امتلاك موظفي الشركات السعودية محل الدراسة للمعارف والمهارات اللازمة للتعامل مع أدوات الذكاء الاصطناعي التوليدي، ومدى حصولهم على برامج تدريبية وتأهيلية متخصصة، ويُقاس هذا البُعد من خلال</w:t>
      </w:r>
      <w:r w:rsidRPr="008A328B">
        <w:rPr>
          <w:rFonts w:ascii="Simplified Arabic" w:eastAsia="Times New Roman" w:hAnsi="Simplified Arabic" w:cs="Simplified Arabic"/>
          <w:color w:val="000000" w:themeColor="text1"/>
          <w:kern w:val="0"/>
          <w:sz w:val="28"/>
          <w:szCs w:val="28"/>
          <w14:ligatures w14:val="none"/>
        </w:rPr>
        <w:t xml:space="preserve"> (4) </w:t>
      </w:r>
      <w:r w:rsidRPr="008A328B">
        <w:rPr>
          <w:rFonts w:ascii="Simplified Arabic" w:eastAsia="Times New Roman" w:hAnsi="Simplified Arabic" w:cs="Simplified Arabic"/>
          <w:color w:val="000000" w:themeColor="text1"/>
          <w:kern w:val="0"/>
          <w:sz w:val="28"/>
          <w:szCs w:val="28"/>
          <w:rtl/>
          <w14:ligatures w14:val="none"/>
        </w:rPr>
        <w:t>فقرات في الاستبانة</w:t>
      </w:r>
      <w:r w:rsidRPr="008A328B">
        <w:rPr>
          <w:rFonts w:ascii="Simplified Arabic" w:eastAsia="Times New Roman" w:hAnsi="Simplified Arabic" w:cs="Simplified Arabic"/>
          <w:color w:val="000000" w:themeColor="text1"/>
          <w:kern w:val="0"/>
          <w:sz w:val="28"/>
          <w:szCs w:val="28"/>
          <w14:ligatures w14:val="none"/>
        </w:rPr>
        <w:t>.</w:t>
      </w:r>
    </w:p>
    <w:p w14:paraId="21DC30DF"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خامساً: دعم القيادة التنظيمية والثقافة المؤسسية</w:t>
      </w:r>
      <w:r w:rsidRPr="008A328B">
        <w:rPr>
          <w:rFonts w:ascii="Simplified Arabic" w:eastAsia="Times New Roman" w:hAnsi="Simplified Arabic" w:cs="Simplified Arabic"/>
          <w:b/>
          <w:bCs/>
          <w:color w:val="000000" w:themeColor="text1"/>
          <w:kern w:val="0"/>
          <w:sz w:val="32"/>
          <w:szCs w:val="32"/>
          <w14:ligatures w14:val="none"/>
        </w:rPr>
        <w:t xml:space="preserve"> (Organizational Leadership Support and Corporate Culture)</w:t>
      </w:r>
    </w:p>
    <w:p w14:paraId="174BA292"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درجة التزام القيادات العليا والوسطى في المنظمة بدعم مبادرات تبني الذكاء الاصطناعي التوليدي وتخصيص الموارد اللازمة لها، إلى جانب وجود ثقافة تنظيمية تُشجِّع على التجريب والابتكار والتعلم المستمر وتتقبَّل التغيير التقني بوصفه فرصة للتطوير لا تهديداً للاستقرار الوظيفي</w:t>
      </w:r>
      <w:r w:rsidRPr="008A328B">
        <w:rPr>
          <w:rFonts w:ascii="Simplified Arabic" w:eastAsia="Times New Roman" w:hAnsi="Simplified Arabic" w:cs="Simplified Arabic"/>
          <w:color w:val="000000" w:themeColor="text1"/>
          <w:kern w:val="0"/>
          <w:sz w:val="28"/>
          <w:szCs w:val="28"/>
          <w14:ligatures w14:val="none"/>
        </w:rPr>
        <w:t xml:space="preserve"> (Agarwal &amp; Ojha, 2025).</w:t>
      </w:r>
    </w:p>
    <w:p w14:paraId="4BA8806C"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يُقصد به في هذه الدراسة مدى توفُّر الدعم والالتزام من قيادات الشركات السعودية محل الدراسة تجاه مشاريع الذكاء الاصطناعي التوليدي، ومدى سيادة ثقافة مؤسسية داعمة للتحول الرقمي والابتكار، ويُقاس هذا البُعد من خلال (4) فقرات في الاستبانة</w:t>
      </w:r>
      <w:r w:rsidRPr="008A328B">
        <w:rPr>
          <w:rFonts w:ascii="Simplified Arabic" w:eastAsia="Times New Roman" w:hAnsi="Simplified Arabic" w:cs="Simplified Arabic"/>
          <w:color w:val="000000" w:themeColor="text1"/>
          <w:kern w:val="0"/>
          <w:sz w:val="28"/>
          <w:szCs w:val="28"/>
          <w14:ligatures w14:val="none"/>
        </w:rPr>
        <w:t>.</w:t>
      </w:r>
    </w:p>
    <w:p w14:paraId="12E3A263"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سادساً: تكامل العمليات والأتمتة الذكية</w:t>
      </w:r>
      <w:r w:rsidRPr="008A328B">
        <w:rPr>
          <w:rFonts w:ascii="Simplified Arabic" w:eastAsia="Times New Roman" w:hAnsi="Simplified Arabic" w:cs="Simplified Arabic"/>
          <w:b/>
          <w:bCs/>
          <w:color w:val="000000" w:themeColor="text1"/>
          <w:kern w:val="0"/>
          <w:sz w:val="32"/>
          <w:szCs w:val="32"/>
          <w14:ligatures w14:val="none"/>
        </w:rPr>
        <w:t xml:space="preserve"> (Process Integration and Intelligent Automation)</w:t>
      </w:r>
    </w:p>
    <w:p w14:paraId="41D964A4" w14:textId="432E60D1"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مستوى دمج أدوات الذكاء الاصطناعي التوليدي في تدفقات العمل والعمليات التشغيلية القائمة بصورة منهجية ومنظمة، بحيث تصبح هذه الأدوات جزءاً عضوياً من سلاسل القيمة المؤسسية لا مجرد إضافة هامشية، مما يُفضي إلى أتمتة ذكية للمهام المعرفية المتكررة وتحسين تدفق المعلومات بين الوحدات التنظيمية (الدهشان والمنصوري، 2025</w:t>
      </w:r>
      <w:r w:rsidR="004744E0" w:rsidRPr="008A328B">
        <w:rPr>
          <w:rFonts w:ascii="Simplified Arabic" w:eastAsia="Times New Roman" w:hAnsi="Simplified Arabic" w:cs="Simplified Arabic"/>
          <w:color w:val="000000" w:themeColor="text1"/>
          <w:kern w:val="0"/>
          <w:sz w:val="28"/>
          <w:szCs w:val="28"/>
          <w:rtl/>
          <w14:ligatures w14:val="none"/>
        </w:rPr>
        <w:t>)</w:t>
      </w:r>
    </w:p>
    <w:p w14:paraId="4BF6B5A7"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يُقصد به في هذه الدراسة مدى اندماج أدوات الذكاء الاصطناعي التوليدي في العمليات اليومية للشركات السعودية محل الدراسة وأتمتة المهام المعرفية وترابط الأنظمة الذكية مع بعضها، ويُقاس هذا البُعد من خلال (4) فقرات في الاستبانة</w:t>
      </w:r>
      <w:r w:rsidRPr="008A328B">
        <w:rPr>
          <w:rFonts w:ascii="Simplified Arabic" w:eastAsia="Times New Roman" w:hAnsi="Simplified Arabic" w:cs="Simplified Arabic"/>
          <w:color w:val="000000" w:themeColor="text1"/>
          <w:kern w:val="0"/>
          <w:sz w:val="28"/>
          <w:szCs w:val="28"/>
          <w14:ligatures w14:val="none"/>
        </w:rPr>
        <w:t>.</w:t>
      </w:r>
    </w:p>
    <w:p w14:paraId="6C04780D"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سابعاً: مؤشرات الأداء الوظيفي</w:t>
      </w:r>
      <w:r w:rsidRPr="008A328B">
        <w:rPr>
          <w:rFonts w:ascii="Simplified Arabic" w:eastAsia="Times New Roman" w:hAnsi="Simplified Arabic" w:cs="Simplified Arabic"/>
          <w:b/>
          <w:bCs/>
          <w:color w:val="000000" w:themeColor="text1"/>
          <w:kern w:val="0"/>
          <w:sz w:val="32"/>
          <w:szCs w:val="32"/>
          <w14:ligatures w14:val="none"/>
        </w:rPr>
        <w:t xml:space="preserve"> (Job Performance Indicators)</w:t>
      </w:r>
    </w:p>
    <w:p w14:paraId="027E6ADC"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مجموعة المعايير والمقاييس الكمية والنوعية المُستخدمة لتقييم مستوى إنجاز الموظف لمهامه ومسؤولياته الوظيفية، وتشمل أبعاداً متعددة كجودة المخرجات وحجم الإنتاج والالتزام بالمعايير المهنية والقدرة على تحقيق الأهداف المؤسسية المحددة ضمن الأطر الزمنية المعتمدة (الشعار، الصرايرة، والعدوان، 2024)</w:t>
      </w:r>
      <w:r w:rsidRPr="008A328B">
        <w:rPr>
          <w:rFonts w:ascii="Simplified Arabic" w:eastAsia="Times New Roman" w:hAnsi="Simplified Arabic" w:cs="Simplified Arabic"/>
          <w:color w:val="000000" w:themeColor="text1"/>
          <w:kern w:val="0"/>
          <w:sz w:val="28"/>
          <w:szCs w:val="28"/>
          <w14:ligatures w14:val="none"/>
        </w:rPr>
        <w:t>.</w:t>
      </w:r>
    </w:p>
    <w:p w14:paraId="46D62F32"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يُقصد بها في هذه الدراسة الدرجة الكلية التي تحصل عليها استجابات أفراد العينة على فقرات محور المتغير التابع في الاستبانة والبالغة (12) فقرة، والتي تقيس جودة المخرجات المعرفية، وسرعة إنجاز المهام، ودقة اتخاذ القرار، والإنتاجية الفردية، والابتكار في حل المشكلات، والرضا المهني</w:t>
      </w:r>
      <w:r w:rsidRPr="008A328B">
        <w:rPr>
          <w:rFonts w:ascii="Simplified Arabic" w:eastAsia="Times New Roman" w:hAnsi="Simplified Arabic" w:cs="Simplified Arabic"/>
          <w:color w:val="000000" w:themeColor="text1"/>
          <w:kern w:val="0"/>
          <w:sz w:val="28"/>
          <w:szCs w:val="28"/>
          <w14:ligatures w14:val="none"/>
        </w:rPr>
        <w:t>.</w:t>
      </w:r>
    </w:p>
    <w:p w14:paraId="47368457"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ثامناً: كفاءة الموظفين</w:t>
      </w:r>
      <w:r w:rsidRPr="008A328B">
        <w:rPr>
          <w:rFonts w:ascii="Simplified Arabic" w:eastAsia="Times New Roman" w:hAnsi="Simplified Arabic" w:cs="Simplified Arabic"/>
          <w:b/>
          <w:bCs/>
          <w:color w:val="000000" w:themeColor="text1"/>
          <w:kern w:val="0"/>
          <w:sz w:val="32"/>
          <w:szCs w:val="32"/>
          <w14:ligatures w14:val="none"/>
        </w:rPr>
        <w:t xml:space="preserve"> (Employee Efficiency)</w:t>
      </w:r>
    </w:p>
    <w:p w14:paraId="117FCBC2"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قدرة الموظف على تحقيق أقصى مخرجات ممكنة بأقل قدر من المدخلات والموارد والوقت، مع الحفاظ على مستوى الجودة المطلوب، وهي تعكس العلاقة المثلى بين الجهد المبذول والنتائج المتحققة في أداء المهام الوظيفية</w:t>
      </w:r>
      <w:r w:rsidRPr="008A328B">
        <w:rPr>
          <w:rFonts w:ascii="Simplified Arabic" w:eastAsia="Times New Roman" w:hAnsi="Simplified Arabic" w:cs="Simplified Arabic"/>
          <w:color w:val="000000" w:themeColor="text1"/>
          <w:kern w:val="0"/>
          <w:sz w:val="28"/>
          <w:szCs w:val="28"/>
          <w14:ligatures w14:val="none"/>
        </w:rPr>
        <w:t xml:space="preserve"> (Saleem, Ahmed, &amp; Akhtar, 2024).</w:t>
      </w:r>
    </w:p>
    <w:p w14:paraId="6EB89642"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يُقصد بها في هذه الدراسة مستوى قدرة الموظفين المعرفيين في الشركات السعودية محل الدراسة على إنجاز مهامهم بالسرعة والدقة والجودة المطلوبة مع الاستخدام الأمثل للموارد المتاحة بما فيها أدوات الذكاء الاصطناعي التوليدي، ويُقاس ضمن محور المتغير التابع في الاستبانة</w:t>
      </w:r>
      <w:r w:rsidRPr="008A328B">
        <w:rPr>
          <w:rFonts w:ascii="Simplified Arabic" w:eastAsia="Times New Roman" w:hAnsi="Simplified Arabic" w:cs="Simplified Arabic"/>
          <w:color w:val="000000" w:themeColor="text1"/>
          <w:kern w:val="0"/>
          <w:sz w:val="28"/>
          <w:szCs w:val="28"/>
          <w14:ligatures w14:val="none"/>
        </w:rPr>
        <w:t>.</w:t>
      </w:r>
    </w:p>
    <w:p w14:paraId="7672A144" w14:textId="77777777" w:rsidR="00525FBC" w:rsidRPr="008A328B" w:rsidRDefault="00525FBC" w:rsidP="006A273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A328B">
        <w:rPr>
          <w:rFonts w:ascii="Simplified Arabic" w:eastAsia="Times New Roman" w:hAnsi="Simplified Arabic" w:cs="Simplified Arabic"/>
          <w:b/>
          <w:bCs/>
          <w:color w:val="000000" w:themeColor="text1"/>
          <w:kern w:val="0"/>
          <w:sz w:val="32"/>
          <w:szCs w:val="32"/>
          <w:rtl/>
          <w14:ligatures w14:val="none"/>
        </w:rPr>
        <w:t>تاسعاً: الوظائف المعرفية</w:t>
      </w:r>
      <w:r w:rsidRPr="008A328B">
        <w:rPr>
          <w:rFonts w:ascii="Simplified Arabic" w:eastAsia="Times New Roman" w:hAnsi="Simplified Arabic" w:cs="Simplified Arabic"/>
          <w:b/>
          <w:bCs/>
          <w:color w:val="000000" w:themeColor="text1"/>
          <w:kern w:val="0"/>
          <w:sz w:val="32"/>
          <w:szCs w:val="32"/>
          <w14:ligatures w14:val="none"/>
        </w:rPr>
        <w:t xml:space="preserve"> (Knowledge-Based Jobs)</w:t>
      </w:r>
    </w:p>
    <w:p w14:paraId="26A1B314"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الاصطلاحي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 xml:space="preserve">تلك الوظائف التي يعتمد أداؤها بصورة رئيسة على رأس المال الفكري والمعرفي للموظف، وتتطلب قدرات ذهنية عليا كالتحليل والتركيب والتقييم والتفكير النقدي والإبداعي وحل المشكلات المعقدة وغير النمطية، وتنتج قيمتها المضافة من معالجة المعلومات وتوليد المعرفة لا من العمل اليدوي أو الروتيني </w:t>
      </w:r>
      <w:r w:rsidRPr="008A328B">
        <w:rPr>
          <w:rFonts w:ascii="Simplified Arabic" w:eastAsia="Times New Roman" w:hAnsi="Simplified Arabic" w:cs="Simplified Arabic"/>
          <w:color w:val="000000" w:themeColor="text1"/>
          <w:kern w:val="0"/>
          <w:sz w:val="28"/>
          <w:szCs w:val="28"/>
          <w14:ligatures w14:val="none"/>
        </w:rPr>
        <w:t>(Zhang, Zhu, Zhang, &amp; Shohruh, 2026).</w:t>
      </w:r>
    </w:p>
    <w:p w14:paraId="245FC608" w14:textId="77777777" w:rsidR="00525FBC" w:rsidRPr="008A328B" w:rsidRDefault="00525FBC" w:rsidP="006A273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التعريف الإجرائي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يُقصد بها في هذه الدراسة الوظائف التي يشغلها أفراد العينة في الشركات السعودية محل الدراسة والتي تتطلب مؤهلاً جامعياً فأعلى وتعتمد على التحليل والتفكير والإبداع، كوظائف المحللين والمستشارين والمطوِّرين ومديري المشاريع والباحثين ومختصي التسويق الاستراتيجي</w:t>
      </w:r>
      <w:r w:rsidRPr="008A328B">
        <w:rPr>
          <w:rFonts w:ascii="Simplified Arabic" w:eastAsia="Times New Roman" w:hAnsi="Simplified Arabic" w:cs="Simplified Arabic"/>
          <w:color w:val="000000" w:themeColor="text1"/>
          <w:kern w:val="0"/>
          <w:sz w:val="28"/>
          <w:szCs w:val="28"/>
          <w14:ligatures w14:val="none"/>
        </w:rPr>
        <w:t>.</w:t>
      </w:r>
    </w:p>
    <w:p w14:paraId="101A81D6" w14:textId="48EBE49D" w:rsidR="008A328B" w:rsidRPr="008A328B" w:rsidRDefault="008A328B" w:rsidP="008A32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233823320"/>
      <w:bookmarkStart w:id="21" w:name="_Toc169790506"/>
      <w:bookmarkEnd w:id="19"/>
      <w:r w:rsidRPr="008A328B">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0"/>
    </w:p>
    <w:p w14:paraId="1756F4C9"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ستتبنّى هذه الدراسة المنهج الوصفي التحليلي باعتباره الأنسب لطبيعة الظاهرة المدروسة وأهدافها البحثية، إذ يُتيح هذا المنهج وصف واقع تبني الذكاء الاصطناعي التوليدي في الشركات السعودية العاملة في الوظائف المعرفية وصفاً دقيقاً ومنهجياً، ثم تحليل العلاقات والأثر بين المتغير المستقل بأبعاده الأربعة والمتغير التابع باستخدام الأساليب الإحصائية الملائمة. وسيُمكِّن هذا المنهج الباحث من تجاوز مرحلة الوصف السطحي إلى التحليل المعمّق للبيانات الكمية المُجمَّعة عبر أداة الاستبانة، بما يُفضي إلى استخلاص نتائج قابلة للتعميم واستنباط دلالات إحصائية تُسهم في تحقيق أهداف الدراسة والإجابة عن تساؤلاتها واختبار فرضياتها</w:t>
      </w:r>
      <w:r w:rsidRPr="008A328B">
        <w:rPr>
          <w:rFonts w:ascii="Simplified Arabic" w:eastAsia="Times New Roman" w:hAnsi="Simplified Arabic" w:cs="Simplified Arabic"/>
          <w:color w:val="000000" w:themeColor="text1"/>
          <w:kern w:val="0"/>
          <w:sz w:val="28"/>
          <w:szCs w:val="28"/>
          <w14:ligatures w14:val="none"/>
        </w:rPr>
        <w:t>.</w:t>
      </w:r>
    </w:p>
    <w:p w14:paraId="7DF97FB5"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وإلى جانب المنهج الوصفي التحليلي، ستعتمد الدراسة على أسلوب دراسة الحالات المتعددة</w:t>
      </w:r>
      <w:r w:rsidRPr="008A328B">
        <w:rPr>
          <w:rFonts w:ascii="Simplified Arabic" w:eastAsia="Times New Roman" w:hAnsi="Simplified Arabic" w:cs="Simplified Arabic"/>
          <w:color w:val="000000" w:themeColor="text1"/>
          <w:kern w:val="0"/>
          <w:sz w:val="28"/>
          <w:szCs w:val="28"/>
          <w14:ligatures w14:val="none"/>
        </w:rPr>
        <w:t xml:space="preserve"> (Multiple Case Study) </w:t>
      </w:r>
      <w:r w:rsidRPr="008A328B">
        <w:rPr>
          <w:rFonts w:ascii="Simplified Arabic" w:eastAsia="Times New Roman" w:hAnsi="Simplified Arabic" w:cs="Simplified Arabic"/>
          <w:color w:val="000000" w:themeColor="text1"/>
          <w:kern w:val="0"/>
          <w:sz w:val="28"/>
          <w:szCs w:val="28"/>
          <w:rtl/>
          <w14:ligatures w14:val="none"/>
        </w:rPr>
        <w:t>لتعميق الفهم السياقي للظاهرة، وذلك من خلال اختيار عدد من الشركات السعودية الرائدة في تبني الذكاء الاصطناعي التوليدي عبر قطاعات متنوعة (التقنية، الخدمات المالية، الاتصالات، الاستشارات). وسيُوفِّر هذا التصميم المنهجي المُركَّب تكاملاً بين البيانات الكمية المُستمَدَّة من الاستبانة والسياق التنظيمي لكل شركة، مما يُعزِّز من عمق التحليل وثراء النتائج وقابليتها للتطبيق في بيئات تنظيمية مماثلة ضمن المنظومة الاقتصادية السعودية</w:t>
      </w:r>
      <w:r w:rsidRPr="008A328B">
        <w:rPr>
          <w:rFonts w:ascii="Simplified Arabic" w:eastAsia="Times New Roman" w:hAnsi="Simplified Arabic" w:cs="Simplified Arabic"/>
          <w:color w:val="000000" w:themeColor="text1"/>
          <w:kern w:val="0"/>
          <w:sz w:val="28"/>
          <w:szCs w:val="28"/>
          <w14:ligatures w14:val="none"/>
        </w:rPr>
        <w:t>.</w:t>
      </w:r>
    </w:p>
    <w:p w14:paraId="4AC43A37" w14:textId="595E39D0" w:rsidR="00525FBC" w:rsidRPr="008A328B" w:rsidRDefault="008A328B" w:rsidP="008A32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2" w:name="_Toc233823321"/>
      <w:r w:rsidRPr="008A328B">
        <w:rPr>
          <w:rFonts w:ascii="Simplified Arabic" w:eastAsia="Times New Roman" w:hAnsi="Simplified Arabic" w:cs="Simplified Arabic" w:hint="cs"/>
          <w:b/>
          <w:bCs/>
          <w:color w:val="000000" w:themeColor="text1"/>
          <w:kern w:val="0"/>
          <w:sz w:val="36"/>
          <w:szCs w:val="36"/>
          <w:rtl/>
          <w14:ligatures w14:val="none"/>
        </w:rPr>
        <w:t xml:space="preserve">11.1 </w:t>
      </w:r>
      <w:r w:rsidR="00525FBC" w:rsidRPr="008A328B">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22"/>
    </w:p>
    <w:p w14:paraId="64FA2CE4"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سيتكوَّن مجتمع الدراسة من جميع الموظفين العاملين في الوظائف المعرفية</w:t>
      </w:r>
      <w:r w:rsidRPr="008A328B">
        <w:rPr>
          <w:rFonts w:ascii="Simplified Arabic" w:eastAsia="Times New Roman" w:hAnsi="Simplified Arabic" w:cs="Simplified Arabic"/>
          <w:color w:val="000000" w:themeColor="text1"/>
          <w:kern w:val="0"/>
          <w:sz w:val="28"/>
          <w:szCs w:val="28"/>
          <w14:ligatures w14:val="none"/>
        </w:rPr>
        <w:t xml:space="preserve"> (Knowledge Workers) </w:t>
      </w:r>
      <w:r w:rsidRPr="008A328B">
        <w:rPr>
          <w:rFonts w:ascii="Simplified Arabic" w:eastAsia="Times New Roman" w:hAnsi="Simplified Arabic" w:cs="Simplified Arabic"/>
          <w:color w:val="000000" w:themeColor="text1"/>
          <w:kern w:val="0"/>
          <w:sz w:val="28"/>
          <w:szCs w:val="28"/>
          <w:rtl/>
          <w14:ligatures w14:val="none"/>
        </w:rPr>
        <w:t>في الشركات السعودية الكبرى والمتوسطة التي بدأت فعلياً في تبني أدوات الذكاء الاصطناعي التوليدي ضمن عملياتها التشغيلية، وذلك عبر أربعة قطاعات رئيسة هي: قطاع التقنية والبرمجيات، وقطاع الخدمات المالية والمصرفية، وقطاع الاتصالات وتقنية المعلومات، وقطاع الاستشارات والخدمات المهنية. ووفقاً لبيانات الهيئة العامة للإحصاء والسجلات المتاحة من هيئة السوق المالية، يُقدَّر حجم المجتمع الكلي بنحو (12,000) موظف ممن يشغلون مناصب معرفية وتحليلية في هذه الشركات ويتعاملون بشكل مباشر أو غير مباشر مع أدوات الذكاء الاصطناعي التوليدي</w:t>
      </w:r>
      <w:r w:rsidRPr="008A328B">
        <w:rPr>
          <w:rFonts w:ascii="Simplified Arabic" w:eastAsia="Times New Roman" w:hAnsi="Simplified Arabic" w:cs="Simplified Arabic"/>
          <w:color w:val="000000" w:themeColor="text1"/>
          <w:kern w:val="0"/>
          <w:sz w:val="28"/>
          <w:szCs w:val="28"/>
          <w14:ligatures w14:val="none"/>
        </w:rPr>
        <w:t>.</w:t>
      </w:r>
    </w:p>
    <w:p w14:paraId="6C9909A8"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الطبقية العشوائية التناسبية</w:t>
      </w:r>
      <w:r w:rsidRPr="008A328B">
        <w:rPr>
          <w:rFonts w:ascii="Simplified Arabic" w:eastAsia="Times New Roman" w:hAnsi="Simplified Arabic" w:cs="Simplified Arabic"/>
          <w:color w:val="000000" w:themeColor="text1"/>
          <w:kern w:val="0"/>
          <w:sz w:val="28"/>
          <w:szCs w:val="28"/>
          <w14:ligatures w14:val="none"/>
        </w:rPr>
        <w:t xml:space="preserve"> (Proportional Stratified Random Sampling) </w:t>
      </w:r>
      <w:r w:rsidRPr="008A328B">
        <w:rPr>
          <w:rFonts w:ascii="Simplified Arabic" w:eastAsia="Times New Roman" w:hAnsi="Simplified Arabic" w:cs="Simplified Arabic"/>
          <w:color w:val="000000" w:themeColor="text1"/>
          <w:kern w:val="0"/>
          <w:sz w:val="28"/>
          <w:szCs w:val="28"/>
          <w:rtl/>
          <w14:ligatures w14:val="none"/>
        </w:rPr>
        <w:t>لضمان تمثيل كل قطاع من القطاعات الأربعة بنسبته الفعلية في مجتمع الدراسة</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وبتطبيق معادلة ستيفن ثامبسون</w:t>
      </w:r>
      <w:r w:rsidRPr="008A328B">
        <w:rPr>
          <w:rFonts w:ascii="Simplified Arabic" w:eastAsia="Times New Roman" w:hAnsi="Simplified Arabic" w:cs="Simplified Arabic"/>
          <w:color w:val="000000" w:themeColor="text1"/>
          <w:kern w:val="0"/>
          <w:sz w:val="28"/>
          <w:szCs w:val="28"/>
          <w14:ligatures w14:val="none"/>
        </w:rPr>
        <w:t xml:space="preserve"> (Steven Thompson) </w:t>
      </w:r>
      <w:r w:rsidRPr="008A328B">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سيبلغ الحد الأدنى المطلوب للعيّنة</w:t>
      </w:r>
      <w:r w:rsidRPr="008A328B">
        <w:rPr>
          <w:rFonts w:ascii="Simplified Arabic" w:eastAsia="Times New Roman" w:hAnsi="Simplified Arabic" w:cs="Simplified Arabic"/>
          <w:color w:val="000000" w:themeColor="text1"/>
          <w:kern w:val="0"/>
          <w:sz w:val="28"/>
          <w:szCs w:val="28"/>
          <w14:ligatures w14:val="none"/>
        </w:rPr>
        <w:t xml:space="preserve"> (373) </w:t>
      </w:r>
      <w:r w:rsidRPr="008A328B">
        <w:rPr>
          <w:rFonts w:ascii="Simplified Arabic" w:eastAsia="Times New Roman" w:hAnsi="Simplified Arabic" w:cs="Simplified Arabic"/>
          <w:color w:val="000000" w:themeColor="text1"/>
          <w:kern w:val="0"/>
          <w:sz w:val="28"/>
          <w:szCs w:val="28"/>
          <w:rtl/>
          <w14:ligatures w14:val="none"/>
        </w:rPr>
        <w:t>مفردة. وسيعمد الباحث إلى توزيع (450) استبانة لتعويض الفاقد المتوقع في الاستجابة والاستبانات غير الصالحة للتحليل، بحيث يستهدف الحصول على</w:t>
      </w:r>
      <w:r w:rsidRPr="008A328B">
        <w:rPr>
          <w:rFonts w:ascii="Simplified Arabic" w:eastAsia="Times New Roman" w:hAnsi="Simplified Arabic" w:cs="Simplified Arabic"/>
          <w:color w:val="000000" w:themeColor="text1"/>
          <w:kern w:val="0"/>
          <w:sz w:val="28"/>
          <w:szCs w:val="28"/>
          <w14:ligatures w14:val="none"/>
        </w:rPr>
        <w:t xml:space="preserve"> (400) </w:t>
      </w:r>
      <w:r w:rsidRPr="008A328B">
        <w:rPr>
          <w:rFonts w:ascii="Simplified Arabic" w:eastAsia="Times New Roman" w:hAnsi="Simplified Arabic" w:cs="Simplified Arabic"/>
          <w:color w:val="000000" w:themeColor="text1"/>
          <w:kern w:val="0"/>
          <w:sz w:val="28"/>
          <w:szCs w:val="28"/>
          <w:rtl/>
          <w14:ligatures w14:val="none"/>
        </w:rPr>
        <w:t>استبانة صالحة كحدٍّ أدنى، موزَّعة على النحو التقريبي التالي: (120) مفردة من قطاع التقنية والبرمجيات، و(110) مفردة من قطاع الخدمات المالية والمصرفية، و(100) مفردة من قطاع الاتصالات وتقنية المعلومات، و(120) مفردة من قطاع الاستشارات والخدمات المهنية</w:t>
      </w:r>
      <w:r w:rsidRPr="008A328B">
        <w:rPr>
          <w:rFonts w:ascii="Simplified Arabic" w:eastAsia="Times New Roman" w:hAnsi="Simplified Arabic" w:cs="Simplified Arabic"/>
          <w:color w:val="000000" w:themeColor="text1"/>
          <w:kern w:val="0"/>
          <w:sz w:val="28"/>
          <w:szCs w:val="28"/>
          <w14:ligatures w14:val="none"/>
        </w:rPr>
        <w:t>.</w:t>
      </w:r>
    </w:p>
    <w:p w14:paraId="170AF52B" w14:textId="1975CF1E" w:rsidR="00525FBC" w:rsidRPr="008A328B" w:rsidRDefault="008A328B" w:rsidP="008A32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3" w:name="_Toc233823322"/>
      <w:r w:rsidRPr="008A328B">
        <w:rPr>
          <w:rFonts w:ascii="Simplified Arabic" w:eastAsia="Times New Roman" w:hAnsi="Simplified Arabic" w:cs="Simplified Arabic" w:hint="cs"/>
          <w:b/>
          <w:bCs/>
          <w:color w:val="000000" w:themeColor="text1"/>
          <w:kern w:val="0"/>
          <w:sz w:val="36"/>
          <w:szCs w:val="36"/>
          <w:rtl/>
          <w14:ligatures w14:val="none"/>
        </w:rPr>
        <w:t xml:space="preserve">12.1 </w:t>
      </w:r>
      <w:r w:rsidR="00525FBC" w:rsidRPr="008A328B">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3"/>
    </w:p>
    <w:p w14:paraId="1A6C2F04"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ستعتمد الدراسة على نوعين رئيسين من مصادر البيانات. أما المصادر الثانوية فستشمل الكتب والمراجع العلمية المتخصصة، والدوريات والمجلات المحكَّمة العربية والأجنبية، والرسائل الجامعية (ماجستير ودكتوراه)، والتقارير الرسمية الصادرة عن الجهات الحكومية السعودية ذات العلاقة كهيئة البيانات والذكاء الاصطناعي (سدايا) والهيئة العامة للإحصاء، إضافة إلى تقارير المنظمات الدولية ذات الصلة مثل منظمة التعاون الاقتصادي والتنمية</w:t>
      </w:r>
      <w:r w:rsidRPr="008A328B">
        <w:rPr>
          <w:rFonts w:ascii="Simplified Arabic" w:eastAsia="Times New Roman" w:hAnsi="Simplified Arabic" w:cs="Simplified Arabic"/>
          <w:color w:val="000000" w:themeColor="text1"/>
          <w:kern w:val="0"/>
          <w:sz w:val="28"/>
          <w:szCs w:val="28"/>
          <w14:ligatures w14:val="none"/>
        </w:rPr>
        <w:t xml:space="preserve"> (OECD) </w:t>
      </w:r>
      <w:r w:rsidRPr="008A328B">
        <w:rPr>
          <w:rFonts w:ascii="Simplified Arabic" w:eastAsia="Times New Roman" w:hAnsi="Simplified Arabic" w:cs="Simplified Arabic"/>
          <w:color w:val="000000" w:themeColor="text1"/>
          <w:kern w:val="0"/>
          <w:sz w:val="28"/>
          <w:szCs w:val="28"/>
          <w:rtl/>
          <w14:ligatures w14:val="none"/>
        </w:rPr>
        <w:t>والمكتب الوطني للبحوث الاقتصادية</w:t>
      </w:r>
      <w:r w:rsidRPr="008A328B">
        <w:rPr>
          <w:rFonts w:ascii="Simplified Arabic" w:eastAsia="Times New Roman" w:hAnsi="Simplified Arabic" w:cs="Simplified Arabic"/>
          <w:color w:val="000000" w:themeColor="text1"/>
          <w:kern w:val="0"/>
          <w:sz w:val="28"/>
          <w:szCs w:val="28"/>
          <w14:ligatures w14:val="none"/>
        </w:rPr>
        <w:t xml:space="preserve"> (NBER)</w:t>
      </w:r>
      <w:r w:rsidRPr="008A328B">
        <w:rPr>
          <w:rFonts w:ascii="Simplified Arabic" w:eastAsia="Times New Roman" w:hAnsi="Simplified Arabic" w:cs="Simplified Arabic"/>
          <w:color w:val="000000" w:themeColor="text1"/>
          <w:kern w:val="0"/>
          <w:sz w:val="28"/>
          <w:szCs w:val="28"/>
          <w:rtl/>
          <w14:ligatures w14:val="none"/>
        </w:rPr>
        <w:t>، وذلك لبناء الإطار النظري واستعراض الدراسات السابقة. وأما المصادر الأولية فستتمثَّل في البيانات الميدانية التي سيتم جمعها مباشرة من أفراد عيّنة الدراسة عبر أداة الاستبانة الإلكترونية المُصمَّمة لأغراض هذه الدراسة</w:t>
      </w:r>
      <w:r w:rsidRPr="008A328B">
        <w:rPr>
          <w:rFonts w:ascii="Simplified Arabic" w:eastAsia="Times New Roman" w:hAnsi="Simplified Arabic" w:cs="Simplified Arabic"/>
          <w:color w:val="000000" w:themeColor="text1"/>
          <w:kern w:val="0"/>
          <w:sz w:val="28"/>
          <w:szCs w:val="28"/>
          <w14:ligatures w14:val="none"/>
        </w:rPr>
        <w:t>.</w:t>
      </w:r>
    </w:p>
    <w:p w14:paraId="1941247F" w14:textId="64964E03" w:rsidR="00525FBC" w:rsidRPr="008A328B" w:rsidRDefault="008A328B" w:rsidP="008A32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33823323"/>
      <w:r w:rsidRPr="008A328B">
        <w:rPr>
          <w:rFonts w:ascii="Simplified Arabic" w:eastAsia="Times New Roman" w:hAnsi="Simplified Arabic" w:cs="Simplified Arabic" w:hint="cs"/>
          <w:b/>
          <w:bCs/>
          <w:color w:val="000000" w:themeColor="text1"/>
          <w:kern w:val="0"/>
          <w:sz w:val="36"/>
          <w:szCs w:val="36"/>
          <w:rtl/>
          <w14:ligatures w14:val="none"/>
        </w:rPr>
        <w:t>13.1</w:t>
      </w:r>
      <w:r w:rsidR="00525FBC" w:rsidRPr="008A328B">
        <w:rPr>
          <w:rFonts w:ascii="Simplified Arabic" w:eastAsia="Times New Roman" w:hAnsi="Simplified Arabic" w:cs="Simplified Arabic"/>
          <w:b/>
          <w:bCs/>
          <w:color w:val="000000" w:themeColor="text1"/>
          <w:kern w:val="0"/>
          <w:sz w:val="36"/>
          <w:szCs w:val="36"/>
          <w:rtl/>
          <w14:ligatures w14:val="none"/>
        </w:rPr>
        <w:t xml:space="preserve"> أداة الدراسة (الاستبانة)</w:t>
      </w:r>
      <w:bookmarkEnd w:id="24"/>
    </w:p>
    <w:p w14:paraId="7321CA37"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ستُستخدَم الاستبانة أداةً رئيسةً لجمع البيانات الأولية، وستُبنى وفق مقياس ليكرت الخماسي</w:t>
      </w:r>
      <w:r w:rsidRPr="008A328B">
        <w:rPr>
          <w:rFonts w:ascii="Simplified Arabic" w:eastAsia="Times New Roman" w:hAnsi="Simplified Arabic" w:cs="Simplified Arabic"/>
          <w:color w:val="000000" w:themeColor="text1"/>
          <w:kern w:val="0"/>
          <w:sz w:val="28"/>
          <w:szCs w:val="28"/>
          <w14:ligatures w14:val="none"/>
        </w:rPr>
        <w:t xml:space="preserve"> (Strongly Disagree = 1 </w:t>
      </w:r>
      <w:r w:rsidRPr="008A328B">
        <w:rPr>
          <w:rFonts w:ascii="Times New Roman" w:eastAsia="Times New Roman" w:hAnsi="Times New Roman" w:cs="Times New Roman"/>
          <w:color w:val="000000" w:themeColor="text1"/>
          <w:kern w:val="0"/>
          <w:sz w:val="28"/>
          <w:szCs w:val="28"/>
          <w14:ligatures w14:val="none"/>
        </w:rPr>
        <w:t>→</w:t>
      </w:r>
      <w:r w:rsidRPr="008A328B">
        <w:rPr>
          <w:rFonts w:ascii="Simplified Arabic" w:eastAsia="Times New Roman" w:hAnsi="Simplified Arabic" w:cs="Simplified Arabic"/>
          <w:color w:val="000000" w:themeColor="text1"/>
          <w:kern w:val="0"/>
          <w:sz w:val="28"/>
          <w:szCs w:val="28"/>
          <w14:ligatures w14:val="none"/>
        </w:rPr>
        <w:t xml:space="preserve"> Strongly Agree = 5)</w:t>
      </w:r>
      <w:r w:rsidRPr="008A328B">
        <w:rPr>
          <w:rFonts w:ascii="Simplified Arabic" w:eastAsia="Times New Roman" w:hAnsi="Simplified Arabic" w:cs="Simplified Arabic"/>
          <w:color w:val="000000" w:themeColor="text1"/>
          <w:kern w:val="0"/>
          <w:sz w:val="28"/>
          <w:szCs w:val="28"/>
          <w:rtl/>
          <w14:ligatures w14:val="none"/>
        </w:rPr>
        <w:t>، وستتألَّف من ثلاثة أقسام رئيسة على النحو التالي</w:t>
      </w:r>
      <w:r w:rsidRPr="008A328B">
        <w:rPr>
          <w:rFonts w:ascii="Simplified Arabic" w:eastAsia="Times New Roman" w:hAnsi="Simplified Arabic" w:cs="Simplified Arabic"/>
          <w:color w:val="000000" w:themeColor="text1"/>
          <w:kern w:val="0"/>
          <w:sz w:val="28"/>
          <w:szCs w:val="28"/>
          <w14:ligatures w14:val="none"/>
        </w:rPr>
        <w:t>:</w:t>
      </w:r>
    </w:p>
    <w:p w14:paraId="72579504"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القسم الأول: البيانات الديموغرافية والوظيفية </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سيتضمَّن (6) فقرات تتناول الجنس، والفئة العمرية، والمؤهل العلمي، وسنوات الخبرة، والمسمى الوظيفي، وحجم الشركة</w:t>
      </w:r>
      <w:r w:rsidRPr="008A328B">
        <w:rPr>
          <w:rFonts w:ascii="Simplified Arabic" w:eastAsia="Times New Roman" w:hAnsi="Simplified Arabic" w:cs="Simplified Arabic"/>
          <w:color w:val="000000" w:themeColor="text1"/>
          <w:kern w:val="0"/>
          <w:sz w:val="28"/>
          <w:szCs w:val="28"/>
          <w14:ligatures w14:val="none"/>
        </w:rPr>
        <w:t>.</w:t>
      </w:r>
    </w:p>
    <w:p w14:paraId="24FCB02B"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القسم الثاني: المتغير المستقل — تبني الذكاء الاصطناعي التوليدي </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سيتضمَّن (16) فقرة موزَّعة على أربعة أبعاد بواقع (4) فقرات لكل بُعد، وذلك كالتالي</w:t>
      </w:r>
      <w:r w:rsidRPr="008A328B">
        <w:rPr>
          <w:rFonts w:ascii="Simplified Arabic" w:eastAsia="Times New Roman" w:hAnsi="Simplified Arabic" w:cs="Simplified Arabic"/>
          <w:color w:val="000000" w:themeColor="text1"/>
          <w:kern w:val="0"/>
          <w:sz w:val="28"/>
          <w:szCs w:val="28"/>
          <w14:ligatures w14:val="none"/>
        </w:rPr>
        <w:t>:</w:t>
      </w:r>
    </w:p>
    <w:p w14:paraId="0CFF22E3" w14:textId="77777777" w:rsidR="00525FBC" w:rsidRPr="008A328B" w:rsidRDefault="00525FBC" w:rsidP="008A328B">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البُعد الأول</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البنية التحتية التقنية والجاهزية الرقمية — (4) فقرات</w:t>
      </w:r>
      <w:r w:rsidRPr="008A328B">
        <w:rPr>
          <w:rFonts w:ascii="Simplified Arabic" w:eastAsia="Times New Roman" w:hAnsi="Simplified Arabic" w:cs="Simplified Arabic"/>
          <w:color w:val="000000" w:themeColor="text1"/>
          <w:kern w:val="0"/>
          <w:sz w:val="28"/>
          <w:szCs w:val="28"/>
          <w14:ligatures w14:val="none"/>
        </w:rPr>
        <w:t>.</w:t>
      </w:r>
    </w:p>
    <w:p w14:paraId="32EA19F6" w14:textId="77777777" w:rsidR="00525FBC" w:rsidRPr="008A328B" w:rsidRDefault="00525FBC" w:rsidP="008A328B">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البُعد الثاني</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كفاءة الموارد البشرية وتأهيلها لاستخدام الذكاء الاصطناعي — (4) فقرات</w:t>
      </w:r>
      <w:r w:rsidRPr="008A328B">
        <w:rPr>
          <w:rFonts w:ascii="Simplified Arabic" w:eastAsia="Times New Roman" w:hAnsi="Simplified Arabic" w:cs="Simplified Arabic"/>
          <w:color w:val="000000" w:themeColor="text1"/>
          <w:kern w:val="0"/>
          <w:sz w:val="28"/>
          <w:szCs w:val="28"/>
          <w14:ligatures w14:val="none"/>
        </w:rPr>
        <w:t>.</w:t>
      </w:r>
    </w:p>
    <w:p w14:paraId="59F2AE62" w14:textId="77777777" w:rsidR="00525FBC" w:rsidRPr="008A328B" w:rsidRDefault="00525FBC" w:rsidP="008A328B">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البُعد الثالث</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دعم القيادة التنظيمية والثقافة المؤسسية — (4) فقرات</w:t>
      </w:r>
      <w:r w:rsidRPr="008A328B">
        <w:rPr>
          <w:rFonts w:ascii="Simplified Arabic" w:eastAsia="Times New Roman" w:hAnsi="Simplified Arabic" w:cs="Simplified Arabic"/>
          <w:color w:val="000000" w:themeColor="text1"/>
          <w:kern w:val="0"/>
          <w:sz w:val="28"/>
          <w:szCs w:val="28"/>
          <w14:ligatures w14:val="none"/>
        </w:rPr>
        <w:t>.</w:t>
      </w:r>
    </w:p>
    <w:p w14:paraId="4E18D266" w14:textId="77777777" w:rsidR="00525FBC" w:rsidRPr="008A328B" w:rsidRDefault="00525FBC" w:rsidP="008A328B">
      <w:pPr>
        <w:pStyle w:val="a6"/>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البُعد الرابع</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تكامل العمليات والأتمتة الذكية — (4) فقرات</w:t>
      </w:r>
      <w:r w:rsidRPr="008A328B">
        <w:rPr>
          <w:rFonts w:ascii="Simplified Arabic" w:eastAsia="Times New Roman" w:hAnsi="Simplified Arabic" w:cs="Simplified Arabic"/>
          <w:color w:val="000000" w:themeColor="text1"/>
          <w:kern w:val="0"/>
          <w:sz w:val="28"/>
          <w:szCs w:val="28"/>
          <w14:ligatures w14:val="none"/>
        </w:rPr>
        <w:t>.</w:t>
      </w:r>
    </w:p>
    <w:p w14:paraId="294C6301"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القسم الثالث: المتغير التابع — مؤشرات الأداء وكفاءة الموظفين في الوظائف المعرفية </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سيتضمَّن (12) فقرة في محور واحد تقيس أبعاد جودة المخرجات المعرفية، وسرعة إنجاز المهام، ودقة اتخاذ القرار، والإنتاجية الفردية، والابتكار في حل المشكلات، والرضا المهني</w:t>
      </w:r>
      <w:r w:rsidRPr="008A328B">
        <w:rPr>
          <w:rFonts w:ascii="Simplified Arabic" w:eastAsia="Times New Roman" w:hAnsi="Simplified Arabic" w:cs="Simplified Arabic"/>
          <w:color w:val="000000" w:themeColor="text1"/>
          <w:kern w:val="0"/>
          <w:sz w:val="28"/>
          <w:szCs w:val="28"/>
          <w14:ligatures w14:val="none"/>
        </w:rPr>
        <w:t>.</w:t>
      </w:r>
    </w:p>
    <w:p w14:paraId="727EEFEE" w14:textId="35ECAC4F"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وبذلك سيبلغ إجمالي فقرات الاستبانة </w:t>
      </w:r>
      <w:r w:rsidRPr="008A328B">
        <w:rPr>
          <w:rFonts w:ascii="Simplified Arabic" w:eastAsia="Times New Roman" w:hAnsi="Simplified Arabic" w:cs="Simplified Arabic"/>
          <w:color w:val="000000" w:themeColor="text1"/>
          <w:kern w:val="0"/>
          <w:sz w:val="28"/>
          <w:szCs w:val="28"/>
          <w14:ligatures w14:val="none"/>
        </w:rPr>
        <w:t xml:space="preserve">(34) </w:t>
      </w:r>
      <w:r w:rsidRPr="008A328B">
        <w:rPr>
          <w:rFonts w:ascii="Simplified Arabic" w:eastAsia="Times New Roman" w:hAnsi="Simplified Arabic" w:cs="Simplified Arabic"/>
          <w:color w:val="000000" w:themeColor="text1"/>
          <w:kern w:val="0"/>
          <w:sz w:val="28"/>
          <w:szCs w:val="28"/>
          <w:rtl/>
          <w14:ligatures w14:val="none"/>
        </w:rPr>
        <w:t xml:space="preserve">فقرة </w:t>
      </w:r>
      <w:r w:rsidRPr="008A328B">
        <w:rPr>
          <w:rFonts w:ascii="Simplified Arabic" w:eastAsia="Times New Roman" w:hAnsi="Simplified Arabic" w:cs="Simplified Arabic"/>
          <w:color w:val="000000" w:themeColor="text1"/>
          <w:kern w:val="0"/>
          <w:sz w:val="28"/>
          <w:szCs w:val="28"/>
          <w14:ligatures w14:val="none"/>
        </w:rPr>
        <w:t xml:space="preserve">6 </w:t>
      </w:r>
      <w:r w:rsidRPr="008A328B">
        <w:rPr>
          <w:rFonts w:ascii="Simplified Arabic" w:eastAsia="Times New Roman" w:hAnsi="Simplified Arabic" w:cs="Simplified Arabic"/>
          <w:color w:val="000000" w:themeColor="text1"/>
          <w:kern w:val="0"/>
          <w:sz w:val="28"/>
          <w:szCs w:val="28"/>
          <w:rtl/>
          <w14:ligatures w14:val="none"/>
        </w:rPr>
        <w:t>ديموغرافية + 16 للمتغير المستقل + 12 للمتغير التابع</w:t>
      </w:r>
    </w:p>
    <w:p w14:paraId="0AC7841C"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وسيتم التحقق من صدق الأداة عبر مسارين: الصدق الظاهري من خلال عرض الاستبانة على لجنة من (7) محكَّمين متخصصين في إدارة الأعمال ونظم المعلومات الإدارية والذكاء الاصطناعي، وصدق الاتساق الداخلي عبر حساب معامل ارتباط بيرسون بين كل فقرة والبُعد الذي تنتمي إليه وبين كل بُعد والدرجة الكلية للأداة. كما سيتم التحقق من ثبات الأداة باستخدام معامل ألفا كرونباخ</w:t>
      </w:r>
      <w:r w:rsidRPr="008A328B">
        <w:rPr>
          <w:rFonts w:ascii="Simplified Arabic" w:eastAsia="Times New Roman" w:hAnsi="Simplified Arabic" w:cs="Simplified Arabic"/>
          <w:color w:val="000000" w:themeColor="text1"/>
          <w:kern w:val="0"/>
          <w:sz w:val="28"/>
          <w:szCs w:val="28"/>
          <w14:ligatures w14:val="none"/>
        </w:rPr>
        <w:t xml:space="preserve"> (Cronbach's Alpha) </w:t>
      </w:r>
      <w:r w:rsidRPr="008A328B">
        <w:rPr>
          <w:rFonts w:ascii="Simplified Arabic" w:eastAsia="Times New Roman" w:hAnsi="Simplified Arabic" w:cs="Simplified Arabic"/>
          <w:color w:val="000000" w:themeColor="text1"/>
          <w:kern w:val="0"/>
          <w:sz w:val="28"/>
          <w:szCs w:val="28"/>
          <w:rtl/>
          <w14:ligatures w14:val="none"/>
        </w:rPr>
        <w:t>بحيث لا يقل عن (0.70) لكل بُعد وللأداة ككل</w:t>
      </w:r>
      <w:r w:rsidRPr="008A328B">
        <w:rPr>
          <w:rFonts w:ascii="Simplified Arabic" w:eastAsia="Times New Roman" w:hAnsi="Simplified Arabic" w:cs="Simplified Arabic"/>
          <w:color w:val="000000" w:themeColor="text1"/>
          <w:kern w:val="0"/>
          <w:sz w:val="28"/>
          <w:szCs w:val="28"/>
          <w14:ligatures w14:val="none"/>
        </w:rPr>
        <w:t>.</w:t>
      </w:r>
    </w:p>
    <w:p w14:paraId="33BD2BD2" w14:textId="6E3BB7F6" w:rsidR="00525FBC" w:rsidRPr="008A328B" w:rsidRDefault="008A328B" w:rsidP="008A32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33823324"/>
      <w:r w:rsidRPr="008A328B">
        <w:rPr>
          <w:rFonts w:ascii="Simplified Arabic" w:eastAsia="Times New Roman" w:hAnsi="Simplified Arabic" w:cs="Simplified Arabic" w:hint="cs"/>
          <w:b/>
          <w:bCs/>
          <w:color w:val="000000" w:themeColor="text1"/>
          <w:kern w:val="0"/>
          <w:sz w:val="36"/>
          <w:szCs w:val="36"/>
          <w:rtl/>
          <w14:ligatures w14:val="none"/>
        </w:rPr>
        <w:t xml:space="preserve">14.1 </w:t>
      </w:r>
      <w:r w:rsidR="00525FBC" w:rsidRPr="008A328B">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5"/>
    </w:p>
    <w:p w14:paraId="7B46DB3F" w14:textId="77777777" w:rsidR="00525FBC" w:rsidRPr="008A328B" w:rsidRDefault="00525FBC" w:rsidP="008A328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 الإحصائية للعلوم الاجتماعية</w:t>
      </w:r>
      <w:r w:rsidRPr="008A328B">
        <w:rPr>
          <w:rFonts w:ascii="Simplified Arabic" w:eastAsia="Times New Roman" w:hAnsi="Simplified Arabic" w:cs="Simplified Arabic"/>
          <w:color w:val="000000" w:themeColor="text1"/>
          <w:kern w:val="0"/>
          <w:sz w:val="28"/>
          <w:szCs w:val="28"/>
          <w14:ligatures w14:val="none"/>
        </w:rPr>
        <w:t xml:space="preserve"> (SPSS v.28) </w:t>
      </w:r>
      <w:r w:rsidRPr="008A328B">
        <w:rPr>
          <w:rFonts w:ascii="Simplified Arabic" w:eastAsia="Times New Roman" w:hAnsi="Simplified Arabic" w:cs="Simplified Arabic"/>
          <w:color w:val="000000" w:themeColor="text1"/>
          <w:kern w:val="0"/>
          <w:sz w:val="28"/>
          <w:szCs w:val="28"/>
          <w:rtl/>
          <w14:ligatures w14:val="none"/>
        </w:rPr>
        <w:t>وبرنامج</w:t>
      </w:r>
      <w:r w:rsidRPr="008A328B">
        <w:rPr>
          <w:rFonts w:ascii="Simplified Arabic" w:eastAsia="Times New Roman" w:hAnsi="Simplified Arabic" w:cs="Simplified Arabic"/>
          <w:color w:val="000000" w:themeColor="text1"/>
          <w:kern w:val="0"/>
          <w:sz w:val="28"/>
          <w:szCs w:val="28"/>
          <w14:ligatures w14:val="none"/>
        </w:rPr>
        <w:t xml:space="preserve"> (AMOS v.26) </w:t>
      </w:r>
      <w:r w:rsidRPr="008A328B">
        <w:rPr>
          <w:rFonts w:ascii="Simplified Arabic" w:eastAsia="Times New Roman" w:hAnsi="Simplified Arabic" w:cs="Simplified Arabic"/>
          <w:color w:val="000000" w:themeColor="text1"/>
          <w:kern w:val="0"/>
          <w:sz w:val="28"/>
          <w:szCs w:val="28"/>
          <w:rtl/>
          <w14:ligatures w14:val="none"/>
        </w:rPr>
        <w:t>للنمذجة بالمعادلات البنائية، وسيُوظَّف مجموعة من الأساليب الإحصائية تشمل</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التكرارات والنسب المئوية والمتوسطات الحسابية والانحرافات المعيارية لوصف خصائص العيّنة ومستوى الاستجابة على محاور الأداة، ومعامل ارتباط بيرسون لقياس صدق الاتساق الداخلي، ومعامل ألفا كرونباخ لقياس الثبات، وتحليل الانحدار المتعدد</w:t>
      </w:r>
      <w:r w:rsidRPr="008A328B">
        <w:rPr>
          <w:rFonts w:ascii="Simplified Arabic" w:eastAsia="Times New Roman" w:hAnsi="Simplified Arabic" w:cs="Simplified Arabic"/>
          <w:color w:val="000000" w:themeColor="text1"/>
          <w:kern w:val="0"/>
          <w:sz w:val="28"/>
          <w:szCs w:val="28"/>
          <w14:ligatures w14:val="none"/>
        </w:rPr>
        <w:t xml:space="preserve"> (Multiple Regression Analysis) </w:t>
      </w:r>
      <w:r w:rsidRPr="008A328B">
        <w:rPr>
          <w:rFonts w:ascii="Simplified Arabic" w:eastAsia="Times New Roman" w:hAnsi="Simplified Arabic" w:cs="Simplified Arabic"/>
          <w:color w:val="000000" w:themeColor="text1"/>
          <w:kern w:val="0"/>
          <w:sz w:val="28"/>
          <w:szCs w:val="28"/>
          <w:rtl/>
          <w14:ligatures w14:val="none"/>
        </w:rPr>
        <w:t>لاختبار أثر أبعاد المتغير المستقل على المتغير التابع، وتحليل التباين الأحادي</w:t>
      </w:r>
      <w:r w:rsidRPr="008A328B">
        <w:rPr>
          <w:rFonts w:ascii="Simplified Arabic" w:eastAsia="Times New Roman" w:hAnsi="Simplified Arabic" w:cs="Simplified Arabic"/>
          <w:color w:val="000000" w:themeColor="text1"/>
          <w:kern w:val="0"/>
          <w:sz w:val="28"/>
          <w:szCs w:val="28"/>
          <w14:ligatures w14:val="none"/>
        </w:rPr>
        <w:t xml:space="preserve"> (One-Way ANOVA) </w:t>
      </w:r>
      <w:r w:rsidRPr="008A328B">
        <w:rPr>
          <w:rFonts w:ascii="Simplified Arabic" w:eastAsia="Times New Roman" w:hAnsi="Simplified Arabic" w:cs="Simplified Arabic"/>
          <w:color w:val="000000" w:themeColor="text1"/>
          <w:kern w:val="0"/>
          <w:sz w:val="28"/>
          <w:szCs w:val="28"/>
          <w:rtl/>
          <w14:ligatures w14:val="none"/>
        </w:rPr>
        <w:t>واختبار (ت) لعيّنتين مستقلتين</w:t>
      </w:r>
      <w:r w:rsidRPr="008A328B">
        <w:rPr>
          <w:rFonts w:ascii="Simplified Arabic" w:eastAsia="Times New Roman" w:hAnsi="Simplified Arabic" w:cs="Simplified Arabic"/>
          <w:color w:val="000000" w:themeColor="text1"/>
          <w:kern w:val="0"/>
          <w:sz w:val="28"/>
          <w:szCs w:val="28"/>
          <w14:ligatures w14:val="none"/>
        </w:rPr>
        <w:t xml:space="preserve"> (Independent Samples T-Test) </w:t>
      </w:r>
      <w:r w:rsidRPr="008A328B">
        <w:rPr>
          <w:rFonts w:ascii="Simplified Arabic" w:eastAsia="Times New Roman" w:hAnsi="Simplified Arabic" w:cs="Simplified Arabic"/>
          <w:color w:val="000000" w:themeColor="text1"/>
          <w:kern w:val="0"/>
          <w:sz w:val="28"/>
          <w:szCs w:val="28"/>
          <w:rtl/>
          <w14:ligatures w14:val="none"/>
        </w:rPr>
        <w:t>للكشف عن الفروق وفقاً للمتغيرات الديموغرافية، واختبار شيفيه</w:t>
      </w:r>
      <w:r w:rsidRPr="008A328B">
        <w:rPr>
          <w:rFonts w:ascii="Simplified Arabic" w:eastAsia="Times New Roman" w:hAnsi="Simplified Arabic" w:cs="Simplified Arabic"/>
          <w:color w:val="000000" w:themeColor="text1"/>
          <w:kern w:val="0"/>
          <w:sz w:val="28"/>
          <w:szCs w:val="28"/>
          <w14:ligatures w14:val="none"/>
        </w:rPr>
        <w:t xml:space="preserve"> (Scheffé) </w:t>
      </w:r>
      <w:r w:rsidRPr="008A328B">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 إضافة إلى النمذجة بالمعادلات البنائية</w:t>
      </w:r>
      <w:r w:rsidRPr="008A328B">
        <w:rPr>
          <w:rFonts w:ascii="Simplified Arabic" w:eastAsia="Times New Roman" w:hAnsi="Simplified Arabic" w:cs="Simplified Arabic"/>
          <w:color w:val="000000" w:themeColor="text1"/>
          <w:kern w:val="0"/>
          <w:sz w:val="28"/>
          <w:szCs w:val="28"/>
          <w14:ligatures w14:val="none"/>
        </w:rPr>
        <w:t xml:space="preserve"> (SEM) </w:t>
      </w:r>
      <w:r w:rsidRPr="008A328B">
        <w:rPr>
          <w:rFonts w:ascii="Simplified Arabic" w:eastAsia="Times New Roman" w:hAnsi="Simplified Arabic" w:cs="Simplified Arabic"/>
          <w:color w:val="000000" w:themeColor="text1"/>
          <w:kern w:val="0"/>
          <w:sz w:val="28"/>
          <w:szCs w:val="28"/>
          <w:rtl/>
          <w14:ligatures w14:val="none"/>
        </w:rPr>
        <w:t>لاختبار النموذج الكلي للدراسة والتحقق من جودة المطابقة</w:t>
      </w:r>
      <w:r w:rsidRPr="008A328B">
        <w:rPr>
          <w:rFonts w:ascii="Simplified Arabic" w:eastAsia="Times New Roman" w:hAnsi="Simplified Arabic" w:cs="Simplified Arabic"/>
          <w:color w:val="000000" w:themeColor="text1"/>
          <w:kern w:val="0"/>
          <w:sz w:val="28"/>
          <w:szCs w:val="28"/>
          <w14:ligatures w14:val="none"/>
        </w:rPr>
        <w:t xml:space="preserve"> (Goodness of Fit).</w:t>
      </w:r>
    </w:p>
    <w:p w14:paraId="44DB74DC" w14:textId="6882505D" w:rsidR="00525FBC" w:rsidRPr="008A328B" w:rsidRDefault="008A328B" w:rsidP="008A328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33823325"/>
      <w:r w:rsidRPr="008A328B">
        <w:rPr>
          <w:rFonts w:ascii="Simplified Arabic" w:eastAsia="Times New Roman" w:hAnsi="Simplified Arabic" w:cs="Simplified Arabic" w:hint="cs"/>
          <w:b/>
          <w:bCs/>
          <w:color w:val="000000" w:themeColor="text1"/>
          <w:kern w:val="0"/>
          <w:sz w:val="36"/>
          <w:szCs w:val="36"/>
          <w:rtl/>
          <w14:ligatures w14:val="none"/>
        </w:rPr>
        <w:t xml:space="preserve">15.1 </w:t>
      </w:r>
      <w:r w:rsidR="00525FBC" w:rsidRPr="008A328B">
        <w:rPr>
          <w:rFonts w:ascii="Simplified Arabic" w:eastAsia="Times New Roman" w:hAnsi="Simplified Arabic" w:cs="Simplified Arabic"/>
          <w:b/>
          <w:bCs/>
          <w:color w:val="000000" w:themeColor="text1"/>
          <w:kern w:val="0"/>
          <w:sz w:val="36"/>
          <w:szCs w:val="36"/>
          <w:rtl/>
          <w14:ligatures w14:val="none"/>
        </w:rPr>
        <w:t>حدود الدراسة</w:t>
      </w:r>
      <w:bookmarkEnd w:id="26"/>
    </w:p>
    <w:p w14:paraId="321EFDC8" w14:textId="2549826B" w:rsidR="00525FBC" w:rsidRPr="008A328B" w:rsidRDefault="00525FBC" w:rsidP="008A328B">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الحدود الموضوعية</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 xml:space="preserve">ستقتصر الدراسة على بحث أثر تبني الذكاء الاصطناعي التوليدي بأبعاده الأربعة </w:t>
      </w:r>
      <w:r w:rsidR="008A328B" w:rsidRPr="008A328B">
        <w:rPr>
          <w:rFonts w:ascii="Simplified Arabic" w:eastAsia="Times New Roman" w:hAnsi="Simplified Arabic" w:cs="Simplified Arabic" w:hint="cs"/>
          <w:color w:val="000000" w:themeColor="text1"/>
          <w:kern w:val="0"/>
          <w:sz w:val="28"/>
          <w:szCs w:val="28"/>
          <w:rtl/>
          <w14:ligatures w14:val="none"/>
        </w:rPr>
        <w:t>(</w:t>
      </w:r>
      <w:r w:rsidRPr="008A328B">
        <w:rPr>
          <w:rFonts w:ascii="Simplified Arabic" w:eastAsia="Times New Roman" w:hAnsi="Simplified Arabic" w:cs="Simplified Arabic"/>
          <w:color w:val="000000" w:themeColor="text1"/>
          <w:kern w:val="0"/>
          <w:sz w:val="28"/>
          <w:szCs w:val="28"/>
          <w:rtl/>
          <w14:ligatures w14:val="none"/>
        </w:rPr>
        <w:t>البنية التحتية التقنية والجاهزية الرقمية، كفاءة الموارد البشرية وتأهيلها، دعم القيادة التنظيمية والثقافة المؤسسية، تكامل العمليات والأتمتة الذكية) على مؤشرات الأداء وكفاءة الموظفين في الوظائف المعرفية</w:t>
      </w:r>
      <w:r w:rsidRPr="008A328B">
        <w:rPr>
          <w:rFonts w:ascii="Simplified Arabic" w:eastAsia="Times New Roman" w:hAnsi="Simplified Arabic" w:cs="Simplified Arabic"/>
          <w:color w:val="000000" w:themeColor="text1"/>
          <w:kern w:val="0"/>
          <w:sz w:val="28"/>
          <w:szCs w:val="28"/>
          <w14:ligatures w14:val="none"/>
        </w:rPr>
        <w:t>.</w:t>
      </w:r>
    </w:p>
    <w:p w14:paraId="69FA9DAC" w14:textId="77777777" w:rsidR="00525FBC" w:rsidRPr="008A328B" w:rsidRDefault="00525FBC" w:rsidP="008A328B">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الحدود المكانية</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ستُطبَّق الدراسة على شركات سعودية عاملة في أربعة قطاعات (التقنية والبرمجيات، الخدمات المالية والمصرفية، الاتصالات وتقنية المعلومات، الاستشارات والخدمات المهنية) في مدن الرياض وجدة والدمام باعتبارها المراكز الاقتصادية الكبرى في المملكة العربية السعودية</w:t>
      </w:r>
      <w:r w:rsidRPr="008A328B">
        <w:rPr>
          <w:rFonts w:ascii="Simplified Arabic" w:eastAsia="Times New Roman" w:hAnsi="Simplified Arabic" w:cs="Simplified Arabic"/>
          <w:color w:val="000000" w:themeColor="text1"/>
          <w:kern w:val="0"/>
          <w:sz w:val="28"/>
          <w:szCs w:val="28"/>
          <w14:ligatures w14:val="none"/>
        </w:rPr>
        <w:t>.</w:t>
      </w:r>
    </w:p>
    <w:p w14:paraId="4E7FBC48" w14:textId="77777777" w:rsidR="00525FBC" w:rsidRPr="008A328B" w:rsidRDefault="00525FBC" w:rsidP="008A328B">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الحدود الزمانية</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الفصل الدراسي الثاني من العام الأكاديمي 1447/1448هـ الموافق 2025/2026م</w:t>
      </w:r>
      <w:r w:rsidRPr="008A328B">
        <w:rPr>
          <w:rFonts w:ascii="Simplified Arabic" w:eastAsia="Times New Roman" w:hAnsi="Simplified Arabic" w:cs="Simplified Arabic"/>
          <w:color w:val="000000" w:themeColor="text1"/>
          <w:kern w:val="0"/>
          <w:sz w:val="28"/>
          <w:szCs w:val="28"/>
          <w14:ligatures w14:val="none"/>
        </w:rPr>
        <w:t>.</w:t>
      </w:r>
    </w:p>
    <w:p w14:paraId="1566E61C" w14:textId="77777777" w:rsidR="00525FBC" w:rsidRPr="008A328B" w:rsidRDefault="00525FBC" w:rsidP="008A328B">
      <w:pPr>
        <w:pStyle w:val="a6"/>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8A328B">
        <w:rPr>
          <w:rFonts w:ascii="Simplified Arabic" w:eastAsia="Times New Roman" w:hAnsi="Simplified Arabic" w:cs="Simplified Arabic"/>
          <w:color w:val="000000" w:themeColor="text1"/>
          <w:kern w:val="0"/>
          <w:sz w:val="28"/>
          <w:szCs w:val="28"/>
          <w:rtl/>
          <w14:ligatures w14:val="none"/>
        </w:rPr>
        <w:t>الحدود البشرية</w:t>
      </w:r>
      <w:r w:rsidRPr="008A328B">
        <w:rPr>
          <w:rFonts w:ascii="Simplified Arabic" w:eastAsia="Times New Roman" w:hAnsi="Simplified Arabic" w:cs="Simplified Arabic"/>
          <w:color w:val="000000" w:themeColor="text1"/>
          <w:kern w:val="0"/>
          <w:sz w:val="28"/>
          <w:szCs w:val="28"/>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ستستهدف الدراسة الموظفين العاملين في الوظائف المعرفية والتحليلية (محللون، مستشارون، مطوِّرون، مديرو مشاريع، باحثون، مختصو تسويق رقمي) ممن يتعاملون بشكل مباشر أو غير مباشر مع أدوات الذكاء الاصطناعي التوليدي في مهامهم اليومية</w:t>
      </w:r>
      <w:r w:rsidRPr="008A328B">
        <w:rPr>
          <w:rFonts w:ascii="Simplified Arabic" w:eastAsia="Times New Roman" w:hAnsi="Simplified Arabic" w:cs="Simplified Arabic"/>
          <w:color w:val="000000" w:themeColor="text1"/>
          <w:kern w:val="0"/>
          <w:sz w:val="28"/>
          <w:szCs w:val="28"/>
          <w14:ligatures w14:val="none"/>
        </w:rPr>
        <w:t>.</w:t>
      </w:r>
    </w:p>
    <w:p w14:paraId="19EE27A1" w14:textId="1A987AC4" w:rsidR="00723D4E" w:rsidRPr="008A328B" w:rsidRDefault="001C3133" w:rsidP="001C3133">
      <w:pPr>
        <w:jc w:val="center"/>
        <w:outlineLvl w:val="0"/>
        <w:rPr>
          <w:rFonts w:ascii="Simplified Arabic" w:eastAsia="Times New Roman" w:hAnsi="Simplified Arabic" w:cs="Simplified Arabic"/>
          <w:b/>
          <w:bCs/>
          <w:color w:val="000000" w:themeColor="text1"/>
          <w:kern w:val="0"/>
          <w:sz w:val="40"/>
          <w:szCs w:val="40"/>
          <w14:ligatures w14:val="none"/>
        </w:rPr>
      </w:pPr>
      <w:r w:rsidRPr="008A328B">
        <w:rPr>
          <w:rFonts w:ascii="Simplified Arabic" w:eastAsia="Times New Roman" w:hAnsi="Simplified Arabic" w:cs="Simplified Arabic"/>
          <w:b/>
          <w:bCs/>
          <w:color w:val="000000" w:themeColor="text1"/>
          <w:kern w:val="0"/>
          <w:sz w:val="40"/>
          <w:szCs w:val="40"/>
          <w:rtl/>
          <w14:ligatures w14:val="none"/>
        </w:rPr>
        <w:br w:type="page"/>
      </w:r>
      <w:bookmarkStart w:id="27" w:name="_Toc233823326"/>
      <w:r w:rsidRPr="008A328B">
        <w:rPr>
          <w:rFonts w:ascii="Simplified Arabic" w:eastAsia="Times New Roman" w:hAnsi="Simplified Arabic" w:cs="Simplified Arabic" w:hint="cs"/>
          <w:b/>
          <w:bCs/>
          <w:color w:val="000000" w:themeColor="text1"/>
          <w:kern w:val="0"/>
          <w:sz w:val="40"/>
          <w:szCs w:val="40"/>
          <w:rtl/>
          <w14:ligatures w14:val="none"/>
        </w:rPr>
        <w:t xml:space="preserve">الفصل الأول: </w:t>
      </w:r>
      <w:r w:rsidR="00723D4E" w:rsidRPr="008A328B">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7"/>
    </w:p>
    <w:p w14:paraId="607309D4" w14:textId="77777777" w:rsidR="00723D4E" w:rsidRPr="008A328B" w:rsidRDefault="00723D4E" w:rsidP="001C3133">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8" w:name="_Toc233823327"/>
      <w:r w:rsidRPr="008A328B">
        <w:rPr>
          <w:rFonts w:ascii="Simplified Arabic" w:eastAsia="Times New Roman" w:hAnsi="Simplified Arabic" w:cs="Simplified Arabic"/>
          <w:b/>
          <w:bCs/>
          <w:color w:val="000000" w:themeColor="text1"/>
          <w:kern w:val="0"/>
          <w:sz w:val="36"/>
          <w:szCs w:val="36"/>
          <w:rtl/>
          <w14:ligatures w14:val="none"/>
        </w:rPr>
        <w:t>المبحث الأول: تبني الذكاء الاصطناعي التوليدي</w:t>
      </w:r>
      <w:bookmarkEnd w:id="28"/>
    </w:p>
    <w:p w14:paraId="384CE8A7" w14:textId="2E689295"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823328"/>
      <w:r w:rsidRPr="008A328B">
        <w:rPr>
          <w:rFonts w:ascii="Simplified Arabic" w:eastAsia="Times New Roman" w:hAnsi="Simplified Arabic" w:cs="Simplified Arabic" w:hint="cs"/>
          <w:b/>
          <w:bCs/>
          <w:color w:val="000000" w:themeColor="text1"/>
          <w:kern w:val="0"/>
          <w:sz w:val="32"/>
          <w:szCs w:val="32"/>
          <w:rtl/>
          <w14:ligatures w14:val="none"/>
        </w:rPr>
        <w:t xml:space="preserve">1.1.2 </w:t>
      </w:r>
      <w:r w:rsidR="00723D4E" w:rsidRPr="008A328B">
        <w:rPr>
          <w:rFonts w:ascii="Simplified Arabic" w:eastAsia="Times New Roman" w:hAnsi="Simplified Arabic" w:cs="Simplified Arabic"/>
          <w:b/>
          <w:bCs/>
          <w:color w:val="000000" w:themeColor="text1"/>
          <w:kern w:val="0"/>
          <w:sz w:val="32"/>
          <w:szCs w:val="32"/>
          <w:rtl/>
          <w14:ligatures w14:val="none"/>
        </w:rPr>
        <w:t>تمهيد</w:t>
      </w:r>
      <w:bookmarkEnd w:id="29"/>
    </w:p>
    <w:p w14:paraId="798611F3"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شهدت بيئة الأعمال المعاصرة تحولات متسارعة فرضتها الموجة الرابعة من الثورة الصناعية، وما رافقها من إعادة تشكيل جذرية لمنظومة العمل المؤسسي وطرائق إنتاج المعرفة وتداولها داخل المنظمات. وقد برز الذكاء الاصطناعي التوليدي بوصفه أحد أبرز التجليات التقنية لهذه الموجة، إذ يتجاوز حدود الذكاء الاصطناعي التقليدي القائم على التصنيف والتنبؤ ليؤسس لنمط جديد من الأنظمة القادرة على توليد محتوى أصيل يحاكي القدرات المعرفية للإنسان في الكتابة والتحليل والتصميم وصياغة الحلول. ولم يعد تبني هذه التقنية ترفًا تنظيميًا أو خيارًا تكميليًا، بل غدا ضرورة استراتيجية تفرضها متطلبات التنافسية واقتصاد المعرفة، خاصة في ظل التوجهات الكبرى التي تتبناها الاقتصادات الناشئة ومنها المملكة العربية السعودية ضمن رؤية 2030</w:t>
      </w:r>
      <w:r w:rsidRPr="008A328B">
        <w:rPr>
          <w:rFonts w:ascii="Simplified Arabic" w:eastAsia="Times New Roman" w:hAnsi="Simplified Arabic" w:cs="Simplified Arabic"/>
          <w:color w:val="000000" w:themeColor="text1"/>
          <w:kern w:val="0"/>
          <w:sz w:val="28"/>
          <w:szCs w:val="28"/>
          <w14:ligatures w14:val="none"/>
        </w:rPr>
        <w:t>.</w:t>
      </w:r>
    </w:p>
    <w:p w14:paraId="276B9BD4"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وتتجلى أهمية تناول هذا المتغير في كونه يمثل نقطة التقاء بين الجانب التقني المتمثل في البنية الرقمية، والجانب الإنساني المتمثل في الكفاءات البشرية، والجانب التنظيمي المتمثل في القيادة والثقافة المؤسسية. ومن ثم فإن فهم تبني الذكاء الاصطناعي التوليدي لا يستقيم بمعزل عن قراءة هذه الأبعاد قراءة تكاملية، تضع في الاعتبار الخصوصية السياقية للمنظمات وما تواجهه من تحديات في الانتقال من النماذج التشغيلية التقليدية إلى نماذج أكثر اعتمادًا على الأتمتة الذكية وتكامل العمليات</w:t>
      </w:r>
      <w:r w:rsidRPr="008A328B">
        <w:rPr>
          <w:rFonts w:ascii="Simplified Arabic" w:eastAsia="Times New Roman" w:hAnsi="Simplified Arabic" w:cs="Simplified Arabic"/>
          <w:color w:val="000000" w:themeColor="text1"/>
          <w:kern w:val="0"/>
          <w:sz w:val="28"/>
          <w:szCs w:val="28"/>
          <w14:ligatures w14:val="none"/>
        </w:rPr>
        <w:t>.</w:t>
      </w:r>
    </w:p>
    <w:p w14:paraId="6645D3ED"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مُحكمة لمفهوم تبني الذكاء الاصطناعي التوليدي، تنطلق من استعراض التعريفات التي قدمها الباحثون لهذا المفهوم، ثم تنتقل إلى بيان أهميته في السياق المؤسسي المعاصر، فأهدافه التي تسعى المنظمات إلى تحقيقها من خلاله، وصولًا إلى تفكيك أبعاده الأربعة المعتمدة في هذه الدراسة، مع إبراز المداخل النظرية المختلفة التي تناولته، والتطور الذي شهده، والمنظورات النقدية التي رافقت انتشاره</w:t>
      </w:r>
      <w:r w:rsidRPr="008A328B">
        <w:rPr>
          <w:rFonts w:ascii="Simplified Arabic" w:eastAsia="Times New Roman" w:hAnsi="Simplified Arabic" w:cs="Simplified Arabic"/>
          <w:color w:val="000000" w:themeColor="text1"/>
          <w:kern w:val="0"/>
          <w:sz w:val="28"/>
          <w:szCs w:val="28"/>
          <w14:ligatures w14:val="none"/>
        </w:rPr>
        <w:t>.</w:t>
      </w:r>
    </w:p>
    <w:p w14:paraId="1FE028FB" w14:textId="2C946BE1"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823329"/>
      <w:r w:rsidRPr="008A328B">
        <w:rPr>
          <w:rFonts w:ascii="Simplified Arabic" w:eastAsia="Times New Roman" w:hAnsi="Simplified Arabic" w:cs="Simplified Arabic" w:hint="cs"/>
          <w:b/>
          <w:bCs/>
          <w:color w:val="000000" w:themeColor="text1"/>
          <w:kern w:val="0"/>
          <w:sz w:val="32"/>
          <w:szCs w:val="32"/>
          <w:rtl/>
          <w14:ligatures w14:val="none"/>
        </w:rPr>
        <w:t>2.1.2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مفهوم تبني الذكاء الاصطناعي التوليدي</w:t>
      </w:r>
      <w:bookmarkEnd w:id="30"/>
    </w:p>
    <w:p w14:paraId="7590DEA7"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تبني الذكاء الاصطناعي التوليدي بتعدد المداخل التي اعتمدوها في معالجته، إذ تتوزع هذه التعريفات بين مدخل تقني يركز على البنية الخوارزمية والقدرات الحاسوبية للأنظمة التوليدية، ومدخل تنظيمي يضع التبني في سياق التحول المؤسسي وإعادة تصميم العمليات، ومدخل سلوكي يُعنى بإدراك الأفراد ودوافعهم نحو قبول هذه التقنية. ويُعرِّف بلحاج ونصيرات (2024) تبني الذكاء الاصطناعي التوليدي بأنه العملية المؤسسية المنظمة التي تتبناها المنظمات لإدماج النماذج اللغوية الكبيرة والأنظمة التوليدية ضمن سلاسل القيمة الخدمية والمالية، بحيث تتحول من أدوات مساعدة إلى مكونات بنيوية في تقديم الخدمة</w:t>
      </w:r>
      <w:r w:rsidRPr="008A328B">
        <w:rPr>
          <w:rFonts w:ascii="Simplified Arabic" w:eastAsia="Times New Roman" w:hAnsi="Simplified Arabic" w:cs="Simplified Arabic"/>
          <w:color w:val="000000" w:themeColor="text1"/>
          <w:kern w:val="0"/>
          <w:sz w:val="28"/>
          <w:szCs w:val="28"/>
          <w14:ligatures w14:val="none"/>
        </w:rPr>
        <w:t>.</w:t>
      </w:r>
    </w:p>
    <w:p w14:paraId="51BA92B8"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وفي امتداد لهذه الرؤية، يقدم الأحمدي وآخرون (2024) تعريفًا أكثر اتساعًا يربط بين الجانب التقني والجانب المعرفي، إذ يصفون التبني بأنه تبنٍّ ممنهج لتطبيقات قادرة على توليد نصوص وأفكار ومخرجات بحثية أصيلة، يتم توظيفها في سياقات إنتاج المعرفة وتطويرها داخل المؤسسات الأكاديمية والإنتاجية. ويبدو هذا التعريف أوسع نطاقًا من سابقه لأنه يربط التبني بمنطق إنتاج المعرفة لا بمجرد الكفاءة التشغيلية، وهو ما يفتح الباب أمام قراءة المفهوم باعتباره نمطًا حضاريًا جديدًا في التعامل مع المعلومات</w:t>
      </w:r>
      <w:r w:rsidRPr="008A328B">
        <w:rPr>
          <w:rFonts w:ascii="Simplified Arabic" w:eastAsia="Times New Roman" w:hAnsi="Simplified Arabic" w:cs="Simplified Arabic"/>
          <w:color w:val="000000" w:themeColor="text1"/>
          <w:kern w:val="0"/>
          <w:sz w:val="28"/>
          <w:szCs w:val="28"/>
          <w14:ligatures w14:val="none"/>
        </w:rPr>
        <w:t>.</w:t>
      </w:r>
    </w:p>
    <w:p w14:paraId="7D9B85F7"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منظور مغاير، تذهب سعيدي (2025) إلى تعريف التبني بوصفه استعدادًا سلوكيًا ومؤسسيًا لقبول التقنية وفقًا لمنطق نموذج قبول التكنولوجيا</w:t>
      </w:r>
      <w:r w:rsidRPr="008A328B">
        <w:rPr>
          <w:rFonts w:ascii="Simplified Arabic" w:eastAsia="Times New Roman" w:hAnsi="Simplified Arabic" w:cs="Simplified Arabic"/>
          <w:color w:val="000000" w:themeColor="text1"/>
          <w:kern w:val="0"/>
          <w:sz w:val="28"/>
          <w:szCs w:val="28"/>
          <w14:ligatures w14:val="none"/>
        </w:rPr>
        <w:t xml:space="preserve"> (TAM)</w:t>
      </w:r>
      <w:r w:rsidRPr="008A328B">
        <w:rPr>
          <w:rFonts w:ascii="Simplified Arabic" w:eastAsia="Times New Roman" w:hAnsi="Simplified Arabic" w:cs="Simplified Arabic"/>
          <w:color w:val="000000" w:themeColor="text1"/>
          <w:kern w:val="0"/>
          <w:sz w:val="28"/>
          <w:szCs w:val="28"/>
          <w:rtl/>
          <w14:ligatures w14:val="none"/>
        </w:rPr>
        <w:t>، بحيث يتحدد التبني بمدى إدراك المنفعة المتوقعة وسهولة الاستخدام لدى العاملين والإدارات. ويقترب هذا التعريف من الجانب الإدراكي للمفهوم، ويُكمل التعريفات السابقة بإضافة البعد النفسي والسلوكي إلى الأبعاد التقنية والتنظيمية. وفي السياق ذاته، يُعرِّف الدهشان والمنصوري (2025) التبني بأنه توظيف منهجي لأدوات الذكاء الاصطناعي بهدف رفع الإنتاجية والربحية، مع التركيز على عمليات إعادة هيكلة سلاسل العمل بما يتلاءم مع طبيعة هذه الأدوات</w:t>
      </w:r>
      <w:r w:rsidRPr="008A328B">
        <w:rPr>
          <w:rFonts w:ascii="Simplified Arabic" w:eastAsia="Times New Roman" w:hAnsi="Simplified Arabic" w:cs="Simplified Arabic"/>
          <w:color w:val="000000" w:themeColor="text1"/>
          <w:kern w:val="0"/>
          <w:sz w:val="28"/>
          <w:szCs w:val="28"/>
          <w14:ligatures w14:val="none"/>
        </w:rPr>
        <w:t>.</w:t>
      </w:r>
    </w:p>
    <w:p w14:paraId="526F4EDD"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جهة أخرى، يقدم</w:t>
      </w:r>
      <w:r w:rsidRPr="008A328B">
        <w:rPr>
          <w:rFonts w:ascii="Simplified Arabic" w:eastAsia="Times New Roman" w:hAnsi="Simplified Arabic" w:cs="Simplified Arabic"/>
          <w:color w:val="000000" w:themeColor="text1"/>
          <w:kern w:val="0"/>
          <w:sz w:val="28"/>
          <w:szCs w:val="28"/>
          <w14:ligatures w14:val="none"/>
        </w:rPr>
        <w:t xml:space="preserve"> Agarwal &amp; Ojha (2025) </w:t>
      </w:r>
      <w:r w:rsidRPr="008A328B">
        <w:rPr>
          <w:rFonts w:ascii="Simplified Arabic" w:eastAsia="Times New Roman" w:hAnsi="Simplified Arabic" w:cs="Simplified Arabic"/>
          <w:color w:val="000000" w:themeColor="text1"/>
          <w:kern w:val="0"/>
          <w:sz w:val="28"/>
          <w:szCs w:val="28"/>
          <w:rtl/>
          <w14:ligatures w14:val="none"/>
        </w:rPr>
        <w:t>تعريفًا أكثر دقة من حيث الطبيعة الوظيفية للذكاء الاصطناعي التوليدي، إذ يصفونه بأنه منظومة من النماذج القائمة على التعلم العميق التي تُنتج محتوى جديدًا ذا قيمة تشاركية بين الإنسان والآلة، بحيث يتحول العامل من منفذ إلى شريك في عملية إنتاج القيمة. ويُكمل</w:t>
      </w:r>
      <w:r w:rsidRPr="008A328B">
        <w:rPr>
          <w:rFonts w:ascii="Simplified Arabic" w:eastAsia="Times New Roman" w:hAnsi="Simplified Arabic" w:cs="Simplified Arabic"/>
          <w:color w:val="000000" w:themeColor="text1"/>
          <w:kern w:val="0"/>
          <w:sz w:val="28"/>
          <w:szCs w:val="28"/>
          <w14:ligatures w14:val="none"/>
        </w:rPr>
        <w:t xml:space="preserve"> Al Naqbi et al. (2024) </w:t>
      </w:r>
      <w:r w:rsidRPr="008A328B">
        <w:rPr>
          <w:rFonts w:ascii="Simplified Arabic" w:eastAsia="Times New Roman" w:hAnsi="Simplified Arabic" w:cs="Simplified Arabic"/>
          <w:color w:val="000000" w:themeColor="text1"/>
          <w:kern w:val="0"/>
          <w:sz w:val="28"/>
          <w:szCs w:val="28"/>
          <w:rtl/>
          <w14:ligatures w14:val="none"/>
        </w:rPr>
        <w:t>هذه الرؤية حين يُعرِّفون التبني بأنه إدماج تكاملي للذكاء الاصطناعي التوليدي ضمن بيئة العمل بهدف تعزيز الإنتاجية المستدامة عبر إعادة توزيع المهام بين البشر والأنظمة الذكية. أما</w:t>
      </w:r>
      <w:r w:rsidRPr="008A328B">
        <w:rPr>
          <w:rFonts w:ascii="Simplified Arabic" w:eastAsia="Times New Roman" w:hAnsi="Simplified Arabic" w:cs="Simplified Arabic"/>
          <w:color w:val="000000" w:themeColor="text1"/>
          <w:kern w:val="0"/>
          <w:sz w:val="28"/>
          <w:szCs w:val="28"/>
          <w14:ligatures w14:val="none"/>
        </w:rPr>
        <w:t xml:space="preserve"> Brynjolfsson et al. (2025) </w:t>
      </w:r>
      <w:r w:rsidRPr="008A328B">
        <w:rPr>
          <w:rFonts w:ascii="Simplified Arabic" w:eastAsia="Times New Roman" w:hAnsi="Simplified Arabic" w:cs="Simplified Arabic"/>
          <w:color w:val="000000" w:themeColor="text1"/>
          <w:kern w:val="0"/>
          <w:sz w:val="28"/>
          <w:szCs w:val="28"/>
          <w:rtl/>
          <w14:ligatures w14:val="none"/>
        </w:rPr>
        <w:t>فيُقدمون تعريفًا اقتصاديًا للمفهوم بوصفه نمطًا جديدًا في تنظيم العمل يقوم على توظيف النماذج التوليدية لرفع كفاءة العاملين، خاصة في المهام المعرفية ذات الطابع التكراري</w:t>
      </w:r>
      <w:r w:rsidRPr="008A328B">
        <w:rPr>
          <w:rFonts w:ascii="Simplified Arabic" w:eastAsia="Times New Roman" w:hAnsi="Simplified Arabic" w:cs="Simplified Arabic"/>
          <w:color w:val="000000" w:themeColor="text1"/>
          <w:kern w:val="0"/>
          <w:sz w:val="28"/>
          <w:szCs w:val="28"/>
          <w14:ligatures w14:val="none"/>
        </w:rPr>
        <w:t>.</w:t>
      </w:r>
    </w:p>
    <w:p w14:paraId="13315120"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وفي قراءة تستجمع هذه التعريفات، يرى الباحث أن تبني الذكاء الاصطناعي التوليدي عملية مؤسسية مركبة، متعددة الأبعاد، تتجاوز حدود الإدماج التقني للأدوات والبرمجيات لتشمل إعادة تشكيل البنية التشغيلية للمنظمة وثقافتها وأنماط عمل أفرادها، بحيث يصبح الذكاء الاصطناعي التوليدي شريكًا معرفيًا في إنتاج القيمة لا مجرد أداة تنفيذية. ويتضمن هذا التبني — في رأي الباحث — أربعة مكونات أساسية متلازمة: جاهزية البنية الرقمية، وتأهيل الموارد البشرية، ودعم القيادة وثقافة الانفتاح على التغيير، وتكامل العمليات وأتمتتها ذكيًا. وإذا تخلَّف أحد هذه المكونات، تحول التبني من تحول استراتيجي إلى مجرد إضافة تقنية هامشية لا تُحدث الأثر المتوقع في الأداء</w:t>
      </w:r>
      <w:r w:rsidRPr="008A328B">
        <w:rPr>
          <w:rFonts w:ascii="Simplified Arabic" w:eastAsia="Times New Roman" w:hAnsi="Simplified Arabic" w:cs="Simplified Arabic"/>
          <w:color w:val="000000" w:themeColor="text1"/>
          <w:kern w:val="0"/>
          <w:sz w:val="28"/>
          <w:szCs w:val="28"/>
          <w14:ligatures w14:val="none"/>
        </w:rPr>
        <w:t>.</w:t>
      </w:r>
    </w:p>
    <w:p w14:paraId="6601EE1F" w14:textId="35443EAD"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823330"/>
      <w:r w:rsidRPr="008A328B">
        <w:rPr>
          <w:rFonts w:ascii="Simplified Arabic" w:eastAsia="Times New Roman" w:hAnsi="Simplified Arabic" w:cs="Simplified Arabic" w:hint="cs"/>
          <w:b/>
          <w:bCs/>
          <w:color w:val="000000" w:themeColor="text1"/>
          <w:kern w:val="0"/>
          <w:sz w:val="32"/>
          <w:szCs w:val="32"/>
          <w:rtl/>
          <w14:ligatures w14:val="none"/>
        </w:rPr>
        <w:t>3.1.2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أهمية تبني الذكاء الاصطناعي التوليدي</w:t>
      </w:r>
      <w:bookmarkEnd w:id="31"/>
    </w:p>
    <w:p w14:paraId="73190F9F"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تنبع أهمية تبني الذكاء الاصطناعي التوليدي في المنظمات المعاصرة من كونه لم يعد خيارًا تنافسيًا إضافيًا، بل أصبح ركيزة من ركائز البقاء التنظيمي في بيئة تتسم بسرعة التغيير وكثافة المعرفة وتشابك سلاسل القيمة. وتتعدد الزوايا التي يمكن من خلالها قراءة هذه الأهمية، إذ يمكن تناولها من زاوية اقتصادية تتعلق بالإنتاجية والربحية، أو من زاوية تنظيمية تتعلق بإعادة تصميم العمليات والهياكل، أو من زاوية إنسانية تتعلق بأثرها على بيئة العمل والعاملين، وهو ما يجعل الإحاطة بأهميتها مطلبًا ضروريًا لفهم مكانتها في الفكر الإداري الحديث</w:t>
      </w:r>
      <w:r w:rsidRPr="008A328B">
        <w:rPr>
          <w:rFonts w:ascii="Simplified Arabic" w:eastAsia="Times New Roman" w:hAnsi="Simplified Arabic" w:cs="Simplified Arabic"/>
          <w:color w:val="000000" w:themeColor="text1"/>
          <w:kern w:val="0"/>
          <w:sz w:val="28"/>
          <w:szCs w:val="28"/>
          <w14:ligatures w14:val="none"/>
        </w:rPr>
        <w:t>.</w:t>
      </w:r>
    </w:p>
    <w:p w14:paraId="23794A56"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ويشير حسن وعلي (2025) إلى أن أهمية تبني الذكاء الاصطناعي تتجلى في ثلاثة محاور رئيسة: أولها أنه يُسهم في تحسين الأداء الوظيفي من خلال تخفيف الأعباء التشغيلية الروتينية وتمكين العاملين من التركيز على المهام ذات القيمة المضافة العالية، وثانيها أنه يرفع من جودة المخرجات عبر تقليل هامش الخطأ البشري في المعالجات الكمية والنوعية، وثالثها أنه يُعزز قدرة المنظمة على التكيف مع متطلبات التحول الرقمي وما يفرضه من إعادة هيكلة لطبيعة العمل ومهاراته. وتتقاطع هذه الزوايا الثلاث لتُقدم صورة متكاملة لأهمية التبني بوصفه آلية لإعادة توزيع الجهد التنظيمي نحو ما هو ابتكاري وإبداعي</w:t>
      </w:r>
      <w:r w:rsidRPr="008A328B">
        <w:rPr>
          <w:rFonts w:ascii="Simplified Arabic" w:eastAsia="Times New Roman" w:hAnsi="Simplified Arabic" w:cs="Simplified Arabic"/>
          <w:color w:val="000000" w:themeColor="text1"/>
          <w:kern w:val="0"/>
          <w:sz w:val="28"/>
          <w:szCs w:val="28"/>
          <w14:ligatures w14:val="none"/>
        </w:rPr>
        <w:t>.</w:t>
      </w:r>
    </w:p>
    <w:p w14:paraId="7F259D94"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 الجندي وعبد الحميد (2025) أن أهمية تبني الذكاء الاصطناعي تتعدى البعد التشغيلي إلى البعد الإنساني المتعلق بالرضا الوظيفي، إذ يُسهم في تخفيف الضغوط المهنية وتحسين جودة بيئة العمل، خاصة في المؤسسات الصغيرة والمتوسطة التي تعاني من محدودية الموارد البشرية وضغط المهام. ومن منظور قطاعي، يُبرز باجبير (2024) أن الأهمية تتمحور حول قدرة هذه التقنية على إعادة تشكيل مؤشرات قياس الأداء داخل المنظمات بحيث تصبح أكثر دقة وموضوعية واستجابة للمتغيرات اللحظية، وهو ما يدعم منظومة اتخاذ القرار ويُحسن من كفاءة التخطيط</w:t>
      </w:r>
      <w:r w:rsidRPr="008A328B">
        <w:rPr>
          <w:rFonts w:ascii="Simplified Arabic" w:eastAsia="Times New Roman" w:hAnsi="Simplified Arabic" w:cs="Simplified Arabic"/>
          <w:color w:val="000000" w:themeColor="text1"/>
          <w:kern w:val="0"/>
          <w:sz w:val="28"/>
          <w:szCs w:val="28"/>
          <w14:ligatures w14:val="none"/>
        </w:rPr>
        <w:t>.</w:t>
      </w:r>
    </w:p>
    <w:p w14:paraId="611B3CE3"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كما يشير القحطاني (2025) إلى أن أهمية التبني تتصل اتصالًا وثيقًا بالتحول الرقمي الذي تشهده المؤسسات السعودية في ظل رؤية 2030، إذ يُسهم في تطوير منظومة الأداء المؤسسي وتعزيز قدرة الموظفين على مواكبة المتطلبات الجديدة لاقتصاد المعرفة. ويُكمل هذه الرؤية أمين (2025) حين يرى أن الأهمية تتجلى في كون الذكاء الاصطناعي يُعيد تشكيل منظومة إدارة المعرفة التنظيمية، فيُسهل عمليات اكتسابها وتخزينها ومشاركتها وتطبيقها، بما يدعم تحول المنظمة إلى منظمة متعلمة قادرة على إنتاج المعرفة باستمرار</w:t>
      </w:r>
      <w:r w:rsidRPr="008A328B">
        <w:rPr>
          <w:rFonts w:ascii="Simplified Arabic" w:eastAsia="Times New Roman" w:hAnsi="Simplified Arabic" w:cs="Simplified Arabic"/>
          <w:color w:val="000000" w:themeColor="text1"/>
          <w:kern w:val="0"/>
          <w:sz w:val="28"/>
          <w:szCs w:val="28"/>
          <w14:ligatures w14:val="none"/>
        </w:rPr>
        <w:t>.</w:t>
      </w:r>
    </w:p>
    <w:p w14:paraId="6CFBAFB2"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منظور اقتصادي كلي، يُبرز عطية (2024) أن أهمية الذكاء الاصطناعي تتجاوز حدود المنظمة الواحدة لتمتد إلى مستوى الاقتصاد الوطني، إذ يُسهم في تحفيز النمو الاقتصادي وتعزيز الإنتاجية الكلية للعوامل، وهو ما يجعل تبنيه على المستوى المؤسسي مرتبطًا بمسار التنمية الاقتصادية الشاملة. ويرى</w:t>
      </w:r>
      <w:r w:rsidRPr="008A328B">
        <w:rPr>
          <w:rFonts w:ascii="Simplified Arabic" w:eastAsia="Times New Roman" w:hAnsi="Simplified Arabic" w:cs="Simplified Arabic"/>
          <w:color w:val="000000" w:themeColor="text1"/>
          <w:kern w:val="0"/>
          <w:sz w:val="28"/>
          <w:szCs w:val="28"/>
          <w14:ligatures w14:val="none"/>
        </w:rPr>
        <w:t xml:space="preserve"> Saleem et al. (2024) </w:t>
      </w:r>
      <w:r w:rsidRPr="008A328B">
        <w:rPr>
          <w:rFonts w:ascii="Simplified Arabic" w:eastAsia="Times New Roman" w:hAnsi="Simplified Arabic" w:cs="Simplified Arabic"/>
          <w:color w:val="000000" w:themeColor="text1"/>
          <w:kern w:val="0"/>
          <w:sz w:val="28"/>
          <w:szCs w:val="28"/>
          <w:rtl/>
          <w14:ligatures w14:val="none"/>
        </w:rPr>
        <w:t>أن أهمية التبني تتجلى في كونه يُعزز إنتاجية العاملين المعرفيين عبر تمكينهم من إدارة كميات هائلة من المعلومات بكفاءة، وهو ما يُعد ضروريًا في عصر يتسم بتضخم البيانات وتنوع مصادرها</w:t>
      </w:r>
      <w:r w:rsidRPr="008A328B">
        <w:rPr>
          <w:rFonts w:ascii="Simplified Arabic" w:eastAsia="Times New Roman" w:hAnsi="Simplified Arabic" w:cs="Simplified Arabic"/>
          <w:color w:val="000000" w:themeColor="text1"/>
          <w:kern w:val="0"/>
          <w:sz w:val="28"/>
          <w:szCs w:val="28"/>
          <w14:ligatures w14:val="none"/>
        </w:rPr>
        <w:t>.</w:t>
      </w:r>
    </w:p>
    <w:p w14:paraId="0E903AB3"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ويُضيف</w:t>
      </w:r>
      <w:r w:rsidRPr="008A328B">
        <w:rPr>
          <w:rFonts w:ascii="Simplified Arabic" w:eastAsia="Times New Roman" w:hAnsi="Simplified Arabic" w:cs="Simplified Arabic"/>
          <w:color w:val="000000" w:themeColor="text1"/>
          <w:kern w:val="0"/>
          <w:sz w:val="28"/>
          <w:szCs w:val="28"/>
          <w14:ligatures w14:val="none"/>
        </w:rPr>
        <w:t xml:space="preserve"> Tariq et al. (2025) </w:t>
      </w:r>
      <w:r w:rsidRPr="008A328B">
        <w:rPr>
          <w:rFonts w:ascii="Simplified Arabic" w:eastAsia="Times New Roman" w:hAnsi="Simplified Arabic" w:cs="Simplified Arabic"/>
          <w:color w:val="000000" w:themeColor="text1"/>
          <w:kern w:val="0"/>
          <w:sz w:val="28"/>
          <w:szCs w:val="28"/>
          <w:rtl/>
          <w14:ligatures w14:val="none"/>
        </w:rPr>
        <w:t>بُعدًا آخر للأهمية يتعلق بإعادة تصميم ممارسات إدارة الموارد البشرية، إذ يرون أن التبني يُسهم في تحسين الأداء التنظيمي من خلال أتمتة عمليات الاستقطاب والتدريب وتقييم الأداء، مما يرفع من مستوى الموضوعية والكفاءة في هذه الممارسات. أما</w:t>
      </w:r>
      <w:r w:rsidRPr="008A328B">
        <w:rPr>
          <w:rFonts w:ascii="Simplified Arabic" w:eastAsia="Times New Roman" w:hAnsi="Simplified Arabic" w:cs="Simplified Arabic"/>
          <w:color w:val="000000" w:themeColor="text1"/>
          <w:kern w:val="0"/>
          <w:sz w:val="28"/>
          <w:szCs w:val="28"/>
          <w14:ligatures w14:val="none"/>
        </w:rPr>
        <w:t xml:space="preserve"> Dell’Acqua et al. (2023) </w:t>
      </w:r>
      <w:r w:rsidRPr="008A328B">
        <w:rPr>
          <w:rFonts w:ascii="Simplified Arabic" w:eastAsia="Times New Roman" w:hAnsi="Simplified Arabic" w:cs="Simplified Arabic"/>
          <w:color w:val="000000" w:themeColor="text1"/>
          <w:kern w:val="0"/>
          <w:sz w:val="28"/>
          <w:szCs w:val="28"/>
          <w:rtl/>
          <w14:ligatures w14:val="none"/>
        </w:rPr>
        <w:t>فيُبرزون أن أهمية التبني تتجلى في إعادة رسم حدود قدرات العامل المعرفي، إذ تُتيح له الأنظمة التوليدية تجاوز الحدود التقليدية لإنتاجيته وجودة مخرجاته، وإن كانت هذه الإتاحة تتفاوت بحسب طبيعة المهام ومدى ملاءمتها للمعالجة الآلية</w:t>
      </w:r>
      <w:r w:rsidRPr="008A328B">
        <w:rPr>
          <w:rFonts w:ascii="Simplified Arabic" w:eastAsia="Times New Roman" w:hAnsi="Simplified Arabic" w:cs="Simplified Arabic"/>
          <w:color w:val="000000" w:themeColor="text1"/>
          <w:kern w:val="0"/>
          <w:sz w:val="28"/>
          <w:szCs w:val="28"/>
          <w14:ligatures w14:val="none"/>
        </w:rPr>
        <w:t>.</w:t>
      </w:r>
    </w:p>
    <w:p w14:paraId="4E28A265"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 الباحث في ضوء ما سبق أن أهمية تبني الذكاء الاصطناعي التوليدي تنتظم في مستويات ثلاثة مترابطة: مستوى فردي يتعلق بتمكين الموظف وتحسين أدائه ورضاه، ومستوى تنظيمي يتعلق بإعادة تصميم العمليات وتعزيز التنافسية والابتكار، ومستوى اقتصادي يتعلق بدعم النمو والإنتاجية الكلية. وتكتسب هذه الأهمية ثقلًا مضاعفًا في السياق السعودي تحديدًا لأنها ترتبط بمشروع وطني للتحول نحو اقتصاد المعرفة، مما يجعل دراستها ذات قيمة علمية وتطبيقية معًا</w:t>
      </w:r>
      <w:r w:rsidRPr="008A328B">
        <w:rPr>
          <w:rFonts w:ascii="Simplified Arabic" w:eastAsia="Times New Roman" w:hAnsi="Simplified Arabic" w:cs="Simplified Arabic"/>
          <w:color w:val="000000" w:themeColor="text1"/>
          <w:kern w:val="0"/>
          <w:sz w:val="28"/>
          <w:szCs w:val="28"/>
          <w14:ligatures w14:val="none"/>
        </w:rPr>
        <w:t>.</w:t>
      </w:r>
    </w:p>
    <w:p w14:paraId="07EACD78" w14:textId="4FA9B5FE"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823331"/>
      <w:r w:rsidRPr="008A328B">
        <w:rPr>
          <w:rFonts w:ascii="Simplified Arabic" w:eastAsia="Times New Roman" w:hAnsi="Simplified Arabic" w:cs="Simplified Arabic" w:hint="cs"/>
          <w:b/>
          <w:bCs/>
          <w:color w:val="000000" w:themeColor="text1"/>
          <w:kern w:val="0"/>
          <w:sz w:val="32"/>
          <w:szCs w:val="32"/>
          <w:rtl/>
          <w14:ligatures w14:val="none"/>
        </w:rPr>
        <w:t>4.1.2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أهداف تبني الذكاء الاصطناعي التوليدي</w:t>
      </w:r>
      <w:bookmarkEnd w:id="32"/>
    </w:p>
    <w:p w14:paraId="55D920BA"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تتوزع الأهداف التي تسعى المنظمات إلى تحقيقها من خلال تبني الذكاء الاصطناعي التوليدي على مستويات متعددة، تتراوح بين أهداف تشغيلية قصيرة المدى وأهداف استراتيجية بعيدة المدى. وقد تناول الباحثون هذه الأهداف من زوايا متباينة، يمكن تنظيمها على النحو التالي</w:t>
      </w:r>
      <w:r w:rsidRPr="008A328B">
        <w:rPr>
          <w:rFonts w:ascii="Simplified Arabic" w:eastAsia="Times New Roman" w:hAnsi="Simplified Arabic" w:cs="Simplified Arabic"/>
          <w:color w:val="000000" w:themeColor="text1"/>
          <w:kern w:val="0"/>
          <w:sz w:val="28"/>
          <w:szCs w:val="28"/>
          <w14:ligatures w14:val="none"/>
        </w:rPr>
        <w:t>:</w:t>
      </w:r>
    </w:p>
    <w:p w14:paraId="05C958E4" w14:textId="344F77C5"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أولًا — يرى الشعار والصرايرة والعدوان (2024) أن أهداف التبني تتمحور حول: تحسين أداء العاملين عبر دعمهم</w:t>
      </w:r>
      <w:r w:rsidR="001C3133" w:rsidRPr="008A328B">
        <w:rPr>
          <w:rFonts w:ascii="Simplified Arabic" w:eastAsia="Times New Roman" w:hAnsi="Simplified Arabic" w:cs="Simplified Arabic"/>
          <w:color w:val="000000" w:themeColor="text1"/>
          <w:kern w:val="0"/>
          <w:sz w:val="28"/>
          <w:szCs w:val="28"/>
          <w:rtl/>
          <w14:ligatures w14:val="none"/>
        </w:rPr>
        <w:t xml:space="preserve"> بأدوات ذكية ترفع من إنتاجيتهم،</w:t>
      </w:r>
      <w:r w:rsidRPr="008A328B">
        <w:rPr>
          <w:rFonts w:ascii="Simplified Arabic" w:eastAsia="Times New Roman" w:hAnsi="Simplified Arabic" w:cs="Simplified Arabic"/>
          <w:color w:val="000000" w:themeColor="text1"/>
          <w:kern w:val="0"/>
          <w:sz w:val="28"/>
          <w:szCs w:val="28"/>
          <w:rtl/>
          <w14:ligatures w14:val="none"/>
        </w:rPr>
        <w:t xml:space="preserve"> تعزيز كفاءة العمليات التشغيلي</w:t>
      </w:r>
      <w:r w:rsidR="001C3133" w:rsidRPr="008A328B">
        <w:rPr>
          <w:rFonts w:ascii="Simplified Arabic" w:eastAsia="Times New Roman" w:hAnsi="Simplified Arabic" w:cs="Simplified Arabic"/>
          <w:color w:val="000000" w:themeColor="text1"/>
          <w:kern w:val="0"/>
          <w:sz w:val="28"/>
          <w:szCs w:val="28"/>
          <w:rtl/>
          <w14:ligatures w14:val="none"/>
        </w:rPr>
        <w:t>ة في الشركات الصناعية والخدمية،</w:t>
      </w:r>
      <w:r w:rsidRPr="008A328B">
        <w:rPr>
          <w:rFonts w:ascii="Simplified Arabic" w:eastAsia="Times New Roman" w:hAnsi="Simplified Arabic" w:cs="Simplified Arabic"/>
          <w:color w:val="000000" w:themeColor="text1"/>
          <w:kern w:val="0"/>
          <w:sz w:val="28"/>
          <w:szCs w:val="28"/>
          <w:rtl/>
          <w14:ligatures w14:val="none"/>
        </w:rPr>
        <w:t xml:space="preserve"> دعم القيادة في توجيه فرق العمل نحو الاستفادة المثلى من التقنيات الذكية. ويتميز هذا التصور بربطه بين الهدف التقني والهدف القيادي، بما يكشف عن طبيعة التبني بوصفه مشروعًا تنظيميًا متكاملًا لا مجرد ترقية تقنية</w:t>
      </w:r>
      <w:r w:rsidRPr="008A328B">
        <w:rPr>
          <w:rFonts w:ascii="Simplified Arabic" w:eastAsia="Times New Roman" w:hAnsi="Simplified Arabic" w:cs="Simplified Arabic"/>
          <w:color w:val="000000" w:themeColor="text1"/>
          <w:kern w:val="0"/>
          <w:sz w:val="28"/>
          <w:szCs w:val="28"/>
          <w14:ligatures w14:val="none"/>
        </w:rPr>
        <w:t>.</w:t>
      </w:r>
    </w:p>
    <w:p w14:paraId="1863C3B9" w14:textId="5B09E905"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ثانيًا — تُحدد حمودة والعقل (2022) أهداف التبني في الجوانب الوظيفية التخصصية، إذ تتمثل في: تطوير المهام الإدارية والمحاسبية وجعلها أكثر دقة وسرعة، تخفيف الأعباء الروتينية عن الكوادر المتخصصة، تمكين هذه الكوادر من التفرغ للمهام التحليلية والاستراتيجية ذات القيمة الأعلى. ويعكس هذا التصور التوجه نحو إعادة توزيع العمل بين الإنسان والآلة بمنطق التكامل لا الإحلال</w:t>
      </w:r>
      <w:r w:rsidRPr="008A328B">
        <w:rPr>
          <w:rFonts w:ascii="Simplified Arabic" w:eastAsia="Times New Roman" w:hAnsi="Simplified Arabic" w:cs="Simplified Arabic"/>
          <w:color w:val="000000" w:themeColor="text1"/>
          <w:kern w:val="0"/>
          <w:sz w:val="28"/>
          <w:szCs w:val="28"/>
          <w14:ligatures w14:val="none"/>
        </w:rPr>
        <w:t>.</w:t>
      </w:r>
    </w:p>
    <w:p w14:paraId="46586015" w14:textId="2785A12A"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 xml:space="preserve">ثالثًا — يُبين جابر والعرود (2022) أن من أهداف التبني: تحسين جودة الإجراءات الرقابية والتدقيقية داخل المنظمة، تعزيز قدرة المراجعين على </w:t>
      </w:r>
      <w:r w:rsidR="001C3133" w:rsidRPr="008A328B">
        <w:rPr>
          <w:rFonts w:ascii="Simplified Arabic" w:eastAsia="Times New Roman" w:hAnsi="Simplified Arabic" w:cs="Simplified Arabic"/>
          <w:color w:val="000000" w:themeColor="text1"/>
          <w:kern w:val="0"/>
          <w:sz w:val="28"/>
          <w:szCs w:val="28"/>
          <w:rtl/>
          <w14:ligatures w14:val="none"/>
        </w:rPr>
        <w:t>معالجة كميات كبيرة من البيانات،</w:t>
      </w:r>
      <w:r w:rsidRPr="008A328B">
        <w:rPr>
          <w:rFonts w:ascii="Simplified Arabic" w:eastAsia="Times New Roman" w:hAnsi="Simplified Arabic" w:cs="Simplified Arabic"/>
          <w:color w:val="000000" w:themeColor="text1"/>
          <w:kern w:val="0"/>
          <w:sz w:val="28"/>
          <w:szCs w:val="28"/>
          <w:rtl/>
          <w14:ligatures w14:val="none"/>
        </w:rPr>
        <w:t xml:space="preserve"> رفع مستوى الموضوعية في الحكم المهني عبر الاستناد إلى تحليلات ذكية. وهذه الأهداف تكشف عن الدور الذي يلعبه الذكاء الاصطناعي في تعزيز الحوكمة الداخلية للمنظمة</w:t>
      </w:r>
      <w:r w:rsidRPr="008A328B">
        <w:rPr>
          <w:rFonts w:ascii="Simplified Arabic" w:eastAsia="Times New Roman" w:hAnsi="Simplified Arabic" w:cs="Simplified Arabic"/>
          <w:color w:val="000000" w:themeColor="text1"/>
          <w:kern w:val="0"/>
          <w:sz w:val="28"/>
          <w:szCs w:val="28"/>
          <w14:ligatures w14:val="none"/>
        </w:rPr>
        <w:t>.</w:t>
      </w:r>
    </w:p>
    <w:p w14:paraId="476AD13B" w14:textId="5D8924CA"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رابعًا — يرى الخطيب وعوض (2023) أن أهداف التبني تتركز في: تحسي</w:t>
      </w:r>
      <w:r w:rsidR="001C3133" w:rsidRPr="008A328B">
        <w:rPr>
          <w:rFonts w:ascii="Simplified Arabic" w:eastAsia="Times New Roman" w:hAnsi="Simplified Arabic" w:cs="Simplified Arabic"/>
          <w:color w:val="000000" w:themeColor="text1"/>
          <w:kern w:val="0"/>
          <w:sz w:val="28"/>
          <w:szCs w:val="28"/>
          <w:rtl/>
          <w14:ligatures w14:val="none"/>
        </w:rPr>
        <w:t>ن جودة الخدمات المقدمة للعملاء،</w:t>
      </w:r>
      <w:r w:rsidRPr="008A328B">
        <w:rPr>
          <w:rFonts w:ascii="Simplified Arabic" w:eastAsia="Times New Roman" w:hAnsi="Simplified Arabic" w:cs="Simplified Arabic"/>
          <w:color w:val="000000" w:themeColor="text1"/>
          <w:kern w:val="0"/>
          <w:sz w:val="28"/>
          <w:szCs w:val="28"/>
          <w:rtl/>
          <w14:ligatures w14:val="none"/>
        </w:rPr>
        <w:t xml:space="preserve"> تعزيز إدارة علاقات الزبائن عبر التحليل الذكي لسلوكهم وتفضيلاتهم، تقديم خدمات مخصصة تستجيب لاحتياجات شرائح متنوعة من العملاء، وهو ما يربط التبني بمنطق التوجه نحو السوق وتعميق العلاقة مع المستفيدين</w:t>
      </w:r>
      <w:r w:rsidRPr="008A328B">
        <w:rPr>
          <w:rFonts w:ascii="Simplified Arabic" w:eastAsia="Times New Roman" w:hAnsi="Simplified Arabic" w:cs="Simplified Arabic"/>
          <w:color w:val="000000" w:themeColor="text1"/>
          <w:kern w:val="0"/>
          <w:sz w:val="28"/>
          <w:szCs w:val="28"/>
          <w14:ligatures w14:val="none"/>
        </w:rPr>
        <w:t>.</w:t>
      </w:r>
    </w:p>
    <w:p w14:paraId="67E9A8D6" w14:textId="1648FAA6"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خامسًا — يُحدد محمد (2025) أهداف التبني في السياق التسويقي بأنها: تحس</w:t>
      </w:r>
      <w:r w:rsidR="001C3133" w:rsidRPr="008A328B">
        <w:rPr>
          <w:rFonts w:ascii="Simplified Arabic" w:eastAsia="Times New Roman" w:hAnsi="Simplified Arabic" w:cs="Simplified Arabic"/>
          <w:color w:val="000000" w:themeColor="text1"/>
          <w:kern w:val="0"/>
          <w:sz w:val="28"/>
          <w:szCs w:val="28"/>
          <w:rtl/>
          <w14:ligatures w14:val="none"/>
        </w:rPr>
        <w:t>ين تجربة العميل في رحلة الشراء،</w:t>
      </w:r>
      <w:r w:rsidRPr="008A328B">
        <w:rPr>
          <w:rFonts w:ascii="Simplified Arabic" w:eastAsia="Times New Roman" w:hAnsi="Simplified Arabic" w:cs="Simplified Arabic"/>
          <w:color w:val="000000" w:themeColor="text1"/>
          <w:kern w:val="0"/>
          <w:sz w:val="28"/>
          <w:szCs w:val="28"/>
          <w:rtl/>
          <w14:ligatures w14:val="none"/>
        </w:rPr>
        <w:t xml:space="preserve"> توفير توصيات مخصصة تستند إلى التحليل الذكي للسلوك الاستهلاكي، تعزيز قدرة المنظمة على بناء علاقات مستدامة مع عملائها. ويُكمل هذه الأهداف بوعمرة وعيساني (2026) حين يرون أن أهداف التبني في السياق المعرفي تتضمن: رفع كفاءة العمل البحثي والمعرفي،  تحسين جودة المخرجات العلمية، (3) تعزيز قدرة الباحثين على التعامل مع تعقيدات المهام البحثية</w:t>
      </w:r>
      <w:r w:rsidRPr="008A328B">
        <w:rPr>
          <w:rFonts w:ascii="Simplified Arabic" w:eastAsia="Times New Roman" w:hAnsi="Simplified Arabic" w:cs="Simplified Arabic"/>
          <w:color w:val="000000" w:themeColor="text1"/>
          <w:kern w:val="0"/>
          <w:sz w:val="28"/>
          <w:szCs w:val="28"/>
          <w14:ligatures w14:val="none"/>
        </w:rPr>
        <w:t>.</w:t>
      </w:r>
    </w:p>
    <w:p w14:paraId="09FF02DF" w14:textId="44B0FE5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سادسًا — يضيف</w:t>
      </w:r>
      <w:r w:rsidRPr="008A328B">
        <w:rPr>
          <w:rFonts w:ascii="Simplified Arabic" w:eastAsia="Times New Roman" w:hAnsi="Simplified Arabic" w:cs="Simplified Arabic"/>
          <w:color w:val="000000" w:themeColor="text1"/>
          <w:kern w:val="0"/>
          <w:sz w:val="28"/>
          <w:szCs w:val="28"/>
          <w14:ligatures w14:val="none"/>
        </w:rPr>
        <w:t xml:space="preserve"> Chatterjee et al. (2024) </w:t>
      </w:r>
      <w:r w:rsidRPr="008A328B">
        <w:rPr>
          <w:rFonts w:ascii="Simplified Arabic" w:eastAsia="Times New Roman" w:hAnsi="Simplified Arabic" w:cs="Simplified Arabic"/>
          <w:color w:val="000000" w:themeColor="text1"/>
          <w:kern w:val="0"/>
          <w:sz w:val="28"/>
          <w:szCs w:val="28"/>
          <w:rtl/>
          <w14:ligatures w14:val="none"/>
        </w:rPr>
        <w:t>بُعدًا إنسانيًا للأهداف، إذ يرون أن التبني يسعى إلى: تحسين أداء الموظفين في مجال إدارة الموارد البشرية، دعم عمليات اتخاذ القرارات المتعلقة بالأفراد عبر التحليل الذكي للبيانات، تعزيز قدرة المنظمة على بناء بيئة عمل أكثر استجابة لاحتياجات العاملين</w:t>
      </w:r>
      <w:r w:rsidRPr="008A328B">
        <w:rPr>
          <w:rFonts w:ascii="Simplified Arabic" w:eastAsia="Times New Roman" w:hAnsi="Simplified Arabic" w:cs="Simplified Arabic"/>
          <w:color w:val="000000" w:themeColor="text1"/>
          <w:kern w:val="0"/>
          <w:sz w:val="28"/>
          <w:szCs w:val="28"/>
          <w14:ligatures w14:val="none"/>
        </w:rPr>
        <w:t>.</w:t>
      </w:r>
    </w:p>
    <w:p w14:paraId="171DD26C" w14:textId="5EF9B369"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سابعًا — يرى</w:t>
      </w:r>
      <w:r w:rsidRPr="008A328B">
        <w:rPr>
          <w:rFonts w:ascii="Simplified Arabic" w:eastAsia="Times New Roman" w:hAnsi="Simplified Arabic" w:cs="Simplified Arabic"/>
          <w:color w:val="000000" w:themeColor="text1"/>
          <w:kern w:val="0"/>
          <w:sz w:val="28"/>
          <w:szCs w:val="28"/>
          <w14:ligatures w14:val="none"/>
        </w:rPr>
        <w:t xml:space="preserve"> Gusti Ayu Ketut et al. (2024) </w:t>
      </w:r>
      <w:r w:rsidRPr="008A328B">
        <w:rPr>
          <w:rFonts w:ascii="Simplified Arabic" w:eastAsia="Times New Roman" w:hAnsi="Simplified Arabic" w:cs="Simplified Arabic"/>
          <w:color w:val="000000" w:themeColor="text1"/>
          <w:kern w:val="0"/>
          <w:sz w:val="28"/>
          <w:szCs w:val="28"/>
          <w:rtl/>
          <w14:ligatures w14:val="none"/>
        </w:rPr>
        <w:t>أن أهداف التبني تنصبّ على: تعزيز الاندماج الوظيفي للموظفين، رفع مستوى إنتاجيتهم، تحسين تجربتهم الوظيفية بشكل عام، وهو ما يربط التبني بمنطق رأس المال البشري وتعظيم قيمته. ويُضيف</w:t>
      </w:r>
      <w:r w:rsidRPr="008A328B">
        <w:rPr>
          <w:rFonts w:ascii="Simplified Arabic" w:eastAsia="Times New Roman" w:hAnsi="Simplified Arabic" w:cs="Simplified Arabic"/>
          <w:color w:val="000000" w:themeColor="text1"/>
          <w:kern w:val="0"/>
          <w:sz w:val="28"/>
          <w:szCs w:val="28"/>
          <w14:ligatures w14:val="none"/>
        </w:rPr>
        <w:t xml:space="preserve"> Noy &amp; Zhang (2023) </w:t>
      </w:r>
      <w:r w:rsidRPr="008A328B">
        <w:rPr>
          <w:rFonts w:ascii="Simplified Arabic" w:eastAsia="Times New Roman" w:hAnsi="Simplified Arabic" w:cs="Simplified Arabic"/>
          <w:color w:val="000000" w:themeColor="text1"/>
          <w:kern w:val="0"/>
          <w:sz w:val="28"/>
          <w:szCs w:val="28"/>
          <w:rtl/>
          <w14:ligatures w14:val="none"/>
        </w:rPr>
        <w:t>هدفًا تجريبيًا يتمثل في فحص الأثر الفعلي للذكاء الاصطناعي التوليدي على كفاءة العاملين في المهام المعرفية، وهو ما يكشف عن الحاجة المستمرة للتجريب والقياس في ضبط أهداف التبني</w:t>
      </w:r>
      <w:r w:rsidRPr="008A328B">
        <w:rPr>
          <w:rFonts w:ascii="Simplified Arabic" w:eastAsia="Times New Roman" w:hAnsi="Simplified Arabic" w:cs="Simplified Arabic"/>
          <w:color w:val="000000" w:themeColor="text1"/>
          <w:kern w:val="0"/>
          <w:sz w:val="28"/>
          <w:szCs w:val="28"/>
          <w14:ligatures w14:val="none"/>
        </w:rPr>
        <w:t>.</w:t>
      </w:r>
    </w:p>
    <w:p w14:paraId="6E1E2F8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 الباحث أن هذه الأهداف يمكن تصنيفها في ثلاث مجموعات متكاملة: أهداف تشغيلية تتعلق برفع الكفاءة وتخفيف الأعباء، وأهداف معرفية تتعلق بتحسين جودة القرارات وإدارة المعرفة، وأهداف استراتيجية تتعلق بتعزيز التنافسية والاستدامة، وهي مجموعات لا تستقيم منفردة بل تتكامل في إطار رؤية شاملة للتحول المؤسسي</w:t>
      </w:r>
      <w:r w:rsidRPr="008A328B">
        <w:rPr>
          <w:rFonts w:ascii="Simplified Arabic" w:eastAsia="Times New Roman" w:hAnsi="Simplified Arabic" w:cs="Simplified Arabic"/>
          <w:color w:val="000000" w:themeColor="text1"/>
          <w:kern w:val="0"/>
          <w:sz w:val="28"/>
          <w:szCs w:val="28"/>
          <w14:ligatures w14:val="none"/>
        </w:rPr>
        <w:t>.</w:t>
      </w:r>
    </w:p>
    <w:p w14:paraId="17134EE1" w14:textId="34866C80"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823332"/>
      <w:r w:rsidRPr="008A328B">
        <w:rPr>
          <w:rFonts w:ascii="Simplified Arabic" w:eastAsia="Times New Roman" w:hAnsi="Simplified Arabic" w:cs="Simplified Arabic" w:hint="cs"/>
          <w:b/>
          <w:bCs/>
          <w:color w:val="000000" w:themeColor="text1"/>
          <w:kern w:val="0"/>
          <w:sz w:val="32"/>
          <w:szCs w:val="32"/>
          <w:rtl/>
          <w14:ligatures w14:val="none"/>
        </w:rPr>
        <w:t>5.1.2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أبعاد تبني الذكاء الاصطناعي التوليدي</w:t>
      </w:r>
      <w:bookmarkEnd w:id="33"/>
    </w:p>
    <w:p w14:paraId="5AC5BD9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تم تحديد أبعاد تبني الذكاء الاصطناعي التوليدي في هذه الدراسة بناءً على ما قدمه بلحاج ونصيرات (2024) في دراستهما حول تبني الذكاء الاصطناعي التوليدي في صناعة الخدمات المالية، وما طرحه الدهشان والمنصوري (2025) من تصور تكاملي يربط بين الجاهزية الرقمية والممارسات التنظيمية، وبما يتسق مع المعالجة التي قدمها</w:t>
      </w:r>
      <w:r w:rsidRPr="008A328B">
        <w:rPr>
          <w:rFonts w:ascii="Simplified Arabic" w:eastAsia="Times New Roman" w:hAnsi="Simplified Arabic" w:cs="Simplified Arabic"/>
          <w:color w:val="000000" w:themeColor="text1"/>
          <w:kern w:val="0"/>
          <w:sz w:val="28"/>
          <w:szCs w:val="28"/>
          <w14:ligatures w14:val="none"/>
        </w:rPr>
        <w:t xml:space="preserve"> Al Naqbi et al. (2024) </w:t>
      </w:r>
      <w:r w:rsidRPr="008A328B">
        <w:rPr>
          <w:rFonts w:ascii="Simplified Arabic" w:eastAsia="Times New Roman" w:hAnsi="Simplified Arabic" w:cs="Simplified Arabic"/>
          <w:color w:val="000000" w:themeColor="text1"/>
          <w:kern w:val="0"/>
          <w:sz w:val="28"/>
          <w:szCs w:val="28"/>
          <w:rtl/>
          <w14:ligatures w14:val="none"/>
        </w:rPr>
        <w:t>لأبعاد التبني في بيئات العمل المعاصرة. وقد استقر اختيار هذه الدراسة على أربعة أبعاد متلازمة هي: البنية التحتية التقنية والجاهزية الرقمية، وكفاءة الموارد البشرية وتأهيلها، ودعم القيادة التنظيمية والثقافة المؤسسية، وتكامل العمليات والأتمتة الذكية</w:t>
      </w:r>
      <w:r w:rsidRPr="008A328B">
        <w:rPr>
          <w:rFonts w:ascii="Simplified Arabic" w:eastAsia="Times New Roman" w:hAnsi="Simplified Arabic" w:cs="Simplified Arabic"/>
          <w:color w:val="000000" w:themeColor="text1"/>
          <w:kern w:val="0"/>
          <w:sz w:val="28"/>
          <w:szCs w:val="28"/>
          <w14:ligatures w14:val="none"/>
        </w:rPr>
        <w:t>.</w:t>
      </w:r>
    </w:p>
    <w:p w14:paraId="6F0832DB"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الأول: البنية التحتية التقنية والجاهزية الرقمية</w:t>
      </w:r>
    </w:p>
    <w:p w14:paraId="2894014F"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تمثل البنية التحتية التقنية الركيزة المادية والرقمية التي يقوم عليها أي مشروع لتبني الذكاء الاصطناعي التوليدي، إذ لا يمكن تصور إدماج فعّال لهذه التقنيات في ظل بنية تحتية متهالكة أو غير مهيأة لمتطلبات المعالجة الكثيفة للبيانات. وتتضمن هذه البنية مكونات الأجهزة والخوادم وقدرات التخزين السحابي وشبكات الاتصال عالية السرعة، فضلًا عن منصات إدارة البيانات وأنظمة الأمن السيبراني التي تحمي تدفقات المعلومات داخل المنظمة (بلحاج ونصيرات، 2024)</w:t>
      </w:r>
      <w:r w:rsidRPr="008A328B">
        <w:rPr>
          <w:rFonts w:ascii="Simplified Arabic" w:eastAsia="Times New Roman" w:hAnsi="Simplified Arabic" w:cs="Simplified Arabic"/>
          <w:color w:val="000000" w:themeColor="text1"/>
          <w:kern w:val="0"/>
          <w:sz w:val="28"/>
          <w:szCs w:val="28"/>
          <w14:ligatures w14:val="none"/>
        </w:rPr>
        <w:t>.</w:t>
      </w:r>
    </w:p>
    <w:p w14:paraId="5102F004"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ولا تقتصر الجاهزية الرقمية على التوافر المادي للأدوات، بل تمتد إلى مدى تكاملها وقدرتها على التشغيل البيني فيما بينها، وهو ما يستلزم إعادة هيكلة منظومة تكنولوجيا المعلومات داخل المنظمة بحيث تستوعب المتطلبات الجديدة للذكاء الاصطناعي التوليدي من حيث القدرات الحوسبية المتقدمة وكميات البيانات الهائلة التي تحتاجها نماذج التعلم العميق</w:t>
      </w:r>
      <w:r w:rsidRPr="008A328B">
        <w:rPr>
          <w:rFonts w:ascii="Simplified Arabic" w:eastAsia="Times New Roman" w:hAnsi="Simplified Arabic" w:cs="Simplified Arabic"/>
          <w:color w:val="000000" w:themeColor="text1"/>
          <w:kern w:val="0"/>
          <w:sz w:val="28"/>
          <w:szCs w:val="28"/>
          <w14:ligatures w14:val="none"/>
        </w:rPr>
        <w:t xml:space="preserve"> (Brynjolfsson et al., 2025). </w:t>
      </w:r>
      <w:r w:rsidRPr="008A328B">
        <w:rPr>
          <w:rFonts w:ascii="Simplified Arabic" w:eastAsia="Times New Roman" w:hAnsi="Simplified Arabic" w:cs="Simplified Arabic"/>
          <w:color w:val="000000" w:themeColor="text1"/>
          <w:kern w:val="0"/>
          <w:sz w:val="28"/>
          <w:szCs w:val="28"/>
          <w:rtl/>
          <w14:ligatures w14:val="none"/>
        </w:rPr>
        <w:t>ويتطلب ذلك استثمارات نوعية في تحديث الأنظمة، بما يضمن انسيابية تكامل النماذج التوليدية مع الأنظمة القائمة</w:t>
      </w:r>
      <w:r w:rsidRPr="008A328B">
        <w:rPr>
          <w:rFonts w:ascii="Simplified Arabic" w:eastAsia="Times New Roman" w:hAnsi="Simplified Arabic" w:cs="Simplified Arabic"/>
          <w:color w:val="000000" w:themeColor="text1"/>
          <w:kern w:val="0"/>
          <w:sz w:val="28"/>
          <w:szCs w:val="28"/>
          <w14:ligatures w14:val="none"/>
        </w:rPr>
        <w:t>.</w:t>
      </w:r>
    </w:p>
    <w:p w14:paraId="78BEABC2"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جانب آخر، فإن الجاهزية الرقمية تتضمن جانبًا تنظيميًا يتعلق بحوكمة البيانات، إذ تحتاج المنظمة إلى سياسات واضحة لإدارة البيانات وتصنيفها وحماية خصوصيتها، خاصة أن الذكاء الاصطناعي التوليدي يعتمد على معالجة كميات ضخمة من المعلومات الحساسة. وقد أبرز القحطاني (2025) أن نجاح التحول الرقمي مرهون بمدى نضج البنية التحتية الرقمية للمؤسسة وقدرتها على تأمين بيئة آمنة ومتكاملة لتشغيل هذه التقنيات</w:t>
      </w:r>
      <w:r w:rsidRPr="008A328B">
        <w:rPr>
          <w:rFonts w:ascii="Simplified Arabic" w:eastAsia="Times New Roman" w:hAnsi="Simplified Arabic" w:cs="Simplified Arabic"/>
          <w:color w:val="000000" w:themeColor="text1"/>
          <w:kern w:val="0"/>
          <w:sz w:val="28"/>
          <w:szCs w:val="28"/>
          <w14:ligatures w14:val="none"/>
        </w:rPr>
        <w:t>.</w:t>
      </w:r>
    </w:p>
    <w:p w14:paraId="45D0174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ويُضاف إلى ذلك أن البنية التحتية الرقمية تشمل بُعدًا تطويريًا يتعلق بقدرة المنظمة على التحديث المستمر لمكوناتها التقنية بما يواكب التطور المتسارع في تقنيات الذكاء الاصطناعي. فالمنظمات التي تكتفي ببنية تحتية ثابتة تجد نفسها عاجزة عن مواكبة الإصدارات الحديثة من النماذج التوليدية، مما يحد من قدرتها على الاستفادة من إمكاناتها الكاملة. ومن ثم تصبح الجاهزية الرقمية حالة ديناميكية متجددة لا حدثًا تنظيميًا منتهيًا</w:t>
      </w:r>
      <w:r w:rsidRPr="008A328B">
        <w:rPr>
          <w:rFonts w:ascii="Simplified Arabic" w:eastAsia="Times New Roman" w:hAnsi="Simplified Arabic" w:cs="Simplified Arabic"/>
          <w:color w:val="000000" w:themeColor="text1"/>
          <w:kern w:val="0"/>
          <w:sz w:val="28"/>
          <w:szCs w:val="28"/>
          <w14:ligatures w14:val="none"/>
        </w:rPr>
        <w:t>.</w:t>
      </w:r>
    </w:p>
    <w:p w14:paraId="5B1ADF7B"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الثاني: كفاءة الموارد البشرية وتأهيلها لاستخدام الذكاء الاصطناعي</w:t>
      </w:r>
    </w:p>
    <w:p w14:paraId="30FC4AD9"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يُمثل العنصر البشري المحور الذي يدور حوله نجاح أي مشروع لتبني التقنيات الذكية، إذ لا تكتسب البنية التحتية المتطورة قيمتها الحقيقية إلا في وجود كوادر بشرية مؤهلة قادرة على التفاعل مع هذه التقنيات وتوظيفها بفاعلية. ويتضمن هذا البُعد مجموعة من المتطلبات تتعلق بمستوى المعرفة التقنية للموظفين، ومهاراتهم في صياغة الأوامر والتفاعل مع النماذج التوليدية، وقدرتهم على تقييم المخرجات والتحقق من جودتها (الأحمدي وآخرون، 2024)</w:t>
      </w:r>
      <w:r w:rsidRPr="008A328B">
        <w:rPr>
          <w:rFonts w:ascii="Simplified Arabic" w:eastAsia="Times New Roman" w:hAnsi="Simplified Arabic" w:cs="Simplified Arabic"/>
          <w:color w:val="000000" w:themeColor="text1"/>
          <w:kern w:val="0"/>
          <w:sz w:val="28"/>
          <w:szCs w:val="28"/>
          <w14:ligatures w14:val="none"/>
        </w:rPr>
        <w:t>.</w:t>
      </w:r>
    </w:p>
    <w:p w14:paraId="59D04684"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ويُلقي هذا البُعد الضوء على الحاجة إلى برامج تدريبية متخصصة تُكسب العاملين مهارات جديدة تتجاوز الاستخدام التشغيلي البسيط إلى الاستخدام الإبداعي للتقنيات التوليدية. وتتفاوت هذه البرامج بحسب طبيعة الوظائف والمستويات الإدارية، إذ تحتاج الإدارات العليا إلى تدريب استراتيجي يُمكنها من قراءة الأثر الكلي للتقنية، بينما تحتاج المستويات التشغيلية إلى تدريب تطبيقي يُمكنها من توظيف الأدوات في مهامها اليومية</w:t>
      </w:r>
      <w:r w:rsidRPr="008A328B">
        <w:rPr>
          <w:rFonts w:ascii="Simplified Arabic" w:eastAsia="Times New Roman" w:hAnsi="Simplified Arabic" w:cs="Simplified Arabic"/>
          <w:color w:val="000000" w:themeColor="text1"/>
          <w:kern w:val="0"/>
          <w:sz w:val="28"/>
          <w:szCs w:val="28"/>
          <w14:ligatures w14:val="none"/>
        </w:rPr>
        <w:t xml:space="preserve"> (Agarwal &amp; Ojha, 2025).</w:t>
      </w:r>
    </w:p>
    <w:p w14:paraId="262E0E12"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ولا يقتصر التأهيل على الجانب التقني، بل يمتد إلى الجانب الإدراكي المتعلق بفهم منطق عمل النماذج التوليدية وحدودها وما تنطوي عليه من تحيزات محتملة. فالموظف المؤهل ليس من يُتقن استخدام الأداة فحسب، بل من يُدرك متى يثق في مخرجاتها ومتى يتحقق منها ومتى يستبدلها بحكمه الخاص. وقد أشارت سعيدي (2025) إلى أن إدراك المنفعة وسهولة الاستخدام يمثلان عاملين محوريين في قبول الموظفين للتقنية، وكلاهما يتشكل عبر التأهيل الواعي والمنظم</w:t>
      </w:r>
      <w:r w:rsidRPr="008A328B">
        <w:rPr>
          <w:rFonts w:ascii="Simplified Arabic" w:eastAsia="Times New Roman" w:hAnsi="Simplified Arabic" w:cs="Simplified Arabic"/>
          <w:color w:val="000000" w:themeColor="text1"/>
          <w:kern w:val="0"/>
          <w:sz w:val="28"/>
          <w:szCs w:val="28"/>
          <w14:ligatures w14:val="none"/>
        </w:rPr>
        <w:t>.</w:t>
      </w:r>
    </w:p>
    <w:p w14:paraId="4FDE9364"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جانب آخر، يرتبط هذا البُعد بمنطق التعلم المستمر، إذ تتطور قدرات الذكاء الاصطناعي التوليدي بسرعة كبيرة، مما يفرض على الموظفين تحديث مهاراتهم باستمرار. ويستلزم ذلك بناء ثقافة تنظيمية تُشجع على التعلم الذاتي وتوفر منصات تدريبية مستمرة، بحيث لا يقتصر التأهيل على لحظة تبني التقنية بل يمتد طوال دورة استخدامها. ومن ثم يتحول العنصر البشري من متلقٍ سلبي للتقنية إلى شريك فاعل في تطويرها وتوظيفها</w:t>
      </w:r>
      <w:r w:rsidRPr="008A328B">
        <w:rPr>
          <w:rFonts w:ascii="Simplified Arabic" w:eastAsia="Times New Roman" w:hAnsi="Simplified Arabic" w:cs="Simplified Arabic"/>
          <w:color w:val="000000" w:themeColor="text1"/>
          <w:kern w:val="0"/>
          <w:sz w:val="28"/>
          <w:szCs w:val="28"/>
          <w14:ligatures w14:val="none"/>
        </w:rPr>
        <w:t>.</w:t>
      </w:r>
    </w:p>
    <w:p w14:paraId="28C94EC7"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الثالث: دعم القيادة التنظيمية والثقافة المؤسسية</w:t>
      </w:r>
    </w:p>
    <w:p w14:paraId="4DDFEDE7"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تُمثل القيادة التنظيمية المحرك الاستراتيجي لأي مشروع تحول رقمي، إذ تتوقف فاعلية تبني الذكاء الاصطناعي التوليدي إلى حد بعيد على مدى التزام القيادات العليا بهذا التوجه ودعمها له بالموارد والصلاحيات وبيئة العمل الملائمة. ويتجلى هذا الدعم في صياغة رؤية واضحة للتحول، وتوفير الميزانيات اللازمة، وبناء حوافز تُشجع على تجريب التقنيات الجديدة، فضلًا عن تذليل العقبات التنظيمية التي قد تعترض مسار الإدماج (إبراهيم وحراز، 2026)</w:t>
      </w:r>
      <w:r w:rsidRPr="008A328B">
        <w:rPr>
          <w:rFonts w:ascii="Simplified Arabic" w:eastAsia="Times New Roman" w:hAnsi="Simplified Arabic" w:cs="Simplified Arabic"/>
          <w:color w:val="000000" w:themeColor="text1"/>
          <w:kern w:val="0"/>
          <w:sz w:val="28"/>
          <w:szCs w:val="28"/>
          <w14:ligatures w14:val="none"/>
        </w:rPr>
        <w:t>.</w:t>
      </w:r>
    </w:p>
    <w:p w14:paraId="22B686F2"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ويتكامل دعم القيادة مع الثقافة المؤسسية بوصفهما وجهين لعملة واحدة، إذ تُسهم القيادة في تشكيل الثقافة، وتُسهم الثقافة بدورها في تحديد سقف ما يمكن للقيادة تحقيقه. وتتطلب التقنيات التوليدية ثقافة مؤسسية تتسم بالانفتاح على التغيير، وقبول التجريب، والتسامح مع الإخفاق المحسوب، وتشجيع الابتكار، وهي سمات لا تتشكل تلقائيًا بل تحتاج إلى جهد قيادي واعٍ ومستمر. وقد أشار الشعار والصرايرة والعدوان (2024) إلى الدور الوسيط الذي تلعبه القيادة الخادمة في تعزيز فاعلية استخدام الذكاء الاصطناعي، بما يكشف عن أن النمط القيادي ذاته يُعد متغيرًا مؤثرًا في نجاح التبني</w:t>
      </w:r>
      <w:r w:rsidRPr="008A328B">
        <w:rPr>
          <w:rFonts w:ascii="Simplified Arabic" w:eastAsia="Times New Roman" w:hAnsi="Simplified Arabic" w:cs="Simplified Arabic"/>
          <w:color w:val="000000" w:themeColor="text1"/>
          <w:kern w:val="0"/>
          <w:sz w:val="28"/>
          <w:szCs w:val="28"/>
          <w14:ligatures w14:val="none"/>
        </w:rPr>
        <w:t>.</w:t>
      </w:r>
    </w:p>
    <w:p w14:paraId="4F63A517"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ويتضمن هذا البُعد أيضًا جانبًا يتعلق بإدارة التغيير، إذ يُمثل تبني الذكاء الاصطناعي التوليدي تحولًا عميقًا في طرائق العمل، وهو ما يستدعي مهارات قيادية في التعامل مع المقاومة المحتملة من العاملين، وبناء قنوات تواصل فاعلة تشرح أهداف التحول وتُبدد المخاوف المتعلقة بأمن الوظائف ومستقبل المهارات. وتُسهم القيادة الواعية في تحويل القلق من التقنية إلى حماس لها، عبر إشراك العاملين في صياغة مسار التحول وتمكينهم من أن يكونوا جزءًا فاعلًا فيه</w:t>
      </w:r>
      <w:r w:rsidRPr="008A328B">
        <w:rPr>
          <w:rFonts w:ascii="Simplified Arabic" w:eastAsia="Times New Roman" w:hAnsi="Simplified Arabic" w:cs="Simplified Arabic"/>
          <w:color w:val="000000" w:themeColor="text1"/>
          <w:kern w:val="0"/>
          <w:sz w:val="28"/>
          <w:szCs w:val="28"/>
          <w14:ligatures w14:val="none"/>
        </w:rPr>
        <w:t>.</w:t>
      </w:r>
    </w:p>
    <w:p w14:paraId="3CC13F85"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ويُضاف إلى ذلك بُعد أخلاقي يتعلق بحوكمة استخدام الذكاء الاصطناعي، إذ تقع على عاتق القيادة مسؤولية وضع أطر واضحة للاستخدام المسؤول لهذه التقنيات، بحيث تتلافى المخاطر المتعلقة بالتحيز والخصوصية والشفافية. وتُشكل الثقافة المؤسسية الإطار الذي يُغذي هذه الحوكمة ويُحولها من مجرد سياسات مكتوبة إلى ممارسات يومية. وبذلك يتحول دعم القيادة من مجرد التزام تنظيمي إلى منظومة قيمية متكاملة تُؤطر استخدام التقنية وتوجهه نحو خدمة الأهداف الاستراتيجية للمنظمة</w:t>
      </w:r>
      <w:r w:rsidRPr="008A328B">
        <w:rPr>
          <w:rFonts w:ascii="Simplified Arabic" w:eastAsia="Times New Roman" w:hAnsi="Simplified Arabic" w:cs="Simplified Arabic"/>
          <w:color w:val="000000" w:themeColor="text1"/>
          <w:kern w:val="0"/>
          <w:sz w:val="28"/>
          <w:szCs w:val="28"/>
          <w14:ligatures w14:val="none"/>
        </w:rPr>
        <w:t>.</w:t>
      </w:r>
    </w:p>
    <w:p w14:paraId="5CAE94D3"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الرابع: تكامل العمليات والأتمتة الذكية</w:t>
      </w:r>
    </w:p>
    <w:p w14:paraId="309055B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يتمحور هذا البُعد حول كيفية إدماج الذكاء الاصطناعي التوليدي ضمن سلاسل العمليات داخل المنظمة، بحيث لا يبقى أداةً منفصلة تُستخدم في مهام محدودة، بل يتحول إلى مكون بنيوي في تصميم تدفقات العمل وأتمتتها. ويتطلب ذلك إعادة هندسة العمليات بحيث تتلاءم مع منطق الأنظمة التوليدية، وتحديد نقاط الإدماج الأمثل التي تُحقق أكبر قيمة مضافة، مع الحفاظ على التوازن بين الأتمتة والتدخل البشري (برواق، 2025)</w:t>
      </w:r>
      <w:r w:rsidRPr="008A328B">
        <w:rPr>
          <w:rFonts w:ascii="Simplified Arabic" w:eastAsia="Times New Roman" w:hAnsi="Simplified Arabic" w:cs="Simplified Arabic"/>
          <w:color w:val="000000" w:themeColor="text1"/>
          <w:kern w:val="0"/>
          <w:sz w:val="28"/>
          <w:szCs w:val="28"/>
          <w14:ligatures w14:val="none"/>
        </w:rPr>
        <w:t>.</w:t>
      </w:r>
    </w:p>
    <w:p w14:paraId="2C3633DD"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ويُلقي هذا البُعد الضوء على أهمية التكامل بين الأنظمة الموجودة والأنظمة الجديدة، إذ تواجه كثير من المنظمات صعوبات حقيقية في ربط الذكاء الاصطناعي التوليدي بأنظمة تخطيط موارد المنظمة وإدارة علاقات العملاء وغيرها من الأنظمة المؤسسية. ويستلزم تجاوز هذه الصعوبات بناء طبقات تكامل فنية تتيح تدفق البيانات بانسيابية بين الأنظمة، بما يضمن استفادة كل نظام من قدرات الأنظمة الأخرى دون فقد للبيانات أو ازدواجية في المعالجة</w:t>
      </w:r>
      <w:r w:rsidRPr="008A328B">
        <w:rPr>
          <w:rFonts w:ascii="Simplified Arabic" w:eastAsia="Times New Roman" w:hAnsi="Simplified Arabic" w:cs="Simplified Arabic"/>
          <w:color w:val="000000" w:themeColor="text1"/>
          <w:kern w:val="0"/>
          <w:sz w:val="28"/>
          <w:szCs w:val="28"/>
          <w14:ligatures w14:val="none"/>
        </w:rPr>
        <w:t xml:space="preserve"> (Zhang et al., 2026).</w:t>
      </w:r>
    </w:p>
    <w:p w14:paraId="367076F5"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ولا تقتصر الأتمتة الذكية على المهام التشغيلية البسيطة، بل تمتد إلى المهام المعرفية المعقدة مثل إعداد التقارير وتحليل البيانات وصياغة الرسائل وتلخيص الوثائق. وتُتيح هذه الأتمتة إعادة توزيع الجهد البشري نحو المهام التي تتطلب حكمًا قيميًا وإبداعًا وتفاعلًا إنسانيًا، وهو ما يرفع من الكفاءة الإجمالية للمنظمة دون أن يُلغي دور العنصر البشري. وقد أبرز</w:t>
      </w:r>
      <w:r w:rsidRPr="008A328B">
        <w:rPr>
          <w:rFonts w:ascii="Simplified Arabic" w:eastAsia="Times New Roman" w:hAnsi="Simplified Arabic" w:cs="Simplified Arabic"/>
          <w:color w:val="000000" w:themeColor="text1"/>
          <w:kern w:val="0"/>
          <w:sz w:val="28"/>
          <w:szCs w:val="28"/>
          <w14:ligatures w14:val="none"/>
        </w:rPr>
        <w:t xml:space="preserve"> Chatterjee et al. (2024) </w:t>
      </w:r>
      <w:r w:rsidRPr="008A328B">
        <w:rPr>
          <w:rFonts w:ascii="Simplified Arabic" w:eastAsia="Times New Roman" w:hAnsi="Simplified Arabic" w:cs="Simplified Arabic"/>
          <w:color w:val="000000" w:themeColor="text1"/>
          <w:kern w:val="0"/>
          <w:sz w:val="28"/>
          <w:szCs w:val="28"/>
          <w:rtl/>
          <w14:ligatures w14:val="none"/>
        </w:rPr>
        <w:t>كيف أن إدماج الذكاء الاصطناعي في عمليات إدارة الموارد البشرية يُسهم في إعادة تشكيل هذه العمليات بما يجعلها أكثر دقة وموضوعية</w:t>
      </w:r>
      <w:r w:rsidRPr="008A328B">
        <w:rPr>
          <w:rFonts w:ascii="Simplified Arabic" w:eastAsia="Times New Roman" w:hAnsi="Simplified Arabic" w:cs="Simplified Arabic"/>
          <w:color w:val="000000" w:themeColor="text1"/>
          <w:kern w:val="0"/>
          <w:sz w:val="28"/>
          <w:szCs w:val="28"/>
          <w14:ligatures w14:val="none"/>
        </w:rPr>
        <w:t>.</w:t>
      </w:r>
    </w:p>
    <w:p w14:paraId="13906E65"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ويتضمن هذا البُعد أيضًا جانبًا تطويريًا يتعلق بقياس أداء العمليات المُؤتمتة وتحسينها باستمرار، إذ لا يكفي إدماج التقنية مرة واحدة، بل تحتاج إلى مراجعة دورية لقياس مدى تحقيقها للأهداف المرجوة وتعديل مسارها بناءً على التغذية الراجعة. ويُكمل هذا التوجه ما طرحه باجبير (2024) من أن مؤشرات قياس الأداء ذاتها تحتاج إلى إعادة تصميم لتستوعب طبيعة العمليات الذكية وقدراتها الجديدة، بحيث تتحول من مؤشرات تقليدية تقيس الكميات إلى مؤشرات متطورة تقيس القيمة والأثر</w:t>
      </w:r>
      <w:r w:rsidRPr="008A328B">
        <w:rPr>
          <w:rFonts w:ascii="Simplified Arabic" w:eastAsia="Times New Roman" w:hAnsi="Simplified Arabic" w:cs="Simplified Arabic"/>
          <w:color w:val="000000" w:themeColor="text1"/>
          <w:kern w:val="0"/>
          <w:sz w:val="28"/>
          <w:szCs w:val="28"/>
          <w14:ligatures w14:val="none"/>
        </w:rPr>
        <w:t>.</w:t>
      </w:r>
    </w:p>
    <w:p w14:paraId="26E7E6EB" w14:textId="26651F53"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823333"/>
      <w:r w:rsidRPr="008A328B">
        <w:rPr>
          <w:rFonts w:ascii="Simplified Arabic" w:eastAsia="Times New Roman" w:hAnsi="Simplified Arabic" w:cs="Simplified Arabic" w:hint="cs"/>
          <w:b/>
          <w:bCs/>
          <w:color w:val="000000" w:themeColor="text1"/>
          <w:kern w:val="0"/>
          <w:sz w:val="32"/>
          <w:szCs w:val="32"/>
          <w:rtl/>
          <w14:ligatures w14:val="none"/>
        </w:rPr>
        <w:t>6.1.2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المداخل النظرية لتفسير تبني الذكاء الاصطناعي التوليدي</w:t>
      </w:r>
      <w:bookmarkEnd w:id="34"/>
    </w:p>
    <w:p w14:paraId="29929120"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تتعدد المداخل النظرية التي يمكن من خلالها قراءة ظاهرة تبني الذكاء الاصطناعي التوليدي، ويُمثل نموذج قبول التكنولوجيا</w:t>
      </w:r>
      <w:r w:rsidRPr="008A328B">
        <w:rPr>
          <w:rFonts w:ascii="Simplified Arabic" w:eastAsia="Times New Roman" w:hAnsi="Simplified Arabic" w:cs="Simplified Arabic"/>
          <w:color w:val="000000" w:themeColor="text1"/>
          <w:kern w:val="0"/>
          <w:sz w:val="28"/>
          <w:szCs w:val="28"/>
          <w14:ligatures w14:val="none"/>
        </w:rPr>
        <w:t xml:space="preserve"> (TAM) </w:t>
      </w:r>
      <w:r w:rsidRPr="008A328B">
        <w:rPr>
          <w:rFonts w:ascii="Simplified Arabic" w:eastAsia="Times New Roman" w:hAnsi="Simplified Arabic" w:cs="Simplified Arabic"/>
          <w:color w:val="000000" w:themeColor="text1"/>
          <w:kern w:val="0"/>
          <w:sz w:val="28"/>
          <w:szCs w:val="28"/>
          <w:rtl/>
          <w14:ligatures w14:val="none"/>
        </w:rPr>
        <w:t>الذي اعتمدته سعيدي (2025) أحد أبرز هذه المداخل، إذ يُفسر التبني من خلال إدراك المنفعة وسهولة الاستخدام بوصفهما متغيرين مؤثرين في النية السلوكية نحو القبول. ويُعد هذا المدخل مدخلًا سلوكيًا يضع الفرد محورًا للتحليل، وهو ما يجعله ملائمًا لدراسة الجوانب الإدراكية للتبني</w:t>
      </w:r>
      <w:r w:rsidRPr="008A328B">
        <w:rPr>
          <w:rFonts w:ascii="Simplified Arabic" w:eastAsia="Times New Roman" w:hAnsi="Simplified Arabic" w:cs="Simplified Arabic"/>
          <w:color w:val="000000" w:themeColor="text1"/>
          <w:kern w:val="0"/>
          <w:sz w:val="28"/>
          <w:szCs w:val="28"/>
          <w14:ligatures w14:val="none"/>
        </w:rPr>
        <w:t>.</w:t>
      </w:r>
    </w:p>
    <w:p w14:paraId="76D64499"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وفي مقابل المدخل السلوكي، يبرز مدخل تنظيمي يُركز على المنظمة بوصفها وحدة التحليل، ويتعامل مع التبني بوصفه قرارًا استراتيجيًا يتأثر بمتغيرات تنظيمية متعددة كحجم المنظمة وثقافتها ومواردها وقيادتها. ويتقاطع هذا المدخل مع ما طرحه بلحاج ونصيرات (2024) في معالجتهما للتبني في صناعة الخدمات المالية، حيث يتم النظر إلى التبني بوصفه عملية مؤسسية مركبة لا قرارًا فرديًا</w:t>
      </w:r>
      <w:r w:rsidRPr="008A328B">
        <w:rPr>
          <w:rFonts w:ascii="Simplified Arabic" w:eastAsia="Times New Roman" w:hAnsi="Simplified Arabic" w:cs="Simplified Arabic"/>
          <w:color w:val="000000" w:themeColor="text1"/>
          <w:kern w:val="0"/>
          <w:sz w:val="28"/>
          <w:szCs w:val="28"/>
          <w14:ligatures w14:val="none"/>
        </w:rPr>
        <w:t>.</w:t>
      </w:r>
    </w:p>
    <w:p w14:paraId="1512A8D5"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جهة ثالثة، يُقدم المدخل الاقتصادي قراءة مغايرة تُركز على العوائد والتكاليف الاقتصادية للتبني، وعلى أثره في الإنتاجية والربحية وكفاءة العوامل، وهو ما تتبناه دراسة</w:t>
      </w:r>
      <w:r w:rsidRPr="008A328B">
        <w:rPr>
          <w:rFonts w:ascii="Simplified Arabic" w:eastAsia="Times New Roman" w:hAnsi="Simplified Arabic" w:cs="Simplified Arabic"/>
          <w:color w:val="000000" w:themeColor="text1"/>
          <w:kern w:val="0"/>
          <w:sz w:val="28"/>
          <w:szCs w:val="28"/>
          <w14:ligatures w14:val="none"/>
        </w:rPr>
        <w:t xml:space="preserve"> Brynjolfsson et al. (2025) </w:t>
      </w:r>
      <w:r w:rsidRPr="008A328B">
        <w:rPr>
          <w:rFonts w:ascii="Simplified Arabic" w:eastAsia="Times New Roman" w:hAnsi="Simplified Arabic" w:cs="Simplified Arabic"/>
          <w:color w:val="000000" w:themeColor="text1"/>
          <w:kern w:val="0"/>
          <w:sz w:val="28"/>
          <w:szCs w:val="28"/>
          <w:rtl/>
          <w14:ligatures w14:val="none"/>
        </w:rPr>
        <w:t>في تحليلها لأثر الذكاء الاصطناعي التوليدي على بيئة العمل. ويُتيح هذا المدخل قراءة كمية للتبني تستند إلى مؤشرات مالية واقتصادية قابلة للقياس</w:t>
      </w:r>
      <w:r w:rsidRPr="008A328B">
        <w:rPr>
          <w:rFonts w:ascii="Simplified Arabic" w:eastAsia="Times New Roman" w:hAnsi="Simplified Arabic" w:cs="Simplified Arabic"/>
          <w:color w:val="000000" w:themeColor="text1"/>
          <w:kern w:val="0"/>
          <w:sz w:val="28"/>
          <w:szCs w:val="28"/>
          <w14:ligatures w14:val="none"/>
        </w:rPr>
        <w:t>.</w:t>
      </w:r>
    </w:p>
    <w:p w14:paraId="07E3A19D"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ويُكمل هذه المداخل مدخل سوسيوتقني يُؤكد على التفاعل بين النظام التقني والنظام الاجتماعي داخل المنظمة، ويرى أن نجاح التبني يتوقف على مدى التوافق بين هذين النظامين، بحيث لا تُفرض التقنية على بيئة اجتماعية غير مهيأة لها، ولا تُترك البيئة الاجتماعية لتشكل التقنية بمعزل عن منطقها الداخلي. ويُسهم هذا المدخل في تفسير حالات الإخفاق في التبني التي ترجع إلى تجاهل أحد النظامين على حساب الآخر</w:t>
      </w:r>
      <w:r w:rsidRPr="008A328B">
        <w:rPr>
          <w:rFonts w:ascii="Simplified Arabic" w:eastAsia="Times New Roman" w:hAnsi="Simplified Arabic" w:cs="Simplified Arabic"/>
          <w:color w:val="000000" w:themeColor="text1"/>
          <w:kern w:val="0"/>
          <w:sz w:val="28"/>
          <w:szCs w:val="28"/>
          <w14:ligatures w14:val="none"/>
        </w:rPr>
        <w:t>.</w:t>
      </w:r>
    </w:p>
    <w:p w14:paraId="42BBBA49" w14:textId="48FFA25B"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823334"/>
      <w:r w:rsidRPr="008A328B">
        <w:rPr>
          <w:rFonts w:ascii="Simplified Arabic" w:eastAsia="Times New Roman" w:hAnsi="Simplified Arabic" w:cs="Simplified Arabic" w:hint="cs"/>
          <w:b/>
          <w:bCs/>
          <w:color w:val="000000" w:themeColor="text1"/>
          <w:kern w:val="0"/>
          <w:sz w:val="32"/>
          <w:szCs w:val="32"/>
          <w:rtl/>
          <w14:ligatures w14:val="none"/>
        </w:rPr>
        <w:t>7.1.2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التطور التاريخي لمفهوم التبني التقني نحو الذكاء التوليدي</w:t>
      </w:r>
      <w:bookmarkEnd w:id="35"/>
    </w:p>
    <w:p w14:paraId="36E6497A"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شهد مفهوم تبني التقنيات تطورًا ملحوظًا عبر العقود الأخيرة، انتقل خلاله من التركيز على الأجهزة والبرمجيات التشغيلية البسيطة إلى التركيز على الأنظمة الذكية المعقدة. وقد كان التبني في مراحله الأولى يُقاس بمدى استخدام الحواسيب الشخصية وبرامج المكاتب، ثم تطور ليشمل أنظمة تخطيط موارد المنظمة وإدارة علاقات العملاء، وصولًا إلى المرحلة الراهنة التي يُهيمن عليها الذكاء الاصطناعي التوليدي بقدراته اللغوية والتحليلية المتقدمة (الدهشان والمنصوري، 2025)</w:t>
      </w:r>
      <w:r w:rsidRPr="008A328B">
        <w:rPr>
          <w:rFonts w:ascii="Simplified Arabic" w:eastAsia="Times New Roman" w:hAnsi="Simplified Arabic" w:cs="Simplified Arabic"/>
          <w:color w:val="000000" w:themeColor="text1"/>
          <w:kern w:val="0"/>
          <w:sz w:val="28"/>
          <w:szCs w:val="28"/>
          <w14:ligatures w14:val="none"/>
        </w:rPr>
        <w:t>.</w:t>
      </w:r>
    </w:p>
    <w:p w14:paraId="3B9DA7AF"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ويُمثل ظهور النماذج اللغوية الكبيرة نقلة نوعية في مسار هذا التطور، إذ تحولت التقنية من أداة منفذة لأوامر محددة إلى شريك إبداعي قادر على إنتاج محتوى أصيل. ويكشف هذا التطور عن أن التبني لم يعد قرارًا تقنيًا بحتًا، بل قرار حضاري يُعيد تعريف طبيعة العمل والعلاقة بين الإنسان والآلة، وهو ما يضع المنظمات أمام تحديات غير مسبوقة في إدارة هذا التحول</w:t>
      </w:r>
      <w:r w:rsidRPr="008A328B">
        <w:rPr>
          <w:rFonts w:ascii="Simplified Arabic" w:eastAsia="Times New Roman" w:hAnsi="Simplified Arabic" w:cs="Simplified Arabic"/>
          <w:color w:val="000000" w:themeColor="text1"/>
          <w:kern w:val="0"/>
          <w:sz w:val="28"/>
          <w:szCs w:val="28"/>
          <w14:ligatures w14:val="none"/>
        </w:rPr>
        <w:t>.</w:t>
      </w:r>
    </w:p>
    <w:p w14:paraId="2A36C0AA" w14:textId="0C5C3BC5"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823335"/>
      <w:r w:rsidRPr="008A328B">
        <w:rPr>
          <w:rFonts w:ascii="Simplified Arabic" w:eastAsia="Times New Roman" w:hAnsi="Simplified Arabic" w:cs="Simplified Arabic" w:hint="cs"/>
          <w:b/>
          <w:bCs/>
          <w:color w:val="000000" w:themeColor="text1"/>
          <w:kern w:val="0"/>
          <w:sz w:val="32"/>
          <w:szCs w:val="32"/>
          <w:rtl/>
          <w14:ligatures w14:val="none"/>
        </w:rPr>
        <w:t>8.1.2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المنظور النقدي لتبني الذكاء الاصطناعي التوليدي</w:t>
      </w:r>
      <w:bookmarkEnd w:id="36"/>
    </w:p>
    <w:p w14:paraId="1189F64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على الرغم من المزايا المتعددة لتبني الذكاء الاصطناعي التوليدي، فإن ثمة منظورات نقدية تستحق الإشارة، تتعلق بمخاطر الإفراط في الاعتماد على التقنية على حساب المهارات البشرية، وتآكل بعض الوظائف المعرفية التقليدية، وما قد يترتب على ذلك من تداعيات على سوق العمل (إبراهيم وحراز، 2026). كما تثور تساؤلات حول جودة المخرجات التوليدية ومدى موثوقيتها، خاصة في المهام التي تتطلب دقة عالية وحكمًا متخصصًا</w:t>
      </w:r>
      <w:r w:rsidRPr="008A328B">
        <w:rPr>
          <w:rFonts w:ascii="Simplified Arabic" w:eastAsia="Times New Roman" w:hAnsi="Simplified Arabic" w:cs="Simplified Arabic"/>
          <w:color w:val="000000" w:themeColor="text1"/>
          <w:kern w:val="0"/>
          <w:sz w:val="28"/>
          <w:szCs w:val="28"/>
          <w14:ligatures w14:val="none"/>
        </w:rPr>
        <w:t>.</w:t>
      </w:r>
    </w:p>
    <w:p w14:paraId="56BBA675" w14:textId="06C513D1"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ويُضاف إلى ذلك التحديات الأخلاقية المتعلقة بالخصوصية وحقوق الملكية الفكرية والتحيز الخوارزمي، وهي تحديات تستلزم أطرًا حوكمية متطورة لا تواكب أحيانًا سرعة تطور التقنية ذاتها. ومن ثم يصبح التبني الناجح للذكاء الاصطناعي التوليدي تبنيًا واعيًا ومسؤولًا، يُحقق المزايا ويُدير المخاطر في الوقت ذاته</w:t>
      </w:r>
      <w:r w:rsidRPr="008A328B">
        <w:rPr>
          <w:rFonts w:ascii="Simplified Arabic" w:eastAsia="Times New Roman" w:hAnsi="Simplified Arabic" w:cs="Simplified Arabic"/>
          <w:color w:val="000000" w:themeColor="text1"/>
          <w:kern w:val="0"/>
          <w:sz w:val="28"/>
          <w:szCs w:val="28"/>
          <w14:ligatures w14:val="none"/>
        </w:rPr>
        <w:t>.</w:t>
      </w:r>
    </w:p>
    <w:p w14:paraId="77EDAC12" w14:textId="65D54750" w:rsidR="00723D4E" w:rsidRPr="008A328B" w:rsidRDefault="001C3133" w:rsidP="001C3133">
      <w:pPr>
        <w:jc w:val="center"/>
        <w:outlineLvl w:val="1"/>
        <w:rPr>
          <w:rFonts w:ascii="Simplified Arabic" w:eastAsia="Times New Roman" w:hAnsi="Simplified Arabic" w:cs="Simplified Arabic"/>
          <w:b/>
          <w:bCs/>
          <w:color w:val="000000" w:themeColor="text1"/>
          <w:kern w:val="0"/>
          <w:sz w:val="36"/>
          <w:szCs w:val="36"/>
          <w14:ligatures w14:val="none"/>
        </w:rPr>
      </w:pPr>
      <w:r w:rsidRPr="008A328B">
        <w:rPr>
          <w:rFonts w:ascii="Simplified Arabic" w:eastAsia="Times New Roman" w:hAnsi="Simplified Arabic" w:cs="Simplified Arabic"/>
          <w:b/>
          <w:bCs/>
          <w:color w:val="000000" w:themeColor="text1"/>
          <w:kern w:val="0"/>
          <w:sz w:val="36"/>
          <w:szCs w:val="36"/>
          <w:rtl/>
          <w14:ligatures w14:val="none"/>
        </w:rPr>
        <w:br w:type="page"/>
      </w:r>
      <w:bookmarkStart w:id="37" w:name="_Toc233823336"/>
      <w:r w:rsidR="00723D4E" w:rsidRPr="008A328B">
        <w:rPr>
          <w:rFonts w:ascii="Simplified Arabic" w:eastAsia="Times New Roman" w:hAnsi="Simplified Arabic" w:cs="Simplified Arabic"/>
          <w:b/>
          <w:bCs/>
          <w:color w:val="000000" w:themeColor="text1"/>
          <w:kern w:val="0"/>
          <w:sz w:val="36"/>
          <w:szCs w:val="36"/>
          <w:rtl/>
          <w14:ligatures w14:val="none"/>
        </w:rPr>
        <w:t>المبحث الثاني: مؤشرات الأداء وكفاءة الموظفين في الوظائف المعرفية</w:t>
      </w:r>
      <w:bookmarkEnd w:id="37"/>
    </w:p>
    <w:p w14:paraId="73EF1902" w14:textId="63E82980"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823337"/>
      <w:r w:rsidRPr="008A328B">
        <w:rPr>
          <w:rFonts w:ascii="Simplified Arabic" w:eastAsia="Times New Roman" w:hAnsi="Simplified Arabic" w:cs="Simplified Arabic" w:hint="cs"/>
          <w:b/>
          <w:bCs/>
          <w:color w:val="000000" w:themeColor="text1"/>
          <w:kern w:val="0"/>
          <w:sz w:val="32"/>
          <w:szCs w:val="32"/>
          <w:rtl/>
          <w14:ligatures w14:val="none"/>
        </w:rPr>
        <w:t xml:space="preserve">1.2.2 </w:t>
      </w:r>
      <w:r w:rsidR="00723D4E" w:rsidRPr="008A328B">
        <w:rPr>
          <w:rFonts w:ascii="Simplified Arabic" w:eastAsia="Times New Roman" w:hAnsi="Simplified Arabic" w:cs="Simplified Arabic"/>
          <w:b/>
          <w:bCs/>
          <w:color w:val="000000" w:themeColor="text1"/>
          <w:kern w:val="0"/>
          <w:sz w:val="32"/>
          <w:szCs w:val="32"/>
          <w:rtl/>
          <w14:ligatures w14:val="none"/>
        </w:rPr>
        <w:t>تمهيد</w:t>
      </w:r>
      <w:bookmarkEnd w:id="38"/>
    </w:p>
    <w:p w14:paraId="369F6647"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تحتل مسألة الأداء الوظيفي مكانة محورية في الفكر الإداري المعاصر، إذ تُعد المخرج النهائي الذي تتقاطع عنده مختلف الممارسات التنظيمية، من قيادة وتحفيز وتدريب وتصميم للعمل وتوظيف للتقنيات. وقد اكتسبت هذه المسألة بُعدًا جديدًا في ظل التحول نحو اقتصاد المعرفة، حيث لم يعد الأداء يُقاس بكميات الإنتاج المادي بقدر ما يُقاس بجودة المخرجات المعرفية وقدرة الموظف على إنتاج القيمة المضافة عبر معالجة المعلومات وحل المشكلات وابتكار الحلول. ومن هنا برزت مؤشرات الأداء وكفاءة الموظفين في الوظائف المعرفية بوصفها حقلًا متخصصًا يستحق المعالجة المستقلة</w:t>
      </w:r>
      <w:r w:rsidRPr="008A328B">
        <w:rPr>
          <w:rFonts w:ascii="Simplified Arabic" w:eastAsia="Times New Roman" w:hAnsi="Simplified Arabic" w:cs="Simplified Arabic"/>
          <w:color w:val="000000" w:themeColor="text1"/>
          <w:kern w:val="0"/>
          <w:sz w:val="28"/>
          <w:szCs w:val="28"/>
          <w14:ligatures w14:val="none"/>
        </w:rPr>
        <w:t>.</w:t>
      </w:r>
    </w:p>
    <w:p w14:paraId="1C2371B6"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وتتسم الوظائف المعرفية بطبيعة خاصة تجعل قياس أدائها أكثر تعقيدًا من قياس أداء الوظائف التشغيلية، إذ يتداخل فيها ما هو كمي بما هو نوعي، وما هو ملموس بما هو ضمني، وما هو فردي بما هو جماعي. ويستلزم ذلك تطوير منظومة من المؤشرات تستوعب هذه الطبيعة المركبة وتتجاوز المؤشرات التقليدية القائمة على قياس الكم وزمن الإنجاز. كما يستلزم فهم كفاءة الموظف المعرفي بوصفها محصلة لتفاعل عوامل متعددة، تتراوح بين قدراته الشخصية وبيئة عمله والأدوات التي يستخدمها</w:t>
      </w:r>
      <w:r w:rsidRPr="008A328B">
        <w:rPr>
          <w:rFonts w:ascii="Simplified Arabic" w:eastAsia="Times New Roman" w:hAnsi="Simplified Arabic" w:cs="Simplified Arabic"/>
          <w:color w:val="000000" w:themeColor="text1"/>
          <w:kern w:val="0"/>
          <w:sz w:val="28"/>
          <w:szCs w:val="28"/>
          <w14:ligatures w14:val="none"/>
        </w:rPr>
        <w:t>.</w:t>
      </w:r>
    </w:p>
    <w:p w14:paraId="16CE0446"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متكاملة لهذا المتغير، تنطلق من استعراض التعريفات المتعددة التي قدمها الباحثون لمؤشرات الأداء وكفاءة الموظفين في الوظائف المعرفية، ثم تنتقل إلى بيان أهمية هذا المتغير في السياق التنظيمي المعاصر، فالأهداف التي تسعى المنظمات إلى تحقيقها من خلال تطوير هذا المتغير، وصولًا إلى تفكيك أبعاده الستة المُعتمدة في هذه الدراسة، مع إبراز المداخل النظرية والمنظورات النقدية ذات الصلة</w:t>
      </w:r>
      <w:r w:rsidRPr="008A328B">
        <w:rPr>
          <w:rFonts w:ascii="Simplified Arabic" w:eastAsia="Times New Roman" w:hAnsi="Simplified Arabic" w:cs="Simplified Arabic"/>
          <w:color w:val="000000" w:themeColor="text1"/>
          <w:kern w:val="0"/>
          <w:sz w:val="28"/>
          <w:szCs w:val="28"/>
          <w14:ligatures w14:val="none"/>
        </w:rPr>
        <w:t>.</w:t>
      </w:r>
    </w:p>
    <w:p w14:paraId="7886AAE6" w14:textId="62ECD1E8"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823338"/>
      <w:r w:rsidRPr="008A328B">
        <w:rPr>
          <w:rFonts w:ascii="Simplified Arabic" w:eastAsia="Times New Roman" w:hAnsi="Simplified Arabic" w:cs="Simplified Arabic" w:hint="cs"/>
          <w:b/>
          <w:bCs/>
          <w:color w:val="000000" w:themeColor="text1"/>
          <w:kern w:val="0"/>
          <w:sz w:val="32"/>
          <w:szCs w:val="32"/>
          <w:rtl/>
          <w14:ligatures w14:val="none"/>
        </w:rPr>
        <w:t>2.2.2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مفهوم مؤشرات الأداء وكفاءة الموظفين في الوظائف المعرفية</w:t>
      </w:r>
      <w:bookmarkEnd w:id="39"/>
    </w:p>
    <w:p w14:paraId="61571F9B"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تتوزع التعريفات التي قدمها الباحثون لهذا المفهوم بين مدخل كمي يُركز على القياس والمؤشرات الرقمية، ومدخل نوعي يُركز على جودة المخرجات وقيمتها المضافة، ومدخل سلوكي يُركز على الأنماط السلوكية للموظف في أدائه لمهامه المعرفية. ويُعرِّف أبو صالح والحربي (2024) الأداء الوظيفي بأنه محصلة الجهد الذي يبذله الموظف في تنفيذ المهام الموكلة إليه ضمن إطار من القواعد والمعايير المؤسسية، بحيث يتجلى في مخرجات قابلة للقياس والتقييم وفق مؤشرات محددة سلفًا. ويربط هذا التعريف الأداء بمنطق المعيارية والمساءلة، وهو ما يجعله ملائمًا لقياس الأداء الوظيفي في المنظمات الكبيرة المنظمة</w:t>
      </w:r>
      <w:r w:rsidRPr="008A328B">
        <w:rPr>
          <w:rFonts w:ascii="Simplified Arabic" w:eastAsia="Times New Roman" w:hAnsi="Simplified Arabic" w:cs="Simplified Arabic"/>
          <w:color w:val="000000" w:themeColor="text1"/>
          <w:kern w:val="0"/>
          <w:sz w:val="28"/>
          <w:szCs w:val="28"/>
          <w14:ligatures w14:val="none"/>
        </w:rPr>
        <w:t>.</w:t>
      </w:r>
    </w:p>
    <w:p w14:paraId="6664666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ويُكمل هذا التعريف ما يطرحه باجبير (2024) حين يُعرِّف مؤشرات قياس الأداء بأنها أدوات منهجية تُمكن المنظمة من تتبع مستوى إنجاز أهدافها التشغيلية والاستراتيجية، وتُتيح لها اتخاذ قرارات مستنيرة بشأن التطوير والتحسين. ويتميز هذا التعريف بربطه بين المؤشر والقرار، بما يكشف عن الوظيفة الإدارية للمؤشر بوصفه أداة للحوكمة والقيادة لا مجرد أداة للتقييم</w:t>
      </w:r>
      <w:r w:rsidRPr="008A328B">
        <w:rPr>
          <w:rFonts w:ascii="Simplified Arabic" w:eastAsia="Times New Roman" w:hAnsi="Simplified Arabic" w:cs="Simplified Arabic"/>
          <w:color w:val="000000" w:themeColor="text1"/>
          <w:kern w:val="0"/>
          <w:sz w:val="28"/>
          <w:szCs w:val="28"/>
          <w14:ligatures w14:val="none"/>
        </w:rPr>
        <w:t>.</w:t>
      </w:r>
    </w:p>
    <w:p w14:paraId="34BA8418"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منظور أكثر ارتباطًا بطبيعة الوظائف المعرفية، يُعرِّف</w:t>
      </w:r>
      <w:r w:rsidRPr="008A328B">
        <w:rPr>
          <w:rFonts w:ascii="Simplified Arabic" w:eastAsia="Times New Roman" w:hAnsi="Simplified Arabic" w:cs="Simplified Arabic"/>
          <w:color w:val="000000" w:themeColor="text1"/>
          <w:kern w:val="0"/>
          <w:sz w:val="28"/>
          <w:szCs w:val="28"/>
          <w14:ligatures w14:val="none"/>
        </w:rPr>
        <w:t xml:space="preserve"> Saleem et al. (2024) </w:t>
      </w:r>
      <w:r w:rsidRPr="008A328B">
        <w:rPr>
          <w:rFonts w:ascii="Simplified Arabic" w:eastAsia="Times New Roman" w:hAnsi="Simplified Arabic" w:cs="Simplified Arabic"/>
          <w:color w:val="000000" w:themeColor="text1"/>
          <w:kern w:val="0"/>
          <w:sz w:val="28"/>
          <w:szCs w:val="28"/>
          <w:rtl/>
          <w14:ligatures w14:val="none"/>
        </w:rPr>
        <w:t>إنتاجية العامل المعرفي بأنها قدرته على تحويل المعرفة المتاحة لديه إلى مخرجات ذات قيمة مضافة، عبر عمليات معالجة وتحليل وتركيب تتم في ذهنه بمساعدة الأدوات التقنية المتاحة. ويتقاطع هذا التعريف مع ما يطرحه</w:t>
      </w:r>
      <w:r w:rsidRPr="008A328B">
        <w:rPr>
          <w:rFonts w:ascii="Simplified Arabic" w:eastAsia="Times New Roman" w:hAnsi="Simplified Arabic" w:cs="Simplified Arabic"/>
          <w:color w:val="000000" w:themeColor="text1"/>
          <w:kern w:val="0"/>
          <w:sz w:val="28"/>
          <w:szCs w:val="28"/>
          <w14:ligatures w14:val="none"/>
        </w:rPr>
        <w:t xml:space="preserve"> Dell’Acqua et al. (2023) </w:t>
      </w:r>
      <w:r w:rsidRPr="008A328B">
        <w:rPr>
          <w:rFonts w:ascii="Simplified Arabic" w:eastAsia="Times New Roman" w:hAnsi="Simplified Arabic" w:cs="Simplified Arabic"/>
          <w:color w:val="000000" w:themeColor="text1"/>
          <w:kern w:val="0"/>
          <w:sz w:val="28"/>
          <w:szCs w:val="28"/>
          <w:rtl/>
          <w14:ligatures w14:val="none"/>
        </w:rPr>
        <w:t>حين يصفون كفاءة العامل المعرفي بأنها قدرته على تجاوز “الحدود المتعرجة” بين ما يمكن أتمتته وما يستلزم تدخلًا بشريًا، بحيث يُوظف الأدوات التوليدية فيما يُحسن أتمتته ويتفرغ لما يستلزم حكمه الشخصي</w:t>
      </w:r>
      <w:r w:rsidRPr="008A328B">
        <w:rPr>
          <w:rFonts w:ascii="Simplified Arabic" w:eastAsia="Times New Roman" w:hAnsi="Simplified Arabic" w:cs="Simplified Arabic"/>
          <w:color w:val="000000" w:themeColor="text1"/>
          <w:kern w:val="0"/>
          <w:sz w:val="28"/>
          <w:szCs w:val="28"/>
          <w14:ligatures w14:val="none"/>
        </w:rPr>
        <w:t>.</w:t>
      </w:r>
    </w:p>
    <w:p w14:paraId="726A6967"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وفي قراءة مغايرة، يُعرِّف</w:t>
      </w:r>
      <w:r w:rsidRPr="008A328B">
        <w:rPr>
          <w:rFonts w:ascii="Simplified Arabic" w:eastAsia="Times New Roman" w:hAnsi="Simplified Arabic" w:cs="Simplified Arabic"/>
          <w:color w:val="000000" w:themeColor="text1"/>
          <w:kern w:val="0"/>
          <w:sz w:val="28"/>
          <w:szCs w:val="28"/>
          <w14:ligatures w14:val="none"/>
        </w:rPr>
        <w:t xml:space="preserve"> Noy &amp; Zhang (2023) </w:t>
      </w:r>
      <w:r w:rsidRPr="008A328B">
        <w:rPr>
          <w:rFonts w:ascii="Simplified Arabic" w:eastAsia="Times New Roman" w:hAnsi="Simplified Arabic" w:cs="Simplified Arabic"/>
          <w:color w:val="000000" w:themeColor="text1"/>
          <w:kern w:val="0"/>
          <w:sz w:val="28"/>
          <w:szCs w:val="28"/>
          <w:rtl/>
          <w14:ligatures w14:val="none"/>
        </w:rPr>
        <w:t>كفاءة الموظف في المهام المعرفية بأنها محصلة لزمن الإنجاز وجودة المخرج، بحيث ترتفع الكفاءة كلما انخفض الزمن مع الحفاظ على الجودة أو ارتفاعها. ويُقدم هذا التعريف معادلة مزدوجة للكفاءة تأخذ في الاعتبار البعدين الكمي والنوعي معًا، وهو ما يُجاوز التعريفات التي تختزل الكفاءة في أحد البعدين على حساب الآخر</w:t>
      </w:r>
      <w:r w:rsidRPr="008A328B">
        <w:rPr>
          <w:rFonts w:ascii="Simplified Arabic" w:eastAsia="Times New Roman" w:hAnsi="Simplified Arabic" w:cs="Simplified Arabic"/>
          <w:color w:val="000000" w:themeColor="text1"/>
          <w:kern w:val="0"/>
          <w:sz w:val="28"/>
          <w:szCs w:val="28"/>
          <w14:ligatures w14:val="none"/>
        </w:rPr>
        <w:t>.</w:t>
      </w:r>
    </w:p>
    <w:p w14:paraId="775A88B4"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منظور تكاملي، يُعرِّف</w:t>
      </w:r>
      <w:r w:rsidRPr="008A328B">
        <w:rPr>
          <w:rFonts w:ascii="Simplified Arabic" w:eastAsia="Times New Roman" w:hAnsi="Simplified Arabic" w:cs="Simplified Arabic"/>
          <w:color w:val="000000" w:themeColor="text1"/>
          <w:kern w:val="0"/>
          <w:sz w:val="28"/>
          <w:szCs w:val="28"/>
          <w14:ligatures w14:val="none"/>
        </w:rPr>
        <w:t xml:space="preserve"> Zhang et al. (2026) </w:t>
      </w:r>
      <w:r w:rsidRPr="008A328B">
        <w:rPr>
          <w:rFonts w:ascii="Simplified Arabic" w:eastAsia="Times New Roman" w:hAnsi="Simplified Arabic" w:cs="Simplified Arabic"/>
          <w:color w:val="000000" w:themeColor="text1"/>
          <w:kern w:val="0"/>
          <w:sz w:val="28"/>
          <w:szCs w:val="28"/>
          <w:rtl/>
          <w14:ligatures w14:val="none"/>
        </w:rPr>
        <w:t>الأداء الابتكاري للموظف بأنه قدرته على إنتاج أفكار وحلول جديدة ذات قيمة عملية، وتجسيدها في صورة مخرجات تُسهم في تطوير المنظمة. ويُضيف</w:t>
      </w:r>
      <w:r w:rsidRPr="008A328B">
        <w:rPr>
          <w:rFonts w:ascii="Simplified Arabic" w:eastAsia="Times New Roman" w:hAnsi="Simplified Arabic" w:cs="Simplified Arabic"/>
          <w:color w:val="000000" w:themeColor="text1"/>
          <w:kern w:val="0"/>
          <w:sz w:val="28"/>
          <w:szCs w:val="28"/>
          <w14:ligatures w14:val="none"/>
        </w:rPr>
        <w:t xml:space="preserve"> Gusti Ayu Ketut et al. (2024) </w:t>
      </w:r>
      <w:r w:rsidRPr="008A328B">
        <w:rPr>
          <w:rFonts w:ascii="Simplified Arabic" w:eastAsia="Times New Roman" w:hAnsi="Simplified Arabic" w:cs="Simplified Arabic"/>
          <w:color w:val="000000" w:themeColor="text1"/>
          <w:kern w:val="0"/>
          <w:sz w:val="28"/>
          <w:szCs w:val="28"/>
          <w:rtl/>
          <w14:ligatures w14:val="none"/>
        </w:rPr>
        <w:t>بُعدًا اندماجيًا للمفهوم حين يُعرِّفون الإنتاجية بأنها محصلة لاندماج الموظف في عمله وإحساسه بقيمة ما يقوم به، وهو ما يربط الكفاءة بالأبعاد النفسية والعاطفية لتجربة العمل</w:t>
      </w:r>
      <w:r w:rsidRPr="008A328B">
        <w:rPr>
          <w:rFonts w:ascii="Simplified Arabic" w:eastAsia="Times New Roman" w:hAnsi="Simplified Arabic" w:cs="Simplified Arabic"/>
          <w:color w:val="000000" w:themeColor="text1"/>
          <w:kern w:val="0"/>
          <w:sz w:val="28"/>
          <w:szCs w:val="28"/>
          <w14:ligatures w14:val="none"/>
        </w:rPr>
        <w:t>.</w:t>
      </w:r>
    </w:p>
    <w:p w14:paraId="673B5DFF"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 الباحث في ضوء ما سبق أن مؤشرات الأداء وكفاءة الموظفين في الوظائف المعرفية تُمثل منظومة متكاملة من المعايير الكمية والنوعية التي تُقيس قدرة الموظف على إنتاج مخرجات معرفية ذات قيمة مضافة، ضمن إطار زمني محدد، وبجودة تفي بالمعايير المهنية، مع الإسهام في عمليات الابتكار وحل المشكلات وتعزيز رضاه عن تجربته الوظيفية. ويتضمن هذا المفهوم — في رأي الباحث — ستة أبعاد متلازمة تتمثل في جودة المخرجات المعرفية، وسرعة إنجاز المهام، ودقة اتخاذ القرار، والإنتاجية الفردية، والابتكار في حل المشكلات، والرضا المهني. ولا يُمكن قراءة الكفاءة قراءة سليمة إلا في ضوء هذه الأبعاد مجتمعة، إذ يؤدي اختزالها في بُعد واحد إلى تشويه صورة الأداء وتقديم تقييم منقوص للموظف</w:t>
      </w:r>
      <w:r w:rsidRPr="008A328B">
        <w:rPr>
          <w:rFonts w:ascii="Simplified Arabic" w:eastAsia="Times New Roman" w:hAnsi="Simplified Arabic" w:cs="Simplified Arabic"/>
          <w:color w:val="000000" w:themeColor="text1"/>
          <w:kern w:val="0"/>
          <w:sz w:val="28"/>
          <w:szCs w:val="28"/>
          <w14:ligatures w14:val="none"/>
        </w:rPr>
        <w:t>.</w:t>
      </w:r>
    </w:p>
    <w:p w14:paraId="6B91DC2C" w14:textId="14141DB9"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823339"/>
      <w:r w:rsidRPr="008A328B">
        <w:rPr>
          <w:rFonts w:ascii="Simplified Arabic" w:eastAsia="Times New Roman" w:hAnsi="Simplified Arabic" w:cs="Simplified Arabic" w:hint="cs"/>
          <w:b/>
          <w:bCs/>
          <w:color w:val="000000" w:themeColor="text1"/>
          <w:kern w:val="0"/>
          <w:sz w:val="32"/>
          <w:szCs w:val="32"/>
          <w:rtl/>
          <w14:ligatures w14:val="none"/>
        </w:rPr>
        <w:t>3.2.2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أهمية مؤشرات الأداء وكفاءة الموظفين في الوظائف المعرفية</w:t>
      </w:r>
      <w:bookmarkEnd w:id="40"/>
    </w:p>
    <w:p w14:paraId="55B86A56"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تنبع أهمية هذا المتغير من كونه يُمثل المخرج النهائي الذي تتقاطع عنده مختلف الجهود التنظيمية، فهو الحلقة التي تنتظم حولها سلسلة القيمة المؤسسية، إذ لا تستقيم أي ممارسة إدارية إلا بقدر ما تُحقق من تحسين في الأداء وكفاءة العاملين. وتتعدد الزوايا التي يمكن من خلالها قراءة هذه الأهمية، فهي تكتسب وزنها من ارتباطها بالغايات الاستراتيجية للمنظمة، ومن دورها في توجيه الموارد، ومن أثرها على بيئة العمل وتجربة العاملين</w:t>
      </w:r>
      <w:r w:rsidRPr="008A328B">
        <w:rPr>
          <w:rFonts w:ascii="Simplified Arabic" w:eastAsia="Times New Roman" w:hAnsi="Simplified Arabic" w:cs="Simplified Arabic"/>
          <w:color w:val="000000" w:themeColor="text1"/>
          <w:kern w:val="0"/>
          <w:sz w:val="28"/>
          <w:szCs w:val="28"/>
          <w14:ligatures w14:val="none"/>
        </w:rPr>
        <w:t>.</w:t>
      </w:r>
    </w:p>
    <w:p w14:paraId="1ED443E1"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ويشير القحطاني (2025) إلى أن أهمية مؤشرات أداء الموظفين تتجلى في محاور عدة: أولها أنها تُمثل المرآة التي تعكس مدى نجاح المنظمة في تحقيق أهدافها الاستراتيجية ضمن مسارها للتحول الرقمي، وثانيها أنها تُتيح للقيادة اتخاذ قرارات مستندة إلى بيانات موضوعية بدلًا من الأحكام الانطباعية، وثالثها أنها تكشف عن الفجوات في الأداء وتُساعد في تصميم برامج التطوير الملائمة لسدّها. وتتقاطع هذه المحاور لتُبرز أن المؤشرات ليست أداة قياس فحسب، بل أداة قيادة وتوجيه</w:t>
      </w:r>
      <w:r w:rsidRPr="008A328B">
        <w:rPr>
          <w:rFonts w:ascii="Simplified Arabic" w:eastAsia="Times New Roman" w:hAnsi="Simplified Arabic" w:cs="Simplified Arabic"/>
          <w:color w:val="000000" w:themeColor="text1"/>
          <w:kern w:val="0"/>
          <w:sz w:val="28"/>
          <w:szCs w:val="28"/>
          <w14:ligatures w14:val="none"/>
        </w:rPr>
        <w:t>.</w:t>
      </w:r>
    </w:p>
    <w:p w14:paraId="503CD206"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 حسن وعلي (2025) أن أهمية الأداء الوظيفي تنبع من كونه يُمثل المتغير التابع الذي ترتد إليه آثار مختلف الممارسات الإدارية، ومن ثم فإن تحسينه يستوجب فهمًا عميقًا للعوامل المؤثرة فيه. ومن هذا المنطلق، تكتسب مؤشرات الأداء أهمية مزدوجة، فهي من جهة وسيلة لتشخيص الواقع، ومن جهة أخرى أداة لتوجيه التدخل الإداري نحو المناطق التي تستحق الاستثمار والتطوير</w:t>
      </w:r>
      <w:r w:rsidRPr="008A328B">
        <w:rPr>
          <w:rFonts w:ascii="Simplified Arabic" w:eastAsia="Times New Roman" w:hAnsi="Simplified Arabic" w:cs="Simplified Arabic"/>
          <w:color w:val="000000" w:themeColor="text1"/>
          <w:kern w:val="0"/>
          <w:sz w:val="28"/>
          <w:szCs w:val="28"/>
          <w14:ligatures w14:val="none"/>
        </w:rPr>
        <w:t>.</w:t>
      </w:r>
    </w:p>
    <w:p w14:paraId="48520E5D"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ويُبرز الجندي وعبد الحميد (2025) أن أهمية تطوير كفاءة الموظفين تتعدى البعد التنظيمي إلى البعد الإنساني، إذ ترتبط ارتباطًا وثيقًا بالرضا الوظيفي والاحتفاظ بالكفاءات، خاصة في المؤسسات الصغيرة والمتوسطة التي تعتمد على عدد محدود من الموارد البشرية. وفي هذا السياق، تتحول الكفاءة من مؤشر تشغيلي إلى رهان استراتيجي يتعلق بقدرة المنظمة على البقاء والتوسع</w:t>
      </w:r>
      <w:r w:rsidRPr="008A328B">
        <w:rPr>
          <w:rFonts w:ascii="Simplified Arabic" w:eastAsia="Times New Roman" w:hAnsi="Simplified Arabic" w:cs="Simplified Arabic"/>
          <w:color w:val="000000" w:themeColor="text1"/>
          <w:kern w:val="0"/>
          <w:sz w:val="28"/>
          <w:szCs w:val="28"/>
          <w14:ligatures w14:val="none"/>
        </w:rPr>
        <w:t>.</w:t>
      </w:r>
    </w:p>
    <w:p w14:paraId="0EFDEBF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ويُضيف أمين (2025) بُعدًا معرفيًا للأهمية حين يُشير إلى أن كفاءة العاملين في معالجة المعرفة تُمثل الأساس الذي تقوم عليه منظومة إدارة المعرفة التنظيمية. فالمنظمة التي تمتلك موظفين أكفاء معرفيًا هي منظمة قادرة على اكتساب المعرفة وتخزينها وتطبيقها بفاعلية، وهو ما يُعزز من قدرتها التنافسية في اقتصاد قائم على المعرفة بالدرجة الأولى</w:t>
      </w:r>
      <w:r w:rsidRPr="008A328B">
        <w:rPr>
          <w:rFonts w:ascii="Simplified Arabic" w:eastAsia="Times New Roman" w:hAnsi="Simplified Arabic" w:cs="Simplified Arabic"/>
          <w:color w:val="000000" w:themeColor="text1"/>
          <w:kern w:val="0"/>
          <w:sz w:val="28"/>
          <w:szCs w:val="28"/>
          <w14:ligatures w14:val="none"/>
        </w:rPr>
        <w:t>.</w:t>
      </w:r>
    </w:p>
    <w:p w14:paraId="3E531975"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 عطية (2024) أن أهمية الأداء وكفاءة العاملين تمتد إلى المستوى الاقتصادي الكلي، إذ تُسهم في النمو الاقتصادي عبر رفع الإنتاجية الإجمالية للعوامل. وفي السياق ذاته، يُبرز</w:t>
      </w:r>
      <w:r w:rsidRPr="008A328B">
        <w:rPr>
          <w:rFonts w:ascii="Simplified Arabic" w:eastAsia="Times New Roman" w:hAnsi="Simplified Arabic" w:cs="Simplified Arabic"/>
          <w:color w:val="000000" w:themeColor="text1"/>
          <w:kern w:val="0"/>
          <w:sz w:val="28"/>
          <w:szCs w:val="28"/>
          <w14:ligatures w14:val="none"/>
        </w:rPr>
        <w:t xml:space="preserve"> Brynjolfsson et al. (2025) </w:t>
      </w:r>
      <w:r w:rsidRPr="008A328B">
        <w:rPr>
          <w:rFonts w:ascii="Simplified Arabic" w:eastAsia="Times New Roman" w:hAnsi="Simplified Arabic" w:cs="Simplified Arabic"/>
          <w:color w:val="000000" w:themeColor="text1"/>
          <w:kern w:val="0"/>
          <w:sz w:val="28"/>
          <w:szCs w:val="28"/>
          <w:rtl/>
          <w14:ligatures w14:val="none"/>
        </w:rPr>
        <w:t>أن كفاءة العاملين المعرفيين تُمثل الرافعة الأساسية لنمو الاقتصادات الحديثة، إذ تتركز فيها القيمة المضافة الأعلى ضمن سلاسل الإنتاج المعاصرة</w:t>
      </w:r>
      <w:r w:rsidRPr="008A328B">
        <w:rPr>
          <w:rFonts w:ascii="Simplified Arabic" w:eastAsia="Times New Roman" w:hAnsi="Simplified Arabic" w:cs="Simplified Arabic"/>
          <w:color w:val="000000" w:themeColor="text1"/>
          <w:kern w:val="0"/>
          <w:sz w:val="28"/>
          <w:szCs w:val="28"/>
          <w14:ligatures w14:val="none"/>
        </w:rPr>
        <w:t>.</w:t>
      </w:r>
    </w:p>
    <w:p w14:paraId="15048176"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w:t>
      </w:r>
      <w:r w:rsidRPr="008A328B">
        <w:rPr>
          <w:rFonts w:ascii="Simplified Arabic" w:eastAsia="Times New Roman" w:hAnsi="Simplified Arabic" w:cs="Simplified Arabic"/>
          <w:color w:val="000000" w:themeColor="text1"/>
          <w:kern w:val="0"/>
          <w:sz w:val="28"/>
          <w:szCs w:val="28"/>
          <w14:ligatures w14:val="none"/>
        </w:rPr>
        <w:t xml:space="preserve"> Tariq et al. (2025) </w:t>
      </w:r>
      <w:r w:rsidRPr="008A328B">
        <w:rPr>
          <w:rFonts w:ascii="Simplified Arabic" w:eastAsia="Times New Roman" w:hAnsi="Simplified Arabic" w:cs="Simplified Arabic"/>
          <w:color w:val="000000" w:themeColor="text1"/>
          <w:kern w:val="0"/>
          <w:sz w:val="28"/>
          <w:szCs w:val="28"/>
          <w:rtl/>
          <w14:ligatures w14:val="none"/>
        </w:rPr>
        <w:t>أن أهمية تطوير كفاءة الموظفين تتجلى في كونها المحرك الرئيس للأداء التنظيمي العام، بحيث يصبح الاستثمار في الكفاءة استثمارًا مباشرًا في التنافسية المؤسسية. ويُكمل</w:t>
      </w:r>
      <w:r w:rsidRPr="008A328B">
        <w:rPr>
          <w:rFonts w:ascii="Simplified Arabic" w:eastAsia="Times New Roman" w:hAnsi="Simplified Arabic" w:cs="Simplified Arabic"/>
          <w:color w:val="000000" w:themeColor="text1"/>
          <w:kern w:val="0"/>
          <w:sz w:val="28"/>
          <w:szCs w:val="28"/>
          <w14:ligatures w14:val="none"/>
        </w:rPr>
        <w:t xml:space="preserve"> Chatterjee et al. (2024) </w:t>
      </w:r>
      <w:r w:rsidRPr="008A328B">
        <w:rPr>
          <w:rFonts w:ascii="Simplified Arabic" w:eastAsia="Times New Roman" w:hAnsi="Simplified Arabic" w:cs="Simplified Arabic"/>
          <w:color w:val="000000" w:themeColor="text1"/>
          <w:kern w:val="0"/>
          <w:sz w:val="28"/>
          <w:szCs w:val="28"/>
          <w:rtl/>
          <w14:ligatures w14:val="none"/>
        </w:rPr>
        <w:t>هذه الرؤية حين يُشيرون إلى أن أداء الموظفين يُمثل المخرج الذي تستهدفه ممارسات إدارة الموارد البشرية، ومن ثم تُمثل مؤشراته أداة تقييم لفاعلية هذه الممارسات ذاتها</w:t>
      </w:r>
      <w:r w:rsidRPr="008A328B">
        <w:rPr>
          <w:rFonts w:ascii="Simplified Arabic" w:eastAsia="Times New Roman" w:hAnsi="Simplified Arabic" w:cs="Simplified Arabic"/>
          <w:color w:val="000000" w:themeColor="text1"/>
          <w:kern w:val="0"/>
          <w:sz w:val="28"/>
          <w:szCs w:val="28"/>
          <w14:ligatures w14:val="none"/>
        </w:rPr>
        <w:t>.</w:t>
      </w:r>
    </w:p>
    <w:p w14:paraId="68E74B2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 الباحث في ضوء ما تقدم أن أهمية هذا المتغير تنتظم في أربع دوائر متداخلة: دائرة فردية تتعلق بتطور الموظف وتعزيز رضاه، ودائرة تنظيمية تتعلق بتحقيق الأهداف الاستراتيجية للمنظمة، ودائرة اقتصادية تتعلق بالإسهام في النمو الكلي، ودائرة معرفية تتعلق بتعزيز قدرات المنظمة على إنتاج المعرفة وتطبيقها. ولا يُمكن للمنظمة التي تتجاهل أحد هذه الدوائر أن تحقق أداءً متكاملًا ومستدامًا</w:t>
      </w:r>
      <w:r w:rsidRPr="008A328B">
        <w:rPr>
          <w:rFonts w:ascii="Simplified Arabic" w:eastAsia="Times New Roman" w:hAnsi="Simplified Arabic" w:cs="Simplified Arabic"/>
          <w:color w:val="000000" w:themeColor="text1"/>
          <w:kern w:val="0"/>
          <w:sz w:val="28"/>
          <w:szCs w:val="28"/>
          <w14:ligatures w14:val="none"/>
        </w:rPr>
        <w:t>.</w:t>
      </w:r>
    </w:p>
    <w:p w14:paraId="0C3C1036" w14:textId="33C55337"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823340"/>
      <w:r w:rsidRPr="008A328B">
        <w:rPr>
          <w:rFonts w:ascii="Simplified Arabic" w:eastAsia="Times New Roman" w:hAnsi="Simplified Arabic" w:cs="Simplified Arabic" w:hint="cs"/>
          <w:b/>
          <w:bCs/>
          <w:color w:val="000000" w:themeColor="text1"/>
          <w:kern w:val="0"/>
          <w:sz w:val="32"/>
          <w:szCs w:val="32"/>
          <w:rtl/>
          <w14:ligatures w14:val="none"/>
        </w:rPr>
        <w:t>4.2.2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أهداف تطوير مؤشرات الأداء وكفاءة الموظفين في الوظائف المعرفية</w:t>
      </w:r>
      <w:bookmarkEnd w:id="41"/>
    </w:p>
    <w:p w14:paraId="77469BB0"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تطوير منظومة مؤشرات الأداء وكفاءة الموظفين، ويمكن استعراضها على النحو التالي</w:t>
      </w:r>
      <w:r w:rsidRPr="008A328B">
        <w:rPr>
          <w:rFonts w:ascii="Simplified Arabic" w:eastAsia="Times New Roman" w:hAnsi="Simplified Arabic" w:cs="Simplified Arabic"/>
          <w:color w:val="000000" w:themeColor="text1"/>
          <w:kern w:val="0"/>
          <w:sz w:val="28"/>
          <w:szCs w:val="28"/>
          <w14:ligatures w14:val="none"/>
        </w:rPr>
        <w:t>:</w:t>
      </w:r>
    </w:p>
    <w:p w14:paraId="6ACFB85B" w14:textId="7AC382BB"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أولًا — يرى أبو صالح والحربي (2024) أن أهداف تطوير الأداء الوظيفي تتمحور حول: تعزيز روح المواطنة التنظيمية لدى العاملين بحيث يتجاوزون ال</w:t>
      </w:r>
      <w:r w:rsidR="001C3133" w:rsidRPr="008A328B">
        <w:rPr>
          <w:rFonts w:ascii="Simplified Arabic" w:eastAsia="Times New Roman" w:hAnsi="Simplified Arabic" w:cs="Simplified Arabic"/>
          <w:color w:val="000000" w:themeColor="text1"/>
          <w:kern w:val="0"/>
          <w:sz w:val="28"/>
          <w:szCs w:val="28"/>
          <w:rtl/>
          <w14:ligatures w14:val="none"/>
        </w:rPr>
        <w:t>حد الأدنى للمهام الموكلة إليهم،</w:t>
      </w:r>
      <w:r w:rsidRPr="008A328B">
        <w:rPr>
          <w:rFonts w:ascii="Simplified Arabic" w:eastAsia="Times New Roman" w:hAnsi="Simplified Arabic" w:cs="Simplified Arabic"/>
          <w:color w:val="000000" w:themeColor="text1"/>
          <w:kern w:val="0"/>
          <w:sz w:val="28"/>
          <w:szCs w:val="28"/>
          <w:rtl/>
          <w14:ligatures w14:val="none"/>
        </w:rPr>
        <w:t xml:space="preserve"> رفع</w:t>
      </w:r>
      <w:r w:rsidR="001C3133" w:rsidRPr="008A328B">
        <w:rPr>
          <w:rFonts w:ascii="Simplified Arabic" w:eastAsia="Times New Roman" w:hAnsi="Simplified Arabic" w:cs="Simplified Arabic"/>
          <w:color w:val="000000" w:themeColor="text1"/>
          <w:kern w:val="0"/>
          <w:sz w:val="28"/>
          <w:szCs w:val="28"/>
          <w:rtl/>
          <w14:ligatures w14:val="none"/>
        </w:rPr>
        <w:t xml:space="preserve"> مستوى التزامهم بأهداف المنظمة،</w:t>
      </w:r>
      <w:r w:rsidRPr="008A328B">
        <w:rPr>
          <w:rFonts w:ascii="Simplified Arabic" w:eastAsia="Times New Roman" w:hAnsi="Simplified Arabic" w:cs="Simplified Arabic"/>
          <w:color w:val="000000" w:themeColor="text1"/>
          <w:kern w:val="0"/>
          <w:sz w:val="28"/>
          <w:szCs w:val="28"/>
          <w:rtl/>
          <w14:ligatures w14:val="none"/>
        </w:rPr>
        <w:t xml:space="preserve"> تحقيق التوافق بين الأداء الفردي ومتطلبات رؤى التحول الوطنية الكبرى. ويتميز هذا التصور بربطه بين الأداء الفردي والسياق المجتمعي الأوسع</w:t>
      </w:r>
      <w:r w:rsidRPr="008A328B">
        <w:rPr>
          <w:rFonts w:ascii="Simplified Arabic" w:eastAsia="Times New Roman" w:hAnsi="Simplified Arabic" w:cs="Simplified Arabic"/>
          <w:color w:val="000000" w:themeColor="text1"/>
          <w:kern w:val="0"/>
          <w:sz w:val="28"/>
          <w:szCs w:val="28"/>
          <w14:ligatures w14:val="none"/>
        </w:rPr>
        <w:t>.</w:t>
      </w:r>
    </w:p>
    <w:p w14:paraId="3DE059FE" w14:textId="147A005D"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ثانيًا — يُحدد القحطاني (2025) الأهداف في: تطوير الأداء استجابةً لمتطلبات التحول الرقمي،  رفع كفاءة العاملين في التعامل مع البيئات ال</w:t>
      </w:r>
      <w:r w:rsidR="001C3133" w:rsidRPr="008A328B">
        <w:rPr>
          <w:rFonts w:ascii="Simplified Arabic" w:eastAsia="Times New Roman" w:hAnsi="Simplified Arabic" w:cs="Simplified Arabic"/>
          <w:color w:val="000000" w:themeColor="text1"/>
          <w:kern w:val="0"/>
          <w:sz w:val="28"/>
          <w:szCs w:val="28"/>
          <w:rtl/>
          <w14:ligatures w14:val="none"/>
        </w:rPr>
        <w:t>تقنية المتجددة،</w:t>
      </w:r>
      <w:r w:rsidRPr="008A328B">
        <w:rPr>
          <w:rFonts w:ascii="Simplified Arabic" w:eastAsia="Times New Roman" w:hAnsi="Simplified Arabic" w:cs="Simplified Arabic"/>
          <w:color w:val="000000" w:themeColor="text1"/>
          <w:kern w:val="0"/>
          <w:sz w:val="28"/>
          <w:szCs w:val="28"/>
          <w:rtl/>
          <w14:ligatures w14:val="none"/>
        </w:rPr>
        <w:t xml:space="preserve"> تعزيز قدرتهم على التكيف مع التغييرات المتسارعة في طبيعة العمل. ويعكس هذا التصور توجهًا تحديثيًا يجعل الأداء قابلًا للتطور باستمرار</w:t>
      </w:r>
      <w:r w:rsidRPr="008A328B">
        <w:rPr>
          <w:rFonts w:ascii="Simplified Arabic" w:eastAsia="Times New Roman" w:hAnsi="Simplified Arabic" w:cs="Simplified Arabic"/>
          <w:color w:val="000000" w:themeColor="text1"/>
          <w:kern w:val="0"/>
          <w:sz w:val="28"/>
          <w:szCs w:val="28"/>
          <w14:ligatures w14:val="none"/>
        </w:rPr>
        <w:t>.</w:t>
      </w:r>
    </w:p>
    <w:p w14:paraId="62E94481" w14:textId="53CE3562"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ثالثًا — يُبين الخطيب وعوض (2023) أن أهداف تطوير الأداء في القطاع الخدمي تشمل: تحسين جودة الخدمات ال</w:t>
      </w:r>
      <w:r w:rsidR="001C3133" w:rsidRPr="008A328B">
        <w:rPr>
          <w:rFonts w:ascii="Simplified Arabic" w:eastAsia="Times New Roman" w:hAnsi="Simplified Arabic" w:cs="Simplified Arabic"/>
          <w:color w:val="000000" w:themeColor="text1"/>
          <w:kern w:val="0"/>
          <w:sz w:val="28"/>
          <w:szCs w:val="28"/>
          <w:rtl/>
          <w14:ligatures w14:val="none"/>
        </w:rPr>
        <w:t>مُقدمة للعملاء،</w:t>
      </w:r>
      <w:r w:rsidRPr="008A328B">
        <w:rPr>
          <w:rFonts w:ascii="Simplified Arabic" w:eastAsia="Times New Roman" w:hAnsi="Simplified Arabic" w:cs="Simplified Arabic"/>
          <w:color w:val="000000" w:themeColor="text1"/>
          <w:kern w:val="0"/>
          <w:sz w:val="28"/>
          <w:szCs w:val="28"/>
          <w:rtl/>
          <w14:ligatures w14:val="none"/>
        </w:rPr>
        <w:t xml:space="preserve"> تعزيز قدرة العاملين على بناء علاقات فاعلة مع المستفيدين، (3) رفع مستوى الاستجابة لتطلعاتهم المتغيرة. ويربط هذا التصور بين كفاءة العامل ورضا العميل، بما يكشف عن الطبيعة العلائقية لأداء العاملين في القطاعات الخدمية</w:t>
      </w:r>
      <w:r w:rsidRPr="008A328B">
        <w:rPr>
          <w:rFonts w:ascii="Simplified Arabic" w:eastAsia="Times New Roman" w:hAnsi="Simplified Arabic" w:cs="Simplified Arabic"/>
          <w:color w:val="000000" w:themeColor="text1"/>
          <w:kern w:val="0"/>
          <w:sz w:val="28"/>
          <w:szCs w:val="28"/>
          <w14:ligatures w14:val="none"/>
        </w:rPr>
        <w:t>.</w:t>
      </w:r>
    </w:p>
    <w:p w14:paraId="29F603E6" w14:textId="4FAB8F7A"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رابعًا — يرى الشعار والصرايرة والعدوان (2024) أن أهداف تحسين الأداء تتمثل في: رفع إنتاجية العاملين في الشركات الصناعية والخدمية، تعزيز قدرتهم على توظيف التقنيات الذكية في مهامهم، بناء بيئة عمل داعمة تُحفز على التميز. ويُبرز هذا التصور الدور الذي تلعبه القيادة وبيئة العمل في تحقيق هذه الأهداف</w:t>
      </w:r>
      <w:r w:rsidRPr="008A328B">
        <w:rPr>
          <w:rFonts w:ascii="Simplified Arabic" w:eastAsia="Times New Roman" w:hAnsi="Simplified Arabic" w:cs="Simplified Arabic"/>
          <w:color w:val="000000" w:themeColor="text1"/>
          <w:kern w:val="0"/>
          <w:sz w:val="28"/>
          <w:szCs w:val="28"/>
          <w14:ligatures w14:val="none"/>
        </w:rPr>
        <w:t>.</w:t>
      </w:r>
    </w:p>
    <w:p w14:paraId="5E004BC5" w14:textId="57DFD8E2"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خامسًا — تُحدد حمودة والعقل (2022) أهداف تحسين كفاءة الكوادر المتخصصة في: تطوير قدراتها على التعا</w:t>
      </w:r>
      <w:r w:rsidR="001C3133" w:rsidRPr="008A328B">
        <w:rPr>
          <w:rFonts w:ascii="Simplified Arabic" w:eastAsia="Times New Roman" w:hAnsi="Simplified Arabic" w:cs="Simplified Arabic"/>
          <w:color w:val="000000" w:themeColor="text1"/>
          <w:kern w:val="0"/>
          <w:sz w:val="28"/>
          <w:szCs w:val="28"/>
          <w:rtl/>
          <w14:ligatures w14:val="none"/>
        </w:rPr>
        <w:t>مل مع المهام التحليلية المعقدة،</w:t>
      </w:r>
      <w:r w:rsidRPr="008A328B">
        <w:rPr>
          <w:rFonts w:ascii="Simplified Arabic" w:eastAsia="Times New Roman" w:hAnsi="Simplified Arabic" w:cs="Simplified Arabic"/>
          <w:color w:val="000000" w:themeColor="text1"/>
          <w:kern w:val="0"/>
          <w:sz w:val="28"/>
          <w:szCs w:val="28"/>
          <w:rtl/>
          <w14:ligatures w14:val="none"/>
        </w:rPr>
        <w:t xml:space="preserve"> رفع دقة مخرجاتها المهنية،</w:t>
      </w:r>
      <w:r w:rsidR="001C3133" w:rsidRPr="008A328B">
        <w:rPr>
          <w:rFonts w:ascii="Simplified Arabic" w:eastAsia="Times New Roman" w:hAnsi="Simplified Arabic" w:cs="Simplified Arabic" w:hint="cs"/>
          <w:color w:val="000000" w:themeColor="text1"/>
          <w:kern w:val="0"/>
          <w:sz w:val="28"/>
          <w:szCs w:val="28"/>
          <w:rtl/>
          <w14:ligatures w14:val="none"/>
        </w:rPr>
        <w:t xml:space="preserve"> </w:t>
      </w:r>
      <w:r w:rsidRPr="008A328B">
        <w:rPr>
          <w:rFonts w:ascii="Simplified Arabic" w:eastAsia="Times New Roman" w:hAnsi="Simplified Arabic" w:cs="Simplified Arabic"/>
          <w:color w:val="000000" w:themeColor="text1"/>
          <w:kern w:val="0"/>
          <w:sz w:val="28"/>
          <w:szCs w:val="28"/>
          <w:rtl/>
          <w14:ligatures w14:val="none"/>
        </w:rPr>
        <w:t>تمكينها من إعادة توزيع جهدها نحو المهام عالية القيمة. ويعكس هذا التصور التوجه نحو التخصص العميق في الوظائف المعرفية</w:t>
      </w:r>
      <w:r w:rsidRPr="008A328B">
        <w:rPr>
          <w:rFonts w:ascii="Simplified Arabic" w:eastAsia="Times New Roman" w:hAnsi="Simplified Arabic" w:cs="Simplified Arabic"/>
          <w:color w:val="000000" w:themeColor="text1"/>
          <w:kern w:val="0"/>
          <w:sz w:val="28"/>
          <w:szCs w:val="28"/>
          <w14:ligatures w14:val="none"/>
        </w:rPr>
        <w:t>.</w:t>
      </w:r>
    </w:p>
    <w:p w14:paraId="4C67ADC4" w14:textId="6E255080"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سادسًا — يضيف</w:t>
      </w:r>
      <w:r w:rsidRPr="008A328B">
        <w:rPr>
          <w:rFonts w:ascii="Simplified Arabic" w:eastAsia="Times New Roman" w:hAnsi="Simplified Arabic" w:cs="Simplified Arabic"/>
          <w:color w:val="000000" w:themeColor="text1"/>
          <w:kern w:val="0"/>
          <w:sz w:val="28"/>
          <w:szCs w:val="28"/>
          <w14:ligatures w14:val="none"/>
        </w:rPr>
        <w:t xml:space="preserve"> Al Naqbi et al. (2024) </w:t>
      </w:r>
      <w:r w:rsidRPr="008A328B">
        <w:rPr>
          <w:rFonts w:ascii="Simplified Arabic" w:eastAsia="Times New Roman" w:hAnsi="Simplified Arabic" w:cs="Simplified Arabic"/>
          <w:color w:val="000000" w:themeColor="text1"/>
          <w:kern w:val="0"/>
          <w:sz w:val="28"/>
          <w:szCs w:val="28"/>
          <w:rtl/>
          <w14:ligatures w14:val="none"/>
        </w:rPr>
        <w:t>أهدافًا تتعلق بـ: تعزيز الإنتاجية المستدامة للعاملين، ت</w:t>
      </w:r>
      <w:r w:rsidR="001C3133" w:rsidRPr="008A328B">
        <w:rPr>
          <w:rFonts w:ascii="Simplified Arabic" w:eastAsia="Times New Roman" w:hAnsi="Simplified Arabic" w:cs="Simplified Arabic"/>
          <w:color w:val="000000" w:themeColor="text1"/>
          <w:kern w:val="0"/>
          <w:sz w:val="28"/>
          <w:szCs w:val="28"/>
          <w:rtl/>
          <w14:ligatures w14:val="none"/>
        </w:rPr>
        <w:t xml:space="preserve">حسين جودة بيئة العمل المعرفية، </w:t>
      </w:r>
      <w:r w:rsidRPr="008A328B">
        <w:rPr>
          <w:rFonts w:ascii="Simplified Arabic" w:eastAsia="Times New Roman" w:hAnsi="Simplified Arabic" w:cs="Simplified Arabic"/>
          <w:color w:val="000000" w:themeColor="text1"/>
          <w:kern w:val="0"/>
          <w:sz w:val="28"/>
          <w:szCs w:val="28"/>
          <w:rtl/>
          <w14:ligatures w14:val="none"/>
        </w:rPr>
        <w:t>دعم قدرة الموظفين على التكيف مع التحولات التقنية المتسارعة. ويُكمل</w:t>
      </w:r>
      <w:r w:rsidRPr="008A328B">
        <w:rPr>
          <w:rFonts w:ascii="Simplified Arabic" w:eastAsia="Times New Roman" w:hAnsi="Simplified Arabic" w:cs="Simplified Arabic"/>
          <w:color w:val="000000" w:themeColor="text1"/>
          <w:kern w:val="0"/>
          <w:sz w:val="28"/>
          <w:szCs w:val="28"/>
          <w14:ligatures w14:val="none"/>
        </w:rPr>
        <w:t xml:space="preserve"> Saleem et al. (2024) </w:t>
      </w:r>
      <w:r w:rsidRPr="008A328B">
        <w:rPr>
          <w:rFonts w:ascii="Simplified Arabic" w:eastAsia="Times New Roman" w:hAnsi="Simplified Arabic" w:cs="Simplified Arabic"/>
          <w:color w:val="000000" w:themeColor="text1"/>
          <w:kern w:val="0"/>
          <w:sz w:val="28"/>
          <w:szCs w:val="28"/>
          <w:rtl/>
          <w14:ligatures w14:val="none"/>
        </w:rPr>
        <w:t>هذه الأهداف بإضافة: تعظيم العائد من رأس المال المعرفي للمنظمة، تحويل المعرفة الضمنية إلى معرفة صريحة قابلة للتشارك، بناء منظومة معرفية متكاملة تدعم اتخاذ القرار</w:t>
      </w:r>
      <w:r w:rsidRPr="008A328B">
        <w:rPr>
          <w:rFonts w:ascii="Simplified Arabic" w:eastAsia="Times New Roman" w:hAnsi="Simplified Arabic" w:cs="Simplified Arabic"/>
          <w:color w:val="000000" w:themeColor="text1"/>
          <w:kern w:val="0"/>
          <w:sz w:val="28"/>
          <w:szCs w:val="28"/>
          <w14:ligatures w14:val="none"/>
        </w:rPr>
        <w:t>.</w:t>
      </w:r>
    </w:p>
    <w:p w14:paraId="408212F1" w14:textId="72A1E49A"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سابعًا — يرى</w:t>
      </w:r>
      <w:r w:rsidRPr="008A328B">
        <w:rPr>
          <w:rFonts w:ascii="Simplified Arabic" w:eastAsia="Times New Roman" w:hAnsi="Simplified Arabic" w:cs="Simplified Arabic"/>
          <w:color w:val="000000" w:themeColor="text1"/>
          <w:kern w:val="0"/>
          <w:sz w:val="28"/>
          <w:szCs w:val="28"/>
          <w14:ligatures w14:val="none"/>
        </w:rPr>
        <w:t xml:space="preserve"> Agarwal &amp; Ojha (2025) </w:t>
      </w:r>
      <w:r w:rsidRPr="008A328B">
        <w:rPr>
          <w:rFonts w:ascii="Simplified Arabic" w:eastAsia="Times New Roman" w:hAnsi="Simplified Arabic" w:cs="Simplified Arabic"/>
          <w:color w:val="000000" w:themeColor="text1"/>
          <w:kern w:val="0"/>
          <w:sz w:val="28"/>
          <w:szCs w:val="28"/>
          <w:rtl/>
          <w14:ligatures w14:val="none"/>
        </w:rPr>
        <w:t>أن من الأهداف الجوهرية: إعادة تصميم أدوار الموظفين بحيث تتلاءم مع م</w:t>
      </w:r>
      <w:r w:rsidR="001C3133" w:rsidRPr="008A328B">
        <w:rPr>
          <w:rFonts w:ascii="Simplified Arabic" w:eastAsia="Times New Roman" w:hAnsi="Simplified Arabic" w:cs="Simplified Arabic"/>
          <w:color w:val="000000" w:themeColor="text1"/>
          <w:kern w:val="0"/>
          <w:sz w:val="28"/>
          <w:szCs w:val="28"/>
          <w:rtl/>
          <w14:ligatures w14:val="none"/>
        </w:rPr>
        <w:t>نطق التشارك بين الإنسان والآلة،</w:t>
      </w:r>
      <w:r w:rsidRPr="008A328B">
        <w:rPr>
          <w:rFonts w:ascii="Simplified Arabic" w:eastAsia="Times New Roman" w:hAnsi="Simplified Arabic" w:cs="Simplified Arabic"/>
          <w:color w:val="000000" w:themeColor="text1"/>
          <w:kern w:val="0"/>
          <w:sz w:val="28"/>
          <w:szCs w:val="28"/>
          <w:rtl/>
          <w14:ligatures w14:val="none"/>
        </w:rPr>
        <w:t xml:space="preserve"> تعزيز قدرتهم على التعاون الإبداعي مع الأنظمة الذكية، تطوير مهارات جديدة تتناسب مع متطلبات بيئة العمل المعاصرة. ويُبرز هذا التصور أن الأهداف لم تعد ثابتة بل تتطور باستمرار بحسب طبيعة الأدوات المتاحة</w:t>
      </w:r>
      <w:r w:rsidRPr="008A328B">
        <w:rPr>
          <w:rFonts w:ascii="Simplified Arabic" w:eastAsia="Times New Roman" w:hAnsi="Simplified Arabic" w:cs="Simplified Arabic"/>
          <w:color w:val="000000" w:themeColor="text1"/>
          <w:kern w:val="0"/>
          <w:sz w:val="28"/>
          <w:szCs w:val="28"/>
          <w14:ligatures w14:val="none"/>
        </w:rPr>
        <w:t>.</w:t>
      </w:r>
    </w:p>
    <w:p w14:paraId="591D801D" w14:textId="6318C8E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ثامنًا — يُحدد بوعمرة وعيساني (2026) الأهداف في السياق المعرفي الأكاديمي بأنها: رفع جودة المخرجات العلمية والبحثية،  تعزيز كفاءة الباحثين في إدارة مشاريعهم البحثية،  تحسين قدراتهم على معالجة كميات كبيرة من المعلومات والمصادر</w:t>
      </w:r>
      <w:r w:rsidRPr="008A328B">
        <w:rPr>
          <w:rFonts w:ascii="Simplified Arabic" w:eastAsia="Times New Roman" w:hAnsi="Simplified Arabic" w:cs="Simplified Arabic"/>
          <w:color w:val="000000" w:themeColor="text1"/>
          <w:kern w:val="0"/>
          <w:sz w:val="28"/>
          <w:szCs w:val="28"/>
          <w14:ligatures w14:val="none"/>
        </w:rPr>
        <w:t>.</w:t>
      </w:r>
    </w:p>
    <w:p w14:paraId="5BC8CD32"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ويرى الباحث أن هذه الأهداف يمكن تنظيمها في ثلاث مجموعات متكاملة: أهداف تشغيلية ترتبط بالإنتاجية والجودة وسرعة الإنجاز، وأهداف تطويرية ترتبط ببناء المهارات والتكيف مع التقنيات الجديدة، وأهداف استراتيجية ترتبط بدعم التنافسية وتعزيز رأس المال المعرفي للمنظمة. ولا تُحقق هذه الأهداف منفصلة، بل تتكامل في منظومة واحدة تخدم الرؤية الشاملة للمنظمة</w:t>
      </w:r>
      <w:r w:rsidRPr="008A328B">
        <w:rPr>
          <w:rFonts w:ascii="Simplified Arabic" w:eastAsia="Times New Roman" w:hAnsi="Simplified Arabic" w:cs="Simplified Arabic"/>
          <w:color w:val="000000" w:themeColor="text1"/>
          <w:kern w:val="0"/>
          <w:sz w:val="28"/>
          <w:szCs w:val="28"/>
          <w14:ligatures w14:val="none"/>
        </w:rPr>
        <w:t>.</w:t>
      </w:r>
    </w:p>
    <w:p w14:paraId="4174F040" w14:textId="63FCBC1F" w:rsidR="00723D4E" w:rsidRPr="008A328B" w:rsidRDefault="001C3133" w:rsidP="001C3133">
      <w:pPr>
        <w:tabs>
          <w:tab w:val="right" w:pos="6094"/>
        </w:tabs>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823341"/>
      <w:r w:rsidRPr="008A328B">
        <w:rPr>
          <w:rFonts w:ascii="Simplified Arabic" w:eastAsia="Times New Roman" w:hAnsi="Simplified Arabic" w:cs="Simplified Arabic" w:hint="cs"/>
          <w:b/>
          <w:bCs/>
          <w:color w:val="000000" w:themeColor="text1"/>
          <w:kern w:val="0"/>
          <w:sz w:val="32"/>
          <w:szCs w:val="32"/>
          <w:rtl/>
          <w14:ligatures w14:val="none"/>
        </w:rPr>
        <w:t>5.1.2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أبعاد مؤشرات الأداء وكفاءة الموظفين في الوظائف المعرفية</w:t>
      </w:r>
      <w:bookmarkEnd w:id="42"/>
    </w:p>
    <w:p w14:paraId="3E318F1B"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تم تحديد أبعاد هذا المتغير في الدراسة الحالية بناءً على ما طرحه باجبير (2024) في معالجته لعلاقة مؤشرات قياس الأداء بالذكاء الاصطناعي في المنظمات، وما قدمه حسن وعلي (2025) من تصور لأبعاد الأداء الوظيفي في سياق التحول التقني، وبما يتسق مع ما طرحه</w:t>
      </w:r>
      <w:r w:rsidRPr="008A328B">
        <w:rPr>
          <w:rFonts w:ascii="Simplified Arabic" w:eastAsia="Times New Roman" w:hAnsi="Simplified Arabic" w:cs="Simplified Arabic"/>
          <w:color w:val="000000" w:themeColor="text1"/>
          <w:kern w:val="0"/>
          <w:sz w:val="28"/>
          <w:szCs w:val="28"/>
          <w14:ligatures w14:val="none"/>
        </w:rPr>
        <w:t xml:space="preserve"> Saleem et al. (2024) </w:t>
      </w:r>
      <w:r w:rsidRPr="008A328B">
        <w:rPr>
          <w:rFonts w:ascii="Simplified Arabic" w:eastAsia="Times New Roman" w:hAnsi="Simplified Arabic" w:cs="Simplified Arabic"/>
          <w:color w:val="000000" w:themeColor="text1"/>
          <w:kern w:val="0"/>
          <w:sz w:val="28"/>
          <w:szCs w:val="28"/>
          <w:rtl/>
          <w14:ligatures w14:val="none"/>
        </w:rPr>
        <w:t>حول إنتاجية العامل المعرفي، وما أبرزه</w:t>
      </w:r>
      <w:r w:rsidRPr="008A328B">
        <w:rPr>
          <w:rFonts w:ascii="Simplified Arabic" w:eastAsia="Times New Roman" w:hAnsi="Simplified Arabic" w:cs="Simplified Arabic"/>
          <w:color w:val="000000" w:themeColor="text1"/>
          <w:kern w:val="0"/>
          <w:sz w:val="28"/>
          <w:szCs w:val="28"/>
          <w14:ligatures w14:val="none"/>
        </w:rPr>
        <w:t xml:space="preserve"> Zhang et al. (2026) </w:t>
      </w:r>
      <w:r w:rsidRPr="008A328B">
        <w:rPr>
          <w:rFonts w:ascii="Simplified Arabic" w:eastAsia="Times New Roman" w:hAnsi="Simplified Arabic" w:cs="Simplified Arabic"/>
          <w:color w:val="000000" w:themeColor="text1"/>
          <w:kern w:val="0"/>
          <w:sz w:val="28"/>
          <w:szCs w:val="28"/>
          <w:rtl/>
          <w14:ligatures w14:val="none"/>
        </w:rPr>
        <w:t>من أبعاد للأداء الابتكاري. وقد استقر اختيار الدراسة على ستة أبعاد متلازمة تُقيس الأداء وكفاءة الموظفين في الوظائف المعرفية، وهي: جودة المخرجات المعرفية، وسرعة إنجاز المهام، ودقة اتخاذ القرار، والإنتاجية الفردية، والابتكار في حل المشكلات، والرضا المهني</w:t>
      </w:r>
      <w:r w:rsidRPr="008A328B">
        <w:rPr>
          <w:rFonts w:ascii="Simplified Arabic" w:eastAsia="Times New Roman" w:hAnsi="Simplified Arabic" w:cs="Simplified Arabic"/>
          <w:color w:val="000000" w:themeColor="text1"/>
          <w:kern w:val="0"/>
          <w:sz w:val="28"/>
          <w:szCs w:val="28"/>
          <w14:ligatures w14:val="none"/>
        </w:rPr>
        <w:t>.</w:t>
      </w:r>
    </w:p>
    <w:p w14:paraId="0E4BE012"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الأول: جودة المخرجات المعرفية</w:t>
      </w:r>
    </w:p>
    <w:p w14:paraId="0FDFBD2D"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تُمثل جودة المخرجات المحور الذي تنتظم حوله مؤشرات الأداء في الوظائف المعرفية، إذ لا يُمكن الحكم على كفاءة الموظف بمعزل عن جودة ما يُنتجه من تقارير وتحليلات وتوصيات. وتتضمن الجودة هنا أبعادًا متعددة تشمل دقة المعلومات، وسلامة المنهج، ووضوح العرض، وقابلية المخرج للتطبيق، فضلًا عن قيمته المضافة لصانع القرار</w:t>
      </w:r>
      <w:r w:rsidRPr="008A328B">
        <w:rPr>
          <w:rFonts w:ascii="Simplified Arabic" w:eastAsia="Times New Roman" w:hAnsi="Simplified Arabic" w:cs="Simplified Arabic"/>
          <w:color w:val="000000" w:themeColor="text1"/>
          <w:kern w:val="0"/>
          <w:sz w:val="28"/>
          <w:szCs w:val="28"/>
          <w14:ligatures w14:val="none"/>
        </w:rPr>
        <w:t xml:space="preserve"> (Saleem et al., 2024). </w:t>
      </w:r>
      <w:r w:rsidRPr="008A328B">
        <w:rPr>
          <w:rFonts w:ascii="Simplified Arabic" w:eastAsia="Times New Roman" w:hAnsi="Simplified Arabic" w:cs="Simplified Arabic"/>
          <w:color w:val="000000" w:themeColor="text1"/>
          <w:kern w:val="0"/>
          <w:sz w:val="28"/>
          <w:szCs w:val="28"/>
          <w:rtl/>
          <w14:ligatures w14:val="none"/>
        </w:rPr>
        <w:t>وتكتسب هذه الجودة أهمية مضاعفة في عصر تتدفق فيه المعلومات بكثافة، إذ تتحول من ميزة إضافية إلى شرط للبقاء المهني، حيث تنزاح المهام منخفضة الجودة تلقائيًا إلى المعالجة الآلية، ويتبقى للموظف ما يستوجب جودة لا تستطيع الأنظمة الآلية وحدها بلوغها</w:t>
      </w:r>
      <w:r w:rsidRPr="008A328B">
        <w:rPr>
          <w:rFonts w:ascii="Simplified Arabic" w:eastAsia="Times New Roman" w:hAnsi="Simplified Arabic" w:cs="Simplified Arabic"/>
          <w:color w:val="000000" w:themeColor="text1"/>
          <w:kern w:val="0"/>
          <w:sz w:val="28"/>
          <w:szCs w:val="28"/>
          <w14:ligatures w14:val="none"/>
        </w:rPr>
        <w:t>.</w:t>
      </w:r>
    </w:p>
    <w:p w14:paraId="15692863"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الثاني: سرعة إنجاز المهام</w:t>
      </w:r>
    </w:p>
    <w:p w14:paraId="7E3F2AEA"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تُمثل سرعة إنجاز المهام بُعدًا زمنيًا حاسمًا في قياس كفاءة الموظف المعرفي، إذ تترجم قدرته على ضغط دورة الإنتاج وتقليل الزمن المستغرق في إنجاز المخرج دون التضحية بجودته. وتكتسب هذه السرعة أهمية متزايدة في بيئات الأعمال الديناميكية التي تتسم بقصر دورات اتخاذ القرار وضيق نوافذ الفرصة</w:t>
      </w:r>
      <w:r w:rsidRPr="008A328B">
        <w:rPr>
          <w:rFonts w:ascii="Simplified Arabic" w:eastAsia="Times New Roman" w:hAnsi="Simplified Arabic" w:cs="Simplified Arabic"/>
          <w:color w:val="000000" w:themeColor="text1"/>
          <w:kern w:val="0"/>
          <w:sz w:val="28"/>
          <w:szCs w:val="28"/>
          <w14:ligatures w14:val="none"/>
        </w:rPr>
        <w:t xml:space="preserve"> (Noy &amp; Zhang, 2023). </w:t>
      </w:r>
      <w:r w:rsidRPr="008A328B">
        <w:rPr>
          <w:rFonts w:ascii="Simplified Arabic" w:eastAsia="Times New Roman" w:hAnsi="Simplified Arabic" w:cs="Simplified Arabic"/>
          <w:color w:val="000000" w:themeColor="text1"/>
          <w:kern w:val="0"/>
          <w:sz w:val="28"/>
          <w:szCs w:val="28"/>
          <w:rtl/>
          <w14:ligatures w14:val="none"/>
        </w:rPr>
        <w:t>ولا تُقاس السرعة بمعزل عن السياق، بل في ضوء طبيعة المهمة ومتطلباتها، إذ تتفاوت معايير السرعة بحسب درجة تعقيد المهمة وحجم المعلومات المطلوب معالجتها، مما يستدعي بناء مؤشرات سرعة نسبية لا مطلقة</w:t>
      </w:r>
      <w:r w:rsidRPr="008A328B">
        <w:rPr>
          <w:rFonts w:ascii="Simplified Arabic" w:eastAsia="Times New Roman" w:hAnsi="Simplified Arabic" w:cs="Simplified Arabic"/>
          <w:color w:val="000000" w:themeColor="text1"/>
          <w:kern w:val="0"/>
          <w:sz w:val="28"/>
          <w:szCs w:val="28"/>
          <w14:ligatures w14:val="none"/>
        </w:rPr>
        <w:t>.</w:t>
      </w:r>
    </w:p>
    <w:p w14:paraId="585E41C0"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الثالث: دقة اتخاذ القرار</w:t>
      </w:r>
    </w:p>
    <w:p w14:paraId="330D4E93"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تُمثل دقة القرار محصلة للقدرات التحليلية للموظف، وتعكس مدى قدرته على معالجة المعلومات المتاحة والوصول إلى أحكام صائبة في ظل ظروف قد تتسم بعدم التأكد وتضارب البيانات. ويتضمن هذا البُعد القدرة على تحديد المعلومات ذات الصلة، وتقييم مصداقيتها، وربطها ببعضها، واستخلاص النتائج المنطقية منها</w:t>
      </w:r>
      <w:r w:rsidRPr="008A328B">
        <w:rPr>
          <w:rFonts w:ascii="Simplified Arabic" w:eastAsia="Times New Roman" w:hAnsi="Simplified Arabic" w:cs="Simplified Arabic"/>
          <w:color w:val="000000" w:themeColor="text1"/>
          <w:kern w:val="0"/>
          <w:sz w:val="28"/>
          <w:szCs w:val="28"/>
          <w14:ligatures w14:val="none"/>
        </w:rPr>
        <w:t xml:space="preserve"> (Dell’Acqua et al., 2023). </w:t>
      </w:r>
      <w:r w:rsidRPr="008A328B">
        <w:rPr>
          <w:rFonts w:ascii="Simplified Arabic" w:eastAsia="Times New Roman" w:hAnsi="Simplified Arabic" w:cs="Simplified Arabic"/>
          <w:color w:val="000000" w:themeColor="text1"/>
          <w:kern w:val="0"/>
          <w:sz w:val="28"/>
          <w:szCs w:val="28"/>
          <w:rtl/>
          <w14:ligatures w14:val="none"/>
        </w:rPr>
        <w:t>وتتعزز هذه الدقة في بيئات العمل الحديثة بفضل الأدوات التحليلية المتاحة، غير أنها تظل في النهاية حكمًا بشريًا يستلزم خبرة وحسًا مهنيًا لا تُغني عنه الأدوات وحدها. ومن ثم يصبح هذا البُعد ميدانًا للتفاعل بين القدرات الذاتية للموظف والأدوات التي يستخدمها</w:t>
      </w:r>
      <w:r w:rsidRPr="008A328B">
        <w:rPr>
          <w:rFonts w:ascii="Simplified Arabic" w:eastAsia="Times New Roman" w:hAnsi="Simplified Arabic" w:cs="Simplified Arabic"/>
          <w:color w:val="000000" w:themeColor="text1"/>
          <w:kern w:val="0"/>
          <w:sz w:val="28"/>
          <w:szCs w:val="28"/>
          <w14:ligatures w14:val="none"/>
        </w:rPr>
        <w:t>.</w:t>
      </w:r>
    </w:p>
    <w:p w14:paraId="208C1F7E"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الرابع: الإنتاجية الفردية</w:t>
      </w:r>
    </w:p>
    <w:p w14:paraId="3AA0E031"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تُمثل الإنتاجية الفردية المحصلة الكمية للجهد الذي يبذله الموظف، وتُعبر عن النسبة بين المخرجات التي يُحققها والموارد التي يستهلكها لتحقيقها. وتتفاوت طرائق قياس هذه الإنتاجية بحسب طبيعة الوظيفة، إذ تتراوح بين عدّ المخرجات الكمية في المهام القابلة للقياس وتقدير القيمة المُضافة في المهام النوعية</w:t>
      </w:r>
      <w:r w:rsidRPr="008A328B">
        <w:rPr>
          <w:rFonts w:ascii="Simplified Arabic" w:eastAsia="Times New Roman" w:hAnsi="Simplified Arabic" w:cs="Simplified Arabic"/>
          <w:color w:val="000000" w:themeColor="text1"/>
          <w:kern w:val="0"/>
          <w:sz w:val="28"/>
          <w:szCs w:val="28"/>
          <w14:ligatures w14:val="none"/>
        </w:rPr>
        <w:t xml:space="preserve"> (Gusti Ayu Ketut et al., 2024). </w:t>
      </w:r>
      <w:r w:rsidRPr="008A328B">
        <w:rPr>
          <w:rFonts w:ascii="Simplified Arabic" w:eastAsia="Times New Roman" w:hAnsi="Simplified Arabic" w:cs="Simplified Arabic"/>
          <w:color w:val="000000" w:themeColor="text1"/>
          <w:kern w:val="0"/>
          <w:sz w:val="28"/>
          <w:szCs w:val="28"/>
          <w:rtl/>
          <w14:ligatures w14:val="none"/>
        </w:rPr>
        <w:t>ولا تُمثل الإنتاجية الفردية معطىً ثابتًا، بل متغيرًا يتأثر بعوامل متعددة تشمل بيئة العمل، والأدوات المتاحة، والصحة النفسية للموظف، ومستوى دعم القيادة. ومن ثم يستلزم تحسينها تدخلات متعددة على هذه المستويات</w:t>
      </w:r>
      <w:r w:rsidRPr="008A328B">
        <w:rPr>
          <w:rFonts w:ascii="Simplified Arabic" w:eastAsia="Times New Roman" w:hAnsi="Simplified Arabic" w:cs="Simplified Arabic"/>
          <w:color w:val="000000" w:themeColor="text1"/>
          <w:kern w:val="0"/>
          <w:sz w:val="28"/>
          <w:szCs w:val="28"/>
          <w14:ligatures w14:val="none"/>
        </w:rPr>
        <w:t>.</w:t>
      </w:r>
    </w:p>
    <w:p w14:paraId="48C59337"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الخامس: الابتكار في حل المشكلات</w:t>
      </w:r>
    </w:p>
    <w:p w14:paraId="5EAD6F88"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يُمثل الابتكار في حل المشكلات قمة هرم الكفاءة المعرفية، إذ يُعبر عن قدرة الموظف على تجاوز الحلول النمطية وتقديم مقاربات جديدة للتحديات التي تواجهه. ويتضمن هذا البُعد القدرة على إعادة صياغة المشكلة وتوليد بدائل متعددة لحلها وتقييم هذه البدائل واختيار الأمثل منها</w:t>
      </w:r>
      <w:r w:rsidRPr="008A328B">
        <w:rPr>
          <w:rFonts w:ascii="Simplified Arabic" w:eastAsia="Times New Roman" w:hAnsi="Simplified Arabic" w:cs="Simplified Arabic"/>
          <w:color w:val="000000" w:themeColor="text1"/>
          <w:kern w:val="0"/>
          <w:sz w:val="28"/>
          <w:szCs w:val="28"/>
          <w14:ligatures w14:val="none"/>
        </w:rPr>
        <w:t xml:space="preserve"> (Zhang et al., 2026). </w:t>
      </w:r>
      <w:r w:rsidRPr="008A328B">
        <w:rPr>
          <w:rFonts w:ascii="Simplified Arabic" w:eastAsia="Times New Roman" w:hAnsi="Simplified Arabic" w:cs="Simplified Arabic"/>
          <w:color w:val="000000" w:themeColor="text1"/>
          <w:kern w:val="0"/>
          <w:sz w:val="28"/>
          <w:szCs w:val="28"/>
          <w:rtl/>
          <w14:ligatures w14:val="none"/>
        </w:rPr>
        <w:t>ويرتبط هذا البُعد ارتباطًا وثيقًا بالأبعاد السابقة، إذ يستلزم جودة في المعالجة وسرعة في الاستجابة ودقة في الحكم وإنتاجية في التنفيذ، فهو في جوهره تتويج لها جميعًا. وتُولي المنظمات المعاصرة اهتمامًا متزايدًا بهذا البُعد لأنه يُمثل المصدر الرئيس للميزة التنافسية المستدامة</w:t>
      </w:r>
      <w:r w:rsidRPr="008A328B">
        <w:rPr>
          <w:rFonts w:ascii="Simplified Arabic" w:eastAsia="Times New Roman" w:hAnsi="Simplified Arabic" w:cs="Simplified Arabic"/>
          <w:color w:val="000000" w:themeColor="text1"/>
          <w:kern w:val="0"/>
          <w:sz w:val="28"/>
          <w:szCs w:val="28"/>
          <w14:ligatures w14:val="none"/>
        </w:rPr>
        <w:t>.</w:t>
      </w:r>
    </w:p>
    <w:p w14:paraId="3E9CAA58" w14:textId="77777777" w:rsidR="00723D4E" w:rsidRPr="008A328B" w:rsidRDefault="00723D4E" w:rsidP="001C31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A328B">
        <w:rPr>
          <w:rFonts w:ascii="Simplified Arabic" w:eastAsia="Times New Roman" w:hAnsi="Simplified Arabic" w:cs="Simplified Arabic"/>
          <w:b/>
          <w:bCs/>
          <w:color w:val="000000" w:themeColor="text1"/>
          <w:kern w:val="0"/>
          <w:sz w:val="28"/>
          <w:szCs w:val="28"/>
          <w:rtl/>
          <w14:ligatures w14:val="none"/>
        </w:rPr>
        <w:t>البُعد السادس: الرضا المهني</w:t>
      </w:r>
    </w:p>
    <w:p w14:paraId="1B3FC810"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يُمثل الرضا المهني البُعد النفسي الذي يكتمل به المنظور الشامل للأداء، إذ لا يكفي قياس المخرجات الموضوعية للموظف بمعزل عن تجربته الذاتية لعمله. ويعكس هذا البُعد مدى انسجام الموظف مع مهامه، وإحساسه بقيمة ما يقوم به، ورضاه عن بيئة العمل والعلاقات المهنية والمكافآت التي يحصل عليها (الجندي وعبد الحميد، 2025). ولا يُعد الرضا المهني مجرد نتيجة للأداء بل عاملًا مؤثرًا فيه، إذ يرتبط بدافعية الموظف واستمراريته في العمل وقدرته على البذل المتواصل. ومن ثم يكتسب قياس هذا البُعد أهمية مزدوجة، فهو من جهة مؤشر على نجاح الممارسات الإدارية، ومن جهة أخرى أداة للتنبؤ بمستويات الأداء المستقبلية</w:t>
      </w:r>
      <w:r w:rsidRPr="008A328B">
        <w:rPr>
          <w:rFonts w:ascii="Simplified Arabic" w:eastAsia="Times New Roman" w:hAnsi="Simplified Arabic" w:cs="Simplified Arabic"/>
          <w:color w:val="000000" w:themeColor="text1"/>
          <w:kern w:val="0"/>
          <w:sz w:val="28"/>
          <w:szCs w:val="28"/>
          <w14:ligatures w14:val="none"/>
        </w:rPr>
        <w:t>.</w:t>
      </w:r>
    </w:p>
    <w:p w14:paraId="78EADC56" w14:textId="38A69FBE"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823342"/>
      <w:r w:rsidRPr="008A328B">
        <w:rPr>
          <w:rFonts w:ascii="Simplified Arabic" w:eastAsia="Times New Roman" w:hAnsi="Simplified Arabic" w:cs="Simplified Arabic" w:hint="cs"/>
          <w:b/>
          <w:bCs/>
          <w:color w:val="000000" w:themeColor="text1"/>
          <w:kern w:val="0"/>
          <w:sz w:val="32"/>
          <w:szCs w:val="32"/>
          <w:rtl/>
          <w14:ligatures w14:val="none"/>
        </w:rPr>
        <w:t>6.1.2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المداخل النظرية لتفسير الأداء وكفاءة الموظفين في الوظائف المعرفية</w:t>
      </w:r>
      <w:bookmarkEnd w:id="43"/>
    </w:p>
    <w:p w14:paraId="6513B6D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تتعدد المداخل النظرية التي يمكن من خلالها قراءة الأداء وكفاءة الموظفين في الوظائف المعرفية، ومن أبرزها المدخل القائم على رأس المال البشري الذي ينظر إلى الموظف بوصفه مستودعًا للمعرفة والمهارات التي تُمثل أصلًا اقتصاديًا قابلًا للاستثمار. ويتلاءم هذا المدخل مع طبيعة الوظائف المعرفية التي يُمثل فيها الموظف نفسه أداة الإنتاج الرئيسة، بما يجعل الاستثمار في كفاءته استثمارًا مباشرًا في إنتاجية المنظمة</w:t>
      </w:r>
      <w:r w:rsidRPr="008A328B">
        <w:rPr>
          <w:rFonts w:ascii="Simplified Arabic" w:eastAsia="Times New Roman" w:hAnsi="Simplified Arabic" w:cs="Simplified Arabic"/>
          <w:color w:val="000000" w:themeColor="text1"/>
          <w:kern w:val="0"/>
          <w:sz w:val="28"/>
          <w:szCs w:val="28"/>
          <w14:ligatures w14:val="none"/>
        </w:rPr>
        <w:t xml:space="preserve"> (Tariq et al., 2025).</w:t>
      </w:r>
    </w:p>
    <w:p w14:paraId="405B4494"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وفي مقابل ذلك، يبرز مدخل إدارة المعرفة الذي يُركز على كيفية تدفق المعرفة بين الأفراد داخل المنظمة، ويرى أن كفاءة الموظف لا تتحقق بمعزل عن منظومة معرفية أوسع تُتيح له الوصول إلى المعلومات وتشاركها مع الآخرين. ويتقاطع هذا المدخل مع ما طرحه أمين (2025) في تناوله للعلاقة بين الذكاء الاصطناعي وإدارة المعرفة، حيث يتم النظر إلى كفاءة العامل المعرفي بوصفها محصلة لتفاعله مع المنظومة المعرفية للمنظمة</w:t>
      </w:r>
      <w:r w:rsidRPr="008A328B">
        <w:rPr>
          <w:rFonts w:ascii="Simplified Arabic" w:eastAsia="Times New Roman" w:hAnsi="Simplified Arabic" w:cs="Simplified Arabic"/>
          <w:color w:val="000000" w:themeColor="text1"/>
          <w:kern w:val="0"/>
          <w:sz w:val="28"/>
          <w:szCs w:val="28"/>
          <w14:ligatures w14:val="none"/>
        </w:rPr>
        <w:t>.</w:t>
      </w:r>
    </w:p>
    <w:p w14:paraId="0862CB1E"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ويُكمل هذه المداخل المدخل السلوكي الذي يُركز على الجوانب الدافعية والعاطفية للأداء، ويرى أن الكفاءة ليست مجرد محصلة للقدرات والموارد بل تتأثر بالحالة النفسية للموظف ودافعيته ومستوى اندماجه في عمله. ويتلاءم هذا المدخل مع ما طرحه</w:t>
      </w:r>
      <w:r w:rsidRPr="008A328B">
        <w:rPr>
          <w:rFonts w:ascii="Simplified Arabic" w:eastAsia="Times New Roman" w:hAnsi="Simplified Arabic" w:cs="Simplified Arabic"/>
          <w:color w:val="000000" w:themeColor="text1"/>
          <w:kern w:val="0"/>
          <w:sz w:val="28"/>
          <w:szCs w:val="28"/>
          <w14:ligatures w14:val="none"/>
        </w:rPr>
        <w:t xml:space="preserve"> Gusti Ayu Ketut et al. (2024) </w:t>
      </w:r>
      <w:r w:rsidRPr="008A328B">
        <w:rPr>
          <w:rFonts w:ascii="Simplified Arabic" w:eastAsia="Times New Roman" w:hAnsi="Simplified Arabic" w:cs="Simplified Arabic"/>
          <w:color w:val="000000" w:themeColor="text1"/>
          <w:kern w:val="0"/>
          <w:sz w:val="28"/>
          <w:szCs w:val="28"/>
          <w:rtl/>
          <w14:ligatures w14:val="none"/>
        </w:rPr>
        <w:t>في معالجتهم للعلاقة بين الاندماج الوظيفي والإنتاجية</w:t>
      </w:r>
      <w:r w:rsidRPr="008A328B">
        <w:rPr>
          <w:rFonts w:ascii="Simplified Arabic" w:eastAsia="Times New Roman" w:hAnsi="Simplified Arabic" w:cs="Simplified Arabic"/>
          <w:color w:val="000000" w:themeColor="text1"/>
          <w:kern w:val="0"/>
          <w:sz w:val="28"/>
          <w:szCs w:val="28"/>
          <w14:ligatures w14:val="none"/>
        </w:rPr>
        <w:t>.</w:t>
      </w:r>
    </w:p>
    <w:p w14:paraId="51170036"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ومن جهة رابعة، يبرز المدخل السوسيوتقني الذي ينظر إلى الأداء بوصفه محصلة لتفاعل النظام التقني مع النظام الاجتماعي داخل بيئة العمل. ويُلائم هذا المدخل طبيعة الوظائف المعرفية في عصر الذكاء الاصطناعي، إذ تتحدد كفاءة الموظف بمدى تكامل قدراته الذاتية مع الأدوات التقنية المتاحة والثقافة التنظيمية المحيطة</w:t>
      </w:r>
      <w:r w:rsidRPr="008A328B">
        <w:rPr>
          <w:rFonts w:ascii="Simplified Arabic" w:eastAsia="Times New Roman" w:hAnsi="Simplified Arabic" w:cs="Simplified Arabic"/>
          <w:color w:val="000000" w:themeColor="text1"/>
          <w:kern w:val="0"/>
          <w:sz w:val="28"/>
          <w:szCs w:val="28"/>
          <w14:ligatures w14:val="none"/>
        </w:rPr>
        <w:t>.</w:t>
      </w:r>
    </w:p>
    <w:p w14:paraId="7A6FE7F0" w14:textId="7D61DBD2"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823343"/>
      <w:r w:rsidRPr="008A328B">
        <w:rPr>
          <w:rFonts w:ascii="Simplified Arabic" w:eastAsia="Times New Roman" w:hAnsi="Simplified Arabic" w:cs="Simplified Arabic" w:hint="cs"/>
          <w:b/>
          <w:bCs/>
          <w:color w:val="000000" w:themeColor="text1"/>
          <w:kern w:val="0"/>
          <w:sz w:val="32"/>
          <w:szCs w:val="32"/>
          <w:rtl/>
          <w14:ligatures w14:val="none"/>
        </w:rPr>
        <w:t>7.1.2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التطور التاريخي لمفهوم كفاءة الموظفين في الوظائف المعرفية</w:t>
      </w:r>
      <w:bookmarkEnd w:id="44"/>
    </w:p>
    <w:p w14:paraId="3221D79A"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شهد مفهوم كفاءة الموظفين تطورًا ملحوظًا عبر مراحل متعاقبة من تطور الفكر الإداري، انتقل خلاله من التركيز على الكفاءة المادية في الوظائف التشغيلية إلى التركيز على الكفاءة المعرفية في الوظائف الإدارية والتحليلية. وقد كانت المرحلة الأولى من هذا التطور تتمحور حول قياس الإنتاجية الكمية وفق منطق الإدارة العلمية، ثم تطورت لتشمل أبعادًا نوعية مع بروز مدرسة العلاقات الإنسانية، ثم اتسعت لتُغطي الأبعاد المعرفية مع تحول الاقتصاد نحو الخدمات والمعرفة</w:t>
      </w:r>
      <w:r w:rsidRPr="008A328B">
        <w:rPr>
          <w:rFonts w:ascii="Simplified Arabic" w:eastAsia="Times New Roman" w:hAnsi="Simplified Arabic" w:cs="Simplified Arabic"/>
          <w:color w:val="000000" w:themeColor="text1"/>
          <w:kern w:val="0"/>
          <w:sz w:val="28"/>
          <w:szCs w:val="28"/>
          <w14:ligatures w14:val="none"/>
        </w:rPr>
        <w:t>.</w:t>
      </w:r>
    </w:p>
    <w:p w14:paraId="5758FAB2"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وتُمثل المرحلة الراهنة قفزة نوعية في هذا التطور، إذ يُعاد تعريف كفاءة الموظف المعرفي في ظل الأدوات الذكية المتاحة، بحيث يتحول من منفذ للمهام إلى مُصمم لتدفقات العمل بالتعاون مع الأنظمة الذكية</w:t>
      </w:r>
      <w:r w:rsidRPr="008A328B">
        <w:rPr>
          <w:rFonts w:ascii="Simplified Arabic" w:eastAsia="Times New Roman" w:hAnsi="Simplified Arabic" w:cs="Simplified Arabic"/>
          <w:color w:val="000000" w:themeColor="text1"/>
          <w:kern w:val="0"/>
          <w:sz w:val="28"/>
          <w:szCs w:val="28"/>
          <w14:ligatures w14:val="none"/>
        </w:rPr>
        <w:t xml:space="preserve"> (Brynjolfsson et al., 2025). </w:t>
      </w:r>
      <w:r w:rsidRPr="008A328B">
        <w:rPr>
          <w:rFonts w:ascii="Simplified Arabic" w:eastAsia="Times New Roman" w:hAnsi="Simplified Arabic" w:cs="Simplified Arabic"/>
          <w:color w:val="000000" w:themeColor="text1"/>
          <w:kern w:val="0"/>
          <w:sz w:val="28"/>
          <w:szCs w:val="28"/>
          <w:rtl/>
          <w14:ligatures w14:val="none"/>
        </w:rPr>
        <w:t>ويكشف هذا التطور عن أن الكفاءة ليست مفهومًا ثابتًا بل تتجدد محتوياتها باستمرار بحسب طبيعة الأدوات المتاحة وتحديات السياق</w:t>
      </w:r>
      <w:r w:rsidRPr="008A328B">
        <w:rPr>
          <w:rFonts w:ascii="Simplified Arabic" w:eastAsia="Times New Roman" w:hAnsi="Simplified Arabic" w:cs="Simplified Arabic"/>
          <w:color w:val="000000" w:themeColor="text1"/>
          <w:kern w:val="0"/>
          <w:sz w:val="28"/>
          <w:szCs w:val="28"/>
          <w14:ligatures w14:val="none"/>
        </w:rPr>
        <w:t>.</w:t>
      </w:r>
    </w:p>
    <w:p w14:paraId="0B967102" w14:textId="5FDD72FD"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823344"/>
      <w:r w:rsidRPr="008A328B">
        <w:rPr>
          <w:rFonts w:ascii="Simplified Arabic" w:eastAsia="Times New Roman" w:hAnsi="Simplified Arabic" w:cs="Simplified Arabic" w:hint="cs"/>
          <w:b/>
          <w:bCs/>
          <w:color w:val="000000" w:themeColor="text1"/>
          <w:kern w:val="0"/>
          <w:sz w:val="32"/>
          <w:szCs w:val="32"/>
          <w:rtl/>
          <w14:ligatures w14:val="none"/>
        </w:rPr>
        <w:t>8.1.2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المنظور النقدي لمؤشرات الأداء وكفاءة الموظفين في الوظائف المعرفية</w:t>
      </w:r>
      <w:bookmarkEnd w:id="45"/>
    </w:p>
    <w:p w14:paraId="257A143F"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على الرغم من التطور الكبير في منظومة مؤشرات الأداء، فإن ثمة منظورات نقدية تستحق الإشارة، أولها يتعلق بمحدودية المؤشرات الكمية في قياس ما هو نوعي بطبيعته، إذ تظل بعض جوانب الأداء المعرفي عصية على القياس الرقمي رغم أهميتها الكبرى. ويتجلى ذلك بوضوح في المهام التي تتطلب حكمًا قيميًا أو إبداعًا أصيلًا، حيث تنتهي المؤشرات الكمية إلى تشويه صورة الأداء بدلًا من توضيحها</w:t>
      </w:r>
      <w:r w:rsidRPr="008A328B">
        <w:rPr>
          <w:rFonts w:ascii="Simplified Arabic" w:eastAsia="Times New Roman" w:hAnsi="Simplified Arabic" w:cs="Simplified Arabic"/>
          <w:color w:val="000000" w:themeColor="text1"/>
          <w:kern w:val="0"/>
          <w:sz w:val="28"/>
          <w:szCs w:val="28"/>
          <w14:ligatures w14:val="none"/>
        </w:rPr>
        <w:t>.</w:t>
      </w:r>
    </w:p>
    <w:p w14:paraId="57678968"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ويُضاف إلى ذلك إشكالية الضغط النفسي الذي قد تُولده منظومات القياس المكثف على الموظفين، خاصة حين تتحول من أدوات تطوير إلى أدوات مراقبة (إبراهيم وحراز، 2026). وتثور كذلك تساؤلات حول مدى استيعاب المؤشرات التقليدية للأبعاد الجديدة للأداء في عصر الذكاء الاصطناعي، إذ تتغير طبيعة المخرجات وأنماط العمل بسرعة تفوق قدرة المؤشرات على المواكبة</w:t>
      </w:r>
      <w:r w:rsidRPr="008A328B">
        <w:rPr>
          <w:rFonts w:ascii="Simplified Arabic" w:eastAsia="Times New Roman" w:hAnsi="Simplified Arabic" w:cs="Simplified Arabic"/>
          <w:color w:val="000000" w:themeColor="text1"/>
          <w:kern w:val="0"/>
          <w:sz w:val="28"/>
          <w:szCs w:val="28"/>
          <w14:ligatures w14:val="none"/>
        </w:rPr>
        <w:t>.</w:t>
      </w:r>
    </w:p>
    <w:p w14:paraId="3A0F306D" w14:textId="2A3B6CD6" w:rsidR="00723D4E" w:rsidRPr="008A328B" w:rsidRDefault="001C3133" w:rsidP="001C313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823345"/>
      <w:r w:rsidRPr="008A328B">
        <w:rPr>
          <w:rFonts w:ascii="Simplified Arabic" w:eastAsia="Times New Roman" w:hAnsi="Simplified Arabic" w:cs="Simplified Arabic" w:hint="cs"/>
          <w:b/>
          <w:bCs/>
          <w:color w:val="000000" w:themeColor="text1"/>
          <w:kern w:val="0"/>
          <w:sz w:val="32"/>
          <w:szCs w:val="32"/>
          <w:rtl/>
          <w14:ligatures w14:val="none"/>
        </w:rPr>
        <w:t>9.1.2</w:t>
      </w:r>
      <w:r w:rsidR="00723D4E" w:rsidRPr="008A328B">
        <w:rPr>
          <w:rFonts w:ascii="Simplified Arabic" w:eastAsia="Times New Roman" w:hAnsi="Simplified Arabic" w:cs="Simplified Arabic"/>
          <w:b/>
          <w:bCs/>
          <w:color w:val="000000" w:themeColor="text1"/>
          <w:kern w:val="0"/>
          <w:sz w:val="32"/>
          <w:szCs w:val="32"/>
          <w:rtl/>
          <w14:ligatures w14:val="none"/>
        </w:rPr>
        <w:t xml:space="preserve"> ملاءمة المتغير للسياق المؤسسي السعودي</w:t>
      </w:r>
      <w:bookmarkEnd w:id="46"/>
    </w:p>
    <w:p w14:paraId="73C190AC" w14:textId="77777777" w:rsidR="00723D4E" w:rsidRPr="008A328B" w:rsidRDefault="00723D4E" w:rsidP="001C313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A328B">
        <w:rPr>
          <w:rFonts w:ascii="Simplified Arabic" w:eastAsia="Times New Roman" w:hAnsi="Simplified Arabic" w:cs="Simplified Arabic"/>
          <w:color w:val="000000" w:themeColor="text1"/>
          <w:kern w:val="0"/>
          <w:sz w:val="28"/>
          <w:szCs w:val="28"/>
          <w:rtl/>
          <w14:ligatures w14:val="none"/>
        </w:rPr>
        <w:t>يكتسب هذا المتغير ملاءمة خاصة للسياق المؤسسي السعودي في ضوء التوجهات الكبرى لرؤية 2030 التي تُولي الأداء وكفاءة العاملين أهمية محورية ضمن مسارات التحول الوطني. وقد أبرز عطية (2024) أن النمو الاقتصادي المُستهدف لا يتحقق إلا بتطوير منظومة الأداء على مستوى الأفراد والمنظمات، فيما يُشير الدهشان والمنصوري (2025) إلى أن الإنتاجية والربحية في المنظمات السعودية باتت ترتبط ارتباطًا وثيقًا بمدى قدرة العاملين على توظيف التقنيات الذكية في مهامهم المعرفية. ومن ثم تُمثل دراسة هذا المتغير في السياق السعودي إسهامًا علميًا متسقًا مع الأولويات الوطنية للتحول</w:t>
      </w:r>
      <w:r w:rsidRPr="008A328B">
        <w:rPr>
          <w:rFonts w:ascii="Simplified Arabic" w:eastAsia="Times New Roman" w:hAnsi="Simplified Arabic" w:cs="Simplified Arabic"/>
          <w:color w:val="000000" w:themeColor="text1"/>
          <w:kern w:val="0"/>
          <w:sz w:val="28"/>
          <w:szCs w:val="28"/>
          <w14:ligatures w14:val="none"/>
        </w:rPr>
        <w:t>.</w:t>
      </w:r>
    </w:p>
    <w:p w14:paraId="7290D844" w14:textId="4F405363" w:rsidR="005A3161" w:rsidRPr="008A328B" w:rsidRDefault="001C3133" w:rsidP="007C470C">
      <w:pPr>
        <w:jc w:val="center"/>
        <w:outlineLvl w:val="0"/>
        <w:rPr>
          <w:rFonts w:ascii="Simplified Arabic" w:hAnsi="Simplified Arabic" w:cs="Simplified Arabic"/>
          <w:b/>
          <w:bCs/>
          <w:color w:val="000000" w:themeColor="text1"/>
          <w:szCs w:val="28"/>
          <w:rtl/>
        </w:rPr>
        <w:sectPr w:rsidR="005A3161" w:rsidRPr="008A328B" w:rsidSect="005A3161">
          <w:footerReference w:type="default" r:id="rId10"/>
          <w:pgSz w:w="11906" w:h="16838" w:code="9"/>
          <w:pgMar w:top="1134" w:right="1701" w:bottom="1134" w:left="1134" w:header="720" w:footer="720" w:gutter="0"/>
          <w:pgNumType w:start="1"/>
          <w:cols w:space="708"/>
          <w:bidi/>
          <w:rtlGutter/>
          <w:docGrid w:linePitch="360"/>
        </w:sectPr>
      </w:pPr>
      <w:r w:rsidRPr="008A328B">
        <w:rPr>
          <w:rFonts w:ascii="Simplified Arabic" w:hAnsi="Simplified Arabic" w:cs="Simplified Arabic"/>
          <w:b/>
          <w:bCs/>
          <w:color w:val="000000" w:themeColor="text1"/>
          <w:sz w:val="40"/>
          <w:szCs w:val="40"/>
          <w:rtl/>
        </w:rPr>
        <w:br w:type="page"/>
      </w:r>
      <w:bookmarkEnd w:id="21"/>
    </w:p>
    <w:p w14:paraId="29D4231B" w14:textId="3C227B82" w:rsidR="0081623B" w:rsidRPr="008A328B" w:rsidRDefault="00E27D3B" w:rsidP="001C313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A328B">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66F25C40">
            <wp:simplePos x="0" y="0"/>
            <wp:positionH relativeFrom="column">
              <wp:posOffset>4118610</wp:posOffset>
            </wp:positionH>
            <wp:positionV relativeFrom="paragraph">
              <wp:posOffset>0</wp:posOffset>
            </wp:positionV>
            <wp:extent cx="1522095" cy="1409700"/>
            <wp:effectExtent l="0" t="0" r="1905" b="0"/>
            <wp:wrapTight wrapText="bothSides">
              <wp:wrapPolygon edited="0">
                <wp:start x="0" y="0"/>
                <wp:lineTo x="0" y="21308"/>
                <wp:lineTo x="21357" y="21308"/>
                <wp:lineTo x="2135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2095" cy="14097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8A328B">
        <w:rPr>
          <w:rFonts w:asciiTheme="majorBidi" w:eastAsia="Calibri" w:hAnsiTheme="majorBidi" w:cstheme="majorBidi"/>
          <w:b/>
          <w:bCs/>
          <w:color w:val="000000" w:themeColor="text1"/>
          <w:kern w:val="0"/>
          <w:sz w:val="32"/>
          <w:szCs w:val="32"/>
          <w:lang w:bidi="ar-EG"/>
          <w14:ligatures w14:val="none"/>
        </w:rPr>
        <w:t>Mid</w:t>
      </w:r>
      <w:r w:rsidR="000D353F" w:rsidRPr="008A328B">
        <w:rPr>
          <w:rFonts w:asciiTheme="majorBidi" w:eastAsia="Calibri" w:hAnsiTheme="majorBidi" w:cstheme="majorBidi"/>
          <w:b/>
          <w:bCs/>
          <w:color w:val="000000" w:themeColor="text1"/>
          <w:kern w:val="0"/>
          <w:sz w:val="32"/>
          <w:szCs w:val="32"/>
          <w:lang w:bidi="ar-EG"/>
          <w14:ligatures w14:val="none"/>
        </w:rPr>
        <w:t xml:space="preserve"> </w:t>
      </w:r>
      <w:r w:rsidR="0081623B" w:rsidRPr="008A328B">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8A328B" w:rsidRDefault="0081623B" w:rsidP="001C313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A328B">
        <w:rPr>
          <w:rFonts w:asciiTheme="majorBidi" w:eastAsia="Calibri" w:hAnsiTheme="majorBidi" w:cstheme="majorBidi"/>
          <w:b/>
          <w:bCs/>
          <w:color w:val="000000" w:themeColor="text1"/>
          <w:kern w:val="0"/>
          <w:sz w:val="32"/>
          <w:szCs w:val="32"/>
          <w:lang w:bidi="ar-EG"/>
          <w14:ligatures w14:val="none"/>
        </w:rPr>
        <w:t>College of Management</w:t>
      </w:r>
    </w:p>
    <w:p w14:paraId="0479A04F" w14:textId="67D37E8A" w:rsidR="0081623B" w:rsidRPr="008A328B" w:rsidRDefault="00857739" w:rsidP="001C313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8A328B">
        <w:rPr>
          <w:rFonts w:asciiTheme="majorBidi" w:eastAsia="Calibri" w:hAnsiTheme="majorBidi" w:cstheme="majorBidi"/>
          <w:b/>
          <w:bCs/>
          <w:color w:val="000000" w:themeColor="text1"/>
          <w:kern w:val="0"/>
          <w:sz w:val="32"/>
          <w:szCs w:val="32"/>
          <w:lang w:bidi="ar-EG"/>
          <w14:ligatures w14:val="none"/>
        </w:rPr>
        <w:t xml:space="preserve">Department of </w:t>
      </w:r>
      <w:r w:rsidR="006111E3" w:rsidRPr="008A328B">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8A328B" w:rsidRDefault="00CC6261" w:rsidP="001C31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5745440" w14:textId="7ACA028D" w:rsidR="004744E0" w:rsidRPr="008A328B" w:rsidRDefault="004744E0" w:rsidP="005A31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8A328B">
        <w:rPr>
          <w:rFonts w:asciiTheme="majorBidi" w:eastAsia="Calibri" w:hAnsiTheme="majorBidi" w:cstheme="majorBidi"/>
          <w:b/>
          <w:bCs/>
          <w:color w:val="000000" w:themeColor="text1"/>
          <w:kern w:val="0"/>
          <w:sz w:val="40"/>
          <w:szCs w:val="40"/>
          <w:lang w:bidi="ar-EG"/>
          <w14:ligatures w14:val="none"/>
        </w:rPr>
        <w:t>The Impact of Generative Artificial Intelligence Adoption on Performance Indicators and Employee Efficiency in Knowledge-Based Jobs: A Multiple Case Study of Saudi Companies in the Context of Vision 2030</w:t>
      </w:r>
    </w:p>
    <w:p w14:paraId="538FD4EC" w14:textId="77777777" w:rsidR="005A3161" w:rsidRPr="008A328B" w:rsidRDefault="005A3161" w:rsidP="001C31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0E3FED03" w:rsidR="000D353F" w:rsidRPr="008A328B" w:rsidRDefault="000D353F" w:rsidP="005A31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8A328B">
        <w:rPr>
          <w:rFonts w:asciiTheme="majorBidi" w:eastAsia="Calibri" w:hAnsiTheme="majorBidi" w:cstheme="majorBidi"/>
          <w:b/>
          <w:bCs/>
          <w:color w:val="000000" w:themeColor="text1"/>
          <w:kern w:val="0"/>
          <w:sz w:val="36"/>
          <w:szCs w:val="36"/>
          <w:lang w:bidi="ar-EG"/>
          <w14:ligatures w14:val="none"/>
        </w:rPr>
        <w:t>Prepared by:</w:t>
      </w:r>
    </w:p>
    <w:p w14:paraId="757089FB" w14:textId="1CA993B9" w:rsidR="00591D85" w:rsidRPr="008A328B" w:rsidRDefault="00972458" w:rsidP="00D1467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lang w:bidi="ar-YE"/>
          <w14:ligatures w14:val="none"/>
        </w:rPr>
        <w:t>Sara Ahmed Muhail Al-Mutairi</w:t>
      </w:r>
    </w:p>
    <w:p w14:paraId="03864333" w14:textId="4FD9F193" w:rsidR="005A3161" w:rsidRPr="008A328B" w:rsidRDefault="005144F1" w:rsidP="005A31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lang w:bidi="ar-YE"/>
          <w14:ligatures w14:val="none"/>
        </w:rPr>
        <w:t>253000251</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A3161" w:rsidRPr="008A328B" w14:paraId="2F16A75C" w14:textId="77777777" w:rsidTr="006A273E">
        <w:tc>
          <w:tcPr>
            <w:tcW w:w="4530" w:type="dxa"/>
          </w:tcPr>
          <w:p w14:paraId="58C13B42" w14:textId="77777777" w:rsidR="005A3161" w:rsidRPr="008A328B" w:rsidRDefault="005A3161" w:rsidP="006A273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A328B">
              <w:rPr>
                <w:rFonts w:asciiTheme="majorBidi" w:eastAsia="Calibri" w:hAnsiTheme="majorBidi" w:cstheme="majorBidi"/>
                <w:b/>
                <w:bCs/>
                <w:color w:val="000000" w:themeColor="text1"/>
                <w:kern w:val="0"/>
                <w:sz w:val="36"/>
                <w:szCs w:val="36"/>
                <w:lang w:bidi="ar-EG"/>
                <w14:ligatures w14:val="none"/>
              </w:rPr>
              <w:t>Main supervisor</w:t>
            </w:r>
            <w:r w:rsidRPr="008A328B">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80B2853" w14:textId="77777777" w:rsidR="005A3161" w:rsidRPr="008A328B" w:rsidRDefault="005A3161" w:rsidP="006A273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A328B">
              <w:rPr>
                <w:rFonts w:asciiTheme="majorBidi" w:eastAsia="Calibri" w:hAnsiTheme="majorBidi" w:cstheme="majorBidi"/>
                <w:b/>
                <w:bCs/>
                <w:color w:val="000000" w:themeColor="text1"/>
                <w:kern w:val="0"/>
                <w:sz w:val="36"/>
                <w:szCs w:val="36"/>
                <w:lang w:bidi="ar-EG"/>
                <w14:ligatures w14:val="none"/>
              </w:rPr>
              <w:t>Second supervisor</w:t>
            </w:r>
            <w:r w:rsidRPr="008A328B">
              <w:rPr>
                <w:rFonts w:asciiTheme="majorBidi" w:eastAsia="Calibri" w:hAnsiTheme="majorBidi" w:cstheme="majorBidi"/>
                <w:b/>
                <w:bCs/>
                <w:color w:val="000000" w:themeColor="text1"/>
                <w:kern w:val="0"/>
                <w:sz w:val="36"/>
                <w:szCs w:val="36"/>
                <w:rtl/>
                <w:lang w:bidi="ar-EG"/>
                <w14:ligatures w14:val="none"/>
              </w:rPr>
              <w:t>/</w:t>
            </w:r>
          </w:p>
        </w:tc>
      </w:tr>
      <w:tr w:rsidR="005A3161" w:rsidRPr="008A328B" w14:paraId="3D698230" w14:textId="77777777" w:rsidTr="006A273E">
        <w:tc>
          <w:tcPr>
            <w:tcW w:w="4530" w:type="dxa"/>
          </w:tcPr>
          <w:p w14:paraId="131F3889" w14:textId="77777777" w:rsidR="005A3161" w:rsidRPr="008A328B" w:rsidRDefault="005A3161" w:rsidP="006A273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A328B">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FC89784" w14:textId="77777777" w:rsidR="005A3161" w:rsidRPr="008A328B" w:rsidRDefault="005A3161" w:rsidP="006A273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A328B">
              <w:rPr>
                <w:rFonts w:asciiTheme="majorBidi" w:eastAsia="Calibri" w:hAnsiTheme="majorBidi" w:cstheme="majorBidi"/>
                <w:color w:val="000000" w:themeColor="text1"/>
                <w:kern w:val="0"/>
                <w:sz w:val="36"/>
                <w:szCs w:val="36"/>
                <w:lang w:bidi="ar-EG"/>
                <w14:ligatures w14:val="none"/>
              </w:rPr>
              <w:t>Dr. Fayez Jarad</w:t>
            </w:r>
          </w:p>
        </w:tc>
      </w:tr>
    </w:tbl>
    <w:p w14:paraId="13B4401C" w14:textId="77777777" w:rsidR="005A3161" w:rsidRPr="008A328B" w:rsidRDefault="005A3161" w:rsidP="005A3161">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8A328B">
        <w:rPr>
          <w:rFonts w:asciiTheme="majorBidi" w:eastAsia="Calibri" w:hAnsiTheme="majorBidi" w:cstheme="majorBidi"/>
          <w:color w:val="000000" w:themeColor="text1"/>
          <w:kern w:val="0"/>
          <w:sz w:val="36"/>
          <w:szCs w:val="36"/>
          <w:rtl/>
          <w:lang w:bidi="ar-EG"/>
          <w14:ligatures w14:val="none"/>
        </w:rPr>
        <w:t>1448 – 2026</w:t>
      </w:r>
    </w:p>
    <w:p w14:paraId="50CCB825" w14:textId="77777777" w:rsidR="005A3161" w:rsidRPr="008A328B" w:rsidRDefault="005A3161" w:rsidP="005A316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652DD54" w14:textId="77777777" w:rsidR="007B08E2" w:rsidRPr="008A328B" w:rsidRDefault="007B08E2" w:rsidP="001C31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081CE18" w14:textId="77777777" w:rsidR="00623FC1" w:rsidRPr="008A328B" w:rsidRDefault="00623FC1" w:rsidP="001C31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DF770F0" w:rsidR="009125CE" w:rsidRPr="008A328B" w:rsidRDefault="009125CE" w:rsidP="001C3133">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8A328B" w:rsidSect="005A3161">
      <w:footerReference w:type="default" r:id="rId12"/>
      <w:pgSz w:w="11906" w:h="16838" w:code="9"/>
      <w:pgMar w:top="1134" w:right="1701" w:bottom="1134" w:left="1134" w:header="720" w:footer="72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1F9C7" w14:textId="77777777" w:rsidR="00FC2B6C" w:rsidRDefault="00FC2B6C" w:rsidP="009125CE">
      <w:pPr>
        <w:spacing w:after="0" w:line="240" w:lineRule="auto"/>
      </w:pPr>
      <w:r>
        <w:separator/>
      </w:r>
    </w:p>
  </w:endnote>
  <w:endnote w:type="continuationSeparator" w:id="0">
    <w:p w14:paraId="52B71378" w14:textId="77777777" w:rsidR="00FC2B6C" w:rsidRDefault="00FC2B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28C32482" w:rsidR="006A273E" w:rsidRPr="005A3161" w:rsidRDefault="006A273E" w:rsidP="005A3161">
        <w:pPr>
          <w:pStyle w:val="a4"/>
          <w:tabs>
            <w:tab w:val="left" w:pos="4091"/>
            <w:tab w:val="center" w:pos="4535"/>
          </w:tabs>
          <w:rPr>
            <w:rFonts w:ascii="Simplified Arabic" w:hAnsi="Simplified Arabic" w:cs="Simplified Arabic"/>
            <w:b/>
            <w:bCs/>
            <w:sz w:val="24"/>
            <w:szCs w:val="24"/>
          </w:rPr>
        </w:pPr>
        <w:r w:rsidRPr="005A3161">
          <w:rPr>
            <w:rFonts w:ascii="Simplified Arabic" w:hAnsi="Simplified Arabic" w:cs="Simplified Arabic"/>
            <w:b/>
            <w:bCs/>
            <w:sz w:val="24"/>
            <w:szCs w:val="24"/>
            <w:rtl/>
          </w:rPr>
          <w:tab/>
        </w:r>
        <w:r w:rsidRPr="005A3161">
          <w:rPr>
            <w:rFonts w:ascii="Simplified Arabic" w:hAnsi="Simplified Arabic" w:cs="Simplified Arabic"/>
            <w:b/>
            <w:bCs/>
            <w:sz w:val="24"/>
            <w:szCs w:val="24"/>
            <w:rtl/>
          </w:rPr>
          <w:tab/>
        </w:r>
        <w:r w:rsidRPr="005A3161">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41317713"/>
      <w:docPartObj>
        <w:docPartGallery w:val="Page Numbers (Bottom of Page)"/>
        <w:docPartUnique/>
      </w:docPartObj>
    </w:sdtPr>
    <w:sdtEndPr>
      <w:rPr>
        <w:noProof/>
      </w:rPr>
    </w:sdtEndPr>
    <w:sdtContent>
      <w:p w14:paraId="641FDC3B" w14:textId="77777777" w:rsidR="006A273E" w:rsidRPr="005A3161" w:rsidRDefault="006A273E" w:rsidP="005A3161">
        <w:pPr>
          <w:pStyle w:val="a4"/>
          <w:tabs>
            <w:tab w:val="left" w:pos="4091"/>
            <w:tab w:val="center" w:pos="4535"/>
          </w:tabs>
          <w:rPr>
            <w:rFonts w:ascii="Simplified Arabic" w:hAnsi="Simplified Arabic" w:cs="Simplified Arabic"/>
            <w:b/>
            <w:bCs/>
            <w:sz w:val="24"/>
            <w:szCs w:val="24"/>
          </w:rPr>
        </w:pPr>
        <w:r w:rsidRPr="005A3161">
          <w:rPr>
            <w:rFonts w:ascii="Simplified Arabic" w:hAnsi="Simplified Arabic" w:cs="Simplified Arabic"/>
            <w:b/>
            <w:bCs/>
            <w:sz w:val="24"/>
            <w:szCs w:val="24"/>
            <w:rtl/>
          </w:rPr>
          <w:tab/>
        </w:r>
        <w:r w:rsidRPr="005A3161">
          <w:rPr>
            <w:rFonts w:ascii="Simplified Arabic" w:hAnsi="Simplified Arabic" w:cs="Simplified Arabic"/>
            <w:b/>
            <w:bCs/>
            <w:sz w:val="24"/>
            <w:szCs w:val="24"/>
            <w:rtl/>
          </w:rPr>
          <w:tab/>
        </w:r>
        <w:r w:rsidRPr="005A3161">
          <w:rPr>
            <w:rFonts w:ascii="Simplified Arabic" w:hAnsi="Simplified Arabic" w:cs="Simplified Arabic"/>
            <w:b/>
            <w:bCs/>
            <w:sz w:val="24"/>
            <w:szCs w:val="24"/>
            <w:rtl/>
          </w:rPr>
          <w:tab/>
        </w:r>
        <w:r w:rsidRPr="005A3161">
          <w:rPr>
            <w:rFonts w:ascii="Simplified Arabic" w:hAnsi="Simplified Arabic" w:cs="Simplified Arabic"/>
            <w:b/>
            <w:bCs/>
            <w:sz w:val="24"/>
            <w:szCs w:val="24"/>
          </w:rPr>
          <w:fldChar w:fldCharType="begin"/>
        </w:r>
        <w:r w:rsidRPr="005A3161">
          <w:rPr>
            <w:rFonts w:ascii="Simplified Arabic" w:hAnsi="Simplified Arabic" w:cs="Simplified Arabic"/>
            <w:b/>
            <w:bCs/>
            <w:sz w:val="24"/>
            <w:szCs w:val="24"/>
          </w:rPr>
          <w:instrText xml:space="preserve"> PAGE   \* MERGEFORMAT </w:instrText>
        </w:r>
        <w:r w:rsidRPr="005A3161">
          <w:rPr>
            <w:rFonts w:ascii="Simplified Arabic" w:hAnsi="Simplified Arabic" w:cs="Simplified Arabic"/>
            <w:b/>
            <w:bCs/>
            <w:sz w:val="24"/>
            <w:szCs w:val="24"/>
          </w:rPr>
          <w:fldChar w:fldCharType="separate"/>
        </w:r>
        <w:r w:rsidR="007C470C">
          <w:rPr>
            <w:rFonts w:ascii="Simplified Arabic" w:hAnsi="Simplified Arabic" w:cs="Simplified Arabic"/>
            <w:b/>
            <w:bCs/>
            <w:noProof/>
            <w:sz w:val="24"/>
            <w:szCs w:val="24"/>
            <w:rtl/>
          </w:rPr>
          <w:t>48</w:t>
        </w:r>
        <w:r w:rsidRPr="005A3161">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E64F4" w14:textId="7CF5B28F" w:rsidR="006A273E" w:rsidRDefault="006A273E" w:rsidP="005A3161">
    <w:pPr>
      <w:pStyle w:val="a4"/>
      <w:jc w:val="center"/>
    </w:pPr>
  </w:p>
  <w:p w14:paraId="26F3CBAB" w14:textId="77777777" w:rsidR="006A273E" w:rsidRDefault="006A27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05E8C" w14:textId="77777777" w:rsidR="00FC2B6C" w:rsidRDefault="00FC2B6C" w:rsidP="009125CE">
      <w:pPr>
        <w:spacing w:after="0" w:line="240" w:lineRule="auto"/>
      </w:pPr>
      <w:r>
        <w:separator/>
      </w:r>
    </w:p>
  </w:footnote>
  <w:footnote w:type="continuationSeparator" w:id="0">
    <w:p w14:paraId="1B7F5DB4" w14:textId="77777777" w:rsidR="00FC2B6C" w:rsidRDefault="00FC2B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9A2"/>
    <w:multiLevelType w:val="multilevel"/>
    <w:tmpl w:val="5898125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F320DA"/>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475613"/>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CB0CFB"/>
    <w:multiLevelType w:val="hybridMultilevel"/>
    <w:tmpl w:val="4704B2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C4595"/>
    <w:multiLevelType w:val="hybridMultilevel"/>
    <w:tmpl w:val="4C92E62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B21783"/>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D20B7C"/>
    <w:multiLevelType w:val="multilevel"/>
    <w:tmpl w:val="B4326D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A0344"/>
    <w:multiLevelType w:val="multilevel"/>
    <w:tmpl w:val="84C05E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8C5B15"/>
    <w:multiLevelType w:val="multilevel"/>
    <w:tmpl w:val="5898125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A6968"/>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844AE6"/>
    <w:multiLevelType w:val="hybridMultilevel"/>
    <w:tmpl w:val="5E3238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EC50D0"/>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190DC9"/>
    <w:multiLevelType w:val="multilevel"/>
    <w:tmpl w:val="B4326D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0E2374"/>
    <w:multiLevelType w:val="multilevel"/>
    <w:tmpl w:val="824C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BA3DA6"/>
    <w:multiLevelType w:val="multilevel"/>
    <w:tmpl w:val="869C9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725D86"/>
    <w:multiLevelType w:val="hybridMultilevel"/>
    <w:tmpl w:val="419C50B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DE1AC4"/>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492D01"/>
    <w:multiLevelType w:val="multilevel"/>
    <w:tmpl w:val="19DC7E7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DA33DE"/>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1A42C7"/>
    <w:multiLevelType w:val="hybridMultilevel"/>
    <w:tmpl w:val="4C8C174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AA0F14"/>
    <w:multiLevelType w:val="hybridMultilevel"/>
    <w:tmpl w:val="5872963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F900EB9"/>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5D34E3"/>
    <w:multiLevelType w:val="hybridMultilevel"/>
    <w:tmpl w:val="41BE8EF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A007586"/>
    <w:multiLevelType w:val="hybridMultilevel"/>
    <w:tmpl w:val="CA9A2F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6C542815"/>
    <w:multiLevelType w:val="multilevel"/>
    <w:tmpl w:val="B4326D3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FC41C6"/>
    <w:multiLevelType w:val="multilevel"/>
    <w:tmpl w:val="3092C9E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1D3CE0"/>
    <w:multiLevelType w:val="multilevel"/>
    <w:tmpl w:val="19DC7E7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89071C"/>
    <w:multiLevelType w:val="multilevel"/>
    <w:tmpl w:val="C0340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1787779">
    <w:abstractNumId w:val="6"/>
  </w:num>
  <w:num w:numId="2" w16cid:durableId="1716654951">
    <w:abstractNumId w:val="14"/>
  </w:num>
  <w:num w:numId="3" w16cid:durableId="48191345">
    <w:abstractNumId w:val="26"/>
  </w:num>
  <w:num w:numId="4" w16cid:durableId="1437410284">
    <w:abstractNumId w:val="7"/>
  </w:num>
  <w:num w:numId="5" w16cid:durableId="1370111477">
    <w:abstractNumId w:val="13"/>
  </w:num>
  <w:num w:numId="6" w16cid:durableId="372196920">
    <w:abstractNumId w:val="24"/>
  </w:num>
  <w:num w:numId="7" w16cid:durableId="638875410">
    <w:abstractNumId w:val="29"/>
  </w:num>
  <w:num w:numId="8" w16cid:durableId="1004437468">
    <w:abstractNumId w:val="15"/>
  </w:num>
  <w:num w:numId="9" w16cid:durableId="1879775483">
    <w:abstractNumId w:val="3"/>
  </w:num>
  <w:num w:numId="10" w16cid:durableId="2013755120">
    <w:abstractNumId w:val="11"/>
  </w:num>
  <w:num w:numId="11" w16cid:durableId="1947885642">
    <w:abstractNumId w:val="0"/>
  </w:num>
  <w:num w:numId="12" w16cid:durableId="2140030955">
    <w:abstractNumId w:val="8"/>
  </w:num>
  <w:num w:numId="13" w16cid:durableId="917326891">
    <w:abstractNumId w:val="22"/>
  </w:num>
  <w:num w:numId="14" w16cid:durableId="27876536">
    <w:abstractNumId w:val="18"/>
  </w:num>
  <w:num w:numId="15" w16cid:durableId="1987854395">
    <w:abstractNumId w:val="23"/>
  </w:num>
  <w:num w:numId="16" w16cid:durableId="222526306">
    <w:abstractNumId w:val="2"/>
  </w:num>
  <w:num w:numId="17" w16cid:durableId="1530139550">
    <w:abstractNumId w:val="27"/>
  </w:num>
  <w:num w:numId="18" w16cid:durableId="697511818">
    <w:abstractNumId w:val="9"/>
  </w:num>
  <w:num w:numId="19" w16cid:durableId="1192300992">
    <w:abstractNumId w:val="25"/>
  </w:num>
  <w:num w:numId="20" w16cid:durableId="1467356782">
    <w:abstractNumId w:val="17"/>
  </w:num>
  <w:num w:numId="21" w16cid:durableId="1466393137">
    <w:abstractNumId w:val="5"/>
  </w:num>
  <w:num w:numId="22" w16cid:durableId="1308625296">
    <w:abstractNumId w:val="21"/>
  </w:num>
  <w:num w:numId="23" w16cid:durableId="1298029723">
    <w:abstractNumId w:val="1"/>
  </w:num>
  <w:num w:numId="24" w16cid:durableId="886717602">
    <w:abstractNumId w:val="28"/>
  </w:num>
  <w:num w:numId="25" w16cid:durableId="1015619258">
    <w:abstractNumId w:val="12"/>
  </w:num>
  <w:num w:numId="26" w16cid:durableId="291908045">
    <w:abstractNumId w:val="10"/>
  </w:num>
  <w:num w:numId="27" w16cid:durableId="1308168636">
    <w:abstractNumId w:val="19"/>
  </w:num>
  <w:num w:numId="28" w16cid:durableId="176507275">
    <w:abstractNumId w:val="16"/>
  </w:num>
  <w:num w:numId="29" w16cid:durableId="324363167">
    <w:abstractNumId w:val="20"/>
  </w:num>
  <w:num w:numId="30" w16cid:durableId="208929959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0913"/>
    <w:rsid w:val="0004554E"/>
    <w:rsid w:val="00052AB0"/>
    <w:rsid w:val="00053122"/>
    <w:rsid w:val="000543EF"/>
    <w:rsid w:val="000602CA"/>
    <w:rsid w:val="000610C9"/>
    <w:rsid w:val="00061FA2"/>
    <w:rsid w:val="00064FF1"/>
    <w:rsid w:val="00067938"/>
    <w:rsid w:val="0007370A"/>
    <w:rsid w:val="000769E1"/>
    <w:rsid w:val="000842EB"/>
    <w:rsid w:val="00091FE7"/>
    <w:rsid w:val="00093973"/>
    <w:rsid w:val="00094E98"/>
    <w:rsid w:val="000A06E6"/>
    <w:rsid w:val="000A2ED4"/>
    <w:rsid w:val="000A4AC3"/>
    <w:rsid w:val="000A4DAE"/>
    <w:rsid w:val="000A6930"/>
    <w:rsid w:val="000C4130"/>
    <w:rsid w:val="000C46EE"/>
    <w:rsid w:val="000C6F98"/>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3133"/>
    <w:rsid w:val="001C42F9"/>
    <w:rsid w:val="001D4406"/>
    <w:rsid w:val="001E7B16"/>
    <w:rsid w:val="001F0034"/>
    <w:rsid w:val="001F159D"/>
    <w:rsid w:val="001F46A5"/>
    <w:rsid w:val="002033EC"/>
    <w:rsid w:val="00216647"/>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70FDA"/>
    <w:rsid w:val="0037141D"/>
    <w:rsid w:val="00375565"/>
    <w:rsid w:val="00375658"/>
    <w:rsid w:val="003773DF"/>
    <w:rsid w:val="00377D51"/>
    <w:rsid w:val="00377DD2"/>
    <w:rsid w:val="0038272F"/>
    <w:rsid w:val="0038357B"/>
    <w:rsid w:val="00384D34"/>
    <w:rsid w:val="003873E8"/>
    <w:rsid w:val="00396510"/>
    <w:rsid w:val="003A5312"/>
    <w:rsid w:val="003A757C"/>
    <w:rsid w:val="003B30A9"/>
    <w:rsid w:val="003B44D3"/>
    <w:rsid w:val="003B48BD"/>
    <w:rsid w:val="003B51C3"/>
    <w:rsid w:val="003C2495"/>
    <w:rsid w:val="003D5D45"/>
    <w:rsid w:val="003D6376"/>
    <w:rsid w:val="003E29FB"/>
    <w:rsid w:val="003E3EBB"/>
    <w:rsid w:val="003E7CB6"/>
    <w:rsid w:val="0040184D"/>
    <w:rsid w:val="00401DBE"/>
    <w:rsid w:val="00402123"/>
    <w:rsid w:val="00403383"/>
    <w:rsid w:val="004130C0"/>
    <w:rsid w:val="00413CBD"/>
    <w:rsid w:val="00413DF8"/>
    <w:rsid w:val="00413F36"/>
    <w:rsid w:val="004163C7"/>
    <w:rsid w:val="004215C5"/>
    <w:rsid w:val="0042402B"/>
    <w:rsid w:val="004260FE"/>
    <w:rsid w:val="00433FD4"/>
    <w:rsid w:val="0043649D"/>
    <w:rsid w:val="00446ED1"/>
    <w:rsid w:val="004475C8"/>
    <w:rsid w:val="004613E8"/>
    <w:rsid w:val="00461DB2"/>
    <w:rsid w:val="00464637"/>
    <w:rsid w:val="00464AF1"/>
    <w:rsid w:val="004706B4"/>
    <w:rsid w:val="004708AB"/>
    <w:rsid w:val="00470A2D"/>
    <w:rsid w:val="00473631"/>
    <w:rsid w:val="004744E0"/>
    <w:rsid w:val="00474A1C"/>
    <w:rsid w:val="00475C10"/>
    <w:rsid w:val="00476ADB"/>
    <w:rsid w:val="0047707D"/>
    <w:rsid w:val="00482056"/>
    <w:rsid w:val="00482616"/>
    <w:rsid w:val="00491EAB"/>
    <w:rsid w:val="004A035D"/>
    <w:rsid w:val="004A04D1"/>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4F1"/>
    <w:rsid w:val="005146DA"/>
    <w:rsid w:val="0051585E"/>
    <w:rsid w:val="00522010"/>
    <w:rsid w:val="0052581D"/>
    <w:rsid w:val="00525FBC"/>
    <w:rsid w:val="005423FA"/>
    <w:rsid w:val="00544E3F"/>
    <w:rsid w:val="00545455"/>
    <w:rsid w:val="005459E0"/>
    <w:rsid w:val="00545E45"/>
    <w:rsid w:val="00550EC8"/>
    <w:rsid w:val="005527F0"/>
    <w:rsid w:val="00557A05"/>
    <w:rsid w:val="00557B85"/>
    <w:rsid w:val="0058553D"/>
    <w:rsid w:val="0058591B"/>
    <w:rsid w:val="00586F13"/>
    <w:rsid w:val="00590B27"/>
    <w:rsid w:val="00591C45"/>
    <w:rsid w:val="00591D85"/>
    <w:rsid w:val="00597F74"/>
    <w:rsid w:val="005A3161"/>
    <w:rsid w:val="005A4FB6"/>
    <w:rsid w:val="005A755A"/>
    <w:rsid w:val="005B112C"/>
    <w:rsid w:val="005B2F92"/>
    <w:rsid w:val="005B5824"/>
    <w:rsid w:val="005B7D85"/>
    <w:rsid w:val="005C011C"/>
    <w:rsid w:val="005D0E3A"/>
    <w:rsid w:val="005D1F90"/>
    <w:rsid w:val="005D25AE"/>
    <w:rsid w:val="005D2620"/>
    <w:rsid w:val="005D5DB7"/>
    <w:rsid w:val="005E37C2"/>
    <w:rsid w:val="005E3F86"/>
    <w:rsid w:val="005E4AF3"/>
    <w:rsid w:val="005F2722"/>
    <w:rsid w:val="005F467A"/>
    <w:rsid w:val="006020A6"/>
    <w:rsid w:val="006044AD"/>
    <w:rsid w:val="00604CE7"/>
    <w:rsid w:val="006068C6"/>
    <w:rsid w:val="006111E3"/>
    <w:rsid w:val="006112DD"/>
    <w:rsid w:val="0061146E"/>
    <w:rsid w:val="00617C5B"/>
    <w:rsid w:val="00623FC1"/>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273E"/>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3E1"/>
    <w:rsid w:val="00705AF7"/>
    <w:rsid w:val="00706E7F"/>
    <w:rsid w:val="0071504C"/>
    <w:rsid w:val="007178EE"/>
    <w:rsid w:val="00723D4E"/>
    <w:rsid w:val="007301E5"/>
    <w:rsid w:val="00731DC0"/>
    <w:rsid w:val="00741B9A"/>
    <w:rsid w:val="007501C6"/>
    <w:rsid w:val="007526FA"/>
    <w:rsid w:val="0075485F"/>
    <w:rsid w:val="00754DB9"/>
    <w:rsid w:val="00755053"/>
    <w:rsid w:val="00756A6F"/>
    <w:rsid w:val="00757802"/>
    <w:rsid w:val="00760A35"/>
    <w:rsid w:val="00766D40"/>
    <w:rsid w:val="00771D9B"/>
    <w:rsid w:val="007739B3"/>
    <w:rsid w:val="007753A5"/>
    <w:rsid w:val="00775634"/>
    <w:rsid w:val="00780E8F"/>
    <w:rsid w:val="0078216A"/>
    <w:rsid w:val="007874FA"/>
    <w:rsid w:val="00791E1F"/>
    <w:rsid w:val="00792A28"/>
    <w:rsid w:val="007A7A94"/>
    <w:rsid w:val="007B08E2"/>
    <w:rsid w:val="007B0AEC"/>
    <w:rsid w:val="007B0E54"/>
    <w:rsid w:val="007B2139"/>
    <w:rsid w:val="007B51D9"/>
    <w:rsid w:val="007C06CD"/>
    <w:rsid w:val="007C170D"/>
    <w:rsid w:val="007C3859"/>
    <w:rsid w:val="007C3D97"/>
    <w:rsid w:val="007C44EB"/>
    <w:rsid w:val="007C470C"/>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4664"/>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328B"/>
    <w:rsid w:val="008A425D"/>
    <w:rsid w:val="008B024C"/>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563EE"/>
    <w:rsid w:val="0096099D"/>
    <w:rsid w:val="009638CB"/>
    <w:rsid w:val="00963C6C"/>
    <w:rsid w:val="00964E82"/>
    <w:rsid w:val="009652F6"/>
    <w:rsid w:val="00970F41"/>
    <w:rsid w:val="00972458"/>
    <w:rsid w:val="0097383F"/>
    <w:rsid w:val="009760DA"/>
    <w:rsid w:val="00976DC2"/>
    <w:rsid w:val="00980234"/>
    <w:rsid w:val="00984196"/>
    <w:rsid w:val="00985B71"/>
    <w:rsid w:val="0098768E"/>
    <w:rsid w:val="00994120"/>
    <w:rsid w:val="009A1D1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1E73"/>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03DC"/>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A0E1B"/>
    <w:rsid w:val="00BA1572"/>
    <w:rsid w:val="00BA1B67"/>
    <w:rsid w:val="00BA3D6A"/>
    <w:rsid w:val="00BA5817"/>
    <w:rsid w:val="00BB1144"/>
    <w:rsid w:val="00BB3514"/>
    <w:rsid w:val="00BB5324"/>
    <w:rsid w:val="00BB6CD7"/>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525"/>
    <w:rsid w:val="00CA49E9"/>
    <w:rsid w:val="00CA6DC7"/>
    <w:rsid w:val="00CB2A94"/>
    <w:rsid w:val="00CB4A76"/>
    <w:rsid w:val="00CC4484"/>
    <w:rsid w:val="00CC6261"/>
    <w:rsid w:val="00CC6705"/>
    <w:rsid w:val="00CC7877"/>
    <w:rsid w:val="00CD105C"/>
    <w:rsid w:val="00CD70CC"/>
    <w:rsid w:val="00CF1F0B"/>
    <w:rsid w:val="00CF4901"/>
    <w:rsid w:val="00CF552E"/>
    <w:rsid w:val="00CF6CEC"/>
    <w:rsid w:val="00D043D4"/>
    <w:rsid w:val="00D1053F"/>
    <w:rsid w:val="00D10F38"/>
    <w:rsid w:val="00D1454F"/>
    <w:rsid w:val="00D1467E"/>
    <w:rsid w:val="00D216C5"/>
    <w:rsid w:val="00D22171"/>
    <w:rsid w:val="00D274B5"/>
    <w:rsid w:val="00D27AED"/>
    <w:rsid w:val="00D30845"/>
    <w:rsid w:val="00D3210F"/>
    <w:rsid w:val="00D32470"/>
    <w:rsid w:val="00D33051"/>
    <w:rsid w:val="00D417B5"/>
    <w:rsid w:val="00D5653F"/>
    <w:rsid w:val="00D57D04"/>
    <w:rsid w:val="00D60743"/>
    <w:rsid w:val="00D92BC0"/>
    <w:rsid w:val="00D92F77"/>
    <w:rsid w:val="00D965B5"/>
    <w:rsid w:val="00DA0EBA"/>
    <w:rsid w:val="00DA1C1B"/>
    <w:rsid w:val="00DA3284"/>
    <w:rsid w:val="00DA3C05"/>
    <w:rsid w:val="00DA4A91"/>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4C32"/>
    <w:rsid w:val="00E452A2"/>
    <w:rsid w:val="00E50B03"/>
    <w:rsid w:val="00E53564"/>
    <w:rsid w:val="00E552BA"/>
    <w:rsid w:val="00E640C5"/>
    <w:rsid w:val="00E64188"/>
    <w:rsid w:val="00E6570B"/>
    <w:rsid w:val="00E663FA"/>
    <w:rsid w:val="00E67CA1"/>
    <w:rsid w:val="00E67D1B"/>
    <w:rsid w:val="00E71C79"/>
    <w:rsid w:val="00E738F9"/>
    <w:rsid w:val="00E7565E"/>
    <w:rsid w:val="00E76742"/>
    <w:rsid w:val="00E76A3D"/>
    <w:rsid w:val="00E76DB1"/>
    <w:rsid w:val="00E802F2"/>
    <w:rsid w:val="00E82DAD"/>
    <w:rsid w:val="00E86613"/>
    <w:rsid w:val="00E97126"/>
    <w:rsid w:val="00EA15E2"/>
    <w:rsid w:val="00EA421B"/>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4C12"/>
    <w:rsid w:val="00F10C89"/>
    <w:rsid w:val="00F11345"/>
    <w:rsid w:val="00F12EEC"/>
    <w:rsid w:val="00F1646F"/>
    <w:rsid w:val="00F17434"/>
    <w:rsid w:val="00F30BD7"/>
    <w:rsid w:val="00F310F2"/>
    <w:rsid w:val="00F33937"/>
    <w:rsid w:val="00F3442D"/>
    <w:rsid w:val="00F450D5"/>
    <w:rsid w:val="00F540A1"/>
    <w:rsid w:val="00F546CE"/>
    <w:rsid w:val="00F563E2"/>
    <w:rsid w:val="00F60BB7"/>
    <w:rsid w:val="00F66109"/>
    <w:rsid w:val="00F72CBB"/>
    <w:rsid w:val="00F733B2"/>
    <w:rsid w:val="00F8780B"/>
    <w:rsid w:val="00F91846"/>
    <w:rsid w:val="00F95872"/>
    <w:rsid w:val="00FA0A03"/>
    <w:rsid w:val="00FA24AF"/>
    <w:rsid w:val="00FA3CED"/>
    <w:rsid w:val="00FA4282"/>
    <w:rsid w:val="00FA44AF"/>
    <w:rsid w:val="00FB11CC"/>
    <w:rsid w:val="00FB22B3"/>
    <w:rsid w:val="00FB4F4E"/>
    <w:rsid w:val="00FB7A83"/>
    <w:rsid w:val="00FC20BB"/>
    <w:rsid w:val="00FC2B6C"/>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table" w:styleId="60">
    <w:name w:val="Grid Table 6 Colorful"/>
    <w:basedOn w:val="a1"/>
    <w:uiPriority w:val="51"/>
    <w:rsid w:val="001C313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5A316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4299438">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1456495">
      <w:bodyDiv w:val="1"/>
      <w:marLeft w:val="0"/>
      <w:marRight w:val="0"/>
      <w:marTop w:val="0"/>
      <w:marBottom w:val="0"/>
      <w:divBdr>
        <w:top w:val="none" w:sz="0" w:space="0" w:color="auto"/>
        <w:left w:val="none" w:sz="0" w:space="0" w:color="auto"/>
        <w:bottom w:val="none" w:sz="0" w:space="0" w:color="auto"/>
        <w:right w:val="none" w:sz="0" w:space="0" w:color="auto"/>
      </w:divBdr>
    </w:div>
    <w:div w:id="10685329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082641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0454006">
      <w:bodyDiv w:val="1"/>
      <w:marLeft w:val="0"/>
      <w:marRight w:val="0"/>
      <w:marTop w:val="0"/>
      <w:marBottom w:val="0"/>
      <w:divBdr>
        <w:top w:val="none" w:sz="0" w:space="0" w:color="auto"/>
        <w:left w:val="none" w:sz="0" w:space="0" w:color="auto"/>
        <w:bottom w:val="none" w:sz="0" w:space="0" w:color="auto"/>
        <w:right w:val="none" w:sz="0" w:space="0" w:color="auto"/>
      </w:divBdr>
    </w:div>
    <w:div w:id="265886776">
      <w:bodyDiv w:val="1"/>
      <w:marLeft w:val="0"/>
      <w:marRight w:val="0"/>
      <w:marTop w:val="0"/>
      <w:marBottom w:val="0"/>
      <w:divBdr>
        <w:top w:val="none" w:sz="0" w:space="0" w:color="auto"/>
        <w:left w:val="none" w:sz="0" w:space="0" w:color="auto"/>
        <w:bottom w:val="none" w:sz="0" w:space="0" w:color="auto"/>
        <w:right w:val="none" w:sz="0" w:space="0" w:color="auto"/>
      </w:divBdr>
    </w:div>
    <w:div w:id="274024228">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402291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8190198">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4598094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368191850">
      <w:bodyDiv w:val="1"/>
      <w:marLeft w:val="0"/>
      <w:marRight w:val="0"/>
      <w:marTop w:val="0"/>
      <w:marBottom w:val="0"/>
      <w:divBdr>
        <w:top w:val="none" w:sz="0" w:space="0" w:color="auto"/>
        <w:left w:val="none" w:sz="0" w:space="0" w:color="auto"/>
        <w:bottom w:val="none" w:sz="0" w:space="0" w:color="auto"/>
        <w:right w:val="none" w:sz="0" w:space="0" w:color="auto"/>
      </w:divBdr>
    </w:div>
    <w:div w:id="39066258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3749531">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86394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396197">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453571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6427960">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567659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5865562">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215183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70665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15916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8289118">
      <w:bodyDiv w:val="1"/>
      <w:marLeft w:val="0"/>
      <w:marRight w:val="0"/>
      <w:marTop w:val="0"/>
      <w:marBottom w:val="0"/>
      <w:divBdr>
        <w:top w:val="none" w:sz="0" w:space="0" w:color="auto"/>
        <w:left w:val="none" w:sz="0" w:space="0" w:color="auto"/>
        <w:bottom w:val="none" w:sz="0" w:space="0" w:color="auto"/>
        <w:right w:val="none" w:sz="0" w:space="0" w:color="auto"/>
      </w:divBdr>
    </w:div>
    <w:div w:id="669213691">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2488815">
      <w:bodyDiv w:val="1"/>
      <w:marLeft w:val="0"/>
      <w:marRight w:val="0"/>
      <w:marTop w:val="0"/>
      <w:marBottom w:val="0"/>
      <w:divBdr>
        <w:top w:val="none" w:sz="0" w:space="0" w:color="auto"/>
        <w:left w:val="none" w:sz="0" w:space="0" w:color="auto"/>
        <w:bottom w:val="none" w:sz="0" w:space="0" w:color="auto"/>
        <w:right w:val="none" w:sz="0" w:space="0" w:color="auto"/>
      </w:divBdr>
    </w:div>
    <w:div w:id="741802855">
      <w:bodyDiv w:val="1"/>
      <w:marLeft w:val="0"/>
      <w:marRight w:val="0"/>
      <w:marTop w:val="0"/>
      <w:marBottom w:val="0"/>
      <w:divBdr>
        <w:top w:val="none" w:sz="0" w:space="0" w:color="auto"/>
        <w:left w:val="none" w:sz="0" w:space="0" w:color="auto"/>
        <w:bottom w:val="none" w:sz="0" w:space="0" w:color="auto"/>
        <w:right w:val="none" w:sz="0" w:space="0" w:color="auto"/>
      </w:divBdr>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172002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226293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475598">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0743660">
      <w:bodyDiv w:val="1"/>
      <w:marLeft w:val="0"/>
      <w:marRight w:val="0"/>
      <w:marTop w:val="0"/>
      <w:marBottom w:val="0"/>
      <w:divBdr>
        <w:top w:val="none" w:sz="0" w:space="0" w:color="auto"/>
        <w:left w:val="none" w:sz="0" w:space="0" w:color="auto"/>
        <w:bottom w:val="none" w:sz="0" w:space="0" w:color="auto"/>
        <w:right w:val="none" w:sz="0" w:space="0" w:color="auto"/>
      </w:divBdr>
    </w:div>
    <w:div w:id="128499361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552121">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435716">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8258960">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97366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69133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2615602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47507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6494158">
      <w:bodyDiv w:val="1"/>
      <w:marLeft w:val="0"/>
      <w:marRight w:val="0"/>
      <w:marTop w:val="0"/>
      <w:marBottom w:val="0"/>
      <w:divBdr>
        <w:top w:val="none" w:sz="0" w:space="0" w:color="auto"/>
        <w:left w:val="none" w:sz="0" w:space="0" w:color="auto"/>
        <w:bottom w:val="none" w:sz="0" w:space="0" w:color="auto"/>
        <w:right w:val="none" w:sz="0" w:space="0" w:color="auto"/>
      </w:divBdr>
    </w:div>
    <w:div w:id="166855499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000971">
      <w:bodyDiv w:val="1"/>
      <w:marLeft w:val="0"/>
      <w:marRight w:val="0"/>
      <w:marTop w:val="0"/>
      <w:marBottom w:val="0"/>
      <w:divBdr>
        <w:top w:val="none" w:sz="0" w:space="0" w:color="auto"/>
        <w:left w:val="none" w:sz="0" w:space="0" w:color="auto"/>
        <w:bottom w:val="none" w:sz="0" w:space="0" w:color="auto"/>
        <w:right w:val="none" w:sz="0" w:space="0" w:color="auto"/>
      </w:divBdr>
    </w:div>
    <w:div w:id="17578253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5415882">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88226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3403070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804588">
      <w:bodyDiv w:val="1"/>
      <w:marLeft w:val="0"/>
      <w:marRight w:val="0"/>
      <w:marTop w:val="0"/>
      <w:marBottom w:val="0"/>
      <w:divBdr>
        <w:top w:val="none" w:sz="0" w:space="0" w:color="auto"/>
        <w:left w:val="none" w:sz="0" w:space="0" w:color="auto"/>
        <w:bottom w:val="none" w:sz="0" w:space="0" w:color="auto"/>
        <w:right w:val="none" w:sz="0" w:space="0" w:color="auto"/>
      </w:divBdr>
    </w:div>
    <w:div w:id="2009164849">
      <w:bodyDiv w:val="1"/>
      <w:marLeft w:val="0"/>
      <w:marRight w:val="0"/>
      <w:marTop w:val="0"/>
      <w:marBottom w:val="0"/>
      <w:divBdr>
        <w:top w:val="none" w:sz="0" w:space="0" w:color="auto"/>
        <w:left w:val="none" w:sz="0" w:space="0" w:color="auto"/>
        <w:bottom w:val="none" w:sz="0" w:space="0" w:color="auto"/>
        <w:right w:val="none" w:sz="0" w:space="0" w:color="auto"/>
      </w:divBdr>
    </w:div>
    <w:div w:id="2010521801">
      <w:bodyDiv w:val="1"/>
      <w:marLeft w:val="0"/>
      <w:marRight w:val="0"/>
      <w:marTop w:val="0"/>
      <w:marBottom w:val="0"/>
      <w:divBdr>
        <w:top w:val="none" w:sz="0" w:space="0" w:color="auto"/>
        <w:left w:val="none" w:sz="0" w:space="0" w:color="auto"/>
        <w:bottom w:val="none" w:sz="0" w:space="0" w:color="auto"/>
        <w:right w:val="none" w:sz="0" w:space="0" w:color="auto"/>
      </w:divBdr>
      <w:divsChild>
        <w:div w:id="2002851878">
          <w:marLeft w:val="0"/>
          <w:marRight w:val="0"/>
          <w:marTop w:val="0"/>
          <w:marBottom w:val="0"/>
          <w:divBdr>
            <w:top w:val="none" w:sz="0" w:space="0" w:color="auto"/>
            <w:left w:val="none" w:sz="0" w:space="0" w:color="auto"/>
            <w:bottom w:val="none" w:sz="0" w:space="0" w:color="auto"/>
            <w:right w:val="none" w:sz="0" w:space="0" w:color="auto"/>
          </w:divBdr>
          <w:divsChild>
            <w:div w:id="286933160">
              <w:marLeft w:val="0"/>
              <w:marRight w:val="0"/>
              <w:marTop w:val="0"/>
              <w:marBottom w:val="0"/>
              <w:divBdr>
                <w:top w:val="none" w:sz="0" w:space="0" w:color="auto"/>
                <w:left w:val="none" w:sz="0" w:space="0" w:color="auto"/>
                <w:bottom w:val="none" w:sz="0" w:space="0" w:color="auto"/>
                <w:right w:val="none" w:sz="0" w:space="0" w:color="auto"/>
              </w:divBdr>
              <w:divsChild>
                <w:div w:id="1979719576">
                  <w:marLeft w:val="0"/>
                  <w:marRight w:val="0"/>
                  <w:marTop w:val="0"/>
                  <w:marBottom w:val="0"/>
                  <w:divBdr>
                    <w:top w:val="none" w:sz="0" w:space="0" w:color="auto"/>
                    <w:left w:val="none" w:sz="0" w:space="0" w:color="auto"/>
                    <w:bottom w:val="none" w:sz="0" w:space="0" w:color="auto"/>
                    <w:right w:val="none" w:sz="0" w:space="0" w:color="auto"/>
                  </w:divBdr>
                  <w:divsChild>
                    <w:div w:id="1169174331">
                      <w:marLeft w:val="0"/>
                      <w:marRight w:val="0"/>
                      <w:marTop w:val="0"/>
                      <w:marBottom w:val="0"/>
                      <w:divBdr>
                        <w:top w:val="none" w:sz="0" w:space="0" w:color="auto"/>
                        <w:left w:val="none" w:sz="0" w:space="0" w:color="auto"/>
                        <w:bottom w:val="none" w:sz="0" w:space="0" w:color="auto"/>
                        <w:right w:val="none" w:sz="0" w:space="0" w:color="auto"/>
                      </w:divBdr>
                      <w:divsChild>
                        <w:div w:id="1940214741">
                          <w:marLeft w:val="0"/>
                          <w:marRight w:val="0"/>
                          <w:marTop w:val="0"/>
                          <w:marBottom w:val="0"/>
                          <w:divBdr>
                            <w:top w:val="none" w:sz="0" w:space="0" w:color="auto"/>
                            <w:left w:val="none" w:sz="0" w:space="0" w:color="auto"/>
                            <w:bottom w:val="none" w:sz="0" w:space="0" w:color="auto"/>
                            <w:right w:val="none" w:sz="0" w:space="0" w:color="auto"/>
                          </w:divBdr>
                          <w:divsChild>
                            <w:div w:id="2114746509">
                              <w:marLeft w:val="0"/>
                              <w:marRight w:val="0"/>
                              <w:marTop w:val="0"/>
                              <w:marBottom w:val="0"/>
                              <w:divBdr>
                                <w:top w:val="none" w:sz="0" w:space="0" w:color="auto"/>
                                <w:left w:val="none" w:sz="0" w:space="0" w:color="auto"/>
                                <w:bottom w:val="none" w:sz="0" w:space="0" w:color="auto"/>
                                <w:right w:val="none" w:sz="0" w:space="0" w:color="auto"/>
                              </w:divBdr>
                              <w:divsChild>
                                <w:div w:id="27545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849081">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49910394">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7075019">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3667375">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2F981D-F2E1-4862-9C06-CE5FAEDEC88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13612</Words>
  <Characters>76933</Characters>
  <Application>Microsoft Office Word</Application>
  <DocSecurity>0</DocSecurity>
  <Lines>641</Lines>
  <Paragraphs>180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Najm Alqusari</cp:lastModifiedBy>
  <cp:revision>2</cp:revision>
  <cp:lastPrinted>2026-07-01T15:39:00Z</cp:lastPrinted>
  <dcterms:created xsi:type="dcterms:W3CDTF">2026-07-12T21:26:00Z</dcterms:created>
  <dcterms:modified xsi:type="dcterms:W3CDTF">2026-07-12T21:26:00Z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