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bidi/>
        <w:spacing w:after="320" w:before="240"/>
        <w:jc w:val="center"/>
      </w:pPr>
      <w:r>
        <w:rPr>
          <w:rFonts w:ascii="Arial" w:cs="Arial" w:eastAsia="Arial" w:hAnsi="Arial"/>
          <w:b/>
          <w:bCs/>
          <w:color w:val="000000"/>
          <w:sz w:val="34"/>
          <w:szCs w:val="34"/>
          <w:rtl/>
        </w:rPr>
        <w:t xml:space="preserve">الفصل الأول: المقدمة والإطار النظري للدراسة</w:t>
      </w:r>
    </w:p>
    <w:p>
      <w:pPr>
        <w:pStyle w:val="Heading2"/>
        <w:bidi/>
        <w:spacing w:after="160" w:before="280"/>
        <w:jc w:val="right"/>
      </w:pPr>
      <w:r>
        <w:rPr>
          <w:rFonts w:ascii="Arial" w:cs="Arial" w:eastAsia="Arial" w:hAnsi="Arial"/>
          <w:b/>
          <w:bCs/>
          <w:color w:val="000000"/>
          <w:sz w:val="30"/>
          <w:szCs w:val="30"/>
          <w:rtl/>
        </w:rPr>
        <w:t xml:space="preserve">1.1 المقدمة</w:t>
      </w:r>
    </w:p>
    <w:p>
      <w:pPr>
        <w:bidi/>
        <w:spacing w:after="160" w:line="360"/>
        <w:ind w:firstLine="425"/>
        <w:jc w:val="both"/>
      </w:pPr>
      <w:r>
        <w:rPr>
          <w:rFonts w:ascii="Arial" w:cs="Arial" w:eastAsia="Arial" w:hAnsi="Arial"/>
          <w:sz w:val="26"/>
          <w:szCs w:val="26"/>
          <w:rtl/>
        </w:rPr>
        <w:t xml:space="preserve">تشهد المملكة العربية السعودية تحولاً تنموياً واسعاً في ظل رؤية 2030، انعكس في تزايد حجم المشاريع الإنشائية الحكومية وتعقيدها، وفي مقدمتها مشاريع البنية التحتية البيئية والمائية والزراعية. وقد رافق هذا التوسع تحدٍّ إداري حقيقي يتمثل في ضمان إنجاز هذه المشاريع ضمن المدد والتكاليف والمواصفات المخططة، وهو ما جعل البحث عن أدوات إدارية وتقنية أكثر تطوراً ضرورة ملحّة لا خياراً كمالياً.</w:t>
      </w:r>
    </w:p>
    <w:p>
      <w:pPr>
        <w:bidi/>
        <w:spacing w:after="160" w:line="360"/>
        <w:ind w:firstLine="425"/>
        <w:jc w:val="both"/>
      </w:pPr>
      <w:r>
        <w:rPr>
          <w:rFonts w:ascii="Arial" w:cs="Arial" w:eastAsia="Arial" w:hAnsi="Arial"/>
          <w:sz w:val="26"/>
          <w:szCs w:val="26"/>
          <w:rtl/>
        </w:rPr>
        <w:t xml:space="preserve">وتبرز تقنيات الذكاء الاصطناعي بوصفها واحدة من أبرز هذه الأدوات، لما تتيحه من قدرة على تحليل كميات ضخمة من بيانات المشاريع، وأتمتة العمليات الروتينية، ودعم صانع القرار بمعلومات آنية، والتنبؤ بالمخاطر قبل وقوعها. ومن هنا جاءت هذه الدراسة لبحث أثر استخدام تقنيات الذكاء الاصطناعي في تحسين كفاءة إدارة المشاريع الإنشائية في وزارة البيئة والمياه والزراعة بالمملكة العربية السعودية.</w:t>
      </w:r>
    </w:p>
    <w:p>
      <w:pPr>
        <w:bidi/>
        <w:spacing w:after="160" w:line="360"/>
        <w:ind w:firstLine="425"/>
        <w:jc w:val="both"/>
      </w:pPr>
      <w:r>
        <w:rPr>
          <w:rFonts w:ascii="Arial" w:cs="Arial" w:eastAsia="Arial" w:hAnsi="Arial"/>
          <w:sz w:val="26"/>
          <w:szCs w:val="26"/>
          <w:rtl/>
        </w:rPr>
        <w:t xml:space="preserve">ويهدف هذا الفصل إلى تقديم الإطار النظري الذي تقوم عليه الدراسة، بدءاً من التعريف بمفهوم الذكاء الاصطناعي وتطوره التاريخي وتصنيفاته، مروراً بأبعاده الأربعة المعتمدة في هذه الدراسة، ثم التعريف بإدارة المشاريع الإنشائية ومفهوم الكفاءة فيها ومؤشرات قياسها والتحديات التي تواجهها في القطاع الحكومي السعودي، وصولاً إلى بيان العلاقة النظرية بين المتغيرين والنماذج النظرية التي استندت إليها الدراسة، بما يتيح لقارئ البحث الإحاطة بكافة الجوانب المتصلة بموضوعه قبل الانتقال إلى مراجعة الدراسات السابقة في الفصل الثاني.</w:t>
      </w:r>
    </w:p>
    <w:p>
      <w:pPr>
        <w:pStyle w:val="Heading2"/>
        <w:bidi/>
        <w:spacing w:after="160" w:before="280"/>
        <w:jc w:val="right"/>
      </w:pPr>
      <w:r>
        <w:rPr>
          <w:rFonts w:ascii="Arial" w:cs="Arial" w:eastAsia="Arial" w:hAnsi="Arial"/>
          <w:b/>
          <w:bCs/>
          <w:color w:val="000000"/>
          <w:sz w:val="30"/>
          <w:szCs w:val="30"/>
          <w:rtl/>
        </w:rPr>
        <w:t xml:space="preserve">1.2 الذكاء الاصطناعي: المفهوم والتطور والتصنيفات</w:t>
      </w:r>
    </w:p>
    <w:p>
      <w:pPr>
        <w:pStyle w:val="Heading3"/>
        <w:bidi/>
        <w:spacing w:after="160" w:before="280"/>
        <w:jc w:val="right"/>
      </w:pPr>
      <w:r>
        <w:rPr>
          <w:rFonts w:ascii="Arial" w:cs="Arial" w:eastAsia="Arial" w:hAnsi="Arial"/>
          <w:b/>
          <w:bCs/>
          <w:color w:val="000000"/>
          <w:sz w:val="27"/>
          <w:szCs w:val="27"/>
          <w:rtl/>
        </w:rPr>
        <w:t xml:space="preserve">1.2.1 مفهوم الذكاء الاصطناعي</w:t>
      </w:r>
    </w:p>
    <w:p>
      <w:pPr>
        <w:bidi/>
        <w:spacing w:after="160" w:line="360"/>
        <w:ind w:firstLine="425"/>
        <w:jc w:val="both"/>
      </w:pPr>
      <w:r>
        <w:rPr>
          <w:rFonts w:ascii="Arial" w:cs="Arial" w:eastAsia="Arial" w:hAnsi="Arial"/>
          <w:sz w:val="26"/>
          <w:szCs w:val="26"/>
          <w:rtl/>
        </w:rPr>
        <w:t xml:space="preserve">يُلاحظ الباحث أن مصطلح الذكاء الاصطناعي، رغم كثرة تداوله في الأدبيات المعاصرة، لا يحمل تعريفاً واحداً متفقاً عليه، بل مجموعة من التعريفات المتقاربة التي تتمحور حول فكرة واحدة: قدرة الآلة على محاكاة بعض وظائف العقل البشري كالتعلم والاستدلال واتخاذ القرار. ويعود الفضل في إرساء اللبنة الأولى لهذا الحقل إلى آلان تورينغ في مطلع الخمسينيات، قبل أن يتبلور الذكاء الاصطناعي كتخصص علمي قائم بذاته عقب مؤتمر دارتموث سنة 1956 (Russell &amp; Norvig, 2016).</w:t>
      </w:r>
    </w:p>
    <w:p>
      <w:pPr>
        <w:bidi/>
        <w:spacing w:after="160" w:line="360"/>
        <w:ind w:firstLine="425"/>
        <w:jc w:val="both"/>
      </w:pPr>
      <w:r>
        <w:rPr>
          <w:rFonts w:ascii="Arial" w:cs="Arial" w:eastAsia="Arial" w:hAnsi="Arial"/>
          <w:sz w:val="26"/>
          <w:szCs w:val="26"/>
          <w:rtl/>
        </w:rPr>
        <w:t xml:space="preserve">وحين يُنظر إلى المفهوم من زاوية إدارة المنظمات، فإنه يتحول من فكرة تقنية مجردة إلى أداة عملية: منظومة من الخوارزميات تستطيع معالجة كميات ضخمة من البيانات واستخلاص أنماط منها، بما يُترجم إلى قرارات أو توصيات تعين المؤسسة على أداء عملها بكفاءة تفوق ما تتيحه الأساليب اليدوية التقليدية (Haque &amp; Fahad, 2025). ويرى الباحث أن هذا البعد التطبيقي هو الأقرب لموضوع الدراسة الحالية، إذ إن الاهتمام هنا ليس بالذكاء الاصطناعي بوصفه علماً نظرياً، وإنما بوصفه أداة تشغيلية تدخل في صميم إدارة المشاريع الإنشائية. وينسجم هذا مع ما خلص إليه Hossain وزملاؤه (2024) من أن دور الذكاء الاصطناعي في بيئة المشاريع لا يقتصر على أتمتة المهام الروتينية، وإنما يمتد ليشمل بناء قدرة مؤسسية على التنبؤ بالمشكلات قبل حدوثها والتعامل معها بصورة استباقية.</w:t>
      </w:r>
    </w:p>
    <w:p>
      <w:pPr>
        <w:bidi/>
        <w:spacing w:after="160" w:line="360"/>
        <w:ind w:firstLine="425"/>
        <w:jc w:val="both"/>
      </w:pPr>
      <w:r>
        <w:rPr>
          <w:rFonts w:ascii="Arial" w:cs="Arial" w:eastAsia="Arial" w:hAnsi="Arial"/>
          <w:sz w:val="26"/>
          <w:szCs w:val="26"/>
          <w:rtl/>
        </w:rPr>
        <w:t xml:space="preserve">أما على المستوى التشريعي في المملكة العربية السعودية، فقد تبنّت الهيئة السعودية للبيانات والذكاء الاصطناعي (سدايا) في وثيقتها الاستراتيجية الوطنية تعريفاً رسمياً يصف الذكاء الاصطناعي بأنه الأنظمة والبرامج القادرة على أداء مهام تستلزم عادة ذكاءً بشرياً، كالتعلم والاستنتاج والتخطيط ومعالجة اللغة الطبيعية وحل المشكلات المعقدة. ويكتسب هذا التعريف أهمية خاصة في سياق الدراسة الحالية لكونه يعكس التوجه الرسمي للدولة في التعامل مع هذه التقنية وتأطيرها ضمن مسار التحول الرقمي.</w:t>
      </w:r>
    </w:p>
    <w:p>
      <w:pPr>
        <w:pStyle w:val="Heading3"/>
        <w:bidi/>
        <w:spacing w:after="160" w:before="280"/>
        <w:jc w:val="right"/>
      </w:pPr>
      <w:r>
        <w:rPr>
          <w:rFonts w:ascii="Arial" w:cs="Arial" w:eastAsia="Arial" w:hAnsi="Arial"/>
          <w:b/>
          <w:bCs/>
          <w:color w:val="000000"/>
          <w:sz w:val="27"/>
          <w:szCs w:val="27"/>
          <w:rtl/>
        </w:rPr>
        <w:t xml:space="preserve">1.2.2 التطور التاريخي للذكاء الاصطناعي</w:t>
      </w:r>
    </w:p>
    <w:p>
      <w:pPr>
        <w:bidi/>
        <w:spacing w:after="160" w:line="360"/>
        <w:ind w:firstLine="425"/>
        <w:jc w:val="both"/>
      </w:pPr>
      <w:r>
        <w:rPr>
          <w:rFonts w:ascii="Arial" w:cs="Arial" w:eastAsia="Arial" w:hAnsi="Arial"/>
          <w:sz w:val="26"/>
          <w:szCs w:val="26"/>
          <w:rtl/>
        </w:rPr>
        <w:t xml:space="preserve">يمكن رصد تطور الذكاء الاصطناعي عبر خمس مراحل متتابعة، بحسب ما تجمع عليه أغلب المراجع المتخصصة (Russell &amp; Norvig, 2016؛ Hossain et al., 2024). فقد انطلقت المرحلة التأسيسية بين عامي 1950 و1969 بأعمال تورينغ الرائدة، ثم تعزّزت بمؤتمر دارتموث 1956 الذي أسّس رسمياً لهذا الحقل، وظهرت خلالها أولى برامج الألعاب الذكية ومحاكيات حل المسائل المنطقية.</w:t>
      </w:r>
    </w:p>
    <w:p>
      <w:pPr>
        <w:bidi/>
        <w:spacing w:after="160" w:line="360"/>
        <w:ind w:firstLine="425"/>
        <w:jc w:val="both"/>
      </w:pPr>
      <w:r>
        <w:rPr>
          <w:rFonts w:ascii="Arial" w:cs="Arial" w:eastAsia="Arial" w:hAnsi="Arial"/>
          <w:sz w:val="26"/>
          <w:szCs w:val="26"/>
          <w:rtl/>
        </w:rPr>
        <w:t xml:space="preserve">وتلتها مرحلة الأنظمة الخبيرة بين عامي 1970 و1989، حين اعتمد الباحثون على تدوين قواعد المعرفة لمحاكاة خبرة المتخصصين في مجالات كالطب والهندسة، مما مكّن الحواسيب لأول مرة من تقديم توصيات تشخيصية شبيهة بتلك التي يصدرها الخبراء البشريون. ثم جاءت مرحلة التعلم الآلي بين عامي 1990 و2009، والتي مثّلت نقلة نوعية إذ تحوّلت المنهجية من البرمجة الصريحة إلى تعلّم النماذج من البيانات ذاتها، عبر خوارزميات الشبكات العصبية وآلات المتجهات الداعمة.</w:t>
      </w:r>
    </w:p>
    <w:p>
      <w:pPr>
        <w:bidi/>
        <w:spacing w:after="160" w:line="360"/>
        <w:ind w:firstLine="425"/>
        <w:jc w:val="both"/>
      </w:pPr>
      <w:r>
        <w:rPr>
          <w:rFonts w:ascii="Arial" w:cs="Arial" w:eastAsia="Arial" w:hAnsi="Arial"/>
          <w:sz w:val="26"/>
          <w:szCs w:val="26"/>
          <w:rtl/>
        </w:rPr>
        <w:t xml:space="preserve">وفي العقد التالي (2010-2019)، أحدث توافر البيانات الضخمة وتطور قدرات المعالجة الحاسوبية طفرة حقيقية عبر نماذج التعلم العميق متعددة الطبقات، التي أثبتت تفوقاً واضحاً في رؤية الحاسوب ومعالجة اللغة الطبيعية. أما المرحلة الراهنة، الممتدة منذ عام 2020، فتتسم بانتشار واسع للنماذج اللغوية الكبيرة والذكاء الاصطناعي التوليدي، بحيث أصبحت هذه الأدوات جزءاً أصيلاً من العمليات التشغيلية للمؤسسات الحكومية والخاصة على حد سواء (Gupta, 2025).</w:t>
      </w:r>
    </w:p>
    <w:p>
      <w:pPr>
        <w:pStyle w:val="Heading3"/>
        <w:bidi/>
        <w:spacing w:after="160" w:before="280"/>
        <w:jc w:val="right"/>
      </w:pPr>
      <w:r>
        <w:rPr>
          <w:rFonts w:ascii="Arial" w:cs="Arial" w:eastAsia="Arial" w:hAnsi="Arial"/>
          <w:b/>
          <w:bCs/>
          <w:color w:val="000000"/>
          <w:sz w:val="27"/>
          <w:szCs w:val="27"/>
          <w:rtl/>
        </w:rPr>
        <w:t xml:space="preserve">1.2.3 تصنيفات الذكاء الاصطناعي وتقنياته</w:t>
      </w:r>
    </w:p>
    <w:p>
      <w:pPr>
        <w:bidi/>
        <w:spacing w:after="160" w:line="360"/>
        <w:ind w:firstLine="425"/>
        <w:jc w:val="both"/>
      </w:pPr>
      <w:r>
        <w:rPr>
          <w:rFonts w:ascii="Arial" w:cs="Arial" w:eastAsia="Arial" w:hAnsi="Arial"/>
          <w:sz w:val="26"/>
          <w:szCs w:val="26"/>
          <w:rtl/>
        </w:rPr>
        <w:t xml:space="preserve">يمكن تصنيف الذكاء الاصطناعي وفق أكثر من زاوية. فمن حيث مستوى الذكاء، يميز الباحثون بين ثلاث فئات: الذكاء الضيق المتخصص في مهمة واحدة، والذكاء العام الذي يحاكي القدرات البشرية الشاملة، والذكاء الخارق الذي يتجاوز الإنسان في جميع المجالات؛ علماً بأن الغالبية العظمى من التطبيقات المتوفرة حالياً لا تزال تندرج ضمن الفئة الأولى (Jurina &amp; Kapulica, 2024).</w:t>
      </w:r>
    </w:p>
    <w:p>
      <w:pPr>
        <w:bidi/>
        <w:spacing w:after="160" w:line="360"/>
        <w:ind w:firstLine="425"/>
        <w:jc w:val="both"/>
      </w:pPr>
      <w:r>
        <w:rPr>
          <w:rFonts w:ascii="Arial" w:cs="Arial" w:eastAsia="Arial" w:hAnsi="Arial"/>
          <w:sz w:val="26"/>
          <w:szCs w:val="26"/>
          <w:rtl/>
        </w:rPr>
        <w:t xml:space="preserve">أما من حيث التقنيات ذات الصلة المباشرة بإدارة المشاريع الإنشائية، فيرى الباحث أنها تتوزع على أربع أدوات رئيسية (Hossain et al., 2024؛ Gupta, 2025): يمثل التعلم الآلي الأداة الأكثر شيوعاً، وهو يقوم على خوارزميات تتعلم من البيانات وتُحسّن أداءها ذاتياً، ويُستخدم عملياً في تقدير تكاليف المشاريع والتنبؤ بمواعيد الإنجاز. ويأتي التعلم العميق كامتداد أكثر تقدماً له، معتمداً على شبكات عصبية متعددة الطبقات تتفوق في معالجة الصور والنصوص، وهو ما يجعله مناسباً لمراقبة مواقع البناء واكتشاف العيوب الإنشائية آلياً. وتضيف معالجة اللغة الطبيعية بُعداً آخر يتيح فهم وثائق العقود والتقارير الفنية واستخلاص ما فيها من معلومات جوهرية دون تدخل بشري مباشر. وأخيراً، تسمح رؤية الحاسوب بتحليل المحتوى البصري لمواقع التنفيذ، بما يُمكّن من رصد نسبة التقدم والتحقق من مطابقة الأعمال للمواصفات وكشف مخالفات السلامة في الوقت الفعلي. وتُستكمل هذه المنظومة بالأنظمة الخبيرة التي تحاكي منطق تفكير المتخصصين، وتُستخدم في إصدار توصيات بشأن تخصيص الموارد ومعالجة المشكلات التشغيلية.</w:t>
      </w:r>
    </w:p>
    <w:p>
      <w:pPr>
        <w:pStyle w:val="Heading2"/>
        <w:bidi/>
        <w:spacing w:after="160" w:before="280"/>
        <w:jc w:val="right"/>
      </w:pPr>
      <w:r>
        <w:rPr>
          <w:rFonts w:ascii="Arial" w:cs="Arial" w:eastAsia="Arial" w:hAnsi="Arial"/>
          <w:b/>
          <w:bCs/>
          <w:color w:val="000000"/>
          <w:sz w:val="30"/>
          <w:szCs w:val="30"/>
          <w:rtl/>
        </w:rPr>
        <w:t xml:space="preserve">1.3 أبعاد تقنيات الذكاء الاصطناعي في إدارة المشاريع الإنشائية</w:t>
      </w:r>
    </w:p>
    <w:p>
      <w:pPr>
        <w:pStyle w:val="Heading3"/>
        <w:bidi/>
        <w:spacing w:after="160" w:before="280"/>
        <w:jc w:val="right"/>
      </w:pPr>
      <w:r>
        <w:rPr>
          <w:rFonts w:ascii="Arial" w:cs="Arial" w:eastAsia="Arial" w:hAnsi="Arial"/>
          <w:b/>
          <w:bCs/>
          <w:color w:val="000000"/>
          <w:sz w:val="27"/>
          <w:szCs w:val="27"/>
          <w:rtl/>
        </w:rPr>
        <w:t xml:space="preserve">1.3.1 البُعد الأول: تحليل البيانات الضخمة والتنبؤ</w:t>
      </w:r>
    </w:p>
    <w:p>
      <w:pPr>
        <w:bidi/>
        <w:spacing w:after="160" w:line="360"/>
        <w:ind w:firstLine="425"/>
        <w:jc w:val="both"/>
      </w:pPr>
      <w:r>
        <w:rPr>
          <w:rFonts w:ascii="Arial" w:cs="Arial" w:eastAsia="Arial" w:hAnsi="Arial"/>
          <w:sz w:val="26"/>
          <w:szCs w:val="26"/>
          <w:rtl/>
        </w:rPr>
        <w:t xml:space="preserve">يمثل هذا البُعد، من وجهة نظر الباحث، حجر الأساس في منظومة الذكاء الاصطناعي المُطبَّقة على المشاريع الإنشائية؛ إذ يُقصد به قدرة الأنظمة الذكية على جمع الكم الهائل من البيانات المنظّمة وغير المنظّمة الناتجة عن مراحل تنفيذ المشروع المختلفة، ثم تحليلها باستخدام خوارزميات التعلم الآلي والتحليلات التنبؤية بهدف استشراف المسار المستقبلي للمشروع وضبط أي انحراف قبل وقوعه (Hossain et al., 2024).</w:t>
      </w:r>
    </w:p>
    <w:p>
      <w:pPr>
        <w:bidi/>
        <w:spacing w:after="160" w:line="360"/>
        <w:ind w:firstLine="425"/>
        <w:jc w:val="both"/>
      </w:pPr>
      <w:r>
        <w:rPr>
          <w:rFonts w:ascii="Arial" w:cs="Arial" w:eastAsia="Arial" w:hAnsi="Arial"/>
          <w:sz w:val="26"/>
          <w:szCs w:val="26"/>
          <w:rtl/>
        </w:rPr>
        <w:t xml:space="preserve">وتتوزع البيانات المُتولّدة في البيئة الإنشائية على أنواع متعددة تشمل بيانات التكاليف والمدفوعات، وجداول إنجاز الأنشطة، ومؤشرات أداء العمالة والمعدات، وبيانات المواد والمخزون، فضلاً عن قراءات أجهزة الاستشعار والبيانات المناخية. وقد أظهرت دراسات متخصصة أن توظيف نماذج التعلم الآلي في معالجة هذا الكم من البيانات يُحسّن دقة تقدير التكاليف مقارنةً بالطرق التقليدية (Mahmoudi et al., 2020).</w:t>
      </w:r>
    </w:p>
    <w:p>
      <w:pPr>
        <w:bidi/>
        <w:spacing w:after="160" w:line="360"/>
        <w:ind w:firstLine="425"/>
        <w:jc w:val="both"/>
      </w:pPr>
      <w:r>
        <w:rPr>
          <w:rFonts w:ascii="Arial" w:cs="Arial" w:eastAsia="Arial" w:hAnsi="Arial"/>
          <w:sz w:val="26"/>
          <w:szCs w:val="26"/>
          <w:rtl/>
        </w:rPr>
        <w:t xml:space="preserve">ومن أبرز الأدوات التحليلية التي تخدم هذا الغرض: نماذج الانحدار المتعدد المدعومة بالتعلم الآلي للتنبؤ بالتكاليف والمدد الزمنية، وتقنيات التعلم المعزَّز لتحسين الجدولة استناداً إلى بيانات الأداء الفعلي، وأسلوب محاكاة مونتي كارلو لتقدير هامش التباين في التكاليف والجداول تحت ظروف عدم اليقين (Mahmoudi et al., 2020). ويرى الباحث أن هذه الأدوات مجتمعة تحدث تحولاً في فلسفة الإدارة، من نمط تفاعلي يعالج المشكلات بعد وقوعها إلى نمط استشرافي يستبقها. وفي سياق وزارة البيئة والمياه والزراعة تحديداً، تظهر تطبيقات هذا البُعد في التنبؤ بمعدلات استهلاك المياه وربطها بجداول إنشاء محطات التحلية، وتحليل بيانات المناخ والتربة لضبط توقيت المشاريع الزراعية، ومتابعة أداء منظومات الري الذكية آنياً.</w:t>
      </w:r>
    </w:p>
    <w:p>
      <w:pPr>
        <w:pStyle w:val="Heading3"/>
        <w:bidi/>
        <w:spacing w:after="160" w:before="280"/>
        <w:jc w:val="right"/>
      </w:pPr>
      <w:r>
        <w:rPr>
          <w:rFonts w:ascii="Arial" w:cs="Arial" w:eastAsia="Arial" w:hAnsi="Arial"/>
          <w:b/>
          <w:bCs/>
          <w:color w:val="000000"/>
          <w:sz w:val="27"/>
          <w:szCs w:val="27"/>
          <w:rtl/>
        </w:rPr>
        <w:t xml:space="preserve">1.3.2 البُعد الثاني: أتمتة العمليات الذكية</w:t>
      </w:r>
    </w:p>
    <w:p>
      <w:pPr>
        <w:bidi/>
        <w:spacing w:after="160" w:line="360"/>
        <w:ind w:firstLine="425"/>
        <w:jc w:val="both"/>
      </w:pPr>
      <w:r>
        <w:rPr>
          <w:rFonts w:ascii="Arial" w:cs="Arial" w:eastAsia="Arial" w:hAnsi="Arial"/>
          <w:sz w:val="26"/>
          <w:szCs w:val="26"/>
          <w:rtl/>
        </w:rPr>
        <w:t xml:space="preserve">يشكّل هذا البُعد، في تقدير الباحث، الجانب التنفيذي والتشغيلي لتقنيات الذكاء الاصطناعي، ويُعنى بتحويل المهام الإدارية الروتينية والمتكررة إلى إجراءات ذاتية التشغيل، سريعة ودقيقة، بما يقلل الخطأ البشري ويفرّغ الكوادر المتخصصة للتركيز على المهام ذات القيمة الأعلى (عبدالفتاح وأبو قلة، 2024).</w:t>
      </w:r>
    </w:p>
    <w:p>
      <w:pPr>
        <w:bidi/>
        <w:spacing w:after="160" w:line="360"/>
        <w:ind w:firstLine="425"/>
        <w:jc w:val="both"/>
      </w:pPr>
      <w:r>
        <w:rPr>
          <w:rFonts w:ascii="Arial" w:cs="Arial" w:eastAsia="Arial" w:hAnsi="Arial"/>
          <w:sz w:val="26"/>
          <w:szCs w:val="26"/>
          <w:rtl/>
        </w:rPr>
        <w:t xml:space="preserve">وتتدرج مستويات الأتمتة في المشاريع الإنشائية على ثلاث درجات: يبدأ المستوى الأول بأتمتة العمليات الروبوتية، وهي الأكثر انتشاراً، وتقوم على برمجة برمجيات لتنفيذ مهام متكررة كاستخراج البيانات وإعداد التقارير وتحديث سجلات المشاريع. ثم يأتي المستوى الثاني المتمثل في تحليل العمليات الذكي، الذي يتجاوز الأتمتة البسيطة إلى اكتشاف الاختناقات والتأخيرات في سير العمل وإعادة هندسته تلقائياً. أما المستوى الثالث والأعلى فهو أتمتة القرارات، حيث تتخذ الأنظمة قرارات تشغيلية روتينية بحسب معايير مسبقة، كطلب المواد عند انخفاض المخزون عن حد معين.</w:t>
      </w:r>
    </w:p>
    <w:p>
      <w:pPr>
        <w:bidi/>
        <w:spacing w:after="160" w:line="360"/>
        <w:ind w:firstLine="425"/>
        <w:jc w:val="both"/>
      </w:pPr>
      <w:r>
        <w:rPr>
          <w:rFonts w:ascii="Arial" w:cs="Arial" w:eastAsia="Arial" w:hAnsi="Arial"/>
          <w:sz w:val="26"/>
          <w:szCs w:val="26"/>
          <w:rtl/>
        </w:rPr>
        <w:t xml:space="preserve">وقد وثّقت دراسة Jurina &amp; Kapulica (2024) — التي استعرضت تجارب مؤسسات كبرى كـ Siemens AG وSAP — أن تبني أتمتة العمليات أسهم في تقليص الوقت المستغرق في الأعمال الإدارية وخفض معدلات الخطأ البشري، وهو ما يتفق مع ما توصلت إليه دراسة الحياري وحياصات (2024) في سياق شركة أورانج الأردنية من تحسّن دقة التخطيط وكفاءة التنفيذ عقب تبنّي هذه الأتمتة.</w:t>
      </w:r>
    </w:p>
    <w:p>
      <w:pPr>
        <w:pStyle w:val="Heading3"/>
        <w:bidi/>
        <w:spacing w:after="160" w:before="280"/>
        <w:jc w:val="right"/>
      </w:pPr>
      <w:r>
        <w:rPr>
          <w:rFonts w:ascii="Arial" w:cs="Arial" w:eastAsia="Arial" w:hAnsi="Arial"/>
          <w:b/>
          <w:bCs/>
          <w:color w:val="000000"/>
          <w:sz w:val="27"/>
          <w:szCs w:val="27"/>
          <w:rtl/>
        </w:rPr>
        <w:t xml:space="preserve">1.3.3 البُعد الثالث: دعم اتخاذ القرار الذكي</w:t>
      </w:r>
    </w:p>
    <w:p>
      <w:pPr>
        <w:bidi/>
        <w:spacing w:after="160" w:line="360"/>
        <w:ind w:firstLine="425"/>
        <w:jc w:val="both"/>
      </w:pPr>
      <w:r>
        <w:rPr>
          <w:rFonts w:ascii="Arial" w:cs="Arial" w:eastAsia="Arial" w:hAnsi="Arial"/>
          <w:sz w:val="26"/>
          <w:szCs w:val="26"/>
          <w:rtl/>
        </w:rPr>
        <w:t xml:space="preserve">يُقصد بهذا البُعد توظيف أنظمة الذكاء الاصطناعي في بناء نماذج تحليلية تزود صانع القرار بمعلومات دقيقة وآنية حول البدائل المتاحة وتداعياتها المحتملة، بما يتجاوز حدود الخبرة الشخصية والحدس الفردي مع مراعاة التداخل بين عوامل التكلفة والوقت والجودة والمخاطر (Gupta, 2025).</w:t>
      </w:r>
    </w:p>
    <w:p>
      <w:pPr>
        <w:bidi/>
        <w:spacing w:after="160" w:line="360"/>
        <w:ind w:firstLine="425"/>
        <w:jc w:val="both"/>
      </w:pPr>
      <w:r>
        <w:rPr>
          <w:rFonts w:ascii="Arial" w:cs="Arial" w:eastAsia="Arial" w:hAnsi="Arial"/>
          <w:sz w:val="26"/>
          <w:szCs w:val="26"/>
          <w:rtl/>
        </w:rPr>
        <w:t xml:space="preserve">ويرى الباحث أن هذا البُعد يتجلى عملياً عبر ثلاثة محاور متكاملة: أولها لوحات المؤشرات الذكية التي تُولّد تقارير الأداء تلقائياً وتحدّثها آنياً بما يمكّن المديرين من رصد أي انحراف فور حدوثه. وثانيها نمذجة البدائل والسيناريوهات، إذ بدلاً من الاعتماد على تقدير فردي لمقارنة خيارين تصميميين مختلفين في التكلفة والمدة والمخاطر، يقدم النظام تحليلاً شاملاً يأخذ في الحسبان عشرات المتغيرات دفعة واحدة. وثالثها التوصيات الذكية القابلة للتنفيذ التي تصدرها الأنظمة الخبيرة تلقائياً عند اكتشاف مشكلة أو خطر، بما يقلص زمن الاستجابة ويحد من التردد في اتخاذ القرار. وقد أثبتت دراسة إبراهيم وآخرين (2024) على وزارة الصحة السعودية أن تبني أدوات دعم القرار أسهم في تحسين جودة القرارات والتنبؤ بالمخاطر، وهو ما يعزز افتراض الدراسة الحالية بشأن أهمية هذا البُعد في سياق وزارة البيئة والمياه والزراعة.</w:t>
      </w:r>
    </w:p>
    <w:p>
      <w:pPr>
        <w:pStyle w:val="Heading3"/>
        <w:bidi/>
        <w:spacing w:after="160" w:before="280"/>
        <w:jc w:val="right"/>
      </w:pPr>
      <w:r>
        <w:rPr>
          <w:rFonts w:ascii="Arial" w:cs="Arial" w:eastAsia="Arial" w:hAnsi="Arial"/>
          <w:b/>
          <w:bCs/>
          <w:color w:val="000000"/>
          <w:sz w:val="27"/>
          <w:szCs w:val="27"/>
          <w:rtl/>
        </w:rPr>
        <w:t xml:space="preserve">1.3.4 البُعد الرابع: إدارة المخاطر الاستباقية</w:t>
      </w:r>
    </w:p>
    <w:p>
      <w:pPr>
        <w:bidi/>
        <w:spacing w:after="160" w:line="360"/>
        <w:ind w:firstLine="425"/>
        <w:jc w:val="both"/>
      </w:pPr>
      <w:r>
        <w:rPr>
          <w:rFonts w:ascii="Arial" w:cs="Arial" w:eastAsia="Arial" w:hAnsi="Arial"/>
          <w:sz w:val="26"/>
          <w:szCs w:val="26"/>
          <w:rtl/>
        </w:rPr>
        <w:t xml:space="preserve">يمثل هذا البُعد أعمق تحول تحدثه تقنيات الذكاء الاصطناعي في التعامل مع المخاطر، إذ ينقل المؤسسة من منطق "الاستجابة بعد وقوع الخطر" إلى منطق "استباق الخطر وتحييده قبل تشكّله". ويُعرّفه Jurina &amp; Kapulica (2024) بأنه قدرة الأنظمة الذكية على تحديد المخاطر وتصنيفها وتقييمها من خلال تحليل البيانات التاريخية والراهنة، واكتشاف إشارات الخطر المبكرة، واقتراح استراتيجيات استجابة مناسبة لكل خطر بحسب احتمالية وقوعه وحجم أثره.</w:t>
      </w:r>
    </w:p>
    <w:p>
      <w:pPr>
        <w:bidi/>
        <w:spacing w:after="160" w:line="360"/>
        <w:ind w:firstLine="425"/>
        <w:jc w:val="both"/>
      </w:pPr>
      <w:r>
        <w:rPr>
          <w:rFonts w:ascii="Arial" w:cs="Arial" w:eastAsia="Arial" w:hAnsi="Arial"/>
          <w:sz w:val="26"/>
          <w:szCs w:val="26"/>
          <w:rtl/>
        </w:rPr>
        <w:t xml:space="preserve">وتتوزع المخاطر في المشاريع الإنشائية على فئات عدة: مالية كتقلب أسعار المواد والعملات، وزمنية كتأخر التوريدات، وتقنية كالتصاميم غير المكتملة، وبيئية كالظروف المناخية القاسية، وتنظيمية كتغير اللوائح (Mahmoudi et al., 2020؛ Taroun, 2021). وقد بيّنت نتائج Mahmoudi وزملاؤه (2020) — في نموذج هجين يجمع التعلم العميق مع محاكاة مونتي كارلو طُبِّق على مشاريع نفطية بالشرق الأوسط — أن دقة تحديد المخاطر العالية الأثر تحسّنت بأكثر من 40% مقارنة بالأساليب التقليدية، بينما أكدت دراسة Taroun (2021) في بريطانيا أن الأنظمة القائمة على البيانات التاريخية تنجح في كشف المخاطر قبل وقوعها بوقت كافٍ لاتخاذ إجراء وقائي. وتزداد أهمية هذا البُعد في مشاريع وزارة البيئة والمياه والزراعة على وجه التحديد، نظراً لتشابك مخاطر متعددة كشُح المياه الجوفية والتقلبات المناخية والمخاطر الجيولوجية في مشاريع الحفر والأنابيب.</w:t>
      </w:r>
    </w:p>
    <w:p>
      <w:pPr>
        <w:pStyle w:val="Heading2"/>
        <w:bidi/>
        <w:spacing w:after="160" w:before="280"/>
        <w:jc w:val="right"/>
      </w:pPr>
      <w:r>
        <w:rPr>
          <w:rFonts w:ascii="Arial" w:cs="Arial" w:eastAsia="Arial" w:hAnsi="Arial"/>
          <w:b/>
          <w:bCs/>
          <w:color w:val="000000"/>
          <w:sz w:val="30"/>
          <w:szCs w:val="30"/>
          <w:rtl/>
        </w:rPr>
        <w:t xml:space="preserve">1.4 إدارة المشاريع الإنشائية ومفهوم الكفاءة فيها</w:t>
      </w:r>
    </w:p>
    <w:p>
      <w:pPr>
        <w:pStyle w:val="Heading3"/>
        <w:bidi/>
        <w:spacing w:after="160" w:before="280"/>
        <w:jc w:val="right"/>
      </w:pPr>
      <w:r>
        <w:rPr>
          <w:rFonts w:ascii="Arial" w:cs="Arial" w:eastAsia="Arial" w:hAnsi="Arial"/>
          <w:b/>
          <w:bCs/>
          <w:color w:val="000000"/>
          <w:sz w:val="27"/>
          <w:szCs w:val="27"/>
          <w:rtl/>
        </w:rPr>
        <w:t xml:space="preserve">1.4.1 مفهوم إدارة المشاريع الإنشائية</w:t>
      </w:r>
    </w:p>
    <w:p>
      <w:pPr>
        <w:bidi/>
        <w:spacing w:after="160" w:line="360"/>
        <w:ind w:firstLine="425"/>
        <w:jc w:val="both"/>
      </w:pPr>
      <w:r>
        <w:rPr>
          <w:rFonts w:ascii="Arial" w:cs="Arial" w:eastAsia="Arial" w:hAnsi="Arial"/>
          <w:sz w:val="26"/>
          <w:szCs w:val="26"/>
          <w:rtl/>
        </w:rPr>
        <w:t xml:space="preserve">يستند مفهوم إدارة المشاريع، بحسب ما أقره معهد إدارة المشاريع الأمريكي (PMI) في دليله المعرفي، إلى التطبيق المنهجي للمعارف والمهارات والأدوات على أنشطة المشروع بغية تحقيق أهدافه. غير أن كفاءة إدارة المشاريع تتجاوز هذا الحد الأدنى المتمثل في إنجاز المشروع، لتشمل تحقيق أهدافه بأقل قدر من الهدر في الوقت والتكلفة والموارد، مع الحفاظ على معايير الجودة وتحقيق رضا أصحاب المصلحة (العريفي والحرافشة، 2019).</w:t>
      </w:r>
    </w:p>
    <w:p>
      <w:pPr>
        <w:bidi/>
        <w:spacing w:after="160" w:line="360"/>
        <w:ind w:firstLine="425"/>
        <w:jc w:val="both"/>
      </w:pPr>
      <w:r>
        <w:rPr>
          <w:rFonts w:ascii="Arial" w:cs="Arial" w:eastAsia="Arial" w:hAnsi="Arial"/>
          <w:sz w:val="26"/>
          <w:szCs w:val="26"/>
          <w:rtl/>
        </w:rPr>
        <w:t xml:space="preserve">وتنفرد المشاريع الإنشائية بخصوصية تميزها عن غيرها من المشاريع، تتمثل في ضخامة حجمها وطول مدتها وتعدد أطرافها وتشابك علاقاتها التعاقدية وحساسيتها الشديدة للمتغيرات البيئية والتنظيمية، وهو ما يجعل إدارتها الكفؤة تحدياً حقيقياً يستدعي أدوات متقدمة. وفي سياق وزارة البيئة والمياه والزراعة تحديداً، تشمل هذه المشاريع السدود ومحطات التحلية وشبكات الري والصرف الصحي والمحميات الطبيعية، وهي مشاريع ترتبط مباشرة بالأمن المائي والغذائي والبيئي للمملكة (الحسن والنجار، 2023). ويقيس الباحث مفهوم الكفاءة في هذه الدراسة عبر مؤشرات تكاملية تشمل الالتزام بالجدول الزمني، وضبط التكاليف، وجودة المخرجات، وكفاءة استغلال الموارد، ورضا أصحاب المصلحة (المعادات وأبو زيد، 2021).</w:t>
      </w:r>
    </w:p>
    <w:p>
      <w:pPr>
        <w:pStyle w:val="Heading3"/>
        <w:bidi/>
        <w:spacing w:after="160" w:before="280"/>
        <w:jc w:val="right"/>
      </w:pPr>
      <w:r>
        <w:rPr>
          <w:rFonts w:ascii="Arial" w:cs="Arial" w:eastAsia="Arial" w:hAnsi="Arial"/>
          <w:b/>
          <w:bCs/>
          <w:color w:val="000000"/>
          <w:sz w:val="27"/>
          <w:szCs w:val="27"/>
          <w:rtl/>
        </w:rPr>
        <w:t xml:space="preserve">1.4.2 مفهوم الكفاءة ومؤشرات قياسها</w:t>
      </w:r>
    </w:p>
    <w:p>
      <w:pPr>
        <w:bidi/>
        <w:spacing w:after="160" w:line="360"/>
        <w:ind w:firstLine="425"/>
        <w:jc w:val="both"/>
      </w:pPr>
      <w:r>
        <w:rPr>
          <w:rFonts w:ascii="Arial" w:cs="Arial" w:eastAsia="Arial" w:hAnsi="Arial"/>
          <w:sz w:val="26"/>
          <w:szCs w:val="26"/>
          <w:rtl/>
        </w:rPr>
        <w:t xml:space="preserve">يتبنى الباحث في هذه الدراسة تعريفاً للكفاءة يتجاوز الاقتصار على الثلاثي الذهبي التقليدي (الوقت والتكلفة والجودة)، ليشمل قدرة المؤسسة على تحقيق أهداف مشاريعها بأقل هدر ممكن في الموارد مع استيفاء توقعات أصحاب المصلحة كافة، انسجاماً مع ما أكده العريفي والحرافشة (2019). وتتضافر خمسة مؤشرات في قياس هذه الكفاءة: مؤشر الالتزام الزمني الذي يقيس الانحراف بين المدة الفعلية والمخططة — علماً بأن الشواهد الدولية تشير إلى أن أكثر من 70% من المشاريع الكبرى تتجاوز مدتها المقررة (المعادات وأبو زيد، 2021) — ومؤشر ضبط التكاليف الذي يكشف أن التجاوزات المالية في المشاريع الكبرى تتراوح غالباً بين 20% و45% من الميزانية الأصلية، ومؤشر جودة المخرجات الذي يقيس مطابقتها للمواصفات، ومؤشر كفاءة استغلال الموارد البشرية والمادية، وأخيراً مؤشر رضا أصحاب المصلحة الذي يعبّر عن الأثر التنموي الشامل للمشروع.</w:t>
      </w:r>
    </w:p>
    <w:p>
      <w:pPr>
        <w:pStyle w:val="Heading3"/>
        <w:bidi/>
        <w:spacing w:after="160" w:before="280"/>
        <w:jc w:val="right"/>
      </w:pPr>
      <w:r>
        <w:rPr>
          <w:rFonts w:ascii="Arial" w:cs="Arial" w:eastAsia="Arial" w:hAnsi="Arial"/>
          <w:b/>
          <w:bCs/>
          <w:color w:val="000000"/>
          <w:sz w:val="27"/>
          <w:szCs w:val="27"/>
          <w:rtl/>
        </w:rPr>
        <w:t xml:space="preserve">1.4.3 تحديات كفاءة إدارة المشاريع الإنشائية في القطاع الحكومي السعودي</w:t>
      </w:r>
    </w:p>
    <w:p>
      <w:pPr>
        <w:bidi/>
        <w:spacing w:after="160" w:line="360"/>
        <w:ind w:firstLine="425"/>
        <w:jc w:val="both"/>
      </w:pPr>
      <w:r>
        <w:rPr>
          <w:rFonts w:ascii="Arial" w:cs="Arial" w:eastAsia="Arial" w:hAnsi="Arial"/>
          <w:sz w:val="26"/>
          <w:szCs w:val="26"/>
          <w:rtl/>
        </w:rPr>
        <w:t xml:space="preserve">يواجه القطاع الحكومي السعودي، بحسب ما رصدته الأدبيات (الغامدي، 2021؛ إبراهيم وآخرين، 2024)، جملة تحديات هيكلية تحد من كفاءة مشاريعه الإنشائية، أبرزها تعدد الجهات الرقابية وتداخل صلاحياتها بما يطيل دورة اتخاذ القرار، وصعوبة التنبؤ الدقيق بالطلب على المواد والعمالة المتخصصة نظراً لضخامة المشاريع وتزامنها، وضعف التكامل بين المنظومات الرقمية بين الإدارات المختلفة، فضلاً عن محدودية الكوادر المتخصصة في إدارة المشاريع الاحترافية والتقنيات الرقمية الحديثة.</w:t>
      </w:r>
    </w:p>
    <w:p>
      <w:pPr>
        <w:pStyle w:val="Heading2"/>
        <w:bidi/>
        <w:spacing w:after="160" w:before="280"/>
        <w:jc w:val="right"/>
      </w:pPr>
      <w:r>
        <w:rPr>
          <w:rFonts w:ascii="Arial" w:cs="Arial" w:eastAsia="Arial" w:hAnsi="Arial"/>
          <w:b/>
          <w:bCs/>
          <w:color w:val="000000"/>
          <w:sz w:val="30"/>
          <w:szCs w:val="30"/>
          <w:rtl/>
        </w:rPr>
        <w:t xml:space="preserve">1.5 العلاقة بين الذكاء الاصطناعي وكفاءة إدارة المشاريع الإنشائية</w:t>
      </w:r>
    </w:p>
    <w:p>
      <w:pPr>
        <w:pStyle w:val="Heading3"/>
        <w:bidi/>
        <w:spacing w:after="160" w:before="280"/>
        <w:jc w:val="right"/>
      </w:pPr>
      <w:r>
        <w:rPr>
          <w:rFonts w:ascii="Arial" w:cs="Arial" w:eastAsia="Arial" w:hAnsi="Arial"/>
          <w:b/>
          <w:bCs/>
          <w:color w:val="000000"/>
          <w:sz w:val="27"/>
          <w:szCs w:val="27"/>
          <w:rtl/>
        </w:rPr>
        <w:t xml:space="preserve">1.5.1 آليات التأثير</w:t>
      </w:r>
    </w:p>
    <w:p>
      <w:pPr>
        <w:bidi/>
        <w:spacing w:after="160" w:line="360"/>
        <w:ind w:firstLine="425"/>
        <w:jc w:val="both"/>
      </w:pPr>
      <w:r>
        <w:rPr>
          <w:rFonts w:ascii="Arial" w:cs="Arial" w:eastAsia="Arial" w:hAnsi="Arial"/>
          <w:sz w:val="26"/>
          <w:szCs w:val="26"/>
          <w:rtl/>
        </w:rPr>
        <w:t xml:space="preserve">يفسر الباحث العلاقة بين تقنيات الذكاء الاصطناعي وكفاءة إدارة المشاريع من خلال ثلاث آليات وثقها Hossain وزملاؤه (2024) وGupta (2025). تتمثل الآلية الأولى في رفع دقة التخطيط والجدولة، إذ تستوعب نماذج التعلم الآلي آلاف المتغيرات المتزامنة وتتعلم من بيانات المشاريع السابقة؛ وقد وثقت دراسة Kim &amp; Chi (2020) أن توظيف الشبكات العصبية في جدولة المشاريع الإنشائية قلّص زمن إعداد الجدول الزمني بنسبة 30% مقارنة بالطرق اليدوية. وتتمثل الآلية الثانية في تقليص الهدر وتحسين استخدام الموارد عبر التتبع الآني وإصدار تنبيهات تلقائية عند حدوث انحراف. أما الآلية الثالثة فتكمن في الارتقاء بجودة صنع القرار، عبر تحويل البيانات الخام إلى معلومات مهيكلة تُستخدم فوراً في القرارات التشغيلية والاستراتيجية، بما يقلل حالات التردد والخطأ الناتجة عن نقص المعلومات.</w:t>
      </w:r>
    </w:p>
    <w:p>
      <w:pPr>
        <w:pStyle w:val="Heading3"/>
        <w:bidi/>
        <w:spacing w:after="160" w:before="280"/>
        <w:jc w:val="right"/>
      </w:pPr>
      <w:r>
        <w:rPr>
          <w:rFonts w:ascii="Arial" w:cs="Arial" w:eastAsia="Arial" w:hAnsi="Arial"/>
          <w:b/>
          <w:bCs/>
          <w:color w:val="000000"/>
          <w:sz w:val="27"/>
          <w:szCs w:val="27"/>
          <w:rtl/>
        </w:rPr>
        <w:t xml:space="preserve">1.5.2 التحولات التي يُحدثها الذكاء الاصطناعي في نموذج إدارة المشاريع</w:t>
      </w:r>
    </w:p>
    <w:p>
      <w:pPr>
        <w:bidi/>
        <w:spacing w:after="160" w:line="360"/>
        <w:ind w:firstLine="425"/>
        <w:jc w:val="both"/>
      </w:pPr>
      <w:r>
        <w:rPr>
          <w:rFonts w:ascii="Arial" w:cs="Arial" w:eastAsia="Arial" w:hAnsi="Arial"/>
          <w:sz w:val="26"/>
          <w:szCs w:val="26"/>
          <w:rtl/>
        </w:rPr>
        <w:t xml:space="preserve">وثّق Gupta (2025) في مراجعته الشاملة ثلاثة تحولات جوهرية: الانتقال من الرقابة الدورية إلى المراقبة المستمرة بفضل أنظمة الاستشعار والكاميرات المتصلة بالشبكة، والانتقال من التقارير التاريخية إلى القرارات الآنية المبنية على لوحات مؤشرات محدّثة لحظياً، والانتقال من إدارة المخاطر التقييمية الدورية إلى الإدارة الاستباقية الديناميكية التي تستجيب في الوقت الفعلي لمستجدات بيئة المشروع.</w:t>
      </w:r>
    </w:p>
    <w:p>
      <w:pPr>
        <w:pStyle w:val="Heading3"/>
        <w:bidi/>
        <w:spacing w:after="160" w:before="280"/>
        <w:jc w:val="right"/>
      </w:pPr>
      <w:r>
        <w:rPr>
          <w:rFonts w:ascii="Arial" w:cs="Arial" w:eastAsia="Arial" w:hAnsi="Arial"/>
          <w:b/>
          <w:bCs/>
          <w:color w:val="000000"/>
          <w:sz w:val="27"/>
          <w:szCs w:val="27"/>
          <w:rtl/>
        </w:rPr>
        <w:t xml:space="preserve">1.5.3 وزارة البيئة والمياه والزراعة وتطبيقات الذكاء الاصطناعي</w:t>
      </w:r>
    </w:p>
    <w:p>
      <w:pPr>
        <w:bidi/>
        <w:spacing w:after="160" w:line="360"/>
        <w:ind w:firstLine="425"/>
        <w:jc w:val="both"/>
      </w:pPr>
      <w:r>
        <w:rPr>
          <w:rFonts w:ascii="Arial" w:cs="Arial" w:eastAsia="Arial" w:hAnsi="Arial"/>
          <w:sz w:val="26"/>
          <w:szCs w:val="26"/>
          <w:rtl/>
        </w:rPr>
        <w:t xml:space="preserve">تُعد وزارة البيئة والمياه والزراعة من أكثر الجهات الحكومية السعودية التزاماً بمسار التحول الرقمي، إذ حصلت عام 2024 على شهادة الآيزو 42001 الخاصة بنظم إدارة الذكاء الاصطناعي، لتكون من أوائل الجهات الحكومية التي ترسخ هذه الشهادة في نظامها المؤسسي، كما أطلقت خدمة "نماء الذكاء الاصطناعي" ومنصات تحليل الواردات الزراعية الذكية. وتتنوع مشاريعها الإنشائية بين السدود ومحطات التحلية وشبكات الري والمراكز الزراعية البحثية، وهي مشاريع تتقاطع فيها متغيرات بيئية ومائية وزراعية مع أبعاد هندسية ومالية وإدارية، بما يجعلها ميداناً مناسباً لاختبار أثر تقنيات الذكاء الاصطناعي على التعقيد المؤسسي (الزهراني، 2023).</w:t>
      </w:r>
    </w:p>
    <w:p>
      <w:pPr>
        <w:pStyle w:val="Heading2"/>
        <w:bidi/>
        <w:spacing w:after="160" w:before="280"/>
        <w:jc w:val="right"/>
      </w:pPr>
      <w:r>
        <w:rPr>
          <w:rFonts w:ascii="Arial" w:cs="Arial" w:eastAsia="Arial" w:hAnsi="Arial"/>
          <w:b/>
          <w:bCs/>
          <w:color w:val="000000"/>
          <w:sz w:val="30"/>
          <w:szCs w:val="30"/>
          <w:rtl/>
        </w:rPr>
        <w:t xml:space="preserve">1.6 النماذج النظرية المُعتمَدة في الدراسة</w:t>
      </w:r>
    </w:p>
    <w:p>
      <w:pPr>
        <w:pStyle w:val="Heading3"/>
        <w:bidi/>
        <w:spacing w:after="160" w:before="280"/>
        <w:jc w:val="right"/>
      </w:pPr>
      <w:r>
        <w:rPr>
          <w:rFonts w:ascii="Arial" w:cs="Arial" w:eastAsia="Arial" w:hAnsi="Arial"/>
          <w:b/>
          <w:bCs/>
          <w:color w:val="000000"/>
          <w:sz w:val="27"/>
          <w:szCs w:val="27"/>
          <w:rtl/>
        </w:rPr>
        <w:t xml:space="preserve">1.6.1 نموذج قبول التقنية (TAM)</w:t>
      </w:r>
    </w:p>
    <w:p>
      <w:pPr>
        <w:bidi/>
        <w:spacing w:after="160" w:line="360"/>
        <w:ind w:firstLine="425"/>
        <w:jc w:val="both"/>
      </w:pPr>
      <w:r>
        <w:rPr>
          <w:rFonts w:ascii="Arial" w:cs="Arial" w:eastAsia="Arial" w:hAnsi="Arial"/>
          <w:sz w:val="26"/>
          <w:szCs w:val="26"/>
          <w:rtl/>
        </w:rPr>
        <w:t xml:space="preserve">يقدم نموذج قبول التقنية الذي طوره Davis (1989) إطاراً لفهم العوامل التي تحدد مدى تقبل الأفراد للتقنيات الجديدة، ويرتكز على متغيرين: الفائدة المدركة، وهي اعتقاد المستخدم بأن التقنية ستحسن أداءه الوظيفي، وسهولة الاستخدام المدركة، وهي اعتقاده بأن التعامل معها لن يتطلب جهداً مضنياً. ويرى الباحث أن هذا النموذج يخدم الدراسة الحالية من زاويتين: فهم العوامل المحددة لمستوى تبني العاملين في الوزارة لتقنيات الذكاء الاصطناعي، وتفسير التفاوت المحتمل في مستوى هذا التبني بين إداراتها المختلفة.</w:t>
      </w:r>
    </w:p>
    <w:p>
      <w:pPr>
        <w:pStyle w:val="Heading3"/>
        <w:bidi/>
        <w:spacing w:after="160" w:before="280"/>
        <w:jc w:val="right"/>
      </w:pPr>
      <w:r>
        <w:rPr>
          <w:rFonts w:ascii="Arial" w:cs="Arial" w:eastAsia="Arial" w:hAnsi="Arial"/>
          <w:b/>
          <w:bCs/>
          <w:color w:val="000000"/>
          <w:sz w:val="27"/>
          <w:szCs w:val="27"/>
          <w:rtl/>
        </w:rPr>
        <w:t xml:space="preserve">1.6.2 نموذج التقنية والتنظيم والبيئة (TOE)</w:t>
      </w:r>
    </w:p>
    <w:p>
      <w:pPr>
        <w:bidi/>
        <w:spacing w:after="160" w:line="360"/>
        <w:ind w:firstLine="425"/>
        <w:jc w:val="both"/>
      </w:pPr>
      <w:r>
        <w:rPr>
          <w:rFonts w:ascii="Arial" w:cs="Arial" w:eastAsia="Arial" w:hAnsi="Arial"/>
          <w:sz w:val="26"/>
          <w:szCs w:val="26"/>
          <w:rtl/>
        </w:rPr>
        <w:t xml:space="preserve">طوّر Tornatzky &amp; Fleischer (1990) إطار TOE لفهم العوامل المؤثرة في قرار المنظمات بتبني تقنية جديدة، عبر ثلاثة محاور: محور التقنية الذي يقيس مدى جاهزيتها وملاءمتها للبنية الرقمية القائمة، ومحور التنظيم الذي يفحص خصائص المنظمة من حجم وموارد وهياكل إدارية، ومحور البيئة الذي يرصد الضغوط الخارجية كاشتراطات الجهات التنظيمية والتوجهات الوطنية. ويرى الباحث أن هذا الإطار يفسر جيداً واقع تبني الذكاء الاصطناعي في الوزارة: فعلى مستوى التقنية تتوفر حلول رقمية متقدمة قد يعيق تكاملها مع الأنظمة القائمة، وعلى مستوى التنظيم تتوفر الموارد المالية بينما تظل الكوادر المتخصصة محدودة، وعلى مستوى البيئة تمثل رؤية 2030 والاستراتيجية الوطنية للبيانات والذكاء الاصطناعي حافزاً تنظيمياً داعماً للتبني.</w:t>
      </w:r>
    </w:p>
    <w:p>
      <w:pPr>
        <w:pStyle w:val="Heading3"/>
        <w:bidi/>
        <w:spacing w:after="160" w:before="280"/>
        <w:jc w:val="right"/>
      </w:pPr>
      <w:r>
        <w:rPr>
          <w:rFonts w:ascii="Arial" w:cs="Arial" w:eastAsia="Arial" w:hAnsi="Arial"/>
          <w:b/>
          <w:bCs/>
          <w:color w:val="000000"/>
          <w:sz w:val="27"/>
          <w:szCs w:val="27"/>
          <w:rtl/>
        </w:rPr>
        <w:t xml:space="preserve">1.6.3 نظرية الموارد والكفاءات (RBV)</w:t>
      </w:r>
    </w:p>
    <w:p>
      <w:pPr>
        <w:bidi/>
        <w:spacing w:after="160" w:line="360"/>
        <w:ind w:firstLine="425"/>
        <w:jc w:val="both"/>
      </w:pPr>
      <w:r>
        <w:rPr>
          <w:rFonts w:ascii="Arial" w:cs="Arial" w:eastAsia="Arial" w:hAnsi="Arial"/>
          <w:sz w:val="26"/>
          <w:szCs w:val="26"/>
          <w:rtl/>
        </w:rPr>
        <w:t xml:space="preserve">تُرسي نظرية الموارد والكفاءات، التي أسس لها Barney (1991) وطورها لاحقاً Teece وزملاؤه (1997)، فكرة أن الموارد والكفاءات الداخلية للمنظمة هي المصدر الحقيقي لميزتها التنافسية المستدامة. وتفسر هذه النظرية، في تقدير الباحث، لماذا لا تحقق تقنية الذكاء الاصطناعي العائد ذاته لدى كل المنظمات التي تتبناها: فالتقنية وحدها، بوصفها مورداً قابلاً للاقتناء والتقليد، لا تولّد ميزة دائمة، بينما تشكل الكفاءات المؤسسية المرتبطة بتشغيلها وتوظيفها في صنع القرار مصدراً يصعب تقليده. وهذا يعني أن استثمار وزارة البيئة والمياه والزراعة في الذكاء الاصطناعي ينبغي أن يقترن ببناء كفاءات داخلية متخصصة في تحليل البيانات وتفسير مخرجات الأنظمة الذكية.</w:t>
      </w:r>
    </w:p>
    <w:p>
      <w:pPr>
        <w:pStyle w:val="Heading3"/>
        <w:bidi/>
        <w:spacing w:after="160" w:before="280"/>
        <w:jc w:val="right"/>
      </w:pPr>
      <w:r>
        <w:rPr>
          <w:rFonts w:ascii="Arial" w:cs="Arial" w:eastAsia="Arial" w:hAnsi="Arial"/>
          <w:b/>
          <w:bCs/>
          <w:color w:val="000000"/>
          <w:sz w:val="27"/>
          <w:szCs w:val="27"/>
          <w:rtl/>
        </w:rPr>
        <w:t xml:space="preserve">1.6.4 نموذج نضج إدارة المشاريع (OPM3)</w:t>
      </w:r>
    </w:p>
    <w:p>
      <w:pPr>
        <w:bidi/>
        <w:spacing w:after="160" w:line="360"/>
        <w:ind w:firstLine="425"/>
        <w:jc w:val="both"/>
      </w:pPr>
      <w:r>
        <w:rPr>
          <w:rFonts w:ascii="Arial" w:cs="Arial" w:eastAsia="Arial" w:hAnsi="Arial"/>
          <w:sz w:val="26"/>
          <w:szCs w:val="26"/>
          <w:rtl/>
        </w:rPr>
        <w:t xml:space="preserve">يضيف نموذج OPM3 الصادر عن PMI (2013) بُعداً تطورياً لفهم كيفية ارتقاء المنظمات بممارساتها في إدارة المشاريع، عبر خمسة مستويات تتدرج من الإدارة البدائية التي تفتقر إلى عمليات موحدة، وصولاً إلى الإدارة المحسَّنة التي تُبنى فيها قرارات التطوير على بيانات الأداء التاريخية. ويستخدم الباحث هذا النموذج كإطار مرجعي لتحديد موقع وزارة البيئة والمياه والزراعة على منحنى النضج، وكيف يمكن لتقنيات الذكاء الاصطناعي أن تسرّع ارتقاءها عليه.</w:t>
      </w:r>
    </w:p>
    <w:p>
      <w:pPr>
        <w:pStyle w:val="Heading2"/>
        <w:bidi/>
        <w:spacing w:after="160" w:before="280"/>
        <w:jc w:val="right"/>
      </w:pPr>
      <w:r>
        <w:rPr>
          <w:rFonts w:ascii="Arial" w:cs="Arial" w:eastAsia="Arial" w:hAnsi="Arial"/>
          <w:b/>
          <w:bCs/>
          <w:color w:val="000000"/>
          <w:sz w:val="30"/>
          <w:szCs w:val="30"/>
          <w:rtl/>
        </w:rPr>
        <w:t xml:space="preserve">1.7 خلاصة الفصل</w:t>
      </w:r>
    </w:p>
    <w:p>
      <w:pPr>
        <w:bidi/>
        <w:spacing w:after="160" w:line="360"/>
        <w:ind w:firstLine="425"/>
        <w:jc w:val="both"/>
      </w:pPr>
      <w:r>
        <w:rPr>
          <w:rFonts w:ascii="Arial" w:cs="Arial" w:eastAsia="Arial" w:hAnsi="Arial"/>
          <w:sz w:val="26"/>
          <w:szCs w:val="26"/>
          <w:rtl/>
        </w:rPr>
        <w:t xml:space="preserve">يتضح مما تقدم أن الذكاء الاصطناعي لم يعد تقنية مساندة على هامش العمل الإداري، وإنما أداة تشغيلية تتدخل في صميم دورة حياة المشروع الإنشائي عبر أبعاده الأربعة: تحليل البيانات الضخمة والتنبؤ، وأتمتة العمليات الذكية، ودعم اتخاذ القرار الذكي، وإدارة المخاطر الاستباقية. كما اتضح أن كفاءة إدارة المشاريع الإنشائية مفهوم متعدد المؤشرات لا يُختزل في الوقت والتكلفة، وأن العلاقة بين المتغيرين تفسّرها نماذج نظرية راسخة كنموذج قبول التقنية وإطار التقنية والتنظيم والبيئة ونظرية الموارد والكفاءات ونموذج نضج إدارة المشاريع. وعلى هذا الأساس النظري ينتقل البحث في الفصل الثاني إلى مراجعة الدراسات السابقة ذات الصلة وبيان ما يميز الدراسة الحالية عنها.</w:t>
      </w:r>
    </w:p>
    <w:p>
      <w:r>
        <w:br w:type="page"/>
      </w:r>
    </w:p>
    <w:p>
      <w:pPr>
        <w:pStyle w:val="Heading1"/>
        <w:bidi/>
        <w:spacing w:after="320" w:before="240"/>
        <w:jc w:val="center"/>
      </w:pPr>
      <w:r>
        <w:rPr>
          <w:rFonts w:ascii="Arial" w:cs="Arial" w:eastAsia="Arial" w:hAnsi="Arial"/>
          <w:b/>
          <w:bCs/>
          <w:color w:val="000000"/>
          <w:sz w:val="34"/>
          <w:szCs w:val="34"/>
          <w:rtl/>
        </w:rPr>
        <w:t xml:space="preserve">الفصل الثاني: الدراسات السابقة</w:t>
      </w:r>
    </w:p>
    <w:p>
      <w:pPr>
        <w:pStyle w:val="Heading2"/>
        <w:bidi/>
        <w:spacing w:after="160" w:before="280"/>
        <w:jc w:val="right"/>
      </w:pPr>
      <w:r>
        <w:rPr>
          <w:rFonts w:ascii="Arial" w:cs="Arial" w:eastAsia="Arial" w:hAnsi="Arial"/>
          <w:b/>
          <w:bCs/>
          <w:color w:val="000000"/>
          <w:sz w:val="30"/>
          <w:szCs w:val="30"/>
          <w:rtl/>
        </w:rPr>
        <w:t xml:space="preserve">2.1 تمهيد</w:t>
      </w:r>
    </w:p>
    <w:p>
      <w:pPr>
        <w:bidi/>
        <w:spacing w:after="160" w:line="360"/>
        <w:ind w:firstLine="425"/>
        <w:jc w:val="both"/>
      </w:pPr>
      <w:r>
        <w:rPr>
          <w:rFonts w:ascii="Arial" w:cs="Arial" w:eastAsia="Arial" w:hAnsi="Arial"/>
          <w:sz w:val="26"/>
          <w:szCs w:val="26"/>
          <w:rtl/>
        </w:rPr>
        <w:t xml:space="preserve">يتناول هذا الفصل مراجعة الدراسات السابقة العربية والأجنبية ذات الصلة بمتغيري الدراسة، مرتبةً زمنياً داخل كل فئة، مع التعقيب عليها وبيان أوجه الاتفاق والاختلاف بينها وبين الدراسة الحالية، وصولاً إلى تحديد الفجوة البحثية التي تسعى هذه الدراسة إلى سدّها.</w:t>
      </w:r>
    </w:p>
    <w:p>
      <w:pPr>
        <w:bidi/>
        <w:spacing w:after="160" w:line="360"/>
        <w:ind w:firstLine="425"/>
        <w:jc w:val="both"/>
      </w:pPr>
      <w:r>
        <w:rPr>
          <w:rFonts w:ascii="Arial" w:cs="Arial" w:eastAsia="Arial" w:hAnsi="Arial"/>
          <w:sz w:val="26"/>
          <w:szCs w:val="26"/>
          <w:rtl/>
        </w:rPr>
        <w:t xml:space="preserve">يستعرض هذا المبحث أبرز الدراسات ذات الصلة بمتغيري الدراسة الحالية، عربية وأجنبية، مع إبراز موضع كل دراسة من الفجوة البحثية التي تسعى الدراسة الراهنة لسدّها، بدلاً من الاكتفاء بسرد نتائجها.</w:t>
      </w:r>
    </w:p>
    <w:p>
      <w:pPr>
        <w:pStyle w:val="Heading2"/>
        <w:bidi/>
        <w:spacing w:after="160" w:before="280"/>
        <w:jc w:val="right"/>
      </w:pPr>
      <w:r>
        <w:rPr>
          <w:rFonts w:ascii="Arial" w:cs="Arial" w:eastAsia="Arial" w:hAnsi="Arial"/>
          <w:b/>
          <w:bCs/>
          <w:color w:val="000000"/>
          <w:sz w:val="30"/>
          <w:szCs w:val="30"/>
          <w:rtl/>
        </w:rPr>
        <w:t xml:space="preserve">2.2 الدراسات العربية</w:t>
      </w:r>
    </w:p>
    <w:p>
      <w:pPr>
        <w:bidi/>
        <w:spacing w:after="160" w:line="360"/>
        <w:ind w:firstLine="425"/>
        <w:jc w:val="both"/>
      </w:pPr>
      <w:r>
        <w:rPr>
          <w:rFonts w:ascii="Arial" w:cs="Arial" w:eastAsia="Arial" w:hAnsi="Arial"/>
          <w:sz w:val="26"/>
          <w:szCs w:val="26"/>
          <w:rtl/>
        </w:rPr>
        <w:t xml:space="preserve">في السياق الأردني، تناولت دراسة العريفي والحرافشة (2019) أثر المعايير الدولية لتقييم المشاريع على نجاحها في شركات الإنشاءات، وخلصت إلى أثر إيجابي دال إحصائياً لالتزام الشركات بهذه المعايير على جودة التنفيذ والالتزام الزمني والمالي، دون أن تتطرق إلى الذكاء الاصطناعي كمتغير مستقل — وهو ما يميز الدراسة الحالية عنها.</w:t>
      </w:r>
    </w:p>
    <w:p>
      <w:pPr>
        <w:bidi/>
        <w:spacing w:after="160" w:line="360"/>
        <w:ind w:firstLine="425"/>
        <w:jc w:val="both"/>
      </w:pPr>
      <w:r>
        <w:rPr>
          <w:rFonts w:ascii="Arial" w:cs="Arial" w:eastAsia="Arial" w:hAnsi="Arial"/>
          <w:sz w:val="26"/>
          <w:szCs w:val="26"/>
          <w:rtl/>
        </w:rPr>
        <w:t xml:space="preserve">وفي سياق مغاير، بحثت دراسة عبدالقادر (2020) توظيف الذكاء الاصطناعي في تطوير التعليم إبان جائحة كوفيد-19، وأثبتت جدوى أنظمة التعلم الذكي، رغم اختلاف قطاعها التطبيقي عن المشاريع الإنشائية، إلا أنها تكشف عن تحدٍّ مشترك بين القطاعات وهو ضعف جاهزية الكوادر البشرية.</w:t>
      </w:r>
    </w:p>
    <w:p>
      <w:pPr>
        <w:bidi/>
        <w:spacing w:after="160" w:line="360"/>
        <w:ind w:firstLine="425"/>
        <w:jc w:val="both"/>
      </w:pPr>
      <w:r>
        <w:rPr>
          <w:rFonts w:ascii="Arial" w:cs="Arial" w:eastAsia="Arial" w:hAnsi="Arial"/>
          <w:sz w:val="26"/>
          <w:szCs w:val="26"/>
          <w:rtl/>
        </w:rPr>
        <w:t xml:space="preserve">أما الدراسة الأقرب منهجياً للموضوع فهي دراسة العرسان والحياري (2021) التي فحصت أثر أنظمة الذكاء الاصطناعي — الحوسبة السحابية والخدمات اللوجستية الذكية والنظم الخبيرة — على إدارة المشاريع الهندسية في الأردن، وتوصلت إلى أثر إيجابي دال لجميع الأبعاد، مع تأكيدها أن هذه الأنظمة تعزز القدرات البشرية ولا تحل محلها.</w:t>
      </w:r>
    </w:p>
    <w:p>
      <w:pPr>
        <w:bidi/>
        <w:spacing w:after="160" w:line="360"/>
        <w:ind w:firstLine="425"/>
        <w:jc w:val="both"/>
      </w:pPr>
      <w:r>
        <w:rPr>
          <w:rFonts w:ascii="Arial" w:cs="Arial" w:eastAsia="Arial" w:hAnsi="Arial"/>
          <w:sz w:val="26"/>
          <w:szCs w:val="26"/>
          <w:rtl/>
        </w:rPr>
        <w:t xml:space="preserve">وركّزت دراسة المعادات وأبو زيد (2021) على تأثير تخطيط المشروع في نجاحه مع الدور المعدّل لمستوى المخاطرة، وأفادت نتائجها في بناء تصور الدراسة الحالية حول العلاقة بين جودة التخطيط ونجاح المشروع. وفي السياق ذاته، تناولت دراسة الحياري والحياصات (2022) أثر السمات الشخصية لمديري المشاريع، لتؤكد أن نجاح المشروع لا يقوم على التقنية وحدها بل يستلزم قيادة كفؤة توظفها بفاعلية.</w:t>
      </w:r>
    </w:p>
    <w:p>
      <w:pPr>
        <w:bidi/>
        <w:spacing w:after="160" w:line="360"/>
        <w:ind w:firstLine="425"/>
        <w:jc w:val="both"/>
      </w:pPr>
      <w:r>
        <w:rPr>
          <w:rFonts w:ascii="Arial" w:cs="Arial" w:eastAsia="Arial" w:hAnsi="Arial"/>
          <w:sz w:val="26"/>
          <w:szCs w:val="26"/>
          <w:rtl/>
        </w:rPr>
        <w:t xml:space="preserve">وبيّنت دراسة الحسن والنجار (2023) دوراً وسيطاً مهماً للمنصات الرقمية في العلاقة بين تكنولوجيا المعلومات ونجاح المشاريع، وهو ما يعزز أهمية جودة البنية الرقمية المحيطة بالذكاء الاصطناعي. ثم جاءت دراسة إبراهيم وآخرين (2024)، الأقرب سياقاً للدراسة الحالية كونها طُبقت على وزارة الصحة السعودية، لتثبت أثر النظم الخبيرة والتعلم الآلي في تحسين إدارة المشاريع الصحية، دون أن تمتد إلى القطاع الإنشائي البيئي. وأثبتت دراسة الحياري وحياصات (2024) على شركة أورانج الأردنية أثر الذكاء الاصطناعي في تحسين جودة المشاريع، فيما كشفت دراسة عبدالفتاح وأبو قلة (2024) — على عينة من شركة المناصير للزيوت — أن بُعد الأنظمة الذكية حقق أعلى قدرة تفسيرية بين أبعاد الذكاء الاصطناعي، وهي نتيجة يستأنس بها الباحث في تفسير النتائج المتوقعة لبُعد دعم اتخاذ القرار الذكي في الدراسة الحالية.</w:t>
      </w:r>
    </w:p>
    <w:p>
      <w:pPr>
        <w:pStyle w:val="Heading2"/>
        <w:bidi/>
        <w:spacing w:after="160" w:before="280"/>
        <w:jc w:val="right"/>
      </w:pPr>
      <w:r>
        <w:rPr>
          <w:rFonts w:ascii="Arial" w:cs="Arial" w:eastAsia="Arial" w:hAnsi="Arial"/>
          <w:b/>
          <w:bCs/>
          <w:color w:val="000000"/>
          <w:sz w:val="30"/>
          <w:szCs w:val="30"/>
          <w:rtl/>
        </w:rPr>
        <w:t xml:space="preserve">2.3 الدراسات الأجنبية</w:t>
      </w:r>
    </w:p>
    <w:p>
      <w:pPr>
        <w:bidi/>
        <w:spacing w:after="160" w:line="360"/>
        <w:ind w:firstLine="425"/>
        <w:jc w:val="both"/>
      </w:pPr>
      <w:r>
        <w:rPr>
          <w:rFonts w:ascii="Arial" w:cs="Arial" w:eastAsia="Arial" w:hAnsi="Arial"/>
          <w:sz w:val="26"/>
          <w:szCs w:val="26"/>
          <w:rtl/>
        </w:rPr>
        <w:t xml:space="preserve">تُعد دراسة Hossain وزملاؤه (2024) من أكثر الدراسات شمولاً، إذ اعتمدت منهجاً مختلطاً يجمع بين المسوح والمقابلات ودراسات الحالة، وخلصت إلى أن الذكاء الاصطناعي يعزز كفاءة المشاريع عبر تقليص الجداول الزمنية وضبط التكاليف وتيسير إدارة المخاطر، مع إقرارها بتحديات تتعلق بتكلفة الاستثمار الأولي ومقاومة التغيير. وتناولت دراسة Jurina &amp; Kapulica (2024) تكامل الذكاء الاصطناعي مع إدارة المشاريع في سياق التحول الرقمي، وأكدت أن التحليلات التنبؤية تلعب دوراً محورياً في تخفيف المخاطر. أما دراسة Gupta (2025) فقد قدّمت مراجعة شاملة لأثر الذكاء الاصطناعي على إدارة البرامج الحديثة، وخلصت إلى أن دمجه يعزز التخطيط الاستراتيجي وتخصيص الموارد، لكنها — كسابقتيها — اتسمت بطابع نظري مراجعاتي دون تطبيق ميداني على مؤسسة حكومية بعينها، وهي الفجوة التي تسعى الدراسة الحالية لسدّها.</w:t>
      </w:r>
    </w:p>
    <w:p>
      <w:pPr>
        <w:pStyle w:val="Heading2"/>
        <w:bidi/>
        <w:spacing w:after="160" w:before="280"/>
        <w:jc w:val="right"/>
      </w:pPr>
      <w:r>
        <w:rPr>
          <w:rFonts w:ascii="Arial" w:cs="Arial" w:eastAsia="Arial" w:hAnsi="Arial"/>
          <w:b/>
          <w:bCs/>
          <w:color w:val="000000"/>
          <w:sz w:val="30"/>
          <w:szCs w:val="30"/>
          <w:rtl/>
        </w:rPr>
        <w:t xml:space="preserve">2.4 التعقيب على الدراسات السابقة وموقع الدراسة الحالية منها</w:t>
      </w:r>
    </w:p>
    <w:p>
      <w:pPr>
        <w:bidi/>
        <w:spacing w:after="160" w:line="360"/>
        <w:ind w:firstLine="425"/>
        <w:jc w:val="both"/>
      </w:pPr>
      <w:r>
        <w:rPr>
          <w:rFonts w:ascii="Arial" w:cs="Arial" w:eastAsia="Arial" w:hAnsi="Arial"/>
          <w:sz w:val="26"/>
          <w:szCs w:val="26"/>
          <w:rtl/>
        </w:rPr>
        <w:t xml:space="preserve">يخلص الباحث من مراجعة الأدبيات السابقة إلى أن الدراسات العربية والأجنبية توزعت على قطاعات محددة — الصحة والنفط والهندسة المدنية وتكنولوجيا الاتصالات — دون أن تمتد إلى قطاع المشاريع الإنشائية البيئية والمائية والزراعية في السياق الحكومي السعودي. فدراسة إبراهيم وآخرين (2024) اقتصرت على وزارة الصحة، ودراسة عبدالفتاح وأبو قلة (2024) على قطاع النفط الأردني، ودراسة العرسان والحياري (2021) على الهندسة المدنية الأردنية، بينما اتسمت الدراسات الأجنبية بطابعها النظري العام دون تطبيق على مؤسسة حكومية محددة.</w:t>
      </w:r>
    </w:p>
    <w:p>
      <w:pPr>
        <w:bidi/>
        <w:spacing w:after="160" w:line="360"/>
        <w:ind w:firstLine="425"/>
        <w:jc w:val="both"/>
      </w:pPr>
      <w:r>
        <w:rPr>
          <w:rFonts w:ascii="Arial" w:cs="Arial" w:eastAsia="Arial" w:hAnsi="Arial"/>
          <w:sz w:val="26"/>
          <w:szCs w:val="26"/>
          <w:rtl/>
        </w:rPr>
        <w:t xml:space="preserve">وعليه، لم يُرصد — في حدود ما راجعه الباحث — بحث يتناول الأثر المجتمع لأبعاد الذكاء الاصطناعي الأربعة معاً على كفاءة إدارة المشاريع الإنشائية داخل بيئة تنظيمية تنفرد بتشابك أبعاد بيئية ومائية وزراعية مع أبعاد هندسية ومالية وإدارية، كما هو حال وزارة البيئة والمياه والزراعة. وتسعى الدراسة الحالية إلى سد هذه الفجوة عبر تقديم نموذج تحليلي ميداني يخدم صانعي القرار في هذا السياق بالذات، بما ينسجم مع مستهدفات رؤية المملكة 2030.</w:t>
      </w:r>
    </w:p>
    <w:p>
      <w:pPr>
        <w:pStyle w:val="Heading2"/>
        <w:bidi/>
        <w:spacing w:after="160" w:before="280"/>
        <w:jc w:val="right"/>
      </w:pPr>
      <w:r>
        <w:rPr>
          <w:rFonts w:ascii="Arial" w:cs="Arial" w:eastAsia="Arial" w:hAnsi="Arial"/>
          <w:b/>
          <w:bCs/>
          <w:color w:val="000000"/>
          <w:sz w:val="30"/>
          <w:szCs w:val="30"/>
          <w:rtl/>
        </w:rPr>
        <w:t xml:space="preserve">2.5 الفجوة البحثية وما تضيفه الدراسة الحالية</w:t>
      </w:r>
    </w:p>
    <w:p>
      <w:pPr>
        <w:bidi/>
        <w:spacing w:after="160" w:line="360"/>
        <w:ind w:firstLine="425"/>
        <w:jc w:val="both"/>
      </w:pPr>
      <w:r>
        <w:rPr>
          <w:rFonts w:ascii="Arial" w:cs="Arial" w:eastAsia="Arial" w:hAnsi="Arial"/>
          <w:sz w:val="26"/>
          <w:szCs w:val="26"/>
          <w:rtl/>
        </w:rPr>
        <w:t xml:space="preserve">يخلص الباحث من مراجعة الأدبيات العربية والأجنبية إلى أربع ملاحظات جوهرية تحدد موضع الدراسة الحالية من الفجوة البحثية. أولاً، تركزت أغلب الدراسات العربية ذات الصلة في البيئة الأردنية، فيما ظل الإنتاج البحثي السعودي المتخصص نادراً باستثناء دراسة إبراهيم وآخرين (2024) التي اقتصرت على وزارة الصحة. ثانياً، لم تتناول أي من هذه الدراسات — في حدود ما راجعه الباحث — البيئة التنظيمية المميزة لمشاريع وزارة البيئة والمياه والزراعة، بما تنفرد به من تشابك متغيرات بيئية ومائية وزراعية ومناخية مع أبعاد هندسية ومالية وإدارية.</w:t>
      </w:r>
    </w:p>
    <w:p>
      <w:pPr>
        <w:bidi/>
        <w:spacing w:after="160" w:line="360"/>
        <w:ind w:firstLine="425"/>
        <w:jc w:val="both"/>
      </w:pPr>
      <w:r>
        <w:rPr>
          <w:rFonts w:ascii="Arial" w:cs="Arial" w:eastAsia="Arial" w:hAnsi="Arial"/>
          <w:sz w:val="26"/>
          <w:szCs w:val="26"/>
          <w:rtl/>
        </w:rPr>
        <w:t xml:space="preserve">ثالثاً، اتسمت أبرز الدراسات الأجنبية — كدراسات Hossain وزملاؤه (2024) وGupta (2025) وJurina &amp; Kapulica (2024) — بطابع نظري ومراجعاتي عام، دون تطبيق ميداني على مؤسسة حكومية بعينها. رابعاً وأخيراً، تتميز الدراسة الحالية بجمعها بين أربعة أبعاد تحليلية متكاملة لتقنيات الذكاء الاصطناعي واختبارها ميدانياً في بيئة حكومية سعودية متخصصة لم يُرصد — في حدود اطلاع الباحث — أن دراسة سابقة جمعت هذه الأبعاد في هذا السياق المؤسسي بعينه. ومن هذه الفجوة المعرفية تنبع أصالة الدراسة الحالية ومساهمتها المتوقعة في الأدبيات العلمية المتخصصة</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6"/>
        <w:szCs w:val="26"/>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2026-08-12T09:25:33.774Z</dcterms:created>
  <dcterms:modified xsi:type="dcterms:W3CDTF">2026-08-12T09:25:33.790Z</dcterms:modified>
</cp:coreProperties>
</file>

<file path=docProps/custom.xml><?xml version="1.0" encoding="utf-8"?>
<Properties xmlns="http://schemas.openxmlformats.org/officeDocument/2006/custom-properties" xmlns:vt="http://schemas.openxmlformats.org/officeDocument/2006/docPropsVTypes"/>
</file>