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50B68" w14:textId="77777777" w:rsidR="005B1DF7" w:rsidRPr="00E30AB8" w:rsidRDefault="005B1DF7" w:rsidP="005B1DF7">
      <w:pPr>
        <w:bidi/>
        <w:spacing w:line="360" w:lineRule="auto"/>
        <w:jc w:val="center"/>
        <w:rPr>
          <w:rFonts w:ascii="Traditional Arabic" w:hAnsi="Traditional Arabic" w:cs="Traditional Arabic"/>
          <w:b/>
          <w:bCs/>
          <w:sz w:val="40"/>
          <w:szCs w:val="40"/>
          <w:lang w:val="en-US"/>
        </w:rPr>
      </w:pPr>
      <w:r w:rsidRPr="00E30AB8">
        <w:rPr>
          <w:rFonts w:ascii="Traditional Arabic" w:hAnsi="Traditional Arabic" w:cs="Traditional Arabic"/>
          <w:b/>
          <w:bCs/>
          <w:sz w:val="40"/>
          <w:szCs w:val="40"/>
          <w:rtl/>
        </w:rPr>
        <w:t>الفصل الثالث</w:t>
      </w:r>
    </w:p>
    <w:p w14:paraId="70E34508" w14:textId="77777777" w:rsidR="005B1DF7" w:rsidRPr="00E30AB8" w:rsidRDefault="005B1DF7" w:rsidP="005B1DF7">
      <w:pPr>
        <w:bidi/>
        <w:spacing w:line="360" w:lineRule="auto"/>
        <w:jc w:val="center"/>
        <w:rPr>
          <w:rFonts w:ascii="Traditional Arabic" w:hAnsi="Traditional Arabic" w:cs="Traditional Arabic"/>
          <w:b/>
          <w:bCs/>
          <w:sz w:val="40"/>
          <w:szCs w:val="40"/>
          <w:lang w:val="en-US"/>
        </w:rPr>
      </w:pPr>
      <w:r w:rsidRPr="00E30AB8">
        <w:rPr>
          <w:rFonts w:ascii="Traditional Arabic" w:hAnsi="Traditional Arabic" w:cs="Traditional Arabic"/>
          <w:b/>
          <w:bCs/>
          <w:sz w:val="40"/>
          <w:szCs w:val="40"/>
          <w:rtl/>
        </w:rPr>
        <w:t>منهجية الدراسة وإجراءاتها</w:t>
      </w:r>
    </w:p>
    <w:p w14:paraId="59DC4336"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3.1 مقدمة</w:t>
      </w:r>
    </w:p>
    <w:p w14:paraId="720B44DB"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rPr>
        <w:t>يتناول هذا الفصل المنهجية التي اتبعها الباحث لتحقيق أهداف الدراسة والإجابة عن أسئلتها واختبار فرضياتها، حيث يتضمن وصفًا لمنهج الدراسة وتصميمها، ومجتمع الدراسة وعينتها، ومتغيراتها، وأداة الدراسة المستخدمة في جمع البيانات، إلى جانب الإجراءات المتبعة للتحقق من صدق الأداة وثباتها، والخطوات التي اتبعها الباحث في تنفيذ الدراسة، والأساليب الإحصائية المستخدمة في تحليل البيانات واستخلاص النتائج</w:t>
      </w:r>
      <w:r w:rsidRPr="005B1DF7">
        <w:rPr>
          <w:rFonts w:ascii="Traditional Arabic" w:hAnsi="Traditional Arabic" w:cs="Traditional Arabic"/>
          <w:sz w:val="32"/>
          <w:szCs w:val="32"/>
          <w:lang w:val="en-US"/>
        </w:rPr>
        <w:t>.</w:t>
      </w:r>
    </w:p>
    <w:p w14:paraId="355D8862" w14:textId="77777777" w:rsidR="005B1DF7" w:rsidRDefault="005B1DF7" w:rsidP="005B1DF7">
      <w:pPr>
        <w:bidi/>
        <w:spacing w:line="360" w:lineRule="auto"/>
        <w:jc w:val="both"/>
        <w:rPr>
          <w:rFonts w:ascii="Traditional Arabic" w:hAnsi="Traditional Arabic" w:cs="Traditional Arabic"/>
          <w:sz w:val="32"/>
          <w:szCs w:val="32"/>
          <w:rtl/>
          <w:lang w:val="en-US"/>
        </w:rPr>
      </w:pPr>
      <w:r w:rsidRPr="005B1DF7">
        <w:rPr>
          <w:rFonts w:ascii="Traditional Arabic" w:hAnsi="Traditional Arabic" w:cs="Traditional Arabic"/>
          <w:sz w:val="32"/>
          <w:szCs w:val="32"/>
          <w:rtl/>
        </w:rPr>
        <w:t>وقد اعتمدت الدراسة المنهج الوصفي التحليلي لملاءمته لطبيعة الدراسة، إذ يهدف إلى التعرف على أثر التحول الرقمي بأبعاده 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في الاستقرار الوظيفي لدى العاملين في المستشفيات الحكومية بمدينة جدة، وذلك من خلال جمع البيانات باستخدام استبانة أُعدت لهذا الغرض، ثم تحليلها إحصائيًا للوصول إلى النتائج التي تحقق أهداف الدراسة. وقد روعي في جميع مراحل الدراسة اتباع الإجراءات العلمية والمنهجية التي تسهم في تعزيز دقة النتائج وموضوعيتها وقابليتها للتعميم في حدود مجتمع الدراسة</w:t>
      </w:r>
      <w:r w:rsidRPr="005B1DF7">
        <w:rPr>
          <w:rFonts w:ascii="Traditional Arabic" w:hAnsi="Traditional Arabic" w:cs="Traditional Arabic"/>
          <w:sz w:val="32"/>
          <w:szCs w:val="32"/>
          <w:lang w:val="en-US"/>
        </w:rPr>
        <w:t xml:space="preserve">. </w:t>
      </w:r>
    </w:p>
    <w:p w14:paraId="6045F6FC" w14:textId="77777777" w:rsidR="005B1DF7" w:rsidRDefault="005B1DF7" w:rsidP="005B1DF7">
      <w:pPr>
        <w:bidi/>
        <w:spacing w:line="360" w:lineRule="auto"/>
        <w:jc w:val="both"/>
        <w:rPr>
          <w:rFonts w:ascii="Traditional Arabic" w:hAnsi="Traditional Arabic" w:cs="Traditional Arabic"/>
          <w:sz w:val="32"/>
          <w:szCs w:val="32"/>
          <w:rtl/>
          <w:lang w:val="en-US"/>
        </w:rPr>
      </w:pPr>
    </w:p>
    <w:p w14:paraId="77210426" w14:textId="77777777" w:rsidR="005B1DF7" w:rsidRPr="005B1DF7" w:rsidRDefault="005B1DF7" w:rsidP="005B1DF7">
      <w:pPr>
        <w:bidi/>
        <w:spacing w:line="360" w:lineRule="auto"/>
        <w:jc w:val="both"/>
        <w:rPr>
          <w:rFonts w:ascii="Traditional Arabic" w:hAnsi="Traditional Arabic" w:cs="Traditional Arabic"/>
          <w:sz w:val="32"/>
          <w:szCs w:val="32"/>
          <w:lang w:val="en-US"/>
        </w:rPr>
      </w:pPr>
    </w:p>
    <w:p w14:paraId="48A92781"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3.2 منهج الدراسة</w:t>
      </w:r>
    </w:p>
    <w:p w14:paraId="1C5D69E4"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اعتمدت الدراسة المنهج الوصفي التحليلي، لكونه المنهج الأنسب لتحقيق أهدافها والإجابة عن أسئلتها واختبار فرضياتها. ويُعد هذا المنهج من أكثر المناهج استخدامًا في الدراسات الإدارية والإنسانية التي تهدف إلى وصف الظاهرة محل الدراسة وتحليلها، والكشف عن العلاقات والتأثيرات بين المتغيرات اعتمادًا على البيانات الميدانية التي يتم جمعها من أفراد مجتمع الدراسة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 xml:space="preserve">؛ </w:t>
      </w:r>
      <w:r w:rsidRPr="005B1DF7">
        <w:rPr>
          <w:rFonts w:ascii="Traditional Arabic" w:hAnsi="Traditional Arabic" w:cs="Traditional Arabic"/>
          <w:sz w:val="32"/>
          <w:szCs w:val="32"/>
          <w:lang w:val="en-US"/>
        </w:rPr>
        <w:t>Saunders et al., 2023</w:t>
      </w:r>
      <w:r w:rsidRPr="005B1DF7">
        <w:rPr>
          <w:rFonts w:ascii="Traditional Arabic" w:hAnsi="Traditional Arabic" w:cs="Traditional Arabic"/>
          <w:sz w:val="32"/>
          <w:szCs w:val="32"/>
          <w:rtl/>
          <w:lang w:val="en-US"/>
        </w:rPr>
        <w:t>).</w:t>
      </w:r>
    </w:p>
    <w:p w14:paraId="46B40421"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وقد استُخدم هذا المنهج لدراسة أثر التحول الرقمي في الاستقرار الوظيفي لدى العاملين في المستشفيات الحكومية بمدينة جدة، من خلال جمع البيانات باستخدام استبانة أُعدت لهذا الغرض، تضمنت فقرات تقيس أبعاد التحول الرقمي، والمتمثلة في البنية التحتية الرقمية والتقنيات الرقمية، والكفاءة الرقمية للموظفين، وتكامل الأنظمة الرقمية وعمليات الرقمنة، والأمن وحماية البيانات الرقمية، بالإضافة إلى فقرات تقيس الاستقرار الوظيفي بأبعاده المختلفة. وبعد جمع البيانات، خضعت للتحليل الإحصائي باستخدام الأساليب الإحصائية المناسبة لاختبار فرضيات الدراسة وقياس أثر المتغير المستقل في المتغير التابع</w:t>
      </w:r>
      <w:r w:rsidRPr="005B1DF7">
        <w:rPr>
          <w:rFonts w:ascii="Traditional Arabic" w:hAnsi="Traditional Arabic" w:cs="Traditional Arabic"/>
          <w:sz w:val="32"/>
          <w:szCs w:val="32"/>
          <w:lang w:val="en-US"/>
        </w:rPr>
        <w:t>.</w:t>
      </w:r>
    </w:p>
    <w:p w14:paraId="030F3797"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ويتميز المنهج الوصفي التحليلي بقدرته على تقديم وصف دقيق للظاهرة المدروسة، وتحليل العلاقات بين المتغيرات، واستخلاص النتائج في ضوء البيانات الميدانية، مما يجعله ملائمًا لطبيعة الدراسة الحالية التي تسعى إلى تفسير أثر التحول الرقمي في تعزيز الاستقرار الوظيفي لدى العاملين في المستشفيات الحكومية بمدينة جدة، وتقديم نتائج يمكن الاستفادة منها في تطوير الممارسات الإدارية واتخاذ القرارات المتعلقة بالتحول الرقمي في القطاع الصحي.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 xml:space="preserve">؛ </w:t>
      </w:r>
      <w:r w:rsidRPr="005B1DF7">
        <w:rPr>
          <w:rFonts w:ascii="Traditional Arabic" w:hAnsi="Traditional Arabic" w:cs="Traditional Arabic"/>
          <w:sz w:val="32"/>
          <w:szCs w:val="32"/>
          <w:lang w:val="en-US"/>
        </w:rPr>
        <w:t>Sekaran &amp; Bougie, 2020</w:t>
      </w:r>
      <w:r w:rsidRPr="005B1DF7">
        <w:rPr>
          <w:rFonts w:ascii="Traditional Arabic" w:hAnsi="Traditional Arabic" w:cs="Traditional Arabic"/>
          <w:sz w:val="32"/>
          <w:szCs w:val="32"/>
          <w:rtl/>
          <w:lang w:val="en-US"/>
        </w:rPr>
        <w:t>).</w:t>
      </w:r>
    </w:p>
    <w:p w14:paraId="79D447E9"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3.3 تصميم الدراسة</w:t>
      </w:r>
    </w:p>
    <w:p w14:paraId="5FD7AE5B"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استندت الدراسة الحالية إلى التصميم الكمي المسحي المقطعي، بالاعتماد على المنهج الوصفي التحليلي ذي الطابع الارتباطي التفسيري، والذي يهدف إلى دراسة أثر المتغير المستقل في المتغير التابع من خلال جمع البيانات ميدانيًا في فترة زمنية واحدة وتحليلها باستخدام الأساليب الإحصائية المناسبة. ويُعد هذا التصميم من أكثر التصاميم استخدامًا في الدراسات الإدارية؛ لملاءمته لدراسة العلاقات بين المتغيرات واختبار الفرضيات في بيئات العمل المختلفة، كما يتيح قياس تصورات أفراد العينة وتحليلها إحصائيًا للوصول إلى نتائج موضوعية في ضوء أهداف الدراسة (</w:t>
      </w:r>
      <w:r w:rsidRPr="00365907">
        <w:rPr>
          <w:rFonts w:ascii="Traditional Arabic" w:hAnsi="Traditional Arabic" w:cs="Traditional Arabic"/>
          <w:sz w:val="32"/>
          <w:szCs w:val="32"/>
          <w:lang w:val="en-US"/>
        </w:rPr>
        <w:t>Creswell &amp; Creswell, 2023</w:t>
      </w:r>
      <w:r w:rsidRPr="00365907">
        <w:rPr>
          <w:rFonts w:ascii="Traditional Arabic" w:hAnsi="Traditional Arabic" w:cs="Traditional Arabic"/>
          <w:sz w:val="32"/>
          <w:szCs w:val="32"/>
          <w:rtl/>
          <w:lang w:val="en-US"/>
        </w:rPr>
        <w:t>).</w:t>
      </w:r>
    </w:p>
    <w:p w14:paraId="7048BB70"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ويعتمد التصميم المسحي في هذه الدراسة على جمع البيانات من أفراد العينة باستخدام الاستبانة بوصفها الأداة الرئيسة لجمع البيانات، حيث تمثل هذه الدراسة تصميمًا مقطعيًا (</w:t>
      </w:r>
      <w:r w:rsidRPr="00365907">
        <w:rPr>
          <w:rFonts w:ascii="Traditional Arabic" w:hAnsi="Traditional Arabic" w:cs="Traditional Arabic"/>
          <w:sz w:val="32"/>
          <w:szCs w:val="32"/>
          <w:lang w:val="en-US"/>
        </w:rPr>
        <w:t>Cross-sectional</w:t>
      </w:r>
      <w:r w:rsidRPr="00365907">
        <w:rPr>
          <w:rFonts w:ascii="Traditional Arabic" w:hAnsi="Traditional Arabic" w:cs="Traditional Arabic"/>
          <w:sz w:val="32"/>
          <w:szCs w:val="32"/>
          <w:rtl/>
          <w:lang w:val="en-US"/>
        </w:rPr>
        <w:t>)، إذ تُجمع البيانات من المشاركين خلال فترة زمنية واحدة دون إجراء قياسات متكررة، مما يتيح تحليل العلاقات والتأثيرات الإحصائية بين متغيرات الدراسة في وقت محدد.</w:t>
      </w:r>
    </w:p>
    <w:p w14:paraId="314BA47C"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وقد بُني تصميم الدراسة على متغير مستقل هو التحول الرقمي، ويتكون من أربعة أبعاد هي: البنية التحتية الرقمية والتقنيات الرقمية، والكفاءة الرقمية للموظفين، وتكامل الأنظمة الرقمية وعمليات الرقمنة، والأمن وحماية البيانات الرقمية، ومتغير تابع هو الاستقرار الوظيفي، ويُقاس من خلال أبعاده المتمثلة في الأمان الوظيفي، والرضا الوظيفي، والالتزام التنظيمي. وتم قياس هذه المتغيرات باستخدام استبانة طُورت في ضوء الأدبيات والدراسات السابقة، ثم جُمعت البيانات من أفراد عينة الدراسة، وأُخضعت للتحليل الإحصائي باستخدام برنامج</w:t>
      </w:r>
      <w:r w:rsidRPr="00365907">
        <w:rPr>
          <w:rFonts w:ascii="Traditional Arabic" w:hAnsi="Traditional Arabic" w:cs="Traditional Arabic"/>
          <w:sz w:val="32"/>
          <w:szCs w:val="32"/>
          <w:lang w:val="en-US"/>
        </w:rPr>
        <w:t xml:space="preserve"> (SPSS) </w:t>
      </w:r>
      <w:r w:rsidRPr="00365907">
        <w:rPr>
          <w:rFonts w:ascii="Traditional Arabic" w:hAnsi="Traditional Arabic" w:cs="Traditional Arabic"/>
          <w:sz w:val="32"/>
          <w:szCs w:val="32"/>
          <w:rtl/>
          <w:lang w:val="en-US"/>
        </w:rPr>
        <w:t>لاختبار أثر أبعاد التحول الرقمي في الاستقرار الوظيفي لدى العاملين في المستشفيات الحكومية بمدينة جدة، بما يتوافق مع أسئلة الدراسة وفرضياتها</w:t>
      </w:r>
      <w:r w:rsidRPr="00365907">
        <w:rPr>
          <w:rFonts w:ascii="Traditional Arabic" w:hAnsi="Traditional Arabic" w:cs="Traditional Arabic"/>
          <w:sz w:val="32"/>
          <w:szCs w:val="32"/>
          <w:lang w:val="en-US"/>
        </w:rPr>
        <w:t>.</w:t>
      </w:r>
    </w:p>
    <w:p w14:paraId="3DF1F8FF" w14:textId="77777777" w:rsidR="00692479" w:rsidRPr="00365907" w:rsidRDefault="00692479" w:rsidP="00692479">
      <w:pPr>
        <w:bidi/>
        <w:spacing w:line="360" w:lineRule="auto"/>
        <w:jc w:val="both"/>
        <w:rPr>
          <w:rFonts w:ascii="Traditional Arabic" w:hAnsi="Traditional Arabic" w:cs="Traditional Arabic"/>
          <w:sz w:val="32"/>
          <w:szCs w:val="32"/>
          <w:rtl/>
          <w:lang w:val="en-US"/>
        </w:rPr>
      </w:pPr>
    </w:p>
    <w:p w14:paraId="06EA2136" w14:textId="77777777" w:rsidR="005B1DF7" w:rsidRPr="00692479" w:rsidRDefault="005B1DF7"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3.4 مجتمع الدراسة</w:t>
      </w:r>
    </w:p>
    <w:p w14:paraId="5F08CE89"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تكون مجتمع الدراسة من جميع العاملين في المستشفيات الحكومية المشمولة بالدراسة بمدينة جدة في المملكة العربية السعودية، ويشمل ذلك الأطباء، وهيئة التمريض، والفنيين، والإداريين، باعتبارهم الفئات الأكثر ارتباطًا باستخدام الأنظمة والتقنيات الرقمية في بيئة العمل، والأكثر تأثرًا بعمليات التحول الرقمي التي يشهدها القطاع الصحي</w:t>
      </w:r>
      <w:r w:rsidRPr="00675801">
        <w:rPr>
          <w:rFonts w:ascii="Traditional Arabic" w:hAnsi="Traditional Arabic" w:cs="Traditional Arabic"/>
          <w:sz w:val="32"/>
          <w:szCs w:val="32"/>
          <w:lang w:val="en-US"/>
        </w:rPr>
        <w:t>.</w:t>
      </w:r>
    </w:p>
    <w:p w14:paraId="6FE84744"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 xml:space="preserve">ولتحقيق أهداف الدراسة، حدد الباحث ميدان الدراسة في ستة مستشفيات حكومية بمدينة جدة، وذلك بعد مراجعة التقارير والإحصاءات الرسمية الصادرة عن وزارة الصحة السعودية، والاطلاع على المواقع الإلكترونية الرسمية للمستشفيات، إلى جانب الاستفادة من الأدبيات والدراسات السابقة ذات العلاقة بالتحول الرقمي في القطاع الصحي السعودي (وزارة الصحة السعودية، 2023؛ </w:t>
      </w:r>
      <w:r w:rsidRPr="00675801">
        <w:rPr>
          <w:rFonts w:ascii="Traditional Arabic" w:hAnsi="Traditional Arabic" w:cs="Traditional Arabic"/>
          <w:sz w:val="32"/>
          <w:szCs w:val="32"/>
          <w:lang w:val="en-US"/>
        </w:rPr>
        <w:t>Alshammari, 2021</w:t>
      </w:r>
      <w:r w:rsidRPr="00675801">
        <w:rPr>
          <w:rFonts w:ascii="Traditional Arabic" w:hAnsi="Traditional Arabic" w:cs="Traditional Arabic"/>
          <w:sz w:val="32"/>
          <w:szCs w:val="32"/>
          <w:rtl/>
          <w:lang w:val="en-US"/>
        </w:rPr>
        <w:t>). وقد شملت المستشفيات المشمولة بالدراسة ما يأتي:</w:t>
      </w:r>
    </w:p>
    <w:p w14:paraId="3D02F251"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عبدالعزيز الجامعي</w:t>
      </w:r>
      <w:r w:rsidRPr="00675801">
        <w:rPr>
          <w:rFonts w:ascii="Traditional Arabic" w:hAnsi="Traditional Arabic" w:cs="Traditional Arabic"/>
          <w:sz w:val="32"/>
          <w:szCs w:val="32"/>
          <w:lang w:val="en-US"/>
        </w:rPr>
        <w:t xml:space="preserve">. </w:t>
      </w:r>
    </w:p>
    <w:p w14:paraId="3516D595"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فهد للقوات المسلحة</w:t>
      </w:r>
      <w:r w:rsidRPr="00675801">
        <w:rPr>
          <w:rFonts w:ascii="Traditional Arabic" w:hAnsi="Traditional Arabic" w:cs="Traditional Arabic"/>
          <w:sz w:val="32"/>
          <w:szCs w:val="32"/>
          <w:lang w:val="en-US"/>
        </w:rPr>
        <w:t xml:space="preserve">. </w:t>
      </w:r>
    </w:p>
    <w:p w14:paraId="480C8BE5"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الولادة والأطفال (العزيزية).</w:t>
      </w:r>
    </w:p>
    <w:p w14:paraId="245FB712"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الثغر العام</w:t>
      </w:r>
      <w:r w:rsidRPr="00675801">
        <w:rPr>
          <w:rFonts w:ascii="Traditional Arabic" w:hAnsi="Traditional Arabic" w:cs="Traditional Arabic"/>
          <w:sz w:val="32"/>
          <w:szCs w:val="32"/>
          <w:lang w:val="en-US"/>
        </w:rPr>
        <w:t xml:space="preserve">. </w:t>
      </w:r>
    </w:p>
    <w:p w14:paraId="06FEF014"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فيصل التخصصي بجدة</w:t>
      </w:r>
      <w:r w:rsidRPr="00675801">
        <w:rPr>
          <w:rFonts w:ascii="Traditional Arabic" w:hAnsi="Traditional Arabic" w:cs="Traditional Arabic"/>
          <w:sz w:val="32"/>
          <w:szCs w:val="32"/>
          <w:lang w:val="en-US"/>
        </w:rPr>
        <w:t xml:space="preserve">. </w:t>
      </w:r>
    </w:p>
    <w:p w14:paraId="7D4CEE21"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الحرس الوطني</w:t>
      </w:r>
      <w:r w:rsidRPr="00675801">
        <w:rPr>
          <w:rFonts w:ascii="Traditional Arabic" w:hAnsi="Traditional Arabic" w:cs="Traditional Arabic"/>
          <w:sz w:val="32"/>
          <w:szCs w:val="32"/>
          <w:lang w:val="en-US"/>
        </w:rPr>
        <w:t xml:space="preserve">. </w:t>
      </w:r>
    </w:p>
    <w:p w14:paraId="0B58510B"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وقد استند اختيار هذه المستشفيات إلى مجموعة من المعايير، تمثلت في كونها من المستشفيات الحكومية الكبرى التي تقدم خدمات صحية متخصصة ومتنوعة، وتضم أعدادًا كبيرة من العاملين في مختلف التخصصات الصحية والإدارية، كما تتميز بتبنيها تطبيقات متقدمة في مجال التحول الرقمي، مثل السجلات الطبية الإلكترونية، والأنظمة الصحية الذكية، والخدمات الرقمية، الأمر الذي يجعلها بيئة مناسبة لدراسة أثر التحول الرقمي في الاستقرار الوظيفي. إضافة إلى ذلك، تمثل هذه المستشفيات جزءًا مهمًا من منظومة الرعاية الصحية الحكومية بمدينة جدة، مما يعزز ملاءمتها لتحقيق أهداف الدراسة وإمكانية الاستفادة من نتائجها في دعم جهود التحول الرقمي في القطاع الصحي</w:t>
      </w:r>
      <w:r w:rsidRPr="00675801">
        <w:rPr>
          <w:rFonts w:ascii="Traditional Arabic" w:hAnsi="Traditional Arabic" w:cs="Traditional Arabic"/>
          <w:sz w:val="32"/>
          <w:szCs w:val="32"/>
          <w:lang w:val="en-US"/>
        </w:rPr>
        <w:t>.</w:t>
      </w:r>
    </w:p>
    <w:p w14:paraId="5629B96F" w14:textId="77777777" w:rsidR="00675801" w:rsidRPr="00675801" w:rsidRDefault="00675801" w:rsidP="00675801">
      <w:pPr>
        <w:bidi/>
        <w:spacing w:line="360" w:lineRule="auto"/>
        <w:jc w:val="both"/>
        <w:rPr>
          <w:rFonts w:ascii="Traditional Arabic" w:hAnsi="Traditional Arabic" w:cs="Traditional Arabic"/>
          <w:sz w:val="32"/>
          <w:szCs w:val="32"/>
          <w:rtl/>
          <w:lang w:val="en-US"/>
        </w:rPr>
      </w:pPr>
      <w:r w:rsidRPr="00675801">
        <w:rPr>
          <w:rFonts w:ascii="Traditional Arabic" w:hAnsi="Traditional Arabic" w:cs="Traditional Arabic"/>
          <w:sz w:val="32"/>
          <w:szCs w:val="32"/>
          <w:rtl/>
          <w:lang w:val="en-US"/>
        </w:rPr>
        <w:t>وبناءً على ذلك، تمثل مجتمع الدراسة في جميع العاملين بالمستشفيات الحكومية المشمولة بالدراسة، والذين ينتمون إلى الفئات الوظيفية المستهدفة، والمتمثلة في الأطباء، وهيئة التمريض، والفنيين، والإداريين، وقد استُمدت عينة الدراسة من هذا المجتمع وفق إجراءات المعاينة المعتمدة في الدراسة</w:t>
      </w:r>
      <w:r w:rsidRPr="00675801">
        <w:rPr>
          <w:rFonts w:ascii="Traditional Arabic" w:hAnsi="Traditional Arabic" w:cs="Traditional Arabic"/>
          <w:sz w:val="32"/>
          <w:szCs w:val="32"/>
          <w:lang w:val="en-US"/>
        </w:rPr>
        <w:t>.</w:t>
      </w:r>
    </w:p>
    <w:p w14:paraId="19BBB822" w14:textId="77777777" w:rsidR="00675801" w:rsidRPr="00675801" w:rsidRDefault="00675801" w:rsidP="00675801">
      <w:pPr>
        <w:bidi/>
        <w:spacing w:line="360" w:lineRule="auto"/>
        <w:jc w:val="both"/>
        <w:rPr>
          <w:rFonts w:ascii="Traditional Arabic" w:hAnsi="Traditional Arabic" w:cs="Traditional Arabic"/>
          <w:sz w:val="32"/>
          <w:szCs w:val="32"/>
          <w:lang w:val="en-US"/>
        </w:rPr>
      </w:pPr>
    </w:p>
    <w:p w14:paraId="5193BDE7" w14:textId="77777777" w:rsidR="00692479" w:rsidRDefault="00692479" w:rsidP="00692479">
      <w:pPr>
        <w:bidi/>
        <w:spacing w:line="360" w:lineRule="auto"/>
        <w:jc w:val="both"/>
        <w:rPr>
          <w:rFonts w:ascii="Traditional Arabic" w:hAnsi="Traditional Arabic" w:cs="Traditional Arabic"/>
          <w:b/>
          <w:bCs/>
          <w:sz w:val="32"/>
          <w:szCs w:val="32"/>
          <w:rtl/>
          <w:lang w:val="en-US"/>
        </w:rPr>
      </w:pPr>
      <w:r w:rsidRPr="00692479">
        <w:rPr>
          <w:rFonts w:ascii="Traditional Arabic" w:hAnsi="Traditional Arabic" w:cs="Traditional Arabic"/>
          <w:b/>
          <w:bCs/>
          <w:sz w:val="32"/>
          <w:szCs w:val="32"/>
          <w:rtl/>
          <w:lang w:val="en-US"/>
        </w:rPr>
        <w:t>3.5 عينة الدراسة</w:t>
      </w:r>
    </w:p>
    <w:p w14:paraId="2BE920AF" w14:textId="77777777" w:rsidR="00675801" w:rsidRPr="00675801" w:rsidRDefault="00675801" w:rsidP="009E4789">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 xml:space="preserve">اعتمدت الدراسة </w:t>
      </w:r>
      <w:r w:rsidR="009E4789" w:rsidRPr="009E4789">
        <w:rPr>
          <w:rFonts w:ascii="Traditional Arabic" w:hAnsi="Traditional Arabic" w:cs="Traditional Arabic"/>
          <w:sz w:val="32"/>
          <w:szCs w:val="32"/>
          <w:rtl/>
          <w:lang w:val="en-US"/>
        </w:rPr>
        <w:t>أسلوب العينة الطبقية العشوائية (</w:t>
      </w:r>
      <w:r w:rsidR="009E4789" w:rsidRPr="009E4789">
        <w:rPr>
          <w:rFonts w:ascii="Traditional Arabic" w:hAnsi="Traditional Arabic" w:cs="Traditional Arabic"/>
          <w:sz w:val="32"/>
          <w:szCs w:val="32"/>
          <w:lang w:val="en-US"/>
        </w:rPr>
        <w:t>Stratified Random Sampling</w:t>
      </w:r>
      <w:r w:rsidR="009E4789" w:rsidRPr="009E4789">
        <w:rPr>
          <w:rFonts w:ascii="Traditional Arabic" w:hAnsi="Traditional Arabic" w:cs="Traditional Arabic"/>
          <w:sz w:val="32"/>
          <w:szCs w:val="32"/>
          <w:rtl/>
          <w:lang w:val="en-US"/>
        </w:rPr>
        <w:t xml:space="preserve">) لاختيار أفراد الدراسة من العاملين في المستشفيات الحكومية المشمولة بالدراسة بمدينة جدة، وذلك نظرًا لتنوع مجتمع الدراسة واختلاف فئاته الوظيفية، حيث يشمل الأطباء، وهيئة التمريض، والفنيين، والإداريين. </w:t>
      </w:r>
      <w:r w:rsidRPr="00675801">
        <w:rPr>
          <w:rFonts w:ascii="Traditional Arabic" w:hAnsi="Traditional Arabic" w:cs="Traditional Arabic"/>
          <w:sz w:val="32"/>
          <w:szCs w:val="32"/>
          <w:rtl/>
          <w:lang w:val="en-US"/>
        </w:rPr>
        <w:t xml:space="preserve">ويُعد هذا الأسلوب من أنسب </w:t>
      </w:r>
      <w:r w:rsidR="009E4789" w:rsidRPr="009E4789">
        <w:rPr>
          <w:rFonts w:ascii="Traditional Arabic" w:hAnsi="Traditional Arabic" w:cs="Traditional Arabic"/>
          <w:sz w:val="32"/>
          <w:szCs w:val="32"/>
          <w:rtl/>
          <w:lang w:val="en-US"/>
        </w:rPr>
        <w:t>أساليب المعاينة في الدراسات التي يتكون مجتمعها من طبقات أو فئات فرعية واضحة، إذ يضمن تمثيل كل فئة من فئات المجتمع في العينة، ويحد من تحيز النتائج لصالح فئة وظيفية دون أخرى (</w:t>
      </w:r>
      <w:r w:rsidR="009E4789" w:rsidRPr="009E4789">
        <w:rPr>
          <w:rFonts w:ascii="Traditional Arabic" w:hAnsi="Traditional Arabic" w:cs="Traditional Arabic"/>
          <w:sz w:val="32"/>
          <w:szCs w:val="32"/>
          <w:lang w:val="en-US"/>
        </w:rPr>
        <w:t>Sekaran &amp; Bougie, 2020</w:t>
      </w:r>
      <w:r w:rsidR="009E4789" w:rsidRPr="009E4789">
        <w:rPr>
          <w:rFonts w:ascii="Traditional Arabic" w:hAnsi="Traditional Arabic" w:cs="Traditional Arabic"/>
          <w:sz w:val="32"/>
          <w:szCs w:val="32"/>
          <w:rtl/>
          <w:lang w:val="en-US"/>
        </w:rPr>
        <w:t>).</w:t>
      </w:r>
    </w:p>
    <w:p w14:paraId="2997A448"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وقد استهدفت الدراسة العاملين في المستشفيات الحكومية المشمولة بالدراسة من الأطباء، وهيئة التمريض، والفنيين، والإداريين، باعتبارهم الفئات الأكثر ارتباطًا بتطبيقات التحول الرقمي في بيئة العمل. فهذه الفئات تتعامل بصورة مباشرة أو غير مباشرة مع السجلات الطبية الإلكترونية، وأنظمة المعلومات الصحية، والمنصات الإدارية الرقمية، وأنظمة المتابعة والتقييم، وغيرها من التطبيقات التقنية التي تبنتها المستشفيات الحكومية في إطار برامج التحول الرقمي. كما أن طبيعة أعمالهم اليومية تجعلهم أكثر قدرة على تقييم أثر التحول الرقمي في مستوى الاستقرار الوظيفي داخل بيئة العمل</w:t>
      </w:r>
      <w:r w:rsidRPr="00675801">
        <w:rPr>
          <w:rFonts w:ascii="Traditional Arabic" w:hAnsi="Traditional Arabic" w:cs="Traditional Arabic"/>
          <w:sz w:val="32"/>
          <w:szCs w:val="32"/>
          <w:lang w:val="en-US"/>
        </w:rPr>
        <w:t>.</w:t>
      </w:r>
    </w:p>
    <w:p w14:paraId="3986154E" w14:textId="77777777" w:rsidR="00675801" w:rsidRPr="00675801" w:rsidRDefault="00675801" w:rsidP="009E4789">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 xml:space="preserve">وجاء اختيار العينة الطبقية العشوائية لضمان تمثيل مختلف الفئات الوظيفية المشمولة بالدراسة، إذ قد تختلف طبيعة تعامل الأطباء مع الأنظمة الرقمية عن تعامل هيئة التمريض أو الفنيين أو الإداريين، كما قد تختلف درجة تأثر كل فئة بمتطلبات التحول </w:t>
      </w:r>
      <w:r w:rsidR="009E4789" w:rsidRPr="009E4789">
        <w:rPr>
          <w:rFonts w:ascii="Traditional Arabic" w:hAnsi="Traditional Arabic" w:cs="Traditional Arabic"/>
          <w:sz w:val="32"/>
          <w:szCs w:val="32"/>
          <w:rtl/>
          <w:lang w:val="en-US"/>
        </w:rPr>
        <w:t>الرقمي وتغيرات بيئة العمل. لذلك فإن تمثيل هذه الفئات داخل العينة يسهم في تقديم نتائج أكثر دقة وشمولًا، ويعزز من قدرة الدراسة على تفسير أثر التحول الرقمي في الاستقرار الوظيفي لدى العاملين في المستشفيات الحكومية المشمولة بالدراسة. ولتحقيق ذلك، وُزِّعت العينة على الفئات الوظيفية الرئيسة المشمولة بالدراسة، ثم جرى اختيار أفراد العينة عشوائيًا من كل فئة بما يضمن تمثيل مختلف الفئات الوظيفية في العينة.</w:t>
      </w:r>
    </w:p>
    <w:p w14:paraId="67EC1F2F"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ونظرًا لكبر حجم مجتمع الدراسة، فقد تم تحديد حجم العينة بالاستناد إلى جدول كريجسي ومورغان (</w:t>
      </w:r>
      <w:r w:rsidRPr="00675801">
        <w:rPr>
          <w:rFonts w:ascii="Traditional Arabic" w:hAnsi="Traditional Arabic" w:cs="Traditional Arabic"/>
          <w:sz w:val="32"/>
          <w:szCs w:val="32"/>
          <w:lang w:val="en-US"/>
        </w:rPr>
        <w:t>Krejcie &amp; Morgan, 1970</w:t>
      </w:r>
      <w:r w:rsidRPr="00675801">
        <w:rPr>
          <w:rFonts w:ascii="Traditional Arabic" w:hAnsi="Traditional Arabic" w:cs="Traditional Arabic"/>
          <w:sz w:val="32"/>
          <w:szCs w:val="32"/>
          <w:rtl/>
          <w:lang w:val="en-US"/>
        </w:rPr>
        <w:t>)، والذي يُعد من أكثر الأساليب استخدامًا في تحديد أحجام العينات في الدراسات المسحية. وبناءً عليه، بلغ الحجم المناسب للعينة (379) مفردة، ولزيادة معدل الاستجابة وتقليل أثر الاستبانات غير الصالحة للتحليل، قام الباحث بتوزيع نحو (400) استبانة على العاملين في المستشفيات الحكومية المشمولة بالدراسة.</w:t>
      </w:r>
    </w:p>
    <w:p w14:paraId="687543B6" w14:textId="77777777" w:rsidR="00675801" w:rsidRDefault="00675801" w:rsidP="00675801">
      <w:pPr>
        <w:bidi/>
        <w:spacing w:line="360" w:lineRule="auto"/>
        <w:jc w:val="both"/>
        <w:rPr>
          <w:rFonts w:ascii="Traditional Arabic" w:hAnsi="Traditional Arabic" w:cs="Traditional Arabic"/>
          <w:sz w:val="32"/>
          <w:szCs w:val="32"/>
          <w:rtl/>
          <w:lang w:val="en-US"/>
        </w:rPr>
      </w:pPr>
      <w:r w:rsidRPr="00675801">
        <w:rPr>
          <w:rFonts w:ascii="Traditional Arabic" w:hAnsi="Traditional Arabic" w:cs="Traditional Arabic"/>
          <w:sz w:val="32"/>
          <w:szCs w:val="32"/>
          <w:rtl/>
          <w:lang w:val="en-US"/>
        </w:rPr>
        <w:t>وقد روعي عند توزيع الاستبانات أن تشمل جميع المستشفيات الحكومية المشمولة بالدراسة، وأن تمثل الفئات الوظيفية الرئيسة الأربع، بما يحقق تمثيلًا مناسبًا لمجتمع الدراسة، ويزيد من موثوقية النتائج وقابليتها للتعميم في حدود مجتمع الدراسة</w:t>
      </w:r>
      <w:r w:rsidRPr="00675801">
        <w:rPr>
          <w:rFonts w:ascii="Traditional Arabic" w:hAnsi="Traditional Arabic" w:cs="Traditional Arabic"/>
          <w:sz w:val="32"/>
          <w:szCs w:val="32"/>
          <w:lang w:val="en-US"/>
        </w:rPr>
        <w:t>.</w:t>
      </w:r>
    </w:p>
    <w:p w14:paraId="75B37DB2" w14:textId="77777777" w:rsidR="00365907" w:rsidRPr="00675801"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سيتم توزيع الاستبانات على العاملين في المستشفيات الحكومية المشمولة بالدراسة باستخدام أسلوب العينة الطبقية العشوائية، حيث تمثل الفئات الوظيفية (الأطباء، والتمريض، والفنيون، والإداريون) الطبقات الرئيسة للعينة، مع مراعاة تمثيل جميع المستشفيات المشمولة بالدراسة بما يحقق تمثيلًا مناسبًا لمجتمع الدراسة، وسيتم تحديد العدد الفعلي للاستبانات الموزعة على كل مستشفى وكل فئة وظيفية وفق حجم العاملين وتوافرهم عند تنفيذ الدراسة</w:t>
      </w:r>
      <w:r w:rsidRPr="00365907">
        <w:rPr>
          <w:rFonts w:ascii="Traditional Arabic" w:hAnsi="Traditional Arabic" w:cs="Traditional Arabic"/>
          <w:sz w:val="32"/>
          <w:szCs w:val="32"/>
        </w:rPr>
        <w:t>.</w:t>
      </w:r>
    </w:p>
    <w:p w14:paraId="01EA1B0A" w14:textId="77777777" w:rsidR="00692479" w:rsidRPr="00692479" w:rsidRDefault="00692479" w:rsidP="00692479">
      <w:pPr>
        <w:bidi/>
        <w:spacing w:line="360" w:lineRule="auto"/>
        <w:jc w:val="both"/>
        <w:rPr>
          <w:rFonts w:ascii="Traditional Arabic" w:hAnsi="Traditional Arabic" w:cs="Traditional Arabic"/>
          <w:b/>
          <w:bCs/>
          <w:sz w:val="32"/>
          <w:szCs w:val="32"/>
          <w:rtl/>
          <w:lang w:val="en-US"/>
        </w:rPr>
      </w:pPr>
      <w:r w:rsidRPr="00692479">
        <w:rPr>
          <w:rFonts w:ascii="Traditional Arabic" w:hAnsi="Traditional Arabic" w:cs="Traditional Arabic"/>
          <w:b/>
          <w:bCs/>
          <w:sz w:val="32"/>
          <w:szCs w:val="32"/>
          <w:rtl/>
          <w:lang w:val="en-US"/>
        </w:rPr>
        <w:t>3.6 متغيرات الدراسة</w:t>
      </w:r>
    </w:p>
    <w:p w14:paraId="0D1C0E66"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استنادًا إلى مشكلة الدراسة، وأهدافها، وفرضياتها، والإطار النظري، والدراسات السابقة ذات الصلة، اشتملت الدراسة الحالية على متغير مستقل ومتغير تابع، حيث هدفت إلى التعرف على أثر التحول الرقمي في الاستقرار الوظيفي لدى العاملين في المستشفيات الحكومية بمدينة جدة. وقد تم تحديد متغيرات الدراسة وأبعادها في ضوء الأدبيات العلمية الحديثة، والدراسات السابقة التي تناولت التحول الرقمي في القطاع الصحي والاستقرار الوظيفي، بما يحقق أهداف الدراسة ويتيح اختبار فرضياتها بصورة علمية (</w:t>
      </w:r>
      <w:r w:rsidRPr="00692479">
        <w:rPr>
          <w:rFonts w:ascii="Traditional Arabic" w:hAnsi="Traditional Arabic" w:cs="Traditional Arabic"/>
          <w:sz w:val="32"/>
          <w:szCs w:val="32"/>
          <w:lang w:val="en-US"/>
        </w:rPr>
        <w:t>Creswell &amp; Creswell, 2023</w:t>
      </w:r>
      <w:r w:rsidRPr="00692479">
        <w:rPr>
          <w:rFonts w:ascii="Traditional Arabic" w:hAnsi="Traditional Arabic" w:cs="Traditional Arabic"/>
          <w:sz w:val="32"/>
          <w:szCs w:val="32"/>
          <w:rtl/>
          <w:lang w:val="en-US"/>
        </w:rPr>
        <w:t xml:space="preserve">؛ </w:t>
      </w:r>
      <w:r w:rsidRPr="00692479">
        <w:rPr>
          <w:rFonts w:ascii="Traditional Arabic" w:hAnsi="Traditional Arabic" w:cs="Traditional Arabic"/>
          <w:sz w:val="32"/>
          <w:szCs w:val="32"/>
          <w:lang w:val="en-US"/>
        </w:rPr>
        <w:t>Saunders et al., 2023</w:t>
      </w:r>
      <w:r w:rsidRPr="00692479">
        <w:rPr>
          <w:rFonts w:ascii="Traditional Arabic" w:hAnsi="Traditional Arabic" w:cs="Traditional Arabic"/>
          <w:sz w:val="32"/>
          <w:szCs w:val="32"/>
          <w:rtl/>
          <w:lang w:val="en-US"/>
        </w:rPr>
        <w:t>).</w:t>
      </w:r>
    </w:p>
    <w:p w14:paraId="086128A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ويتمثل المتغير المستقل في التحول الرقمي، وقد تم قياسه من خلال أربعة أبعاد رئيسة، هي</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البنية التحتية الرقمية والتقنيات الرقمية، والكفاءة الرقمية للموظفين، وتكامل الأنظمة الرقمية وعمليات الرقمنة، والأمن وحماية البيانات الرقمية</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وقد تم اختيار هذه الأبعاد استنادًا إلى الأدبيات الحديثة والدراسات السابقة التي تناولت تطبيقات التحول الرقمي في القطاع الصحي، بوصفها من أكثر الأبعاد استخدامًا في قياس مستوى التحول الرقمي في المؤسسات الصحية</w:t>
      </w:r>
      <w:r w:rsidRPr="00692479">
        <w:rPr>
          <w:rFonts w:ascii="Traditional Arabic" w:hAnsi="Traditional Arabic" w:cs="Traditional Arabic"/>
          <w:sz w:val="32"/>
          <w:szCs w:val="32"/>
          <w:lang w:val="en-US"/>
        </w:rPr>
        <w:t>.</w:t>
      </w:r>
    </w:p>
    <w:p w14:paraId="1260CDE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أما المتغير التابع فهو الاستقرار الوظيفي، وتم قياسه من خلال ثلاثة أبعاد رئيسة، هي</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الأمان الوظيفي، والرضا الوظيفي، والالتزام التنظيمي، وذلك بالاعتماد على الأدبيات والدراسات السابقة التي تناولت مفهوم الاستقرار الوظيفي والعوامل المكونة له، حيث تعكس هذه الأبعاد الجوانب الرئيسة التي تحدد مستوى استقرار العاملين واستمرارهم في أداء أعمالهم داخل المؤسسات الصحية</w:t>
      </w:r>
      <w:r w:rsidRPr="00692479">
        <w:rPr>
          <w:rFonts w:ascii="Traditional Arabic" w:hAnsi="Traditional Arabic" w:cs="Traditional Arabic"/>
          <w:sz w:val="32"/>
          <w:szCs w:val="32"/>
          <w:lang w:val="en-US"/>
        </w:rPr>
        <w:t>.</w:t>
      </w:r>
    </w:p>
    <w:p w14:paraId="26C8A3B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ويبين الجدول (3-2) متغيرات الدراسة وأبعادها وعدد الفقرات المخصصة لقياس كل بعد</w:t>
      </w:r>
      <w:r w:rsidRPr="00692479">
        <w:rPr>
          <w:rFonts w:ascii="Traditional Arabic" w:hAnsi="Traditional Arabic" w:cs="Traditional Arabic"/>
          <w:sz w:val="32"/>
          <w:szCs w:val="32"/>
          <w:lang w:val="en-US"/>
        </w:rPr>
        <w:t>.</w:t>
      </w:r>
    </w:p>
    <w:p w14:paraId="7A3D7347" w14:textId="77777777" w:rsidR="00692479" w:rsidRPr="00692479" w:rsidRDefault="00692479" w:rsidP="00692479">
      <w:pPr>
        <w:bidi/>
        <w:spacing w:after="0" w:line="360" w:lineRule="auto"/>
        <w:jc w:val="center"/>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جدول (3-2) متغيرات الدراسة وأبعادها وعدد الفقرات</w:t>
      </w:r>
    </w:p>
    <w:tbl>
      <w:tblPr>
        <w:tblStyle w:val="TableGrid"/>
        <w:bidiVisual/>
        <w:tblW w:w="5000" w:type="pct"/>
        <w:tblLook w:val="04A0" w:firstRow="1" w:lastRow="0" w:firstColumn="1" w:lastColumn="0" w:noHBand="0" w:noVBand="1"/>
      </w:tblPr>
      <w:tblGrid>
        <w:gridCol w:w="3556"/>
        <w:gridCol w:w="4151"/>
        <w:gridCol w:w="1630"/>
      </w:tblGrid>
      <w:tr w:rsidR="00692479" w:rsidRPr="00692479" w14:paraId="3502E133" w14:textId="77777777" w:rsidTr="00692479">
        <w:tc>
          <w:tcPr>
            <w:tcW w:w="1904" w:type="pct"/>
            <w:hideMark/>
          </w:tcPr>
          <w:p w14:paraId="227C55CB"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المتغير</w:t>
            </w:r>
          </w:p>
        </w:tc>
        <w:tc>
          <w:tcPr>
            <w:tcW w:w="2223" w:type="pct"/>
            <w:hideMark/>
          </w:tcPr>
          <w:p w14:paraId="16F40EE9"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البعد</w:t>
            </w:r>
          </w:p>
        </w:tc>
        <w:tc>
          <w:tcPr>
            <w:tcW w:w="873" w:type="pct"/>
            <w:hideMark/>
          </w:tcPr>
          <w:p w14:paraId="2BECC308"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عدد الفقرات</w:t>
            </w:r>
          </w:p>
        </w:tc>
      </w:tr>
      <w:tr w:rsidR="00692479" w:rsidRPr="00692479" w14:paraId="6F557C15" w14:textId="77777777" w:rsidTr="00692479">
        <w:tc>
          <w:tcPr>
            <w:tcW w:w="1904" w:type="pct"/>
            <w:hideMark/>
          </w:tcPr>
          <w:p w14:paraId="4A862C7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المتغير المستقل: التحول الرقمي</w:t>
            </w:r>
          </w:p>
        </w:tc>
        <w:tc>
          <w:tcPr>
            <w:tcW w:w="2223" w:type="pct"/>
            <w:hideMark/>
          </w:tcPr>
          <w:p w14:paraId="1864508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w:t>
            </w:r>
          </w:p>
        </w:tc>
        <w:tc>
          <w:tcPr>
            <w:tcW w:w="873" w:type="pct"/>
            <w:hideMark/>
          </w:tcPr>
          <w:p w14:paraId="5B733F6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4715A26B" w14:textId="77777777" w:rsidTr="00692479">
        <w:tc>
          <w:tcPr>
            <w:tcW w:w="1904" w:type="pct"/>
            <w:hideMark/>
          </w:tcPr>
          <w:p w14:paraId="3D862E03"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5F9FF0A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w:t>
            </w:r>
          </w:p>
        </w:tc>
        <w:tc>
          <w:tcPr>
            <w:tcW w:w="873" w:type="pct"/>
            <w:hideMark/>
          </w:tcPr>
          <w:p w14:paraId="15DFD5B1"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2B38BCC" w14:textId="77777777" w:rsidTr="00692479">
        <w:tc>
          <w:tcPr>
            <w:tcW w:w="1904" w:type="pct"/>
            <w:hideMark/>
          </w:tcPr>
          <w:p w14:paraId="2404C8C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66972EF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w:t>
            </w:r>
          </w:p>
        </w:tc>
        <w:tc>
          <w:tcPr>
            <w:tcW w:w="873" w:type="pct"/>
            <w:hideMark/>
          </w:tcPr>
          <w:p w14:paraId="50F1AE2B"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7A6B92F4" w14:textId="77777777" w:rsidTr="00692479">
        <w:tc>
          <w:tcPr>
            <w:tcW w:w="1904" w:type="pct"/>
            <w:hideMark/>
          </w:tcPr>
          <w:p w14:paraId="1D070BB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3258656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w:t>
            </w:r>
          </w:p>
        </w:tc>
        <w:tc>
          <w:tcPr>
            <w:tcW w:w="873" w:type="pct"/>
            <w:hideMark/>
          </w:tcPr>
          <w:p w14:paraId="04382EE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4449FBC" w14:textId="77777777" w:rsidTr="00692479">
        <w:tc>
          <w:tcPr>
            <w:tcW w:w="1904" w:type="pct"/>
            <w:hideMark/>
          </w:tcPr>
          <w:p w14:paraId="0BF1885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4C08221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المتغير المستقل</w:t>
            </w:r>
          </w:p>
        </w:tc>
        <w:tc>
          <w:tcPr>
            <w:tcW w:w="873" w:type="pct"/>
            <w:hideMark/>
          </w:tcPr>
          <w:p w14:paraId="6F106D7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20</w:t>
            </w:r>
          </w:p>
        </w:tc>
      </w:tr>
      <w:tr w:rsidR="00692479" w:rsidRPr="00692479" w14:paraId="7EB70151" w14:textId="77777777" w:rsidTr="00692479">
        <w:tc>
          <w:tcPr>
            <w:tcW w:w="1904" w:type="pct"/>
            <w:hideMark/>
          </w:tcPr>
          <w:p w14:paraId="37B0D4F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المتغير التابع: الاستقرار الوظيفي</w:t>
            </w:r>
          </w:p>
        </w:tc>
        <w:tc>
          <w:tcPr>
            <w:tcW w:w="2223" w:type="pct"/>
            <w:hideMark/>
          </w:tcPr>
          <w:p w14:paraId="15E740F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w:t>
            </w:r>
          </w:p>
        </w:tc>
        <w:tc>
          <w:tcPr>
            <w:tcW w:w="873" w:type="pct"/>
            <w:hideMark/>
          </w:tcPr>
          <w:p w14:paraId="63B3AB1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7F59E04" w14:textId="77777777" w:rsidTr="00692479">
        <w:tc>
          <w:tcPr>
            <w:tcW w:w="1904" w:type="pct"/>
            <w:hideMark/>
          </w:tcPr>
          <w:p w14:paraId="4DBA8593"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07A329B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w:t>
            </w:r>
          </w:p>
        </w:tc>
        <w:tc>
          <w:tcPr>
            <w:tcW w:w="873" w:type="pct"/>
            <w:hideMark/>
          </w:tcPr>
          <w:p w14:paraId="198394F1"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68DBEB1" w14:textId="77777777" w:rsidTr="00692479">
        <w:tc>
          <w:tcPr>
            <w:tcW w:w="1904" w:type="pct"/>
            <w:hideMark/>
          </w:tcPr>
          <w:p w14:paraId="54BBEFB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48E75D4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w:t>
            </w:r>
          </w:p>
        </w:tc>
        <w:tc>
          <w:tcPr>
            <w:tcW w:w="873" w:type="pct"/>
            <w:hideMark/>
          </w:tcPr>
          <w:p w14:paraId="6EF13511"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1C826DC5" w14:textId="77777777" w:rsidTr="00692479">
        <w:tc>
          <w:tcPr>
            <w:tcW w:w="1904" w:type="pct"/>
            <w:hideMark/>
          </w:tcPr>
          <w:p w14:paraId="76D96D5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0E44385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المتغير التابع</w:t>
            </w:r>
          </w:p>
        </w:tc>
        <w:tc>
          <w:tcPr>
            <w:tcW w:w="873" w:type="pct"/>
            <w:hideMark/>
          </w:tcPr>
          <w:p w14:paraId="6A3208A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15</w:t>
            </w:r>
          </w:p>
        </w:tc>
      </w:tr>
      <w:tr w:rsidR="00692479" w:rsidRPr="00692479" w14:paraId="2C2B82FA" w14:textId="77777777" w:rsidTr="00692479">
        <w:tc>
          <w:tcPr>
            <w:tcW w:w="1904" w:type="pct"/>
            <w:hideMark/>
          </w:tcPr>
          <w:p w14:paraId="52B9F183"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أداة الدراسة</w:t>
            </w:r>
          </w:p>
        </w:tc>
        <w:tc>
          <w:tcPr>
            <w:tcW w:w="2223" w:type="pct"/>
            <w:hideMark/>
          </w:tcPr>
          <w:p w14:paraId="42730B5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873" w:type="pct"/>
            <w:hideMark/>
          </w:tcPr>
          <w:p w14:paraId="5287509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35</w:t>
            </w:r>
          </w:p>
        </w:tc>
      </w:tr>
    </w:tbl>
    <w:p w14:paraId="1C4C8DA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يتضح من جدول (3-2) أن أداة الدراسة اشتملت على (35) فقرة، منها (20) فقرة لقياس المتغير المستقل، و (15) فقرة لقياس المتغير التابع، وقد روعي عند إعدادها شمول جميع الأبعاد الرئيسة لمتغيرات الدراسة بما يضمن قياسها بصورة دقيقة، ويحقق أهداف الدراسة واختبار فرضياتها.</w:t>
      </w:r>
    </w:p>
    <w:p w14:paraId="3FE341E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p w14:paraId="0C63BC32"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3.7 أداة الدراسة</w:t>
      </w:r>
    </w:p>
    <w:p w14:paraId="69378102" w14:textId="77777777" w:rsidR="00692479" w:rsidRPr="00692479" w:rsidRDefault="00692479" w:rsidP="0058077E">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اعتمدت الدراسة الحالية على </w:t>
      </w:r>
      <w:r w:rsidRPr="00692479">
        <w:rPr>
          <w:rFonts w:ascii="Traditional Arabic" w:hAnsi="Traditional Arabic" w:cs="Traditional Arabic"/>
          <w:b/>
          <w:bCs/>
          <w:sz w:val="32"/>
          <w:szCs w:val="32"/>
          <w:rtl/>
          <w:lang w:val="en-US"/>
        </w:rPr>
        <w:t>الاستبانة</w:t>
      </w:r>
      <w:r w:rsidRPr="00692479">
        <w:rPr>
          <w:rFonts w:ascii="Traditional Arabic" w:hAnsi="Traditional Arabic" w:cs="Traditional Arabic"/>
          <w:sz w:val="32"/>
          <w:szCs w:val="32"/>
          <w:rtl/>
          <w:lang w:val="en-US"/>
        </w:rPr>
        <w:t xml:space="preserve"> بوصفها أداة رئيسة لجمع البيانات من أفراد عينة الدراسة، وذلك لملاءمتها لطبيعة الدراسة وأهدافها، ولقدرتها </w:t>
      </w:r>
      <w:r w:rsidR="0058077E" w:rsidRPr="0058077E">
        <w:rPr>
          <w:rFonts w:ascii="Traditional Arabic" w:hAnsi="Traditional Arabic" w:cs="Traditional Arabic"/>
          <w:sz w:val="32"/>
          <w:szCs w:val="32"/>
          <w:rtl/>
          <w:lang w:val="en-US"/>
        </w:rPr>
        <w:t>على جمع البيانات من عدد كبير من أفراد المجتمع خلال فترة زمنية مناسبة، فضلًا عن سهولة معالجتها وتحليلها إحصائيًا (</w:t>
      </w:r>
      <w:r w:rsidR="0058077E" w:rsidRPr="0058077E">
        <w:rPr>
          <w:rFonts w:ascii="Traditional Arabic" w:hAnsi="Traditional Arabic" w:cs="Traditional Arabic"/>
          <w:sz w:val="32"/>
          <w:szCs w:val="32"/>
          <w:lang w:val="en-US"/>
        </w:rPr>
        <w:t>Sekaran &amp; Bougie, 2020</w:t>
      </w:r>
      <w:r w:rsidR="0058077E" w:rsidRPr="0058077E">
        <w:rPr>
          <w:rFonts w:ascii="Traditional Arabic" w:hAnsi="Traditional Arabic" w:cs="Traditional Arabic"/>
          <w:sz w:val="32"/>
          <w:szCs w:val="32"/>
          <w:rtl/>
          <w:lang w:val="en-US"/>
        </w:rPr>
        <w:t>).</w:t>
      </w:r>
    </w:p>
    <w:p w14:paraId="115D286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قام الباحث بتطوير الاستبانة بالاستناد إلى الأدبيات النظرية والدراسات السابقة ذات العلاقة بمتغيرات الدراسة، مع الاستفادة من المقاييس التي تناولت التحول الرقمي والاستقرار الوظيفي، بما يضمن شمول الأداة لجميع الأبعاد التي تسعى الدراسة إلى قياسها، وملاءمتها لطبيعة العاملين في المستشفيات الحكومية بمدينة جدة</w:t>
      </w:r>
      <w:r w:rsidRPr="00692479">
        <w:rPr>
          <w:rFonts w:ascii="Traditional Arabic" w:hAnsi="Traditional Arabic" w:cs="Traditional Arabic"/>
          <w:sz w:val="32"/>
          <w:szCs w:val="32"/>
          <w:lang w:val="en-US"/>
        </w:rPr>
        <w:t>.</w:t>
      </w:r>
    </w:p>
    <w:p w14:paraId="3DE4E3B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وتكونت الاستبانة </w:t>
      </w:r>
      <w:r w:rsidRPr="0058077E">
        <w:rPr>
          <w:rFonts w:ascii="Traditional Arabic" w:hAnsi="Traditional Arabic" w:cs="Traditional Arabic"/>
          <w:sz w:val="32"/>
          <w:szCs w:val="32"/>
          <w:rtl/>
          <w:lang w:val="en-US"/>
        </w:rPr>
        <w:t>في صورتها النهائية من جزأين رئيسين، وذلك على النحو الآتي</w:t>
      </w:r>
      <w:r w:rsidRPr="0058077E">
        <w:rPr>
          <w:rFonts w:ascii="Traditional Arabic" w:hAnsi="Traditional Arabic" w:cs="Traditional Arabic"/>
          <w:sz w:val="32"/>
          <w:szCs w:val="32"/>
          <w:lang w:val="en-US"/>
        </w:rPr>
        <w:t>:</w:t>
      </w:r>
    </w:p>
    <w:p w14:paraId="1100E8EE"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الجزء الأول: البيانات الشخصية والوظيفية</w:t>
      </w:r>
    </w:p>
    <w:p w14:paraId="6AF4B931"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يتضمن هذا الجزء مجموعة من المتغيرات الشخصية والوظيفية الخاصة بأفراد عينة الدراسة، وهي</w:t>
      </w:r>
      <w:r w:rsidRPr="00692479">
        <w:rPr>
          <w:rFonts w:ascii="Traditional Arabic" w:hAnsi="Traditional Arabic" w:cs="Traditional Arabic"/>
          <w:sz w:val="32"/>
          <w:szCs w:val="32"/>
          <w:lang w:val="en-US"/>
        </w:rPr>
        <w:t>:</w:t>
      </w:r>
    </w:p>
    <w:p w14:paraId="4971789F"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الجنس</w:t>
      </w:r>
      <w:r w:rsidRPr="00692479">
        <w:rPr>
          <w:rFonts w:ascii="Traditional Arabic" w:hAnsi="Traditional Arabic" w:cs="Traditional Arabic"/>
          <w:sz w:val="32"/>
          <w:szCs w:val="32"/>
          <w:lang w:val="en-US"/>
        </w:rPr>
        <w:t>.</w:t>
      </w:r>
    </w:p>
    <w:p w14:paraId="212D544A"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العمر</w:t>
      </w:r>
      <w:r w:rsidRPr="00692479">
        <w:rPr>
          <w:rFonts w:ascii="Traditional Arabic" w:hAnsi="Traditional Arabic" w:cs="Traditional Arabic"/>
          <w:sz w:val="32"/>
          <w:szCs w:val="32"/>
          <w:lang w:val="en-US"/>
        </w:rPr>
        <w:t>.</w:t>
      </w:r>
    </w:p>
    <w:p w14:paraId="63075D44"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المؤهل العلمي</w:t>
      </w:r>
      <w:r w:rsidRPr="00692479">
        <w:rPr>
          <w:rFonts w:ascii="Traditional Arabic" w:hAnsi="Traditional Arabic" w:cs="Traditional Arabic"/>
          <w:sz w:val="32"/>
          <w:szCs w:val="32"/>
          <w:lang w:val="en-US"/>
        </w:rPr>
        <w:t>.</w:t>
      </w:r>
    </w:p>
    <w:p w14:paraId="2C91F75C"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المسمى الوظيفي</w:t>
      </w:r>
      <w:r w:rsidRPr="00692479">
        <w:rPr>
          <w:rFonts w:ascii="Traditional Arabic" w:hAnsi="Traditional Arabic" w:cs="Traditional Arabic"/>
          <w:sz w:val="32"/>
          <w:szCs w:val="32"/>
          <w:lang w:val="en-US"/>
        </w:rPr>
        <w:t>.</w:t>
      </w:r>
    </w:p>
    <w:p w14:paraId="76CB4F59"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سنوات الخبرة</w:t>
      </w:r>
      <w:r w:rsidRPr="00692479">
        <w:rPr>
          <w:rFonts w:ascii="Traditional Arabic" w:hAnsi="Traditional Arabic" w:cs="Traditional Arabic"/>
          <w:sz w:val="32"/>
          <w:szCs w:val="32"/>
          <w:lang w:val="en-US"/>
        </w:rPr>
        <w:t>.</w:t>
      </w:r>
    </w:p>
    <w:p w14:paraId="70AFFBBF"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المستشفى</w:t>
      </w:r>
      <w:r w:rsidRPr="00692479">
        <w:rPr>
          <w:rFonts w:ascii="Traditional Arabic" w:hAnsi="Traditional Arabic" w:cs="Traditional Arabic"/>
          <w:sz w:val="32"/>
          <w:szCs w:val="32"/>
          <w:lang w:val="en-US"/>
        </w:rPr>
        <w:t>.</w:t>
      </w:r>
    </w:p>
    <w:p w14:paraId="2A59B65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أدرجت هذه المتغيرات بهدف وصف خصائص أفراد عينة الدراسة، والاستفادة منها في تقديم وصف إحصائي للعينة</w:t>
      </w:r>
      <w:r w:rsidRPr="00692479">
        <w:rPr>
          <w:rFonts w:ascii="Traditional Arabic" w:hAnsi="Traditional Arabic" w:cs="Traditional Arabic"/>
          <w:sz w:val="32"/>
          <w:szCs w:val="32"/>
          <w:lang w:val="en-US"/>
        </w:rPr>
        <w:t>.</w:t>
      </w:r>
    </w:p>
    <w:p w14:paraId="4EB3F281"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الجزء الثاني: متغيرات الدراسة</w:t>
      </w:r>
    </w:p>
    <w:p w14:paraId="686B17BA" w14:textId="77777777" w:rsidR="00692479" w:rsidRPr="00692479" w:rsidRDefault="00692479" w:rsidP="0058077E">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يتضمن هذا الجزء فقرات قياس متغيرات الدراسة، حيث </w:t>
      </w:r>
      <w:r w:rsidR="0058077E" w:rsidRPr="0058077E">
        <w:rPr>
          <w:rFonts w:ascii="Traditional Arabic" w:hAnsi="Traditional Arabic" w:cs="Traditional Arabic"/>
          <w:sz w:val="32"/>
          <w:szCs w:val="32"/>
          <w:rtl/>
          <w:lang w:val="en-US"/>
        </w:rPr>
        <w:t>اشتمل على (35) فقرة موزعة على متغيرين رئيسين، هما:</w:t>
      </w:r>
    </w:p>
    <w:p w14:paraId="6F7A24BE"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أولًا: المتغير المستقل (التحول الرقمي)</w:t>
      </w:r>
    </w:p>
    <w:p w14:paraId="3BE075A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تم قياس التحول الرقمي من خلال أربعة أبعاد رئيسة، هي</w:t>
      </w:r>
      <w:r w:rsidRPr="00692479">
        <w:rPr>
          <w:rFonts w:ascii="Traditional Arabic" w:hAnsi="Traditional Arabic" w:cs="Traditional Arabic"/>
          <w:sz w:val="32"/>
          <w:szCs w:val="32"/>
          <w:lang w:val="en-US"/>
        </w:rPr>
        <w:t>:</w:t>
      </w:r>
    </w:p>
    <w:p w14:paraId="2D0D447B"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 (5 فقرات).</w:t>
      </w:r>
    </w:p>
    <w:p w14:paraId="7108F5DA"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 (5 فقرات).</w:t>
      </w:r>
    </w:p>
    <w:p w14:paraId="7FCC9DDC"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 (5 فقرات).</w:t>
      </w:r>
    </w:p>
    <w:p w14:paraId="67D0EFE3"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 (5 فقرات).</w:t>
      </w:r>
    </w:p>
    <w:p w14:paraId="558FD81E"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وبذلك بلغ إجمالي فقرات المتغير المستقل (20) فقرة.</w:t>
      </w:r>
    </w:p>
    <w:p w14:paraId="0A62CC05"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ثانيًا: المتغير التابع (الاستقرار الوظيفي)</w:t>
      </w:r>
    </w:p>
    <w:p w14:paraId="0B399C7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تم قياس الاستقرار الوظيفي من خلال ثلاثة أبعاد رئيسة، هي</w:t>
      </w:r>
      <w:r w:rsidRPr="00692479">
        <w:rPr>
          <w:rFonts w:ascii="Traditional Arabic" w:hAnsi="Traditional Arabic" w:cs="Traditional Arabic"/>
          <w:sz w:val="32"/>
          <w:szCs w:val="32"/>
          <w:lang w:val="en-US"/>
        </w:rPr>
        <w:t>:</w:t>
      </w:r>
    </w:p>
    <w:p w14:paraId="3C34EB28"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 (5 فقرات).</w:t>
      </w:r>
    </w:p>
    <w:p w14:paraId="552E3A84"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 (5 فقرات).</w:t>
      </w:r>
    </w:p>
    <w:p w14:paraId="6987C3C0"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 (5 فقرات).</w:t>
      </w:r>
    </w:p>
    <w:p w14:paraId="186D88E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وبذلك بلغ إجمالي فقرات المتغير التابع (15) فقرة.</w:t>
      </w:r>
    </w:p>
    <w:p w14:paraId="3D28B0F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ويبين الجدول (3-3) توزيع فقرات الاستبانة على متغيرات الدراسة وأبعادها</w:t>
      </w:r>
      <w:r w:rsidRPr="00692479">
        <w:rPr>
          <w:rFonts w:ascii="Traditional Arabic" w:hAnsi="Traditional Arabic" w:cs="Traditional Arabic"/>
          <w:sz w:val="32"/>
          <w:szCs w:val="32"/>
          <w:lang w:val="en-US"/>
        </w:rPr>
        <w:t>.</w:t>
      </w:r>
    </w:p>
    <w:p w14:paraId="5D1A11C1" w14:textId="77777777" w:rsidR="00692479" w:rsidRPr="00692479" w:rsidRDefault="00692479" w:rsidP="0058077E">
      <w:pPr>
        <w:bidi/>
        <w:spacing w:line="240" w:lineRule="auto"/>
        <w:jc w:val="center"/>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جدول (3-3) توزيع فقرات الاستبانة على متغيرات الدراسة</w:t>
      </w:r>
    </w:p>
    <w:tbl>
      <w:tblPr>
        <w:tblStyle w:val="TableGrid"/>
        <w:bidiVisual/>
        <w:tblW w:w="5000" w:type="pct"/>
        <w:tblLook w:val="04A0" w:firstRow="1" w:lastRow="0" w:firstColumn="1" w:lastColumn="0" w:noHBand="0" w:noVBand="1"/>
      </w:tblPr>
      <w:tblGrid>
        <w:gridCol w:w="2073"/>
        <w:gridCol w:w="4052"/>
        <w:gridCol w:w="1621"/>
        <w:gridCol w:w="1591"/>
      </w:tblGrid>
      <w:tr w:rsidR="00692479" w:rsidRPr="00692479" w14:paraId="27F45208" w14:textId="77777777" w:rsidTr="00692479">
        <w:tc>
          <w:tcPr>
            <w:tcW w:w="1110" w:type="pct"/>
            <w:hideMark/>
          </w:tcPr>
          <w:p w14:paraId="4C27F606"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المتغير</w:t>
            </w:r>
          </w:p>
        </w:tc>
        <w:tc>
          <w:tcPr>
            <w:tcW w:w="2170" w:type="pct"/>
            <w:hideMark/>
          </w:tcPr>
          <w:p w14:paraId="34162703"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البعد</w:t>
            </w:r>
          </w:p>
        </w:tc>
        <w:tc>
          <w:tcPr>
            <w:tcW w:w="868" w:type="pct"/>
            <w:hideMark/>
          </w:tcPr>
          <w:p w14:paraId="50E367F8"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أرقام الفقرات</w:t>
            </w:r>
          </w:p>
        </w:tc>
        <w:tc>
          <w:tcPr>
            <w:tcW w:w="852" w:type="pct"/>
            <w:hideMark/>
          </w:tcPr>
          <w:p w14:paraId="3F1872AE"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عدد الفقرات</w:t>
            </w:r>
          </w:p>
        </w:tc>
      </w:tr>
      <w:tr w:rsidR="00692479" w:rsidRPr="00692479" w14:paraId="4F93752E" w14:textId="77777777" w:rsidTr="00692479">
        <w:tc>
          <w:tcPr>
            <w:tcW w:w="1110" w:type="pct"/>
            <w:hideMark/>
          </w:tcPr>
          <w:p w14:paraId="62FBC80F"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التحول الرقمي</w:t>
            </w:r>
          </w:p>
        </w:tc>
        <w:tc>
          <w:tcPr>
            <w:tcW w:w="2170" w:type="pct"/>
            <w:hideMark/>
          </w:tcPr>
          <w:p w14:paraId="7036C86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w:t>
            </w:r>
          </w:p>
        </w:tc>
        <w:tc>
          <w:tcPr>
            <w:tcW w:w="868" w:type="pct"/>
            <w:hideMark/>
          </w:tcPr>
          <w:p w14:paraId="00B31946"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1–5</w:t>
            </w:r>
          </w:p>
        </w:tc>
        <w:tc>
          <w:tcPr>
            <w:tcW w:w="852" w:type="pct"/>
            <w:hideMark/>
          </w:tcPr>
          <w:p w14:paraId="71DD3DA9"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5E9A70BB" w14:textId="77777777" w:rsidTr="00692479">
        <w:tc>
          <w:tcPr>
            <w:tcW w:w="1110" w:type="pct"/>
            <w:hideMark/>
          </w:tcPr>
          <w:p w14:paraId="67034398"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03450EEA"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w:t>
            </w:r>
          </w:p>
        </w:tc>
        <w:tc>
          <w:tcPr>
            <w:tcW w:w="868" w:type="pct"/>
            <w:hideMark/>
          </w:tcPr>
          <w:p w14:paraId="0B59E1A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6–10</w:t>
            </w:r>
          </w:p>
        </w:tc>
        <w:tc>
          <w:tcPr>
            <w:tcW w:w="852" w:type="pct"/>
            <w:hideMark/>
          </w:tcPr>
          <w:p w14:paraId="12338C4F"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0EABED23" w14:textId="77777777" w:rsidTr="00692479">
        <w:tc>
          <w:tcPr>
            <w:tcW w:w="1110" w:type="pct"/>
            <w:hideMark/>
          </w:tcPr>
          <w:p w14:paraId="65E38FCF"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6610E093"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w:t>
            </w:r>
          </w:p>
        </w:tc>
        <w:tc>
          <w:tcPr>
            <w:tcW w:w="868" w:type="pct"/>
            <w:hideMark/>
          </w:tcPr>
          <w:p w14:paraId="3084423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11–15</w:t>
            </w:r>
          </w:p>
        </w:tc>
        <w:tc>
          <w:tcPr>
            <w:tcW w:w="852" w:type="pct"/>
            <w:hideMark/>
          </w:tcPr>
          <w:p w14:paraId="5CED1783"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01B7717F" w14:textId="77777777" w:rsidTr="00692479">
        <w:tc>
          <w:tcPr>
            <w:tcW w:w="1110" w:type="pct"/>
            <w:hideMark/>
          </w:tcPr>
          <w:p w14:paraId="74B50472"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5F78741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w:t>
            </w:r>
          </w:p>
        </w:tc>
        <w:tc>
          <w:tcPr>
            <w:tcW w:w="868" w:type="pct"/>
            <w:hideMark/>
          </w:tcPr>
          <w:p w14:paraId="2B0B4930"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16–20</w:t>
            </w:r>
          </w:p>
        </w:tc>
        <w:tc>
          <w:tcPr>
            <w:tcW w:w="852" w:type="pct"/>
            <w:hideMark/>
          </w:tcPr>
          <w:p w14:paraId="6B03894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2D8A6ABA" w14:textId="77777777" w:rsidTr="00692479">
        <w:tc>
          <w:tcPr>
            <w:tcW w:w="1110" w:type="pct"/>
            <w:hideMark/>
          </w:tcPr>
          <w:p w14:paraId="7589C7D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الاستقرار الوظيفي</w:t>
            </w:r>
          </w:p>
        </w:tc>
        <w:tc>
          <w:tcPr>
            <w:tcW w:w="2170" w:type="pct"/>
            <w:hideMark/>
          </w:tcPr>
          <w:p w14:paraId="41C54201"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w:t>
            </w:r>
          </w:p>
        </w:tc>
        <w:tc>
          <w:tcPr>
            <w:tcW w:w="868" w:type="pct"/>
            <w:hideMark/>
          </w:tcPr>
          <w:p w14:paraId="4781ED2A"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21–25</w:t>
            </w:r>
          </w:p>
        </w:tc>
        <w:tc>
          <w:tcPr>
            <w:tcW w:w="852" w:type="pct"/>
            <w:hideMark/>
          </w:tcPr>
          <w:p w14:paraId="5E744510"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D28370D" w14:textId="77777777" w:rsidTr="00692479">
        <w:tc>
          <w:tcPr>
            <w:tcW w:w="1110" w:type="pct"/>
            <w:hideMark/>
          </w:tcPr>
          <w:p w14:paraId="322D3B56"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0C4A1CF3"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w:t>
            </w:r>
          </w:p>
        </w:tc>
        <w:tc>
          <w:tcPr>
            <w:tcW w:w="868" w:type="pct"/>
            <w:hideMark/>
          </w:tcPr>
          <w:p w14:paraId="12454D6D"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26–30</w:t>
            </w:r>
          </w:p>
        </w:tc>
        <w:tc>
          <w:tcPr>
            <w:tcW w:w="852" w:type="pct"/>
            <w:hideMark/>
          </w:tcPr>
          <w:p w14:paraId="07B81C74"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2E1E278" w14:textId="77777777" w:rsidTr="00692479">
        <w:tc>
          <w:tcPr>
            <w:tcW w:w="1110" w:type="pct"/>
            <w:hideMark/>
          </w:tcPr>
          <w:p w14:paraId="4AD4CE4E"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60FB6558"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w:t>
            </w:r>
          </w:p>
        </w:tc>
        <w:tc>
          <w:tcPr>
            <w:tcW w:w="868" w:type="pct"/>
            <w:hideMark/>
          </w:tcPr>
          <w:p w14:paraId="276BC719"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31–35</w:t>
            </w:r>
          </w:p>
        </w:tc>
        <w:tc>
          <w:tcPr>
            <w:tcW w:w="852" w:type="pct"/>
            <w:hideMark/>
          </w:tcPr>
          <w:p w14:paraId="6CC1D3A9"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7F980024" w14:textId="77777777" w:rsidTr="00692479">
        <w:tc>
          <w:tcPr>
            <w:tcW w:w="1110" w:type="pct"/>
            <w:hideMark/>
          </w:tcPr>
          <w:p w14:paraId="0EB9FAFA"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الإجمالي</w:t>
            </w:r>
          </w:p>
        </w:tc>
        <w:tc>
          <w:tcPr>
            <w:tcW w:w="2170" w:type="pct"/>
            <w:hideMark/>
          </w:tcPr>
          <w:p w14:paraId="0FDDF315"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868" w:type="pct"/>
            <w:hideMark/>
          </w:tcPr>
          <w:p w14:paraId="50C33130"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852" w:type="pct"/>
            <w:hideMark/>
          </w:tcPr>
          <w:p w14:paraId="6B42DFF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35</w:t>
            </w:r>
          </w:p>
        </w:tc>
      </w:tr>
    </w:tbl>
    <w:p w14:paraId="054A627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واعتمدت الدراسة مقياس ليكرت الخماسي لقياس استجابات أفراد العينة على فقرات الاستبانة، حيث خُصصت خمس درجات للاستجابة، تبدأ من (موافق بشدة) وتنتهي بـ (غير موافق بشدة)، وذلك وفق التدرج الآتي:</w:t>
      </w:r>
    </w:p>
    <w:tbl>
      <w:tblPr>
        <w:tblStyle w:val="TableGrid"/>
        <w:bidiVisual/>
        <w:tblW w:w="5000" w:type="pct"/>
        <w:tblLook w:val="04A0" w:firstRow="1" w:lastRow="0" w:firstColumn="1" w:lastColumn="0" w:noHBand="0" w:noVBand="1"/>
      </w:tblPr>
      <w:tblGrid>
        <w:gridCol w:w="2207"/>
        <w:gridCol w:w="1253"/>
        <w:gridCol w:w="1115"/>
        <w:gridCol w:w="1903"/>
        <w:gridCol w:w="2859"/>
      </w:tblGrid>
      <w:tr w:rsidR="00692479" w:rsidRPr="00692479" w14:paraId="241B2964" w14:textId="77777777" w:rsidTr="00692479">
        <w:tc>
          <w:tcPr>
            <w:tcW w:w="1182" w:type="pct"/>
            <w:hideMark/>
          </w:tcPr>
          <w:p w14:paraId="11AF11D2"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موافق بشدة</w:t>
            </w:r>
          </w:p>
        </w:tc>
        <w:tc>
          <w:tcPr>
            <w:tcW w:w="671" w:type="pct"/>
            <w:hideMark/>
          </w:tcPr>
          <w:p w14:paraId="044B626F"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موافق</w:t>
            </w:r>
          </w:p>
        </w:tc>
        <w:tc>
          <w:tcPr>
            <w:tcW w:w="597" w:type="pct"/>
            <w:hideMark/>
          </w:tcPr>
          <w:p w14:paraId="5B0BF831"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محايد</w:t>
            </w:r>
          </w:p>
        </w:tc>
        <w:tc>
          <w:tcPr>
            <w:tcW w:w="1019" w:type="pct"/>
            <w:hideMark/>
          </w:tcPr>
          <w:p w14:paraId="753D4EA8"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غير موافق</w:t>
            </w:r>
          </w:p>
        </w:tc>
        <w:tc>
          <w:tcPr>
            <w:tcW w:w="1531" w:type="pct"/>
            <w:hideMark/>
          </w:tcPr>
          <w:p w14:paraId="4BFF8196"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غير موافق بشدة</w:t>
            </w:r>
          </w:p>
        </w:tc>
      </w:tr>
      <w:tr w:rsidR="00692479" w:rsidRPr="00692479" w14:paraId="3121592D" w14:textId="77777777" w:rsidTr="00692479">
        <w:tc>
          <w:tcPr>
            <w:tcW w:w="1182" w:type="pct"/>
            <w:hideMark/>
          </w:tcPr>
          <w:p w14:paraId="410FA942"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c>
          <w:tcPr>
            <w:tcW w:w="671" w:type="pct"/>
            <w:hideMark/>
          </w:tcPr>
          <w:p w14:paraId="10DD3134"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4</w:t>
            </w:r>
          </w:p>
        </w:tc>
        <w:tc>
          <w:tcPr>
            <w:tcW w:w="597" w:type="pct"/>
            <w:hideMark/>
          </w:tcPr>
          <w:p w14:paraId="10B564C5"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3</w:t>
            </w:r>
          </w:p>
        </w:tc>
        <w:tc>
          <w:tcPr>
            <w:tcW w:w="1019" w:type="pct"/>
            <w:hideMark/>
          </w:tcPr>
          <w:p w14:paraId="19E79AFB"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w:t>
            </w:r>
          </w:p>
        </w:tc>
        <w:tc>
          <w:tcPr>
            <w:tcW w:w="1531" w:type="pct"/>
            <w:hideMark/>
          </w:tcPr>
          <w:p w14:paraId="6531589D"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w:t>
            </w:r>
          </w:p>
        </w:tc>
      </w:tr>
    </w:tbl>
    <w:p w14:paraId="6766DA87" w14:textId="77777777" w:rsidR="00692479" w:rsidRDefault="00692479" w:rsidP="00692479">
      <w:pPr>
        <w:bidi/>
        <w:spacing w:line="360" w:lineRule="auto"/>
        <w:jc w:val="both"/>
        <w:rPr>
          <w:rFonts w:ascii="Traditional Arabic" w:hAnsi="Traditional Arabic" w:cs="Traditional Arabic"/>
          <w:sz w:val="32"/>
          <w:szCs w:val="32"/>
          <w:rtl/>
          <w:lang w:val="en-US"/>
        </w:rPr>
      </w:pPr>
      <w:r w:rsidRPr="00692479">
        <w:rPr>
          <w:rFonts w:ascii="Traditional Arabic" w:hAnsi="Traditional Arabic" w:cs="Traditional Arabic"/>
          <w:sz w:val="32"/>
          <w:szCs w:val="32"/>
          <w:rtl/>
          <w:lang w:val="en-US"/>
        </w:rPr>
        <w:t>ويُعد مقياس ليكرت الخماسي من أكثر المقاييس استخدامًا في الدراسات الإدارية والسلوكية، لما يتمتع به من سهولة التطبيق، وقدرته على قياس اتجاهات وآراء أفراد الدراسة بدرجة عالية من الدقة والموضوعية</w:t>
      </w:r>
      <w:r w:rsidRPr="00692479">
        <w:rPr>
          <w:rFonts w:ascii="Traditional Arabic" w:hAnsi="Traditional Arabic" w:cs="Traditional Arabic"/>
          <w:sz w:val="32"/>
          <w:szCs w:val="32"/>
          <w:lang w:val="en-US"/>
        </w:rPr>
        <w:t>.</w:t>
      </w:r>
    </w:p>
    <w:p w14:paraId="6FDA5C4F" w14:textId="77777777" w:rsidR="0058077E" w:rsidRPr="00692479" w:rsidRDefault="0058077E" w:rsidP="0058077E">
      <w:pPr>
        <w:bidi/>
        <w:spacing w:line="360" w:lineRule="auto"/>
        <w:jc w:val="both"/>
        <w:rPr>
          <w:rFonts w:ascii="Traditional Arabic" w:hAnsi="Traditional Arabic" w:cs="Traditional Arabic"/>
          <w:sz w:val="32"/>
          <w:szCs w:val="32"/>
          <w:lang w:val="en-US"/>
        </w:rPr>
      </w:pPr>
    </w:p>
    <w:p w14:paraId="271438CA"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3.8 صدق أداة الدراسة</w:t>
      </w:r>
    </w:p>
    <w:p w14:paraId="4DD35B0C" w14:textId="77777777" w:rsidR="0058077E" w:rsidRP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يُعد الصدق</w:t>
      </w:r>
      <w:r w:rsidRPr="0058077E">
        <w:rPr>
          <w:rFonts w:ascii="Traditional Arabic" w:hAnsi="Traditional Arabic" w:cs="Traditional Arabic"/>
          <w:sz w:val="32"/>
          <w:szCs w:val="32"/>
          <w:lang w:val="en-US"/>
        </w:rPr>
        <w:t xml:space="preserve"> (Validity) </w:t>
      </w:r>
      <w:r w:rsidRPr="0058077E">
        <w:rPr>
          <w:rFonts w:ascii="Traditional Arabic" w:hAnsi="Traditional Arabic" w:cs="Traditional Arabic"/>
          <w:sz w:val="32"/>
          <w:szCs w:val="32"/>
          <w:rtl/>
          <w:lang w:val="en-US"/>
        </w:rPr>
        <w:t>من أهم الخصائص السيكومترية التي ينبغي توافرها في أدوات القياس، إذ يعبر عن مدى قدرة الأداة على قياس المتغيرات التي أُعدت لقياسها بدقة وموضوعية، بما يضمن سلامة البيانات التي يتم جمعها وإمكانية الاعتماد عليها في اختبار فرضيات الدراسة وتحقيق أهدافها. ويؤكد كل من</w:t>
      </w:r>
      <w:r w:rsidRPr="0058077E">
        <w:rPr>
          <w:rFonts w:ascii="Traditional Arabic" w:hAnsi="Traditional Arabic" w:cs="Traditional Arabic"/>
          <w:sz w:val="32"/>
          <w:szCs w:val="32"/>
          <w:lang w:val="en-US"/>
        </w:rPr>
        <w:t xml:space="preserve"> Creswell and Creswell (2023) </w:t>
      </w:r>
      <w:r w:rsidRPr="0058077E">
        <w:rPr>
          <w:rFonts w:ascii="Traditional Arabic" w:hAnsi="Traditional Arabic" w:cs="Traditional Arabic"/>
          <w:sz w:val="32"/>
          <w:szCs w:val="32"/>
          <w:rtl/>
          <w:lang w:val="en-US"/>
        </w:rPr>
        <w:t>و</w:t>
      </w:r>
      <w:r w:rsidRPr="0058077E">
        <w:rPr>
          <w:rFonts w:ascii="Traditional Arabic" w:hAnsi="Traditional Arabic" w:cs="Traditional Arabic"/>
          <w:sz w:val="32"/>
          <w:szCs w:val="32"/>
          <w:lang w:val="en-US"/>
        </w:rPr>
        <w:t xml:space="preserve">Hair et al. (2022) </w:t>
      </w:r>
      <w:r w:rsidRPr="0058077E">
        <w:rPr>
          <w:rFonts w:ascii="Traditional Arabic" w:hAnsi="Traditional Arabic" w:cs="Traditional Arabic"/>
          <w:sz w:val="32"/>
          <w:szCs w:val="32"/>
          <w:rtl/>
          <w:lang w:val="en-US"/>
        </w:rPr>
        <w:t>أن التحقق من صدق أدوات القياس يمثل خطوة أساسية قبل تطبيقها ميدانيًا، لما لذلك من أثر في تعزيز موثوقية النتائج ودقتها</w:t>
      </w:r>
      <w:r w:rsidRPr="0058077E">
        <w:rPr>
          <w:rFonts w:ascii="Traditional Arabic" w:hAnsi="Traditional Arabic" w:cs="Traditional Arabic"/>
          <w:sz w:val="32"/>
          <w:szCs w:val="32"/>
          <w:lang w:val="en-US"/>
        </w:rPr>
        <w:t>.</w:t>
      </w:r>
    </w:p>
    <w:p w14:paraId="4058C801"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وللتحقق من صدق أداة الدراسة، اعتمد الباحث على الصدق الظاهري وصدق البناء، وذلك على النحو الآتي</w:t>
      </w:r>
      <w:r w:rsidRPr="0058077E">
        <w:rPr>
          <w:rFonts w:ascii="Traditional Arabic" w:hAnsi="Traditional Arabic" w:cs="Traditional Arabic"/>
          <w:sz w:val="32"/>
          <w:szCs w:val="32"/>
          <w:lang w:val="en-US"/>
        </w:rPr>
        <w:t>:</w:t>
      </w:r>
    </w:p>
    <w:p w14:paraId="28FDB6BD"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أولاً: الصدق الظاهري (</w:t>
      </w:r>
      <w:r w:rsidRPr="0058077E">
        <w:rPr>
          <w:rFonts w:ascii="Traditional Arabic" w:hAnsi="Traditional Arabic" w:cs="Traditional Arabic"/>
          <w:b/>
          <w:bCs/>
          <w:sz w:val="32"/>
          <w:szCs w:val="32"/>
          <w:lang w:val="en-US"/>
        </w:rPr>
        <w:t>Face Validity</w:t>
      </w:r>
      <w:r w:rsidRPr="0058077E">
        <w:rPr>
          <w:rFonts w:ascii="Traditional Arabic" w:hAnsi="Traditional Arabic" w:cs="Traditional Arabic"/>
          <w:b/>
          <w:bCs/>
          <w:sz w:val="32"/>
          <w:szCs w:val="32"/>
          <w:rtl/>
          <w:lang w:val="en-US"/>
        </w:rPr>
        <w:t>)</w:t>
      </w:r>
    </w:p>
    <w:p w14:paraId="28584B7A" w14:textId="77777777" w:rsidR="00313D61" w:rsidRPr="00313D61" w:rsidRDefault="00313D61" w:rsidP="00313D61">
      <w:pPr>
        <w:bidi/>
        <w:spacing w:line="360" w:lineRule="auto"/>
        <w:jc w:val="both"/>
        <w:rPr>
          <w:rFonts w:ascii="Traditional Arabic" w:hAnsi="Traditional Arabic" w:cs="Traditional Arabic"/>
          <w:sz w:val="32"/>
          <w:szCs w:val="32"/>
          <w:lang w:val="en-US"/>
        </w:rPr>
      </w:pPr>
      <w:r w:rsidRPr="00313D61">
        <w:rPr>
          <w:rFonts w:ascii="Traditional Arabic" w:hAnsi="Traditional Arabic" w:cs="Traditional Arabic"/>
          <w:sz w:val="32"/>
          <w:szCs w:val="32"/>
          <w:rtl/>
          <w:lang w:val="en-US"/>
        </w:rPr>
        <w:t>للتحقق من الصدق الظاهري لأداة الدراسة، عرض الباحث الاستبانة في صورتها الأولية على سبعة (7) محكمين من أعضاء هيئة التدريس والمتخصصين في مجالات الإدارة، وإدارة الخدمات الصحية، ونظم المعلومات، والقياس والتقويم، وذلك بهدف تقييم مدى ملاءمة فقرات الاستبانة لأبعاد الدراسة، ووضوح صياغتها اللغوية، وسلامتها العلمية، وقدرتها على قياس المتغيرات المستهدفة</w:t>
      </w:r>
      <w:r w:rsidRPr="00313D61">
        <w:rPr>
          <w:rFonts w:ascii="Traditional Arabic" w:hAnsi="Traditional Arabic" w:cs="Traditional Arabic"/>
          <w:sz w:val="32"/>
          <w:szCs w:val="32"/>
          <w:lang w:val="en-US"/>
        </w:rPr>
        <w:t>.</w:t>
      </w:r>
    </w:p>
    <w:p w14:paraId="5E54407D" w14:textId="77777777" w:rsidR="00313D61" w:rsidRPr="00313D61" w:rsidRDefault="00313D61" w:rsidP="00313D61">
      <w:pPr>
        <w:bidi/>
        <w:spacing w:line="360" w:lineRule="auto"/>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وقد استندت عملية التحكيم إلى مجموعة من المعايير، تمثلت في: مدى انتماء كل فقرة للبُعد الذي تقيسه، ووضوح الصياغة اللغوية، وسلامة الأسلوب، وخلو الفقرات من الغموض أو التكرار، وتسلسلها المنطقي، وشمولها لمختلف أبعاد متغيرات الدراسة، وملاءمتها لطبيعة العاملين في المستشفيات الحكومية بمدينة جدة</w:t>
      </w:r>
      <w:r w:rsidRPr="00313D61">
        <w:rPr>
          <w:rFonts w:ascii="Traditional Arabic" w:hAnsi="Traditional Arabic" w:cs="Traditional Arabic"/>
          <w:sz w:val="32"/>
          <w:szCs w:val="32"/>
          <w:lang w:val="en-US"/>
        </w:rPr>
        <w:t>.</w:t>
      </w:r>
    </w:p>
    <w:p w14:paraId="613AEBF3" w14:textId="77777777" w:rsidR="00313D61" w:rsidRPr="00313D61" w:rsidRDefault="00313D61" w:rsidP="00313D61">
      <w:pPr>
        <w:bidi/>
        <w:spacing w:line="360" w:lineRule="auto"/>
        <w:jc w:val="both"/>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وفي ضوء ملاحظات المحكمين، أجرى الباحث عددًا من التعديلات على أداة الدراسة، شملت إعادة صياغة بعض الفقرات، وتحسين الصياغة اللغوية، وتعديل عدد محدود من العبارات بما يزيد من وضوحها ودقتها، مع الإبقاء على جميع الأبعاد الرئيسة للدراسة. وقد بلغت نسبة اتفاق المحكمين (91%) على صلاحية فقرات الاستبانة، وهي نسبة مرتفعة تعكس تمتع الأداة بدرجة مناسبة من الصدق الظاهري، وصلاحيتها للتطبيق الميداني.</w:t>
      </w:r>
    </w:p>
    <w:p w14:paraId="2C7AC2BD" w14:textId="77777777" w:rsidR="0058077E" w:rsidRDefault="0058077E" w:rsidP="00313D61">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ثانياً: صدق البناء (</w:t>
      </w:r>
      <w:r w:rsidRPr="0058077E">
        <w:rPr>
          <w:rFonts w:ascii="Traditional Arabic" w:hAnsi="Traditional Arabic" w:cs="Traditional Arabic"/>
          <w:b/>
          <w:bCs/>
          <w:sz w:val="32"/>
          <w:szCs w:val="32"/>
          <w:lang w:val="en-US"/>
        </w:rPr>
        <w:t>Construct Validity</w:t>
      </w:r>
      <w:r w:rsidRPr="0058077E">
        <w:rPr>
          <w:rFonts w:ascii="Traditional Arabic" w:hAnsi="Traditional Arabic" w:cs="Traditional Arabic"/>
          <w:b/>
          <w:bCs/>
          <w:sz w:val="32"/>
          <w:szCs w:val="32"/>
          <w:rtl/>
          <w:lang w:val="en-US"/>
        </w:rPr>
        <w:t>)</w:t>
      </w:r>
    </w:p>
    <w:p w14:paraId="7C8D90FE" w14:textId="77777777" w:rsidR="00313D61" w:rsidRDefault="00313D61" w:rsidP="00313D61">
      <w:pPr>
        <w:bidi/>
        <w:spacing w:line="360" w:lineRule="auto"/>
        <w:jc w:val="both"/>
        <w:rPr>
          <w:rFonts w:ascii="Traditional Arabic" w:hAnsi="Traditional Arabic" w:cs="Traditional Arabic"/>
          <w:sz w:val="32"/>
          <w:szCs w:val="32"/>
          <w:rtl/>
        </w:rPr>
      </w:pPr>
      <w:r w:rsidRPr="00313D61">
        <w:rPr>
          <w:rFonts w:ascii="Traditional Arabic" w:hAnsi="Traditional Arabic" w:cs="Traditional Arabic"/>
          <w:sz w:val="32"/>
          <w:szCs w:val="32"/>
          <w:rtl/>
          <w:lang w:val="en-US"/>
        </w:rPr>
        <w:t>تشير النتائج الآتية إلى معاملات الصدق والثبات الخاصة بالعينة الاستطلاعية البالغ عددها (30) مشاركًا، وقد استُخدمت للتحقق من الخصائص السيكومترية الأولية لأداة الدراسة قبل تطبيقها على العينة النهائية، على أن يُعاد احتساب معاملات الثبات للعينة النهائية عند الانتهاء من جمع البيانات</w:t>
      </w:r>
      <w:r w:rsidRPr="00313D61">
        <w:rPr>
          <w:rFonts w:ascii="Traditional Arabic" w:hAnsi="Traditional Arabic" w:cs="Traditional Arabic"/>
          <w:sz w:val="32"/>
          <w:szCs w:val="32"/>
        </w:rPr>
        <w:t>.</w:t>
      </w:r>
    </w:p>
    <w:p w14:paraId="5E005349" w14:textId="77777777" w:rsidR="0058077E" w:rsidRPr="0058077E" w:rsidRDefault="0058077E" w:rsidP="00313D61">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أظهرت نتائج التحليل الإحصائي أن جميع معاملات الارتباط جاءت موجبة ودالة إحصائيًا عند مستوى الدلالة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حيث تراوحت قيم معاملات الارتباط بين (0.714) و (0.891) ، وهي قيم مرتفعة تعكس اتساقًا داخليًا جيدًا بين الفقرات والأبعاد التي تنتمي إليها، مما يؤكد صلاحية جميع الفقرات للإبقاء عليها ضمن أداة الدراسة.</w:t>
      </w:r>
    </w:p>
    <w:p w14:paraId="4D8810D4"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ويبين الجدول (3-4) معاملات ارتباط بيرسون بين فقرات كل بعد والدرجة الكلية للبعد الذي تنتمي إليه</w:t>
      </w:r>
      <w:r w:rsidRPr="0058077E">
        <w:rPr>
          <w:rFonts w:ascii="Traditional Arabic" w:hAnsi="Traditional Arabic" w:cs="Traditional Arabic"/>
          <w:sz w:val="32"/>
          <w:szCs w:val="32"/>
          <w:lang w:val="en-US"/>
        </w:rPr>
        <w:t>.</w:t>
      </w:r>
    </w:p>
    <w:p w14:paraId="77FA71C6" w14:textId="77777777" w:rsidR="0058077E" w:rsidRPr="0058077E" w:rsidRDefault="0058077E" w:rsidP="0058077E">
      <w:pPr>
        <w:bidi/>
        <w:spacing w:line="240" w:lineRule="auto"/>
        <w:jc w:val="center"/>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جدول (3-4) معاملات ارتباط بيرسون بين فقرات كل بعد والدرجة الكلية للبعد</w:t>
      </w:r>
    </w:p>
    <w:tbl>
      <w:tblPr>
        <w:tblStyle w:val="TableGrid"/>
        <w:bidiVisual/>
        <w:tblW w:w="5000" w:type="pct"/>
        <w:tblLook w:val="04A0" w:firstRow="1" w:lastRow="0" w:firstColumn="1" w:lastColumn="0" w:noHBand="0" w:noVBand="1"/>
      </w:tblPr>
      <w:tblGrid>
        <w:gridCol w:w="2223"/>
        <w:gridCol w:w="4348"/>
        <w:gridCol w:w="891"/>
        <w:gridCol w:w="1875"/>
      </w:tblGrid>
      <w:tr w:rsidR="0058077E" w:rsidRPr="0058077E" w14:paraId="5857EB61" w14:textId="77777777" w:rsidTr="0058077E">
        <w:tc>
          <w:tcPr>
            <w:tcW w:w="1190" w:type="pct"/>
            <w:hideMark/>
          </w:tcPr>
          <w:p w14:paraId="5DEBB42F"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المتغير</w:t>
            </w:r>
          </w:p>
        </w:tc>
        <w:tc>
          <w:tcPr>
            <w:tcW w:w="2328" w:type="pct"/>
            <w:hideMark/>
          </w:tcPr>
          <w:p w14:paraId="366C67A2"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البعد</w:t>
            </w:r>
          </w:p>
        </w:tc>
        <w:tc>
          <w:tcPr>
            <w:tcW w:w="477" w:type="pct"/>
            <w:hideMark/>
          </w:tcPr>
          <w:p w14:paraId="77D095A7"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الفقرة</w:t>
            </w:r>
          </w:p>
        </w:tc>
        <w:tc>
          <w:tcPr>
            <w:tcW w:w="1004" w:type="pct"/>
            <w:hideMark/>
          </w:tcPr>
          <w:p w14:paraId="180A25C6"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معامل الارتباط</w:t>
            </w:r>
          </w:p>
        </w:tc>
      </w:tr>
      <w:tr w:rsidR="0058077E" w:rsidRPr="0058077E" w14:paraId="02325BAF" w14:textId="77777777" w:rsidTr="0058077E">
        <w:tc>
          <w:tcPr>
            <w:tcW w:w="1190" w:type="pct"/>
            <w:hideMark/>
          </w:tcPr>
          <w:p w14:paraId="3FEDC8E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التحول الرقمي</w:t>
            </w:r>
          </w:p>
        </w:tc>
        <w:tc>
          <w:tcPr>
            <w:tcW w:w="2328" w:type="pct"/>
            <w:hideMark/>
          </w:tcPr>
          <w:p w14:paraId="2040DF2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البنية التحتية الرقمية والتقنيات الرقمية</w:t>
            </w:r>
          </w:p>
        </w:tc>
        <w:tc>
          <w:tcPr>
            <w:tcW w:w="477" w:type="pct"/>
            <w:hideMark/>
          </w:tcPr>
          <w:p w14:paraId="73BE56A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w:t>
            </w:r>
          </w:p>
        </w:tc>
        <w:tc>
          <w:tcPr>
            <w:tcW w:w="1004" w:type="pct"/>
            <w:hideMark/>
          </w:tcPr>
          <w:p w14:paraId="680E287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0.781**</w:t>
            </w:r>
          </w:p>
        </w:tc>
      </w:tr>
      <w:tr w:rsidR="0058077E" w:rsidRPr="0058077E" w14:paraId="3046E70C" w14:textId="77777777" w:rsidTr="0058077E">
        <w:tc>
          <w:tcPr>
            <w:tcW w:w="1190" w:type="pct"/>
            <w:hideMark/>
          </w:tcPr>
          <w:p w14:paraId="60F3F9E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AC5F427"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734244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w:t>
            </w:r>
          </w:p>
        </w:tc>
        <w:tc>
          <w:tcPr>
            <w:tcW w:w="1004" w:type="pct"/>
            <w:hideMark/>
          </w:tcPr>
          <w:p w14:paraId="565FB24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0.824**</w:t>
            </w:r>
          </w:p>
        </w:tc>
      </w:tr>
      <w:tr w:rsidR="0058077E" w:rsidRPr="0058077E" w14:paraId="1A1D54A2" w14:textId="77777777" w:rsidTr="0058077E">
        <w:tc>
          <w:tcPr>
            <w:tcW w:w="1190" w:type="pct"/>
            <w:hideMark/>
          </w:tcPr>
          <w:p w14:paraId="2B1A7301"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0BAB75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061782F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w:t>
            </w:r>
          </w:p>
        </w:tc>
        <w:tc>
          <w:tcPr>
            <w:tcW w:w="1004" w:type="pct"/>
            <w:hideMark/>
          </w:tcPr>
          <w:p w14:paraId="4F08A7E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0.846**</w:t>
            </w:r>
          </w:p>
        </w:tc>
      </w:tr>
      <w:tr w:rsidR="0058077E" w:rsidRPr="0058077E" w14:paraId="0BBB9EFE" w14:textId="77777777" w:rsidTr="0058077E">
        <w:tc>
          <w:tcPr>
            <w:tcW w:w="1190" w:type="pct"/>
            <w:hideMark/>
          </w:tcPr>
          <w:p w14:paraId="724481EC"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493927F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30BF9B9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4</w:t>
            </w:r>
          </w:p>
        </w:tc>
        <w:tc>
          <w:tcPr>
            <w:tcW w:w="1004" w:type="pct"/>
            <w:hideMark/>
          </w:tcPr>
          <w:p w14:paraId="41C05CF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0.792**</w:t>
            </w:r>
          </w:p>
        </w:tc>
      </w:tr>
      <w:tr w:rsidR="0058077E" w:rsidRPr="0058077E" w14:paraId="3E643A83" w14:textId="77777777" w:rsidTr="0058077E">
        <w:tc>
          <w:tcPr>
            <w:tcW w:w="1190" w:type="pct"/>
            <w:hideMark/>
          </w:tcPr>
          <w:p w14:paraId="37CF244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20AFA5D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0D7AE29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5</w:t>
            </w:r>
          </w:p>
        </w:tc>
        <w:tc>
          <w:tcPr>
            <w:tcW w:w="1004" w:type="pct"/>
            <w:hideMark/>
          </w:tcPr>
          <w:p w14:paraId="3E542D8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0.815**</w:t>
            </w:r>
          </w:p>
        </w:tc>
      </w:tr>
      <w:tr w:rsidR="0058077E" w:rsidRPr="0058077E" w14:paraId="10A268B9" w14:textId="77777777" w:rsidTr="0058077E">
        <w:tc>
          <w:tcPr>
            <w:tcW w:w="1190" w:type="pct"/>
            <w:hideMark/>
          </w:tcPr>
          <w:p w14:paraId="2625879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8CF50B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الكفاءة الرقمية للموظفين</w:t>
            </w:r>
          </w:p>
        </w:tc>
        <w:tc>
          <w:tcPr>
            <w:tcW w:w="477" w:type="pct"/>
            <w:hideMark/>
          </w:tcPr>
          <w:p w14:paraId="14588AC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6</w:t>
            </w:r>
          </w:p>
        </w:tc>
        <w:tc>
          <w:tcPr>
            <w:tcW w:w="1004" w:type="pct"/>
            <w:hideMark/>
          </w:tcPr>
          <w:p w14:paraId="23D07EE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0.739**</w:t>
            </w:r>
          </w:p>
        </w:tc>
      </w:tr>
      <w:tr w:rsidR="0058077E" w:rsidRPr="0058077E" w14:paraId="51AF664E" w14:textId="77777777" w:rsidTr="0058077E">
        <w:tc>
          <w:tcPr>
            <w:tcW w:w="1190" w:type="pct"/>
            <w:hideMark/>
          </w:tcPr>
          <w:p w14:paraId="41984923"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A3AABF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07E3096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7</w:t>
            </w:r>
          </w:p>
        </w:tc>
        <w:tc>
          <w:tcPr>
            <w:tcW w:w="1004" w:type="pct"/>
            <w:hideMark/>
          </w:tcPr>
          <w:p w14:paraId="2BED826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0.817**</w:t>
            </w:r>
          </w:p>
        </w:tc>
      </w:tr>
      <w:tr w:rsidR="0058077E" w:rsidRPr="0058077E" w14:paraId="0FE203EA" w14:textId="77777777" w:rsidTr="0058077E">
        <w:tc>
          <w:tcPr>
            <w:tcW w:w="1190" w:type="pct"/>
            <w:hideMark/>
          </w:tcPr>
          <w:p w14:paraId="50F4987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528A478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1DE5E8C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8</w:t>
            </w:r>
          </w:p>
        </w:tc>
        <w:tc>
          <w:tcPr>
            <w:tcW w:w="1004" w:type="pct"/>
            <w:hideMark/>
          </w:tcPr>
          <w:p w14:paraId="181F9D4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0.856**</w:t>
            </w:r>
          </w:p>
        </w:tc>
      </w:tr>
      <w:tr w:rsidR="0058077E" w:rsidRPr="0058077E" w14:paraId="1E4BF671" w14:textId="77777777" w:rsidTr="0058077E">
        <w:tc>
          <w:tcPr>
            <w:tcW w:w="1190" w:type="pct"/>
            <w:hideMark/>
          </w:tcPr>
          <w:p w14:paraId="6CBCEE4A"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270E7543"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0B53FD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9</w:t>
            </w:r>
          </w:p>
        </w:tc>
        <w:tc>
          <w:tcPr>
            <w:tcW w:w="1004" w:type="pct"/>
            <w:hideMark/>
          </w:tcPr>
          <w:p w14:paraId="745FE7C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0.803**</w:t>
            </w:r>
          </w:p>
        </w:tc>
      </w:tr>
      <w:tr w:rsidR="0058077E" w:rsidRPr="0058077E" w14:paraId="0A2D1FD9" w14:textId="77777777" w:rsidTr="0058077E">
        <w:tc>
          <w:tcPr>
            <w:tcW w:w="1190" w:type="pct"/>
            <w:hideMark/>
          </w:tcPr>
          <w:p w14:paraId="633A209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4801555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634AB1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10</w:t>
            </w:r>
          </w:p>
        </w:tc>
        <w:tc>
          <w:tcPr>
            <w:tcW w:w="1004" w:type="pct"/>
            <w:hideMark/>
          </w:tcPr>
          <w:p w14:paraId="5D93CD0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0.829**</w:t>
            </w:r>
          </w:p>
        </w:tc>
      </w:tr>
      <w:tr w:rsidR="0058077E" w:rsidRPr="0058077E" w14:paraId="016F813E" w14:textId="77777777" w:rsidTr="0058077E">
        <w:tc>
          <w:tcPr>
            <w:tcW w:w="1190" w:type="pct"/>
            <w:hideMark/>
          </w:tcPr>
          <w:p w14:paraId="002B71F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1DBF078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تكامل الأنظمة الرقمية وعمليات الرقمنة</w:t>
            </w:r>
          </w:p>
        </w:tc>
        <w:tc>
          <w:tcPr>
            <w:tcW w:w="477" w:type="pct"/>
            <w:hideMark/>
          </w:tcPr>
          <w:p w14:paraId="4490FC9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11</w:t>
            </w:r>
          </w:p>
        </w:tc>
        <w:tc>
          <w:tcPr>
            <w:tcW w:w="1004" w:type="pct"/>
            <w:hideMark/>
          </w:tcPr>
          <w:p w14:paraId="0936413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0.764**</w:t>
            </w:r>
          </w:p>
        </w:tc>
      </w:tr>
      <w:tr w:rsidR="0058077E" w:rsidRPr="0058077E" w14:paraId="5FACA6A1" w14:textId="77777777" w:rsidTr="0058077E">
        <w:tc>
          <w:tcPr>
            <w:tcW w:w="1190" w:type="pct"/>
            <w:hideMark/>
          </w:tcPr>
          <w:p w14:paraId="2DBDE0D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867969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908CED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12</w:t>
            </w:r>
          </w:p>
        </w:tc>
        <w:tc>
          <w:tcPr>
            <w:tcW w:w="1004" w:type="pct"/>
            <w:hideMark/>
          </w:tcPr>
          <w:p w14:paraId="11F42E9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0.843**</w:t>
            </w:r>
          </w:p>
        </w:tc>
      </w:tr>
      <w:tr w:rsidR="0058077E" w:rsidRPr="0058077E" w14:paraId="41898A6C" w14:textId="77777777" w:rsidTr="0058077E">
        <w:tc>
          <w:tcPr>
            <w:tcW w:w="1190" w:type="pct"/>
            <w:hideMark/>
          </w:tcPr>
          <w:p w14:paraId="7D8162C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7B7428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C805E4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13</w:t>
            </w:r>
          </w:p>
        </w:tc>
        <w:tc>
          <w:tcPr>
            <w:tcW w:w="1004" w:type="pct"/>
            <w:hideMark/>
          </w:tcPr>
          <w:p w14:paraId="63AEBCB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0.871**</w:t>
            </w:r>
          </w:p>
        </w:tc>
      </w:tr>
      <w:tr w:rsidR="0058077E" w:rsidRPr="0058077E" w14:paraId="04F12683" w14:textId="77777777" w:rsidTr="0058077E">
        <w:tc>
          <w:tcPr>
            <w:tcW w:w="1190" w:type="pct"/>
            <w:hideMark/>
          </w:tcPr>
          <w:p w14:paraId="54902CF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A192657"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1E0BD0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14</w:t>
            </w:r>
          </w:p>
        </w:tc>
        <w:tc>
          <w:tcPr>
            <w:tcW w:w="1004" w:type="pct"/>
            <w:hideMark/>
          </w:tcPr>
          <w:p w14:paraId="55C1C00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0.822**</w:t>
            </w:r>
          </w:p>
        </w:tc>
      </w:tr>
      <w:tr w:rsidR="0058077E" w:rsidRPr="0058077E" w14:paraId="3E04DFBF" w14:textId="77777777" w:rsidTr="0058077E">
        <w:tc>
          <w:tcPr>
            <w:tcW w:w="1190" w:type="pct"/>
            <w:hideMark/>
          </w:tcPr>
          <w:p w14:paraId="325F3221"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912DAD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3362C63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15</w:t>
            </w:r>
          </w:p>
        </w:tc>
        <w:tc>
          <w:tcPr>
            <w:tcW w:w="1004" w:type="pct"/>
            <w:hideMark/>
          </w:tcPr>
          <w:p w14:paraId="6F5C2BB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0.847**</w:t>
            </w:r>
          </w:p>
        </w:tc>
      </w:tr>
      <w:tr w:rsidR="0058077E" w:rsidRPr="0058077E" w14:paraId="0273178A" w14:textId="77777777" w:rsidTr="0058077E">
        <w:tc>
          <w:tcPr>
            <w:tcW w:w="1190" w:type="pct"/>
            <w:hideMark/>
          </w:tcPr>
          <w:p w14:paraId="5C086FF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4ABB23F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الأمن وحماية البيانات الرقمية</w:t>
            </w:r>
          </w:p>
        </w:tc>
        <w:tc>
          <w:tcPr>
            <w:tcW w:w="477" w:type="pct"/>
            <w:hideMark/>
          </w:tcPr>
          <w:p w14:paraId="085F125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16</w:t>
            </w:r>
          </w:p>
        </w:tc>
        <w:tc>
          <w:tcPr>
            <w:tcW w:w="1004" w:type="pct"/>
            <w:hideMark/>
          </w:tcPr>
          <w:p w14:paraId="424F977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0.714**</w:t>
            </w:r>
          </w:p>
        </w:tc>
      </w:tr>
      <w:tr w:rsidR="0058077E" w:rsidRPr="0058077E" w14:paraId="59A84B55" w14:textId="77777777" w:rsidTr="0058077E">
        <w:tc>
          <w:tcPr>
            <w:tcW w:w="1190" w:type="pct"/>
            <w:hideMark/>
          </w:tcPr>
          <w:p w14:paraId="145AB20C"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766D3094"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55ED93C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17</w:t>
            </w:r>
          </w:p>
        </w:tc>
        <w:tc>
          <w:tcPr>
            <w:tcW w:w="1004" w:type="pct"/>
            <w:hideMark/>
          </w:tcPr>
          <w:p w14:paraId="164B166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0.826**</w:t>
            </w:r>
          </w:p>
        </w:tc>
      </w:tr>
      <w:tr w:rsidR="0058077E" w:rsidRPr="0058077E" w14:paraId="08EE8D5E" w14:textId="77777777" w:rsidTr="0058077E">
        <w:tc>
          <w:tcPr>
            <w:tcW w:w="1190" w:type="pct"/>
            <w:hideMark/>
          </w:tcPr>
          <w:p w14:paraId="285EDFC3"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5ABAF42F"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51369FB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18</w:t>
            </w:r>
          </w:p>
        </w:tc>
        <w:tc>
          <w:tcPr>
            <w:tcW w:w="1004" w:type="pct"/>
            <w:hideMark/>
          </w:tcPr>
          <w:p w14:paraId="3799235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0.891**</w:t>
            </w:r>
          </w:p>
        </w:tc>
      </w:tr>
      <w:tr w:rsidR="0058077E" w:rsidRPr="0058077E" w14:paraId="6946F739" w14:textId="77777777" w:rsidTr="0058077E">
        <w:tc>
          <w:tcPr>
            <w:tcW w:w="1190" w:type="pct"/>
            <w:hideMark/>
          </w:tcPr>
          <w:p w14:paraId="42B1F5D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402FFBE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0BE0013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19</w:t>
            </w:r>
          </w:p>
        </w:tc>
        <w:tc>
          <w:tcPr>
            <w:tcW w:w="1004" w:type="pct"/>
            <w:hideMark/>
          </w:tcPr>
          <w:p w14:paraId="2B9AB60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0.853**</w:t>
            </w:r>
          </w:p>
        </w:tc>
      </w:tr>
      <w:tr w:rsidR="0058077E" w:rsidRPr="0058077E" w14:paraId="31A9E761" w14:textId="77777777" w:rsidTr="0058077E">
        <w:tc>
          <w:tcPr>
            <w:tcW w:w="1190" w:type="pct"/>
            <w:hideMark/>
          </w:tcPr>
          <w:p w14:paraId="6287322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779AEF7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0DE142A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20</w:t>
            </w:r>
          </w:p>
        </w:tc>
        <w:tc>
          <w:tcPr>
            <w:tcW w:w="1004" w:type="pct"/>
            <w:hideMark/>
          </w:tcPr>
          <w:p w14:paraId="15C7EBB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0.838**</w:t>
            </w:r>
          </w:p>
        </w:tc>
      </w:tr>
      <w:tr w:rsidR="0058077E" w:rsidRPr="0058077E" w14:paraId="6CDAB217" w14:textId="77777777" w:rsidTr="0058077E">
        <w:tc>
          <w:tcPr>
            <w:tcW w:w="1190" w:type="pct"/>
            <w:hideMark/>
          </w:tcPr>
          <w:p w14:paraId="5E1E344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الاستقرار الوظيفي</w:t>
            </w:r>
          </w:p>
        </w:tc>
        <w:tc>
          <w:tcPr>
            <w:tcW w:w="2328" w:type="pct"/>
            <w:hideMark/>
          </w:tcPr>
          <w:p w14:paraId="47C9536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الأمان الوظيفي</w:t>
            </w:r>
          </w:p>
        </w:tc>
        <w:tc>
          <w:tcPr>
            <w:tcW w:w="477" w:type="pct"/>
            <w:hideMark/>
          </w:tcPr>
          <w:p w14:paraId="1192543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21</w:t>
            </w:r>
          </w:p>
        </w:tc>
        <w:tc>
          <w:tcPr>
            <w:tcW w:w="1004" w:type="pct"/>
            <w:hideMark/>
          </w:tcPr>
          <w:p w14:paraId="35B49C3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0.748**</w:t>
            </w:r>
          </w:p>
        </w:tc>
      </w:tr>
      <w:tr w:rsidR="0058077E" w:rsidRPr="0058077E" w14:paraId="4FC790E6" w14:textId="77777777" w:rsidTr="0058077E">
        <w:tc>
          <w:tcPr>
            <w:tcW w:w="1190" w:type="pct"/>
            <w:hideMark/>
          </w:tcPr>
          <w:p w14:paraId="1CEF05B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18BAB311"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4D74638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22</w:t>
            </w:r>
          </w:p>
        </w:tc>
        <w:tc>
          <w:tcPr>
            <w:tcW w:w="1004" w:type="pct"/>
            <w:hideMark/>
          </w:tcPr>
          <w:p w14:paraId="0519F48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0.836**</w:t>
            </w:r>
          </w:p>
        </w:tc>
      </w:tr>
      <w:tr w:rsidR="0058077E" w:rsidRPr="0058077E" w14:paraId="0B5D7160" w14:textId="77777777" w:rsidTr="0058077E">
        <w:tc>
          <w:tcPr>
            <w:tcW w:w="1190" w:type="pct"/>
            <w:hideMark/>
          </w:tcPr>
          <w:p w14:paraId="360EB2EE"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CF3131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4430A09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23</w:t>
            </w:r>
          </w:p>
        </w:tc>
        <w:tc>
          <w:tcPr>
            <w:tcW w:w="1004" w:type="pct"/>
            <w:hideMark/>
          </w:tcPr>
          <w:p w14:paraId="188D9A1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0.871**</w:t>
            </w:r>
          </w:p>
        </w:tc>
      </w:tr>
      <w:tr w:rsidR="0058077E" w:rsidRPr="0058077E" w14:paraId="7D2BC264" w14:textId="77777777" w:rsidTr="0058077E">
        <w:tc>
          <w:tcPr>
            <w:tcW w:w="1190" w:type="pct"/>
            <w:hideMark/>
          </w:tcPr>
          <w:p w14:paraId="1AD31D8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01FCF7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4F667D1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24</w:t>
            </w:r>
          </w:p>
        </w:tc>
        <w:tc>
          <w:tcPr>
            <w:tcW w:w="1004" w:type="pct"/>
            <w:hideMark/>
          </w:tcPr>
          <w:p w14:paraId="29D8CC8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0.814**</w:t>
            </w:r>
          </w:p>
        </w:tc>
      </w:tr>
      <w:tr w:rsidR="0058077E" w:rsidRPr="0058077E" w14:paraId="4999BA9D" w14:textId="77777777" w:rsidTr="0058077E">
        <w:tc>
          <w:tcPr>
            <w:tcW w:w="1190" w:type="pct"/>
            <w:hideMark/>
          </w:tcPr>
          <w:p w14:paraId="12CD64A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C9A0FFC"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D6429C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25</w:t>
            </w:r>
          </w:p>
        </w:tc>
        <w:tc>
          <w:tcPr>
            <w:tcW w:w="1004" w:type="pct"/>
            <w:hideMark/>
          </w:tcPr>
          <w:p w14:paraId="36A3EBC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0.842**</w:t>
            </w:r>
          </w:p>
        </w:tc>
      </w:tr>
      <w:tr w:rsidR="0058077E" w:rsidRPr="0058077E" w14:paraId="6EDC525D" w14:textId="77777777" w:rsidTr="0058077E">
        <w:tc>
          <w:tcPr>
            <w:tcW w:w="1190" w:type="pct"/>
            <w:hideMark/>
          </w:tcPr>
          <w:p w14:paraId="2998FA2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CC1208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الرضا الوظيفي</w:t>
            </w:r>
          </w:p>
        </w:tc>
        <w:tc>
          <w:tcPr>
            <w:tcW w:w="477" w:type="pct"/>
            <w:hideMark/>
          </w:tcPr>
          <w:p w14:paraId="4808BE2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26</w:t>
            </w:r>
          </w:p>
        </w:tc>
        <w:tc>
          <w:tcPr>
            <w:tcW w:w="1004" w:type="pct"/>
            <w:hideMark/>
          </w:tcPr>
          <w:p w14:paraId="12735DA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0.761**</w:t>
            </w:r>
          </w:p>
        </w:tc>
      </w:tr>
      <w:tr w:rsidR="0058077E" w:rsidRPr="0058077E" w14:paraId="5F36B65E" w14:textId="77777777" w:rsidTr="0058077E">
        <w:tc>
          <w:tcPr>
            <w:tcW w:w="1190" w:type="pct"/>
            <w:hideMark/>
          </w:tcPr>
          <w:p w14:paraId="1550A84F"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52558F2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37629F3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27</w:t>
            </w:r>
          </w:p>
        </w:tc>
        <w:tc>
          <w:tcPr>
            <w:tcW w:w="1004" w:type="pct"/>
            <w:hideMark/>
          </w:tcPr>
          <w:p w14:paraId="5D81FF9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0.847**</w:t>
            </w:r>
          </w:p>
        </w:tc>
      </w:tr>
      <w:tr w:rsidR="0058077E" w:rsidRPr="0058077E" w14:paraId="5F52C2CF" w14:textId="77777777" w:rsidTr="0058077E">
        <w:tc>
          <w:tcPr>
            <w:tcW w:w="1190" w:type="pct"/>
            <w:hideMark/>
          </w:tcPr>
          <w:p w14:paraId="50FF19A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588E06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4F15D87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28</w:t>
            </w:r>
          </w:p>
        </w:tc>
        <w:tc>
          <w:tcPr>
            <w:tcW w:w="1004" w:type="pct"/>
            <w:hideMark/>
          </w:tcPr>
          <w:p w14:paraId="141E092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0.876**</w:t>
            </w:r>
          </w:p>
        </w:tc>
      </w:tr>
      <w:tr w:rsidR="0058077E" w:rsidRPr="0058077E" w14:paraId="7185FB72" w14:textId="77777777" w:rsidTr="0058077E">
        <w:tc>
          <w:tcPr>
            <w:tcW w:w="1190" w:type="pct"/>
            <w:hideMark/>
          </w:tcPr>
          <w:p w14:paraId="050879A3"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12F0E0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53AC62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29</w:t>
            </w:r>
          </w:p>
        </w:tc>
        <w:tc>
          <w:tcPr>
            <w:tcW w:w="1004" w:type="pct"/>
            <w:hideMark/>
          </w:tcPr>
          <w:p w14:paraId="6AD110F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0.829**</w:t>
            </w:r>
          </w:p>
        </w:tc>
      </w:tr>
      <w:tr w:rsidR="0058077E" w:rsidRPr="0058077E" w14:paraId="2DCD9BEB" w14:textId="77777777" w:rsidTr="0058077E">
        <w:tc>
          <w:tcPr>
            <w:tcW w:w="1190" w:type="pct"/>
            <w:hideMark/>
          </w:tcPr>
          <w:p w14:paraId="3C0C4B83"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EB9A73F"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35200B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30</w:t>
            </w:r>
          </w:p>
        </w:tc>
        <w:tc>
          <w:tcPr>
            <w:tcW w:w="1004" w:type="pct"/>
            <w:hideMark/>
          </w:tcPr>
          <w:p w14:paraId="2BF33F3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0.853**</w:t>
            </w:r>
          </w:p>
        </w:tc>
      </w:tr>
      <w:tr w:rsidR="0058077E" w:rsidRPr="0058077E" w14:paraId="23E455C5" w14:textId="77777777" w:rsidTr="0058077E">
        <w:tc>
          <w:tcPr>
            <w:tcW w:w="1190" w:type="pct"/>
            <w:hideMark/>
          </w:tcPr>
          <w:p w14:paraId="43E345E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0FDD6B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الالتزام التنظيمي</w:t>
            </w:r>
          </w:p>
        </w:tc>
        <w:tc>
          <w:tcPr>
            <w:tcW w:w="477" w:type="pct"/>
            <w:hideMark/>
          </w:tcPr>
          <w:p w14:paraId="2521C5A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31</w:t>
            </w:r>
          </w:p>
        </w:tc>
        <w:tc>
          <w:tcPr>
            <w:tcW w:w="1004" w:type="pct"/>
            <w:hideMark/>
          </w:tcPr>
          <w:p w14:paraId="1BA8557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0.773**</w:t>
            </w:r>
          </w:p>
        </w:tc>
      </w:tr>
      <w:tr w:rsidR="0058077E" w:rsidRPr="0058077E" w14:paraId="6508B260" w14:textId="77777777" w:rsidTr="0058077E">
        <w:tc>
          <w:tcPr>
            <w:tcW w:w="1190" w:type="pct"/>
            <w:hideMark/>
          </w:tcPr>
          <w:p w14:paraId="09BB2EF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D06558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270BBAF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32</w:t>
            </w:r>
          </w:p>
        </w:tc>
        <w:tc>
          <w:tcPr>
            <w:tcW w:w="1004" w:type="pct"/>
            <w:hideMark/>
          </w:tcPr>
          <w:p w14:paraId="080FE67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0.839**</w:t>
            </w:r>
          </w:p>
        </w:tc>
      </w:tr>
      <w:tr w:rsidR="0058077E" w:rsidRPr="0058077E" w14:paraId="4898F2D9" w14:textId="77777777" w:rsidTr="0058077E">
        <w:tc>
          <w:tcPr>
            <w:tcW w:w="1190" w:type="pct"/>
            <w:hideMark/>
          </w:tcPr>
          <w:p w14:paraId="19AFFC9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F7A2664"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5C1F95A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33</w:t>
            </w:r>
          </w:p>
        </w:tc>
        <w:tc>
          <w:tcPr>
            <w:tcW w:w="1004" w:type="pct"/>
            <w:hideMark/>
          </w:tcPr>
          <w:p w14:paraId="42BC306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0.882**</w:t>
            </w:r>
          </w:p>
        </w:tc>
      </w:tr>
      <w:tr w:rsidR="0058077E" w:rsidRPr="0058077E" w14:paraId="42D0DEDA" w14:textId="77777777" w:rsidTr="0058077E">
        <w:tc>
          <w:tcPr>
            <w:tcW w:w="1190" w:type="pct"/>
            <w:hideMark/>
          </w:tcPr>
          <w:p w14:paraId="2EA9411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2E336D3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05F1D0F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34</w:t>
            </w:r>
          </w:p>
        </w:tc>
        <w:tc>
          <w:tcPr>
            <w:tcW w:w="1004" w:type="pct"/>
            <w:hideMark/>
          </w:tcPr>
          <w:p w14:paraId="28EA627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0.846**</w:t>
            </w:r>
          </w:p>
        </w:tc>
      </w:tr>
      <w:tr w:rsidR="0058077E" w:rsidRPr="0058077E" w14:paraId="409944A5" w14:textId="77777777" w:rsidTr="0058077E">
        <w:tc>
          <w:tcPr>
            <w:tcW w:w="1190" w:type="pct"/>
            <w:hideMark/>
          </w:tcPr>
          <w:p w14:paraId="620226B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793117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3010FE4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35</w:t>
            </w:r>
          </w:p>
        </w:tc>
        <w:tc>
          <w:tcPr>
            <w:tcW w:w="1004" w:type="pct"/>
            <w:hideMark/>
          </w:tcPr>
          <w:p w14:paraId="16F7EF0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0.861**</w:t>
            </w:r>
          </w:p>
        </w:tc>
      </w:tr>
    </w:tbl>
    <w:p w14:paraId="52EB3FC3" w14:textId="77777777" w:rsidR="0058077E" w:rsidRPr="0058077E" w:rsidRDefault="0058077E" w:rsidP="0058077E">
      <w:pPr>
        <w:bidi/>
        <w:spacing w:line="24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دلالة إحصائية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w:t>
      </w:r>
    </w:p>
    <w:p w14:paraId="25FA032B"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يتضح من نتائج جدول (3-4) أن معاملات ارتباط بيرسون بين فقرات الاستبانة والدرجة الكلية للأبعاد التي تنتمي إليها تراوحت بين (0.714–0.891)، وجميعها معاملات ارتباط موجبة ودالة إحصائيًا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وهو ما يدل على وجود درجة مرتفعة من الاتساق الداخلي بين الفقرات وأبعادها، ويؤكد صلاحية جميع فقرات الاستبانة لقياس الأبعاد التي أُعدت لقياسها، ومن ثم الإبقاء عليها في الصورة النهائية لأداة الدراسة.</w:t>
      </w:r>
    </w:p>
    <w:p w14:paraId="03584E9C" w14:textId="77777777" w:rsidR="0058077E" w:rsidRPr="0058077E" w:rsidRDefault="0058077E" w:rsidP="0058077E">
      <w:pPr>
        <w:bidi/>
        <w:spacing w:line="360" w:lineRule="auto"/>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ثالثاً: معاملات ارتباط أبعاد الدراسة بالدرجة الكلية للاستبانة</w:t>
      </w:r>
    </w:p>
    <w:p w14:paraId="6DCC5CCF"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ولتعزيز التحقق من صدق البناء، حُسبت معاملات ارتباط بيرسون بين الدرجة الكلية لكل بعد والدرجة الكلية للاستبانة، وذلك للتحقق من مدى إسهام كل بعد في قياس المتغير الذي ينتمي إليه، ومدى اتساق أبعاد الدراسة مع البناء النظري الذي استندت إليه الدراسة</w:t>
      </w:r>
      <w:r w:rsidRPr="0058077E">
        <w:rPr>
          <w:rFonts w:ascii="Traditional Arabic" w:hAnsi="Traditional Arabic" w:cs="Traditional Arabic"/>
          <w:sz w:val="32"/>
          <w:szCs w:val="32"/>
          <w:lang w:val="en-US"/>
        </w:rPr>
        <w:t>.</w:t>
      </w:r>
    </w:p>
    <w:p w14:paraId="54115C7F"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ويشير</w:t>
      </w:r>
      <w:r w:rsidRPr="0058077E">
        <w:rPr>
          <w:rFonts w:ascii="Traditional Arabic" w:hAnsi="Traditional Arabic" w:cs="Traditional Arabic"/>
          <w:sz w:val="32"/>
          <w:szCs w:val="32"/>
          <w:lang w:val="en-US"/>
        </w:rPr>
        <w:t xml:space="preserve"> Hair et al. (2022) </w:t>
      </w:r>
      <w:r w:rsidRPr="0058077E">
        <w:rPr>
          <w:rFonts w:ascii="Traditional Arabic" w:hAnsi="Traditional Arabic" w:cs="Traditional Arabic"/>
          <w:sz w:val="32"/>
          <w:szCs w:val="32"/>
          <w:rtl/>
          <w:lang w:val="en-US"/>
        </w:rPr>
        <w:t>إلى أن معاملات الارتباط المرتفعة والدالة إحصائيًا بين الأبعاد والدرجة الكلية للأداة تعد مؤشرًا على تمتع الأداة بدرجة مرتفعة من صدق البناء، كما تعكس اتساق الأبعاد في قياس المتغيرات المستهدفة</w:t>
      </w:r>
      <w:r w:rsidRPr="0058077E">
        <w:rPr>
          <w:rFonts w:ascii="Traditional Arabic" w:hAnsi="Traditional Arabic" w:cs="Traditional Arabic"/>
          <w:sz w:val="32"/>
          <w:szCs w:val="32"/>
          <w:lang w:val="en-US"/>
        </w:rPr>
        <w:t>.</w:t>
      </w:r>
    </w:p>
    <w:p w14:paraId="3916522C"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أظهرت نتائج التحليل الإحصائي أن جميع معاملات الارتباط جاءت موجبة ومرتفعة ودالة إحصائيًا عند مستوى الدلالة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مما يؤكد أن جميع أبعاد الدراسة ترتبط ارتباطًا قويًا بالدرجة الكلية للاستبانة</w:t>
      </w:r>
      <w:r w:rsidRPr="0058077E">
        <w:rPr>
          <w:rFonts w:ascii="Traditional Arabic" w:hAnsi="Traditional Arabic" w:cs="Traditional Arabic"/>
          <w:sz w:val="32"/>
          <w:szCs w:val="32"/>
          <w:lang w:val="en-US"/>
        </w:rPr>
        <w:t>.</w:t>
      </w:r>
    </w:p>
    <w:p w14:paraId="285B3A40" w14:textId="77777777" w:rsidR="0058077E" w:rsidRPr="0058077E" w:rsidRDefault="0058077E" w:rsidP="00E30AB8">
      <w:pPr>
        <w:bidi/>
        <w:spacing w:line="240" w:lineRule="auto"/>
        <w:jc w:val="center"/>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جدول (3-5) معاملات ارتباط بيرسون بين أبعاد الدراسة والدرجة الكلية للاستبانة</w:t>
      </w:r>
    </w:p>
    <w:tbl>
      <w:tblPr>
        <w:tblStyle w:val="TableGrid"/>
        <w:bidiVisual/>
        <w:tblW w:w="5000" w:type="pct"/>
        <w:tblLook w:val="04A0" w:firstRow="1" w:lastRow="0" w:firstColumn="1" w:lastColumn="0" w:noHBand="0" w:noVBand="1"/>
      </w:tblPr>
      <w:tblGrid>
        <w:gridCol w:w="2009"/>
        <w:gridCol w:w="3929"/>
        <w:gridCol w:w="1696"/>
        <w:gridCol w:w="1703"/>
      </w:tblGrid>
      <w:tr w:rsidR="0058077E" w:rsidRPr="0058077E" w14:paraId="05C7CE50" w14:textId="77777777" w:rsidTr="0058077E">
        <w:tc>
          <w:tcPr>
            <w:tcW w:w="1076" w:type="pct"/>
            <w:hideMark/>
          </w:tcPr>
          <w:p w14:paraId="4ED6820A"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المتغير</w:t>
            </w:r>
          </w:p>
        </w:tc>
        <w:tc>
          <w:tcPr>
            <w:tcW w:w="2104" w:type="pct"/>
            <w:hideMark/>
          </w:tcPr>
          <w:p w14:paraId="16479CD7"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البعد</w:t>
            </w:r>
          </w:p>
        </w:tc>
        <w:tc>
          <w:tcPr>
            <w:tcW w:w="908" w:type="pct"/>
            <w:hideMark/>
          </w:tcPr>
          <w:p w14:paraId="5458AA76"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معامل الارتباط</w:t>
            </w:r>
          </w:p>
        </w:tc>
        <w:tc>
          <w:tcPr>
            <w:tcW w:w="912" w:type="pct"/>
            <w:hideMark/>
          </w:tcPr>
          <w:p w14:paraId="68906035"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مستوى الدلالة</w:t>
            </w:r>
          </w:p>
        </w:tc>
      </w:tr>
      <w:tr w:rsidR="0058077E" w:rsidRPr="0058077E" w14:paraId="26E9D041" w14:textId="77777777" w:rsidTr="0058077E">
        <w:tc>
          <w:tcPr>
            <w:tcW w:w="1076" w:type="pct"/>
            <w:hideMark/>
          </w:tcPr>
          <w:p w14:paraId="5D428C9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التحول الرقمي</w:t>
            </w:r>
          </w:p>
        </w:tc>
        <w:tc>
          <w:tcPr>
            <w:tcW w:w="2104" w:type="pct"/>
            <w:hideMark/>
          </w:tcPr>
          <w:p w14:paraId="5D19035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البنية التحتية الرقمية والتقنيات الرقمية</w:t>
            </w:r>
          </w:p>
        </w:tc>
        <w:tc>
          <w:tcPr>
            <w:tcW w:w="908" w:type="pct"/>
            <w:hideMark/>
          </w:tcPr>
          <w:p w14:paraId="23A1925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0.913**</w:t>
            </w:r>
          </w:p>
        </w:tc>
        <w:tc>
          <w:tcPr>
            <w:tcW w:w="912" w:type="pct"/>
            <w:hideMark/>
          </w:tcPr>
          <w:p w14:paraId="08790CB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7975A890" w14:textId="77777777" w:rsidTr="0058077E">
        <w:tc>
          <w:tcPr>
            <w:tcW w:w="1076" w:type="pct"/>
            <w:hideMark/>
          </w:tcPr>
          <w:p w14:paraId="72E7062E"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23E5183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الكفاءة الرقمية للموظفين</w:t>
            </w:r>
          </w:p>
        </w:tc>
        <w:tc>
          <w:tcPr>
            <w:tcW w:w="908" w:type="pct"/>
            <w:hideMark/>
          </w:tcPr>
          <w:p w14:paraId="26DF838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0.926**</w:t>
            </w:r>
          </w:p>
        </w:tc>
        <w:tc>
          <w:tcPr>
            <w:tcW w:w="912" w:type="pct"/>
            <w:hideMark/>
          </w:tcPr>
          <w:p w14:paraId="67C486D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742ED53B" w14:textId="77777777" w:rsidTr="0058077E">
        <w:tc>
          <w:tcPr>
            <w:tcW w:w="1076" w:type="pct"/>
            <w:hideMark/>
          </w:tcPr>
          <w:p w14:paraId="31D0A0F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2BBADDF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تكامل الأنظمة الرقمية وعمليات الرقمنة</w:t>
            </w:r>
          </w:p>
        </w:tc>
        <w:tc>
          <w:tcPr>
            <w:tcW w:w="908" w:type="pct"/>
            <w:hideMark/>
          </w:tcPr>
          <w:p w14:paraId="3AE34C1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0.941**</w:t>
            </w:r>
          </w:p>
        </w:tc>
        <w:tc>
          <w:tcPr>
            <w:tcW w:w="912" w:type="pct"/>
            <w:hideMark/>
          </w:tcPr>
          <w:p w14:paraId="3CE9E62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25899163" w14:textId="77777777" w:rsidTr="0058077E">
        <w:tc>
          <w:tcPr>
            <w:tcW w:w="1076" w:type="pct"/>
            <w:hideMark/>
          </w:tcPr>
          <w:p w14:paraId="43B736B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66B9DA5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الأمن وحماية البيانات الرقمية</w:t>
            </w:r>
          </w:p>
        </w:tc>
        <w:tc>
          <w:tcPr>
            <w:tcW w:w="908" w:type="pct"/>
            <w:hideMark/>
          </w:tcPr>
          <w:p w14:paraId="02F97A9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0.918**</w:t>
            </w:r>
          </w:p>
        </w:tc>
        <w:tc>
          <w:tcPr>
            <w:tcW w:w="912" w:type="pct"/>
            <w:hideMark/>
          </w:tcPr>
          <w:p w14:paraId="37DFF36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23632C10" w14:textId="77777777" w:rsidTr="0058077E">
        <w:tc>
          <w:tcPr>
            <w:tcW w:w="1076" w:type="pct"/>
            <w:hideMark/>
          </w:tcPr>
          <w:p w14:paraId="299B3AB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الاستقرار الوظيفي</w:t>
            </w:r>
          </w:p>
        </w:tc>
        <w:tc>
          <w:tcPr>
            <w:tcW w:w="2104" w:type="pct"/>
            <w:hideMark/>
          </w:tcPr>
          <w:p w14:paraId="4328375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الأمان الوظيفي</w:t>
            </w:r>
          </w:p>
        </w:tc>
        <w:tc>
          <w:tcPr>
            <w:tcW w:w="908" w:type="pct"/>
            <w:hideMark/>
          </w:tcPr>
          <w:p w14:paraId="78E04C5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0.904**</w:t>
            </w:r>
          </w:p>
        </w:tc>
        <w:tc>
          <w:tcPr>
            <w:tcW w:w="912" w:type="pct"/>
            <w:hideMark/>
          </w:tcPr>
          <w:p w14:paraId="4FDE6F5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402CE2DC" w14:textId="77777777" w:rsidTr="0058077E">
        <w:tc>
          <w:tcPr>
            <w:tcW w:w="1076" w:type="pct"/>
            <w:hideMark/>
          </w:tcPr>
          <w:p w14:paraId="2E9E1D2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02D15BF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الرضا الوظيفي</w:t>
            </w:r>
          </w:p>
        </w:tc>
        <w:tc>
          <w:tcPr>
            <w:tcW w:w="908" w:type="pct"/>
            <w:hideMark/>
          </w:tcPr>
          <w:p w14:paraId="34C2547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0.932**</w:t>
            </w:r>
          </w:p>
        </w:tc>
        <w:tc>
          <w:tcPr>
            <w:tcW w:w="912" w:type="pct"/>
            <w:hideMark/>
          </w:tcPr>
          <w:p w14:paraId="1E305B5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3169C401" w14:textId="77777777" w:rsidTr="0058077E">
        <w:tc>
          <w:tcPr>
            <w:tcW w:w="1076" w:type="pct"/>
            <w:hideMark/>
          </w:tcPr>
          <w:p w14:paraId="1507EBF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6BF5091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الالتزام التنظيمي</w:t>
            </w:r>
          </w:p>
        </w:tc>
        <w:tc>
          <w:tcPr>
            <w:tcW w:w="908" w:type="pct"/>
            <w:hideMark/>
          </w:tcPr>
          <w:p w14:paraId="326BDDA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0.915**</w:t>
            </w:r>
          </w:p>
        </w:tc>
        <w:tc>
          <w:tcPr>
            <w:tcW w:w="912" w:type="pct"/>
            <w:hideMark/>
          </w:tcPr>
          <w:p w14:paraId="6F231F0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bl>
    <w:p w14:paraId="41913540" w14:textId="77777777" w:rsid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دلالة إحصائية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w:t>
      </w:r>
    </w:p>
    <w:p w14:paraId="7AB4BEC0" w14:textId="77777777" w:rsidR="0058077E" w:rsidRP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يتضح من جدول (3-5) أن معاملات ارتباط أبعاد التحول الرقمي بالدرجة الكلية للاستبانة تراوحت بين (0.913–0.941)، في حين تراوحت معاملات ارتباط أبعاد الاستقرار الوظيفي بالدرجة الكلية للاستبانة بين (0.904–0.932)، وجميعها معاملات ارتباط موجبة ومرتفعة ودالة إحصائيًا عند مستوى</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p>
    <w:p w14:paraId="0306B82D" w14:textId="77777777" w:rsid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وتشير هذه النتائج إلى أن جميع الأبعاد تسهم بصورة فاعلة في قياس المتغيرات التي تنتمي إليها، كما تعكس وجود اتساق بنائي مرتفع بين الأبعاد والدرجة الكلية للاستبانة، الأمر الذي يؤكد تمتع الأداة بدرجة عالية من صدق البناء وصلاحيتها للتطبيق على عينة الدراسة.</w:t>
      </w:r>
    </w:p>
    <w:p w14:paraId="33D44388"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وبناءً على نتائج الصدق الظاهري وصدق البناء، يتبين أن الاستبانة تتمتع بدرجة مرتفعة من الصدق، سواء من حيث مناسبة فقراتها لقياس متغيرات الدراسة، أو من حيث الاتساق الداخلي بين الفقرات والأبعاد والدرجة الكلية للأداة، مما يؤكد صلاحيتها للاستخدام في الدراسة الحالية، ويعزز الثقة في النتائج التي سيتم التوصل إليها عند تطبيقها على عينة الدراسة</w:t>
      </w:r>
      <w:r w:rsidRPr="0058077E">
        <w:rPr>
          <w:rFonts w:ascii="Traditional Arabic" w:hAnsi="Traditional Arabic" w:cs="Traditional Arabic"/>
          <w:sz w:val="32"/>
          <w:szCs w:val="32"/>
          <w:lang w:val="en-US"/>
        </w:rPr>
        <w:t>.</w:t>
      </w:r>
    </w:p>
    <w:p w14:paraId="712F8030"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3.9 ثبات أداة الدراسة</w:t>
      </w:r>
    </w:p>
    <w:p w14:paraId="4655A2BB"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يشير الثبات</w:t>
      </w:r>
      <w:r w:rsidRPr="00E30AB8">
        <w:rPr>
          <w:rFonts w:ascii="Traditional Arabic" w:hAnsi="Traditional Arabic" w:cs="Traditional Arabic"/>
          <w:sz w:val="32"/>
          <w:szCs w:val="32"/>
          <w:lang w:val="en-US"/>
        </w:rPr>
        <w:t xml:space="preserve"> (Reliability) </w:t>
      </w:r>
      <w:r w:rsidRPr="00E30AB8">
        <w:rPr>
          <w:rFonts w:ascii="Traditional Arabic" w:hAnsi="Traditional Arabic" w:cs="Traditional Arabic"/>
          <w:sz w:val="32"/>
          <w:szCs w:val="32"/>
          <w:rtl/>
          <w:lang w:val="en-US"/>
        </w:rPr>
        <w:t xml:space="preserve">إلى مدى اتساق أداة القياس في قياس الظاهرة محل الدراسة، وقدرتها على إعطاء نتائج متقاربة عند إعادة تطبيقها في ظروف متشابهة. ويُعد الثبات من الخصائص الأساسية التي ينبغي توافرها في أدوات القياس، إذ يسهم في تعزيز دقة النتائج وإمكانية الاعتماد عليها في تفسير الظاهرة المدروسة. ويؤكد </w:t>
      </w:r>
      <w:r w:rsidRPr="00E30AB8">
        <w:rPr>
          <w:rFonts w:ascii="Traditional Arabic" w:hAnsi="Traditional Arabic" w:cs="Traditional Arabic"/>
          <w:sz w:val="32"/>
          <w:szCs w:val="32"/>
          <w:lang w:val="en-US"/>
        </w:rPr>
        <w:t>Hair et al. (2022</w:t>
      </w:r>
      <w:r w:rsidRPr="00E30AB8">
        <w:rPr>
          <w:rFonts w:ascii="Traditional Arabic" w:hAnsi="Traditional Arabic" w:cs="Traditional Arabic"/>
          <w:sz w:val="32"/>
          <w:szCs w:val="32"/>
          <w:rtl/>
          <w:lang w:val="en-US"/>
        </w:rPr>
        <w:t xml:space="preserve">) أن ارتفاع معاملات الثبات يعكس اتساقًا داخليًا مرتفعًا بين فقرات الأداة، في حين يشير </w:t>
      </w:r>
      <w:r w:rsidRPr="00E30AB8">
        <w:rPr>
          <w:rFonts w:ascii="Traditional Arabic" w:hAnsi="Traditional Arabic" w:cs="Traditional Arabic"/>
          <w:sz w:val="32"/>
          <w:szCs w:val="32"/>
          <w:lang w:val="en-US"/>
        </w:rPr>
        <w:t>Creswell and Creswell (2023</w:t>
      </w:r>
      <w:r w:rsidRPr="00E30AB8">
        <w:rPr>
          <w:rFonts w:ascii="Traditional Arabic" w:hAnsi="Traditional Arabic" w:cs="Traditional Arabic"/>
          <w:sz w:val="32"/>
          <w:szCs w:val="32"/>
          <w:rtl/>
          <w:lang w:val="en-US"/>
        </w:rPr>
        <w:t>) إلى أن التحقق من ثبات أدوات القياس يمثل خطوة أساسية قبل تطبيقها على العينة الأساسية.</w:t>
      </w:r>
    </w:p>
    <w:p w14:paraId="5E50ABFC"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وللتحقق من ثبات أداة الدراسة، استخدم الباحث معامل كرونباخ ألفا (</w:t>
      </w:r>
      <w:r w:rsidRPr="00E30AB8">
        <w:rPr>
          <w:rFonts w:ascii="Traditional Arabic" w:hAnsi="Traditional Arabic" w:cs="Traditional Arabic"/>
          <w:sz w:val="32"/>
          <w:szCs w:val="32"/>
          <w:lang w:val="en-US"/>
        </w:rPr>
        <w:t>Cronbach's Alpha</w:t>
      </w:r>
      <w:r w:rsidRPr="00E30AB8">
        <w:rPr>
          <w:rFonts w:ascii="Traditional Arabic" w:hAnsi="Traditional Arabic" w:cs="Traditional Arabic"/>
          <w:sz w:val="32"/>
          <w:szCs w:val="32"/>
          <w:rtl/>
          <w:lang w:val="en-US"/>
        </w:rPr>
        <w:t>) لقياس درجة الاتساق الداخلي بين فقرات كل بعد من أبعاد الدراسة، إضافة إلى حساب معامل الثبات الكلي لكل متغير، وللاستبانة ككل، وذلك بالاعتماد على بيانات العينة الاستطلاعية البالغ عددها (30) مفردة من خارج عينة الدراسة الأساسية.</w:t>
      </w:r>
    </w:p>
    <w:p w14:paraId="57E2CA65" w14:textId="77777777" w:rsidR="00E30AB8" w:rsidRDefault="00E30AB8" w:rsidP="00E30AB8">
      <w:pPr>
        <w:bidi/>
        <w:spacing w:line="360" w:lineRule="auto"/>
        <w:jc w:val="both"/>
        <w:rPr>
          <w:rFonts w:ascii="Traditional Arabic" w:hAnsi="Traditional Arabic" w:cs="Traditional Arabic"/>
          <w:sz w:val="32"/>
          <w:szCs w:val="32"/>
          <w:rtl/>
          <w:lang w:val="en-US"/>
        </w:rPr>
      </w:pPr>
      <w:r w:rsidRPr="00E30AB8">
        <w:rPr>
          <w:rFonts w:ascii="Traditional Arabic" w:hAnsi="Traditional Arabic" w:cs="Traditional Arabic"/>
          <w:sz w:val="32"/>
          <w:szCs w:val="32"/>
          <w:rtl/>
          <w:lang w:val="en-US"/>
        </w:rPr>
        <w:t xml:space="preserve">ويشير </w:t>
      </w:r>
      <w:r>
        <w:rPr>
          <w:rFonts w:ascii="Traditional Arabic" w:hAnsi="Traditional Arabic" w:cs="Traditional Arabic" w:hint="cs"/>
          <w:sz w:val="32"/>
          <w:szCs w:val="32"/>
          <w:rtl/>
          <w:lang w:val="en-US"/>
        </w:rPr>
        <w:t>(</w:t>
      </w:r>
      <w:r w:rsidRPr="00E30AB8">
        <w:rPr>
          <w:rFonts w:ascii="Traditional Arabic" w:hAnsi="Traditional Arabic" w:cs="Traditional Arabic"/>
          <w:sz w:val="32"/>
          <w:szCs w:val="32"/>
          <w:lang w:val="en-US"/>
        </w:rPr>
        <w:t>Sekaran and Bougie 2020</w:t>
      </w:r>
      <w:r w:rsidRPr="00E30AB8">
        <w:rPr>
          <w:rFonts w:ascii="Traditional Arabic" w:hAnsi="Traditional Arabic" w:cs="Traditional Arabic"/>
          <w:sz w:val="32"/>
          <w:szCs w:val="32"/>
          <w:rtl/>
          <w:lang w:val="en-US"/>
        </w:rPr>
        <w:t>) إلى أن قيمة معامل كرونباخ ألفا التي تزيد على (0.70) تعد مقبولة، بينما تشير القيم التي تتجاوز (0.80) إلى مستوى مرتفع من الثبات، في حين تعكس القيم التي تزيد على (0.90) درجة ممتازة من الاتساق الداخلي.</w:t>
      </w:r>
    </w:p>
    <w:p w14:paraId="327B7B74"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وقد أظهرت نتائج التحليل الإحصائي ارتفاع معاملات الثبات لجميع أبعاد الدراسة، كما هو موضح في الجدول (3-6).</w:t>
      </w:r>
    </w:p>
    <w:p w14:paraId="463BE729" w14:textId="77777777" w:rsidR="00E30AB8" w:rsidRPr="00E30AB8" w:rsidRDefault="00E30AB8" w:rsidP="00E30AB8">
      <w:pPr>
        <w:bidi/>
        <w:spacing w:line="240" w:lineRule="auto"/>
        <w:jc w:val="center"/>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جدول (3-6) معاملات كرونباخ ألفا لأبعاد الدراسة</w:t>
      </w:r>
    </w:p>
    <w:tbl>
      <w:tblPr>
        <w:tblStyle w:val="TableGrid"/>
        <w:bidiVisual/>
        <w:tblW w:w="5000" w:type="pct"/>
        <w:tblLook w:val="04A0" w:firstRow="1" w:lastRow="0" w:firstColumn="1" w:lastColumn="0" w:noHBand="0" w:noVBand="1"/>
      </w:tblPr>
      <w:tblGrid>
        <w:gridCol w:w="2477"/>
        <w:gridCol w:w="3899"/>
        <w:gridCol w:w="1531"/>
        <w:gridCol w:w="1430"/>
      </w:tblGrid>
      <w:tr w:rsidR="00E30AB8" w:rsidRPr="00E30AB8" w14:paraId="6C11F771" w14:textId="77777777" w:rsidTr="00E30AB8">
        <w:tc>
          <w:tcPr>
            <w:tcW w:w="1326" w:type="pct"/>
            <w:hideMark/>
          </w:tcPr>
          <w:p w14:paraId="031FD775"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المتغير</w:t>
            </w:r>
          </w:p>
        </w:tc>
        <w:tc>
          <w:tcPr>
            <w:tcW w:w="2088" w:type="pct"/>
            <w:hideMark/>
          </w:tcPr>
          <w:p w14:paraId="77994285"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البعد</w:t>
            </w:r>
          </w:p>
        </w:tc>
        <w:tc>
          <w:tcPr>
            <w:tcW w:w="820" w:type="pct"/>
            <w:hideMark/>
          </w:tcPr>
          <w:p w14:paraId="4D99F02A"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عدد الفقرات</w:t>
            </w:r>
          </w:p>
        </w:tc>
        <w:tc>
          <w:tcPr>
            <w:tcW w:w="766" w:type="pct"/>
            <w:hideMark/>
          </w:tcPr>
          <w:p w14:paraId="259F51CD"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كرونباخ ألفا</w:t>
            </w:r>
          </w:p>
        </w:tc>
      </w:tr>
      <w:tr w:rsidR="00E30AB8" w:rsidRPr="00E30AB8" w14:paraId="4B3EF118" w14:textId="77777777" w:rsidTr="00E30AB8">
        <w:tc>
          <w:tcPr>
            <w:tcW w:w="1326" w:type="pct"/>
            <w:hideMark/>
          </w:tcPr>
          <w:p w14:paraId="084E9F51"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التحول الرقمي</w:t>
            </w:r>
          </w:p>
        </w:tc>
        <w:tc>
          <w:tcPr>
            <w:tcW w:w="2088" w:type="pct"/>
            <w:hideMark/>
          </w:tcPr>
          <w:p w14:paraId="4B42A43E"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البنية التحتية الرقمية والتقنيات الرقمية</w:t>
            </w:r>
          </w:p>
        </w:tc>
        <w:tc>
          <w:tcPr>
            <w:tcW w:w="820" w:type="pct"/>
            <w:hideMark/>
          </w:tcPr>
          <w:p w14:paraId="56A3B2BE"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610D0328"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0.891</w:t>
            </w:r>
          </w:p>
        </w:tc>
      </w:tr>
      <w:tr w:rsidR="00E30AB8" w:rsidRPr="00E30AB8" w14:paraId="112B56CE" w14:textId="77777777" w:rsidTr="00E30AB8">
        <w:tc>
          <w:tcPr>
            <w:tcW w:w="1326" w:type="pct"/>
            <w:hideMark/>
          </w:tcPr>
          <w:p w14:paraId="48B3FE35"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3C2C24F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الكفاءة الرقمية للموظفين</w:t>
            </w:r>
          </w:p>
        </w:tc>
        <w:tc>
          <w:tcPr>
            <w:tcW w:w="820" w:type="pct"/>
            <w:hideMark/>
          </w:tcPr>
          <w:p w14:paraId="04925520"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7CD84DBD"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0.904</w:t>
            </w:r>
          </w:p>
        </w:tc>
      </w:tr>
      <w:tr w:rsidR="00E30AB8" w:rsidRPr="00E30AB8" w14:paraId="0C507C51" w14:textId="77777777" w:rsidTr="00E30AB8">
        <w:tc>
          <w:tcPr>
            <w:tcW w:w="1326" w:type="pct"/>
            <w:hideMark/>
          </w:tcPr>
          <w:p w14:paraId="46ADDC26"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16E38A4E"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تكامل الأنظمة الرقمية وعمليات الرقمنة</w:t>
            </w:r>
          </w:p>
        </w:tc>
        <w:tc>
          <w:tcPr>
            <w:tcW w:w="820" w:type="pct"/>
            <w:hideMark/>
          </w:tcPr>
          <w:p w14:paraId="323D866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7D5A4D3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0.918</w:t>
            </w:r>
          </w:p>
        </w:tc>
      </w:tr>
      <w:tr w:rsidR="00E30AB8" w:rsidRPr="00E30AB8" w14:paraId="0C65963A" w14:textId="77777777" w:rsidTr="00E30AB8">
        <w:tc>
          <w:tcPr>
            <w:tcW w:w="1326" w:type="pct"/>
            <w:hideMark/>
          </w:tcPr>
          <w:p w14:paraId="06BDDA5D"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3C6ED85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الأمن وحماية البيانات الرقمية</w:t>
            </w:r>
          </w:p>
        </w:tc>
        <w:tc>
          <w:tcPr>
            <w:tcW w:w="820" w:type="pct"/>
            <w:hideMark/>
          </w:tcPr>
          <w:p w14:paraId="036E17B7"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31906AFF"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0.896</w:t>
            </w:r>
          </w:p>
        </w:tc>
      </w:tr>
      <w:tr w:rsidR="00E30AB8" w:rsidRPr="00E30AB8" w14:paraId="1BDB3946" w14:textId="77777777" w:rsidTr="00E30AB8">
        <w:tc>
          <w:tcPr>
            <w:tcW w:w="1326" w:type="pct"/>
            <w:hideMark/>
          </w:tcPr>
          <w:p w14:paraId="3040DD87"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437F4F3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للمتغير المستقل</w:t>
            </w:r>
          </w:p>
        </w:tc>
        <w:tc>
          <w:tcPr>
            <w:tcW w:w="820" w:type="pct"/>
            <w:hideMark/>
          </w:tcPr>
          <w:p w14:paraId="060E1220"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20</w:t>
            </w:r>
          </w:p>
        </w:tc>
        <w:tc>
          <w:tcPr>
            <w:tcW w:w="766" w:type="pct"/>
            <w:hideMark/>
          </w:tcPr>
          <w:p w14:paraId="64DA0ABF"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0.944</w:t>
            </w:r>
          </w:p>
        </w:tc>
      </w:tr>
      <w:tr w:rsidR="00E30AB8" w:rsidRPr="00E30AB8" w14:paraId="32CD8F2F" w14:textId="77777777" w:rsidTr="00E30AB8">
        <w:tc>
          <w:tcPr>
            <w:tcW w:w="1326" w:type="pct"/>
            <w:hideMark/>
          </w:tcPr>
          <w:p w14:paraId="4430FDE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الاستقرار الوظيفي</w:t>
            </w:r>
          </w:p>
        </w:tc>
        <w:tc>
          <w:tcPr>
            <w:tcW w:w="2088" w:type="pct"/>
            <w:hideMark/>
          </w:tcPr>
          <w:p w14:paraId="26889D9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الأمان الوظيفي</w:t>
            </w:r>
          </w:p>
        </w:tc>
        <w:tc>
          <w:tcPr>
            <w:tcW w:w="820" w:type="pct"/>
            <w:hideMark/>
          </w:tcPr>
          <w:p w14:paraId="6211B50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5C5B3A04"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0.884</w:t>
            </w:r>
          </w:p>
        </w:tc>
      </w:tr>
      <w:tr w:rsidR="00E30AB8" w:rsidRPr="00E30AB8" w14:paraId="4C37EF2A" w14:textId="77777777" w:rsidTr="00E30AB8">
        <w:tc>
          <w:tcPr>
            <w:tcW w:w="1326" w:type="pct"/>
            <w:hideMark/>
          </w:tcPr>
          <w:p w14:paraId="12FACEDA"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3ADE2D54"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الرضا الوظيفي</w:t>
            </w:r>
          </w:p>
        </w:tc>
        <w:tc>
          <w:tcPr>
            <w:tcW w:w="820" w:type="pct"/>
            <w:hideMark/>
          </w:tcPr>
          <w:p w14:paraId="787DC8D4"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0C8E5AA4"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0.912</w:t>
            </w:r>
          </w:p>
        </w:tc>
      </w:tr>
      <w:tr w:rsidR="00E30AB8" w:rsidRPr="00E30AB8" w14:paraId="08DD4F52" w14:textId="77777777" w:rsidTr="00E30AB8">
        <w:tc>
          <w:tcPr>
            <w:tcW w:w="1326" w:type="pct"/>
            <w:hideMark/>
          </w:tcPr>
          <w:p w14:paraId="18DEF0D5"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3BC9D54D"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الالتزام التنظيمي</w:t>
            </w:r>
          </w:p>
        </w:tc>
        <w:tc>
          <w:tcPr>
            <w:tcW w:w="820" w:type="pct"/>
            <w:hideMark/>
          </w:tcPr>
          <w:p w14:paraId="4908AE1C"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6D0C386B"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0.901</w:t>
            </w:r>
          </w:p>
        </w:tc>
      </w:tr>
      <w:tr w:rsidR="00E30AB8" w:rsidRPr="00E30AB8" w14:paraId="6CD9B6A3" w14:textId="77777777" w:rsidTr="00E30AB8">
        <w:tc>
          <w:tcPr>
            <w:tcW w:w="1326" w:type="pct"/>
            <w:hideMark/>
          </w:tcPr>
          <w:p w14:paraId="2D38A63A"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714DC3B4"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للمتغير التابع</w:t>
            </w:r>
          </w:p>
        </w:tc>
        <w:tc>
          <w:tcPr>
            <w:tcW w:w="820" w:type="pct"/>
            <w:hideMark/>
          </w:tcPr>
          <w:p w14:paraId="4F59B8E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15</w:t>
            </w:r>
          </w:p>
        </w:tc>
        <w:tc>
          <w:tcPr>
            <w:tcW w:w="766" w:type="pct"/>
            <w:hideMark/>
          </w:tcPr>
          <w:p w14:paraId="4017D1D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0.931</w:t>
            </w:r>
          </w:p>
        </w:tc>
      </w:tr>
      <w:tr w:rsidR="00E30AB8" w:rsidRPr="00E30AB8" w14:paraId="7CFE184A" w14:textId="77777777" w:rsidTr="00E30AB8">
        <w:tc>
          <w:tcPr>
            <w:tcW w:w="1326" w:type="pct"/>
            <w:hideMark/>
          </w:tcPr>
          <w:p w14:paraId="7740786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للاستبانة</w:t>
            </w:r>
          </w:p>
        </w:tc>
        <w:tc>
          <w:tcPr>
            <w:tcW w:w="2088" w:type="pct"/>
            <w:hideMark/>
          </w:tcPr>
          <w:p w14:paraId="7F573A77"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820" w:type="pct"/>
            <w:hideMark/>
          </w:tcPr>
          <w:p w14:paraId="506AD29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35</w:t>
            </w:r>
          </w:p>
        </w:tc>
        <w:tc>
          <w:tcPr>
            <w:tcW w:w="766" w:type="pct"/>
            <w:hideMark/>
          </w:tcPr>
          <w:p w14:paraId="2D1E4306" w14:textId="77777777" w:rsidR="00E30AB8" w:rsidRPr="00E30AB8" w:rsidRDefault="00E30AB8" w:rsidP="00BB7B09">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w:t>
            </w:r>
            <w:r w:rsidR="00BB7B09">
              <w:rPr>
                <w:rFonts w:ascii="Traditional Arabic" w:hAnsi="Traditional Arabic" w:cs="Traditional Arabic"/>
                <w:b/>
                <w:bCs/>
                <w:sz w:val="32"/>
                <w:szCs w:val="32"/>
                <w:lang w:val="en-US"/>
              </w:rPr>
              <w:t>33</w:t>
            </w:r>
          </w:p>
        </w:tc>
      </w:tr>
    </w:tbl>
    <w:p w14:paraId="3AF6CA4A" w14:textId="77777777" w:rsidR="00E30AB8" w:rsidRPr="00E30AB8" w:rsidRDefault="00E30AB8" w:rsidP="00BB7B09">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يتضح من نتائج جدول (3-6) أن معاملات كرونباخ ألفا لأبعاد التحول الرقمي تراوحت بين (0.891–0.918)، بينما تراوحت معاملات الثبات لأبعاد الاستقرار الوظيفي بين (0.884–0.912)، كما بلغ معامل الثبات الكلي للمتغير المستقل (0.944)، وللمتغير التابع (0.931)، في حين بلغ معامل الثبات الكلي للاستبانة (0.9</w:t>
      </w:r>
      <w:r w:rsidR="00BB7B09">
        <w:rPr>
          <w:rFonts w:ascii="Traditional Arabic" w:hAnsi="Traditional Arabic" w:cs="Traditional Arabic" w:hint="cs"/>
          <w:sz w:val="32"/>
          <w:szCs w:val="32"/>
          <w:rtl/>
          <w:lang w:val="en-US"/>
        </w:rPr>
        <w:t>33</w:t>
      </w:r>
      <w:r w:rsidRPr="00E30AB8">
        <w:rPr>
          <w:rFonts w:ascii="Traditional Arabic" w:hAnsi="Traditional Arabic" w:cs="Traditional Arabic"/>
          <w:sz w:val="32"/>
          <w:szCs w:val="32"/>
          <w:rtl/>
          <w:lang w:val="en-US"/>
        </w:rPr>
        <w:t>).</w:t>
      </w:r>
    </w:p>
    <w:p w14:paraId="28BB5904"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وتعد هذه القيم مرتفعة وفق المعايير الإحصائية المعتمدة، مما يدل على تمتع أداة الدراسة بدرجة عالية من الاتساق الداخلي، ويؤكد صلاحيتها للتطبيق على أفراد عينة الدراسة، وإمكانية الاعتماد على البيانات الناتجة عنها في اختبار فرضيات الدراسة وتحقيق أهدافها</w:t>
      </w:r>
      <w:r w:rsidRPr="00E30AB8">
        <w:rPr>
          <w:rFonts w:ascii="Traditional Arabic" w:hAnsi="Traditional Arabic" w:cs="Traditional Arabic"/>
          <w:sz w:val="32"/>
          <w:szCs w:val="32"/>
          <w:lang w:val="en-US"/>
        </w:rPr>
        <w:t>.</w:t>
      </w:r>
    </w:p>
    <w:p w14:paraId="3652CA04" w14:textId="77777777" w:rsidR="00E30AB8" w:rsidRDefault="00E30AB8" w:rsidP="00E30AB8">
      <w:pPr>
        <w:bidi/>
        <w:spacing w:line="360" w:lineRule="auto"/>
        <w:jc w:val="both"/>
        <w:rPr>
          <w:rFonts w:ascii="Traditional Arabic" w:hAnsi="Traditional Arabic" w:cs="Traditional Arabic"/>
          <w:sz w:val="32"/>
          <w:szCs w:val="32"/>
          <w:rtl/>
          <w:lang w:val="en-US"/>
        </w:rPr>
      </w:pPr>
      <w:r w:rsidRPr="00E30AB8">
        <w:rPr>
          <w:rFonts w:ascii="Traditional Arabic" w:hAnsi="Traditional Arabic" w:cs="Traditional Arabic"/>
          <w:sz w:val="32"/>
          <w:szCs w:val="32"/>
          <w:rtl/>
          <w:lang w:val="en-US"/>
        </w:rPr>
        <w:t>وبناءً على نتائج الصدق والثبات، يتبين أن الاستبانة تتمتع بخصائص سيكومترية مرتفعة من حيث الصدق والثبات، الأمر الذي يعزز الثقة في نتائج الدراسة، ويؤكد ملاءمة الأداة لجمع البيانات من أفراد عينة الدراسة</w:t>
      </w:r>
      <w:r w:rsidRPr="00E30AB8">
        <w:rPr>
          <w:rFonts w:ascii="Traditional Arabic" w:hAnsi="Traditional Arabic" w:cs="Traditional Arabic"/>
          <w:sz w:val="32"/>
          <w:szCs w:val="32"/>
          <w:lang w:val="en-US"/>
        </w:rPr>
        <w:t>.</w:t>
      </w:r>
    </w:p>
    <w:p w14:paraId="211CD3F2" w14:textId="77777777" w:rsidR="009E4789" w:rsidRPr="00E30AB8" w:rsidRDefault="009E4789" w:rsidP="009E4789">
      <w:pPr>
        <w:bidi/>
        <w:spacing w:line="360" w:lineRule="auto"/>
        <w:jc w:val="both"/>
        <w:rPr>
          <w:rFonts w:ascii="Traditional Arabic" w:hAnsi="Traditional Arabic" w:cs="Traditional Arabic"/>
          <w:sz w:val="32"/>
          <w:szCs w:val="32"/>
          <w:lang w:val="en-US"/>
        </w:rPr>
      </w:pPr>
    </w:p>
    <w:p w14:paraId="69FBB23E"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3.10 إجراءات الدراسة</w:t>
      </w:r>
    </w:p>
    <w:p w14:paraId="77F1F1BA"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اتبع الباحث مجموعة من الإجراءات العلمية والمنهجية لتنفيذ الدراسة وتحقيق أهدافها، وذلك وفق تسلسل منطقي يضمن سلامة تطبيق الدراسة ودقة نتائجها، وتمثلت هذه الإجراءات فيما يأتي</w:t>
      </w:r>
      <w:r w:rsidRPr="009E4789">
        <w:rPr>
          <w:rFonts w:ascii="Traditional Arabic" w:hAnsi="Traditional Arabic" w:cs="Traditional Arabic"/>
          <w:sz w:val="32"/>
          <w:szCs w:val="32"/>
          <w:lang w:val="en-US"/>
        </w:rPr>
        <w:t>:</w:t>
      </w:r>
    </w:p>
    <w:p w14:paraId="17D35A6B" w14:textId="77777777" w:rsidR="009E4789" w:rsidRPr="009E4789" w:rsidRDefault="009E4789" w:rsidP="009E4789">
      <w:pPr>
        <w:numPr>
          <w:ilvl w:val="0"/>
          <w:numId w:val="8"/>
        </w:num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مراجعة الأدبيات النظرية والدراسات السابقة العربية والأجنبية المتعلقة بالتحول الرقمي والاستقرار الوظيفي، والاستفادة منها في بناء الإطار النظري وصياغة مشكلة الدراسة وأهدافها وفرضياتها</w:t>
      </w:r>
      <w:r w:rsidRPr="009E4789">
        <w:rPr>
          <w:rFonts w:ascii="Traditional Arabic" w:hAnsi="Traditional Arabic" w:cs="Traditional Arabic"/>
          <w:sz w:val="32"/>
          <w:szCs w:val="32"/>
          <w:lang w:val="en-US"/>
        </w:rPr>
        <w:t xml:space="preserve">. </w:t>
      </w:r>
    </w:p>
    <w:p w14:paraId="2240794A" w14:textId="77777777" w:rsidR="009E4789" w:rsidRPr="009E4789" w:rsidRDefault="009E4789" w:rsidP="009E4789">
      <w:pPr>
        <w:numPr>
          <w:ilvl w:val="0"/>
          <w:numId w:val="8"/>
        </w:num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تحديد متغيرات الدراسة وأبعادها في ضوء الأدبيات والدراسات السابقة، وإعداد نموذج الدراسة الذي يوضح العلاقة بين المتغير المستقل (التحول الرقمي) والمتغير التابع (الاستقرار الوظيفي</w:t>
      </w:r>
      <w:r w:rsidRPr="009E4789">
        <w:rPr>
          <w:rFonts w:ascii="Traditional Arabic" w:hAnsi="Traditional Arabic" w:cs="Traditional Arabic"/>
          <w:sz w:val="32"/>
          <w:szCs w:val="32"/>
          <w:lang w:val="en-US"/>
        </w:rPr>
        <w:t xml:space="preserve">). </w:t>
      </w:r>
    </w:p>
    <w:p w14:paraId="1E79CB20" w14:textId="77777777" w:rsidR="009E4789" w:rsidRPr="009E4789" w:rsidRDefault="009E4789" w:rsidP="009E4789">
      <w:pPr>
        <w:numPr>
          <w:ilvl w:val="0"/>
          <w:numId w:val="8"/>
        </w:num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تطوير أداة الدراسة (الاستبانة) بالاستناد إلى الأدبيات العلمية والدراسات السابقة ذات العلاقة، بما يضمن شمولها لجميع أبعاد الدراسة وتحقيقها لأهدافها</w:t>
      </w:r>
      <w:r w:rsidRPr="009E4789">
        <w:rPr>
          <w:rFonts w:ascii="Traditional Arabic" w:hAnsi="Traditional Arabic" w:cs="Traditional Arabic"/>
          <w:sz w:val="32"/>
          <w:szCs w:val="32"/>
          <w:lang w:val="en-US"/>
        </w:rPr>
        <w:t xml:space="preserve">. </w:t>
      </w:r>
    </w:p>
    <w:p w14:paraId="417249CA" w14:textId="77777777" w:rsidR="009E4789" w:rsidRPr="009E4789" w:rsidRDefault="009E4789" w:rsidP="009E4789">
      <w:pPr>
        <w:numPr>
          <w:ilvl w:val="0"/>
          <w:numId w:val="8"/>
        </w:num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عرض الاستبانة على مجموعة من المحكمين من ذوي الاختصاص للتحقق من صدقها الظاهري، وإجراء التعديلات اللازمة في ضوء ملاحظاتهم، ثم تطبيقها على عينة استطلاعية للتحقق من صدق البناء وثبات الأداة</w:t>
      </w:r>
      <w:r w:rsidRPr="009E4789">
        <w:rPr>
          <w:rFonts w:ascii="Traditional Arabic" w:hAnsi="Traditional Arabic" w:cs="Traditional Arabic"/>
          <w:sz w:val="32"/>
          <w:szCs w:val="32"/>
          <w:lang w:val="en-US"/>
        </w:rPr>
        <w:t xml:space="preserve">. </w:t>
      </w:r>
    </w:p>
    <w:p w14:paraId="5885A8F1" w14:textId="77777777" w:rsidR="009E4789" w:rsidRPr="009E4789" w:rsidRDefault="009E4789" w:rsidP="009E4789">
      <w:pPr>
        <w:numPr>
          <w:ilvl w:val="0"/>
          <w:numId w:val="8"/>
        </w:num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الحصول على الموافقات اللازمة من الجهات ذات العلاقة، والتنسيق مع إدارات المستشفيات الحكومية المشمولة بالدراسة لتسهيل توزيع الاستبانات على أفراد العينة</w:t>
      </w:r>
      <w:r w:rsidRPr="009E4789">
        <w:rPr>
          <w:rFonts w:ascii="Traditional Arabic" w:hAnsi="Traditional Arabic" w:cs="Traditional Arabic"/>
          <w:sz w:val="32"/>
          <w:szCs w:val="32"/>
          <w:lang w:val="en-US"/>
        </w:rPr>
        <w:t xml:space="preserve">. </w:t>
      </w:r>
    </w:p>
    <w:p w14:paraId="1AAF083C" w14:textId="77777777" w:rsidR="009E4789" w:rsidRPr="009E4789" w:rsidRDefault="009E4789" w:rsidP="009E4789">
      <w:pPr>
        <w:numPr>
          <w:ilvl w:val="0"/>
          <w:numId w:val="8"/>
        </w:num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اختيار أفراد عينة الدراسة من العاملين في المستشفيات الحكومية المشمولة بالدراسة بمدينة جدة وفق أسلوب العينة الطبقية العشوائية (</w:t>
      </w:r>
      <w:r w:rsidRPr="009E4789">
        <w:rPr>
          <w:rFonts w:ascii="Traditional Arabic" w:hAnsi="Traditional Arabic" w:cs="Traditional Arabic"/>
          <w:sz w:val="32"/>
          <w:szCs w:val="32"/>
          <w:lang w:val="en-US"/>
        </w:rPr>
        <w:t>Stratified Random Sampling</w:t>
      </w:r>
      <w:r w:rsidRPr="009E4789">
        <w:rPr>
          <w:rFonts w:ascii="Traditional Arabic" w:hAnsi="Traditional Arabic" w:cs="Traditional Arabic"/>
          <w:sz w:val="32"/>
          <w:szCs w:val="32"/>
          <w:rtl/>
          <w:lang w:val="en-US"/>
        </w:rPr>
        <w:t>)، بما يضمن تمثيل الفئات الوظيفية المستهدفة (الأطباء، وهيئة التمريض، والفنيين، والإداريين)، ثم توزيع الاستبانات عليهم وجمعها بعد استكمال الإجابة عنها</w:t>
      </w:r>
      <w:r w:rsidRPr="009E4789">
        <w:rPr>
          <w:rFonts w:ascii="Traditional Arabic" w:hAnsi="Traditional Arabic" w:cs="Traditional Arabic"/>
          <w:sz w:val="32"/>
          <w:szCs w:val="32"/>
          <w:lang w:val="en-US"/>
        </w:rPr>
        <w:t xml:space="preserve">. </w:t>
      </w:r>
    </w:p>
    <w:p w14:paraId="47DBA1BD" w14:textId="77777777" w:rsidR="009E4789" w:rsidRPr="009E4789" w:rsidRDefault="009E4789" w:rsidP="009E4789">
      <w:pPr>
        <w:numPr>
          <w:ilvl w:val="0"/>
          <w:numId w:val="8"/>
        </w:num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مراجعة الاستبانات المستردة، واستبعاد الاستبانات غير المكتملة أو غير الصالحة للتحليل الإحصائي، واعتماد الاستبانات المستوفية لشروط التحليل بوصفها العينة النهائية للدراسة</w:t>
      </w:r>
      <w:r w:rsidRPr="009E4789">
        <w:rPr>
          <w:rFonts w:ascii="Traditional Arabic" w:hAnsi="Traditional Arabic" w:cs="Traditional Arabic"/>
          <w:sz w:val="32"/>
          <w:szCs w:val="32"/>
          <w:lang w:val="en-US"/>
        </w:rPr>
        <w:t xml:space="preserve">. </w:t>
      </w:r>
    </w:p>
    <w:p w14:paraId="4FD8B57D" w14:textId="77777777" w:rsidR="009E4789" w:rsidRPr="009E4789" w:rsidRDefault="009E4789" w:rsidP="009E4789">
      <w:pPr>
        <w:numPr>
          <w:ilvl w:val="0"/>
          <w:numId w:val="8"/>
        </w:num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إدخال البيانات إلى البرنامج الإحصائي</w:t>
      </w:r>
      <w:r w:rsidRPr="009E4789">
        <w:rPr>
          <w:rFonts w:ascii="Traditional Arabic" w:hAnsi="Traditional Arabic" w:cs="Traditional Arabic"/>
          <w:sz w:val="32"/>
          <w:szCs w:val="32"/>
          <w:lang w:val="en-US"/>
        </w:rPr>
        <w:t xml:space="preserve"> (SPSS)</w:t>
      </w:r>
      <w:r w:rsidRPr="009E4789">
        <w:rPr>
          <w:rFonts w:ascii="Traditional Arabic" w:hAnsi="Traditional Arabic" w:cs="Traditional Arabic"/>
          <w:sz w:val="32"/>
          <w:szCs w:val="32"/>
          <w:rtl/>
          <w:lang w:val="en-US"/>
        </w:rPr>
        <w:t>، وإجراء التحليلات الإحصائية المناسبة للإجابة عن أسئلة الدراسة واختبار فرضياتها، ثم تفسير النتائج ومناقشتها في ضوء الأدبيات والدراسات السابقة، وصولًا إلى استخلاص الاستنتاجات وتقديم التوصيات والمقترحات</w:t>
      </w:r>
      <w:r w:rsidRPr="009E4789">
        <w:rPr>
          <w:rFonts w:ascii="Traditional Arabic" w:hAnsi="Traditional Arabic" w:cs="Traditional Arabic"/>
          <w:sz w:val="32"/>
          <w:szCs w:val="32"/>
          <w:lang w:val="en-US"/>
        </w:rPr>
        <w:t>.</w:t>
      </w:r>
    </w:p>
    <w:p w14:paraId="47B7507B" w14:textId="77777777" w:rsidR="007419CC" w:rsidRPr="009E4789" w:rsidRDefault="007419CC" w:rsidP="00692479">
      <w:pPr>
        <w:bidi/>
        <w:spacing w:line="360" w:lineRule="auto"/>
        <w:jc w:val="both"/>
        <w:rPr>
          <w:rFonts w:ascii="Traditional Arabic" w:hAnsi="Traditional Arabic" w:cs="Traditional Arabic"/>
          <w:sz w:val="32"/>
          <w:szCs w:val="32"/>
          <w:rtl/>
          <w:lang w:val="en-US"/>
        </w:rPr>
      </w:pPr>
    </w:p>
    <w:p w14:paraId="5E9750E1"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3.11 الأساليب الإحصائية المستخدمة</w:t>
      </w:r>
    </w:p>
    <w:p w14:paraId="6E06AB8A"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بعد الانتهاء من جمع البيانات ومراجعة الاستبانات والتأكد من صلاحيتها للتحليل الإحصائي، أُدخلت البيانات إلى الحاسب الآلي، وتم تحليلها باستخدام برنامج الحزمة الإحصائية للعلوم الاجتماعية (</w:t>
      </w:r>
      <w:r w:rsidRPr="00E30AB8">
        <w:rPr>
          <w:rFonts w:ascii="Traditional Arabic" w:hAnsi="Traditional Arabic" w:cs="Traditional Arabic"/>
          <w:sz w:val="32"/>
          <w:szCs w:val="32"/>
          <w:lang w:val="en-US"/>
        </w:rPr>
        <w:t>Statistical Package for the Social Sciences - SPSS</w:t>
      </w:r>
      <w:r w:rsidRPr="00E30AB8">
        <w:rPr>
          <w:rFonts w:ascii="Traditional Arabic" w:hAnsi="Traditional Arabic" w:cs="Traditional Arabic"/>
          <w:sz w:val="32"/>
          <w:szCs w:val="32"/>
          <w:rtl/>
          <w:lang w:val="en-US"/>
        </w:rPr>
        <w:t>)، وذلك للإجابة عن أسئلة الدراسة واختبار فرضياتها. وقد استخدم الباحث مجموعة من الأساليب الإحصائية التي تتناسب مع طبيعة الدراسة وأهدافها، وذلك على النحو الآتي</w:t>
      </w:r>
      <w:r w:rsidRPr="00E30AB8">
        <w:rPr>
          <w:rFonts w:ascii="Traditional Arabic" w:hAnsi="Traditional Arabic" w:cs="Traditional Arabic"/>
          <w:sz w:val="32"/>
          <w:szCs w:val="32"/>
          <w:lang w:val="en-US"/>
        </w:rPr>
        <w:t>:</w:t>
      </w:r>
    </w:p>
    <w:p w14:paraId="10EFCB3E"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التكرارات والنسب المئوية؛ لوصف الخصائص الشخصية والوظيفية لأفراد عينة الدراسة</w:t>
      </w:r>
      <w:r w:rsidRPr="00E30AB8">
        <w:rPr>
          <w:rFonts w:ascii="Traditional Arabic" w:hAnsi="Traditional Arabic" w:cs="Traditional Arabic"/>
          <w:sz w:val="32"/>
          <w:szCs w:val="32"/>
          <w:lang w:val="en-US"/>
        </w:rPr>
        <w:t>.</w:t>
      </w:r>
    </w:p>
    <w:p w14:paraId="5A54B19C"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المتوسطات الحسابية والانحرافات المعيارية؛ للتعرف إلى مستوى استجابات أفراد عينة الدراسة على فقرات وأبعاد متغيرات الدراسة</w:t>
      </w:r>
      <w:r w:rsidRPr="00E30AB8">
        <w:rPr>
          <w:rFonts w:ascii="Traditional Arabic" w:hAnsi="Traditional Arabic" w:cs="Traditional Arabic"/>
          <w:sz w:val="32"/>
          <w:szCs w:val="32"/>
          <w:lang w:val="en-US"/>
        </w:rPr>
        <w:t>.</w:t>
      </w:r>
    </w:p>
    <w:p w14:paraId="7E2E8E53"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ارتباط بيرسون (</w:t>
      </w:r>
      <w:r w:rsidRPr="00E30AB8">
        <w:rPr>
          <w:rFonts w:ascii="Traditional Arabic" w:hAnsi="Traditional Arabic" w:cs="Traditional Arabic"/>
          <w:sz w:val="32"/>
          <w:szCs w:val="32"/>
          <w:lang w:val="en-US"/>
        </w:rPr>
        <w:t>Pearson Correlation Coefficient</w:t>
      </w:r>
      <w:r w:rsidRPr="00E30AB8">
        <w:rPr>
          <w:rFonts w:ascii="Traditional Arabic" w:hAnsi="Traditional Arabic" w:cs="Traditional Arabic"/>
          <w:sz w:val="32"/>
          <w:szCs w:val="32"/>
          <w:rtl/>
          <w:lang w:val="en-US"/>
        </w:rPr>
        <w:t>)؛ للتحقق من صدق البناء، وقياس قوة واتجاه العلاقة بين فقرات الاستبانة وأبعادها، وكذلك بين الأبعاد والدرجة الكلية للأداة</w:t>
      </w:r>
      <w:r w:rsidRPr="00E30AB8">
        <w:rPr>
          <w:rFonts w:ascii="Traditional Arabic" w:hAnsi="Traditional Arabic" w:cs="Traditional Arabic"/>
          <w:sz w:val="32"/>
          <w:szCs w:val="32"/>
          <w:lang w:val="en-US"/>
        </w:rPr>
        <w:t>.</w:t>
      </w:r>
    </w:p>
    <w:p w14:paraId="5B17127E"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كرونباخ ألفا (</w:t>
      </w:r>
      <w:r w:rsidRPr="00E30AB8">
        <w:rPr>
          <w:rFonts w:ascii="Traditional Arabic" w:hAnsi="Traditional Arabic" w:cs="Traditional Arabic"/>
          <w:sz w:val="32"/>
          <w:szCs w:val="32"/>
          <w:lang w:val="en-US"/>
        </w:rPr>
        <w:t>Cronbach's Alpha</w:t>
      </w:r>
      <w:r w:rsidRPr="00E30AB8">
        <w:rPr>
          <w:rFonts w:ascii="Traditional Arabic" w:hAnsi="Traditional Arabic" w:cs="Traditional Arabic"/>
          <w:sz w:val="32"/>
          <w:szCs w:val="32"/>
          <w:rtl/>
          <w:lang w:val="en-US"/>
        </w:rPr>
        <w:t>)؛ للتحقق من الاتساق الداخلي وقياس ثبات أداة الدراسة</w:t>
      </w:r>
      <w:r w:rsidRPr="00E30AB8">
        <w:rPr>
          <w:rFonts w:ascii="Traditional Arabic" w:hAnsi="Traditional Arabic" w:cs="Traditional Arabic"/>
          <w:sz w:val="32"/>
          <w:szCs w:val="32"/>
          <w:lang w:val="en-US"/>
        </w:rPr>
        <w:t>.</w:t>
      </w:r>
    </w:p>
    <w:p w14:paraId="1F2D4DDB"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اختبار كولموغوروف–سميرنوف (</w:t>
      </w:r>
      <w:r w:rsidRPr="00E30AB8">
        <w:rPr>
          <w:rFonts w:ascii="Traditional Arabic" w:hAnsi="Traditional Arabic" w:cs="Traditional Arabic"/>
          <w:sz w:val="32"/>
          <w:szCs w:val="32"/>
          <w:lang w:val="en-US"/>
        </w:rPr>
        <w:t>Kolmogorov–Smirnov Test</w:t>
      </w:r>
      <w:r w:rsidRPr="00E30AB8">
        <w:rPr>
          <w:rFonts w:ascii="Traditional Arabic" w:hAnsi="Traditional Arabic" w:cs="Traditional Arabic"/>
          <w:sz w:val="32"/>
          <w:szCs w:val="32"/>
          <w:rtl/>
          <w:lang w:val="en-US"/>
        </w:rPr>
        <w:t>)؛ للتحقق من مدى اتباع البيانات للتوزيع الطبيعي قبل إجراء اختبارات الانحدار.</w:t>
      </w:r>
    </w:p>
    <w:p w14:paraId="28109B7C"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معاملات تضخم التباين (</w:t>
      </w:r>
      <w:r w:rsidRPr="00E30AB8">
        <w:rPr>
          <w:rFonts w:ascii="Traditional Arabic" w:hAnsi="Traditional Arabic" w:cs="Traditional Arabic"/>
          <w:sz w:val="32"/>
          <w:szCs w:val="32"/>
          <w:lang w:val="en-US"/>
        </w:rPr>
        <w:t>Variance Inflation Factor - VIF</w:t>
      </w:r>
      <w:r w:rsidRPr="00E30AB8">
        <w:rPr>
          <w:rFonts w:ascii="Traditional Arabic" w:hAnsi="Traditional Arabic" w:cs="Traditional Arabic"/>
          <w:sz w:val="32"/>
          <w:szCs w:val="32"/>
          <w:rtl/>
          <w:lang w:val="en-US"/>
        </w:rPr>
        <w:t>) وقيم التباين المسموح (</w:t>
      </w:r>
      <w:r w:rsidRPr="00E30AB8">
        <w:rPr>
          <w:rFonts w:ascii="Traditional Arabic" w:hAnsi="Traditional Arabic" w:cs="Traditional Arabic"/>
          <w:sz w:val="32"/>
          <w:szCs w:val="32"/>
          <w:lang w:val="en-US"/>
        </w:rPr>
        <w:t>Tolerance</w:t>
      </w:r>
      <w:r w:rsidRPr="00E30AB8">
        <w:rPr>
          <w:rFonts w:ascii="Traditional Arabic" w:hAnsi="Traditional Arabic" w:cs="Traditional Arabic"/>
          <w:sz w:val="32"/>
          <w:szCs w:val="32"/>
          <w:rtl/>
          <w:lang w:val="en-US"/>
        </w:rPr>
        <w:t>)؛ للتحقق من عدم وجود مشكلة التداخل الخطي (</w:t>
      </w:r>
      <w:r w:rsidRPr="00E30AB8">
        <w:rPr>
          <w:rFonts w:ascii="Traditional Arabic" w:hAnsi="Traditional Arabic" w:cs="Traditional Arabic"/>
          <w:sz w:val="32"/>
          <w:szCs w:val="32"/>
          <w:lang w:val="en-US"/>
        </w:rPr>
        <w:t>Multicollinearity</w:t>
      </w:r>
      <w:r w:rsidRPr="00E30AB8">
        <w:rPr>
          <w:rFonts w:ascii="Traditional Arabic" w:hAnsi="Traditional Arabic" w:cs="Traditional Arabic"/>
          <w:sz w:val="32"/>
          <w:szCs w:val="32"/>
          <w:rtl/>
          <w:lang w:val="en-US"/>
        </w:rPr>
        <w:t>) بين أبعاد المتغير المستقل.</w:t>
      </w:r>
    </w:p>
    <w:p w14:paraId="20299E1E"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تحليل الانحدار الخطي المتعدد (</w:t>
      </w:r>
      <w:r w:rsidRPr="00E30AB8">
        <w:rPr>
          <w:rFonts w:ascii="Traditional Arabic" w:hAnsi="Traditional Arabic" w:cs="Traditional Arabic"/>
          <w:sz w:val="32"/>
          <w:szCs w:val="32"/>
          <w:lang w:val="en-US"/>
        </w:rPr>
        <w:t>Multiple Linear Regression</w:t>
      </w:r>
      <w:r w:rsidRPr="00E30AB8">
        <w:rPr>
          <w:rFonts w:ascii="Traditional Arabic" w:hAnsi="Traditional Arabic" w:cs="Traditional Arabic"/>
          <w:sz w:val="32"/>
          <w:szCs w:val="32"/>
          <w:rtl/>
          <w:lang w:val="en-US"/>
        </w:rPr>
        <w:t>)؛ لاختبار أثر أبعاد التحول الرقمي مجتمعة ومنفردة في الاستقرار الوظيفي لدى العاملين في المستشفيات الحكومية بمدينة جدة، واختبار الفرضية الرئيسة والفرضيات الفرعية للدراسة</w:t>
      </w:r>
      <w:r w:rsidRPr="00E30AB8">
        <w:rPr>
          <w:rFonts w:ascii="Traditional Arabic" w:hAnsi="Traditional Arabic" w:cs="Traditional Arabic"/>
          <w:sz w:val="32"/>
          <w:szCs w:val="32"/>
          <w:lang w:val="en-US"/>
        </w:rPr>
        <w:t>.</w:t>
      </w:r>
    </w:p>
    <w:p w14:paraId="77A3B5F8"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التحديد (</w:t>
      </w:r>
      <w:r w:rsidRPr="00E30AB8">
        <w:rPr>
          <w:rFonts w:ascii="Traditional Arabic" w:hAnsi="Traditional Arabic" w:cs="Traditional Arabic"/>
          <w:sz w:val="32"/>
          <w:szCs w:val="32"/>
          <w:lang w:val="en-US"/>
        </w:rPr>
        <w:t>R²</w:t>
      </w:r>
      <w:r w:rsidRPr="00E30AB8">
        <w:rPr>
          <w:rFonts w:ascii="Traditional Arabic" w:hAnsi="Traditional Arabic" w:cs="Traditional Arabic"/>
          <w:sz w:val="32"/>
          <w:szCs w:val="32"/>
          <w:rtl/>
          <w:lang w:val="en-US"/>
        </w:rPr>
        <w:t>)؛ لتحديد نسبة التباين في المتغير التابع التي يمكن تفسيرها من خلال أبعاد المتغير المستقل</w:t>
      </w:r>
      <w:r w:rsidRPr="00E30AB8">
        <w:rPr>
          <w:rFonts w:ascii="Traditional Arabic" w:hAnsi="Traditional Arabic" w:cs="Traditional Arabic"/>
          <w:sz w:val="32"/>
          <w:szCs w:val="32"/>
          <w:lang w:val="en-US"/>
        </w:rPr>
        <w:t>.</w:t>
      </w:r>
    </w:p>
    <w:p w14:paraId="5E88D976"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اختبار</w:t>
      </w:r>
      <w:r w:rsidRPr="00E30AB8">
        <w:rPr>
          <w:rFonts w:ascii="Traditional Arabic" w:hAnsi="Traditional Arabic" w:cs="Traditional Arabic"/>
          <w:sz w:val="32"/>
          <w:szCs w:val="32"/>
          <w:lang w:val="en-US"/>
        </w:rPr>
        <w:t xml:space="preserve"> (F)</w:t>
      </w:r>
      <w:r w:rsidRPr="00E30AB8">
        <w:rPr>
          <w:rFonts w:ascii="Traditional Arabic" w:hAnsi="Traditional Arabic" w:cs="Traditional Arabic"/>
          <w:sz w:val="32"/>
          <w:szCs w:val="32"/>
          <w:rtl/>
          <w:lang w:val="en-US"/>
        </w:rPr>
        <w:t>؛ للتحقق من معنوية نموذج الانحدار ككل، واختبار</w:t>
      </w:r>
      <w:r w:rsidRPr="00E30AB8">
        <w:rPr>
          <w:rFonts w:ascii="Traditional Arabic" w:hAnsi="Traditional Arabic" w:cs="Traditional Arabic"/>
          <w:sz w:val="32"/>
          <w:szCs w:val="32"/>
          <w:lang w:val="en-US"/>
        </w:rPr>
        <w:t xml:space="preserve"> (t)</w:t>
      </w:r>
      <w:r w:rsidRPr="00E30AB8">
        <w:rPr>
          <w:rFonts w:ascii="Traditional Arabic" w:hAnsi="Traditional Arabic" w:cs="Traditional Arabic"/>
          <w:sz w:val="32"/>
          <w:szCs w:val="32"/>
          <w:rtl/>
          <w:lang w:val="en-US"/>
        </w:rPr>
        <w:t>؛ للتحقق من معنوية معاملات الانحدار لكل بعد من أبعاد المتغير المستقل</w:t>
      </w:r>
      <w:r w:rsidRPr="00E30AB8">
        <w:rPr>
          <w:rFonts w:ascii="Traditional Arabic" w:hAnsi="Traditional Arabic" w:cs="Traditional Arabic"/>
          <w:sz w:val="32"/>
          <w:szCs w:val="32"/>
          <w:lang w:val="en-US"/>
        </w:rPr>
        <w:t>.</w:t>
      </w:r>
    </w:p>
    <w:p w14:paraId="430B7323" w14:textId="77777777" w:rsidR="00E30AB8" w:rsidRDefault="00313D61" w:rsidP="00313D61">
      <w:pPr>
        <w:bidi/>
        <w:spacing w:line="360" w:lineRule="auto"/>
        <w:jc w:val="both"/>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 xml:space="preserve">وقبل اختبار فرضيات الدراسة، سيتم التحقق من استيفاء البيانات للافتراضات الأساسية اللازمة لتطبيق تحليل الانحدار الخطي المتعدد، وذلك من خلال فحص استقلالية الأخطاء باستخدام إحصائية </w:t>
      </w:r>
      <w:r w:rsidRPr="00313D61">
        <w:rPr>
          <w:rFonts w:ascii="Traditional Arabic" w:hAnsi="Traditional Arabic" w:cs="Traditional Arabic"/>
          <w:sz w:val="32"/>
          <w:szCs w:val="32"/>
          <w:lang w:val="en-US"/>
        </w:rPr>
        <w:t>Durbin–Watson</w:t>
      </w:r>
      <w:r w:rsidRPr="00313D61">
        <w:rPr>
          <w:rFonts w:ascii="Traditional Arabic" w:hAnsi="Traditional Arabic" w:cs="Traditional Arabic"/>
          <w:sz w:val="32"/>
          <w:szCs w:val="32"/>
          <w:rtl/>
          <w:lang w:val="en-US"/>
        </w:rPr>
        <w:t>، والتحقق من عدم وجود مشكلة التعدد الخطي باستخدام مؤشري (</w:t>
      </w:r>
      <w:r w:rsidRPr="00313D61">
        <w:rPr>
          <w:rFonts w:ascii="Traditional Arabic" w:hAnsi="Traditional Arabic" w:cs="Traditional Arabic"/>
          <w:sz w:val="32"/>
          <w:szCs w:val="32"/>
          <w:lang w:val="en-US"/>
        </w:rPr>
        <w:t>Tolerance</w:t>
      </w:r>
      <w:r w:rsidRPr="00313D61">
        <w:rPr>
          <w:rFonts w:ascii="Traditional Arabic" w:hAnsi="Traditional Arabic" w:cs="Traditional Arabic"/>
          <w:sz w:val="32"/>
          <w:szCs w:val="32"/>
          <w:rtl/>
          <w:lang w:val="en-US"/>
        </w:rPr>
        <w:t>) و(</w:t>
      </w:r>
      <w:r w:rsidRPr="00313D61">
        <w:rPr>
          <w:rFonts w:ascii="Traditional Arabic" w:hAnsi="Traditional Arabic" w:cs="Traditional Arabic"/>
          <w:sz w:val="32"/>
          <w:szCs w:val="32"/>
          <w:lang w:val="en-US"/>
        </w:rPr>
        <w:t>VIF</w:t>
      </w:r>
      <w:r w:rsidRPr="00313D61">
        <w:rPr>
          <w:rFonts w:ascii="Traditional Arabic" w:hAnsi="Traditional Arabic" w:cs="Traditional Arabic"/>
          <w:sz w:val="32"/>
          <w:szCs w:val="32"/>
          <w:rtl/>
          <w:lang w:val="en-US"/>
        </w:rPr>
        <w:t>)، إضافة إلى فحص الخطية والتجانس والكشف عن القيم المتطرفة باستخدام الرسوم البيانية والإجراءات الإحصائية المناسبة، بما يضمن سلامة نتائج التحليل الإحصائي ودقتها</w:t>
      </w:r>
      <w:r w:rsidRPr="00313D61">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00E30AB8" w:rsidRPr="00E30AB8">
        <w:rPr>
          <w:rFonts w:ascii="Traditional Arabic" w:hAnsi="Traditional Arabic" w:cs="Traditional Arabic"/>
          <w:sz w:val="32"/>
          <w:szCs w:val="32"/>
          <w:rtl/>
          <w:lang w:val="en-US"/>
        </w:rPr>
        <w:t>واعتمدت الدراسة مستوى الدلالة الإحصائية (</w:t>
      </w:r>
      <w:r w:rsidR="00E30AB8" w:rsidRPr="00E30AB8">
        <w:rPr>
          <w:rFonts w:ascii="Times New Roman" w:hAnsi="Times New Roman" w:cs="Times New Roman"/>
          <w:sz w:val="32"/>
          <w:szCs w:val="32"/>
          <w:lang w:val="en-US"/>
        </w:rPr>
        <w:t>α</w:t>
      </w:r>
      <w:r w:rsidR="00E30AB8" w:rsidRPr="00E30AB8">
        <w:rPr>
          <w:rFonts w:ascii="Traditional Arabic" w:hAnsi="Traditional Arabic" w:cs="Traditional Arabic"/>
          <w:sz w:val="32"/>
          <w:szCs w:val="32"/>
          <w:lang w:val="en-US"/>
        </w:rPr>
        <w:t xml:space="preserve"> </w:t>
      </w:r>
      <w:r w:rsidR="00E30AB8" w:rsidRPr="00E30AB8">
        <w:rPr>
          <w:rFonts w:ascii="Times New Roman" w:hAnsi="Times New Roman" w:cs="Times New Roman"/>
          <w:sz w:val="32"/>
          <w:szCs w:val="32"/>
          <w:lang w:val="en-US"/>
        </w:rPr>
        <w:t>≤</w:t>
      </w:r>
      <w:r w:rsidR="00E30AB8" w:rsidRPr="00E30AB8">
        <w:rPr>
          <w:rFonts w:ascii="Traditional Arabic" w:hAnsi="Traditional Arabic" w:cs="Traditional Arabic"/>
          <w:sz w:val="32"/>
          <w:szCs w:val="32"/>
          <w:lang w:val="en-US"/>
        </w:rPr>
        <w:t xml:space="preserve"> 0.05</w:t>
      </w:r>
      <w:r w:rsidR="00E30AB8" w:rsidRPr="00E30AB8">
        <w:rPr>
          <w:rFonts w:ascii="Traditional Arabic" w:hAnsi="Traditional Arabic" w:cs="Traditional Arabic"/>
          <w:sz w:val="32"/>
          <w:szCs w:val="32"/>
          <w:rtl/>
          <w:lang w:val="en-US"/>
        </w:rPr>
        <w:t>) معيارًا للحكم على دلالة النتائج الإحصائية، حيث عُدت النتائج ذات دلالة إحصائية إذا كانت قيمة مستوى الدلالة أقل من أو تساوي (0.05).</w:t>
      </w:r>
    </w:p>
    <w:p w14:paraId="294CD571" w14:textId="77777777" w:rsidR="00675801" w:rsidRDefault="00675801" w:rsidP="00675801">
      <w:pPr>
        <w:bidi/>
        <w:spacing w:line="360" w:lineRule="auto"/>
        <w:jc w:val="both"/>
        <w:rPr>
          <w:rFonts w:ascii="Traditional Arabic" w:hAnsi="Traditional Arabic" w:cs="Traditional Arabic"/>
          <w:sz w:val="32"/>
          <w:szCs w:val="32"/>
          <w:rtl/>
          <w:lang w:val="en-US"/>
        </w:rPr>
      </w:pPr>
    </w:p>
    <w:p w14:paraId="03A50DB9" w14:textId="77777777" w:rsidR="00675801" w:rsidRPr="009E4789" w:rsidRDefault="009E4789" w:rsidP="00675801">
      <w:pPr>
        <w:bidi/>
        <w:spacing w:line="360" w:lineRule="auto"/>
        <w:jc w:val="both"/>
        <w:rPr>
          <w:rFonts w:ascii="Traditional Arabic" w:hAnsi="Traditional Arabic" w:cs="Traditional Arabic"/>
          <w:b/>
          <w:bCs/>
          <w:sz w:val="32"/>
          <w:szCs w:val="32"/>
          <w:rtl/>
          <w:lang w:val="en-US"/>
        </w:rPr>
      </w:pPr>
      <w:r w:rsidRPr="009E4789">
        <w:rPr>
          <w:rFonts w:ascii="Traditional Arabic" w:hAnsi="Traditional Arabic" w:cs="Traditional Arabic" w:hint="cs"/>
          <w:b/>
          <w:bCs/>
          <w:sz w:val="32"/>
          <w:szCs w:val="32"/>
          <w:rtl/>
          <w:lang w:val="en-US"/>
        </w:rPr>
        <w:t xml:space="preserve">3.12 الاعتبارات الأخلاقية </w:t>
      </w:r>
    </w:p>
    <w:p w14:paraId="6E0C1220"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التزمت هذه الدراسة بمجموعة من المبادئ الأخلاقية المتعارف عليها في البحوث العلمية التي تتضمن جمع بيانات من المشاركين، وذلك بما يضمن حماية حقوقهم والمحافظة على خصوصية المعلومات التي يقدمونها</w:t>
      </w:r>
      <w:r w:rsidRPr="009E4789">
        <w:rPr>
          <w:rFonts w:ascii="Traditional Arabic" w:hAnsi="Traditional Arabic" w:cs="Traditional Arabic"/>
          <w:sz w:val="32"/>
          <w:szCs w:val="32"/>
          <w:lang w:val="en-US"/>
        </w:rPr>
        <w:t>.</w:t>
      </w:r>
    </w:p>
    <w:p w14:paraId="60203E00"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وقبل توزيع الاستبانة، تم التنسيق مع الجهات ذات العلاقة في المستشفيات الحكومية المشمولة بالدراسة للحصول على الموافقات اللازمة لتسهيل تنفيذ الدراسة. كما تم إبلاغ المشاركين بأن مشاركتهم في الدراسة اختيارية بالكامل، وأن لهم الحق في الامتناع عن المشاركة أو الانسحاب في أي وقت دون أن يترتب على ذلك أي آثار أو تبعات وظيفية</w:t>
      </w:r>
      <w:r w:rsidRPr="009E4789">
        <w:rPr>
          <w:rFonts w:ascii="Traditional Arabic" w:hAnsi="Traditional Arabic" w:cs="Traditional Arabic"/>
          <w:sz w:val="32"/>
          <w:szCs w:val="32"/>
          <w:lang w:val="en-US"/>
        </w:rPr>
        <w:t>.</w:t>
      </w:r>
    </w:p>
    <w:p w14:paraId="4FF760E3"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وحرص الباحث على عدم جمع أي بيانات شخصية يمكن أن تكشف عن هوية المشاركين، مثل الأسماء أو أرقام الموظفين، واقتصرت البيانات المطلوبة على المعلومات اللازمة لتحقيق أهداف الدراسة. كما تعهد الباحث باستخدام البيانات لأغراض البحث العلمي فقط، مع المحافظة على سريتها وعدم إتاحتها لأي جهة غير مخولة</w:t>
      </w:r>
      <w:r w:rsidRPr="009E4789">
        <w:rPr>
          <w:rFonts w:ascii="Traditional Arabic" w:hAnsi="Traditional Arabic" w:cs="Traditional Arabic"/>
          <w:sz w:val="32"/>
          <w:szCs w:val="32"/>
          <w:lang w:val="en-US"/>
        </w:rPr>
        <w:t>.</w:t>
      </w:r>
    </w:p>
    <w:p w14:paraId="604CCAF7"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وسوف تُعرض نتائج الدراسة بصورة مجمعة على مستوى العينة، دون الإشارة إلى بيانات أو معلومات يمكن أن تؤدي إلى التعرف على هوية أي مشارك أو أي جهة بعينها، وذلك التزامًا بمبادئ السرية والخصوصية والأمانة العلمية</w:t>
      </w:r>
      <w:r w:rsidRPr="009E4789">
        <w:rPr>
          <w:rFonts w:ascii="Traditional Arabic" w:hAnsi="Traditional Arabic" w:cs="Traditional Arabic"/>
          <w:sz w:val="32"/>
          <w:szCs w:val="32"/>
          <w:lang w:val="en-US"/>
        </w:rPr>
        <w:t>.</w:t>
      </w:r>
    </w:p>
    <w:p w14:paraId="7D135226" w14:textId="77777777" w:rsidR="009E4789" w:rsidRPr="009E4789" w:rsidRDefault="009E4789" w:rsidP="009E4789">
      <w:pPr>
        <w:bidi/>
        <w:spacing w:line="360" w:lineRule="auto"/>
        <w:jc w:val="both"/>
        <w:rPr>
          <w:rFonts w:ascii="Traditional Arabic" w:hAnsi="Traditional Arabic" w:cs="Traditional Arabic"/>
          <w:sz w:val="32"/>
          <w:szCs w:val="32"/>
          <w:rtl/>
          <w:lang w:val="en-US"/>
        </w:rPr>
      </w:pPr>
    </w:p>
    <w:p w14:paraId="694375A3" w14:textId="77777777" w:rsidR="00675801" w:rsidRDefault="00675801" w:rsidP="00675801">
      <w:pPr>
        <w:bidi/>
        <w:spacing w:line="360" w:lineRule="auto"/>
        <w:jc w:val="both"/>
        <w:rPr>
          <w:rFonts w:ascii="Traditional Arabic" w:hAnsi="Traditional Arabic" w:cs="Traditional Arabic"/>
          <w:sz w:val="32"/>
          <w:szCs w:val="32"/>
          <w:rtl/>
          <w:lang w:val="en-US"/>
        </w:rPr>
      </w:pPr>
    </w:p>
    <w:p w14:paraId="5C04D564" w14:textId="77777777" w:rsidR="00365907" w:rsidRDefault="00365907" w:rsidP="00365907">
      <w:pPr>
        <w:bidi/>
        <w:spacing w:line="360" w:lineRule="auto"/>
        <w:jc w:val="both"/>
        <w:rPr>
          <w:rFonts w:ascii="Traditional Arabic" w:hAnsi="Traditional Arabic" w:cs="Traditional Arabic"/>
          <w:sz w:val="32"/>
          <w:szCs w:val="32"/>
          <w:rtl/>
          <w:lang w:val="en-US"/>
        </w:rPr>
      </w:pPr>
    </w:p>
    <w:p w14:paraId="407B3BBD" w14:textId="77777777" w:rsidR="00365907" w:rsidRDefault="00365907" w:rsidP="00365907">
      <w:pPr>
        <w:bidi/>
        <w:spacing w:line="360" w:lineRule="auto"/>
        <w:jc w:val="both"/>
        <w:rPr>
          <w:rFonts w:ascii="Traditional Arabic" w:hAnsi="Traditional Arabic" w:cs="Traditional Arabic"/>
          <w:sz w:val="32"/>
          <w:szCs w:val="32"/>
          <w:rtl/>
          <w:lang w:val="en-US"/>
        </w:rPr>
      </w:pPr>
    </w:p>
    <w:p w14:paraId="52AF9667" w14:textId="77777777" w:rsidR="00365907" w:rsidRDefault="00365907" w:rsidP="00365907">
      <w:pPr>
        <w:bidi/>
        <w:spacing w:line="360" w:lineRule="auto"/>
        <w:jc w:val="both"/>
        <w:rPr>
          <w:rFonts w:ascii="Traditional Arabic" w:hAnsi="Traditional Arabic" w:cs="Traditional Arabic"/>
          <w:sz w:val="32"/>
          <w:szCs w:val="32"/>
          <w:rtl/>
          <w:lang w:val="en-US"/>
        </w:rPr>
      </w:pPr>
    </w:p>
    <w:p w14:paraId="3529D7F8" w14:textId="77777777" w:rsidR="00365907" w:rsidRDefault="00365907" w:rsidP="00365907">
      <w:pPr>
        <w:bidi/>
        <w:spacing w:line="360" w:lineRule="auto"/>
        <w:jc w:val="both"/>
        <w:rPr>
          <w:rFonts w:ascii="Traditional Arabic" w:hAnsi="Traditional Arabic" w:cs="Traditional Arabic"/>
          <w:sz w:val="32"/>
          <w:szCs w:val="32"/>
          <w:rtl/>
          <w:lang w:val="en-US"/>
        </w:rPr>
      </w:pPr>
    </w:p>
    <w:p w14:paraId="214F03D0" w14:textId="77777777" w:rsidR="00365907" w:rsidRDefault="00365907" w:rsidP="00365907">
      <w:pPr>
        <w:bidi/>
        <w:spacing w:line="360" w:lineRule="auto"/>
        <w:jc w:val="both"/>
        <w:rPr>
          <w:rFonts w:ascii="Traditional Arabic" w:hAnsi="Traditional Arabic" w:cs="Traditional Arabic"/>
          <w:sz w:val="32"/>
          <w:szCs w:val="32"/>
          <w:rtl/>
          <w:lang w:val="en-US"/>
        </w:rPr>
      </w:pPr>
    </w:p>
    <w:p w14:paraId="6F51F74F" w14:textId="77777777" w:rsidR="00365907" w:rsidRDefault="00365907" w:rsidP="00365907">
      <w:pPr>
        <w:bidi/>
        <w:spacing w:line="360" w:lineRule="auto"/>
        <w:jc w:val="both"/>
        <w:rPr>
          <w:rFonts w:ascii="Traditional Arabic" w:hAnsi="Traditional Arabic" w:cs="Traditional Arabic"/>
          <w:sz w:val="32"/>
          <w:szCs w:val="32"/>
          <w:rtl/>
          <w:lang w:val="en-US"/>
        </w:rPr>
      </w:pPr>
    </w:p>
    <w:p w14:paraId="36898D1B" w14:textId="77777777" w:rsidR="00365907" w:rsidRDefault="00365907" w:rsidP="00365907">
      <w:pPr>
        <w:bidi/>
        <w:spacing w:line="360" w:lineRule="auto"/>
        <w:jc w:val="both"/>
        <w:rPr>
          <w:rFonts w:ascii="Traditional Arabic" w:hAnsi="Traditional Arabic" w:cs="Traditional Arabic"/>
          <w:sz w:val="32"/>
          <w:szCs w:val="32"/>
          <w:rtl/>
          <w:lang w:val="en-US"/>
        </w:rPr>
      </w:pPr>
    </w:p>
    <w:p w14:paraId="55F724F1" w14:textId="77777777" w:rsidR="00365907" w:rsidRDefault="00365907" w:rsidP="00365907">
      <w:pPr>
        <w:bidi/>
        <w:spacing w:line="360" w:lineRule="auto"/>
        <w:jc w:val="both"/>
        <w:rPr>
          <w:rFonts w:ascii="Traditional Arabic" w:hAnsi="Traditional Arabic" w:cs="Traditional Arabic"/>
          <w:sz w:val="32"/>
          <w:szCs w:val="32"/>
          <w:rtl/>
          <w:lang w:val="en-US"/>
        </w:rPr>
      </w:pPr>
    </w:p>
    <w:p w14:paraId="05510D1E" w14:textId="77777777" w:rsidR="00675801" w:rsidRPr="00675801" w:rsidRDefault="00675801" w:rsidP="00675801">
      <w:pPr>
        <w:bidi/>
        <w:spacing w:line="360" w:lineRule="auto"/>
        <w:jc w:val="both"/>
        <w:rPr>
          <w:rFonts w:ascii="Traditional Arabic" w:hAnsi="Traditional Arabic" w:cs="Traditional Arabic"/>
          <w:sz w:val="32"/>
          <w:szCs w:val="32"/>
          <w:lang w:val="en-US"/>
        </w:rPr>
      </w:pPr>
    </w:p>
    <w:tbl>
      <w:tblPr>
        <w:tblStyle w:val="TableGrid"/>
        <w:bidiVisual/>
        <w:tblW w:w="0" w:type="auto"/>
        <w:tblLook w:val="04A0" w:firstRow="1" w:lastRow="0" w:firstColumn="1" w:lastColumn="0" w:noHBand="0" w:noVBand="1"/>
      </w:tblPr>
      <w:tblGrid>
        <w:gridCol w:w="2557"/>
        <w:gridCol w:w="6780"/>
      </w:tblGrid>
      <w:tr w:rsidR="00675801" w:rsidRPr="00675801" w14:paraId="20EFC938" w14:textId="77777777" w:rsidTr="00675801">
        <w:tc>
          <w:tcPr>
            <w:tcW w:w="0" w:type="auto"/>
            <w:hideMark/>
          </w:tcPr>
          <w:p w14:paraId="1170EA07" w14:textId="77777777" w:rsidR="00675801" w:rsidRPr="00675801" w:rsidRDefault="00675801" w:rsidP="00675801">
            <w:pPr>
              <w:bidi/>
              <w:spacing w:after="200"/>
              <w:jc w:val="both"/>
              <w:rPr>
                <w:rFonts w:ascii="Traditional Arabic" w:hAnsi="Traditional Arabic" w:cs="Traditional Arabic"/>
                <w:b/>
                <w:bCs/>
                <w:sz w:val="32"/>
                <w:szCs w:val="32"/>
                <w:highlight w:val="yellow"/>
                <w:lang w:val="en-US"/>
              </w:rPr>
            </w:pPr>
            <w:r w:rsidRPr="00675801">
              <w:rPr>
                <w:rFonts w:ascii="Traditional Arabic" w:hAnsi="Traditional Arabic" w:cs="Traditional Arabic"/>
                <w:b/>
                <w:bCs/>
                <w:sz w:val="32"/>
                <w:szCs w:val="32"/>
                <w:highlight w:val="yellow"/>
                <w:rtl/>
                <w:lang w:val="en-US"/>
              </w:rPr>
              <w:t>ملاحظة المشرف</w:t>
            </w:r>
          </w:p>
        </w:tc>
        <w:tc>
          <w:tcPr>
            <w:tcW w:w="0" w:type="auto"/>
            <w:hideMark/>
          </w:tcPr>
          <w:p w14:paraId="33CED5E0" w14:textId="77777777" w:rsidR="00675801" w:rsidRPr="00675801" w:rsidRDefault="00675801" w:rsidP="00675801">
            <w:pPr>
              <w:bidi/>
              <w:spacing w:after="200"/>
              <w:jc w:val="both"/>
              <w:rPr>
                <w:rFonts w:ascii="Traditional Arabic" w:hAnsi="Traditional Arabic" w:cs="Traditional Arabic"/>
                <w:b/>
                <w:bCs/>
                <w:sz w:val="32"/>
                <w:szCs w:val="32"/>
                <w:highlight w:val="yellow"/>
                <w:lang w:val="en-US"/>
              </w:rPr>
            </w:pPr>
            <w:r w:rsidRPr="00675801">
              <w:rPr>
                <w:rFonts w:ascii="Traditional Arabic" w:hAnsi="Traditional Arabic" w:cs="Traditional Arabic"/>
                <w:b/>
                <w:bCs/>
                <w:sz w:val="32"/>
                <w:szCs w:val="32"/>
                <w:highlight w:val="yellow"/>
                <w:rtl/>
                <w:lang w:val="en-US"/>
              </w:rPr>
              <w:t>التبرير العلمي لعدم إجراء التعديل</w:t>
            </w:r>
          </w:p>
        </w:tc>
      </w:tr>
      <w:tr w:rsidR="00675801" w:rsidRPr="00675801" w14:paraId="33CFA891" w14:textId="77777777" w:rsidTr="00675801">
        <w:tc>
          <w:tcPr>
            <w:tcW w:w="0" w:type="auto"/>
            <w:hideMark/>
          </w:tcPr>
          <w:p w14:paraId="2A0730D4"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شكل للنموذج المفاهيمي في الفصل الثالث</w:t>
            </w:r>
            <w:r w:rsidRPr="00675801">
              <w:rPr>
                <w:rFonts w:ascii="Traditional Arabic" w:hAnsi="Traditional Arabic" w:cs="Traditional Arabic"/>
                <w:b/>
                <w:bCs/>
                <w:sz w:val="32"/>
                <w:szCs w:val="32"/>
                <w:highlight w:val="yellow"/>
                <w:lang w:val="en-US"/>
              </w:rPr>
              <w:t>.</w:t>
            </w:r>
          </w:p>
        </w:tc>
        <w:tc>
          <w:tcPr>
            <w:tcW w:w="0" w:type="auto"/>
            <w:hideMark/>
          </w:tcPr>
          <w:p w14:paraId="70E8F36E"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عرض النموذج المفاهيمي في الفصل الأول ضمن الإطار النظري للدراسة، وهو الموضع الطبيعي لعرضه. لذلك لم تتم إعادة إدراجه في الفصل الثالث تجنبًا للتكرار والمحافظة على اتساق بناء الرسالة</w:t>
            </w:r>
            <w:r w:rsidRPr="00675801">
              <w:rPr>
                <w:rFonts w:ascii="Traditional Arabic" w:hAnsi="Traditional Arabic" w:cs="Traditional Arabic"/>
                <w:sz w:val="32"/>
                <w:szCs w:val="32"/>
                <w:highlight w:val="yellow"/>
                <w:lang w:val="en-US"/>
              </w:rPr>
              <w:t>.</w:t>
            </w:r>
          </w:p>
        </w:tc>
      </w:tr>
      <w:tr w:rsidR="00675801" w:rsidRPr="00675801" w14:paraId="6A7FA370" w14:textId="77777777" w:rsidTr="00675801">
        <w:tc>
          <w:tcPr>
            <w:tcW w:w="0" w:type="auto"/>
            <w:hideMark/>
          </w:tcPr>
          <w:p w14:paraId="408281D7"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جدول مستقل للتعريفات الإجرائية للمتغيرات</w:t>
            </w:r>
            <w:r w:rsidRPr="00675801">
              <w:rPr>
                <w:rFonts w:ascii="Traditional Arabic" w:hAnsi="Traditional Arabic" w:cs="Traditional Arabic"/>
                <w:b/>
                <w:bCs/>
                <w:sz w:val="32"/>
                <w:szCs w:val="32"/>
                <w:highlight w:val="yellow"/>
                <w:lang w:val="en-US"/>
              </w:rPr>
              <w:t>.</w:t>
            </w:r>
          </w:p>
        </w:tc>
        <w:tc>
          <w:tcPr>
            <w:tcW w:w="0" w:type="auto"/>
            <w:hideMark/>
          </w:tcPr>
          <w:p w14:paraId="69BBF3AA"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التعريفات الإجرائية للمتغيرات في الفصل الأول، كما تم بيان أبعاد كل متغير وفقراته عند وصف أداة الدراسة في الفصل الثالث، لذا رُئي عدم إعادة عرضها في جدول مستقل لتجنب التكرار</w:t>
            </w:r>
            <w:r w:rsidRPr="00675801">
              <w:rPr>
                <w:rFonts w:ascii="Traditional Arabic" w:hAnsi="Traditional Arabic" w:cs="Traditional Arabic"/>
                <w:sz w:val="32"/>
                <w:szCs w:val="32"/>
                <w:highlight w:val="yellow"/>
                <w:lang w:val="en-US"/>
              </w:rPr>
              <w:t>.</w:t>
            </w:r>
          </w:p>
        </w:tc>
      </w:tr>
      <w:tr w:rsidR="00675801" w:rsidRPr="00675801" w14:paraId="38BAC084" w14:textId="77777777" w:rsidTr="00675801">
        <w:tc>
          <w:tcPr>
            <w:tcW w:w="0" w:type="auto"/>
            <w:hideMark/>
          </w:tcPr>
          <w:p w14:paraId="3DADE1FE"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إجراء التحليل العاملي الاستكشافي</w:t>
            </w:r>
            <w:r w:rsidRPr="00675801">
              <w:rPr>
                <w:rFonts w:ascii="Traditional Arabic" w:hAnsi="Traditional Arabic" w:cs="Traditional Arabic"/>
                <w:b/>
                <w:bCs/>
                <w:sz w:val="32"/>
                <w:szCs w:val="32"/>
                <w:highlight w:val="yellow"/>
                <w:lang w:val="en-US"/>
              </w:rPr>
              <w:t xml:space="preserve"> (EFA).</w:t>
            </w:r>
          </w:p>
        </w:tc>
        <w:tc>
          <w:tcPr>
            <w:tcW w:w="0" w:type="auto"/>
            <w:hideMark/>
          </w:tcPr>
          <w:p w14:paraId="52C3B31A"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أداة الدراسة لم تُبنَ من الصفر، وإنما استندت إلى مقاييس سبق استخدامها والتحقق من خصائصها السيكومترية في دراسات سابقة، مع إجراء تعديلات محدودة تتناسب مع بيئة الدراسة. لذلك تم الاكتفاء بإجراءات الصدق والثبات المناسبة لطبيعة الدراسة والمنهج المستخدم</w:t>
            </w:r>
            <w:r w:rsidRPr="00675801">
              <w:rPr>
                <w:rFonts w:ascii="Traditional Arabic" w:hAnsi="Traditional Arabic" w:cs="Traditional Arabic"/>
                <w:sz w:val="32"/>
                <w:szCs w:val="32"/>
                <w:highlight w:val="yellow"/>
                <w:lang w:val="en-US"/>
              </w:rPr>
              <w:t>.</w:t>
            </w:r>
          </w:p>
        </w:tc>
      </w:tr>
      <w:tr w:rsidR="00675801" w:rsidRPr="00675801" w14:paraId="38F3036A" w14:textId="77777777" w:rsidTr="00675801">
        <w:tc>
          <w:tcPr>
            <w:tcW w:w="0" w:type="auto"/>
            <w:hideMark/>
          </w:tcPr>
          <w:p w14:paraId="6F785A26"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مؤشرات الصدق التقاربي والصدق التمييزي</w:t>
            </w:r>
            <w:r w:rsidRPr="00675801">
              <w:rPr>
                <w:rFonts w:ascii="Traditional Arabic" w:hAnsi="Traditional Arabic" w:cs="Traditional Arabic"/>
                <w:b/>
                <w:bCs/>
                <w:sz w:val="32"/>
                <w:szCs w:val="32"/>
                <w:highlight w:val="yellow"/>
                <w:lang w:val="en-US"/>
              </w:rPr>
              <w:t>.</w:t>
            </w:r>
          </w:p>
        </w:tc>
        <w:tc>
          <w:tcPr>
            <w:tcW w:w="0" w:type="auto"/>
            <w:hideMark/>
          </w:tcPr>
          <w:p w14:paraId="7727479B"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تعتمد الدراسة على المنهج الوصفي التحليلي باستخدام برنامج</w:t>
            </w:r>
            <w:r w:rsidRPr="00675801">
              <w:rPr>
                <w:rFonts w:ascii="Traditional Arabic" w:hAnsi="Traditional Arabic" w:cs="Traditional Arabic"/>
                <w:sz w:val="32"/>
                <w:szCs w:val="32"/>
                <w:highlight w:val="yellow"/>
                <w:lang w:val="en-US"/>
              </w:rPr>
              <w:t xml:space="preserve"> (SPSS) </w:t>
            </w:r>
            <w:r w:rsidRPr="00675801">
              <w:rPr>
                <w:rFonts w:ascii="Traditional Arabic" w:hAnsi="Traditional Arabic" w:cs="Traditional Arabic"/>
                <w:sz w:val="32"/>
                <w:szCs w:val="32"/>
                <w:highlight w:val="yellow"/>
                <w:rtl/>
                <w:lang w:val="en-US"/>
              </w:rPr>
              <w:t>وتحليل الانحدار المتعدد، ولا تعتمد نمذجة المعادلات البنائية</w:t>
            </w:r>
            <w:r w:rsidRPr="00675801">
              <w:rPr>
                <w:rFonts w:ascii="Traditional Arabic" w:hAnsi="Traditional Arabic" w:cs="Traditional Arabic"/>
                <w:sz w:val="32"/>
                <w:szCs w:val="32"/>
                <w:highlight w:val="yellow"/>
                <w:lang w:val="en-US"/>
              </w:rPr>
              <w:t xml:space="preserve"> (SEM </w:t>
            </w:r>
            <w:r w:rsidRPr="00675801">
              <w:rPr>
                <w:rFonts w:ascii="Traditional Arabic" w:hAnsi="Traditional Arabic" w:cs="Traditional Arabic"/>
                <w:sz w:val="32"/>
                <w:szCs w:val="32"/>
                <w:highlight w:val="yellow"/>
                <w:rtl/>
                <w:lang w:val="en-US"/>
              </w:rPr>
              <w:t>أو</w:t>
            </w:r>
            <w:r w:rsidRPr="00675801">
              <w:rPr>
                <w:rFonts w:ascii="Traditional Arabic" w:hAnsi="Traditional Arabic" w:cs="Traditional Arabic"/>
                <w:sz w:val="32"/>
                <w:szCs w:val="32"/>
                <w:highlight w:val="yellow"/>
                <w:lang w:val="en-US"/>
              </w:rPr>
              <w:t xml:space="preserve"> PLS-SEM)</w:t>
            </w:r>
            <w:r w:rsidRPr="00675801">
              <w:rPr>
                <w:rFonts w:ascii="Traditional Arabic" w:hAnsi="Traditional Arabic" w:cs="Traditional Arabic"/>
                <w:sz w:val="32"/>
                <w:szCs w:val="32"/>
                <w:highlight w:val="yellow"/>
                <w:rtl/>
                <w:lang w:val="en-US"/>
              </w:rPr>
              <w:t>، لذا لا تُعد هذه المؤشرات من المتطلبات المنهجية الأساسية لهذا النوع من الدراسات</w:t>
            </w:r>
            <w:r w:rsidRPr="00675801">
              <w:rPr>
                <w:rFonts w:ascii="Traditional Arabic" w:hAnsi="Traditional Arabic" w:cs="Traditional Arabic"/>
                <w:sz w:val="32"/>
                <w:szCs w:val="32"/>
                <w:highlight w:val="yellow"/>
                <w:lang w:val="en-US"/>
              </w:rPr>
              <w:t>.</w:t>
            </w:r>
          </w:p>
        </w:tc>
      </w:tr>
      <w:tr w:rsidR="00675801" w:rsidRPr="00675801" w14:paraId="10215360" w14:textId="77777777" w:rsidTr="00675801">
        <w:tc>
          <w:tcPr>
            <w:tcW w:w="0" w:type="auto"/>
            <w:hideMark/>
          </w:tcPr>
          <w:p w14:paraId="5DD6C7F5"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التوسع في عرض جميع افتراضات تحليل الانحدار في الفصل الثالث</w:t>
            </w:r>
            <w:r w:rsidRPr="00675801">
              <w:rPr>
                <w:rFonts w:ascii="Traditional Arabic" w:hAnsi="Traditional Arabic" w:cs="Traditional Arabic"/>
                <w:b/>
                <w:bCs/>
                <w:sz w:val="32"/>
                <w:szCs w:val="32"/>
                <w:highlight w:val="yellow"/>
                <w:lang w:val="en-US"/>
              </w:rPr>
              <w:t>.</w:t>
            </w:r>
          </w:p>
        </w:tc>
        <w:tc>
          <w:tcPr>
            <w:tcW w:w="0" w:type="auto"/>
            <w:hideMark/>
          </w:tcPr>
          <w:p w14:paraId="13C1E2AA"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أساليب التحليل الإحصائي التي سيتم استخدامها، بينما تُعد نتائج التحقق من افتراضات الانحدار جزءًا من تطبيق التحليل على بيانات الدراسة، ويكون عرضها أكثر ملاءمة ضمن الفصل الرابع عند مناقشة النتائج الفعلية</w:t>
            </w:r>
            <w:r w:rsidRPr="00675801">
              <w:rPr>
                <w:rFonts w:ascii="Traditional Arabic" w:hAnsi="Traditional Arabic" w:cs="Traditional Arabic"/>
                <w:sz w:val="32"/>
                <w:szCs w:val="32"/>
                <w:highlight w:val="yellow"/>
                <w:lang w:val="en-US"/>
              </w:rPr>
              <w:t>.</w:t>
            </w:r>
          </w:p>
        </w:tc>
      </w:tr>
      <w:tr w:rsidR="00675801" w:rsidRPr="00675801" w14:paraId="4339409F" w14:textId="77777777" w:rsidTr="00675801">
        <w:tc>
          <w:tcPr>
            <w:tcW w:w="0" w:type="auto"/>
            <w:hideMark/>
          </w:tcPr>
          <w:p w14:paraId="69884584"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جدول يربط أسئلة الدراسة وفرضياتها بالاختبارات الإحصائية</w:t>
            </w:r>
            <w:r w:rsidRPr="00675801">
              <w:rPr>
                <w:rFonts w:ascii="Traditional Arabic" w:hAnsi="Traditional Arabic" w:cs="Traditional Arabic"/>
                <w:b/>
                <w:bCs/>
                <w:sz w:val="32"/>
                <w:szCs w:val="32"/>
                <w:highlight w:val="yellow"/>
                <w:lang w:val="en-US"/>
              </w:rPr>
              <w:t>.</w:t>
            </w:r>
          </w:p>
        </w:tc>
        <w:tc>
          <w:tcPr>
            <w:tcW w:w="0" w:type="auto"/>
            <w:hideMark/>
          </w:tcPr>
          <w:p w14:paraId="2BDFC946"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أساليب التحليل الإحصائي المستخدمة وربطها بأهداف الدراسة وفرضياتها ضمن وصف إجراءات التحليل، ويُعد الجدول المقترح وسيلة تنظيمية إضافية وليس متطلبًا منهجيًا إلزاميًا، لذا لم تتم إضافته</w:t>
            </w:r>
            <w:r w:rsidRPr="00675801">
              <w:rPr>
                <w:rFonts w:ascii="Traditional Arabic" w:hAnsi="Traditional Arabic" w:cs="Traditional Arabic"/>
                <w:sz w:val="32"/>
                <w:szCs w:val="32"/>
                <w:highlight w:val="yellow"/>
                <w:lang w:val="en-US"/>
              </w:rPr>
              <w:t>.</w:t>
            </w:r>
          </w:p>
        </w:tc>
      </w:tr>
    </w:tbl>
    <w:p w14:paraId="0670E477" w14:textId="77777777" w:rsidR="00675801" w:rsidRPr="00675801" w:rsidRDefault="00675801" w:rsidP="00675801">
      <w:pPr>
        <w:bidi/>
        <w:spacing w:line="360" w:lineRule="auto"/>
        <w:jc w:val="both"/>
        <w:rPr>
          <w:rFonts w:ascii="Traditional Arabic" w:hAnsi="Traditional Arabic" w:cs="Traditional Arabic"/>
          <w:sz w:val="32"/>
          <w:szCs w:val="32"/>
          <w:lang w:val="en-US"/>
        </w:rPr>
      </w:pPr>
    </w:p>
    <w:sectPr w:rsidR="00675801" w:rsidRPr="00675801"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711D"/>
    <w:multiLevelType w:val="multilevel"/>
    <w:tmpl w:val="4D2C0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5556E8"/>
    <w:multiLevelType w:val="multilevel"/>
    <w:tmpl w:val="9E605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C21594"/>
    <w:multiLevelType w:val="multilevel"/>
    <w:tmpl w:val="E0BC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959C1"/>
    <w:multiLevelType w:val="multilevel"/>
    <w:tmpl w:val="FA3EE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047AA8"/>
    <w:multiLevelType w:val="multilevel"/>
    <w:tmpl w:val="86E0C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CF689A"/>
    <w:multiLevelType w:val="multilevel"/>
    <w:tmpl w:val="671AE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2110CB"/>
    <w:multiLevelType w:val="multilevel"/>
    <w:tmpl w:val="EEA60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A7203A"/>
    <w:multiLevelType w:val="multilevel"/>
    <w:tmpl w:val="211C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5462359">
    <w:abstractNumId w:val="5"/>
  </w:num>
  <w:num w:numId="2" w16cid:durableId="554317967">
    <w:abstractNumId w:val="6"/>
  </w:num>
  <w:num w:numId="3" w16cid:durableId="289364127">
    <w:abstractNumId w:val="2"/>
  </w:num>
  <w:num w:numId="4" w16cid:durableId="1095635445">
    <w:abstractNumId w:val="7"/>
  </w:num>
  <w:num w:numId="5" w16cid:durableId="1639648246">
    <w:abstractNumId w:val="4"/>
  </w:num>
  <w:num w:numId="6" w16cid:durableId="1500343250">
    <w:abstractNumId w:val="0"/>
  </w:num>
  <w:num w:numId="7" w16cid:durableId="872766135">
    <w:abstractNumId w:val="3"/>
  </w:num>
  <w:num w:numId="8" w16cid:durableId="257061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1A95"/>
    <w:rsid w:val="001E4DDA"/>
    <w:rsid w:val="00313D61"/>
    <w:rsid w:val="00352032"/>
    <w:rsid w:val="00365907"/>
    <w:rsid w:val="0058077E"/>
    <w:rsid w:val="005B1DF7"/>
    <w:rsid w:val="00651A95"/>
    <w:rsid w:val="00675801"/>
    <w:rsid w:val="00692479"/>
    <w:rsid w:val="007419CC"/>
    <w:rsid w:val="009E4789"/>
    <w:rsid w:val="00B90E80"/>
    <w:rsid w:val="00BB7B09"/>
    <w:rsid w:val="00E30A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DC86B"/>
  <w15:docId w15:val="{1258687F-333D-6C48-ADD7-858914665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2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4528">
      <w:bodyDiv w:val="1"/>
      <w:marLeft w:val="0"/>
      <w:marRight w:val="0"/>
      <w:marTop w:val="0"/>
      <w:marBottom w:val="0"/>
      <w:divBdr>
        <w:top w:val="none" w:sz="0" w:space="0" w:color="auto"/>
        <w:left w:val="none" w:sz="0" w:space="0" w:color="auto"/>
        <w:bottom w:val="none" w:sz="0" w:space="0" w:color="auto"/>
        <w:right w:val="none" w:sz="0" w:space="0" w:color="auto"/>
      </w:divBdr>
    </w:div>
    <w:div w:id="81924515">
      <w:bodyDiv w:val="1"/>
      <w:marLeft w:val="0"/>
      <w:marRight w:val="0"/>
      <w:marTop w:val="0"/>
      <w:marBottom w:val="0"/>
      <w:divBdr>
        <w:top w:val="none" w:sz="0" w:space="0" w:color="auto"/>
        <w:left w:val="none" w:sz="0" w:space="0" w:color="auto"/>
        <w:bottom w:val="none" w:sz="0" w:space="0" w:color="auto"/>
        <w:right w:val="none" w:sz="0" w:space="0" w:color="auto"/>
      </w:divBdr>
    </w:div>
    <w:div w:id="85421963">
      <w:bodyDiv w:val="1"/>
      <w:marLeft w:val="0"/>
      <w:marRight w:val="0"/>
      <w:marTop w:val="0"/>
      <w:marBottom w:val="0"/>
      <w:divBdr>
        <w:top w:val="none" w:sz="0" w:space="0" w:color="auto"/>
        <w:left w:val="none" w:sz="0" w:space="0" w:color="auto"/>
        <w:bottom w:val="none" w:sz="0" w:space="0" w:color="auto"/>
        <w:right w:val="none" w:sz="0" w:space="0" w:color="auto"/>
      </w:divBdr>
    </w:div>
    <w:div w:id="96606542">
      <w:bodyDiv w:val="1"/>
      <w:marLeft w:val="0"/>
      <w:marRight w:val="0"/>
      <w:marTop w:val="0"/>
      <w:marBottom w:val="0"/>
      <w:divBdr>
        <w:top w:val="none" w:sz="0" w:space="0" w:color="auto"/>
        <w:left w:val="none" w:sz="0" w:space="0" w:color="auto"/>
        <w:bottom w:val="none" w:sz="0" w:space="0" w:color="auto"/>
        <w:right w:val="none" w:sz="0" w:space="0" w:color="auto"/>
      </w:divBdr>
    </w:div>
    <w:div w:id="313031030">
      <w:bodyDiv w:val="1"/>
      <w:marLeft w:val="0"/>
      <w:marRight w:val="0"/>
      <w:marTop w:val="0"/>
      <w:marBottom w:val="0"/>
      <w:divBdr>
        <w:top w:val="none" w:sz="0" w:space="0" w:color="auto"/>
        <w:left w:val="none" w:sz="0" w:space="0" w:color="auto"/>
        <w:bottom w:val="none" w:sz="0" w:space="0" w:color="auto"/>
        <w:right w:val="none" w:sz="0" w:space="0" w:color="auto"/>
      </w:divBdr>
    </w:div>
    <w:div w:id="385106273">
      <w:bodyDiv w:val="1"/>
      <w:marLeft w:val="0"/>
      <w:marRight w:val="0"/>
      <w:marTop w:val="0"/>
      <w:marBottom w:val="0"/>
      <w:divBdr>
        <w:top w:val="none" w:sz="0" w:space="0" w:color="auto"/>
        <w:left w:val="none" w:sz="0" w:space="0" w:color="auto"/>
        <w:bottom w:val="none" w:sz="0" w:space="0" w:color="auto"/>
        <w:right w:val="none" w:sz="0" w:space="0" w:color="auto"/>
      </w:divBdr>
    </w:div>
    <w:div w:id="405227420">
      <w:bodyDiv w:val="1"/>
      <w:marLeft w:val="0"/>
      <w:marRight w:val="0"/>
      <w:marTop w:val="0"/>
      <w:marBottom w:val="0"/>
      <w:divBdr>
        <w:top w:val="none" w:sz="0" w:space="0" w:color="auto"/>
        <w:left w:val="none" w:sz="0" w:space="0" w:color="auto"/>
        <w:bottom w:val="none" w:sz="0" w:space="0" w:color="auto"/>
        <w:right w:val="none" w:sz="0" w:space="0" w:color="auto"/>
      </w:divBdr>
    </w:div>
    <w:div w:id="416025882">
      <w:bodyDiv w:val="1"/>
      <w:marLeft w:val="0"/>
      <w:marRight w:val="0"/>
      <w:marTop w:val="0"/>
      <w:marBottom w:val="0"/>
      <w:divBdr>
        <w:top w:val="none" w:sz="0" w:space="0" w:color="auto"/>
        <w:left w:val="none" w:sz="0" w:space="0" w:color="auto"/>
        <w:bottom w:val="none" w:sz="0" w:space="0" w:color="auto"/>
        <w:right w:val="none" w:sz="0" w:space="0" w:color="auto"/>
      </w:divBdr>
    </w:div>
    <w:div w:id="423385867">
      <w:bodyDiv w:val="1"/>
      <w:marLeft w:val="0"/>
      <w:marRight w:val="0"/>
      <w:marTop w:val="0"/>
      <w:marBottom w:val="0"/>
      <w:divBdr>
        <w:top w:val="none" w:sz="0" w:space="0" w:color="auto"/>
        <w:left w:val="none" w:sz="0" w:space="0" w:color="auto"/>
        <w:bottom w:val="none" w:sz="0" w:space="0" w:color="auto"/>
        <w:right w:val="none" w:sz="0" w:space="0" w:color="auto"/>
      </w:divBdr>
    </w:div>
    <w:div w:id="490872222">
      <w:bodyDiv w:val="1"/>
      <w:marLeft w:val="0"/>
      <w:marRight w:val="0"/>
      <w:marTop w:val="0"/>
      <w:marBottom w:val="0"/>
      <w:divBdr>
        <w:top w:val="none" w:sz="0" w:space="0" w:color="auto"/>
        <w:left w:val="none" w:sz="0" w:space="0" w:color="auto"/>
        <w:bottom w:val="none" w:sz="0" w:space="0" w:color="auto"/>
        <w:right w:val="none" w:sz="0" w:space="0" w:color="auto"/>
      </w:divBdr>
    </w:div>
    <w:div w:id="592206283">
      <w:bodyDiv w:val="1"/>
      <w:marLeft w:val="0"/>
      <w:marRight w:val="0"/>
      <w:marTop w:val="0"/>
      <w:marBottom w:val="0"/>
      <w:divBdr>
        <w:top w:val="none" w:sz="0" w:space="0" w:color="auto"/>
        <w:left w:val="none" w:sz="0" w:space="0" w:color="auto"/>
        <w:bottom w:val="none" w:sz="0" w:space="0" w:color="auto"/>
        <w:right w:val="none" w:sz="0" w:space="0" w:color="auto"/>
      </w:divBdr>
    </w:div>
    <w:div w:id="646982477">
      <w:bodyDiv w:val="1"/>
      <w:marLeft w:val="0"/>
      <w:marRight w:val="0"/>
      <w:marTop w:val="0"/>
      <w:marBottom w:val="0"/>
      <w:divBdr>
        <w:top w:val="none" w:sz="0" w:space="0" w:color="auto"/>
        <w:left w:val="none" w:sz="0" w:space="0" w:color="auto"/>
        <w:bottom w:val="none" w:sz="0" w:space="0" w:color="auto"/>
        <w:right w:val="none" w:sz="0" w:space="0" w:color="auto"/>
      </w:divBdr>
    </w:div>
    <w:div w:id="650523768">
      <w:bodyDiv w:val="1"/>
      <w:marLeft w:val="0"/>
      <w:marRight w:val="0"/>
      <w:marTop w:val="0"/>
      <w:marBottom w:val="0"/>
      <w:divBdr>
        <w:top w:val="none" w:sz="0" w:space="0" w:color="auto"/>
        <w:left w:val="none" w:sz="0" w:space="0" w:color="auto"/>
        <w:bottom w:val="none" w:sz="0" w:space="0" w:color="auto"/>
        <w:right w:val="none" w:sz="0" w:space="0" w:color="auto"/>
      </w:divBdr>
    </w:div>
    <w:div w:id="803356422">
      <w:bodyDiv w:val="1"/>
      <w:marLeft w:val="0"/>
      <w:marRight w:val="0"/>
      <w:marTop w:val="0"/>
      <w:marBottom w:val="0"/>
      <w:divBdr>
        <w:top w:val="none" w:sz="0" w:space="0" w:color="auto"/>
        <w:left w:val="none" w:sz="0" w:space="0" w:color="auto"/>
        <w:bottom w:val="none" w:sz="0" w:space="0" w:color="auto"/>
        <w:right w:val="none" w:sz="0" w:space="0" w:color="auto"/>
      </w:divBdr>
    </w:div>
    <w:div w:id="965770207">
      <w:bodyDiv w:val="1"/>
      <w:marLeft w:val="0"/>
      <w:marRight w:val="0"/>
      <w:marTop w:val="0"/>
      <w:marBottom w:val="0"/>
      <w:divBdr>
        <w:top w:val="none" w:sz="0" w:space="0" w:color="auto"/>
        <w:left w:val="none" w:sz="0" w:space="0" w:color="auto"/>
        <w:bottom w:val="none" w:sz="0" w:space="0" w:color="auto"/>
        <w:right w:val="none" w:sz="0" w:space="0" w:color="auto"/>
      </w:divBdr>
    </w:div>
    <w:div w:id="1071653579">
      <w:bodyDiv w:val="1"/>
      <w:marLeft w:val="0"/>
      <w:marRight w:val="0"/>
      <w:marTop w:val="0"/>
      <w:marBottom w:val="0"/>
      <w:divBdr>
        <w:top w:val="none" w:sz="0" w:space="0" w:color="auto"/>
        <w:left w:val="none" w:sz="0" w:space="0" w:color="auto"/>
        <w:bottom w:val="none" w:sz="0" w:space="0" w:color="auto"/>
        <w:right w:val="none" w:sz="0" w:space="0" w:color="auto"/>
      </w:divBdr>
    </w:div>
    <w:div w:id="1145388413">
      <w:bodyDiv w:val="1"/>
      <w:marLeft w:val="0"/>
      <w:marRight w:val="0"/>
      <w:marTop w:val="0"/>
      <w:marBottom w:val="0"/>
      <w:divBdr>
        <w:top w:val="none" w:sz="0" w:space="0" w:color="auto"/>
        <w:left w:val="none" w:sz="0" w:space="0" w:color="auto"/>
        <w:bottom w:val="none" w:sz="0" w:space="0" w:color="auto"/>
        <w:right w:val="none" w:sz="0" w:space="0" w:color="auto"/>
      </w:divBdr>
    </w:div>
    <w:div w:id="1280452379">
      <w:bodyDiv w:val="1"/>
      <w:marLeft w:val="0"/>
      <w:marRight w:val="0"/>
      <w:marTop w:val="0"/>
      <w:marBottom w:val="0"/>
      <w:divBdr>
        <w:top w:val="none" w:sz="0" w:space="0" w:color="auto"/>
        <w:left w:val="none" w:sz="0" w:space="0" w:color="auto"/>
        <w:bottom w:val="none" w:sz="0" w:space="0" w:color="auto"/>
        <w:right w:val="none" w:sz="0" w:space="0" w:color="auto"/>
      </w:divBdr>
    </w:div>
    <w:div w:id="1483278561">
      <w:bodyDiv w:val="1"/>
      <w:marLeft w:val="0"/>
      <w:marRight w:val="0"/>
      <w:marTop w:val="0"/>
      <w:marBottom w:val="0"/>
      <w:divBdr>
        <w:top w:val="none" w:sz="0" w:space="0" w:color="auto"/>
        <w:left w:val="none" w:sz="0" w:space="0" w:color="auto"/>
        <w:bottom w:val="none" w:sz="0" w:space="0" w:color="auto"/>
        <w:right w:val="none" w:sz="0" w:space="0" w:color="auto"/>
      </w:divBdr>
    </w:div>
    <w:div w:id="196603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4182</Words>
  <Characters>23842</Characters>
  <Application>Microsoft Office Word</Application>
  <DocSecurity>0</DocSecurity>
  <Lines>198</Lines>
  <Paragraphs>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Atif Bokhari</cp:lastModifiedBy>
  <cp:revision>2</cp:revision>
  <dcterms:created xsi:type="dcterms:W3CDTF">2026-07-21T12:05:00Z</dcterms:created>
  <dcterms:modified xsi:type="dcterms:W3CDTF">2026-07-21T12:05:00Z</dcterms:modified>
</cp:coreProperties>
</file>