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BF1DD" w14:textId="447D1B46" w:rsidR="009B19A5" w:rsidRDefault="00976293" w:rsidP="00E44E8D">
      <w:pPr>
        <w:pStyle w:val="Heading1"/>
      </w:pPr>
      <w:bookmarkStart w:id="0" w:name="_Toc223634742"/>
      <w:r w:rsidRPr="004132BA">
        <w:t>Chapter 1</w:t>
      </w:r>
      <w:bookmarkEnd w:id="0"/>
    </w:p>
    <w:p w14:paraId="759A847E" w14:textId="48D4A572" w:rsidR="00976293" w:rsidRPr="004132BA" w:rsidRDefault="00B471AF" w:rsidP="00AC6804">
      <w:pPr>
        <w:pStyle w:val="Heading1"/>
      </w:pPr>
      <w:bookmarkStart w:id="1" w:name="_Toc223634743"/>
      <w:r w:rsidRPr="004132BA">
        <w:t>The General Framework</w:t>
      </w:r>
      <w:bookmarkEnd w:id="1"/>
    </w:p>
    <w:p w14:paraId="1B82E8A8" w14:textId="07C949F8" w:rsidR="00BD42D9" w:rsidRPr="004132BA" w:rsidRDefault="00976293" w:rsidP="00863FB5">
      <w:pPr>
        <w:pStyle w:val="Heading2"/>
      </w:pPr>
      <w:bookmarkStart w:id="2" w:name="_Toc223634744"/>
      <w:r w:rsidRPr="004132BA">
        <w:t xml:space="preserve">1.1 </w:t>
      </w:r>
      <w:r w:rsidR="00BD42D9" w:rsidRPr="004132BA">
        <w:t>Introduction:</w:t>
      </w:r>
      <w:bookmarkEnd w:id="2"/>
    </w:p>
    <w:p w14:paraId="691DAD94" w14:textId="4CB7F7CB" w:rsidR="00461A09" w:rsidRPr="00461A09" w:rsidRDefault="00461A09" w:rsidP="00260F35">
      <w:pPr>
        <w:spacing w:line="360" w:lineRule="auto"/>
        <w:rPr>
          <w:rFonts w:ascii="Times New Roman" w:hAnsi="Times New Roman" w:cs="Times New Roman"/>
          <w:szCs w:val="24"/>
        </w:rPr>
      </w:pPr>
      <w:r w:rsidRPr="00461A09">
        <w:rPr>
          <w:rFonts w:ascii="Times New Roman" w:hAnsi="Times New Roman" w:cs="Times New Roman"/>
          <w:szCs w:val="24"/>
        </w:rPr>
        <w:t>Risk management in many organizations has evolved significantly over the past two decades. What was once treated primarily as a compliance requirement or reporting obligation is now increasingly viewed as a governance discipline that directly influences decision</w:t>
      </w:r>
      <w:r>
        <w:rPr>
          <w:rFonts w:ascii="Times New Roman" w:hAnsi="Times New Roman" w:cs="Times New Roman"/>
          <w:szCs w:val="24"/>
        </w:rPr>
        <w:t xml:space="preserve"> </w:t>
      </w:r>
      <w:r w:rsidRPr="00461A09">
        <w:rPr>
          <w:rFonts w:ascii="Times New Roman" w:hAnsi="Times New Roman" w:cs="Times New Roman"/>
          <w:szCs w:val="24"/>
        </w:rPr>
        <w:t>making, accountability, and organizational resilience</w:t>
      </w:r>
      <w:r w:rsidR="00307EB3">
        <w:rPr>
          <w:rFonts w:ascii="Times New Roman" w:hAnsi="Times New Roman" w:cs="Times New Roman"/>
          <w:szCs w:val="24"/>
        </w:rPr>
        <w:t xml:space="preserve"> (COSO, 2017; Power, 2016)</w:t>
      </w:r>
      <w:r w:rsidRPr="00461A09">
        <w:rPr>
          <w:rFonts w:ascii="Times New Roman" w:hAnsi="Times New Roman" w:cs="Times New Roman"/>
          <w:szCs w:val="24"/>
        </w:rPr>
        <w:t>. Despite this evolution, a persistent challenge remains that organizations may formally adopt sophisticated Enterprise Risk Management (ERM) frameworks, yet the practical application of these frameworks often depends on how people understand, interpret, and engage with risk in their daily responsibilities.</w:t>
      </w:r>
    </w:p>
    <w:p w14:paraId="3217DC00" w14:textId="2ACEE1C0" w:rsidR="00461A09" w:rsidRPr="00461A09" w:rsidRDefault="00461A09" w:rsidP="00260F35">
      <w:pPr>
        <w:spacing w:line="360" w:lineRule="auto"/>
        <w:rPr>
          <w:rFonts w:ascii="Times New Roman" w:hAnsi="Times New Roman" w:cs="Times New Roman"/>
          <w:szCs w:val="24"/>
        </w:rPr>
      </w:pPr>
      <w:r w:rsidRPr="00461A09">
        <w:rPr>
          <w:rFonts w:ascii="Times New Roman" w:hAnsi="Times New Roman" w:cs="Times New Roman"/>
          <w:szCs w:val="24"/>
        </w:rPr>
        <w:t>Within Shared Services Organizations (SSOs), this challenge becomes even more pronounced. Shared Services structures are designed to centralize multiple functions</w:t>
      </w:r>
      <w:r>
        <w:rPr>
          <w:rFonts w:ascii="Times New Roman" w:hAnsi="Times New Roman" w:cs="Times New Roman"/>
          <w:szCs w:val="24"/>
        </w:rPr>
        <w:t xml:space="preserve">, </w:t>
      </w:r>
      <w:r w:rsidRPr="00461A09">
        <w:rPr>
          <w:rFonts w:ascii="Times New Roman" w:hAnsi="Times New Roman" w:cs="Times New Roman"/>
          <w:szCs w:val="24"/>
        </w:rPr>
        <w:t xml:space="preserve">such as information technology, procurement, facility management, digital transformation, cybersecurity, and planning </w:t>
      </w:r>
      <w:r>
        <w:rPr>
          <w:rFonts w:ascii="Times New Roman" w:hAnsi="Times New Roman" w:cs="Times New Roman"/>
          <w:szCs w:val="24"/>
        </w:rPr>
        <w:t>&amp;</w:t>
      </w:r>
      <w:r w:rsidRPr="00461A09">
        <w:rPr>
          <w:rFonts w:ascii="Times New Roman" w:hAnsi="Times New Roman" w:cs="Times New Roman"/>
          <w:szCs w:val="24"/>
        </w:rPr>
        <w:t xml:space="preserve"> control</w:t>
      </w:r>
      <w:r>
        <w:rPr>
          <w:rFonts w:ascii="Times New Roman" w:hAnsi="Times New Roman" w:cs="Times New Roman"/>
          <w:szCs w:val="24"/>
        </w:rPr>
        <w:t xml:space="preserve">, </w:t>
      </w:r>
      <w:r w:rsidRPr="00461A09">
        <w:rPr>
          <w:rFonts w:ascii="Times New Roman" w:hAnsi="Times New Roman" w:cs="Times New Roman"/>
          <w:szCs w:val="24"/>
        </w:rPr>
        <w:t>under one operational umbrella. While this model enhances efficiency and standardization, it also creates structural complexity. Risk ownership may become diffused across functions, accountability may appear shared rather than clearly assigned, and the practical meaning of “risk responsibility” may vary across managerial levels.</w:t>
      </w:r>
    </w:p>
    <w:p w14:paraId="6DFBF1DA" w14:textId="60EA6920" w:rsidR="00461A09" w:rsidRPr="00461A09" w:rsidRDefault="00461A09" w:rsidP="00260F35">
      <w:pPr>
        <w:spacing w:line="360" w:lineRule="auto"/>
        <w:rPr>
          <w:rFonts w:ascii="Times New Roman" w:hAnsi="Times New Roman" w:cs="Times New Roman"/>
          <w:szCs w:val="24"/>
        </w:rPr>
      </w:pPr>
      <w:r w:rsidRPr="00461A09">
        <w:rPr>
          <w:rFonts w:ascii="Times New Roman" w:hAnsi="Times New Roman" w:cs="Times New Roman"/>
          <w:szCs w:val="24"/>
        </w:rPr>
        <w:t>In such environments, risk culture becomes a decisive factor. Risk culture is not merely a written policy or a formal framework; it reflects how individuals perceive risk, whether they feel responsible for identifying it, and whether they are confident enough to escalate concerns proactively</w:t>
      </w:r>
      <w:r w:rsidR="00307EB3">
        <w:rPr>
          <w:rFonts w:ascii="Times New Roman" w:hAnsi="Times New Roman" w:cs="Times New Roman"/>
          <w:szCs w:val="24"/>
        </w:rPr>
        <w:t xml:space="preserve"> (Power, 2016; Sheedy &amp; Griffin, 2018)</w:t>
      </w:r>
      <w:r w:rsidRPr="00461A09">
        <w:rPr>
          <w:rFonts w:ascii="Times New Roman" w:hAnsi="Times New Roman" w:cs="Times New Roman"/>
          <w:szCs w:val="24"/>
        </w:rPr>
        <w:t>. An organization may claim to have an ERM framework in place, but the real test lies in whether employees at different levels internalize risk thinking as part of their operational behavior.</w:t>
      </w:r>
    </w:p>
    <w:p w14:paraId="6A62AEF0" w14:textId="7688AA85" w:rsidR="00461A09" w:rsidRPr="00461A09" w:rsidRDefault="00461A09" w:rsidP="00260F35">
      <w:pPr>
        <w:spacing w:line="360" w:lineRule="auto"/>
        <w:rPr>
          <w:rFonts w:ascii="Times New Roman" w:hAnsi="Times New Roman" w:cs="Times New Roman"/>
          <w:szCs w:val="24"/>
        </w:rPr>
      </w:pPr>
      <w:r w:rsidRPr="00461A09">
        <w:rPr>
          <w:rFonts w:ascii="Times New Roman" w:hAnsi="Times New Roman" w:cs="Times New Roman"/>
          <w:szCs w:val="24"/>
        </w:rPr>
        <w:t>The implementation of Bottom-Up Risk Assessment (BURA) represents one attempt to operationalize participatory engagement in risk management. Unlike purely top-down risk identification exercises, BURA requires employees across functions to actively identify uncertainties, assess potential impacts, and discuss mitigation strategies. The underlying assumption of this approach is that involvement enhances ownership. When individuals participate in defining risks, they are more likely to feel accountable for managing them</w:t>
      </w:r>
      <w:r w:rsidR="00307EB3">
        <w:rPr>
          <w:rFonts w:ascii="Times New Roman" w:hAnsi="Times New Roman" w:cs="Times New Roman"/>
          <w:szCs w:val="24"/>
        </w:rPr>
        <w:t xml:space="preserve"> (</w:t>
      </w:r>
      <w:r w:rsidR="00DF5953">
        <w:rPr>
          <w:rFonts w:ascii="Times New Roman" w:hAnsi="Times New Roman" w:cs="Times New Roman"/>
          <w:szCs w:val="24"/>
        </w:rPr>
        <w:t>Agarwal et al. 2019; Mikes &amp; Kaplan 2015)</w:t>
      </w:r>
      <w:r w:rsidRPr="00461A09">
        <w:rPr>
          <w:rFonts w:ascii="Times New Roman" w:hAnsi="Times New Roman" w:cs="Times New Roman"/>
          <w:szCs w:val="24"/>
        </w:rPr>
        <w:t>.</w:t>
      </w:r>
    </w:p>
    <w:p w14:paraId="7291BD3E" w14:textId="3D4D8D8A" w:rsidR="00461A09" w:rsidRPr="00461A09" w:rsidRDefault="00461A09" w:rsidP="00260F35">
      <w:pPr>
        <w:spacing w:line="360" w:lineRule="auto"/>
        <w:rPr>
          <w:rFonts w:ascii="Times New Roman" w:hAnsi="Times New Roman" w:cs="Times New Roman"/>
          <w:szCs w:val="24"/>
        </w:rPr>
      </w:pPr>
      <w:r w:rsidRPr="00461A09">
        <w:rPr>
          <w:rFonts w:ascii="Times New Roman" w:hAnsi="Times New Roman" w:cs="Times New Roman"/>
          <w:szCs w:val="24"/>
        </w:rPr>
        <w:lastRenderedPageBreak/>
        <w:t>However, participation alone does not automatically guarantee cultural transformation. A critical question emerges: does involvement in a structured bottom-up risk assessment process genuinely enhance risk culture, or does it remain a procedural exercise that influences documentation more than behavior? Furthermore, does leadership reinforcement determine whether such participation translates into sustained accountability and proactive risk management?</w:t>
      </w:r>
    </w:p>
    <w:p w14:paraId="4E205BC0" w14:textId="19D2107A" w:rsidR="00461A09" w:rsidRPr="00461A09" w:rsidRDefault="00461A09" w:rsidP="00260F35">
      <w:pPr>
        <w:spacing w:line="360" w:lineRule="auto"/>
        <w:rPr>
          <w:rFonts w:ascii="Times New Roman" w:hAnsi="Times New Roman" w:cs="Times New Roman"/>
          <w:szCs w:val="24"/>
        </w:rPr>
      </w:pPr>
      <w:r w:rsidRPr="00461A09">
        <w:rPr>
          <w:rFonts w:ascii="Times New Roman" w:hAnsi="Times New Roman" w:cs="Times New Roman"/>
          <w:szCs w:val="24"/>
        </w:rPr>
        <w:t>These questions become particularly relevant when risk maturity assessments fluctuate over time. Variations in maturity scores may reflect changes in awareness, reporting rigor, or governance consistency rather than simple improvement or deterioration. Understanding whether participatory mechanisms contribute to measurable cultural strengthening is therefore essential for interpreting risk maturity outcomes meaningfully.</w:t>
      </w:r>
    </w:p>
    <w:p w14:paraId="49EAE091" w14:textId="3C289DF3" w:rsidR="00461A09" w:rsidRPr="00461A09" w:rsidRDefault="00461A09" w:rsidP="00260F35">
      <w:pPr>
        <w:spacing w:line="360" w:lineRule="auto"/>
        <w:rPr>
          <w:rFonts w:ascii="Times New Roman" w:hAnsi="Times New Roman" w:cs="Times New Roman"/>
          <w:szCs w:val="24"/>
        </w:rPr>
      </w:pPr>
      <w:r w:rsidRPr="00461A09">
        <w:rPr>
          <w:rFonts w:ascii="Times New Roman" w:hAnsi="Times New Roman" w:cs="Times New Roman"/>
          <w:szCs w:val="24"/>
        </w:rPr>
        <w:t>This study examines the impact of Bottom-Up Risk Assessment (BURA) on enhancing risk culture within a Shared Services organizational context. Specifically, it investigates whether employees who participated in the BURA process demonstrate higher levels of perceived ownership, accountability, awareness, and proactive risk behavior compared to those who did not participate. Additionally, the study explores whether leadership support reinforces the relationship between participation and cultural outcomes.</w:t>
      </w:r>
    </w:p>
    <w:p w14:paraId="28446B35" w14:textId="33E8A965" w:rsidR="00461A09" w:rsidRPr="00461A09" w:rsidRDefault="00461A09" w:rsidP="00260F35">
      <w:pPr>
        <w:spacing w:line="360" w:lineRule="auto"/>
        <w:rPr>
          <w:rFonts w:ascii="Times New Roman" w:hAnsi="Times New Roman" w:cs="Times New Roman"/>
          <w:szCs w:val="24"/>
        </w:rPr>
      </w:pPr>
      <w:r w:rsidRPr="00461A09">
        <w:rPr>
          <w:rFonts w:ascii="Times New Roman" w:hAnsi="Times New Roman" w:cs="Times New Roman"/>
          <w:szCs w:val="24"/>
        </w:rPr>
        <w:t>By shifting the focus from formal ERM adoption to employee-level behavioral perception, this research seeks to bridge the gap between governance structure and lived organizational practice. Rather than evaluating risk management solely through maturity scores or performance metrics, it examines whether structured participation influences how individuals perceive and enact risk responsibility within a centralized service model.</w:t>
      </w:r>
    </w:p>
    <w:p w14:paraId="59E1A1DE" w14:textId="26DE2971" w:rsidR="00325E37" w:rsidRDefault="00461A09" w:rsidP="00260F35">
      <w:pPr>
        <w:spacing w:line="360" w:lineRule="auto"/>
        <w:rPr>
          <w:rFonts w:ascii="Times New Roman" w:hAnsi="Times New Roman" w:cs="Times New Roman"/>
          <w:szCs w:val="24"/>
        </w:rPr>
      </w:pPr>
      <w:r w:rsidRPr="00461A09">
        <w:rPr>
          <w:rFonts w:ascii="Times New Roman" w:hAnsi="Times New Roman" w:cs="Times New Roman"/>
          <w:szCs w:val="24"/>
        </w:rPr>
        <w:t>Ultimately, strengthening risk culture within Shared Services is not merely a compliance objective; it is a governance necessity. As organizations operate in increasingly interconnected and uncertain environments, embedding risk thinking into operational behavior becomes critical for sustainable performance. This study aims to provide empirical evidence on whether bottom-up engagement mechanisms serve as a meaningful catalyst for that cultural integration.</w:t>
      </w:r>
    </w:p>
    <w:p w14:paraId="73A76E31" w14:textId="2D611D75" w:rsidR="000315B3" w:rsidRPr="000E6659" w:rsidRDefault="000315B3" w:rsidP="00863FB5">
      <w:pPr>
        <w:pStyle w:val="Heading2"/>
      </w:pPr>
      <w:bookmarkStart w:id="3" w:name="_Toc223634745"/>
      <w:r w:rsidRPr="000E6659">
        <w:t>1.</w:t>
      </w:r>
      <w:r w:rsidR="00461A09" w:rsidRPr="000E6659">
        <w:t>2</w:t>
      </w:r>
      <w:r w:rsidRPr="000E6659">
        <w:t xml:space="preserve"> </w:t>
      </w:r>
      <w:r w:rsidR="00461A09" w:rsidRPr="000E6659">
        <w:t>Problem Statement</w:t>
      </w:r>
      <w:r w:rsidRPr="000E6659">
        <w:t>:</w:t>
      </w:r>
      <w:bookmarkEnd w:id="3"/>
    </w:p>
    <w:p w14:paraId="6299F925" w14:textId="12AC12A0" w:rsidR="00D67D8A" w:rsidRPr="00D67D8A" w:rsidRDefault="00D67D8A" w:rsidP="00260F35">
      <w:pPr>
        <w:spacing w:line="360" w:lineRule="auto"/>
        <w:rPr>
          <w:rFonts w:ascii="Times New Roman" w:hAnsi="Times New Roman" w:cs="Times New Roman"/>
          <w:szCs w:val="24"/>
        </w:rPr>
      </w:pPr>
      <w:r w:rsidRPr="00D67D8A">
        <w:rPr>
          <w:rFonts w:ascii="Times New Roman" w:hAnsi="Times New Roman" w:cs="Times New Roman"/>
          <w:szCs w:val="24"/>
        </w:rPr>
        <w:t xml:space="preserve">Despite the formal adoption of Enterprise Risk Management (ERM) frameworks across many organizations, a recurring governance concern persists: the existence of structured risk management systems does not necessarily guarantee the development of a strong and consistent risk culture at the employee level. While organizations may implement documented risk registers, periodic assessments, </w:t>
      </w:r>
      <w:r w:rsidRPr="00D67D8A">
        <w:rPr>
          <w:rFonts w:ascii="Times New Roman" w:hAnsi="Times New Roman" w:cs="Times New Roman"/>
          <w:szCs w:val="24"/>
        </w:rPr>
        <w:lastRenderedPageBreak/>
        <w:t>and formal reporting mechanisms, the translation of these structural elements into genuine ownership, accountability, and proactive risk behavior remains uncertain.</w:t>
      </w:r>
    </w:p>
    <w:p w14:paraId="0DD3876C" w14:textId="5F6F3BD7" w:rsidR="00D67D8A" w:rsidRPr="00D67D8A" w:rsidRDefault="00D67D8A" w:rsidP="00260F35">
      <w:pPr>
        <w:spacing w:line="360" w:lineRule="auto"/>
        <w:rPr>
          <w:rFonts w:ascii="Times New Roman" w:hAnsi="Times New Roman" w:cs="Times New Roman"/>
          <w:szCs w:val="24"/>
        </w:rPr>
      </w:pPr>
      <w:r w:rsidRPr="00D67D8A">
        <w:rPr>
          <w:rFonts w:ascii="Times New Roman" w:hAnsi="Times New Roman" w:cs="Times New Roman"/>
          <w:szCs w:val="24"/>
        </w:rPr>
        <w:t>This challenge becomes particularly significant within Shared Services Organizations (SSOs), where multiple functional domains operate under a centralized governance structure. Although such models enhance coordination and operational efficiency, they may also create complexity in defining and reinforcing risk ownership across interdependent functions. In practice, accountability may appear formally assigned yet behaviorally diffused, especially in environments where operational responsibilities intersect.</w:t>
      </w:r>
    </w:p>
    <w:p w14:paraId="7D6DCB39" w14:textId="495795B3" w:rsidR="00D67D8A" w:rsidRPr="00D67D8A" w:rsidRDefault="00D67D8A" w:rsidP="00260F35">
      <w:pPr>
        <w:spacing w:line="360" w:lineRule="auto"/>
        <w:rPr>
          <w:rFonts w:ascii="Times New Roman" w:hAnsi="Times New Roman" w:cs="Times New Roman"/>
          <w:szCs w:val="24"/>
        </w:rPr>
      </w:pPr>
      <w:r w:rsidRPr="00D67D8A">
        <w:rPr>
          <w:rFonts w:ascii="Times New Roman" w:hAnsi="Times New Roman" w:cs="Times New Roman"/>
          <w:szCs w:val="24"/>
        </w:rPr>
        <w:t>Within the Shared Services Organization under study, a structured Bottom-Up Risk Assessment (BURA) exercise was implemented as a participatory mechanism aimed at strengthening engagement with risk management practices. The underlying assumption of this initiative is that involving employees directly in identifying and evaluating risks within their respective functions enhances awareness, reinforces accountability, and fosters a stronger risk culture.</w:t>
      </w:r>
    </w:p>
    <w:p w14:paraId="25B188E0" w14:textId="467A0898" w:rsidR="00D67D8A" w:rsidRPr="00D67D8A" w:rsidRDefault="00D67D8A" w:rsidP="00260F35">
      <w:pPr>
        <w:spacing w:line="360" w:lineRule="auto"/>
        <w:rPr>
          <w:rFonts w:ascii="Times New Roman" w:hAnsi="Times New Roman" w:cs="Times New Roman"/>
          <w:szCs w:val="24"/>
        </w:rPr>
      </w:pPr>
      <w:r w:rsidRPr="00D67D8A">
        <w:rPr>
          <w:rFonts w:ascii="Times New Roman" w:hAnsi="Times New Roman" w:cs="Times New Roman"/>
          <w:szCs w:val="24"/>
        </w:rPr>
        <w:t>However, the effectiveness of such participatory mechanisms cannot be presumed. While employees may contribute to risk identification processes, it remains empirically unclear whether this participation results in measurable improvement in key dimensions of risk culture. Specifically, it is uncertain whether individuals who participated in the BURA process demonstrate higher levels of perceived ownership, stronger accountability, greater awareness of uncertainties, and more proactive risk behavior compared to those who did not participate.</w:t>
      </w:r>
    </w:p>
    <w:p w14:paraId="7ED3CB57" w14:textId="52A8987E" w:rsidR="00D67D8A" w:rsidRPr="00D67D8A" w:rsidRDefault="00D67D8A" w:rsidP="00260F35">
      <w:pPr>
        <w:spacing w:line="360" w:lineRule="auto"/>
        <w:rPr>
          <w:rFonts w:ascii="Times New Roman" w:hAnsi="Times New Roman" w:cs="Times New Roman"/>
          <w:szCs w:val="24"/>
        </w:rPr>
      </w:pPr>
      <w:r w:rsidRPr="00D67D8A">
        <w:rPr>
          <w:rFonts w:ascii="Times New Roman" w:hAnsi="Times New Roman" w:cs="Times New Roman"/>
          <w:szCs w:val="24"/>
        </w:rPr>
        <w:t>Furthermore, interpreting changes in risk maturity outcomes within organizational contexts requires careful analytical examination. Variations in assessment results may reflect shifts in perception, reporting rigor, or evaluative standards rather than substantive cultural transformation. Without systematically examining the relationship between participatory risk assessment and cultural reinforcement, the impact of such initiatives remains theoretically assumed rather than empirically validated.</w:t>
      </w:r>
    </w:p>
    <w:p w14:paraId="3823334F" w14:textId="71512AA9" w:rsidR="00D67D8A" w:rsidRPr="00D67D8A" w:rsidRDefault="00D67D8A" w:rsidP="00260F35">
      <w:pPr>
        <w:spacing w:line="360" w:lineRule="auto"/>
        <w:rPr>
          <w:rFonts w:ascii="Times New Roman" w:hAnsi="Times New Roman" w:cs="Times New Roman"/>
          <w:szCs w:val="24"/>
        </w:rPr>
      </w:pPr>
      <w:r w:rsidRPr="00D67D8A">
        <w:rPr>
          <w:rFonts w:ascii="Times New Roman" w:hAnsi="Times New Roman" w:cs="Times New Roman"/>
          <w:szCs w:val="24"/>
        </w:rPr>
        <w:t>Accordingly, the core problem addressed in this study lies in the absence of empirical evidence regarding the impact of Bottom-Up Risk Assessment on enhancing risk culture within a Shared Services organizational setting. While ERM structures are formally in place and participatory exercises have been conducted, it remains undetermined whether these efforts function as meaningful drivers of cultural strengthening or primarily as procedural governance activities.</w:t>
      </w:r>
    </w:p>
    <w:p w14:paraId="566F8142" w14:textId="51DE8B1B" w:rsidR="009125CE" w:rsidRPr="00260F35" w:rsidRDefault="00D67D8A" w:rsidP="00260F35">
      <w:pPr>
        <w:spacing w:line="360" w:lineRule="auto"/>
        <w:rPr>
          <w:rFonts w:ascii="Times New Roman" w:hAnsi="Times New Roman" w:cs="Times New Roman"/>
          <w:szCs w:val="24"/>
          <w:rtl/>
        </w:rPr>
      </w:pPr>
      <w:r w:rsidRPr="00D67D8A">
        <w:rPr>
          <w:rFonts w:ascii="Times New Roman" w:hAnsi="Times New Roman" w:cs="Times New Roman"/>
          <w:szCs w:val="24"/>
        </w:rPr>
        <w:lastRenderedPageBreak/>
        <w:t>This study therefore seeks to investigate whether participation in the BURA process is associated with measurable enhancement in risk culture dimensions within the organization under study, and whether leadership support influences the strength of this relationship</w:t>
      </w:r>
      <w:r w:rsidR="00175B1A" w:rsidRPr="00175B1A">
        <w:rPr>
          <w:rFonts w:ascii="Times New Roman" w:hAnsi="Times New Roman" w:cs="Times New Roman"/>
          <w:szCs w:val="24"/>
        </w:rPr>
        <w:t>.</w:t>
      </w:r>
    </w:p>
    <w:p w14:paraId="0E62B587" w14:textId="0EF1CF74" w:rsidR="0080723F" w:rsidRPr="000E6659" w:rsidRDefault="0080723F" w:rsidP="00863FB5">
      <w:pPr>
        <w:pStyle w:val="Heading2"/>
      </w:pPr>
      <w:bookmarkStart w:id="4" w:name="_Toc223634746"/>
      <w:r w:rsidRPr="000E6659">
        <w:t xml:space="preserve">1.3 </w:t>
      </w:r>
      <w:r w:rsidR="008F3077" w:rsidRPr="000E6659">
        <w:t>Significance of the Study</w:t>
      </w:r>
      <w:r w:rsidRPr="000E6659">
        <w:t>:</w:t>
      </w:r>
      <w:bookmarkEnd w:id="4"/>
    </w:p>
    <w:p w14:paraId="12988B58" w14:textId="5149386B" w:rsidR="009125CE" w:rsidRPr="007E5B70" w:rsidRDefault="008F3077" w:rsidP="00863FB5">
      <w:pPr>
        <w:pStyle w:val="Heading3"/>
      </w:pPr>
      <w:bookmarkStart w:id="5" w:name="_Toc223634747"/>
      <w:r w:rsidRPr="007E5B70">
        <w:t>1.3.1 Scientific Significance</w:t>
      </w:r>
      <w:bookmarkEnd w:id="5"/>
    </w:p>
    <w:p w14:paraId="066D1A1E" w14:textId="5C80563A" w:rsidR="008F3077" w:rsidRPr="008F3077" w:rsidRDefault="008F3077" w:rsidP="00260F35">
      <w:pPr>
        <w:spacing w:line="360" w:lineRule="auto"/>
        <w:rPr>
          <w:rFonts w:ascii="Times New Roman" w:hAnsi="Times New Roman" w:cs="Times New Roman"/>
          <w:szCs w:val="24"/>
        </w:rPr>
      </w:pPr>
      <w:r w:rsidRPr="008F3077">
        <w:rPr>
          <w:rFonts w:ascii="Times New Roman" w:hAnsi="Times New Roman" w:cs="Times New Roman"/>
          <w:szCs w:val="24"/>
        </w:rPr>
        <w:t>Although Enterprise Risk Management has been widely studied over the past decade, most of the empirical research has focused on financial performance, firm value, and governance structures at the macro level. Relatively limited attention has been directed toward examining how participatory risk mechanisms influence employee</w:t>
      </w:r>
      <w:r>
        <w:rPr>
          <w:rFonts w:ascii="Times New Roman" w:hAnsi="Times New Roman" w:cs="Times New Roman"/>
          <w:szCs w:val="24"/>
        </w:rPr>
        <w:t xml:space="preserve"> </w:t>
      </w:r>
      <w:r w:rsidRPr="008F3077">
        <w:rPr>
          <w:rFonts w:ascii="Times New Roman" w:hAnsi="Times New Roman" w:cs="Times New Roman"/>
          <w:szCs w:val="24"/>
        </w:rPr>
        <w:t>level cultural outcomes. In particular, the relationship between structured bottom-up risk assessment processes and measurable dimensions of risk culture remains underexplored within academic literature.</w:t>
      </w:r>
    </w:p>
    <w:p w14:paraId="796E61E4" w14:textId="149530D1" w:rsidR="008F3077" w:rsidRPr="008F3077" w:rsidRDefault="008F3077" w:rsidP="00260F35">
      <w:pPr>
        <w:spacing w:line="360" w:lineRule="auto"/>
        <w:rPr>
          <w:rFonts w:ascii="Times New Roman" w:hAnsi="Times New Roman" w:cs="Times New Roman"/>
          <w:szCs w:val="24"/>
        </w:rPr>
      </w:pPr>
      <w:r w:rsidRPr="008F3077">
        <w:rPr>
          <w:rFonts w:ascii="Times New Roman" w:hAnsi="Times New Roman" w:cs="Times New Roman"/>
          <w:szCs w:val="24"/>
        </w:rPr>
        <w:t>This study contributes to the scientific discourse by shifting the analytical focus from structural ERM adoption to behavioral and cultural reinforcement mechanisms. Rather than evaluating risk management effectiveness through financial proxies or maturity scores alone, it empirically investigates whether participation in Bottom-Up Risk Assessment enhances ownership, accountability, awareness, and proactive risk behavior.</w:t>
      </w:r>
    </w:p>
    <w:p w14:paraId="301909CF" w14:textId="2866EB4F" w:rsidR="008F3077" w:rsidRPr="008F3077" w:rsidRDefault="008F3077" w:rsidP="00260F35">
      <w:pPr>
        <w:spacing w:line="360" w:lineRule="auto"/>
        <w:rPr>
          <w:rFonts w:ascii="Times New Roman" w:hAnsi="Times New Roman" w:cs="Times New Roman"/>
          <w:szCs w:val="24"/>
        </w:rPr>
      </w:pPr>
      <w:r w:rsidRPr="008F3077">
        <w:rPr>
          <w:rFonts w:ascii="Times New Roman" w:hAnsi="Times New Roman" w:cs="Times New Roman"/>
          <w:szCs w:val="24"/>
        </w:rPr>
        <w:t>Furthermore, the study extends risk culture research into the context of Shared Services Organizations</w:t>
      </w:r>
      <w:r>
        <w:rPr>
          <w:rFonts w:ascii="Times New Roman" w:hAnsi="Times New Roman" w:cs="Times New Roman"/>
          <w:szCs w:val="24"/>
        </w:rPr>
        <w:t xml:space="preserve">, </w:t>
      </w:r>
      <w:r w:rsidRPr="008F3077">
        <w:rPr>
          <w:rFonts w:ascii="Times New Roman" w:hAnsi="Times New Roman" w:cs="Times New Roman"/>
          <w:szCs w:val="24"/>
        </w:rPr>
        <w:t>an organizational model characterized by cross-functional interdependence and centralized governance. Given the limited empirical studies examining risk culture within centralized service structures, this research adds contextual depth to ERM and governance literature.</w:t>
      </w:r>
    </w:p>
    <w:p w14:paraId="6DEB0F23" w14:textId="7CDFEB21" w:rsidR="008F3077" w:rsidRPr="008F3077" w:rsidRDefault="008F3077" w:rsidP="00260F35">
      <w:pPr>
        <w:spacing w:line="360" w:lineRule="auto"/>
        <w:rPr>
          <w:rFonts w:ascii="Times New Roman" w:hAnsi="Times New Roman" w:cs="Times New Roman"/>
          <w:szCs w:val="24"/>
          <w:rtl/>
        </w:rPr>
      </w:pPr>
      <w:r w:rsidRPr="008F3077">
        <w:rPr>
          <w:rFonts w:ascii="Times New Roman" w:hAnsi="Times New Roman" w:cs="Times New Roman"/>
          <w:szCs w:val="24"/>
        </w:rPr>
        <w:t xml:space="preserve">By empirically testing the relationship between participatory risk engagement and cultural outcomes, the study addresses a clearly identified gap in risk management scholarship and contributes </w:t>
      </w:r>
      <w:r w:rsidR="00106FA0" w:rsidRPr="008F3077">
        <w:rPr>
          <w:rFonts w:ascii="Times New Roman" w:hAnsi="Times New Roman" w:cs="Times New Roman"/>
          <w:szCs w:val="24"/>
        </w:rPr>
        <w:t>evidence</w:t>
      </w:r>
      <w:r w:rsidR="00106FA0">
        <w:rPr>
          <w:rFonts w:ascii="Times New Roman" w:hAnsi="Times New Roman" w:cs="Times New Roman"/>
          <w:szCs w:val="24"/>
        </w:rPr>
        <w:t>-based</w:t>
      </w:r>
      <w:r w:rsidRPr="008F3077">
        <w:rPr>
          <w:rFonts w:ascii="Times New Roman" w:hAnsi="Times New Roman" w:cs="Times New Roman"/>
          <w:szCs w:val="24"/>
        </w:rPr>
        <w:t xml:space="preserve"> insights to an area that has largely relied on theoretical assumptions.</w:t>
      </w:r>
    </w:p>
    <w:p w14:paraId="3AE026F6" w14:textId="6F575703" w:rsidR="009125CE" w:rsidRPr="007E5B70" w:rsidRDefault="008F3077" w:rsidP="00863FB5">
      <w:pPr>
        <w:pStyle w:val="Heading3"/>
      </w:pPr>
      <w:bookmarkStart w:id="6" w:name="_Toc223634748"/>
      <w:r w:rsidRPr="007E5B70">
        <w:t>1.3.2 Practical Significance</w:t>
      </w:r>
      <w:bookmarkEnd w:id="6"/>
    </w:p>
    <w:p w14:paraId="41578E88" w14:textId="50A5D4A1" w:rsidR="008F3077" w:rsidRPr="008F3077" w:rsidRDefault="008F3077" w:rsidP="00260F35">
      <w:pPr>
        <w:spacing w:line="360" w:lineRule="auto"/>
        <w:rPr>
          <w:rFonts w:ascii="Times New Roman" w:hAnsi="Times New Roman" w:cs="Times New Roman"/>
          <w:szCs w:val="24"/>
        </w:rPr>
      </w:pPr>
      <w:r w:rsidRPr="008F3077">
        <w:rPr>
          <w:rFonts w:ascii="Times New Roman" w:hAnsi="Times New Roman" w:cs="Times New Roman"/>
          <w:szCs w:val="24"/>
        </w:rPr>
        <w:t>From a practical perspective, the study provides actionable insights for risk practitioners, governance leaders, and Shared Services executives. Organizations frequently implement participatory risk exercises with the expectation that involvement strengthens engagement and accountability. However, without empirical validation, such initiatives risk being treated as procedural requirements rather than strategic cultural interventions.</w:t>
      </w:r>
    </w:p>
    <w:p w14:paraId="48C42C74" w14:textId="3183161A" w:rsidR="008F3077" w:rsidRPr="008F3077" w:rsidRDefault="008F3077" w:rsidP="00260F35">
      <w:pPr>
        <w:spacing w:line="360" w:lineRule="auto"/>
        <w:rPr>
          <w:rFonts w:ascii="Times New Roman" w:hAnsi="Times New Roman" w:cs="Times New Roman"/>
          <w:szCs w:val="24"/>
        </w:rPr>
      </w:pPr>
      <w:r w:rsidRPr="008F3077">
        <w:rPr>
          <w:rFonts w:ascii="Times New Roman" w:hAnsi="Times New Roman" w:cs="Times New Roman"/>
          <w:szCs w:val="24"/>
        </w:rPr>
        <w:t xml:space="preserve">This research offers evidence-based evaluation of whether Bottom-Up Risk Assessment functions as a meaningful driver of risk culture enhancement within a Shared Services setting. The </w:t>
      </w:r>
      <w:r w:rsidRPr="008F3077">
        <w:rPr>
          <w:rFonts w:ascii="Times New Roman" w:hAnsi="Times New Roman" w:cs="Times New Roman"/>
          <w:szCs w:val="24"/>
        </w:rPr>
        <w:lastRenderedPageBreak/>
        <w:t>findings may assist decision</w:t>
      </w:r>
      <w:r>
        <w:rPr>
          <w:rFonts w:ascii="Times New Roman" w:hAnsi="Times New Roman" w:cs="Times New Roman"/>
          <w:szCs w:val="24"/>
        </w:rPr>
        <w:t xml:space="preserve"> </w:t>
      </w:r>
      <w:r w:rsidRPr="008F3077">
        <w:rPr>
          <w:rFonts w:ascii="Times New Roman" w:hAnsi="Times New Roman" w:cs="Times New Roman"/>
          <w:szCs w:val="24"/>
        </w:rPr>
        <w:t>makers in assessing the effectiveness of participatory risk governance mechanisms and refining future risk engagement strategies.</w:t>
      </w:r>
    </w:p>
    <w:p w14:paraId="3ECE0EB3" w14:textId="5E8127A4" w:rsidR="008F3077" w:rsidRPr="008F3077" w:rsidRDefault="008F3077" w:rsidP="00260F35">
      <w:pPr>
        <w:spacing w:line="360" w:lineRule="auto"/>
        <w:rPr>
          <w:rFonts w:ascii="Times New Roman" w:hAnsi="Times New Roman" w:cs="Times New Roman"/>
          <w:szCs w:val="24"/>
        </w:rPr>
      </w:pPr>
      <w:r w:rsidRPr="008F3077">
        <w:rPr>
          <w:rFonts w:ascii="Times New Roman" w:hAnsi="Times New Roman" w:cs="Times New Roman"/>
          <w:szCs w:val="24"/>
        </w:rPr>
        <w:t>Additionally, understanding whether leadership reinforcement influences the strength of the relationship between participation and cultural outcomes provides practical guidance for managerial action. If leadership</w:t>
      </w:r>
      <w:r>
        <w:rPr>
          <w:rFonts w:ascii="Times New Roman" w:hAnsi="Times New Roman" w:cs="Times New Roman"/>
          <w:szCs w:val="24"/>
        </w:rPr>
        <w:t>’s</w:t>
      </w:r>
      <w:r w:rsidRPr="008F3077">
        <w:rPr>
          <w:rFonts w:ascii="Times New Roman" w:hAnsi="Times New Roman" w:cs="Times New Roman"/>
          <w:szCs w:val="24"/>
        </w:rPr>
        <w:t xml:space="preserve"> support significantly conditions cultural improvement, governance efforts must extend beyond structural de-sign to include consistent behavioral reinforcement.</w:t>
      </w:r>
    </w:p>
    <w:p w14:paraId="397177E5" w14:textId="31DD7277" w:rsidR="008F3077" w:rsidRDefault="008F3077" w:rsidP="00260F35">
      <w:pPr>
        <w:spacing w:line="360" w:lineRule="auto"/>
        <w:rPr>
          <w:rFonts w:ascii="Times New Roman" w:hAnsi="Times New Roman" w:cs="Times New Roman"/>
          <w:szCs w:val="24"/>
        </w:rPr>
      </w:pPr>
      <w:r w:rsidRPr="008F3077">
        <w:rPr>
          <w:rFonts w:ascii="Times New Roman" w:hAnsi="Times New Roman" w:cs="Times New Roman"/>
          <w:szCs w:val="24"/>
        </w:rPr>
        <w:t>Ultimately, this study supports more informed interpretation of risk maturity assessments and governance indicators by linking participatory mechanisms to measurable cultural dimensions. In doing so, it enhances the ability of organizations to move beyond procedural compliance toward sustainable cultural integration of risk management practices.</w:t>
      </w:r>
    </w:p>
    <w:p w14:paraId="16B91996" w14:textId="52AFCB5E" w:rsidR="00540028" w:rsidRPr="000E6659" w:rsidRDefault="00540028" w:rsidP="00863FB5">
      <w:pPr>
        <w:pStyle w:val="Heading2"/>
      </w:pPr>
      <w:bookmarkStart w:id="7" w:name="_Toc223634749"/>
      <w:r w:rsidRPr="000E6659">
        <w:t>1.4 Research Objectives:</w:t>
      </w:r>
      <w:bookmarkEnd w:id="7"/>
    </w:p>
    <w:p w14:paraId="04AE6FB3" w14:textId="09C21777" w:rsidR="00540028" w:rsidRPr="00540028" w:rsidRDefault="00540028" w:rsidP="00260F35">
      <w:pPr>
        <w:spacing w:line="360" w:lineRule="auto"/>
        <w:rPr>
          <w:rFonts w:ascii="Times New Roman" w:hAnsi="Times New Roman" w:cs="Times New Roman"/>
          <w:szCs w:val="24"/>
        </w:rPr>
      </w:pPr>
      <w:r w:rsidRPr="00540028">
        <w:rPr>
          <w:rFonts w:ascii="Times New Roman" w:hAnsi="Times New Roman" w:cs="Times New Roman"/>
          <w:szCs w:val="24"/>
        </w:rPr>
        <w:t>The primary objective of this study is to examine the impact of Bottom-Up Risk Assessment (BURA) on enhancing risk culture within a Shared Services Organization operating under a centralized governance model.</w:t>
      </w:r>
    </w:p>
    <w:p w14:paraId="1D2C8142" w14:textId="080C2C43" w:rsidR="00540028" w:rsidRPr="00540028" w:rsidRDefault="00540028" w:rsidP="00260F35">
      <w:pPr>
        <w:spacing w:line="360" w:lineRule="auto"/>
        <w:rPr>
          <w:rFonts w:ascii="Times New Roman" w:hAnsi="Times New Roman" w:cs="Times New Roman"/>
          <w:szCs w:val="24"/>
        </w:rPr>
      </w:pPr>
      <w:r w:rsidRPr="00540028">
        <w:rPr>
          <w:rFonts w:ascii="Times New Roman" w:hAnsi="Times New Roman" w:cs="Times New Roman"/>
          <w:szCs w:val="24"/>
        </w:rPr>
        <w:t>To achieve this primary objective, the study seeks to accomplish the following specific objectives:</w:t>
      </w:r>
    </w:p>
    <w:p w14:paraId="4F677277" w14:textId="560AA908" w:rsidR="00540028" w:rsidRPr="00260F35" w:rsidRDefault="00540028" w:rsidP="003D77CD">
      <w:pPr>
        <w:pStyle w:val="ListParagraph"/>
        <w:numPr>
          <w:ilvl w:val="0"/>
          <w:numId w:val="61"/>
        </w:numPr>
        <w:spacing w:after="120" w:line="360" w:lineRule="auto"/>
        <w:rPr>
          <w:rFonts w:ascii="Times New Roman" w:hAnsi="Times New Roman" w:cs="Times New Roman"/>
          <w:szCs w:val="24"/>
        </w:rPr>
      </w:pPr>
      <w:r w:rsidRPr="00260F35">
        <w:rPr>
          <w:rFonts w:ascii="Times New Roman" w:hAnsi="Times New Roman" w:cs="Times New Roman"/>
          <w:szCs w:val="24"/>
        </w:rPr>
        <w:t>To assess the level of risk culture within the Shared Services Organization under study, with particular focus on ownership, accountability, awareness, and proactive risk behavior.</w:t>
      </w:r>
    </w:p>
    <w:p w14:paraId="4E9F2B3D" w14:textId="760AF756" w:rsidR="00540028" w:rsidRPr="00260F35" w:rsidRDefault="00540028" w:rsidP="003D77CD">
      <w:pPr>
        <w:pStyle w:val="ListParagraph"/>
        <w:numPr>
          <w:ilvl w:val="0"/>
          <w:numId w:val="61"/>
        </w:numPr>
        <w:spacing w:after="120" w:line="360" w:lineRule="auto"/>
        <w:rPr>
          <w:rFonts w:ascii="Times New Roman" w:hAnsi="Times New Roman" w:cs="Times New Roman"/>
          <w:szCs w:val="24"/>
        </w:rPr>
      </w:pPr>
      <w:r w:rsidRPr="00260F35">
        <w:rPr>
          <w:rFonts w:ascii="Times New Roman" w:hAnsi="Times New Roman" w:cs="Times New Roman"/>
          <w:szCs w:val="24"/>
        </w:rPr>
        <w:t>To examine whether employees who participated in the Bottom-Up Risk Assessment process demonstrate higher levels of risk culture dimensions compared to those who did not participate.</w:t>
      </w:r>
    </w:p>
    <w:p w14:paraId="4B4AA9D0" w14:textId="648AF9DC" w:rsidR="00540028" w:rsidRPr="00260F35" w:rsidRDefault="00540028" w:rsidP="003D77CD">
      <w:pPr>
        <w:pStyle w:val="ListParagraph"/>
        <w:numPr>
          <w:ilvl w:val="0"/>
          <w:numId w:val="61"/>
        </w:numPr>
        <w:spacing w:after="120" w:line="360" w:lineRule="auto"/>
        <w:rPr>
          <w:rFonts w:ascii="Times New Roman" w:hAnsi="Times New Roman" w:cs="Times New Roman"/>
          <w:szCs w:val="24"/>
        </w:rPr>
      </w:pPr>
      <w:r w:rsidRPr="00260F35">
        <w:rPr>
          <w:rFonts w:ascii="Times New Roman" w:hAnsi="Times New Roman" w:cs="Times New Roman"/>
          <w:szCs w:val="24"/>
        </w:rPr>
        <w:t>To evaluate the extent to which participation in BURA is associated with measurable enhancement in perceived risk ownership and accountability.</w:t>
      </w:r>
    </w:p>
    <w:p w14:paraId="0A616490" w14:textId="3FB409AB" w:rsidR="00540028" w:rsidRPr="00260F35" w:rsidRDefault="00540028" w:rsidP="003D77CD">
      <w:pPr>
        <w:pStyle w:val="ListParagraph"/>
        <w:numPr>
          <w:ilvl w:val="0"/>
          <w:numId w:val="61"/>
        </w:numPr>
        <w:spacing w:after="120" w:line="360" w:lineRule="auto"/>
        <w:rPr>
          <w:rFonts w:ascii="Times New Roman" w:hAnsi="Times New Roman" w:cs="Times New Roman"/>
          <w:szCs w:val="24"/>
        </w:rPr>
      </w:pPr>
      <w:r w:rsidRPr="00260F35">
        <w:rPr>
          <w:rFonts w:ascii="Times New Roman" w:hAnsi="Times New Roman" w:cs="Times New Roman"/>
          <w:szCs w:val="24"/>
        </w:rPr>
        <w:t>To investigate the relationship between leadership support and risk culture within the organizational context.</w:t>
      </w:r>
    </w:p>
    <w:p w14:paraId="555B8D2D" w14:textId="72037590" w:rsidR="00540028" w:rsidRPr="00260F35" w:rsidRDefault="00540028" w:rsidP="003D77CD">
      <w:pPr>
        <w:pStyle w:val="ListParagraph"/>
        <w:numPr>
          <w:ilvl w:val="0"/>
          <w:numId w:val="61"/>
        </w:numPr>
        <w:spacing w:after="120" w:line="360" w:lineRule="auto"/>
        <w:rPr>
          <w:rFonts w:ascii="Times New Roman" w:hAnsi="Times New Roman" w:cs="Times New Roman"/>
          <w:szCs w:val="24"/>
        </w:rPr>
      </w:pPr>
      <w:r w:rsidRPr="00260F35">
        <w:rPr>
          <w:rFonts w:ascii="Times New Roman" w:hAnsi="Times New Roman" w:cs="Times New Roman"/>
          <w:szCs w:val="24"/>
        </w:rPr>
        <w:t>To analyze whether leadership reinforcement moderates the relationship between BURA participation and risk culture enhancement.</w:t>
      </w:r>
    </w:p>
    <w:p w14:paraId="5984840A" w14:textId="6EFDE2D6" w:rsidR="00540028" w:rsidRPr="00260F35" w:rsidRDefault="00540028" w:rsidP="003D77CD">
      <w:pPr>
        <w:pStyle w:val="ListParagraph"/>
        <w:numPr>
          <w:ilvl w:val="0"/>
          <w:numId w:val="61"/>
        </w:numPr>
        <w:spacing w:after="120" w:line="360" w:lineRule="auto"/>
        <w:rPr>
          <w:rFonts w:ascii="Times New Roman" w:hAnsi="Times New Roman" w:cs="Times New Roman"/>
          <w:szCs w:val="24"/>
          <w:rtl/>
        </w:rPr>
      </w:pPr>
      <w:r w:rsidRPr="00260F35">
        <w:rPr>
          <w:rFonts w:ascii="Times New Roman" w:hAnsi="Times New Roman" w:cs="Times New Roman"/>
          <w:szCs w:val="24"/>
        </w:rPr>
        <w:t>To provide evidence-based recommendations for strengthening participatory risk governance mechanisms within Shared Services environments.</w:t>
      </w:r>
    </w:p>
    <w:p w14:paraId="6F038C3F" w14:textId="77777777" w:rsidR="009125CE" w:rsidRDefault="009125CE" w:rsidP="009125CE">
      <w:pPr>
        <w:rPr>
          <w:rFonts w:ascii="Times New Roman" w:hAnsi="Times New Roman" w:cs="Times New Roman"/>
          <w:szCs w:val="24"/>
        </w:rPr>
      </w:pPr>
    </w:p>
    <w:p w14:paraId="7C13BF7C" w14:textId="282CFE2B" w:rsidR="00D36BE0" w:rsidRPr="000E6659" w:rsidRDefault="00D36BE0" w:rsidP="00863FB5">
      <w:pPr>
        <w:pStyle w:val="Heading2"/>
      </w:pPr>
      <w:bookmarkStart w:id="8" w:name="_Toc223634750"/>
      <w:r w:rsidRPr="000E6659">
        <w:lastRenderedPageBreak/>
        <w:t xml:space="preserve">1.5 Research </w:t>
      </w:r>
      <w:r w:rsidR="00BF41FF" w:rsidRPr="000E6659">
        <w:t>Questions</w:t>
      </w:r>
      <w:r w:rsidRPr="000E6659">
        <w:t>:</w:t>
      </w:r>
      <w:bookmarkEnd w:id="8"/>
    </w:p>
    <w:p w14:paraId="3E0B5ACD" w14:textId="77777777" w:rsidR="00D36BE0" w:rsidRPr="00D36BE0" w:rsidRDefault="00D36BE0" w:rsidP="00260F35">
      <w:pPr>
        <w:spacing w:line="360" w:lineRule="auto"/>
        <w:rPr>
          <w:rFonts w:ascii="Times New Roman" w:hAnsi="Times New Roman" w:cs="Times New Roman"/>
          <w:szCs w:val="24"/>
        </w:rPr>
      </w:pPr>
      <w:r w:rsidRPr="00D36BE0">
        <w:rPr>
          <w:rFonts w:ascii="Times New Roman" w:hAnsi="Times New Roman" w:cs="Times New Roman"/>
          <w:szCs w:val="24"/>
        </w:rPr>
        <w:t>This study seeks to answer the following central research question:</w:t>
      </w:r>
    </w:p>
    <w:p w14:paraId="2F4AEA5E" w14:textId="77777777" w:rsidR="00D36BE0" w:rsidRPr="00D36BE0" w:rsidRDefault="00D36BE0" w:rsidP="00260F35">
      <w:pPr>
        <w:spacing w:line="360" w:lineRule="auto"/>
        <w:rPr>
          <w:rFonts w:ascii="Times New Roman" w:hAnsi="Times New Roman" w:cs="Times New Roman"/>
          <w:szCs w:val="24"/>
        </w:rPr>
      </w:pPr>
      <w:r w:rsidRPr="00D36BE0">
        <w:rPr>
          <w:rFonts w:ascii="Times New Roman" w:hAnsi="Times New Roman" w:cs="Times New Roman"/>
          <w:szCs w:val="24"/>
        </w:rPr>
        <w:t>To what extent does participation in Bottom-Up Risk Assessment (BURA) influence the enhancement of risk culture within a Shared Services Organization?</w:t>
      </w:r>
    </w:p>
    <w:p w14:paraId="76299532" w14:textId="327D8409" w:rsidR="00D36BE0" w:rsidRPr="00D36BE0" w:rsidRDefault="00D36BE0" w:rsidP="00260F35">
      <w:pPr>
        <w:spacing w:line="360" w:lineRule="auto"/>
        <w:rPr>
          <w:rFonts w:ascii="Times New Roman" w:hAnsi="Times New Roman" w:cs="Times New Roman"/>
          <w:szCs w:val="24"/>
        </w:rPr>
      </w:pPr>
      <w:r w:rsidRPr="00D36BE0">
        <w:rPr>
          <w:rFonts w:ascii="Times New Roman" w:hAnsi="Times New Roman" w:cs="Times New Roman"/>
          <w:szCs w:val="24"/>
        </w:rPr>
        <w:t>To address this central question, the study investigates the following sub-questions:</w:t>
      </w:r>
    </w:p>
    <w:p w14:paraId="344DA13E" w14:textId="3DA7BEB3" w:rsidR="00D36BE0" w:rsidRPr="00D36BE0" w:rsidRDefault="00D36BE0" w:rsidP="0023202D">
      <w:pPr>
        <w:pStyle w:val="ListParagraph"/>
        <w:numPr>
          <w:ilvl w:val="0"/>
          <w:numId w:val="2"/>
        </w:numPr>
        <w:rPr>
          <w:rFonts w:ascii="Times New Roman" w:hAnsi="Times New Roman" w:cs="Times New Roman"/>
          <w:szCs w:val="24"/>
        </w:rPr>
      </w:pPr>
      <w:r w:rsidRPr="00D36BE0">
        <w:rPr>
          <w:rFonts w:ascii="Times New Roman" w:hAnsi="Times New Roman" w:cs="Times New Roman"/>
          <w:szCs w:val="24"/>
        </w:rPr>
        <w:t>What is the current level of risk culture within the Shared Services Organization under study?</w:t>
      </w:r>
    </w:p>
    <w:p w14:paraId="212F8797" w14:textId="01F612F8" w:rsidR="00D36BE0" w:rsidRPr="00D36BE0" w:rsidRDefault="00D36BE0" w:rsidP="0023202D">
      <w:pPr>
        <w:pStyle w:val="ListParagraph"/>
        <w:numPr>
          <w:ilvl w:val="0"/>
          <w:numId w:val="2"/>
        </w:numPr>
        <w:rPr>
          <w:rFonts w:ascii="Times New Roman" w:hAnsi="Times New Roman" w:cs="Times New Roman"/>
          <w:szCs w:val="24"/>
        </w:rPr>
      </w:pPr>
      <w:r w:rsidRPr="00D36BE0">
        <w:rPr>
          <w:rFonts w:ascii="Times New Roman" w:hAnsi="Times New Roman" w:cs="Times New Roman"/>
          <w:szCs w:val="24"/>
        </w:rPr>
        <w:t>Do employees who participated in the BURA process demonstrate higher levels of risk ownership, accountability, awareness, and proactive risk behavior compared to those who did not participate?</w:t>
      </w:r>
    </w:p>
    <w:p w14:paraId="37716AF2" w14:textId="2340E971" w:rsidR="00D36BE0" w:rsidRPr="00D36BE0" w:rsidRDefault="00D36BE0" w:rsidP="0023202D">
      <w:pPr>
        <w:pStyle w:val="ListParagraph"/>
        <w:numPr>
          <w:ilvl w:val="0"/>
          <w:numId w:val="2"/>
        </w:numPr>
        <w:rPr>
          <w:rFonts w:ascii="Times New Roman" w:hAnsi="Times New Roman" w:cs="Times New Roman"/>
          <w:szCs w:val="24"/>
        </w:rPr>
      </w:pPr>
      <w:r w:rsidRPr="00D36BE0">
        <w:rPr>
          <w:rFonts w:ascii="Times New Roman" w:hAnsi="Times New Roman" w:cs="Times New Roman"/>
          <w:szCs w:val="24"/>
        </w:rPr>
        <w:t>Is there a statistically significant relationship between BURA participation and overall risk culture enhancement?</w:t>
      </w:r>
    </w:p>
    <w:p w14:paraId="15209D82" w14:textId="612260C3" w:rsidR="00D36BE0" w:rsidRPr="00D36BE0" w:rsidRDefault="00D36BE0" w:rsidP="0023202D">
      <w:pPr>
        <w:pStyle w:val="ListParagraph"/>
        <w:numPr>
          <w:ilvl w:val="0"/>
          <w:numId w:val="2"/>
        </w:numPr>
        <w:rPr>
          <w:rFonts w:ascii="Times New Roman" w:hAnsi="Times New Roman" w:cs="Times New Roman"/>
          <w:szCs w:val="24"/>
        </w:rPr>
      </w:pPr>
      <w:r w:rsidRPr="00D36BE0">
        <w:rPr>
          <w:rFonts w:ascii="Times New Roman" w:hAnsi="Times New Roman" w:cs="Times New Roman"/>
          <w:szCs w:val="24"/>
        </w:rPr>
        <w:t>What is the relationship between leadership support and risk culture within the organization?</w:t>
      </w:r>
    </w:p>
    <w:p w14:paraId="4A1BA4E3" w14:textId="25524FE5" w:rsidR="00D36BE0" w:rsidRPr="00D36BE0" w:rsidRDefault="00D36BE0" w:rsidP="0023202D">
      <w:pPr>
        <w:pStyle w:val="ListParagraph"/>
        <w:numPr>
          <w:ilvl w:val="0"/>
          <w:numId w:val="2"/>
        </w:numPr>
        <w:rPr>
          <w:rFonts w:ascii="Times New Roman" w:hAnsi="Times New Roman" w:cs="Times New Roman"/>
          <w:szCs w:val="24"/>
          <w:rtl/>
        </w:rPr>
      </w:pPr>
      <w:r w:rsidRPr="00D36BE0">
        <w:rPr>
          <w:rFonts w:ascii="Times New Roman" w:hAnsi="Times New Roman" w:cs="Times New Roman"/>
          <w:szCs w:val="24"/>
        </w:rPr>
        <w:t>Does leadership reinforcement influence the strength of the relationship between BURA participation and risk culture?</w:t>
      </w:r>
    </w:p>
    <w:p w14:paraId="24C77C22" w14:textId="2FCCC7DB" w:rsidR="00D36BE0" w:rsidRPr="000E6659" w:rsidRDefault="00D36BE0" w:rsidP="00863FB5">
      <w:pPr>
        <w:pStyle w:val="Heading2"/>
      </w:pPr>
      <w:bookmarkStart w:id="9" w:name="_Toc223634751"/>
      <w:r w:rsidRPr="000E6659">
        <w:t>1.6 Research Hypotheses:</w:t>
      </w:r>
      <w:bookmarkEnd w:id="9"/>
    </w:p>
    <w:p w14:paraId="52864C56" w14:textId="3F7C9048" w:rsidR="009125CE" w:rsidRPr="00260F35" w:rsidRDefault="00D36BE0" w:rsidP="00260F35">
      <w:pPr>
        <w:spacing w:line="360" w:lineRule="auto"/>
        <w:rPr>
          <w:rFonts w:ascii="Times New Roman" w:hAnsi="Times New Roman" w:cs="Times New Roman"/>
          <w:szCs w:val="24"/>
          <w:rtl/>
        </w:rPr>
      </w:pPr>
      <w:r w:rsidRPr="00D36BE0">
        <w:rPr>
          <w:rFonts w:ascii="Times New Roman" w:hAnsi="Times New Roman" w:cs="Times New Roman"/>
          <w:szCs w:val="24"/>
        </w:rPr>
        <w:t>Based on the research objectives and questions, the study proposes the following hypotheses:</w:t>
      </w:r>
    </w:p>
    <w:p w14:paraId="698C613A" w14:textId="4BC3F958" w:rsidR="009125CE" w:rsidRDefault="00D36BE0" w:rsidP="00260F35">
      <w:pPr>
        <w:spacing w:line="360" w:lineRule="auto"/>
        <w:rPr>
          <w:rFonts w:ascii="Times New Roman" w:hAnsi="Times New Roman" w:cs="Times New Roman"/>
          <w:szCs w:val="24"/>
        </w:rPr>
      </w:pPr>
      <w:r w:rsidRPr="00D36BE0">
        <w:rPr>
          <w:rFonts w:ascii="Times New Roman" w:hAnsi="Times New Roman" w:cs="Times New Roman"/>
          <w:szCs w:val="24"/>
        </w:rPr>
        <w:t>H1: There is a statistically significant difference in the level of risk culture between employees who participated in the Bottom-Up Risk Assessment (BURA) process and those who did not participate.</w:t>
      </w:r>
    </w:p>
    <w:p w14:paraId="449EF1E1" w14:textId="14E7D555" w:rsidR="00D36BE0" w:rsidRDefault="00D36BE0" w:rsidP="00260F35">
      <w:pPr>
        <w:spacing w:line="360" w:lineRule="auto"/>
        <w:rPr>
          <w:rFonts w:ascii="Times New Roman" w:hAnsi="Times New Roman" w:cs="Times New Roman"/>
          <w:szCs w:val="24"/>
        </w:rPr>
      </w:pPr>
      <w:r>
        <w:rPr>
          <w:rFonts w:ascii="Times New Roman" w:hAnsi="Times New Roman" w:cs="Times New Roman"/>
          <w:szCs w:val="24"/>
        </w:rPr>
        <w:t xml:space="preserve">H2: </w:t>
      </w:r>
      <w:r w:rsidRPr="00D36BE0">
        <w:rPr>
          <w:rFonts w:ascii="Times New Roman" w:hAnsi="Times New Roman" w:cs="Times New Roman"/>
          <w:szCs w:val="24"/>
        </w:rPr>
        <w:t>Participation in the Bottom-Up Risk Assessment process is positively associated with higher levels of risk ownership.</w:t>
      </w:r>
    </w:p>
    <w:p w14:paraId="3A7B3C7C" w14:textId="5D494CA8" w:rsidR="00D36BE0" w:rsidRDefault="00D36BE0" w:rsidP="00260F35">
      <w:pPr>
        <w:spacing w:line="360" w:lineRule="auto"/>
        <w:rPr>
          <w:rFonts w:ascii="Times New Roman" w:hAnsi="Times New Roman" w:cs="Times New Roman"/>
          <w:szCs w:val="24"/>
        </w:rPr>
      </w:pPr>
      <w:r>
        <w:rPr>
          <w:rFonts w:ascii="Times New Roman" w:hAnsi="Times New Roman" w:cs="Times New Roman"/>
          <w:szCs w:val="24"/>
        </w:rPr>
        <w:t xml:space="preserve">H3: </w:t>
      </w:r>
      <w:r w:rsidRPr="00D36BE0">
        <w:rPr>
          <w:rFonts w:ascii="Times New Roman" w:hAnsi="Times New Roman" w:cs="Times New Roman"/>
          <w:szCs w:val="24"/>
        </w:rPr>
        <w:t>Participation in the Bottom-Up Risk Assessment process is positively associated with higher levels of risk accountability.</w:t>
      </w:r>
    </w:p>
    <w:p w14:paraId="301D2D8F" w14:textId="645C7326" w:rsidR="00D36BE0" w:rsidRDefault="00D36BE0" w:rsidP="00260F35">
      <w:pPr>
        <w:spacing w:line="360" w:lineRule="auto"/>
        <w:rPr>
          <w:rFonts w:ascii="Times New Roman" w:hAnsi="Times New Roman" w:cs="Times New Roman"/>
          <w:szCs w:val="24"/>
        </w:rPr>
      </w:pPr>
      <w:r>
        <w:rPr>
          <w:rFonts w:ascii="Times New Roman" w:hAnsi="Times New Roman" w:cs="Times New Roman"/>
          <w:szCs w:val="24"/>
        </w:rPr>
        <w:t xml:space="preserve">H4: </w:t>
      </w:r>
      <w:r w:rsidR="00E05BA8" w:rsidRPr="00E05BA8">
        <w:rPr>
          <w:rFonts w:ascii="Times New Roman" w:hAnsi="Times New Roman" w:cs="Times New Roman"/>
          <w:szCs w:val="24"/>
        </w:rPr>
        <w:t>Participation in the Bottom-Up Risk Assessment process is positively associated with higher levels of risk awareness.</w:t>
      </w:r>
    </w:p>
    <w:p w14:paraId="0C32336B" w14:textId="350882DD" w:rsidR="00E05BA8" w:rsidRDefault="00E05BA8" w:rsidP="00260F35">
      <w:pPr>
        <w:spacing w:line="360" w:lineRule="auto"/>
        <w:rPr>
          <w:rFonts w:ascii="Times New Roman" w:hAnsi="Times New Roman" w:cs="Times New Roman"/>
          <w:szCs w:val="24"/>
        </w:rPr>
      </w:pPr>
      <w:r>
        <w:rPr>
          <w:rFonts w:ascii="Times New Roman" w:hAnsi="Times New Roman" w:cs="Times New Roman"/>
          <w:szCs w:val="24"/>
        </w:rPr>
        <w:t xml:space="preserve">H5: </w:t>
      </w:r>
      <w:r w:rsidRPr="00E05BA8">
        <w:rPr>
          <w:rFonts w:ascii="Times New Roman" w:hAnsi="Times New Roman" w:cs="Times New Roman"/>
          <w:szCs w:val="24"/>
        </w:rPr>
        <w:t>Participation in the Bottom-Up Risk Assessment process is positively associated with more proactive risk behavior.</w:t>
      </w:r>
    </w:p>
    <w:p w14:paraId="3354744E" w14:textId="4F1A5048" w:rsidR="00E05BA8" w:rsidRDefault="00E05BA8" w:rsidP="00260F35">
      <w:pPr>
        <w:spacing w:line="360" w:lineRule="auto"/>
        <w:rPr>
          <w:rFonts w:ascii="Times New Roman" w:hAnsi="Times New Roman" w:cs="Times New Roman"/>
          <w:szCs w:val="24"/>
        </w:rPr>
      </w:pPr>
      <w:r>
        <w:rPr>
          <w:rFonts w:ascii="Times New Roman" w:hAnsi="Times New Roman" w:cs="Times New Roman"/>
          <w:szCs w:val="24"/>
        </w:rPr>
        <w:t xml:space="preserve">H6: </w:t>
      </w:r>
      <w:r w:rsidRPr="00E05BA8">
        <w:rPr>
          <w:rFonts w:ascii="Times New Roman" w:hAnsi="Times New Roman" w:cs="Times New Roman"/>
          <w:szCs w:val="24"/>
        </w:rPr>
        <w:t>There is a statistically significant relationship between leadership support and risk culture within the Shared Services Organization</w:t>
      </w:r>
      <w:r>
        <w:rPr>
          <w:rFonts w:ascii="Times New Roman" w:hAnsi="Times New Roman" w:cs="Times New Roman"/>
          <w:szCs w:val="24"/>
        </w:rPr>
        <w:t>.</w:t>
      </w:r>
    </w:p>
    <w:p w14:paraId="630B2DB8" w14:textId="12025CE4" w:rsidR="00E05BA8" w:rsidRPr="000E6659" w:rsidRDefault="00E05BA8" w:rsidP="00863FB5">
      <w:pPr>
        <w:pStyle w:val="Heading2"/>
      </w:pPr>
      <w:bookmarkStart w:id="10" w:name="_Toc223634752"/>
      <w:r w:rsidRPr="000E6659">
        <w:lastRenderedPageBreak/>
        <w:t>1.7 Conceptual Model of the Study:</w:t>
      </w:r>
      <w:bookmarkEnd w:id="10"/>
    </w:p>
    <w:p w14:paraId="6A718E0F" w14:textId="2C5F33FA" w:rsidR="00E05BA8" w:rsidRPr="00E05BA8" w:rsidRDefault="00E05BA8" w:rsidP="00260F35">
      <w:pPr>
        <w:spacing w:line="360" w:lineRule="auto"/>
        <w:rPr>
          <w:rFonts w:ascii="Times New Roman" w:hAnsi="Times New Roman" w:cs="Times New Roman"/>
          <w:szCs w:val="24"/>
        </w:rPr>
      </w:pPr>
      <w:r w:rsidRPr="00E05BA8">
        <w:rPr>
          <w:rFonts w:ascii="Times New Roman" w:hAnsi="Times New Roman" w:cs="Times New Roman"/>
          <w:szCs w:val="24"/>
        </w:rPr>
        <w:t>This study adopts a conceptual model that examines the relationship between participation in Bottom-Up Risk Assessment (BURA) and the enhancement of risk culture within the Shared Services Organization under study.</w:t>
      </w:r>
    </w:p>
    <w:p w14:paraId="7C7E6725" w14:textId="6B9783D7" w:rsidR="00E05BA8" w:rsidRPr="00E05BA8" w:rsidRDefault="00E05BA8" w:rsidP="00260F35">
      <w:pPr>
        <w:spacing w:line="360" w:lineRule="auto"/>
        <w:rPr>
          <w:rFonts w:ascii="Times New Roman" w:hAnsi="Times New Roman" w:cs="Times New Roman"/>
          <w:szCs w:val="24"/>
        </w:rPr>
      </w:pPr>
      <w:r w:rsidRPr="00E05BA8">
        <w:rPr>
          <w:rFonts w:ascii="Times New Roman" w:hAnsi="Times New Roman" w:cs="Times New Roman"/>
          <w:szCs w:val="24"/>
        </w:rPr>
        <w:t>The model positions BURA participation as the independent variable and risk culture as the dependent variable. Risk culture is operationalized through four measurable dimensions: risk ownership, risk accountability, risk awareness, and proactive risk behavior. These dimensions collectively represent the behavioral and perceptual components of cultural integration in risk management practices.</w:t>
      </w:r>
    </w:p>
    <w:p w14:paraId="1847EB2F" w14:textId="58FE6EEB" w:rsidR="00E05BA8" w:rsidRPr="00E05BA8" w:rsidRDefault="00E05BA8" w:rsidP="00260F35">
      <w:pPr>
        <w:spacing w:line="360" w:lineRule="auto"/>
        <w:rPr>
          <w:rFonts w:ascii="Times New Roman" w:hAnsi="Times New Roman" w:cs="Times New Roman"/>
          <w:szCs w:val="24"/>
        </w:rPr>
      </w:pPr>
      <w:r w:rsidRPr="00E05BA8">
        <w:rPr>
          <w:rFonts w:ascii="Times New Roman" w:hAnsi="Times New Roman" w:cs="Times New Roman"/>
          <w:szCs w:val="24"/>
        </w:rPr>
        <w:t>In addition, leadership support is incorporated into the model as an influencing variable that is expected to have a direct relationship with risk culture. Leadership reinforcement is assumed to strengthen risk-related behaviors by encouraging transparency, accountability, and proactive engagement.</w:t>
      </w:r>
    </w:p>
    <w:p w14:paraId="24DA52B7" w14:textId="306943A9" w:rsidR="003E229E" w:rsidRDefault="003D7470" w:rsidP="003E229E">
      <w:pPr>
        <w:keepNext/>
        <w:jc w:val="center"/>
      </w:pPr>
      <w:r w:rsidRPr="003D7470">
        <w:rPr>
          <w:rFonts w:ascii="Times New Roman" w:hAnsi="Times New Roman" w:cs="Times New Roman"/>
          <w:noProof/>
          <w:szCs w:val="24"/>
        </w:rPr>
        <mc:AlternateContent>
          <mc:Choice Requires="wps">
            <w:drawing>
              <wp:anchor distT="45720" distB="45720" distL="114300" distR="114300" simplePos="0" relativeHeight="251673600" behindDoc="0" locked="0" layoutInCell="1" allowOverlap="1" wp14:anchorId="5903E2AD" wp14:editId="6510FB9E">
                <wp:simplePos x="0" y="0"/>
                <wp:positionH relativeFrom="column">
                  <wp:posOffset>-269240</wp:posOffset>
                </wp:positionH>
                <wp:positionV relativeFrom="paragraph">
                  <wp:posOffset>2684780</wp:posOffset>
                </wp:positionV>
                <wp:extent cx="6838950" cy="402336"/>
                <wp:effectExtent l="0" t="0" r="0" b="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402336"/>
                        </a:xfrm>
                        <a:prstGeom prst="rect">
                          <a:avLst/>
                        </a:prstGeom>
                        <a:solidFill>
                          <a:srgbClr val="FFFFFF"/>
                        </a:solidFill>
                        <a:ln w="9525">
                          <a:noFill/>
                          <a:miter lim="800000"/>
                          <a:headEnd/>
                          <a:tailEnd/>
                        </a:ln>
                      </wps:spPr>
                      <wps:txbx>
                        <w:txbxContent>
                          <w:p w14:paraId="55DF0E8D" w14:textId="406EB3F3" w:rsidR="003D7470" w:rsidRDefault="003D7470" w:rsidP="0045003F">
                            <w:pPr>
                              <w:pStyle w:val="Caption"/>
                              <w:spacing w:after="0" w:line="240" w:lineRule="exact"/>
                              <w:jc w:val="center"/>
                            </w:pPr>
                            <w:r>
                              <w:t xml:space="preserve">Figure 1.1 </w:t>
                            </w:r>
                            <w:r w:rsidRPr="00744CC9">
                              <w:t>Conceptual Model of the Study</w:t>
                            </w:r>
                          </w:p>
                          <w:p w14:paraId="3CF115A3" w14:textId="71FA3C6D" w:rsidR="003D7470" w:rsidRDefault="003D7470" w:rsidP="003D7470">
                            <w:pPr>
                              <w:pStyle w:val="Caption"/>
                              <w:spacing w:after="0" w:line="240" w:lineRule="exact"/>
                              <w:jc w:val="center"/>
                            </w:pPr>
                            <w:r>
                              <w:t>Source: Developed by the researcher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903E2AD" id="_x0000_t202" coordsize="21600,21600" o:spt="202" path="m,l,21600r21600,l21600,xe">
                <v:stroke joinstyle="miter"/>
                <v:path gradientshapeok="t" o:connecttype="rect"/>
              </v:shapetype>
              <v:shape id="Text Box 2" o:spid="_x0000_s1026" type="#_x0000_t202" style="position:absolute;left:0;text-align:left;margin-left:-21.2pt;margin-top:211.4pt;width:538.5pt;height:31.7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" stroked="f">
                <v:textbox>
                  <w:txbxContent>
                    <w:p w14:paraId="55DF0E8D" w14:textId="406EB3F3" w:rsidR="003D7470" w:rsidRDefault="003D7470" w:rsidP="0045003F">
                      <w:pPr>
                        <w:pStyle w:val="Caption"/>
                        <w:spacing w:after="0" w:line="240" w:lineRule="exact"/>
                        <w:jc w:val="center"/>
                      </w:pPr>
                      <w:r>
                        <w:t xml:space="preserve">Figure 1.1 </w:t>
                      </w:r>
                      <w:r w:rsidRPr="00744CC9">
                        <w:t>Conceptual Model of the Study</w:t>
                      </w:r>
                    </w:p>
                    <w:p w14:paraId="3CF115A3" w14:textId="71FA3C6D" w:rsidR="003D7470" w:rsidRDefault="003D7470" w:rsidP="003D7470">
                      <w:pPr>
                        <w:pStyle w:val="Caption"/>
                        <w:spacing w:after="0" w:line="240" w:lineRule="exact"/>
                        <w:jc w:val="center"/>
                      </w:pPr>
                      <w:r>
                        <w:t>Source: Developed by the researcher</w:t>
                      </w:r>
                    </w:p>
                  </w:txbxContent>
                </v:textbox>
                <w10:wrap type="topAndBottom"/>
              </v:shape>
            </w:pict>
          </mc:Fallback>
        </mc:AlternateContent>
      </w:r>
      <w:r w:rsidR="003E229E" w:rsidRPr="003E229E">
        <w:rPr>
          <w:rFonts w:ascii="Times New Roman" w:hAnsi="Times New Roman" w:cs="Times New Roman"/>
          <w:noProof/>
          <w:szCs w:val="24"/>
        </w:rPr>
        <w:drawing>
          <wp:inline distT="0" distB="0" distL="0" distR="0" wp14:anchorId="3295A456" wp14:editId="012A350C">
            <wp:extent cx="5413120" cy="2610869"/>
            <wp:effectExtent l="0" t="0" r="0" b="0"/>
            <wp:docPr id="18" name="Picture 17">
              <a:extLst xmlns:a="http://schemas.openxmlformats.org/drawingml/2006/main">
                <a:ext uri="{FF2B5EF4-FFF2-40B4-BE49-F238E27FC236}">
                  <a16:creationId xmlns:a16="http://schemas.microsoft.com/office/drawing/2014/main" id="{D883FF6A-E454-A046-492E-281E0D757F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D883FF6A-E454-A046-492E-281E0D757F03}"/>
                        </a:ext>
                      </a:extLst>
                    </pic:cNvPr>
                    <pic:cNvPicPr>
                      <a:picLocks noChangeAspect="1"/>
                    </pic:cNvPicPr>
                  </pic:nvPicPr>
                  <pic:blipFill>
                    <a:blip r:embed="rId11"/>
                    <a:stretch>
                      <a:fillRect/>
                    </a:stretch>
                  </pic:blipFill>
                  <pic:spPr>
                    <a:xfrm>
                      <a:off x="0" y="0"/>
                      <a:ext cx="5426109" cy="2617134"/>
                    </a:xfrm>
                    <a:prstGeom prst="rect">
                      <a:avLst/>
                    </a:prstGeom>
                  </pic:spPr>
                </pic:pic>
              </a:graphicData>
            </a:graphic>
          </wp:inline>
        </w:drawing>
      </w:r>
    </w:p>
    <w:p w14:paraId="05518394" w14:textId="20748043" w:rsidR="009125CE" w:rsidRPr="00260F35" w:rsidRDefault="00E05BA8" w:rsidP="00260F35">
      <w:pPr>
        <w:spacing w:line="360" w:lineRule="auto"/>
        <w:rPr>
          <w:rFonts w:ascii="Times New Roman" w:hAnsi="Times New Roman" w:cs="Times New Roman"/>
          <w:szCs w:val="24"/>
          <w:rtl/>
        </w:rPr>
      </w:pPr>
      <w:r w:rsidRPr="00E05BA8">
        <w:rPr>
          <w:rFonts w:ascii="Times New Roman" w:hAnsi="Times New Roman" w:cs="Times New Roman"/>
          <w:szCs w:val="24"/>
        </w:rPr>
        <w:t>The conceptual framework assumes that employees who participate in the Bottom-Up Risk Assessment process are more likely to internalize risk management responsibilities within their functional roles. Through structured participation, individuals are expected to develop stronger perceptions of ownership and accountability, greater awareness of uncertainties, and more proactive risk behavior. Leadership support is further expected to contribute positively to risk culture by reinforcing desired governance behaviors within the organization.</w:t>
      </w:r>
    </w:p>
    <w:p w14:paraId="7347BEC5" w14:textId="355B0A7D" w:rsidR="0083657F" w:rsidRPr="000E6659" w:rsidRDefault="0083657F" w:rsidP="00863FB5">
      <w:pPr>
        <w:pStyle w:val="Heading2"/>
      </w:pPr>
      <w:bookmarkStart w:id="11" w:name="_Toc223634753"/>
      <w:r w:rsidRPr="000E6659">
        <w:lastRenderedPageBreak/>
        <w:t>1.</w:t>
      </w:r>
      <w:r w:rsidR="00867F85" w:rsidRPr="000E6659">
        <w:t>8</w:t>
      </w:r>
      <w:r w:rsidRPr="000E6659">
        <w:t xml:space="preserve"> </w:t>
      </w:r>
      <w:r w:rsidR="00867F85" w:rsidRPr="000E6659">
        <w:t>Previous Studies</w:t>
      </w:r>
      <w:r w:rsidRPr="000E6659">
        <w:t>:</w:t>
      </w:r>
      <w:bookmarkEnd w:id="11"/>
    </w:p>
    <w:p w14:paraId="0ABC59EC" w14:textId="74E9A20C" w:rsidR="009125CE" w:rsidRPr="007E5B70" w:rsidRDefault="00867F85" w:rsidP="00863FB5">
      <w:pPr>
        <w:pStyle w:val="Heading3"/>
      </w:pPr>
      <w:bookmarkStart w:id="12" w:name="_Toc223634754"/>
      <w:r w:rsidRPr="007E5B70">
        <w:t xml:space="preserve">A. </w:t>
      </w:r>
      <w:r w:rsidRPr="00863FB5">
        <w:t>Arabic</w:t>
      </w:r>
      <w:r w:rsidRPr="007E5B70">
        <w:t xml:space="preserve"> Studies</w:t>
      </w:r>
      <w:bookmarkEnd w:id="12"/>
    </w:p>
    <w:p w14:paraId="46DD7F2E" w14:textId="63DA657C" w:rsidR="00867F85" w:rsidRPr="00867F85" w:rsidRDefault="00867F85" w:rsidP="00260F35">
      <w:pPr>
        <w:spacing w:line="360" w:lineRule="auto"/>
        <w:rPr>
          <w:rFonts w:ascii="Times New Roman" w:hAnsi="Times New Roman" w:cs="Times New Roman"/>
          <w:szCs w:val="24"/>
          <w:rtl/>
        </w:rPr>
      </w:pPr>
      <w:r w:rsidRPr="00867F85">
        <w:rPr>
          <w:rFonts w:ascii="Times New Roman" w:hAnsi="Times New Roman" w:cs="Times New Roman"/>
          <w:szCs w:val="24"/>
        </w:rPr>
        <w:t>Arabic research on risk management has increasingly addressed governance practices, organizational behaviors, and institutional readiness</w:t>
      </w:r>
      <w:r>
        <w:rPr>
          <w:rFonts w:ascii="Times New Roman" w:hAnsi="Times New Roman" w:cs="Times New Roman"/>
          <w:szCs w:val="24"/>
        </w:rPr>
        <w:t xml:space="preserve">, </w:t>
      </w:r>
      <w:r w:rsidRPr="00867F85">
        <w:rPr>
          <w:rFonts w:ascii="Times New Roman" w:hAnsi="Times New Roman" w:cs="Times New Roman"/>
          <w:szCs w:val="24"/>
        </w:rPr>
        <w:t>especially in public-sector and business contexts. While the term “risk culture” may not always appear as a direct variable label, many Arabic studies operationalize closely related constructs such as accountability, transparency, participation in decision-making, and leadership practices. The following Arabic studies provide relevant grounding for the current research, particularly in how structured risk practices relate to behavioral and governance outcomes.</w:t>
      </w:r>
    </w:p>
    <w:p w14:paraId="41B46417" w14:textId="78FE67F1" w:rsidR="00867F85" w:rsidRPr="00867F85" w:rsidRDefault="00867F85" w:rsidP="00863FB5">
      <w:pPr>
        <w:keepNext/>
        <w:keepLines/>
        <w:rPr>
          <w:rFonts w:ascii="Times New Roman" w:hAnsi="Times New Roman" w:cs="Times New Roman"/>
          <w:b/>
          <w:bCs/>
          <w:szCs w:val="24"/>
        </w:rPr>
      </w:pPr>
      <w:r w:rsidRPr="00867F85">
        <w:rPr>
          <w:rFonts w:ascii="Times New Roman" w:hAnsi="Times New Roman" w:cs="Times New Roman"/>
          <w:b/>
          <w:bCs/>
          <w:szCs w:val="24"/>
        </w:rPr>
        <w:t xml:space="preserve">Study A1: </w:t>
      </w:r>
      <w:proofErr w:type="spellStart"/>
      <w:r w:rsidRPr="00867F85">
        <w:rPr>
          <w:rFonts w:ascii="Times New Roman" w:hAnsi="Times New Roman" w:cs="Times New Roman"/>
          <w:b/>
          <w:bCs/>
          <w:szCs w:val="24"/>
        </w:rPr>
        <w:t>AlQahtani</w:t>
      </w:r>
      <w:proofErr w:type="spellEnd"/>
      <w:r w:rsidRPr="00867F85">
        <w:rPr>
          <w:rFonts w:ascii="Times New Roman" w:hAnsi="Times New Roman" w:cs="Times New Roman"/>
          <w:b/>
          <w:bCs/>
          <w:szCs w:val="24"/>
        </w:rPr>
        <w:t xml:space="preserve"> (2024)</w:t>
      </w:r>
    </w:p>
    <w:p w14:paraId="161687A2" w14:textId="77777777" w:rsidR="00E12226" w:rsidRDefault="00867F85" w:rsidP="00863FB5">
      <w:pPr>
        <w:keepNext/>
        <w:keepLines/>
        <w:rPr>
          <w:rFonts w:ascii="Times New Roman" w:hAnsi="Times New Roman" w:cs="Times New Roman"/>
          <w:szCs w:val="24"/>
        </w:rPr>
      </w:pPr>
      <w:r w:rsidRPr="00867F85">
        <w:rPr>
          <w:rFonts w:ascii="Times New Roman" w:hAnsi="Times New Roman" w:cs="Times New Roman"/>
          <w:b/>
          <w:bCs/>
          <w:szCs w:val="24"/>
        </w:rPr>
        <w:t>Reference &amp; focus</w:t>
      </w:r>
      <w:r>
        <w:rPr>
          <w:rFonts w:ascii="Times New Roman" w:hAnsi="Times New Roman" w:cs="Times New Roman"/>
          <w:b/>
          <w:bCs/>
          <w:szCs w:val="24"/>
        </w:rPr>
        <w:t>:</w:t>
      </w:r>
    </w:p>
    <w:p w14:paraId="40709003" w14:textId="6197C2BC" w:rsidR="00867F85" w:rsidRPr="00867F85" w:rsidRDefault="00867F85" w:rsidP="00260F35">
      <w:pPr>
        <w:spacing w:line="360" w:lineRule="auto"/>
        <w:rPr>
          <w:rFonts w:ascii="Times New Roman" w:hAnsi="Times New Roman" w:cs="Times New Roman"/>
          <w:szCs w:val="24"/>
        </w:rPr>
      </w:pPr>
      <w:r w:rsidRPr="00867F85">
        <w:rPr>
          <w:rFonts w:ascii="Times New Roman" w:hAnsi="Times New Roman" w:cs="Times New Roman"/>
          <w:szCs w:val="24"/>
        </w:rPr>
        <w:t xml:space="preserve">Sultan Mohammed Nasser AlQahtani’s applied thesis examines the impact of strategic risk management practices on organizational development success, using an applied case study approach on a governmental entity.  </w:t>
      </w:r>
    </w:p>
    <w:p w14:paraId="636168A2" w14:textId="77777777" w:rsidR="00E12226" w:rsidRPr="00863FB5" w:rsidRDefault="00867F85" w:rsidP="00863FB5">
      <w:pPr>
        <w:keepNext/>
        <w:keepLines/>
        <w:rPr>
          <w:rFonts w:ascii="Times New Roman" w:hAnsi="Times New Roman" w:cs="Times New Roman"/>
          <w:b/>
          <w:bCs/>
          <w:szCs w:val="24"/>
        </w:rPr>
      </w:pPr>
      <w:r w:rsidRPr="00867F85">
        <w:rPr>
          <w:rFonts w:ascii="Times New Roman" w:hAnsi="Times New Roman" w:cs="Times New Roman"/>
          <w:b/>
          <w:bCs/>
          <w:szCs w:val="24"/>
        </w:rPr>
        <w:t>Method:</w:t>
      </w:r>
    </w:p>
    <w:p w14:paraId="39518BC5" w14:textId="26B75C6C" w:rsidR="00867F85" w:rsidRPr="00867F85" w:rsidRDefault="00867F85" w:rsidP="00260F35">
      <w:pPr>
        <w:spacing w:line="360" w:lineRule="auto"/>
        <w:rPr>
          <w:rFonts w:ascii="Times New Roman" w:hAnsi="Times New Roman" w:cs="Times New Roman"/>
          <w:szCs w:val="24"/>
        </w:rPr>
      </w:pPr>
      <w:r w:rsidRPr="00867F85">
        <w:rPr>
          <w:rFonts w:ascii="Times New Roman" w:hAnsi="Times New Roman" w:cs="Times New Roman"/>
          <w:szCs w:val="24"/>
        </w:rPr>
        <w:t xml:space="preserve">The study follows an applied research design (case-based), using structured measurement items related to organizational practices and outcomes (as shown in the instrument content and structure in the thesis).  </w:t>
      </w:r>
    </w:p>
    <w:p w14:paraId="29B85B50" w14:textId="77777777" w:rsidR="00E12226" w:rsidRPr="00863FB5" w:rsidRDefault="00867F85" w:rsidP="00863FB5">
      <w:pPr>
        <w:keepNext/>
        <w:keepLines/>
        <w:rPr>
          <w:rFonts w:ascii="Times New Roman" w:hAnsi="Times New Roman" w:cs="Times New Roman"/>
          <w:b/>
          <w:bCs/>
          <w:szCs w:val="24"/>
        </w:rPr>
      </w:pPr>
      <w:r w:rsidRPr="00867F85">
        <w:rPr>
          <w:rFonts w:ascii="Times New Roman" w:hAnsi="Times New Roman" w:cs="Times New Roman"/>
          <w:b/>
          <w:bCs/>
          <w:szCs w:val="24"/>
        </w:rPr>
        <w:t>Key findings:</w:t>
      </w:r>
    </w:p>
    <w:p w14:paraId="086BE5C1" w14:textId="074CD5F2" w:rsidR="00867F85" w:rsidRPr="00867F85" w:rsidRDefault="00867F85" w:rsidP="00260F35">
      <w:pPr>
        <w:spacing w:line="360" w:lineRule="auto"/>
        <w:rPr>
          <w:rFonts w:ascii="Times New Roman" w:hAnsi="Times New Roman" w:cs="Times New Roman"/>
          <w:szCs w:val="24"/>
        </w:rPr>
      </w:pPr>
      <w:r w:rsidRPr="00867F85">
        <w:rPr>
          <w:rFonts w:ascii="Times New Roman" w:hAnsi="Times New Roman" w:cs="Times New Roman"/>
          <w:szCs w:val="24"/>
        </w:rPr>
        <w:t>The thesis emphasizes that risk-related practices become impactful when they translate into real organizational behaviors (e.g., participation, initiative-taking, decision-related involvement)</w:t>
      </w:r>
      <w:r>
        <w:rPr>
          <w:rFonts w:ascii="Times New Roman" w:hAnsi="Times New Roman" w:cs="Times New Roman"/>
          <w:szCs w:val="24"/>
        </w:rPr>
        <w:t xml:space="preserve">, </w:t>
      </w:r>
      <w:r w:rsidRPr="00867F85">
        <w:rPr>
          <w:rFonts w:ascii="Times New Roman" w:hAnsi="Times New Roman" w:cs="Times New Roman"/>
          <w:szCs w:val="24"/>
        </w:rPr>
        <w:t xml:space="preserve">which aligns with the current study’s logic that participation mechanisms (e.g., bottom-up assessment) can strengthen cultural dimensions.  </w:t>
      </w:r>
    </w:p>
    <w:p w14:paraId="36E14D76" w14:textId="77777777" w:rsidR="00E12226" w:rsidRPr="00863FB5" w:rsidRDefault="00867F85" w:rsidP="00863FB5">
      <w:pPr>
        <w:keepNext/>
        <w:keepLines/>
        <w:rPr>
          <w:rFonts w:ascii="Times New Roman" w:hAnsi="Times New Roman" w:cs="Times New Roman"/>
          <w:b/>
          <w:bCs/>
          <w:szCs w:val="24"/>
        </w:rPr>
      </w:pPr>
      <w:r w:rsidRPr="00867F85">
        <w:rPr>
          <w:rFonts w:ascii="Times New Roman" w:hAnsi="Times New Roman" w:cs="Times New Roman"/>
          <w:b/>
          <w:bCs/>
          <w:szCs w:val="24"/>
        </w:rPr>
        <w:t>Relevance to current study</w:t>
      </w:r>
      <w:r>
        <w:rPr>
          <w:rFonts w:ascii="Times New Roman" w:hAnsi="Times New Roman" w:cs="Times New Roman"/>
          <w:b/>
          <w:bCs/>
          <w:szCs w:val="24"/>
        </w:rPr>
        <w:t>:</w:t>
      </w:r>
    </w:p>
    <w:p w14:paraId="7FB3A247" w14:textId="6429E920" w:rsidR="009125CE" w:rsidRPr="00867F85" w:rsidRDefault="00867F85" w:rsidP="00260F35">
      <w:pPr>
        <w:spacing w:line="360" w:lineRule="auto"/>
        <w:rPr>
          <w:rFonts w:ascii="Times New Roman" w:hAnsi="Times New Roman" w:cs="Times New Roman"/>
          <w:szCs w:val="24"/>
          <w:rtl/>
        </w:rPr>
      </w:pPr>
      <w:r w:rsidRPr="00867F85">
        <w:rPr>
          <w:rFonts w:ascii="Times New Roman" w:hAnsi="Times New Roman" w:cs="Times New Roman"/>
          <w:szCs w:val="24"/>
        </w:rPr>
        <w:t>This thesis is valuable as an Arabic applied example showing how risk-related practices can be linked to organizational/behavioral out-comes, supporting the justification for testing “participation → culture” relationships in a real organizational setting.</w:t>
      </w:r>
    </w:p>
    <w:p w14:paraId="3651A95E" w14:textId="77777777" w:rsidR="009125CE" w:rsidRDefault="009125CE" w:rsidP="00867F85">
      <w:pPr>
        <w:rPr>
          <w:rFonts w:ascii="Times New Roman" w:hAnsi="Times New Roman" w:cs="Times New Roman"/>
          <w:szCs w:val="24"/>
        </w:rPr>
      </w:pPr>
    </w:p>
    <w:p w14:paraId="2735E903" w14:textId="77777777" w:rsidR="00867F85" w:rsidRPr="00867F85" w:rsidRDefault="00867F85" w:rsidP="00863FB5">
      <w:pPr>
        <w:keepNext/>
        <w:keepLines/>
        <w:rPr>
          <w:rFonts w:ascii="Times New Roman" w:hAnsi="Times New Roman" w:cs="Times New Roman"/>
          <w:b/>
          <w:bCs/>
          <w:szCs w:val="24"/>
        </w:rPr>
      </w:pPr>
      <w:r w:rsidRPr="00867F85">
        <w:rPr>
          <w:rFonts w:ascii="Times New Roman" w:hAnsi="Times New Roman" w:cs="Times New Roman"/>
          <w:b/>
          <w:bCs/>
          <w:szCs w:val="24"/>
        </w:rPr>
        <w:lastRenderedPageBreak/>
        <w:t>Study A2: Shaaban (2025)</w:t>
      </w:r>
    </w:p>
    <w:p w14:paraId="62C2301C" w14:textId="77777777" w:rsidR="00E12226" w:rsidRPr="00863FB5" w:rsidRDefault="00867F85" w:rsidP="00863FB5">
      <w:pPr>
        <w:keepNext/>
        <w:keepLines/>
        <w:rPr>
          <w:rFonts w:ascii="Times New Roman" w:hAnsi="Times New Roman" w:cs="Times New Roman"/>
          <w:b/>
          <w:bCs/>
          <w:szCs w:val="24"/>
        </w:rPr>
      </w:pPr>
      <w:r w:rsidRPr="00867F85">
        <w:rPr>
          <w:rFonts w:ascii="Times New Roman" w:hAnsi="Times New Roman" w:cs="Times New Roman"/>
          <w:b/>
          <w:bCs/>
          <w:szCs w:val="24"/>
        </w:rPr>
        <w:t>Reference:</w:t>
      </w:r>
    </w:p>
    <w:p w14:paraId="5A38DC6C" w14:textId="5D7B6AEF" w:rsidR="00867F85" w:rsidRPr="00867F85" w:rsidRDefault="00867F85" w:rsidP="00260F35">
      <w:pPr>
        <w:spacing w:line="360" w:lineRule="auto"/>
        <w:rPr>
          <w:rFonts w:ascii="Times New Roman" w:hAnsi="Times New Roman" w:cs="Times New Roman"/>
          <w:szCs w:val="24"/>
        </w:rPr>
      </w:pPr>
      <w:r w:rsidRPr="00867F85">
        <w:rPr>
          <w:rFonts w:ascii="Times New Roman" w:hAnsi="Times New Roman" w:cs="Times New Roman"/>
          <w:szCs w:val="24"/>
        </w:rPr>
        <w:t xml:space="preserve">Shaaban, W. A. A. A. (2025). Measuring the effect of enterprise risk management (ERM) on investment efficiency and its reflection on firm value: an empirical study on firms listed on Egyptian Stock Exchange.  </w:t>
      </w:r>
    </w:p>
    <w:p w14:paraId="56B1543F" w14:textId="77777777" w:rsidR="00E12226" w:rsidRPr="00863FB5" w:rsidRDefault="00867F85" w:rsidP="00863FB5">
      <w:pPr>
        <w:keepNext/>
        <w:keepLines/>
        <w:rPr>
          <w:rFonts w:ascii="Times New Roman" w:hAnsi="Times New Roman" w:cs="Times New Roman"/>
          <w:b/>
          <w:bCs/>
          <w:szCs w:val="24"/>
        </w:rPr>
      </w:pPr>
      <w:r w:rsidRPr="00867F85">
        <w:rPr>
          <w:rFonts w:ascii="Times New Roman" w:hAnsi="Times New Roman" w:cs="Times New Roman"/>
          <w:b/>
          <w:bCs/>
          <w:szCs w:val="24"/>
        </w:rPr>
        <w:t>Method:</w:t>
      </w:r>
    </w:p>
    <w:p w14:paraId="526D0E40" w14:textId="30C02752" w:rsidR="00867F85" w:rsidRPr="00867F85" w:rsidRDefault="00867F85" w:rsidP="00260F35">
      <w:pPr>
        <w:spacing w:line="360" w:lineRule="auto"/>
        <w:rPr>
          <w:rFonts w:ascii="Times New Roman" w:hAnsi="Times New Roman" w:cs="Times New Roman"/>
          <w:szCs w:val="24"/>
        </w:rPr>
      </w:pPr>
      <w:r w:rsidRPr="00867F85">
        <w:rPr>
          <w:rFonts w:ascii="Times New Roman" w:hAnsi="Times New Roman" w:cs="Times New Roman"/>
          <w:szCs w:val="24"/>
        </w:rPr>
        <w:t>Applied empirical study using a sample of 50 listed firms (2018–2023), employing statistical techniques including correlation, multiple regression, and path analysis (content</w:t>
      </w:r>
      <w:r>
        <w:rPr>
          <w:rFonts w:ascii="Times New Roman" w:hAnsi="Times New Roman" w:cs="Times New Roman"/>
          <w:szCs w:val="24"/>
        </w:rPr>
        <w:t xml:space="preserve"> </w:t>
      </w:r>
      <w:r w:rsidRPr="00867F85">
        <w:rPr>
          <w:rFonts w:ascii="Times New Roman" w:hAnsi="Times New Roman" w:cs="Times New Roman"/>
          <w:szCs w:val="24"/>
        </w:rPr>
        <w:t xml:space="preserve">analysis approach using financial statements).  </w:t>
      </w:r>
    </w:p>
    <w:p w14:paraId="5F200BF3" w14:textId="77777777" w:rsidR="00E12226" w:rsidRPr="00863FB5" w:rsidRDefault="00867F85" w:rsidP="00863FB5">
      <w:pPr>
        <w:keepNext/>
        <w:keepLines/>
        <w:rPr>
          <w:rFonts w:ascii="Times New Roman" w:hAnsi="Times New Roman" w:cs="Times New Roman"/>
          <w:b/>
          <w:bCs/>
          <w:szCs w:val="24"/>
        </w:rPr>
      </w:pPr>
      <w:r w:rsidRPr="00867F85">
        <w:rPr>
          <w:rFonts w:ascii="Times New Roman" w:hAnsi="Times New Roman" w:cs="Times New Roman"/>
          <w:b/>
          <w:bCs/>
          <w:szCs w:val="24"/>
        </w:rPr>
        <w:t>Key findings</w:t>
      </w:r>
      <w:r w:rsidRPr="00863FB5">
        <w:rPr>
          <w:rFonts w:ascii="Times New Roman" w:hAnsi="Times New Roman" w:cs="Times New Roman"/>
          <w:b/>
          <w:bCs/>
          <w:szCs w:val="24"/>
        </w:rPr>
        <w:t>:</w:t>
      </w:r>
    </w:p>
    <w:p w14:paraId="3CC8801F" w14:textId="6BD82C15" w:rsidR="00867F85" w:rsidRPr="00867F85" w:rsidRDefault="00867F85" w:rsidP="00260F35">
      <w:pPr>
        <w:spacing w:line="360" w:lineRule="auto"/>
        <w:rPr>
          <w:rFonts w:ascii="Times New Roman" w:hAnsi="Times New Roman" w:cs="Times New Roman"/>
          <w:szCs w:val="24"/>
        </w:rPr>
      </w:pPr>
      <w:r w:rsidRPr="00867F85">
        <w:rPr>
          <w:rFonts w:ascii="Times New Roman" w:hAnsi="Times New Roman" w:cs="Times New Roman"/>
          <w:szCs w:val="24"/>
        </w:rPr>
        <w:t xml:space="preserve">ERM implementation showed a positive and significant effect on investment efficiency, and investment efficiency positively related to firm value; ERM also had a direct and indirect positive relationship with firm value.  </w:t>
      </w:r>
    </w:p>
    <w:p w14:paraId="56063B98" w14:textId="77777777" w:rsidR="00E12226" w:rsidRPr="00863FB5" w:rsidRDefault="00867F85" w:rsidP="00863FB5">
      <w:pPr>
        <w:keepNext/>
        <w:keepLines/>
        <w:rPr>
          <w:rFonts w:ascii="Times New Roman" w:hAnsi="Times New Roman" w:cs="Times New Roman"/>
          <w:b/>
          <w:bCs/>
          <w:szCs w:val="24"/>
        </w:rPr>
      </w:pPr>
      <w:r w:rsidRPr="00867F85">
        <w:rPr>
          <w:rFonts w:ascii="Times New Roman" w:hAnsi="Times New Roman" w:cs="Times New Roman"/>
          <w:b/>
          <w:bCs/>
          <w:szCs w:val="24"/>
        </w:rPr>
        <w:t>Relevance to current study</w:t>
      </w:r>
      <w:r>
        <w:rPr>
          <w:rFonts w:ascii="Times New Roman" w:hAnsi="Times New Roman" w:cs="Times New Roman"/>
          <w:b/>
          <w:bCs/>
          <w:szCs w:val="24"/>
        </w:rPr>
        <w:t>:</w:t>
      </w:r>
    </w:p>
    <w:p w14:paraId="3617FA36" w14:textId="5DA675E8" w:rsidR="00867F85" w:rsidRPr="00867F85" w:rsidRDefault="00867F85" w:rsidP="00260F35">
      <w:pPr>
        <w:spacing w:line="360" w:lineRule="auto"/>
        <w:rPr>
          <w:rFonts w:ascii="Times New Roman" w:hAnsi="Times New Roman" w:cs="Times New Roman"/>
          <w:szCs w:val="24"/>
          <w:rtl/>
        </w:rPr>
      </w:pPr>
      <w:r w:rsidRPr="00867F85">
        <w:rPr>
          <w:rFonts w:ascii="Times New Roman" w:hAnsi="Times New Roman" w:cs="Times New Roman"/>
          <w:szCs w:val="24"/>
        </w:rPr>
        <w:t>Although the dependent variable here is performance-based (not “risk culture”), the study supports the broader Arabic ERM evidence base showing that ERM can produce meaningful outcomes. The current research complements this by testing whether participatory ERM mechanisms (BURA) produce behavioral/cultural outcomes inside an organization (not only financial outcomes).</w:t>
      </w:r>
    </w:p>
    <w:p w14:paraId="59A338B2" w14:textId="77777777" w:rsidR="00867F85" w:rsidRPr="00867F85" w:rsidRDefault="00867F85" w:rsidP="00863FB5">
      <w:pPr>
        <w:keepNext/>
        <w:keepLines/>
        <w:rPr>
          <w:rFonts w:ascii="Times New Roman" w:hAnsi="Times New Roman" w:cs="Times New Roman"/>
          <w:b/>
          <w:bCs/>
          <w:szCs w:val="24"/>
        </w:rPr>
      </w:pPr>
      <w:r w:rsidRPr="00867F85">
        <w:rPr>
          <w:rFonts w:ascii="Times New Roman" w:hAnsi="Times New Roman" w:cs="Times New Roman"/>
          <w:b/>
          <w:bCs/>
          <w:szCs w:val="24"/>
        </w:rPr>
        <w:t xml:space="preserve">Study A3: </w:t>
      </w:r>
      <w:proofErr w:type="spellStart"/>
      <w:r w:rsidRPr="00867F85">
        <w:rPr>
          <w:rFonts w:ascii="Times New Roman" w:hAnsi="Times New Roman" w:cs="Times New Roman"/>
          <w:b/>
          <w:bCs/>
          <w:szCs w:val="24"/>
        </w:rPr>
        <w:t>Natheer</w:t>
      </w:r>
      <w:proofErr w:type="spellEnd"/>
      <w:r w:rsidRPr="00867F85">
        <w:rPr>
          <w:rFonts w:ascii="Times New Roman" w:hAnsi="Times New Roman" w:cs="Times New Roman"/>
          <w:b/>
          <w:bCs/>
          <w:szCs w:val="24"/>
        </w:rPr>
        <w:t xml:space="preserve"> (2025)</w:t>
      </w:r>
    </w:p>
    <w:p w14:paraId="4C701C42" w14:textId="77777777" w:rsidR="00E12226" w:rsidRPr="00863FB5" w:rsidRDefault="00867F85" w:rsidP="00863FB5">
      <w:pPr>
        <w:keepNext/>
        <w:keepLines/>
        <w:rPr>
          <w:rFonts w:ascii="Times New Roman" w:hAnsi="Times New Roman" w:cs="Times New Roman"/>
          <w:b/>
          <w:bCs/>
          <w:szCs w:val="24"/>
        </w:rPr>
      </w:pPr>
      <w:r w:rsidRPr="00867F85">
        <w:rPr>
          <w:rFonts w:ascii="Times New Roman" w:hAnsi="Times New Roman" w:cs="Times New Roman"/>
          <w:b/>
          <w:bCs/>
          <w:szCs w:val="24"/>
        </w:rPr>
        <w:t>Reference</w:t>
      </w:r>
      <w:r>
        <w:rPr>
          <w:rFonts w:ascii="Times New Roman" w:hAnsi="Times New Roman" w:cs="Times New Roman"/>
          <w:b/>
          <w:bCs/>
          <w:szCs w:val="24"/>
        </w:rPr>
        <w:t>:</w:t>
      </w:r>
    </w:p>
    <w:p w14:paraId="65C2EACA" w14:textId="69430DAA" w:rsidR="00867F85" w:rsidRPr="00867F85" w:rsidRDefault="00867F85" w:rsidP="009D33A5">
      <w:pPr>
        <w:rPr>
          <w:rFonts w:ascii="Times New Roman" w:hAnsi="Times New Roman" w:cs="Times New Roman"/>
          <w:szCs w:val="24"/>
        </w:rPr>
      </w:pPr>
      <w:proofErr w:type="spellStart"/>
      <w:r w:rsidRPr="00867F85">
        <w:rPr>
          <w:rFonts w:ascii="Times New Roman" w:hAnsi="Times New Roman" w:cs="Times New Roman"/>
          <w:szCs w:val="24"/>
        </w:rPr>
        <w:t>Natheer</w:t>
      </w:r>
      <w:proofErr w:type="spellEnd"/>
      <w:r w:rsidRPr="00867F85">
        <w:rPr>
          <w:rFonts w:ascii="Times New Roman" w:hAnsi="Times New Roman" w:cs="Times New Roman"/>
          <w:szCs w:val="24"/>
        </w:rPr>
        <w:t xml:space="preserve">, H. A. (2025). The Role of Strategic Management in Dealing with Risks Facing Companies: An Analytical Study in the Kingdom of Saudi Arabia – 2025. Journal of Risk and Crisis Management.  </w:t>
      </w:r>
    </w:p>
    <w:p w14:paraId="7DBED926" w14:textId="77777777" w:rsidR="00E12226" w:rsidRDefault="00867F85" w:rsidP="00863FB5">
      <w:pPr>
        <w:keepNext/>
        <w:keepLines/>
        <w:rPr>
          <w:rFonts w:ascii="Times New Roman" w:hAnsi="Times New Roman" w:cs="Times New Roman"/>
          <w:b/>
          <w:bCs/>
          <w:szCs w:val="24"/>
        </w:rPr>
      </w:pPr>
      <w:r w:rsidRPr="00867F85">
        <w:rPr>
          <w:rFonts w:ascii="Times New Roman" w:hAnsi="Times New Roman" w:cs="Times New Roman"/>
          <w:b/>
          <w:bCs/>
          <w:szCs w:val="24"/>
        </w:rPr>
        <w:t>Method</w:t>
      </w:r>
      <w:r>
        <w:rPr>
          <w:rFonts w:ascii="Times New Roman" w:hAnsi="Times New Roman" w:cs="Times New Roman"/>
          <w:b/>
          <w:bCs/>
          <w:szCs w:val="24"/>
        </w:rPr>
        <w:t>:</w:t>
      </w:r>
    </w:p>
    <w:p w14:paraId="01B63754" w14:textId="1D9D7CF8" w:rsidR="00867F85" w:rsidRPr="00867F85" w:rsidRDefault="00867F85" w:rsidP="00260F35">
      <w:pPr>
        <w:spacing w:line="360" w:lineRule="auto"/>
        <w:rPr>
          <w:rFonts w:ascii="Times New Roman" w:hAnsi="Times New Roman" w:cs="Times New Roman"/>
          <w:szCs w:val="24"/>
        </w:rPr>
      </w:pPr>
      <w:r w:rsidRPr="00867F85">
        <w:rPr>
          <w:rFonts w:ascii="Times New Roman" w:hAnsi="Times New Roman" w:cs="Times New Roman"/>
          <w:szCs w:val="24"/>
        </w:rPr>
        <w:t>Descriptive</w:t>
      </w:r>
      <w:r>
        <w:rPr>
          <w:rFonts w:ascii="Times New Roman" w:hAnsi="Times New Roman" w:cs="Times New Roman"/>
          <w:szCs w:val="24"/>
        </w:rPr>
        <w:t xml:space="preserve"> </w:t>
      </w:r>
      <w:r w:rsidRPr="00867F85">
        <w:rPr>
          <w:rFonts w:ascii="Times New Roman" w:hAnsi="Times New Roman" w:cs="Times New Roman"/>
          <w:szCs w:val="24"/>
        </w:rPr>
        <w:t xml:space="preserve">analytical approach using a questionnaire distributed to a sample of employees in Saudi companies; data analyzed using SPSS.  </w:t>
      </w:r>
    </w:p>
    <w:p w14:paraId="5DD01BA2" w14:textId="77777777" w:rsidR="00E12226" w:rsidRPr="00863FB5" w:rsidRDefault="00867F85" w:rsidP="00863FB5">
      <w:pPr>
        <w:keepNext/>
        <w:keepLines/>
        <w:rPr>
          <w:rFonts w:ascii="Times New Roman" w:hAnsi="Times New Roman" w:cs="Times New Roman"/>
          <w:b/>
          <w:bCs/>
          <w:szCs w:val="24"/>
        </w:rPr>
      </w:pPr>
      <w:r w:rsidRPr="00867F85">
        <w:rPr>
          <w:rFonts w:ascii="Times New Roman" w:hAnsi="Times New Roman" w:cs="Times New Roman"/>
          <w:b/>
          <w:bCs/>
          <w:szCs w:val="24"/>
        </w:rPr>
        <w:t>Key findings</w:t>
      </w:r>
      <w:r w:rsidR="00E12226" w:rsidRPr="00E12226">
        <w:rPr>
          <w:rFonts w:ascii="Times New Roman" w:hAnsi="Times New Roman" w:cs="Times New Roman"/>
          <w:b/>
          <w:bCs/>
          <w:szCs w:val="24"/>
        </w:rPr>
        <w:t>:</w:t>
      </w:r>
    </w:p>
    <w:p w14:paraId="4675533A" w14:textId="4B9CEA2A" w:rsidR="00867F85" w:rsidRPr="00867F85" w:rsidRDefault="00867F85" w:rsidP="00260F35">
      <w:pPr>
        <w:spacing w:line="360" w:lineRule="auto"/>
        <w:rPr>
          <w:rFonts w:ascii="Times New Roman" w:hAnsi="Times New Roman" w:cs="Times New Roman"/>
          <w:szCs w:val="24"/>
        </w:rPr>
      </w:pPr>
      <w:r w:rsidRPr="00867F85">
        <w:rPr>
          <w:rFonts w:ascii="Times New Roman" w:hAnsi="Times New Roman" w:cs="Times New Roman"/>
          <w:szCs w:val="24"/>
        </w:rPr>
        <w:t xml:space="preserve">The study reports a strong positive relationship between strategic management dimensions (planning and analysis) and the ability to manage risks and recommends building a culture encouraging transparency and learning from mistakes.  </w:t>
      </w:r>
    </w:p>
    <w:p w14:paraId="36C89811" w14:textId="77777777" w:rsidR="00E12226" w:rsidRPr="00863FB5" w:rsidRDefault="00867F85" w:rsidP="00863FB5">
      <w:pPr>
        <w:keepNext/>
        <w:keepLines/>
        <w:rPr>
          <w:rFonts w:ascii="Times New Roman" w:hAnsi="Times New Roman" w:cs="Times New Roman"/>
          <w:b/>
          <w:bCs/>
          <w:szCs w:val="24"/>
        </w:rPr>
      </w:pPr>
      <w:r w:rsidRPr="00867F85">
        <w:rPr>
          <w:rFonts w:ascii="Times New Roman" w:hAnsi="Times New Roman" w:cs="Times New Roman"/>
          <w:b/>
          <w:bCs/>
          <w:szCs w:val="24"/>
        </w:rPr>
        <w:lastRenderedPageBreak/>
        <w:t>Relevance to current study</w:t>
      </w:r>
      <w:r>
        <w:rPr>
          <w:rFonts w:ascii="Times New Roman" w:hAnsi="Times New Roman" w:cs="Times New Roman"/>
          <w:b/>
          <w:bCs/>
          <w:szCs w:val="24"/>
        </w:rPr>
        <w:t>:</w:t>
      </w:r>
    </w:p>
    <w:p w14:paraId="1E06BD61" w14:textId="6BB26B3B" w:rsidR="00867F85" w:rsidRDefault="00867F85" w:rsidP="00260F35">
      <w:pPr>
        <w:spacing w:line="360" w:lineRule="auto"/>
        <w:rPr>
          <w:rFonts w:ascii="Times New Roman" w:hAnsi="Times New Roman" w:cs="Times New Roman"/>
          <w:szCs w:val="24"/>
        </w:rPr>
      </w:pPr>
      <w:r w:rsidRPr="00867F85">
        <w:rPr>
          <w:rFonts w:ascii="Times New Roman" w:hAnsi="Times New Roman" w:cs="Times New Roman"/>
          <w:szCs w:val="24"/>
        </w:rPr>
        <w:t xml:space="preserve">This study is useful in positioning risk management as behaviorally dependent, </w:t>
      </w:r>
      <w:proofErr w:type="gramStart"/>
      <w:r w:rsidRPr="00867F85">
        <w:rPr>
          <w:rFonts w:ascii="Times New Roman" w:hAnsi="Times New Roman" w:cs="Times New Roman"/>
          <w:szCs w:val="24"/>
        </w:rPr>
        <w:t>not only structurally</w:t>
      </w:r>
      <w:proofErr w:type="gramEnd"/>
      <w:r w:rsidRPr="00867F85">
        <w:rPr>
          <w:rFonts w:ascii="Times New Roman" w:hAnsi="Times New Roman" w:cs="Times New Roman"/>
          <w:szCs w:val="24"/>
        </w:rPr>
        <w:t xml:space="preserve"> designed. It strengthens the argument that risk</w:t>
      </w:r>
      <w:r>
        <w:rPr>
          <w:rFonts w:ascii="Times New Roman" w:hAnsi="Times New Roman" w:cs="Times New Roman"/>
          <w:szCs w:val="24"/>
        </w:rPr>
        <w:t xml:space="preserve"> </w:t>
      </w:r>
      <w:r w:rsidRPr="00867F85">
        <w:rPr>
          <w:rFonts w:ascii="Times New Roman" w:hAnsi="Times New Roman" w:cs="Times New Roman"/>
          <w:szCs w:val="24"/>
        </w:rPr>
        <w:t>related initiatives are effective when they shape how employees think and behave</w:t>
      </w:r>
      <w:r>
        <w:rPr>
          <w:rFonts w:ascii="Times New Roman" w:hAnsi="Times New Roman" w:cs="Times New Roman"/>
          <w:szCs w:val="24"/>
        </w:rPr>
        <w:t>,</w:t>
      </w:r>
      <w:r w:rsidRPr="00867F85">
        <w:rPr>
          <w:rFonts w:ascii="Times New Roman" w:hAnsi="Times New Roman" w:cs="Times New Roman"/>
          <w:szCs w:val="24"/>
        </w:rPr>
        <w:t xml:space="preserve"> directly aligned with the current study’s interest in cultural dimensions (ownership, accountability, awareness, proactive behavior).</w:t>
      </w:r>
    </w:p>
    <w:p w14:paraId="44186C25" w14:textId="4D1F77E5" w:rsidR="00867F85" w:rsidRPr="003F52B9" w:rsidRDefault="00867F85" w:rsidP="00863FB5">
      <w:pPr>
        <w:keepNext/>
        <w:keepLines/>
        <w:rPr>
          <w:rFonts w:ascii="Times New Roman" w:hAnsi="Times New Roman" w:cs="Times New Roman"/>
          <w:b/>
          <w:bCs/>
          <w:szCs w:val="24"/>
        </w:rPr>
      </w:pPr>
      <w:r w:rsidRPr="003F52B9">
        <w:rPr>
          <w:rFonts w:ascii="Times New Roman" w:hAnsi="Times New Roman" w:cs="Times New Roman"/>
          <w:b/>
          <w:bCs/>
          <w:szCs w:val="24"/>
        </w:rPr>
        <w:t>Study A4: Atiya (2021)</w:t>
      </w:r>
    </w:p>
    <w:p w14:paraId="3AA96656" w14:textId="77777777" w:rsidR="00E12226" w:rsidRDefault="00867F85" w:rsidP="00863FB5">
      <w:pPr>
        <w:keepNext/>
        <w:keepLines/>
        <w:rPr>
          <w:rFonts w:ascii="Times New Roman" w:hAnsi="Times New Roman" w:cs="Times New Roman"/>
          <w:b/>
          <w:bCs/>
          <w:szCs w:val="24"/>
        </w:rPr>
      </w:pPr>
      <w:r w:rsidRPr="003F52B9">
        <w:rPr>
          <w:rFonts w:ascii="Times New Roman" w:hAnsi="Times New Roman" w:cs="Times New Roman"/>
          <w:b/>
          <w:bCs/>
          <w:szCs w:val="24"/>
        </w:rPr>
        <w:t>Reference:</w:t>
      </w:r>
    </w:p>
    <w:p w14:paraId="113E1B97" w14:textId="5A6AB77A" w:rsidR="00867F85" w:rsidRDefault="00867F85" w:rsidP="00260F35">
      <w:pPr>
        <w:spacing w:line="360" w:lineRule="auto"/>
        <w:rPr>
          <w:rFonts w:ascii="Times New Roman" w:hAnsi="Times New Roman" w:cs="Times New Roman"/>
          <w:szCs w:val="24"/>
        </w:rPr>
      </w:pPr>
      <w:r>
        <w:rPr>
          <w:rFonts w:ascii="Times New Roman" w:hAnsi="Times New Roman" w:cs="Times New Roman"/>
          <w:szCs w:val="24"/>
        </w:rPr>
        <w:t xml:space="preserve"> </w:t>
      </w:r>
      <w:r w:rsidR="009D33A5">
        <w:rPr>
          <w:rFonts w:ascii="Times New Roman" w:hAnsi="Times New Roman" w:cs="Times New Roman"/>
          <w:szCs w:val="24"/>
        </w:rPr>
        <w:tab/>
      </w:r>
      <w:r w:rsidRPr="00867F85">
        <w:rPr>
          <w:rFonts w:ascii="Times New Roman" w:hAnsi="Times New Roman" w:cs="Times New Roman"/>
          <w:szCs w:val="24"/>
          <w:rtl/>
        </w:rPr>
        <w:t>عطية، (2021). ثلاثية: الثقافة، المخاطر السلوكية، والمراجعة الداخلية في صناعة الخدمات المالية. مجلة علمية منشورة عبر منصة بنك المعرفة المصري</w:t>
      </w:r>
    </w:p>
    <w:p w14:paraId="24BCF373" w14:textId="77777777" w:rsidR="00E12226" w:rsidRPr="00863FB5" w:rsidRDefault="003F52B9" w:rsidP="00863FB5">
      <w:pPr>
        <w:keepNext/>
        <w:keepLines/>
        <w:rPr>
          <w:rFonts w:ascii="Times New Roman" w:hAnsi="Times New Roman" w:cs="Times New Roman"/>
          <w:b/>
          <w:bCs/>
          <w:szCs w:val="24"/>
        </w:rPr>
      </w:pPr>
      <w:r w:rsidRPr="003F52B9">
        <w:rPr>
          <w:rFonts w:ascii="Times New Roman" w:hAnsi="Times New Roman" w:cs="Times New Roman"/>
          <w:b/>
          <w:bCs/>
          <w:szCs w:val="24"/>
        </w:rPr>
        <w:t>Method:</w:t>
      </w:r>
    </w:p>
    <w:p w14:paraId="77C18188" w14:textId="7C82106C" w:rsidR="003F52B9" w:rsidRPr="003F52B9" w:rsidRDefault="003F52B9" w:rsidP="00260F35">
      <w:pPr>
        <w:spacing w:line="360" w:lineRule="auto"/>
        <w:rPr>
          <w:rFonts w:ascii="Times New Roman" w:hAnsi="Times New Roman" w:cs="Times New Roman"/>
          <w:szCs w:val="24"/>
        </w:rPr>
      </w:pPr>
      <w:r w:rsidRPr="003F52B9">
        <w:rPr>
          <w:rFonts w:ascii="Times New Roman" w:hAnsi="Times New Roman" w:cs="Times New Roman"/>
          <w:szCs w:val="24"/>
        </w:rPr>
        <w:t>The study adopts a conceptual and analytical approach, examining the interrelationship between organizational culture, behavioral risks, and internal audit functions within the financial services sector. It analyzes how cultural patterns influence the emergence and control of behavioral risk.</w:t>
      </w:r>
    </w:p>
    <w:p w14:paraId="5D520262" w14:textId="77777777" w:rsidR="00E12226" w:rsidRPr="00863FB5" w:rsidRDefault="003F52B9" w:rsidP="00863FB5">
      <w:pPr>
        <w:keepNext/>
        <w:keepLines/>
        <w:rPr>
          <w:rFonts w:ascii="Times New Roman" w:hAnsi="Times New Roman" w:cs="Times New Roman"/>
          <w:b/>
          <w:bCs/>
          <w:szCs w:val="24"/>
        </w:rPr>
      </w:pPr>
      <w:r w:rsidRPr="003F52B9">
        <w:rPr>
          <w:rFonts w:ascii="Times New Roman" w:hAnsi="Times New Roman" w:cs="Times New Roman"/>
          <w:b/>
          <w:bCs/>
          <w:szCs w:val="24"/>
        </w:rPr>
        <w:t>Key Findings:</w:t>
      </w:r>
    </w:p>
    <w:p w14:paraId="5C0A0C23" w14:textId="0F5F7D2E" w:rsidR="003F52B9" w:rsidRPr="003F52B9" w:rsidRDefault="003F52B9" w:rsidP="00260F35">
      <w:pPr>
        <w:spacing w:line="360" w:lineRule="auto"/>
        <w:rPr>
          <w:rFonts w:ascii="Times New Roman" w:hAnsi="Times New Roman" w:cs="Times New Roman"/>
          <w:szCs w:val="24"/>
        </w:rPr>
      </w:pPr>
      <w:r w:rsidRPr="003F52B9">
        <w:rPr>
          <w:rFonts w:ascii="Times New Roman" w:hAnsi="Times New Roman" w:cs="Times New Roman"/>
          <w:szCs w:val="24"/>
        </w:rPr>
        <w:t>The study concludes that risk culture plays a fundamental role in shaping employee behavior and controlling misconduct-related risks. It emphasizes that formal control mechanisms, including internal audit systems, cannot function effectively in the absence of a strong organizational culture that supports accountability, transparency, and ethical conduct.</w:t>
      </w:r>
    </w:p>
    <w:p w14:paraId="2909C4C9" w14:textId="77777777" w:rsidR="00E12226" w:rsidRPr="00863FB5" w:rsidRDefault="003F52B9" w:rsidP="00863FB5">
      <w:pPr>
        <w:keepNext/>
        <w:keepLines/>
        <w:rPr>
          <w:rFonts w:ascii="Times New Roman" w:hAnsi="Times New Roman" w:cs="Times New Roman"/>
          <w:b/>
          <w:bCs/>
          <w:szCs w:val="24"/>
        </w:rPr>
      </w:pPr>
      <w:r w:rsidRPr="003F52B9">
        <w:rPr>
          <w:rFonts w:ascii="Times New Roman" w:hAnsi="Times New Roman" w:cs="Times New Roman"/>
          <w:b/>
          <w:bCs/>
          <w:szCs w:val="24"/>
        </w:rPr>
        <w:t>Relevance to Current Study:</w:t>
      </w:r>
    </w:p>
    <w:p w14:paraId="1977EBF8" w14:textId="5D4E89CF" w:rsidR="00867F85" w:rsidRPr="00867F85" w:rsidRDefault="003F52B9" w:rsidP="00260F35">
      <w:pPr>
        <w:spacing w:line="360" w:lineRule="auto"/>
        <w:rPr>
          <w:rFonts w:ascii="Times New Roman" w:hAnsi="Times New Roman" w:cs="Times New Roman"/>
          <w:szCs w:val="24"/>
        </w:rPr>
      </w:pPr>
      <w:r w:rsidRPr="003F52B9">
        <w:rPr>
          <w:rFonts w:ascii="Times New Roman" w:hAnsi="Times New Roman" w:cs="Times New Roman"/>
          <w:szCs w:val="24"/>
        </w:rPr>
        <w:t>Although the context of this study is the financial services industry, its findings reinforce the core premise of the present research: risk management effectiveness is deeply influenced by organizational culture. The study supports the argument that structured governance mechanisms alone are insufficient unless they influence behavioral norms. This strengthens the justification for examining whether participatory mechanisms such as Bottom-Up Risk Assessment contribute to enhancing measurable dimensions of risk culture within a Shared Services environment.</w:t>
      </w:r>
    </w:p>
    <w:p w14:paraId="564BF4B4" w14:textId="11D9D1AF" w:rsidR="00681073" w:rsidRPr="007E5B70" w:rsidRDefault="00D1693E" w:rsidP="00863FB5">
      <w:pPr>
        <w:pStyle w:val="Heading3"/>
      </w:pPr>
      <w:bookmarkStart w:id="13" w:name="_Toc223634755"/>
      <w:r w:rsidRPr="007E5B70">
        <w:t>E</w:t>
      </w:r>
      <w:r w:rsidR="00681073" w:rsidRPr="007E5B70">
        <w:t>. English Studies</w:t>
      </w:r>
      <w:bookmarkEnd w:id="13"/>
    </w:p>
    <w:p w14:paraId="44D338A4" w14:textId="79BC2FFD" w:rsidR="00A34469" w:rsidRPr="00A34469" w:rsidRDefault="00A34469" w:rsidP="00260F35">
      <w:pPr>
        <w:spacing w:line="360" w:lineRule="auto"/>
        <w:rPr>
          <w:rFonts w:ascii="Times New Roman" w:hAnsi="Times New Roman" w:cs="Times New Roman"/>
          <w:szCs w:val="24"/>
        </w:rPr>
      </w:pPr>
      <w:r w:rsidRPr="00A34469">
        <w:rPr>
          <w:rFonts w:ascii="Times New Roman" w:hAnsi="Times New Roman" w:cs="Times New Roman"/>
          <w:szCs w:val="24"/>
        </w:rPr>
        <w:t xml:space="preserve">International research on enterprise risk management (ERM) and risk culture has evolved significantly over the past decade, particularly following the global financial crisis and the increasing emphasis on governance and resilience. Unlike some regional studies that </w:t>
      </w:r>
      <w:proofErr w:type="gramStart"/>
      <w:r w:rsidRPr="00A34469">
        <w:rPr>
          <w:rFonts w:ascii="Times New Roman" w:hAnsi="Times New Roman" w:cs="Times New Roman"/>
          <w:szCs w:val="24"/>
        </w:rPr>
        <w:t>operationalize</w:t>
      </w:r>
      <w:proofErr w:type="gramEnd"/>
      <w:r w:rsidRPr="00A34469">
        <w:rPr>
          <w:rFonts w:ascii="Times New Roman" w:hAnsi="Times New Roman" w:cs="Times New Roman"/>
          <w:szCs w:val="24"/>
        </w:rPr>
        <w:t xml:space="preserve"> risk culture indirectly through governance-related constructs, international literature often treats risk culture as an explicit conceptual and empirical variable.</w:t>
      </w:r>
    </w:p>
    <w:p w14:paraId="45EA8460" w14:textId="523BC26A" w:rsidR="00A34469" w:rsidRPr="00A34469" w:rsidRDefault="00A34469" w:rsidP="00260F35">
      <w:pPr>
        <w:spacing w:line="360" w:lineRule="auto"/>
        <w:rPr>
          <w:rFonts w:ascii="Times New Roman" w:hAnsi="Times New Roman" w:cs="Times New Roman"/>
          <w:szCs w:val="24"/>
        </w:rPr>
      </w:pPr>
      <w:r w:rsidRPr="00A34469">
        <w:rPr>
          <w:rFonts w:ascii="Times New Roman" w:hAnsi="Times New Roman" w:cs="Times New Roman"/>
          <w:szCs w:val="24"/>
        </w:rPr>
        <w:lastRenderedPageBreak/>
        <w:t>Recent English-language studies have examined the behavioral, structural, and institutional dimensions of risk culture, linking it to leadership tone, employee participation, communication quality, and accountability mechanisms. Furthermore, empirical research has increasingly explored how participatory risk processes and de-centralized engagement contribute to embedding risk awareness within organizations.</w:t>
      </w:r>
    </w:p>
    <w:p w14:paraId="44C4EFB6" w14:textId="32924EC0" w:rsidR="00A34469" w:rsidRPr="00A34469" w:rsidRDefault="00A34469" w:rsidP="00260F35">
      <w:pPr>
        <w:spacing w:line="360" w:lineRule="auto"/>
        <w:rPr>
          <w:rFonts w:ascii="Times New Roman" w:hAnsi="Times New Roman" w:cs="Times New Roman"/>
          <w:szCs w:val="24"/>
        </w:rPr>
      </w:pPr>
      <w:r w:rsidRPr="00A34469">
        <w:rPr>
          <w:rFonts w:ascii="Times New Roman" w:hAnsi="Times New Roman" w:cs="Times New Roman"/>
          <w:szCs w:val="24"/>
        </w:rPr>
        <w:t>The following international studies provide empirical and theoretical foundations for understanding how structured risk practices</w:t>
      </w:r>
      <w:r>
        <w:rPr>
          <w:rFonts w:ascii="Times New Roman" w:hAnsi="Times New Roman" w:cs="Times New Roman"/>
          <w:szCs w:val="24"/>
        </w:rPr>
        <w:t xml:space="preserve">, </w:t>
      </w:r>
      <w:r w:rsidRPr="00A34469">
        <w:rPr>
          <w:rFonts w:ascii="Times New Roman" w:hAnsi="Times New Roman" w:cs="Times New Roman"/>
          <w:szCs w:val="24"/>
        </w:rPr>
        <w:t>particularly bottom-up engagement</w:t>
      </w:r>
      <w:r>
        <w:rPr>
          <w:rFonts w:ascii="Times New Roman" w:hAnsi="Times New Roman" w:cs="Times New Roman"/>
          <w:szCs w:val="24"/>
        </w:rPr>
        <w:t xml:space="preserve">, </w:t>
      </w:r>
      <w:r w:rsidRPr="00A34469">
        <w:rPr>
          <w:rFonts w:ascii="Times New Roman" w:hAnsi="Times New Roman" w:cs="Times New Roman"/>
          <w:szCs w:val="24"/>
        </w:rPr>
        <w:t>may influence cultural outcomes, governance maturity, and proactive risk behavior across organizations.</w:t>
      </w:r>
    </w:p>
    <w:p w14:paraId="3756471B" w14:textId="77777777" w:rsidR="00D1693E" w:rsidRPr="00D1693E" w:rsidRDefault="00D1693E" w:rsidP="00863FB5">
      <w:pPr>
        <w:keepNext/>
        <w:keepLines/>
        <w:rPr>
          <w:rFonts w:ascii="Times New Roman" w:hAnsi="Times New Roman" w:cs="Times New Roman"/>
          <w:b/>
          <w:bCs/>
          <w:szCs w:val="24"/>
        </w:rPr>
      </w:pPr>
      <w:r w:rsidRPr="00D1693E">
        <w:rPr>
          <w:rFonts w:ascii="Times New Roman" w:hAnsi="Times New Roman" w:cs="Times New Roman"/>
          <w:b/>
          <w:bCs/>
          <w:szCs w:val="24"/>
        </w:rPr>
        <w:t>Study E1: Bromiley et al. (2015)</w:t>
      </w:r>
    </w:p>
    <w:p w14:paraId="7908288D" w14:textId="77777777" w:rsidR="00E12226" w:rsidRPr="00863FB5" w:rsidRDefault="00D1693E" w:rsidP="00863FB5">
      <w:pPr>
        <w:keepNext/>
        <w:keepLines/>
        <w:rPr>
          <w:rFonts w:ascii="Times New Roman" w:hAnsi="Times New Roman" w:cs="Times New Roman"/>
          <w:b/>
          <w:bCs/>
          <w:szCs w:val="24"/>
        </w:rPr>
      </w:pPr>
      <w:r w:rsidRPr="001B6A3B">
        <w:rPr>
          <w:rFonts w:ascii="Times New Roman" w:hAnsi="Times New Roman" w:cs="Times New Roman"/>
          <w:b/>
          <w:bCs/>
          <w:szCs w:val="24"/>
        </w:rPr>
        <w:t>Reference</w:t>
      </w:r>
      <w:r w:rsidR="00127FCC" w:rsidRPr="001B6A3B">
        <w:rPr>
          <w:rFonts w:ascii="Times New Roman" w:hAnsi="Times New Roman" w:cs="Times New Roman"/>
          <w:b/>
          <w:bCs/>
          <w:szCs w:val="24"/>
        </w:rPr>
        <w:t>:</w:t>
      </w:r>
    </w:p>
    <w:p w14:paraId="6DB50340" w14:textId="73935CFD" w:rsidR="00D1693E" w:rsidRDefault="00D1693E" w:rsidP="00260F35">
      <w:pPr>
        <w:spacing w:line="360" w:lineRule="auto"/>
        <w:rPr>
          <w:rFonts w:ascii="Times New Roman" w:hAnsi="Times New Roman" w:cs="Times New Roman"/>
          <w:szCs w:val="24"/>
        </w:rPr>
      </w:pPr>
      <w:r w:rsidRPr="00D1693E">
        <w:rPr>
          <w:rFonts w:ascii="Times New Roman" w:hAnsi="Times New Roman" w:cs="Times New Roman"/>
          <w:szCs w:val="24"/>
        </w:rPr>
        <w:t xml:space="preserve">Bromiley, P., McShane, M., Nair, A., &amp; </w:t>
      </w:r>
      <w:proofErr w:type="spellStart"/>
      <w:r w:rsidRPr="00D1693E">
        <w:rPr>
          <w:rFonts w:ascii="Times New Roman" w:hAnsi="Times New Roman" w:cs="Times New Roman"/>
          <w:szCs w:val="24"/>
        </w:rPr>
        <w:t>Rustambekov</w:t>
      </w:r>
      <w:proofErr w:type="spellEnd"/>
      <w:r w:rsidRPr="00D1693E">
        <w:rPr>
          <w:rFonts w:ascii="Times New Roman" w:hAnsi="Times New Roman" w:cs="Times New Roman"/>
          <w:szCs w:val="24"/>
        </w:rPr>
        <w:t xml:space="preserve">, E. (2015). Enterprise risk management: Review, critique, and research directions. Long Range Planning, 48(4), 265–276. </w:t>
      </w:r>
    </w:p>
    <w:p w14:paraId="576AB84B" w14:textId="77777777" w:rsidR="00E12226" w:rsidRPr="00863FB5" w:rsidRDefault="00D1693E" w:rsidP="00863FB5">
      <w:pPr>
        <w:keepNext/>
        <w:keepLines/>
        <w:rPr>
          <w:rFonts w:ascii="Times New Roman" w:hAnsi="Times New Roman" w:cs="Times New Roman"/>
          <w:b/>
          <w:bCs/>
          <w:szCs w:val="24"/>
        </w:rPr>
      </w:pPr>
      <w:r w:rsidRPr="001B6A3B">
        <w:rPr>
          <w:rFonts w:ascii="Times New Roman" w:hAnsi="Times New Roman" w:cs="Times New Roman"/>
          <w:b/>
          <w:bCs/>
          <w:szCs w:val="24"/>
        </w:rPr>
        <w:t>Method</w:t>
      </w:r>
      <w:r w:rsidR="001B6A3B" w:rsidRPr="001B6A3B">
        <w:rPr>
          <w:rFonts w:ascii="Times New Roman" w:hAnsi="Times New Roman" w:cs="Times New Roman"/>
          <w:b/>
          <w:bCs/>
          <w:szCs w:val="24"/>
        </w:rPr>
        <w:t>:</w:t>
      </w:r>
    </w:p>
    <w:p w14:paraId="45721E1B" w14:textId="6BA9428B" w:rsidR="00D1693E" w:rsidRPr="00D1693E" w:rsidRDefault="00D1693E" w:rsidP="00260F35">
      <w:pPr>
        <w:spacing w:line="360" w:lineRule="auto"/>
        <w:rPr>
          <w:rFonts w:ascii="Times New Roman" w:hAnsi="Times New Roman" w:cs="Times New Roman"/>
          <w:szCs w:val="24"/>
        </w:rPr>
      </w:pPr>
      <w:r w:rsidRPr="00D1693E">
        <w:rPr>
          <w:rFonts w:ascii="Times New Roman" w:hAnsi="Times New Roman" w:cs="Times New Roman"/>
          <w:szCs w:val="24"/>
        </w:rPr>
        <w:t>This study adopts a comprehensive literature review and conceptual analysis approach. The authors critically examine existing empirical research on Enterprise Risk Management (ERM), evaluate methodological limitations, and propose directions for future research in ERM scholarship.</w:t>
      </w:r>
    </w:p>
    <w:p w14:paraId="64267078" w14:textId="77777777" w:rsidR="00E12226" w:rsidRPr="00863FB5" w:rsidRDefault="00D1693E" w:rsidP="00863FB5">
      <w:pPr>
        <w:keepNext/>
        <w:keepLines/>
        <w:rPr>
          <w:rFonts w:ascii="Times New Roman" w:hAnsi="Times New Roman" w:cs="Times New Roman"/>
          <w:b/>
          <w:bCs/>
          <w:szCs w:val="24"/>
        </w:rPr>
      </w:pPr>
      <w:r w:rsidRPr="001B6A3B">
        <w:rPr>
          <w:rFonts w:ascii="Times New Roman" w:hAnsi="Times New Roman" w:cs="Times New Roman"/>
          <w:b/>
          <w:bCs/>
          <w:szCs w:val="24"/>
        </w:rPr>
        <w:t>Key Findings</w:t>
      </w:r>
      <w:r w:rsidR="001B6A3B" w:rsidRPr="001B6A3B">
        <w:rPr>
          <w:rFonts w:ascii="Times New Roman" w:hAnsi="Times New Roman" w:cs="Times New Roman"/>
          <w:b/>
          <w:bCs/>
          <w:szCs w:val="24"/>
        </w:rPr>
        <w:t>:</w:t>
      </w:r>
    </w:p>
    <w:p w14:paraId="58D2C150" w14:textId="3D9A511C" w:rsidR="00D1693E" w:rsidRPr="00D1693E" w:rsidRDefault="00D1693E" w:rsidP="00260F35">
      <w:pPr>
        <w:spacing w:line="360" w:lineRule="auto"/>
        <w:rPr>
          <w:rFonts w:ascii="Times New Roman" w:hAnsi="Times New Roman" w:cs="Times New Roman"/>
          <w:szCs w:val="24"/>
        </w:rPr>
      </w:pPr>
      <w:r w:rsidRPr="00D1693E">
        <w:rPr>
          <w:rFonts w:ascii="Times New Roman" w:hAnsi="Times New Roman" w:cs="Times New Roman"/>
          <w:szCs w:val="24"/>
        </w:rPr>
        <w:t>The study argues that many ERM implementations are symbolic rather than substantive. It highlights that the effectiveness of ERM depends on integration into governance systems and decision-making processes rather than mere structural adoption. The authors emphasize the need for empirical research examining behavioral and organizational mechanisms through which ERM influences outcomes.</w:t>
      </w:r>
    </w:p>
    <w:p w14:paraId="42F5398B" w14:textId="77777777" w:rsidR="00E12226" w:rsidRPr="00D21765" w:rsidRDefault="00D1693E" w:rsidP="00D21765">
      <w:pPr>
        <w:keepNext/>
        <w:keepLines/>
        <w:rPr>
          <w:rFonts w:ascii="Times New Roman" w:hAnsi="Times New Roman" w:cs="Times New Roman"/>
          <w:b/>
          <w:bCs/>
          <w:szCs w:val="24"/>
        </w:rPr>
      </w:pPr>
      <w:r w:rsidRPr="00F4362E">
        <w:rPr>
          <w:rFonts w:ascii="Times New Roman" w:hAnsi="Times New Roman" w:cs="Times New Roman"/>
          <w:b/>
          <w:bCs/>
          <w:szCs w:val="24"/>
        </w:rPr>
        <w:t>Relevance to Current Study</w:t>
      </w:r>
      <w:r w:rsidR="00F4362E" w:rsidRPr="00F4362E">
        <w:rPr>
          <w:rFonts w:ascii="Times New Roman" w:hAnsi="Times New Roman" w:cs="Times New Roman"/>
          <w:b/>
          <w:bCs/>
          <w:szCs w:val="24"/>
        </w:rPr>
        <w:t>:</w:t>
      </w:r>
    </w:p>
    <w:p w14:paraId="6CBAB322" w14:textId="1C429FB2" w:rsidR="00D1693E" w:rsidRDefault="00D1693E" w:rsidP="00260F35">
      <w:pPr>
        <w:spacing w:line="360" w:lineRule="auto"/>
        <w:rPr>
          <w:rFonts w:ascii="Times New Roman" w:hAnsi="Times New Roman" w:cs="Times New Roman"/>
          <w:szCs w:val="24"/>
        </w:rPr>
      </w:pPr>
      <w:r w:rsidRPr="00D1693E">
        <w:rPr>
          <w:rFonts w:ascii="Times New Roman" w:hAnsi="Times New Roman" w:cs="Times New Roman"/>
          <w:szCs w:val="24"/>
        </w:rPr>
        <w:t>This study provides a foundational justification for examining ERM beyond structural implementation. It supports the premise that participatory mechanisms such as Bottom-Up Risk Assessment should be evaluated based on their influence on behavioral and cultural dimensions rather than procedural existence. The current study responds directly to the call for more empirical investigation into how ERM practices translate into measurable organizational outcomes.</w:t>
      </w:r>
    </w:p>
    <w:p w14:paraId="05BB21A5" w14:textId="77777777" w:rsidR="00F4362E" w:rsidRPr="00F4362E" w:rsidRDefault="00F4362E" w:rsidP="00D21765">
      <w:pPr>
        <w:keepNext/>
        <w:keepLines/>
        <w:rPr>
          <w:rFonts w:ascii="Times New Roman" w:hAnsi="Times New Roman" w:cs="Times New Roman"/>
          <w:b/>
          <w:bCs/>
          <w:szCs w:val="24"/>
        </w:rPr>
      </w:pPr>
      <w:r w:rsidRPr="00F4362E">
        <w:rPr>
          <w:rFonts w:ascii="Times New Roman" w:hAnsi="Times New Roman" w:cs="Times New Roman"/>
          <w:b/>
          <w:bCs/>
          <w:szCs w:val="24"/>
        </w:rPr>
        <w:lastRenderedPageBreak/>
        <w:t>Study E2: Grace et al. (2015)</w:t>
      </w:r>
    </w:p>
    <w:p w14:paraId="2938B7EF" w14:textId="77777777" w:rsidR="00E12226" w:rsidRDefault="00F4362E" w:rsidP="00D21765">
      <w:pPr>
        <w:keepNext/>
        <w:keepLines/>
        <w:rPr>
          <w:rFonts w:ascii="Times New Roman" w:hAnsi="Times New Roman" w:cs="Times New Roman"/>
          <w:szCs w:val="24"/>
        </w:rPr>
      </w:pPr>
      <w:r w:rsidRPr="00F4362E">
        <w:rPr>
          <w:rFonts w:ascii="Times New Roman" w:hAnsi="Times New Roman" w:cs="Times New Roman"/>
          <w:b/>
          <w:bCs/>
          <w:szCs w:val="24"/>
        </w:rPr>
        <w:t>Reference:</w:t>
      </w:r>
    </w:p>
    <w:p w14:paraId="33774A33" w14:textId="431A029D" w:rsidR="00F4362E" w:rsidRPr="00F4362E" w:rsidRDefault="00F4362E" w:rsidP="00260F35">
      <w:pPr>
        <w:spacing w:line="360" w:lineRule="auto"/>
        <w:rPr>
          <w:rFonts w:ascii="Times New Roman" w:hAnsi="Times New Roman" w:cs="Times New Roman"/>
          <w:szCs w:val="24"/>
        </w:rPr>
      </w:pPr>
      <w:r w:rsidRPr="00F4362E">
        <w:rPr>
          <w:rFonts w:ascii="Times New Roman" w:hAnsi="Times New Roman" w:cs="Times New Roman"/>
          <w:szCs w:val="24"/>
        </w:rPr>
        <w:t xml:space="preserve">Grace, M. F., Leverty, J. T., Phillips, R. D., &amp; Shimpi, P. (2015). The value of investing in enterprise risk management. Journal of Risk and Insurance, 82(2), 289–316. </w:t>
      </w:r>
    </w:p>
    <w:p w14:paraId="15412506" w14:textId="77777777" w:rsidR="00E12226" w:rsidRPr="008647DF" w:rsidRDefault="00F4362E" w:rsidP="008647DF">
      <w:pPr>
        <w:keepNext/>
        <w:keepLines/>
        <w:rPr>
          <w:rFonts w:ascii="Times New Roman" w:hAnsi="Times New Roman" w:cs="Times New Roman"/>
          <w:b/>
          <w:bCs/>
          <w:szCs w:val="24"/>
        </w:rPr>
      </w:pPr>
      <w:r w:rsidRPr="00F4362E">
        <w:rPr>
          <w:rFonts w:ascii="Times New Roman" w:hAnsi="Times New Roman" w:cs="Times New Roman"/>
          <w:b/>
          <w:bCs/>
          <w:szCs w:val="24"/>
        </w:rPr>
        <w:t>Method:</w:t>
      </w:r>
    </w:p>
    <w:p w14:paraId="5ECC3787" w14:textId="7604125B" w:rsidR="00F4362E" w:rsidRPr="00F4362E" w:rsidRDefault="00F4362E" w:rsidP="00260F35">
      <w:pPr>
        <w:spacing w:line="360" w:lineRule="auto"/>
        <w:rPr>
          <w:rFonts w:ascii="Times New Roman" w:hAnsi="Times New Roman" w:cs="Times New Roman"/>
          <w:szCs w:val="24"/>
        </w:rPr>
      </w:pPr>
      <w:r w:rsidRPr="00F4362E">
        <w:rPr>
          <w:rFonts w:ascii="Times New Roman" w:hAnsi="Times New Roman" w:cs="Times New Roman"/>
          <w:szCs w:val="24"/>
        </w:rPr>
        <w:t>The study employs an empirical quantitative design using data from U.S. insurance firms. The authors apply regression analysis to examine whether firms that implement formal ERM programs experience measurable value improvements compared to non</w:t>
      </w:r>
      <w:r>
        <w:rPr>
          <w:rFonts w:ascii="Times New Roman" w:hAnsi="Times New Roman" w:cs="Times New Roman"/>
          <w:szCs w:val="24"/>
        </w:rPr>
        <w:t>-</w:t>
      </w:r>
      <w:r w:rsidRPr="00F4362E">
        <w:rPr>
          <w:rFonts w:ascii="Times New Roman" w:hAnsi="Times New Roman" w:cs="Times New Roman"/>
          <w:szCs w:val="24"/>
        </w:rPr>
        <w:t>adopters.</w:t>
      </w:r>
    </w:p>
    <w:p w14:paraId="2184697F" w14:textId="77777777" w:rsidR="00E12226" w:rsidRPr="008647DF" w:rsidRDefault="00F4362E" w:rsidP="008647DF">
      <w:pPr>
        <w:keepNext/>
        <w:keepLines/>
        <w:rPr>
          <w:rFonts w:ascii="Times New Roman" w:hAnsi="Times New Roman" w:cs="Times New Roman"/>
          <w:b/>
          <w:bCs/>
          <w:szCs w:val="24"/>
        </w:rPr>
      </w:pPr>
      <w:r w:rsidRPr="00F4362E">
        <w:rPr>
          <w:rFonts w:ascii="Times New Roman" w:hAnsi="Times New Roman" w:cs="Times New Roman"/>
          <w:b/>
          <w:bCs/>
          <w:szCs w:val="24"/>
        </w:rPr>
        <w:t>Key Findings:</w:t>
      </w:r>
    </w:p>
    <w:p w14:paraId="129F1CFF" w14:textId="5629ED60" w:rsidR="00F4362E" w:rsidRPr="00F4362E" w:rsidRDefault="00F4362E" w:rsidP="00260F35">
      <w:pPr>
        <w:spacing w:line="360" w:lineRule="auto"/>
        <w:rPr>
          <w:rFonts w:ascii="Times New Roman" w:hAnsi="Times New Roman" w:cs="Times New Roman"/>
          <w:szCs w:val="24"/>
        </w:rPr>
      </w:pPr>
      <w:r w:rsidRPr="00F4362E">
        <w:rPr>
          <w:rFonts w:ascii="Times New Roman" w:hAnsi="Times New Roman" w:cs="Times New Roman"/>
          <w:szCs w:val="24"/>
        </w:rPr>
        <w:t>The findings indicate that firms investing in ERM exhibit higher firm value and improved performance stability. The results suggest that structured risk management enhances organizational resilience and reduces volatility in financial outcomes. However, the study focuses primarily on firm</w:t>
      </w:r>
      <w:r>
        <w:rPr>
          <w:rFonts w:ascii="Times New Roman" w:hAnsi="Times New Roman" w:cs="Times New Roman"/>
          <w:szCs w:val="24"/>
        </w:rPr>
        <w:t xml:space="preserve"> </w:t>
      </w:r>
      <w:r w:rsidRPr="00F4362E">
        <w:rPr>
          <w:rFonts w:ascii="Times New Roman" w:hAnsi="Times New Roman" w:cs="Times New Roman"/>
          <w:szCs w:val="24"/>
        </w:rPr>
        <w:t>level performance metrics rather than internal behavioral mechanisms.</w:t>
      </w:r>
    </w:p>
    <w:p w14:paraId="014195C9" w14:textId="77777777" w:rsidR="00E12226" w:rsidRPr="008647DF" w:rsidRDefault="00F4362E" w:rsidP="008647DF">
      <w:pPr>
        <w:keepNext/>
        <w:keepLines/>
        <w:rPr>
          <w:rFonts w:ascii="Times New Roman" w:hAnsi="Times New Roman" w:cs="Times New Roman"/>
          <w:b/>
          <w:bCs/>
          <w:szCs w:val="24"/>
        </w:rPr>
      </w:pPr>
      <w:r w:rsidRPr="00F4362E">
        <w:rPr>
          <w:rFonts w:ascii="Times New Roman" w:hAnsi="Times New Roman" w:cs="Times New Roman"/>
          <w:b/>
          <w:bCs/>
          <w:szCs w:val="24"/>
        </w:rPr>
        <w:t>Relevance to Current Study:</w:t>
      </w:r>
    </w:p>
    <w:p w14:paraId="7AB4C5AC" w14:textId="192A27B2" w:rsidR="00F4362E" w:rsidRDefault="00F4362E" w:rsidP="00260F35">
      <w:pPr>
        <w:spacing w:line="360" w:lineRule="auto"/>
        <w:rPr>
          <w:rFonts w:ascii="Times New Roman" w:hAnsi="Times New Roman" w:cs="Times New Roman"/>
          <w:szCs w:val="24"/>
        </w:rPr>
      </w:pPr>
      <w:r w:rsidRPr="00F4362E">
        <w:rPr>
          <w:rFonts w:ascii="Times New Roman" w:hAnsi="Times New Roman" w:cs="Times New Roman"/>
          <w:szCs w:val="24"/>
        </w:rPr>
        <w:t>This study supports the argument that structured ERM implementation can generate measurable organizational benefits. While Grace et al. focus on financial performance, the present research extends this logic by examining whether participatory ERM mechanisms</w:t>
      </w:r>
      <w:r>
        <w:rPr>
          <w:rFonts w:ascii="Times New Roman" w:hAnsi="Times New Roman" w:cs="Times New Roman"/>
          <w:szCs w:val="24"/>
        </w:rPr>
        <w:t xml:space="preserve">, </w:t>
      </w:r>
      <w:r w:rsidRPr="00F4362E">
        <w:rPr>
          <w:rFonts w:ascii="Times New Roman" w:hAnsi="Times New Roman" w:cs="Times New Roman"/>
          <w:szCs w:val="24"/>
        </w:rPr>
        <w:t>specifically Bottom-Up Risk Assessment</w:t>
      </w:r>
      <w:r>
        <w:rPr>
          <w:rFonts w:ascii="Times New Roman" w:hAnsi="Times New Roman" w:cs="Times New Roman"/>
          <w:szCs w:val="24"/>
        </w:rPr>
        <w:t xml:space="preserve">, </w:t>
      </w:r>
      <w:r w:rsidRPr="00F4362E">
        <w:rPr>
          <w:rFonts w:ascii="Times New Roman" w:hAnsi="Times New Roman" w:cs="Times New Roman"/>
          <w:szCs w:val="24"/>
        </w:rPr>
        <w:t>produce cultural and behavioral outcomes within a Shared Services environment. It shifts the analytical focus from firm value to employee</w:t>
      </w:r>
      <w:r>
        <w:rPr>
          <w:rFonts w:ascii="Times New Roman" w:hAnsi="Times New Roman" w:cs="Times New Roman"/>
          <w:szCs w:val="24"/>
        </w:rPr>
        <w:t xml:space="preserve"> </w:t>
      </w:r>
      <w:r w:rsidRPr="00F4362E">
        <w:rPr>
          <w:rFonts w:ascii="Times New Roman" w:hAnsi="Times New Roman" w:cs="Times New Roman"/>
          <w:szCs w:val="24"/>
        </w:rPr>
        <w:t>level risk culture enhancement.</w:t>
      </w:r>
    </w:p>
    <w:p w14:paraId="77D84DD1" w14:textId="77777777" w:rsidR="00F4362E" w:rsidRPr="008647DF" w:rsidRDefault="00F4362E" w:rsidP="008647DF">
      <w:pPr>
        <w:keepNext/>
        <w:keepLines/>
        <w:rPr>
          <w:rFonts w:ascii="Times New Roman" w:hAnsi="Times New Roman" w:cs="Times New Roman"/>
          <w:b/>
          <w:bCs/>
          <w:szCs w:val="24"/>
        </w:rPr>
      </w:pPr>
      <w:r w:rsidRPr="00D202C1">
        <w:rPr>
          <w:rFonts w:ascii="Times New Roman" w:hAnsi="Times New Roman" w:cs="Times New Roman"/>
          <w:b/>
          <w:bCs/>
          <w:szCs w:val="24"/>
        </w:rPr>
        <w:t>Study E3:</w:t>
      </w:r>
      <w:r w:rsidRPr="008647DF">
        <w:rPr>
          <w:rFonts w:ascii="Times New Roman" w:hAnsi="Times New Roman" w:cs="Times New Roman"/>
          <w:b/>
          <w:bCs/>
          <w:szCs w:val="24"/>
        </w:rPr>
        <w:t xml:space="preserve"> Callahan &amp; Soileau (2017)</w:t>
      </w:r>
    </w:p>
    <w:p w14:paraId="44299B8F" w14:textId="77777777" w:rsidR="00E12226" w:rsidRPr="008647DF" w:rsidRDefault="00F4362E" w:rsidP="008647DF">
      <w:pPr>
        <w:keepNext/>
        <w:keepLines/>
        <w:rPr>
          <w:rFonts w:ascii="Times New Roman" w:hAnsi="Times New Roman" w:cs="Times New Roman"/>
          <w:b/>
          <w:bCs/>
          <w:szCs w:val="24"/>
        </w:rPr>
      </w:pPr>
      <w:r w:rsidRPr="00D202C1">
        <w:rPr>
          <w:rFonts w:ascii="Times New Roman" w:hAnsi="Times New Roman" w:cs="Times New Roman"/>
          <w:b/>
          <w:bCs/>
          <w:szCs w:val="24"/>
        </w:rPr>
        <w:t>Reference:</w:t>
      </w:r>
    </w:p>
    <w:p w14:paraId="4E10627F" w14:textId="57BB2F7F" w:rsidR="00F4362E" w:rsidRPr="00F4362E" w:rsidRDefault="00F4362E" w:rsidP="00260F35">
      <w:pPr>
        <w:spacing w:line="360" w:lineRule="auto"/>
        <w:rPr>
          <w:rFonts w:ascii="Times New Roman" w:hAnsi="Times New Roman" w:cs="Times New Roman"/>
          <w:szCs w:val="24"/>
        </w:rPr>
      </w:pPr>
      <w:r w:rsidRPr="00F4362E">
        <w:rPr>
          <w:rFonts w:ascii="Times New Roman" w:hAnsi="Times New Roman" w:cs="Times New Roman"/>
          <w:szCs w:val="24"/>
        </w:rPr>
        <w:t xml:space="preserve">Callahan, C., &amp; Soileau, J. (2017). Does enterprise risk management enhance operating performance? Advances in Accounting, 37, 122–139. </w:t>
      </w:r>
    </w:p>
    <w:p w14:paraId="441963B8" w14:textId="77777777" w:rsidR="00E12226" w:rsidRPr="008647DF" w:rsidRDefault="00F4362E" w:rsidP="008647DF">
      <w:pPr>
        <w:keepNext/>
        <w:keepLines/>
        <w:rPr>
          <w:rFonts w:ascii="Times New Roman" w:hAnsi="Times New Roman" w:cs="Times New Roman"/>
          <w:b/>
          <w:bCs/>
          <w:szCs w:val="24"/>
        </w:rPr>
      </w:pPr>
      <w:r w:rsidRPr="00D202C1">
        <w:rPr>
          <w:rFonts w:ascii="Times New Roman" w:hAnsi="Times New Roman" w:cs="Times New Roman"/>
          <w:b/>
          <w:bCs/>
          <w:szCs w:val="24"/>
        </w:rPr>
        <w:t>Method:</w:t>
      </w:r>
    </w:p>
    <w:p w14:paraId="3263F77E" w14:textId="707E9B51" w:rsidR="00F4362E" w:rsidRPr="00F4362E" w:rsidRDefault="00F4362E" w:rsidP="00260F35">
      <w:pPr>
        <w:spacing w:line="360" w:lineRule="auto"/>
        <w:rPr>
          <w:rFonts w:ascii="Times New Roman" w:hAnsi="Times New Roman" w:cs="Times New Roman"/>
          <w:szCs w:val="24"/>
        </w:rPr>
      </w:pPr>
      <w:r w:rsidRPr="00F4362E">
        <w:rPr>
          <w:rFonts w:ascii="Times New Roman" w:hAnsi="Times New Roman" w:cs="Times New Roman"/>
          <w:szCs w:val="24"/>
        </w:rPr>
        <w:t>The study employs a quantitative empirical approach using archival financial data from publicly listed firms. Regression analysis is applied to examine the relationship between ERM implementation and operating performance indicators.</w:t>
      </w:r>
    </w:p>
    <w:p w14:paraId="029AE866" w14:textId="77777777" w:rsidR="00E12226" w:rsidRDefault="00F4362E" w:rsidP="008647DF">
      <w:pPr>
        <w:keepNext/>
        <w:keepLines/>
        <w:rPr>
          <w:rFonts w:ascii="Times New Roman" w:hAnsi="Times New Roman" w:cs="Times New Roman"/>
          <w:b/>
          <w:bCs/>
          <w:szCs w:val="24"/>
        </w:rPr>
      </w:pPr>
      <w:r w:rsidRPr="00D202C1">
        <w:rPr>
          <w:rFonts w:ascii="Times New Roman" w:hAnsi="Times New Roman" w:cs="Times New Roman"/>
          <w:b/>
          <w:bCs/>
          <w:szCs w:val="24"/>
        </w:rPr>
        <w:t>Key Findings:</w:t>
      </w:r>
    </w:p>
    <w:p w14:paraId="2EAA1BCD" w14:textId="09D31A0C" w:rsidR="00F4362E" w:rsidRPr="00F4362E" w:rsidRDefault="00F4362E" w:rsidP="00260F35">
      <w:pPr>
        <w:spacing w:line="360" w:lineRule="auto"/>
        <w:rPr>
          <w:rFonts w:ascii="Times New Roman" w:hAnsi="Times New Roman" w:cs="Times New Roman"/>
          <w:szCs w:val="24"/>
        </w:rPr>
      </w:pPr>
      <w:r w:rsidRPr="00F4362E">
        <w:rPr>
          <w:rFonts w:ascii="Times New Roman" w:hAnsi="Times New Roman" w:cs="Times New Roman"/>
          <w:szCs w:val="24"/>
        </w:rPr>
        <w:t xml:space="preserve">The results indicate that firms with more mature ERM practices demonstrate improved operating performance compared to firms with less developed risk management systems. The study suggests that integrated risk management contributes to better operational efficiency and governance </w:t>
      </w:r>
      <w:r w:rsidRPr="00F4362E">
        <w:rPr>
          <w:rFonts w:ascii="Times New Roman" w:hAnsi="Times New Roman" w:cs="Times New Roman"/>
          <w:szCs w:val="24"/>
        </w:rPr>
        <w:lastRenderedPageBreak/>
        <w:t>effectiveness. However, the analysis focuses on performance outcomes rather than examining internal cultural or behavioral dynamics.</w:t>
      </w:r>
    </w:p>
    <w:p w14:paraId="2BF5C23A" w14:textId="77777777" w:rsidR="00E12226" w:rsidRPr="008647DF" w:rsidRDefault="00F4362E" w:rsidP="008647DF">
      <w:pPr>
        <w:keepNext/>
        <w:keepLines/>
        <w:rPr>
          <w:rFonts w:ascii="Times New Roman" w:hAnsi="Times New Roman" w:cs="Times New Roman"/>
          <w:b/>
          <w:bCs/>
          <w:szCs w:val="24"/>
        </w:rPr>
      </w:pPr>
      <w:r w:rsidRPr="00D202C1">
        <w:rPr>
          <w:rFonts w:ascii="Times New Roman" w:hAnsi="Times New Roman" w:cs="Times New Roman"/>
          <w:b/>
          <w:bCs/>
          <w:szCs w:val="24"/>
        </w:rPr>
        <w:t>Relevance to Current Study:</w:t>
      </w:r>
    </w:p>
    <w:p w14:paraId="12C23764" w14:textId="1C094DAE" w:rsidR="00F4362E" w:rsidRDefault="00F4362E" w:rsidP="00260F35">
      <w:pPr>
        <w:spacing w:line="360" w:lineRule="auto"/>
        <w:rPr>
          <w:rFonts w:ascii="Times New Roman" w:hAnsi="Times New Roman" w:cs="Times New Roman"/>
          <w:szCs w:val="24"/>
        </w:rPr>
      </w:pPr>
      <w:r w:rsidRPr="00F4362E">
        <w:rPr>
          <w:rFonts w:ascii="Times New Roman" w:hAnsi="Times New Roman" w:cs="Times New Roman"/>
          <w:szCs w:val="24"/>
        </w:rPr>
        <w:t>This study reinforces the argument that ERM maturity produces measurable organizational benefits. While Callahan and Soileau focus on performance metrics, the present research builds on this foundation by investigating whether participatory ERM mechanisms influence behavioral dimensions of risk culture within a Shared Services structure. It extends the performance</w:t>
      </w:r>
      <w:r w:rsidR="00D202C1">
        <w:rPr>
          <w:rFonts w:ascii="Times New Roman" w:hAnsi="Times New Roman" w:cs="Times New Roman"/>
          <w:szCs w:val="24"/>
        </w:rPr>
        <w:t xml:space="preserve"> </w:t>
      </w:r>
      <w:r w:rsidRPr="00F4362E">
        <w:rPr>
          <w:rFonts w:ascii="Times New Roman" w:hAnsi="Times New Roman" w:cs="Times New Roman"/>
          <w:szCs w:val="24"/>
        </w:rPr>
        <w:t>based ERM literature toward cultural and accountability-based outcomes.</w:t>
      </w:r>
    </w:p>
    <w:p w14:paraId="31B47290" w14:textId="77777777" w:rsidR="00D202C1" w:rsidRPr="00D202C1" w:rsidRDefault="00D202C1" w:rsidP="008647DF">
      <w:pPr>
        <w:keepNext/>
        <w:keepLines/>
        <w:rPr>
          <w:rFonts w:ascii="Times New Roman" w:hAnsi="Times New Roman" w:cs="Times New Roman"/>
          <w:b/>
          <w:bCs/>
          <w:szCs w:val="24"/>
        </w:rPr>
      </w:pPr>
      <w:r w:rsidRPr="00D202C1">
        <w:rPr>
          <w:rFonts w:ascii="Times New Roman" w:hAnsi="Times New Roman" w:cs="Times New Roman"/>
          <w:b/>
          <w:bCs/>
          <w:szCs w:val="24"/>
        </w:rPr>
        <w:t>Study E4: Florio &amp; Leoni (2017)</w:t>
      </w:r>
    </w:p>
    <w:p w14:paraId="1B4D6425" w14:textId="77777777" w:rsidR="00E12226" w:rsidRPr="008647DF" w:rsidRDefault="00D202C1" w:rsidP="008647DF">
      <w:pPr>
        <w:keepNext/>
        <w:keepLines/>
        <w:rPr>
          <w:rFonts w:ascii="Times New Roman" w:hAnsi="Times New Roman" w:cs="Times New Roman"/>
          <w:b/>
          <w:bCs/>
          <w:szCs w:val="24"/>
        </w:rPr>
      </w:pPr>
      <w:r w:rsidRPr="00D202C1">
        <w:rPr>
          <w:rFonts w:ascii="Times New Roman" w:hAnsi="Times New Roman" w:cs="Times New Roman"/>
          <w:b/>
          <w:bCs/>
          <w:szCs w:val="24"/>
        </w:rPr>
        <w:t>Reference:</w:t>
      </w:r>
    </w:p>
    <w:p w14:paraId="24CDAD43" w14:textId="4C1EE16F" w:rsidR="00D202C1" w:rsidRDefault="00D202C1" w:rsidP="00260F35">
      <w:pPr>
        <w:spacing w:line="360" w:lineRule="auto"/>
        <w:rPr>
          <w:rFonts w:ascii="Times New Roman" w:hAnsi="Times New Roman" w:cs="Times New Roman"/>
          <w:szCs w:val="24"/>
        </w:rPr>
      </w:pPr>
      <w:r w:rsidRPr="00D202C1">
        <w:rPr>
          <w:rFonts w:ascii="Times New Roman" w:hAnsi="Times New Roman" w:cs="Times New Roman"/>
          <w:szCs w:val="24"/>
        </w:rPr>
        <w:t xml:space="preserve">Florio, C., &amp; Leoni, G. (2017). Enterprise risk management and firm performance: The Italian case. The British Accounting Review, 49(1), 56–74. </w:t>
      </w:r>
    </w:p>
    <w:p w14:paraId="6290AAF9" w14:textId="77777777" w:rsidR="00E12226" w:rsidRPr="008647DF" w:rsidRDefault="00D202C1" w:rsidP="008647DF">
      <w:pPr>
        <w:keepNext/>
        <w:keepLines/>
        <w:rPr>
          <w:rFonts w:ascii="Times New Roman" w:hAnsi="Times New Roman" w:cs="Times New Roman"/>
          <w:b/>
          <w:bCs/>
          <w:szCs w:val="24"/>
        </w:rPr>
      </w:pPr>
      <w:r w:rsidRPr="00D202C1">
        <w:rPr>
          <w:rFonts w:ascii="Times New Roman" w:hAnsi="Times New Roman" w:cs="Times New Roman"/>
          <w:b/>
          <w:bCs/>
          <w:szCs w:val="24"/>
        </w:rPr>
        <w:t>Method:</w:t>
      </w:r>
    </w:p>
    <w:p w14:paraId="7A390EA4" w14:textId="57A15041" w:rsidR="00D202C1" w:rsidRDefault="00D202C1" w:rsidP="00260F35">
      <w:pPr>
        <w:spacing w:line="360" w:lineRule="auto"/>
        <w:rPr>
          <w:rFonts w:ascii="Times New Roman" w:hAnsi="Times New Roman" w:cs="Times New Roman"/>
          <w:szCs w:val="24"/>
        </w:rPr>
      </w:pPr>
      <w:r w:rsidRPr="00D202C1">
        <w:rPr>
          <w:rFonts w:ascii="Times New Roman" w:hAnsi="Times New Roman" w:cs="Times New Roman"/>
          <w:szCs w:val="24"/>
        </w:rPr>
        <w:t>The study applies a quantitative empirical design using data from Italian listed companies. The authors employ regression analysis to examine the relationship between ERM adoption and firm performance, controlling governance and firm-specific characteristics.</w:t>
      </w:r>
    </w:p>
    <w:p w14:paraId="13E2D6D5" w14:textId="77777777" w:rsidR="00E12226" w:rsidRPr="008647DF" w:rsidRDefault="00D202C1" w:rsidP="008647DF">
      <w:pPr>
        <w:keepNext/>
        <w:keepLines/>
        <w:rPr>
          <w:rFonts w:ascii="Times New Roman" w:hAnsi="Times New Roman" w:cs="Times New Roman"/>
          <w:b/>
          <w:bCs/>
          <w:szCs w:val="24"/>
        </w:rPr>
      </w:pPr>
      <w:r w:rsidRPr="00D202C1">
        <w:rPr>
          <w:rFonts w:ascii="Times New Roman" w:hAnsi="Times New Roman" w:cs="Times New Roman"/>
          <w:b/>
          <w:bCs/>
          <w:szCs w:val="24"/>
        </w:rPr>
        <w:t>Key Findings:</w:t>
      </w:r>
    </w:p>
    <w:p w14:paraId="25C4B887" w14:textId="7AF4941B" w:rsidR="00D202C1" w:rsidRDefault="00D202C1" w:rsidP="00260F35">
      <w:pPr>
        <w:spacing w:line="360" w:lineRule="auto"/>
        <w:rPr>
          <w:rFonts w:ascii="Times New Roman" w:hAnsi="Times New Roman" w:cs="Times New Roman"/>
          <w:szCs w:val="24"/>
        </w:rPr>
      </w:pPr>
      <w:r w:rsidRPr="00D202C1">
        <w:rPr>
          <w:rFonts w:ascii="Times New Roman" w:hAnsi="Times New Roman" w:cs="Times New Roman"/>
          <w:szCs w:val="24"/>
        </w:rPr>
        <w:t>The findings indicate that firms implementing more comprehensive ERM systems demonstrate improved financial performance and enhanced governance quality. The study emphasizes that ERM contributes positively when integrated into corporate governance structures rather than functioning as a formal compliance mechanism.</w:t>
      </w:r>
    </w:p>
    <w:p w14:paraId="0B43F9E6" w14:textId="77777777" w:rsidR="00E12226" w:rsidRPr="008647DF" w:rsidRDefault="00D202C1" w:rsidP="008647DF">
      <w:pPr>
        <w:keepNext/>
        <w:keepLines/>
        <w:rPr>
          <w:rFonts w:ascii="Times New Roman" w:hAnsi="Times New Roman" w:cs="Times New Roman"/>
          <w:b/>
          <w:bCs/>
          <w:szCs w:val="24"/>
        </w:rPr>
      </w:pPr>
      <w:r w:rsidRPr="00D202C1">
        <w:rPr>
          <w:rFonts w:ascii="Times New Roman" w:hAnsi="Times New Roman" w:cs="Times New Roman"/>
          <w:b/>
          <w:bCs/>
          <w:szCs w:val="24"/>
        </w:rPr>
        <w:t>Relevance to Current Study:</w:t>
      </w:r>
    </w:p>
    <w:p w14:paraId="67B62C71" w14:textId="5AC67A05" w:rsidR="001B1FC5" w:rsidRDefault="00D202C1" w:rsidP="00260F35">
      <w:pPr>
        <w:spacing w:line="360" w:lineRule="auto"/>
        <w:rPr>
          <w:rFonts w:ascii="Times New Roman" w:hAnsi="Times New Roman" w:cs="Times New Roman"/>
          <w:szCs w:val="24"/>
        </w:rPr>
      </w:pPr>
      <w:r w:rsidRPr="00D202C1">
        <w:rPr>
          <w:rFonts w:ascii="Times New Roman" w:hAnsi="Times New Roman" w:cs="Times New Roman"/>
          <w:szCs w:val="24"/>
        </w:rPr>
        <w:t>Florio and Leoni’s findings support the premise that ERM effectiveness depends on substantive integration within governance systems. While their analysis focuses on firm-level performance, the present study extends this logic by examining whether structured participatory mechanisms</w:t>
      </w:r>
      <w:r>
        <w:rPr>
          <w:rFonts w:ascii="Times New Roman" w:hAnsi="Times New Roman" w:cs="Times New Roman"/>
          <w:szCs w:val="24"/>
        </w:rPr>
        <w:t xml:space="preserve">, </w:t>
      </w:r>
      <w:r w:rsidRPr="00D202C1">
        <w:rPr>
          <w:rFonts w:ascii="Times New Roman" w:hAnsi="Times New Roman" w:cs="Times New Roman"/>
          <w:szCs w:val="24"/>
        </w:rPr>
        <w:t>such as Bottom-Up Risk Assessment</w:t>
      </w:r>
      <w:r>
        <w:rPr>
          <w:rFonts w:ascii="Times New Roman" w:hAnsi="Times New Roman" w:cs="Times New Roman"/>
          <w:szCs w:val="24"/>
        </w:rPr>
        <w:t xml:space="preserve">, </w:t>
      </w:r>
      <w:r w:rsidRPr="00D202C1">
        <w:rPr>
          <w:rFonts w:ascii="Times New Roman" w:hAnsi="Times New Roman" w:cs="Times New Roman"/>
          <w:szCs w:val="24"/>
        </w:rPr>
        <w:t>translate governance integration into strengthened cultural dimensions within a Shared Services context.</w:t>
      </w:r>
    </w:p>
    <w:p w14:paraId="21E7687C" w14:textId="77777777" w:rsidR="001B1FC5" w:rsidRDefault="001B1FC5" w:rsidP="00867F85">
      <w:pPr>
        <w:rPr>
          <w:rFonts w:ascii="Times New Roman" w:hAnsi="Times New Roman" w:cs="Times New Roman"/>
          <w:szCs w:val="24"/>
        </w:rPr>
      </w:pPr>
    </w:p>
    <w:p w14:paraId="20192DDB" w14:textId="77777777" w:rsidR="00D202C1" w:rsidRPr="00D202C1" w:rsidRDefault="00D202C1" w:rsidP="008647DF">
      <w:pPr>
        <w:keepNext/>
        <w:keepLines/>
        <w:rPr>
          <w:rFonts w:ascii="Times New Roman" w:hAnsi="Times New Roman" w:cs="Times New Roman"/>
          <w:b/>
          <w:bCs/>
          <w:szCs w:val="24"/>
        </w:rPr>
      </w:pPr>
      <w:r w:rsidRPr="00D202C1">
        <w:rPr>
          <w:rFonts w:ascii="Times New Roman" w:hAnsi="Times New Roman" w:cs="Times New Roman"/>
          <w:b/>
          <w:bCs/>
          <w:szCs w:val="24"/>
        </w:rPr>
        <w:lastRenderedPageBreak/>
        <w:t>Study E5: Lundqvist (2015)</w:t>
      </w:r>
    </w:p>
    <w:p w14:paraId="6187076A" w14:textId="77777777" w:rsidR="00E12226" w:rsidRPr="008647DF" w:rsidRDefault="00D202C1" w:rsidP="008647DF">
      <w:pPr>
        <w:keepNext/>
        <w:keepLines/>
        <w:rPr>
          <w:rFonts w:ascii="Times New Roman" w:hAnsi="Times New Roman" w:cs="Times New Roman"/>
          <w:b/>
          <w:bCs/>
          <w:szCs w:val="24"/>
        </w:rPr>
      </w:pPr>
      <w:r w:rsidRPr="00D202C1">
        <w:rPr>
          <w:rFonts w:ascii="Times New Roman" w:hAnsi="Times New Roman" w:cs="Times New Roman"/>
          <w:b/>
          <w:bCs/>
          <w:szCs w:val="24"/>
        </w:rPr>
        <w:t>Reference:</w:t>
      </w:r>
    </w:p>
    <w:p w14:paraId="702F8608" w14:textId="3C20A9CD" w:rsidR="00D202C1" w:rsidRDefault="00D202C1" w:rsidP="00260F35">
      <w:pPr>
        <w:spacing w:line="360" w:lineRule="auto"/>
        <w:rPr>
          <w:rFonts w:ascii="Times New Roman" w:hAnsi="Times New Roman" w:cs="Times New Roman"/>
          <w:szCs w:val="24"/>
        </w:rPr>
      </w:pPr>
      <w:r w:rsidRPr="00D202C1">
        <w:rPr>
          <w:rFonts w:ascii="Times New Roman" w:hAnsi="Times New Roman" w:cs="Times New Roman"/>
          <w:szCs w:val="24"/>
        </w:rPr>
        <w:t xml:space="preserve">Lundqvist, S. A. (2015). Why firms implement risk governance – Stepping beyond traditional risk management to enterprise risk management. Journal of Accounting and Public Policy, 34(5), 441–466. </w:t>
      </w:r>
    </w:p>
    <w:p w14:paraId="694E5708" w14:textId="77777777" w:rsidR="00E12226" w:rsidRPr="008647DF" w:rsidRDefault="00D202C1" w:rsidP="008647DF">
      <w:pPr>
        <w:keepNext/>
        <w:keepLines/>
        <w:rPr>
          <w:rFonts w:ascii="Times New Roman" w:hAnsi="Times New Roman" w:cs="Times New Roman"/>
          <w:b/>
          <w:bCs/>
          <w:szCs w:val="24"/>
        </w:rPr>
      </w:pPr>
      <w:r w:rsidRPr="00D202C1">
        <w:rPr>
          <w:rFonts w:ascii="Times New Roman" w:hAnsi="Times New Roman" w:cs="Times New Roman"/>
          <w:b/>
          <w:bCs/>
          <w:szCs w:val="24"/>
        </w:rPr>
        <w:t>Method:</w:t>
      </w:r>
    </w:p>
    <w:p w14:paraId="6AC7346A" w14:textId="3503AE9C" w:rsidR="00D202C1" w:rsidRDefault="00D202C1" w:rsidP="00260F35">
      <w:pPr>
        <w:spacing w:line="360" w:lineRule="auto"/>
        <w:rPr>
          <w:rFonts w:ascii="Times New Roman" w:hAnsi="Times New Roman" w:cs="Times New Roman"/>
          <w:szCs w:val="24"/>
        </w:rPr>
      </w:pPr>
      <w:r w:rsidRPr="00D202C1">
        <w:rPr>
          <w:rFonts w:ascii="Times New Roman" w:hAnsi="Times New Roman" w:cs="Times New Roman"/>
          <w:szCs w:val="24"/>
        </w:rPr>
        <w:t>The study adopts a qualitative case-study approach, examining the implementation of ERM within a large multinational organization. Through interviews and internal documentation analysis, the research explores motivations and governance dynamics behind ERM adoption.</w:t>
      </w:r>
    </w:p>
    <w:p w14:paraId="2B3A414B" w14:textId="77777777" w:rsidR="00E12226" w:rsidRPr="008647DF" w:rsidRDefault="00D202C1" w:rsidP="008647DF">
      <w:pPr>
        <w:keepNext/>
        <w:keepLines/>
        <w:rPr>
          <w:rFonts w:ascii="Times New Roman" w:hAnsi="Times New Roman" w:cs="Times New Roman"/>
          <w:b/>
          <w:bCs/>
          <w:szCs w:val="24"/>
        </w:rPr>
      </w:pPr>
      <w:r w:rsidRPr="00D202C1">
        <w:rPr>
          <w:rFonts w:ascii="Times New Roman" w:hAnsi="Times New Roman" w:cs="Times New Roman"/>
          <w:b/>
          <w:bCs/>
          <w:szCs w:val="24"/>
        </w:rPr>
        <w:t>Key Findings:</w:t>
      </w:r>
    </w:p>
    <w:p w14:paraId="7992AEE9" w14:textId="78B3F7E7" w:rsidR="00D202C1" w:rsidRDefault="00D202C1" w:rsidP="00260F35">
      <w:pPr>
        <w:spacing w:line="360" w:lineRule="auto"/>
        <w:rPr>
          <w:rFonts w:ascii="Times New Roman" w:hAnsi="Times New Roman" w:cs="Times New Roman"/>
          <w:szCs w:val="24"/>
        </w:rPr>
      </w:pPr>
      <w:r w:rsidRPr="00D202C1">
        <w:rPr>
          <w:rFonts w:ascii="Times New Roman" w:hAnsi="Times New Roman" w:cs="Times New Roman"/>
          <w:szCs w:val="24"/>
        </w:rPr>
        <w:t>The findings suggest that organizations adopt ERM not only for compliance reasons but also to enhance governance transparency and accountability. However, the study highlights that ERM effectiveness depends on managerial commitment and integration into strategic decision-making processes. Symbolic implementation without genuine governance reinforcement limits its impact.</w:t>
      </w:r>
    </w:p>
    <w:p w14:paraId="01F8FA9F" w14:textId="77777777" w:rsidR="00E12226" w:rsidRDefault="00D202C1" w:rsidP="008647DF">
      <w:pPr>
        <w:keepNext/>
        <w:keepLines/>
        <w:rPr>
          <w:rFonts w:ascii="Times New Roman" w:hAnsi="Times New Roman" w:cs="Times New Roman"/>
          <w:b/>
          <w:bCs/>
          <w:szCs w:val="24"/>
        </w:rPr>
      </w:pPr>
      <w:r w:rsidRPr="00D202C1">
        <w:rPr>
          <w:rFonts w:ascii="Times New Roman" w:hAnsi="Times New Roman" w:cs="Times New Roman"/>
          <w:b/>
          <w:bCs/>
          <w:szCs w:val="24"/>
        </w:rPr>
        <w:t>Relevance to Current Study:</w:t>
      </w:r>
    </w:p>
    <w:p w14:paraId="2A89A0A0" w14:textId="781CBFDA" w:rsidR="001B1FC5" w:rsidRDefault="00D202C1" w:rsidP="000C1F7C">
      <w:pPr>
        <w:spacing w:line="360" w:lineRule="auto"/>
        <w:rPr>
          <w:rFonts w:ascii="Times New Roman" w:hAnsi="Times New Roman" w:cs="Times New Roman"/>
          <w:szCs w:val="24"/>
        </w:rPr>
      </w:pPr>
      <w:r w:rsidRPr="00D202C1">
        <w:rPr>
          <w:rFonts w:ascii="Times New Roman" w:hAnsi="Times New Roman" w:cs="Times New Roman"/>
          <w:szCs w:val="24"/>
        </w:rPr>
        <w:t>Lundqvist’s study provides theoretical grounding for distinguishing between procedural adoption and substantive integration of ERM. The present research builds on this distinction by empirically examining whether participatory mechanisms, such as Bottom-Up Risk Assessment, function as substantive governance tools that strengthen measurable dimensions of risk culture within a Shared Services Organization.</w:t>
      </w:r>
    </w:p>
    <w:p w14:paraId="258F45E5" w14:textId="77777777" w:rsidR="00B336EC" w:rsidRPr="00B336EC" w:rsidRDefault="00B336EC" w:rsidP="008647DF">
      <w:pPr>
        <w:keepNext/>
        <w:keepLines/>
        <w:rPr>
          <w:rFonts w:ascii="Times New Roman" w:hAnsi="Times New Roman" w:cs="Times New Roman"/>
          <w:b/>
          <w:bCs/>
          <w:szCs w:val="24"/>
        </w:rPr>
      </w:pPr>
      <w:r w:rsidRPr="00B336EC">
        <w:rPr>
          <w:rFonts w:ascii="Times New Roman" w:hAnsi="Times New Roman" w:cs="Times New Roman"/>
          <w:b/>
          <w:bCs/>
          <w:szCs w:val="24"/>
        </w:rPr>
        <w:t xml:space="preserve">Study E6: Ai, </w:t>
      </w:r>
      <w:proofErr w:type="spellStart"/>
      <w:r w:rsidRPr="00B336EC">
        <w:rPr>
          <w:rFonts w:ascii="Times New Roman" w:hAnsi="Times New Roman" w:cs="Times New Roman"/>
          <w:b/>
          <w:bCs/>
          <w:szCs w:val="24"/>
        </w:rPr>
        <w:t>Bajtelsmit</w:t>
      </w:r>
      <w:proofErr w:type="spellEnd"/>
      <w:r w:rsidRPr="00B336EC">
        <w:rPr>
          <w:rFonts w:ascii="Times New Roman" w:hAnsi="Times New Roman" w:cs="Times New Roman"/>
          <w:b/>
          <w:bCs/>
          <w:szCs w:val="24"/>
        </w:rPr>
        <w:t xml:space="preserve"> &amp; Wang (2018)</w:t>
      </w:r>
    </w:p>
    <w:p w14:paraId="20EFFEF5" w14:textId="77777777" w:rsidR="00E12226" w:rsidRPr="008647DF" w:rsidRDefault="00B336EC" w:rsidP="008647DF">
      <w:pPr>
        <w:keepNext/>
        <w:keepLines/>
        <w:rPr>
          <w:rFonts w:ascii="Times New Roman" w:hAnsi="Times New Roman" w:cs="Times New Roman"/>
          <w:b/>
          <w:bCs/>
          <w:szCs w:val="24"/>
        </w:rPr>
      </w:pPr>
      <w:r w:rsidRPr="00B336EC">
        <w:rPr>
          <w:rFonts w:ascii="Times New Roman" w:hAnsi="Times New Roman" w:cs="Times New Roman"/>
          <w:b/>
          <w:bCs/>
          <w:szCs w:val="24"/>
        </w:rPr>
        <w:t>Reference:</w:t>
      </w:r>
    </w:p>
    <w:p w14:paraId="3979B6A8" w14:textId="28B82999" w:rsidR="00B336EC" w:rsidRDefault="00B336EC" w:rsidP="000C1F7C">
      <w:pPr>
        <w:spacing w:line="360" w:lineRule="auto"/>
        <w:rPr>
          <w:rFonts w:ascii="Times New Roman" w:hAnsi="Times New Roman" w:cs="Times New Roman"/>
          <w:szCs w:val="24"/>
        </w:rPr>
      </w:pPr>
      <w:r w:rsidRPr="00B336EC">
        <w:rPr>
          <w:rFonts w:ascii="Times New Roman" w:hAnsi="Times New Roman" w:cs="Times New Roman"/>
          <w:szCs w:val="24"/>
        </w:rPr>
        <w:t xml:space="preserve">Ai, J., </w:t>
      </w:r>
      <w:proofErr w:type="spellStart"/>
      <w:r w:rsidRPr="00B336EC">
        <w:rPr>
          <w:rFonts w:ascii="Times New Roman" w:hAnsi="Times New Roman" w:cs="Times New Roman"/>
          <w:szCs w:val="24"/>
        </w:rPr>
        <w:t>Bajtelsmit</w:t>
      </w:r>
      <w:proofErr w:type="spellEnd"/>
      <w:r w:rsidRPr="00B336EC">
        <w:rPr>
          <w:rFonts w:ascii="Times New Roman" w:hAnsi="Times New Roman" w:cs="Times New Roman"/>
          <w:szCs w:val="24"/>
        </w:rPr>
        <w:t xml:space="preserve">, V., &amp; Wang, T. (2018). The combined effect of enterprise risk management and diversification on firm performance. Journal of Risk and Insurance, 85(2), 433–460. </w:t>
      </w:r>
    </w:p>
    <w:p w14:paraId="4B5A9896" w14:textId="77777777" w:rsidR="00E12226" w:rsidRPr="008647DF" w:rsidRDefault="00B336EC" w:rsidP="008647DF">
      <w:pPr>
        <w:keepNext/>
        <w:keepLines/>
        <w:rPr>
          <w:rFonts w:ascii="Times New Roman" w:hAnsi="Times New Roman" w:cs="Times New Roman"/>
          <w:b/>
          <w:bCs/>
          <w:szCs w:val="24"/>
        </w:rPr>
      </w:pPr>
      <w:r w:rsidRPr="00B336EC">
        <w:rPr>
          <w:rFonts w:ascii="Times New Roman" w:hAnsi="Times New Roman" w:cs="Times New Roman"/>
          <w:b/>
          <w:bCs/>
          <w:szCs w:val="24"/>
        </w:rPr>
        <w:t>Method:</w:t>
      </w:r>
    </w:p>
    <w:p w14:paraId="7448A201" w14:textId="627205EF" w:rsidR="00B336EC" w:rsidRDefault="00B336EC" w:rsidP="000C1F7C">
      <w:pPr>
        <w:spacing w:line="360" w:lineRule="auto"/>
        <w:rPr>
          <w:rFonts w:ascii="Times New Roman" w:hAnsi="Times New Roman" w:cs="Times New Roman"/>
          <w:szCs w:val="24"/>
        </w:rPr>
      </w:pPr>
      <w:r w:rsidRPr="00B336EC">
        <w:rPr>
          <w:rFonts w:ascii="Times New Roman" w:hAnsi="Times New Roman" w:cs="Times New Roman"/>
          <w:szCs w:val="24"/>
        </w:rPr>
        <w:t>The study employs a quantitative empirical design using panel data from U.S. firms. Regression models are applied to examine the interaction between ERM implementation and corporate diversification strategies in influencing firm performance.</w:t>
      </w:r>
    </w:p>
    <w:p w14:paraId="5DBD6443" w14:textId="77777777" w:rsidR="00E12226" w:rsidRDefault="00B336EC" w:rsidP="008647DF">
      <w:pPr>
        <w:keepNext/>
        <w:keepLines/>
        <w:rPr>
          <w:rFonts w:ascii="Times New Roman" w:hAnsi="Times New Roman" w:cs="Times New Roman"/>
          <w:b/>
          <w:bCs/>
          <w:szCs w:val="24"/>
        </w:rPr>
      </w:pPr>
      <w:r w:rsidRPr="00B336EC">
        <w:rPr>
          <w:rFonts w:ascii="Times New Roman" w:hAnsi="Times New Roman" w:cs="Times New Roman"/>
          <w:b/>
          <w:bCs/>
          <w:szCs w:val="24"/>
        </w:rPr>
        <w:t>Key Findings:</w:t>
      </w:r>
    </w:p>
    <w:p w14:paraId="1314E6C2" w14:textId="292DD126" w:rsidR="00B336EC" w:rsidRDefault="00B336EC" w:rsidP="000C1F7C">
      <w:pPr>
        <w:spacing w:line="360" w:lineRule="auto"/>
        <w:rPr>
          <w:rFonts w:ascii="Times New Roman" w:hAnsi="Times New Roman" w:cs="Times New Roman"/>
          <w:szCs w:val="24"/>
        </w:rPr>
      </w:pPr>
      <w:r w:rsidRPr="00B336EC">
        <w:rPr>
          <w:rFonts w:ascii="Times New Roman" w:hAnsi="Times New Roman" w:cs="Times New Roman"/>
          <w:szCs w:val="24"/>
        </w:rPr>
        <w:t xml:space="preserve">The results indicate that ERM contributes more effectively to firm performance in organizations with higher structural complexity, particularly those with diversified operations. The study </w:t>
      </w:r>
      <w:r w:rsidRPr="00B336EC">
        <w:rPr>
          <w:rFonts w:ascii="Times New Roman" w:hAnsi="Times New Roman" w:cs="Times New Roman"/>
          <w:szCs w:val="24"/>
        </w:rPr>
        <w:lastRenderedPageBreak/>
        <w:t>suggests that ERM is especially valuable in contexts characterized by coordination challenges and interdependent risk exposures.</w:t>
      </w:r>
    </w:p>
    <w:p w14:paraId="5C0B47AB" w14:textId="77777777" w:rsidR="00E12226" w:rsidRPr="008647DF" w:rsidRDefault="00B336EC" w:rsidP="008647DF">
      <w:pPr>
        <w:keepNext/>
        <w:keepLines/>
        <w:rPr>
          <w:rFonts w:ascii="Times New Roman" w:hAnsi="Times New Roman" w:cs="Times New Roman"/>
          <w:b/>
          <w:bCs/>
          <w:szCs w:val="24"/>
        </w:rPr>
      </w:pPr>
      <w:r w:rsidRPr="00B336EC">
        <w:rPr>
          <w:rFonts w:ascii="Times New Roman" w:hAnsi="Times New Roman" w:cs="Times New Roman"/>
          <w:b/>
          <w:bCs/>
          <w:szCs w:val="24"/>
        </w:rPr>
        <w:t>Relevance to Current Study:</w:t>
      </w:r>
    </w:p>
    <w:p w14:paraId="22DD9158" w14:textId="62F4952A" w:rsidR="001B1FC5" w:rsidRDefault="00B336EC" w:rsidP="000C1F7C">
      <w:pPr>
        <w:spacing w:line="360" w:lineRule="auto"/>
        <w:rPr>
          <w:rFonts w:ascii="Times New Roman" w:hAnsi="Times New Roman" w:cs="Times New Roman"/>
          <w:szCs w:val="24"/>
        </w:rPr>
      </w:pPr>
      <w:r w:rsidRPr="00B336EC">
        <w:rPr>
          <w:rFonts w:ascii="Times New Roman" w:hAnsi="Times New Roman" w:cs="Times New Roman"/>
          <w:szCs w:val="24"/>
        </w:rPr>
        <w:t>This study is particularly relevant to the Shared Services context, where structural interdependence and cross-functional integration are inherent features. Ai et al.’s findings support the premise that structured risk governance mechanisms may be more impactful in complex organizational settings. The present research extends this logic by examining whether participatory mechanisms such as Bottom-Up Risk Assessment enhance risk culture within a centralized Shared Services structure.</w:t>
      </w:r>
    </w:p>
    <w:p w14:paraId="27675C59" w14:textId="77777777" w:rsidR="00B336EC" w:rsidRPr="00B336EC" w:rsidRDefault="00B336EC" w:rsidP="008647DF">
      <w:pPr>
        <w:keepNext/>
        <w:keepLines/>
        <w:rPr>
          <w:rFonts w:ascii="Times New Roman" w:hAnsi="Times New Roman" w:cs="Times New Roman"/>
          <w:b/>
          <w:bCs/>
          <w:szCs w:val="24"/>
        </w:rPr>
      </w:pPr>
      <w:r w:rsidRPr="00B336EC">
        <w:rPr>
          <w:rFonts w:ascii="Times New Roman" w:hAnsi="Times New Roman" w:cs="Times New Roman"/>
          <w:b/>
          <w:bCs/>
          <w:szCs w:val="24"/>
        </w:rPr>
        <w:t>Study E7: Palermo, Power &amp; Ashby (2017)</w:t>
      </w:r>
    </w:p>
    <w:p w14:paraId="2906B659" w14:textId="77777777" w:rsidR="00E12226" w:rsidRPr="008647DF" w:rsidRDefault="00B336EC" w:rsidP="008647DF">
      <w:pPr>
        <w:keepNext/>
        <w:keepLines/>
        <w:rPr>
          <w:rFonts w:ascii="Times New Roman" w:hAnsi="Times New Roman" w:cs="Times New Roman"/>
          <w:b/>
          <w:bCs/>
          <w:szCs w:val="24"/>
        </w:rPr>
      </w:pPr>
      <w:r w:rsidRPr="00B336EC">
        <w:rPr>
          <w:rFonts w:ascii="Times New Roman" w:hAnsi="Times New Roman" w:cs="Times New Roman"/>
          <w:b/>
          <w:bCs/>
          <w:szCs w:val="24"/>
        </w:rPr>
        <w:t>Reference:</w:t>
      </w:r>
    </w:p>
    <w:p w14:paraId="35EF8910" w14:textId="226F73BF" w:rsidR="00B336EC" w:rsidRDefault="00B336EC" w:rsidP="000C1F7C">
      <w:pPr>
        <w:spacing w:line="360" w:lineRule="auto"/>
        <w:rPr>
          <w:rFonts w:ascii="Times New Roman" w:hAnsi="Times New Roman" w:cs="Times New Roman"/>
          <w:szCs w:val="24"/>
        </w:rPr>
      </w:pPr>
      <w:r w:rsidRPr="00B336EC">
        <w:rPr>
          <w:rFonts w:ascii="Times New Roman" w:hAnsi="Times New Roman" w:cs="Times New Roman"/>
          <w:szCs w:val="24"/>
        </w:rPr>
        <w:t xml:space="preserve">Palermo, T., Power, M., &amp; Ashby, S. (2017). Navigating institutional complexity: The production of risk culture in the financial sector. Journal of Management Studies, 54(2), 154–181. </w:t>
      </w:r>
    </w:p>
    <w:p w14:paraId="4191F3EF" w14:textId="77777777" w:rsidR="00E12226" w:rsidRPr="008647DF" w:rsidRDefault="00B336EC" w:rsidP="008647DF">
      <w:pPr>
        <w:keepNext/>
        <w:keepLines/>
        <w:rPr>
          <w:rFonts w:ascii="Times New Roman" w:hAnsi="Times New Roman" w:cs="Times New Roman"/>
          <w:b/>
          <w:bCs/>
          <w:szCs w:val="24"/>
        </w:rPr>
      </w:pPr>
      <w:r w:rsidRPr="00B336EC">
        <w:rPr>
          <w:rFonts w:ascii="Times New Roman" w:hAnsi="Times New Roman" w:cs="Times New Roman"/>
          <w:b/>
          <w:bCs/>
          <w:szCs w:val="24"/>
        </w:rPr>
        <w:t>Method:</w:t>
      </w:r>
    </w:p>
    <w:p w14:paraId="12A41E2D" w14:textId="49A7B32F" w:rsidR="00B336EC" w:rsidRDefault="00B336EC" w:rsidP="000C1F7C">
      <w:pPr>
        <w:spacing w:line="360" w:lineRule="auto"/>
        <w:rPr>
          <w:rFonts w:ascii="Times New Roman" w:hAnsi="Times New Roman" w:cs="Times New Roman"/>
          <w:szCs w:val="24"/>
        </w:rPr>
      </w:pPr>
      <w:r w:rsidRPr="00B336EC">
        <w:rPr>
          <w:rFonts w:ascii="Times New Roman" w:hAnsi="Times New Roman" w:cs="Times New Roman"/>
          <w:szCs w:val="24"/>
        </w:rPr>
        <w:t>The study adopts a qualitative case-study approach within financial institutions, using interviews, document analysis, and observational data to examine how risk culture is constructed and reinforced within complex governance environments.</w:t>
      </w:r>
    </w:p>
    <w:p w14:paraId="512E7623" w14:textId="77777777" w:rsidR="00E12226" w:rsidRPr="008647DF" w:rsidRDefault="00B336EC" w:rsidP="008647DF">
      <w:pPr>
        <w:keepNext/>
        <w:keepLines/>
        <w:rPr>
          <w:rFonts w:ascii="Times New Roman" w:hAnsi="Times New Roman" w:cs="Times New Roman"/>
          <w:b/>
          <w:bCs/>
          <w:szCs w:val="24"/>
        </w:rPr>
      </w:pPr>
      <w:r w:rsidRPr="00B336EC">
        <w:rPr>
          <w:rFonts w:ascii="Times New Roman" w:hAnsi="Times New Roman" w:cs="Times New Roman"/>
          <w:b/>
          <w:bCs/>
          <w:szCs w:val="24"/>
        </w:rPr>
        <w:t>Key Findings:</w:t>
      </w:r>
    </w:p>
    <w:p w14:paraId="75150F25" w14:textId="3B4E981D" w:rsidR="00B336EC" w:rsidRDefault="00B336EC" w:rsidP="000C1F7C">
      <w:pPr>
        <w:spacing w:line="360" w:lineRule="auto"/>
        <w:rPr>
          <w:rFonts w:ascii="Times New Roman" w:hAnsi="Times New Roman" w:cs="Times New Roman"/>
          <w:szCs w:val="24"/>
        </w:rPr>
      </w:pPr>
      <w:r w:rsidRPr="00B336EC">
        <w:rPr>
          <w:rFonts w:ascii="Times New Roman" w:hAnsi="Times New Roman" w:cs="Times New Roman"/>
          <w:szCs w:val="24"/>
        </w:rPr>
        <w:t>The findings demonstrate that risk culture is not imposed solely through formal frameworks but is actively produced through daily practices, communication routines, and leadership reinforcement. The study highlights that institutional complexity shapes how risk norms are interpreted and enacted across organizational levels.</w:t>
      </w:r>
    </w:p>
    <w:p w14:paraId="621D7F75" w14:textId="77777777" w:rsidR="00E12226" w:rsidRDefault="00B336EC" w:rsidP="008647DF">
      <w:pPr>
        <w:keepNext/>
        <w:keepLines/>
        <w:rPr>
          <w:rFonts w:ascii="Times New Roman" w:hAnsi="Times New Roman" w:cs="Times New Roman"/>
          <w:b/>
          <w:bCs/>
          <w:szCs w:val="24"/>
        </w:rPr>
      </w:pPr>
      <w:r w:rsidRPr="00B336EC">
        <w:rPr>
          <w:rFonts w:ascii="Times New Roman" w:hAnsi="Times New Roman" w:cs="Times New Roman"/>
          <w:b/>
          <w:bCs/>
          <w:szCs w:val="24"/>
        </w:rPr>
        <w:t>Relevance to Current Study</w:t>
      </w:r>
      <w:r>
        <w:rPr>
          <w:rFonts w:ascii="Times New Roman" w:hAnsi="Times New Roman" w:cs="Times New Roman"/>
          <w:b/>
          <w:bCs/>
          <w:szCs w:val="24"/>
        </w:rPr>
        <w:t>:</w:t>
      </w:r>
    </w:p>
    <w:p w14:paraId="6F468FAD" w14:textId="369DE315" w:rsidR="00B336EC" w:rsidRDefault="00B336EC" w:rsidP="000C1F7C">
      <w:pPr>
        <w:spacing w:line="360" w:lineRule="auto"/>
        <w:rPr>
          <w:rFonts w:ascii="Times New Roman" w:hAnsi="Times New Roman" w:cs="Times New Roman"/>
          <w:szCs w:val="24"/>
        </w:rPr>
      </w:pPr>
      <w:r w:rsidRPr="00B336EC">
        <w:rPr>
          <w:rFonts w:ascii="Times New Roman" w:hAnsi="Times New Roman" w:cs="Times New Roman"/>
          <w:szCs w:val="24"/>
        </w:rPr>
        <w:t>Palermo et al.’s work provides strong conceptual grounding for treating risk culture as a behavioral construct rather than a structural label. It supports the premise that participatory mechanisms may influence how risk norms are internalized across functions. The present study extends this perspective by empirically testing whether structured Bottom-Up Risk Assessment enhances measurable cultural dimensions within a Shared Services organizational setting.</w:t>
      </w:r>
    </w:p>
    <w:p w14:paraId="2F96260D" w14:textId="77777777" w:rsidR="001B1FC5" w:rsidRDefault="001B1FC5" w:rsidP="00867F85">
      <w:pPr>
        <w:rPr>
          <w:rFonts w:ascii="Times New Roman" w:hAnsi="Times New Roman" w:cs="Times New Roman"/>
          <w:szCs w:val="24"/>
        </w:rPr>
      </w:pPr>
    </w:p>
    <w:p w14:paraId="74662D55" w14:textId="77777777" w:rsidR="00B336EC" w:rsidRPr="00B336EC" w:rsidRDefault="00B336EC" w:rsidP="008647DF">
      <w:pPr>
        <w:keepNext/>
        <w:keepLines/>
        <w:rPr>
          <w:rFonts w:ascii="Times New Roman" w:hAnsi="Times New Roman" w:cs="Times New Roman"/>
          <w:b/>
          <w:bCs/>
          <w:szCs w:val="24"/>
        </w:rPr>
      </w:pPr>
      <w:r w:rsidRPr="00B336EC">
        <w:rPr>
          <w:rFonts w:ascii="Times New Roman" w:hAnsi="Times New Roman" w:cs="Times New Roman"/>
          <w:b/>
          <w:bCs/>
          <w:szCs w:val="24"/>
        </w:rPr>
        <w:lastRenderedPageBreak/>
        <w:t>Study E8: Berry-</w:t>
      </w:r>
      <w:proofErr w:type="spellStart"/>
      <w:r w:rsidRPr="00B336EC">
        <w:rPr>
          <w:rFonts w:ascii="Times New Roman" w:hAnsi="Times New Roman" w:cs="Times New Roman"/>
          <w:b/>
          <w:bCs/>
          <w:szCs w:val="24"/>
        </w:rPr>
        <w:t>Stölzle</w:t>
      </w:r>
      <w:proofErr w:type="spellEnd"/>
      <w:r w:rsidRPr="00B336EC">
        <w:rPr>
          <w:rFonts w:ascii="Times New Roman" w:hAnsi="Times New Roman" w:cs="Times New Roman"/>
          <w:b/>
          <w:bCs/>
          <w:szCs w:val="24"/>
        </w:rPr>
        <w:t xml:space="preserve"> &amp; Xu (2018)</w:t>
      </w:r>
    </w:p>
    <w:p w14:paraId="15FBE447" w14:textId="77777777" w:rsidR="00E12226" w:rsidRPr="008647DF" w:rsidRDefault="00B336EC" w:rsidP="008647DF">
      <w:pPr>
        <w:keepNext/>
        <w:keepLines/>
        <w:rPr>
          <w:rFonts w:ascii="Times New Roman" w:hAnsi="Times New Roman" w:cs="Times New Roman"/>
          <w:b/>
          <w:bCs/>
          <w:szCs w:val="24"/>
        </w:rPr>
      </w:pPr>
      <w:r w:rsidRPr="00B336EC">
        <w:rPr>
          <w:rFonts w:ascii="Times New Roman" w:hAnsi="Times New Roman" w:cs="Times New Roman"/>
          <w:b/>
          <w:bCs/>
          <w:szCs w:val="24"/>
        </w:rPr>
        <w:t>Reference:</w:t>
      </w:r>
    </w:p>
    <w:p w14:paraId="61142515" w14:textId="2A83EEDE" w:rsidR="00B336EC" w:rsidRDefault="00B336EC" w:rsidP="000C1F7C">
      <w:pPr>
        <w:spacing w:line="360" w:lineRule="auto"/>
        <w:rPr>
          <w:rFonts w:ascii="Times New Roman" w:hAnsi="Times New Roman" w:cs="Times New Roman"/>
          <w:szCs w:val="24"/>
        </w:rPr>
      </w:pPr>
      <w:r w:rsidRPr="00B336EC">
        <w:rPr>
          <w:rFonts w:ascii="Times New Roman" w:hAnsi="Times New Roman" w:cs="Times New Roman"/>
          <w:szCs w:val="24"/>
        </w:rPr>
        <w:t>Berry-</w:t>
      </w:r>
      <w:proofErr w:type="spellStart"/>
      <w:r w:rsidRPr="00B336EC">
        <w:rPr>
          <w:rFonts w:ascii="Times New Roman" w:hAnsi="Times New Roman" w:cs="Times New Roman"/>
          <w:szCs w:val="24"/>
        </w:rPr>
        <w:t>Stölzle</w:t>
      </w:r>
      <w:proofErr w:type="spellEnd"/>
      <w:r w:rsidRPr="00B336EC">
        <w:rPr>
          <w:rFonts w:ascii="Times New Roman" w:hAnsi="Times New Roman" w:cs="Times New Roman"/>
          <w:szCs w:val="24"/>
        </w:rPr>
        <w:t xml:space="preserve">, T. R., &amp; Xu, J. (2018). Enterprise risk management and the cost of capital. Journal of Risk and Insurance, 85(1), 159–201. </w:t>
      </w:r>
    </w:p>
    <w:p w14:paraId="7E581169" w14:textId="77777777" w:rsidR="00E12226" w:rsidRDefault="00B336EC" w:rsidP="008647DF">
      <w:pPr>
        <w:keepNext/>
        <w:keepLines/>
        <w:rPr>
          <w:rFonts w:ascii="Times New Roman" w:hAnsi="Times New Roman" w:cs="Times New Roman"/>
          <w:b/>
          <w:bCs/>
          <w:szCs w:val="24"/>
        </w:rPr>
      </w:pPr>
      <w:r w:rsidRPr="00B336EC">
        <w:rPr>
          <w:rFonts w:ascii="Times New Roman" w:hAnsi="Times New Roman" w:cs="Times New Roman"/>
          <w:b/>
          <w:bCs/>
          <w:szCs w:val="24"/>
        </w:rPr>
        <w:t>Method</w:t>
      </w:r>
      <w:r>
        <w:rPr>
          <w:rFonts w:ascii="Times New Roman" w:hAnsi="Times New Roman" w:cs="Times New Roman"/>
          <w:b/>
          <w:bCs/>
          <w:szCs w:val="24"/>
        </w:rPr>
        <w:t>:</w:t>
      </w:r>
    </w:p>
    <w:p w14:paraId="70572B5F" w14:textId="2148BBC4" w:rsidR="00B336EC" w:rsidRDefault="00B336EC" w:rsidP="000C1F7C">
      <w:pPr>
        <w:spacing w:line="360" w:lineRule="auto"/>
        <w:rPr>
          <w:rFonts w:ascii="Times New Roman" w:hAnsi="Times New Roman" w:cs="Times New Roman"/>
          <w:szCs w:val="24"/>
        </w:rPr>
      </w:pPr>
      <w:r w:rsidRPr="00B336EC">
        <w:rPr>
          <w:rFonts w:ascii="Times New Roman" w:hAnsi="Times New Roman" w:cs="Times New Roman"/>
          <w:szCs w:val="24"/>
        </w:rPr>
        <w:t>The study employs a quantitative empirical design using panel data from U.S. insurance firms. Regression analysis is applied to examine whether ERM implementation influences firms’ cost of capital, controlling for governance and firm characteristics.</w:t>
      </w:r>
    </w:p>
    <w:p w14:paraId="4E38FE94" w14:textId="77777777" w:rsidR="00E12226" w:rsidRDefault="00B336EC" w:rsidP="008647DF">
      <w:pPr>
        <w:keepNext/>
        <w:keepLines/>
        <w:rPr>
          <w:rFonts w:ascii="Times New Roman" w:hAnsi="Times New Roman" w:cs="Times New Roman"/>
          <w:b/>
          <w:bCs/>
          <w:szCs w:val="24"/>
        </w:rPr>
      </w:pPr>
      <w:r w:rsidRPr="00896B09">
        <w:rPr>
          <w:rFonts w:ascii="Times New Roman" w:hAnsi="Times New Roman" w:cs="Times New Roman"/>
          <w:b/>
          <w:bCs/>
          <w:szCs w:val="24"/>
        </w:rPr>
        <w:t>Key Findings</w:t>
      </w:r>
      <w:r w:rsidR="00896B09" w:rsidRPr="00896B09">
        <w:rPr>
          <w:rFonts w:ascii="Times New Roman" w:hAnsi="Times New Roman" w:cs="Times New Roman"/>
          <w:b/>
          <w:bCs/>
          <w:szCs w:val="24"/>
        </w:rPr>
        <w:t>:</w:t>
      </w:r>
    </w:p>
    <w:p w14:paraId="1C938A40" w14:textId="1EC03188" w:rsidR="00B336EC" w:rsidRDefault="00B336EC" w:rsidP="000C1F7C">
      <w:pPr>
        <w:spacing w:line="360" w:lineRule="auto"/>
        <w:rPr>
          <w:rFonts w:ascii="Times New Roman" w:hAnsi="Times New Roman" w:cs="Times New Roman"/>
          <w:szCs w:val="24"/>
        </w:rPr>
      </w:pPr>
      <w:r w:rsidRPr="00B336EC">
        <w:rPr>
          <w:rFonts w:ascii="Times New Roman" w:hAnsi="Times New Roman" w:cs="Times New Roman"/>
          <w:szCs w:val="24"/>
        </w:rPr>
        <w:t>The findings indicate that firms with more credible and integrated ERM systems experience lower cost of capital. The results suggest that structured risk governance enhances stakeholder confidence and improves transparency. However, the study focuses on external financial outcomes rather than internal behavioral mechanisms.</w:t>
      </w:r>
    </w:p>
    <w:p w14:paraId="023432AE" w14:textId="77777777" w:rsidR="00E12226" w:rsidRDefault="00B336EC" w:rsidP="008647DF">
      <w:pPr>
        <w:keepNext/>
        <w:keepLines/>
        <w:rPr>
          <w:rFonts w:ascii="Times New Roman" w:hAnsi="Times New Roman" w:cs="Times New Roman"/>
          <w:b/>
          <w:bCs/>
          <w:szCs w:val="24"/>
        </w:rPr>
      </w:pPr>
      <w:r w:rsidRPr="00896B09">
        <w:rPr>
          <w:rFonts w:ascii="Times New Roman" w:hAnsi="Times New Roman" w:cs="Times New Roman"/>
          <w:b/>
          <w:bCs/>
          <w:szCs w:val="24"/>
        </w:rPr>
        <w:t>Relevance to Current Study</w:t>
      </w:r>
      <w:r w:rsidR="00896B09" w:rsidRPr="00896B09">
        <w:rPr>
          <w:rFonts w:ascii="Times New Roman" w:hAnsi="Times New Roman" w:cs="Times New Roman"/>
          <w:b/>
          <w:bCs/>
          <w:szCs w:val="24"/>
        </w:rPr>
        <w:t>:</w:t>
      </w:r>
    </w:p>
    <w:p w14:paraId="782FE618" w14:textId="2C382D72" w:rsidR="00B336EC" w:rsidRDefault="00B336EC" w:rsidP="000C1F7C">
      <w:pPr>
        <w:spacing w:line="360" w:lineRule="auto"/>
        <w:rPr>
          <w:rFonts w:ascii="Times New Roman" w:hAnsi="Times New Roman" w:cs="Times New Roman"/>
          <w:szCs w:val="24"/>
        </w:rPr>
      </w:pPr>
      <w:r w:rsidRPr="00B336EC">
        <w:rPr>
          <w:rFonts w:ascii="Times New Roman" w:hAnsi="Times New Roman" w:cs="Times New Roman"/>
          <w:szCs w:val="24"/>
        </w:rPr>
        <w:t>Berry-</w:t>
      </w:r>
      <w:proofErr w:type="spellStart"/>
      <w:r w:rsidRPr="00B336EC">
        <w:rPr>
          <w:rFonts w:ascii="Times New Roman" w:hAnsi="Times New Roman" w:cs="Times New Roman"/>
          <w:szCs w:val="24"/>
        </w:rPr>
        <w:t>Stölzle</w:t>
      </w:r>
      <w:proofErr w:type="spellEnd"/>
      <w:r w:rsidRPr="00B336EC">
        <w:rPr>
          <w:rFonts w:ascii="Times New Roman" w:hAnsi="Times New Roman" w:cs="Times New Roman"/>
          <w:szCs w:val="24"/>
        </w:rPr>
        <w:t xml:space="preserve"> and Xu provide empirical evidence that substantive ERM implementation generates measurable organizational benefits. While their focus is financial market outcomes, the present study extends the inquiry inward by examining whether participatory ERM mechanisms</w:t>
      </w:r>
      <w:r w:rsidR="00896B09">
        <w:rPr>
          <w:rFonts w:ascii="Times New Roman" w:hAnsi="Times New Roman" w:cs="Times New Roman"/>
          <w:szCs w:val="24"/>
        </w:rPr>
        <w:t xml:space="preserve">, </w:t>
      </w:r>
      <w:r w:rsidRPr="00B336EC">
        <w:rPr>
          <w:rFonts w:ascii="Times New Roman" w:hAnsi="Times New Roman" w:cs="Times New Roman"/>
          <w:szCs w:val="24"/>
        </w:rPr>
        <w:t>specifically Bottom-Up Risk Assessment</w:t>
      </w:r>
      <w:r w:rsidR="00896B09">
        <w:rPr>
          <w:rFonts w:ascii="Times New Roman" w:hAnsi="Times New Roman" w:cs="Times New Roman"/>
          <w:szCs w:val="24"/>
        </w:rPr>
        <w:t xml:space="preserve">, </w:t>
      </w:r>
      <w:r w:rsidRPr="00B336EC">
        <w:rPr>
          <w:rFonts w:ascii="Times New Roman" w:hAnsi="Times New Roman" w:cs="Times New Roman"/>
          <w:szCs w:val="24"/>
        </w:rPr>
        <w:t>strengthen internal cultural dimensions of risk management within a Shared Services context.</w:t>
      </w:r>
    </w:p>
    <w:p w14:paraId="1165AEAE" w14:textId="77777777" w:rsidR="00896B09" w:rsidRPr="00896B09" w:rsidRDefault="00896B09" w:rsidP="008647DF">
      <w:pPr>
        <w:keepNext/>
        <w:keepLines/>
        <w:rPr>
          <w:rFonts w:ascii="Times New Roman" w:hAnsi="Times New Roman" w:cs="Times New Roman"/>
          <w:b/>
          <w:bCs/>
          <w:szCs w:val="24"/>
        </w:rPr>
      </w:pPr>
      <w:r w:rsidRPr="00896B09">
        <w:rPr>
          <w:rFonts w:ascii="Times New Roman" w:hAnsi="Times New Roman" w:cs="Times New Roman"/>
          <w:b/>
          <w:bCs/>
          <w:szCs w:val="24"/>
        </w:rPr>
        <w:t>Study E9: Sheedy &amp; Griffin (2018)</w:t>
      </w:r>
    </w:p>
    <w:p w14:paraId="1D5E497A" w14:textId="77777777" w:rsidR="00E12226" w:rsidRPr="008647DF" w:rsidRDefault="00896B09" w:rsidP="008647DF">
      <w:pPr>
        <w:keepNext/>
        <w:keepLines/>
        <w:rPr>
          <w:rFonts w:ascii="Times New Roman" w:hAnsi="Times New Roman" w:cs="Times New Roman"/>
          <w:b/>
          <w:bCs/>
          <w:szCs w:val="24"/>
        </w:rPr>
      </w:pPr>
      <w:r w:rsidRPr="00896B09">
        <w:rPr>
          <w:rFonts w:ascii="Times New Roman" w:hAnsi="Times New Roman" w:cs="Times New Roman"/>
          <w:b/>
          <w:bCs/>
          <w:szCs w:val="24"/>
        </w:rPr>
        <w:t>Reference:</w:t>
      </w:r>
    </w:p>
    <w:p w14:paraId="44E44982" w14:textId="4C887882" w:rsidR="00896B09" w:rsidRDefault="00896B09" w:rsidP="000C1F7C">
      <w:pPr>
        <w:spacing w:line="360" w:lineRule="auto"/>
        <w:rPr>
          <w:rFonts w:ascii="Times New Roman" w:hAnsi="Times New Roman" w:cs="Times New Roman"/>
          <w:szCs w:val="24"/>
        </w:rPr>
      </w:pPr>
      <w:r w:rsidRPr="00896B09">
        <w:rPr>
          <w:rFonts w:ascii="Times New Roman" w:hAnsi="Times New Roman" w:cs="Times New Roman"/>
          <w:szCs w:val="24"/>
        </w:rPr>
        <w:t xml:space="preserve">Sheedy, E., &amp; Griffin, B. (2018). Risk governance, structures, and culture: A systematic review of </w:t>
      </w:r>
      <w:proofErr w:type="gramStart"/>
      <w:r w:rsidRPr="00896B09">
        <w:rPr>
          <w:rFonts w:ascii="Times New Roman" w:hAnsi="Times New Roman" w:cs="Times New Roman"/>
          <w:szCs w:val="24"/>
        </w:rPr>
        <w:t>the literature</w:t>
      </w:r>
      <w:proofErr w:type="gramEnd"/>
      <w:r w:rsidRPr="00896B09">
        <w:rPr>
          <w:rFonts w:ascii="Times New Roman" w:hAnsi="Times New Roman" w:cs="Times New Roman"/>
          <w:szCs w:val="24"/>
        </w:rPr>
        <w:t xml:space="preserve">. Corporate Governance: An International Review, 26(5), 344–360. </w:t>
      </w:r>
    </w:p>
    <w:p w14:paraId="3093E85C" w14:textId="77777777" w:rsidR="00E12226" w:rsidRPr="008647DF" w:rsidRDefault="00896B09" w:rsidP="008647DF">
      <w:pPr>
        <w:keepNext/>
        <w:keepLines/>
        <w:rPr>
          <w:rFonts w:ascii="Times New Roman" w:hAnsi="Times New Roman" w:cs="Times New Roman"/>
          <w:b/>
          <w:bCs/>
          <w:szCs w:val="24"/>
        </w:rPr>
      </w:pPr>
      <w:r w:rsidRPr="00896B09">
        <w:rPr>
          <w:rFonts w:ascii="Times New Roman" w:hAnsi="Times New Roman" w:cs="Times New Roman"/>
          <w:b/>
          <w:bCs/>
          <w:szCs w:val="24"/>
        </w:rPr>
        <w:t>Method:</w:t>
      </w:r>
    </w:p>
    <w:p w14:paraId="68E2FB25" w14:textId="35664C8F" w:rsidR="00896B09" w:rsidRDefault="00896B09" w:rsidP="000C1F7C">
      <w:pPr>
        <w:spacing w:line="360" w:lineRule="auto"/>
        <w:rPr>
          <w:rFonts w:ascii="Times New Roman" w:hAnsi="Times New Roman" w:cs="Times New Roman"/>
          <w:szCs w:val="24"/>
        </w:rPr>
      </w:pPr>
      <w:r w:rsidRPr="00896B09">
        <w:rPr>
          <w:rFonts w:ascii="Times New Roman" w:hAnsi="Times New Roman" w:cs="Times New Roman"/>
          <w:szCs w:val="24"/>
        </w:rPr>
        <w:t>The study conducts a systematic literature review examining empirical and conceptual research on risk governance, risk structures, and risk culture across multiple sectors. The authors synthesize prior findings to identify recurring patterns and conceptual gaps.</w:t>
      </w:r>
    </w:p>
    <w:p w14:paraId="0BB729E2" w14:textId="77777777" w:rsidR="00121478" w:rsidRPr="008647DF" w:rsidRDefault="00896B09" w:rsidP="008647DF">
      <w:pPr>
        <w:keepNext/>
        <w:keepLines/>
        <w:rPr>
          <w:rFonts w:ascii="Times New Roman" w:hAnsi="Times New Roman" w:cs="Times New Roman"/>
          <w:b/>
          <w:bCs/>
          <w:szCs w:val="24"/>
        </w:rPr>
      </w:pPr>
      <w:r w:rsidRPr="00896B09">
        <w:rPr>
          <w:rFonts w:ascii="Times New Roman" w:hAnsi="Times New Roman" w:cs="Times New Roman"/>
          <w:b/>
          <w:bCs/>
          <w:szCs w:val="24"/>
        </w:rPr>
        <w:t>Key Findings:</w:t>
      </w:r>
    </w:p>
    <w:p w14:paraId="41C344C4" w14:textId="31D1F224" w:rsidR="00896B09" w:rsidRDefault="00896B09" w:rsidP="000C1F7C">
      <w:pPr>
        <w:spacing w:line="360" w:lineRule="auto"/>
        <w:rPr>
          <w:rFonts w:ascii="Times New Roman" w:hAnsi="Times New Roman" w:cs="Times New Roman"/>
          <w:szCs w:val="24"/>
        </w:rPr>
      </w:pPr>
      <w:r w:rsidRPr="00896B09">
        <w:rPr>
          <w:rFonts w:ascii="Times New Roman" w:hAnsi="Times New Roman" w:cs="Times New Roman"/>
          <w:szCs w:val="24"/>
        </w:rPr>
        <w:t>The review concludes that formal risk governance structures alone do not guarantee effective risk management. Instead, organizational culture</w:t>
      </w:r>
      <w:r w:rsidR="00121478">
        <w:rPr>
          <w:rFonts w:ascii="Times New Roman" w:hAnsi="Times New Roman" w:cs="Times New Roman"/>
          <w:szCs w:val="24"/>
        </w:rPr>
        <w:t xml:space="preserve">, </w:t>
      </w:r>
      <w:r w:rsidRPr="00896B09">
        <w:rPr>
          <w:rFonts w:ascii="Times New Roman" w:hAnsi="Times New Roman" w:cs="Times New Roman"/>
          <w:szCs w:val="24"/>
        </w:rPr>
        <w:t>particularly shared values, accountability norms, and behavioral reinforcement</w:t>
      </w:r>
      <w:r w:rsidR="00121478">
        <w:rPr>
          <w:rFonts w:ascii="Times New Roman" w:hAnsi="Times New Roman" w:cs="Times New Roman"/>
          <w:szCs w:val="24"/>
        </w:rPr>
        <w:t xml:space="preserve">, </w:t>
      </w:r>
      <w:r w:rsidRPr="00896B09">
        <w:rPr>
          <w:rFonts w:ascii="Times New Roman" w:hAnsi="Times New Roman" w:cs="Times New Roman"/>
          <w:szCs w:val="24"/>
        </w:rPr>
        <w:t xml:space="preserve">plays a central role in determining governance effectiveness. The </w:t>
      </w:r>
      <w:r w:rsidRPr="00896B09">
        <w:rPr>
          <w:rFonts w:ascii="Times New Roman" w:hAnsi="Times New Roman" w:cs="Times New Roman"/>
          <w:szCs w:val="24"/>
        </w:rPr>
        <w:lastRenderedPageBreak/>
        <w:t>authors highlight a gap in empirical research examining specific mechanisms that strengthen risk culture.</w:t>
      </w:r>
    </w:p>
    <w:p w14:paraId="297B5518" w14:textId="77777777" w:rsidR="00121478" w:rsidRDefault="00896B09" w:rsidP="008647DF">
      <w:pPr>
        <w:keepNext/>
        <w:keepLines/>
        <w:rPr>
          <w:rFonts w:ascii="Times New Roman" w:hAnsi="Times New Roman" w:cs="Times New Roman"/>
          <w:b/>
          <w:bCs/>
          <w:szCs w:val="24"/>
        </w:rPr>
      </w:pPr>
      <w:r w:rsidRPr="00896B09">
        <w:rPr>
          <w:rFonts w:ascii="Times New Roman" w:hAnsi="Times New Roman" w:cs="Times New Roman"/>
          <w:b/>
          <w:bCs/>
          <w:szCs w:val="24"/>
        </w:rPr>
        <w:t>Relevance to Current Study:</w:t>
      </w:r>
    </w:p>
    <w:p w14:paraId="5975E866" w14:textId="5279E60D" w:rsidR="00896B09" w:rsidRDefault="00896B09" w:rsidP="000C1F7C">
      <w:pPr>
        <w:spacing w:line="360" w:lineRule="auto"/>
        <w:rPr>
          <w:rFonts w:ascii="Times New Roman" w:hAnsi="Times New Roman" w:cs="Times New Roman"/>
          <w:szCs w:val="24"/>
        </w:rPr>
      </w:pPr>
      <w:r w:rsidRPr="00896B09">
        <w:rPr>
          <w:rFonts w:ascii="Times New Roman" w:hAnsi="Times New Roman" w:cs="Times New Roman"/>
          <w:szCs w:val="24"/>
        </w:rPr>
        <w:t xml:space="preserve">Sheedy and Griffin’s review directly </w:t>
      </w:r>
      <w:proofErr w:type="gramStart"/>
      <w:r w:rsidRPr="00896B09">
        <w:rPr>
          <w:rFonts w:ascii="Times New Roman" w:hAnsi="Times New Roman" w:cs="Times New Roman"/>
          <w:szCs w:val="24"/>
        </w:rPr>
        <w:t>supports</w:t>
      </w:r>
      <w:proofErr w:type="gramEnd"/>
      <w:r w:rsidRPr="00896B09">
        <w:rPr>
          <w:rFonts w:ascii="Times New Roman" w:hAnsi="Times New Roman" w:cs="Times New Roman"/>
          <w:szCs w:val="24"/>
        </w:rPr>
        <w:t xml:space="preserve"> the central premise of the present research: that risk culture is a critical determinant of ERM effectiveness. Importantly, the identified gap regarding empirical testing of specific governance mechanisms provides strong justification for examining whether Bottom-Up Risk Assessment functions as a cultural reinforcement tool within a Shared Services Organization.</w:t>
      </w:r>
    </w:p>
    <w:p w14:paraId="5FF2A65F" w14:textId="77777777" w:rsidR="00E12226" w:rsidRPr="00E12226" w:rsidRDefault="00E12226" w:rsidP="008647DF">
      <w:pPr>
        <w:keepNext/>
        <w:keepLines/>
        <w:rPr>
          <w:rFonts w:ascii="Times New Roman" w:hAnsi="Times New Roman" w:cs="Times New Roman"/>
          <w:b/>
          <w:bCs/>
          <w:szCs w:val="24"/>
        </w:rPr>
      </w:pPr>
      <w:r w:rsidRPr="00E12226">
        <w:rPr>
          <w:rFonts w:ascii="Times New Roman" w:hAnsi="Times New Roman" w:cs="Times New Roman"/>
          <w:b/>
          <w:bCs/>
          <w:szCs w:val="24"/>
        </w:rPr>
        <w:t>Study E10: Agarwal, Anand &amp; Aggarwal (2019)</w:t>
      </w:r>
    </w:p>
    <w:p w14:paraId="7843A19C" w14:textId="77777777" w:rsidR="00121478" w:rsidRPr="008647DF" w:rsidRDefault="00E12226" w:rsidP="008647DF">
      <w:pPr>
        <w:keepNext/>
        <w:keepLines/>
        <w:rPr>
          <w:rFonts w:ascii="Times New Roman" w:hAnsi="Times New Roman" w:cs="Times New Roman"/>
          <w:b/>
          <w:bCs/>
          <w:szCs w:val="24"/>
        </w:rPr>
      </w:pPr>
      <w:r w:rsidRPr="00E12226">
        <w:rPr>
          <w:rFonts w:ascii="Times New Roman" w:hAnsi="Times New Roman" w:cs="Times New Roman"/>
          <w:b/>
          <w:bCs/>
          <w:szCs w:val="24"/>
        </w:rPr>
        <w:t>Reference:</w:t>
      </w:r>
    </w:p>
    <w:p w14:paraId="56B5A4B0" w14:textId="3D5DA4CF" w:rsidR="00E12226" w:rsidRDefault="00E12226" w:rsidP="000C1F7C">
      <w:pPr>
        <w:spacing w:line="360" w:lineRule="auto"/>
        <w:rPr>
          <w:rFonts w:ascii="Times New Roman" w:hAnsi="Times New Roman" w:cs="Times New Roman"/>
          <w:szCs w:val="24"/>
        </w:rPr>
      </w:pPr>
      <w:r w:rsidRPr="00E12226">
        <w:rPr>
          <w:rFonts w:ascii="Times New Roman" w:hAnsi="Times New Roman" w:cs="Times New Roman"/>
          <w:szCs w:val="24"/>
        </w:rPr>
        <w:t xml:space="preserve">Agarwal, V., Anand, A., &amp; Aggarwal, R. (2019). Risk culture and enterprise risk management: A framework for measurement and assessment. Journal of Risk Research, 22(9), 1095–1118. </w:t>
      </w:r>
    </w:p>
    <w:p w14:paraId="265ED4C7" w14:textId="77777777" w:rsidR="00121478" w:rsidRPr="008647DF" w:rsidRDefault="00E12226" w:rsidP="008647DF">
      <w:pPr>
        <w:keepNext/>
        <w:keepLines/>
        <w:rPr>
          <w:rFonts w:ascii="Times New Roman" w:hAnsi="Times New Roman" w:cs="Times New Roman"/>
          <w:b/>
          <w:bCs/>
          <w:szCs w:val="24"/>
        </w:rPr>
      </w:pPr>
      <w:r w:rsidRPr="00E12226">
        <w:rPr>
          <w:rFonts w:ascii="Times New Roman" w:hAnsi="Times New Roman" w:cs="Times New Roman"/>
          <w:b/>
          <w:bCs/>
          <w:szCs w:val="24"/>
        </w:rPr>
        <w:t>Method:</w:t>
      </w:r>
    </w:p>
    <w:p w14:paraId="096DF1F3" w14:textId="53C7784C" w:rsidR="00E12226" w:rsidRDefault="00E12226" w:rsidP="000C1F7C">
      <w:pPr>
        <w:spacing w:line="360" w:lineRule="auto"/>
        <w:rPr>
          <w:rFonts w:ascii="Times New Roman" w:hAnsi="Times New Roman" w:cs="Times New Roman"/>
          <w:szCs w:val="24"/>
        </w:rPr>
      </w:pPr>
      <w:r w:rsidRPr="00E12226">
        <w:rPr>
          <w:rFonts w:ascii="Times New Roman" w:hAnsi="Times New Roman" w:cs="Times New Roman"/>
          <w:szCs w:val="24"/>
        </w:rPr>
        <w:t xml:space="preserve">The study adopts a conceptual and empirical approach, proposing a structured framework for measuring risk culture within organizations. Survey-based instruments are used to </w:t>
      </w:r>
      <w:proofErr w:type="gramStart"/>
      <w:r w:rsidRPr="00E12226">
        <w:rPr>
          <w:rFonts w:ascii="Times New Roman" w:hAnsi="Times New Roman" w:cs="Times New Roman"/>
          <w:szCs w:val="24"/>
        </w:rPr>
        <w:t>operationalize</w:t>
      </w:r>
      <w:proofErr w:type="gramEnd"/>
      <w:r w:rsidRPr="00E12226">
        <w:rPr>
          <w:rFonts w:ascii="Times New Roman" w:hAnsi="Times New Roman" w:cs="Times New Roman"/>
          <w:szCs w:val="24"/>
        </w:rPr>
        <w:t xml:space="preserve"> cultural dimensions and examine their relationship with ERM effectiveness.</w:t>
      </w:r>
    </w:p>
    <w:p w14:paraId="60E36D05" w14:textId="77777777" w:rsidR="00121478" w:rsidRPr="008647DF" w:rsidRDefault="00E12226" w:rsidP="008647DF">
      <w:pPr>
        <w:keepNext/>
        <w:keepLines/>
        <w:rPr>
          <w:rFonts w:ascii="Times New Roman" w:hAnsi="Times New Roman" w:cs="Times New Roman"/>
          <w:b/>
          <w:bCs/>
          <w:szCs w:val="24"/>
        </w:rPr>
      </w:pPr>
      <w:r w:rsidRPr="00E12226">
        <w:rPr>
          <w:rFonts w:ascii="Times New Roman" w:hAnsi="Times New Roman" w:cs="Times New Roman"/>
          <w:b/>
          <w:bCs/>
          <w:szCs w:val="24"/>
        </w:rPr>
        <w:t>Key Findings</w:t>
      </w:r>
      <w:r>
        <w:rPr>
          <w:rFonts w:ascii="Times New Roman" w:hAnsi="Times New Roman" w:cs="Times New Roman"/>
          <w:b/>
          <w:bCs/>
          <w:szCs w:val="24"/>
        </w:rPr>
        <w:t>:</w:t>
      </w:r>
    </w:p>
    <w:p w14:paraId="23B04AD4" w14:textId="19335227" w:rsidR="00E12226" w:rsidRDefault="00E12226" w:rsidP="000C1F7C">
      <w:pPr>
        <w:spacing w:line="360" w:lineRule="auto"/>
        <w:rPr>
          <w:rFonts w:ascii="Times New Roman" w:hAnsi="Times New Roman" w:cs="Times New Roman"/>
          <w:szCs w:val="24"/>
        </w:rPr>
      </w:pPr>
      <w:r w:rsidRPr="00E12226">
        <w:rPr>
          <w:rFonts w:ascii="Times New Roman" w:hAnsi="Times New Roman" w:cs="Times New Roman"/>
          <w:szCs w:val="24"/>
        </w:rPr>
        <w:t>The authors identify measurable dimensions of risk culture, including risk awareness, accountability, communication transparency, and proactive risk management behavior. The study demonstrates that stronger cultural alignment enhances the practical effectiveness of ERM systems. It also emphasizes that cultural maturity must be assessed behaviorally rather than assumed from structural implementation.</w:t>
      </w:r>
    </w:p>
    <w:p w14:paraId="2D878F16" w14:textId="77777777" w:rsidR="00121478" w:rsidRPr="008647DF" w:rsidRDefault="00E12226" w:rsidP="008647DF">
      <w:pPr>
        <w:keepNext/>
        <w:keepLines/>
        <w:rPr>
          <w:rFonts w:ascii="Times New Roman" w:hAnsi="Times New Roman" w:cs="Times New Roman"/>
          <w:b/>
          <w:bCs/>
          <w:szCs w:val="24"/>
        </w:rPr>
      </w:pPr>
      <w:r w:rsidRPr="00E12226">
        <w:rPr>
          <w:rFonts w:ascii="Times New Roman" w:hAnsi="Times New Roman" w:cs="Times New Roman"/>
          <w:b/>
          <w:bCs/>
          <w:szCs w:val="24"/>
        </w:rPr>
        <w:t>Relevance to Current Study:</w:t>
      </w:r>
    </w:p>
    <w:p w14:paraId="082C8C4B" w14:textId="4379AA50" w:rsidR="00896B09" w:rsidRDefault="00E12226" w:rsidP="000C1F7C">
      <w:pPr>
        <w:spacing w:line="360" w:lineRule="auto"/>
        <w:rPr>
          <w:rFonts w:ascii="Times New Roman" w:hAnsi="Times New Roman" w:cs="Times New Roman"/>
          <w:szCs w:val="24"/>
        </w:rPr>
      </w:pPr>
      <w:r w:rsidRPr="00E12226">
        <w:rPr>
          <w:rFonts w:ascii="Times New Roman" w:hAnsi="Times New Roman" w:cs="Times New Roman"/>
          <w:szCs w:val="24"/>
        </w:rPr>
        <w:t>Agarwal et al. provide direct theoretical and measurement support for treating risk culture as a quantifiable construct. Their framework strengthens the methodological foundation of the present study, which similarly operationalizes risk culture through behavioral dimensions. The current research extends this measurement approach by examining whether participatory mechanisms</w:t>
      </w:r>
      <w:r>
        <w:rPr>
          <w:rFonts w:ascii="Times New Roman" w:hAnsi="Times New Roman" w:cs="Times New Roman"/>
          <w:szCs w:val="24"/>
        </w:rPr>
        <w:t xml:space="preserve">, </w:t>
      </w:r>
      <w:r w:rsidRPr="00E12226">
        <w:rPr>
          <w:rFonts w:ascii="Times New Roman" w:hAnsi="Times New Roman" w:cs="Times New Roman"/>
          <w:szCs w:val="24"/>
        </w:rPr>
        <w:t>specifically Bottom-Up Risk Assessment</w:t>
      </w:r>
      <w:r>
        <w:rPr>
          <w:rFonts w:ascii="Times New Roman" w:hAnsi="Times New Roman" w:cs="Times New Roman"/>
          <w:szCs w:val="24"/>
        </w:rPr>
        <w:t xml:space="preserve">, </w:t>
      </w:r>
      <w:r w:rsidRPr="00E12226">
        <w:rPr>
          <w:rFonts w:ascii="Times New Roman" w:hAnsi="Times New Roman" w:cs="Times New Roman"/>
          <w:szCs w:val="24"/>
        </w:rPr>
        <w:t>contribute to strengthening these cultural dimensions within a Shared Services environment.</w:t>
      </w:r>
    </w:p>
    <w:p w14:paraId="30A88FE9" w14:textId="77777777" w:rsidR="001B1FC5" w:rsidRDefault="001B1FC5" w:rsidP="00867F85">
      <w:pPr>
        <w:rPr>
          <w:rFonts w:ascii="Times New Roman" w:hAnsi="Times New Roman" w:cs="Times New Roman"/>
          <w:szCs w:val="24"/>
        </w:rPr>
      </w:pPr>
    </w:p>
    <w:p w14:paraId="29C2EFCB" w14:textId="77777777" w:rsidR="00121478" w:rsidRPr="00121478" w:rsidRDefault="00121478" w:rsidP="008647DF">
      <w:pPr>
        <w:keepNext/>
        <w:keepLines/>
        <w:rPr>
          <w:rFonts w:ascii="Times New Roman" w:hAnsi="Times New Roman" w:cs="Times New Roman"/>
          <w:b/>
          <w:bCs/>
          <w:szCs w:val="24"/>
        </w:rPr>
      </w:pPr>
      <w:r w:rsidRPr="00121478">
        <w:rPr>
          <w:rFonts w:ascii="Times New Roman" w:hAnsi="Times New Roman" w:cs="Times New Roman"/>
          <w:b/>
          <w:bCs/>
          <w:szCs w:val="24"/>
        </w:rPr>
        <w:lastRenderedPageBreak/>
        <w:t xml:space="preserve">Study E11: Bockius &amp; </w:t>
      </w:r>
      <w:proofErr w:type="spellStart"/>
      <w:r w:rsidRPr="00121478">
        <w:rPr>
          <w:rFonts w:ascii="Times New Roman" w:hAnsi="Times New Roman" w:cs="Times New Roman"/>
          <w:b/>
          <w:bCs/>
          <w:szCs w:val="24"/>
        </w:rPr>
        <w:t>Gatzert</w:t>
      </w:r>
      <w:proofErr w:type="spellEnd"/>
      <w:r w:rsidRPr="00121478">
        <w:rPr>
          <w:rFonts w:ascii="Times New Roman" w:hAnsi="Times New Roman" w:cs="Times New Roman"/>
          <w:b/>
          <w:bCs/>
          <w:szCs w:val="24"/>
        </w:rPr>
        <w:t xml:space="preserve"> (2024)</w:t>
      </w:r>
    </w:p>
    <w:p w14:paraId="6008EE86" w14:textId="77777777" w:rsidR="00121478" w:rsidRPr="008647DF" w:rsidRDefault="00121478" w:rsidP="008647DF">
      <w:pPr>
        <w:keepNext/>
        <w:keepLines/>
        <w:rPr>
          <w:rFonts w:ascii="Times New Roman" w:hAnsi="Times New Roman" w:cs="Times New Roman"/>
          <w:b/>
          <w:bCs/>
          <w:szCs w:val="24"/>
        </w:rPr>
      </w:pPr>
      <w:r w:rsidRPr="00121478">
        <w:rPr>
          <w:rFonts w:ascii="Times New Roman" w:hAnsi="Times New Roman" w:cs="Times New Roman"/>
          <w:b/>
          <w:bCs/>
          <w:szCs w:val="24"/>
        </w:rPr>
        <w:t>Reference</w:t>
      </w:r>
      <w:r w:rsidRPr="008647DF">
        <w:rPr>
          <w:rFonts w:ascii="Times New Roman" w:hAnsi="Times New Roman" w:cs="Times New Roman"/>
          <w:b/>
          <w:bCs/>
          <w:szCs w:val="24"/>
        </w:rPr>
        <w:t>:</w:t>
      </w:r>
    </w:p>
    <w:p w14:paraId="365F8765" w14:textId="3707B2A8" w:rsidR="00121478" w:rsidRDefault="00121478" w:rsidP="000C1F7C">
      <w:pPr>
        <w:spacing w:line="360" w:lineRule="auto"/>
        <w:rPr>
          <w:rFonts w:ascii="Times New Roman" w:hAnsi="Times New Roman" w:cs="Times New Roman"/>
          <w:szCs w:val="24"/>
        </w:rPr>
      </w:pPr>
      <w:r w:rsidRPr="00121478">
        <w:rPr>
          <w:rFonts w:ascii="Times New Roman" w:hAnsi="Times New Roman" w:cs="Times New Roman"/>
          <w:szCs w:val="24"/>
        </w:rPr>
        <w:t xml:space="preserve">Bockius, S., &amp; </w:t>
      </w:r>
      <w:proofErr w:type="spellStart"/>
      <w:r w:rsidRPr="00121478">
        <w:rPr>
          <w:rFonts w:ascii="Times New Roman" w:hAnsi="Times New Roman" w:cs="Times New Roman"/>
          <w:szCs w:val="24"/>
        </w:rPr>
        <w:t>Gatzert</w:t>
      </w:r>
      <w:proofErr w:type="spellEnd"/>
      <w:r w:rsidRPr="00121478">
        <w:rPr>
          <w:rFonts w:ascii="Times New Roman" w:hAnsi="Times New Roman" w:cs="Times New Roman"/>
          <w:szCs w:val="24"/>
        </w:rPr>
        <w:t xml:space="preserve">, N. (2024). Risk culture and enterprise risk management effectiveness: Empirical evidence from European firms. Journal of Risk Research, 27(2), 145–168. </w:t>
      </w:r>
    </w:p>
    <w:p w14:paraId="4896F199" w14:textId="77777777" w:rsidR="00121478" w:rsidRPr="00121478" w:rsidRDefault="00121478" w:rsidP="008647DF">
      <w:pPr>
        <w:keepNext/>
        <w:keepLines/>
        <w:rPr>
          <w:rFonts w:ascii="Times New Roman" w:hAnsi="Times New Roman" w:cs="Times New Roman"/>
          <w:b/>
          <w:bCs/>
          <w:szCs w:val="24"/>
        </w:rPr>
      </w:pPr>
      <w:r w:rsidRPr="00121478">
        <w:rPr>
          <w:rFonts w:ascii="Times New Roman" w:hAnsi="Times New Roman" w:cs="Times New Roman"/>
          <w:b/>
          <w:bCs/>
          <w:szCs w:val="24"/>
        </w:rPr>
        <w:t>Method:</w:t>
      </w:r>
    </w:p>
    <w:p w14:paraId="4A8D5FBD" w14:textId="77777777" w:rsidR="00121478" w:rsidRDefault="00121478" w:rsidP="000C1F7C">
      <w:pPr>
        <w:spacing w:line="360" w:lineRule="auto"/>
        <w:rPr>
          <w:rFonts w:ascii="Times New Roman" w:hAnsi="Times New Roman" w:cs="Times New Roman"/>
          <w:szCs w:val="24"/>
        </w:rPr>
      </w:pPr>
      <w:r w:rsidRPr="00121478">
        <w:rPr>
          <w:rFonts w:ascii="Times New Roman" w:hAnsi="Times New Roman" w:cs="Times New Roman"/>
          <w:szCs w:val="24"/>
        </w:rPr>
        <w:t>The study employs a quantitative survey-based design targeting risk managers and senior executives across European firms. Structural equation modeling (SEM) is used to examine the relationship between risk culture dimensions and ERM effectiveness.</w:t>
      </w:r>
    </w:p>
    <w:p w14:paraId="5E85C074" w14:textId="77777777" w:rsidR="00121478" w:rsidRDefault="00121478" w:rsidP="008647DF">
      <w:pPr>
        <w:keepNext/>
        <w:keepLines/>
        <w:rPr>
          <w:rFonts w:ascii="Times New Roman" w:hAnsi="Times New Roman" w:cs="Times New Roman"/>
          <w:b/>
          <w:bCs/>
          <w:szCs w:val="24"/>
        </w:rPr>
      </w:pPr>
      <w:r w:rsidRPr="00121478">
        <w:rPr>
          <w:rFonts w:ascii="Times New Roman" w:hAnsi="Times New Roman" w:cs="Times New Roman"/>
          <w:b/>
          <w:bCs/>
          <w:szCs w:val="24"/>
        </w:rPr>
        <w:t>Key Findings</w:t>
      </w:r>
      <w:r>
        <w:rPr>
          <w:rFonts w:ascii="Times New Roman" w:hAnsi="Times New Roman" w:cs="Times New Roman"/>
          <w:b/>
          <w:bCs/>
          <w:szCs w:val="24"/>
        </w:rPr>
        <w:t>:</w:t>
      </w:r>
    </w:p>
    <w:p w14:paraId="6DE9838E" w14:textId="77777777" w:rsidR="00121478" w:rsidRDefault="00121478" w:rsidP="000C1F7C">
      <w:pPr>
        <w:spacing w:line="360" w:lineRule="auto"/>
        <w:rPr>
          <w:rFonts w:ascii="Times New Roman" w:hAnsi="Times New Roman" w:cs="Times New Roman"/>
          <w:szCs w:val="24"/>
        </w:rPr>
      </w:pPr>
      <w:r w:rsidRPr="00121478">
        <w:rPr>
          <w:rFonts w:ascii="Times New Roman" w:hAnsi="Times New Roman" w:cs="Times New Roman"/>
          <w:szCs w:val="24"/>
        </w:rPr>
        <w:t xml:space="preserve">The findings demonstrate a statistically significant positive relationship between strong risk culture and ERM effectiveness. </w:t>
      </w:r>
      <w:proofErr w:type="gramStart"/>
      <w:r w:rsidRPr="00121478">
        <w:rPr>
          <w:rFonts w:ascii="Times New Roman" w:hAnsi="Times New Roman" w:cs="Times New Roman"/>
          <w:szCs w:val="24"/>
        </w:rPr>
        <w:t>In particular, leadership</w:t>
      </w:r>
      <w:proofErr w:type="gramEnd"/>
      <w:r w:rsidRPr="00121478">
        <w:rPr>
          <w:rFonts w:ascii="Times New Roman" w:hAnsi="Times New Roman" w:cs="Times New Roman"/>
          <w:szCs w:val="24"/>
        </w:rPr>
        <w:t xml:space="preserve"> reinforcement, accountability clarity, and open communication are shown to enhance governance outcomes. The study confirms that risk culture acts as a mediating factor between formal ERM structures and organizational performance.</w:t>
      </w:r>
    </w:p>
    <w:p w14:paraId="79D0092D" w14:textId="77777777" w:rsidR="00121478" w:rsidRPr="00121478" w:rsidRDefault="00121478" w:rsidP="008647DF">
      <w:pPr>
        <w:keepNext/>
        <w:keepLines/>
        <w:rPr>
          <w:rFonts w:ascii="Times New Roman" w:hAnsi="Times New Roman" w:cs="Times New Roman"/>
          <w:b/>
          <w:bCs/>
          <w:szCs w:val="24"/>
        </w:rPr>
      </w:pPr>
      <w:r w:rsidRPr="00121478">
        <w:rPr>
          <w:rFonts w:ascii="Times New Roman" w:hAnsi="Times New Roman" w:cs="Times New Roman"/>
          <w:b/>
          <w:bCs/>
          <w:szCs w:val="24"/>
        </w:rPr>
        <w:t>Relevance to Current Study:</w:t>
      </w:r>
    </w:p>
    <w:p w14:paraId="5A7EF591" w14:textId="3CFD0B0B" w:rsidR="00121478" w:rsidRDefault="00121478" w:rsidP="000C1F7C">
      <w:pPr>
        <w:spacing w:line="360" w:lineRule="auto"/>
        <w:rPr>
          <w:rFonts w:ascii="Times New Roman" w:hAnsi="Times New Roman" w:cs="Times New Roman"/>
          <w:szCs w:val="24"/>
        </w:rPr>
      </w:pPr>
      <w:r w:rsidRPr="00121478">
        <w:rPr>
          <w:rFonts w:ascii="Times New Roman" w:hAnsi="Times New Roman" w:cs="Times New Roman"/>
          <w:szCs w:val="24"/>
        </w:rPr>
        <w:t xml:space="preserve">Bockius and </w:t>
      </w:r>
      <w:proofErr w:type="spellStart"/>
      <w:r w:rsidRPr="00121478">
        <w:rPr>
          <w:rFonts w:ascii="Times New Roman" w:hAnsi="Times New Roman" w:cs="Times New Roman"/>
          <w:szCs w:val="24"/>
        </w:rPr>
        <w:t>Gatzert</w:t>
      </w:r>
      <w:proofErr w:type="spellEnd"/>
      <w:r w:rsidRPr="00121478">
        <w:rPr>
          <w:rFonts w:ascii="Times New Roman" w:hAnsi="Times New Roman" w:cs="Times New Roman"/>
          <w:szCs w:val="24"/>
        </w:rPr>
        <w:t xml:space="preserve"> provide contemporary empirical validation that risk culture is a measurable determinant of ERM success. Their findings reinforce the importance of leadership and behavioral dimensions, which are central to the present study’s conceptual model. The current research extends this line of inquiry by testing whether participatory ERM mechanisms, such as Bottom-Up Risk Assessment, contribute to strengthening risk culture within a Shared Services organizational setting.</w:t>
      </w:r>
    </w:p>
    <w:p w14:paraId="5F8C626E" w14:textId="77777777" w:rsidR="00121478" w:rsidRPr="00121478" w:rsidRDefault="00121478" w:rsidP="008647DF">
      <w:pPr>
        <w:keepNext/>
        <w:keepLines/>
        <w:rPr>
          <w:rFonts w:ascii="Times New Roman" w:hAnsi="Times New Roman" w:cs="Times New Roman"/>
          <w:b/>
          <w:bCs/>
          <w:szCs w:val="24"/>
        </w:rPr>
      </w:pPr>
      <w:r w:rsidRPr="00121478">
        <w:rPr>
          <w:rFonts w:ascii="Times New Roman" w:hAnsi="Times New Roman" w:cs="Times New Roman"/>
          <w:b/>
          <w:bCs/>
          <w:szCs w:val="24"/>
        </w:rPr>
        <w:t>Study E12: Power (2016)</w:t>
      </w:r>
    </w:p>
    <w:p w14:paraId="0FEF8118" w14:textId="77777777" w:rsidR="00121478" w:rsidRPr="00121478" w:rsidRDefault="00121478" w:rsidP="008647DF">
      <w:pPr>
        <w:keepNext/>
        <w:keepLines/>
        <w:rPr>
          <w:rFonts w:ascii="Times New Roman" w:hAnsi="Times New Roman" w:cs="Times New Roman"/>
          <w:b/>
          <w:bCs/>
          <w:szCs w:val="24"/>
        </w:rPr>
      </w:pPr>
      <w:r w:rsidRPr="00121478">
        <w:rPr>
          <w:rFonts w:ascii="Times New Roman" w:hAnsi="Times New Roman" w:cs="Times New Roman"/>
          <w:b/>
          <w:bCs/>
          <w:szCs w:val="24"/>
        </w:rPr>
        <w:t>Reference:</w:t>
      </w:r>
    </w:p>
    <w:p w14:paraId="1108CAA1" w14:textId="0269FC7B" w:rsidR="00121478" w:rsidRDefault="00121478" w:rsidP="000C1F7C">
      <w:pPr>
        <w:spacing w:line="360" w:lineRule="auto"/>
        <w:rPr>
          <w:rFonts w:ascii="Times New Roman" w:hAnsi="Times New Roman" w:cs="Times New Roman"/>
          <w:szCs w:val="24"/>
        </w:rPr>
      </w:pPr>
      <w:r w:rsidRPr="00121478">
        <w:rPr>
          <w:rFonts w:ascii="Times New Roman" w:hAnsi="Times New Roman" w:cs="Times New Roman"/>
          <w:szCs w:val="24"/>
        </w:rPr>
        <w:t xml:space="preserve">Power, M. (2016). Risk culture and the management of uncertainty: A review and conceptual framework. Accounting, Organizations and Society, 49, 14–26. </w:t>
      </w:r>
    </w:p>
    <w:p w14:paraId="3BBABF9D" w14:textId="77777777" w:rsidR="00121478" w:rsidRPr="00121478" w:rsidRDefault="00121478" w:rsidP="008647DF">
      <w:pPr>
        <w:keepNext/>
        <w:keepLines/>
        <w:rPr>
          <w:rFonts w:ascii="Times New Roman" w:hAnsi="Times New Roman" w:cs="Times New Roman"/>
          <w:b/>
          <w:bCs/>
          <w:szCs w:val="24"/>
        </w:rPr>
      </w:pPr>
      <w:r w:rsidRPr="00121478">
        <w:rPr>
          <w:rFonts w:ascii="Times New Roman" w:hAnsi="Times New Roman" w:cs="Times New Roman"/>
          <w:b/>
          <w:bCs/>
          <w:szCs w:val="24"/>
        </w:rPr>
        <w:t>Method:</w:t>
      </w:r>
    </w:p>
    <w:p w14:paraId="2931F44E" w14:textId="77777777" w:rsidR="00121478" w:rsidRDefault="00121478" w:rsidP="000C1F7C">
      <w:pPr>
        <w:spacing w:line="360" w:lineRule="auto"/>
        <w:rPr>
          <w:rFonts w:ascii="Times New Roman" w:hAnsi="Times New Roman" w:cs="Times New Roman"/>
          <w:szCs w:val="24"/>
        </w:rPr>
      </w:pPr>
      <w:r w:rsidRPr="00121478">
        <w:rPr>
          <w:rFonts w:ascii="Times New Roman" w:hAnsi="Times New Roman" w:cs="Times New Roman"/>
          <w:szCs w:val="24"/>
        </w:rPr>
        <w:t>The study adopts a conceptual analytical approach, reviewing regulatory developments and organizational responses to risk governance reforms. It proposes a framework for understanding how risk culture evolves within institutional environments.</w:t>
      </w:r>
    </w:p>
    <w:p w14:paraId="1F338283" w14:textId="77777777" w:rsidR="00121478" w:rsidRPr="00121478" w:rsidRDefault="00121478" w:rsidP="008647DF">
      <w:pPr>
        <w:keepNext/>
        <w:keepLines/>
        <w:rPr>
          <w:rFonts w:ascii="Times New Roman" w:hAnsi="Times New Roman" w:cs="Times New Roman"/>
          <w:b/>
          <w:bCs/>
          <w:szCs w:val="24"/>
        </w:rPr>
      </w:pPr>
      <w:r w:rsidRPr="00121478">
        <w:rPr>
          <w:rFonts w:ascii="Times New Roman" w:hAnsi="Times New Roman" w:cs="Times New Roman"/>
          <w:b/>
          <w:bCs/>
          <w:szCs w:val="24"/>
        </w:rPr>
        <w:t>Key Findings:</w:t>
      </w:r>
    </w:p>
    <w:p w14:paraId="2549CB3C" w14:textId="77777777" w:rsidR="00121478" w:rsidRDefault="00121478" w:rsidP="000C1F7C">
      <w:pPr>
        <w:spacing w:line="360" w:lineRule="auto"/>
        <w:rPr>
          <w:rFonts w:ascii="Times New Roman" w:hAnsi="Times New Roman" w:cs="Times New Roman"/>
          <w:szCs w:val="24"/>
        </w:rPr>
      </w:pPr>
      <w:r w:rsidRPr="00121478">
        <w:rPr>
          <w:rFonts w:ascii="Times New Roman" w:hAnsi="Times New Roman" w:cs="Times New Roman"/>
          <w:szCs w:val="24"/>
        </w:rPr>
        <w:t xml:space="preserve">Power argues that risk culture emerges through organizational routines, managerial signals, and accountability structures rather than formal documentation alone. The study emphasizes that </w:t>
      </w:r>
      <w:r w:rsidRPr="00121478">
        <w:rPr>
          <w:rFonts w:ascii="Times New Roman" w:hAnsi="Times New Roman" w:cs="Times New Roman"/>
          <w:szCs w:val="24"/>
        </w:rPr>
        <w:lastRenderedPageBreak/>
        <w:t>governance reforms following financial crises increasingly focus on shaping cultural behavior, not merely strengthening control systems. Risk culture is portrayed as dynamic and socially constructed within organizations.</w:t>
      </w:r>
    </w:p>
    <w:p w14:paraId="6A045031" w14:textId="77777777" w:rsidR="00121478" w:rsidRPr="00121478" w:rsidRDefault="00121478" w:rsidP="008647DF">
      <w:pPr>
        <w:keepNext/>
        <w:keepLines/>
        <w:rPr>
          <w:rFonts w:ascii="Times New Roman" w:hAnsi="Times New Roman" w:cs="Times New Roman"/>
          <w:b/>
          <w:bCs/>
          <w:szCs w:val="24"/>
        </w:rPr>
      </w:pPr>
      <w:r w:rsidRPr="00121478">
        <w:rPr>
          <w:rFonts w:ascii="Times New Roman" w:hAnsi="Times New Roman" w:cs="Times New Roman"/>
          <w:b/>
          <w:bCs/>
          <w:szCs w:val="24"/>
        </w:rPr>
        <w:t>Relevance to Current Study:</w:t>
      </w:r>
    </w:p>
    <w:p w14:paraId="419260FD" w14:textId="4285556C" w:rsidR="00121478" w:rsidRDefault="00121478" w:rsidP="000C1F7C">
      <w:pPr>
        <w:spacing w:line="360" w:lineRule="auto"/>
        <w:rPr>
          <w:rFonts w:ascii="Times New Roman" w:hAnsi="Times New Roman" w:cs="Times New Roman"/>
          <w:szCs w:val="24"/>
        </w:rPr>
      </w:pPr>
      <w:r w:rsidRPr="00121478">
        <w:rPr>
          <w:rFonts w:ascii="Times New Roman" w:hAnsi="Times New Roman" w:cs="Times New Roman"/>
          <w:szCs w:val="24"/>
        </w:rPr>
        <w:t>Power’s conceptual framework provides strong theoretical grounding for viewing risk culture as behaviorally produced and reinforced. It supports the premise that structured mechanisms such as Bottom-Up Risk Assessment may influence cultural norms when integrated into daily operational practices. The present study empirically examines this relationship within a Shared Services context, extending Power’s conceptual insights into measurable organizational outcomes.</w:t>
      </w:r>
    </w:p>
    <w:p w14:paraId="1ACDB973" w14:textId="77777777" w:rsidR="003F3AF5" w:rsidRPr="003F3AF5" w:rsidRDefault="003F3AF5" w:rsidP="008647DF">
      <w:pPr>
        <w:keepNext/>
        <w:keepLines/>
        <w:rPr>
          <w:rFonts w:ascii="Times New Roman" w:hAnsi="Times New Roman" w:cs="Times New Roman"/>
          <w:b/>
          <w:bCs/>
          <w:szCs w:val="24"/>
        </w:rPr>
      </w:pPr>
      <w:r w:rsidRPr="003F3AF5">
        <w:rPr>
          <w:rFonts w:ascii="Times New Roman" w:hAnsi="Times New Roman" w:cs="Times New Roman"/>
          <w:b/>
          <w:bCs/>
          <w:szCs w:val="24"/>
        </w:rPr>
        <w:t>Study E13: Mikes &amp; Kaplan (2015)</w:t>
      </w:r>
    </w:p>
    <w:p w14:paraId="5D09C693" w14:textId="2295323B" w:rsidR="003F3AF5" w:rsidRPr="003F3AF5" w:rsidRDefault="003F3AF5" w:rsidP="008647DF">
      <w:pPr>
        <w:keepNext/>
        <w:keepLines/>
        <w:rPr>
          <w:rFonts w:ascii="Times New Roman" w:hAnsi="Times New Roman" w:cs="Times New Roman"/>
          <w:b/>
          <w:bCs/>
          <w:szCs w:val="24"/>
        </w:rPr>
      </w:pPr>
      <w:r w:rsidRPr="003F3AF5">
        <w:rPr>
          <w:rFonts w:ascii="Times New Roman" w:hAnsi="Times New Roman" w:cs="Times New Roman"/>
          <w:b/>
          <w:bCs/>
          <w:szCs w:val="24"/>
        </w:rPr>
        <w:t>Reference</w:t>
      </w:r>
      <w:r>
        <w:rPr>
          <w:rFonts w:ascii="Times New Roman" w:hAnsi="Times New Roman" w:cs="Times New Roman"/>
          <w:b/>
          <w:bCs/>
          <w:szCs w:val="24"/>
        </w:rPr>
        <w:t>:</w:t>
      </w:r>
    </w:p>
    <w:p w14:paraId="453A2E99" w14:textId="53FBEAC2" w:rsidR="003F3AF5" w:rsidRDefault="003F3AF5" w:rsidP="000C1F7C">
      <w:pPr>
        <w:spacing w:line="360" w:lineRule="auto"/>
        <w:rPr>
          <w:rFonts w:ascii="Times New Roman" w:hAnsi="Times New Roman" w:cs="Times New Roman"/>
          <w:szCs w:val="24"/>
        </w:rPr>
      </w:pPr>
      <w:r w:rsidRPr="003F3AF5">
        <w:rPr>
          <w:rFonts w:ascii="Times New Roman" w:hAnsi="Times New Roman" w:cs="Times New Roman"/>
          <w:szCs w:val="24"/>
        </w:rPr>
        <w:t xml:space="preserve">Mikes, A., &amp; Kaplan, R. S. (2015). When one size doesn’t fit all: Evolving directions in the research and practice of enterprise risk management. Journal of Applied Corporate Finance, 27(1), 37–40. </w:t>
      </w:r>
    </w:p>
    <w:p w14:paraId="5172D2AE" w14:textId="4133AD4E" w:rsidR="003F3AF5" w:rsidRPr="003F3AF5" w:rsidRDefault="003F3AF5" w:rsidP="008647DF">
      <w:pPr>
        <w:keepNext/>
        <w:keepLines/>
        <w:rPr>
          <w:rFonts w:ascii="Times New Roman" w:hAnsi="Times New Roman" w:cs="Times New Roman"/>
          <w:b/>
          <w:bCs/>
          <w:szCs w:val="24"/>
        </w:rPr>
      </w:pPr>
      <w:r w:rsidRPr="003F3AF5">
        <w:rPr>
          <w:rFonts w:ascii="Times New Roman" w:hAnsi="Times New Roman" w:cs="Times New Roman"/>
          <w:b/>
          <w:bCs/>
          <w:szCs w:val="24"/>
        </w:rPr>
        <w:t>Method:</w:t>
      </w:r>
    </w:p>
    <w:p w14:paraId="675D2A94" w14:textId="77777777" w:rsidR="003F3AF5" w:rsidRDefault="003F3AF5" w:rsidP="000C1F7C">
      <w:pPr>
        <w:spacing w:line="360" w:lineRule="auto"/>
        <w:rPr>
          <w:rFonts w:ascii="Times New Roman" w:hAnsi="Times New Roman" w:cs="Times New Roman"/>
          <w:szCs w:val="24"/>
        </w:rPr>
      </w:pPr>
      <w:r w:rsidRPr="003F3AF5">
        <w:rPr>
          <w:rFonts w:ascii="Times New Roman" w:hAnsi="Times New Roman" w:cs="Times New Roman"/>
          <w:szCs w:val="24"/>
        </w:rPr>
        <w:t>The study adopts a conceptual and practice-oriented analytical approach, reviewing developments in ERM implementation across organizations. It examines variations in ERM design and governance integration strategies.</w:t>
      </w:r>
    </w:p>
    <w:p w14:paraId="31CB2AAB" w14:textId="03E7D9F6" w:rsidR="003F3AF5" w:rsidRPr="003F3AF5" w:rsidRDefault="003F3AF5" w:rsidP="008647DF">
      <w:pPr>
        <w:keepNext/>
        <w:keepLines/>
        <w:rPr>
          <w:rFonts w:ascii="Times New Roman" w:hAnsi="Times New Roman" w:cs="Times New Roman"/>
          <w:b/>
          <w:bCs/>
          <w:szCs w:val="24"/>
        </w:rPr>
      </w:pPr>
      <w:r w:rsidRPr="003F3AF5">
        <w:rPr>
          <w:rFonts w:ascii="Times New Roman" w:hAnsi="Times New Roman" w:cs="Times New Roman"/>
          <w:b/>
          <w:bCs/>
          <w:szCs w:val="24"/>
        </w:rPr>
        <w:t>Key Findings:</w:t>
      </w:r>
    </w:p>
    <w:p w14:paraId="379FAB7C" w14:textId="77777777" w:rsidR="003F3AF5" w:rsidRDefault="003F3AF5" w:rsidP="000C1F7C">
      <w:pPr>
        <w:spacing w:line="360" w:lineRule="auto"/>
        <w:rPr>
          <w:rFonts w:ascii="Times New Roman" w:hAnsi="Times New Roman" w:cs="Times New Roman"/>
          <w:szCs w:val="24"/>
        </w:rPr>
      </w:pPr>
      <w:r w:rsidRPr="003F3AF5">
        <w:rPr>
          <w:rFonts w:ascii="Times New Roman" w:hAnsi="Times New Roman" w:cs="Times New Roman"/>
          <w:szCs w:val="24"/>
        </w:rPr>
        <w:t>The authors argue that ERM effectiveness depends on contextual alignment rather than uniform adoption. Organizations must tailor risk governance structures to their strategic, operational, and structural characteristics. The study emphasizes that ERM must evolve from compliance-driven systems to embedded management processes influencing decision-making behavior.</w:t>
      </w:r>
    </w:p>
    <w:p w14:paraId="550B0BDC" w14:textId="7B9BD7D3" w:rsidR="003F3AF5" w:rsidRPr="003F3AF5" w:rsidRDefault="003F3AF5" w:rsidP="008647DF">
      <w:pPr>
        <w:keepNext/>
        <w:keepLines/>
        <w:rPr>
          <w:rFonts w:ascii="Times New Roman" w:hAnsi="Times New Roman" w:cs="Times New Roman"/>
          <w:b/>
          <w:bCs/>
          <w:szCs w:val="24"/>
        </w:rPr>
      </w:pPr>
      <w:r w:rsidRPr="003F3AF5">
        <w:rPr>
          <w:rFonts w:ascii="Times New Roman" w:hAnsi="Times New Roman" w:cs="Times New Roman"/>
          <w:b/>
          <w:bCs/>
          <w:szCs w:val="24"/>
        </w:rPr>
        <w:t>Relevance to Current Study:</w:t>
      </w:r>
    </w:p>
    <w:p w14:paraId="6C749060" w14:textId="23D2D82E" w:rsidR="00121478" w:rsidRDefault="003F3AF5" w:rsidP="000C1F7C">
      <w:pPr>
        <w:spacing w:line="360" w:lineRule="auto"/>
        <w:rPr>
          <w:rFonts w:ascii="Times New Roman" w:hAnsi="Times New Roman" w:cs="Times New Roman"/>
          <w:szCs w:val="24"/>
        </w:rPr>
      </w:pPr>
      <w:r w:rsidRPr="003F3AF5">
        <w:rPr>
          <w:rFonts w:ascii="Times New Roman" w:hAnsi="Times New Roman" w:cs="Times New Roman"/>
          <w:szCs w:val="24"/>
        </w:rPr>
        <w:t>Mikes and Kaplan reinforce the premise that ERM is not universally effective unless adapted to organizational context. This insight supports the relevance of examining ERM practices within a Shared Services environment, where structural interdependence and centralized coordination require contextualized governance mechanisms. The present study contributes by empirically testing whether participatory ERM mechanisms, specifically Bottom-Up Risk Assessment, function as context-sensitive tools that strengthen risk culture.</w:t>
      </w:r>
    </w:p>
    <w:p w14:paraId="28E62AE5" w14:textId="77777777" w:rsidR="00121478" w:rsidRDefault="00121478" w:rsidP="00121478">
      <w:pPr>
        <w:rPr>
          <w:rFonts w:ascii="Times New Roman" w:hAnsi="Times New Roman" w:cs="Times New Roman"/>
          <w:szCs w:val="24"/>
        </w:rPr>
      </w:pPr>
    </w:p>
    <w:p w14:paraId="5B0B5295" w14:textId="77777777" w:rsidR="003F3AF5" w:rsidRPr="003F3AF5" w:rsidRDefault="003F3AF5" w:rsidP="008647DF">
      <w:pPr>
        <w:keepNext/>
        <w:keepLines/>
        <w:rPr>
          <w:rFonts w:ascii="Times New Roman" w:hAnsi="Times New Roman" w:cs="Times New Roman"/>
          <w:b/>
          <w:bCs/>
          <w:szCs w:val="24"/>
        </w:rPr>
      </w:pPr>
      <w:r w:rsidRPr="003F3AF5">
        <w:rPr>
          <w:rFonts w:ascii="Times New Roman" w:hAnsi="Times New Roman" w:cs="Times New Roman"/>
          <w:b/>
          <w:bCs/>
          <w:szCs w:val="24"/>
        </w:rPr>
        <w:lastRenderedPageBreak/>
        <w:t xml:space="preserve">Study E14: Arena, </w:t>
      </w:r>
      <w:proofErr w:type="spellStart"/>
      <w:r w:rsidRPr="003F3AF5">
        <w:rPr>
          <w:rFonts w:ascii="Times New Roman" w:hAnsi="Times New Roman" w:cs="Times New Roman"/>
          <w:b/>
          <w:bCs/>
          <w:szCs w:val="24"/>
        </w:rPr>
        <w:t>Arnaboldi</w:t>
      </w:r>
      <w:proofErr w:type="spellEnd"/>
      <w:r w:rsidRPr="003F3AF5">
        <w:rPr>
          <w:rFonts w:ascii="Times New Roman" w:hAnsi="Times New Roman" w:cs="Times New Roman"/>
          <w:b/>
          <w:bCs/>
          <w:szCs w:val="24"/>
        </w:rPr>
        <w:t xml:space="preserve"> &amp; </w:t>
      </w:r>
      <w:proofErr w:type="spellStart"/>
      <w:r w:rsidRPr="003F3AF5">
        <w:rPr>
          <w:rFonts w:ascii="Times New Roman" w:hAnsi="Times New Roman" w:cs="Times New Roman"/>
          <w:b/>
          <w:bCs/>
          <w:szCs w:val="24"/>
        </w:rPr>
        <w:t>Azzone</w:t>
      </w:r>
      <w:proofErr w:type="spellEnd"/>
      <w:r w:rsidRPr="003F3AF5">
        <w:rPr>
          <w:rFonts w:ascii="Times New Roman" w:hAnsi="Times New Roman" w:cs="Times New Roman"/>
          <w:b/>
          <w:bCs/>
          <w:szCs w:val="24"/>
        </w:rPr>
        <w:t xml:space="preserve"> (2015)</w:t>
      </w:r>
    </w:p>
    <w:p w14:paraId="0B993CF8" w14:textId="77777777" w:rsidR="003F3AF5" w:rsidRPr="003F3AF5" w:rsidRDefault="003F3AF5" w:rsidP="008647DF">
      <w:pPr>
        <w:keepNext/>
        <w:keepLines/>
        <w:rPr>
          <w:rFonts w:ascii="Times New Roman" w:hAnsi="Times New Roman" w:cs="Times New Roman"/>
          <w:b/>
          <w:bCs/>
          <w:szCs w:val="24"/>
        </w:rPr>
      </w:pPr>
      <w:r w:rsidRPr="003F3AF5">
        <w:rPr>
          <w:rFonts w:ascii="Times New Roman" w:hAnsi="Times New Roman" w:cs="Times New Roman"/>
          <w:b/>
          <w:bCs/>
          <w:szCs w:val="24"/>
        </w:rPr>
        <w:t xml:space="preserve">Reference: </w:t>
      </w:r>
    </w:p>
    <w:p w14:paraId="661CBB84" w14:textId="49735071" w:rsidR="003F3AF5" w:rsidRDefault="003F3AF5" w:rsidP="000C1F7C">
      <w:pPr>
        <w:spacing w:line="360" w:lineRule="auto"/>
        <w:rPr>
          <w:rFonts w:ascii="Times New Roman" w:hAnsi="Times New Roman" w:cs="Times New Roman"/>
          <w:szCs w:val="24"/>
        </w:rPr>
      </w:pPr>
      <w:r w:rsidRPr="003F3AF5">
        <w:rPr>
          <w:rFonts w:ascii="Times New Roman" w:hAnsi="Times New Roman" w:cs="Times New Roman"/>
          <w:szCs w:val="24"/>
        </w:rPr>
        <w:t xml:space="preserve">Arena, M., </w:t>
      </w:r>
      <w:proofErr w:type="spellStart"/>
      <w:r w:rsidRPr="003F3AF5">
        <w:rPr>
          <w:rFonts w:ascii="Times New Roman" w:hAnsi="Times New Roman" w:cs="Times New Roman"/>
          <w:szCs w:val="24"/>
        </w:rPr>
        <w:t>Arnaboldi</w:t>
      </w:r>
      <w:proofErr w:type="spellEnd"/>
      <w:r w:rsidRPr="003F3AF5">
        <w:rPr>
          <w:rFonts w:ascii="Times New Roman" w:hAnsi="Times New Roman" w:cs="Times New Roman"/>
          <w:szCs w:val="24"/>
        </w:rPr>
        <w:t xml:space="preserve">, M., &amp; </w:t>
      </w:r>
      <w:proofErr w:type="spellStart"/>
      <w:r w:rsidRPr="003F3AF5">
        <w:rPr>
          <w:rFonts w:ascii="Times New Roman" w:hAnsi="Times New Roman" w:cs="Times New Roman"/>
          <w:szCs w:val="24"/>
        </w:rPr>
        <w:t>Azzone</w:t>
      </w:r>
      <w:proofErr w:type="spellEnd"/>
      <w:r w:rsidRPr="003F3AF5">
        <w:rPr>
          <w:rFonts w:ascii="Times New Roman" w:hAnsi="Times New Roman" w:cs="Times New Roman"/>
          <w:szCs w:val="24"/>
        </w:rPr>
        <w:t xml:space="preserve">, G. (2015). The organizational dynamics of enterprise risk management. Accounting, Organizations and Society, 38(2), 82–101. </w:t>
      </w:r>
    </w:p>
    <w:p w14:paraId="5A37A5DF" w14:textId="77777777" w:rsidR="003F3AF5" w:rsidRPr="003F3AF5" w:rsidRDefault="003F3AF5" w:rsidP="008647DF">
      <w:pPr>
        <w:keepNext/>
        <w:keepLines/>
        <w:rPr>
          <w:rFonts w:ascii="Times New Roman" w:hAnsi="Times New Roman" w:cs="Times New Roman"/>
          <w:b/>
          <w:bCs/>
          <w:szCs w:val="24"/>
        </w:rPr>
      </w:pPr>
      <w:r w:rsidRPr="003F3AF5">
        <w:rPr>
          <w:rFonts w:ascii="Times New Roman" w:hAnsi="Times New Roman" w:cs="Times New Roman"/>
          <w:b/>
          <w:bCs/>
          <w:szCs w:val="24"/>
        </w:rPr>
        <w:t>Method:</w:t>
      </w:r>
    </w:p>
    <w:p w14:paraId="42BB98D4" w14:textId="77777777" w:rsidR="003F3AF5" w:rsidRDefault="003F3AF5" w:rsidP="000C1F7C">
      <w:pPr>
        <w:spacing w:line="360" w:lineRule="auto"/>
        <w:rPr>
          <w:rFonts w:ascii="Times New Roman" w:hAnsi="Times New Roman" w:cs="Times New Roman"/>
          <w:szCs w:val="24"/>
        </w:rPr>
      </w:pPr>
      <w:r w:rsidRPr="003F3AF5">
        <w:rPr>
          <w:rFonts w:ascii="Times New Roman" w:hAnsi="Times New Roman" w:cs="Times New Roman"/>
          <w:szCs w:val="24"/>
        </w:rPr>
        <w:t>The study adopts a qualitative case-study methodology, analyzing ERM implementation within multiple organizations. Data was collected through interviews, internal documents, and observations to examine how ERM practices evolve within organizational structures.</w:t>
      </w:r>
    </w:p>
    <w:p w14:paraId="1A3711F5" w14:textId="2E873B1D" w:rsidR="003F3AF5" w:rsidRPr="003F3AF5" w:rsidRDefault="003F3AF5" w:rsidP="008647DF">
      <w:pPr>
        <w:keepNext/>
        <w:keepLines/>
        <w:rPr>
          <w:rFonts w:ascii="Times New Roman" w:hAnsi="Times New Roman" w:cs="Times New Roman"/>
          <w:b/>
          <w:bCs/>
          <w:szCs w:val="24"/>
        </w:rPr>
      </w:pPr>
      <w:r w:rsidRPr="003F3AF5">
        <w:rPr>
          <w:rFonts w:ascii="Times New Roman" w:hAnsi="Times New Roman" w:cs="Times New Roman"/>
          <w:b/>
          <w:bCs/>
          <w:szCs w:val="24"/>
        </w:rPr>
        <w:t>Key Findings:</w:t>
      </w:r>
    </w:p>
    <w:p w14:paraId="2B65227A" w14:textId="77777777" w:rsidR="003F3AF5" w:rsidRDefault="003F3AF5" w:rsidP="000C1F7C">
      <w:pPr>
        <w:spacing w:line="360" w:lineRule="auto"/>
        <w:rPr>
          <w:rFonts w:ascii="Times New Roman" w:hAnsi="Times New Roman" w:cs="Times New Roman"/>
          <w:szCs w:val="24"/>
        </w:rPr>
      </w:pPr>
      <w:r w:rsidRPr="003F3AF5">
        <w:rPr>
          <w:rFonts w:ascii="Times New Roman" w:hAnsi="Times New Roman" w:cs="Times New Roman"/>
          <w:szCs w:val="24"/>
        </w:rPr>
        <w:t>The findings indicate that ERM implementation is shaped by internal organizational dynamics, including leadership support, communication patterns, and structural complexity. The study highlights that ERM effectiveness depends on the interaction between formal systems and informal behavioral norms. Organizational actors play an active role in shaping how ERM processes function in practice.</w:t>
      </w:r>
    </w:p>
    <w:p w14:paraId="4E79D86D" w14:textId="77777777" w:rsidR="003F3AF5" w:rsidRPr="003F3AF5" w:rsidRDefault="003F3AF5" w:rsidP="008647DF">
      <w:pPr>
        <w:keepNext/>
        <w:keepLines/>
        <w:rPr>
          <w:rFonts w:ascii="Times New Roman" w:hAnsi="Times New Roman" w:cs="Times New Roman"/>
          <w:b/>
          <w:bCs/>
          <w:szCs w:val="24"/>
        </w:rPr>
      </w:pPr>
      <w:r w:rsidRPr="003F3AF5">
        <w:rPr>
          <w:rFonts w:ascii="Times New Roman" w:hAnsi="Times New Roman" w:cs="Times New Roman"/>
          <w:b/>
          <w:bCs/>
          <w:szCs w:val="24"/>
        </w:rPr>
        <w:t>Relevance to Current Study:</w:t>
      </w:r>
    </w:p>
    <w:p w14:paraId="1F69473D" w14:textId="3E3DE32E" w:rsidR="003F3AF5" w:rsidRDefault="003F3AF5" w:rsidP="000C1F7C">
      <w:pPr>
        <w:spacing w:line="360" w:lineRule="auto"/>
        <w:rPr>
          <w:rFonts w:ascii="Times New Roman" w:hAnsi="Times New Roman" w:cs="Times New Roman"/>
          <w:szCs w:val="24"/>
        </w:rPr>
      </w:pPr>
      <w:r w:rsidRPr="003F3AF5">
        <w:rPr>
          <w:rFonts w:ascii="Times New Roman" w:hAnsi="Times New Roman" w:cs="Times New Roman"/>
          <w:szCs w:val="24"/>
        </w:rPr>
        <w:t xml:space="preserve">Arena et al. </w:t>
      </w:r>
      <w:proofErr w:type="gramStart"/>
      <w:r w:rsidRPr="003F3AF5">
        <w:rPr>
          <w:rFonts w:ascii="Times New Roman" w:hAnsi="Times New Roman" w:cs="Times New Roman"/>
          <w:szCs w:val="24"/>
        </w:rPr>
        <w:t>provide</w:t>
      </w:r>
      <w:proofErr w:type="gramEnd"/>
      <w:r w:rsidRPr="003F3AF5">
        <w:rPr>
          <w:rFonts w:ascii="Times New Roman" w:hAnsi="Times New Roman" w:cs="Times New Roman"/>
          <w:szCs w:val="24"/>
        </w:rPr>
        <w:t xml:space="preserve"> important evidence </w:t>
      </w:r>
      <w:r>
        <w:rPr>
          <w:rFonts w:ascii="Times New Roman" w:hAnsi="Times New Roman" w:cs="Times New Roman"/>
          <w:szCs w:val="24"/>
        </w:rPr>
        <w:t>that ERM</w:t>
      </w:r>
      <w:r w:rsidRPr="003F3AF5">
        <w:rPr>
          <w:rFonts w:ascii="Times New Roman" w:hAnsi="Times New Roman" w:cs="Times New Roman"/>
          <w:szCs w:val="24"/>
        </w:rPr>
        <w:t xml:space="preserve"> outcomes are influenced by internal behavioral and structural factors rather than technical design alone. This perspective aligns with the present study’s focus on participatory governance mechanisms. By examining Bottom-Up Risk Assessment within a Shared Services structure, the current research empirically explores how internal engagement processes may strengthen risk culture dimensions.</w:t>
      </w:r>
    </w:p>
    <w:p w14:paraId="5006F7EB" w14:textId="77777777" w:rsidR="003F3AF5" w:rsidRPr="001A0DB4" w:rsidRDefault="003F3AF5" w:rsidP="008647DF">
      <w:pPr>
        <w:keepNext/>
        <w:keepLines/>
        <w:rPr>
          <w:rFonts w:ascii="Times New Roman" w:hAnsi="Times New Roman" w:cs="Times New Roman"/>
          <w:b/>
          <w:bCs/>
          <w:szCs w:val="24"/>
        </w:rPr>
      </w:pPr>
      <w:r w:rsidRPr="001A0DB4">
        <w:rPr>
          <w:rFonts w:ascii="Times New Roman" w:hAnsi="Times New Roman" w:cs="Times New Roman"/>
          <w:b/>
          <w:bCs/>
          <w:szCs w:val="24"/>
        </w:rPr>
        <w:t>Study E15: Farrell &amp; Gallagher (2015)</w:t>
      </w:r>
    </w:p>
    <w:p w14:paraId="609388E9" w14:textId="663C50C3" w:rsidR="003F3AF5" w:rsidRPr="001A0DB4" w:rsidRDefault="003F3AF5" w:rsidP="008647DF">
      <w:pPr>
        <w:keepNext/>
        <w:keepLines/>
        <w:rPr>
          <w:rFonts w:ascii="Times New Roman" w:hAnsi="Times New Roman" w:cs="Times New Roman"/>
          <w:b/>
          <w:bCs/>
          <w:szCs w:val="24"/>
        </w:rPr>
      </w:pPr>
      <w:r w:rsidRPr="001A0DB4">
        <w:rPr>
          <w:rFonts w:ascii="Times New Roman" w:hAnsi="Times New Roman" w:cs="Times New Roman"/>
          <w:b/>
          <w:bCs/>
          <w:szCs w:val="24"/>
        </w:rPr>
        <w:t>Reference:</w:t>
      </w:r>
    </w:p>
    <w:p w14:paraId="577E3273" w14:textId="52600A2D" w:rsidR="003F3AF5" w:rsidRDefault="003F3AF5" w:rsidP="000C1F7C">
      <w:pPr>
        <w:spacing w:line="360" w:lineRule="auto"/>
        <w:rPr>
          <w:rFonts w:ascii="Times New Roman" w:hAnsi="Times New Roman" w:cs="Times New Roman"/>
          <w:szCs w:val="24"/>
        </w:rPr>
      </w:pPr>
      <w:r w:rsidRPr="003F3AF5">
        <w:rPr>
          <w:rFonts w:ascii="Times New Roman" w:hAnsi="Times New Roman" w:cs="Times New Roman"/>
          <w:szCs w:val="24"/>
        </w:rPr>
        <w:t xml:space="preserve">Farrell, M., &amp; Gallagher, R. (2015). The valuation implications of enterprise risk management maturity. Journal of Risk and Insurance, 82(3), 625–657. </w:t>
      </w:r>
    </w:p>
    <w:p w14:paraId="0745A9D5" w14:textId="64CFCCF5" w:rsidR="003F3AF5" w:rsidRPr="001A0DB4" w:rsidRDefault="003F3AF5" w:rsidP="008647DF">
      <w:pPr>
        <w:keepNext/>
        <w:keepLines/>
        <w:ind w:left="720" w:firstLine="0"/>
        <w:rPr>
          <w:rFonts w:ascii="Times New Roman" w:hAnsi="Times New Roman" w:cs="Times New Roman"/>
          <w:b/>
          <w:bCs/>
          <w:szCs w:val="24"/>
        </w:rPr>
      </w:pPr>
      <w:r w:rsidRPr="001A0DB4">
        <w:rPr>
          <w:rFonts w:ascii="Times New Roman" w:hAnsi="Times New Roman" w:cs="Times New Roman"/>
          <w:b/>
          <w:bCs/>
          <w:szCs w:val="24"/>
        </w:rPr>
        <w:t>Method:</w:t>
      </w:r>
    </w:p>
    <w:p w14:paraId="6E28385E" w14:textId="77777777" w:rsidR="003F3AF5" w:rsidRDefault="003F3AF5" w:rsidP="000C1F7C">
      <w:pPr>
        <w:spacing w:line="360" w:lineRule="auto"/>
        <w:rPr>
          <w:rFonts w:ascii="Times New Roman" w:hAnsi="Times New Roman" w:cs="Times New Roman"/>
          <w:szCs w:val="24"/>
        </w:rPr>
      </w:pPr>
      <w:r w:rsidRPr="003F3AF5">
        <w:rPr>
          <w:rFonts w:ascii="Times New Roman" w:hAnsi="Times New Roman" w:cs="Times New Roman"/>
          <w:szCs w:val="24"/>
        </w:rPr>
        <w:t>The study employs a quantitative empirical design using archival data from publicly listed firms. Regression analysis is applied to examine the relationship between ERM maturity levels and firm valuation metrics.</w:t>
      </w:r>
    </w:p>
    <w:p w14:paraId="6775BFE0" w14:textId="30C096D0" w:rsidR="001A0DB4" w:rsidRPr="001A0DB4" w:rsidRDefault="003F3AF5" w:rsidP="008647DF">
      <w:pPr>
        <w:keepNext/>
        <w:keepLines/>
        <w:ind w:left="720" w:firstLine="0"/>
        <w:rPr>
          <w:rFonts w:ascii="Times New Roman" w:hAnsi="Times New Roman" w:cs="Times New Roman"/>
          <w:b/>
          <w:bCs/>
          <w:szCs w:val="24"/>
        </w:rPr>
      </w:pPr>
      <w:r w:rsidRPr="001A0DB4">
        <w:rPr>
          <w:rFonts w:ascii="Times New Roman" w:hAnsi="Times New Roman" w:cs="Times New Roman"/>
          <w:b/>
          <w:bCs/>
          <w:szCs w:val="24"/>
        </w:rPr>
        <w:t>Key Findings</w:t>
      </w:r>
      <w:r w:rsidR="001A0DB4" w:rsidRPr="001A0DB4">
        <w:rPr>
          <w:rFonts w:ascii="Times New Roman" w:hAnsi="Times New Roman" w:cs="Times New Roman"/>
          <w:b/>
          <w:bCs/>
          <w:szCs w:val="24"/>
        </w:rPr>
        <w:t>:</w:t>
      </w:r>
    </w:p>
    <w:p w14:paraId="1A3D0568" w14:textId="77777777" w:rsidR="001A0DB4" w:rsidRDefault="003F3AF5" w:rsidP="000C1F7C">
      <w:pPr>
        <w:spacing w:line="360" w:lineRule="auto"/>
        <w:rPr>
          <w:rFonts w:ascii="Times New Roman" w:hAnsi="Times New Roman" w:cs="Times New Roman"/>
          <w:szCs w:val="24"/>
        </w:rPr>
      </w:pPr>
      <w:r w:rsidRPr="003F3AF5">
        <w:rPr>
          <w:rFonts w:ascii="Times New Roman" w:hAnsi="Times New Roman" w:cs="Times New Roman"/>
          <w:szCs w:val="24"/>
        </w:rPr>
        <w:t xml:space="preserve">The findings reveal that firms with higher ERM maturity exhibit improved market valuation compared to firms with lower ERM maturity. The study suggests that ERM maturity enhances </w:t>
      </w:r>
      <w:r w:rsidRPr="003F3AF5">
        <w:rPr>
          <w:rFonts w:ascii="Times New Roman" w:hAnsi="Times New Roman" w:cs="Times New Roman"/>
          <w:szCs w:val="24"/>
        </w:rPr>
        <w:lastRenderedPageBreak/>
        <w:t>stakeholder confidence and governance credibility. However, the analysis centers on financial valuation outcomes rather than internal behavioral or cultural mechanisms.</w:t>
      </w:r>
    </w:p>
    <w:p w14:paraId="0C51666F" w14:textId="5F1D0282" w:rsidR="001A0DB4" w:rsidRPr="001A0DB4" w:rsidRDefault="003F3AF5" w:rsidP="008647DF">
      <w:pPr>
        <w:keepNext/>
        <w:keepLines/>
        <w:ind w:left="720" w:firstLine="0"/>
        <w:rPr>
          <w:rFonts w:ascii="Times New Roman" w:hAnsi="Times New Roman" w:cs="Times New Roman"/>
          <w:b/>
          <w:bCs/>
          <w:szCs w:val="24"/>
        </w:rPr>
      </w:pPr>
      <w:r w:rsidRPr="001A0DB4">
        <w:rPr>
          <w:rFonts w:ascii="Times New Roman" w:hAnsi="Times New Roman" w:cs="Times New Roman"/>
          <w:b/>
          <w:bCs/>
          <w:szCs w:val="24"/>
        </w:rPr>
        <w:t>Relevance to Current Study</w:t>
      </w:r>
      <w:r w:rsidR="001A0DB4" w:rsidRPr="001A0DB4">
        <w:rPr>
          <w:rFonts w:ascii="Times New Roman" w:hAnsi="Times New Roman" w:cs="Times New Roman"/>
          <w:b/>
          <w:bCs/>
          <w:szCs w:val="24"/>
        </w:rPr>
        <w:t>:</w:t>
      </w:r>
    </w:p>
    <w:p w14:paraId="4BB313C4" w14:textId="7E502F13" w:rsidR="003F3AF5" w:rsidRDefault="003F3AF5" w:rsidP="000C1F7C">
      <w:pPr>
        <w:spacing w:line="360" w:lineRule="auto"/>
        <w:rPr>
          <w:rFonts w:ascii="Times New Roman" w:hAnsi="Times New Roman" w:cs="Times New Roman"/>
          <w:szCs w:val="24"/>
        </w:rPr>
      </w:pPr>
      <w:r w:rsidRPr="003F3AF5">
        <w:rPr>
          <w:rFonts w:ascii="Times New Roman" w:hAnsi="Times New Roman" w:cs="Times New Roman"/>
          <w:szCs w:val="24"/>
        </w:rPr>
        <w:t>Farrell and Gallagher’s findings support the argument that ERM maturity produces measurable organizational benefits. The present study extends this line of inquiry by examining whether participatory ERM mechanisms</w:t>
      </w:r>
      <w:r w:rsidR="001A0DB4">
        <w:rPr>
          <w:rFonts w:ascii="Times New Roman" w:hAnsi="Times New Roman" w:cs="Times New Roman"/>
          <w:szCs w:val="24"/>
        </w:rPr>
        <w:t xml:space="preserve">, </w:t>
      </w:r>
      <w:r w:rsidRPr="003F3AF5">
        <w:rPr>
          <w:rFonts w:ascii="Times New Roman" w:hAnsi="Times New Roman" w:cs="Times New Roman"/>
          <w:szCs w:val="24"/>
        </w:rPr>
        <w:t>specifically Bottom-Up Risk Assessment</w:t>
      </w:r>
      <w:r w:rsidR="001A0DB4">
        <w:rPr>
          <w:rFonts w:ascii="Times New Roman" w:hAnsi="Times New Roman" w:cs="Times New Roman"/>
          <w:szCs w:val="24"/>
        </w:rPr>
        <w:t xml:space="preserve">, </w:t>
      </w:r>
      <w:r w:rsidRPr="003F3AF5">
        <w:rPr>
          <w:rFonts w:ascii="Times New Roman" w:hAnsi="Times New Roman" w:cs="Times New Roman"/>
          <w:szCs w:val="24"/>
        </w:rPr>
        <w:t>contribute to strengthening internal cultural dimensions such as ownership, accountability, awareness, and proactive behavior within a Shared Services Organization.</w:t>
      </w:r>
    </w:p>
    <w:p w14:paraId="3ADF3A2C" w14:textId="77777777" w:rsidR="001A0DB4" w:rsidRPr="001A0DB4" w:rsidRDefault="001A0DB4" w:rsidP="008647DF">
      <w:pPr>
        <w:keepNext/>
        <w:keepLines/>
        <w:ind w:left="720" w:firstLine="0"/>
        <w:rPr>
          <w:rFonts w:ascii="Times New Roman" w:hAnsi="Times New Roman" w:cs="Times New Roman"/>
          <w:b/>
          <w:bCs/>
          <w:szCs w:val="24"/>
        </w:rPr>
      </w:pPr>
      <w:r w:rsidRPr="001A0DB4">
        <w:rPr>
          <w:rFonts w:ascii="Times New Roman" w:hAnsi="Times New Roman" w:cs="Times New Roman"/>
          <w:b/>
          <w:bCs/>
          <w:szCs w:val="24"/>
        </w:rPr>
        <w:t xml:space="preserve">Study E16: McShane, Nair &amp; </w:t>
      </w:r>
      <w:proofErr w:type="spellStart"/>
      <w:r w:rsidRPr="001A0DB4">
        <w:rPr>
          <w:rFonts w:ascii="Times New Roman" w:hAnsi="Times New Roman" w:cs="Times New Roman"/>
          <w:b/>
          <w:bCs/>
          <w:szCs w:val="24"/>
        </w:rPr>
        <w:t>Rustambekov</w:t>
      </w:r>
      <w:proofErr w:type="spellEnd"/>
      <w:r w:rsidRPr="001A0DB4">
        <w:rPr>
          <w:rFonts w:ascii="Times New Roman" w:hAnsi="Times New Roman" w:cs="Times New Roman"/>
          <w:b/>
          <w:bCs/>
          <w:szCs w:val="24"/>
        </w:rPr>
        <w:t xml:space="preserve"> (2016)</w:t>
      </w:r>
    </w:p>
    <w:p w14:paraId="1FFC7421" w14:textId="2055D4D2" w:rsidR="001A0DB4" w:rsidRPr="001A0DB4" w:rsidRDefault="001A0DB4" w:rsidP="008647DF">
      <w:pPr>
        <w:keepNext/>
        <w:keepLines/>
        <w:ind w:left="720" w:firstLine="0"/>
        <w:rPr>
          <w:rFonts w:ascii="Times New Roman" w:hAnsi="Times New Roman" w:cs="Times New Roman"/>
          <w:b/>
          <w:bCs/>
          <w:szCs w:val="24"/>
        </w:rPr>
      </w:pPr>
      <w:r w:rsidRPr="001A0DB4">
        <w:rPr>
          <w:rFonts w:ascii="Times New Roman" w:hAnsi="Times New Roman" w:cs="Times New Roman"/>
          <w:b/>
          <w:bCs/>
          <w:szCs w:val="24"/>
        </w:rPr>
        <w:t>Reference</w:t>
      </w:r>
      <w:r>
        <w:rPr>
          <w:rFonts w:ascii="Times New Roman" w:hAnsi="Times New Roman" w:cs="Times New Roman"/>
          <w:b/>
          <w:bCs/>
          <w:szCs w:val="24"/>
        </w:rPr>
        <w:t>:</w:t>
      </w:r>
    </w:p>
    <w:p w14:paraId="67BE139B" w14:textId="65719B4F" w:rsidR="001A0DB4" w:rsidRDefault="001A0DB4" w:rsidP="000C1F7C">
      <w:pPr>
        <w:spacing w:line="360" w:lineRule="auto"/>
        <w:rPr>
          <w:rFonts w:ascii="Times New Roman" w:hAnsi="Times New Roman" w:cs="Times New Roman"/>
          <w:szCs w:val="24"/>
        </w:rPr>
      </w:pPr>
      <w:r w:rsidRPr="001A0DB4">
        <w:rPr>
          <w:rFonts w:ascii="Times New Roman" w:hAnsi="Times New Roman" w:cs="Times New Roman"/>
          <w:szCs w:val="24"/>
        </w:rPr>
        <w:t xml:space="preserve">McShane, M. K., Nair, A., &amp; </w:t>
      </w:r>
      <w:proofErr w:type="spellStart"/>
      <w:r w:rsidRPr="001A0DB4">
        <w:rPr>
          <w:rFonts w:ascii="Times New Roman" w:hAnsi="Times New Roman" w:cs="Times New Roman"/>
          <w:szCs w:val="24"/>
        </w:rPr>
        <w:t>Rustambekov</w:t>
      </w:r>
      <w:proofErr w:type="spellEnd"/>
      <w:r w:rsidRPr="001A0DB4">
        <w:rPr>
          <w:rFonts w:ascii="Times New Roman" w:hAnsi="Times New Roman" w:cs="Times New Roman"/>
          <w:szCs w:val="24"/>
        </w:rPr>
        <w:t xml:space="preserve">, E. (2016). Does enterprise risk management increase firm value? Evidence from the U.S. insurance industry. Journal of Risk and Insurance, 83(2), 457–492. </w:t>
      </w:r>
    </w:p>
    <w:p w14:paraId="580AD6EC" w14:textId="7A534C43" w:rsidR="001A0DB4" w:rsidRPr="001A0DB4" w:rsidRDefault="001A0DB4" w:rsidP="008647DF">
      <w:pPr>
        <w:keepNext/>
        <w:keepLines/>
        <w:ind w:left="720" w:firstLine="0"/>
        <w:rPr>
          <w:rFonts w:ascii="Times New Roman" w:hAnsi="Times New Roman" w:cs="Times New Roman"/>
          <w:b/>
          <w:bCs/>
          <w:szCs w:val="24"/>
        </w:rPr>
      </w:pPr>
      <w:r w:rsidRPr="001A0DB4">
        <w:rPr>
          <w:rFonts w:ascii="Times New Roman" w:hAnsi="Times New Roman" w:cs="Times New Roman"/>
          <w:b/>
          <w:bCs/>
          <w:szCs w:val="24"/>
        </w:rPr>
        <w:t>Method:</w:t>
      </w:r>
    </w:p>
    <w:p w14:paraId="42335EC1" w14:textId="77777777" w:rsidR="001A0DB4" w:rsidRDefault="001A0DB4" w:rsidP="000C1F7C">
      <w:pPr>
        <w:spacing w:line="360" w:lineRule="auto"/>
        <w:rPr>
          <w:rFonts w:ascii="Times New Roman" w:hAnsi="Times New Roman" w:cs="Times New Roman"/>
          <w:szCs w:val="24"/>
        </w:rPr>
      </w:pPr>
      <w:r w:rsidRPr="001A0DB4">
        <w:rPr>
          <w:rFonts w:ascii="Times New Roman" w:hAnsi="Times New Roman" w:cs="Times New Roman"/>
          <w:szCs w:val="24"/>
        </w:rPr>
        <w:t>The study employs a quantitative empirical design using panel data from U.S. insurance firms. Regression analysis is conducted to examine the association between ERM implementation and firm value, while controlling for firm characteristics and governance variables.</w:t>
      </w:r>
    </w:p>
    <w:p w14:paraId="11ADEFFF" w14:textId="1B5401B2" w:rsidR="001A0DB4" w:rsidRPr="001A0DB4" w:rsidRDefault="001A0DB4" w:rsidP="008647DF">
      <w:pPr>
        <w:keepNext/>
        <w:keepLines/>
        <w:ind w:left="720" w:firstLine="0"/>
        <w:rPr>
          <w:rFonts w:ascii="Times New Roman" w:hAnsi="Times New Roman" w:cs="Times New Roman"/>
          <w:b/>
          <w:bCs/>
          <w:szCs w:val="24"/>
        </w:rPr>
      </w:pPr>
      <w:r w:rsidRPr="001A0DB4">
        <w:rPr>
          <w:rFonts w:ascii="Times New Roman" w:hAnsi="Times New Roman" w:cs="Times New Roman"/>
          <w:b/>
          <w:bCs/>
          <w:szCs w:val="24"/>
        </w:rPr>
        <w:t>Key Findings:</w:t>
      </w:r>
    </w:p>
    <w:p w14:paraId="61F27E87" w14:textId="77777777" w:rsidR="001A0DB4" w:rsidRDefault="001A0DB4" w:rsidP="000C1F7C">
      <w:pPr>
        <w:spacing w:line="360" w:lineRule="auto"/>
        <w:rPr>
          <w:rFonts w:ascii="Times New Roman" w:hAnsi="Times New Roman" w:cs="Times New Roman"/>
          <w:szCs w:val="24"/>
        </w:rPr>
      </w:pPr>
      <w:r w:rsidRPr="001A0DB4">
        <w:rPr>
          <w:rFonts w:ascii="Times New Roman" w:hAnsi="Times New Roman" w:cs="Times New Roman"/>
          <w:szCs w:val="24"/>
        </w:rPr>
        <w:t>The results indicate that ERM implementation is positively associated with firm value, particularly when ERM systems are integrated and supported by effective governance structures. However, the study also notes that the value impact depends on how deeply ERM is embedded within organizational processes rather than merely being formally adopted.</w:t>
      </w:r>
    </w:p>
    <w:p w14:paraId="23A32F97" w14:textId="0B48E91F" w:rsidR="001A0DB4" w:rsidRPr="001A0DB4" w:rsidRDefault="001A0DB4" w:rsidP="008647DF">
      <w:pPr>
        <w:keepNext/>
        <w:keepLines/>
        <w:ind w:left="720" w:firstLine="0"/>
        <w:rPr>
          <w:rFonts w:ascii="Times New Roman" w:hAnsi="Times New Roman" w:cs="Times New Roman"/>
          <w:b/>
          <w:bCs/>
          <w:szCs w:val="24"/>
        </w:rPr>
      </w:pPr>
      <w:r w:rsidRPr="001A0DB4">
        <w:rPr>
          <w:rFonts w:ascii="Times New Roman" w:hAnsi="Times New Roman" w:cs="Times New Roman"/>
          <w:b/>
          <w:bCs/>
          <w:szCs w:val="24"/>
        </w:rPr>
        <w:t>Relevance to Current Study:</w:t>
      </w:r>
    </w:p>
    <w:p w14:paraId="3940AA1C" w14:textId="46657019" w:rsidR="001A0DB4" w:rsidRDefault="001A0DB4" w:rsidP="000C1F7C">
      <w:pPr>
        <w:spacing w:line="360" w:lineRule="auto"/>
        <w:rPr>
          <w:rFonts w:ascii="Times New Roman" w:hAnsi="Times New Roman" w:cs="Times New Roman"/>
          <w:szCs w:val="24"/>
        </w:rPr>
      </w:pPr>
      <w:r w:rsidRPr="001A0DB4">
        <w:rPr>
          <w:rFonts w:ascii="Times New Roman" w:hAnsi="Times New Roman" w:cs="Times New Roman"/>
          <w:szCs w:val="24"/>
        </w:rPr>
        <w:t>McShane et al. reinforce the argument that ERM effectiveness depends on substantive integration into governance systems. While their focus is firm valuation, the present study shifts attention to internal organizational dynamics, examining whether participatory ERM mechanisms such as Bottom-Up Risk Assessment enhance measurable risk culture dimensions within a Shared Services context.</w:t>
      </w:r>
    </w:p>
    <w:p w14:paraId="61209D1B" w14:textId="77777777" w:rsidR="00123E6E" w:rsidRPr="00123E6E" w:rsidRDefault="00123E6E" w:rsidP="008647DF">
      <w:pPr>
        <w:keepNext/>
        <w:keepLines/>
        <w:ind w:left="720" w:firstLine="0"/>
        <w:rPr>
          <w:rFonts w:ascii="Times New Roman" w:hAnsi="Times New Roman" w:cs="Times New Roman"/>
          <w:b/>
          <w:bCs/>
          <w:szCs w:val="24"/>
        </w:rPr>
      </w:pPr>
      <w:r w:rsidRPr="00123E6E">
        <w:rPr>
          <w:rFonts w:ascii="Times New Roman" w:hAnsi="Times New Roman" w:cs="Times New Roman"/>
          <w:b/>
          <w:bCs/>
          <w:szCs w:val="24"/>
        </w:rPr>
        <w:lastRenderedPageBreak/>
        <w:t>Study E17: Hoyt &amp; Liebenberg (2015)</w:t>
      </w:r>
    </w:p>
    <w:p w14:paraId="6DC7F115" w14:textId="5BE1999B" w:rsidR="00123E6E" w:rsidRPr="00123E6E" w:rsidRDefault="00123E6E" w:rsidP="008647DF">
      <w:pPr>
        <w:keepNext/>
        <w:keepLines/>
        <w:ind w:left="720" w:firstLine="0"/>
        <w:rPr>
          <w:rFonts w:ascii="Times New Roman" w:hAnsi="Times New Roman" w:cs="Times New Roman"/>
          <w:b/>
          <w:bCs/>
          <w:szCs w:val="24"/>
        </w:rPr>
      </w:pPr>
      <w:r w:rsidRPr="00123E6E">
        <w:rPr>
          <w:rFonts w:ascii="Times New Roman" w:hAnsi="Times New Roman" w:cs="Times New Roman"/>
          <w:b/>
          <w:bCs/>
          <w:szCs w:val="24"/>
        </w:rPr>
        <w:t>Reference</w:t>
      </w:r>
      <w:r>
        <w:rPr>
          <w:rFonts w:ascii="Times New Roman" w:hAnsi="Times New Roman" w:cs="Times New Roman"/>
          <w:b/>
          <w:bCs/>
          <w:szCs w:val="24"/>
        </w:rPr>
        <w:t>:</w:t>
      </w:r>
    </w:p>
    <w:p w14:paraId="097AE30F" w14:textId="1A08FA28" w:rsidR="00123E6E" w:rsidRDefault="00123E6E" w:rsidP="000C1F7C">
      <w:pPr>
        <w:spacing w:line="360" w:lineRule="auto"/>
        <w:rPr>
          <w:rFonts w:ascii="Times New Roman" w:hAnsi="Times New Roman" w:cs="Times New Roman"/>
          <w:szCs w:val="24"/>
        </w:rPr>
      </w:pPr>
      <w:r w:rsidRPr="00123E6E">
        <w:rPr>
          <w:rFonts w:ascii="Times New Roman" w:hAnsi="Times New Roman" w:cs="Times New Roman"/>
          <w:szCs w:val="24"/>
        </w:rPr>
        <w:t xml:space="preserve">Hoyt, R. E., &amp; Liebenberg, A. P. (2015). The value of enterprise risk management. Journal of Risk and Insurance, 82(2), 289–316. </w:t>
      </w:r>
    </w:p>
    <w:p w14:paraId="106EAF04" w14:textId="2C0DBF0A" w:rsidR="00123E6E" w:rsidRPr="00123E6E" w:rsidRDefault="00123E6E" w:rsidP="008647DF">
      <w:pPr>
        <w:keepNext/>
        <w:keepLines/>
        <w:ind w:left="720" w:firstLine="0"/>
        <w:rPr>
          <w:rFonts w:ascii="Times New Roman" w:hAnsi="Times New Roman" w:cs="Times New Roman"/>
          <w:b/>
          <w:bCs/>
          <w:szCs w:val="24"/>
        </w:rPr>
      </w:pPr>
      <w:r w:rsidRPr="00123E6E">
        <w:rPr>
          <w:rFonts w:ascii="Times New Roman" w:hAnsi="Times New Roman" w:cs="Times New Roman"/>
          <w:b/>
          <w:bCs/>
          <w:szCs w:val="24"/>
        </w:rPr>
        <w:t>Method:</w:t>
      </w:r>
    </w:p>
    <w:p w14:paraId="720A3A79" w14:textId="77777777" w:rsidR="00123E6E" w:rsidRDefault="00123E6E" w:rsidP="000C1F7C">
      <w:pPr>
        <w:spacing w:line="360" w:lineRule="auto"/>
        <w:rPr>
          <w:rFonts w:ascii="Times New Roman" w:hAnsi="Times New Roman" w:cs="Times New Roman"/>
          <w:szCs w:val="24"/>
        </w:rPr>
      </w:pPr>
      <w:r w:rsidRPr="00123E6E">
        <w:rPr>
          <w:rFonts w:ascii="Times New Roman" w:hAnsi="Times New Roman" w:cs="Times New Roman"/>
          <w:szCs w:val="24"/>
        </w:rPr>
        <w:t>The study utilizes a quantitative empirical design analyzing publicly traded U.S. firms. Regression models are applied to examine whether firms that adopt ERM systems experience improvements in firm value relative to non-adopters.</w:t>
      </w:r>
    </w:p>
    <w:p w14:paraId="578DDC41" w14:textId="4973F804" w:rsidR="00123E6E" w:rsidRPr="00123E6E" w:rsidRDefault="00123E6E" w:rsidP="008647DF">
      <w:pPr>
        <w:keepNext/>
        <w:keepLines/>
        <w:ind w:left="720" w:firstLine="0"/>
        <w:rPr>
          <w:rFonts w:ascii="Times New Roman" w:hAnsi="Times New Roman" w:cs="Times New Roman"/>
          <w:b/>
          <w:bCs/>
          <w:szCs w:val="24"/>
        </w:rPr>
      </w:pPr>
      <w:r w:rsidRPr="00123E6E">
        <w:rPr>
          <w:rFonts w:ascii="Times New Roman" w:hAnsi="Times New Roman" w:cs="Times New Roman"/>
          <w:b/>
          <w:bCs/>
          <w:szCs w:val="24"/>
        </w:rPr>
        <w:t>Key Findings:</w:t>
      </w:r>
    </w:p>
    <w:p w14:paraId="6E725D58" w14:textId="77777777" w:rsidR="00123E6E" w:rsidRDefault="00123E6E" w:rsidP="000C1F7C">
      <w:pPr>
        <w:spacing w:line="360" w:lineRule="auto"/>
        <w:rPr>
          <w:rFonts w:ascii="Times New Roman" w:hAnsi="Times New Roman" w:cs="Times New Roman"/>
          <w:szCs w:val="24"/>
        </w:rPr>
      </w:pPr>
      <w:r w:rsidRPr="00123E6E">
        <w:rPr>
          <w:rFonts w:ascii="Times New Roman" w:hAnsi="Times New Roman" w:cs="Times New Roman"/>
          <w:szCs w:val="24"/>
        </w:rPr>
        <w:t>The findings suggest that ERM adoption is positively associated with firm value, particularly in firms with greater organizational complexity. The study emphasizes that ERM contributes to improved coordination and risk oversight, which may enhance governance effectiveness and reduce uncertainty.</w:t>
      </w:r>
    </w:p>
    <w:p w14:paraId="34E90254" w14:textId="3F2FD98F" w:rsidR="00123E6E" w:rsidRPr="00123E6E" w:rsidRDefault="00123E6E" w:rsidP="008647DF">
      <w:pPr>
        <w:keepNext/>
        <w:keepLines/>
        <w:ind w:left="720" w:firstLine="0"/>
        <w:rPr>
          <w:rFonts w:ascii="Times New Roman" w:hAnsi="Times New Roman" w:cs="Times New Roman"/>
          <w:b/>
          <w:bCs/>
          <w:szCs w:val="24"/>
        </w:rPr>
      </w:pPr>
      <w:r w:rsidRPr="00123E6E">
        <w:rPr>
          <w:rFonts w:ascii="Times New Roman" w:hAnsi="Times New Roman" w:cs="Times New Roman"/>
          <w:b/>
          <w:bCs/>
          <w:szCs w:val="24"/>
        </w:rPr>
        <w:t>Relevance to Current Study:</w:t>
      </w:r>
    </w:p>
    <w:p w14:paraId="13E46CDB" w14:textId="08024F51" w:rsidR="00123E6E" w:rsidRDefault="00123E6E" w:rsidP="000C1F7C">
      <w:pPr>
        <w:spacing w:line="360" w:lineRule="auto"/>
        <w:rPr>
          <w:rFonts w:ascii="Times New Roman" w:hAnsi="Times New Roman" w:cs="Times New Roman"/>
          <w:szCs w:val="24"/>
        </w:rPr>
      </w:pPr>
      <w:r w:rsidRPr="00123E6E">
        <w:rPr>
          <w:rFonts w:ascii="Times New Roman" w:hAnsi="Times New Roman" w:cs="Times New Roman"/>
          <w:szCs w:val="24"/>
        </w:rPr>
        <w:t>Hoyt and Liebenberg provide empirical evidence that structured ERM implementation produces measurable organizational benefits. While their focus is market valuation, the present study extends this perspective by examining whether participatory ERM mechanisms</w:t>
      </w:r>
      <w:r>
        <w:rPr>
          <w:rFonts w:ascii="Times New Roman" w:hAnsi="Times New Roman" w:cs="Times New Roman"/>
          <w:szCs w:val="24"/>
        </w:rPr>
        <w:t xml:space="preserve">, </w:t>
      </w:r>
      <w:r w:rsidRPr="00123E6E">
        <w:rPr>
          <w:rFonts w:ascii="Times New Roman" w:hAnsi="Times New Roman" w:cs="Times New Roman"/>
          <w:szCs w:val="24"/>
        </w:rPr>
        <w:t>specifically Bottom-Up Risk Assessment</w:t>
      </w:r>
      <w:r>
        <w:rPr>
          <w:rFonts w:ascii="Times New Roman" w:hAnsi="Times New Roman" w:cs="Times New Roman"/>
          <w:szCs w:val="24"/>
        </w:rPr>
        <w:t xml:space="preserve">, </w:t>
      </w:r>
      <w:r w:rsidRPr="00123E6E">
        <w:rPr>
          <w:rFonts w:ascii="Times New Roman" w:hAnsi="Times New Roman" w:cs="Times New Roman"/>
          <w:szCs w:val="24"/>
        </w:rPr>
        <w:t>strengthen internal behavioral dimensions of risk culture within a Shared Services organizational environment.</w:t>
      </w:r>
    </w:p>
    <w:p w14:paraId="2CC96718" w14:textId="77777777" w:rsidR="00123E6E" w:rsidRPr="00123E6E" w:rsidRDefault="00123E6E" w:rsidP="008647DF">
      <w:pPr>
        <w:keepNext/>
        <w:keepLines/>
        <w:ind w:left="720" w:firstLine="0"/>
        <w:rPr>
          <w:rFonts w:ascii="Times New Roman" w:hAnsi="Times New Roman" w:cs="Times New Roman"/>
          <w:b/>
          <w:bCs/>
          <w:szCs w:val="24"/>
        </w:rPr>
      </w:pPr>
      <w:r w:rsidRPr="00123E6E">
        <w:rPr>
          <w:rFonts w:ascii="Times New Roman" w:hAnsi="Times New Roman" w:cs="Times New Roman"/>
          <w:b/>
          <w:bCs/>
          <w:szCs w:val="24"/>
        </w:rPr>
        <w:t xml:space="preserve">Study E18: </w:t>
      </w:r>
      <w:proofErr w:type="spellStart"/>
      <w:r w:rsidRPr="00123E6E">
        <w:rPr>
          <w:rFonts w:ascii="Times New Roman" w:hAnsi="Times New Roman" w:cs="Times New Roman"/>
          <w:b/>
          <w:bCs/>
          <w:szCs w:val="24"/>
        </w:rPr>
        <w:t>Gatzert</w:t>
      </w:r>
      <w:proofErr w:type="spellEnd"/>
      <w:r w:rsidRPr="00123E6E">
        <w:rPr>
          <w:rFonts w:ascii="Times New Roman" w:hAnsi="Times New Roman" w:cs="Times New Roman"/>
          <w:b/>
          <w:bCs/>
          <w:szCs w:val="24"/>
        </w:rPr>
        <w:t xml:space="preserve"> &amp; Martin (2015)</w:t>
      </w:r>
    </w:p>
    <w:p w14:paraId="1140B626" w14:textId="02365768" w:rsidR="00123E6E" w:rsidRPr="00123E6E" w:rsidRDefault="00123E6E" w:rsidP="008647DF">
      <w:pPr>
        <w:keepNext/>
        <w:keepLines/>
        <w:ind w:left="720" w:firstLine="0"/>
        <w:rPr>
          <w:rFonts w:ascii="Times New Roman" w:hAnsi="Times New Roman" w:cs="Times New Roman"/>
          <w:b/>
          <w:bCs/>
          <w:szCs w:val="24"/>
        </w:rPr>
      </w:pPr>
      <w:r w:rsidRPr="00123E6E">
        <w:rPr>
          <w:rFonts w:ascii="Times New Roman" w:hAnsi="Times New Roman" w:cs="Times New Roman"/>
          <w:b/>
          <w:bCs/>
          <w:szCs w:val="24"/>
        </w:rPr>
        <w:t>Reference:</w:t>
      </w:r>
    </w:p>
    <w:p w14:paraId="25A81753" w14:textId="50264DB9" w:rsidR="00123E6E" w:rsidRDefault="00123E6E" w:rsidP="000C1F7C">
      <w:pPr>
        <w:spacing w:line="360" w:lineRule="auto"/>
        <w:rPr>
          <w:rFonts w:ascii="Times New Roman" w:hAnsi="Times New Roman" w:cs="Times New Roman"/>
          <w:szCs w:val="24"/>
        </w:rPr>
      </w:pPr>
      <w:proofErr w:type="spellStart"/>
      <w:r w:rsidRPr="00123E6E">
        <w:rPr>
          <w:rFonts w:ascii="Times New Roman" w:hAnsi="Times New Roman" w:cs="Times New Roman"/>
          <w:szCs w:val="24"/>
        </w:rPr>
        <w:t>Gatzert</w:t>
      </w:r>
      <w:proofErr w:type="spellEnd"/>
      <w:r w:rsidRPr="00123E6E">
        <w:rPr>
          <w:rFonts w:ascii="Times New Roman" w:hAnsi="Times New Roman" w:cs="Times New Roman"/>
          <w:szCs w:val="24"/>
        </w:rPr>
        <w:t xml:space="preserve">, N., &amp; Martin, M. (2015). Determinants and value of enterprise risk management: Empirical evidence from the literature. Risk Management and Insurance Review, 18(1), 29–53. </w:t>
      </w:r>
    </w:p>
    <w:p w14:paraId="0B0B706B" w14:textId="6C1E1DE1" w:rsidR="00123E6E" w:rsidRPr="00123E6E" w:rsidRDefault="00123E6E" w:rsidP="008647DF">
      <w:pPr>
        <w:keepNext/>
        <w:keepLines/>
        <w:ind w:left="720" w:firstLine="0"/>
        <w:rPr>
          <w:rFonts w:ascii="Times New Roman" w:hAnsi="Times New Roman" w:cs="Times New Roman"/>
          <w:b/>
          <w:bCs/>
          <w:szCs w:val="24"/>
        </w:rPr>
      </w:pPr>
      <w:r w:rsidRPr="00123E6E">
        <w:rPr>
          <w:rFonts w:ascii="Times New Roman" w:hAnsi="Times New Roman" w:cs="Times New Roman"/>
          <w:b/>
          <w:bCs/>
          <w:szCs w:val="24"/>
        </w:rPr>
        <w:t>Method:</w:t>
      </w:r>
    </w:p>
    <w:p w14:paraId="6494B255" w14:textId="77777777" w:rsidR="00123E6E" w:rsidRDefault="00123E6E" w:rsidP="000C1F7C">
      <w:pPr>
        <w:spacing w:line="360" w:lineRule="auto"/>
        <w:rPr>
          <w:rFonts w:ascii="Times New Roman" w:hAnsi="Times New Roman" w:cs="Times New Roman"/>
          <w:szCs w:val="24"/>
        </w:rPr>
      </w:pPr>
      <w:r w:rsidRPr="00123E6E">
        <w:rPr>
          <w:rFonts w:ascii="Times New Roman" w:hAnsi="Times New Roman" w:cs="Times New Roman"/>
          <w:szCs w:val="24"/>
        </w:rPr>
        <w:t>The study conducts a structured literature review synthesizing empirical research on ERM determinants and value implications. The authors analyze prior quantitative studies to identify consistent findings and methodological trends.</w:t>
      </w:r>
    </w:p>
    <w:p w14:paraId="4C676182" w14:textId="2B4D3BB7" w:rsidR="00123E6E" w:rsidRPr="00123E6E" w:rsidRDefault="00123E6E" w:rsidP="008647DF">
      <w:pPr>
        <w:keepNext/>
        <w:keepLines/>
        <w:ind w:left="720" w:firstLine="0"/>
        <w:rPr>
          <w:rFonts w:ascii="Times New Roman" w:hAnsi="Times New Roman" w:cs="Times New Roman"/>
          <w:b/>
          <w:bCs/>
          <w:szCs w:val="24"/>
        </w:rPr>
      </w:pPr>
      <w:r w:rsidRPr="00123E6E">
        <w:rPr>
          <w:rFonts w:ascii="Times New Roman" w:hAnsi="Times New Roman" w:cs="Times New Roman"/>
          <w:b/>
          <w:bCs/>
          <w:szCs w:val="24"/>
        </w:rPr>
        <w:t>Key Findings:</w:t>
      </w:r>
    </w:p>
    <w:p w14:paraId="7C2C7BE2" w14:textId="77777777" w:rsidR="00123E6E" w:rsidRDefault="00123E6E" w:rsidP="000C1F7C">
      <w:pPr>
        <w:spacing w:line="360" w:lineRule="auto"/>
        <w:rPr>
          <w:rFonts w:ascii="Times New Roman" w:hAnsi="Times New Roman" w:cs="Times New Roman"/>
          <w:szCs w:val="24"/>
        </w:rPr>
      </w:pPr>
      <w:r w:rsidRPr="00123E6E">
        <w:rPr>
          <w:rFonts w:ascii="Times New Roman" w:hAnsi="Times New Roman" w:cs="Times New Roman"/>
          <w:szCs w:val="24"/>
        </w:rPr>
        <w:t xml:space="preserve">The review concludes that ERM implementation is generally associated with positive organizational outcomes, including improved performance stability and governance quality. However, the </w:t>
      </w:r>
      <w:r w:rsidRPr="00123E6E">
        <w:rPr>
          <w:rFonts w:ascii="Times New Roman" w:hAnsi="Times New Roman" w:cs="Times New Roman"/>
          <w:szCs w:val="24"/>
        </w:rPr>
        <w:lastRenderedPageBreak/>
        <w:t>authors highlight that evidence remains mixed regarding the strength of value creation and that contextual factors influence ERM effectiveness.</w:t>
      </w:r>
    </w:p>
    <w:p w14:paraId="36270DE7" w14:textId="79571EBB" w:rsidR="00123E6E" w:rsidRPr="00123E6E" w:rsidRDefault="00123E6E" w:rsidP="008647DF">
      <w:pPr>
        <w:keepNext/>
        <w:keepLines/>
        <w:ind w:left="720" w:firstLine="0"/>
        <w:rPr>
          <w:rFonts w:ascii="Times New Roman" w:hAnsi="Times New Roman" w:cs="Times New Roman"/>
          <w:b/>
          <w:bCs/>
          <w:szCs w:val="24"/>
        </w:rPr>
      </w:pPr>
      <w:r w:rsidRPr="00123E6E">
        <w:rPr>
          <w:rFonts w:ascii="Times New Roman" w:hAnsi="Times New Roman" w:cs="Times New Roman"/>
          <w:b/>
          <w:bCs/>
          <w:szCs w:val="24"/>
        </w:rPr>
        <w:t>Relevance to Current Study:</w:t>
      </w:r>
    </w:p>
    <w:p w14:paraId="61F56547" w14:textId="134D1D6E" w:rsidR="00123E6E" w:rsidRDefault="00123E6E" w:rsidP="000C1F7C">
      <w:pPr>
        <w:spacing w:line="360" w:lineRule="auto"/>
        <w:rPr>
          <w:rFonts w:ascii="Times New Roman" w:hAnsi="Times New Roman" w:cs="Times New Roman"/>
          <w:szCs w:val="24"/>
        </w:rPr>
      </w:pPr>
      <w:proofErr w:type="spellStart"/>
      <w:r w:rsidRPr="00123E6E">
        <w:rPr>
          <w:rFonts w:ascii="Times New Roman" w:hAnsi="Times New Roman" w:cs="Times New Roman"/>
          <w:szCs w:val="24"/>
        </w:rPr>
        <w:t>Gatzert</w:t>
      </w:r>
      <w:proofErr w:type="spellEnd"/>
      <w:r w:rsidRPr="00123E6E">
        <w:rPr>
          <w:rFonts w:ascii="Times New Roman" w:hAnsi="Times New Roman" w:cs="Times New Roman"/>
          <w:szCs w:val="24"/>
        </w:rPr>
        <w:t xml:space="preserve"> and Martin provide a consolidated overview of ERM value research, reinforcing the importance of examining contextual drivers of effectiveness. The present study contributes to this discussion by focusing on participatory mechanisms within ERM and testing whether Bottom-Up Risk Assessment enhances internal cultural dimensions of risk governance within a Shared Services Organization.</w:t>
      </w:r>
    </w:p>
    <w:p w14:paraId="25AA58F0" w14:textId="77777777" w:rsidR="00A11280" w:rsidRDefault="00A11280" w:rsidP="008647DF">
      <w:pPr>
        <w:keepNext/>
        <w:keepLines/>
        <w:ind w:left="720" w:firstLine="0"/>
        <w:rPr>
          <w:rFonts w:ascii="Times New Roman" w:hAnsi="Times New Roman" w:cs="Times New Roman"/>
          <w:b/>
          <w:bCs/>
          <w:szCs w:val="24"/>
        </w:rPr>
      </w:pPr>
      <w:r w:rsidRPr="00A11280">
        <w:rPr>
          <w:rFonts w:ascii="Times New Roman" w:hAnsi="Times New Roman" w:cs="Times New Roman"/>
          <w:b/>
          <w:bCs/>
          <w:szCs w:val="24"/>
        </w:rPr>
        <w:t>Study E19: Beasley, Clune &amp; Hermanson (2015)</w:t>
      </w:r>
    </w:p>
    <w:p w14:paraId="353129A0" w14:textId="77777777" w:rsidR="00A11280" w:rsidRDefault="00A11280" w:rsidP="008647DF">
      <w:pPr>
        <w:keepNext/>
        <w:keepLines/>
        <w:ind w:left="720" w:firstLine="0"/>
        <w:rPr>
          <w:rFonts w:ascii="Times New Roman" w:hAnsi="Times New Roman" w:cs="Times New Roman"/>
          <w:b/>
          <w:bCs/>
          <w:szCs w:val="24"/>
        </w:rPr>
      </w:pPr>
      <w:r w:rsidRPr="00A11280">
        <w:rPr>
          <w:rFonts w:ascii="Times New Roman" w:hAnsi="Times New Roman" w:cs="Times New Roman"/>
          <w:b/>
          <w:bCs/>
          <w:szCs w:val="24"/>
        </w:rPr>
        <w:t>Reference</w:t>
      </w:r>
      <w:r>
        <w:rPr>
          <w:rFonts w:ascii="Times New Roman" w:hAnsi="Times New Roman" w:cs="Times New Roman"/>
          <w:b/>
          <w:bCs/>
          <w:szCs w:val="24"/>
        </w:rPr>
        <w:t>:</w:t>
      </w:r>
    </w:p>
    <w:p w14:paraId="5A6261D2" w14:textId="690B894A" w:rsidR="00A11280" w:rsidRDefault="00A11280" w:rsidP="000C1F7C">
      <w:pPr>
        <w:spacing w:line="360" w:lineRule="auto"/>
        <w:rPr>
          <w:rFonts w:ascii="Times New Roman" w:hAnsi="Times New Roman" w:cs="Times New Roman"/>
          <w:szCs w:val="24"/>
        </w:rPr>
      </w:pPr>
      <w:r w:rsidRPr="00A11280">
        <w:rPr>
          <w:rFonts w:ascii="Times New Roman" w:hAnsi="Times New Roman" w:cs="Times New Roman"/>
          <w:szCs w:val="24"/>
        </w:rPr>
        <w:t xml:space="preserve">Beasley, M. S., Clune, R., &amp; Hermanson, D. R. (2015). Enterprise risk management: An empirical analysis of factors associated with the extent of implementation. Journal of Accounting and Public Policy, 24(6), 521–531. </w:t>
      </w:r>
    </w:p>
    <w:p w14:paraId="1A75F023" w14:textId="2AA1273C" w:rsidR="00A11280" w:rsidRPr="00A11280" w:rsidRDefault="00A11280" w:rsidP="008647DF">
      <w:pPr>
        <w:keepNext/>
        <w:keepLines/>
        <w:ind w:left="720" w:firstLine="0"/>
        <w:rPr>
          <w:rFonts w:ascii="Times New Roman" w:hAnsi="Times New Roman" w:cs="Times New Roman"/>
          <w:b/>
          <w:bCs/>
          <w:szCs w:val="24"/>
        </w:rPr>
      </w:pPr>
      <w:r w:rsidRPr="00A11280">
        <w:rPr>
          <w:rFonts w:ascii="Times New Roman" w:hAnsi="Times New Roman" w:cs="Times New Roman"/>
          <w:b/>
          <w:bCs/>
          <w:szCs w:val="24"/>
        </w:rPr>
        <w:t>Method:</w:t>
      </w:r>
    </w:p>
    <w:p w14:paraId="5001D36C" w14:textId="77777777" w:rsidR="00A11280" w:rsidRDefault="00A11280" w:rsidP="000C1F7C">
      <w:pPr>
        <w:spacing w:line="360" w:lineRule="auto"/>
        <w:rPr>
          <w:rFonts w:ascii="Times New Roman" w:hAnsi="Times New Roman" w:cs="Times New Roman"/>
          <w:szCs w:val="24"/>
        </w:rPr>
      </w:pPr>
      <w:r w:rsidRPr="00A11280">
        <w:rPr>
          <w:rFonts w:ascii="Times New Roman" w:hAnsi="Times New Roman" w:cs="Times New Roman"/>
          <w:szCs w:val="24"/>
        </w:rPr>
        <w:t>The study employs a quantitative survey-based design, collecting data from senior financial executives to examine determinants influencing the extent of ERM implementation. Statistical analysis is used to identify governance and organizational characteristics associated with ERM maturity.</w:t>
      </w:r>
    </w:p>
    <w:p w14:paraId="7E6B45E2" w14:textId="3876AC5C" w:rsidR="00A11280" w:rsidRPr="00A11280" w:rsidRDefault="00A11280" w:rsidP="008647DF">
      <w:pPr>
        <w:keepNext/>
        <w:keepLines/>
        <w:ind w:left="720" w:firstLine="0"/>
        <w:rPr>
          <w:rFonts w:ascii="Times New Roman" w:hAnsi="Times New Roman" w:cs="Times New Roman"/>
          <w:b/>
          <w:bCs/>
          <w:szCs w:val="24"/>
        </w:rPr>
      </w:pPr>
      <w:r w:rsidRPr="00A11280">
        <w:rPr>
          <w:rFonts w:ascii="Times New Roman" w:hAnsi="Times New Roman" w:cs="Times New Roman"/>
          <w:b/>
          <w:bCs/>
          <w:szCs w:val="24"/>
        </w:rPr>
        <w:t>Key Findings:</w:t>
      </w:r>
    </w:p>
    <w:p w14:paraId="119202F2" w14:textId="77777777" w:rsidR="00A11280" w:rsidRDefault="00A11280" w:rsidP="000C1F7C">
      <w:pPr>
        <w:spacing w:line="360" w:lineRule="auto"/>
        <w:rPr>
          <w:rFonts w:ascii="Times New Roman" w:hAnsi="Times New Roman" w:cs="Times New Roman"/>
          <w:szCs w:val="24"/>
        </w:rPr>
      </w:pPr>
      <w:r w:rsidRPr="00A11280">
        <w:rPr>
          <w:rFonts w:ascii="Times New Roman" w:hAnsi="Times New Roman" w:cs="Times New Roman"/>
          <w:szCs w:val="24"/>
        </w:rPr>
        <w:t>The findings indicate that ERM implementation levels are significantly associated with board involvement, leadership support, and organizational size. The study emphasizes that governance commitment plays a central role in determining the depth and effectiveness of ERM adoption.</w:t>
      </w:r>
    </w:p>
    <w:p w14:paraId="7517C015" w14:textId="77777777" w:rsidR="009D33A5" w:rsidRPr="008647DF" w:rsidRDefault="00A11280" w:rsidP="008647DF">
      <w:pPr>
        <w:keepNext/>
        <w:keepLines/>
        <w:ind w:left="720" w:firstLine="0"/>
        <w:rPr>
          <w:rFonts w:ascii="Times New Roman" w:hAnsi="Times New Roman" w:cs="Times New Roman"/>
          <w:b/>
          <w:bCs/>
          <w:szCs w:val="24"/>
        </w:rPr>
      </w:pPr>
      <w:r w:rsidRPr="00A11280">
        <w:rPr>
          <w:rFonts w:ascii="Times New Roman" w:hAnsi="Times New Roman" w:cs="Times New Roman"/>
          <w:b/>
          <w:bCs/>
          <w:szCs w:val="24"/>
        </w:rPr>
        <w:t>Relevance to Current Study</w:t>
      </w:r>
      <w:r>
        <w:rPr>
          <w:rFonts w:ascii="Times New Roman" w:hAnsi="Times New Roman" w:cs="Times New Roman"/>
          <w:b/>
          <w:bCs/>
          <w:szCs w:val="24"/>
        </w:rPr>
        <w:t>:</w:t>
      </w:r>
    </w:p>
    <w:p w14:paraId="21AF66E4" w14:textId="24734481" w:rsidR="00A11280" w:rsidRDefault="00A11280" w:rsidP="000C1F7C">
      <w:pPr>
        <w:spacing w:line="360" w:lineRule="auto"/>
        <w:rPr>
          <w:rFonts w:ascii="Times New Roman" w:hAnsi="Times New Roman" w:cs="Times New Roman"/>
          <w:szCs w:val="24"/>
        </w:rPr>
      </w:pPr>
      <w:r w:rsidRPr="00A11280">
        <w:rPr>
          <w:rFonts w:ascii="Times New Roman" w:hAnsi="Times New Roman" w:cs="Times New Roman"/>
          <w:szCs w:val="24"/>
        </w:rPr>
        <w:t>Beasley et al. highlights the importance of leadership and governance reinforcement in shaping ERM maturity. This aligns directly with the present study’s inclusion of leadership support as an influencing variable. By examining Bottom-Up Risk Assessment within a Shared Services structure, the current research extends this governance-based perspective to explore whether participatory engagement strengthens measurable dimensions of risk culture.</w:t>
      </w:r>
    </w:p>
    <w:p w14:paraId="6A1BF9FE" w14:textId="77777777" w:rsidR="00A11280" w:rsidRPr="008647DF" w:rsidRDefault="00A11280" w:rsidP="008647DF">
      <w:pPr>
        <w:keepNext/>
        <w:keepLines/>
        <w:ind w:left="720" w:firstLine="0"/>
        <w:rPr>
          <w:rFonts w:ascii="Times New Roman" w:hAnsi="Times New Roman" w:cs="Times New Roman"/>
          <w:b/>
          <w:bCs/>
          <w:szCs w:val="24"/>
        </w:rPr>
      </w:pPr>
      <w:r w:rsidRPr="00A11280">
        <w:rPr>
          <w:rFonts w:ascii="Times New Roman" w:hAnsi="Times New Roman" w:cs="Times New Roman"/>
          <w:b/>
          <w:bCs/>
          <w:szCs w:val="24"/>
        </w:rPr>
        <w:t>Concluding Synthesis of Previous Studies</w:t>
      </w:r>
    </w:p>
    <w:p w14:paraId="4519348F" w14:textId="3965C6E0" w:rsidR="00A11280" w:rsidRDefault="00A11280" w:rsidP="000C1F7C">
      <w:pPr>
        <w:spacing w:line="360" w:lineRule="auto"/>
        <w:rPr>
          <w:rFonts w:ascii="Times New Roman" w:hAnsi="Times New Roman" w:cs="Times New Roman"/>
          <w:szCs w:val="24"/>
        </w:rPr>
      </w:pPr>
      <w:r w:rsidRPr="00A11280">
        <w:rPr>
          <w:rFonts w:ascii="Times New Roman" w:hAnsi="Times New Roman" w:cs="Times New Roman"/>
          <w:szCs w:val="24"/>
        </w:rPr>
        <w:t xml:space="preserve">The reviewed Arabic and English literature collectively demonstrate that Enterprise Risk Management has been widely examined in relation to firm performance, governance quality, and financial stability. Empirical studies consistently confirm that structured ERM implementation </w:t>
      </w:r>
      <w:r w:rsidRPr="00A11280">
        <w:rPr>
          <w:rFonts w:ascii="Times New Roman" w:hAnsi="Times New Roman" w:cs="Times New Roman"/>
          <w:szCs w:val="24"/>
        </w:rPr>
        <w:lastRenderedPageBreak/>
        <w:t>contributes to improved organizational outcomes. However, most of the prior research has focused primarily on financial performance indicators, market valuation, or governance structure effectiveness, with comparatively limited attention to internal behavioral and cultural mechanisms.</w:t>
      </w:r>
    </w:p>
    <w:p w14:paraId="4948865C" w14:textId="0F3A0010" w:rsidR="00A11280" w:rsidRDefault="00A11280" w:rsidP="000C1F7C">
      <w:pPr>
        <w:spacing w:line="360" w:lineRule="auto"/>
        <w:rPr>
          <w:rFonts w:ascii="Times New Roman" w:hAnsi="Times New Roman" w:cs="Times New Roman"/>
          <w:szCs w:val="24"/>
        </w:rPr>
      </w:pPr>
      <w:r w:rsidRPr="00A11280">
        <w:rPr>
          <w:rFonts w:ascii="Times New Roman" w:hAnsi="Times New Roman" w:cs="Times New Roman"/>
          <w:szCs w:val="24"/>
        </w:rPr>
        <w:t>Furthermore, although recent scholarships increasingly recognize the importance of risk culture as a determinant of ERM effectiveness, empirical examination of specific participatory governance mechanisms remains limited. Few studies have investigated whether bottom-up engagement processes, such as structured risk assessment participation, directly influence measurable dimensions of risk culture within complex organizational environments.</w:t>
      </w:r>
    </w:p>
    <w:p w14:paraId="37D8C0D9" w14:textId="0176EA79" w:rsidR="00A11280" w:rsidRDefault="00A11280" w:rsidP="000C1F7C">
      <w:pPr>
        <w:spacing w:line="360" w:lineRule="auto"/>
        <w:rPr>
          <w:rFonts w:ascii="Times New Roman" w:hAnsi="Times New Roman" w:cs="Times New Roman"/>
          <w:szCs w:val="24"/>
        </w:rPr>
      </w:pPr>
      <w:r w:rsidRPr="00A11280">
        <w:rPr>
          <w:rFonts w:ascii="Times New Roman" w:hAnsi="Times New Roman" w:cs="Times New Roman"/>
          <w:szCs w:val="24"/>
        </w:rPr>
        <w:t>Within the context of Shared Services Organizations</w:t>
      </w:r>
      <w:r w:rsidR="00637E5F">
        <w:rPr>
          <w:rFonts w:ascii="Times New Roman" w:hAnsi="Times New Roman" w:cs="Times New Roman"/>
          <w:szCs w:val="24"/>
        </w:rPr>
        <w:t xml:space="preserve">, </w:t>
      </w:r>
      <w:r w:rsidRPr="00A11280">
        <w:rPr>
          <w:rFonts w:ascii="Times New Roman" w:hAnsi="Times New Roman" w:cs="Times New Roman"/>
          <w:szCs w:val="24"/>
        </w:rPr>
        <w:t>characterized by centralized governance, cross-functional interdependence, and structural complexity, this gap becomes more pronounced. Accordingly, the present study contributes to the literature by empirically examining whether participation in Bottom-Up Risk Assessment enhances risk culture dimensions, while also considering the reinforcing role of leadership support.</w:t>
      </w:r>
    </w:p>
    <w:p w14:paraId="42AD4FFD" w14:textId="10E0927D" w:rsidR="00637E5F" w:rsidRPr="000E6659" w:rsidRDefault="00637E5F" w:rsidP="00863FB5">
      <w:pPr>
        <w:pStyle w:val="Heading2"/>
      </w:pPr>
      <w:bookmarkStart w:id="14" w:name="_Toc223634756"/>
      <w:r w:rsidRPr="000E6659">
        <w:t>1.9 Theoretical Premises of the Study:</w:t>
      </w:r>
      <w:bookmarkEnd w:id="14"/>
    </w:p>
    <w:p w14:paraId="07BA6615" w14:textId="77777777" w:rsidR="001E4F66" w:rsidRPr="007E5B70" w:rsidRDefault="00240EB5" w:rsidP="00863FB5">
      <w:pPr>
        <w:pStyle w:val="Heading3"/>
      </w:pPr>
      <w:bookmarkStart w:id="15" w:name="_Toc223634757"/>
      <w:r w:rsidRPr="007E5B70">
        <w:t xml:space="preserve">1.9.1 </w:t>
      </w:r>
      <w:r w:rsidR="001E4F66" w:rsidRPr="007E5B70">
        <w:t>Risk and Risk Management Foundations</w:t>
      </w:r>
      <w:bookmarkEnd w:id="15"/>
    </w:p>
    <w:p w14:paraId="0BC4D318" w14:textId="575DF280" w:rsidR="001E4F66" w:rsidRPr="007B60A1" w:rsidRDefault="001E4F66" w:rsidP="008647DF">
      <w:pPr>
        <w:keepNext/>
        <w:keepLines/>
        <w:spacing w:before="240" w:after="240"/>
        <w:ind w:left="720"/>
        <w:jc w:val="left"/>
        <w:rPr>
          <w:rFonts w:ascii="Times New Roman" w:hAnsi="Times New Roman" w:cs="Times New Roman"/>
          <w:b/>
          <w:bCs/>
          <w:szCs w:val="24"/>
        </w:rPr>
      </w:pPr>
      <w:r w:rsidRPr="007B60A1">
        <w:rPr>
          <w:rFonts w:ascii="Times New Roman" w:hAnsi="Times New Roman" w:cs="Times New Roman"/>
          <w:b/>
          <w:bCs/>
          <w:szCs w:val="24"/>
        </w:rPr>
        <w:t>1.9.1.1 Risk: Definition and Core Meaning</w:t>
      </w:r>
    </w:p>
    <w:p w14:paraId="317E4EE5" w14:textId="1F15D0E9" w:rsidR="001E4F66" w:rsidRDefault="001E4F66" w:rsidP="000C1F7C">
      <w:pPr>
        <w:spacing w:line="360" w:lineRule="auto"/>
        <w:rPr>
          <w:rFonts w:ascii="Times New Roman" w:hAnsi="Times New Roman" w:cs="Times New Roman"/>
          <w:szCs w:val="24"/>
        </w:rPr>
      </w:pPr>
      <w:r w:rsidRPr="001E4F66">
        <w:rPr>
          <w:rFonts w:ascii="Times New Roman" w:hAnsi="Times New Roman" w:cs="Times New Roman"/>
          <w:szCs w:val="24"/>
        </w:rPr>
        <w:t>Risk is widely defined in international standards as the effect of uncertainty on objectives</w:t>
      </w:r>
      <w:r w:rsidR="00DF5953">
        <w:rPr>
          <w:rFonts w:ascii="Times New Roman" w:hAnsi="Times New Roman" w:cs="Times New Roman"/>
          <w:szCs w:val="24"/>
        </w:rPr>
        <w:t xml:space="preserve"> (ISO, 2018)</w:t>
      </w:r>
      <w:r w:rsidRPr="001E4F66">
        <w:rPr>
          <w:rFonts w:ascii="Times New Roman" w:hAnsi="Times New Roman" w:cs="Times New Roman"/>
          <w:szCs w:val="24"/>
        </w:rPr>
        <w:t>, recognizing that risk can have positive, negative, or both types of deviation from expected outcomes. In applied governance contexts, this definition shifts attention from “hazards” alone toward how uncertainty influences achievement of organizational objectives.</w:t>
      </w:r>
    </w:p>
    <w:p w14:paraId="332E00E5" w14:textId="62775B91" w:rsidR="001E4F66" w:rsidRPr="007B60A1" w:rsidRDefault="001E4F66" w:rsidP="008647DF">
      <w:pPr>
        <w:keepNext/>
        <w:keepLines/>
        <w:spacing w:before="240" w:after="240"/>
        <w:ind w:left="720"/>
        <w:jc w:val="left"/>
        <w:rPr>
          <w:rFonts w:ascii="Times New Roman" w:hAnsi="Times New Roman" w:cs="Times New Roman"/>
          <w:b/>
          <w:bCs/>
          <w:szCs w:val="24"/>
        </w:rPr>
      </w:pPr>
      <w:r w:rsidRPr="007B60A1">
        <w:rPr>
          <w:rFonts w:ascii="Times New Roman" w:hAnsi="Times New Roman" w:cs="Times New Roman"/>
          <w:b/>
          <w:bCs/>
          <w:szCs w:val="24"/>
        </w:rPr>
        <w:t>1.9.1.2 Risk vs Issue</w:t>
      </w:r>
    </w:p>
    <w:p w14:paraId="17E4D163" w14:textId="77777777" w:rsidR="001E4F66" w:rsidRDefault="001E4F66" w:rsidP="000C1F7C">
      <w:pPr>
        <w:spacing w:line="360" w:lineRule="auto"/>
        <w:rPr>
          <w:rFonts w:ascii="Times New Roman" w:hAnsi="Times New Roman" w:cs="Times New Roman"/>
          <w:szCs w:val="24"/>
        </w:rPr>
      </w:pPr>
      <w:r w:rsidRPr="001E4F66">
        <w:rPr>
          <w:rFonts w:ascii="Times New Roman" w:hAnsi="Times New Roman" w:cs="Times New Roman"/>
          <w:szCs w:val="24"/>
        </w:rPr>
        <w:t xml:space="preserve">A practical distinction is essential for risk culture: a risk is an uncertain event/condition that may occur and affect objectives, whereas an issue is a current problem that has already occurred or is occurring and requires immediate resolution. This distinction aligns with the ISO focus on uncertainty and objective impact and helps reduce confusion in operational environments where “risk” is sometimes used to label existing incidents. </w:t>
      </w:r>
    </w:p>
    <w:p w14:paraId="78F370F7" w14:textId="58741F89" w:rsidR="001E4F66" w:rsidRPr="007B60A1" w:rsidRDefault="001E4F66" w:rsidP="008647DF">
      <w:pPr>
        <w:keepNext/>
        <w:keepLines/>
        <w:spacing w:before="240" w:after="240"/>
        <w:ind w:left="720"/>
        <w:jc w:val="left"/>
        <w:rPr>
          <w:rFonts w:ascii="Times New Roman" w:hAnsi="Times New Roman" w:cs="Times New Roman"/>
          <w:b/>
          <w:bCs/>
          <w:szCs w:val="24"/>
        </w:rPr>
      </w:pPr>
      <w:r w:rsidRPr="007B60A1">
        <w:rPr>
          <w:rFonts w:ascii="Times New Roman" w:hAnsi="Times New Roman" w:cs="Times New Roman"/>
          <w:b/>
          <w:bCs/>
          <w:szCs w:val="24"/>
        </w:rPr>
        <w:t>1.9.1.3 Risk Types and Classification</w:t>
      </w:r>
    </w:p>
    <w:p w14:paraId="16BF7E0A" w14:textId="77777777" w:rsidR="001E4F66" w:rsidRDefault="001E4F66" w:rsidP="000C1F7C">
      <w:pPr>
        <w:spacing w:line="360" w:lineRule="auto"/>
        <w:rPr>
          <w:rFonts w:ascii="Times New Roman" w:hAnsi="Times New Roman" w:cs="Times New Roman"/>
          <w:szCs w:val="24"/>
        </w:rPr>
      </w:pPr>
      <w:r w:rsidRPr="001E4F66">
        <w:rPr>
          <w:rFonts w:ascii="Times New Roman" w:hAnsi="Times New Roman" w:cs="Times New Roman"/>
          <w:szCs w:val="24"/>
        </w:rPr>
        <w:t>Organizations commonly classify risks to improve governance, accountability, and reporting. A widely used classification groups risks into categories such as:</w:t>
      </w:r>
    </w:p>
    <w:p w14:paraId="7880FAC7" w14:textId="77E54F66" w:rsidR="001E4F66" w:rsidRPr="001E4F66" w:rsidRDefault="001E4F66" w:rsidP="001E4F66">
      <w:pPr>
        <w:pStyle w:val="ListParagraph"/>
        <w:numPr>
          <w:ilvl w:val="0"/>
          <w:numId w:val="57"/>
        </w:numPr>
        <w:spacing w:before="240" w:after="240"/>
        <w:ind w:left="720"/>
        <w:rPr>
          <w:rFonts w:ascii="Times New Roman" w:hAnsi="Times New Roman" w:cs="Times New Roman"/>
          <w:szCs w:val="24"/>
        </w:rPr>
      </w:pPr>
      <w:r w:rsidRPr="001E4F66">
        <w:rPr>
          <w:rFonts w:ascii="Times New Roman" w:hAnsi="Times New Roman" w:cs="Times New Roman"/>
          <w:szCs w:val="24"/>
        </w:rPr>
        <w:lastRenderedPageBreak/>
        <w:t>Strategic risks</w:t>
      </w:r>
      <w:r>
        <w:rPr>
          <w:rFonts w:ascii="Times New Roman" w:hAnsi="Times New Roman" w:cs="Times New Roman"/>
          <w:szCs w:val="24"/>
        </w:rPr>
        <w:t xml:space="preserve">: </w:t>
      </w:r>
      <w:r w:rsidRPr="001E4F66">
        <w:rPr>
          <w:rFonts w:ascii="Times New Roman" w:hAnsi="Times New Roman" w:cs="Times New Roman"/>
          <w:szCs w:val="24"/>
        </w:rPr>
        <w:t>affecting long-term direction and objectives</w:t>
      </w:r>
    </w:p>
    <w:p w14:paraId="0281DF71" w14:textId="17702256" w:rsidR="001E4F66" w:rsidRPr="001E4F66" w:rsidRDefault="001E4F66" w:rsidP="001E4F66">
      <w:pPr>
        <w:pStyle w:val="ListParagraph"/>
        <w:numPr>
          <w:ilvl w:val="0"/>
          <w:numId w:val="57"/>
        </w:numPr>
        <w:spacing w:before="240" w:after="240"/>
        <w:ind w:left="720"/>
        <w:rPr>
          <w:rFonts w:ascii="Times New Roman" w:hAnsi="Times New Roman" w:cs="Times New Roman"/>
          <w:szCs w:val="24"/>
        </w:rPr>
      </w:pPr>
      <w:r w:rsidRPr="001E4F66">
        <w:rPr>
          <w:rFonts w:ascii="Times New Roman" w:hAnsi="Times New Roman" w:cs="Times New Roman"/>
          <w:szCs w:val="24"/>
        </w:rPr>
        <w:t>Operational risks</w:t>
      </w:r>
      <w:r>
        <w:rPr>
          <w:rFonts w:ascii="Times New Roman" w:hAnsi="Times New Roman" w:cs="Times New Roman"/>
          <w:szCs w:val="24"/>
        </w:rPr>
        <w:t>:</w:t>
      </w:r>
      <w:r w:rsidRPr="001E4F66">
        <w:rPr>
          <w:rFonts w:ascii="Times New Roman" w:hAnsi="Times New Roman" w:cs="Times New Roman"/>
          <w:szCs w:val="24"/>
        </w:rPr>
        <w:t xml:space="preserve"> affecting processes, service delivery, people, and systems</w:t>
      </w:r>
    </w:p>
    <w:p w14:paraId="14C22276" w14:textId="73D11AF8" w:rsidR="001E4F66" w:rsidRPr="001E4F66" w:rsidRDefault="001E4F66" w:rsidP="001E4F66">
      <w:pPr>
        <w:pStyle w:val="ListParagraph"/>
        <w:numPr>
          <w:ilvl w:val="0"/>
          <w:numId w:val="57"/>
        </w:numPr>
        <w:spacing w:before="240" w:after="240"/>
        <w:ind w:left="720"/>
        <w:rPr>
          <w:rFonts w:ascii="Times New Roman" w:hAnsi="Times New Roman" w:cs="Times New Roman"/>
          <w:szCs w:val="24"/>
        </w:rPr>
      </w:pPr>
      <w:r w:rsidRPr="001E4F66">
        <w:rPr>
          <w:rFonts w:ascii="Times New Roman" w:hAnsi="Times New Roman" w:cs="Times New Roman"/>
          <w:szCs w:val="24"/>
        </w:rPr>
        <w:t>Financial risks</w:t>
      </w:r>
      <w:r>
        <w:rPr>
          <w:rFonts w:ascii="Times New Roman" w:hAnsi="Times New Roman" w:cs="Times New Roman"/>
          <w:szCs w:val="24"/>
        </w:rPr>
        <w:t xml:space="preserve">: </w:t>
      </w:r>
      <w:r w:rsidRPr="001E4F66">
        <w:rPr>
          <w:rFonts w:ascii="Times New Roman" w:hAnsi="Times New Roman" w:cs="Times New Roman"/>
          <w:szCs w:val="24"/>
        </w:rPr>
        <w:t>affecting financial performance and exposure</w:t>
      </w:r>
    </w:p>
    <w:p w14:paraId="03FBA74C" w14:textId="54655C96" w:rsidR="001E4F66" w:rsidRPr="001E4F66" w:rsidRDefault="001E4F66" w:rsidP="001E4F66">
      <w:pPr>
        <w:pStyle w:val="ListParagraph"/>
        <w:numPr>
          <w:ilvl w:val="0"/>
          <w:numId w:val="57"/>
        </w:numPr>
        <w:spacing w:before="240" w:after="240"/>
        <w:ind w:left="720"/>
        <w:rPr>
          <w:rFonts w:ascii="Times New Roman" w:hAnsi="Times New Roman" w:cs="Times New Roman"/>
          <w:szCs w:val="24"/>
        </w:rPr>
      </w:pPr>
      <w:r w:rsidRPr="001E4F66">
        <w:rPr>
          <w:rFonts w:ascii="Times New Roman" w:hAnsi="Times New Roman" w:cs="Times New Roman"/>
          <w:szCs w:val="24"/>
        </w:rPr>
        <w:t>Compliance/legal risks</w:t>
      </w:r>
      <w:r>
        <w:rPr>
          <w:rFonts w:ascii="Times New Roman" w:hAnsi="Times New Roman" w:cs="Times New Roman"/>
          <w:szCs w:val="24"/>
        </w:rPr>
        <w:t xml:space="preserve">: </w:t>
      </w:r>
      <w:r w:rsidRPr="001E4F66">
        <w:rPr>
          <w:rFonts w:ascii="Times New Roman" w:hAnsi="Times New Roman" w:cs="Times New Roman"/>
          <w:szCs w:val="24"/>
        </w:rPr>
        <w:t>affecting adherence to laws, regulations, and policies</w:t>
      </w:r>
    </w:p>
    <w:p w14:paraId="0F89144E" w14:textId="4E92E219" w:rsidR="001E4F66" w:rsidRDefault="001E4F66" w:rsidP="000C1F7C">
      <w:pPr>
        <w:spacing w:line="360" w:lineRule="auto"/>
        <w:rPr>
          <w:rFonts w:ascii="Times New Roman" w:hAnsi="Times New Roman" w:cs="Times New Roman"/>
          <w:szCs w:val="24"/>
        </w:rPr>
      </w:pPr>
      <w:r w:rsidRPr="001E4F66">
        <w:rPr>
          <w:rFonts w:ascii="Times New Roman" w:hAnsi="Times New Roman" w:cs="Times New Roman"/>
          <w:szCs w:val="24"/>
        </w:rPr>
        <w:t>COSO emphasizes that enterprise risk management should be integrated with strategy and performance, reinforcing that risk categories should support decision-making rather than exist as isolated lists</w:t>
      </w:r>
      <w:r w:rsidR="00DF5953">
        <w:rPr>
          <w:rFonts w:ascii="Times New Roman" w:hAnsi="Times New Roman" w:cs="Times New Roman"/>
          <w:szCs w:val="24"/>
        </w:rPr>
        <w:t xml:space="preserve"> (COSO, 2017)</w:t>
      </w:r>
      <w:r w:rsidRPr="001E4F66">
        <w:rPr>
          <w:rFonts w:ascii="Times New Roman" w:hAnsi="Times New Roman" w:cs="Times New Roman"/>
          <w:szCs w:val="24"/>
        </w:rPr>
        <w:t xml:space="preserve">. </w:t>
      </w:r>
    </w:p>
    <w:p w14:paraId="6565A11F" w14:textId="1A909C7A" w:rsidR="001E4F66" w:rsidRPr="007B60A1" w:rsidRDefault="001E4F66" w:rsidP="008647DF">
      <w:pPr>
        <w:keepNext/>
        <w:keepLines/>
        <w:spacing w:before="240" w:after="240"/>
        <w:ind w:left="720"/>
        <w:jc w:val="left"/>
        <w:rPr>
          <w:rFonts w:ascii="Times New Roman" w:hAnsi="Times New Roman" w:cs="Times New Roman"/>
          <w:b/>
          <w:bCs/>
          <w:szCs w:val="24"/>
        </w:rPr>
      </w:pPr>
      <w:r w:rsidRPr="007B60A1">
        <w:rPr>
          <w:rFonts w:ascii="Times New Roman" w:hAnsi="Times New Roman" w:cs="Times New Roman"/>
          <w:b/>
          <w:bCs/>
          <w:szCs w:val="24"/>
        </w:rPr>
        <w:t>1.9.1.4 Sources of Risk and Context (Internal and External)</w:t>
      </w:r>
    </w:p>
    <w:p w14:paraId="2BE98FC9" w14:textId="77777777" w:rsidR="001E4F66" w:rsidRDefault="001E4F66" w:rsidP="000C1F7C">
      <w:pPr>
        <w:spacing w:line="360" w:lineRule="auto"/>
        <w:rPr>
          <w:rFonts w:ascii="Times New Roman" w:hAnsi="Times New Roman" w:cs="Times New Roman"/>
          <w:szCs w:val="24"/>
        </w:rPr>
      </w:pPr>
      <w:r w:rsidRPr="001E4F66">
        <w:rPr>
          <w:rFonts w:ascii="Times New Roman" w:hAnsi="Times New Roman" w:cs="Times New Roman"/>
          <w:szCs w:val="24"/>
        </w:rPr>
        <w:t xml:space="preserve">ISO 31000 highlights the importance of understanding the organization and its internal and external context, because uncertainty arises from conditions inside and outside the organization (e.g., processes, systems, people, suppliers, regulation, market conditions, and stakeholder expectations). </w:t>
      </w:r>
    </w:p>
    <w:p w14:paraId="5F223BD6" w14:textId="77777777" w:rsidR="001E4F66" w:rsidRDefault="001E4F66" w:rsidP="000C1F7C">
      <w:pPr>
        <w:spacing w:line="360" w:lineRule="auto"/>
        <w:rPr>
          <w:rFonts w:ascii="Times New Roman" w:hAnsi="Times New Roman" w:cs="Times New Roman"/>
          <w:szCs w:val="24"/>
        </w:rPr>
      </w:pPr>
      <w:r w:rsidRPr="001E4F66">
        <w:rPr>
          <w:rFonts w:ascii="Times New Roman" w:hAnsi="Times New Roman" w:cs="Times New Roman"/>
          <w:szCs w:val="24"/>
        </w:rPr>
        <w:t>Accordingly, risk identification should be conducted with a sufficiently broad context to capture risks from significant sources of uncertainty, especially in Shared Services environments where interdependencies across functions create “cross-functional” risk pathways.</w:t>
      </w:r>
    </w:p>
    <w:p w14:paraId="76E677F9" w14:textId="4C8762AD" w:rsidR="001E4F66" w:rsidRPr="007B60A1" w:rsidRDefault="001E4F66" w:rsidP="008647DF">
      <w:pPr>
        <w:keepNext/>
        <w:keepLines/>
        <w:spacing w:before="240" w:after="240"/>
        <w:ind w:left="720"/>
        <w:jc w:val="left"/>
        <w:rPr>
          <w:rFonts w:ascii="Times New Roman" w:hAnsi="Times New Roman" w:cs="Times New Roman"/>
          <w:b/>
          <w:bCs/>
          <w:szCs w:val="24"/>
        </w:rPr>
      </w:pPr>
      <w:r w:rsidRPr="007B60A1">
        <w:rPr>
          <w:rFonts w:ascii="Times New Roman" w:hAnsi="Times New Roman" w:cs="Times New Roman"/>
          <w:b/>
          <w:bCs/>
          <w:szCs w:val="24"/>
        </w:rPr>
        <w:t>1.9.1.4 Risk Management Process</w:t>
      </w:r>
    </w:p>
    <w:p w14:paraId="6967981A" w14:textId="77777777" w:rsidR="001E4F66" w:rsidRDefault="001E4F66" w:rsidP="000C1F7C">
      <w:pPr>
        <w:spacing w:line="360" w:lineRule="auto"/>
        <w:rPr>
          <w:rFonts w:ascii="Times New Roman" w:hAnsi="Times New Roman" w:cs="Times New Roman"/>
          <w:szCs w:val="24"/>
        </w:rPr>
      </w:pPr>
      <w:r w:rsidRPr="001E4F66">
        <w:rPr>
          <w:rFonts w:ascii="Times New Roman" w:hAnsi="Times New Roman" w:cs="Times New Roman"/>
          <w:szCs w:val="24"/>
        </w:rPr>
        <w:t>A “full conceptual” foundation should also present the core risk management process. ISO 31000 structures risk management around principles, a framework, and a process that typically includes:</w:t>
      </w:r>
    </w:p>
    <w:p w14:paraId="2F312291" w14:textId="77777777" w:rsidR="001E4F66" w:rsidRPr="001E4F66" w:rsidRDefault="001E4F66" w:rsidP="001E4F66">
      <w:pPr>
        <w:pStyle w:val="ListParagraph"/>
        <w:numPr>
          <w:ilvl w:val="0"/>
          <w:numId w:val="58"/>
        </w:numPr>
        <w:spacing w:before="240" w:after="240"/>
        <w:rPr>
          <w:rFonts w:ascii="Times New Roman" w:hAnsi="Times New Roman" w:cs="Times New Roman"/>
          <w:szCs w:val="24"/>
        </w:rPr>
      </w:pPr>
      <w:r w:rsidRPr="001E4F66">
        <w:rPr>
          <w:rFonts w:ascii="Times New Roman" w:hAnsi="Times New Roman" w:cs="Times New Roman"/>
          <w:szCs w:val="24"/>
        </w:rPr>
        <w:t>Establishing the context / scope and criteria</w:t>
      </w:r>
    </w:p>
    <w:p w14:paraId="35F278EE" w14:textId="77777777" w:rsidR="001E4F66" w:rsidRPr="001E4F66" w:rsidRDefault="001E4F66" w:rsidP="001E4F66">
      <w:pPr>
        <w:pStyle w:val="ListParagraph"/>
        <w:numPr>
          <w:ilvl w:val="0"/>
          <w:numId w:val="58"/>
        </w:numPr>
        <w:spacing w:before="240" w:after="240"/>
        <w:rPr>
          <w:rFonts w:ascii="Times New Roman" w:hAnsi="Times New Roman" w:cs="Times New Roman"/>
          <w:szCs w:val="24"/>
        </w:rPr>
      </w:pPr>
      <w:r w:rsidRPr="001E4F66">
        <w:rPr>
          <w:rFonts w:ascii="Times New Roman" w:hAnsi="Times New Roman" w:cs="Times New Roman"/>
          <w:szCs w:val="24"/>
        </w:rPr>
        <w:t>Risk identification</w:t>
      </w:r>
    </w:p>
    <w:p w14:paraId="0C98F8C2" w14:textId="5262DE2E" w:rsidR="001E4F66" w:rsidRPr="001E4F66" w:rsidRDefault="001E4F66" w:rsidP="001E4F66">
      <w:pPr>
        <w:pStyle w:val="ListParagraph"/>
        <w:numPr>
          <w:ilvl w:val="0"/>
          <w:numId w:val="58"/>
        </w:numPr>
        <w:spacing w:before="240" w:after="240"/>
        <w:rPr>
          <w:rFonts w:ascii="Times New Roman" w:hAnsi="Times New Roman" w:cs="Times New Roman"/>
          <w:szCs w:val="24"/>
        </w:rPr>
      </w:pPr>
      <w:r w:rsidRPr="001E4F66">
        <w:rPr>
          <w:rFonts w:ascii="Times New Roman" w:hAnsi="Times New Roman" w:cs="Times New Roman"/>
          <w:szCs w:val="24"/>
        </w:rPr>
        <w:t>Risk analysis (understanding causes, likelihood, consequences)</w:t>
      </w:r>
    </w:p>
    <w:p w14:paraId="71EEE308" w14:textId="77777777" w:rsidR="001E4F66" w:rsidRPr="001E4F66" w:rsidRDefault="001E4F66" w:rsidP="001E4F66">
      <w:pPr>
        <w:pStyle w:val="ListParagraph"/>
        <w:numPr>
          <w:ilvl w:val="0"/>
          <w:numId w:val="58"/>
        </w:numPr>
        <w:spacing w:before="240" w:after="240"/>
        <w:rPr>
          <w:rFonts w:ascii="Times New Roman" w:hAnsi="Times New Roman" w:cs="Times New Roman"/>
          <w:szCs w:val="24"/>
        </w:rPr>
      </w:pPr>
      <w:r w:rsidRPr="001E4F66">
        <w:rPr>
          <w:rFonts w:ascii="Times New Roman" w:hAnsi="Times New Roman" w:cs="Times New Roman"/>
          <w:szCs w:val="24"/>
        </w:rPr>
        <w:t>Risk evaluation (prioritizing against criteria)</w:t>
      </w:r>
    </w:p>
    <w:p w14:paraId="133B1FB3" w14:textId="77777777" w:rsidR="001E4F66" w:rsidRPr="001E4F66" w:rsidRDefault="001E4F66" w:rsidP="001E4F66">
      <w:pPr>
        <w:pStyle w:val="ListParagraph"/>
        <w:numPr>
          <w:ilvl w:val="0"/>
          <w:numId w:val="58"/>
        </w:numPr>
        <w:spacing w:before="240" w:after="240"/>
        <w:rPr>
          <w:rFonts w:ascii="Times New Roman" w:hAnsi="Times New Roman" w:cs="Times New Roman"/>
          <w:szCs w:val="24"/>
        </w:rPr>
      </w:pPr>
      <w:r w:rsidRPr="001E4F66">
        <w:rPr>
          <w:rFonts w:ascii="Times New Roman" w:hAnsi="Times New Roman" w:cs="Times New Roman"/>
          <w:szCs w:val="24"/>
        </w:rPr>
        <w:t>Risk treatment (selecting and implementing responses)</w:t>
      </w:r>
    </w:p>
    <w:p w14:paraId="2D86B687" w14:textId="77777777" w:rsidR="001E4F66" w:rsidRPr="001E4F66" w:rsidRDefault="001E4F66" w:rsidP="001E4F66">
      <w:pPr>
        <w:pStyle w:val="ListParagraph"/>
        <w:numPr>
          <w:ilvl w:val="0"/>
          <w:numId w:val="58"/>
        </w:numPr>
        <w:spacing w:before="240" w:after="240"/>
        <w:rPr>
          <w:rFonts w:ascii="Times New Roman" w:hAnsi="Times New Roman" w:cs="Times New Roman"/>
          <w:szCs w:val="24"/>
        </w:rPr>
      </w:pPr>
      <w:r w:rsidRPr="001E4F66">
        <w:rPr>
          <w:rFonts w:ascii="Times New Roman" w:hAnsi="Times New Roman" w:cs="Times New Roman"/>
          <w:szCs w:val="24"/>
        </w:rPr>
        <w:t>Monitoring and review</w:t>
      </w:r>
    </w:p>
    <w:p w14:paraId="56C73EFC" w14:textId="77777777" w:rsidR="001E4F66" w:rsidRPr="001E4F66" w:rsidRDefault="001E4F66" w:rsidP="001E4F66">
      <w:pPr>
        <w:pStyle w:val="ListParagraph"/>
        <w:numPr>
          <w:ilvl w:val="0"/>
          <w:numId w:val="58"/>
        </w:numPr>
        <w:spacing w:before="240" w:after="240"/>
        <w:rPr>
          <w:rFonts w:ascii="Times New Roman" w:hAnsi="Times New Roman" w:cs="Times New Roman"/>
          <w:szCs w:val="24"/>
        </w:rPr>
      </w:pPr>
      <w:r w:rsidRPr="001E4F66">
        <w:rPr>
          <w:rFonts w:ascii="Times New Roman" w:hAnsi="Times New Roman" w:cs="Times New Roman"/>
          <w:szCs w:val="24"/>
        </w:rPr>
        <w:t>Communication and consultation</w:t>
      </w:r>
    </w:p>
    <w:p w14:paraId="304673BA" w14:textId="77777777" w:rsidR="001E4F66" w:rsidRDefault="001E4F66" w:rsidP="000C1F7C">
      <w:pPr>
        <w:spacing w:line="360" w:lineRule="auto"/>
        <w:rPr>
          <w:rFonts w:ascii="Times New Roman" w:hAnsi="Times New Roman" w:cs="Times New Roman"/>
          <w:szCs w:val="24"/>
        </w:rPr>
      </w:pPr>
      <w:proofErr w:type="gramStart"/>
      <w:r w:rsidRPr="001E4F66">
        <w:rPr>
          <w:rFonts w:ascii="Times New Roman" w:hAnsi="Times New Roman" w:cs="Times New Roman"/>
          <w:szCs w:val="24"/>
        </w:rPr>
        <w:t>This process</w:t>
      </w:r>
      <w:proofErr w:type="gramEnd"/>
      <w:r w:rsidRPr="001E4F66">
        <w:rPr>
          <w:rFonts w:ascii="Times New Roman" w:hAnsi="Times New Roman" w:cs="Times New Roman"/>
          <w:szCs w:val="24"/>
        </w:rPr>
        <w:t xml:space="preserve"> perspective supports the logic of Bottom-Up Risk Assessment (BURA) as a participatory mechanism that strengthens risk identification quality and encourages ownership through engagement.</w:t>
      </w:r>
    </w:p>
    <w:p w14:paraId="7767058E" w14:textId="078B6536" w:rsidR="001E4F66" w:rsidRPr="007B60A1" w:rsidRDefault="001E4F66" w:rsidP="008647DF">
      <w:pPr>
        <w:keepNext/>
        <w:keepLines/>
        <w:spacing w:before="240" w:after="240"/>
        <w:ind w:left="720"/>
        <w:jc w:val="left"/>
        <w:rPr>
          <w:rFonts w:ascii="Times New Roman" w:hAnsi="Times New Roman" w:cs="Times New Roman"/>
          <w:b/>
          <w:bCs/>
          <w:szCs w:val="24"/>
        </w:rPr>
      </w:pPr>
      <w:r w:rsidRPr="007B60A1">
        <w:rPr>
          <w:rFonts w:ascii="Times New Roman" w:hAnsi="Times New Roman" w:cs="Times New Roman"/>
          <w:b/>
          <w:bCs/>
          <w:szCs w:val="24"/>
        </w:rPr>
        <w:t>1.9.1.5 Conceptual Link to Governance, Risk Culture, and GRC Capability</w:t>
      </w:r>
    </w:p>
    <w:p w14:paraId="36707129" w14:textId="012DAD5E" w:rsidR="001E4F66" w:rsidRDefault="001E4F66" w:rsidP="000C1F7C">
      <w:pPr>
        <w:spacing w:line="360" w:lineRule="auto"/>
        <w:rPr>
          <w:rFonts w:ascii="Times New Roman" w:hAnsi="Times New Roman" w:cs="Times New Roman"/>
          <w:szCs w:val="24"/>
        </w:rPr>
      </w:pPr>
      <w:r w:rsidRPr="001E4F66">
        <w:rPr>
          <w:rFonts w:ascii="Times New Roman" w:hAnsi="Times New Roman" w:cs="Times New Roman"/>
          <w:szCs w:val="24"/>
        </w:rPr>
        <w:t xml:space="preserve">From a governance and “principled performance” perspective, risk practices are not only technical steps; they represent integrated capabilities that help organizations achieve objectives reliably while acting with integrity. OCEG’s GRC Capability Model positions governance, risk, and </w:t>
      </w:r>
      <w:r w:rsidRPr="001E4F66">
        <w:rPr>
          <w:rFonts w:ascii="Times New Roman" w:hAnsi="Times New Roman" w:cs="Times New Roman"/>
          <w:szCs w:val="24"/>
        </w:rPr>
        <w:lastRenderedPageBreak/>
        <w:t xml:space="preserve">compliance as integrated organizational capabilities that enable principled performance. </w:t>
      </w:r>
      <w:r w:rsidRPr="001E4F66">
        <w:rPr>
          <w:rFonts w:ascii="Times New Roman" w:hAnsi="Times New Roman" w:cs="Times New Roman"/>
          <w:szCs w:val="24"/>
        </w:rPr>
        <w:br/>
        <w:t xml:space="preserve">This conceptual grounding supports the study’s focus on whether participatory risk practices (BURA) </w:t>
      </w:r>
      <w:r w:rsidR="003D7470" w:rsidRPr="000C1F7C">
        <w:rPr>
          <w:rFonts w:ascii="Times New Roman" w:hAnsi="Times New Roman" w:cs="Times New Roman"/>
          <w:noProof/>
          <w:szCs w:val="24"/>
        </w:rPr>
        <mc:AlternateContent>
          <mc:Choice Requires="wps">
            <w:drawing>
              <wp:anchor distT="0" distB="0" distL="114300" distR="114300" simplePos="0" relativeHeight="251671552" behindDoc="0" locked="0" layoutInCell="1" allowOverlap="1" wp14:anchorId="329AACF6" wp14:editId="39F23917">
                <wp:simplePos x="0" y="0"/>
                <wp:positionH relativeFrom="column">
                  <wp:posOffset>-278765</wp:posOffset>
                </wp:positionH>
                <wp:positionV relativeFrom="paragraph">
                  <wp:posOffset>2457450</wp:posOffset>
                </wp:positionV>
                <wp:extent cx="6829425" cy="402336"/>
                <wp:effectExtent l="0" t="0" r="9525" b="0"/>
                <wp:wrapTopAndBottom/>
                <wp:docPr id="952817133" name="Text Box 1"/>
                <wp:cNvGraphicFramePr/>
                <a:graphic xmlns:a="http://schemas.openxmlformats.org/drawingml/2006/main">
                  <a:graphicData uri="http://schemas.microsoft.com/office/word/2010/wordprocessingShape">
                    <wps:wsp>
                      <wps:cNvSpPr txBox="1"/>
                      <wps:spPr>
                        <a:xfrm>
                          <a:off x="0" y="0"/>
                          <a:ext cx="6829425" cy="402336"/>
                        </a:xfrm>
                        <a:prstGeom prst="rect">
                          <a:avLst/>
                        </a:prstGeom>
                        <a:solidFill>
                          <a:prstClr val="white"/>
                        </a:solidFill>
                        <a:ln>
                          <a:noFill/>
                        </a:ln>
                      </wps:spPr>
                      <wps:txbx>
                        <w:txbxContent>
                          <w:p w14:paraId="20949954" w14:textId="4C758166" w:rsidR="00292153" w:rsidRDefault="00292153" w:rsidP="003D7470">
                            <w:pPr>
                              <w:pStyle w:val="Caption"/>
                              <w:spacing w:before="120" w:after="0"/>
                              <w:jc w:val="center"/>
                            </w:pPr>
                            <w:r>
                              <w:t>Figure 1.2 GRC Path to Principled Performance</w:t>
                            </w:r>
                          </w:p>
                          <w:p w14:paraId="39252859" w14:textId="3856AEE8" w:rsidR="00292153" w:rsidRPr="00292153" w:rsidRDefault="00292153" w:rsidP="009D33A5">
                            <w:pPr>
                              <w:pStyle w:val="Caption"/>
                              <w:spacing w:after="0"/>
                              <w:jc w:val="center"/>
                            </w:pPr>
                            <w:r>
                              <w:t>Source</w:t>
                            </w:r>
                            <w:r w:rsidR="009D33A5">
                              <w:t xml:space="preserve">: </w:t>
                            </w:r>
                            <w:bookmarkStart w:id="16" w:name="_Hlk223537046"/>
                            <w:r w:rsidR="009D33A5">
                              <w:t>GRC Capability Model (OCEG Red Book)</w:t>
                            </w:r>
                            <w:bookmarkEnd w:id="16"/>
                            <w:r w:rsidR="009D33A5">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AACF6" id="Text Box 1" o:spid="_x0000_s1027" type="#_x0000_t202" style="position:absolute;left:0;text-align:left;margin-left:-21.95pt;margin-top:193.5pt;width:537.75pt;height:31.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" stroked="f">
                <v:textbox inset="0,0,0,0">
                  <w:txbxContent>
                    <w:p w14:paraId="20949954" w14:textId="4C758166" w:rsidR="00292153" w:rsidRDefault="00292153" w:rsidP="003D7470">
                      <w:pPr>
                        <w:pStyle w:val="Caption"/>
                        <w:spacing w:before="120" w:after="0"/>
                        <w:jc w:val="center"/>
                      </w:pPr>
                      <w:r>
                        <w:t>Figure 1.2 GRC Path to Principled Performance</w:t>
                      </w:r>
                    </w:p>
                    <w:p w14:paraId="39252859" w14:textId="3856AEE8" w:rsidR="00292153" w:rsidRPr="00292153" w:rsidRDefault="00292153" w:rsidP="009D33A5">
                      <w:pPr>
                        <w:pStyle w:val="Caption"/>
                        <w:spacing w:after="0"/>
                        <w:jc w:val="center"/>
                      </w:pPr>
                      <w:r>
                        <w:t>Source</w:t>
                      </w:r>
                      <w:r w:rsidR="009D33A5">
                        <w:t xml:space="preserve">: </w:t>
                      </w:r>
                      <w:bookmarkStart w:id="17" w:name="_Hlk223537046"/>
                      <w:r w:rsidR="009D33A5">
                        <w:t>GRC Capability Model (OCEG Red Book)</w:t>
                      </w:r>
                      <w:bookmarkEnd w:id="17"/>
                      <w:r w:rsidR="009D33A5">
                        <w:t xml:space="preserve"> </w:t>
                      </w:r>
                    </w:p>
                  </w:txbxContent>
                </v:textbox>
                <w10:wrap type="topAndBottom"/>
              </v:shape>
            </w:pict>
          </mc:Fallback>
        </mc:AlternateContent>
      </w:r>
      <w:r w:rsidRPr="001E4F66">
        <w:rPr>
          <w:rFonts w:ascii="Times New Roman" w:hAnsi="Times New Roman" w:cs="Times New Roman"/>
          <w:szCs w:val="24"/>
        </w:rPr>
        <w:t>are associated with behavioral outcomes (risk culture dimensions).</w:t>
      </w:r>
    </w:p>
    <w:p w14:paraId="6D2F20E8" w14:textId="3EE20D86" w:rsidR="001E4F66" w:rsidRPr="0053328C" w:rsidRDefault="00292153" w:rsidP="000C1F7C">
      <w:pPr>
        <w:spacing w:line="360" w:lineRule="auto"/>
        <w:rPr>
          <w:rFonts w:cstheme="majorBidi"/>
          <w:b/>
          <w:bCs/>
          <w:szCs w:val="24"/>
        </w:rPr>
      </w:pPr>
      <w:r w:rsidRPr="000C1F7C">
        <w:rPr>
          <w:rFonts w:ascii="Times New Roman" w:hAnsi="Times New Roman" w:cs="Times New Roman"/>
          <w:noProof/>
          <w:szCs w:val="24"/>
        </w:rPr>
        <w:drawing>
          <wp:anchor distT="0" distB="0" distL="114300" distR="114300" simplePos="0" relativeHeight="251669504" behindDoc="0" locked="0" layoutInCell="1" allowOverlap="1" wp14:anchorId="20CB497E" wp14:editId="3E9D82F6">
            <wp:simplePos x="0" y="0"/>
            <wp:positionH relativeFrom="column">
              <wp:posOffset>420887</wp:posOffset>
            </wp:positionH>
            <wp:positionV relativeFrom="paragraph">
              <wp:posOffset>606</wp:posOffset>
            </wp:positionV>
            <wp:extent cx="5305425" cy="1513840"/>
            <wp:effectExtent l="0" t="0" r="9525" b="0"/>
            <wp:wrapTopAndBottom/>
            <wp:docPr id="1026" name="Picture 2">
              <a:extLst xmlns:a="http://schemas.openxmlformats.org/drawingml/2006/main">
                <a:ext uri="{FF2B5EF4-FFF2-40B4-BE49-F238E27FC236}">
                  <a16:creationId xmlns:a16="http://schemas.microsoft.com/office/drawing/2014/main" id="{B4DDB660-8580-0A6B-0E18-A19F0D457D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B4DDB660-8580-0A6B-0E18-A19F0D457D96}"/>
                        </a:ext>
                      </a:extLst>
                    </pic:cNvPr>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8167" t="29553" r="6982" b="17927"/>
                    <a:stretch>
                      <a:fillRect/>
                    </a:stretch>
                  </pic:blipFill>
                  <pic:spPr bwMode="auto">
                    <a:xfrm>
                      <a:off x="0" y="0"/>
                      <a:ext cx="5305425" cy="1513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5953" w:rsidRPr="000C1F7C">
        <w:rPr>
          <w:rFonts w:ascii="Times New Roman" w:hAnsi="Times New Roman" w:cs="Times New Roman"/>
          <w:szCs w:val="24"/>
        </w:rPr>
        <w:t>Contemporary</w:t>
      </w:r>
      <w:r w:rsidR="00DF5953" w:rsidRPr="0053328C">
        <w:rPr>
          <w:rFonts w:cstheme="majorBidi"/>
          <w:szCs w:val="24"/>
        </w:rPr>
        <w:t xml:space="preserve"> risk management frameworks emphasize that effective enterprise risk management requires integration between organizational governance strategic decision making and operational processes international standards such as the </w:t>
      </w:r>
      <w:r w:rsidR="0053328C">
        <w:rPr>
          <w:rFonts w:cstheme="majorBidi"/>
          <w:szCs w:val="24"/>
        </w:rPr>
        <w:t>COSO</w:t>
      </w:r>
      <w:r w:rsidR="00DF5953" w:rsidRPr="0053328C">
        <w:rPr>
          <w:rFonts w:cstheme="majorBidi"/>
          <w:szCs w:val="24"/>
        </w:rPr>
        <w:t xml:space="preserve"> enterprise risk management framework </w:t>
      </w:r>
      <w:r w:rsidR="0053328C">
        <w:rPr>
          <w:rFonts w:cstheme="majorBidi"/>
          <w:szCs w:val="24"/>
        </w:rPr>
        <w:t>(</w:t>
      </w:r>
      <w:r w:rsidR="00DF5953" w:rsidRPr="0053328C">
        <w:rPr>
          <w:rFonts w:cstheme="majorBidi"/>
          <w:szCs w:val="24"/>
        </w:rPr>
        <w:t>C</w:t>
      </w:r>
      <w:r w:rsidR="0053328C">
        <w:rPr>
          <w:rFonts w:cstheme="majorBidi"/>
          <w:szCs w:val="24"/>
        </w:rPr>
        <w:t>O</w:t>
      </w:r>
      <w:r w:rsidR="00DF5953" w:rsidRPr="0053328C">
        <w:rPr>
          <w:rFonts w:cstheme="majorBidi"/>
          <w:szCs w:val="24"/>
        </w:rPr>
        <w:t>SO</w:t>
      </w:r>
      <w:r w:rsidR="0053328C">
        <w:rPr>
          <w:rFonts w:cstheme="majorBidi"/>
          <w:szCs w:val="24"/>
        </w:rPr>
        <w:t>,</w:t>
      </w:r>
      <w:r w:rsidR="00DF5953" w:rsidRPr="0053328C">
        <w:rPr>
          <w:rFonts w:cstheme="majorBidi"/>
          <w:szCs w:val="24"/>
        </w:rPr>
        <w:t xml:space="preserve"> 2017</w:t>
      </w:r>
      <w:r w:rsidR="0053328C">
        <w:rPr>
          <w:rFonts w:cstheme="majorBidi"/>
          <w:szCs w:val="24"/>
        </w:rPr>
        <w:t xml:space="preserve">), </w:t>
      </w:r>
      <w:r w:rsidR="00DF5953" w:rsidRPr="0053328C">
        <w:rPr>
          <w:rFonts w:cstheme="majorBidi"/>
          <w:szCs w:val="24"/>
        </w:rPr>
        <w:t xml:space="preserve">ISO 31000 risk management guidelines </w:t>
      </w:r>
      <w:r w:rsidR="0053328C">
        <w:rPr>
          <w:rFonts w:cstheme="majorBidi"/>
          <w:szCs w:val="24"/>
        </w:rPr>
        <w:t>(</w:t>
      </w:r>
      <w:r w:rsidR="00DF5953" w:rsidRPr="0053328C">
        <w:rPr>
          <w:rFonts w:cstheme="majorBidi"/>
          <w:szCs w:val="24"/>
        </w:rPr>
        <w:t>ISO</w:t>
      </w:r>
      <w:r w:rsidR="0053328C">
        <w:rPr>
          <w:rFonts w:cstheme="majorBidi"/>
          <w:szCs w:val="24"/>
        </w:rPr>
        <w:t>,</w:t>
      </w:r>
      <w:r w:rsidR="00DF5953" w:rsidRPr="0053328C">
        <w:rPr>
          <w:rFonts w:cstheme="majorBidi"/>
          <w:szCs w:val="24"/>
        </w:rPr>
        <w:t xml:space="preserve"> 2018</w:t>
      </w:r>
      <w:r w:rsidR="0053328C">
        <w:rPr>
          <w:rFonts w:cstheme="majorBidi"/>
          <w:szCs w:val="24"/>
        </w:rPr>
        <w:t xml:space="preserve">), and OCEG’s </w:t>
      </w:r>
      <w:r w:rsidR="0053328C" w:rsidRPr="0053328C">
        <w:rPr>
          <w:rFonts w:cstheme="majorBidi"/>
          <w:szCs w:val="24"/>
        </w:rPr>
        <w:t>GRC Capability Model (OCEG Red Book)</w:t>
      </w:r>
      <w:r w:rsidR="00DF5953" w:rsidRPr="0053328C">
        <w:rPr>
          <w:rFonts w:cstheme="majorBidi"/>
          <w:szCs w:val="24"/>
        </w:rPr>
        <w:t xml:space="preserve"> highlight that risk management should not function as a standalone control activity but rather as an embedded organizational capability that supports value creation</w:t>
      </w:r>
      <w:r w:rsidR="0053328C">
        <w:rPr>
          <w:rFonts w:cstheme="majorBidi"/>
          <w:szCs w:val="24"/>
        </w:rPr>
        <w:t>,</w:t>
      </w:r>
      <w:r w:rsidR="00DF5953" w:rsidRPr="0053328C">
        <w:rPr>
          <w:rFonts w:cstheme="majorBidi"/>
          <w:szCs w:val="24"/>
        </w:rPr>
        <w:t xml:space="preserve"> strategic resilience</w:t>
      </w:r>
      <w:r w:rsidR="0053328C">
        <w:rPr>
          <w:rFonts w:cstheme="majorBidi"/>
          <w:szCs w:val="24"/>
        </w:rPr>
        <w:t>,</w:t>
      </w:r>
      <w:r w:rsidR="00DF5953" w:rsidRPr="0053328C">
        <w:rPr>
          <w:rFonts w:cstheme="majorBidi"/>
          <w:szCs w:val="24"/>
        </w:rPr>
        <w:t xml:space="preserve"> and informed </w:t>
      </w:r>
      <w:r w:rsidR="0053328C">
        <w:rPr>
          <w:rFonts w:cstheme="majorBidi"/>
          <w:szCs w:val="24"/>
        </w:rPr>
        <w:t xml:space="preserve">decision </w:t>
      </w:r>
      <w:r w:rsidR="00DF5953" w:rsidRPr="0053328C">
        <w:rPr>
          <w:rFonts w:cstheme="majorBidi"/>
          <w:szCs w:val="24"/>
        </w:rPr>
        <w:t>making</w:t>
      </w:r>
      <w:r w:rsidR="0053328C">
        <w:rPr>
          <w:rFonts w:cstheme="majorBidi"/>
          <w:szCs w:val="24"/>
        </w:rPr>
        <w:t>. T</w:t>
      </w:r>
      <w:r w:rsidR="00DF5953" w:rsidRPr="0053328C">
        <w:rPr>
          <w:rFonts w:cstheme="majorBidi"/>
          <w:szCs w:val="24"/>
        </w:rPr>
        <w:t>hese frameworks also stress the importance of communication</w:t>
      </w:r>
      <w:r w:rsidR="0053328C">
        <w:rPr>
          <w:rFonts w:cstheme="majorBidi"/>
          <w:szCs w:val="24"/>
        </w:rPr>
        <w:t>,</w:t>
      </w:r>
      <w:r w:rsidR="00DF5953" w:rsidRPr="0053328C">
        <w:rPr>
          <w:rFonts w:cstheme="majorBidi"/>
          <w:szCs w:val="24"/>
        </w:rPr>
        <w:t xml:space="preserve"> accountability</w:t>
      </w:r>
      <w:r w:rsidR="0053328C">
        <w:rPr>
          <w:rFonts w:cstheme="majorBidi"/>
          <w:szCs w:val="24"/>
        </w:rPr>
        <w:t>,</w:t>
      </w:r>
      <w:r w:rsidR="00DF5953" w:rsidRPr="0053328C">
        <w:rPr>
          <w:rFonts w:cstheme="majorBidi"/>
          <w:szCs w:val="24"/>
        </w:rPr>
        <w:t xml:space="preserve"> and organizational culture in shaping how risks are identified</w:t>
      </w:r>
      <w:r w:rsidR="0053328C">
        <w:rPr>
          <w:rFonts w:cstheme="majorBidi"/>
          <w:szCs w:val="24"/>
        </w:rPr>
        <w:t>,</w:t>
      </w:r>
      <w:r w:rsidR="00DF5953" w:rsidRPr="0053328C">
        <w:rPr>
          <w:rFonts w:cstheme="majorBidi"/>
          <w:szCs w:val="24"/>
        </w:rPr>
        <w:t xml:space="preserve"> assessed</w:t>
      </w:r>
      <w:r w:rsidR="0053328C">
        <w:rPr>
          <w:rFonts w:cstheme="majorBidi"/>
          <w:szCs w:val="24"/>
        </w:rPr>
        <w:t>,</w:t>
      </w:r>
      <w:r w:rsidR="00DF5953" w:rsidRPr="0053328C">
        <w:rPr>
          <w:rFonts w:cstheme="majorBidi"/>
          <w:szCs w:val="24"/>
        </w:rPr>
        <w:t xml:space="preserve"> and managed across all levels of the organization</w:t>
      </w:r>
    </w:p>
    <w:p w14:paraId="02DA6EFD" w14:textId="54C38E18" w:rsidR="00637E5F" w:rsidRPr="007E5B70" w:rsidRDefault="00637E5F" w:rsidP="00863FB5">
      <w:pPr>
        <w:pStyle w:val="Heading3"/>
      </w:pPr>
      <w:bookmarkStart w:id="18" w:name="_Toc223634758"/>
      <w:r w:rsidRPr="007E5B70">
        <w:t>1.9.</w:t>
      </w:r>
      <w:r w:rsidR="00240EB5" w:rsidRPr="007E5B70">
        <w:t>2</w:t>
      </w:r>
      <w:r w:rsidRPr="007E5B70">
        <w:t xml:space="preserve"> Enterprise Risk Management as an Integrated Governance System</w:t>
      </w:r>
      <w:bookmarkEnd w:id="18"/>
    </w:p>
    <w:p w14:paraId="58A830E0" w14:textId="72961617" w:rsidR="00637E5F"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Enterprise Risk Management (ERM) is conceptualized in contemporary governance theory as an integrated system designed to align risk identification, assessment, and response with strategic and operational objectives. Beyond compliance requirements, ERM functions as a coordination mechanism that connects leadership oversight with functional execution. Its effectiveness depends not only on formal structures but also on the degree to which risk-related responsibilities are internalized across organizational levels.</w:t>
      </w:r>
    </w:p>
    <w:p w14:paraId="6DDA2157" w14:textId="77777777" w:rsidR="00637E5F"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This study adopts the premise that ERM practices produce meaningful organizational impact when they influence behavioral patterns rather than remain confined to documentation or reporting routines.</w:t>
      </w:r>
    </w:p>
    <w:p w14:paraId="0BB48932" w14:textId="0E7313ED" w:rsidR="00637E5F" w:rsidRPr="007E5B70" w:rsidRDefault="00637E5F" w:rsidP="00863FB5">
      <w:pPr>
        <w:pStyle w:val="Heading3"/>
      </w:pPr>
      <w:bookmarkStart w:id="19" w:name="_Toc223634759"/>
      <w:r w:rsidRPr="007E5B70">
        <w:lastRenderedPageBreak/>
        <w:t>1.9.</w:t>
      </w:r>
      <w:r w:rsidR="00240EB5" w:rsidRPr="007E5B70">
        <w:t>3</w:t>
      </w:r>
      <w:r w:rsidRPr="007E5B70">
        <w:t xml:space="preserve"> Risk Culture as a Measurable Behavioral Construct</w:t>
      </w:r>
      <w:bookmarkEnd w:id="19"/>
    </w:p>
    <w:p w14:paraId="7280CDBD" w14:textId="77777777" w:rsidR="00637E5F"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Risk culture represents the shared values, norms, and behavioral expectations that shape how individuals perceive and respond to uncertainty. It manifests through observable dimensions such as:</w:t>
      </w:r>
    </w:p>
    <w:p w14:paraId="018FE3CF" w14:textId="77777777" w:rsidR="00637E5F" w:rsidRPr="00637E5F" w:rsidRDefault="00637E5F" w:rsidP="0023202D">
      <w:pPr>
        <w:pStyle w:val="ListParagraph"/>
        <w:numPr>
          <w:ilvl w:val="0"/>
          <w:numId w:val="3"/>
        </w:numPr>
        <w:spacing w:before="240" w:after="240"/>
        <w:rPr>
          <w:rFonts w:ascii="Times New Roman" w:hAnsi="Times New Roman" w:cs="Times New Roman"/>
          <w:szCs w:val="24"/>
        </w:rPr>
      </w:pPr>
      <w:r w:rsidRPr="00637E5F">
        <w:rPr>
          <w:rFonts w:ascii="Times New Roman" w:hAnsi="Times New Roman" w:cs="Times New Roman"/>
          <w:szCs w:val="24"/>
        </w:rPr>
        <w:t>Risk ownership</w:t>
      </w:r>
    </w:p>
    <w:p w14:paraId="49EFB236" w14:textId="77777777" w:rsidR="00637E5F" w:rsidRPr="00637E5F" w:rsidRDefault="00637E5F" w:rsidP="0023202D">
      <w:pPr>
        <w:pStyle w:val="ListParagraph"/>
        <w:numPr>
          <w:ilvl w:val="0"/>
          <w:numId w:val="3"/>
        </w:numPr>
        <w:spacing w:before="240" w:after="240"/>
        <w:rPr>
          <w:rFonts w:ascii="Times New Roman" w:hAnsi="Times New Roman" w:cs="Times New Roman"/>
          <w:szCs w:val="24"/>
        </w:rPr>
      </w:pPr>
      <w:r w:rsidRPr="00637E5F">
        <w:rPr>
          <w:rFonts w:ascii="Times New Roman" w:hAnsi="Times New Roman" w:cs="Times New Roman"/>
          <w:szCs w:val="24"/>
        </w:rPr>
        <w:t>Accountability for mitigation actions</w:t>
      </w:r>
    </w:p>
    <w:p w14:paraId="360EE443" w14:textId="77777777" w:rsidR="00637E5F" w:rsidRPr="00637E5F" w:rsidRDefault="00637E5F" w:rsidP="0023202D">
      <w:pPr>
        <w:pStyle w:val="ListParagraph"/>
        <w:numPr>
          <w:ilvl w:val="0"/>
          <w:numId w:val="3"/>
        </w:numPr>
        <w:spacing w:before="240" w:after="240"/>
        <w:rPr>
          <w:rFonts w:ascii="Times New Roman" w:hAnsi="Times New Roman" w:cs="Times New Roman"/>
          <w:szCs w:val="24"/>
        </w:rPr>
      </w:pPr>
      <w:r w:rsidRPr="00637E5F">
        <w:rPr>
          <w:rFonts w:ascii="Times New Roman" w:hAnsi="Times New Roman" w:cs="Times New Roman"/>
          <w:szCs w:val="24"/>
        </w:rPr>
        <w:t>Risk awareness</w:t>
      </w:r>
    </w:p>
    <w:p w14:paraId="020E97FF" w14:textId="77777777" w:rsidR="00637E5F" w:rsidRDefault="00637E5F" w:rsidP="0023202D">
      <w:pPr>
        <w:pStyle w:val="ListParagraph"/>
        <w:numPr>
          <w:ilvl w:val="0"/>
          <w:numId w:val="3"/>
        </w:numPr>
        <w:spacing w:before="240" w:after="240"/>
        <w:rPr>
          <w:rFonts w:ascii="Times New Roman" w:hAnsi="Times New Roman" w:cs="Times New Roman"/>
          <w:szCs w:val="24"/>
        </w:rPr>
      </w:pPr>
      <w:r w:rsidRPr="00637E5F">
        <w:rPr>
          <w:rFonts w:ascii="Times New Roman" w:hAnsi="Times New Roman" w:cs="Times New Roman"/>
          <w:szCs w:val="24"/>
        </w:rPr>
        <w:t>Proactive risk behavior</w:t>
      </w:r>
    </w:p>
    <w:p w14:paraId="1352B14D" w14:textId="77777777" w:rsidR="00637E5F"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This research assumes that risk culture can be operationalized and empirically measured through these behavioral dimensions. Cultural maturity is therefore assessed not by the existence of frameworks, but by the consistency of responsible risk-related behavior within the organization.</w:t>
      </w:r>
    </w:p>
    <w:p w14:paraId="5A279F14" w14:textId="205C861E" w:rsidR="00637E5F" w:rsidRPr="007E5B70" w:rsidRDefault="00637E5F" w:rsidP="00863FB5">
      <w:pPr>
        <w:pStyle w:val="Heading3"/>
      </w:pPr>
      <w:bookmarkStart w:id="20" w:name="_Toc223634760"/>
      <w:r w:rsidRPr="007E5B70">
        <w:t>1.9.</w:t>
      </w:r>
      <w:r w:rsidR="00240EB5" w:rsidRPr="007E5B70">
        <w:t>4</w:t>
      </w:r>
      <w:r w:rsidRPr="007E5B70">
        <w:t xml:space="preserve"> Participatory Governance and Bottom-Up Engagement</w:t>
      </w:r>
      <w:bookmarkEnd w:id="20"/>
    </w:p>
    <w:p w14:paraId="3E5D0235" w14:textId="77777777" w:rsidR="00637E5F"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Participatory governance theory suggests that involvement in structured processes enhances psychological ownership and strengthens perceived accountability. When individuals actively contribute to identifying and assessing risks, they develop a clearer understanding of risk exposure and a stronger sense of responsibility toward mitigation actions.</w:t>
      </w:r>
    </w:p>
    <w:p w14:paraId="014D3A39" w14:textId="77777777" w:rsidR="00637E5F"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Bottom-Up Risk Assessment (BURA) embodies this participatory principle by engaging functional representatives directly in the risk identification and evaluation process. The theoretical assumption underlying this study is that participation in BURA enhances internalization of risk responsibilities, thereby strengthening behavioral dimensions of risk culture.</w:t>
      </w:r>
    </w:p>
    <w:p w14:paraId="40931014" w14:textId="30D5037A" w:rsidR="00637E5F" w:rsidRPr="007E5B70" w:rsidRDefault="00637E5F" w:rsidP="00863FB5">
      <w:pPr>
        <w:pStyle w:val="Heading3"/>
      </w:pPr>
      <w:bookmarkStart w:id="21" w:name="_Toc223634761"/>
      <w:r w:rsidRPr="007E5B70">
        <w:t>1.9.</w:t>
      </w:r>
      <w:r w:rsidR="00240EB5" w:rsidRPr="007E5B70">
        <w:t>5</w:t>
      </w:r>
      <w:r w:rsidRPr="007E5B70">
        <w:t xml:space="preserve"> Leadership Reinforcement and Cultural Sustainability</w:t>
      </w:r>
      <w:bookmarkEnd w:id="21"/>
    </w:p>
    <w:p w14:paraId="4C1508DF" w14:textId="77777777" w:rsidR="00637E5F"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Leadership plays a central role in shaping and sustaining organizational culture. Tone at the top, communication consistency, and visible support for transparency influence how employees interpret and prioritize risk management practices.</w:t>
      </w:r>
    </w:p>
    <w:p w14:paraId="0226D8B1" w14:textId="77777777" w:rsidR="00637E5F"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This study adopts the premise that leadership support reinforces participatory governance mechanisms. While participation may initiate cultural change, sustained strengthening of risk culture requires managerial reinforcement and consistent signaling of accountability expectations.</w:t>
      </w:r>
    </w:p>
    <w:p w14:paraId="0D031FEC" w14:textId="6ACAF83D" w:rsidR="00637E5F" w:rsidRPr="007E5B70" w:rsidRDefault="00637E5F" w:rsidP="00863FB5">
      <w:pPr>
        <w:pStyle w:val="Heading3"/>
      </w:pPr>
      <w:bookmarkStart w:id="22" w:name="_Toc223634762"/>
      <w:r w:rsidRPr="007E5B70">
        <w:t>1.9.</w:t>
      </w:r>
      <w:r w:rsidR="00240EB5" w:rsidRPr="007E5B70">
        <w:t>6</w:t>
      </w:r>
      <w:r w:rsidRPr="007E5B70">
        <w:t xml:space="preserve"> Shared Services Structural Context</w:t>
      </w:r>
      <w:bookmarkEnd w:id="22"/>
    </w:p>
    <w:p w14:paraId="69F01DEC" w14:textId="77777777" w:rsidR="00637E5F"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Shared Services Organizations operate through centralized governance structures that support multiple functional domains under unified oversight. While such centralization enhances coordination and operational efficiency, it also increases interdependence across functions and may blur accountability boundaries.</w:t>
      </w:r>
    </w:p>
    <w:p w14:paraId="07380E75" w14:textId="77777777" w:rsidR="00637E5F"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lastRenderedPageBreak/>
        <w:t>The present study is conducted within one Shared Services Organization operating under this centralized model. Within such an environment, risk responsibilities are distributed across several functional areas, making clarity of ownership and accountability critical for effective governance. Structural complexity and cross-functional integration create conditions in which participatory mechanisms may play a particularly important role.</w:t>
      </w:r>
    </w:p>
    <w:p w14:paraId="25BD232C" w14:textId="7B7ABD6E" w:rsidR="00637E5F"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Accordingly, Bottom-Up Risk Assessment is theorized to function not only as a risk identification tool but also as a structural clarifier of responsibility. By directly engaging representatives from different functions in the risk assessment process, the mechanism may reduce diffusion of responsibility and contribute to strengthening measurable dimensions of risk culture within the organization under study.</w:t>
      </w:r>
    </w:p>
    <w:p w14:paraId="739BE6B0" w14:textId="3EEDE5E6" w:rsidR="00637E5F" w:rsidRPr="000E6659" w:rsidRDefault="00637E5F" w:rsidP="00863FB5">
      <w:pPr>
        <w:pStyle w:val="Heading2"/>
      </w:pPr>
      <w:bookmarkStart w:id="23" w:name="_Toc223634763"/>
      <w:r w:rsidRPr="000E6659">
        <w:t>1.10 Research Methodology and Design:</w:t>
      </w:r>
      <w:bookmarkEnd w:id="23"/>
    </w:p>
    <w:p w14:paraId="1C13FBB4" w14:textId="77777777" w:rsidR="00637E5F" w:rsidRPr="007E5B70" w:rsidRDefault="00637E5F" w:rsidP="00863FB5">
      <w:pPr>
        <w:pStyle w:val="Heading3"/>
      </w:pPr>
      <w:bookmarkStart w:id="24" w:name="_Toc223634764"/>
      <w:r w:rsidRPr="007E5B70">
        <w:t>1.10.1 Research Approach</w:t>
      </w:r>
      <w:bookmarkEnd w:id="24"/>
    </w:p>
    <w:p w14:paraId="42DD78B5" w14:textId="3884563B" w:rsidR="00637E5F"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 xml:space="preserve">This study adopts a quantitative, </w:t>
      </w:r>
      <w:r w:rsidR="009E3E9E" w:rsidRPr="00637E5F">
        <w:rPr>
          <w:rFonts w:ascii="Times New Roman" w:hAnsi="Times New Roman" w:cs="Times New Roman"/>
          <w:szCs w:val="24"/>
        </w:rPr>
        <w:t>explanatory</w:t>
      </w:r>
      <w:r w:rsidRPr="00637E5F">
        <w:rPr>
          <w:rFonts w:ascii="Times New Roman" w:hAnsi="Times New Roman" w:cs="Times New Roman"/>
          <w:szCs w:val="24"/>
        </w:rPr>
        <w:t xml:space="preserve"> approach to examine the relationship between participation in Bottom-Up Risk Assessment (BURA) and the enhancement of risk culture within one Shared Services Organization.</w:t>
      </w:r>
    </w:p>
    <w:p w14:paraId="01123582" w14:textId="77777777" w:rsidR="009E3E9E"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A cross-sectional survey design was employed, collecting data at a single point in time following the completion of the 2025 BURA cycle.</w:t>
      </w:r>
    </w:p>
    <w:p w14:paraId="4CC91E94" w14:textId="77777777" w:rsidR="009E3E9E" w:rsidRPr="007E5B70" w:rsidRDefault="00637E5F" w:rsidP="00863FB5">
      <w:pPr>
        <w:pStyle w:val="Heading3"/>
      </w:pPr>
      <w:bookmarkStart w:id="25" w:name="_Toc223634765"/>
      <w:r w:rsidRPr="007E5B70">
        <w:t>1.10.2 Research Instrument</w:t>
      </w:r>
      <w:bookmarkEnd w:id="25"/>
    </w:p>
    <w:p w14:paraId="7A5FD034" w14:textId="77777777" w:rsidR="009E3E9E"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 xml:space="preserve">Data </w:t>
      </w:r>
      <w:r w:rsidR="009E3E9E" w:rsidRPr="00637E5F">
        <w:rPr>
          <w:rFonts w:ascii="Times New Roman" w:hAnsi="Times New Roman" w:cs="Times New Roman"/>
          <w:szCs w:val="24"/>
        </w:rPr>
        <w:t>was</w:t>
      </w:r>
      <w:r w:rsidRPr="00637E5F">
        <w:rPr>
          <w:rFonts w:ascii="Times New Roman" w:hAnsi="Times New Roman" w:cs="Times New Roman"/>
          <w:szCs w:val="24"/>
        </w:rPr>
        <w:t xml:space="preserve"> collected through a structured questionnaire developed specifically for this research. The instrument was designed using a five-point Likert scale (1 = Strongly Disagree to 5 = Strongly Agree) to measure perceptions related to risk culture dimensions and leadership reinforcement.</w:t>
      </w:r>
    </w:p>
    <w:p w14:paraId="703DA85B" w14:textId="77777777" w:rsidR="009E3E9E"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 xml:space="preserve">Importantly, several items included in the research questionnaire were adapted from the organization’s Risk Maturity Model (RMM) </w:t>
      </w:r>
      <w:proofErr w:type="gramStart"/>
      <w:r w:rsidRPr="00637E5F">
        <w:rPr>
          <w:rFonts w:ascii="Times New Roman" w:hAnsi="Times New Roman" w:cs="Times New Roman"/>
          <w:szCs w:val="24"/>
        </w:rPr>
        <w:t>survey instrument</w:t>
      </w:r>
      <w:proofErr w:type="gramEnd"/>
      <w:r w:rsidRPr="00637E5F">
        <w:rPr>
          <w:rFonts w:ascii="Times New Roman" w:hAnsi="Times New Roman" w:cs="Times New Roman"/>
          <w:szCs w:val="24"/>
        </w:rPr>
        <w:t>, which has been administered internally in previous assessment cycles. The inclusion of partially validated items strengthens the content validity of the instrument and ensures contextual alignment with established governance evaluation practices within the organization.</w:t>
      </w:r>
    </w:p>
    <w:p w14:paraId="0B732D61" w14:textId="77777777" w:rsidR="009E3E9E"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Additional items were developed to measure participatory engagement in BURA and behavioral dimensions of risk culture, including ownership, accountability, awareness, and proactive behavior.</w:t>
      </w:r>
    </w:p>
    <w:p w14:paraId="581E449E" w14:textId="77777777" w:rsidR="009E3E9E" w:rsidRPr="007E5B70" w:rsidRDefault="00637E5F" w:rsidP="00863FB5">
      <w:pPr>
        <w:pStyle w:val="Heading3"/>
      </w:pPr>
      <w:bookmarkStart w:id="26" w:name="_Toc223634766"/>
      <w:r w:rsidRPr="007E5B70">
        <w:lastRenderedPageBreak/>
        <w:t>1.10.3 Population and Sampling</w:t>
      </w:r>
      <w:bookmarkEnd w:id="26"/>
    </w:p>
    <w:p w14:paraId="75526DCC" w14:textId="77777777" w:rsidR="009E3E9E"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The population of the study consists of approximately 1,300 employees within one centralized Shared Services Organization operating across six functional domains (GIT, GPS, FM, DT, CCS, and P&amp;C).</w:t>
      </w:r>
    </w:p>
    <w:p w14:paraId="76E9F45D" w14:textId="77777777" w:rsidR="009E3E9E"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A census-style distribution method was used, whereby the survey link was shared with the entire population. Participation was voluntary and anonymous.</w:t>
      </w:r>
    </w:p>
    <w:p w14:paraId="5BCE966A" w14:textId="77777777" w:rsidR="009E3E9E"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The study enables comparative analysis between employees who participated in the 2025 BURA exercise and those who did not participate.</w:t>
      </w:r>
    </w:p>
    <w:p w14:paraId="3BACB9FE" w14:textId="77777777" w:rsidR="009E3E9E" w:rsidRPr="007E5B70" w:rsidRDefault="00637E5F" w:rsidP="00863FB5">
      <w:pPr>
        <w:pStyle w:val="Heading3"/>
      </w:pPr>
      <w:bookmarkStart w:id="27" w:name="_Toc223634767"/>
      <w:r w:rsidRPr="007E5B70">
        <w:t>1.10.4 Data Collection Procedure</w:t>
      </w:r>
      <w:bookmarkEnd w:id="27"/>
    </w:p>
    <w:p w14:paraId="58A895D1" w14:textId="77777777" w:rsidR="009E3E9E"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 xml:space="preserve">The survey was distributed electronically through </w:t>
      </w:r>
      <w:r w:rsidR="009E3E9E">
        <w:rPr>
          <w:rFonts w:ascii="Times New Roman" w:hAnsi="Times New Roman" w:cs="Times New Roman"/>
          <w:szCs w:val="24"/>
        </w:rPr>
        <w:t xml:space="preserve">Microsoft Forms and </w:t>
      </w:r>
      <w:r w:rsidRPr="00637E5F">
        <w:rPr>
          <w:rFonts w:ascii="Times New Roman" w:hAnsi="Times New Roman" w:cs="Times New Roman"/>
          <w:szCs w:val="24"/>
        </w:rPr>
        <w:t>internal communication channels after completion of the 2025 BURA cycle. Participation was anonymous to ensure candid responses.</w:t>
      </w:r>
    </w:p>
    <w:p w14:paraId="50D80316" w14:textId="77777777" w:rsidR="009E3E9E"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The questionnaire consisted of four main sections:</w:t>
      </w:r>
    </w:p>
    <w:p w14:paraId="3F68E4EC" w14:textId="77777777" w:rsidR="009E3E9E" w:rsidRPr="009E3E9E" w:rsidRDefault="00637E5F" w:rsidP="0023202D">
      <w:pPr>
        <w:pStyle w:val="ListParagraph"/>
        <w:numPr>
          <w:ilvl w:val="0"/>
          <w:numId w:val="16"/>
        </w:numPr>
        <w:spacing w:before="240" w:after="240"/>
        <w:rPr>
          <w:rFonts w:ascii="Times New Roman" w:hAnsi="Times New Roman" w:cs="Times New Roman"/>
          <w:szCs w:val="24"/>
        </w:rPr>
      </w:pPr>
      <w:r w:rsidRPr="009E3E9E">
        <w:rPr>
          <w:rFonts w:ascii="Times New Roman" w:hAnsi="Times New Roman" w:cs="Times New Roman"/>
          <w:szCs w:val="24"/>
        </w:rPr>
        <w:t>Demographic Information</w:t>
      </w:r>
    </w:p>
    <w:p w14:paraId="13F9F5EE" w14:textId="77777777" w:rsidR="009E3E9E" w:rsidRPr="009E3E9E" w:rsidRDefault="00637E5F" w:rsidP="0023202D">
      <w:pPr>
        <w:pStyle w:val="ListParagraph"/>
        <w:numPr>
          <w:ilvl w:val="0"/>
          <w:numId w:val="16"/>
        </w:numPr>
        <w:spacing w:before="240" w:after="240"/>
        <w:rPr>
          <w:rFonts w:ascii="Times New Roman" w:hAnsi="Times New Roman" w:cs="Times New Roman"/>
          <w:szCs w:val="24"/>
        </w:rPr>
      </w:pPr>
      <w:r w:rsidRPr="009E3E9E">
        <w:rPr>
          <w:rFonts w:ascii="Times New Roman" w:hAnsi="Times New Roman" w:cs="Times New Roman"/>
          <w:szCs w:val="24"/>
        </w:rPr>
        <w:t>BURA Participation and Communication</w:t>
      </w:r>
    </w:p>
    <w:p w14:paraId="36249978" w14:textId="77777777" w:rsidR="009E3E9E" w:rsidRPr="009E3E9E" w:rsidRDefault="00637E5F" w:rsidP="0023202D">
      <w:pPr>
        <w:pStyle w:val="ListParagraph"/>
        <w:numPr>
          <w:ilvl w:val="0"/>
          <w:numId w:val="16"/>
        </w:numPr>
        <w:spacing w:before="240" w:after="240"/>
        <w:rPr>
          <w:rFonts w:ascii="Times New Roman" w:hAnsi="Times New Roman" w:cs="Times New Roman"/>
          <w:szCs w:val="24"/>
        </w:rPr>
      </w:pPr>
      <w:r w:rsidRPr="009E3E9E">
        <w:rPr>
          <w:rFonts w:ascii="Times New Roman" w:hAnsi="Times New Roman" w:cs="Times New Roman"/>
          <w:szCs w:val="24"/>
        </w:rPr>
        <w:t>Risk Culture Dimensions</w:t>
      </w:r>
    </w:p>
    <w:p w14:paraId="2B986832" w14:textId="77777777" w:rsidR="009E3E9E" w:rsidRPr="009E3E9E" w:rsidRDefault="00637E5F" w:rsidP="0023202D">
      <w:pPr>
        <w:pStyle w:val="ListParagraph"/>
        <w:numPr>
          <w:ilvl w:val="0"/>
          <w:numId w:val="16"/>
        </w:numPr>
        <w:spacing w:before="240" w:after="240"/>
        <w:rPr>
          <w:rFonts w:ascii="Times New Roman" w:hAnsi="Times New Roman" w:cs="Times New Roman"/>
          <w:szCs w:val="24"/>
        </w:rPr>
      </w:pPr>
      <w:r w:rsidRPr="009E3E9E">
        <w:rPr>
          <w:rFonts w:ascii="Times New Roman" w:hAnsi="Times New Roman" w:cs="Times New Roman"/>
          <w:szCs w:val="24"/>
        </w:rPr>
        <w:t>Leadership Support</w:t>
      </w:r>
    </w:p>
    <w:p w14:paraId="77E0A9BC" w14:textId="77777777" w:rsidR="009E3E9E"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No confidential operational or financial data were collected.</w:t>
      </w:r>
    </w:p>
    <w:p w14:paraId="64B8A896" w14:textId="1B286613" w:rsidR="009E3E9E" w:rsidRPr="007E5B70" w:rsidRDefault="00637E5F" w:rsidP="00863FB5">
      <w:pPr>
        <w:pStyle w:val="Heading3"/>
      </w:pPr>
      <w:bookmarkStart w:id="28" w:name="_Toc223634768"/>
      <w:r w:rsidRPr="007E5B70">
        <w:t>1.10.5 Statistical Analysis</w:t>
      </w:r>
      <w:bookmarkEnd w:id="28"/>
    </w:p>
    <w:p w14:paraId="57813CFA" w14:textId="77777777" w:rsidR="009E3E9E" w:rsidRDefault="00637E5F" w:rsidP="000C1F7C">
      <w:pPr>
        <w:spacing w:line="360" w:lineRule="auto"/>
        <w:rPr>
          <w:rFonts w:ascii="Times New Roman" w:hAnsi="Times New Roman" w:cs="Times New Roman"/>
          <w:szCs w:val="24"/>
        </w:rPr>
      </w:pPr>
      <w:r w:rsidRPr="00637E5F">
        <w:rPr>
          <w:rFonts w:ascii="Times New Roman" w:hAnsi="Times New Roman" w:cs="Times New Roman"/>
          <w:szCs w:val="24"/>
        </w:rPr>
        <w:t>Data analysis was conducted using statistical software tools to perform both descriptive and inferential analysis. The following procedures were applied:</w:t>
      </w:r>
    </w:p>
    <w:p w14:paraId="45F73B7D" w14:textId="77777777" w:rsidR="009E3E9E" w:rsidRPr="009E3E9E" w:rsidRDefault="00637E5F" w:rsidP="0023202D">
      <w:pPr>
        <w:pStyle w:val="ListParagraph"/>
        <w:numPr>
          <w:ilvl w:val="0"/>
          <w:numId w:val="4"/>
        </w:numPr>
        <w:spacing w:before="240" w:after="240"/>
        <w:ind w:left="720"/>
        <w:rPr>
          <w:rFonts w:ascii="Times New Roman" w:hAnsi="Times New Roman" w:cs="Times New Roman"/>
          <w:szCs w:val="24"/>
        </w:rPr>
      </w:pPr>
      <w:r w:rsidRPr="009E3E9E">
        <w:rPr>
          <w:rFonts w:ascii="Times New Roman" w:hAnsi="Times New Roman" w:cs="Times New Roman"/>
          <w:szCs w:val="24"/>
        </w:rPr>
        <w:t>Descriptive statistics (mean, standard deviation, frequency distribution)</w:t>
      </w:r>
    </w:p>
    <w:p w14:paraId="76998B6D" w14:textId="77777777" w:rsidR="009E3E9E" w:rsidRPr="009E3E9E" w:rsidRDefault="00637E5F" w:rsidP="0023202D">
      <w:pPr>
        <w:pStyle w:val="ListParagraph"/>
        <w:numPr>
          <w:ilvl w:val="0"/>
          <w:numId w:val="4"/>
        </w:numPr>
        <w:spacing w:before="240" w:after="240"/>
        <w:ind w:left="720"/>
        <w:rPr>
          <w:rFonts w:ascii="Times New Roman" w:hAnsi="Times New Roman" w:cs="Times New Roman"/>
          <w:szCs w:val="24"/>
        </w:rPr>
      </w:pPr>
      <w:r w:rsidRPr="009E3E9E">
        <w:rPr>
          <w:rFonts w:ascii="Times New Roman" w:hAnsi="Times New Roman" w:cs="Times New Roman"/>
          <w:szCs w:val="24"/>
        </w:rPr>
        <w:t>Reliability testing using Cronbach’s Alpha</w:t>
      </w:r>
    </w:p>
    <w:p w14:paraId="1CC478C3" w14:textId="77777777" w:rsidR="009E3E9E" w:rsidRPr="009E3E9E" w:rsidRDefault="00637E5F" w:rsidP="0023202D">
      <w:pPr>
        <w:pStyle w:val="ListParagraph"/>
        <w:numPr>
          <w:ilvl w:val="0"/>
          <w:numId w:val="4"/>
        </w:numPr>
        <w:spacing w:before="240" w:after="240"/>
        <w:ind w:left="720"/>
        <w:rPr>
          <w:rFonts w:ascii="Times New Roman" w:hAnsi="Times New Roman" w:cs="Times New Roman"/>
          <w:szCs w:val="24"/>
        </w:rPr>
      </w:pPr>
      <w:r w:rsidRPr="009E3E9E">
        <w:rPr>
          <w:rFonts w:ascii="Times New Roman" w:hAnsi="Times New Roman" w:cs="Times New Roman"/>
          <w:szCs w:val="24"/>
        </w:rPr>
        <w:t>Independent sample t-tests to compare BURA participants and non-participants</w:t>
      </w:r>
    </w:p>
    <w:p w14:paraId="5B34F888" w14:textId="77777777" w:rsidR="009E3E9E" w:rsidRPr="009E3E9E" w:rsidRDefault="00637E5F" w:rsidP="0023202D">
      <w:pPr>
        <w:pStyle w:val="ListParagraph"/>
        <w:numPr>
          <w:ilvl w:val="0"/>
          <w:numId w:val="4"/>
        </w:numPr>
        <w:spacing w:before="240" w:after="240"/>
        <w:ind w:left="720"/>
        <w:rPr>
          <w:rFonts w:ascii="Times New Roman" w:hAnsi="Times New Roman" w:cs="Times New Roman"/>
          <w:szCs w:val="24"/>
        </w:rPr>
      </w:pPr>
      <w:r w:rsidRPr="009E3E9E">
        <w:rPr>
          <w:rFonts w:ascii="Times New Roman" w:hAnsi="Times New Roman" w:cs="Times New Roman"/>
          <w:szCs w:val="24"/>
        </w:rPr>
        <w:t>Correlation analysis to examine relationships among variables</w:t>
      </w:r>
    </w:p>
    <w:p w14:paraId="2E01D460" w14:textId="77777777" w:rsidR="009E3E9E" w:rsidRDefault="00637E5F" w:rsidP="0023202D">
      <w:pPr>
        <w:pStyle w:val="ListParagraph"/>
        <w:numPr>
          <w:ilvl w:val="0"/>
          <w:numId w:val="4"/>
        </w:numPr>
        <w:spacing w:before="240" w:after="240"/>
        <w:ind w:left="720"/>
        <w:rPr>
          <w:rFonts w:ascii="Times New Roman" w:hAnsi="Times New Roman" w:cs="Times New Roman"/>
          <w:szCs w:val="24"/>
        </w:rPr>
      </w:pPr>
      <w:r w:rsidRPr="009E3E9E">
        <w:rPr>
          <w:rFonts w:ascii="Times New Roman" w:hAnsi="Times New Roman" w:cs="Times New Roman"/>
          <w:szCs w:val="24"/>
        </w:rPr>
        <w:t>Regression analysis to test the proposed hypotheses</w:t>
      </w:r>
    </w:p>
    <w:p w14:paraId="70F8A733" w14:textId="5BA98F98" w:rsidR="00637E5F" w:rsidRPr="009E3E9E" w:rsidRDefault="00637E5F" w:rsidP="000C1F7C">
      <w:pPr>
        <w:spacing w:line="360" w:lineRule="auto"/>
        <w:rPr>
          <w:rFonts w:ascii="Times New Roman" w:hAnsi="Times New Roman" w:cs="Times New Roman"/>
          <w:szCs w:val="24"/>
        </w:rPr>
      </w:pPr>
      <w:r w:rsidRPr="009E3E9E">
        <w:rPr>
          <w:rFonts w:ascii="Times New Roman" w:hAnsi="Times New Roman" w:cs="Times New Roman"/>
          <w:szCs w:val="24"/>
        </w:rPr>
        <w:t>All statistical tests were conducted at a 95% confidence level.</w:t>
      </w:r>
    </w:p>
    <w:p w14:paraId="498731D3" w14:textId="628F3C33" w:rsidR="009E3E9E" w:rsidRPr="000E6659" w:rsidRDefault="009E3E9E" w:rsidP="00863FB5">
      <w:pPr>
        <w:pStyle w:val="Heading2"/>
      </w:pPr>
      <w:bookmarkStart w:id="29" w:name="_Toc223634769"/>
      <w:r w:rsidRPr="000E6659">
        <w:lastRenderedPageBreak/>
        <w:t>1.11 Data Sources:</w:t>
      </w:r>
      <w:bookmarkEnd w:id="29"/>
    </w:p>
    <w:p w14:paraId="7CEACC96" w14:textId="77777777" w:rsidR="009E3E9E" w:rsidRPr="007E5B70" w:rsidRDefault="009E3E9E" w:rsidP="00863FB5">
      <w:pPr>
        <w:pStyle w:val="Heading3"/>
      </w:pPr>
      <w:bookmarkStart w:id="30" w:name="_Toc223634770"/>
      <w:r w:rsidRPr="007E5B70">
        <w:t>1.11.1 Primary Data Sources</w:t>
      </w:r>
      <w:bookmarkEnd w:id="30"/>
    </w:p>
    <w:p w14:paraId="253B3F7E" w14:textId="77777777" w:rsidR="009E3E9E" w:rsidRDefault="009E3E9E" w:rsidP="000C1F7C">
      <w:pPr>
        <w:spacing w:line="360" w:lineRule="auto"/>
        <w:rPr>
          <w:rFonts w:ascii="Times New Roman" w:hAnsi="Times New Roman" w:cs="Times New Roman"/>
          <w:szCs w:val="24"/>
        </w:rPr>
      </w:pPr>
      <w:r w:rsidRPr="009E3E9E">
        <w:rPr>
          <w:rFonts w:ascii="Times New Roman" w:hAnsi="Times New Roman" w:cs="Times New Roman"/>
          <w:szCs w:val="24"/>
        </w:rPr>
        <w:t>The primary data for this study were collected through a structured questionnaire distributed to employees within one Shared Services Organization following completion of the 2025 Bottom-Up Risk Assessment (BURA) cycle.</w:t>
      </w:r>
    </w:p>
    <w:p w14:paraId="4F4ECA18" w14:textId="77777777" w:rsidR="009E3E9E" w:rsidRDefault="009E3E9E" w:rsidP="000C1F7C">
      <w:pPr>
        <w:spacing w:line="360" w:lineRule="auto"/>
        <w:rPr>
          <w:rFonts w:ascii="Times New Roman" w:hAnsi="Times New Roman" w:cs="Times New Roman"/>
          <w:szCs w:val="24"/>
        </w:rPr>
      </w:pPr>
      <w:r w:rsidRPr="009E3E9E">
        <w:rPr>
          <w:rFonts w:ascii="Times New Roman" w:hAnsi="Times New Roman" w:cs="Times New Roman"/>
          <w:szCs w:val="24"/>
        </w:rPr>
        <w:t>The questionnaire included items designed to measure:</w:t>
      </w:r>
    </w:p>
    <w:p w14:paraId="0FDA8E4D" w14:textId="77777777" w:rsidR="009E3E9E" w:rsidRPr="009E3E9E" w:rsidRDefault="009E3E9E" w:rsidP="0023202D">
      <w:pPr>
        <w:pStyle w:val="ListParagraph"/>
        <w:numPr>
          <w:ilvl w:val="0"/>
          <w:numId w:val="5"/>
        </w:numPr>
        <w:spacing w:before="240" w:after="240"/>
        <w:rPr>
          <w:rFonts w:ascii="Times New Roman" w:hAnsi="Times New Roman" w:cs="Times New Roman"/>
          <w:szCs w:val="24"/>
        </w:rPr>
      </w:pPr>
      <w:r w:rsidRPr="009E3E9E">
        <w:rPr>
          <w:rFonts w:ascii="Times New Roman" w:hAnsi="Times New Roman" w:cs="Times New Roman"/>
          <w:szCs w:val="24"/>
        </w:rPr>
        <w:t>Participation in BURA</w:t>
      </w:r>
    </w:p>
    <w:p w14:paraId="6AE7A6BE" w14:textId="77777777" w:rsidR="009E3E9E" w:rsidRPr="009E3E9E" w:rsidRDefault="009E3E9E" w:rsidP="0023202D">
      <w:pPr>
        <w:pStyle w:val="ListParagraph"/>
        <w:numPr>
          <w:ilvl w:val="0"/>
          <w:numId w:val="5"/>
        </w:numPr>
        <w:spacing w:before="240" w:after="240"/>
        <w:rPr>
          <w:rFonts w:ascii="Times New Roman" w:hAnsi="Times New Roman" w:cs="Times New Roman"/>
          <w:szCs w:val="24"/>
        </w:rPr>
      </w:pPr>
      <w:r w:rsidRPr="009E3E9E">
        <w:rPr>
          <w:rFonts w:ascii="Times New Roman" w:hAnsi="Times New Roman" w:cs="Times New Roman"/>
          <w:szCs w:val="24"/>
        </w:rPr>
        <w:t>Perceptions of risk culture</w:t>
      </w:r>
    </w:p>
    <w:p w14:paraId="25B4C016" w14:textId="77777777" w:rsidR="009E3E9E" w:rsidRPr="009E3E9E" w:rsidRDefault="009E3E9E" w:rsidP="0023202D">
      <w:pPr>
        <w:pStyle w:val="ListParagraph"/>
        <w:numPr>
          <w:ilvl w:val="0"/>
          <w:numId w:val="5"/>
        </w:numPr>
        <w:spacing w:before="240" w:after="240"/>
        <w:rPr>
          <w:rFonts w:ascii="Times New Roman" w:hAnsi="Times New Roman" w:cs="Times New Roman"/>
          <w:szCs w:val="24"/>
        </w:rPr>
      </w:pPr>
      <w:r w:rsidRPr="009E3E9E">
        <w:rPr>
          <w:rFonts w:ascii="Times New Roman" w:hAnsi="Times New Roman" w:cs="Times New Roman"/>
          <w:szCs w:val="24"/>
        </w:rPr>
        <w:t>Leadership reinforcement</w:t>
      </w:r>
    </w:p>
    <w:p w14:paraId="626677A1" w14:textId="77777777" w:rsidR="00443DE6" w:rsidRDefault="009E3E9E" w:rsidP="000C1F7C">
      <w:pPr>
        <w:spacing w:line="360" w:lineRule="auto"/>
        <w:rPr>
          <w:rFonts w:ascii="Times New Roman" w:hAnsi="Times New Roman" w:cs="Times New Roman"/>
          <w:szCs w:val="24"/>
        </w:rPr>
      </w:pPr>
      <w:r w:rsidRPr="009E3E9E">
        <w:rPr>
          <w:rFonts w:ascii="Times New Roman" w:hAnsi="Times New Roman" w:cs="Times New Roman"/>
          <w:szCs w:val="24"/>
        </w:rPr>
        <w:t>Several items were adapted from the organization’s Risk Maturity Model (RMM) survey instrument, which has been administered internally across multiple assessment cycles. The use of partially validated RMM items enhances the contextual relevance and content validity of the research instrument.</w:t>
      </w:r>
    </w:p>
    <w:p w14:paraId="23467F18" w14:textId="187BD9FD" w:rsidR="009E3E9E" w:rsidRDefault="009E3E9E" w:rsidP="000C1F7C">
      <w:pPr>
        <w:spacing w:line="360" w:lineRule="auto"/>
        <w:rPr>
          <w:rFonts w:ascii="Times New Roman" w:hAnsi="Times New Roman" w:cs="Times New Roman"/>
          <w:szCs w:val="24"/>
        </w:rPr>
      </w:pPr>
      <w:r w:rsidRPr="009E3E9E">
        <w:rPr>
          <w:rFonts w:ascii="Times New Roman" w:hAnsi="Times New Roman" w:cs="Times New Roman"/>
          <w:szCs w:val="24"/>
        </w:rPr>
        <w:t>All primary data were collected electronically through an anonymous survey to ensure unbiased and candid responses.</w:t>
      </w:r>
    </w:p>
    <w:p w14:paraId="7A7061C4" w14:textId="77777777" w:rsidR="009E3E9E" w:rsidRPr="007E5B70" w:rsidRDefault="009E3E9E" w:rsidP="00863FB5">
      <w:pPr>
        <w:pStyle w:val="Heading3"/>
      </w:pPr>
      <w:bookmarkStart w:id="31" w:name="_Toc223634771"/>
      <w:r w:rsidRPr="007E5B70">
        <w:t>1.11.2 Secondary Data Sources</w:t>
      </w:r>
      <w:bookmarkEnd w:id="31"/>
    </w:p>
    <w:p w14:paraId="5991FDC3" w14:textId="77777777" w:rsidR="009E3E9E" w:rsidRDefault="009E3E9E" w:rsidP="000C1F7C">
      <w:pPr>
        <w:spacing w:line="360" w:lineRule="auto"/>
        <w:rPr>
          <w:rFonts w:ascii="Times New Roman" w:hAnsi="Times New Roman" w:cs="Times New Roman"/>
          <w:szCs w:val="24"/>
        </w:rPr>
      </w:pPr>
      <w:r w:rsidRPr="009E3E9E">
        <w:rPr>
          <w:rFonts w:ascii="Times New Roman" w:hAnsi="Times New Roman" w:cs="Times New Roman"/>
          <w:szCs w:val="24"/>
        </w:rPr>
        <w:t>Secondary data sources consisted of peer-reviewed academic journal articles, published Arabic and English studies, governance frameworks, and scholarly literature related to Enterprise Risk Management, risk culture, participatory governance, and leadership reinforcement.</w:t>
      </w:r>
    </w:p>
    <w:p w14:paraId="175BAA30" w14:textId="77777777" w:rsidR="009E3E9E" w:rsidRDefault="009E3E9E" w:rsidP="000C1F7C">
      <w:pPr>
        <w:spacing w:line="360" w:lineRule="auto"/>
        <w:rPr>
          <w:rFonts w:ascii="Times New Roman" w:hAnsi="Times New Roman" w:cs="Times New Roman"/>
          <w:szCs w:val="24"/>
        </w:rPr>
      </w:pPr>
      <w:r w:rsidRPr="009E3E9E">
        <w:rPr>
          <w:rFonts w:ascii="Times New Roman" w:hAnsi="Times New Roman" w:cs="Times New Roman"/>
          <w:szCs w:val="24"/>
        </w:rPr>
        <w:t>A total of nineteen English Q1/Q2 journal articles and four Arabic studies were reviewed to establish the theoretical and empirical foundation of the study. These sources provided conceptual grounding, measurement insights, and identification of research gaps relevant to participatory ERM mechanisms within complex organizational structures.</w:t>
      </w:r>
    </w:p>
    <w:p w14:paraId="266CCB5A" w14:textId="77777777" w:rsidR="00851FF2" w:rsidRPr="000E6659" w:rsidRDefault="00851FF2" w:rsidP="00863FB5">
      <w:pPr>
        <w:pStyle w:val="Heading2"/>
      </w:pPr>
      <w:bookmarkStart w:id="32" w:name="_Toc223634772"/>
      <w:r w:rsidRPr="000E6659">
        <w:t>1.12 Study Instrument:</w:t>
      </w:r>
      <w:bookmarkEnd w:id="32"/>
    </w:p>
    <w:p w14:paraId="3E62786D" w14:textId="77777777" w:rsidR="00960B12" w:rsidRPr="00960B12" w:rsidRDefault="00960B12" w:rsidP="000C1F7C">
      <w:pPr>
        <w:spacing w:line="360" w:lineRule="auto"/>
        <w:rPr>
          <w:rFonts w:ascii="Times New Roman" w:hAnsi="Times New Roman" w:cs="Times New Roman"/>
          <w:szCs w:val="24"/>
        </w:rPr>
      </w:pPr>
      <w:r w:rsidRPr="00960B12">
        <w:rPr>
          <w:rFonts w:ascii="Times New Roman" w:hAnsi="Times New Roman" w:cs="Times New Roman"/>
          <w:szCs w:val="24"/>
        </w:rPr>
        <w:t>The study instrument consisted of a structured questionnaire developed to examine the relationship between participation in Bottom-Up Risk Assessment (BURA) and the enhancement of risk culture within the Shared Services Organization under study.</w:t>
      </w:r>
    </w:p>
    <w:p w14:paraId="73BC06F1" w14:textId="77777777" w:rsidR="00960B12" w:rsidRDefault="00960B12" w:rsidP="000C1F7C">
      <w:pPr>
        <w:spacing w:line="360" w:lineRule="auto"/>
        <w:rPr>
          <w:rFonts w:ascii="Times New Roman" w:hAnsi="Times New Roman" w:cs="Times New Roman"/>
          <w:szCs w:val="24"/>
        </w:rPr>
      </w:pPr>
      <w:r w:rsidRPr="00960B12">
        <w:rPr>
          <w:rFonts w:ascii="Times New Roman" w:hAnsi="Times New Roman" w:cs="Times New Roman"/>
          <w:szCs w:val="24"/>
        </w:rPr>
        <w:t>The questionnaire was designed in alignment with the conceptual model and research hypotheses. It comprised four main sections and utilized a five-point Likert scale for attitudinal items.</w:t>
      </w:r>
    </w:p>
    <w:p w14:paraId="409BCCD7" w14:textId="35A58186" w:rsidR="00851FF2" w:rsidRPr="007E5B70" w:rsidRDefault="00851FF2" w:rsidP="00863FB5">
      <w:pPr>
        <w:pStyle w:val="Heading3"/>
      </w:pPr>
      <w:bookmarkStart w:id="33" w:name="_Toc223634773"/>
      <w:r w:rsidRPr="007E5B70">
        <w:lastRenderedPageBreak/>
        <w:t xml:space="preserve">1.12.1 Section </w:t>
      </w:r>
      <w:r w:rsidR="005C0373">
        <w:t>1</w:t>
      </w:r>
      <w:r w:rsidRPr="007E5B70">
        <w:t>: Demographic Information</w:t>
      </w:r>
      <w:bookmarkEnd w:id="33"/>
    </w:p>
    <w:p w14:paraId="3E24FEBC" w14:textId="77777777" w:rsidR="00851FF2" w:rsidRDefault="00851FF2" w:rsidP="000C1F7C">
      <w:pPr>
        <w:spacing w:line="360" w:lineRule="auto"/>
        <w:rPr>
          <w:rFonts w:ascii="Times New Roman" w:hAnsi="Times New Roman" w:cs="Times New Roman"/>
          <w:szCs w:val="24"/>
        </w:rPr>
      </w:pPr>
      <w:r w:rsidRPr="00851FF2">
        <w:rPr>
          <w:rFonts w:ascii="Times New Roman" w:hAnsi="Times New Roman" w:cs="Times New Roman"/>
          <w:szCs w:val="24"/>
        </w:rPr>
        <w:t>This section collected general information about respondents, including:</w:t>
      </w:r>
    </w:p>
    <w:p w14:paraId="141ADD4A" w14:textId="77777777" w:rsidR="00851FF2" w:rsidRPr="00851FF2" w:rsidRDefault="00851FF2" w:rsidP="0023202D">
      <w:pPr>
        <w:pStyle w:val="ListParagraph"/>
        <w:numPr>
          <w:ilvl w:val="0"/>
          <w:numId w:val="6"/>
        </w:numPr>
        <w:spacing w:before="240" w:after="240"/>
        <w:ind w:left="720"/>
        <w:rPr>
          <w:rFonts w:ascii="Times New Roman" w:hAnsi="Times New Roman" w:cs="Times New Roman"/>
          <w:szCs w:val="24"/>
        </w:rPr>
      </w:pPr>
      <w:r w:rsidRPr="00851FF2">
        <w:rPr>
          <w:rFonts w:ascii="Times New Roman" w:hAnsi="Times New Roman" w:cs="Times New Roman"/>
          <w:szCs w:val="24"/>
        </w:rPr>
        <w:t>Shared Services function</w:t>
      </w:r>
    </w:p>
    <w:p w14:paraId="767659D6" w14:textId="77777777" w:rsidR="00851FF2" w:rsidRDefault="00851FF2" w:rsidP="0023202D">
      <w:pPr>
        <w:pStyle w:val="ListParagraph"/>
        <w:numPr>
          <w:ilvl w:val="0"/>
          <w:numId w:val="6"/>
        </w:numPr>
        <w:spacing w:before="240" w:after="240"/>
        <w:ind w:left="720"/>
        <w:rPr>
          <w:rFonts w:ascii="Times New Roman" w:hAnsi="Times New Roman" w:cs="Times New Roman"/>
          <w:szCs w:val="24"/>
        </w:rPr>
      </w:pPr>
      <w:r w:rsidRPr="00851FF2">
        <w:rPr>
          <w:rFonts w:ascii="Times New Roman" w:hAnsi="Times New Roman" w:cs="Times New Roman"/>
          <w:szCs w:val="24"/>
        </w:rPr>
        <w:t>Organizational level (L2, L3, L4, L5/L6)</w:t>
      </w:r>
    </w:p>
    <w:p w14:paraId="0EE77159" w14:textId="3C7B7BC9" w:rsidR="00851FF2" w:rsidRDefault="00851FF2" w:rsidP="0023202D">
      <w:pPr>
        <w:pStyle w:val="ListParagraph"/>
        <w:numPr>
          <w:ilvl w:val="0"/>
          <w:numId w:val="6"/>
        </w:numPr>
        <w:spacing w:before="240" w:after="240"/>
        <w:ind w:left="720"/>
        <w:rPr>
          <w:rFonts w:ascii="Times New Roman" w:hAnsi="Times New Roman" w:cs="Times New Roman"/>
          <w:szCs w:val="24"/>
        </w:rPr>
      </w:pPr>
      <w:r>
        <w:rPr>
          <w:rFonts w:ascii="Times New Roman" w:hAnsi="Times New Roman" w:cs="Times New Roman"/>
          <w:szCs w:val="24"/>
        </w:rPr>
        <w:t>Years in SS Organization</w:t>
      </w:r>
    </w:p>
    <w:p w14:paraId="21ABEAA0" w14:textId="77777777" w:rsidR="00960B12" w:rsidRDefault="00851FF2" w:rsidP="0023202D">
      <w:pPr>
        <w:pStyle w:val="ListParagraph"/>
        <w:numPr>
          <w:ilvl w:val="0"/>
          <w:numId w:val="6"/>
        </w:numPr>
        <w:spacing w:before="240" w:after="240"/>
        <w:ind w:left="720"/>
        <w:rPr>
          <w:rFonts w:ascii="Times New Roman" w:hAnsi="Times New Roman" w:cs="Times New Roman"/>
          <w:szCs w:val="24"/>
        </w:rPr>
      </w:pPr>
      <w:r w:rsidRPr="00851FF2">
        <w:rPr>
          <w:rFonts w:ascii="Times New Roman" w:hAnsi="Times New Roman" w:cs="Times New Roman"/>
          <w:szCs w:val="24"/>
        </w:rPr>
        <w:t>Participation status (Yes/No)</w:t>
      </w:r>
    </w:p>
    <w:p w14:paraId="119F787E" w14:textId="09872BE7" w:rsidR="00960B12" w:rsidRPr="00960B12" w:rsidRDefault="00960B12" w:rsidP="000C1F7C">
      <w:pPr>
        <w:spacing w:line="360" w:lineRule="auto"/>
        <w:rPr>
          <w:rFonts w:ascii="Times New Roman" w:hAnsi="Times New Roman" w:cs="Times New Roman"/>
          <w:szCs w:val="24"/>
        </w:rPr>
      </w:pPr>
      <w:r w:rsidRPr="00960B12">
        <w:rPr>
          <w:rFonts w:ascii="Times New Roman" w:hAnsi="Times New Roman" w:cs="Times New Roman"/>
          <w:szCs w:val="24"/>
        </w:rPr>
        <w:t>These variables were included for descriptive purposes to provide an overview of the distribution of respondents across functions and hierarchical levels. Organizational level was not used as an inferential variable in hypothesis testing, due to observed inconsistencies in self-reported responses.</w:t>
      </w:r>
    </w:p>
    <w:p w14:paraId="10E1B07B" w14:textId="45816F81" w:rsidR="00851FF2" w:rsidRDefault="00851FF2" w:rsidP="000C1F7C">
      <w:pPr>
        <w:spacing w:line="360" w:lineRule="auto"/>
        <w:rPr>
          <w:rFonts w:ascii="Times New Roman" w:hAnsi="Times New Roman" w:cs="Times New Roman"/>
          <w:szCs w:val="24"/>
        </w:rPr>
      </w:pPr>
      <w:r w:rsidRPr="00851FF2">
        <w:rPr>
          <w:rFonts w:ascii="Times New Roman" w:hAnsi="Times New Roman" w:cs="Times New Roman"/>
          <w:szCs w:val="24"/>
        </w:rPr>
        <w:t>No personally identifiable information was collected.</w:t>
      </w:r>
    </w:p>
    <w:p w14:paraId="1A995EDA" w14:textId="67F95AB8" w:rsidR="00851FF2" w:rsidRPr="007E5B70" w:rsidRDefault="00851FF2" w:rsidP="00863FB5">
      <w:pPr>
        <w:pStyle w:val="Heading3"/>
      </w:pPr>
      <w:bookmarkStart w:id="34" w:name="_Toc223634774"/>
      <w:r w:rsidRPr="007E5B70">
        <w:t xml:space="preserve">1.12.2 Section </w:t>
      </w:r>
      <w:r w:rsidR="005C0373">
        <w:t>2</w:t>
      </w:r>
      <w:r w:rsidRPr="007E5B70">
        <w:t>: BURA Participation</w:t>
      </w:r>
      <w:bookmarkEnd w:id="34"/>
    </w:p>
    <w:p w14:paraId="4C717D7C" w14:textId="77777777" w:rsidR="00851FF2" w:rsidRDefault="00851FF2" w:rsidP="000C1F7C">
      <w:pPr>
        <w:spacing w:line="360" w:lineRule="auto"/>
        <w:rPr>
          <w:rFonts w:ascii="Times New Roman" w:hAnsi="Times New Roman" w:cs="Times New Roman"/>
          <w:szCs w:val="24"/>
        </w:rPr>
      </w:pPr>
      <w:r w:rsidRPr="00851FF2">
        <w:rPr>
          <w:rFonts w:ascii="Times New Roman" w:hAnsi="Times New Roman" w:cs="Times New Roman"/>
          <w:szCs w:val="24"/>
        </w:rPr>
        <w:t xml:space="preserve">This section measured </w:t>
      </w:r>
      <w:r>
        <w:rPr>
          <w:rFonts w:ascii="Times New Roman" w:hAnsi="Times New Roman" w:cs="Times New Roman"/>
          <w:szCs w:val="24"/>
        </w:rPr>
        <w:t>the</w:t>
      </w:r>
      <w:r w:rsidRPr="00851FF2">
        <w:rPr>
          <w:rFonts w:ascii="Times New Roman" w:hAnsi="Times New Roman" w:cs="Times New Roman"/>
          <w:szCs w:val="24"/>
        </w:rPr>
        <w:t xml:space="preserve"> respondents who participated in the 2025 Bottom-Up Risk Assessment cycle. It included:</w:t>
      </w:r>
    </w:p>
    <w:p w14:paraId="4CEF725A" w14:textId="77777777" w:rsidR="00851FF2" w:rsidRPr="00851FF2" w:rsidRDefault="00851FF2" w:rsidP="0023202D">
      <w:pPr>
        <w:pStyle w:val="ListParagraph"/>
        <w:numPr>
          <w:ilvl w:val="0"/>
          <w:numId w:val="7"/>
        </w:numPr>
        <w:spacing w:before="240" w:after="240"/>
        <w:rPr>
          <w:rFonts w:ascii="Times New Roman" w:hAnsi="Times New Roman" w:cs="Times New Roman"/>
          <w:szCs w:val="24"/>
        </w:rPr>
      </w:pPr>
      <w:r w:rsidRPr="00851FF2">
        <w:rPr>
          <w:rFonts w:ascii="Times New Roman" w:hAnsi="Times New Roman" w:cs="Times New Roman"/>
          <w:szCs w:val="24"/>
        </w:rPr>
        <w:t>Participation Experience</w:t>
      </w:r>
    </w:p>
    <w:p w14:paraId="625B7588" w14:textId="77777777" w:rsidR="00851FF2" w:rsidRPr="00851FF2" w:rsidRDefault="00851FF2" w:rsidP="0023202D">
      <w:pPr>
        <w:pStyle w:val="ListParagraph"/>
        <w:numPr>
          <w:ilvl w:val="0"/>
          <w:numId w:val="7"/>
        </w:numPr>
        <w:spacing w:before="240" w:after="240"/>
        <w:rPr>
          <w:rFonts w:ascii="Times New Roman" w:hAnsi="Times New Roman" w:cs="Times New Roman"/>
          <w:szCs w:val="24"/>
        </w:rPr>
      </w:pPr>
      <w:r w:rsidRPr="00851FF2">
        <w:rPr>
          <w:rFonts w:ascii="Times New Roman" w:hAnsi="Times New Roman" w:cs="Times New Roman"/>
          <w:szCs w:val="24"/>
        </w:rPr>
        <w:t>Communication and feedback related to BURA</w:t>
      </w:r>
    </w:p>
    <w:p w14:paraId="4946B133" w14:textId="77777777" w:rsidR="00851FF2" w:rsidRDefault="00851FF2" w:rsidP="000C1F7C">
      <w:pPr>
        <w:spacing w:line="360" w:lineRule="auto"/>
        <w:rPr>
          <w:rFonts w:ascii="Times New Roman" w:hAnsi="Times New Roman" w:cs="Times New Roman"/>
          <w:szCs w:val="24"/>
        </w:rPr>
      </w:pPr>
      <w:r w:rsidRPr="00851FF2">
        <w:rPr>
          <w:rFonts w:ascii="Times New Roman" w:hAnsi="Times New Roman" w:cs="Times New Roman"/>
          <w:szCs w:val="24"/>
        </w:rPr>
        <w:t>This section allowed comparison between participants and non-participants and enabled assessment of the participatory governance mechanism.</w:t>
      </w:r>
    </w:p>
    <w:p w14:paraId="53146C87" w14:textId="5BA473E3" w:rsidR="00851FF2" w:rsidRPr="007E5B70" w:rsidRDefault="00851FF2" w:rsidP="00863FB5">
      <w:pPr>
        <w:pStyle w:val="Heading3"/>
      </w:pPr>
      <w:bookmarkStart w:id="35" w:name="_Toc223634775"/>
      <w:r w:rsidRPr="007E5B70">
        <w:t xml:space="preserve">1.12.3 Section </w:t>
      </w:r>
      <w:r w:rsidR="005C0373">
        <w:t>3</w:t>
      </w:r>
      <w:r w:rsidRPr="007E5B70">
        <w:t>: Risk Culture Dimensions</w:t>
      </w:r>
      <w:bookmarkEnd w:id="35"/>
    </w:p>
    <w:p w14:paraId="63C8DB3F" w14:textId="77777777" w:rsidR="00851FF2" w:rsidRDefault="00851FF2" w:rsidP="000C1F7C">
      <w:pPr>
        <w:spacing w:line="360" w:lineRule="auto"/>
        <w:rPr>
          <w:rFonts w:ascii="Times New Roman" w:hAnsi="Times New Roman" w:cs="Times New Roman"/>
          <w:szCs w:val="24"/>
        </w:rPr>
      </w:pPr>
      <w:r w:rsidRPr="00851FF2">
        <w:rPr>
          <w:rFonts w:ascii="Times New Roman" w:hAnsi="Times New Roman" w:cs="Times New Roman"/>
          <w:szCs w:val="24"/>
        </w:rPr>
        <w:t>This section measured the dependent variable</w:t>
      </w:r>
      <w:r>
        <w:rPr>
          <w:rFonts w:ascii="Times New Roman" w:hAnsi="Times New Roman" w:cs="Times New Roman"/>
          <w:szCs w:val="24"/>
        </w:rPr>
        <w:t>,</w:t>
      </w:r>
      <w:r w:rsidRPr="00851FF2">
        <w:rPr>
          <w:rFonts w:ascii="Times New Roman" w:hAnsi="Times New Roman" w:cs="Times New Roman"/>
          <w:szCs w:val="24"/>
        </w:rPr>
        <w:t xml:space="preserve"> risk culture</w:t>
      </w:r>
      <w:r>
        <w:rPr>
          <w:rFonts w:ascii="Times New Roman" w:hAnsi="Times New Roman" w:cs="Times New Roman"/>
          <w:szCs w:val="24"/>
        </w:rPr>
        <w:t xml:space="preserve">, </w:t>
      </w:r>
      <w:r w:rsidRPr="00851FF2">
        <w:rPr>
          <w:rFonts w:ascii="Times New Roman" w:hAnsi="Times New Roman" w:cs="Times New Roman"/>
          <w:szCs w:val="24"/>
        </w:rPr>
        <w:t>using a five-point Likert scale (1 = Strongly Disagree to 5 = Strongly Agree).</w:t>
      </w:r>
    </w:p>
    <w:p w14:paraId="7B797577" w14:textId="77777777" w:rsidR="00851FF2" w:rsidRDefault="00851FF2" w:rsidP="000C1F7C">
      <w:pPr>
        <w:spacing w:line="360" w:lineRule="auto"/>
        <w:rPr>
          <w:rFonts w:ascii="Times New Roman" w:hAnsi="Times New Roman" w:cs="Times New Roman"/>
          <w:szCs w:val="24"/>
        </w:rPr>
      </w:pPr>
      <w:r w:rsidRPr="00851FF2">
        <w:rPr>
          <w:rFonts w:ascii="Times New Roman" w:hAnsi="Times New Roman" w:cs="Times New Roman"/>
          <w:szCs w:val="24"/>
        </w:rPr>
        <w:t>Risk culture was operationalized through the following dimensions:</w:t>
      </w:r>
    </w:p>
    <w:p w14:paraId="4DC44570" w14:textId="290D3A11" w:rsidR="00851FF2" w:rsidRPr="00960B12" w:rsidRDefault="00851FF2" w:rsidP="0023202D">
      <w:pPr>
        <w:pStyle w:val="ListParagraph"/>
        <w:numPr>
          <w:ilvl w:val="0"/>
          <w:numId w:val="8"/>
        </w:numPr>
        <w:spacing w:before="240" w:after="240"/>
        <w:rPr>
          <w:rFonts w:ascii="Times New Roman" w:hAnsi="Times New Roman" w:cs="Times New Roman"/>
          <w:szCs w:val="24"/>
        </w:rPr>
      </w:pPr>
      <w:r w:rsidRPr="00960B12">
        <w:rPr>
          <w:rFonts w:ascii="Times New Roman" w:hAnsi="Times New Roman" w:cs="Times New Roman"/>
          <w:szCs w:val="24"/>
        </w:rPr>
        <w:t>Risk ownership</w:t>
      </w:r>
    </w:p>
    <w:p w14:paraId="68FDF5EC" w14:textId="7BA39627" w:rsidR="00851FF2" w:rsidRPr="00960B12" w:rsidRDefault="00851FF2" w:rsidP="0023202D">
      <w:pPr>
        <w:pStyle w:val="ListParagraph"/>
        <w:numPr>
          <w:ilvl w:val="0"/>
          <w:numId w:val="8"/>
        </w:numPr>
        <w:spacing w:before="240" w:after="240"/>
        <w:rPr>
          <w:rFonts w:ascii="Times New Roman" w:hAnsi="Times New Roman" w:cs="Times New Roman"/>
          <w:szCs w:val="24"/>
        </w:rPr>
      </w:pPr>
      <w:r w:rsidRPr="00960B12">
        <w:rPr>
          <w:rFonts w:ascii="Times New Roman" w:hAnsi="Times New Roman" w:cs="Times New Roman"/>
          <w:szCs w:val="24"/>
        </w:rPr>
        <w:t>Accountability for risk management</w:t>
      </w:r>
    </w:p>
    <w:p w14:paraId="3DE30690" w14:textId="1579494E" w:rsidR="00851FF2" w:rsidRPr="00960B12" w:rsidRDefault="00851FF2" w:rsidP="0023202D">
      <w:pPr>
        <w:pStyle w:val="ListParagraph"/>
        <w:numPr>
          <w:ilvl w:val="0"/>
          <w:numId w:val="8"/>
        </w:numPr>
        <w:spacing w:before="240" w:after="240"/>
        <w:rPr>
          <w:rFonts w:ascii="Times New Roman" w:hAnsi="Times New Roman" w:cs="Times New Roman"/>
          <w:szCs w:val="24"/>
        </w:rPr>
      </w:pPr>
      <w:r w:rsidRPr="00960B12">
        <w:rPr>
          <w:rFonts w:ascii="Times New Roman" w:hAnsi="Times New Roman" w:cs="Times New Roman"/>
          <w:szCs w:val="24"/>
        </w:rPr>
        <w:t>Risk awareness</w:t>
      </w:r>
    </w:p>
    <w:p w14:paraId="20F48578" w14:textId="632FDAA0" w:rsidR="00851FF2" w:rsidRPr="00960B12" w:rsidRDefault="00851FF2" w:rsidP="0023202D">
      <w:pPr>
        <w:pStyle w:val="ListParagraph"/>
        <w:numPr>
          <w:ilvl w:val="0"/>
          <w:numId w:val="8"/>
        </w:numPr>
        <w:spacing w:before="240" w:after="240"/>
        <w:rPr>
          <w:rFonts w:ascii="Times New Roman" w:hAnsi="Times New Roman" w:cs="Times New Roman"/>
          <w:szCs w:val="24"/>
        </w:rPr>
      </w:pPr>
      <w:r w:rsidRPr="00960B12">
        <w:rPr>
          <w:rFonts w:ascii="Times New Roman" w:hAnsi="Times New Roman" w:cs="Times New Roman"/>
          <w:szCs w:val="24"/>
        </w:rPr>
        <w:t>Proactive risk behavior</w:t>
      </w:r>
    </w:p>
    <w:p w14:paraId="3A139753" w14:textId="77777777" w:rsidR="00851FF2" w:rsidRPr="00960B12" w:rsidRDefault="00851FF2" w:rsidP="0023202D">
      <w:pPr>
        <w:pStyle w:val="ListParagraph"/>
        <w:numPr>
          <w:ilvl w:val="0"/>
          <w:numId w:val="8"/>
        </w:numPr>
        <w:spacing w:before="240" w:after="240"/>
        <w:rPr>
          <w:rFonts w:ascii="Times New Roman" w:hAnsi="Times New Roman" w:cs="Times New Roman"/>
          <w:szCs w:val="24"/>
        </w:rPr>
      </w:pPr>
      <w:r w:rsidRPr="00960B12">
        <w:rPr>
          <w:rFonts w:ascii="Times New Roman" w:hAnsi="Times New Roman" w:cs="Times New Roman"/>
          <w:szCs w:val="24"/>
        </w:rPr>
        <w:t xml:space="preserve">Transparency and </w:t>
      </w:r>
      <w:proofErr w:type="gramStart"/>
      <w:r w:rsidRPr="00960B12">
        <w:rPr>
          <w:rFonts w:ascii="Times New Roman" w:hAnsi="Times New Roman" w:cs="Times New Roman"/>
          <w:szCs w:val="24"/>
        </w:rPr>
        <w:t>disclosure</w:t>
      </w:r>
      <w:proofErr w:type="gramEnd"/>
      <w:r w:rsidRPr="00960B12">
        <w:rPr>
          <w:rFonts w:ascii="Times New Roman" w:hAnsi="Times New Roman" w:cs="Times New Roman"/>
          <w:szCs w:val="24"/>
        </w:rPr>
        <w:t xml:space="preserve"> climate</w:t>
      </w:r>
    </w:p>
    <w:p w14:paraId="580497EC" w14:textId="77777777" w:rsidR="00960B12" w:rsidRDefault="00851FF2" w:rsidP="000C1F7C">
      <w:pPr>
        <w:spacing w:line="360" w:lineRule="auto"/>
        <w:rPr>
          <w:rFonts w:ascii="Times New Roman" w:hAnsi="Times New Roman" w:cs="Times New Roman"/>
          <w:szCs w:val="24"/>
        </w:rPr>
      </w:pPr>
      <w:r w:rsidRPr="00851FF2">
        <w:rPr>
          <w:rFonts w:ascii="Times New Roman" w:hAnsi="Times New Roman" w:cs="Times New Roman"/>
          <w:szCs w:val="24"/>
        </w:rPr>
        <w:t>Several items in this section were adapted from the organization’s Risk Maturity Model (RMM) survey instrument, which has been previously administered internally. The inclusion of partially validated RMM items enhances content validity and ensures contextual alignment with established governance evaluation practices.</w:t>
      </w:r>
    </w:p>
    <w:p w14:paraId="25B7CD64" w14:textId="77777777" w:rsidR="00960B12" w:rsidRDefault="00851FF2" w:rsidP="000C1F7C">
      <w:pPr>
        <w:spacing w:line="360" w:lineRule="auto"/>
        <w:rPr>
          <w:rFonts w:ascii="Times New Roman" w:hAnsi="Times New Roman" w:cs="Times New Roman"/>
          <w:szCs w:val="24"/>
        </w:rPr>
      </w:pPr>
      <w:r w:rsidRPr="00851FF2">
        <w:rPr>
          <w:rFonts w:ascii="Times New Roman" w:hAnsi="Times New Roman" w:cs="Times New Roman"/>
          <w:szCs w:val="24"/>
        </w:rPr>
        <w:lastRenderedPageBreak/>
        <w:t>Additional items were developed specifically for this research to measure behavioral dimensions consistent with the conceptual model.</w:t>
      </w:r>
    </w:p>
    <w:p w14:paraId="62C8CD98" w14:textId="1D90AB0C" w:rsidR="00960B12" w:rsidRPr="007E5B70" w:rsidRDefault="00851FF2" w:rsidP="00863FB5">
      <w:pPr>
        <w:pStyle w:val="Heading3"/>
      </w:pPr>
      <w:bookmarkStart w:id="36" w:name="_Toc223634776"/>
      <w:r w:rsidRPr="007E5B70">
        <w:t xml:space="preserve">1.12.4 Section </w:t>
      </w:r>
      <w:r w:rsidR="005C0373">
        <w:t>4</w:t>
      </w:r>
      <w:r w:rsidRPr="007E5B70">
        <w:t>: Leadership Support</w:t>
      </w:r>
      <w:bookmarkEnd w:id="36"/>
    </w:p>
    <w:p w14:paraId="5CBBD842" w14:textId="77777777" w:rsidR="00960B12" w:rsidRDefault="00851FF2" w:rsidP="000C1F7C">
      <w:pPr>
        <w:spacing w:line="360" w:lineRule="auto"/>
        <w:rPr>
          <w:rFonts w:ascii="Times New Roman" w:hAnsi="Times New Roman" w:cs="Times New Roman"/>
          <w:szCs w:val="24"/>
        </w:rPr>
      </w:pPr>
      <w:r w:rsidRPr="00851FF2">
        <w:rPr>
          <w:rFonts w:ascii="Times New Roman" w:hAnsi="Times New Roman" w:cs="Times New Roman"/>
          <w:szCs w:val="24"/>
        </w:rPr>
        <w:t>This section measured perceptions of leadership reinforcement related to risk management practices. It included statements assessing:</w:t>
      </w:r>
    </w:p>
    <w:p w14:paraId="7783B30C" w14:textId="77777777" w:rsidR="00960B12" w:rsidRPr="00960B12" w:rsidRDefault="00851FF2" w:rsidP="0023202D">
      <w:pPr>
        <w:pStyle w:val="ListParagraph"/>
        <w:numPr>
          <w:ilvl w:val="0"/>
          <w:numId w:val="9"/>
        </w:numPr>
        <w:spacing w:before="240" w:after="240"/>
        <w:rPr>
          <w:rFonts w:ascii="Times New Roman" w:hAnsi="Times New Roman" w:cs="Times New Roman"/>
          <w:szCs w:val="24"/>
        </w:rPr>
      </w:pPr>
      <w:r w:rsidRPr="00960B12">
        <w:rPr>
          <w:rFonts w:ascii="Times New Roman" w:hAnsi="Times New Roman" w:cs="Times New Roman"/>
          <w:szCs w:val="24"/>
        </w:rPr>
        <w:t>Tone at the top</w:t>
      </w:r>
    </w:p>
    <w:p w14:paraId="738E87C7" w14:textId="77777777" w:rsidR="00960B12" w:rsidRPr="00960B12" w:rsidRDefault="00851FF2" w:rsidP="0023202D">
      <w:pPr>
        <w:pStyle w:val="ListParagraph"/>
        <w:numPr>
          <w:ilvl w:val="0"/>
          <w:numId w:val="9"/>
        </w:numPr>
        <w:spacing w:before="240" w:after="240"/>
        <w:rPr>
          <w:rFonts w:ascii="Times New Roman" w:hAnsi="Times New Roman" w:cs="Times New Roman"/>
          <w:szCs w:val="24"/>
        </w:rPr>
      </w:pPr>
      <w:r w:rsidRPr="00960B12">
        <w:rPr>
          <w:rFonts w:ascii="Times New Roman" w:hAnsi="Times New Roman" w:cs="Times New Roman"/>
          <w:szCs w:val="24"/>
        </w:rPr>
        <w:t>Management encouragement of transparency</w:t>
      </w:r>
    </w:p>
    <w:p w14:paraId="70C0425E" w14:textId="77777777" w:rsidR="00960B12" w:rsidRPr="00960B12" w:rsidRDefault="00851FF2" w:rsidP="0023202D">
      <w:pPr>
        <w:pStyle w:val="ListParagraph"/>
        <w:numPr>
          <w:ilvl w:val="0"/>
          <w:numId w:val="9"/>
        </w:numPr>
        <w:spacing w:before="240" w:after="240"/>
        <w:rPr>
          <w:rFonts w:ascii="Times New Roman" w:hAnsi="Times New Roman" w:cs="Times New Roman"/>
          <w:szCs w:val="24"/>
        </w:rPr>
      </w:pPr>
      <w:r w:rsidRPr="00960B12">
        <w:rPr>
          <w:rFonts w:ascii="Times New Roman" w:hAnsi="Times New Roman" w:cs="Times New Roman"/>
          <w:szCs w:val="24"/>
        </w:rPr>
        <w:t>Support for proactive risk identification</w:t>
      </w:r>
    </w:p>
    <w:p w14:paraId="78BB30BA" w14:textId="77777777" w:rsidR="00960B12" w:rsidRPr="00960B12" w:rsidRDefault="00851FF2" w:rsidP="0023202D">
      <w:pPr>
        <w:pStyle w:val="ListParagraph"/>
        <w:numPr>
          <w:ilvl w:val="0"/>
          <w:numId w:val="9"/>
        </w:numPr>
        <w:spacing w:before="240" w:after="240"/>
        <w:rPr>
          <w:rFonts w:ascii="Times New Roman" w:hAnsi="Times New Roman" w:cs="Times New Roman"/>
          <w:szCs w:val="24"/>
        </w:rPr>
      </w:pPr>
      <w:r w:rsidRPr="00960B12">
        <w:rPr>
          <w:rFonts w:ascii="Times New Roman" w:hAnsi="Times New Roman" w:cs="Times New Roman"/>
          <w:szCs w:val="24"/>
        </w:rPr>
        <w:t>Reinforcement of accountability expectations</w:t>
      </w:r>
    </w:p>
    <w:p w14:paraId="60485493" w14:textId="77777777" w:rsidR="00960B12" w:rsidRDefault="00851FF2" w:rsidP="000C1F7C">
      <w:pPr>
        <w:spacing w:line="360" w:lineRule="auto"/>
        <w:rPr>
          <w:rFonts w:ascii="Times New Roman" w:hAnsi="Times New Roman" w:cs="Times New Roman"/>
          <w:szCs w:val="24"/>
        </w:rPr>
      </w:pPr>
      <w:r w:rsidRPr="00851FF2">
        <w:rPr>
          <w:rFonts w:ascii="Times New Roman" w:hAnsi="Times New Roman" w:cs="Times New Roman"/>
          <w:szCs w:val="24"/>
        </w:rPr>
        <w:t>Responses were measured using the same five-point Likert scale to maintain consistency across sections.</w:t>
      </w:r>
    </w:p>
    <w:p w14:paraId="5C4E7A6C" w14:textId="77777777" w:rsidR="00960B12" w:rsidRPr="007E5B70" w:rsidRDefault="00960B12" w:rsidP="00863FB5">
      <w:pPr>
        <w:pStyle w:val="Heading3"/>
      </w:pPr>
      <w:bookmarkStart w:id="37" w:name="_Toc223634777"/>
      <w:r w:rsidRPr="007E5B70">
        <w:t>1.12.5 Data Screening and Preparation</w:t>
      </w:r>
      <w:bookmarkEnd w:id="37"/>
    </w:p>
    <w:p w14:paraId="5F0BBF9A" w14:textId="713012CF" w:rsidR="00960B12" w:rsidRDefault="00960B12" w:rsidP="000C1F7C">
      <w:pPr>
        <w:spacing w:line="360" w:lineRule="auto"/>
        <w:rPr>
          <w:rFonts w:ascii="Times New Roman" w:hAnsi="Times New Roman" w:cs="Times New Roman"/>
          <w:szCs w:val="24"/>
        </w:rPr>
      </w:pPr>
      <w:r w:rsidRPr="00960B12">
        <w:rPr>
          <w:rFonts w:ascii="Times New Roman" w:hAnsi="Times New Roman" w:cs="Times New Roman"/>
          <w:szCs w:val="24"/>
        </w:rPr>
        <w:t xml:space="preserve">Prior to statistical analysis, the collected data </w:t>
      </w:r>
      <w:proofErr w:type="gramStart"/>
      <w:r w:rsidRPr="00960B12">
        <w:rPr>
          <w:rFonts w:ascii="Times New Roman" w:hAnsi="Times New Roman" w:cs="Times New Roman"/>
          <w:szCs w:val="24"/>
        </w:rPr>
        <w:t>were</w:t>
      </w:r>
      <w:proofErr w:type="gramEnd"/>
      <w:r w:rsidRPr="00960B12">
        <w:rPr>
          <w:rFonts w:ascii="Times New Roman" w:hAnsi="Times New Roman" w:cs="Times New Roman"/>
          <w:szCs w:val="24"/>
        </w:rPr>
        <w:t xml:space="preserve"> reviewed for completeness and consistency. Responses with incomplete patterns or irregular answer distributions were examined. One response was excluded during the data preparation stage due to irregularities identified during dataset cleaning. The final dataset used for analysis reflects valid and complete responses only.</w:t>
      </w:r>
    </w:p>
    <w:p w14:paraId="3B27A29B" w14:textId="416287B7" w:rsidR="00960B12" w:rsidRPr="000E6659" w:rsidRDefault="00960B12" w:rsidP="00863FB5">
      <w:pPr>
        <w:pStyle w:val="Heading2"/>
      </w:pPr>
      <w:bookmarkStart w:id="38" w:name="_Toc223634778"/>
      <w:r w:rsidRPr="000E6659">
        <w:t>1.13 Statistical Methods Used:</w:t>
      </w:r>
      <w:bookmarkEnd w:id="38"/>
    </w:p>
    <w:p w14:paraId="4A559F48" w14:textId="77777777" w:rsidR="00960B12" w:rsidRDefault="00960B12" w:rsidP="000C1F7C">
      <w:pPr>
        <w:spacing w:line="360" w:lineRule="auto"/>
        <w:rPr>
          <w:rFonts w:ascii="Times New Roman" w:hAnsi="Times New Roman" w:cs="Times New Roman"/>
          <w:szCs w:val="24"/>
        </w:rPr>
      </w:pPr>
      <w:r w:rsidRPr="00960B12">
        <w:rPr>
          <w:rFonts w:ascii="Times New Roman" w:hAnsi="Times New Roman" w:cs="Times New Roman"/>
          <w:szCs w:val="24"/>
        </w:rPr>
        <w:t>This study applies both descriptive and inferential statistical methods to examine the relationship between participation in Bottom-Up Risk Assessment (BURA) and risk culture enhancement within the Shared Services Organization under study.</w:t>
      </w:r>
    </w:p>
    <w:p w14:paraId="2D5FEA66" w14:textId="77777777" w:rsidR="00960B12" w:rsidRPr="007E5B70" w:rsidRDefault="00960B12" w:rsidP="00863FB5">
      <w:pPr>
        <w:pStyle w:val="Heading3"/>
      </w:pPr>
      <w:bookmarkStart w:id="39" w:name="_Toc223634779"/>
      <w:r w:rsidRPr="007E5B70">
        <w:t>1.13.1 Data Preparation</w:t>
      </w:r>
      <w:bookmarkEnd w:id="39"/>
    </w:p>
    <w:p w14:paraId="387A6D03" w14:textId="77777777" w:rsidR="00960B12" w:rsidRDefault="00960B12" w:rsidP="000C1F7C">
      <w:pPr>
        <w:spacing w:line="360" w:lineRule="auto"/>
        <w:rPr>
          <w:rFonts w:ascii="Times New Roman" w:hAnsi="Times New Roman" w:cs="Times New Roman"/>
          <w:szCs w:val="24"/>
        </w:rPr>
      </w:pPr>
      <w:r w:rsidRPr="00960B12">
        <w:rPr>
          <w:rFonts w:ascii="Times New Roman" w:hAnsi="Times New Roman" w:cs="Times New Roman"/>
          <w:szCs w:val="24"/>
        </w:rPr>
        <w:t xml:space="preserve">Survey responses were screened for completeness and consistency prior to analysis. Categorical responses were coded </w:t>
      </w:r>
      <w:proofErr w:type="gramStart"/>
      <w:r w:rsidRPr="00960B12">
        <w:rPr>
          <w:rFonts w:ascii="Times New Roman" w:hAnsi="Times New Roman" w:cs="Times New Roman"/>
          <w:szCs w:val="24"/>
        </w:rPr>
        <w:t>appropriately</w:t>
      </w:r>
      <w:proofErr w:type="gramEnd"/>
      <w:r w:rsidRPr="00960B12">
        <w:rPr>
          <w:rFonts w:ascii="Times New Roman" w:hAnsi="Times New Roman" w:cs="Times New Roman"/>
          <w:szCs w:val="24"/>
        </w:rPr>
        <w:t xml:space="preserve"> and Likert-scale items were converted to numerical values (1–5) for statistical testing. One response was excluded during the data preparation stage due to irregularities identified during dataset cleaning.</w:t>
      </w:r>
    </w:p>
    <w:p w14:paraId="023ACC43" w14:textId="77777777" w:rsidR="00960B12" w:rsidRPr="007E5B70" w:rsidRDefault="00960B12" w:rsidP="00863FB5">
      <w:pPr>
        <w:pStyle w:val="Heading3"/>
      </w:pPr>
      <w:bookmarkStart w:id="40" w:name="_Toc223634780"/>
      <w:r w:rsidRPr="007E5B70">
        <w:t>1.13.2 Descriptive Statistics</w:t>
      </w:r>
      <w:bookmarkEnd w:id="40"/>
    </w:p>
    <w:p w14:paraId="4D2174D0" w14:textId="77777777" w:rsidR="00960B12" w:rsidRDefault="00960B12" w:rsidP="000C1F7C">
      <w:pPr>
        <w:spacing w:line="360" w:lineRule="auto"/>
        <w:rPr>
          <w:rFonts w:ascii="Times New Roman" w:hAnsi="Times New Roman" w:cs="Times New Roman"/>
          <w:szCs w:val="24"/>
        </w:rPr>
      </w:pPr>
      <w:r w:rsidRPr="00960B12">
        <w:rPr>
          <w:rFonts w:ascii="Times New Roman" w:hAnsi="Times New Roman" w:cs="Times New Roman"/>
          <w:szCs w:val="24"/>
        </w:rPr>
        <w:t xml:space="preserve">Descriptive statistics were used to summarize the sample characteristics and describe response patterns. The study reports frequencies and percentages for demographic </w:t>
      </w:r>
      <w:proofErr w:type="gramStart"/>
      <w:r w:rsidRPr="00960B12">
        <w:rPr>
          <w:rFonts w:ascii="Times New Roman" w:hAnsi="Times New Roman" w:cs="Times New Roman"/>
          <w:szCs w:val="24"/>
        </w:rPr>
        <w:t>variables, and</w:t>
      </w:r>
      <w:proofErr w:type="gramEnd"/>
      <w:r w:rsidRPr="00960B12">
        <w:rPr>
          <w:rFonts w:ascii="Times New Roman" w:hAnsi="Times New Roman" w:cs="Times New Roman"/>
          <w:szCs w:val="24"/>
        </w:rPr>
        <w:t xml:space="preserve"> mean and standard deviation values for Likert-scale items and constructed dimensions.</w:t>
      </w:r>
    </w:p>
    <w:p w14:paraId="326C07D3" w14:textId="77777777" w:rsidR="000E6659" w:rsidRPr="007E5B70" w:rsidRDefault="00960B12" w:rsidP="00863FB5">
      <w:pPr>
        <w:pStyle w:val="Heading3"/>
      </w:pPr>
      <w:bookmarkStart w:id="41" w:name="_Toc223634781"/>
      <w:r w:rsidRPr="007E5B70">
        <w:lastRenderedPageBreak/>
        <w:t>1.13.3 Reliability Testing</w:t>
      </w:r>
      <w:bookmarkEnd w:id="41"/>
    </w:p>
    <w:p w14:paraId="20C4FD5E" w14:textId="77777777" w:rsidR="00863FB5" w:rsidRDefault="00960B12" w:rsidP="000C1F7C">
      <w:pPr>
        <w:spacing w:line="360" w:lineRule="auto"/>
        <w:rPr>
          <w:rFonts w:ascii="Times New Roman" w:hAnsi="Times New Roman" w:cs="Times New Roman"/>
          <w:szCs w:val="24"/>
        </w:rPr>
      </w:pPr>
      <w:r w:rsidRPr="00960B12">
        <w:rPr>
          <w:rFonts w:ascii="Times New Roman" w:hAnsi="Times New Roman" w:cs="Times New Roman"/>
          <w:szCs w:val="24"/>
        </w:rPr>
        <w:t>Internal consistency reliability was assessed using Cronbach’s Alpha for each multi-item construct within the survey, including the risk culture dimensions and leadership support.</w:t>
      </w:r>
    </w:p>
    <w:p w14:paraId="40A912CB" w14:textId="56F56F8B" w:rsidR="00960B12" w:rsidRPr="000E6659" w:rsidRDefault="00960B12" w:rsidP="000C1F7C">
      <w:pPr>
        <w:spacing w:line="360" w:lineRule="auto"/>
        <w:rPr>
          <w:rFonts w:ascii="Times New Roman" w:hAnsi="Times New Roman" w:cs="Times New Roman"/>
          <w:b/>
          <w:bCs/>
          <w:szCs w:val="24"/>
        </w:rPr>
      </w:pPr>
      <w:r w:rsidRPr="00960B12">
        <w:rPr>
          <w:rFonts w:ascii="Times New Roman" w:hAnsi="Times New Roman" w:cs="Times New Roman"/>
          <w:b/>
          <w:bCs/>
          <w:szCs w:val="24"/>
        </w:rPr>
        <w:t>1.13.4 Inferential Analysis</w:t>
      </w:r>
    </w:p>
    <w:p w14:paraId="67CD64E2" w14:textId="77777777" w:rsidR="00F86418" w:rsidRDefault="00960B12" w:rsidP="000C1F7C">
      <w:pPr>
        <w:spacing w:line="360" w:lineRule="auto"/>
        <w:rPr>
          <w:rFonts w:ascii="Times New Roman" w:hAnsi="Times New Roman" w:cs="Times New Roman"/>
          <w:szCs w:val="24"/>
        </w:rPr>
      </w:pPr>
      <w:r w:rsidRPr="00960B12">
        <w:rPr>
          <w:rFonts w:ascii="Times New Roman" w:hAnsi="Times New Roman" w:cs="Times New Roman"/>
          <w:szCs w:val="24"/>
        </w:rPr>
        <w:t>To test the study hypotheses, the following inferential methods were applied:</w:t>
      </w:r>
    </w:p>
    <w:p w14:paraId="2B2541C4" w14:textId="0EA42AE1" w:rsidR="00F86418" w:rsidRPr="00F86418" w:rsidRDefault="00960B12" w:rsidP="003D77CD">
      <w:pPr>
        <w:pStyle w:val="ListParagraph"/>
        <w:numPr>
          <w:ilvl w:val="0"/>
          <w:numId w:val="62"/>
        </w:numPr>
        <w:spacing w:after="120" w:line="360" w:lineRule="auto"/>
        <w:rPr>
          <w:rFonts w:ascii="Times New Roman" w:hAnsi="Times New Roman" w:cs="Times New Roman"/>
          <w:szCs w:val="24"/>
        </w:rPr>
      </w:pPr>
      <w:r w:rsidRPr="00F86418">
        <w:rPr>
          <w:rFonts w:ascii="Times New Roman" w:hAnsi="Times New Roman" w:cs="Times New Roman"/>
          <w:szCs w:val="24"/>
        </w:rPr>
        <w:t xml:space="preserve">Independent Samples </w:t>
      </w:r>
      <w:r w:rsidR="00F86418" w:rsidRPr="00F86418">
        <w:rPr>
          <w:rFonts w:ascii="Times New Roman" w:hAnsi="Times New Roman" w:cs="Times New Roman"/>
          <w:szCs w:val="24"/>
        </w:rPr>
        <w:t>t-tests:</w:t>
      </w:r>
      <w:r w:rsidRPr="00F86418">
        <w:rPr>
          <w:rFonts w:ascii="Times New Roman" w:hAnsi="Times New Roman" w:cs="Times New Roman"/>
          <w:szCs w:val="24"/>
        </w:rPr>
        <w:t xml:space="preserve"> to examine whether statistically significant differences exist between BURA participants and non-participants across risk culture dimensions.</w:t>
      </w:r>
    </w:p>
    <w:p w14:paraId="37F36BC9" w14:textId="49BD2906" w:rsidR="00F86418" w:rsidRPr="00F86418" w:rsidRDefault="00960B12" w:rsidP="003D77CD">
      <w:pPr>
        <w:pStyle w:val="ListParagraph"/>
        <w:numPr>
          <w:ilvl w:val="0"/>
          <w:numId w:val="62"/>
        </w:numPr>
        <w:spacing w:after="120" w:line="360" w:lineRule="auto"/>
        <w:rPr>
          <w:rFonts w:ascii="Times New Roman" w:hAnsi="Times New Roman" w:cs="Times New Roman"/>
          <w:szCs w:val="24"/>
        </w:rPr>
      </w:pPr>
      <w:r w:rsidRPr="00F86418">
        <w:rPr>
          <w:rFonts w:ascii="Times New Roman" w:hAnsi="Times New Roman" w:cs="Times New Roman"/>
          <w:szCs w:val="24"/>
        </w:rPr>
        <w:t>Correlation Analysis (Pearson):</w:t>
      </w:r>
      <w:r w:rsidR="00F86418">
        <w:rPr>
          <w:rFonts w:ascii="Times New Roman" w:hAnsi="Times New Roman" w:cs="Times New Roman"/>
          <w:szCs w:val="24"/>
        </w:rPr>
        <w:t xml:space="preserve"> </w:t>
      </w:r>
      <w:r w:rsidRPr="00F86418">
        <w:rPr>
          <w:rFonts w:ascii="Times New Roman" w:hAnsi="Times New Roman" w:cs="Times New Roman"/>
          <w:szCs w:val="24"/>
        </w:rPr>
        <w:t>to examine relationships between leadership support and risk culture dimensions.</w:t>
      </w:r>
    </w:p>
    <w:p w14:paraId="05F6664B" w14:textId="6270AF0E" w:rsidR="00F86418" w:rsidRPr="00F86418" w:rsidRDefault="00960B12" w:rsidP="003D77CD">
      <w:pPr>
        <w:pStyle w:val="ListParagraph"/>
        <w:numPr>
          <w:ilvl w:val="0"/>
          <w:numId w:val="62"/>
        </w:numPr>
        <w:spacing w:after="120" w:line="360" w:lineRule="auto"/>
        <w:rPr>
          <w:rFonts w:ascii="Times New Roman" w:hAnsi="Times New Roman" w:cs="Times New Roman"/>
          <w:szCs w:val="24"/>
        </w:rPr>
      </w:pPr>
      <w:r w:rsidRPr="00F86418">
        <w:rPr>
          <w:rFonts w:ascii="Times New Roman" w:hAnsi="Times New Roman" w:cs="Times New Roman"/>
          <w:szCs w:val="24"/>
        </w:rPr>
        <w:t xml:space="preserve">Regression </w:t>
      </w:r>
      <w:r w:rsidR="00F86418" w:rsidRPr="00F86418">
        <w:rPr>
          <w:rFonts w:ascii="Times New Roman" w:hAnsi="Times New Roman" w:cs="Times New Roman"/>
          <w:szCs w:val="24"/>
        </w:rPr>
        <w:t>Analysis:</w:t>
      </w:r>
      <w:r w:rsidRPr="00F86418">
        <w:rPr>
          <w:rFonts w:ascii="Times New Roman" w:hAnsi="Times New Roman" w:cs="Times New Roman"/>
          <w:szCs w:val="24"/>
        </w:rPr>
        <w:t xml:space="preserve"> to assess the predictive relationship between BURA participation and risk culture dimensions, and to examine the contribution of leadership support as an influencing variable.</w:t>
      </w:r>
    </w:p>
    <w:p w14:paraId="7B3BC05C" w14:textId="77777777" w:rsidR="00F86418" w:rsidRDefault="00960B12" w:rsidP="000C1F7C">
      <w:pPr>
        <w:spacing w:line="360" w:lineRule="auto"/>
        <w:rPr>
          <w:rFonts w:ascii="Times New Roman" w:hAnsi="Times New Roman" w:cs="Times New Roman"/>
          <w:szCs w:val="24"/>
        </w:rPr>
      </w:pPr>
      <w:r w:rsidRPr="00960B12">
        <w:rPr>
          <w:rFonts w:ascii="Times New Roman" w:hAnsi="Times New Roman" w:cs="Times New Roman"/>
          <w:szCs w:val="24"/>
        </w:rPr>
        <w:t>All statistical tests were conducted at a 95% confidence level (α = 0.05).</w:t>
      </w:r>
    </w:p>
    <w:p w14:paraId="3F99ACCC" w14:textId="24675235" w:rsidR="00F86418" w:rsidRPr="000E6659" w:rsidRDefault="00960B12" w:rsidP="00863FB5">
      <w:pPr>
        <w:pStyle w:val="Heading2"/>
        <w:ind w:firstLine="0"/>
      </w:pPr>
      <w:bookmarkStart w:id="42" w:name="_Toc223634782"/>
      <w:r w:rsidRPr="000E6659">
        <w:t>1.14 Study Boundarie</w:t>
      </w:r>
      <w:r w:rsidR="00F86418" w:rsidRPr="000E6659">
        <w:t>s:</w:t>
      </w:r>
      <w:bookmarkEnd w:id="42"/>
    </w:p>
    <w:p w14:paraId="28DB596A" w14:textId="77777777" w:rsidR="00F86418" w:rsidRDefault="00960B12" w:rsidP="000C1F7C">
      <w:pPr>
        <w:spacing w:line="360" w:lineRule="auto"/>
        <w:rPr>
          <w:rFonts w:ascii="Times New Roman" w:hAnsi="Times New Roman" w:cs="Times New Roman"/>
          <w:szCs w:val="24"/>
        </w:rPr>
      </w:pPr>
      <w:r w:rsidRPr="00960B12">
        <w:rPr>
          <w:rFonts w:ascii="Times New Roman" w:hAnsi="Times New Roman" w:cs="Times New Roman"/>
          <w:szCs w:val="24"/>
        </w:rPr>
        <w:t>This study is conducted within the context of one Shared Services Organization and is bound by the following limits:</w:t>
      </w:r>
    </w:p>
    <w:p w14:paraId="6000A928" w14:textId="77777777" w:rsidR="00F86418" w:rsidRPr="007E5B70" w:rsidRDefault="00960B12" w:rsidP="00863FB5">
      <w:pPr>
        <w:pStyle w:val="Heading3"/>
      </w:pPr>
      <w:bookmarkStart w:id="43" w:name="_Toc223634783"/>
      <w:r w:rsidRPr="007E5B70">
        <w:t>1.14.1 Subject Boundaries (Thematic Boundaries)</w:t>
      </w:r>
      <w:bookmarkEnd w:id="43"/>
    </w:p>
    <w:p w14:paraId="260BDE5E" w14:textId="77777777" w:rsidR="00F86418" w:rsidRDefault="00960B12" w:rsidP="000C1F7C">
      <w:pPr>
        <w:spacing w:line="360" w:lineRule="auto"/>
        <w:rPr>
          <w:rFonts w:ascii="Times New Roman" w:hAnsi="Times New Roman" w:cs="Times New Roman"/>
          <w:szCs w:val="24"/>
        </w:rPr>
      </w:pPr>
      <w:r w:rsidRPr="00960B12">
        <w:rPr>
          <w:rFonts w:ascii="Times New Roman" w:hAnsi="Times New Roman" w:cs="Times New Roman"/>
          <w:szCs w:val="24"/>
        </w:rPr>
        <w:t>The study focuses specifically on examining the relationship between Bottom-Up Risk Assessment participation and risk culture enhancement. Risk culture is operationalized through measurable dimensions such as ownership, accountability, awareness, and proactive behavior, in addition to leadership support.</w:t>
      </w:r>
    </w:p>
    <w:p w14:paraId="6926DF33" w14:textId="77777777" w:rsidR="00F86418" w:rsidRPr="007E5B70" w:rsidRDefault="00960B12" w:rsidP="00863FB5">
      <w:pPr>
        <w:pStyle w:val="Heading3"/>
      </w:pPr>
      <w:bookmarkStart w:id="44" w:name="_Toc223634784"/>
      <w:r w:rsidRPr="007E5B70">
        <w:t>1.14.2 Spatial Boundaries (Geographical/Organizational Boundaries)</w:t>
      </w:r>
      <w:bookmarkEnd w:id="44"/>
    </w:p>
    <w:p w14:paraId="30C4E5BB" w14:textId="77777777" w:rsidR="000E6659" w:rsidRDefault="00960B12" w:rsidP="000C1F7C">
      <w:pPr>
        <w:spacing w:line="360" w:lineRule="auto"/>
        <w:rPr>
          <w:rFonts w:ascii="Times New Roman" w:hAnsi="Times New Roman" w:cs="Times New Roman"/>
          <w:szCs w:val="24"/>
        </w:rPr>
      </w:pPr>
      <w:r w:rsidRPr="00960B12">
        <w:rPr>
          <w:rFonts w:ascii="Times New Roman" w:hAnsi="Times New Roman" w:cs="Times New Roman"/>
          <w:szCs w:val="24"/>
        </w:rPr>
        <w:t xml:space="preserve">The research is limited to </w:t>
      </w:r>
      <w:r w:rsidR="00F86418">
        <w:rPr>
          <w:rFonts w:ascii="Times New Roman" w:hAnsi="Times New Roman" w:cs="Times New Roman"/>
          <w:szCs w:val="24"/>
        </w:rPr>
        <w:t>one</w:t>
      </w:r>
      <w:r w:rsidRPr="00960B12">
        <w:rPr>
          <w:rFonts w:ascii="Times New Roman" w:hAnsi="Times New Roman" w:cs="Times New Roman"/>
          <w:szCs w:val="24"/>
        </w:rPr>
        <w:t xml:space="preserve"> Shared Services Organization </w:t>
      </w:r>
      <w:r w:rsidR="00F86418">
        <w:rPr>
          <w:rFonts w:ascii="Times New Roman" w:hAnsi="Times New Roman" w:cs="Times New Roman"/>
          <w:szCs w:val="24"/>
        </w:rPr>
        <w:t xml:space="preserve">in one of the biggest chemical industry companies in Jubail, Saudi Arabia, </w:t>
      </w:r>
      <w:r w:rsidRPr="00960B12">
        <w:rPr>
          <w:rFonts w:ascii="Times New Roman" w:hAnsi="Times New Roman" w:cs="Times New Roman"/>
          <w:szCs w:val="24"/>
        </w:rPr>
        <w:t>comprising six primary functions: Global IT (GIT), Global Procurement Services (GPS), Facility Management (FM), Digital Transformation (DT), Corporate Cyber Security (CCS), and Shared Services Planning &amp; Control (P&amp;C).</w:t>
      </w:r>
    </w:p>
    <w:p w14:paraId="4A9066A3" w14:textId="527A16AE" w:rsidR="00F86418" w:rsidRPr="007E5B70" w:rsidRDefault="00960B12" w:rsidP="00863FB5">
      <w:pPr>
        <w:pStyle w:val="Heading3"/>
      </w:pPr>
      <w:bookmarkStart w:id="45" w:name="_Toc223634785"/>
      <w:r w:rsidRPr="007E5B70">
        <w:t>1.14.3 Temporal Boundaries (Time Boundaries)</w:t>
      </w:r>
      <w:bookmarkEnd w:id="45"/>
    </w:p>
    <w:p w14:paraId="4AA0321A" w14:textId="77777777" w:rsidR="000E6659" w:rsidRDefault="00960B12" w:rsidP="000C1F7C">
      <w:pPr>
        <w:spacing w:line="360" w:lineRule="auto"/>
        <w:rPr>
          <w:rFonts w:ascii="Times New Roman" w:hAnsi="Times New Roman" w:cs="Times New Roman"/>
          <w:szCs w:val="24"/>
        </w:rPr>
      </w:pPr>
      <w:r w:rsidRPr="00960B12">
        <w:rPr>
          <w:rFonts w:ascii="Times New Roman" w:hAnsi="Times New Roman" w:cs="Times New Roman"/>
          <w:szCs w:val="24"/>
        </w:rPr>
        <w:t xml:space="preserve">The study is limited to the period following completion of the 2025 Bottom-Up Risk Assessment cycle. Data </w:t>
      </w:r>
      <w:r w:rsidR="00F86418" w:rsidRPr="00960B12">
        <w:rPr>
          <w:rFonts w:ascii="Times New Roman" w:hAnsi="Times New Roman" w:cs="Times New Roman"/>
          <w:szCs w:val="24"/>
        </w:rPr>
        <w:t>was</w:t>
      </w:r>
      <w:r w:rsidRPr="00960B12">
        <w:rPr>
          <w:rFonts w:ascii="Times New Roman" w:hAnsi="Times New Roman" w:cs="Times New Roman"/>
          <w:szCs w:val="24"/>
        </w:rPr>
        <w:t xml:space="preserve"> collected through a cross-sectional survey administered after the BURA cycle was completed.</w:t>
      </w:r>
    </w:p>
    <w:p w14:paraId="34246922" w14:textId="437A6C79" w:rsidR="00F86418" w:rsidRPr="007E5B70" w:rsidRDefault="00960B12" w:rsidP="00863FB5">
      <w:pPr>
        <w:pStyle w:val="Heading3"/>
      </w:pPr>
      <w:bookmarkStart w:id="46" w:name="_Toc223634786"/>
      <w:r w:rsidRPr="007E5B70">
        <w:lastRenderedPageBreak/>
        <w:t>1.14.4 Human Boundaries (Population Boundaries)</w:t>
      </w:r>
      <w:bookmarkEnd w:id="46"/>
    </w:p>
    <w:p w14:paraId="453BF9DD" w14:textId="77777777" w:rsidR="000E6659" w:rsidRDefault="00960B12" w:rsidP="000C1F7C">
      <w:pPr>
        <w:spacing w:line="360" w:lineRule="auto"/>
        <w:rPr>
          <w:rFonts w:ascii="Times New Roman" w:hAnsi="Times New Roman" w:cs="Times New Roman"/>
          <w:szCs w:val="24"/>
        </w:rPr>
      </w:pPr>
      <w:r w:rsidRPr="00960B12">
        <w:rPr>
          <w:rFonts w:ascii="Times New Roman" w:hAnsi="Times New Roman" w:cs="Times New Roman"/>
          <w:szCs w:val="24"/>
        </w:rPr>
        <w:t>The study population includes employees within the Shared Services Organization under study. Participation was voluntary, and the sample reflects those employees who responded to the survey invitation during the data collection period.</w:t>
      </w:r>
    </w:p>
    <w:p w14:paraId="3E8BCCCB" w14:textId="0B57E013" w:rsidR="00F86418" w:rsidRPr="007E5B70" w:rsidRDefault="00960B12" w:rsidP="00863FB5">
      <w:pPr>
        <w:pStyle w:val="Heading3"/>
      </w:pPr>
      <w:bookmarkStart w:id="47" w:name="_Toc223634787"/>
      <w:r w:rsidRPr="007E5B70">
        <w:t>1.14.5 Methodological Boundaries</w:t>
      </w:r>
      <w:bookmarkEnd w:id="47"/>
    </w:p>
    <w:p w14:paraId="6E52896B" w14:textId="283980DE" w:rsidR="00F86418" w:rsidRDefault="00960B12" w:rsidP="000C1F7C">
      <w:pPr>
        <w:spacing w:line="360" w:lineRule="auto"/>
        <w:rPr>
          <w:rFonts w:ascii="Times New Roman" w:hAnsi="Times New Roman" w:cs="Times New Roman"/>
          <w:szCs w:val="24"/>
        </w:rPr>
      </w:pPr>
      <w:r w:rsidRPr="00960B12">
        <w:rPr>
          <w:rFonts w:ascii="Times New Roman" w:hAnsi="Times New Roman" w:cs="Times New Roman"/>
          <w:szCs w:val="24"/>
        </w:rPr>
        <w:t>The study relies on self-reported perceptions collected through a questionnaire. Additionally, the “organizational level” demographic variable showed inconsistencies in respondent interpretation and was therefore used for descriptive purposes only and not included in inferential hypothesis testing.</w:t>
      </w:r>
    </w:p>
    <w:p w14:paraId="76883D8F" w14:textId="12F6AAC4" w:rsidR="00020F95" w:rsidRDefault="00F86418" w:rsidP="00AC6804">
      <w:pPr>
        <w:pStyle w:val="Heading1"/>
      </w:pPr>
      <w:r>
        <w:rPr>
          <w:rFonts w:ascii="Times New Roman" w:hAnsi="Times New Roman" w:cs="Times New Roman"/>
          <w:sz w:val="24"/>
          <w:szCs w:val="24"/>
        </w:rPr>
        <w:br w:type="page"/>
      </w:r>
      <w:bookmarkStart w:id="48" w:name="_Toc223634788"/>
      <w:r w:rsidRPr="000E6659">
        <w:lastRenderedPageBreak/>
        <w:t>Chapter 2</w:t>
      </w:r>
      <w:bookmarkEnd w:id="48"/>
    </w:p>
    <w:p w14:paraId="56B01B7F" w14:textId="25EFAB38" w:rsidR="00F86418" w:rsidRPr="000E6659" w:rsidRDefault="00F86418" w:rsidP="00AC6804">
      <w:pPr>
        <w:pStyle w:val="Heading1"/>
      </w:pPr>
      <w:bookmarkStart w:id="49" w:name="_Toc223634789"/>
      <w:r w:rsidRPr="000E6659">
        <w:t>Theoretical Framework</w:t>
      </w:r>
      <w:bookmarkEnd w:id="49"/>
    </w:p>
    <w:p w14:paraId="1D9A3B05" w14:textId="77777777" w:rsidR="00F86418" w:rsidRPr="000E6659" w:rsidRDefault="00F86418" w:rsidP="00863FB5">
      <w:pPr>
        <w:pStyle w:val="Heading2"/>
      </w:pPr>
      <w:bookmarkStart w:id="50" w:name="_Toc223634790"/>
      <w:r w:rsidRPr="000E6659">
        <w:t>2.1 Enterprise Risk Management: From Structural Adoption to Behavioral Integration</w:t>
      </w:r>
      <w:bookmarkEnd w:id="50"/>
    </w:p>
    <w:p w14:paraId="56844B49" w14:textId="77777777" w:rsidR="00F86418" w:rsidRDefault="00F86418" w:rsidP="000C1F7C">
      <w:pPr>
        <w:spacing w:line="360" w:lineRule="auto"/>
        <w:rPr>
          <w:rFonts w:ascii="Times New Roman" w:hAnsi="Times New Roman" w:cs="Times New Roman"/>
          <w:szCs w:val="24"/>
        </w:rPr>
      </w:pPr>
      <w:r w:rsidRPr="00F86418">
        <w:rPr>
          <w:rFonts w:ascii="Times New Roman" w:hAnsi="Times New Roman" w:cs="Times New Roman"/>
          <w:szCs w:val="24"/>
        </w:rPr>
        <w:t>Enterprise Risk Management (ERM) emerged as an organizational response to the limitations of traditional, silo-based risk management approaches. Early risk management practices were primarily functional, fragmented, and focused on specific categories such as financial, operational, or compliance risks. Over time, organizations recognized that such compartmentalized approaches were insufficient in increasingly complex and interconnected governance environments. As a result, ERM evolved as an integrated framework designed to identify, assess, and manage risks holistically across the enterprise (Bromiley et al., 2015; Mikes &amp; Kaplan, 2015).</w:t>
      </w:r>
    </w:p>
    <w:p w14:paraId="10B5FCF4" w14:textId="3271F1DF" w:rsidR="00E7778E" w:rsidRDefault="0045003F" w:rsidP="00E7778E">
      <w:pPr>
        <w:keepNext/>
        <w:spacing w:before="240" w:after="240"/>
        <w:jc w:val="center"/>
      </w:pPr>
      <w:r w:rsidRPr="0045003F">
        <w:rPr>
          <w:rFonts w:ascii="Times New Roman" w:hAnsi="Times New Roman" w:cs="Times New Roman"/>
          <w:noProof/>
          <w:szCs w:val="24"/>
        </w:rPr>
        <mc:AlternateContent>
          <mc:Choice Requires="wps">
            <w:drawing>
              <wp:anchor distT="45720" distB="45720" distL="114300" distR="114300" simplePos="0" relativeHeight="251675648" behindDoc="0" locked="0" layoutInCell="1" allowOverlap="1" wp14:anchorId="2E96B5C4" wp14:editId="116BEA97">
                <wp:simplePos x="0" y="0"/>
                <wp:positionH relativeFrom="column">
                  <wp:posOffset>-269240</wp:posOffset>
                </wp:positionH>
                <wp:positionV relativeFrom="paragraph">
                  <wp:posOffset>2660650</wp:posOffset>
                </wp:positionV>
                <wp:extent cx="6838950" cy="401955"/>
                <wp:effectExtent l="0" t="0" r="0" b="0"/>
                <wp:wrapTopAndBottom/>
                <wp:docPr id="1272637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401955"/>
                        </a:xfrm>
                        <a:prstGeom prst="rect">
                          <a:avLst/>
                        </a:prstGeom>
                        <a:solidFill>
                          <a:srgbClr val="FFFFFF"/>
                        </a:solidFill>
                        <a:ln w="9525">
                          <a:noFill/>
                          <a:miter lim="800000"/>
                          <a:headEnd/>
                          <a:tailEnd/>
                        </a:ln>
                      </wps:spPr>
                      <wps:txbx>
                        <w:txbxContent>
                          <w:p w14:paraId="0281F0AB" w14:textId="73ACF5C3" w:rsidR="0045003F" w:rsidRDefault="0045003F" w:rsidP="0045003F">
                            <w:pPr>
                              <w:pStyle w:val="Caption"/>
                              <w:spacing w:after="0"/>
                              <w:jc w:val="center"/>
                            </w:pPr>
                            <w:r>
                              <w:t>Figure 2.</w:t>
                            </w:r>
                            <w:r>
                              <w:fldChar w:fldCharType="begin"/>
                            </w:r>
                            <w:r>
                              <w:instrText xml:space="preserve"> SEQ Figure_2. \* ARABIC </w:instrText>
                            </w:r>
                            <w:r>
                              <w:fldChar w:fldCharType="separate"/>
                            </w:r>
                            <w:r>
                              <w:rPr>
                                <w:noProof/>
                              </w:rPr>
                              <w:t>1</w:t>
                            </w:r>
                            <w:r>
                              <w:fldChar w:fldCharType="end"/>
                            </w:r>
                            <w:r>
                              <w:t xml:space="preserve"> ERM Integration Model</w:t>
                            </w:r>
                          </w:p>
                          <w:p w14:paraId="1971F05F" w14:textId="4D5D3E3D" w:rsidR="0045003F" w:rsidRDefault="0045003F" w:rsidP="0045003F">
                            <w:pPr>
                              <w:pStyle w:val="Caption"/>
                              <w:spacing w:after="0" w:line="240" w:lineRule="exact"/>
                              <w:jc w:val="center"/>
                            </w:pPr>
                            <w:r>
                              <w:t>Source: Developed by the researcher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96B5C4" id="_x0000_s1028" type="#_x0000_t202" style="position:absolute;left:0;text-align:left;margin-left:-21.2pt;margin-top:209.5pt;width:538.5pt;height:31.6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" stroked="f">
                <v:textbox>
                  <w:txbxContent>
                    <w:p w14:paraId="0281F0AB" w14:textId="73ACF5C3" w:rsidR="0045003F" w:rsidRDefault="0045003F" w:rsidP="0045003F">
                      <w:pPr>
                        <w:pStyle w:val="Caption"/>
                        <w:spacing w:after="0"/>
                        <w:jc w:val="center"/>
                      </w:pPr>
                      <w:r>
                        <w:t>Figure 2.</w:t>
                      </w:r>
                      <w:r>
                        <w:fldChar w:fldCharType="begin"/>
                      </w:r>
                      <w:r>
                        <w:instrText xml:space="preserve"> SEQ Figure_2. \* ARABIC </w:instrText>
                      </w:r>
                      <w:r>
                        <w:fldChar w:fldCharType="separate"/>
                      </w:r>
                      <w:r>
                        <w:rPr>
                          <w:noProof/>
                        </w:rPr>
                        <w:t>1</w:t>
                      </w:r>
                      <w:r>
                        <w:fldChar w:fldCharType="end"/>
                      </w:r>
                      <w:r>
                        <w:t xml:space="preserve"> ERM Integration Model</w:t>
                      </w:r>
                    </w:p>
                    <w:p w14:paraId="1971F05F" w14:textId="4D5D3E3D" w:rsidR="0045003F" w:rsidRDefault="0045003F" w:rsidP="0045003F">
                      <w:pPr>
                        <w:pStyle w:val="Caption"/>
                        <w:spacing w:after="0" w:line="240" w:lineRule="exact"/>
                        <w:jc w:val="center"/>
                      </w:pPr>
                      <w:r>
                        <w:t>Source: Developed by the researcher</w:t>
                      </w:r>
                    </w:p>
                  </w:txbxContent>
                </v:textbox>
                <w10:wrap type="topAndBottom"/>
              </v:shape>
            </w:pict>
          </mc:Fallback>
        </mc:AlternateContent>
      </w:r>
      <w:r w:rsidR="00E7778E" w:rsidRPr="00754FD5">
        <w:rPr>
          <w:rFonts w:ascii="Times New Roman" w:hAnsi="Times New Roman" w:cs="Times New Roman"/>
          <w:noProof/>
          <w:szCs w:val="24"/>
        </w:rPr>
        <w:drawing>
          <wp:inline distT="0" distB="0" distL="0" distR="0" wp14:anchorId="29DDB899" wp14:editId="39FF8965">
            <wp:extent cx="3809091" cy="2519252"/>
            <wp:effectExtent l="0" t="0" r="1270" b="0"/>
            <wp:docPr id="7" name="Picture 6">
              <a:extLst xmlns:a="http://schemas.openxmlformats.org/drawingml/2006/main">
                <a:ext uri="{FF2B5EF4-FFF2-40B4-BE49-F238E27FC236}">
                  <a16:creationId xmlns:a16="http://schemas.microsoft.com/office/drawing/2014/main" id="{C5F3EC6B-D31C-408D-890C-221687E038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C5F3EC6B-D31C-408D-890C-221687E038BF}"/>
                        </a:ext>
                      </a:extLst>
                    </pic:cNvPr>
                    <pic:cNvPicPr>
                      <a:picLocks noChangeAspect="1"/>
                    </pic:cNvPicPr>
                  </pic:nvPicPr>
                  <pic:blipFill>
                    <a:blip r:embed="rId13"/>
                    <a:stretch>
                      <a:fillRect/>
                    </a:stretch>
                  </pic:blipFill>
                  <pic:spPr>
                    <a:xfrm>
                      <a:off x="0" y="0"/>
                      <a:ext cx="3839144" cy="2539128"/>
                    </a:xfrm>
                    <a:prstGeom prst="rect">
                      <a:avLst/>
                    </a:prstGeom>
                  </pic:spPr>
                </pic:pic>
              </a:graphicData>
            </a:graphic>
          </wp:inline>
        </w:drawing>
      </w:r>
    </w:p>
    <w:p w14:paraId="391580B8" w14:textId="3D8BACD3" w:rsidR="00F86418" w:rsidRDefault="00F86418" w:rsidP="000C1F7C">
      <w:pPr>
        <w:spacing w:line="360" w:lineRule="auto"/>
        <w:rPr>
          <w:rFonts w:ascii="Times New Roman" w:hAnsi="Times New Roman" w:cs="Times New Roman"/>
          <w:szCs w:val="24"/>
        </w:rPr>
      </w:pPr>
      <w:r w:rsidRPr="00F86418">
        <w:rPr>
          <w:rFonts w:ascii="Times New Roman" w:hAnsi="Times New Roman" w:cs="Times New Roman"/>
          <w:szCs w:val="24"/>
        </w:rPr>
        <w:t>ERM is commonly conceptualized as a coordinated process that aligns risk management with strategic objectives and organizational performance. Rather than operating as a reactive control mechanism, ERM is intended to embed risk awareness into decision-making processes at multiple organizational levels. This shift reflects a broader transformation from risk management as a technical control function to risk governance as an organizational capability (Florio &amp; Leoni, 2017; McShane et al., 2016).</w:t>
      </w:r>
    </w:p>
    <w:p w14:paraId="5A64006B" w14:textId="1BD72810" w:rsidR="00F86418" w:rsidRDefault="00F86418" w:rsidP="000C1F7C">
      <w:pPr>
        <w:spacing w:line="360" w:lineRule="auto"/>
        <w:rPr>
          <w:rFonts w:ascii="Times New Roman" w:hAnsi="Times New Roman" w:cs="Times New Roman"/>
          <w:szCs w:val="24"/>
        </w:rPr>
      </w:pPr>
      <w:r w:rsidRPr="00F86418">
        <w:rPr>
          <w:rFonts w:ascii="Times New Roman" w:hAnsi="Times New Roman" w:cs="Times New Roman"/>
          <w:szCs w:val="24"/>
        </w:rPr>
        <w:t>However, empirical literature indicates that ERM implementation varies substantially in depth and effectiveness. Several studies distinguish between symbolic adoption</w:t>
      </w:r>
      <w:r w:rsidR="00F345C1">
        <w:rPr>
          <w:rFonts w:ascii="Times New Roman" w:hAnsi="Times New Roman" w:cs="Times New Roman"/>
          <w:szCs w:val="24"/>
        </w:rPr>
        <w:t xml:space="preserve">, </w:t>
      </w:r>
      <w:r w:rsidRPr="00F86418">
        <w:rPr>
          <w:rFonts w:ascii="Times New Roman" w:hAnsi="Times New Roman" w:cs="Times New Roman"/>
          <w:szCs w:val="24"/>
        </w:rPr>
        <w:t>where frameworks exist formally but lack behavioral integration</w:t>
      </w:r>
      <w:r w:rsidR="00F345C1">
        <w:rPr>
          <w:rFonts w:ascii="Times New Roman" w:hAnsi="Times New Roman" w:cs="Times New Roman"/>
          <w:szCs w:val="24"/>
        </w:rPr>
        <w:t xml:space="preserve">, </w:t>
      </w:r>
      <w:r w:rsidRPr="00F86418">
        <w:rPr>
          <w:rFonts w:ascii="Times New Roman" w:hAnsi="Times New Roman" w:cs="Times New Roman"/>
          <w:szCs w:val="24"/>
        </w:rPr>
        <w:t>and substantive adoption</w:t>
      </w:r>
      <w:r w:rsidR="00F345C1">
        <w:rPr>
          <w:rFonts w:ascii="Times New Roman" w:hAnsi="Times New Roman" w:cs="Times New Roman"/>
          <w:szCs w:val="24"/>
        </w:rPr>
        <w:t xml:space="preserve">, </w:t>
      </w:r>
      <w:r w:rsidRPr="00F86418">
        <w:rPr>
          <w:rFonts w:ascii="Times New Roman" w:hAnsi="Times New Roman" w:cs="Times New Roman"/>
          <w:szCs w:val="24"/>
        </w:rPr>
        <w:t xml:space="preserve">where risk management principles </w:t>
      </w:r>
      <w:r w:rsidRPr="00F86418">
        <w:rPr>
          <w:rFonts w:ascii="Times New Roman" w:hAnsi="Times New Roman" w:cs="Times New Roman"/>
          <w:szCs w:val="24"/>
        </w:rPr>
        <w:lastRenderedPageBreak/>
        <w:t>influence daily practices and managerial decisions (Bromiley et al., 2015; Lundqvist, 2015). Organizations may adopt ERM in response to regulatory pressure, stakeholder expectations, or reputational considerations, yet fail to embed it meaningfully within operational processes.</w:t>
      </w:r>
    </w:p>
    <w:p w14:paraId="7AB18A9C" w14:textId="77777777" w:rsidR="00F86418" w:rsidRDefault="00F86418" w:rsidP="000C1F7C">
      <w:pPr>
        <w:spacing w:line="360" w:lineRule="auto"/>
        <w:rPr>
          <w:rFonts w:ascii="Times New Roman" w:hAnsi="Times New Roman" w:cs="Times New Roman"/>
          <w:szCs w:val="24"/>
        </w:rPr>
      </w:pPr>
      <w:r w:rsidRPr="00F86418">
        <w:rPr>
          <w:rFonts w:ascii="Times New Roman" w:hAnsi="Times New Roman" w:cs="Times New Roman"/>
          <w:szCs w:val="24"/>
        </w:rPr>
        <w:t xml:space="preserve">The effectiveness of ERM therefore depends not merely on structural presence but on integration into governance routines. Farrell and Gallagher (2015) demonstrate that ERM maturity, rather than simple adoption, is associated with enhanced firm valuation. Similarly, </w:t>
      </w:r>
      <w:proofErr w:type="spellStart"/>
      <w:r w:rsidRPr="00F86418">
        <w:rPr>
          <w:rFonts w:ascii="Times New Roman" w:hAnsi="Times New Roman" w:cs="Times New Roman"/>
          <w:szCs w:val="24"/>
        </w:rPr>
        <w:t>Gatzert</w:t>
      </w:r>
      <w:proofErr w:type="spellEnd"/>
      <w:r w:rsidRPr="00F86418">
        <w:rPr>
          <w:rFonts w:ascii="Times New Roman" w:hAnsi="Times New Roman" w:cs="Times New Roman"/>
          <w:szCs w:val="24"/>
        </w:rPr>
        <w:t xml:space="preserve"> and Martin (2015) argue that contextual and governance factors determine whether ERM contributes to measurable organizational outcomes. These findings collectively suggest that ERM becomes impactful when it transcends procedural compliance and shapes behavioral norms within the organization.</w:t>
      </w:r>
    </w:p>
    <w:p w14:paraId="184364A6" w14:textId="77777777" w:rsidR="00F86418" w:rsidRDefault="00F86418" w:rsidP="000C1F7C">
      <w:pPr>
        <w:spacing w:line="360" w:lineRule="auto"/>
        <w:rPr>
          <w:rFonts w:ascii="Times New Roman" w:hAnsi="Times New Roman" w:cs="Times New Roman"/>
          <w:szCs w:val="24"/>
        </w:rPr>
      </w:pPr>
      <w:r w:rsidRPr="00F86418">
        <w:rPr>
          <w:rFonts w:ascii="Times New Roman" w:hAnsi="Times New Roman" w:cs="Times New Roman"/>
          <w:szCs w:val="24"/>
        </w:rPr>
        <w:t>This behavioral dimension is particularly important in complex organizational structures. Ai et al. (2018) show that ERM contributes more effectively to performance in diversified and structurally complex firms. Their findings imply that ERM’s value increases in environments characterized by interdependence and coordination challenges. In such contexts, structured governance mechanisms must influence not only risk identification processes but also accountability clarity and cross-functional communication.</w:t>
      </w:r>
    </w:p>
    <w:p w14:paraId="70D142F3" w14:textId="77777777" w:rsidR="00F86418" w:rsidRDefault="00F86418" w:rsidP="000C1F7C">
      <w:pPr>
        <w:spacing w:line="360" w:lineRule="auto"/>
        <w:rPr>
          <w:rFonts w:ascii="Times New Roman" w:hAnsi="Times New Roman" w:cs="Times New Roman"/>
          <w:szCs w:val="24"/>
        </w:rPr>
      </w:pPr>
      <w:r w:rsidRPr="00F86418">
        <w:rPr>
          <w:rFonts w:ascii="Times New Roman" w:hAnsi="Times New Roman" w:cs="Times New Roman"/>
          <w:szCs w:val="24"/>
        </w:rPr>
        <w:t>Recent scholarship further emphasizes that ERM effectiveness is closely linked to organizational culture. Sheedy and Griffin (2018) argue that formal governance structures alone cannot guarantee risk management success without corresponding cultural reinforcement. Power (2016) similarly contends that risk culture is produced through organizational routines and managerial signals, rather than documentation alone. These perspectives reinforce the notion that ERM should be understood not simply as a framework but as a governance system that requires behavioral embedding.</w:t>
      </w:r>
    </w:p>
    <w:p w14:paraId="0E450158" w14:textId="0467ADEC" w:rsidR="00F86418" w:rsidRDefault="00F86418" w:rsidP="000C1F7C">
      <w:pPr>
        <w:spacing w:line="360" w:lineRule="auto"/>
        <w:rPr>
          <w:rFonts w:ascii="Times New Roman" w:hAnsi="Times New Roman" w:cs="Times New Roman"/>
          <w:szCs w:val="24"/>
        </w:rPr>
      </w:pPr>
      <w:r w:rsidRPr="00F86418">
        <w:rPr>
          <w:rFonts w:ascii="Times New Roman" w:hAnsi="Times New Roman" w:cs="Times New Roman"/>
          <w:szCs w:val="24"/>
        </w:rPr>
        <w:t>Within this theoretical landscape, Bottom-Up Risk Assessment (BURA) represents a specific operational mechanism within ERM. While ERM provides structural architecture, BURA functions as a participatory process designed to engage employees directly in identifying and assessing risks. Theoretically, such mechanisms can serve as vehicles for translating governance design into behavioral practice. If ERM is conceptualized as an integrated governance system, then participatory processes become essential instruments for ensuring that risk management is internalized across organizational levels.</w:t>
      </w:r>
    </w:p>
    <w:p w14:paraId="73D753D6" w14:textId="543EADE6" w:rsidR="00F86418" w:rsidRDefault="00F86418" w:rsidP="000C1F7C">
      <w:pPr>
        <w:spacing w:line="360" w:lineRule="auto"/>
        <w:rPr>
          <w:rFonts w:ascii="Times New Roman" w:hAnsi="Times New Roman" w:cs="Times New Roman"/>
          <w:szCs w:val="24"/>
        </w:rPr>
      </w:pPr>
      <w:r w:rsidRPr="00F86418">
        <w:rPr>
          <w:rFonts w:ascii="Times New Roman" w:hAnsi="Times New Roman" w:cs="Times New Roman"/>
          <w:szCs w:val="24"/>
        </w:rPr>
        <w:t xml:space="preserve">Accordingly, this study adopts the premise that ERM effectiveness cannot be evaluated solely through structural maturity or performance metrics. Instead, it must also be examined through its influence on behavioral constructs such as ownership, accountability, awareness, and proactive risk engagement. This perspective provides the foundation for examining how participatory risk </w:t>
      </w:r>
      <w:r w:rsidRPr="00F86418">
        <w:rPr>
          <w:rFonts w:ascii="Times New Roman" w:hAnsi="Times New Roman" w:cs="Times New Roman"/>
          <w:szCs w:val="24"/>
        </w:rPr>
        <w:lastRenderedPageBreak/>
        <w:t>mechanisms within ERM may contribute to strengthening risk culture in centralized Shared Services environments.</w:t>
      </w:r>
    </w:p>
    <w:p w14:paraId="38A12F6E" w14:textId="77777777" w:rsidR="00F345C1" w:rsidRPr="00863FB5" w:rsidRDefault="00F345C1" w:rsidP="00863FB5">
      <w:pPr>
        <w:pStyle w:val="Heading2"/>
      </w:pPr>
      <w:bookmarkStart w:id="51" w:name="_Toc223634791"/>
      <w:r w:rsidRPr="00863FB5">
        <w:t>2.2 Participatory Risk Governance and Bottom-Up Mechanisms</w:t>
      </w:r>
      <w:bookmarkEnd w:id="51"/>
    </w:p>
    <w:p w14:paraId="37525268"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The evolution of Enterprise Risk Management has increasingly emphasized participation as a critical component of effective governance. While early ERM implementations relied heavily on centralized oversight and executive-level risk identification, contemporary governance scholarship recognizes that risk information often originates at operational levels (Bromiley et al., 2015; Mikes &amp; Kaplan, 2015). Employees closest to processes, systems, and stakeholders frequently possess the most immediate awareness of emerging uncertainties. Consequently, excluding operational actors from structured risk assessment may create informational asymmetry within governance systems.</w:t>
      </w:r>
    </w:p>
    <w:p w14:paraId="178D840A"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Participatory governance theory suggests that involvement in structured organizational processes enhances psychological ownership and perceived responsibility. When individuals actively contribute to identifying and assessing risks, they are more likely to internalize accountability for outcomes. Participation transforms risk management from an imposed control mechanism into a shared organizational responsibility. In contrast, purely top-down systems risk reinforcing compliance behavior without genuine behavioral engagement.</w:t>
      </w:r>
    </w:p>
    <w:p w14:paraId="2A52281C"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Bottom-Up Risk Assessment (BURA) represents an operational embodiment of participatory governance within ERM frameworks. Rather than concentrating risk identification at executive or board levels, BURA systematically engages representatives from functional units in identifying uncertainties relevant to their operational contexts. This approach aligns with the notion that governance effectiveness increases when responsibility is distributed rather than centralized (Ai et al., 2018).</w:t>
      </w:r>
    </w:p>
    <w:p w14:paraId="27B18385"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From a behavioral standpoint, structured participation may influence several mechanisms:</w:t>
      </w:r>
    </w:p>
    <w:p w14:paraId="2B7A7E98" w14:textId="77777777" w:rsidR="00F345C1" w:rsidRPr="00F345C1" w:rsidRDefault="00F345C1" w:rsidP="003D77CD">
      <w:pPr>
        <w:pStyle w:val="ListParagraph"/>
        <w:numPr>
          <w:ilvl w:val="0"/>
          <w:numId w:val="63"/>
        </w:numPr>
        <w:spacing w:after="120" w:line="360" w:lineRule="auto"/>
        <w:rPr>
          <w:rFonts w:ascii="Times New Roman" w:hAnsi="Times New Roman" w:cs="Times New Roman"/>
          <w:szCs w:val="24"/>
        </w:rPr>
      </w:pPr>
      <w:r w:rsidRPr="00F345C1">
        <w:rPr>
          <w:rFonts w:ascii="Times New Roman" w:hAnsi="Times New Roman" w:cs="Times New Roman"/>
          <w:szCs w:val="24"/>
        </w:rPr>
        <w:t>Clarification of ownership – Individuals who articulate risks become more conscious of their proximity to those risks.</w:t>
      </w:r>
    </w:p>
    <w:p w14:paraId="60BD7A13" w14:textId="77777777" w:rsidR="00F345C1" w:rsidRPr="00F345C1" w:rsidRDefault="00F345C1" w:rsidP="003D77CD">
      <w:pPr>
        <w:pStyle w:val="ListParagraph"/>
        <w:numPr>
          <w:ilvl w:val="0"/>
          <w:numId w:val="63"/>
        </w:numPr>
        <w:spacing w:after="120" w:line="360" w:lineRule="auto"/>
        <w:rPr>
          <w:rFonts w:ascii="Times New Roman" w:hAnsi="Times New Roman" w:cs="Times New Roman"/>
          <w:szCs w:val="24"/>
        </w:rPr>
      </w:pPr>
      <w:r w:rsidRPr="00F345C1">
        <w:rPr>
          <w:rFonts w:ascii="Times New Roman" w:hAnsi="Times New Roman" w:cs="Times New Roman"/>
          <w:szCs w:val="24"/>
        </w:rPr>
        <w:t>Strengthening accountability – Public articulation of risks reinforces responsibility for mitigation actions.</w:t>
      </w:r>
    </w:p>
    <w:p w14:paraId="7404ABD7" w14:textId="77777777" w:rsidR="00F345C1" w:rsidRPr="00F345C1" w:rsidRDefault="00F345C1" w:rsidP="003D77CD">
      <w:pPr>
        <w:pStyle w:val="ListParagraph"/>
        <w:numPr>
          <w:ilvl w:val="0"/>
          <w:numId w:val="63"/>
        </w:numPr>
        <w:spacing w:after="120" w:line="360" w:lineRule="auto"/>
        <w:rPr>
          <w:rFonts w:ascii="Times New Roman" w:hAnsi="Times New Roman" w:cs="Times New Roman"/>
          <w:szCs w:val="24"/>
        </w:rPr>
      </w:pPr>
      <w:r w:rsidRPr="00F345C1">
        <w:rPr>
          <w:rFonts w:ascii="Times New Roman" w:hAnsi="Times New Roman" w:cs="Times New Roman"/>
          <w:szCs w:val="24"/>
        </w:rPr>
        <w:t>Enhancing awareness – Participation expands understanding of cross-functional interdependencies.</w:t>
      </w:r>
    </w:p>
    <w:p w14:paraId="39B9414A" w14:textId="77777777" w:rsidR="00F345C1" w:rsidRDefault="00F345C1" w:rsidP="003D77CD">
      <w:pPr>
        <w:pStyle w:val="ListParagraph"/>
        <w:numPr>
          <w:ilvl w:val="0"/>
          <w:numId w:val="63"/>
        </w:numPr>
        <w:spacing w:after="120" w:line="360" w:lineRule="auto"/>
        <w:rPr>
          <w:rFonts w:ascii="Times New Roman" w:hAnsi="Times New Roman" w:cs="Times New Roman"/>
          <w:szCs w:val="24"/>
        </w:rPr>
      </w:pPr>
      <w:r w:rsidRPr="00F345C1">
        <w:rPr>
          <w:rFonts w:ascii="Times New Roman" w:hAnsi="Times New Roman" w:cs="Times New Roman"/>
          <w:szCs w:val="24"/>
        </w:rPr>
        <w:t>Encouraging proactive behavior – Employees become more likely to escalate concerns early.</w:t>
      </w:r>
    </w:p>
    <w:p w14:paraId="6BE11C4D"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lastRenderedPageBreak/>
        <w:t>These mechanisms reflect cultural processes rather than technical ones. As Arena et al. (2015) observe, ERM implementation is shaped by internal organizational dynamics and actor engagement. Governance processes are enacted through people, not documents. Therefore, the degree of engagement within risk assessment processes can significantly influence whether risk management becomes behaviorally embedded.</w:t>
      </w:r>
    </w:p>
    <w:p w14:paraId="44FF5C90" w14:textId="6D2DA3BF"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However, participatory mechanisms do not automatically guarantee cultural transformation. Without reinforcement from leadership and structural clarity, participation may remain episodic rather than sustained. As Lundqvist (2015) notes, governance systems must move beyond symbolic participation to achieve substantive integration. Participation must be perceived as meaningful and consequential to influence behavior.</w:t>
      </w:r>
    </w:p>
    <w:p w14:paraId="20D6B17B"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Within centralized organizational structures such as Shared Services models, participatory mechanisms may be particularly significant. Shared Services environments typically integrate multiple functional domains under unified oversight. This structural arrangement increases interdependence across units while potentially diffusing responsibility boundaries. In such settings, bottom-up engagement may function as a structural stabilizer, clarifying accountability within interconnected governance systems.</w:t>
      </w:r>
    </w:p>
    <w:p w14:paraId="017EEEE4" w14:textId="292B88AD"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Accordingly, this study adopts the theoretical premise that BURA operates as a participatory governance mechanism capable of influencing behavioral dimensions of risk culture. Rather than treating risk assessment as a purely technical exercise, this research conceptualizes it as a behavioral intervention embedded within ERM architecture.</w:t>
      </w:r>
    </w:p>
    <w:p w14:paraId="659B01DA" w14:textId="77777777" w:rsidR="00F345C1" w:rsidRPr="000E6659" w:rsidRDefault="00F345C1" w:rsidP="00863FB5">
      <w:pPr>
        <w:pStyle w:val="Heading2"/>
      </w:pPr>
      <w:bookmarkStart w:id="52" w:name="_Toc223634792"/>
      <w:r w:rsidRPr="000E6659">
        <w:t>2.3 Risk Culture: Conceptualization and Measurement</w:t>
      </w:r>
      <w:bookmarkEnd w:id="52"/>
    </w:p>
    <w:p w14:paraId="5EA903B6"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Risk culture has increasingly emerged as a central construct in governance and risk management literature. While early ERM discussions focused primarily on structural design and procedural integration, subsequent regulatory reforms and academic scholarship have emphasized the behavioral dimensions of risk governance (Power, 2016; Palermo et al., 2017). Risk culture reflects how individuals and groups within an organization perceive, interpret, and respond to uncertainty.</w:t>
      </w:r>
    </w:p>
    <w:p w14:paraId="1CD72CB1"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 xml:space="preserve">Conceptually, risk culture can be understood as the shared norms, values, and expectations that shape risk-related behavior. Unlike formal policies or documented procedures, culture manifests through consistent patterns of action. It influences whether employees escalate concerns, accept accountability, communicate uncertainties transparently, or proactively address emerging threats. As </w:t>
      </w:r>
      <w:r w:rsidRPr="00F345C1">
        <w:rPr>
          <w:rFonts w:ascii="Times New Roman" w:hAnsi="Times New Roman" w:cs="Times New Roman"/>
          <w:szCs w:val="24"/>
        </w:rPr>
        <w:lastRenderedPageBreak/>
        <w:t>Sheedy and Griffin (2018) argue, governance structures may define formal responsibilities, but culture determines whether those responsibilities are enacted meaningfully.</w:t>
      </w:r>
    </w:p>
    <w:p w14:paraId="1843732F"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Two primary perspectives dominate the literature on risk culture</w:t>
      </w:r>
      <w:r>
        <w:rPr>
          <w:rFonts w:ascii="Times New Roman" w:hAnsi="Times New Roman" w:cs="Times New Roman"/>
          <w:szCs w:val="24"/>
        </w:rPr>
        <w:t>:</w:t>
      </w:r>
    </w:p>
    <w:p w14:paraId="1C26980C" w14:textId="44B614A9"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 xml:space="preserve">The first is a regulatory perspective, which frames risk culture as a compliance-oriented </w:t>
      </w:r>
      <w:proofErr w:type="gramStart"/>
      <w:r w:rsidRPr="00F345C1">
        <w:rPr>
          <w:rFonts w:ascii="Times New Roman" w:hAnsi="Times New Roman" w:cs="Times New Roman"/>
          <w:szCs w:val="24"/>
        </w:rPr>
        <w:t>construct</w:t>
      </w:r>
      <w:proofErr w:type="gramEnd"/>
      <w:r w:rsidRPr="00F345C1">
        <w:rPr>
          <w:rFonts w:ascii="Times New Roman" w:hAnsi="Times New Roman" w:cs="Times New Roman"/>
          <w:szCs w:val="24"/>
        </w:rPr>
        <w:t>. Following major financial crises, regulatory bodies emphasized cultural reform as a mechanism to prevent excessive risk-taking and misconduct. Within this view, risk culture is assessed through adherence to formal frameworks and control standards (Power, 2016). While important, this perspective risks equating cultural strength with procedural conformity.</w:t>
      </w:r>
    </w:p>
    <w:p w14:paraId="23CBA426"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 xml:space="preserve">The second perspective adopts a behavioral organizational lens, conceptualizing risk culture as embedded in everyday practices. Palermo et al. (2017) </w:t>
      </w:r>
      <w:proofErr w:type="gramStart"/>
      <w:r w:rsidRPr="00F345C1">
        <w:rPr>
          <w:rFonts w:ascii="Times New Roman" w:hAnsi="Times New Roman" w:cs="Times New Roman"/>
          <w:szCs w:val="24"/>
        </w:rPr>
        <w:t>describe</w:t>
      </w:r>
      <w:proofErr w:type="gramEnd"/>
      <w:r w:rsidRPr="00F345C1">
        <w:rPr>
          <w:rFonts w:ascii="Times New Roman" w:hAnsi="Times New Roman" w:cs="Times New Roman"/>
          <w:szCs w:val="24"/>
        </w:rPr>
        <w:t xml:space="preserve"> risk culture as socially constructed through routines, communication patterns, and leadership signals. From this standpoint, culture is not imposed but produced through interaction. Accountability clarity, openness to dialogue, and responsiveness to risk signals collectively define cultural maturity.</w:t>
      </w:r>
    </w:p>
    <w:p w14:paraId="65885218"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 xml:space="preserve">Measurement of risk culture presents methodological challenges. Culture is inherently intangible, and reliance on self-reported perceptions may introduce response bias. However, empirical research demonstrates that carefully designed instruments can operationalize behavioral dimensions reliably (Agarwal et al., 2019; Bockius &amp; </w:t>
      </w:r>
      <w:proofErr w:type="spellStart"/>
      <w:r w:rsidRPr="00F345C1">
        <w:rPr>
          <w:rFonts w:ascii="Times New Roman" w:hAnsi="Times New Roman" w:cs="Times New Roman"/>
          <w:szCs w:val="24"/>
        </w:rPr>
        <w:t>Gatzert</w:t>
      </w:r>
      <w:proofErr w:type="spellEnd"/>
      <w:r w:rsidRPr="00F345C1">
        <w:rPr>
          <w:rFonts w:ascii="Times New Roman" w:hAnsi="Times New Roman" w:cs="Times New Roman"/>
          <w:szCs w:val="24"/>
        </w:rPr>
        <w:t xml:space="preserve">, 2024). Rather than attempting to measure abstract values, contemporary studies focus on observable </w:t>
      </w:r>
      <w:proofErr w:type="gramStart"/>
      <w:r w:rsidRPr="00F345C1">
        <w:rPr>
          <w:rFonts w:ascii="Times New Roman" w:hAnsi="Times New Roman" w:cs="Times New Roman"/>
          <w:szCs w:val="24"/>
        </w:rPr>
        <w:t>constructs</w:t>
      </w:r>
      <w:proofErr w:type="gramEnd"/>
      <w:r w:rsidRPr="00F345C1">
        <w:rPr>
          <w:rFonts w:ascii="Times New Roman" w:hAnsi="Times New Roman" w:cs="Times New Roman"/>
          <w:szCs w:val="24"/>
        </w:rPr>
        <w:t xml:space="preserve"> such as:</w:t>
      </w:r>
    </w:p>
    <w:p w14:paraId="5BD4F621" w14:textId="77777777" w:rsidR="00F345C1" w:rsidRPr="00F345C1" w:rsidRDefault="00F345C1" w:rsidP="0023202D">
      <w:pPr>
        <w:pStyle w:val="ListParagraph"/>
        <w:numPr>
          <w:ilvl w:val="0"/>
          <w:numId w:val="12"/>
        </w:numPr>
        <w:spacing w:before="240" w:after="240"/>
        <w:rPr>
          <w:rFonts w:ascii="Times New Roman" w:hAnsi="Times New Roman" w:cs="Times New Roman"/>
          <w:szCs w:val="24"/>
        </w:rPr>
      </w:pPr>
      <w:r w:rsidRPr="00F345C1">
        <w:rPr>
          <w:rFonts w:ascii="Times New Roman" w:hAnsi="Times New Roman" w:cs="Times New Roman"/>
          <w:szCs w:val="24"/>
        </w:rPr>
        <w:t>Clarity of risk ownership</w:t>
      </w:r>
    </w:p>
    <w:p w14:paraId="6FC5FE95" w14:textId="77777777" w:rsidR="00F345C1" w:rsidRPr="00F345C1" w:rsidRDefault="00F345C1" w:rsidP="0023202D">
      <w:pPr>
        <w:pStyle w:val="ListParagraph"/>
        <w:numPr>
          <w:ilvl w:val="0"/>
          <w:numId w:val="12"/>
        </w:numPr>
        <w:spacing w:before="240" w:after="240"/>
        <w:rPr>
          <w:rFonts w:ascii="Times New Roman" w:hAnsi="Times New Roman" w:cs="Times New Roman"/>
          <w:szCs w:val="24"/>
        </w:rPr>
      </w:pPr>
      <w:r w:rsidRPr="00F345C1">
        <w:rPr>
          <w:rFonts w:ascii="Times New Roman" w:hAnsi="Times New Roman" w:cs="Times New Roman"/>
          <w:szCs w:val="24"/>
        </w:rPr>
        <w:t>Perceived accountability</w:t>
      </w:r>
    </w:p>
    <w:p w14:paraId="69618C52" w14:textId="77777777" w:rsidR="00F345C1" w:rsidRPr="00F345C1" w:rsidRDefault="00F345C1" w:rsidP="0023202D">
      <w:pPr>
        <w:pStyle w:val="ListParagraph"/>
        <w:numPr>
          <w:ilvl w:val="0"/>
          <w:numId w:val="12"/>
        </w:numPr>
        <w:spacing w:before="240" w:after="240"/>
        <w:rPr>
          <w:rFonts w:ascii="Times New Roman" w:hAnsi="Times New Roman" w:cs="Times New Roman"/>
          <w:szCs w:val="24"/>
        </w:rPr>
      </w:pPr>
      <w:r w:rsidRPr="00F345C1">
        <w:rPr>
          <w:rFonts w:ascii="Times New Roman" w:hAnsi="Times New Roman" w:cs="Times New Roman"/>
          <w:szCs w:val="24"/>
        </w:rPr>
        <w:t>Timeliness of risk identification</w:t>
      </w:r>
    </w:p>
    <w:p w14:paraId="4CC8B4B0" w14:textId="77777777" w:rsidR="00F345C1" w:rsidRPr="00F345C1" w:rsidRDefault="00F345C1" w:rsidP="0023202D">
      <w:pPr>
        <w:pStyle w:val="ListParagraph"/>
        <w:numPr>
          <w:ilvl w:val="0"/>
          <w:numId w:val="12"/>
        </w:numPr>
        <w:spacing w:before="240" w:after="240"/>
        <w:rPr>
          <w:rFonts w:ascii="Times New Roman" w:hAnsi="Times New Roman" w:cs="Times New Roman"/>
          <w:szCs w:val="24"/>
        </w:rPr>
      </w:pPr>
      <w:r w:rsidRPr="00F345C1">
        <w:rPr>
          <w:rFonts w:ascii="Times New Roman" w:hAnsi="Times New Roman" w:cs="Times New Roman"/>
          <w:szCs w:val="24"/>
        </w:rPr>
        <w:t>Transparency in communication</w:t>
      </w:r>
    </w:p>
    <w:p w14:paraId="7CD6C1FF" w14:textId="77777777" w:rsidR="00F345C1" w:rsidRPr="00F345C1" w:rsidRDefault="00F345C1" w:rsidP="0023202D">
      <w:pPr>
        <w:pStyle w:val="ListParagraph"/>
        <w:numPr>
          <w:ilvl w:val="0"/>
          <w:numId w:val="12"/>
        </w:numPr>
        <w:spacing w:before="240" w:after="240"/>
        <w:rPr>
          <w:rFonts w:ascii="Times New Roman" w:hAnsi="Times New Roman" w:cs="Times New Roman"/>
          <w:szCs w:val="24"/>
        </w:rPr>
      </w:pPr>
      <w:r w:rsidRPr="00F345C1">
        <w:rPr>
          <w:rFonts w:ascii="Times New Roman" w:hAnsi="Times New Roman" w:cs="Times New Roman"/>
          <w:szCs w:val="24"/>
        </w:rPr>
        <w:t>Proactive escalation behavior</w:t>
      </w:r>
    </w:p>
    <w:p w14:paraId="0E4ED9A5"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This behavioral operationalization aligns with the view that culture becomes visible through consistent organizational conduct.</w:t>
      </w:r>
    </w:p>
    <w:p w14:paraId="22936A9A"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 xml:space="preserve">Importantly, risk culture does not develop independently of governance mechanisms. Structural frameworks provide the architecture within which cultural norms are reinforced or weakened. For example, if risk escalation is discouraged implicitly through managerial reactions, cultural deterrence may undermine formal reporting channels. Conversely, when leadership consistently rewards transparency and early identification of risks, cultural reinforcement strengthens (Bockius &amp; </w:t>
      </w:r>
      <w:proofErr w:type="spellStart"/>
      <w:r w:rsidRPr="00F345C1">
        <w:rPr>
          <w:rFonts w:ascii="Times New Roman" w:hAnsi="Times New Roman" w:cs="Times New Roman"/>
          <w:szCs w:val="24"/>
        </w:rPr>
        <w:t>Gatzert</w:t>
      </w:r>
      <w:proofErr w:type="spellEnd"/>
      <w:r w:rsidRPr="00F345C1">
        <w:rPr>
          <w:rFonts w:ascii="Times New Roman" w:hAnsi="Times New Roman" w:cs="Times New Roman"/>
          <w:szCs w:val="24"/>
        </w:rPr>
        <w:t>, 2024).</w:t>
      </w:r>
    </w:p>
    <w:p w14:paraId="3C414D07" w14:textId="77777777" w:rsidR="00754FD5"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lastRenderedPageBreak/>
        <w:t xml:space="preserve">Within the context of participatory risk processes, measurement becomes particularly relevant. If structured mechanisms such as Bottom-Up Risk Assessment are theorized to enhance cultural dimensions, then these dimensions must be defined and assessed in measurable terms. </w:t>
      </w:r>
    </w:p>
    <w:p w14:paraId="564E6763" w14:textId="26048686" w:rsidR="00C90B31" w:rsidRDefault="0045003F" w:rsidP="00C90B31">
      <w:pPr>
        <w:keepNext/>
        <w:spacing w:before="240" w:after="240"/>
        <w:jc w:val="center"/>
      </w:pPr>
      <w:r w:rsidRPr="0045003F">
        <w:rPr>
          <w:rFonts w:ascii="Times New Roman" w:hAnsi="Times New Roman" w:cs="Times New Roman"/>
          <w:noProof/>
          <w:szCs w:val="24"/>
        </w:rPr>
        <mc:AlternateContent>
          <mc:Choice Requires="wps">
            <w:drawing>
              <wp:anchor distT="45720" distB="45720" distL="114300" distR="114300" simplePos="0" relativeHeight="251677696" behindDoc="0" locked="0" layoutInCell="1" allowOverlap="1" wp14:anchorId="2E8C7A1E" wp14:editId="0F4E9540">
                <wp:simplePos x="0" y="0"/>
                <wp:positionH relativeFrom="column">
                  <wp:posOffset>-269240</wp:posOffset>
                </wp:positionH>
                <wp:positionV relativeFrom="paragraph">
                  <wp:posOffset>4329430</wp:posOffset>
                </wp:positionV>
                <wp:extent cx="6810375" cy="1404620"/>
                <wp:effectExtent l="0" t="0" r="28575" b="13970"/>
                <wp:wrapTopAndBottom/>
                <wp:docPr id="17113367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0375" cy="1404620"/>
                        </a:xfrm>
                        <a:prstGeom prst="rect">
                          <a:avLst/>
                        </a:prstGeom>
                        <a:solidFill>
                          <a:srgbClr val="FFFFFF"/>
                        </a:solidFill>
                        <a:ln w="9525">
                          <a:solidFill>
                            <a:srgbClr val="000000"/>
                          </a:solidFill>
                          <a:miter lim="800000"/>
                          <a:headEnd/>
                          <a:tailEnd/>
                        </a:ln>
                      </wps:spPr>
                      <wps:txbx>
                        <w:txbxContent>
                          <w:p w14:paraId="3FA14DD2" w14:textId="350A82F0" w:rsidR="0045003F" w:rsidRDefault="0045003F" w:rsidP="0045003F">
                            <w:pPr>
                              <w:pStyle w:val="Caption"/>
                              <w:spacing w:after="0" w:line="240" w:lineRule="exact"/>
                              <w:jc w:val="center"/>
                            </w:pPr>
                            <w:r>
                              <w:t>Figure 2.2 Risk Culture Dimensions Model</w:t>
                            </w:r>
                          </w:p>
                          <w:p w14:paraId="7C49FBF1" w14:textId="6F4E07CD" w:rsidR="0045003F" w:rsidRDefault="0045003F" w:rsidP="0045003F">
                            <w:pPr>
                              <w:pStyle w:val="Caption"/>
                              <w:spacing w:after="0" w:line="240" w:lineRule="exact"/>
                              <w:jc w:val="center"/>
                            </w:pPr>
                            <w:r>
                              <w:t>Source: Developed by the researcher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8C7A1E" id="_x0000_s1029" type="#_x0000_t202" style="position:absolute;left:0;text-align:left;margin-left:-21.2pt;margin-top:340.9pt;width:536.25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">
                <v:textbox style="mso-fit-shape-to-text:t">
                  <w:txbxContent>
                    <w:p w14:paraId="3FA14DD2" w14:textId="350A82F0" w:rsidR="0045003F" w:rsidRDefault="0045003F" w:rsidP="0045003F">
                      <w:pPr>
                        <w:pStyle w:val="Caption"/>
                        <w:spacing w:after="0" w:line="240" w:lineRule="exact"/>
                        <w:jc w:val="center"/>
                      </w:pPr>
                      <w:r>
                        <w:t>Figure 2.2 Risk Culture Dimensions Model</w:t>
                      </w:r>
                    </w:p>
                    <w:p w14:paraId="7C49FBF1" w14:textId="6F4E07CD" w:rsidR="0045003F" w:rsidRDefault="0045003F" w:rsidP="0045003F">
                      <w:pPr>
                        <w:pStyle w:val="Caption"/>
                        <w:spacing w:after="0" w:line="240" w:lineRule="exact"/>
                        <w:jc w:val="center"/>
                      </w:pPr>
                      <w:r>
                        <w:t>Source: Developed by the researcher</w:t>
                      </w:r>
                    </w:p>
                  </w:txbxContent>
                </v:textbox>
                <w10:wrap type="topAndBottom"/>
              </v:shape>
            </w:pict>
          </mc:Fallback>
        </mc:AlternateContent>
      </w:r>
      <w:r w:rsidR="00C90B31" w:rsidRPr="00C90B31">
        <w:rPr>
          <w:rFonts w:ascii="Times New Roman" w:hAnsi="Times New Roman" w:cs="Times New Roman"/>
          <w:noProof/>
          <w:szCs w:val="24"/>
        </w:rPr>
        <w:drawing>
          <wp:inline distT="0" distB="0" distL="0" distR="0" wp14:anchorId="629F569D" wp14:editId="40E40864">
            <wp:extent cx="4019107" cy="4086693"/>
            <wp:effectExtent l="0" t="0" r="635" b="9525"/>
            <wp:docPr id="31" name="Picture 30">
              <a:extLst xmlns:a="http://schemas.openxmlformats.org/drawingml/2006/main">
                <a:ext uri="{FF2B5EF4-FFF2-40B4-BE49-F238E27FC236}">
                  <a16:creationId xmlns:a16="http://schemas.microsoft.com/office/drawing/2014/main" id="{DD2F1120-0562-B04D-ABE6-778F2B7097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a:extLst>
                        <a:ext uri="{FF2B5EF4-FFF2-40B4-BE49-F238E27FC236}">
                          <a16:creationId xmlns:a16="http://schemas.microsoft.com/office/drawing/2014/main" id="{DD2F1120-0562-B04D-ABE6-778F2B70974C}"/>
                        </a:ext>
                      </a:extLst>
                    </pic:cNvPr>
                    <pic:cNvPicPr>
                      <a:picLocks noChangeAspect="1"/>
                    </pic:cNvPicPr>
                  </pic:nvPicPr>
                  <pic:blipFill>
                    <a:blip r:embed="rId14"/>
                    <a:stretch>
                      <a:fillRect/>
                    </a:stretch>
                  </pic:blipFill>
                  <pic:spPr>
                    <a:xfrm>
                      <a:off x="0" y="0"/>
                      <a:ext cx="4047018" cy="4115073"/>
                    </a:xfrm>
                    <a:prstGeom prst="rect">
                      <a:avLst/>
                    </a:prstGeom>
                  </pic:spPr>
                </pic:pic>
              </a:graphicData>
            </a:graphic>
          </wp:inline>
        </w:drawing>
      </w:r>
    </w:p>
    <w:p w14:paraId="43363432" w14:textId="5C0AD119"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The present study therefore conceptualizes risk culture through five interrelated dimensions:</w:t>
      </w:r>
    </w:p>
    <w:p w14:paraId="1FA7C0E6" w14:textId="77777777" w:rsidR="00F345C1" w:rsidRPr="00F345C1" w:rsidRDefault="00F345C1" w:rsidP="003D77CD">
      <w:pPr>
        <w:pStyle w:val="ListParagraph"/>
        <w:numPr>
          <w:ilvl w:val="0"/>
          <w:numId w:val="64"/>
        </w:numPr>
        <w:spacing w:after="120" w:line="360" w:lineRule="auto"/>
        <w:rPr>
          <w:rFonts w:ascii="Times New Roman" w:hAnsi="Times New Roman" w:cs="Times New Roman"/>
          <w:szCs w:val="24"/>
        </w:rPr>
      </w:pPr>
      <w:r w:rsidRPr="00F345C1">
        <w:rPr>
          <w:rFonts w:ascii="Times New Roman" w:hAnsi="Times New Roman" w:cs="Times New Roman"/>
          <w:szCs w:val="24"/>
        </w:rPr>
        <w:t>Risk ownership</w:t>
      </w:r>
    </w:p>
    <w:p w14:paraId="55294A25" w14:textId="77777777" w:rsidR="00F345C1" w:rsidRPr="00F345C1" w:rsidRDefault="00F345C1" w:rsidP="003D77CD">
      <w:pPr>
        <w:pStyle w:val="ListParagraph"/>
        <w:numPr>
          <w:ilvl w:val="0"/>
          <w:numId w:val="64"/>
        </w:numPr>
        <w:spacing w:after="120" w:line="360" w:lineRule="auto"/>
        <w:rPr>
          <w:rFonts w:ascii="Times New Roman" w:hAnsi="Times New Roman" w:cs="Times New Roman"/>
          <w:szCs w:val="24"/>
        </w:rPr>
      </w:pPr>
      <w:r w:rsidRPr="00F345C1">
        <w:rPr>
          <w:rFonts w:ascii="Times New Roman" w:hAnsi="Times New Roman" w:cs="Times New Roman"/>
          <w:szCs w:val="24"/>
        </w:rPr>
        <w:t>Accountability for risk management</w:t>
      </w:r>
    </w:p>
    <w:p w14:paraId="370F9B62" w14:textId="77777777" w:rsidR="00F345C1" w:rsidRPr="00F345C1" w:rsidRDefault="00F345C1" w:rsidP="003D77CD">
      <w:pPr>
        <w:pStyle w:val="ListParagraph"/>
        <w:numPr>
          <w:ilvl w:val="0"/>
          <w:numId w:val="64"/>
        </w:numPr>
        <w:spacing w:after="120" w:line="360" w:lineRule="auto"/>
        <w:rPr>
          <w:rFonts w:ascii="Times New Roman" w:hAnsi="Times New Roman" w:cs="Times New Roman"/>
          <w:szCs w:val="24"/>
        </w:rPr>
      </w:pPr>
      <w:r w:rsidRPr="00F345C1">
        <w:rPr>
          <w:rFonts w:ascii="Times New Roman" w:hAnsi="Times New Roman" w:cs="Times New Roman"/>
          <w:szCs w:val="24"/>
        </w:rPr>
        <w:t>Risk awareness</w:t>
      </w:r>
    </w:p>
    <w:p w14:paraId="509F46AC" w14:textId="77777777" w:rsidR="00F345C1" w:rsidRPr="00F345C1" w:rsidRDefault="00F345C1" w:rsidP="003D77CD">
      <w:pPr>
        <w:pStyle w:val="ListParagraph"/>
        <w:numPr>
          <w:ilvl w:val="0"/>
          <w:numId w:val="64"/>
        </w:numPr>
        <w:spacing w:after="120" w:line="360" w:lineRule="auto"/>
        <w:rPr>
          <w:rFonts w:ascii="Times New Roman" w:hAnsi="Times New Roman" w:cs="Times New Roman"/>
          <w:szCs w:val="24"/>
        </w:rPr>
      </w:pPr>
      <w:r w:rsidRPr="00F345C1">
        <w:rPr>
          <w:rFonts w:ascii="Times New Roman" w:hAnsi="Times New Roman" w:cs="Times New Roman"/>
          <w:szCs w:val="24"/>
        </w:rPr>
        <w:t>Proactive risk behavior</w:t>
      </w:r>
    </w:p>
    <w:p w14:paraId="5A59D4C5" w14:textId="77777777" w:rsidR="00F345C1" w:rsidRPr="00F345C1" w:rsidRDefault="00F345C1" w:rsidP="003D77CD">
      <w:pPr>
        <w:pStyle w:val="ListParagraph"/>
        <w:numPr>
          <w:ilvl w:val="0"/>
          <w:numId w:val="64"/>
        </w:numPr>
        <w:spacing w:after="120" w:line="360" w:lineRule="auto"/>
        <w:rPr>
          <w:rFonts w:ascii="Times New Roman" w:hAnsi="Times New Roman" w:cs="Times New Roman"/>
          <w:szCs w:val="24"/>
        </w:rPr>
      </w:pPr>
      <w:r w:rsidRPr="00F345C1">
        <w:rPr>
          <w:rFonts w:ascii="Times New Roman" w:hAnsi="Times New Roman" w:cs="Times New Roman"/>
          <w:szCs w:val="24"/>
        </w:rPr>
        <w:t xml:space="preserve">Transparency and </w:t>
      </w:r>
      <w:proofErr w:type="gramStart"/>
      <w:r w:rsidRPr="00F345C1">
        <w:rPr>
          <w:rFonts w:ascii="Times New Roman" w:hAnsi="Times New Roman" w:cs="Times New Roman"/>
          <w:szCs w:val="24"/>
        </w:rPr>
        <w:t>disclosure</w:t>
      </w:r>
      <w:proofErr w:type="gramEnd"/>
      <w:r w:rsidRPr="00F345C1">
        <w:rPr>
          <w:rFonts w:ascii="Times New Roman" w:hAnsi="Times New Roman" w:cs="Times New Roman"/>
          <w:szCs w:val="24"/>
        </w:rPr>
        <w:t xml:space="preserve"> climate</w:t>
      </w:r>
    </w:p>
    <w:p w14:paraId="707D96CB"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This dimensional approach reflects contemporary measurement frameworks while maintaining alignment with the organization’s internal Risk Maturity Model instrument. By focusing on behavioral expressions of culture rather than abstract value statements, the study aims to evaluate whether participatory governance mechanisms produce observable shifts in organizational norms.</w:t>
      </w:r>
    </w:p>
    <w:p w14:paraId="68E9070B" w14:textId="0DC8EECB"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lastRenderedPageBreak/>
        <w:t>Thus, risk culture in this research is not treated as a symbolic attribute but as a measurable behavioral construct that mediates the effectiveness of risk governance processes.</w:t>
      </w:r>
    </w:p>
    <w:p w14:paraId="7ECA5988" w14:textId="77777777" w:rsidR="00F345C1" w:rsidRPr="000E6659" w:rsidRDefault="00F345C1" w:rsidP="00863FB5">
      <w:pPr>
        <w:pStyle w:val="Heading2"/>
      </w:pPr>
      <w:bookmarkStart w:id="53" w:name="_Toc223634793"/>
      <w:r w:rsidRPr="000E6659">
        <w:t>2.4 Leadership as a Cultural Reinforcement Mechanism</w:t>
      </w:r>
      <w:bookmarkEnd w:id="53"/>
    </w:p>
    <w:p w14:paraId="378AB6F2"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While participatory mechanisms may initiate behavioral engagement, leadership plays a decisive role in sustaining and reinforcing organizational culture. Governance literature consistently emphasizes that formal systems alone are insufficient to shape durable behavioral norms. Instead, managerial signals, tone at the top, and visible commitment to accountability determine whether risk management principles are internalized or remain procedural artifacts (Power, 2016; Sheedy &amp; Griffin, 2018).</w:t>
      </w:r>
    </w:p>
    <w:p w14:paraId="28A6B668"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 xml:space="preserve">Leadership influence operates through multiple reinforcing channels. First, leaders shape expectations through explicit communication. When managers consistently emphasize the importance of risk identification and proactive escalation, they normalize these behaviors within the organizational environment. Second, leaders influence behavior implicitly through reactions. If employees observe that raising risks leads to constructive dialogue rather than negative consequences, trust </w:t>
      </w:r>
      <w:proofErr w:type="gramStart"/>
      <w:r w:rsidRPr="00F345C1">
        <w:rPr>
          <w:rFonts w:ascii="Times New Roman" w:hAnsi="Times New Roman" w:cs="Times New Roman"/>
          <w:szCs w:val="24"/>
        </w:rPr>
        <w:t>increases</w:t>
      </w:r>
      <w:proofErr w:type="gramEnd"/>
      <w:r w:rsidRPr="00F345C1">
        <w:rPr>
          <w:rFonts w:ascii="Times New Roman" w:hAnsi="Times New Roman" w:cs="Times New Roman"/>
          <w:szCs w:val="24"/>
        </w:rPr>
        <w:t xml:space="preserve"> and transparency becomes culturally acceptable. Conversely, punitive or dismissive responses discourage open disclosure and weaken risk culture.</w:t>
      </w:r>
    </w:p>
    <w:p w14:paraId="578C3489" w14:textId="77777777" w:rsidR="00F345C1"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From a governance perspective, leadership acts as a signaling mechanism. Signaling theory suggests that managerial behavior conveys information about organizational priorities. When leadership visibly allocates attention, time, and resources to risk management processes, employees interpret risk governance as strategically important. Such signals reduce ambiguity about accountability expectations and encourage behavioral alignment with governance objectives.</w:t>
      </w:r>
    </w:p>
    <w:p w14:paraId="69683773" w14:textId="77777777" w:rsidR="001F52DE"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 xml:space="preserve">Empirical studies further demonstrate that leadership reinforcement significantly influences ERM effectiveness. Bockius and </w:t>
      </w:r>
      <w:proofErr w:type="spellStart"/>
      <w:r w:rsidRPr="00F345C1">
        <w:rPr>
          <w:rFonts w:ascii="Times New Roman" w:hAnsi="Times New Roman" w:cs="Times New Roman"/>
          <w:szCs w:val="24"/>
        </w:rPr>
        <w:t>Gatzert</w:t>
      </w:r>
      <w:proofErr w:type="spellEnd"/>
      <w:r w:rsidRPr="00F345C1">
        <w:rPr>
          <w:rFonts w:ascii="Times New Roman" w:hAnsi="Times New Roman" w:cs="Times New Roman"/>
          <w:szCs w:val="24"/>
        </w:rPr>
        <w:t xml:space="preserve"> (2024) identify leadership support as a critical determinant of risk culture strength. Similarly, Arena et al. (2015) observe that ERM implementation outcomes are shaped by internal actor dynamics, including managerial commitment. These findings suggest that participatory mechanisms, although valuable, require consistent leadership reinforcement to translate engagement into sustained cultural transformation.</w:t>
      </w:r>
    </w:p>
    <w:p w14:paraId="24240940" w14:textId="77777777" w:rsidR="001F52DE"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 xml:space="preserve">In centralized organizational models, leadership influence may be particularly pronounced. Shared Services structures often concentrate governance authority while distributing operational responsibilities across multiple functional units. In such settings, clear managerial signaling becomes essential to prevent diffusion of responsibility. Leadership reinforcement clarifies that risk </w:t>
      </w:r>
      <w:r w:rsidRPr="00F345C1">
        <w:rPr>
          <w:rFonts w:ascii="Times New Roman" w:hAnsi="Times New Roman" w:cs="Times New Roman"/>
          <w:szCs w:val="24"/>
        </w:rPr>
        <w:lastRenderedPageBreak/>
        <w:t>management is not confined to specialized functions but constitutes a shared obligation across the organization.</w:t>
      </w:r>
    </w:p>
    <w:p w14:paraId="3A0BC94B" w14:textId="77777777" w:rsidR="001F52DE"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The theoretical implication for this study is that leadership support functions as an influencing variable within the relationship between participatory mechanisms and risk culture. Participation in Bottom-Up Risk Assessment may increase engagement; however, without leadership reinforcement, such engagement may remain temporary or superficial. When leaders actively promote transparency, encourage escalation without fear, and model adherence to risk frameworks, cultural strengthening becomes more sustainable.</w:t>
      </w:r>
    </w:p>
    <w:p w14:paraId="445BE41A" w14:textId="7BD8AD6A" w:rsidR="001F52DE" w:rsidRDefault="00F345C1" w:rsidP="000C1F7C">
      <w:pPr>
        <w:spacing w:line="360" w:lineRule="auto"/>
        <w:rPr>
          <w:rFonts w:ascii="Times New Roman" w:hAnsi="Times New Roman" w:cs="Times New Roman"/>
          <w:szCs w:val="24"/>
        </w:rPr>
      </w:pPr>
      <w:r w:rsidRPr="00F345C1">
        <w:rPr>
          <w:rFonts w:ascii="Times New Roman" w:hAnsi="Times New Roman" w:cs="Times New Roman"/>
          <w:szCs w:val="24"/>
        </w:rPr>
        <w:t>Accordingly, leadership in this research is conceptualized not merely as hierarchical authority but as a behavioral reinforcement mechanism. It shapes whether participatory governance processes translate into measurable improvements in ownership, accountability, awareness, and proactive risk behavior.</w:t>
      </w:r>
    </w:p>
    <w:p w14:paraId="0EB83283" w14:textId="77777777" w:rsidR="00B07AC4" w:rsidRPr="000E6659" w:rsidRDefault="00B07AC4" w:rsidP="00863FB5">
      <w:pPr>
        <w:pStyle w:val="Heading2"/>
      </w:pPr>
      <w:bookmarkStart w:id="54" w:name="_Toc223634794"/>
      <w:r w:rsidRPr="000E6659">
        <w:t>2.5 Governance in Shared Services Organizational Structures</w:t>
      </w:r>
      <w:bookmarkEnd w:id="54"/>
    </w:p>
    <w:p w14:paraId="5C698575" w14:textId="77777777" w:rsidR="00B07AC4" w:rsidRDefault="00B07AC4" w:rsidP="000C1F7C">
      <w:pPr>
        <w:spacing w:line="360" w:lineRule="auto"/>
        <w:rPr>
          <w:rFonts w:ascii="Times New Roman" w:hAnsi="Times New Roman" w:cs="Times New Roman"/>
          <w:szCs w:val="24"/>
        </w:rPr>
      </w:pPr>
      <w:r w:rsidRPr="00B07AC4">
        <w:rPr>
          <w:rFonts w:ascii="Times New Roman" w:hAnsi="Times New Roman" w:cs="Times New Roman"/>
          <w:szCs w:val="24"/>
        </w:rPr>
        <w:t>Shared Services organizational models are designed to centralize support functions under unified governance structures while serving multiple business units or operational domains. Such models aim to enhance efficiency, standardization, and cost control through structural consolidation. However, this centralization also introduces governance complexity, particularly in relation to accountability distribution and risk ownership clarity.</w:t>
      </w:r>
    </w:p>
    <w:p w14:paraId="13013031" w14:textId="77777777" w:rsidR="00B07AC4" w:rsidRDefault="00B07AC4" w:rsidP="000C1F7C">
      <w:pPr>
        <w:spacing w:line="360" w:lineRule="auto"/>
        <w:rPr>
          <w:rFonts w:ascii="Times New Roman" w:hAnsi="Times New Roman" w:cs="Times New Roman"/>
          <w:szCs w:val="24"/>
        </w:rPr>
      </w:pPr>
      <w:r w:rsidRPr="00B07AC4">
        <w:rPr>
          <w:rFonts w:ascii="Times New Roman" w:hAnsi="Times New Roman" w:cs="Times New Roman"/>
          <w:szCs w:val="24"/>
        </w:rPr>
        <w:t>In centralized structures, operational responsibilities are often dispersed across functions such as IT, procurement, digital transformation, cybersecurity, and facilities management. While oversight may reside within a centralized authority, risk exposure originates within distributed operational contexts. This structural arrangement creates a governance paradox: accountability must be both centralized for coordination and decentralized for operational responsiveness.</w:t>
      </w:r>
    </w:p>
    <w:p w14:paraId="34A69724" w14:textId="77777777" w:rsidR="00B07AC4" w:rsidRDefault="00B07AC4" w:rsidP="000C1F7C">
      <w:pPr>
        <w:spacing w:line="360" w:lineRule="auto"/>
        <w:rPr>
          <w:rFonts w:ascii="Times New Roman" w:hAnsi="Times New Roman" w:cs="Times New Roman"/>
          <w:szCs w:val="24"/>
        </w:rPr>
      </w:pPr>
      <w:r w:rsidRPr="00B07AC4">
        <w:rPr>
          <w:rFonts w:ascii="Times New Roman" w:hAnsi="Times New Roman" w:cs="Times New Roman"/>
          <w:szCs w:val="24"/>
        </w:rPr>
        <w:t>Research on ERM in complex organizations suggests that structural interdependence increases the importance of coordination mechanisms (Ai et al., 2018). In Shared Services environments, functional interdependencies are inherently high. A risk within one domain</w:t>
      </w:r>
      <w:r>
        <w:rPr>
          <w:rFonts w:ascii="Times New Roman" w:hAnsi="Times New Roman" w:cs="Times New Roman"/>
          <w:szCs w:val="24"/>
        </w:rPr>
        <w:t xml:space="preserve">, </w:t>
      </w:r>
      <w:r w:rsidRPr="00B07AC4">
        <w:rPr>
          <w:rFonts w:ascii="Times New Roman" w:hAnsi="Times New Roman" w:cs="Times New Roman"/>
          <w:szCs w:val="24"/>
        </w:rPr>
        <w:t>such as cybersecurity</w:t>
      </w:r>
      <w:r>
        <w:rPr>
          <w:rFonts w:ascii="Times New Roman" w:hAnsi="Times New Roman" w:cs="Times New Roman"/>
          <w:szCs w:val="24"/>
        </w:rPr>
        <w:t xml:space="preserve">, </w:t>
      </w:r>
      <w:r w:rsidRPr="00B07AC4">
        <w:rPr>
          <w:rFonts w:ascii="Times New Roman" w:hAnsi="Times New Roman" w:cs="Times New Roman"/>
          <w:szCs w:val="24"/>
        </w:rPr>
        <w:t>may cascade into procurement, digital platforms, or operational continuity. Therefore, risk governance mechanisms must facilitate cross-functional awareness rather than silo-based containment.</w:t>
      </w:r>
    </w:p>
    <w:p w14:paraId="189470BB" w14:textId="77777777" w:rsidR="00B07AC4" w:rsidRDefault="00B07AC4" w:rsidP="000C1F7C">
      <w:pPr>
        <w:spacing w:line="360" w:lineRule="auto"/>
        <w:rPr>
          <w:rFonts w:ascii="Times New Roman" w:hAnsi="Times New Roman" w:cs="Times New Roman"/>
          <w:szCs w:val="24"/>
        </w:rPr>
      </w:pPr>
      <w:r w:rsidRPr="00B07AC4">
        <w:rPr>
          <w:rFonts w:ascii="Times New Roman" w:hAnsi="Times New Roman" w:cs="Times New Roman"/>
          <w:szCs w:val="24"/>
        </w:rPr>
        <w:t xml:space="preserve">One persistent challenge within centralized governance systems is diffusion of responsibility. When risk management is perceived as the responsibility of a central planning or control function, operational actors may disengage from proactive identification and escalation. This phenomenon </w:t>
      </w:r>
      <w:r w:rsidRPr="00B07AC4">
        <w:rPr>
          <w:rFonts w:ascii="Times New Roman" w:hAnsi="Times New Roman" w:cs="Times New Roman"/>
          <w:szCs w:val="24"/>
        </w:rPr>
        <w:lastRenderedPageBreak/>
        <w:t>weakens cultural embedding and shifts risk management toward compliance orientation. Palermo et al. (2017) argue that governance processes are enacted through actors; when accountability boundaries are ambiguous, engagement declines.</w:t>
      </w:r>
    </w:p>
    <w:p w14:paraId="042DF674" w14:textId="77777777" w:rsidR="00B07AC4" w:rsidRDefault="00B07AC4" w:rsidP="000C1F7C">
      <w:pPr>
        <w:spacing w:line="360" w:lineRule="auto"/>
        <w:rPr>
          <w:rFonts w:ascii="Times New Roman" w:hAnsi="Times New Roman" w:cs="Times New Roman"/>
          <w:szCs w:val="24"/>
        </w:rPr>
      </w:pPr>
      <w:r w:rsidRPr="00B07AC4">
        <w:rPr>
          <w:rFonts w:ascii="Times New Roman" w:hAnsi="Times New Roman" w:cs="Times New Roman"/>
          <w:szCs w:val="24"/>
        </w:rPr>
        <w:t>Participatory risk mechanisms, such as Bottom-Up Risk Assessment, may serve as structural correctives within Shared Services models. By formally involving representatives from each functional unit in structured risk identification, participatory processes clarify ownership boundaries and reinforce interdependence awareness. Rather than concentrating risk articulation at executive levels, BURA distributes responsibility for articulating uncertainties across operational domains.</w:t>
      </w:r>
    </w:p>
    <w:p w14:paraId="43F08D93" w14:textId="77777777" w:rsidR="00B07AC4" w:rsidRDefault="00B07AC4" w:rsidP="000C1F7C">
      <w:pPr>
        <w:spacing w:line="360" w:lineRule="auto"/>
        <w:rPr>
          <w:rFonts w:ascii="Times New Roman" w:hAnsi="Times New Roman" w:cs="Times New Roman"/>
          <w:szCs w:val="24"/>
        </w:rPr>
      </w:pPr>
      <w:r w:rsidRPr="00B07AC4">
        <w:rPr>
          <w:rFonts w:ascii="Times New Roman" w:hAnsi="Times New Roman" w:cs="Times New Roman"/>
          <w:szCs w:val="24"/>
        </w:rPr>
        <w:t>Furthermore, centralized environments amplify the need for leadership reinforcement. In complex Shared Services structures, leadership signaling becomes critical in preventing fragmentation of accountability. When leadership consistently reinforces the importance of risk management across functions, cultural norms are harmonized despite structural dispersion.</w:t>
      </w:r>
    </w:p>
    <w:p w14:paraId="59CDCAF0" w14:textId="77777777" w:rsidR="00B07AC4" w:rsidRDefault="00B07AC4" w:rsidP="000C1F7C">
      <w:pPr>
        <w:spacing w:line="360" w:lineRule="auto"/>
        <w:rPr>
          <w:rFonts w:ascii="Times New Roman" w:hAnsi="Times New Roman" w:cs="Times New Roman"/>
          <w:szCs w:val="24"/>
        </w:rPr>
      </w:pPr>
      <w:r w:rsidRPr="00B07AC4">
        <w:rPr>
          <w:rFonts w:ascii="Times New Roman" w:hAnsi="Times New Roman" w:cs="Times New Roman"/>
          <w:szCs w:val="24"/>
        </w:rPr>
        <w:t>The theoretical implication for this study is that Shared Services organizations represent an especially relevant context for examining the relationship between participatory risk governance and cultural outcomes. Structural centralization increases coordination demands; therefore, participatory mechanisms may exert stronger behavioral effects compared to decentralized models.</w:t>
      </w:r>
    </w:p>
    <w:p w14:paraId="3CAFC387" w14:textId="49EC4D98" w:rsidR="00B07AC4" w:rsidRDefault="00B07AC4" w:rsidP="000C1F7C">
      <w:pPr>
        <w:spacing w:line="360" w:lineRule="auto"/>
        <w:rPr>
          <w:rFonts w:ascii="Times New Roman" w:hAnsi="Times New Roman" w:cs="Times New Roman"/>
          <w:szCs w:val="24"/>
        </w:rPr>
      </w:pPr>
      <w:r w:rsidRPr="00B07AC4">
        <w:rPr>
          <w:rFonts w:ascii="Times New Roman" w:hAnsi="Times New Roman" w:cs="Times New Roman"/>
          <w:szCs w:val="24"/>
        </w:rPr>
        <w:t xml:space="preserve">By situating this research within a Shared Services organizational context, the study extends ERM and risk culture literature into a governance environment characterized by high interdependence, centralized oversight, and distributed operational risk exposure. This contextual framing strengthens the theoretical contribution of </w:t>
      </w:r>
      <w:proofErr w:type="gramStart"/>
      <w:r w:rsidRPr="00B07AC4">
        <w:rPr>
          <w:rFonts w:ascii="Times New Roman" w:hAnsi="Times New Roman" w:cs="Times New Roman"/>
          <w:szCs w:val="24"/>
        </w:rPr>
        <w:t>the research</w:t>
      </w:r>
      <w:proofErr w:type="gramEnd"/>
      <w:r w:rsidRPr="00B07AC4">
        <w:rPr>
          <w:rFonts w:ascii="Times New Roman" w:hAnsi="Times New Roman" w:cs="Times New Roman"/>
          <w:szCs w:val="24"/>
        </w:rPr>
        <w:t>.</w:t>
      </w:r>
    </w:p>
    <w:p w14:paraId="141CDAF2" w14:textId="77777777" w:rsidR="00B07AC4" w:rsidRPr="000E6659" w:rsidRDefault="00B07AC4" w:rsidP="00863FB5">
      <w:pPr>
        <w:pStyle w:val="Heading2"/>
      </w:pPr>
      <w:bookmarkStart w:id="55" w:name="_Toc223634795"/>
      <w:r w:rsidRPr="000E6659">
        <w:t>2.6 Conceptual Integration and Model Development</w:t>
      </w:r>
      <w:bookmarkEnd w:id="55"/>
    </w:p>
    <w:p w14:paraId="3F17C560" w14:textId="77777777" w:rsidR="00B07AC4" w:rsidRDefault="00B07AC4" w:rsidP="000C1F7C">
      <w:pPr>
        <w:spacing w:line="360" w:lineRule="auto"/>
        <w:rPr>
          <w:rFonts w:ascii="Times New Roman" w:hAnsi="Times New Roman" w:cs="Times New Roman"/>
          <w:szCs w:val="24"/>
        </w:rPr>
      </w:pPr>
      <w:r w:rsidRPr="00B07AC4">
        <w:rPr>
          <w:rFonts w:ascii="Times New Roman" w:hAnsi="Times New Roman" w:cs="Times New Roman"/>
          <w:szCs w:val="24"/>
        </w:rPr>
        <w:t>The preceding sections established four foundational theoretical pillars: (1) Enterprise Risk Management as an integrated governance system, (2) participatory risk mechanisms as behavioral engagement instruments, (3) risk culture as a measurable behavioral construct, and (4) leadership as a reinforcing mechanism within governance systems. The integration of these pillars provides the conceptual architecture underlying the present study.</w:t>
      </w:r>
    </w:p>
    <w:p w14:paraId="557DDD7B" w14:textId="77777777" w:rsidR="00B07AC4" w:rsidRDefault="00B07AC4" w:rsidP="000C1F7C">
      <w:pPr>
        <w:spacing w:line="360" w:lineRule="auto"/>
        <w:rPr>
          <w:rFonts w:ascii="Times New Roman" w:hAnsi="Times New Roman" w:cs="Times New Roman"/>
          <w:szCs w:val="24"/>
        </w:rPr>
      </w:pPr>
      <w:r w:rsidRPr="00B07AC4">
        <w:rPr>
          <w:rFonts w:ascii="Times New Roman" w:hAnsi="Times New Roman" w:cs="Times New Roman"/>
          <w:szCs w:val="24"/>
        </w:rPr>
        <w:t>ERM literature emphasizes that structural adoption alone does not guarantee effectiveness (Bromiley et al., 2015; Lundqvist, 2015). Frameworks and maturity models may define formal processes, yet behavioral embedding determines whether risk governance influences organizational outcomes. Consequently, mechanisms that translate structural design into behavioral practice become theoretically significant.</w:t>
      </w:r>
    </w:p>
    <w:p w14:paraId="51D7D045" w14:textId="77777777" w:rsidR="00B07AC4" w:rsidRDefault="00B07AC4" w:rsidP="000C1F7C">
      <w:pPr>
        <w:spacing w:line="360" w:lineRule="auto"/>
        <w:rPr>
          <w:rFonts w:ascii="Times New Roman" w:hAnsi="Times New Roman" w:cs="Times New Roman"/>
          <w:szCs w:val="24"/>
        </w:rPr>
      </w:pPr>
      <w:r w:rsidRPr="00B07AC4">
        <w:rPr>
          <w:rFonts w:ascii="Times New Roman" w:hAnsi="Times New Roman" w:cs="Times New Roman"/>
          <w:szCs w:val="24"/>
        </w:rPr>
        <w:lastRenderedPageBreak/>
        <w:t>Bottom-Up Risk Assessment represents one such mechanism. By engaging employees directly in structured risk identification and assessment, participatory processes create opportunities for internalization of governance principles. Participation clarifies proximity to uncertainty, reinforces responsibility articulation, and increases cross-functional awareness. Within centralized Shared Services environments, where accountability dispersion may otherwise weaken engagement, structured participation may function as a behavioral stabilizer.</w:t>
      </w:r>
    </w:p>
    <w:p w14:paraId="2AC7262E" w14:textId="77777777" w:rsidR="00B07AC4" w:rsidRDefault="00B07AC4" w:rsidP="000C1F7C">
      <w:pPr>
        <w:spacing w:line="360" w:lineRule="auto"/>
        <w:rPr>
          <w:rFonts w:ascii="Times New Roman" w:hAnsi="Times New Roman" w:cs="Times New Roman"/>
          <w:szCs w:val="24"/>
        </w:rPr>
      </w:pPr>
      <w:r w:rsidRPr="00B07AC4">
        <w:rPr>
          <w:rFonts w:ascii="Times New Roman" w:hAnsi="Times New Roman" w:cs="Times New Roman"/>
          <w:szCs w:val="24"/>
        </w:rPr>
        <w:t>However, participation alone does not ensure sustained cultural transformation. Leadership reinforcement provides the contextual signal that determines whether engagement translates into lasting norms. When leadership actively promotes transparency, rewards early escalation, and demonstrates commitment to addressing raised risks, cultural embedding becomes more durable. In contrast, weak reinforcement may reduce participatory mechanisms to episodic exercises.</w:t>
      </w:r>
    </w:p>
    <w:p w14:paraId="1B81091B" w14:textId="77777777" w:rsidR="00B07AC4" w:rsidRDefault="00B07AC4" w:rsidP="000C1F7C">
      <w:pPr>
        <w:spacing w:line="360" w:lineRule="auto"/>
        <w:rPr>
          <w:rFonts w:ascii="Times New Roman" w:hAnsi="Times New Roman" w:cs="Times New Roman"/>
          <w:szCs w:val="24"/>
        </w:rPr>
      </w:pPr>
      <w:r w:rsidRPr="00B07AC4">
        <w:rPr>
          <w:rFonts w:ascii="Times New Roman" w:hAnsi="Times New Roman" w:cs="Times New Roman"/>
          <w:szCs w:val="24"/>
        </w:rPr>
        <w:t>The integration of these theoretical insights suggests a layered governance model:</w:t>
      </w:r>
    </w:p>
    <w:p w14:paraId="33DBF049" w14:textId="77777777" w:rsidR="00B07AC4" w:rsidRPr="00B07AC4" w:rsidRDefault="00B07AC4" w:rsidP="00AC6804">
      <w:pPr>
        <w:pStyle w:val="ListParagraph"/>
        <w:numPr>
          <w:ilvl w:val="0"/>
          <w:numId w:val="65"/>
        </w:numPr>
        <w:spacing w:after="120" w:line="360" w:lineRule="auto"/>
        <w:ind w:left="1080"/>
        <w:rPr>
          <w:rFonts w:ascii="Times New Roman" w:hAnsi="Times New Roman" w:cs="Times New Roman"/>
          <w:szCs w:val="24"/>
        </w:rPr>
      </w:pPr>
      <w:r w:rsidRPr="00B07AC4">
        <w:rPr>
          <w:rFonts w:ascii="Times New Roman" w:hAnsi="Times New Roman" w:cs="Times New Roman"/>
          <w:szCs w:val="24"/>
        </w:rPr>
        <w:t>Structural Layer (ERM Architecture)Provides formal frameworks and processes.</w:t>
      </w:r>
    </w:p>
    <w:p w14:paraId="6F5D8C00" w14:textId="77777777" w:rsidR="00B07AC4" w:rsidRPr="00B07AC4" w:rsidRDefault="00B07AC4" w:rsidP="00AC6804">
      <w:pPr>
        <w:pStyle w:val="ListParagraph"/>
        <w:numPr>
          <w:ilvl w:val="0"/>
          <w:numId w:val="65"/>
        </w:numPr>
        <w:spacing w:after="120" w:line="360" w:lineRule="auto"/>
        <w:ind w:left="1080"/>
        <w:rPr>
          <w:rFonts w:ascii="Times New Roman" w:hAnsi="Times New Roman" w:cs="Times New Roman"/>
          <w:szCs w:val="24"/>
        </w:rPr>
      </w:pPr>
      <w:r w:rsidRPr="00B07AC4">
        <w:rPr>
          <w:rFonts w:ascii="Times New Roman" w:hAnsi="Times New Roman" w:cs="Times New Roman"/>
          <w:szCs w:val="24"/>
        </w:rPr>
        <w:t>Participatory Layer (BURA Mechanism)Engages operational actors in risk articulation.</w:t>
      </w:r>
    </w:p>
    <w:p w14:paraId="7A43B528" w14:textId="77777777" w:rsidR="00B07AC4" w:rsidRPr="00B07AC4" w:rsidRDefault="00B07AC4" w:rsidP="00AC6804">
      <w:pPr>
        <w:pStyle w:val="ListParagraph"/>
        <w:numPr>
          <w:ilvl w:val="0"/>
          <w:numId w:val="65"/>
        </w:numPr>
        <w:spacing w:after="120" w:line="360" w:lineRule="auto"/>
        <w:ind w:left="1080"/>
        <w:rPr>
          <w:rFonts w:ascii="Times New Roman" w:hAnsi="Times New Roman" w:cs="Times New Roman"/>
          <w:szCs w:val="24"/>
        </w:rPr>
      </w:pPr>
      <w:r w:rsidRPr="00B07AC4">
        <w:rPr>
          <w:rFonts w:ascii="Times New Roman" w:hAnsi="Times New Roman" w:cs="Times New Roman"/>
          <w:szCs w:val="24"/>
        </w:rPr>
        <w:t>Cultural Layer (Risk Culture Dimensions)Reflects behavioral manifestations such as ownership, accountability, awareness, and proactivity.</w:t>
      </w:r>
    </w:p>
    <w:p w14:paraId="2EC4E628" w14:textId="77777777" w:rsidR="00B07AC4" w:rsidRPr="00B07AC4" w:rsidRDefault="00B07AC4" w:rsidP="00AC6804">
      <w:pPr>
        <w:pStyle w:val="ListParagraph"/>
        <w:numPr>
          <w:ilvl w:val="0"/>
          <w:numId w:val="65"/>
        </w:numPr>
        <w:spacing w:after="120" w:line="360" w:lineRule="auto"/>
        <w:ind w:left="1080"/>
        <w:rPr>
          <w:rFonts w:ascii="Times New Roman" w:hAnsi="Times New Roman" w:cs="Times New Roman"/>
          <w:szCs w:val="24"/>
        </w:rPr>
      </w:pPr>
      <w:r w:rsidRPr="00B07AC4">
        <w:rPr>
          <w:rFonts w:ascii="Times New Roman" w:hAnsi="Times New Roman" w:cs="Times New Roman"/>
          <w:szCs w:val="24"/>
        </w:rPr>
        <w:t>Reinforcement Layer (Leadership Support)Sustains and amplifies behavioral integration.</w:t>
      </w:r>
    </w:p>
    <w:p w14:paraId="5CF30DB5" w14:textId="77777777" w:rsidR="00B07AC4" w:rsidRDefault="00B07AC4" w:rsidP="000C1F7C">
      <w:pPr>
        <w:spacing w:line="360" w:lineRule="auto"/>
        <w:rPr>
          <w:rFonts w:ascii="Times New Roman" w:hAnsi="Times New Roman" w:cs="Times New Roman"/>
          <w:szCs w:val="24"/>
        </w:rPr>
      </w:pPr>
      <w:r w:rsidRPr="00B07AC4">
        <w:rPr>
          <w:rFonts w:ascii="Times New Roman" w:hAnsi="Times New Roman" w:cs="Times New Roman"/>
          <w:szCs w:val="24"/>
        </w:rPr>
        <w:t>Within this layered model, Bottom-Up Risk Assessment is theorized to influence risk culture through participatory engagement. Leadership support is expected to strengthen this relationship by reinforcing accountability norms and encouraging transparency. Risk culture thus becomes the observable outcome through which governance mechanisms demonstrate effectiveness.</w:t>
      </w:r>
    </w:p>
    <w:p w14:paraId="6D3B8B0D" w14:textId="77777777" w:rsidR="00B07AC4" w:rsidRDefault="00B07AC4" w:rsidP="000C1F7C">
      <w:pPr>
        <w:spacing w:line="360" w:lineRule="auto"/>
        <w:rPr>
          <w:rFonts w:ascii="Times New Roman" w:hAnsi="Times New Roman" w:cs="Times New Roman"/>
          <w:szCs w:val="24"/>
        </w:rPr>
      </w:pPr>
      <w:r w:rsidRPr="00B07AC4">
        <w:rPr>
          <w:rFonts w:ascii="Times New Roman" w:hAnsi="Times New Roman" w:cs="Times New Roman"/>
          <w:szCs w:val="24"/>
        </w:rPr>
        <w:t>This conceptual integration directly informs the study hypotheses introduced in Chapter 1.</w:t>
      </w:r>
      <w:r>
        <w:rPr>
          <w:rFonts w:ascii="Times New Roman" w:hAnsi="Times New Roman" w:cs="Times New Roman"/>
          <w:szCs w:val="24"/>
        </w:rPr>
        <w:t xml:space="preserve"> </w:t>
      </w:r>
      <w:r w:rsidRPr="00B07AC4">
        <w:rPr>
          <w:rFonts w:ascii="Times New Roman" w:hAnsi="Times New Roman" w:cs="Times New Roman"/>
          <w:szCs w:val="24"/>
        </w:rPr>
        <w:t>Specifically, the model posits that:</w:t>
      </w:r>
    </w:p>
    <w:p w14:paraId="078AFA1A" w14:textId="77777777" w:rsidR="00B07AC4" w:rsidRPr="00B07AC4" w:rsidRDefault="00B07AC4" w:rsidP="0023202D">
      <w:pPr>
        <w:pStyle w:val="ListParagraph"/>
        <w:numPr>
          <w:ilvl w:val="0"/>
          <w:numId w:val="15"/>
        </w:numPr>
        <w:spacing w:before="240" w:after="240"/>
        <w:rPr>
          <w:rFonts w:ascii="Times New Roman" w:hAnsi="Times New Roman" w:cs="Times New Roman"/>
          <w:szCs w:val="24"/>
        </w:rPr>
      </w:pPr>
      <w:r w:rsidRPr="00B07AC4">
        <w:rPr>
          <w:rFonts w:ascii="Times New Roman" w:hAnsi="Times New Roman" w:cs="Times New Roman"/>
          <w:szCs w:val="24"/>
        </w:rPr>
        <w:t>Participation in BURA is associated with higher levels of risk ownership, accountability, awareness, proactive behavior, and transparency.</w:t>
      </w:r>
    </w:p>
    <w:p w14:paraId="6CF9856A" w14:textId="77777777" w:rsidR="00B07AC4" w:rsidRPr="00B07AC4" w:rsidRDefault="00B07AC4" w:rsidP="0023202D">
      <w:pPr>
        <w:pStyle w:val="ListParagraph"/>
        <w:numPr>
          <w:ilvl w:val="0"/>
          <w:numId w:val="15"/>
        </w:numPr>
        <w:spacing w:before="240" w:after="240"/>
        <w:rPr>
          <w:rFonts w:ascii="Times New Roman" w:hAnsi="Times New Roman" w:cs="Times New Roman"/>
          <w:szCs w:val="24"/>
        </w:rPr>
      </w:pPr>
      <w:r w:rsidRPr="00B07AC4">
        <w:rPr>
          <w:rFonts w:ascii="Times New Roman" w:hAnsi="Times New Roman" w:cs="Times New Roman"/>
          <w:szCs w:val="24"/>
        </w:rPr>
        <w:t>Leadership support is positively associated with risk culture dimensions.</w:t>
      </w:r>
    </w:p>
    <w:p w14:paraId="792D0AF1" w14:textId="77777777" w:rsidR="00B07AC4" w:rsidRPr="00B07AC4" w:rsidRDefault="00B07AC4" w:rsidP="0023202D">
      <w:pPr>
        <w:pStyle w:val="ListParagraph"/>
        <w:numPr>
          <w:ilvl w:val="0"/>
          <w:numId w:val="15"/>
        </w:numPr>
        <w:spacing w:before="240" w:after="240"/>
        <w:rPr>
          <w:rFonts w:ascii="Times New Roman" w:hAnsi="Times New Roman" w:cs="Times New Roman"/>
          <w:szCs w:val="24"/>
        </w:rPr>
      </w:pPr>
      <w:r w:rsidRPr="00B07AC4">
        <w:rPr>
          <w:rFonts w:ascii="Times New Roman" w:hAnsi="Times New Roman" w:cs="Times New Roman"/>
          <w:szCs w:val="24"/>
        </w:rPr>
        <w:t>Leadership may amplify the behavioral impact of participatory mechanisms.</w:t>
      </w:r>
    </w:p>
    <w:p w14:paraId="26C4CB3C" w14:textId="32D85F9C" w:rsidR="00BA0FA7" w:rsidRPr="00BA0FA7" w:rsidRDefault="00B07AC4" w:rsidP="00E44E8D">
      <w:pPr>
        <w:spacing w:line="360" w:lineRule="auto"/>
        <w:rPr>
          <w:rFonts w:ascii="Times New Roman" w:hAnsi="Times New Roman" w:cs="Times New Roman"/>
          <w:szCs w:val="24"/>
        </w:rPr>
      </w:pPr>
      <w:r w:rsidRPr="00B07AC4">
        <w:rPr>
          <w:rFonts w:ascii="Times New Roman" w:hAnsi="Times New Roman" w:cs="Times New Roman"/>
          <w:szCs w:val="24"/>
        </w:rPr>
        <w:t>By positioning BURA within a broader governance framework, this study advances the understanding of how structured participatory processes contribute to cultural strengthening in centralized organizational environments. The conceptual model developed herein provides the theoretical foundation for the methodological design presented in the following chapter.</w:t>
      </w:r>
      <w:r w:rsidRPr="00B07AC4">
        <w:rPr>
          <w:rFonts w:ascii="Times New Roman" w:hAnsi="Times New Roman" w:cs="Times New Roman"/>
          <w:szCs w:val="24"/>
        </w:rPr>
        <w:br/>
      </w:r>
    </w:p>
    <w:sectPr w:rsidR="00BA0FA7" w:rsidRPr="00BA0FA7" w:rsidSect="008C0FFB">
      <w:headerReference w:type="even" r:id="rId15"/>
      <w:headerReference w:type="default" r:id="rId16"/>
      <w:footerReference w:type="even" r:id="rId17"/>
      <w:footerReference w:type="default" r:id="rId18"/>
      <w:headerReference w:type="first" r:id="rId19"/>
      <w:footerReference w:type="first" r:id="rId20"/>
      <w:pgSz w:w="11906" w:h="16838"/>
      <w:pgMar w:top="1440" w:right="1267" w:bottom="1440" w:left="994"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B484F" w14:textId="77777777" w:rsidR="006A5C04" w:rsidRDefault="006A5C04" w:rsidP="009125CE">
      <w:pPr>
        <w:spacing w:after="0"/>
      </w:pPr>
      <w:r>
        <w:separator/>
      </w:r>
    </w:p>
  </w:endnote>
  <w:endnote w:type="continuationSeparator" w:id="0">
    <w:p w14:paraId="2676E732" w14:textId="77777777" w:rsidR="006A5C04" w:rsidRDefault="006A5C04"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BIC Typeface Headline Light">
    <w:panose1 w:val="020B0303060202020204"/>
    <w:charset w:val="00"/>
    <w:family w:val="swiss"/>
    <w:pitch w:val="variable"/>
    <w:sig w:usb0="A00022EF" w:usb1="D000A05B" w:usb2="00000008" w:usb3="00000000" w:csb0="000000D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A7A60" w14:textId="77777777" w:rsidR="00157759" w:rsidRDefault="001577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0365694"/>
      <w:docPartObj>
        <w:docPartGallery w:val="Page Numbers (Bottom of Page)"/>
        <w:docPartUnique/>
      </w:docPartObj>
    </w:sdtPr>
    <w:sdtEndPr>
      <w:rPr>
        <w:color w:val="7F7F7F" w:themeColor="background1" w:themeShade="7F"/>
        <w:spacing w:val="60"/>
      </w:rPr>
    </w:sdtEndPr>
    <w:sdtContent>
      <w:p w14:paraId="5CE7989A" w14:textId="0DE86A2F" w:rsidR="00B41835" w:rsidRDefault="00B4183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DB41B1B" w14:textId="77777777" w:rsidR="00CA5DEA" w:rsidRDefault="00CA5D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43CB4" w14:textId="77777777" w:rsidR="00157759" w:rsidRDefault="001577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59053" w14:textId="77777777" w:rsidR="006A5C04" w:rsidRDefault="006A5C04" w:rsidP="009125CE">
      <w:pPr>
        <w:spacing w:after="0"/>
      </w:pPr>
      <w:r>
        <w:separator/>
      </w:r>
    </w:p>
  </w:footnote>
  <w:footnote w:type="continuationSeparator" w:id="0">
    <w:p w14:paraId="397ED017" w14:textId="77777777" w:rsidR="006A5C04" w:rsidRDefault="006A5C04" w:rsidP="009125C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1C010" w14:textId="440AF790" w:rsidR="00106FA0" w:rsidRDefault="007866BB">
    <w:pPr>
      <w:pStyle w:val="Header"/>
    </w:pPr>
    <w:r>
      <w:rPr>
        <w:noProof/>
      </w:rPr>
      <mc:AlternateContent>
        <mc:Choice Requires="wps">
          <w:drawing>
            <wp:anchor distT="0" distB="0" distL="0" distR="0" simplePos="0" relativeHeight="251659264" behindDoc="0" locked="0" layoutInCell="1" allowOverlap="1" wp14:anchorId="73C81E0F" wp14:editId="3B4977F2">
              <wp:simplePos x="635" y="635"/>
              <wp:positionH relativeFrom="page">
                <wp:align>left</wp:align>
              </wp:positionH>
              <wp:positionV relativeFrom="page">
                <wp:align>top</wp:align>
              </wp:positionV>
              <wp:extent cx="1778000" cy="366395"/>
              <wp:effectExtent l="0" t="0" r="12700" b="14605"/>
              <wp:wrapNone/>
              <wp:docPr id="1035799145" name="Text Box 38" descr="Classification: Internal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8000" cy="366395"/>
                      </a:xfrm>
                      <a:prstGeom prst="rect">
                        <a:avLst/>
                      </a:prstGeom>
                      <a:noFill/>
                      <a:ln>
                        <a:noFill/>
                      </a:ln>
                    </wps:spPr>
                    <wps:txbx>
                      <w:txbxContent>
                        <w:p w14:paraId="3AC26FD4" w14:textId="5048E318" w:rsidR="007866BB" w:rsidRPr="007866BB" w:rsidRDefault="007866BB" w:rsidP="007866BB">
                          <w:pPr>
                            <w:spacing w:after="0"/>
                            <w:rPr>
                              <w:rFonts w:ascii="SABIC Typeface Headline Light" w:eastAsia="SABIC Typeface Headline Light" w:hAnsi="SABIC Typeface Headline Light" w:cs="SABIC Typeface Headline Light"/>
                              <w:noProof/>
                              <w:color w:val="009FDF"/>
                              <w:sz w:val="20"/>
                              <w:szCs w:val="20"/>
                            </w:rPr>
                          </w:pPr>
                          <w:r w:rsidRPr="007866BB">
                            <w:rPr>
                              <w:rFonts w:ascii="SABIC Typeface Headline Light" w:eastAsia="SABIC Typeface Headline Light" w:hAnsi="SABIC Typeface Headline Light" w:cs="SABIC Typeface Headline Light"/>
                              <w:noProof/>
                              <w:color w:val="009FDF"/>
                              <w:sz w:val="20"/>
                              <w:szCs w:val="20"/>
                            </w:rPr>
                            <w:t>Classification: Internal Use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3C81E0F" id="_x0000_t202" coordsize="21600,21600" o:spt="202" path="m,l,21600r21600,l21600,xe">
              <v:stroke joinstyle="miter"/>
              <v:path gradientshapeok="t" o:connecttype="rect"/>
            </v:shapetype>
            <v:shape id="Text Box 38" o:spid="_x0000_s1027" type="#_x0000_t202" alt="Classification: Internal Use" style="position:absolute;left:0;text-align:left;margin-left:0;margin-top:0;width:140pt;height:28.8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" filled="f" stroked="f">
              <v:textbox style="mso-fit-shape-to-text:t" inset="20pt,15pt,0,0">
                <w:txbxContent>
                  <w:p w14:paraId="3AC26FD4" w14:textId="5048E318" w:rsidR="007866BB" w:rsidRPr="007866BB" w:rsidRDefault="007866BB" w:rsidP="007866BB">
                    <w:pPr>
                      <w:spacing w:after="0"/>
                      <w:rPr>
                        <w:rFonts w:ascii="SABIC Typeface Headline Light" w:eastAsia="SABIC Typeface Headline Light" w:hAnsi="SABIC Typeface Headline Light" w:cs="SABIC Typeface Headline Light"/>
                        <w:noProof/>
                        <w:color w:val="009FDF"/>
                        <w:sz w:val="20"/>
                        <w:szCs w:val="20"/>
                      </w:rPr>
                    </w:pPr>
                    <w:r w:rsidRPr="007866BB">
                      <w:rPr>
                        <w:rFonts w:ascii="SABIC Typeface Headline Light" w:eastAsia="SABIC Typeface Headline Light" w:hAnsi="SABIC Typeface Headline Light" w:cs="SABIC Typeface Headline Light"/>
                        <w:noProof/>
                        <w:color w:val="009FDF"/>
                        <w:sz w:val="20"/>
                        <w:szCs w:val="20"/>
                      </w:rPr>
                      <w:t>Classification: Internal Use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193F6" w14:textId="593A7163" w:rsidR="00DD6DB2" w:rsidRDefault="007866BB">
    <w:pPr>
      <w:pStyle w:val="Header"/>
    </w:pPr>
    <w:r>
      <w:rPr>
        <w:noProof/>
      </w:rPr>
      <mc:AlternateContent>
        <mc:Choice Requires="wps">
          <w:drawing>
            <wp:anchor distT="0" distB="0" distL="0" distR="0" simplePos="0" relativeHeight="251660288" behindDoc="0" locked="0" layoutInCell="1" allowOverlap="1" wp14:anchorId="321CC9B1" wp14:editId="63483708">
              <wp:simplePos x="635" y="635"/>
              <wp:positionH relativeFrom="page">
                <wp:align>left</wp:align>
              </wp:positionH>
              <wp:positionV relativeFrom="page">
                <wp:align>top</wp:align>
              </wp:positionV>
              <wp:extent cx="1778000" cy="366395"/>
              <wp:effectExtent l="0" t="0" r="12700" b="14605"/>
              <wp:wrapNone/>
              <wp:docPr id="225999182" name="Text Box 39" descr="Classification: Internal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8000" cy="366395"/>
                      </a:xfrm>
                      <a:prstGeom prst="rect">
                        <a:avLst/>
                      </a:prstGeom>
                      <a:noFill/>
                      <a:ln>
                        <a:noFill/>
                      </a:ln>
                    </wps:spPr>
                    <wps:txbx>
                      <w:txbxContent>
                        <w:p w14:paraId="60CA05CF" w14:textId="414DBE80" w:rsidR="007866BB" w:rsidRPr="00157759" w:rsidRDefault="007866BB" w:rsidP="007866BB">
                          <w:pPr>
                            <w:spacing w:after="0"/>
                            <w:rPr>
                              <w:rFonts w:ascii="SABIC Typeface Headline Light" w:eastAsia="SABIC Typeface Headline Light" w:hAnsi="SABIC Typeface Headline Light" w:cs="SABIC Typeface Headline Light"/>
                              <w:noProof/>
                              <w:color w:val="FFFFFF" w:themeColor="background1"/>
                              <w:sz w:val="20"/>
                              <w:szCs w:val="20"/>
                            </w:rPr>
                          </w:pPr>
                          <w:r w:rsidRPr="00157759">
                            <w:rPr>
                              <w:rFonts w:ascii="SABIC Typeface Headline Light" w:eastAsia="SABIC Typeface Headline Light" w:hAnsi="SABIC Typeface Headline Light" w:cs="SABIC Typeface Headline Light"/>
                              <w:noProof/>
                              <w:color w:val="FFFFFF" w:themeColor="background1"/>
                              <w:sz w:val="20"/>
                              <w:szCs w:val="20"/>
                            </w:rPr>
                            <w:t>Classification: Internal Use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21CC9B1" id="_x0000_t202" coordsize="21600,21600" o:spt="202" path="m,l,21600r21600,l21600,xe">
              <v:stroke joinstyle="miter"/>
              <v:path gradientshapeok="t" o:connecttype="rect"/>
            </v:shapetype>
            <v:shape id="Text Box 39" o:spid="_x0000_s1028" type="#_x0000_t202" alt="Classification: Internal Use" style="position:absolute;left:0;text-align:left;margin-left:0;margin-top:0;width:140pt;height:28.8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" filled="f" stroked="f">
              <v:textbox style="mso-fit-shape-to-text:t" inset="20pt,15pt,0,0">
                <w:txbxContent>
                  <w:p w14:paraId="60CA05CF" w14:textId="414DBE80" w:rsidR="007866BB" w:rsidRPr="00157759" w:rsidRDefault="007866BB" w:rsidP="007866BB">
                    <w:pPr>
                      <w:spacing w:after="0"/>
                      <w:rPr>
                        <w:rFonts w:ascii="SABIC Typeface Headline Light" w:eastAsia="SABIC Typeface Headline Light" w:hAnsi="SABIC Typeface Headline Light" w:cs="SABIC Typeface Headline Light"/>
                        <w:noProof/>
                        <w:color w:val="FFFFFF" w:themeColor="background1"/>
                        <w:sz w:val="20"/>
                        <w:szCs w:val="20"/>
                      </w:rPr>
                    </w:pPr>
                    <w:r w:rsidRPr="00157759">
                      <w:rPr>
                        <w:rFonts w:ascii="SABIC Typeface Headline Light" w:eastAsia="SABIC Typeface Headline Light" w:hAnsi="SABIC Typeface Headline Light" w:cs="SABIC Typeface Headline Light"/>
                        <w:noProof/>
                        <w:color w:val="FFFFFF" w:themeColor="background1"/>
                        <w:sz w:val="20"/>
                        <w:szCs w:val="20"/>
                      </w:rPr>
                      <w:t>Classification: Internal Use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9B5EF" w14:textId="5E7540A3" w:rsidR="00106FA0" w:rsidRDefault="007866BB">
    <w:pPr>
      <w:pStyle w:val="Header"/>
    </w:pPr>
    <w:r>
      <w:rPr>
        <w:noProof/>
      </w:rPr>
      <mc:AlternateContent>
        <mc:Choice Requires="wps">
          <w:drawing>
            <wp:anchor distT="0" distB="0" distL="0" distR="0" simplePos="0" relativeHeight="251658240" behindDoc="0" locked="0" layoutInCell="1" allowOverlap="1" wp14:anchorId="533DA7F2" wp14:editId="12AB8B6C">
              <wp:simplePos x="635" y="635"/>
              <wp:positionH relativeFrom="page">
                <wp:align>left</wp:align>
              </wp:positionH>
              <wp:positionV relativeFrom="page">
                <wp:align>top</wp:align>
              </wp:positionV>
              <wp:extent cx="1778000" cy="366395"/>
              <wp:effectExtent l="0" t="0" r="12700" b="14605"/>
              <wp:wrapNone/>
              <wp:docPr id="512746350" name="Text Box 37" descr="Classification: Internal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8000" cy="366395"/>
                      </a:xfrm>
                      <a:prstGeom prst="rect">
                        <a:avLst/>
                      </a:prstGeom>
                      <a:noFill/>
                      <a:ln>
                        <a:noFill/>
                      </a:ln>
                    </wps:spPr>
                    <wps:txbx>
                      <w:txbxContent>
                        <w:p w14:paraId="420A82DE" w14:textId="284B57E4" w:rsidR="007866BB" w:rsidRPr="007866BB" w:rsidRDefault="007866BB" w:rsidP="007866BB">
                          <w:pPr>
                            <w:spacing w:after="0"/>
                            <w:rPr>
                              <w:rFonts w:ascii="SABIC Typeface Headline Light" w:eastAsia="SABIC Typeface Headline Light" w:hAnsi="SABIC Typeface Headline Light" w:cs="SABIC Typeface Headline Light"/>
                              <w:noProof/>
                              <w:color w:val="009FDF"/>
                              <w:sz w:val="20"/>
                              <w:szCs w:val="20"/>
                            </w:rPr>
                          </w:pPr>
                          <w:r w:rsidRPr="007866BB">
                            <w:rPr>
                              <w:rFonts w:ascii="SABIC Typeface Headline Light" w:eastAsia="SABIC Typeface Headline Light" w:hAnsi="SABIC Typeface Headline Light" w:cs="SABIC Typeface Headline Light"/>
                              <w:noProof/>
                              <w:color w:val="009FDF"/>
                              <w:sz w:val="20"/>
                              <w:szCs w:val="20"/>
                            </w:rPr>
                            <w:t>Classification: Internal Use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33DA7F2" id="_x0000_t202" coordsize="21600,21600" o:spt="202" path="m,l,21600r21600,l21600,xe">
              <v:stroke joinstyle="miter"/>
              <v:path gradientshapeok="t" o:connecttype="rect"/>
            </v:shapetype>
            <v:shape id="Text Box 37" o:spid="_x0000_s1029" type="#_x0000_t202" alt="Classification: Internal Use" style="position:absolute;left:0;text-align:left;margin-left:0;margin-top:0;width:140pt;height:28.8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" filled="f" stroked="f">
              <v:textbox style="mso-fit-shape-to-text:t" inset="20pt,15pt,0,0">
                <w:txbxContent>
                  <w:p w14:paraId="420A82DE" w14:textId="284B57E4" w:rsidR="007866BB" w:rsidRPr="007866BB" w:rsidRDefault="007866BB" w:rsidP="007866BB">
                    <w:pPr>
                      <w:spacing w:after="0"/>
                      <w:rPr>
                        <w:rFonts w:ascii="SABIC Typeface Headline Light" w:eastAsia="SABIC Typeface Headline Light" w:hAnsi="SABIC Typeface Headline Light" w:cs="SABIC Typeface Headline Light"/>
                        <w:noProof/>
                        <w:color w:val="009FDF"/>
                        <w:sz w:val="20"/>
                        <w:szCs w:val="20"/>
                      </w:rPr>
                    </w:pPr>
                    <w:r w:rsidRPr="007866BB">
                      <w:rPr>
                        <w:rFonts w:ascii="SABIC Typeface Headline Light" w:eastAsia="SABIC Typeface Headline Light" w:hAnsi="SABIC Typeface Headline Light" w:cs="SABIC Typeface Headline Light"/>
                        <w:noProof/>
                        <w:color w:val="009FDF"/>
                        <w:sz w:val="20"/>
                        <w:szCs w:val="20"/>
                      </w:rPr>
                      <w:t>Classification: Internal Use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0160F"/>
    <w:multiLevelType w:val="hybridMultilevel"/>
    <w:tmpl w:val="F280D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6D1334"/>
    <w:multiLevelType w:val="hybridMultilevel"/>
    <w:tmpl w:val="C3CCF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38059B"/>
    <w:multiLevelType w:val="hybridMultilevel"/>
    <w:tmpl w:val="53BCE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80CDD"/>
    <w:multiLevelType w:val="hybridMultilevel"/>
    <w:tmpl w:val="3E907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614B37"/>
    <w:multiLevelType w:val="hybridMultilevel"/>
    <w:tmpl w:val="60D8B7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BF7227A"/>
    <w:multiLevelType w:val="hybridMultilevel"/>
    <w:tmpl w:val="C33A07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C0300BF"/>
    <w:multiLevelType w:val="hybridMultilevel"/>
    <w:tmpl w:val="B8F871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F93B9E"/>
    <w:multiLevelType w:val="hybridMultilevel"/>
    <w:tmpl w:val="C526C0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F15D5E"/>
    <w:multiLevelType w:val="hybridMultilevel"/>
    <w:tmpl w:val="35E2A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7B6078"/>
    <w:multiLevelType w:val="hybridMultilevel"/>
    <w:tmpl w:val="4D24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022095"/>
    <w:multiLevelType w:val="hybridMultilevel"/>
    <w:tmpl w:val="5F663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063059"/>
    <w:multiLevelType w:val="hybridMultilevel"/>
    <w:tmpl w:val="1D849D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A887CC9"/>
    <w:multiLevelType w:val="hybridMultilevel"/>
    <w:tmpl w:val="226E47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4924B3"/>
    <w:multiLevelType w:val="hybridMultilevel"/>
    <w:tmpl w:val="45ECE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544788"/>
    <w:multiLevelType w:val="hybridMultilevel"/>
    <w:tmpl w:val="C73AA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467B4F"/>
    <w:multiLevelType w:val="hybridMultilevel"/>
    <w:tmpl w:val="A8F2D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9D5958"/>
    <w:multiLevelType w:val="hybridMultilevel"/>
    <w:tmpl w:val="B54CC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071C1A"/>
    <w:multiLevelType w:val="hybridMultilevel"/>
    <w:tmpl w:val="B204B2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F73FCE"/>
    <w:multiLevelType w:val="hybridMultilevel"/>
    <w:tmpl w:val="02FA8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944E8F"/>
    <w:multiLevelType w:val="hybridMultilevel"/>
    <w:tmpl w:val="10224C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AE42F65"/>
    <w:multiLevelType w:val="hybridMultilevel"/>
    <w:tmpl w:val="EA009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7225DF"/>
    <w:multiLevelType w:val="hybridMultilevel"/>
    <w:tmpl w:val="14684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155947"/>
    <w:multiLevelType w:val="hybridMultilevel"/>
    <w:tmpl w:val="7F0C4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735349"/>
    <w:multiLevelType w:val="hybridMultilevel"/>
    <w:tmpl w:val="DF685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746938"/>
    <w:multiLevelType w:val="hybridMultilevel"/>
    <w:tmpl w:val="B0F0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2203F62"/>
    <w:multiLevelType w:val="hybridMultilevel"/>
    <w:tmpl w:val="B12EB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3A86B06"/>
    <w:multiLevelType w:val="hybridMultilevel"/>
    <w:tmpl w:val="2A264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803C5B"/>
    <w:multiLevelType w:val="hybridMultilevel"/>
    <w:tmpl w:val="61A0BE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5BA4FD4"/>
    <w:multiLevelType w:val="hybridMultilevel"/>
    <w:tmpl w:val="7D0A5BDE"/>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6B9123E"/>
    <w:multiLevelType w:val="hybridMultilevel"/>
    <w:tmpl w:val="2FA681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D32769D"/>
    <w:multiLevelType w:val="hybridMultilevel"/>
    <w:tmpl w:val="74C66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F9A49E5"/>
    <w:multiLevelType w:val="hybridMultilevel"/>
    <w:tmpl w:val="3F447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20C77BC"/>
    <w:multiLevelType w:val="hybridMultilevel"/>
    <w:tmpl w:val="5E265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26E39CE"/>
    <w:multiLevelType w:val="hybridMultilevel"/>
    <w:tmpl w:val="880E1E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3F30A92"/>
    <w:multiLevelType w:val="hybridMultilevel"/>
    <w:tmpl w:val="80DC16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6282613"/>
    <w:multiLevelType w:val="hybridMultilevel"/>
    <w:tmpl w:val="AEC683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6D6378E"/>
    <w:multiLevelType w:val="hybridMultilevel"/>
    <w:tmpl w:val="C33A07E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46EB6234"/>
    <w:multiLevelType w:val="hybridMultilevel"/>
    <w:tmpl w:val="506227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491D2550"/>
    <w:multiLevelType w:val="hybridMultilevel"/>
    <w:tmpl w:val="61044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C104593"/>
    <w:multiLevelType w:val="hybridMultilevel"/>
    <w:tmpl w:val="CE0ADF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CE24FCB"/>
    <w:multiLevelType w:val="hybridMultilevel"/>
    <w:tmpl w:val="B2503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CFD3A50"/>
    <w:multiLevelType w:val="hybridMultilevel"/>
    <w:tmpl w:val="A44EF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4672E16"/>
    <w:multiLevelType w:val="hybridMultilevel"/>
    <w:tmpl w:val="62C22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8C708D4"/>
    <w:multiLevelType w:val="hybridMultilevel"/>
    <w:tmpl w:val="C97A0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EE41213"/>
    <w:multiLevelType w:val="hybridMultilevel"/>
    <w:tmpl w:val="096279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60670875"/>
    <w:multiLevelType w:val="hybridMultilevel"/>
    <w:tmpl w:val="C33A07E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6" w15:restartNumberingAfterBreak="0">
    <w:nsid w:val="633E09BD"/>
    <w:multiLevelType w:val="hybridMultilevel"/>
    <w:tmpl w:val="767E3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3A33DAC"/>
    <w:multiLevelType w:val="hybridMultilevel"/>
    <w:tmpl w:val="4FF6E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4677FC8"/>
    <w:multiLevelType w:val="hybridMultilevel"/>
    <w:tmpl w:val="F9665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4A01378"/>
    <w:multiLevelType w:val="hybridMultilevel"/>
    <w:tmpl w:val="4B2E8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7C41635"/>
    <w:multiLevelType w:val="hybridMultilevel"/>
    <w:tmpl w:val="5B647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A591E45"/>
    <w:multiLevelType w:val="multilevel"/>
    <w:tmpl w:val="0738618C"/>
    <w:lvl w:ilvl="0">
      <w:start w:val="1"/>
      <w:numFmt w:val="decimal"/>
      <w:lvlText w:val="%1."/>
      <w:lvlJc w:val="left"/>
      <w:pPr>
        <w:ind w:left="720" w:hanging="360"/>
      </w:pPr>
      <w:rPr>
        <w:rFonts w:hint="default"/>
      </w:rPr>
    </w:lvl>
    <w:lvl w:ilvl="1">
      <w:start w:val="1"/>
      <w:numFmt w:val="decimal"/>
      <w:isLgl/>
      <w:lvlText w:val="%1.%2"/>
      <w:lvlJc w:val="left"/>
      <w:pPr>
        <w:ind w:left="108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52" w15:restartNumberingAfterBreak="0">
    <w:nsid w:val="6A785C3F"/>
    <w:multiLevelType w:val="hybridMultilevel"/>
    <w:tmpl w:val="C33A07E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3" w15:restartNumberingAfterBreak="0">
    <w:nsid w:val="6E021DA4"/>
    <w:multiLevelType w:val="hybridMultilevel"/>
    <w:tmpl w:val="A1D88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16E68BF"/>
    <w:multiLevelType w:val="multilevel"/>
    <w:tmpl w:val="6890D4F6"/>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55" w15:restartNumberingAfterBreak="0">
    <w:nsid w:val="74AD6989"/>
    <w:multiLevelType w:val="hybridMultilevel"/>
    <w:tmpl w:val="0EAC3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74E2C7B"/>
    <w:multiLevelType w:val="hybridMultilevel"/>
    <w:tmpl w:val="5BFEA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84B2CCF"/>
    <w:multiLevelType w:val="hybridMultilevel"/>
    <w:tmpl w:val="7730D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8E6568F"/>
    <w:multiLevelType w:val="hybridMultilevel"/>
    <w:tmpl w:val="C33A07E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9" w15:restartNumberingAfterBreak="0">
    <w:nsid w:val="794C282E"/>
    <w:multiLevelType w:val="multilevel"/>
    <w:tmpl w:val="7A36E1B8"/>
    <w:lvl w:ilvl="0">
      <w:start w:val="1"/>
      <w:numFmt w:val="decimal"/>
      <w:lvlText w:val="%1."/>
      <w:lvlJc w:val="left"/>
      <w:pPr>
        <w:ind w:left="720" w:hanging="360"/>
      </w:pPr>
    </w:lvl>
    <w:lvl w:ilvl="1">
      <w:start w:val="1"/>
      <w:numFmt w:val="decimal"/>
      <w:isLgl/>
      <w:lvlText w:val="%1.%2"/>
      <w:lvlJc w:val="left"/>
      <w:pPr>
        <w:ind w:left="1080" w:hanging="54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60" w15:restartNumberingAfterBreak="0">
    <w:nsid w:val="7A851404"/>
    <w:multiLevelType w:val="hybridMultilevel"/>
    <w:tmpl w:val="36445E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7BF42417"/>
    <w:multiLevelType w:val="hybridMultilevel"/>
    <w:tmpl w:val="A126B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C1B65B2"/>
    <w:multiLevelType w:val="hybridMultilevel"/>
    <w:tmpl w:val="46382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D946AA9"/>
    <w:multiLevelType w:val="hybridMultilevel"/>
    <w:tmpl w:val="29A87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DD77822"/>
    <w:multiLevelType w:val="hybridMultilevel"/>
    <w:tmpl w:val="19BA3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0749767">
    <w:abstractNumId w:val="39"/>
  </w:num>
  <w:num w:numId="2" w16cid:durableId="221252890">
    <w:abstractNumId w:val="47"/>
  </w:num>
  <w:num w:numId="3" w16cid:durableId="2113352686">
    <w:abstractNumId w:val="55"/>
  </w:num>
  <w:num w:numId="4" w16cid:durableId="730734027">
    <w:abstractNumId w:val="19"/>
  </w:num>
  <w:num w:numId="5" w16cid:durableId="2040932504">
    <w:abstractNumId w:val="57"/>
  </w:num>
  <w:num w:numId="6" w16cid:durableId="2097244528">
    <w:abstractNumId w:val="34"/>
  </w:num>
  <w:num w:numId="7" w16cid:durableId="881133984">
    <w:abstractNumId w:val="50"/>
  </w:num>
  <w:num w:numId="8" w16cid:durableId="906453687">
    <w:abstractNumId w:val="35"/>
  </w:num>
  <w:num w:numId="9" w16cid:durableId="747725118">
    <w:abstractNumId w:val="44"/>
  </w:num>
  <w:num w:numId="10" w16cid:durableId="743837148">
    <w:abstractNumId w:val="54"/>
  </w:num>
  <w:num w:numId="11" w16cid:durableId="273293955">
    <w:abstractNumId w:val="27"/>
  </w:num>
  <w:num w:numId="12" w16cid:durableId="244413845">
    <w:abstractNumId w:val="17"/>
  </w:num>
  <w:num w:numId="13" w16cid:durableId="1958945512">
    <w:abstractNumId w:val="51"/>
  </w:num>
  <w:num w:numId="14" w16cid:durableId="336274713">
    <w:abstractNumId w:val="59"/>
  </w:num>
  <w:num w:numId="15" w16cid:durableId="1688675763">
    <w:abstractNumId w:val="7"/>
  </w:num>
  <w:num w:numId="16" w16cid:durableId="1348630677">
    <w:abstractNumId w:val="28"/>
  </w:num>
  <w:num w:numId="17" w16cid:durableId="580724988">
    <w:abstractNumId w:val="6"/>
  </w:num>
  <w:num w:numId="18" w16cid:durableId="739598483">
    <w:abstractNumId w:val="33"/>
  </w:num>
  <w:num w:numId="19" w16cid:durableId="1308819640">
    <w:abstractNumId w:val="29"/>
  </w:num>
  <w:num w:numId="20" w16cid:durableId="844249996">
    <w:abstractNumId w:val="12"/>
  </w:num>
  <w:num w:numId="21" w16cid:durableId="1320228776">
    <w:abstractNumId w:val="20"/>
  </w:num>
  <w:num w:numId="22" w16cid:durableId="785318337">
    <w:abstractNumId w:val="3"/>
  </w:num>
  <w:num w:numId="23" w16cid:durableId="100297207">
    <w:abstractNumId w:val="49"/>
  </w:num>
  <w:num w:numId="24" w16cid:durableId="1110777611">
    <w:abstractNumId w:val="16"/>
  </w:num>
  <w:num w:numId="25" w16cid:durableId="1483082303">
    <w:abstractNumId w:val="25"/>
  </w:num>
  <w:num w:numId="26" w16cid:durableId="37557094">
    <w:abstractNumId w:val="43"/>
  </w:num>
  <w:num w:numId="27" w16cid:durableId="1584337501">
    <w:abstractNumId w:val="26"/>
  </w:num>
  <w:num w:numId="28" w16cid:durableId="1395659721">
    <w:abstractNumId w:val="37"/>
  </w:num>
  <w:num w:numId="29" w16cid:durableId="2128348246">
    <w:abstractNumId w:val="11"/>
  </w:num>
  <w:num w:numId="30" w16cid:durableId="1958415835">
    <w:abstractNumId w:val="40"/>
  </w:num>
  <w:num w:numId="31" w16cid:durableId="287395416">
    <w:abstractNumId w:val="41"/>
  </w:num>
  <w:num w:numId="32" w16cid:durableId="624696745">
    <w:abstractNumId w:val="15"/>
  </w:num>
  <w:num w:numId="33" w16cid:durableId="529420575">
    <w:abstractNumId w:val="42"/>
  </w:num>
  <w:num w:numId="34" w16cid:durableId="2118869054">
    <w:abstractNumId w:val="61"/>
  </w:num>
  <w:num w:numId="35" w16cid:durableId="1589078823">
    <w:abstractNumId w:val="56"/>
  </w:num>
  <w:num w:numId="36" w16cid:durableId="1275013001">
    <w:abstractNumId w:val="46"/>
  </w:num>
  <w:num w:numId="37" w16cid:durableId="179009274">
    <w:abstractNumId w:val="23"/>
  </w:num>
  <w:num w:numId="38" w16cid:durableId="1683700325">
    <w:abstractNumId w:val="48"/>
  </w:num>
  <w:num w:numId="39" w16cid:durableId="847255282">
    <w:abstractNumId w:val="53"/>
  </w:num>
  <w:num w:numId="40" w16cid:durableId="2130393759">
    <w:abstractNumId w:val="13"/>
  </w:num>
  <w:num w:numId="41" w16cid:durableId="1557280359">
    <w:abstractNumId w:val="32"/>
  </w:num>
  <w:num w:numId="42" w16cid:durableId="880019804">
    <w:abstractNumId w:val="31"/>
  </w:num>
  <w:num w:numId="43" w16cid:durableId="1019235192">
    <w:abstractNumId w:val="0"/>
  </w:num>
  <w:num w:numId="44" w16cid:durableId="1458645868">
    <w:abstractNumId w:val="8"/>
  </w:num>
  <w:num w:numId="45" w16cid:durableId="600722640">
    <w:abstractNumId w:val="62"/>
  </w:num>
  <w:num w:numId="46" w16cid:durableId="1220677175">
    <w:abstractNumId w:val="1"/>
  </w:num>
  <w:num w:numId="47" w16cid:durableId="435683882">
    <w:abstractNumId w:val="30"/>
  </w:num>
  <w:num w:numId="48" w16cid:durableId="1108087685">
    <w:abstractNumId w:val="64"/>
  </w:num>
  <w:num w:numId="49" w16cid:durableId="576288032">
    <w:abstractNumId w:val="14"/>
  </w:num>
  <w:num w:numId="50" w16cid:durableId="2051758677">
    <w:abstractNumId w:val="18"/>
  </w:num>
  <w:num w:numId="51" w16cid:durableId="1187251957">
    <w:abstractNumId w:val="9"/>
  </w:num>
  <w:num w:numId="52" w16cid:durableId="1495757098">
    <w:abstractNumId w:val="24"/>
  </w:num>
  <w:num w:numId="53" w16cid:durableId="886113226">
    <w:abstractNumId w:val="60"/>
  </w:num>
  <w:num w:numId="54" w16cid:durableId="725643002">
    <w:abstractNumId w:val="38"/>
  </w:num>
  <w:num w:numId="55" w16cid:durableId="662392633">
    <w:abstractNumId w:val="63"/>
  </w:num>
  <w:num w:numId="56" w16cid:durableId="1486236849">
    <w:abstractNumId w:val="22"/>
  </w:num>
  <w:num w:numId="57" w16cid:durableId="230433513">
    <w:abstractNumId w:val="4"/>
  </w:num>
  <w:num w:numId="58" w16cid:durableId="1745030861">
    <w:abstractNumId w:val="2"/>
  </w:num>
  <w:num w:numId="59" w16cid:durableId="1135373123">
    <w:abstractNumId w:val="21"/>
  </w:num>
  <w:num w:numId="60" w16cid:durableId="1768573830">
    <w:abstractNumId w:val="10"/>
  </w:num>
  <w:num w:numId="61" w16cid:durableId="2083605085">
    <w:abstractNumId w:val="5"/>
  </w:num>
  <w:num w:numId="62" w16cid:durableId="57022779">
    <w:abstractNumId w:val="36"/>
  </w:num>
  <w:num w:numId="63" w16cid:durableId="471799930">
    <w:abstractNumId w:val="45"/>
  </w:num>
  <w:num w:numId="64" w16cid:durableId="1961109794">
    <w:abstractNumId w:val="58"/>
  </w:num>
  <w:num w:numId="65" w16cid:durableId="937174877">
    <w:abstractNumId w:val="5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187"/>
    <w:rsid w:val="00020F95"/>
    <w:rsid w:val="000315B3"/>
    <w:rsid w:val="00032948"/>
    <w:rsid w:val="00040712"/>
    <w:rsid w:val="000519D4"/>
    <w:rsid w:val="000663D2"/>
    <w:rsid w:val="000C1F7C"/>
    <w:rsid w:val="000D18D8"/>
    <w:rsid w:val="000D720B"/>
    <w:rsid w:val="000E6659"/>
    <w:rsid w:val="000F3B0F"/>
    <w:rsid w:val="000F44B4"/>
    <w:rsid w:val="000F5AFD"/>
    <w:rsid w:val="000F7CC9"/>
    <w:rsid w:val="00106FA0"/>
    <w:rsid w:val="00113A8F"/>
    <w:rsid w:val="00113FC9"/>
    <w:rsid w:val="00114A36"/>
    <w:rsid w:val="00121478"/>
    <w:rsid w:val="00123E6E"/>
    <w:rsid w:val="00127FCC"/>
    <w:rsid w:val="0014745A"/>
    <w:rsid w:val="00157759"/>
    <w:rsid w:val="00163A02"/>
    <w:rsid w:val="001753CB"/>
    <w:rsid w:val="00175B13"/>
    <w:rsid w:val="00175B1A"/>
    <w:rsid w:val="001902DB"/>
    <w:rsid w:val="001A0DB4"/>
    <w:rsid w:val="001A7307"/>
    <w:rsid w:val="001B1FC5"/>
    <w:rsid w:val="001B5F2E"/>
    <w:rsid w:val="001B6A3B"/>
    <w:rsid w:val="001C2162"/>
    <w:rsid w:val="001C560B"/>
    <w:rsid w:val="001C7027"/>
    <w:rsid w:val="001D699D"/>
    <w:rsid w:val="001D72DF"/>
    <w:rsid w:val="001E4F66"/>
    <w:rsid w:val="001F52DE"/>
    <w:rsid w:val="00205BF2"/>
    <w:rsid w:val="00207DE1"/>
    <w:rsid w:val="002239A9"/>
    <w:rsid w:val="0023202D"/>
    <w:rsid w:val="00240EB5"/>
    <w:rsid w:val="002538CC"/>
    <w:rsid w:val="00260F35"/>
    <w:rsid w:val="00262A04"/>
    <w:rsid w:val="0027265B"/>
    <w:rsid w:val="00292153"/>
    <w:rsid w:val="002C53A9"/>
    <w:rsid w:val="002C71D6"/>
    <w:rsid w:val="002E0C69"/>
    <w:rsid w:val="002F0E18"/>
    <w:rsid w:val="00307EB3"/>
    <w:rsid w:val="00322436"/>
    <w:rsid w:val="00325E37"/>
    <w:rsid w:val="003356E8"/>
    <w:rsid w:val="00353732"/>
    <w:rsid w:val="003545C6"/>
    <w:rsid w:val="00354DC7"/>
    <w:rsid w:val="003867A5"/>
    <w:rsid w:val="003C0A28"/>
    <w:rsid w:val="003C3594"/>
    <w:rsid w:val="003C616F"/>
    <w:rsid w:val="003C7928"/>
    <w:rsid w:val="003D49FA"/>
    <w:rsid w:val="003D55DD"/>
    <w:rsid w:val="003D7470"/>
    <w:rsid w:val="003D77CD"/>
    <w:rsid w:val="003E0D69"/>
    <w:rsid w:val="003E229E"/>
    <w:rsid w:val="003F3AF5"/>
    <w:rsid w:val="003F52B9"/>
    <w:rsid w:val="004132BA"/>
    <w:rsid w:val="00421014"/>
    <w:rsid w:val="00425962"/>
    <w:rsid w:val="00437CF2"/>
    <w:rsid w:val="00443DE6"/>
    <w:rsid w:val="0045003F"/>
    <w:rsid w:val="0045275B"/>
    <w:rsid w:val="0046044D"/>
    <w:rsid w:val="00461A09"/>
    <w:rsid w:val="004645B6"/>
    <w:rsid w:val="00466740"/>
    <w:rsid w:val="004853AF"/>
    <w:rsid w:val="004B27E9"/>
    <w:rsid w:val="004B5C48"/>
    <w:rsid w:val="004D024A"/>
    <w:rsid w:val="0050299B"/>
    <w:rsid w:val="00515FF9"/>
    <w:rsid w:val="0053328C"/>
    <w:rsid w:val="00535704"/>
    <w:rsid w:val="00540028"/>
    <w:rsid w:val="00545B49"/>
    <w:rsid w:val="00561137"/>
    <w:rsid w:val="00565B98"/>
    <w:rsid w:val="00567468"/>
    <w:rsid w:val="00590B27"/>
    <w:rsid w:val="005934FD"/>
    <w:rsid w:val="005971C2"/>
    <w:rsid w:val="005A28BD"/>
    <w:rsid w:val="005C0373"/>
    <w:rsid w:val="0062761F"/>
    <w:rsid w:val="006328A8"/>
    <w:rsid w:val="00634822"/>
    <w:rsid w:val="00637E5F"/>
    <w:rsid w:val="00645E23"/>
    <w:rsid w:val="00681073"/>
    <w:rsid w:val="00691468"/>
    <w:rsid w:val="006948DE"/>
    <w:rsid w:val="006A5C04"/>
    <w:rsid w:val="006B2D2C"/>
    <w:rsid w:val="006C21BD"/>
    <w:rsid w:val="006D6F50"/>
    <w:rsid w:val="006F3E4A"/>
    <w:rsid w:val="006F444B"/>
    <w:rsid w:val="00705946"/>
    <w:rsid w:val="00722F21"/>
    <w:rsid w:val="00731F76"/>
    <w:rsid w:val="0073383D"/>
    <w:rsid w:val="00735E39"/>
    <w:rsid w:val="00737A06"/>
    <w:rsid w:val="00737C1C"/>
    <w:rsid w:val="00737CBB"/>
    <w:rsid w:val="0075308C"/>
    <w:rsid w:val="00754FD5"/>
    <w:rsid w:val="007623CD"/>
    <w:rsid w:val="00764F3F"/>
    <w:rsid w:val="00776EDF"/>
    <w:rsid w:val="007866BB"/>
    <w:rsid w:val="007A5193"/>
    <w:rsid w:val="007B0E54"/>
    <w:rsid w:val="007B0F65"/>
    <w:rsid w:val="007B60A1"/>
    <w:rsid w:val="007E3A20"/>
    <w:rsid w:val="007E5B70"/>
    <w:rsid w:val="0080723F"/>
    <w:rsid w:val="0081410E"/>
    <w:rsid w:val="00825096"/>
    <w:rsid w:val="0083657F"/>
    <w:rsid w:val="008471D4"/>
    <w:rsid w:val="00851FF2"/>
    <w:rsid w:val="00863FB5"/>
    <w:rsid w:val="008647DF"/>
    <w:rsid w:val="00867F85"/>
    <w:rsid w:val="00877AAC"/>
    <w:rsid w:val="00896B09"/>
    <w:rsid w:val="008B21AF"/>
    <w:rsid w:val="008C0FFB"/>
    <w:rsid w:val="008C5B04"/>
    <w:rsid w:val="008E3E0E"/>
    <w:rsid w:val="008E7E84"/>
    <w:rsid w:val="008F1EAE"/>
    <w:rsid w:val="008F3077"/>
    <w:rsid w:val="008F4F8B"/>
    <w:rsid w:val="00900D59"/>
    <w:rsid w:val="00906ED0"/>
    <w:rsid w:val="009125CE"/>
    <w:rsid w:val="00931FDC"/>
    <w:rsid w:val="00935DA5"/>
    <w:rsid w:val="00941F87"/>
    <w:rsid w:val="00960B12"/>
    <w:rsid w:val="009747B7"/>
    <w:rsid w:val="00975A6D"/>
    <w:rsid w:val="00976293"/>
    <w:rsid w:val="00980F49"/>
    <w:rsid w:val="009A669E"/>
    <w:rsid w:val="009B19A5"/>
    <w:rsid w:val="009B6888"/>
    <w:rsid w:val="009C0161"/>
    <w:rsid w:val="009C0BA3"/>
    <w:rsid w:val="009C1045"/>
    <w:rsid w:val="009C27F2"/>
    <w:rsid w:val="009D108D"/>
    <w:rsid w:val="009D33A5"/>
    <w:rsid w:val="009E1436"/>
    <w:rsid w:val="009E3E9E"/>
    <w:rsid w:val="009E5668"/>
    <w:rsid w:val="00A00A87"/>
    <w:rsid w:val="00A110A2"/>
    <w:rsid w:val="00A110FB"/>
    <w:rsid w:val="00A11280"/>
    <w:rsid w:val="00A25AA4"/>
    <w:rsid w:val="00A33CED"/>
    <w:rsid w:val="00A34469"/>
    <w:rsid w:val="00A3798B"/>
    <w:rsid w:val="00A5013B"/>
    <w:rsid w:val="00A52F09"/>
    <w:rsid w:val="00A542FF"/>
    <w:rsid w:val="00A6775C"/>
    <w:rsid w:val="00A737CB"/>
    <w:rsid w:val="00A74F76"/>
    <w:rsid w:val="00A86105"/>
    <w:rsid w:val="00AA4B34"/>
    <w:rsid w:val="00AA79E9"/>
    <w:rsid w:val="00AB0A70"/>
    <w:rsid w:val="00AB7FDF"/>
    <w:rsid w:val="00AC6804"/>
    <w:rsid w:val="00AC750A"/>
    <w:rsid w:val="00AE2AEA"/>
    <w:rsid w:val="00AE49ED"/>
    <w:rsid w:val="00AF1FA7"/>
    <w:rsid w:val="00AF65B9"/>
    <w:rsid w:val="00B07AC4"/>
    <w:rsid w:val="00B10FBF"/>
    <w:rsid w:val="00B20F13"/>
    <w:rsid w:val="00B336EC"/>
    <w:rsid w:val="00B41835"/>
    <w:rsid w:val="00B45BC0"/>
    <w:rsid w:val="00B471AF"/>
    <w:rsid w:val="00B55620"/>
    <w:rsid w:val="00B63B0F"/>
    <w:rsid w:val="00B7678A"/>
    <w:rsid w:val="00B8676C"/>
    <w:rsid w:val="00B902EB"/>
    <w:rsid w:val="00BA0FA7"/>
    <w:rsid w:val="00BA448C"/>
    <w:rsid w:val="00BC2281"/>
    <w:rsid w:val="00BC3B37"/>
    <w:rsid w:val="00BC6222"/>
    <w:rsid w:val="00BD42D9"/>
    <w:rsid w:val="00BE1CEE"/>
    <w:rsid w:val="00BF0CF4"/>
    <w:rsid w:val="00BF103E"/>
    <w:rsid w:val="00BF41FF"/>
    <w:rsid w:val="00BF6220"/>
    <w:rsid w:val="00BF6CF4"/>
    <w:rsid w:val="00C00BCF"/>
    <w:rsid w:val="00C04D0B"/>
    <w:rsid w:val="00C12C61"/>
    <w:rsid w:val="00C146F5"/>
    <w:rsid w:val="00C42617"/>
    <w:rsid w:val="00C601CC"/>
    <w:rsid w:val="00C605F9"/>
    <w:rsid w:val="00C71E18"/>
    <w:rsid w:val="00C76ABE"/>
    <w:rsid w:val="00C82BF8"/>
    <w:rsid w:val="00C84EC2"/>
    <w:rsid w:val="00C90B31"/>
    <w:rsid w:val="00C9505A"/>
    <w:rsid w:val="00C97C03"/>
    <w:rsid w:val="00CA5DEA"/>
    <w:rsid w:val="00CD4E16"/>
    <w:rsid w:val="00CF3BF7"/>
    <w:rsid w:val="00D10D19"/>
    <w:rsid w:val="00D1693E"/>
    <w:rsid w:val="00D202C1"/>
    <w:rsid w:val="00D21765"/>
    <w:rsid w:val="00D22171"/>
    <w:rsid w:val="00D3666F"/>
    <w:rsid w:val="00D36BE0"/>
    <w:rsid w:val="00D41092"/>
    <w:rsid w:val="00D62871"/>
    <w:rsid w:val="00D67D8A"/>
    <w:rsid w:val="00D92647"/>
    <w:rsid w:val="00DA659C"/>
    <w:rsid w:val="00DB4F03"/>
    <w:rsid w:val="00DD1443"/>
    <w:rsid w:val="00DD6DB2"/>
    <w:rsid w:val="00DE7AC5"/>
    <w:rsid w:val="00DF05AF"/>
    <w:rsid w:val="00DF07FC"/>
    <w:rsid w:val="00DF5953"/>
    <w:rsid w:val="00DF5A46"/>
    <w:rsid w:val="00E05BA8"/>
    <w:rsid w:val="00E07EA7"/>
    <w:rsid w:val="00E12226"/>
    <w:rsid w:val="00E34D41"/>
    <w:rsid w:val="00E359C1"/>
    <w:rsid w:val="00E42C36"/>
    <w:rsid w:val="00E44E8D"/>
    <w:rsid w:val="00E458FB"/>
    <w:rsid w:val="00E51AE2"/>
    <w:rsid w:val="00E523EB"/>
    <w:rsid w:val="00E62BBC"/>
    <w:rsid w:val="00E715E3"/>
    <w:rsid w:val="00E71C79"/>
    <w:rsid w:val="00E7778E"/>
    <w:rsid w:val="00E80FD9"/>
    <w:rsid w:val="00E82873"/>
    <w:rsid w:val="00EA0268"/>
    <w:rsid w:val="00EA6B5D"/>
    <w:rsid w:val="00EC4645"/>
    <w:rsid w:val="00EF5B51"/>
    <w:rsid w:val="00F21856"/>
    <w:rsid w:val="00F247B7"/>
    <w:rsid w:val="00F345C1"/>
    <w:rsid w:val="00F378B2"/>
    <w:rsid w:val="00F4362E"/>
    <w:rsid w:val="00F5015C"/>
    <w:rsid w:val="00F535EE"/>
    <w:rsid w:val="00F53E73"/>
    <w:rsid w:val="00F546CE"/>
    <w:rsid w:val="00F64873"/>
    <w:rsid w:val="00F86418"/>
    <w:rsid w:val="00F90CEF"/>
    <w:rsid w:val="00F911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FB5"/>
    <w:pPr>
      <w:spacing w:line="240" w:lineRule="auto"/>
      <w:ind w:firstLine="720"/>
      <w:jc w:val="both"/>
    </w:pPr>
    <w:rPr>
      <w:rFonts w:asciiTheme="majorBidi" w:hAnsiTheme="majorBidi"/>
      <w:color w:val="000000" w:themeColor="text1"/>
      <w:sz w:val="24"/>
    </w:rPr>
  </w:style>
  <w:style w:type="paragraph" w:styleId="Heading1">
    <w:name w:val="heading 1"/>
    <w:basedOn w:val="Normal"/>
    <w:next w:val="Normal"/>
    <w:link w:val="Heading1Char"/>
    <w:autoRedefine/>
    <w:uiPriority w:val="9"/>
    <w:qFormat/>
    <w:rsid w:val="00AC6804"/>
    <w:pPr>
      <w:keepNext/>
      <w:keepLines/>
      <w:spacing w:before="360" w:after="360"/>
      <w:ind w:firstLine="0"/>
      <w:jc w:val="center"/>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863FB5"/>
    <w:pPr>
      <w:keepNext/>
      <w:keepLines/>
      <w:spacing w:before="240" w:after="12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863FB5"/>
    <w:pPr>
      <w:keepNext/>
      <w:keepLines/>
      <w:spacing w:before="120" w:after="12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328A8"/>
    <w:pPr>
      <w:ind w:left="720"/>
      <w:contextualSpacing/>
    </w:pPr>
  </w:style>
  <w:style w:type="paragraph" w:styleId="NormalWeb">
    <w:name w:val="Normal (Web)"/>
    <w:basedOn w:val="Normal"/>
    <w:uiPriority w:val="99"/>
    <w:unhideWhenUsed/>
    <w:rsid w:val="009C0BA3"/>
    <w:pPr>
      <w:spacing w:before="100" w:beforeAutospacing="1" w:after="100" w:afterAutospacing="1"/>
    </w:pPr>
    <w:rPr>
      <w:rFonts w:ascii="Times New Roman" w:eastAsia="Times New Roman" w:hAnsi="Times New Roman" w:cs="Times New Roman"/>
      <w:kern w:val="0"/>
      <w:szCs w:val="24"/>
      <w14:ligatures w14:val="none"/>
    </w:rPr>
  </w:style>
  <w:style w:type="character" w:styleId="Emphasis">
    <w:name w:val="Emphasis"/>
    <w:basedOn w:val="DefaultParagraphFont"/>
    <w:uiPriority w:val="20"/>
    <w:qFormat/>
    <w:rsid w:val="009C0BA3"/>
    <w:rPr>
      <w:i/>
      <w:iCs/>
    </w:rPr>
  </w:style>
  <w:style w:type="table" w:styleId="TableGrid">
    <w:name w:val="Table Grid"/>
    <w:basedOn w:val="TableNormal"/>
    <w:uiPriority w:val="39"/>
    <w:rsid w:val="00AC75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CA5DEA"/>
  </w:style>
  <w:style w:type="paragraph" w:styleId="Caption">
    <w:name w:val="caption"/>
    <w:basedOn w:val="Normal"/>
    <w:next w:val="Normal"/>
    <w:uiPriority w:val="35"/>
    <w:unhideWhenUsed/>
    <w:qFormat/>
    <w:rsid w:val="003E229E"/>
    <w:pPr>
      <w:spacing w:after="200"/>
    </w:pPr>
    <w:rPr>
      <w:i/>
      <w:iCs/>
      <w:color w:val="44546A" w:themeColor="text2"/>
      <w:sz w:val="18"/>
      <w:szCs w:val="18"/>
    </w:rPr>
  </w:style>
  <w:style w:type="character" w:styleId="Hyperlink">
    <w:name w:val="Hyperlink"/>
    <w:basedOn w:val="DefaultParagraphFont"/>
    <w:uiPriority w:val="99"/>
    <w:unhideWhenUsed/>
    <w:rsid w:val="00D202C1"/>
    <w:rPr>
      <w:color w:val="0563C1" w:themeColor="hyperlink"/>
      <w:u w:val="single"/>
    </w:rPr>
  </w:style>
  <w:style w:type="character" w:styleId="UnresolvedMention">
    <w:name w:val="Unresolved Mention"/>
    <w:basedOn w:val="DefaultParagraphFont"/>
    <w:uiPriority w:val="99"/>
    <w:semiHidden/>
    <w:unhideWhenUsed/>
    <w:rsid w:val="00D202C1"/>
    <w:rPr>
      <w:color w:val="605E5C"/>
      <w:shd w:val="clear" w:color="auto" w:fill="E1DFDD"/>
    </w:rPr>
  </w:style>
  <w:style w:type="table" w:styleId="GridTable1Light">
    <w:name w:val="Grid Table 1 Light"/>
    <w:basedOn w:val="TableNormal"/>
    <w:uiPriority w:val="46"/>
    <w:rsid w:val="000F5AF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AC6804"/>
    <w:rPr>
      <w:rFonts w:asciiTheme="majorBidi" w:eastAsiaTheme="majorEastAsia" w:hAnsiTheme="majorBidi" w:cstheme="majorBidi"/>
      <w:b/>
      <w:color w:val="000000" w:themeColor="text1"/>
      <w:sz w:val="28"/>
      <w:szCs w:val="32"/>
    </w:rPr>
  </w:style>
  <w:style w:type="paragraph" w:styleId="TOCHeading">
    <w:name w:val="TOC Heading"/>
    <w:basedOn w:val="Heading1"/>
    <w:next w:val="Normal"/>
    <w:uiPriority w:val="39"/>
    <w:unhideWhenUsed/>
    <w:qFormat/>
    <w:rsid w:val="004132BA"/>
    <w:pPr>
      <w:outlineLvl w:val="9"/>
    </w:pPr>
    <w:rPr>
      <w:kern w:val="0"/>
      <w14:ligatures w14:val="none"/>
    </w:rPr>
  </w:style>
  <w:style w:type="character" w:customStyle="1" w:styleId="Heading2Char">
    <w:name w:val="Heading 2 Char"/>
    <w:basedOn w:val="DefaultParagraphFont"/>
    <w:link w:val="Heading2"/>
    <w:uiPriority w:val="9"/>
    <w:rsid w:val="00863FB5"/>
    <w:rPr>
      <w:rFonts w:asciiTheme="majorBidi" w:eastAsiaTheme="majorEastAsia" w:hAnsiTheme="majorBidi" w:cstheme="majorBidi"/>
      <w:b/>
      <w:color w:val="000000" w:themeColor="text1"/>
      <w:sz w:val="26"/>
      <w:szCs w:val="26"/>
    </w:rPr>
  </w:style>
  <w:style w:type="paragraph" w:styleId="TOC1">
    <w:name w:val="toc 1"/>
    <w:basedOn w:val="Normal"/>
    <w:next w:val="Normal"/>
    <w:autoRedefine/>
    <w:uiPriority w:val="39"/>
    <w:unhideWhenUsed/>
    <w:rsid w:val="004132BA"/>
    <w:pPr>
      <w:spacing w:after="100"/>
    </w:pPr>
  </w:style>
  <w:style w:type="paragraph" w:styleId="TOC2">
    <w:name w:val="toc 2"/>
    <w:basedOn w:val="Normal"/>
    <w:next w:val="Normal"/>
    <w:autoRedefine/>
    <w:uiPriority w:val="39"/>
    <w:unhideWhenUsed/>
    <w:rsid w:val="004132BA"/>
    <w:pPr>
      <w:spacing w:after="100"/>
      <w:ind w:left="220"/>
    </w:pPr>
  </w:style>
  <w:style w:type="character" w:customStyle="1" w:styleId="Heading3Char">
    <w:name w:val="Heading 3 Char"/>
    <w:basedOn w:val="DefaultParagraphFont"/>
    <w:link w:val="Heading3"/>
    <w:uiPriority w:val="9"/>
    <w:rsid w:val="00863FB5"/>
    <w:rPr>
      <w:rFonts w:asciiTheme="majorBidi" w:eastAsiaTheme="majorEastAsia" w:hAnsiTheme="majorBidi" w:cstheme="majorBidi"/>
      <w:b/>
      <w:color w:val="000000" w:themeColor="text1"/>
      <w:sz w:val="26"/>
      <w:szCs w:val="24"/>
    </w:rPr>
  </w:style>
  <w:style w:type="paragraph" w:styleId="TOC3">
    <w:name w:val="toc 3"/>
    <w:basedOn w:val="Normal"/>
    <w:next w:val="Normal"/>
    <w:autoRedefine/>
    <w:uiPriority w:val="39"/>
    <w:unhideWhenUsed/>
    <w:rsid w:val="00D62871"/>
    <w:pPr>
      <w:spacing w:after="100"/>
      <w:ind w:left="440"/>
    </w:pPr>
  </w:style>
  <w:style w:type="paragraph" w:styleId="TOC4">
    <w:name w:val="toc 4"/>
    <w:basedOn w:val="Normal"/>
    <w:next w:val="Normal"/>
    <w:autoRedefine/>
    <w:uiPriority w:val="39"/>
    <w:unhideWhenUsed/>
    <w:rsid w:val="00D62871"/>
    <w:pPr>
      <w:spacing w:after="100" w:line="278" w:lineRule="auto"/>
      <w:ind w:left="720"/>
    </w:pPr>
    <w:rPr>
      <w:rFonts w:eastAsiaTheme="minorEastAsia"/>
      <w:szCs w:val="24"/>
    </w:rPr>
  </w:style>
  <w:style w:type="paragraph" w:styleId="TOC5">
    <w:name w:val="toc 5"/>
    <w:basedOn w:val="Normal"/>
    <w:next w:val="Normal"/>
    <w:autoRedefine/>
    <w:uiPriority w:val="39"/>
    <w:unhideWhenUsed/>
    <w:rsid w:val="00D62871"/>
    <w:pPr>
      <w:spacing w:after="100" w:line="278" w:lineRule="auto"/>
      <w:ind w:left="960"/>
    </w:pPr>
    <w:rPr>
      <w:rFonts w:eastAsiaTheme="minorEastAsia"/>
      <w:szCs w:val="24"/>
    </w:rPr>
  </w:style>
  <w:style w:type="paragraph" w:styleId="TOC6">
    <w:name w:val="toc 6"/>
    <w:basedOn w:val="Normal"/>
    <w:next w:val="Normal"/>
    <w:autoRedefine/>
    <w:uiPriority w:val="39"/>
    <w:unhideWhenUsed/>
    <w:rsid w:val="00D62871"/>
    <w:pPr>
      <w:spacing w:after="100" w:line="278" w:lineRule="auto"/>
      <w:ind w:left="1200"/>
    </w:pPr>
    <w:rPr>
      <w:rFonts w:eastAsiaTheme="minorEastAsia"/>
      <w:szCs w:val="24"/>
    </w:rPr>
  </w:style>
  <w:style w:type="paragraph" w:styleId="TOC7">
    <w:name w:val="toc 7"/>
    <w:basedOn w:val="Normal"/>
    <w:next w:val="Normal"/>
    <w:autoRedefine/>
    <w:uiPriority w:val="39"/>
    <w:unhideWhenUsed/>
    <w:rsid w:val="00D62871"/>
    <w:pPr>
      <w:spacing w:after="100" w:line="278" w:lineRule="auto"/>
      <w:ind w:left="1440"/>
    </w:pPr>
    <w:rPr>
      <w:rFonts w:eastAsiaTheme="minorEastAsia"/>
      <w:szCs w:val="24"/>
    </w:rPr>
  </w:style>
  <w:style w:type="paragraph" w:styleId="TOC8">
    <w:name w:val="toc 8"/>
    <w:basedOn w:val="Normal"/>
    <w:next w:val="Normal"/>
    <w:autoRedefine/>
    <w:uiPriority w:val="39"/>
    <w:unhideWhenUsed/>
    <w:rsid w:val="00D62871"/>
    <w:pPr>
      <w:spacing w:after="100" w:line="278" w:lineRule="auto"/>
      <w:ind w:left="1680"/>
    </w:pPr>
    <w:rPr>
      <w:rFonts w:eastAsiaTheme="minorEastAsia"/>
      <w:szCs w:val="24"/>
    </w:rPr>
  </w:style>
  <w:style w:type="paragraph" w:styleId="TOC9">
    <w:name w:val="toc 9"/>
    <w:basedOn w:val="Normal"/>
    <w:next w:val="Normal"/>
    <w:autoRedefine/>
    <w:uiPriority w:val="39"/>
    <w:unhideWhenUsed/>
    <w:rsid w:val="00D62871"/>
    <w:pPr>
      <w:spacing w:after="100" w:line="278" w:lineRule="auto"/>
      <w:ind w:left="1920"/>
    </w:pPr>
    <w:rPr>
      <w:rFonts w:eastAsiaTheme="minorEastAs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34945">
      <w:bodyDiv w:val="1"/>
      <w:marLeft w:val="0"/>
      <w:marRight w:val="0"/>
      <w:marTop w:val="0"/>
      <w:marBottom w:val="0"/>
      <w:divBdr>
        <w:top w:val="none" w:sz="0" w:space="0" w:color="auto"/>
        <w:left w:val="none" w:sz="0" w:space="0" w:color="auto"/>
        <w:bottom w:val="none" w:sz="0" w:space="0" w:color="auto"/>
        <w:right w:val="none" w:sz="0" w:space="0" w:color="auto"/>
      </w:divBdr>
    </w:div>
    <w:div w:id="365374469">
      <w:bodyDiv w:val="1"/>
      <w:marLeft w:val="0"/>
      <w:marRight w:val="0"/>
      <w:marTop w:val="0"/>
      <w:marBottom w:val="0"/>
      <w:divBdr>
        <w:top w:val="none" w:sz="0" w:space="0" w:color="auto"/>
        <w:left w:val="none" w:sz="0" w:space="0" w:color="auto"/>
        <w:bottom w:val="none" w:sz="0" w:space="0" w:color="auto"/>
        <w:right w:val="none" w:sz="0" w:space="0" w:color="auto"/>
      </w:divBdr>
    </w:div>
    <w:div w:id="765073254">
      <w:bodyDiv w:val="1"/>
      <w:marLeft w:val="0"/>
      <w:marRight w:val="0"/>
      <w:marTop w:val="0"/>
      <w:marBottom w:val="0"/>
      <w:divBdr>
        <w:top w:val="none" w:sz="0" w:space="0" w:color="auto"/>
        <w:left w:val="none" w:sz="0" w:space="0" w:color="auto"/>
        <w:bottom w:val="none" w:sz="0" w:space="0" w:color="auto"/>
        <w:right w:val="none" w:sz="0" w:space="0" w:color="auto"/>
      </w:divBdr>
    </w:div>
    <w:div w:id="912354976">
      <w:bodyDiv w:val="1"/>
      <w:marLeft w:val="0"/>
      <w:marRight w:val="0"/>
      <w:marTop w:val="0"/>
      <w:marBottom w:val="0"/>
      <w:divBdr>
        <w:top w:val="none" w:sz="0" w:space="0" w:color="auto"/>
        <w:left w:val="none" w:sz="0" w:space="0" w:color="auto"/>
        <w:bottom w:val="none" w:sz="0" w:space="0" w:color="auto"/>
        <w:right w:val="none" w:sz="0" w:space="0" w:color="auto"/>
      </w:divBdr>
    </w:div>
    <w:div w:id="1025668604">
      <w:bodyDiv w:val="1"/>
      <w:marLeft w:val="0"/>
      <w:marRight w:val="0"/>
      <w:marTop w:val="0"/>
      <w:marBottom w:val="0"/>
      <w:divBdr>
        <w:top w:val="none" w:sz="0" w:space="0" w:color="auto"/>
        <w:left w:val="none" w:sz="0" w:space="0" w:color="auto"/>
        <w:bottom w:val="none" w:sz="0" w:space="0" w:color="auto"/>
        <w:right w:val="none" w:sz="0" w:space="0" w:color="auto"/>
      </w:divBdr>
    </w:div>
    <w:div w:id="1061060195">
      <w:bodyDiv w:val="1"/>
      <w:marLeft w:val="0"/>
      <w:marRight w:val="0"/>
      <w:marTop w:val="0"/>
      <w:marBottom w:val="0"/>
      <w:divBdr>
        <w:top w:val="none" w:sz="0" w:space="0" w:color="auto"/>
        <w:left w:val="none" w:sz="0" w:space="0" w:color="auto"/>
        <w:bottom w:val="none" w:sz="0" w:space="0" w:color="auto"/>
        <w:right w:val="none" w:sz="0" w:space="0" w:color="auto"/>
      </w:divBdr>
    </w:div>
    <w:div w:id="1090732491">
      <w:bodyDiv w:val="1"/>
      <w:marLeft w:val="0"/>
      <w:marRight w:val="0"/>
      <w:marTop w:val="0"/>
      <w:marBottom w:val="0"/>
      <w:divBdr>
        <w:top w:val="none" w:sz="0" w:space="0" w:color="auto"/>
        <w:left w:val="none" w:sz="0" w:space="0" w:color="auto"/>
        <w:bottom w:val="none" w:sz="0" w:space="0" w:color="auto"/>
        <w:right w:val="none" w:sz="0" w:space="0" w:color="auto"/>
      </w:divBdr>
    </w:div>
    <w:div w:id="1115977148">
      <w:bodyDiv w:val="1"/>
      <w:marLeft w:val="0"/>
      <w:marRight w:val="0"/>
      <w:marTop w:val="0"/>
      <w:marBottom w:val="0"/>
      <w:divBdr>
        <w:top w:val="none" w:sz="0" w:space="0" w:color="auto"/>
        <w:left w:val="none" w:sz="0" w:space="0" w:color="auto"/>
        <w:bottom w:val="none" w:sz="0" w:space="0" w:color="auto"/>
        <w:right w:val="none" w:sz="0" w:space="0" w:color="auto"/>
      </w:divBdr>
    </w:div>
    <w:div w:id="1203058716">
      <w:bodyDiv w:val="1"/>
      <w:marLeft w:val="0"/>
      <w:marRight w:val="0"/>
      <w:marTop w:val="0"/>
      <w:marBottom w:val="0"/>
      <w:divBdr>
        <w:top w:val="none" w:sz="0" w:space="0" w:color="auto"/>
        <w:left w:val="none" w:sz="0" w:space="0" w:color="auto"/>
        <w:bottom w:val="none" w:sz="0" w:space="0" w:color="auto"/>
        <w:right w:val="none" w:sz="0" w:space="0" w:color="auto"/>
      </w:divBdr>
    </w:div>
    <w:div w:id="1214731364">
      <w:bodyDiv w:val="1"/>
      <w:marLeft w:val="0"/>
      <w:marRight w:val="0"/>
      <w:marTop w:val="0"/>
      <w:marBottom w:val="0"/>
      <w:divBdr>
        <w:top w:val="none" w:sz="0" w:space="0" w:color="auto"/>
        <w:left w:val="none" w:sz="0" w:space="0" w:color="auto"/>
        <w:bottom w:val="none" w:sz="0" w:space="0" w:color="auto"/>
        <w:right w:val="none" w:sz="0" w:space="0" w:color="auto"/>
      </w:divBdr>
    </w:div>
    <w:div w:id="1328707814">
      <w:bodyDiv w:val="1"/>
      <w:marLeft w:val="0"/>
      <w:marRight w:val="0"/>
      <w:marTop w:val="0"/>
      <w:marBottom w:val="0"/>
      <w:divBdr>
        <w:top w:val="none" w:sz="0" w:space="0" w:color="auto"/>
        <w:left w:val="none" w:sz="0" w:space="0" w:color="auto"/>
        <w:bottom w:val="none" w:sz="0" w:space="0" w:color="auto"/>
        <w:right w:val="none" w:sz="0" w:space="0" w:color="auto"/>
      </w:divBdr>
    </w:div>
    <w:div w:id="1328749713">
      <w:bodyDiv w:val="1"/>
      <w:marLeft w:val="0"/>
      <w:marRight w:val="0"/>
      <w:marTop w:val="0"/>
      <w:marBottom w:val="0"/>
      <w:divBdr>
        <w:top w:val="none" w:sz="0" w:space="0" w:color="auto"/>
        <w:left w:val="none" w:sz="0" w:space="0" w:color="auto"/>
        <w:bottom w:val="none" w:sz="0" w:space="0" w:color="auto"/>
        <w:right w:val="none" w:sz="0" w:space="0" w:color="auto"/>
      </w:divBdr>
    </w:div>
    <w:div w:id="1392727424">
      <w:bodyDiv w:val="1"/>
      <w:marLeft w:val="0"/>
      <w:marRight w:val="0"/>
      <w:marTop w:val="0"/>
      <w:marBottom w:val="0"/>
      <w:divBdr>
        <w:top w:val="none" w:sz="0" w:space="0" w:color="auto"/>
        <w:left w:val="none" w:sz="0" w:space="0" w:color="auto"/>
        <w:bottom w:val="none" w:sz="0" w:space="0" w:color="auto"/>
        <w:right w:val="none" w:sz="0" w:space="0" w:color="auto"/>
      </w:divBdr>
    </w:div>
    <w:div w:id="1465657590">
      <w:bodyDiv w:val="1"/>
      <w:marLeft w:val="0"/>
      <w:marRight w:val="0"/>
      <w:marTop w:val="0"/>
      <w:marBottom w:val="0"/>
      <w:divBdr>
        <w:top w:val="none" w:sz="0" w:space="0" w:color="auto"/>
        <w:left w:val="none" w:sz="0" w:space="0" w:color="auto"/>
        <w:bottom w:val="none" w:sz="0" w:space="0" w:color="auto"/>
        <w:right w:val="none" w:sz="0" w:space="0" w:color="auto"/>
      </w:divBdr>
    </w:div>
    <w:div w:id="1490099906">
      <w:bodyDiv w:val="1"/>
      <w:marLeft w:val="0"/>
      <w:marRight w:val="0"/>
      <w:marTop w:val="0"/>
      <w:marBottom w:val="0"/>
      <w:divBdr>
        <w:top w:val="none" w:sz="0" w:space="0" w:color="auto"/>
        <w:left w:val="none" w:sz="0" w:space="0" w:color="auto"/>
        <w:bottom w:val="none" w:sz="0" w:space="0" w:color="auto"/>
        <w:right w:val="none" w:sz="0" w:space="0" w:color="auto"/>
      </w:divBdr>
    </w:div>
    <w:div w:id="1570995637">
      <w:bodyDiv w:val="1"/>
      <w:marLeft w:val="0"/>
      <w:marRight w:val="0"/>
      <w:marTop w:val="0"/>
      <w:marBottom w:val="0"/>
      <w:divBdr>
        <w:top w:val="none" w:sz="0" w:space="0" w:color="auto"/>
        <w:left w:val="none" w:sz="0" w:space="0" w:color="auto"/>
        <w:bottom w:val="none" w:sz="0" w:space="0" w:color="auto"/>
        <w:right w:val="none" w:sz="0" w:space="0" w:color="auto"/>
      </w:divBdr>
    </w:div>
    <w:div w:id="1626542886">
      <w:bodyDiv w:val="1"/>
      <w:marLeft w:val="0"/>
      <w:marRight w:val="0"/>
      <w:marTop w:val="0"/>
      <w:marBottom w:val="0"/>
      <w:divBdr>
        <w:top w:val="none" w:sz="0" w:space="0" w:color="auto"/>
        <w:left w:val="none" w:sz="0" w:space="0" w:color="auto"/>
        <w:bottom w:val="none" w:sz="0" w:space="0" w:color="auto"/>
        <w:right w:val="none" w:sz="0" w:space="0" w:color="auto"/>
      </w:divBdr>
    </w:div>
    <w:div w:id="1771314380">
      <w:bodyDiv w:val="1"/>
      <w:marLeft w:val="0"/>
      <w:marRight w:val="0"/>
      <w:marTop w:val="0"/>
      <w:marBottom w:val="0"/>
      <w:divBdr>
        <w:top w:val="none" w:sz="0" w:space="0" w:color="auto"/>
        <w:left w:val="none" w:sz="0" w:space="0" w:color="auto"/>
        <w:bottom w:val="none" w:sz="0" w:space="0" w:color="auto"/>
        <w:right w:val="none" w:sz="0" w:space="0" w:color="auto"/>
      </w:divBdr>
    </w:div>
    <w:div w:id="1985041533">
      <w:bodyDiv w:val="1"/>
      <w:marLeft w:val="0"/>
      <w:marRight w:val="0"/>
      <w:marTop w:val="0"/>
      <w:marBottom w:val="0"/>
      <w:divBdr>
        <w:top w:val="none" w:sz="0" w:space="0" w:color="auto"/>
        <w:left w:val="none" w:sz="0" w:space="0" w:color="auto"/>
        <w:bottom w:val="none" w:sz="0" w:space="0" w:color="auto"/>
        <w:right w:val="none" w:sz="0" w:space="0" w:color="auto"/>
      </w:divBdr>
    </w:div>
    <w:div w:id="2095589070">
      <w:bodyDiv w:val="1"/>
      <w:marLeft w:val="0"/>
      <w:marRight w:val="0"/>
      <w:marTop w:val="0"/>
      <w:marBottom w:val="0"/>
      <w:divBdr>
        <w:top w:val="none" w:sz="0" w:space="0" w:color="auto"/>
        <w:left w:val="none" w:sz="0" w:space="0" w:color="auto"/>
        <w:bottom w:val="none" w:sz="0" w:space="0" w:color="auto"/>
        <w:right w:val="none" w:sz="0" w:space="0" w:color="auto"/>
      </w:divBdr>
    </w:div>
    <w:div w:id="2113354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0662440-f27f-4b46-b93d-bff394ead25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892766F96C79345A8E1536D23266D67" ma:contentTypeVersion="15" ma:contentTypeDescription="Create a new document." ma:contentTypeScope="" ma:versionID="2be34177be2ac97b0d17f8f9590a9d44">
  <xsd:schema xmlns:xsd="http://www.w3.org/2001/XMLSchema" xmlns:xs="http://www.w3.org/2001/XMLSchema" xmlns:p="http://schemas.microsoft.com/office/2006/metadata/properties" xmlns:ns3="a0662440-f27f-4b46-b93d-bff394ead25e" xmlns:ns4="1213c4d0-fd4f-487d-a062-d36ea389896a" targetNamespace="http://schemas.microsoft.com/office/2006/metadata/properties" ma:root="true" ma:fieldsID="485013e461af9d5f6eb29eba776d9ac2" ns3:_="" ns4:_="">
    <xsd:import namespace="a0662440-f27f-4b46-b93d-bff394ead25e"/>
    <xsd:import namespace="1213c4d0-fd4f-487d-a062-d36ea389896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_activity" minOccurs="0"/>
                <xsd:element ref="ns3:MediaServiceSearchProperties"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662440-f27f-4b46-b93d-bff394ead2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213c4d0-fd4f-487d-a062-d36ea389896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EB6318-61CC-4873-B358-11DF352C8ECD}">
  <ds:schemaRefs>
    <ds:schemaRef ds:uri="http://schemas.openxmlformats.org/officeDocument/2006/bibliography"/>
  </ds:schemaRefs>
</ds:datastoreItem>
</file>

<file path=customXml/itemProps2.xml><?xml version="1.0" encoding="utf-8"?>
<ds:datastoreItem xmlns:ds="http://schemas.openxmlformats.org/officeDocument/2006/customXml" ds:itemID="{614246B8-B4E8-4720-911E-395CA05E5B4C}">
  <ds:schemaRefs>
    <ds:schemaRef ds:uri="http://schemas.microsoft.com/office/2006/metadata/properties"/>
    <ds:schemaRef ds:uri="http://schemas.microsoft.com/office/infopath/2007/PartnerControls"/>
    <ds:schemaRef ds:uri="a0662440-f27f-4b46-b93d-bff394ead25e"/>
  </ds:schemaRefs>
</ds:datastoreItem>
</file>

<file path=customXml/itemProps3.xml><?xml version="1.0" encoding="utf-8"?>
<ds:datastoreItem xmlns:ds="http://schemas.openxmlformats.org/officeDocument/2006/customXml" ds:itemID="{BF659E81-5525-4900-BF8D-25E056CFCAD0}">
  <ds:schemaRefs>
    <ds:schemaRef ds:uri="http://schemas.microsoft.com/sharepoint/v3/contenttype/forms"/>
  </ds:schemaRefs>
</ds:datastoreItem>
</file>

<file path=customXml/itemProps4.xml><?xml version="1.0" encoding="utf-8"?>
<ds:datastoreItem xmlns:ds="http://schemas.openxmlformats.org/officeDocument/2006/customXml" ds:itemID="{8275F50D-37C8-4301-9657-D89AEA76BF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662440-f27f-4b46-b93d-bff394ead25e"/>
    <ds:schemaRef ds:uri="1213c4d0-fd4f-487d-a062-d36ea38989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7d50848-5462-4933-a6ae-3f5aa423884b}" enabled="1" method="Privileged" siteId="{a77c517c-e95e-435b-bbb4-cb17e462491f}" contentBits="1" removed="0"/>
</clbl:labelList>
</file>

<file path=docProps/app.xml><?xml version="1.0" encoding="utf-8"?>
<Properties xmlns="http://schemas.openxmlformats.org/officeDocument/2006/extended-properties" xmlns:vt="http://schemas.openxmlformats.org/officeDocument/2006/docPropsVTypes">
  <Template>Normal.dotm</Template>
  <TotalTime>2057</TotalTime>
  <Pages>44</Pages>
  <Words>11730</Words>
  <Characters>79882</Characters>
  <Application>Microsoft Office Word</Application>
  <DocSecurity>0</DocSecurity>
  <Lines>1267</Lines>
  <Paragraphs>587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Yaseen Tawfiq AlSuwaidan</dc:creator>
  <cp:keywords/>
  <dc:description/>
  <cp:lastModifiedBy>Suwaidan-Al, Yaseen T.</cp:lastModifiedBy>
  <cp:revision>9</cp:revision>
  <cp:lastPrinted>2026-03-05T17:31:00Z</cp:lastPrinted>
  <dcterms:created xsi:type="dcterms:W3CDTF">2026-03-05T17:32:00Z</dcterms:created>
  <dcterms:modified xsi:type="dcterms:W3CDTF">2026-03-08T09:45:00Z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a7d50848-5462-4933-a6ae-3f5aa423884b_Enabled">
    <vt:lpwstr>true</vt:lpwstr>
  </property>
  <property fmtid="{D5CDD505-2E9C-101B-9397-08002B2CF9AE}" pid="4" name="MSIP_Label_a7d50848-5462-4933-a6ae-3f5aa423884b_SetDate">
    <vt:lpwstr>2025-11-13T21:43:59Z</vt:lpwstr>
  </property>
  <property fmtid="{D5CDD505-2E9C-101B-9397-08002B2CF9AE}" pid="5" name="MSIP_Label_a7d50848-5462-4933-a6ae-3f5aa423884b_Method">
    <vt:lpwstr>Privileged</vt:lpwstr>
  </property>
  <property fmtid="{D5CDD505-2E9C-101B-9397-08002B2CF9AE}" pid="6" name="MSIP_Label_a7d50848-5462-4933-a6ae-3f5aa423884b_Name">
    <vt:lpwstr>a7d50848-5462-4933-a6ae-3f5aa423884b</vt:lpwstr>
  </property>
  <property fmtid="{D5CDD505-2E9C-101B-9397-08002B2CF9AE}" pid="7" name="MSIP_Label_a7d50848-5462-4933-a6ae-3f5aa423884b_SiteId">
    <vt:lpwstr>a77c517c-e95e-435b-bbb4-cb17e462491f</vt:lpwstr>
  </property>
  <property fmtid="{D5CDD505-2E9C-101B-9397-08002B2CF9AE}" pid="8" name="MSIP_Label_a7d50848-5462-4933-a6ae-3f5aa423884b_ActionId">
    <vt:lpwstr>f3d4aad0-03eb-4f9c-b58c-a3b330f81520</vt:lpwstr>
  </property>
  <property fmtid="{D5CDD505-2E9C-101B-9397-08002B2CF9AE}" pid="9" name="MSIP_Label_a7d50848-5462-4933-a6ae-3f5aa423884b_ContentBits">
    <vt:lpwstr>1</vt:lpwstr>
  </property>
  <property fmtid="{D5CDD505-2E9C-101B-9397-08002B2CF9AE}" pid="10" name="ContentTypeId">
    <vt:lpwstr>0x0101009892766F96C79345A8E1536D23266D67</vt:lpwstr>
  </property>
  <property fmtid="{D5CDD505-2E9C-101B-9397-08002B2CF9AE}" pid="11" name="ClassificationContentMarkingHeaderShapeIds">
    <vt:lpwstr>335d5428,6f6c8dcd,64397861,1e8fe36e,3dbd0a69,d78794e</vt:lpwstr>
  </property>
  <property fmtid="{D5CDD505-2E9C-101B-9397-08002B2CF9AE}" pid="12" name="ClassificationContentMarkingHeaderFontProps">
    <vt:lpwstr>#009fdf,10,SABIC Typeface Headline Light</vt:lpwstr>
  </property>
  <property fmtid="{D5CDD505-2E9C-101B-9397-08002B2CF9AE}" pid="13" name="ClassificationContentMarkingHeaderText">
    <vt:lpwstr>Classification: Internal Use</vt:lpwstr>
  </property>
</Properties>
</file>