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جامعة ميدأوشن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رسالة مقدمة لجامعة ميدأوشن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t>ال</w:t>
      </w:r>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Segoe UI Symbol"/>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sz w:val="32"/>
          <w:szCs w:val="32"/>
          <w:rtl/>
        </w:rPr>
        <w:t xml:space="preserve">المشاكل والتحديات </w:t>
      </w:r>
      <w:r w:rsidR="003B3BAB">
        <w:rPr>
          <w:rFonts w:ascii="Times New Roman" w:eastAsia="Times New Roman" w:hAnsi="Times New Roman" w:cs="Times New Roman" w:hint="cs"/>
          <w:b/>
          <w:bCs/>
          <w:sz w:val="32"/>
          <w:szCs w:val="32"/>
          <w:rtl/>
        </w:rPr>
        <w:t>في تنظيم ال</w:t>
      </w:r>
      <w:r w:rsidR="003B3BAB" w:rsidRPr="003B3BAB">
        <w:rPr>
          <w:rFonts w:ascii="Times New Roman" w:eastAsia="Times New Roman" w:hAnsi="Times New Roman" w:cs="Times New Roman" w:hint="cs"/>
          <w:b/>
          <w:bCs/>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3E087F99" w14:textId="26486063" w:rsidR="00AD6692" w:rsidRPr="00AD6692" w:rsidRDefault="00AD6692" w:rsidP="00AD6692">
      <w:pPr>
        <w:pStyle w:val="2"/>
        <w:spacing w:after="360" w:line="260" w:lineRule="auto"/>
        <w:ind w:left="58"/>
        <w:rPr>
          <w:b w:val="0"/>
          <w:bCs/>
          <w:color w:val="auto"/>
          <w:sz w:val="36"/>
          <w:szCs w:val="36"/>
          <w:rtl/>
        </w:rPr>
      </w:pPr>
      <w:r w:rsidRPr="00AD6692">
        <w:rPr>
          <w:b w:val="0"/>
          <w:bCs/>
          <w:sz w:val="36"/>
          <w:szCs w:val="36"/>
          <w:rtl/>
        </w:rPr>
        <w:t>الفصل الأول: المرتكزات التشريعية والتنظيمية للتحول الرقمي</w:t>
      </w:r>
      <w:r w:rsidRPr="00AD6692">
        <w:rPr>
          <w:b w:val="0"/>
          <w:bCs/>
          <w:color w:val="auto"/>
          <w:sz w:val="36"/>
          <w:szCs w:val="36"/>
          <w:rtl/>
        </w:rPr>
        <w:t xml:space="preserve"> </w:t>
      </w:r>
    </w:p>
    <w:p w14:paraId="45FA9C98" w14:textId="72C6571A" w:rsidR="0099375D" w:rsidRPr="002A3CBD" w:rsidRDefault="0099375D" w:rsidP="00AD6692">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22E45822" w14:textId="77777777" w:rsidR="00AD6692" w:rsidRDefault="00433314" w:rsidP="00B1474E">
      <w:pPr>
        <w:pStyle w:val="1"/>
        <w:spacing w:line="360" w:lineRule="auto"/>
        <w:ind w:left="0"/>
        <w:jc w:val="left"/>
        <w:rPr>
          <w:rFonts w:ascii="Times New Roman" w:eastAsia="Times New Roman" w:hAnsi="Times New Roman" w:cs="Times New Roman"/>
          <w:b/>
          <w:bCs/>
          <w:color w:val="auto"/>
          <w:kern w:val="36"/>
          <w:sz w:val="28"/>
          <w:szCs w:val="28"/>
          <w:rtl/>
        </w:rPr>
      </w:pPr>
      <w:r w:rsidRPr="00AD6692">
        <w:rPr>
          <w:rStyle w:val="a8"/>
          <w:rFonts w:ascii="Times New Roman" w:eastAsia="Times New Roman" w:hAnsi="Times New Roman" w:cs="Times New Roman"/>
          <w:b/>
          <w:bCs/>
          <w:color w:val="FFFFFF" w:themeColor="background1"/>
          <w:sz w:val="32"/>
          <w:szCs w:val="32"/>
          <w:rtl/>
        </w:rPr>
        <w:footnoteReference w:id="2"/>
      </w:r>
      <w:r w:rsidR="00AD6692" w:rsidRPr="00AD6692">
        <w:rPr>
          <w:rFonts w:ascii="Times New Roman" w:hAnsi="Times New Roman" w:cs="Times New Roman"/>
          <w:b/>
          <w:bCs/>
          <w:sz w:val="32"/>
          <w:szCs w:val="32"/>
          <w:rtl/>
        </w:rPr>
        <w:t xml:space="preserve"> المبحث الأول: الإطار التشريعي للتحول الرقمي</w:t>
      </w:r>
    </w:p>
    <w:p w14:paraId="0D0F57A7" w14:textId="6C2B86BA" w:rsidR="00AD6692" w:rsidRPr="00BB518F" w:rsidRDefault="00AD6692" w:rsidP="00BB518F">
      <w:pPr>
        <w:pStyle w:val="1"/>
        <w:spacing w:line="360" w:lineRule="auto"/>
        <w:ind w:left="0"/>
        <w:jc w:val="left"/>
        <w:rPr>
          <w:rFonts w:ascii="Times New Roman" w:eastAsia="Times New Roman" w:hAnsi="Times New Roman" w:cs="Times New Roman"/>
          <w:color w:val="auto"/>
          <w:kern w:val="36"/>
          <w:sz w:val="24"/>
          <w:szCs w:val="24"/>
          <w:rtl/>
        </w:rPr>
      </w:pPr>
      <w:r w:rsidRPr="00BB518F">
        <w:rPr>
          <w:rFonts w:ascii="Times New Roman" w:hAnsi="Times New Roman" w:cs="Times New Roman"/>
          <w:sz w:val="24"/>
          <w:szCs w:val="24"/>
          <w:rtl/>
        </w:rPr>
        <w:t xml:space="preserve">يقصد بالإطار </w:t>
      </w:r>
      <w:r w:rsidR="00575E84" w:rsidRPr="00BB518F">
        <w:rPr>
          <w:rFonts w:ascii="Times New Roman" w:hAnsi="Times New Roman" w:cs="Times New Roman" w:hint="cs"/>
          <w:sz w:val="24"/>
          <w:szCs w:val="24"/>
          <w:rtl/>
        </w:rPr>
        <w:t>التشريعي</w:t>
      </w:r>
      <w:r w:rsidR="00575E84" w:rsidRPr="00575E84">
        <w:rPr>
          <w:rFonts w:ascii="Times New Roman" w:hAnsi="Times New Roman" w:cs="Times New Roman" w:hint="cs"/>
          <w:sz w:val="24"/>
          <w:szCs w:val="24"/>
          <w:vertAlign w:val="superscript"/>
          <w:rtl/>
        </w:rPr>
        <w:t xml:space="preserve"> </w:t>
      </w:r>
      <w:r w:rsidR="00575E84" w:rsidRPr="00575E84">
        <w:rPr>
          <w:rFonts w:ascii="Times New Roman" w:hAnsi="Times New Roman" w:cs="Times New Roman"/>
          <w:sz w:val="24"/>
          <w:szCs w:val="24"/>
          <w:vertAlign w:val="superscript"/>
          <w:rtl/>
        </w:rPr>
        <w:t>(</w:t>
      </w:r>
      <w:r w:rsidR="00575E84" w:rsidRPr="00575E84">
        <w:rPr>
          <w:rFonts w:ascii="Times New Roman" w:hAnsi="Times New Roman" w:cs="Times New Roman" w:hint="cs"/>
          <w:sz w:val="24"/>
          <w:szCs w:val="24"/>
          <w:vertAlign w:val="superscript"/>
          <w:rtl/>
        </w:rPr>
        <w:t>1)</w:t>
      </w:r>
      <w:r w:rsidRPr="00BB518F">
        <w:rPr>
          <w:rFonts w:ascii="Times New Roman" w:hAnsi="Times New Roman" w:cs="Times New Roman"/>
          <w:sz w:val="24"/>
          <w:szCs w:val="24"/>
          <w:rtl/>
        </w:rPr>
        <w:t xml:space="preserve"> مجموعة القواعد القانونية التي تمنح التعاملات والإجراءات القضائية المنجزة إلكترونيًا أثرها القانوني، وتنظم كيفية مباشرتها، وتحدد حجية الأدلة الناتجة عنها. ولذلك يقوم هذا المبحث على ثلاثة مرتكزات متتابعة</w:t>
      </w:r>
      <w:r w:rsidRPr="00BB518F">
        <w:rPr>
          <w:rFonts w:ascii="Times New Roman" w:hAnsi="Times New Roman" w:cs="Times New Roman"/>
          <w:sz w:val="24"/>
          <w:szCs w:val="24"/>
        </w:rPr>
        <w:t xml:space="preserve">: </w:t>
      </w:r>
      <w:r w:rsidR="00BB518F" w:rsidRPr="00BB518F">
        <w:rPr>
          <w:rStyle w:val="a3"/>
          <w:rFonts w:ascii="Times New Roman" w:hAnsi="Times New Roman" w:cs="Times New Roman"/>
          <w:sz w:val="24"/>
          <w:szCs w:val="24"/>
          <w:rtl/>
        </w:rPr>
        <w:t xml:space="preserve">أولًا </w:t>
      </w:r>
      <w:r w:rsidRPr="00BB518F">
        <w:rPr>
          <w:rStyle w:val="a3"/>
          <w:rFonts w:ascii="Times New Roman" w:hAnsi="Times New Roman" w:cs="Times New Roman"/>
          <w:sz w:val="24"/>
          <w:szCs w:val="24"/>
          <w:rtl/>
        </w:rPr>
        <w:t xml:space="preserve">الاعتراف </w:t>
      </w:r>
      <w:r w:rsidR="00BB518F" w:rsidRPr="00BB518F">
        <w:rPr>
          <w:rStyle w:val="a3"/>
          <w:rFonts w:ascii="Times New Roman" w:hAnsi="Times New Roman" w:cs="Times New Roman" w:hint="cs"/>
          <w:sz w:val="24"/>
          <w:szCs w:val="24"/>
          <w:rtl/>
        </w:rPr>
        <w:t>القانوني،</w:t>
      </w:r>
      <w:r w:rsidRPr="00BB518F">
        <w:rPr>
          <w:rStyle w:val="a3"/>
          <w:rFonts w:ascii="Times New Roman" w:hAnsi="Times New Roman" w:cs="Times New Roman"/>
          <w:sz w:val="24"/>
          <w:szCs w:val="24"/>
          <w:rtl/>
        </w:rPr>
        <w:t xml:space="preserve"> </w:t>
      </w:r>
      <w:r w:rsidR="00BB518F" w:rsidRPr="00BB518F">
        <w:rPr>
          <w:rStyle w:val="a3"/>
          <w:rFonts w:ascii="Times New Roman" w:hAnsi="Times New Roman" w:cs="Times New Roman"/>
          <w:sz w:val="24"/>
          <w:szCs w:val="24"/>
          <w:rtl/>
        </w:rPr>
        <w:t xml:space="preserve">ثانيًا </w:t>
      </w:r>
      <w:r w:rsidRPr="00BB518F">
        <w:rPr>
          <w:rStyle w:val="a3"/>
          <w:rFonts w:ascii="Times New Roman" w:hAnsi="Times New Roman" w:cs="Times New Roman"/>
          <w:sz w:val="24"/>
          <w:szCs w:val="24"/>
          <w:rtl/>
        </w:rPr>
        <w:t xml:space="preserve">تنظيم الإجراء </w:t>
      </w:r>
      <w:r w:rsidR="00BB518F" w:rsidRPr="00BB518F">
        <w:rPr>
          <w:rStyle w:val="a3"/>
          <w:rFonts w:ascii="Times New Roman" w:hAnsi="Times New Roman" w:cs="Times New Roman" w:hint="cs"/>
          <w:sz w:val="24"/>
          <w:szCs w:val="24"/>
          <w:rtl/>
        </w:rPr>
        <w:t>القضائي،</w:t>
      </w:r>
      <w:r w:rsidRPr="00BB518F">
        <w:rPr>
          <w:rStyle w:val="a3"/>
          <w:rFonts w:ascii="Times New Roman" w:hAnsi="Times New Roman" w:cs="Times New Roman"/>
          <w:sz w:val="24"/>
          <w:szCs w:val="24"/>
          <w:rtl/>
        </w:rPr>
        <w:t xml:space="preserve"> </w:t>
      </w:r>
      <w:r w:rsidR="00BB518F" w:rsidRPr="00BB518F">
        <w:rPr>
          <w:rStyle w:val="a3"/>
          <w:rFonts w:ascii="Times New Roman" w:hAnsi="Times New Roman" w:cs="Times New Roman"/>
          <w:sz w:val="24"/>
          <w:szCs w:val="24"/>
          <w:rtl/>
        </w:rPr>
        <w:t xml:space="preserve">ثالثًا </w:t>
      </w:r>
      <w:r w:rsidRPr="00BB518F">
        <w:rPr>
          <w:rStyle w:val="a3"/>
          <w:rFonts w:ascii="Times New Roman" w:hAnsi="Times New Roman" w:cs="Times New Roman"/>
          <w:sz w:val="24"/>
          <w:szCs w:val="24"/>
          <w:rtl/>
        </w:rPr>
        <w:t>تقرير الحجية الإثباتية</w:t>
      </w:r>
      <w:r w:rsidRPr="00BB518F">
        <w:rPr>
          <w:rFonts w:ascii="Times New Roman" w:hAnsi="Times New Roman" w:cs="Times New Roman"/>
          <w:sz w:val="24"/>
          <w:szCs w:val="24"/>
        </w:rPr>
        <w:t>.</w:t>
      </w:r>
    </w:p>
    <w:p w14:paraId="4E6EFD52" w14:textId="77777777" w:rsidR="00AD6692" w:rsidRDefault="00AD6692" w:rsidP="00B1474E">
      <w:pPr>
        <w:pStyle w:val="1"/>
        <w:spacing w:line="360" w:lineRule="auto"/>
        <w:ind w:left="0"/>
        <w:jc w:val="left"/>
        <w:rPr>
          <w:rFonts w:ascii="Times New Roman" w:eastAsia="Times New Roman" w:hAnsi="Times New Roman" w:cs="Times New Roman"/>
          <w:b/>
          <w:bCs/>
          <w:color w:val="auto"/>
          <w:kern w:val="36"/>
          <w:sz w:val="28"/>
          <w:szCs w:val="28"/>
          <w:rtl/>
        </w:rPr>
      </w:pPr>
    </w:p>
    <w:p w14:paraId="7E5A3A6A" w14:textId="17C0F1AF" w:rsidR="002A3CBD" w:rsidRDefault="002A3CBD" w:rsidP="00575E84">
      <w:pPr>
        <w:pStyle w:val="1"/>
        <w:spacing w:line="360" w:lineRule="auto"/>
        <w:ind w:left="0"/>
        <w:jc w:val="left"/>
        <w:rPr>
          <w:rFonts w:ascii="Times New Roman" w:eastAsia="Times New Roman" w:hAnsi="Times New Roman" w:cs="Times New Roman"/>
          <w:b/>
          <w:bCs/>
          <w:color w:val="auto"/>
          <w:kern w:val="36"/>
          <w:sz w:val="28"/>
          <w:szCs w:val="28"/>
          <w:rtl/>
        </w:rPr>
      </w:pPr>
      <w:r w:rsidRPr="00B91C6C">
        <w:rPr>
          <w:rFonts w:ascii="Times New Roman" w:eastAsia="Times New Roman" w:hAnsi="Times New Roman" w:cs="Times New Roman"/>
          <w:b/>
          <w:bCs/>
          <w:color w:val="auto"/>
          <w:kern w:val="36"/>
          <w:sz w:val="28"/>
          <w:szCs w:val="28"/>
          <w:rtl/>
        </w:rPr>
        <w:t xml:space="preserve"> </w:t>
      </w:r>
      <w:r w:rsidR="00575E84" w:rsidRPr="00575E84">
        <w:rPr>
          <w:rFonts w:ascii="Times New Roman" w:hAnsi="Times New Roman" w:cs="Times New Roman"/>
          <w:b/>
          <w:bCs/>
          <w:sz w:val="28"/>
          <w:szCs w:val="28"/>
          <w:rtl/>
        </w:rPr>
        <w:t>المطلب الأول: الاعتراف القانوني بالتعاملات والإجراءات الإلكترونية</w:t>
      </w:r>
    </w:p>
    <w:p w14:paraId="27185593" w14:textId="30F4CDB8"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 xml:space="preserve">يمثل الاعتراف القانوني بالتعاملات والإجراءات الإلكترونية المرتكز الأول الذي يقوم عليه التحول الرقمي القضائي، إذ لا يمكن بناء خصومة رقمية صحيحة ما لم يقرر التشريع أن اتخاذ المحرر أو الإجراء شكلًا إلكترونيًا لا ينال من صحته أو حجيته أو قابليته للإنفاذ. وقد اتجهت الأنظمة المقارنة إلى تبني هذا المبدأ مع اختلافها في الأداة التشريعية ودرجة التفصيل. ففي المملكة العربية السعودية </w:t>
      </w:r>
      <w:r w:rsidR="0046275F" w:rsidRPr="00FF2EBB">
        <w:rPr>
          <w:rFonts w:ascii="Times New Roman" w:eastAsia="Times New Roman" w:hAnsi="Times New Roman" w:cs="Times New Roman" w:hint="cs"/>
          <w:sz w:val="24"/>
          <w:szCs w:val="24"/>
          <w:vertAlign w:val="superscript"/>
          <w:rtl/>
        </w:rPr>
        <w:t>(</w:t>
      </w:r>
      <w:r w:rsidR="00FF2EBB" w:rsidRPr="00FF2EBB">
        <w:rPr>
          <w:rFonts w:ascii="Times New Roman" w:eastAsia="Times New Roman" w:hAnsi="Times New Roman" w:cs="Times New Roman" w:hint="cs"/>
          <w:sz w:val="24"/>
          <w:szCs w:val="24"/>
          <w:vertAlign w:val="superscript"/>
          <w:rtl/>
        </w:rPr>
        <w:t>2)</w:t>
      </w:r>
      <w:r w:rsidR="00FF2EBB" w:rsidRPr="00444862">
        <w:rPr>
          <w:rFonts w:ascii="Times New Roman" w:eastAsia="Times New Roman" w:hAnsi="Times New Roman" w:cs="Times New Roman" w:hint="cs"/>
          <w:sz w:val="24"/>
          <w:szCs w:val="24"/>
          <w:rtl/>
        </w:rPr>
        <w:t xml:space="preserve"> وض</w:t>
      </w:r>
      <w:r w:rsidR="00FF2EBB" w:rsidRPr="00444862">
        <w:rPr>
          <w:rFonts w:ascii="Times New Roman" w:eastAsia="Times New Roman" w:hAnsi="Times New Roman" w:cs="Times New Roman" w:hint="eastAsia"/>
          <w:sz w:val="24"/>
          <w:szCs w:val="24"/>
          <w:rtl/>
        </w:rPr>
        <w:t>ع</w:t>
      </w:r>
      <w:r w:rsidRPr="00444862">
        <w:rPr>
          <w:rFonts w:ascii="Times New Roman" w:eastAsia="Times New Roman" w:hAnsi="Times New Roman" w:cs="Times New Roman"/>
          <w:sz w:val="24"/>
          <w:szCs w:val="24"/>
          <w:rtl/>
        </w:rPr>
        <w:t xml:space="preserve"> نظام التعاملات الإلكترونية الصادر بالمرسوم الملكي رقم (م/18) لسنة 1428هـ الأساس العام للاعتراف بالتعاملات والسجلات والتوقيعات الإلكترونية، وربط حجيتها باستيفاء متطلبات الموثوقية وسلامة السجل وإمكان التحقق من التوقيع. ويعكس هذا التنظيم انتقال المنظم السعودي من ربط الحجية بالشكل الورقي إلى الاعتداد بالوظيفة التي يؤديها السجل الإلكتروني متى تحققت الضمانات النظامية، وهو ما مهد لاحقًا لإدماج الوسائل الإلكترونية في إجراءات التقاضي والإثبات</w:t>
      </w:r>
      <w:r w:rsidRPr="00444862">
        <w:rPr>
          <w:rFonts w:ascii="Times New Roman" w:eastAsia="Times New Roman" w:hAnsi="Times New Roman" w:cs="Times New Roman"/>
          <w:sz w:val="24"/>
          <w:szCs w:val="24"/>
        </w:rPr>
        <w:t>.</w:t>
      </w:r>
    </w:p>
    <w:p w14:paraId="6B97AE15" w14:textId="25350216"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ويتقارب المشرع الإماراتي</w:t>
      </w:r>
      <w:r w:rsidR="00FF2EBB" w:rsidRPr="00FF2EBB">
        <w:rPr>
          <w:rFonts w:ascii="Times New Roman" w:eastAsia="Times New Roman" w:hAnsi="Times New Roman" w:cs="Times New Roman" w:hint="cs"/>
          <w:sz w:val="24"/>
          <w:szCs w:val="24"/>
          <w:vertAlign w:val="superscript"/>
          <w:rtl/>
        </w:rPr>
        <w:t>(</w:t>
      </w:r>
      <w:r w:rsidR="00FF2EBB" w:rsidRPr="00FF2EBB">
        <w:rPr>
          <w:rStyle w:val="a8"/>
          <w:rFonts w:ascii="Times New Roman" w:eastAsia="Times New Roman" w:hAnsi="Times New Roman" w:cs="Times New Roman"/>
          <w:vanish/>
          <w:sz w:val="24"/>
          <w:szCs w:val="24"/>
          <w:vertAlign w:val="baseline"/>
          <w:rtl/>
        </w:rPr>
        <w:footnoteReference w:id="3"/>
      </w:r>
      <w:r w:rsidR="00FF2EBB" w:rsidRPr="00FF2EBB">
        <w:rPr>
          <w:rFonts w:ascii="Times New Roman" w:eastAsia="Times New Roman" w:hAnsi="Times New Roman" w:cs="Times New Roman" w:hint="cs"/>
          <w:sz w:val="24"/>
          <w:szCs w:val="24"/>
          <w:vertAlign w:val="superscript"/>
          <w:rtl/>
        </w:rPr>
        <w:t>1)</w:t>
      </w:r>
      <w:r w:rsidRPr="00444862">
        <w:rPr>
          <w:rFonts w:ascii="Times New Roman" w:eastAsia="Times New Roman" w:hAnsi="Times New Roman" w:cs="Times New Roman"/>
          <w:sz w:val="24"/>
          <w:szCs w:val="24"/>
          <w:rtl/>
        </w:rPr>
        <w:t xml:space="preserve"> مع هذا الاتجاه من حيث أصل الاعتراف، إلا أنه اتجه إلى بناء إطار أكثر تفصيلًا من خلال المرسوم بقانون اتحادي رقم (46) لسنة 2021 بشأن المعاملات الإلكترونية وخدمات الثقة؛ إذ لم يقتصر التنظيم على الاعتراف بالتوقيع الإلكتروني، بل توسع ليشمل التوقيعات الموثوقة والمعتمدة، وخدمات الثقة، وخدمات الثقة المعتمدة، والأختام والطوابع الزمنية وغيرها من الأدوات التي تعزز إمكانية التحقق من هوية المتعامل وسلامة المستند وزمن إنشائه أو إرساله. ويكشف هذا التطور عن انتقال التشريع الإماراتي من مجرد تقرير الحجية إلى بناء منظومة مؤسسية للثقة الرقمية، وهو ما يحقق درجة أعلى من اليقين في المعاملات ذات المخاطر القانونية المرتفعة</w:t>
      </w:r>
      <w:r w:rsidRPr="00444862">
        <w:rPr>
          <w:rFonts w:ascii="Times New Roman" w:eastAsia="Times New Roman" w:hAnsi="Times New Roman" w:cs="Times New Roman"/>
          <w:sz w:val="24"/>
          <w:szCs w:val="24"/>
        </w:rPr>
        <w:t>.</w:t>
      </w:r>
    </w:p>
    <w:p w14:paraId="34FE58FC" w14:textId="66FA23C9"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 xml:space="preserve">أما </w:t>
      </w:r>
      <w:r w:rsidR="00FF2EBB" w:rsidRPr="00444862">
        <w:rPr>
          <w:rFonts w:ascii="Times New Roman" w:eastAsia="Times New Roman" w:hAnsi="Times New Roman" w:cs="Times New Roman" w:hint="cs"/>
          <w:sz w:val="24"/>
          <w:szCs w:val="24"/>
          <w:rtl/>
        </w:rPr>
        <w:t>سنغافورة</w:t>
      </w:r>
      <w:r w:rsidR="00FF2EBB" w:rsidRPr="00FF2EBB">
        <w:rPr>
          <w:rFonts w:ascii="Times New Roman" w:eastAsia="Times New Roman" w:hAnsi="Times New Roman" w:cs="Times New Roman" w:hint="cs"/>
          <w:sz w:val="24"/>
          <w:szCs w:val="24"/>
          <w:vertAlign w:val="superscript"/>
          <w:rtl/>
        </w:rPr>
        <w:t xml:space="preserve"> </w:t>
      </w:r>
      <w:r w:rsidR="00FF2EBB" w:rsidRPr="00FF2EBB">
        <w:rPr>
          <w:rFonts w:ascii="Times New Roman" w:eastAsia="Times New Roman" w:hAnsi="Times New Roman" w:cs="Times New Roman"/>
          <w:sz w:val="24"/>
          <w:szCs w:val="24"/>
          <w:vertAlign w:val="superscript"/>
          <w:rtl/>
        </w:rPr>
        <w:t>(</w:t>
      </w:r>
      <w:r w:rsidR="00FF2EBB" w:rsidRPr="00FF2EBB">
        <w:rPr>
          <w:rFonts w:ascii="Times New Roman" w:eastAsia="Times New Roman" w:hAnsi="Times New Roman" w:cs="Times New Roman" w:hint="cs"/>
          <w:sz w:val="24"/>
          <w:szCs w:val="24"/>
          <w:vertAlign w:val="superscript"/>
          <w:rtl/>
        </w:rPr>
        <w:t>2)</w:t>
      </w:r>
      <w:r w:rsidRPr="00444862">
        <w:rPr>
          <w:rFonts w:ascii="Times New Roman" w:eastAsia="Times New Roman" w:hAnsi="Times New Roman" w:cs="Times New Roman"/>
          <w:sz w:val="24"/>
          <w:szCs w:val="24"/>
          <w:rtl/>
        </w:rPr>
        <w:t>، فقد تبنت في قانون المعاملات الإلكترونية لسنة 2010 منهجًا يقوم بدرجة أكبر على الحياد التقني والتكافؤ الوظيفي؛ إذ قرر القانون عدم حرمان السجل الإلكتروني من أثره القانوني لمجرد شكله، ونظم استيفاء متطلبات الكتابة والتوقيع والاحتفاظ بالسجلات في البيئة الإلكترونية وفق معيار يركز على قدرة الوسيلة المستخدمة على تحديد هوية الشخص وإثبات قصده ومدى موثوقيتها في ظروف المعاملة. كما ميز بين التوقيع الإلكتروني العام والتوقيع الإلكتروني الآمن، ورتب على الأخير قرائن قانونية إضافية، وهو ما سمح بالجمع بين المرونة التقنية ورفع درجة الثقة في الحالات التي تستخدم فيها وسائل أمان أعلى</w:t>
      </w:r>
      <w:r w:rsidRPr="00444862">
        <w:rPr>
          <w:rFonts w:ascii="Times New Roman" w:eastAsia="Times New Roman" w:hAnsi="Times New Roman" w:cs="Times New Roman"/>
          <w:sz w:val="24"/>
          <w:szCs w:val="24"/>
        </w:rPr>
        <w:t>.</w:t>
      </w:r>
    </w:p>
    <w:p w14:paraId="1CA8910B" w14:textId="77777777"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وتكشف المقارنة أن الأنظمة الثلاثة تتفق على قاعدة جوهرية واحدة تتمثل في عدم التمييز ضد الشكل الإلكتروني، إلا أن الاختلاف يظهر في كيفية بناء الثقة حول هذا الشكل. فالنظام السعودي يجعل الحجية مرتبطة باستيفاء الشروط النظامية للموثوقية، بينما يتوسع النظام الإماراتي في بناء درجات مؤسسية لخدمات الثقة، في حين يمنح النظام السنغافوري مساحة أوسع للحياد التقني مع استخدام قرائن خاصة للتوقيعات والسجلات الآمنة. ولا يمكن اعتبار أحد هذه النماذج أفضل بصورة مطلقة؛ فالتفصيل الإماراتي يعزز اليقين القانوني لكنه قد يزيد من المتطلبات التنظيمية، بينما تحقق المرونة السنغافورية قابلية أعلى لاستيعاب التقنيات الجديدة مع منح القضاء دورًا أوسع في تقدير الموثوقية، في حين يمثل النموذج السعودي قاعدة متوازنة يمكن تطويرها باتجاه توسيع مفهوم خدمات الثقة وربطه بصورة أوضح بالإجراءات القضائية</w:t>
      </w:r>
      <w:r w:rsidRPr="00444862">
        <w:rPr>
          <w:rFonts w:ascii="Times New Roman" w:eastAsia="Times New Roman" w:hAnsi="Times New Roman" w:cs="Times New Roman"/>
          <w:sz w:val="24"/>
          <w:szCs w:val="24"/>
        </w:rPr>
        <w:t>.</w:t>
      </w:r>
    </w:p>
    <w:p w14:paraId="0A589134" w14:textId="6724D104" w:rsidR="007F4E72" w:rsidRDefault="00444862" w:rsidP="009F7783">
      <w:pPr>
        <w:spacing w:before="100" w:beforeAutospacing="1" w:after="100" w:afterAutospacing="1" w:line="360" w:lineRule="auto"/>
        <w:jc w:val="left"/>
        <w:rPr>
          <w:rFonts w:ascii="Times New Roman" w:eastAsia="Times New Roman" w:hAnsi="Times New Roman" w:cs="Times New Roman"/>
          <w:sz w:val="24"/>
          <w:szCs w:val="24"/>
          <w:rtl/>
        </w:rPr>
      </w:pPr>
      <w:r w:rsidRPr="00444862">
        <w:rPr>
          <w:rFonts w:ascii="Times New Roman" w:eastAsia="Times New Roman" w:hAnsi="Times New Roman" w:cs="Times New Roman"/>
          <w:sz w:val="24"/>
          <w:szCs w:val="24"/>
          <w:rtl/>
        </w:rPr>
        <w:t>ويترتب على الاعتراف التشريعي بالتعاملات الإلكترونية أثر مباشر في البيئة القضائية؛ إذ لم يعد من الممكن رفض المستند أو الطلب أو التوقيع لمجرد كونه إلكترونيًا، وانتقلت المنازعة من الشكل إلى مسائل أدق تتعلق بصحة النسبة وسلامة المحتوى ووقت الإرسال ومدى موثوقية النظام المستخدم. وهذا التحول يمثل جوهر الأمن القانوني في القضاء الرقمي، لأنه يحول الوسيلة الإلكترونية من استثناء يحتاج إلى تبرير إلى وسيلة قانونية أصلية متى تحققت ضماناتها</w:t>
      </w:r>
      <w:r w:rsidRPr="00444862">
        <w:rPr>
          <w:rFonts w:ascii="Times New Roman" w:eastAsia="Times New Roman" w:hAnsi="Times New Roman" w:cs="Times New Roman"/>
          <w:sz w:val="24"/>
          <w:szCs w:val="24"/>
        </w:rPr>
        <w:t>.</w:t>
      </w:r>
    </w:p>
    <w:p w14:paraId="3464F0F2" w14:textId="25A6C822"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أن التجربة السعودية تمتلك أساسًا تشريعيًا مناسبًا لهذا التحول، غير أن مقارنتها بالنموذجين الإماراتي والسنغافوري تكشف الحاجة إلى تطوير التنظيم في اتجاهين متكاملين؛ أولهما توسيع مفهوم خدمات الثقة ليشمل أدوات مثل الختم الإلكتروني والطابع الزمني والتسليم الإلكتروني المسجل، وثانيهما المحافظة على الحياد التقني حتى لا يرتبط الاعتراف بتقنية بعينها. ويحقق الجمع بين هذين الاتجاهين توازنًا بين الموثوقية والمرونة، ويعزز استدامة التحول الرقمي القضائي مع استمرار تطور التقنيات</w:t>
      </w:r>
      <w:r w:rsidRPr="00444862">
        <w:rPr>
          <w:rFonts w:ascii="Times New Roman" w:eastAsia="Times New Roman" w:hAnsi="Times New Roman" w:cs="Times New Roman"/>
          <w:sz w:val="24"/>
          <w:szCs w:val="24"/>
        </w:rPr>
        <w:t>.</w:t>
      </w:r>
    </w:p>
    <w:p w14:paraId="0877D6AC"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7F4E72">
        <w:rPr>
          <w:rFonts w:ascii="Times New Roman" w:eastAsia="Times New Roman" w:hAnsi="Times New Roman" w:cs="Times New Roman"/>
          <w:b/>
          <w:bCs/>
          <w:sz w:val="32"/>
          <w:szCs w:val="32"/>
          <w:rtl/>
        </w:rPr>
        <w:t>المطلب الثاني: تنظيم الإجراءات القضائية الإلكترونية</w:t>
      </w:r>
    </w:p>
    <w:p w14:paraId="78733CE7" w14:textId="583BE0E3"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يمثل تنظيم الإجراءات القضائية الإلكترونية </w:t>
      </w:r>
      <w:r w:rsidR="00C95A4B" w:rsidRPr="00C95A4B">
        <w:rPr>
          <w:rFonts w:ascii="Times New Roman" w:eastAsia="Times New Roman" w:hAnsi="Times New Roman" w:cs="Times New Roman" w:hint="cs"/>
          <w:sz w:val="24"/>
          <w:szCs w:val="24"/>
          <w:vertAlign w:val="superscript"/>
          <w:rtl/>
        </w:rPr>
        <w:t>(</w:t>
      </w:r>
      <w:r w:rsidR="00C95A4B" w:rsidRPr="00C95A4B">
        <w:rPr>
          <w:rStyle w:val="a8"/>
          <w:rFonts w:ascii="Times New Roman" w:eastAsia="Times New Roman" w:hAnsi="Times New Roman" w:cs="Times New Roman"/>
          <w:vanish/>
          <w:sz w:val="24"/>
          <w:szCs w:val="24"/>
          <w:vertAlign w:val="baseline"/>
          <w:rtl/>
        </w:rPr>
        <w:footnoteReference w:id="4"/>
      </w:r>
      <w:r w:rsidR="00C95A4B" w:rsidRPr="00C95A4B">
        <w:rPr>
          <w:rFonts w:ascii="Times New Roman" w:eastAsia="Times New Roman" w:hAnsi="Times New Roman" w:cs="Times New Roman" w:hint="cs"/>
          <w:sz w:val="24"/>
          <w:szCs w:val="24"/>
          <w:vertAlign w:val="superscript"/>
          <w:rtl/>
        </w:rPr>
        <w:t>1)</w:t>
      </w:r>
      <w:r w:rsidR="00C95A4B" w:rsidRPr="007F4E72">
        <w:rPr>
          <w:rFonts w:ascii="Times New Roman" w:eastAsia="Times New Roman" w:hAnsi="Times New Roman" w:cs="Times New Roman" w:hint="cs"/>
          <w:sz w:val="24"/>
          <w:szCs w:val="24"/>
          <w:rtl/>
        </w:rPr>
        <w:t xml:space="preserve"> المرحل</w:t>
      </w:r>
      <w:r w:rsidR="00C95A4B" w:rsidRPr="007F4E72">
        <w:rPr>
          <w:rFonts w:ascii="Times New Roman" w:eastAsia="Times New Roman" w:hAnsi="Times New Roman" w:cs="Times New Roman" w:hint="eastAsia"/>
          <w:sz w:val="24"/>
          <w:szCs w:val="24"/>
          <w:rtl/>
        </w:rPr>
        <w:t>ة</w:t>
      </w:r>
      <w:r w:rsidRPr="007F4E72">
        <w:rPr>
          <w:rFonts w:ascii="Times New Roman" w:eastAsia="Times New Roman" w:hAnsi="Times New Roman" w:cs="Times New Roman"/>
          <w:sz w:val="24"/>
          <w:szCs w:val="24"/>
          <w:rtl/>
        </w:rPr>
        <w:t xml:space="preserve"> التالية للاعتراف القانوني العام بالتعاملات الإلكترونية؛ إذ لا يكفي أن يقر المشرع حجية المحرر أو التوقيع الإلكتروني ما لم تمتد هذه المشروعية إلى الإجراءات التي تتكون منها الخصومة القضائية ذاتها، بدءًا من رفع الدعوى وقيدها، ومرورًا بإعلان الخصوم وتبادل المذكرات والمستندات، وانتهاءً بعقد الجلسات وإصدار القرارات والأحكام ومتابعة تنفيذها. ومن ثم، فإن الانتقال إلى التقاضي الرقمي لا يعني مجرد استبدال الورق بالوسائل التقنية، وإنما يستلزم إعادة صياغة القواعد الإجرائية بما يتلاءم مع طبيعة البيئة الرقمية ويحافظ، في الوقت ذاته، على الضمانات الأساسية للتقاضي، وعلى رأسها حق الدفاع، والمواجهة بين الخصوم، والمساواة الإجرائية، وإمكان إثبات حصول الإجراء وتوقيته ونسبته إلى صاحبه</w:t>
      </w:r>
      <w:r w:rsidRPr="007F4E72">
        <w:rPr>
          <w:rFonts w:ascii="Times New Roman" w:eastAsia="Times New Roman" w:hAnsi="Times New Roman" w:cs="Times New Roman"/>
          <w:sz w:val="24"/>
          <w:szCs w:val="24"/>
        </w:rPr>
        <w:t>.</w:t>
      </w:r>
    </w:p>
    <w:p w14:paraId="77F46180" w14:textId="6373107F"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انتقلت الأنظمة محل المقارنة بدرجات متفاوتة من الاعتراف العام بالتعامل الإلكتروني إلى إدماجه في البنية الإجرائية للقضاء. ففي المملكة العربية السعودية</w:t>
      </w:r>
      <w:r w:rsidR="0068500B">
        <w:rPr>
          <w:rFonts w:ascii="Times New Roman" w:eastAsia="Times New Roman" w:hAnsi="Times New Roman" w:cs="Times New Roman" w:hint="cs"/>
          <w:sz w:val="24"/>
          <w:szCs w:val="24"/>
          <w:rtl/>
        </w:rPr>
        <w:t xml:space="preserve"> </w:t>
      </w:r>
      <w:r w:rsidR="0068500B" w:rsidRPr="0068500B">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tl/>
        </w:rPr>
        <w:t xml:space="preserve"> وفر نظام التعاملات الإلكترونية الأساس العام لقبول السجلات والتوقيعات الإلكترونية، ثم تداخل هذا الأساس مع نظام المرافعات الشرعية واللوائح والتنظيمات العدلية التي أتاحت التوسع في تقديم الخدمات القضائية إلكترونيًا. وقد أدى ذلك إلى تحول ملموس في إدارة الدعوى، إذ أصبح جزء كبير من الاتصال بين المتقاضي والجهة القضائية يتم عبر الوسائل الرقمية، وهو ما يعكس انتقال البيئة العدلية من مجرد استخدام التقنية في الخدمات المساندة إلى جعلها جزءًا من المسار الإجرائي للدعوى. ويختلف هذا المسار عن النموذج الإماراتي الذي أدرج استخدام وسائل الاتصال الحديثة بصورة أكثر صراحة في التشريع الإجرائي ذاته؛ إذ أفرد المرسوم</w:t>
      </w:r>
      <w:r w:rsidR="0068500B" w:rsidRPr="0068500B">
        <w:rPr>
          <w:rFonts w:ascii="Times New Roman" w:eastAsia="Times New Roman" w:hAnsi="Times New Roman" w:cs="Times New Roman" w:hint="cs"/>
          <w:sz w:val="24"/>
          <w:szCs w:val="24"/>
          <w:vertAlign w:val="superscript"/>
          <w:rtl/>
        </w:rPr>
        <w:t>(3)</w:t>
      </w:r>
      <w:r w:rsidRPr="007F4E72">
        <w:rPr>
          <w:rFonts w:ascii="Times New Roman" w:eastAsia="Times New Roman" w:hAnsi="Times New Roman" w:cs="Times New Roman"/>
          <w:sz w:val="24"/>
          <w:szCs w:val="24"/>
          <w:rtl/>
        </w:rPr>
        <w:t xml:space="preserve"> بقانون اتحادي رقم (42) لسنة 2022 بشأن الإجراءات المدنية أحكامًا لاستخدام تقنيات الاتصال عن بعد في الإجراءات المدنية، كما أجاز قانون السلطة القضائية الاتحادية للمحاكم عقد جلساتها عن بعد باستخدام وسائل الاتصال التقنية الحديثة</w:t>
      </w:r>
      <w:r w:rsidRPr="007F4E72">
        <w:rPr>
          <w:rFonts w:ascii="Times New Roman" w:eastAsia="Times New Roman" w:hAnsi="Times New Roman" w:cs="Times New Roman"/>
          <w:sz w:val="24"/>
          <w:szCs w:val="24"/>
        </w:rPr>
        <w:t>.</w:t>
      </w:r>
    </w:p>
    <w:p w14:paraId="2BEC956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794F639" w14:textId="2BB352F3"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54D67CE" w14:textId="2BC60AB1"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وتكشف هذه المقارنة عن فارق في </w:t>
      </w:r>
      <w:r w:rsidRPr="007F4E72">
        <w:rPr>
          <w:rFonts w:ascii="Times New Roman" w:eastAsia="Times New Roman" w:hAnsi="Times New Roman" w:cs="Times New Roman"/>
          <w:b/>
          <w:bCs/>
          <w:sz w:val="24"/>
          <w:szCs w:val="24"/>
          <w:rtl/>
        </w:rPr>
        <w:t>موضع التنظيم</w:t>
      </w:r>
      <w:r w:rsidRPr="007F4E72">
        <w:rPr>
          <w:rFonts w:ascii="Times New Roman" w:eastAsia="Times New Roman" w:hAnsi="Times New Roman" w:cs="Times New Roman"/>
          <w:sz w:val="24"/>
          <w:szCs w:val="24"/>
          <w:rtl/>
        </w:rPr>
        <w:t xml:space="preserve"> أكثر من وجود اختلاف في أصل الاعتراف؛ فالسعودية بنت جزءًا كبيرًا من التحول الإجرائي من خلال تكامل النظام العام واللوائح والمنصات العدلية، في حين جعل المشرع الإماراتي عددًا من صور التقاضي عن بعد جزءًا ظاهرًا من بنية قانون الإجراءات المدنية. ويحقق النهج الإماراتي ميزة تتمثل في وضوح المصدر التشريعي للإجراء الإلكتروني أمام القاضي والمتقاضي، بينما يمنح النموذج السعودي الإدارة العدلية مساحة أكبر لتطوير الخدمات الرقمية وفق المستجدات العملية من دون الحاجة إلى تعديل النظام في كل مرة. غير أن هذه المرونة تستدعي المحافظة على وضوح الحدود بين ما يعد تنظيمًا تشغيليًا وما يمس ضمانة إجرائية لا يجوز تقريرها إلا بنص أو قاعدة نظامية واضحة</w:t>
      </w:r>
      <w:r w:rsidRPr="007F4E72">
        <w:rPr>
          <w:rFonts w:ascii="Times New Roman" w:eastAsia="Times New Roman" w:hAnsi="Times New Roman" w:cs="Times New Roman"/>
          <w:sz w:val="24"/>
          <w:szCs w:val="24"/>
        </w:rPr>
        <w:t>.</w:t>
      </w:r>
    </w:p>
    <w:p w14:paraId="359430DD" w14:textId="0699CDA5"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أما سنغافورة </w:t>
      </w:r>
      <w:r w:rsidR="00A3513C" w:rsidRPr="00A3513C">
        <w:rPr>
          <w:rFonts w:ascii="Times New Roman" w:eastAsia="Times New Roman" w:hAnsi="Times New Roman" w:cs="Times New Roman" w:hint="cs"/>
          <w:sz w:val="24"/>
          <w:szCs w:val="24"/>
          <w:vertAlign w:val="superscript"/>
          <w:rtl/>
        </w:rPr>
        <w:t>(1</w:t>
      </w:r>
      <w:r w:rsidR="00A3513C" w:rsidRPr="00A3513C">
        <w:rPr>
          <w:rStyle w:val="a8"/>
          <w:rFonts w:ascii="Times New Roman" w:eastAsia="Times New Roman" w:hAnsi="Times New Roman" w:cs="Times New Roman"/>
          <w:vanish/>
          <w:sz w:val="24"/>
          <w:szCs w:val="24"/>
          <w:vertAlign w:val="baseline"/>
          <w:rtl/>
        </w:rPr>
        <w:footnoteReference w:id="5"/>
      </w:r>
      <w:r w:rsidR="00A3513C" w:rsidRPr="00A3513C">
        <w:rPr>
          <w:rFonts w:ascii="Times New Roman" w:eastAsia="Times New Roman" w:hAnsi="Times New Roman" w:cs="Times New Roman" w:hint="cs"/>
          <w:sz w:val="24"/>
          <w:szCs w:val="24"/>
          <w:vertAlign w:val="superscript"/>
          <w:rtl/>
        </w:rPr>
        <w:t>)</w:t>
      </w:r>
      <w:r w:rsidRPr="007F4E72">
        <w:rPr>
          <w:rFonts w:ascii="Times New Roman" w:eastAsia="Times New Roman" w:hAnsi="Times New Roman" w:cs="Times New Roman"/>
          <w:sz w:val="24"/>
          <w:szCs w:val="24"/>
          <w:rtl/>
        </w:rPr>
        <w:t xml:space="preserve">فتظهر فيها بصورة أكثر وضوحًا فكرة </w:t>
      </w:r>
      <w:r w:rsidRPr="007F4E72">
        <w:rPr>
          <w:rFonts w:ascii="Times New Roman" w:eastAsia="Times New Roman" w:hAnsi="Times New Roman" w:cs="Times New Roman"/>
          <w:b/>
          <w:bCs/>
          <w:sz w:val="24"/>
          <w:szCs w:val="24"/>
          <w:rtl/>
        </w:rPr>
        <w:t>الدورة الرقمية المتكاملة للدعوى</w:t>
      </w:r>
      <w:r w:rsidRPr="007F4E72">
        <w:rPr>
          <w:rFonts w:ascii="Times New Roman" w:eastAsia="Times New Roman" w:hAnsi="Times New Roman" w:cs="Times New Roman"/>
          <w:sz w:val="24"/>
          <w:szCs w:val="24"/>
          <w:rtl/>
        </w:rPr>
        <w:t>؛ إذ خصصت قواعد المحكمة لسنة 2021 الأمر الثامن والعشرين لخدمة الإيداع الإلكتروني، فنظمت إنشاء الخدمة، ومقدمها، ونظامها الحاسوبي، والمستخدمين المسجلين، والإيداع الإلكتروني، وتوقيع المستندات الإلكترونية، وتاريخ الإيداع، وبدء حساب مدة التبليغ، وخدمة المستندات. ولم يبق الأمر في إطار تشريعي نظري، بل تم تجسيده من خلال نظام</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الذي تستخدمه المحاكم السنغافورية لإيداع الطلبات والمستندات في الدعاوى المدنية أمام محاكم الدولة والمحكمة العليا، والقضايا الأسرية، وبعض القضايا الجنائية أمام المحكمة العليا. كما تقرر التوجيهات الإجرائية للمحكمة العليا صراحة أن قواعد الجزء المتعلق بالإيداع والخدمة الإلكترونية تطبق على إيداع المستندات وخدمتها وتسليمها في الإجراءات المدنية بموجب الأمر الثامن والعشرين</w:t>
      </w:r>
      <w:r w:rsidRPr="007F4E72">
        <w:rPr>
          <w:rFonts w:ascii="Times New Roman" w:eastAsia="Times New Roman" w:hAnsi="Times New Roman" w:cs="Times New Roman"/>
          <w:sz w:val="24"/>
          <w:szCs w:val="24"/>
        </w:rPr>
        <w:t>.</w:t>
      </w:r>
    </w:p>
    <w:p w14:paraId="11235ED6"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ولا يعني ذلك أن سنغافورة ألغت جميع وسائل الإجراءات التقليدية، وإنما تكشف التجربة عن درجة أعلى من الربط بين القاعدة الإجرائية والنظام الإلكتروني الذي ينفذها. ويظهر هذا الأمر بصورة خاصة في تنظيم تاريخ الإيداع وبداية احتساب المدد وخدمة المستندات، وهي مسائل ذات أهمية قانونية تتجاوز الجانب التقني؛ لأن خطأ تحديد لحظة الإيداع قد يؤدي إلى سقوط طعن أو انتهاء ميعاد إجرائي. ومن هنا تظهر إحدى النتائج المهمة للمقارنة، وهي أن التحول الرقمي الناضج لا يكتفي بالسماح بتقديم المستند إلكترونيًا، وإنما يجب أن يجيب عن السؤال القانوني المتعلق باللحظة التي يعد فيها الإجراء قد تم، وكيف يثبت ذلك، وما أثر تعطل النظام قبل انتهاء الميعاد</w:t>
      </w:r>
      <w:r w:rsidRPr="007F4E72">
        <w:rPr>
          <w:rFonts w:ascii="Times New Roman" w:eastAsia="Times New Roman" w:hAnsi="Times New Roman" w:cs="Times New Roman"/>
          <w:sz w:val="24"/>
          <w:szCs w:val="24"/>
        </w:rPr>
        <w:t>.</w:t>
      </w:r>
    </w:p>
    <w:p w14:paraId="14F9F556"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وتبرز هذه المسألة بصورة عملية في واقعة تعطل نظام</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 xml:space="preserve">في سنغافورة خلال يوليو 2025؛ فقد أعلنت السلطة القضائية عودة الخدمة في 31 يوليو 2025، وسمحت للمكاتب القانونية التي تعذر عليها إيداع مستنداتها خلال فترة الانقطاع بأن تقوم بالإيداع وأن تطلب، عند الاقتضاء، تأريخ الإيداع بأثر يعود إلى الوقت المناسب. وتكشف هذه الواقعة أن التحول الرقمي ينتج نوعًا جديدًا من المخاطر الإجرائية لم يكن حاضرًا بالصورة نفسها في القضاء الورقي، وهو </w:t>
      </w:r>
      <w:r w:rsidRPr="007F4E72">
        <w:rPr>
          <w:rFonts w:ascii="Times New Roman" w:eastAsia="Times New Roman" w:hAnsi="Times New Roman" w:cs="Times New Roman"/>
          <w:b/>
          <w:bCs/>
          <w:sz w:val="24"/>
          <w:szCs w:val="24"/>
          <w:rtl/>
        </w:rPr>
        <w:t>مخاطر فشل المنصة القضائية</w:t>
      </w:r>
      <w:r w:rsidRPr="007F4E72">
        <w:rPr>
          <w:rFonts w:ascii="Times New Roman" w:eastAsia="Times New Roman" w:hAnsi="Times New Roman" w:cs="Times New Roman"/>
          <w:sz w:val="24"/>
          <w:szCs w:val="24"/>
        </w:rPr>
        <w:t>.</w:t>
      </w:r>
    </w:p>
    <w:p w14:paraId="18E06585"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2C177F3"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445A38E" w14:textId="62FC43C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وتكتسب هذه التجربة أهمية بالنسبة إلى السعودية والإمارات؛ إذ إن التوسع في الاعتماد على المنصات القضائية يجعل من الضروري تنظيم أثر العطل الفني على المواعيد القضائية. فلا يجوز أن يتحمل المتقاضي تبعة انقطاع نظام رسمي لا يملك السيطرة عليه، كما أن مجرد ادعاء العطل لا ينبغي أن يكون كافيًا لتجاوز المواعيد. ومن ثم، يستلزم التنظيم الرقمي وجود آليات فنية وقانونية تمكن المحكمة من التحقق من وقت تعطل الخدمة، ومحاولات المستخدم للدخول أو الإيداع، والوقت الذي استعادت فيه المنصة عملها، مع منح القاضي سلطة معالجة الأثر الإجرائي بما يحقق العدالة</w:t>
      </w:r>
      <w:r w:rsidRPr="007F4E72">
        <w:rPr>
          <w:rFonts w:ascii="Times New Roman" w:eastAsia="Times New Roman" w:hAnsi="Times New Roman" w:cs="Times New Roman"/>
          <w:sz w:val="24"/>
          <w:szCs w:val="24"/>
        </w:rPr>
        <w:t>.</w:t>
      </w:r>
    </w:p>
    <w:p w14:paraId="0EA06B16" w14:textId="3BB38944" w:rsidR="007F4E72" w:rsidRPr="007F4E72" w:rsidRDefault="007F4E72" w:rsidP="00A75063">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ويتصل بذلك تنظيم </w:t>
      </w:r>
      <w:r w:rsidRPr="007F4E72">
        <w:rPr>
          <w:rFonts w:ascii="Times New Roman" w:eastAsia="Times New Roman" w:hAnsi="Times New Roman" w:cs="Times New Roman"/>
          <w:b/>
          <w:bCs/>
          <w:sz w:val="24"/>
          <w:szCs w:val="24"/>
          <w:rtl/>
        </w:rPr>
        <w:t xml:space="preserve">التبليغات القضائية </w:t>
      </w:r>
      <w:r w:rsidR="00A75063" w:rsidRPr="007F4E72">
        <w:rPr>
          <w:rFonts w:ascii="Times New Roman" w:eastAsia="Times New Roman" w:hAnsi="Times New Roman" w:cs="Times New Roman" w:hint="cs"/>
          <w:b/>
          <w:bCs/>
          <w:sz w:val="24"/>
          <w:szCs w:val="24"/>
          <w:rtl/>
        </w:rPr>
        <w:t>الإلكترونية</w:t>
      </w:r>
      <w:r w:rsidR="00A75063" w:rsidRPr="00A75063">
        <w:rPr>
          <w:rFonts w:ascii="Times New Roman" w:eastAsia="Times New Roman" w:hAnsi="Times New Roman" w:cs="Times New Roman" w:hint="cs"/>
          <w:b/>
          <w:bCs/>
          <w:sz w:val="24"/>
          <w:szCs w:val="24"/>
          <w:vertAlign w:val="superscript"/>
          <w:rtl/>
        </w:rPr>
        <w:t xml:space="preserve"> </w:t>
      </w:r>
      <w:r w:rsidR="00A75063" w:rsidRPr="00A75063">
        <w:rPr>
          <w:rFonts w:ascii="Times New Roman" w:eastAsia="Times New Roman" w:hAnsi="Times New Roman" w:cs="Times New Roman"/>
          <w:b/>
          <w:bCs/>
          <w:sz w:val="24"/>
          <w:szCs w:val="24"/>
          <w:vertAlign w:val="superscript"/>
          <w:rtl/>
        </w:rPr>
        <w:t>(</w:t>
      </w:r>
      <w:r w:rsidR="00A75063" w:rsidRPr="00A75063">
        <w:rPr>
          <w:rStyle w:val="a8"/>
          <w:rFonts w:ascii="Times New Roman" w:eastAsia="Times New Roman" w:hAnsi="Times New Roman" w:cs="Times New Roman"/>
          <w:b/>
          <w:bCs/>
          <w:vanish/>
          <w:sz w:val="24"/>
          <w:szCs w:val="24"/>
          <w:vertAlign w:val="baseline"/>
          <w:rtl/>
        </w:rPr>
        <w:footnoteReference w:id="6"/>
      </w:r>
      <w:r w:rsidR="00A75063">
        <w:rPr>
          <w:rFonts w:ascii="Times New Roman" w:eastAsia="Times New Roman" w:hAnsi="Times New Roman" w:cs="Times New Roman" w:hint="cs"/>
          <w:b/>
          <w:bCs/>
          <w:sz w:val="24"/>
          <w:szCs w:val="24"/>
          <w:vertAlign w:val="superscript"/>
          <w:rtl/>
        </w:rPr>
        <w:t>1</w:t>
      </w:r>
      <w:r w:rsidR="00A75063" w:rsidRPr="00A75063">
        <w:rPr>
          <w:rFonts w:ascii="Times New Roman" w:eastAsia="Times New Roman" w:hAnsi="Times New Roman" w:cs="Times New Roman" w:hint="cs"/>
          <w:b/>
          <w:bCs/>
          <w:sz w:val="24"/>
          <w:szCs w:val="24"/>
          <w:vertAlign w:val="superscript"/>
          <w:rtl/>
        </w:rPr>
        <w:t>)</w:t>
      </w:r>
      <w:r w:rsidRPr="007F4E72">
        <w:rPr>
          <w:rFonts w:ascii="Times New Roman" w:eastAsia="Times New Roman" w:hAnsi="Times New Roman" w:cs="Times New Roman"/>
          <w:sz w:val="24"/>
          <w:szCs w:val="24"/>
          <w:rtl/>
        </w:rPr>
        <w:t>؛ فالغاية من الإعلان القضائي لا تتمثل في إرسال رسالة من الناحية التقنية، بل في تحقيق العلم أو توافر قرينة قانونية معتبرة على إمكان العلم بالإجراء. وقد أدى استخدام الهاتف المحمول والبريد الإلكتروني والحسابات الحكومية الموثقة إلى الانتقال من فكرة الموطن المادي وحده إلى مفهوم أكثر اتساعًا للاتصال القضائي. وفي هذا الجانب يتقارب الاتجاه السعودي والإماراتي من حيث الاعتماد على وسائل اتصال يمكن التحقق من ارتباطها بالشخص المطلوب إعلانه، بينما قدمت سنغافورة تطبيقًا لافتًا عندما أضافت في 2022، بعد الحصول على إذن المحكمة، خيارًا للتبليغ البديل من خلال إرسال إشعار عبر صندوق الوارد في تطبيق</w:t>
      </w:r>
      <w:r w:rsidRPr="007F4E72">
        <w:rPr>
          <w:rFonts w:ascii="Times New Roman" w:eastAsia="Times New Roman" w:hAnsi="Times New Roman" w:cs="Times New Roman"/>
          <w:sz w:val="24"/>
          <w:szCs w:val="24"/>
        </w:rPr>
        <w:t xml:space="preserve"> Singpass </w:t>
      </w:r>
      <w:r w:rsidRPr="007F4E72">
        <w:rPr>
          <w:rFonts w:ascii="Times New Roman" w:eastAsia="Times New Roman" w:hAnsi="Times New Roman" w:cs="Times New Roman"/>
          <w:sz w:val="24"/>
          <w:szCs w:val="24"/>
          <w:rtl/>
        </w:rPr>
        <w:t>للمستلم</w:t>
      </w:r>
      <w:r w:rsidRPr="007F4E72">
        <w:rPr>
          <w:rFonts w:ascii="Times New Roman" w:eastAsia="Times New Roman" w:hAnsi="Times New Roman" w:cs="Times New Roman"/>
          <w:sz w:val="24"/>
          <w:szCs w:val="24"/>
        </w:rPr>
        <w:t>.</w:t>
      </w:r>
    </w:p>
    <w:p w14:paraId="3B38DF1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ويكشف هذا المثال عن أهمية الربط بين التبليغ والهوية الرقمية، فكلما ارتفعت موثوقية الهوية المرتبطة بوسيلة الاتصال انخفضت احتمالات المنازعة في نسبة الحساب إلى المعلن إليه. ومع ذلك، فإن قوة التحقق من الهوية لا تحسم وحدها مسألة صحة التبليغ؛ إذ تظل هناك مسائل تتعلق بوقت الوصول، وتعطل الحساب، وعدم قدرة الشخص على استخدام الوسيلة، وغيرها من الظروف التي يجب أن تستوعبها القواعد الإجرائية</w:t>
      </w:r>
      <w:r w:rsidRPr="007F4E72">
        <w:rPr>
          <w:rFonts w:ascii="Times New Roman" w:eastAsia="Times New Roman" w:hAnsi="Times New Roman" w:cs="Times New Roman"/>
          <w:sz w:val="24"/>
          <w:szCs w:val="24"/>
        </w:rPr>
        <w:t>.</w:t>
      </w:r>
    </w:p>
    <w:p w14:paraId="0FD2723C" w14:textId="3253C598"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امتد التحول إلى </w:t>
      </w:r>
      <w:r w:rsidRPr="007F4E72">
        <w:rPr>
          <w:rFonts w:ascii="Times New Roman" w:eastAsia="Times New Roman" w:hAnsi="Times New Roman" w:cs="Times New Roman"/>
          <w:b/>
          <w:bCs/>
          <w:sz w:val="24"/>
          <w:szCs w:val="24"/>
          <w:rtl/>
        </w:rPr>
        <w:t xml:space="preserve">عقد الجلسات باستخدام وسائل الاتصال عن </w:t>
      </w:r>
      <w:r w:rsidR="00DC389E" w:rsidRPr="007F4E72">
        <w:rPr>
          <w:rFonts w:ascii="Times New Roman" w:eastAsia="Times New Roman" w:hAnsi="Times New Roman" w:cs="Times New Roman" w:hint="cs"/>
          <w:b/>
          <w:bCs/>
          <w:sz w:val="24"/>
          <w:szCs w:val="24"/>
          <w:rtl/>
        </w:rPr>
        <w:t>بعد</w:t>
      </w:r>
      <w:r w:rsidR="00DC389E" w:rsidRPr="007F4E72">
        <w:rPr>
          <w:rFonts w:ascii="Times New Roman" w:eastAsia="Times New Roman" w:hAnsi="Times New Roman" w:cs="Times New Roman"/>
          <w:sz w:val="24"/>
          <w:szCs w:val="24"/>
        </w:rPr>
        <w:t>.</w:t>
      </w:r>
      <w:r w:rsidR="00DC389E" w:rsidRPr="00DC389E">
        <w:rPr>
          <w:rFonts w:ascii="Times New Roman" w:eastAsia="Times New Roman" w:hAnsi="Times New Roman" w:cs="Times New Roman" w:hint="cs"/>
          <w:sz w:val="24"/>
          <w:szCs w:val="24"/>
          <w:vertAlign w:val="superscript"/>
          <w:rtl/>
        </w:rPr>
        <w:t xml:space="preserve"> </w:t>
      </w:r>
      <w:r w:rsidR="00DC389E" w:rsidRPr="00DC389E">
        <w:rPr>
          <w:rFonts w:ascii="Times New Roman" w:eastAsia="Times New Roman" w:hAnsi="Times New Roman" w:cs="Times New Roman"/>
          <w:sz w:val="24"/>
          <w:szCs w:val="24"/>
          <w:vertAlign w:val="superscript"/>
          <w:rtl/>
        </w:rPr>
        <w:t>(</w:t>
      </w:r>
      <w:r w:rsidR="00A75063" w:rsidRPr="00DC389E">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ويحقق هذا الاستخدام فوائد تتصل بسرعة الإجراءات وتقليل الحاجة إلى الانتقال المكاني، لكنه يثير في الوقت نفسه تساؤلات أكثر حساسية من الإيداع الإلكتروني؛ لأن الجلسة هي المجال الذي تتجسد فيه المواجهة بين الخصوم وسماع الأقوال ومناقشة الأدلة. ولذلك فإن مشروعية الجلسة الرقمية يجب ألا تقاس بمجرد جودة الاتصال، بل بمدى قدرة الوسيلة على ضمان التحقق من هوية المشاركين، وعدم تعرض الشاهد لتأثير خارجي، وسرية بعض الإجراءات، وإمكان التواصل بين المحامي وموكله، وعدم إقصاء طرف بسبب ضعف إمكاناته التقنية</w:t>
      </w:r>
      <w:r w:rsidRPr="007F4E72">
        <w:rPr>
          <w:rFonts w:ascii="Times New Roman" w:eastAsia="Times New Roman" w:hAnsi="Times New Roman" w:cs="Times New Roman"/>
          <w:sz w:val="24"/>
          <w:szCs w:val="24"/>
        </w:rPr>
        <w:t>.</w:t>
      </w:r>
    </w:p>
    <w:p w14:paraId="17752038"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ومن هنا يتبين أن الدول الثلاث تجاوزت مرحلة السؤال عن جواز استخدام الوسائل الرقمية في القضاء، وأصبحت تواجه مرحلة أكثر تعقيدًا تتمثل في تحديد </w:t>
      </w:r>
      <w:r w:rsidRPr="007F4E72">
        <w:rPr>
          <w:rFonts w:ascii="Times New Roman" w:eastAsia="Times New Roman" w:hAnsi="Times New Roman" w:cs="Times New Roman"/>
          <w:b/>
          <w:bCs/>
          <w:sz w:val="24"/>
          <w:szCs w:val="24"/>
          <w:rtl/>
        </w:rPr>
        <w:t>الضمانات القانونية التي تحكم استخدامها</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فالتجربة السعودية تتميز بالتوسع الملحوظ في رقمنة الخدمات العدلية، ويتميز النموذج الإماراتي بإدراج وسائل الاتصال الحديثة بصورة واضحة في التشريع الإجرائي، بينما تتميز سنغافورة بدرجة عالية من الدمج بين قواعد المحكمة ومنظومة</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ولا ينبغي فهم هذه الفروق باعتبارها ترتيبًا بين الأنظمة، وإنما بوصفها نماذج مختلفة يمكن الاستفادة من عناصرها</w:t>
      </w:r>
      <w:r w:rsidRPr="007F4E72">
        <w:rPr>
          <w:rFonts w:ascii="Times New Roman" w:eastAsia="Times New Roman" w:hAnsi="Times New Roman" w:cs="Times New Roman"/>
          <w:sz w:val="24"/>
          <w:szCs w:val="24"/>
        </w:rPr>
        <w:t>.</w:t>
      </w:r>
    </w:p>
    <w:p w14:paraId="64DD9F5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439BA15"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361D592" w14:textId="012F00D8"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تطوير التنظيم السعودي في هذا المجال ينبغي أن ينتقل من التركيز على مشروعية الإجراء الإلكتروني إلى وضع إطار أكثر تفصيلًا لـ </w:t>
      </w:r>
      <w:r w:rsidRPr="007F4E72">
        <w:rPr>
          <w:rFonts w:ascii="Times New Roman" w:eastAsia="Times New Roman" w:hAnsi="Times New Roman" w:cs="Times New Roman"/>
          <w:b/>
          <w:bCs/>
          <w:sz w:val="24"/>
          <w:szCs w:val="24"/>
          <w:rtl/>
        </w:rPr>
        <w:t>دورة حياة الإجراء القضائي الرقمي</w:t>
      </w:r>
      <w:r w:rsidRPr="007F4E72">
        <w:rPr>
          <w:rFonts w:ascii="Times New Roman" w:eastAsia="Times New Roman" w:hAnsi="Times New Roman" w:cs="Times New Roman"/>
          <w:sz w:val="24"/>
          <w:szCs w:val="24"/>
          <w:rtl/>
        </w:rPr>
        <w:t>، بحيث يحدد لحظة الإيداع، وطريقة إثبات الاستلام، وآثار الأعطال التقنية، وقواعد معالجة المواعيد عند توقف النظام، وضمانات الجلسة المرئية، ومسؤولية الجهة المشغلة عن حفظ السجلات الفنية اللازمة للتحقق من كل إجراء. كما يمكن الاستفادة من التجربة الإماراتية في إبراز القواعد الرقمية داخل قانون الإجراءات، ومن التجربة السنغافورية في الربط بين قواعد الإيداع والتبليغ والتوقيت والنظام الإلكتروني الموحد، مع عدم التضحية بالمرونة التي حققها النموذج السعودي في تطوير الخدمات العدلية</w:t>
      </w:r>
    </w:p>
    <w:p w14:paraId="511BF1F7" w14:textId="77777777" w:rsidR="007F4E72" w:rsidRPr="007F4E72" w:rsidRDefault="007F4E72" w:rsidP="007F4E72">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7F4E72">
        <w:rPr>
          <w:rFonts w:ascii="Times New Roman" w:eastAsia="Times New Roman" w:hAnsi="Times New Roman" w:cs="Times New Roman"/>
          <w:b/>
          <w:bCs/>
          <w:kern w:val="36"/>
          <w:sz w:val="32"/>
          <w:szCs w:val="32"/>
          <w:rtl/>
        </w:rPr>
        <w:t>المطلب الثالث: حجية الأدلة الرقمية والأدلة الإلكترونية في الإثبات</w:t>
      </w:r>
    </w:p>
    <w:p w14:paraId="381E7B8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يمثل الإثبات الرقمي أحد أهم المرتكزات التشريعية للتحول القضائي؛ إذ إن الانتقال من الخصومة الورقية إلى الخصومة الرقمية يؤدي بالضرورة إلى نشوء أدلة في صورة بيانات وسجلات ورسائل وتوقيعات وملفات إلكترونية، الأمر الذي يفرض على التشريع الإجابة عن أسئلة تتعلق بقبول هذه الأدلة، وطريقة تقديمها، وقوتها الإثباتية، ومدى إمكان الاعتراض عليها، والمعايير التي تعتمدها المحكمة للتحقق من أصالتها وسلامتها. ولذلك لا يتحقق القضاء الرقمي بمجرد الاعتراف بالإجراء الإلكتروني، بل يحتاج إلى أن تكون الآثار والبيانات المتولدة عنه قابلة للاستخدام في الإثبات على أساس قانوني واضح</w:t>
      </w:r>
      <w:r w:rsidRPr="007F4E72">
        <w:rPr>
          <w:rFonts w:ascii="Times New Roman" w:eastAsia="Times New Roman" w:hAnsi="Times New Roman" w:cs="Times New Roman"/>
          <w:sz w:val="24"/>
          <w:szCs w:val="24"/>
        </w:rPr>
        <w:t>.</w:t>
      </w:r>
    </w:p>
    <w:p w14:paraId="0474D77D" w14:textId="43640EC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وقد حققت المملكة العربية السعودية </w:t>
      </w:r>
      <w:r w:rsidR="00E86C42" w:rsidRPr="00E86C42">
        <w:rPr>
          <w:rFonts w:ascii="Times New Roman" w:eastAsia="Times New Roman" w:hAnsi="Times New Roman" w:cs="Times New Roman" w:hint="cs"/>
          <w:sz w:val="24"/>
          <w:szCs w:val="24"/>
          <w:vertAlign w:val="superscript"/>
          <w:rtl/>
        </w:rPr>
        <w:t>(1</w:t>
      </w:r>
      <w:r w:rsidR="00E86C42" w:rsidRPr="00E86C42">
        <w:rPr>
          <w:rStyle w:val="a8"/>
          <w:rFonts w:ascii="Times New Roman" w:eastAsia="Times New Roman" w:hAnsi="Times New Roman" w:cs="Times New Roman"/>
          <w:vanish/>
          <w:sz w:val="24"/>
          <w:szCs w:val="24"/>
          <w:vertAlign w:val="baseline"/>
          <w:rtl/>
        </w:rPr>
        <w:footnoteReference w:id="7"/>
      </w:r>
      <w:r w:rsidR="00E86C42" w:rsidRPr="00E86C42">
        <w:rPr>
          <w:rFonts w:ascii="Times New Roman" w:eastAsia="Times New Roman" w:hAnsi="Times New Roman" w:cs="Times New Roman" w:hint="cs"/>
          <w:sz w:val="24"/>
          <w:szCs w:val="24"/>
          <w:vertAlign w:val="superscript"/>
          <w:rtl/>
        </w:rPr>
        <w:t>)</w:t>
      </w:r>
      <w:r w:rsidR="00E86C42">
        <w:rPr>
          <w:rFonts w:ascii="Times New Roman" w:eastAsia="Times New Roman" w:hAnsi="Times New Roman" w:cs="Times New Roman" w:hint="cs"/>
          <w:sz w:val="24"/>
          <w:szCs w:val="24"/>
          <w:rtl/>
        </w:rPr>
        <w:t xml:space="preserve"> </w:t>
      </w:r>
      <w:r w:rsidRPr="007F4E72">
        <w:rPr>
          <w:rFonts w:ascii="Times New Roman" w:eastAsia="Times New Roman" w:hAnsi="Times New Roman" w:cs="Times New Roman"/>
          <w:sz w:val="24"/>
          <w:szCs w:val="24"/>
          <w:rtl/>
        </w:rPr>
        <w:t>تحولًا مهمًا في هذا المجال بصدور نظام الإثبات عام 1443هـ، الذي أفرد للدليل الرقمي تنظيمًا خاصًا، ونص على تقديمه بهيئته الأصلية أو بأي وسيلة رقمية أخرى، مع سلطة المحكمة في طلب تقديم محتواه مكتوبًا متى سمحت طبيعته بذلك. ويكتسب هذا النص أهمية من زاويتين؛ فهو من جهة يعترف بالدليل الرقمي في صورته الأصلية، ومن جهة أخرى يمنع اختزال الدليل في نسخة ورقية قد تفقد بعض خصائصه التقنية</w:t>
      </w:r>
      <w:r w:rsidRPr="007F4E72">
        <w:rPr>
          <w:rFonts w:ascii="Times New Roman" w:eastAsia="Times New Roman" w:hAnsi="Times New Roman" w:cs="Times New Roman"/>
          <w:sz w:val="24"/>
          <w:szCs w:val="24"/>
        </w:rPr>
        <w:t>.</w:t>
      </w:r>
    </w:p>
    <w:p w14:paraId="117B7ECD" w14:textId="07259836"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ويتقارب التشريع الإماراتي </w:t>
      </w:r>
      <w:r w:rsidR="00E86C42" w:rsidRPr="00E86C42">
        <w:rPr>
          <w:rFonts w:ascii="Times New Roman" w:eastAsia="Times New Roman" w:hAnsi="Times New Roman" w:cs="Times New Roman" w:hint="cs"/>
          <w:sz w:val="24"/>
          <w:szCs w:val="24"/>
          <w:vertAlign w:val="superscript"/>
          <w:rtl/>
        </w:rPr>
        <w:t>(2)</w:t>
      </w:r>
      <w:r w:rsidR="00E86C42" w:rsidRPr="007F4E72">
        <w:rPr>
          <w:rFonts w:ascii="Times New Roman" w:eastAsia="Times New Roman" w:hAnsi="Times New Roman" w:cs="Times New Roman" w:hint="cs"/>
          <w:sz w:val="24"/>
          <w:szCs w:val="24"/>
          <w:rtl/>
        </w:rPr>
        <w:t xml:space="preserve"> م</w:t>
      </w:r>
      <w:r w:rsidR="00E86C42" w:rsidRPr="007F4E72">
        <w:rPr>
          <w:rFonts w:ascii="Times New Roman" w:eastAsia="Times New Roman" w:hAnsi="Times New Roman" w:cs="Times New Roman" w:hint="eastAsia"/>
          <w:sz w:val="24"/>
          <w:szCs w:val="24"/>
          <w:rtl/>
        </w:rPr>
        <w:t>ع</w:t>
      </w:r>
      <w:r w:rsidRPr="007F4E72">
        <w:rPr>
          <w:rFonts w:ascii="Times New Roman" w:eastAsia="Times New Roman" w:hAnsi="Times New Roman" w:cs="Times New Roman"/>
          <w:sz w:val="24"/>
          <w:szCs w:val="24"/>
          <w:rtl/>
        </w:rPr>
        <w:t xml:space="preserve"> هذا الاتجاه من خلال قانون الإثبات في المعاملات المدنية والتجارية الصادر بالمرسوم بقانون اتحادي رقم (35) لسنة 2022، الذي أدخل الدليل الإلكتروني ضمن بنية تشريعية حديثة للإثبات. ويعكس التشابه بين النظامين السعودي والإماراتي اتجاهًا إقليميًا نحو تجاوز مرحلة تطبيق قواعد المحررات التقليدية بطريق القياس على الأدلة الرقمية، والانتقال إلى تنظيم صريح يعترف بخصائصها المستقلة</w:t>
      </w:r>
      <w:r w:rsidRPr="007F4E72">
        <w:rPr>
          <w:rFonts w:ascii="Times New Roman" w:eastAsia="Times New Roman" w:hAnsi="Times New Roman" w:cs="Times New Roman"/>
          <w:sz w:val="24"/>
          <w:szCs w:val="24"/>
        </w:rPr>
        <w:t>.</w:t>
      </w:r>
    </w:p>
    <w:p w14:paraId="31AE9FBC"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853A448" w14:textId="6F954259"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D642EAA"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9BC2E47" w14:textId="6986EBE4"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غير أن سنغافورة</w:t>
      </w:r>
      <w:r w:rsidR="00FE4565" w:rsidRPr="00FE4565">
        <w:rPr>
          <w:rFonts w:ascii="Times New Roman" w:eastAsia="Times New Roman" w:hAnsi="Times New Roman" w:cs="Times New Roman" w:hint="cs"/>
          <w:sz w:val="24"/>
          <w:szCs w:val="24"/>
          <w:vertAlign w:val="superscript"/>
          <w:rtl/>
        </w:rPr>
        <w:t xml:space="preserve"> (</w:t>
      </w:r>
      <w:r w:rsidR="00FE4565" w:rsidRPr="00FE4565">
        <w:rPr>
          <w:rStyle w:val="a8"/>
          <w:rFonts w:ascii="Times New Roman" w:eastAsia="Times New Roman" w:hAnsi="Times New Roman" w:cs="Times New Roman"/>
          <w:vanish/>
          <w:sz w:val="24"/>
          <w:szCs w:val="24"/>
          <w:vertAlign w:val="baseline"/>
          <w:rtl/>
        </w:rPr>
        <w:footnoteReference w:id="8"/>
      </w:r>
      <w:r w:rsidR="00FE4565" w:rsidRPr="00FE4565">
        <w:rPr>
          <w:rFonts w:ascii="Times New Roman" w:eastAsia="Times New Roman" w:hAnsi="Times New Roman" w:cs="Times New Roman" w:hint="cs"/>
          <w:sz w:val="24"/>
          <w:szCs w:val="24"/>
          <w:vertAlign w:val="superscript"/>
          <w:rtl/>
        </w:rPr>
        <w:t>1)</w:t>
      </w:r>
      <w:r w:rsidRPr="007F4E72">
        <w:rPr>
          <w:rFonts w:ascii="Times New Roman" w:eastAsia="Times New Roman" w:hAnsi="Times New Roman" w:cs="Times New Roman"/>
          <w:sz w:val="24"/>
          <w:szCs w:val="24"/>
          <w:rtl/>
        </w:rPr>
        <w:t xml:space="preserve"> اتخذت نهجًا مختلفًا في البناء التشريعي؛ فبدل إنشاء باب حديث مستقل بذات الصورة، دمج المشرع السجل الإلكتروني في النظرية العامة للإثبات وربطه بقانون المعاملات الإلكترونية، مع تقرير قرائن تشريعية تتعلق بأصالته. وتبرز المادة</w:t>
      </w:r>
      <w:r w:rsidRPr="007F4E72">
        <w:rPr>
          <w:rFonts w:ascii="Times New Roman" w:eastAsia="Times New Roman" w:hAnsi="Times New Roman" w:cs="Times New Roman"/>
          <w:sz w:val="24"/>
          <w:szCs w:val="24"/>
        </w:rPr>
        <w:t xml:space="preserve"> (116A) </w:t>
      </w:r>
      <w:r w:rsidRPr="007F4E72">
        <w:rPr>
          <w:rFonts w:ascii="Times New Roman" w:eastAsia="Times New Roman" w:hAnsi="Times New Roman" w:cs="Times New Roman"/>
          <w:sz w:val="24"/>
          <w:szCs w:val="24"/>
          <w:rtl/>
        </w:rPr>
        <w:t>من قانون الإثبات السنغافوري في هذا المجال؛ إذ تقرر، ما لم يقدم دليل مخالف، قرائن بشأن أصالة بعض السجلات الإلكترونية، ومنها السجل الذي ينشأ أو يسجل أو يحفظ في المسار المعتاد للعمل بواسطة شخص ليس طرفًا في الخصومة ولم يكن خاضعًا لسيطرة الطرف الذي يريد تقديم السجل. كما يبين القانون أن طريقة توليد السجل أو استلامه أو حفظه، وموثوقية الأجهزة والظروف التي استخدمت فيها، يمكن أن تكون وقائع ذات صلة عند تقييم أصالته</w:t>
      </w:r>
      <w:r w:rsidRPr="007F4E72">
        <w:rPr>
          <w:rFonts w:ascii="Times New Roman" w:eastAsia="Times New Roman" w:hAnsi="Times New Roman" w:cs="Times New Roman"/>
          <w:sz w:val="24"/>
          <w:szCs w:val="24"/>
        </w:rPr>
        <w:t>.</w:t>
      </w:r>
    </w:p>
    <w:p w14:paraId="53482F49"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هذا الاختلاف عن فلسفتين في معالجة الإثبات الرقمي؛ ففي السعودية والإمارات كان الاهتمام التشريعي منصبًا على </w:t>
      </w:r>
      <w:r w:rsidRPr="007F4E72">
        <w:rPr>
          <w:rFonts w:ascii="Times New Roman" w:eastAsia="Times New Roman" w:hAnsi="Times New Roman" w:cs="Times New Roman"/>
          <w:b/>
          <w:bCs/>
          <w:sz w:val="24"/>
          <w:szCs w:val="24"/>
          <w:rtl/>
        </w:rPr>
        <w:t>تحديد الدليل الإلكتروني والاعتراف به وتنظيم تقديمه</w:t>
      </w:r>
      <w:r w:rsidRPr="007F4E72">
        <w:rPr>
          <w:rFonts w:ascii="Times New Roman" w:eastAsia="Times New Roman" w:hAnsi="Times New Roman" w:cs="Times New Roman"/>
          <w:sz w:val="24"/>
          <w:szCs w:val="24"/>
          <w:rtl/>
        </w:rPr>
        <w:t xml:space="preserve">، بينما يبرز في النموذج السنغافوري </w:t>
      </w:r>
      <w:r w:rsidRPr="007F4E72">
        <w:rPr>
          <w:rFonts w:ascii="Times New Roman" w:eastAsia="Times New Roman" w:hAnsi="Times New Roman" w:cs="Times New Roman"/>
          <w:b/>
          <w:bCs/>
          <w:sz w:val="24"/>
          <w:szCs w:val="24"/>
          <w:rtl/>
        </w:rPr>
        <w:t>التعامل مع مشكلة الأصالة من خلال القرائن</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ولا يعني ذلك أن النظامين السعودي والإماراتي لا يسمحان بتقييم أصالة الدليل، وإنما أن التشريع السنغافوري يقدم مسبقًا بعض القواعد التي تساعد المحكمة في توزيع مسؤولية الإثبات بين الأطراف</w:t>
      </w:r>
      <w:r w:rsidRPr="007F4E72">
        <w:rPr>
          <w:rFonts w:ascii="Times New Roman" w:eastAsia="Times New Roman" w:hAnsi="Times New Roman" w:cs="Times New Roman"/>
          <w:sz w:val="24"/>
          <w:szCs w:val="24"/>
        </w:rPr>
        <w:t>.</w:t>
      </w:r>
    </w:p>
    <w:p w14:paraId="134AE707"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وتزداد أهمية هذا الاختلاف عند النظر إلى طبيعة الدليل الرقمي. فالمحرر الورقي يمكن في كثير من الحالات فحص توقيعه أو مادته أو خصائصه المادية، بينما يكون الدليل الرقمي قابلًا للنسخ دون أن يظهر الفرق بين النسخ بالعين المجردة، وقد ترتبط أصالته بمعلومات غير ظاهرة في المحتوى، مثل البيانات الوصفية، وسجل التعديلات، وتاريخ الإنشاء، ومصدر الملف، وسجلات الدخول إلى النظام. ولذلك فإن </w:t>
      </w:r>
      <w:r w:rsidRPr="007F4E72">
        <w:rPr>
          <w:rFonts w:ascii="Times New Roman" w:eastAsia="Times New Roman" w:hAnsi="Times New Roman" w:cs="Times New Roman"/>
          <w:b/>
          <w:bCs/>
          <w:sz w:val="24"/>
          <w:szCs w:val="24"/>
          <w:rtl/>
        </w:rPr>
        <w:t>الأصل الرقمي</w:t>
      </w:r>
      <w:r w:rsidRPr="007F4E72">
        <w:rPr>
          <w:rFonts w:ascii="Times New Roman" w:eastAsia="Times New Roman" w:hAnsi="Times New Roman" w:cs="Times New Roman"/>
          <w:sz w:val="24"/>
          <w:szCs w:val="24"/>
          <w:rtl/>
        </w:rPr>
        <w:t xml:space="preserve"> لا ينبغي أن يفهم دائمًا على أنه أول ملف مادي محفوظ على جهاز معين، بل على أنه بيانات يمكن التحقق من سلامة محتواها وعلاقتها بالمصدر الذي نسبت إليه</w:t>
      </w:r>
      <w:r w:rsidRPr="007F4E72">
        <w:rPr>
          <w:rFonts w:ascii="Times New Roman" w:eastAsia="Times New Roman" w:hAnsi="Times New Roman" w:cs="Times New Roman"/>
          <w:sz w:val="24"/>
          <w:szCs w:val="24"/>
        </w:rPr>
        <w:t>.</w:t>
      </w:r>
    </w:p>
    <w:p w14:paraId="3B8DB369"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ويبرز هنا مفهوم </w:t>
      </w:r>
      <w:r w:rsidRPr="007F4E72">
        <w:rPr>
          <w:rFonts w:ascii="Times New Roman" w:eastAsia="Times New Roman" w:hAnsi="Times New Roman" w:cs="Times New Roman"/>
          <w:b/>
          <w:bCs/>
          <w:sz w:val="24"/>
          <w:szCs w:val="24"/>
          <w:rtl/>
        </w:rPr>
        <w:t>موثوقية النظام المنتج للدليل</w:t>
      </w:r>
      <w:r w:rsidRPr="007F4E72">
        <w:rPr>
          <w:rFonts w:ascii="Times New Roman" w:eastAsia="Times New Roman" w:hAnsi="Times New Roman" w:cs="Times New Roman"/>
          <w:sz w:val="24"/>
          <w:szCs w:val="24"/>
          <w:rtl/>
        </w:rPr>
        <w:t>، وهو مفهوم يتمتع بأهمية خاصة في التجربة السنغافورية. فالسجل الصادر في المسار المعتاد لعمل مؤسسة مستقلة ليس في المركز نفسه لصورة شاشة ينشئها أحد الخصوم بنفسه. وهذه الفكرة يمكن أن يكون لها تطبيق مباشر في القضاء السعودي والإماراتي؛ فالسجلات الصادرة عن منصة قضائية رسمية أو جهة مصرفية أو نظام حكومي موثق يفترض أن تتمتع بقرينة أقوى من ملف مجهول المصدر، مع بقاء حق الخصم في إثبات وجود خلل أو اختراق أو خطأ في النظام</w:t>
      </w:r>
      <w:r w:rsidRPr="007F4E72">
        <w:rPr>
          <w:rFonts w:ascii="Times New Roman" w:eastAsia="Times New Roman" w:hAnsi="Times New Roman" w:cs="Times New Roman"/>
          <w:sz w:val="24"/>
          <w:szCs w:val="24"/>
        </w:rPr>
        <w:t>.</w:t>
      </w:r>
    </w:p>
    <w:p w14:paraId="6306874D"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DD705E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90579B0" w14:textId="09D8B53E"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47F84B7"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628A201" w14:textId="5B609D4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تثير الأدلة الرقمية مشكلة </w:t>
      </w:r>
      <w:r w:rsidRPr="007F4E72">
        <w:rPr>
          <w:rFonts w:ascii="Times New Roman" w:eastAsia="Times New Roman" w:hAnsi="Times New Roman" w:cs="Times New Roman"/>
          <w:b/>
          <w:bCs/>
          <w:sz w:val="24"/>
          <w:szCs w:val="24"/>
          <w:rtl/>
        </w:rPr>
        <w:t>توزيع مسؤولية إثبات الصحة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فقد يكون الشخص المتمسك بالدليل غير قادر على الوصول إلى المعلومات الفنية اللازمة لإثباته؛ فصاحب الدعوى الذي يقدم إشعارًا من منصة حكومية لا يملك سجلات الخوادم أو نظم التدقيق الداخلية. وإذا ألزم بإثبات جميع التفاصيل التقنية منذ البداية أصبح الدليل الرقمي أداة يصعب استخدامها عمليًا. ومن هنا تتضح فائدة القرائن القابلة لإثبات العكس؛ فهي تسمح بافتراض قدر من الموثوقية عندما يكون الدليل صادرًا عن نظام منتظم، ثم تنتقل المسؤولية إلى من ينازع فيه ليقدم ما يثير شكًا جديًا في سلامته</w:t>
      </w:r>
      <w:r w:rsidRPr="007F4E72">
        <w:rPr>
          <w:rFonts w:ascii="Times New Roman" w:eastAsia="Times New Roman" w:hAnsi="Times New Roman" w:cs="Times New Roman"/>
          <w:sz w:val="24"/>
          <w:szCs w:val="24"/>
        </w:rPr>
        <w:t>.</w:t>
      </w:r>
    </w:p>
    <w:p w14:paraId="1FDBD8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وعلى الجانب الآخر، فإن الإفراط في منح القرائن للسجلات الرقمية ينطوي على خطر معاكس؛ إذ قد يؤدي إلى الاعتقاد بأن الأنظمة الرسمية أو التجارية لا تخطئ. والحقيقة أن السجلات الإلكترونية يمكن أن تتأثر بأخطاء البرمجيات أو إدخال البيانات أو الاختراق أو إساءة استخدام الصلاحيات. ولهذا ينبغي ألا تتحول القرينة إلى حصانة تقنية، بل تبقى قابلة لإثبات العكس وتخضع عند وجود منازعة جدية للفحص الفني والخبرة</w:t>
      </w:r>
      <w:r w:rsidRPr="007F4E72">
        <w:rPr>
          <w:rFonts w:ascii="Times New Roman" w:eastAsia="Times New Roman" w:hAnsi="Times New Roman" w:cs="Times New Roman"/>
          <w:sz w:val="24"/>
          <w:szCs w:val="24"/>
        </w:rPr>
        <w:t>.</w:t>
      </w:r>
    </w:p>
    <w:p w14:paraId="500F9168" w14:textId="710A89E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ويتصل بذلك مفهوم </w:t>
      </w:r>
      <w:r w:rsidRPr="007F4E72">
        <w:rPr>
          <w:rFonts w:ascii="Times New Roman" w:eastAsia="Times New Roman" w:hAnsi="Times New Roman" w:cs="Times New Roman"/>
          <w:b/>
          <w:bCs/>
          <w:sz w:val="24"/>
          <w:szCs w:val="24"/>
          <w:rtl/>
        </w:rPr>
        <w:t>سلسلة الحيازة الرقمية</w:t>
      </w:r>
      <w:r w:rsidRPr="007F4E72">
        <w:rPr>
          <w:rFonts w:ascii="Times New Roman" w:eastAsia="Times New Roman" w:hAnsi="Times New Roman" w:cs="Times New Roman"/>
          <w:sz w:val="24"/>
          <w:szCs w:val="24"/>
          <w:rtl/>
        </w:rPr>
        <w:t>،</w:t>
      </w:r>
      <w:r w:rsidR="0083328E" w:rsidRPr="0083328E">
        <w:rPr>
          <w:rFonts w:ascii="Times New Roman" w:eastAsia="Times New Roman" w:hAnsi="Times New Roman" w:cs="Times New Roman" w:hint="cs"/>
          <w:sz w:val="24"/>
          <w:szCs w:val="24"/>
          <w:vertAlign w:val="superscript"/>
          <w:rtl/>
        </w:rPr>
        <w:t>(1)</w:t>
      </w:r>
      <w:r w:rsidRPr="0083328E">
        <w:rPr>
          <w:rFonts w:ascii="Times New Roman" w:eastAsia="Times New Roman" w:hAnsi="Times New Roman" w:cs="Times New Roman"/>
          <w:sz w:val="24"/>
          <w:szCs w:val="24"/>
          <w:vertAlign w:val="superscript"/>
          <w:rtl/>
        </w:rPr>
        <w:t xml:space="preserve"> </w:t>
      </w:r>
      <w:r w:rsidR="0083328E" w:rsidRPr="0083328E">
        <w:rPr>
          <w:rStyle w:val="a8"/>
          <w:rFonts w:ascii="Times New Roman" w:eastAsia="Times New Roman" w:hAnsi="Times New Roman" w:cs="Times New Roman"/>
          <w:vanish/>
          <w:sz w:val="24"/>
          <w:szCs w:val="24"/>
          <w:vertAlign w:val="baseline"/>
          <w:rtl/>
        </w:rPr>
        <w:footnoteReference w:id="9"/>
      </w:r>
      <w:r w:rsidRPr="007F4E72">
        <w:rPr>
          <w:rFonts w:ascii="Times New Roman" w:eastAsia="Times New Roman" w:hAnsi="Times New Roman" w:cs="Times New Roman"/>
          <w:sz w:val="24"/>
          <w:szCs w:val="24"/>
          <w:rtl/>
        </w:rPr>
        <w:t>الذي يكتسب أهمية واضحة عندما يستخرج الدليل من جهاز أو وسيط أو نظام ثم ينقل أو ينسخ أو يفحص قبل عرضه أمام المحكمة. والغاية من هذه السلسلة هي القدرة على بيان من تعامل مع الدليل، ومتى تم نسخه، وما إذا طرأ عليه تعديل، وما الوسيلة التي استخدمت في حفظه. وعلى الرغم من أن هذا المفهوم يظهر بصورة أكثر وضوحًا في الإثبات الجنائي، فإنه يمتد أيضًا إلى النزاعات المدنية والتجارية، خصوصًا عند الادعاء بتعديل ملفات أو سجلات داخلية</w:t>
      </w:r>
      <w:r w:rsidRPr="007F4E72">
        <w:rPr>
          <w:rFonts w:ascii="Times New Roman" w:eastAsia="Times New Roman" w:hAnsi="Times New Roman" w:cs="Times New Roman"/>
          <w:sz w:val="24"/>
          <w:szCs w:val="24"/>
        </w:rPr>
        <w:t>.</w:t>
      </w:r>
    </w:p>
    <w:p w14:paraId="004A2A1D"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وتختلف الحاجة إلى الخبرة الفنية بحسب نوع الدليل؛ فليس من المقبول تحويل كل رسالة أو مستند إلكتروني إلى مسألة خبرة تقنية معقدة، لأن ذلك سيؤدي إلى زيادة تكلفة التقاضي. وفي المقابل، تصبح الخبرة ضرورية عندما تنصب المنازعة على أصالة الملف، أو اختراق الحساب، أو تعديل البيانات، أو سلامة نظام التوقيع. ومن هنا يجب أن يقوم التنظيم على مبدأ التناسب: كلما ارتفعت درجة الموثوقية المؤسسية للدليل وانخفضت جدية المنازعة، قلت الحاجة إلى الفحص التقني المكلف، والعكس صحيح</w:t>
      </w:r>
      <w:r w:rsidRPr="007F4E72">
        <w:rPr>
          <w:rFonts w:ascii="Times New Roman" w:eastAsia="Times New Roman" w:hAnsi="Times New Roman" w:cs="Times New Roman"/>
          <w:sz w:val="24"/>
          <w:szCs w:val="24"/>
        </w:rPr>
        <w:t>.</w:t>
      </w:r>
    </w:p>
    <w:p w14:paraId="383E3A28"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ويظهر من المقارنة أن النظامين السعودي والإماراتي حققا ميزة مهمة تتمثل في وضوح الاعتراف التشريعي الحديث بالدليل الرقمي، بينما توفر سنغافورة ميزة إضافية في مجال القرائن القانونية المرتبطة بالأصالة. ويبدو أن الجمع بين النهجين يمكن أن يؤدي إلى بناء أكثر نضجًا للإثبات الرقمي؛ إذ يحتفظ التشريع السعودي بالتنظيم الواضح للدليل الرقمي، مع تطوير قرائن متدرجة بحسب مصدر الدليل ونوع النظام الذي أنشأه</w:t>
      </w:r>
      <w:r w:rsidRPr="007F4E72">
        <w:rPr>
          <w:rFonts w:ascii="Times New Roman" w:eastAsia="Times New Roman" w:hAnsi="Times New Roman" w:cs="Times New Roman"/>
          <w:sz w:val="24"/>
          <w:szCs w:val="24"/>
        </w:rPr>
        <w:t>.</w:t>
      </w:r>
    </w:p>
    <w:p w14:paraId="7AE3CE6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5F2DE9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8A0F44B" w14:textId="78C6CB48"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649DD09" w14:textId="3D52372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المرحلة التالية لتطوير الإثبات الرقمي في المملكة ينبغي أن تركز على </w:t>
      </w:r>
      <w:r w:rsidRPr="007F4E72">
        <w:rPr>
          <w:rFonts w:ascii="Times New Roman" w:eastAsia="Times New Roman" w:hAnsi="Times New Roman" w:cs="Times New Roman"/>
          <w:b/>
          <w:bCs/>
          <w:sz w:val="24"/>
          <w:szCs w:val="24"/>
          <w:rtl/>
        </w:rPr>
        <w:t>تصنيف درجات الموثوقية</w:t>
      </w:r>
      <w:r w:rsidRPr="007F4E72">
        <w:rPr>
          <w:rFonts w:ascii="Times New Roman" w:eastAsia="Times New Roman" w:hAnsi="Times New Roman" w:cs="Times New Roman"/>
          <w:sz w:val="24"/>
          <w:szCs w:val="24"/>
          <w:rtl/>
        </w:rPr>
        <w:t xml:space="preserve"> بدل التعامل مع جميع الأدلة الرقمية على قدم المساواة. فالسجل الصادر عن المحكمة، أو من منصة حكومية موثوقة، أو الموقع بواسطة خدمة ثقة ذات مستوى مرتفع، يمكن أن يتمتع بقرينة قابلة لإثبات العكس بشأن سلامة المصدر أو التاريخ، بينما تظل الأدلة الأخرى خاضعة للتقدير وفق ظروف إنشائها. كما يمكن الاستفادة من المادة</w:t>
      </w:r>
      <w:r w:rsidRPr="007F4E72">
        <w:rPr>
          <w:rFonts w:ascii="Times New Roman" w:eastAsia="Times New Roman" w:hAnsi="Times New Roman" w:cs="Times New Roman"/>
          <w:sz w:val="24"/>
          <w:szCs w:val="24"/>
        </w:rPr>
        <w:t xml:space="preserve"> (116A) </w:t>
      </w:r>
      <w:r w:rsidRPr="007F4E72">
        <w:rPr>
          <w:rFonts w:ascii="Times New Roman" w:eastAsia="Times New Roman" w:hAnsi="Times New Roman" w:cs="Times New Roman"/>
          <w:sz w:val="24"/>
          <w:szCs w:val="24"/>
          <w:rtl/>
        </w:rPr>
        <w:t>السنغافورية في تحديد معايير أكثر تفصيلًا لأصالة السجل، مع تطوير قواعد لسلسلة الحيازة الرقمية والبيانات الوصفية والخبرة الفنية، وبما يحقق التوازن بين سهولة الإثبات وحق الخصم في المنازعة</w:t>
      </w:r>
      <w:r w:rsidRPr="007F4E72">
        <w:rPr>
          <w:rFonts w:ascii="Times New Roman" w:eastAsia="Times New Roman" w:hAnsi="Times New Roman" w:cs="Times New Roman"/>
          <w:sz w:val="24"/>
          <w:szCs w:val="24"/>
        </w:rPr>
        <w:t>.</w:t>
      </w:r>
    </w:p>
    <w:p w14:paraId="1AB17598" w14:textId="1D3CC2C7" w:rsidR="007F4E72" w:rsidRPr="007F4E72" w:rsidRDefault="007F4E72" w:rsidP="007F4E72">
      <w:pPr>
        <w:bidi w:val="0"/>
        <w:spacing w:after="0" w:line="240" w:lineRule="auto"/>
        <w:jc w:val="left"/>
        <w:rPr>
          <w:rFonts w:ascii="Times New Roman" w:eastAsia="Times New Roman" w:hAnsi="Times New Roman" w:cs="Times New Roman"/>
          <w:sz w:val="24"/>
          <w:szCs w:val="24"/>
        </w:rPr>
      </w:pPr>
    </w:p>
    <w:p w14:paraId="0C69D2F1" w14:textId="49FBCA87" w:rsidR="007F4E72" w:rsidRDefault="007F4E72" w:rsidP="007F4E72">
      <w:pPr>
        <w:bidi w:val="0"/>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p>
    <w:p w14:paraId="5B956E57" w14:textId="77777777" w:rsidR="007F4E72" w:rsidRPr="007F4E72" w:rsidRDefault="007F4E72" w:rsidP="007F4E72">
      <w:pPr>
        <w:bidi w:val="0"/>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p>
    <w:p w14:paraId="5F6B275C" w14:textId="77777777" w:rsidR="00E058A7" w:rsidRPr="007F4E72" w:rsidRDefault="00E058A7" w:rsidP="00D138ED">
      <w:pPr>
        <w:pStyle w:val="a5"/>
        <w:bidi/>
        <w:spacing w:line="360" w:lineRule="auto"/>
      </w:pPr>
    </w:p>
    <w:p w14:paraId="60047BFF" w14:textId="77777777" w:rsidR="00575E84" w:rsidRPr="00575E84" w:rsidRDefault="00575E84" w:rsidP="00575E84"/>
    <w:p w14:paraId="48EBE7FB" w14:textId="77777777" w:rsidR="007F4E72" w:rsidRDefault="007F4E72">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4CBB7987" w14:textId="77777777" w:rsidR="007F4E72" w:rsidRPr="007F4E72" w:rsidRDefault="007F4E72" w:rsidP="007F4E72">
      <w:pPr>
        <w:bidi w:val="0"/>
        <w:spacing w:before="100" w:beforeAutospacing="1" w:after="100" w:afterAutospacing="1" w:line="360" w:lineRule="auto"/>
        <w:outlineLvl w:val="0"/>
        <w:rPr>
          <w:rFonts w:ascii="Times New Roman" w:eastAsia="Times New Roman" w:hAnsi="Times New Roman" w:cs="Times New Roman"/>
          <w:b/>
          <w:bCs/>
          <w:kern w:val="36"/>
          <w:sz w:val="36"/>
          <w:szCs w:val="36"/>
        </w:rPr>
      </w:pPr>
      <w:r w:rsidRPr="007F4E72">
        <w:rPr>
          <w:rFonts w:ascii="Times New Roman" w:eastAsia="Times New Roman" w:hAnsi="Times New Roman" w:cs="Times New Roman"/>
          <w:b/>
          <w:bCs/>
          <w:kern w:val="36"/>
          <w:sz w:val="36"/>
          <w:szCs w:val="36"/>
          <w:rtl/>
        </w:rPr>
        <w:t>المبحث الثاني: الإطار التنظيمي والمؤسسي للتحول الرقمي</w:t>
      </w:r>
    </w:p>
    <w:p w14:paraId="4F3214E5" w14:textId="77777777" w:rsidR="007F4E72" w:rsidRPr="007F4E72" w:rsidRDefault="007F4E72" w:rsidP="007F4E72">
      <w:pPr>
        <w:bidi w:val="0"/>
        <w:spacing w:before="100" w:beforeAutospacing="1" w:after="100" w:afterAutospacing="1" w:line="360" w:lineRule="auto"/>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إذا كان المبحث الأول قد تناول القواعد التي تمنح الإجراءات والأدلة الإلكترونية مشروعيتها وحجيتها، فإن الانتقال من النص القانوني إلى التطبيق يتوقف على وجود تنظيم مؤسسي يحدد من يدير البنية الرقمية، وكيف توزع الاختصاصات، وما الوسائل التي تستخدم للتحقق من هوية أطراف التعامل، وكيف تحمى البيانات والأنظمة من المخاطر. ولذلك يشكل الإطار التنظيمي والمؤسسي الوجه التنفيذي للتحول الرقمي؛ فمن دون حوكمة واضحة قد تتحول كثرة الأنظمة والمنصات إلى مصدر للتداخل والازدواجية بدل أن تكون وسيلة للكفاءة</w:t>
      </w:r>
      <w:r w:rsidRPr="007F4E72">
        <w:rPr>
          <w:rFonts w:ascii="Times New Roman" w:eastAsia="Times New Roman" w:hAnsi="Times New Roman" w:cs="Times New Roman"/>
          <w:sz w:val="24"/>
          <w:szCs w:val="24"/>
        </w:rPr>
        <w:t>.</w:t>
      </w:r>
    </w:p>
    <w:p w14:paraId="0FA9C8CF"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الأول: التنظيم المؤسسي والحوكمة الرقمية</w:t>
      </w:r>
    </w:p>
    <w:p w14:paraId="7F895D7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يقوم التنظيم المؤسسي للتحول الرقمي على تحديد الجهات التي تتولى تصميم السياسات الرقمية وتنفيذها ورقابتها، وتوزيع المسؤوليات المتعلقة بالبيانات والمنصات والأمن والتشغيل بينها. وتزداد أهمية هذا التنظيم في القضاء بسبب الطبيعة الخاصة للسلطة القضائية؛ إذ ينبغي أن تستفيد المحاكم من البنية الحكومية المشتركة والخبرات التقنية المتخصصة من دون أن يؤدي ذلك إلى المساس باستقلالها أو تمكين جهة تقنية من التدخل في مضمون العمل القضائي</w:t>
      </w:r>
      <w:r w:rsidRPr="007F4E72">
        <w:rPr>
          <w:rFonts w:ascii="Times New Roman" w:eastAsia="Times New Roman" w:hAnsi="Times New Roman" w:cs="Times New Roman"/>
          <w:sz w:val="24"/>
          <w:szCs w:val="24"/>
        </w:rPr>
        <w:t>.</w:t>
      </w:r>
    </w:p>
    <w:p w14:paraId="53D3041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التنظيم السعودي عن نموذج يقوم على </w:t>
      </w:r>
      <w:r w:rsidRPr="007F4E72">
        <w:rPr>
          <w:rFonts w:ascii="Times New Roman" w:eastAsia="Times New Roman" w:hAnsi="Times New Roman" w:cs="Times New Roman"/>
          <w:b/>
          <w:bCs/>
          <w:sz w:val="24"/>
          <w:szCs w:val="24"/>
          <w:rtl/>
        </w:rPr>
        <w:t>تعدد مؤسسات الاختصاص مع السعي إلى التكامل بينها</w:t>
      </w:r>
      <w:r w:rsidRPr="007F4E72">
        <w:rPr>
          <w:rFonts w:ascii="Times New Roman" w:eastAsia="Times New Roman" w:hAnsi="Times New Roman" w:cs="Times New Roman"/>
          <w:sz w:val="24"/>
          <w:szCs w:val="24"/>
          <w:rtl/>
        </w:rPr>
        <w:t>؛ فهيئة الحكومة الرقمية تعد المرجع الوطني لتنظيم أعمال الحكومة الرقمية وبناء حكومة متكاملة، وتضم سياساتها التنظيمية موضوعات تتصل بالحوكمة والحكومة كمنصة وغيرها من أبعاد التكامل الحكومي، بينما تمثل الهيئة الوطنية للأمن السيبراني المرجع الوطني المختص بالأمن السيبراني. وبذلك لا تتحمل وزارة العدل أو الجهة القضائية وحدها مسؤولية جميع عناصر البيئة الرقمية، وإنما تعمل داخل منظومة حكومية يتوزع فيها الاختصاص بين الوظيفة القضائية، والتنظيم الرقمي، والأمن السيبراني، والهوية، والبيانات</w:t>
      </w:r>
      <w:r w:rsidRPr="007F4E72">
        <w:rPr>
          <w:rFonts w:ascii="Times New Roman" w:eastAsia="Times New Roman" w:hAnsi="Times New Roman" w:cs="Times New Roman"/>
          <w:sz w:val="24"/>
          <w:szCs w:val="24"/>
        </w:rPr>
        <w:t>.</w:t>
      </w:r>
    </w:p>
    <w:p w14:paraId="6150647B" w14:textId="78F5F055" w:rsidR="007F4E72" w:rsidRPr="007F4E72" w:rsidRDefault="007F4E72" w:rsidP="00AB12F7">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ويمنح هذا النموذج المملكة</w:t>
      </w:r>
      <w:r w:rsidR="00AB12F7" w:rsidRPr="00AB12F7">
        <w:rPr>
          <w:rFonts w:ascii="Times New Roman" w:eastAsia="Times New Roman" w:hAnsi="Times New Roman" w:cs="Times New Roman" w:hint="cs"/>
          <w:sz w:val="24"/>
          <w:szCs w:val="24"/>
          <w:vertAlign w:val="superscript"/>
          <w:rtl/>
        </w:rPr>
        <w:t xml:space="preserve"> (1)</w:t>
      </w:r>
      <w:r w:rsidR="00AB12F7" w:rsidRPr="00AB12F7">
        <w:rPr>
          <w:rStyle w:val="a8"/>
          <w:rFonts w:ascii="Times New Roman" w:eastAsia="Times New Roman" w:hAnsi="Times New Roman" w:cs="Times New Roman"/>
          <w:vanish/>
          <w:sz w:val="24"/>
          <w:szCs w:val="24"/>
          <w:vertAlign w:val="baseline"/>
          <w:rtl/>
        </w:rPr>
        <w:footnoteReference w:id="10"/>
      </w:r>
      <w:r w:rsidRPr="007F4E72">
        <w:rPr>
          <w:rFonts w:ascii="Times New Roman" w:eastAsia="Times New Roman" w:hAnsi="Times New Roman" w:cs="Times New Roman"/>
          <w:sz w:val="24"/>
          <w:szCs w:val="24"/>
          <w:rtl/>
        </w:rPr>
        <w:t xml:space="preserve"> ميزة التخصص؛ إذ يمكن للجهة القضائية التركيز على المتطلبات القانونية والإجرائية، بينما توفر الجهات الوطنية المتخصصة معايير موحدة للأمن والحكومة الرقمية. لكن التخصص ذاته يولد تحديًا يتمثل في ضرورة وضوح المسؤولية عند تداخل الأدوار. فإذا وقع خلل في ربط منصة قضائية بجهة حكومية أخرى، أو فشل نظام الهوية، أو حدث تسرب لدى مقدم خدمة خارجي، فإن المتقاضي يحتاج إلى معرفة الجهة المسؤولة عن معالجة الأثر، ولا ينبغي أن يتحول تعدد الجهات إلى تشتت في المساءلة</w:t>
      </w:r>
      <w:r w:rsidRPr="007F4E72">
        <w:rPr>
          <w:rFonts w:ascii="Times New Roman" w:eastAsia="Times New Roman" w:hAnsi="Times New Roman" w:cs="Times New Roman"/>
          <w:sz w:val="24"/>
          <w:szCs w:val="24"/>
        </w:rPr>
        <w:t>.</w:t>
      </w:r>
    </w:p>
    <w:p w14:paraId="429E2903"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75B2E42"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ECD7CB1"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42BAE21" w14:textId="3261F01B"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في الإمارات </w:t>
      </w:r>
      <w:r w:rsidR="00AB12F7" w:rsidRPr="00AB12F7">
        <w:rPr>
          <w:rFonts w:ascii="Times New Roman" w:eastAsia="Times New Roman" w:hAnsi="Times New Roman" w:cs="Times New Roman" w:hint="cs"/>
          <w:sz w:val="24"/>
          <w:szCs w:val="24"/>
          <w:vertAlign w:val="superscript"/>
          <w:rtl/>
        </w:rPr>
        <w:t>(</w:t>
      </w:r>
      <w:r w:rsidR="00AB12F7" w:rsidRPr="00AB12F7">
        <w:rPr>
          <w:rStyle w:val="a8"/>
          <w:rFonts w:ascii="Times New Roman" w:eastAsia="Times New Roman" w:hAnsi="Times New Roman" w:cs="Times New Roman"/>
          <w:vanish/>
          <w:sz w:val="24"/>
          <w:szCs w:val="24"/>
          <w:vertAlign w:val="baseline"/>
          <w:rtl/>
        </w:rPr>
        <w:footnoteReference w:id="11"/>
      </w:r>
      <w:r w:rsidR="00AB12F7" w:rsidRPr="00AB12F7">
        <w:rPr>
          <w:rFonts w:ascii="Times New Roman" w:eastAsia="Times New Roman" w:hAnsi="Times New Roman" w:cs="Times New Roman" w:hint="cs"/>
          <w:sz w:val="24"/>
          <w:szCs w:val="24"/>
          <w:vertAlign w:val="superscript"/>
          <w:rtl/>
        </w:rPr>
        <w:t>1)</w:t>
      </w:r>
      <w:r w:rsidR="00AB12F7" w:rsidRPr="007F4E72">
        <w:rPr>
          <w:rFonts w:ascii="Times New Roman" w:eastAsia="Times New Roman" w:hAnsi="Times New Roman" w:cs="Times New Roman" w:hint="cs"/>
          <w:sz w:val="24"/>
          <w:szCs w:val="24"/>
          <w:rtl/>
        </w:rPr>
        <w:t xml:space="preserve"> مسأل</w:t>
      </w:r>
      <w:r w:rsidR="00AB12F7" w:rsidRPr="007F4E72">
        <w:rPr>
          <w:rFonts w:ascii="Times New Roman" w:eastAsia="Times New Roman" w:hAnsi="Times New Roman" w:cs="Times New Roman" w:hint="eastAsia"/>
          <w:sz w:val="24"/>
          <w:szCs w:val="24"/>
          <w:rtl/>
        </w:rPr>
        <w:t>ة</w:t>
      </w:r>
      <w:r w:rsidRPr="007F4E72">
        <w:rPr>
          <w:rFonts w:ascii="Times New Roman" w:eastAsia="Times New Roman" w:hAnsi="Times New Roman" w:cs="Times New Roman"/>
          <w:sz w:val="24"/>
          <w:szCs w:val="24"/>
          <w:rtl/>
        </w:rPr>
        <w:t xml:space="preserve"> مختلفة نسبيًا؛ فإلى جانب تعدد الجهات التقنية والتنظيمية، تفرض الطبيعة الاتحادية للدولة ضرورة المواءمة بين المستويات الاتحادية والمحلية، ولا سيما مع وجود جهات قضائية اتحادية ومحلية. ولهذا تكتسب التشريعات الاتحادية، مثل قانون المعاملات الإلكترونية وخدمات الثقة، أهمية في توفير أرضية قانونية وتنظيمية مشتركة يمكن للجهات المختلفة الاعتماد عليها. وفي هذا السياق، لا تتمثل قيمة قانون خدمات الثقة في تنظيم التوقيع فقط، بل في توحيد مجموعة من عناصر الثقة الرقمية على المستوى الاتحادي، وهو ما يقلل من احتمالات اختلاف المعايير الأساسية بين الجهات</w:t>
      </w:r>
      <w:r w:rsidRPr="007F4E72">
        <w:rPr>
          <w:rFonts w:ascii="Times New Roman" w:eastAsia="Times New Roman" w:hAnsi="Times New Roman" w:cs="Times New Roman"/>
          <w:sz w:val="24"/>
          <w:szCs w:val="24"/>
        </w:rPr>
        <w:t>.</w:t>
      </w:r>
    </w:p>
    <w:p w14:paraId="7AC413F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أما سنغافورة فتقدم نموذجًا أكثر ميلًا إلى توحيد البنية التقنية الحكومية، مع بقاء إدارة القضاء في يد مؤسساته المختصة. ويظهر هذا الأمر في</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الذي يمثل منصة مركزية لإيداع وإدارة العديد من المستندات والقضايا، مع وجود إطار قانوني في</w:t>
      </w:r>
      <w:r w:rsidRPr="007F4E72">
        <w:rPr>
          <w:rFonts w:ascii="Times New Roman" w:eastAsia="Times New Roman" w:hAnsi="Times New Roman" w:cs="Times New Roman"/>
          <w:sz w:val="24"/>
          <w:szCs w:val="24"/>
        </w:rPr>
        <w:t xml:space="preserve"> Rules of Court 2021 </w:t>
      </w:r>
      <w:r w:rsidRPr="007F4E72">
        <w:rPr>
          <w:rFonts w:ascii="Times New Roman" w:eastAsia="Times New Roman" w:hAnsi="Times New Roman" w:cs="Times New Roman"/>
          <w:sz w:val="24"/>
          <w:szCs w:val="24"/>
          <w:rtl/>
        </w:rPr>
        <w:t>يحدد مقدم خدمة الإيداع والمشرف عليها ونظامها والمستخدمين المسجلين. وقد واصلت السلطة القضائية تطوير ترتيبات الدعم التشغيلي للمنصة؛ ففي 2026 أعلنت تحديث عمليات مكتب المساعدة ومكتب الخدمة المرتبطين بـ</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وتوسيع ساعات بعض الخدمات، وهو ما يبين أن الحوكمة الرقمية لا تتوقف عند بناء النظام، بل تشمل تشغيله ودعمه وتطويره المستمر</w:t>
      </w:r>
      <w:r w:rsidRPr="007F4E72">
        <w:rPr>
          <w:rFonts w:ascii="Times New Roman" w:eastAsia="Times New Roman" w:hAnsi="Times New Roman" w:cs="Times New Roman"/>
          <w:sz w:val="24"/>
          <w:szCs w:val="24"/>
        </w:rPr>
        <w:t>.</w:t>
      </w:r>
    </w:p>
    <w:p w14:paraId="4F3E946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ذلك عن فارق مهم في مفهوم الحوكمة؛ فالتقنية القضائية لا ينبغي أن تعامل بوصفها «مشروعًا» له تاريخ بداية ونهاية، وإنما بوصفها </w:t>
      </w:r>
      <w:r w:rsidRPr="007F4E72">
        <w:rPr>
          <w:rFonts w:ascii="Times New Roman" w:eastAsia="Times New Roman" w:hAnsi="Times New Roman" w:cs="Times New Roman"/>
          <w:b/>
          <w:bCs/>
          <w:sz w:val="24"/>
          <w:szCs w:val="24"/>
          <w:rtl/>
        </w:rPr>
        <w:t>بنية أساسية مستمرة لمرفق العدالة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وكلما أصبح الإيداع والتبليغ وإدارة الملفات معتمدًا على النظام الرقمي، أصبح مستوى الخدمة والدعم والصيانة واستمرارية العمل عناصر ذات آثار قانونية</w:t>
      </w:r>
      <w:r w:rsidRPr="007F4E72">
        <w:rPr>
          <w:rFonts w:ascii="Times New Roman" w:eastAsia="Times New Roman" w:hAnsi="Times New Roman" w:cs="Times New Roman"/>
          <w:sz w:val="24"/>
          <w:szCs w:val="24"/>
        </w:rPr>
        <w:t>.</w:t>
      </w:r>
    </w:p>
    <w:p w14:paraId="2ECF99D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وتتصل الحوكمة كذلك بـ </w:t>
      </w:r>
      <w:r w:rsidRPr="007F4E72">
        <w:rPr>
          <w:rFonts w:ascii="Times New Roman" w:eastAsia="Times New Roman" w:hAnsi="Times New Roman" w:cs="Times New Roman"/>
          <w:b/>
          <w:bCs/>
          <w:sz w:val="24"/>
          <w:szCs w:val="24"/>
          <w:rtl/>
        </w:rPr>
        <w:t>إدارة البيانات</w:t>
      </w:r>
      <w:r w:rsidRPr="007F4E72">
        <w:rPr>
          <w:rFonts w:ascii="Times New Roman" w:eastAsia="Times New Roman" w:hAnsi="Times New Roman" w:cs="Times New Roman"/>
          <w:sz w:val="24"/>
          <w:szCs w:val="24"/>
          <w:rtl/>
        </w:rPr>
        <w:t>؛ فالربط بين المحاكم والجهات الحكومية لا ينبغي أن يؤدي إلى السماح لكل جهة بالوصول إلى جميع البيانات لمجرد وجود اتصال تقني بينها. بل تقتضي الحوكمة تحديد مصدر البيانات الرسمي، والغرض الذي يسمح من أجله بالوصول، ومن يملك حق تعديلها، وكيف يسجل الدخول إليها، ومتى يجب تحديثها أو إتلافها. ويصبح هذا الأمر أكثر أهمية مع استخدام البيانات القضائية في التحليل أو أنظمة الذكاء الاصطناعي، لأن جودة القرار أو الخدمة تعتمد على جودة البيانات ومشروعيتها</w:t>
      </w:r>
      <w:r w:rsidRPr="007F4E72">
        <w:rPr>
          <w:rFonts w:ascii="Times New Roman" w:eastAsia="Times New Roman" w:hAnsi="Times New Roman" w:cs="Times New Roman"/>
          <w:sz w:val="24"/>
          <w:szCs w:val="24"/>
        </w:rPr>
        <w:t>.</w:t>
      </w:r>
    </w:p>
    <w:p w14:paraId="1DF2EDED"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4AF3E1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0942B1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5DDBFED" w14:textId="3F187832"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D4EB5CF" w14:textId="2A2B3004"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تشمل الحوكمة </w:t>
      </w:r>
      <w:r w:rsidRPr="007F4E72">
        <w:rPr>
          <w:rFonts w:ascii="Times New Roman" w:eastAsia="Times New Roman" w:hAnsi="Times New Roman" w:cs="Times New Roman"/>
          <w:b/>
          <w:bCs/>
          <w:sz w:val="24"/>
          <w:szCs w:val="24"/>
          <w:rtl/>
        </w:rPr>
        <w:t>إدارة الأطراف الخارجية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فالمحاكم والوزارات قد تعتمد على شركات في تطوير البرامج أو التشغيل أو الحوسبة السحابية، وهو ما يعني أن بعض أجزاء البيئة التقنية قد تكون خارج الإدارة المباشرة للجهة القضائية. ولا ينبغي أن يؤدي إسناد التشغيل إلى متعهد إلى انتقال المسؤولية القانونية كاملة إليه؛ فالجهة العامة تظل مسؤولة عن اختيار المزود ومراقبة امتثاله وضمان حقوق المتقاضين وفق نطاق اختصاصها</w:t>
      </w:r>
      <w:r w:rsidRPr="007F4E72">
        <w:rPr>
          <w:rFonts w:ascii="Times New Roman" w:eastAsia="Times New Roman" w:hAnsi="Times New Roman" w:cs="Times New Roman"/>
          <w:sz w:val="24"/>
          <w:szCs w:val="24"/>
        </w:rPr>
        <w:t>.</w:t>
      </w:r>
    </w:p>
    <w:p w14:paraId="7FA1B012"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ويظهر من المقارنة أن النموذج السعودي يتميز بالتخصص المؤسسي وتعدد الجهات الوطنية المرجعية، بينما يبرز في الإمارات دور الإطار الاتحادي في توحيد بعض المكونات الأساسية رغم تنوع البنى المحلية، في حين تظهر في سنغافورة درجة أعلى من توحيد البنية التشغيلية للإيداع القضائي. ولا يمكن القول إن المركزية أفضل دائمًا من التعدد؛ فالمعيار هو قدرة النموذج على توفير </w:t>
      </w:r>
      <w:r w:rsidRPr="007F4E72">
        <w:rPr>
          <w:rFonts w:ascii="Times New Roman" w:eastAsia="Times New Roman" w:hAnsi="Times New Roman" w:cs="Times New Roman"/>
          <w:b/>
          <w:bCs/>
          <w:sz w:val="24"/>
          <w:szCs w:val="24"/>
          <w:rtl/>
        </w:rPr>
        <w:t>وضوح الاختصاص، وقابلية التشغيل البيني، والمساءلة، واستمرارية الخدمة</w:t>
      </w:r>
      <w:r w:rsidRPr="007F4E72">
        <w:rPr>
          <w:rFonts w:ascii="Times New Roman" w:eastAsia="Times New Roman" w:hAnsi="Times New Roman" w:cs="Times New Roman"/>
          <w:sz w:val="24"/>
          <w:szCs w:val="24"/>
        </w:rPr>
        <w:t>.</w:t>
      </w:r>
    </w:p>
    <w:p w14:paraId="78EC95B3" w14:textId="40A5027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أن تطوير التنظيم المؤسسي السعودي يستدعي صياغة إطار أكثر تخصصًا لحوكمة العدالة الرقمية يحدد بصورة دقيقة العلاقة بين الجهة القضائية وهيئة الحكومة الرقمية والجهات المختصة بالأمن والبيانات ومقدمي الخدمات. وينبغي أن يتضمن هذا الإطار مسؤولية إدارة البيانات، ومستويات الخدمة، والاستجابة للأعطال، والتدقيق في الموردين، ونقل البيانات بين الأنظمة، مع النص بوضوح على أن الإدارة التقنية للمنصة لا تمتد إلى مضمون القرار القضائي أو استقلال القاضي. ويمكن في هذا الجانب الاستفادة من النموذج السنغافوري في تنظيم العلاقة بين خدمة الإيداع والمستخدمين والمشرف على النظام، ومن التجربة الإماراتية في استخدام تشريع اتحادي موحد لبعض مكونات الثقة الرقمية</w:t>
      </w:r>
      <w:r w:rsidRPr="007F4E72">
        <w:rPr>
          <w:rFonts w:ascii="Times New Roman" w:eastAsia="Times New Roman" w:hAnsi="Times New Roman" w:cs="Times New Roman"/>
          <w:sz w:val="24"/>
          <w:szCs w:val="24"/>
        </w:rPr>
        <w:t>.</w:t>
      </w:r>
    </w:p>
    <w:p w14:paraId="1E3CF19C"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الثاني: الهوية الرقمية وخدمات الثقة والتصديق الإلكتروني</w:t>
      </w:r>
    </w:p>
    <w:p w14:paraId="230DB4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تمثل الهوية الرقمية وخدمات الثقة حلقة الوصل بين الشخص والإجراء الذي يقوم به في البيئة الإلكترونية؛ فنجاح التقاضي الرقمي يتوقف على إمكان الإجابة بدرجة كافية من اليقين عن سؤالين مترابطين: من قام بالإجراء؟ وهل ظل المستند أو البيانات المرتبطة به سليمة منذ إنشائها؟ وفي البيئة الورقية تؤدي وثائق الهوية والتوقيع الخطي والختم والتسليم المادي جانبًا من هذه الوظائف، بينما تحتاج البيئة الرقمية إلى أدوات تحقق مختلفة تستطيع أن تؤدي الوظائف ذاتها أو تحقق مستوى أعلى من الموثوقية</w:t>
      </w:r>
      <w:r w:rsidRPr="007F4E72">
        <w:rPr>
          <w:rFonts w:ascii="Times New Roman" w:eastAsia="Times New Roman" w:hAnsi="Times New Roman" w:cs="Times New Roman"/>
          <w:sz w:val="24"/>
          <w:szCs w:val="24"/>
        </w:rPr>
        <w:t>.</w:t>
      </w:r>
    </w:p>
    <w:p w14:paraId="5FD47EFB" w14:textId="50234A29"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نظم نظام التعاملات الإلكترونية السعودي</w:t>
      </w:r>
      <w:r w:rsidR="00406949" w:rsidRPr="00406949">
        <w:rPr>
          <w:rFonts w:ascii="Times New Roman" w:eastAsia="Times New Roman" w:hAnsi="Times New Roman" w:cs="Times New Roman" w:hint="cs"/>
          <w:sz w:val="24"/>
          <w:szCs w:val="24"/>
          <w:vertAlign w:val="superscript"/>
          <w:rtl/>
        </w:rPr>
        <w:t>(1)</w:t>
      </w:r>
      <w:r w:rsidR="00406949" w:rsidRPr="00406949">
        <w:rPr>
          <w:rStyle w:val="a8"/>
          <w:rFonts w:ascii="Times New Roman" w:eastAsia="Times New Roman" w:hAnsi="Times New Roman" w:cs="Times New Roman"/>
          <w:vanish/>
          <w:sz w:val="24"/>
          <w:szCs w:val="24"/>
          <w:vertAlign w:val="baseline"/>
          <w:rtl/>
        </w:rPr>
        <w:footnoteReference w:id="12"/>
      </w:r>
      <w:r w:rsidRPr="007F4E72">
        <w:rPr>
          <w:rFonts w:ascii="Times New Roman" w:eastAsia="Times New Roman" w:hAnsi="Times New Roman" w:cs="Times New Roman"/>
          <w:sz w:val="24"/>
          <w:szCs w:val="24"/>
          <w:rtl/>
        </w:rPr>
        <w:t xml:space="preserve"> التوقيع الإلكتروني وشهادات التصديق ومقدمي خدمات التصديق، وهو ما وفر منذ وقت مبكر أساسًا قانونيًا للتأكد من نسبة التوقيع إلى صاحبه وتعزيز الثقة بالسجلات الإلكترونية. ويظل هذا الإطار مهمًا في بناء القضاء الرقمي، لأن أي طلب أو مستند أو إجراء لا يكتسب قيمة عملية كاملة إذا تعذر التحقق من هوية الشخص الذي أنشأه أو قدمه. غير أن التطور اللاحق في البيئة الرقمية كشف أن مفهوم «التصديق الإلكتروني» لا يغطي بالضرورة جميع الوظائف التي أصبحت مطلوبة في المعاملات عالية الحساسية</w:t>
      </w:r>
      <w:r w:rsidRPr="007F4E72">
        <w:rPr>
          <w:rFonts w:ascii="Times New Roman" w:eastAsia="Times New Roman" w:hAnsi="Times New Roman" w:cs="Times New Roman"/>
          <w:sz w:val="24"/>
          <w:szCs w:val="24"/>
        </w:rPr>
        <w:t>.</w:t>
      </w:r>
    </w:p>
    <w:p w14:paraId="4B3197EC"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9CAE43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6184363" w14:textId="4A27BB6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وقد اتجه المشرع الإماراتي </w:t>
      </w:r>
      <w:r w:rsidR="00406949" w:rsidRPr="00406949">
        <w:rPr>
          <w:rFonts w:ascii="Times New Roman" w:eastAsia="Times New Roman" w:hAnsi="Times New Roman" w:cs="Times New Roman" w:hint="cs"/>
          <w:sz w:val="24"/>
          <w:szCs w:val="24"/>
          <w:vertAlign w:val="superscript"/>
          <w:rtl/>
        </w:rPr>
        <w:t>(1)</w:t>
      </w:r>
      <w:r w:rsidR="00406949" w:rsidRPr="00406949">
        <w:rPr>
          <w:rStyle w:val="a8"/>
          <w:rFonts w:ascii="Times New Roman" w:eastAsia="Times New Roman" w:hAnsi="Times New Roman" w:cs="Times New Roman"/>
          <w:vanish/>
          <w:sz w:val="24"/>
          <w:szCs w:val="24"/>
          <w:vertAlign w:val="baseline"/>
          <w:rtl/>
        </w:rPr>
        <w:footnoteReference w:id="13"/>
      </w:r>
      <w:r w:rsidRPr="007F4E72">
        <w:rPr>
          <w:rFonts w:ascii="Times New Roman" w:eastAsia="Times New Roman" w:hAnsi="Times New Roman" w:cs="Times New Roman"/>
          <w:sz w:val="24"/>
          <w:szCs w:val="24"/>
          <w:rtl/>
        </w:rPr>
        <w:t xml:space="preserve">بصورة أكثر وضوحًا إلى توسيع هذه الدائرة من خلال المرسوم بقانون اتحادي رقم (46) لسنة 2021 الذي تناول </w:t>
      </w:r>
      <w:r w:rsidRPr="007F4E72">
        <w:rPr>
          <w:rFonts w:ascii="Times New Roman" w:eastAsia="Times New Roman" w:hAnsi="Times New Roman" w:cs="Times New Roman"/>
          <w:b/>
          <w:bCs/>
          <w:sz w:val="24"/>
          <w:szCs w:val="24"/>
          <w:rtl/>
        </w:rPr>
        <w:t>خدمات الثقة وخدمات الثقة المعتمدة</w:t>
      </w:r>
      <w:r w:rsidRPr="007F4E72">
        <w:rPr>
          <w:rFonts w:ascii="Times New Roman" w:eastAsia="Times New Roman" w:hAnsi="Times New Roman" w:cs="Times New Roman"/>
          <w:sz w:val="24"/>
          <w:szCs w:val="24"/>
          <w:rtl/>
        </w:rPr>
        <w:t>، ثم جاءت اللائحة التنفيذية الصادرة بقرار مجلس الوزراء رقم (28) لسنة 2023 لتضع متطلبات تفصيلية مرتبطة بتقديم هذه الخدمات. وتعكس هذه المنظومة تحولًا من التركيز على «توقيع الشخص» وحده إلى بناء مجموعة أدوات يمكن أن تدعم التحقق من التوقيع والختم والمستند والتوقيت وغيرها من عناصر الثقة في البيئة الإلكترونية</w:t>
      </w:r>
      <w:r w:rsidRPr="007F4E72">
        <w:rPr>
          <w:rFonts w:ascii="Times New Roman" w:eastAsia="Times New Roman" w:hAnsi="Times New Roman" w:cs="Times New Roman"/>
          <w:sz w:val="24"/>
          <w:szCs w:val="24"/>
        </w:rPr>
        <w:t>.</w:t>
      </w:r>
    </w:p>
    <w:p w14:paraId="1BDE35DD"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أهمية هذا التطور في المجال القضائي على نحو خاص؛ فليس كل إجراء يحتاج فقط إلى معرفة صاحبه. ففي بعض الحالات يكون </w:t>
      </w:r>
      <w:r w:rsidRPr="007F4E72">
        <w:rPr>
          <w:rFonts w:ascii="Times New Roman" w:eastAsia="Times New Roman" w:hAnsi="Times New Roman" w:cs="Times New Roman"/>
          <w:b/>
          <w:bCs/>
          <w:sz w:val="24"/>
          <w:szCs w:val="24"/>
          <w:rtl/>
        </w:rPr>
        <w:t>تاريخ الإجراء</w:t>
      </w:r>
      <w:r w:rsidRPr="007F4E72">
        <w:rPr>
          <w:rFonts w:ascii="Times New Roman" w:eastAsia="Times New Roman" w:hAnsi="Times New Roman" w:cs="Times New Roman"/>
          <w:sz w:val="24"/>
          <w:szCs w:val="24"/>
          <w:rtl/>
        </w:rPr>
        <w:t xml:space="preserve"> مساويًا في أهميته للهوية، كما هو الحال في الطعون والمواعيد، وفي حالات أخرى يكون المطلوب إثبات أن المستند صدر عن جهة قضائية معينة ولم يتغير بعد صدوره، وهنا تبرز وظيفة الختم الإلكتروني، بينما يتطلب التبليغ إثبات إرسال المستند واستلامه أو إتاحته بصورة يمكن التعويل عليها. ومن ثم، فإن خدمات الثقة تمثل شبكة من الأدوات التي يمكن أن تدعم الخصومة في مراحل مختلفة</w:t>
      </w:r>
      <w:r w:rsidRPr="007F4E72">
        <w:rPr>
          <w:rFonts w:ascii="Times New Roman" w:eastAsia="Times New Roman" w:hAnsi="Times New Roman" w:cs="Times New Roman"/>
          <w:sz w:val="24"/>
          <w:szCs w:val="24"/>
        </w:rPr>
        <w:t>.</w:t>
      </w:r>
    </w:p>
    <w:p w14:paraId="36C50D5E" w14:textId="71BFAD33"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أما </w:t>
      </w:r>
      <w:r w:rsidR="00406949" w:rsidRPr="007F4E72">
        <w:rPr>
          <w:rFonts w:ascii="Times New Roman" w:eastAsia="Times New Roman" w:hAnsi="Times New Roman" w:cs="Times New Roman" w:hint="cs"/>
          <w:sz w:val="24"/>
          <w:szCs w:val="24"/>
          <w:rtl/>
        </w:rPr>
        <w:t>سنغافورة</w:t>
      </w:r>
      <w:r w:rsidR="00406949" w:rsidRPr="00406949">
        <w:rPr>
          <w:rFonts w:ascii="Times New Roman" w:eastAsia="Times New Roman" w:hAnsi="Times New Roman" w:cs="Times New Roman" w:hint="cs"/>
          <w:sz w:val="24"/>
          <w:szCs w:val="24"/>
          <w:vertAlign w:val="superscript"/>
          <w:rtl/>
        </w:rPr>
        <w:t xml:space="preserve"> </w:t>
      </w:r>
      <w:r w:rsidR="00406949" w:rsidRPr="00406949">
        <w:rPr>
          <w:rFonts w:ascii="Times New Roman" w:eastAsia="Times New Roman" w:hAnsi="Times New Roman" w:cs="Times New Roman"/>
          <w:sz w:val="24"/>
          <w:szCs w:val="24"/>
          <w:vertAlign w:val="superscript"/>
          <w:rtl/>
        </w:rPr>
        <w:t>(</w:t>
      </w:r>
      <w:r w:rsidR="00406949" w:rsidRPr="00406949">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tl/>
        </w:rPr>
        <w:t xml:space="preserve"> فتبنت نموذجًا يجمع بين الاعتراف العام بالتوقيعات الإلكترونية وتنظيم مستوى أكثر أمانًا من التوقيع، إلى جانب إطار سلطات التصديق الذي تشرف عليه هيئة تطوير الإعلام والاتصالات. وتبين قواعد المحكمة كذلك أن الإيداع الإلكتروني يتضمن تنظيم المستخدمين المسجلين والمخولين وتوقيع المستندات الإلكترونية، وهو ما يربط الهوية الرقمية بالعمل الإجرائي مباشرة</w:t>
      </w:r>
      <w:r w:rsidRPr="007F4E72">
        <w:rPr>
          <w:rFonts w:ascii="Times New Roman" w:eastAsia="Times New Roman" w:hAnsi="Times New Roman" w:cs="Times New Roman"/>
          <w:sz w:val="24"/>
          <w:szCs w:val="24"/>
        </w:rPr>
        <w:t>.</w:t>
      </w:r>
    </w:p>
    <w:p w14:paraId="409E9DD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اختلاف النماذج الثلاثة عن قضية تتعلق بـ </w:t>
      </w:r>
      <w:r w:rsidRPr="007F4E72">
        <w:rPr>
          <w:rFonts w:ascii="Times New Roman" w:eastAsia="Times New Roman" w:hAnsi="Times New Roman" w:cs="Times New Roman"/>
          <w:b/>
          <w:bCs/>
          <w:sz w:val="24"/>
          <w:szCs w:val="24"/>
          <w:rtl/>
        </w:rPr>
        <w:t>درجات الثقة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فإذا فُرضت أعلى وسائل التوثيق على كل إجراء قضائي، فقد يؤدي ذلك إلى رفع التكلفة وتعقيد الوصول إلى العدالة، بينما يؤدي الاكتفاء بتحقق بسيط في جميع الحالات إلى إضعاف الحماية في الإجراءات ذات الخطورة العالية. ولذلك يبدو أن النموذج الأكثر ملاءمة هو الذي يبني مستوى الثقة وفق طبيعة الإجراء ومقدار الخطر المرتبط به</w:t>
      </w:r>
      <w:r w:rsidRPr="007F4E72">
        <w:rPr>
          <w:rFonts w:ascii="Times New Roman" w:eastAsia="Times New Roman" w:hAnsi="Times New Roman" w:cs="Times New Roman"/>
          <w:sz w:val="24"/>
          <w:szCs w:val="24"/>
        </w:rPr>
        <w:t>.</w:t>
      </w:r>
    </w:p>
    <w:p w14:paraId="201976D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فمجرد الاطلاع على حالة قضية لا يحتاج إلى متطلبات مماثلة للتوقيع على إقرار قضائي أو التنازل عن حق أو اعتماد حكم. ومن هنا ينبغي أن تقوم البيئة القضائية على </w:t>
      </w:r>
      <w:r w:rsidRPr="007F4E72">
        <w:rPr>
          <w:rFonts w:ascii="Times New Roman" w:eastAsia="Times New Roman" w:hAnsi="Times New Roman" w:cs="Times New Roman"/>
          <w:b/>
          <w:bCs/>
          <w:sz w:val="24"/>
          <w:szCs w:val="24"/>
          <w:rtl/>
        </w:rPr>
        <w:t>مبدأ التناسب في التحقق الرقمي</w:t>
      </w:r>
      <w:r w:rsidRPr="007F4E72">
        <w:rPr>
          <w:rFonts w:ascii="Times New Roman" w:eastAsia="Times New Roman" w:hAnsi="Times New Roman" w:cs="Times New Roman"/>
          <w:sz w:val="24"/>
          <w:szCs w:val="24"/>
          <w:rtl/>
        </w:rPr>
        <w:t>، بحيث ترتفع المتطلبات كلما ازدادت خطورة الأثر القانوني</w:t>
      </w:r>
      <w:r w:rsidRPr="007F4E72">
        <w:rPr>
          <w:rFonts w:ascii="Times New Roman" w:eastAsia="Times New Roman" w:hAnsi="Times New Roman" w:cs="Times New Roman"/>
          <w:sz w:val="24"/>
          <w:szCs w:val="24"/>
        </w:rPr>
        <w:t>.</w:t>
      </w:r>
    </w:p>
    <w:p w14:paraId="25F2765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A82C20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4C4CE5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3BB72B1" w14:textId="50F1DBED"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BF162D0" w14:textId="5F762D79"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كذلك أهمية </w:t>
      </w:r>
      <w:r w:rsidRPr="007F4E72">
        <w:rPr>
          <w:rFonts w:ascii="Times New Roman" w:eastAsia="Times New Roman" w:hAnsi="Times New Roman" w:cs="Times New Roman"/>
          <w:b/>
          <w:bCs/>
          <w:sz w:val="24"/>
          <w:szCs w:val="24"/>
          <w:rtl/>
        </w:rPr>
        <w:t>الطابع الزمني الإلكتروني</w:t>
      </w:r>
      <w:r w:rsidRPr="007F4E72">
        <w:rPr>
          <w:rFonts w:ascii="Times New Roman" w:eastAsia="Times New Roman" w:hAnsi="Times New Roman" w:cs="Times New Roman"/>
          <w:sz w:val="24"/>
          <w:szCs w:val="24"/>
          <w:rtl/>
        </w:rPr>
        <w:t>؛ ففي البيئة الورقية يمكن ختم المستند عند تقديمه لإثبات وقت الإيداع، أما في البيئة الرقمية فيستطيع نظام موثوق تسجيل التاريخ والساعة بصورة دقيقة. وتتحول هذه المعلومة إلى عنصر قانوني حاسم عندما يتعلق الأمر بموعد ينتهي في وقت محدد. وإذا أضيف إلى الطابع الزمني سجل فني يثبت أن الملف لم يعدل بعد ذلك، ارتفعت درجة الثقة بالدليل</w:t>
      </w:r>
      <w:r w:rsidRPr="007F4E72">
        <w:rPr>
          <w:rFonts w:ascii="Times New Roman" w:eastAsia="Times New Roman" w:hAnsi="Times New Roman" w:cs="Times New Roman"/>
          <w:sz w:val="24"/>
          <w:szCs w:val="24"/>
        </w:rPr>
        <w:t>.</w:t>
      </w:r>
    </w:p>
    <w:p w14:paraId="46688254" w14:textId="081EF47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وتؤدي </w:t>
      </w:r>
      <w:r w:rsidRPr="007F4E72">
        <w:rPr>
          <w:rFonts w:ascii="Times New Roman" w:eastAsia="Times New Roman" w:hAnsi="Times New Roman" w:cs="Times New Roman"/>
          <w:b/>
          <w:bCs/>
          <w:sz w:val="24"/>
          <w:szCs w:val="24"/>
          <w:rtl/>
        </w:rPr>
        <w:t>الأختام الإلكترونية</w:t>
      </w:r>
      <w:r w:rsidR="00406949" w:rsidRPr="00361B7D">
        <w:rPr>
          <w:rFonts w:ascii="Times New Roman" w:eastAsia="Times New Roman" w:hAnsi="Times New Roman" w:cs="Times New Roman" w:hint="cs"/>
          <w:sz w:val="24"/>
          <w:szCs w:val="24"/>
          <w:vertAlign w:val="superscript"/>
          <w:rtl/>
        </w:rPr>
        <w:t>(1)</w:t>
      </w:r>
      <w:r w:rsidR="00361B7D" w:rsidRPr="00361B7D">
        <w:rPr>
          <w:rStyle w:val="a8"/>
          <w:rFonts w:ascii="Times New Roman" w:eastAsia="Times New Roman" w:hAnsi="Times New Roman" w:cs="Times New Roman"/>
          <w:vanish/>
          <w:sz w:val="24"/>
          <w:szCs w:val="24"/>
          <w:vertAlign w:val="baseline"/>
          <w:rtl/>
        </w:rPr>
        <w:footnoteReference w:id="14"/>
      </w:r>
      <w:r w:rsidRPr="00361B7D">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وظيفة أخرى تختلف عن التوقيع الشخصي؛ فهي أكثر ملاءمة لإثبات أن المستند صدر عن مؤسسة أو جهة معينة، ويمكن أن يكون لها دور مهم في الأحكام والأوامر والشهادات والمستخرجات القضائية الإلكترونية. كما تؤدي خدمات التسليم المسجل وظيفة وثيقة الصلة بالتبليغات القضائية؛ لأنها يمكن أن توفر سجلًا بشأن الإرسال والاستلام أو الإتاحة بدل الاكتفاء بادعاء أن رسالة أرسلت</w:t>
      </w:r>
      <w:r w:rsidRPr="007F4E72">
        <w:rPr>
          <w:rFonts w:ascii="Times New Roman" w:eastAsia="Times New Roman" w:hAnsi="Times New Roman" w:cs="Times New Roman"/>
          <w:sz w:val="24"/>
          <w:szCs w:val="24"/>
        </w:rPr>
        <w:t>.</w:t>
      </w:r>
    </w:p>
    <w:p w14:paraId="325CB64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ولا ينبغي، مع ذلك، أن تتحول خدمات الثقة إلى بديل عن التقدير القضائي. فوجود شهادة أو طابع زمني أو توقيع معتمد يوفر قرائن قوية على الصحة، لكنه لا يمنع المنازعة في حالات مثل سرقة وسيلة التوقيع، أو استخدام الحساب بالإكراه، أو خلل مقدم الخدمة. ولذلك فالأدق أن تمنح هذه الوسائل </w:t>
      </w:r>
      <w:r w:rsidRPr="007F4E72">
        <w:rPr>
          <w:rFonts w:ascii="Times New Roman" w:eastAsia="Times New Roman" w:hAnsi="Times New Roman" w:cs="Times New Roman"/>
          <w:b/>
          <w:bCs/>
          <w:sz w:val="24"/>
          <w:szCs w:val="24"/>
          <w:rtl/>
        </w:rPr>
        <w:t>قرائن قانونية قابلة لإثبات العكس</w:t>
      </w:r>
      <w:r w:rsidRPr="007F4E72">
        <w:rPr>
          <w:rFonts w:ascii="Times New Roman" w:eastAsia="Times New Roman" w:hAnsi="Times New Roman" w:cs="Times New Roman"/>
          <w:sz w:val="24"/>
          <w:szCs w:val="24"/>
          <w:rtl/>
        </w:rPr>
        <w:t xml:space="preserve"> بدل اعتبارها حقيقة مطلقة</w:t>
      </w:r>
      <w:r w:rsidRPr="007F4E72">
        <w:rPr>
          <w:rFonts w:ascii="Times New Roman" w:eastAsia="Times New Roman" w:hAnsi="Times New Roman" w:cs="Times New Roman"/>
          <w:sz w:val="24"/>
          <w:szCs w:val="24"/>
        </w:rPr>
        <w:t>.</w:t>
      </w:r>
    </w:p>
    <w:p w14:paraId="29C9422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وتكشف المقارنة أن المملكة أسست مبكرًا لتنظيم التوقيع والتصديق الإلكتروني، بينما أحدثت الإمارات توسعًا تشريعيًا واضحًا من التصديق إلى منظومة خدمات الثقة، في حين تجمع سنغافورة بين الحياد التقني ومستويات أعلى من الأمان عند الحاجة. ولا ينبغي أن يؤدي تحديث التنظيم السعودي إلى مجرد استنساخ النموذج الإماراتي، بل إلى بناء نظام يتلاءم مع طبيعة البيئة العدلية السعودية ويستفيد في الوقت ذاته من مبدأ التدرج والحياد التقني</w:t>
      </w:r>
      <w:r w:rsidRPr="007F4E72">
        <w:rPr>
          <w:rFonts w:ascii="Times New Roman" w:eastAsia="Times New Roman" w:hAnsi="Times New Roman" w:cs="Times New Roman"/>
          <w:sz w:val="24"/>
          <w:szCs w:val="24"/>
        </w:rPr>
        <w:t>.</w:t>
      </w:r>
    </w:p>
    <w:p w14:paraId="28FC41F1" w14:textId="02FB938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التطوير المناسب للمملكة يتمثل في إنشاء </w:t>
      </w:r>
      <w:r w:rsidRPr="007F4E72">
        <w:rPr>
          <w:rFonts w:ascii="Times New Roman" w:eastAsia="Times New Roman" w:hAnsi="Times New Roman" w:cs="Times New Roman"/>
          <w:b/>
          <w:bCs/>
          <w:sz w:val="24"/>
          <w:szCs w:val="24"/>
          <w:rtl/>
        </w:rPr>
        <w:t>إطار متكامل لخدمات الثقة القضائية</w:t>
      </w:r>
      <w:r w:rsidRPr="007F4E72">
        <w:rPr>
          <w:rFonts w:ascii="Times New Roman" w:eastAsia="Times New Roman" w:hAnsi="Times New Roman" w:cs="Times New Roman"/>
          <w:sz w:val="24"/>
          <w:szCs w:val="24"/>
          <w:rtl/>
        </w:rPr>
        <w:t xml:space="preserve"> يضم التوقيع والختم والطابع الزمني وخدمة التسليم الإلكتروني المسجل والتحقق من المستندات، مع تصنيف الإجراءات وفق مستوى الخطورة وتحديد أثر كل مستوى من الثقة في الإثبات. ويمكن أن يقرر النظام، على سبيل المثال، قرينة أعلى للمستند الصادر عن منصة قضائية والمختوم إلكترونيًا أو الموقع بواسطة خدمة موثوقة، دون منع الخصم من إثبات العكس. ويجمع هذا النهج بين قوة النموذج الإماراتي في تعدد خدمات الثقة، ومرونة النموذج السنغافوري، والأساس التشريعي القائم بالفعل في المملكة</w:t>
      </w:r>
      <w:r w:rsidRPr="007F4E72">
        <w:rPr>
          <w:rFonts w:ascii="Times New Roman" w:eastAsia="Times New Roman" w:hAnsi="Times New Roman" w:cs="Times New Roman"/>
          <w:sz w:val="24"/>
          <w:szCs w:val="24"/>
        </w:rPr>
        <w:t>.</w:t>
      </w:r>
    </w:p>
    <w:p w14:paraId="5EB0856D" w14:textId="77777777" w:rsidR="007F4E72" w:rsidRPr="007F4E72" w:rsidRDefault="007F4E72" w:rsidP="007F4E72">
      <w:pPr>
        <w:spacing w:before="100" w:beforeAutospacing="1" w:after="100" w:afterAutospacing="1" w:line="360" w:lineRule="auto"/>
        <w:jc w:val="both"/>
        <w:rPr>
          <w:rFonts w:ascii="Times New Roman" w:eastAsia="Times New Roman" w:hAnsi="Times New Roman" w:cs="Times New Roman"/>
          <w:sz w:val="24"/>
          <w:szCs w:val="24"/>
          <w:rtl/>
        </w:rPr>
      </w:pPr>
    </w:p>
    <w:p w14:paraId="30559088"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A5D74B4"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الثالث: الحماية القانونية للبيانات والأمن السيبراني</w:t>
      </w:r>
    </w:p>
    <w:p w14:paraId="2E5303A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يمثل أمن البيانات والأنظمة الضمانة التي تقوم عليها جميع المرتكزات السابقة؛ إذ لا قيمة للاعتراف بالتوقيع الإلكتروني أو للإيداع الرقمي إذا كان من الممكن تغيير المستندات أو كشف بيانات الخصوم أو تعطيل المنصة من دون وجود نظام قانوني وتقني للحماية. وتزداد أهمية هذه المسألة في القضاء بسبب الطبيعة الحساسة للبيانات التي تعالجها المحاكم، والتي قد تشمل المعلومات الصحية والمالية والأسرية والجنائية والأسرار التجارية وغيرها من المعلومات التي قد يترتب على كشفها ضرر جسيم</w:t>
      </w:r>
      <w:r w:rsidRPr="007F4E72">
        <w:rPr>
          <w:rFonts w:ascii="Times New Roman" w:eastAsia="Times New Roman" w:hAnsi="Times New Roman" w:cs="Times New Roman"/>
          <w:sz w:val="24"/>
          <w:szCs w:val="24"/>
        </w:rPr>
        <w:t>.</w:t>
      </w:r>
    </w:p>
    <w:p w14:paraId="41C08EA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ويجب في هذا السياق التمييز بين </w:t>
      </w:r>
      <w:r w:rsidRPr="007F4E72">
        <w:rPr>
          <w:rFonts w:ascii="Times New Roman" w:eastAsia="Times New Roman" w:hAnsi="Times New Roman" w:cs="Times New Roman"/>
          <w:b/>
          <w:bCs/>
          <w:sz w:val="24"/>
          <w:szCs w:val="24"/>
          <w:rtl/>
        </w:rPr>
        <w:t>حماية البيانات الشخصية</w:t>
      </w:r>
      <w:r w:rsidRPr="007F4E72">
        <w:rPr>
          <w:rFonts w:ascii="Times New Roman" w:eastAsia="Times New Roman" w:hAnsi="Times New Roman" w:cs="Times New Roman"/>
          <w:sz w:val="24"/>
          <w:szCs w:val="24"/>
          <w:rtl/>
        </w:rPr>
        <w:t xml:space="preserve"> و</w:t>
      </w:r>
      <w:r w:rsidRPr="007F4E72">
        <w:rPr>
          <w:rFonts w:ascii="Times New Roman" w:eastAsia="Times New Roman" w:hAnsi="Times New Roman" w:cs="Times New Roman"/>
          <w:b/>
          <w:bCs/>
          <w:sz w:val="24"/>
          <w:szCs w:val="24"/>
          <w:rtl/>
        </w:rPr>
        <w:t>الأمن السيبراني</w:t>
      </w:r>
      <w:r w:rsidRPr="007F4E72">
        <w:rPr>
          <w:rFonts w:ascii="Times New Roman" w:eastAsia="Times New Roman" w:hAnsi="Times New Roman" w:cs="Times New Roman"/>
          <w:sz w:val="24"/>
          <w:szCs w:val="24"/>
          <w:rtl/>
        </w:rPr>
        <w:t>؛ فالأولى تركز على مشروعية جمع البيانات واستخدامها والإفصاح عنها وحقوق أصحابها، بينما يركز الثاني على حماية الأنظمة والبيانات من الاختراق والفقد والتغيير والتعطيل. ويتكامل المجالان في العدالة الرقمية؛ فقد تكون المعالجة مشروعة من حيث الغرض، لكنها غير آمنة تقنيًا، أو قد يكون النظام شديد الأمان لكن جمع البيانات فيه تم بصورة تتجاوز الغرض القانوني</w:t>
      </w:r>
      <w:r w:rsidRPr="007F4E72">
        <w:rPr>
          <w:rFonts w:ascii="Times New Roman" w:eastAsia="Times New Roman" w:hAnsi="Times New Roman" w:cs="Times New Roman"/>
          <w:sz w:val="24"/>
          <w:szCs w:val="24"/>
        </w:rPr>
        <w:t>.</w:t>
      </w:r>
    </w:p>
    <w:p w14:paraId="132CE30D" w14:textId="20E5EC2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أوجد نظام حماية البيانات الشخصية السعودي</w:t>
      </w:r>
      <w:r w:rsidR="00873376" w:rsidRPr="00873376">
        <w:rPr>
          <w:rFonts w:ascii="Times New Roman" w:eastAsia="Times New Roman" w:hAnsi="Times New Roman" w:cs="Times New Roman" w:hint="cs"/>
          <w:sz w:val="24"/>
          <w:szCs w:val="24"/>
          <w:vertAlign w:val="superscript"/>
          <w:rtl/>
        </w:rPr>
        <w:t>(1)</w:t>
      </w:r>
      <w:r w:rsidR="00873376" w:rsidRPr="00873376">
        <w:rPr>
          <w:rStyle w:val="a8"/>
          <w:rFonts w:ascii="Times New Roman" w:eastAsia="Times New Roman" w:hAnsi="Times New Roman" w:cs="Times New Roman"/>
          <w:vanish/>
          <w:sz w:val="24"/>
          <w:szCs w:val="24"/>
          <w:vertAlign w:val="baseline"/>
          <w:rtl/>
        </w:rPr>
        <w:footnoteReference w:id="15"/>
      </w:r>
      <w:r w:rsidRPr="00873376">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إطارًا قانونيًا لمعالجة البيانات وحقوق أصحابها والتزامات الجهات التي تتحكم فيها، بالتوازي مع منظومة وطنية للأمن السيبراني تقودها الهيئة الوطنية للأمن السيبراني باعتبارها المرجع الوطني المختص. وفي 2024 حدثت الهيئة الضوابط الأساسية للأمن السيبراني</w:t>
      </w:r>
      <w:r w:rsidRPr="007F4E72">
        <w:rPr>
          <w:rFonts w:ascii="Times New Roman" w:eastAsia="Times New Roman" w:hAnsi="Times New Roman" w:cs="Times New Roman"/>
          <w:sz w:val="24"/>
          <w:szCs w:val="24"/>
        </w:rPr>
        <w:t xml:space="preserve"> ECC 2-2024 </w:t>
      </w:r>
      <w:r w:rsidRPr="007F4E72">
        <w:rPr>
          <w:rFonts w:ascii="Times New Roman" w:eastAsia="Times New Roman" w:hAnsi="Times New Roman" w:cs="Times New Roman"/>
          <w:sz w:val="24"/>
          <w:szCs w:val="24"/>
          <w:rtl/>
        </w:rPr>
        <w:t>لتعزيز الأمن الوطني وحماية الأصول المعلوماتية والتقنية للجهات الوطنية، كما توجد ضوابط متخصصة للأمن السيبراني للبيانات والحوسبة السحابية</w:t>
      </w:r>
      <w:r w:rsidRPr="007F4E72">
        <w:rPr>
          <w:rFonts w:ascii="Times New Roman" w:eastAsia="Times New Roman" w:hAnsi="Times New Roman" w:cs="Times New Roman"/>
          <w:sz w:val="24"/>
          <w:szCs w:val="24"/>
        </w:rPr>
        <w:t>.</w:t>
      </w:r>
    </w:p>
    <w:p w14:paraId="3C0F296A"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ذلك عن انتقال التنظيم السعودي من مفهوم الحماية اللاحقة الذي يركز على تجريم الاختراق إلى مفهوم </w:t>
      </w:r>
      <w:r w:rsidRPr="007F4E72">
        <w:rPr>
          <w:rFonts w:ascii="Times New Roman" w:eastAsia="Times New Roman" w:hAnsi="Times New Roman" w:cs="Times New Roman"/>
          <w:b/>
          <w:bCs/>
          <w:sz w:val="24"/>
          <w:szCs w:val="24"/>
          <w:rtl/>
        </w:rPr>
        <w:t>الوقاية التنظيمية</w:t>
      </w:r>
      <w:r w:rsidRPr="007F4E72">
        <w:rPr>
          <w:rFonts w:ascii="Times New Roman" w:eastAsia="Times New Roman" w:hAnsi="Times New Roman" w:cs="Times New Roman"/>
          <w:sz w:val="24"/>
          <w:szCs w:val="24"/>
          <w:rtl/>
        </w:rPr>
        <w:t>؛ فالضوابط الأساسية تتناول الحوكمة، والحماية، والصمود السيبراني، وأمن الأطراف الخارجية والخدمات السحابية. ولا تتعلق هذه العناصر بالتقنية وحدها، وإنما لها أثر مباشر في صحة واستدامة القضاء الرقمي. فالصمود السيبراني يعني قدرة المحكمة على الاستمرار أو استعادة عملها بعد الحادث، بينما يتعلق أمن الأطراف الخارجية بمقدمي الخدمات الذين قد يحتفظون أو يعالجون جزءًا من البيانات القضائية</w:t>
      </w:r>
      <w:r w:rsidRPr="007F4E72">
        <w:rPr>
          <w:rFonts w:ascii="Times New Roman" w:eastAsia="Times New Roman" w:hAnsi="Times New Roman" w:cs="Times New Roman"/>
          <w:sz w:val="24"/>
          <w:szCs w:val="24"/>
        </w:rPr>
        <w:t>.</w:t>
      </w:r>
    </w:p>
    <w:p w14:paraId="2CB48A1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وفي الإمارات، تتشكل الحماية من خلال تكامل عدة تشريعات؛ إذ ينظم المرسوم بقانون اتحادي رقم (45) لسنة 2021 حماية البيانات الشخصية، بينما يعمل قانون المعاملات الإلكترونية وخدمات الثقة على تأمين الثقة في التعاملات، ويضيف قانون الجرائم الإلكترونية حماية جزائية ضد صور الاعتداء الإلكتروني. ويحقق هذا التعدد حماية متعددة الطبقات، لكنه يفرض في المقابل ضرورة التنسيق بين الجهات والقواعد حتى لا تتداخل المسؤوليات أو تختلف متطلبات الامتثال</w:t>
      </w:r>
      <w:r w:rsidRPr="007F4E72">
        <w:rPr>
          <w:rFonts w:ascii="Times New Roman" w:eastAsia="Times New Roman" w:hAnsi="Times New Roman" w:cs="Times New Roman"/>
          <w:sz w:val="24"/>
          <w:szCs w:val="24"/>
        </w:rPr>
        <w:t>.</w:t>
      </w:r>
    </w:p>
    <w:p w14:paraId="1DA18B5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249F4A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D2B182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5238D19" w14:textId="566DCBA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أما سنغافورة، فيقوم إطار الحماية على الفصل الوظيفي بين تنظيم البيانات الشخصية والأمن السيبراني والتعاملات الإلكترونية؛ فكل مجال يعالج جانبًا محددًا ضمن منظومة متكاملة. ويتميز هذا الأسلوب بإمكان تحديث الجانب الأمني دون إعادة صياغة كامل قانون البيانات أو المعاملات، وهو ما يتلاءم مع سرعة تغير المخاطر السيبرانية. ويظهر النهج نفسه في الاعتماد على قواعد تفصيلية وتوجيهات تشغيلية إلى جانب التشريع العام</w:t>
      </w:r>
      <w:r w:rsidRPr="007F4E72">
        <w:rPr>
          <w:rFonts w:ascii="Times New Roman" w:eastAsia="Times New Roman" w:hAnsi="Times New Roman" w:cs="Times New Roman"/>
          <w:sz w:val="24"/>
          <w:szCs w:val="24"/>
        </w:rPr>
        <w:t>.</w:t>
      </w:r>
    </w:p>
    <w:p w14:paraId="5FE8B6A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ويثير القضاء الرقمي، بصورة خاصة، مسألة </w:t>
      </w:r>
      <w:r w:rsidRPr="007F4E72">
        <w:rPr>
          <w:rFonts w:ascii="Times New Roman" w:eastAsia="Times New Roman" w:hAnsi="Times New Roman" w:cs="Times New Roman"/>
          <w:b/>
          <w:bCs/>
          <w:sz w:val="24"/>
          <w:szCs w:val="24"/>
          <w:rtl/>
        </w:rPr>
        <w:t>التحكم في صلاحيات الوصول</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فالحماية لا تتحقق بمجرد منع المخترق الخارجي من الوصول إلى الملف؛ إذ قد يكون الخطر ناتجًا عن مستخدم داخلي لديه صلاحيات أوسع مما يحتاج إليه. ولذلك ينبغي أن تمنح صلاحيات الوصول بناءً على الوظيفة والحاجة الفعلية، وأن تسجل كل عملية دخول أو تعديل أو تنزيل للمستندات، بما يسمح بالمراجعة والمساءلة</w:t>
      </w:r>
      <w:r w:rsidRPr="007F4E72">
        <w:rPr>
          <w:rFonts w:ascii="Times New Roman" w:eastAsia="Times New Roman" w:hAnsi="Times New Roman" w:cs="Times New Roman"/>
          <w:sz w:val="24"/>
          <w:szCs w:val="24"/>
        </w:rPr>
        <w:t>.</w:t>
      </w:r>
    </w:p>
    <w:p w14:paraId="7DB3CB7A"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وتؤدي </w:t>
      </w:r>
      <w:r w:rsidRPr="007F4E72">
        <w:rPr>
          <w:rFonts w:ascii="Times New Roman" w:eastAsia="Times New Roman" w:hAnsi="Times New Roman" w:cs="Times New Roman"/>
          <w:b/>
          <w:bCs/>
          <w:sz w:val="24"/>
          <w:szCs w:val="24"/>
          <w:rtl/>
        </w:rPr>
        <w:t>سجلات التدقيق</w:t>
      </w:r>
      <w:r w:rsidRPr="007F4E72">
        <w:rPr>
          <w:rFonts w:ascii="Times New Roman" w:eastAsia="Times New Roman" w:hAnsi="Times New Roman" w:cs="Times New Roman"/>
          <w:sz w:val="24"/>
          <w:szCs w:val="24"/>
          <w:rtl/>
        </w:rPr>
        <w:t xml:space="preserve"> دورًا مزدوجًا؛ فهي أداة أمنية تساعد على اكتشاف السلوك غير الطبيعي، وأداة إثبات يمكن استخدامها لمعرفة من اطلع على المستند أو عدله وفي أي وقت. وتصبح هذه السجلات مهمة بصورة خاصة إذا ادعى أحد الخصوم أن وثيقة تغيرت بعد الإيداع، أو عند التحقيق في تسريب بيانات من ملف قضائي</w:t>
      </w:r>
      <w:r w:rsidRPr="007F4E72">
        <w:rPr>
          <w:rFonts w:ascii="Times New Roman" w:eastAsia="Times New Roman" w:hAnsi="Times New Roman" w:cs="Times New Roman"/>
          <w:sz w:val="24"/>
          <w:szCs w:val="24"/>
        </w:rPr>
        <w:t>.</w:t>
      </w:r>
    </w:p>
    <w:p w14:paraId="75920AF7" w14:textId="452A7A8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يمثل </w:t>
      </w:r>
      <w:r w:rsidRPr="007F4E72">
        <w:rPr>
          <w:rFonts w:ascii="Times New Roman" w:eastAsia="Times New Roman" w:hAnsi="Times New Roman" w:cs="Times New Roman"/>
          <w:b/>
          <w:bCs/>
          <w:sz w:val="24"/>
          <w:szCs w:val="24"/>
          <w:rtl/>
        </w:rPr>
        <w:t>التشفير</w:t>
      </w:r>
      <w:r w:rsidR="00873376" w:rsidRPr="00F76FFA">
        <w:rPr>
          <w:rFonts w:ascii="Times New Roman" w:eastAsia="Times New Roman" w:hAnsi="Times New Roman" w:cs="Times New Roman" w:hint="cs"/>
          <w:b/>
          <w:bCs/>
          <w:sz w:val="24"/>
          <w:szCs w:val="24"/>
          <w:vertAlign w:val="superscript"/>
          <w:rtl/>
        </w:rPr>
        <w:t>(</w:t>
      </w:r>
      <w:r w:rsidR="00F76FFA" w:rsidRPr="00F76FFA">
        <w:rPr>
          <w:rFonts w:ascii="Times New Roman" w:eastAsia="Times New Roman" w:hAnsi="Times New Roman" w:cs="Times New Roman" w:hint="cs"/>
          <w:b/>
          <w:bCs/>
          <w:sz w:val="24"/>
          <w:szCs w:val="24"/>
          <w:vertAlign w:val="superscript"/>
          <w:rtl/>
        </w:rPr>
        <w:t>1)</w:t>
      </w:r>
      <w:r w:rsidR="00F76FFA" w:rsidRPr="00F76FFA">
        <w:rPr>
          <w:rStyle w:val="a8"/>
          <w:rFonts w:ascii="Times New Roman" w:eastAsia="Times New Roman" w:hAnsi="Times New Roman" w:cs="Times New Roman"/>
          <w:vanish/>
          <w:sz w:val="24"/>
          <w:szCs w:val="24"/>
          <w:vertAlign w:val="baseline"/>
          <w:rtl/>
        </w:rPr>
        <w:footnoteReference w:id="16"/>
      </w:r>
      <w:r w:rsidRPr="00F76FFA">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أحد عناصر الحماية الأساسية، ولا سيما عند انتقال البيانات بين جهات متعددة. ومع ذلك، فإن التشفير لا يختصر المسألة الأمنية كلها؛ إذ يجب تنظيم إدارة المفاتيح والنسخ الاحتياطية والاستعادة، لأن فقد القدرة على فك تشفير ملفات المحكمة قد يؤدي إلى تعطيل العدالة حتى في غياب أي هجوم</w:t>
      </w:r>
      <w:r w:rsidRPr="007F4E72">
        <w:rPr>
          <w:rFonts w:ascii="Times New Roman" w:eastAsia="Times New Roman" w:hAnsi="Times New Roman" w:cs="Times New Roman"/>
          <w:sz w:val="24"/>
          <w:szCs w:val="24"/>
        </w:rPr>
        <w:t>.</w:t>
      </w:r>
    </w:p>
    <w:p w14:paraId="7EBBAB79"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ويطرح الانتقال إلى </w:t>
      </w:r>
      <w:r w:rsidRPr="007F4E72">
        <w:rPr>
          <w:rFonts w:ascii="Times New Roman" w:eastAsia="Times New Roman" w:hAnsi="Times New Roman" w:cs="Times New Roman"/>
          <w:b/>
          <w:bCs/>
          <w:sz w:val="24"/>
          <w:szCs w:val="24"/>
          <w:rtl/>
        </w:rPr>
        <w:t>الحوسبة السحابية</w:t>
      </w:r>
      <w:r w:rsidRPr="007F4E72">
        <w:rPr>
          <w:rFonts w:ascii="Times New Roman" w:eastAsia="Times New Roman" w:hAnsi="Times New Roman" w:cs="Times New Roman"/>
          <w:sz w:val="24"/>
          <w:szCs w:val="24"/>
          <w:rtl/>
        </w:rPr>
        <w:t xml:space="preserve"> تحديات إضافية؛ فالخدمات السحابية يمكن أن تزيد من المرونة والاستمرارية، لكنها قد تجعل جزءًا من البنية والبيانات تحت الإدارة التقنية لمزود خارجي. ولهذا تكتسب ضوابط الأمن السيبراني للحوسبة السحابية السعودية</w:t>
      </w:r>
      <w:r w:rsidRPr="007F4E72">
        <w:rPr>
          <w:rFonts w:ascii="Times New Roman" w:eastAsia="Times New Roman" w:hAnsi="Times New Roman" w:cs="Times New Roman"/>
          <w:sz w:val="24"/>
          <w:szCs w:val="24"/>
        </w:rPr>
        <w:t xml:space="preserve"> CCC 2-2024 </w:t>
      </w:r>
      <w:r w:rsidRPr="007F4E72">
        <w:rPr>
          <w:rFonts w:ascii="Times New Roman" w:eastAsia="Times New Roman" w:hAnsi="Times New Roman" w:cs="Times New Roman"/>
          <w:sz w:val="24"/>
          <w:szCs w:val="24"/>
          <w:rtl/>
        </w:rPr>
        <w:t>أهمية؛ فهي تضع متطلبات من منظور مقدم الخدمة والمستفيد بهدف تمكين الاستخدام الآمن للسحابة والحد من المخاطر</w:t>
      </w:r>
      <w:r w:rsidRPr="007F4E72">
        <w:rPr>
          <w:rFonts w:ascii="Times New Roman" w:eastAsia="Times New Roman" w:hAnsi="Times New Roman" w:cs="Times New Roman"/>
          <w:sz w:val="24"/>
          <w:szCs w:val="24"/>
        </w:rPr>
        <w:t>.</w:t>
      </w:r>
    </w:p>
    <w:p w14:paraId="00AE4A0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ومن وجهة نظر قضائية، يجب أن تجيب الترتيبات السحابية عن أسئلة قانونية تتجاوز مستوى التشفير، مثل مكان تخزين البيانات، ومن يملك الوصول الإداري إليها، وكيف تسترد عند انتهاء العقد، وما إذا كان المزود يستطيع استخدام بيانات التشغيل لأغراض أخرى، وكيف يتم التعامل مع طلبات الجهات الأجنبية عندما توجد البيانات خارج نطاق جغرافي معين</w:t>
      </w:r>
      <w:r w:rsidRPr="007F4E72">
        <w:rPr>
          <w:rFonts w:ascii="Times New Roman" w:eastAsia="Times New Roman" w:hAnsi="Times New Roman" w:cs="Times New Roman"/>
          <w:sz w:val="24"/>
          <w:szCs w:val="24"/>
        </w:rPr>
        <w:t>.</w:t>
      </w:r>
    </w:p>
    <w:p w14:paraId="6B83AD2B" w14:textId="55AC32BC" w:rsidR="007F4E72" w:rsidRDefault="007F4E72" w:rsidP="00F76FFA">
      <w:pPr>
        <w:spacing w:before="100" w:beforeAutospacing="1" w:after="100" w:afterAutospacing="1" w:line="360" w:lineRule="auto"/>
        <w:jc w:val="left"/>
        <w:rPr>
          <w:rFonts w:ascii="Times New Roman" w:eastAsia="Times New Roman" w:hAnsi="Times New Roman" w:cs="Times New Roman"/>
          <w:sz w:val="24"/>
          <w:szCs w:val="24"/>
          <w:rtl/>
        </w:rPr>
      </w:pPr>
      <w:r w:rsidRPr="007F4E72">
        <w:rPr>
          <w:rFonts w:ascii="Times New Roman" w:eastAsia="Times New Roman" w:hAnsi="Times New Roman" w:cs="Times New Roman"/>
          <w:sz w:val="24"/>
          <w:szCs w:val="24"/>
          <w:rtl/>
        </w:rPr>
        <w:t xml:space="preserve">ويظهر كذلك مفهوم </w:t>
      </w:r>
      <w:r w:rsidRPr="007F4E72">
        <w:rPr>
          <w:rFonts w:ascii="Times New Roman" w:eastAsia="Times New Roman" w:hAnsi="Times New Roman" w:cs="Times New Roman"/>
          <w:b/>
          <w:bCs/>
          <w:sz w:val="24"/>
          <w:szCs w:val="24"/>
          <w:rtl/>
        </w:rPr>
        <w:t>استمرارية الأعمال</w:t>
      </w:r>
      <w:r w:rsidRPr="007F4E72">
        <w:rPr>
          <w:rFonts w:ascii="Times New Roman" w:eastAsia="Times New Roman" w:hAnsi="Times New Roman" w:cs="Times New Roman"/>
          <w:sz w:val="24"/>
          <w:szCs w:val="24"/>
          <w:rtl/>
        </w:rPr>
        <w:t xml:space="preserve"> بوصفه حلقة التقاء الأمن بالتقاضي. فالهجوم الإلكتروني أو العطل التقني قد لا يؤدي إلى تسريب أي بيانات، لكنه قد يمنع المتقاضي من رفع دعواه أو تقديم طعنه. وتثبت تجربة توقف</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السنغافورية في 2025 أن استمرارية المنصة لها أثر إجرائي حقيقي، وأن التنظيم يحتاج إلى حلول قانونية وليس تقنية فقط عند التعطل</w:t>
      </w:r>
      <w:r w:rsidR="00F76FFA">
        <w:rPr>
          <w:rFonts w:ascii="Times New Roman" w:eastAsia="Times New Roman" w:hAnsi="Times New Roman" w:cs="Times New Roman"/>
          <w:sz w:val="24"/>
          <w:szCs w:val="24"/>
        </w:rPr>
        <w:t>.</w:t>
      </w:r>
    </w:p>
    <w:p w14:paraId="43CFAA09" w14:textId="453709E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ومن هنا ينبغي أن تتضمن خطط الأمن القضائي سيناريوهات لاستمرار العمل، مثل قنوات إيداع بديلة، وتوثيق وقت الأعطال، وإمكان استعادة المستندات، وأحكام لمعالجة المواعيد. ويجب أن تكون هذه الخطط معروفة للقضاة والموظفين والمتقاضين، لأن خطة الطوارئ التي لا يعرف المستخدم كيف يستفيد منها لا تحقق الحماية القانونية المطلوبة</w:t>
      </w:r>
      <w:r w:rsidRPr="007F4E72">
        <w:rPr>
          <w:rFonts w:ascii="Times New Roman" w:eastAsia="Times New Roman" w:hAnsi="Times New Roman" w:cs="Times New Roman"/>
          <w:sz w:val="24"/>
          <w:szCs w:val="24"/>
        </w:rPr>
        <w:t>.</w:t>
      </w:r>
    </w:p>
    <w:p w14:paraId="10BAF6A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تتطلب حماية البيانات القضائية معالجة مسألة </w:t>
      </w:r>
      <w:r w:rsidRPr="007F4E72">
        <w:rPr>
          <w:rFonts w:ascii="Times New Roman" w:eastAsia="Times New Roman" w:hAnsi="Times New Roman" w:cs="Times New Roman"/>
          <w:b/>
          <w:bCs/>
          <w:sz w:val="24"/>
          <w:szCs w:val="24"/>
          <w:rtl/>
        </w:rPr>
        <w:t>مدة الاحتفاظ</w:t>
      </w:r>
      <w:r w:rsidRPr="007F4E72">
        <w:rPr>
          <w:rFonts w:ascii="Times New Roman" w:eastAsia="Times New Roman" w:hAnsi="Times New Roman" w:cs="Times New Roman"/>
          <w:sz w:val="24"/>
          <w:szCs w:val="24"/>
          <w:rtl/>
        </w:rPr>
        <w:t>؛ فالحفاظ على البيانات إلى الأبد ليس دائمًا أكثر أمانًا. فكلما طالت مدة التخزين ارتفع حجم البيانات المعرضة للاختراق. وفي الوقت نفسه، لا يمكن إتلاف ملفات قضائية قد تكون ضرورية للطعن أو التنفيذ أو الأرشفة القانونية. ولذلك يجب أن يحدد الاحتفاظ وفق نوع القضية والغرض النظامي والحاجة المستقبلية، مع إمكان إخفاء الهوية أو تقليل البيانات في الاستخدامات الإحصائية والبحثية</w:t>
      </w:r>
      <w:r w:rsidRPr="007F4E72">
        <w:rPr>
          <w:rFonts w:ascii="Times New Roman" w:eastAsia="Times New Roman" w:hAnsi="Times New Roman" w:cs="Times New Roman"/>
          <w:sz w:val="24"/>
          <w:szCs w:val="24"/>
        </w:rPr>
        <w:t>.</w:t>
      </w:r>
    </w:p>
    <w:p w14:paraId="6F966220"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ويبرز تحدٍ إضافي عند نشر الأحكام القضائية؛ فمبدأ علانية القضاء قد يبرر نشر القرارات، بينما تفرض حماية الخصوصية عدم كشف معلومات لا ضرورة لها لفهم الحكم. ومن ثم، يجب الموازنة بين الشفافية القضائية وحماية البيانات من خلال إخفاء أو استبدال بعض المعرفات عندما لا تكون هوية الشخص عنصرًا لازمًا في النشر</w:t>
      </w:r>
      <w:r w:rsidRPr="007F4E72">
        <w:rPr>
          <w:rFonts w:ascii="Times New Roman" w:eastAsia="Times New Roman" w:hAnsi="Times New Roman" w:cs="Times New Roman"/>
          <w:sz w:val="24"/>
          <w:szCs w:val="24"/>
        </w:rPr>
        <w:t>.</w:t>
      </w:r>
    </w:p>
    <w:p w14:paraId="773F5B8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وتكشف المقارنة أن قوة النموذج السعودي في هذا الجانب تتمثل في وجود منظومة وطنية تفصيلية للضوابط السيبرانية، بينما يوفر النموذج الإماراتي تكاملًا لافتًا بين البيانات والثقة الرقمية والحماية الجنائية، في حين تستفيد سنغافورة من الفصل الوظيفي والتحديث المستمر لكل مجال بحسب تطوره. ولا يوجد تعارض بين هذه المناهج؛ بل يمكن الجمع بين عناصرها في بناء نموذج قضائي أكثر تخصصًا</w:t>
      </w:r>
      <w:r w:rsidRPr="007F4E72">
        <w:rPr>
          <w:rFonts w:ascii="Times New Roman" w:eastAsia="Times New Roman" w:hAnsi="Times New Roman" w:cs="Times New Roman"/>
          <w:sz w:val="24"/>
          <w:szCs w:val="24"/>
        </w:rPr>
        <w:t>.</w:t>
      </w:r>
    </w:p>
    <w:p w14:paraId="54A879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وترى الباحثة أن القواعد العامة لحماية البيانات والأمن السيبراني في المملكة توفر أساسًا قويًا، إلا أن الطبيعة الخاصة للمرفق القضائي تبرر وضع </w:t>
      </w:r>
      <w:r w:rsidRPr="007F4E72">
        <w:rPr>
          <w:rFonts w:ascii="Times New Roman" w:eastAsia="Times New Roman" w:hAnsi="Times New Roman" w:cs="Times New Roman"/>
          <w:b/>
          <w:bCs/>
          <w:sz w:val="24"/>
          <w:szCs w:val="24"/>
          <w:rtl/>
        </w:rPr>
        <w:t>إطار خاص لحوكمة وأمن البيانات القضائية</w:t>
      </w:r>
      <w:r w:rsidRPr="007F4E72">
        <w:rPr>
          <w:rFonts w:ascii="Times New Roman" w:eastAsia="Times New Roman" w:hAnsi="Times New Roman" w:cs="Times New Roman"/>
          <w:sz w:val="24"/>
          <w:szCs w:val="24"/>
          <w:rtl/>
        </w:rPr>
        <w:t xml:space="preserve"> يستند إلى الضوابط الوطنية ولكنه يترجمها إلى متطلبات عدلية دقيقة. وينبغي أن يشمل هذا الإطار تصنيف الملفات والبيانات، وصلاحيات الوصول، وسجلات التدقيق، والتشفير، ومدد الاحتفاظ، وحماية النسخ الاحتياطية، وضوابط استخدام الخدمات السحابية، وإدارة المتعهدين، والاستجابة للحوادث، وخطط استمرارية التقاضي عند تعطل الأنظمة. كما ينبغي أن ينظم العلاقة بين الحادث السيبراني والأثر الإجرائي الناتج عنه، بحيث لا يفقد المتقاضي حقًا بسبب عطل أو هجوم لا يد له فيه</w:t>
      </w:r>
      <w:r w:rsidRPr="007F4E72">
        <w:rPr>
          <w:rFonts w:ascii="Times New Roman" w:eastAsia="Times New Roman" w:hAnsi="Times New Roman" w:cs="Times New Roman"/>
          <w:sz w:val="24"/>
          <w:szCs w:val="24"/>
        </w:rPr>
        <w:t>.</w:t>
      </w:r>
    </w:p>
    <w:p w14:paraId="5E4C191F" w14:textId="1F757495"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w:t>
      </w:r>
      <w:r>
        <w:rPr>
          <w:rFonts w:ascii="Times New Roman" w:eastAsia="Times New Roman" w:hAnsi="Times New Roman" w:cs="Times New Roman" w:hint="cs"/>
          <w:sz w:val="24"/>
          <w:szCs w:val="24"/>
          <w:rtl/>
        </w:rPr>
        <w:t>يلخ</w:t>
      </w:r>
      <w:r w:rsidRPr="007F4E72">
        <w:rPr>
          <w:rFonts w:ascii="Times New Roman" w:eastAsia="Times New Roman" w:hAnsi="Times New Roman" w:cs="Times New Roman"/>
          <w:sz w:val="24"/>
          <w:szCs w:val="24"/>
          <w:rtl/>
        </w:rPr>
        <w:t>ص هذا المطلب إلى أن حماية القضاء الرقمي لا تتحقق بتطبيق برامج أمنية متطورة فقط، وإنما بإدماج الأمن والخصوصية في البناء القانوني للعملية القضائية منذ تصميم النظام. فالمعيار الحقيقي لنجاح التحول ليس أن تكون الدعوى قابلة للرفع إلكترونيًا فحسب، وإنما أن يثق المتقاضي بأن هويته وبياناته ومستنداته محفوظة، وأن الإجراءات يمكن تتبعها وإثباتها، وأن المرفق يستطيع الاستمرار في أداء وظيفته حتى عند حدوث خلل تقني أو هجوم سيبراني</w:t>
      </w:r>
      <w:r w:rsidRPr="007F4E72">
        <w:rPr>
          <w:rFonts w:ascii="Times New Roman" w:eastAsia="Times New Roman" w:hAnsi="Times New Roman" w:cs="Times New Roman"/>
          <w:sz w:val="24"/>
          <w:szCs w:val="24"/>
        </w:rPr>
        <w:t>.</w:t>
      </w:r>
    </w:p>
    <w:p w14:paraId="3A5166BD" w14:textId="77777777" w:rsidR="007F4E72" w:rsidRDefault="007F4E72" w:rsidP="007F4E72">
      <w:pPr>
        <w:spacing w:before="100" w:beforeAutospacing="1" w:after="100" w:afterAutospacing="1" w:line="360" w:lineRule="auto"/>
        <w:rPr>
          <w:rFonts w:ascii="Times New Roman" w:eastAsia="Times New Roman" w:hAnsi="Times New Roman" w:cs="Times New Roman"/>
          <w:sz w:val="24"/>
          <w:szCs w:val="24"/>
        </w:rPr>
      </w:pPr>
    </w:p>
    <w:p w14:paraId="113E98E6"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812FE4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تكشف دراسة المرتكزات التشريعية والتنظيمية للتحول الرقمي أن بناء القضاء الرقمي لا يتم من خلال إجراء تشريعي منفرد، بل يقوم على سلسلة مترابطة من القواعد والضمانات. فالاعتراف القانوني بالتعامل الإلكتروني يزيل الحاجز المرتبط بالشكل، وتنظيم الإجراءات القضائية يحول هذا الاعتراف إلى خصومة رقمية قابلة للتطبيق، وقواعد الإثبات تمنح البيانات الناتجة عنها قيمة قضائية، ثم تأتي الحوكمة المؤسسية لتوزع المسؤوليات، وخدمات الثقة والهوية لضمان نسبة الإجراء إلى صاحبه، وحماية البيانات والأمن السيبراني للمحافظة على سلامة المنظومة واستمراريتها</w:t>
      </w:r>
      <w:r w:rsidRPr="007F4E72">
        <w:rPr>
          <w:rFonts w:ascii="Times New Roman" w:eastAsia="Times New Roman" w:hAnsi="Times New Roman" w:cs="Times New Roman"/>
          <w:sz w:val="24"/>
          <w:szCs w:val="24"/>
        </w:rPr>
        <w:t>.</w:t>
      </w:r>
    </w:p>
    <w:p w14:paraId="4BB2519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وتبين المقارنة أن المملكة العربية السعودية والإمارات العربية المتحدة وسنغافورة تتفق في جوهر هذه المرتكزات، إلا أنها تختلف في فلسفة البناء. فالمملكة تعتمد على منظومة متعددة الأنظمة والجهات التنظيمية، وتتميز بصورة خاصة بوجود إطار وطني متطور للأمن السيبراني وتنظيم حديث للدليل الرقمي. والإمارات تتجه إلى قدر كبير من التكامل بين التشريعات الحديثة للإجراءات والإثبات وخدمات الثقة وحماية البيانات. أما سنغافورة فتجمع بين الحياد التقني وبين دمج التقاضي الإلكتروني في</w:t>
      </w:r>
      <w:r w:rsidRPr="007F4E72">
        <w:rPr>
          <w:rFonts w:ascii="Times New Roman" w:eastAsia="Times New Roman" w:hAnsi="Times New Roman" w:cs="Times New Roman"/>
          <w:sz w:val="24"/>
          <w:szCs w:val="24"/>
        </w:rPr>
        <w:t xml:space="preserve"> Rules of Court </w:t>
      </w:r>
      <w:r w:rsidRPr="007F4E72">
        <w:rPr>
          <w:rFonts w:ascii="Times New Roman" w:eastAsia="Times New Roman" w:hAnsi="Times New Roman" w:cs="Times New Roman"/>
          <w:sz w:val="24"/>
          <w:szCs w:val="24"/>
          <w:rtl/>
        </w:rPr>
        <w:t>ومنظومة</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واستخدام قرائن قانونية متخصصة للسجلات الإلكترونية</w:t>
      </w:r>
      <w:r w:rsidRPr="007F4E72">
        <w:rPr>
          <w:rFonts w:ascii="Times New Roman" w:eastAsia="Times New Roman" w:hAnsi="Times New Roman" w:cs="Times New Roman"/>
          <w:sz w:val="24"/>
          <w:szCs w:val="24"/>
        </w:rPr>
        <w:t>.</w:t>
      </w:r>
    </w:p>
    <w:p w14:paraId="12F21A7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ولا تعني المقارنة أن أحد النماذج يصلح للنقل الكامل إلى الآخر، وإنما تكشف عن حلول يمكن الإفادة منها. فالتجربة الإماراتية تبين أهمية الانتقال من مفهوم التصديق المحدود إلى منظومة خدمات ثقة متعددة الوظائف، وتوضح التجربة السنغافورية قيمة تنظيم تاريخ الإيداع والخدمة والمستخدمين والأعطال داخل الإطار الإجرائي، بينما يبرز النموذج السعودي في البناء الوطني المنظم للأمن السيبراني وقواعد الدليل الرقمي</w:t>
      </w:r>
      <w:r w:rsidRPr="007F4E72">
        <w:rPr>
          <w:rFonts w:ascii="Times New Roman" w:eastAsia="Times New Roman" w:hAnsi="Times New Roman" w:cs="Times New Roman"/>
          <w:sz w:val="24"/>
          <w:szCs w:val="24"/>
        </w:rPr>
        <w:t>.</w:t>
      </w:r>
    </w:p>
    <w:p w14:paraId="6CED97E0"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وترى الباحثة أن المرحلة التالية لتطوير القضاء الرقمي السعودي ينبغي أن تتمحور حول </w:t>
      </w:r>
      <w:r w:rsidRPr="007F4E72">
        <w:rPr>
          <w:rFonts w:ascii="Times New Roman" w:eastAsia="Times New Roman" w:hAnsi="Times New Roman" w:cs="Times New Roman"/>
          <w:b/>
          <w:bCs/>
          <w:sz w:val="24"/>
          <w:szCs w:val="24"/>
          <w:rtl/>
        </w:rPr>
        <w:t>تعزيز الترابط بين المرتكزات القائمة أكثر من البحث عن تشريعات منفصلة جديدة</w:t>
      </w:r>
      <w:r w:rsidRPr="007F4E72">
        <w:rPr>
          <w:rFonts w:ascii="Times New Roman" w:eastAsia="Times New Roman" w:hAnsi="Times New Roman" w:cs="Times New Roman"/>
          <w:sz w:val="24"/>
          <w:szCs w:val="24"/>
          <w:rtl/>
        </w:rPr>
        <w:t>؛ وذلك بتطوير خدمات الثقة القضائية، وإدراج قواعد أوضح للتعامل مع الأعطال والمنصات، ووضع قرائن متدرجة للأدلة الرقمية، وإنشاء إطار خاص لحوكمة البيانات القضائية، مع ضمان ألا تؤدي الإدارة التقنية للعدالة إلى المساس باستقلال القضاء أو ضمانات المحاكمة العادلة</w:t>
      </w:r>
      <w:r w:rsidRPr="007F4E72">
        <w:rPr>
          <w:rFonts w:ascii="Times New Roman" w:eastAsia="Times New Roman" w:hAnsi="Times New Roman" w:cs="Times New Roman"/>
          <w:sz w:val="24"/>
          <w:szCs w:val="24"/>
        </w:rPr>
        <w:t>.</w:t>
      </w:r>
    </w:p>
    <w:p w14:paraId="71E84E0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وبذلك فإن نضج القضاء الرقمي يمكن قياسه بثلاثة معايير مترابطة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b/>
          <w:bCs/>
          <w:sz w:val="24"/>
          <w:szCs w:val="24"/>
          <w:rtl/>
        </w:rPr>
        <w:t>مشروعية الإجراء، وموثوقيته، واستدامته</w:t>
      </w:r>
      <w:r w:rsidRPr="007F4E72">
        <w:rPr>
          <w:rFonts w:ascii="Times New Roman" w:eastAsia="Times New Roman" w:hAnsi="Times New Roman" w:cs="Times New Roman"/>
          <w:sz w:val="24"/>
          <w:szCs w:val="24"/>
          <w:rtl/>
        </w:rPr>
        <w:t>؛ فالتشريع يحقق المشروعية، والهوية وخدمات الثقة والإثبات تحقق الموثوقية، والحوكمة والأمن السيبراني واستمرارية الأعمال تحقق الاستدامة. وكل خلل في أحد هذه المستويات ينعكس بالضرورة على المستويين الآخرين، وهو ما يؤكد ضرورة النظر إلى التحول الرقمي القضائي بوصفه منظومة قانونية ومؤسسية متكاملة وليس مجرد مشروع تقني</w:t>
      </w:r>
      <w:r w:rsidRPr="007F4E72">
        <w:rPr>
          <w:rFonts w:ascii="Times New Roman" w:eastAsia="Times New Roman" w:hAnsi="Times New Roman" w:cs="Times New Roman"/>
          <w:sz w:val="24"/>
          <w:szCs w:val="24"/>
        </w:rPr>
        <w:t>.</w:t>
      </w:r>
    </w:p>
    <w:p w14:paraId="5AD84F45" w14:textId="77777777" w:rsidR="007F4E72" w:rsidRDefault="007F4E72" w:rsidP="007F4E72">
      <w:pPr>
        <w:spacing w:before="100" w:beforeAutospacing="1" w:after="100" w:afterAutospacing="1" w:line="360" w:lineRule="auto"/>
        <w:rPr>
          <w:rFonts w:ascii="Times New Roman" w:eastAsia="Times New Roman" w:hAnsi="Times New Roman" w:cs="Times New Roman"/>
          <w:sz w:val="24"/>
          <w:szCs w:val="24"/>
        </w:rPr>
      </w:pPr>
    </w:p>
    <w:p w14:paraId="5B386934"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DB665DD" w14:textId="3765E614"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Pr>
        <w:t>.</w:t>
      </w:r>
    </w:p>
    <w:p w14:paraId="196EA7C7"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وقد خصص نظام الإثبات السعودي الصادر سنة 1443هـ أحكامًا للدليل الرقمي، وهو ما نقل هذا النوع من الأدلة إلى نطاق التنظيم التشريعي المباشر. كما أفرد قانون الإثبات الإماراتي الصادر بالمرسوم بقانون اتحادي رقم (35) لسنة 2022 قواعد للدليل الإلكتروني، بل ونظم تنفيذ بعض إجراءات الإثبات باستخدام تقنيات الاتصال عن بعد</w:t>
      </w:r>
      <w:r w:rsidRPr="00D138ED">
        <w:rPr>
          <w:rFonts w:ascii="Times New Roman" w:eastAsia="Times New Roman" w:hAnsi="Times New Roman" w:cs="Times New Roman"/>
          <w:sz w:val="24"/>
          <w:szCs w:val="24"/>
        </w:rPr>
        <w:t>.</w:t>
      </w:r>
    </w:p>
    <w:p w14:paraId="452744A0"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أما سنغافورة، فقد سلكت منهجًا مختلفًا؛ إذ لا تقوم حجية السجلات الرقمية على قانون منفصل للدليل الرقمي، بل على التكامل بين قانون المعاملات الإلكترونية وقانون الإثبات. وتقرر المادة</w:t>
      </w:r>
      <w:r w:rsidRPr="00D138ED">
        <w:rPr>
          <w:rFonts w:ascii="Times New Roman" w:eastAsia="Times New Roman" w:hAnsi="Times New Roman" w:cs="Times New Roman"/>
          <w:sz w:val="24"/>
          <w:szCs w:val="24"/>
        </w:rPr>
        <w:t xml:space="preserve"> (116A) </w:t>
      </w:r>
      <w:r w:rsidRPr="00D138ED">
        <w:rPr>
          <w:rFonts w:ascii="Times New Roman" w:eastAsia="Times New Roman" w:hAnsi="Times New Roman" w:cs="Times New Roman"/>
          <w:sz w:val="24"/>
          <w:szCs w:val="24"/>
          <w:rtl/>
        </w:rPr>
        <w:t>من قانون الإثبات قرائن بشأن أصالة بعض السجلات الإلكترونية، ومنها السجلات التي أنشئت أو حفظت في السياق المعتاد للعمل بواسطة طرف مستقل عن النزاع، مع إمكان إثبات العكس</w:t>
      </w:r>
      <w:r w:rsidRPr="00D138ED">
        <w:rPr>
          <w:rFonts w:ascii="Times New Roman" w:eastAsia="Times New Roman" w:hAnsi="Times New Roman" w:cs="Times New Roman"/>
          <w:sz w:val="24"/>
          <w:szCs w:val="24"/>
        </w:rPr>
        <w:t>.</w:t>
      </w:r>
    </w:p>
    <w:p w14:paraId="0E8084F8"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 xml:space="preserve">ويظهر هنا أحد أهم أوجه المقارنة النقدية: السعودية والإمارات تتجهان إلى </w:t>
      </w:r>
      <w:r w:rsidRPr="00D138ED">
        <w:rPr>
          <w:rFonts w:ascii="Times New Roman" w:eastAsia="Times New Roman" w:hAnsi="Times New Roman" w:cs="Times New Roman"/>
          <w:b/>
          <w:bCs/>
          <w:sz w:val="24"/>
          <w:szCs w:val="24"/>
          <w:rtl/>
        </w:rPr>
        <w:t>التنظيم الصريح والمباشر للدليل الرقمي</w:t>
      </w:r>
      <w:r w:rsidRPr="00D138ED">
        <w:rPr>
          <w:rFonts w:ascii="Times New Roman" w:eastAsia="Times New Roman" w:hAnsi="Times New Roman" w:cs="Times New Roman"/>
          <w:sz w:val="24"/>
          <w:szCs w:val="24"/>
          <w:rtl/>
        </w:rPr>
        <w:t xml:space="preserve"> داخل تشريعات الإثبات الحديثة، بما يحقق وضوحًا للقاضي والمتقاضي، بينما يميل النظام السنغافوري إلى </w:t>
      </w:r>
      <w:r w:rsidRPr="00D138ED">
        <w:rPr>
          <w:rFonts w:ascii="Times New Roman" w:eastAsia="Times New Roman" w:hAnsi="Times New Roman" w:cs="Times New Roman"/>
          <w:b/>
          <w:bCs/>
          <w:sz w:val="24"/>
          <w:szCs w:val="24"/>
          <w:rtl/>
        </w:rPr>
        <w:t>إدماج السجل الإلكتروني في النظرية العامة للإثبات مع استخدام القرائن القانونية</w:t>
      </w:r>
      <w:r w:rsidRPr="00D138ED">
        <w:rPr>
          <w:rFonts w:ascii="Times New Roman" w:eastAsia="Times New Roman" w:hAnsi="Times New Roman" w:cs="Times New Roman"/>
          <w:sz w:val="24"/>
          <w:szCs w:val="24"/>
        </w:rPr>
        <w:t xml:space="preserve">. </w:t>
      </w:r>
      <w:r w:rsidRPr="00D138ED">
        <w:rPr>
          <w:rFonts w:ascii="Times New Roman" w:eastAsia="Times New Roman" w:hAnsi="Times New Roman" w:cs="Times New Roman"/>
          <w:sz w:val="24"/>
          <w:szCs w:val="24"/>
          <w:rtl/>
        </w:rPr>
        <w:t>ويمكن أن تستفيد المملكة من النهج السنغافوري في تطوير قرائن أكثر تفصيلًا تتصل بسلامة النظام الذي أنشأ الدليل وسياق حفظه، مع المحافظة على وضوح التنظيم الحالي للدليل الرقمي</w:t>
      </w:r>
      <w:r w:rsidRPr="00D138ED">
        <w:rPr>
          <w:rFonts w:ascii="Times New Roman" w:eastAsia="Times New Roman" w:hAnsi="Times New Roman" w:cs="Times New Roman"/>
          <w:sz w:val="24"/>
          <w:szCs w:val="24"/>
        </w:rPr>
        <w:t>.</w:t>
      </w:r>
    </w:p>
    <w:p w14:paraId="306DDC6C" w14:textId="2D0D9820" w:rsidR="003122E7" w:rsidRPr="00D138ED" w:rsidRDefault="003122E7" w:rsidP="00D138ED">
      <w:pPr>
        <w:spacing w:line="360" w:lineRule="auto"/>
        <w:jc w:val="both"/>
        <w:rPr>
          <w:rFonts w:ascii="Times New Roman" w:hAnsi="Times New Roman" w:cs="Times New Roman"/>
          <w:color w:val="333333"/>
          <w:sz w:val="24"/>
          <w:szCs w:val="24"/>
          <w:shd w:val="clear" w:color="auto" w:fill="F9F9F3"/>
          <w:rtl/>
        </w:rPr>
      </w:pPr>
    </w:p>
    <w:p w14:paraId="7D91D153" w14:textId="77777777" w:rsidR="003122E7" w:rsidRDefault="003122E7" w:rsidP="003122E7">
      <w:pPr>
        <w:bidi w:val="0"/>
        <w:spacing w:line="360" w:lineRule="auto"/>
        <w:jc w:val="left"/>
        <w:rPr>
          <w:rFonts w:ascii="Times New Roman" w:hAnsi="Times New Roman" w:cs="Times New Roman"/>
          <w:color w:val="333333"/>
          <w:sz w:val="21"/>
          <w:szCs w:val="21"/>
          <w:shd w:val="clear" w:color="auto" w:fill="F9F9F3"/>
          <w:rtl/>
        </w:rPr>
      </w:pPr>
      <w:r>
        <w:rPr>
          <w:rFonts w:ascii="Times New Roman" w:hAnsi="Times New Roman" w:cs="Times New Roman"/>
          <w:color w:val="333333"/>
          <w:sz w:val="21"/>
          <w:szCs w:val="21"/>
          <w:shd w:val="clear" w:color="auto" w:fill="F9F9F3"/>
          <w:rtl/>
        </w:rPr>
        <w:br w:type="page"/>
      </w:r>
    </w:p>
    <w:p w14:paraId="6100CCC5" w14:textId="5D33CD23"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الفصل الثاني </w:t>
      </w:r>
    </w:p>
    <w:p w14:paraId="2927C06D" w14:textId="2711170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المشاكل والتحديات </w:t>
      </w:r>
      <w:r>
        <w:rPr>
          <w:rFonts w:ascii="Times New Roman" w:eastAsia="Times New Roman" w:hAnsi="Times New Roman" w:cs="Times New Roman" w:hint="cs"/>
          <w:b/>
          <w:bCs/>
          <w:sz w:val="32"/>
          <w:szCs w:val="32"/>
          <w:rtl/>
        </w:rPr>
        <w:t>في تنظيم ال</w:t>
      </w:r>
      <w:r w:rsidRPr="003B3BAB">
        <w:rPr>
          <w:rFonts w:ascii="Times New Roman" w:eastAsia="Times New Roman" w:hAnsi="Times New Roman" w:cs="Times New Roman" w:hint="cs"/>
          <w:b/>
          <w:bCs/>
          <w:sz w:val="32"/>
          <w:szCs w:val="32"/>
          <w:rtl/>
        </w:rPr>
        <w:t xml:space="preserve">تحول الرقمي </w:t>
      </w:r>
    </w:p>
    <w:p w14:paraId="1E7417B7" w14:textId="77777777" w:rsidR="003B3BAB" w:rsidRPr="007E40EF" w:rsidRDefault="003B3BAB"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7E40EF">
        <w:rPr>
          <w:rFonts w:ascii="Times New Roman" w:eastAsia="Times New Roman" w:hAnsi="Times New Roman" w:cs="Times New Roman"/>
          <w:b/>
          <w:bCs/>
          <w:kern w:val="36"/>
          <w:sz w:val="28"/>
          <w:szCs w:val="28"/>
          <w:rtl/>
        </w:rPr>
        <w:t>الإطار العام للمشكلات والتحديات</w:t>
      </w:r>
    </w:p>
    <w:p w14:paraId="66BE7E1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sz w:val="24"/>
          <w:szCs w:val="24"/>
        </w:rPr>
        <w:t>:</w:t>
      </w:r>
    </w:p>
    <w:p w14:paraId="6984D31F" w14:textId="087032AC"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البعد القانوني</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sz w:val="24"/>
          <w:szCs w:val="24"/>
          <w:rtl/>
        </w:rPr>
        <w:t xml:space="preserve">البعد </w:t>
      </w:r>
      <w:r w:rsidR="007E40EF" w:rsidRPr="00367CDE">
        <w:rPr>
          <w:rFonts w:ascii="Times New Roman" w:eastAsia="Times New Roman" w:hAnsi="Times New Roman" w:cs="Times New Roman" w:hint="cs"/>
          <w:sz w:val="24"/>
          <w:szCs w:val="24"/>
          <w:rtl/>
        </w:rPr>
        <w:t>التقني، البعد</w:t>
      </w:r>
      <w:r w:rsidR="007E40EF" w:rsidRPr="00367CDE">
        <w:rPr>
          <w:rFonts w:ascii="Times New Roman" w:eastAsia="Times New Roman" w:hAnsi="Times New Roman" w:cs="Times New Roman"/>
          <w:sz w:val="24"/>
          <w:szCs w:val="24"/>
          <w:rtl/>
        </w:rPr>
        <w:t xml:space="preserve"> المؤسسي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البعد </w:t>
      </w:r>
      <w:r w:rsidR="007E40EF" w:rsidRPr="00367CDE">
        <w:rPr>
          <w:rFonts w:ascii="Times New Roman" w:eastAsia="Times New Roman" w:hAnsi="Times New Roman" w:cs="Times New Roman" w:hint="cs"/>
          <w:sz w:val="24"/>
          <w:szCs w:val="24"/>
          <w:rtl/>
        </w:rPr>
        <w:t>الأمني.</w:t>
      </w:r>
    </w:p>
    <w:p w14:paraId="064CAFE5" w14:textId="6AAFD275" w:rsidR="003B3BAB" w:rsidRPr="003B3BAB" w:rsidRDefault="003B3BAB" w:rsidP="00B02F67">
      <w:pPr>
        <w:spacing w:before="100" w:beforeAutospacing="1" w:after="100" w:afterAutospacing="1" w:line="360" w:lineRule="auto"/>
        <w:jc w:val="left"/>
        <w:rPr>
          <w:rFonts w:ascii="Times New Roman" w:eastAsia="Times New Roman" w:hAnsi="Times New Roman" w:cs="Times New Roman"/>
          <w:sz w:val="28"/>
          <w:szCs w:val="28"/>
        </w:rPr>
      </w:pPr>
      <w:r w:rsidRPr="00B02F67">
        <w:rPr>
          <w:rFonts w:ascii="Times New Roman" w:eastAsia="Times New Roman" w:hAnsi="Times New Roman" w:cs="Times New Roman"/>
          <w:sz w:val="24"/>
          <w:szCs w:val="24"/>
          <w:rtl/>
        </w:rPr>
        <w:t xml:space="preserve">وقد أكدت الدراسات أن التحول الرقمي لم يعد خيارًا بل ضرورة استراتيجية لإعادة تشكيل الخدمات </w:t>
      </w:r>
      <w:r w:rsidR="007E40EF" w:rsidRPr="00B02F67">
        <w:rPr>
          <w:rFonts w:ascii="Times New Roman" w:eastAsia="Times New Roman" w:hAnsi="Times New Roman" w:cs="Times New Roman" w:hint="cs"/>
          <w:sz w:val="24"/>
          <w:szCs w:val="24"/>
          <w:rtl/>
        </w:rPr>
        <w:t>الحكومية</w:t>
      </w:r>
      <w:r w:rsidR="007E40EF" w:rsidRPr="003B3BAB">
        <w:rPr>
          <w:rFonts w:ascii="Times New Roman" w:eastAsia="Times New Roman" w:hAnsi="Times New Roman" w:cs="Times New Roman" w:hint="cs"/>
          <w:sz w:val="28"/>
          <w:szCs w:val="28"/>
          <w:vertAlign w:val="superscript"/>
          <w:rtl/>
        </w:rPr>
        <w:t xml:space="preserve"> </w:t>
      </w:r>
      <w:r w:rsidR="007E40EF" w:rsidRPr="003B3BAB">
        <w:rPr>
          <w:rFonts w:ascii="Times New Roman" w:eastAsia="Times New Roman" w:hAnsi="Times New Roman" w:cs="Times New Roman"/>
          <w:sz w:val="28"/>
          <w:szCs w:val="28"/>
          <w:vertAlign w:val="superscript"/>
          <w:rtl/>
        </w:rPr>
        <w:t>(</w:t>
      </w:r>
      <w:r w:rsidRPr="003B3BAB">
        <w:rPr>
          <w:rFonts w:ascii="Times New Roman" w:eastAsia="Times New Roman" w:hAnsi="Times New Roman" w:cs="Times New Roman" w:hint="cs"/>
          <w:sz w:val="28"/>
          <w:szCs w:val="28"/>
          <w:vertAlign w:val="superscript"/>
          <w:rtl/>
        </w:rPr>
        <w:t>1)</w:t>
      </w:r>
    </w:p>
    <w:p w14:paraId="459D4228" w14:textId="0ADA3DB8" w:rsidR="003B3BAB" w:rsidRPr="003B3BAB" w:rsidRDefault="007E40EF"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أولاً:</w:t>
      </w:r>
      <w:r w:rsidRPr="003B3BAB">
        <w:rPr>
          <w:rFonts w:ascii="Times New Roman" w:eastAsia="Times New Roman" w:hAnsi="Times New Roman" w:cs="Times New Roman" w:hint="cs"/>
          <w:b/>
          <w:bCs/>
          <w:kern w:val="36"/>
          <w:sz w:val="28"/>
          <w:szCs w:val="28"/>
          <w:rtl/>
        </w:rPr>
        <w:t xml:space="preserve"> التحديا</w:t>
      </w:r>
      <w:r w:rsidRPr="003B3BAB">
        <w:rPr>
          <w:rFonts w:ascii="Times New Roman" w:eastAsia="Times New Roman" w:hAnsi="Times New Roman" w:cs="Times New Roman" w:hint="eastAsia"/>
          <w:b/>
          <w:bCs/>
          <w:kern w:val="36"/>
          <w:sz w:val="28"/>
          <w:szCs w:val="28"/>
          <w:rtl/>
        </w:rPr>
        <w:t>ت</w:t>
      </w:r>
      <w:r w:rsidR="003B3BAB" w:rsidRPr="003B3BAB">
        <w:rPr>
          <w:rFonts w:ascii="Times New Roman" w:eastAsia="Times New Roman" w:hAnsi="Times New Roman" w:cs="Times New Roman"/>
          <w:b/>
          <w:bCs/>
          <w:kern w:val="36"/>
          <w:sz w:val="28"/>
          <w:szCs w:val="28"/>
          <w:rtl/>
        </w:rPr>
        <w:t xml:space="preserve"> القانونية</w:t>
      </w:r>
    </w:p>
    <w:p w14:paraId="3CFFC269" w14:textId="4F5CCBE5"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عدم مواكبة التشريعات للتطور التقني</w:t>
      </w:r>
    </w:p>
    <w:p w14:paraId="6DF2DC93" w14:textId="01DF5B13"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يُعد عدم مواكبة التشريعات </w:t>
      </w:r>
      <w:r w:rsidR="00E160B3" w:rsidRPr="00E160B3">
        <w:rPr>
          <w:rFonts w:ascii="Times New Roman" w:eastAsia="Times New Roman" w:hAnsi="Times New Roman" w:cs="Times New Roman" w:hint="cs"/>
          <w:sz w:val="24"/>
          <w:szCs w:val="24"/>
          <w:vertAlign w:val="superscript"/>
          <w:rtl/>
        </w:rPr>
        <w:t xml:space="preserve">(2) </w:t>
      </w:r>
      <w:r w:rsidRPr="00367CDE">
        <w:rPr>
          <w:rFonts w:ascii="Times New Roman" w:eastAsia="Times New Roman" w:hAnsi="Times New Roman" w:cs="Times New Roman"/>
          <w:sz w:val="24"/>
          <w:szCs w:val="24"/>
          <w:rtl/>
        </w:rPr>
        <w:t>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sz w:val="24"/>
          <w:szCs w:val="24"/>
        </w:rPr>
        <w:t>.</w:t>
      </w:r>
    </w:p>
    <w:p w14:paraId="3475190E" w14:textId="379C4BC0" w:rsidR="007E40EF" w:rsidRPr="00367CDE" w:rsidRDefault="003B3BAB" w:rsidP="00AA2D35">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17"/>
      </w:r>
      <w:r w:rsidR="007E40EF" w:rsidRPr="00367CDE">
        <w:rPr>
          <w:rStyle w:val="a8"/>
          <w:rFonts w:ascii="Times New Roman" w:eastAsia="Times New Roman" w:hAnsi="Times New Roman" w:cs="Times New Roman"/>
          <w:b/>
          <w:bCs/>
          <w:color w:val="FFFFFF" w:themeColor="background1"/>
          <w:sz w:val="24"/>
          <w:szCs w:val="24"/>
          <w:rtl/>
        </w:rPr>
        <w:footnoteReference w:id="18"/>
      </w:r>
      <w:r w:rsidR="007E40EF" w:rsidRPr="00367CDE">
        <w:rPr>
          <w:rFonts w:ascii="Times New Roman" w:eastAsia="Times New Roman" w:hAnsi="Times New Roman" w:cs="Times New Roman"/>
          <w:sz w:val="24"/>
          <w:szCs w:val="24"/>
        </w:rPr>
        <w:t xml:space="preserve"> </w:t>
      </w:r>
      <w:r w:rsidR="007E40EF" w:rsidRPr="00367CDE">
        <w:rPr>
          <w:rFonts w:ascii="Times New Roman" w:eastAsia="Times New Roman" w:hAnsi="Times New Roman" w:cs="Times New Roman"/>
          <w:sz w:val="24"/>
          <w:szCs w:val="24"/>
          <w:rtl/>
        </w:rPr>
        <w:t xml:space="preserve">الذكاء </w:t>
      </w:r>
      <w:r w:rsidR="007E40EF" w:rsidRPr="00367CDE">
        <w:rPr>
          <w:rFonts w:ascii="Times New Roman" w:eastAsia="Times New Roman" w:hAnsi="Times New Roman" w:cs="Times New Roman" w:hint="cs"/>
          <w:sz w:val="24"/>
          <w:szCs w:val="24"/>
          <w:rtl/>
        </w:rPr>
        <w:t>الاصطناعي،</w:t>
      </w:r>
      <w:r w:rsidR="007E40EF" w:rsidRPr="00367CDE">
        <w:rPr>
          <w:rFonts w:ascii="Times New Roman" w:eastAsia="Times New Roman" w:hAnsi="Times New Roman" w:cs="Times New Roman"/>
          <w:sz w:val="24"/>
          <w:szCs w:val="24"/>
          <w:rtl/>
        </w:rPr>
        <w:t xml:space="preserve"> البلوك تشين</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sz w:val="24"/>
          <w:szCs w:val="24"/>
          <w:vertAlign w:val="superscript"/>
          <w:rtl/>
        </w:rPr>
        <w:t xml:space="preserve"> </w:t>
      </w:r>
    </w:p>
    <w:p w14:paraId="3FA290E1" w14:textId="77777777" w:rsidR="007E40EF" w:rsidRPr="00367CDE"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6052DB1D" w14:textId="77777777" w:rsidR="00367CDE" w:rsidRP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14DCA8C9"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3C0725C6"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BE24BF4" w14:textId="6DC8663D"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الفجوة الزمنية بين التشريع والتقنية</w:t>
      </w:r>
    </w:p>
    <w:p w14:paraId="6EF70D0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التكنولوجيا تتطور بشكل لحظي ومتسارع </w:t>
      </w:r>
    </w:p>
    <w:p w14:paraId="454FF27F" w14:textId="78964A68"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التشريع يحتاج</w:t>
      </w:r>
      <w:r w:rsidRPr="00367CDE">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دراسة، مناقشة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إصدار </w:t>
      </w:r>
      <w:r w:rsidRPr="00367CDE">
        <w:rPr>
          <w:rFonts w:ascii="Times New Roman" w:eastAsia="Times New Roman" w:hAnsi="Times New Roman" w:cs="Times New Roman"/>
          <w:sz w:val="24"/>
          <w:szCs w:val="24"/>
        </w:rPr>
        <w:br/>
      </w:r>
      <w:r w:rsidRPr="00367CDE">
        <w:rPr>
          <w:rFonts w:ascii="Times New Roman" w:eastAsia="Times New Roman" w:hAnsi="Times New Roman" w:cs="Times New Roman" w:hint="cs"/>
          <w:sz w:val="24"/>
          <w:szCs w:val="24"/>
          <w:rtl/>
        </w:rPr>
        <w:t xml:space="preserve">وقد </w:t>
      </w:r>
      <w:r w:rsidRPr="00367CDE">
        <w:rPr>
          <w:rFonts w:ascii="Times New Roman" w:eastAsia="Times New Roman" w:hAnsi="Times New Roman" w:cs="Times New Roman"/>
          <w:sz w:val="24"/>
          <w:szCs w:val="24"/>
          <w:rtl/>
        </w:rPr>
        <w:t>ظهر ما يسمى بـ</w:t>
      </w:r>
      <w:r w:rsidRPr="00367CDE">
        <w:rPr>
          <w:rFonts w:ascii="Times New Roman" w:eastAsia="Times New Roman" w:hAnsi="Times New Roman" w:cs="Times New Roman"/>
          <w:sz w:val="24"/>
          <w:szCs w:val="24"/>
        </w:rPr>
        <w:t>:</w:t>
      </w:r>
    </w:p>
    <w:p w14:paraId="2716DE69" w14:textId="613DEB89"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الفجوة التشريعية الرقمية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hint="cs"/>
          <w:sz w:val="24"/>
          <w:szCs w:val="24"/>
          <w:rtl/>
        </w:rPr>
        <w:t xml:space="preserve"> هي الفحوة الفاصلة بين </w:t>
      </w:r>
      <w:r w:rsidR="007E40EF" w:rsidRPr="00367CDE">
        <w:rPr>
          <w:rFonts w:ascii="Times New Roman" w:eastAsia="Times New Roman" w:hAnsi="Times New Roman" w:cs="Times New Roman" w:hint="cs"/>
          <w:sz w:val="24"/>
          <w:szCs w:val="24"/>
          <w:rtl/>
        </w:rPr>
        <w:t>أدول</w:t>
      </w:r>
      <w:r w:rsidRPr="00367CDE">
        <w:rPr>
          <w:rFonts w:ascii="Times New Roman" w:eastAsia="Times New Roman" w:hAnsi="Times New Roman" w:cs="Times New Roman" w:hint="cs"/>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sz w:val="24"/>
          <w:szCs w:val="24"/>
          <w:rtl/>
        </w:rPr>
        <w:t>المعلومات والمعرف</w:t>
      </w:r>
      <w:r w:rsidR="007E40EF" w:rsidRPr="00367CDE">
        <w:rPr>
          <w:rFonts w:ascii="Times New Roman" w:eastAsia="Times New Roman" w:hAnsi="Times New Roman" w:cs="Times New Roman" w:hint="eastAsia"/>
          <w:sz w:val="24"/>
          <w:szCs w:val="24"/>
          <w:rtl/>
        </w:rPr>
        <w:t>ة</w:t>
      </w:r>
      <w:r w:rsidRPr="00367CDE">
        <w:rPr>
          <w:rFonts w:ascii="Times New Roman" w:eastAsia="Times New Roman" w:hAnsi="Times New Roman" w:cs="Times New Roman" w:hint="cs"/>
          <w:sz w:val="24"/>
          <w:szCs w:val="24"/>
          <w:rtl/>
        </w:rPr>
        <w:t xml:space="preserve"> والقدرة على استخدامها واستغلالها ’</w:t>
      </w:r>
    </w:p>
    <w:p w14:paraId="335F27AE" w14:textId="02B1EEF3"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b/>
          <w:bCs/>
          <w:sz w:val="24"/>
          <w:szCs w:val="24"/>
          <w:rtl/>
        </w:rPr>
        <w:t>مثال</w:t>
      </w:r>
      <w:r w:rsidRPr="00367CDE">
        <w:rPr>
          <w:rFonts w:ascii="Times New Roman" w:eastAsia="Times New Roman" w:hAnsi="Times New Roman" w:cs="Times New Roman"/>
          <w:b/>
          <w:bCs/>
          <w:sz w:val="24"/>
          <w:szCs w:val="24"/>
        </w:rPr>
        <w:t>:</w:t>
      </w:r>
      <w:r w:rsidR="007E40EF" w:rsidRPr="00367CDE">
        <w:rPr>
          <w:rFonts w:ascii="Times New Roman" w:eastAsia="Times New Roman" w:hAnsi="Times New Roman" w:cs="Times New Roman"/>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استخدام الذكاء الاصطناعي دون إطار قانوني واضح</w:t>
      </w:r>
    </w:p>
    <w:p w14:paraId="1B814CDF" w14:textId="3144DAF7"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hint="cs"/>
          <w:b/>
          <w:bCs/>
          <w:sz w:val="28"/>
          <w:szCs w:val="28"/>
          <w:rtl/>
        </w:rPr>
        <w:t>ا</w:t>
      </w:r>
      <w:r w:rsidRPr="007E40EF">
        <w:rPr>
          <w:rFonts w:ascii="Times New Roman" w:eastAsia="Times New Roman" w:hAnsi="Times New Roman" w:cs="Times New Roman"/>
          <w:b/>
          <w:bCs/>
          <w:sz w:val="28"/>
          <w:szCs w:val="28"/>
          <w:rtl/>
        </w:rPr>
        <w:t>لطبيعة للنصوص القانونية</w:t>
      </w:r>
    </w:p>
    <w:p w14:paraId="3DE97B4A" w14:textId="3D1725A4"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القاعدة القانونية تقليديًا</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عامة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ثابتة.</w:t>
      </w:r>
    </w:p>
    <w:p w14:paraId="093E3C01" w14:textId="05ECA477"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البيئة الرقمية متغيرة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مرنة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سريعة التطور </w:t>
      </w:r>
    </w:p>
    <w:p w14:paraId="10F325F0" w14:textId="5B031093" w:rsidR="007E40EF"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عدم قدرة النص على استيعاب المستجدات </w:t>
      </w:r>
    </w:p>
    <w:p w14:paraId="31EC08DD" w14:textId="560726C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7587E778" w14:textId="244155AC"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وقد ظهرت </w:t>
      </w: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 xml:space="preserve">اختراق </w:t>
      </w:r>
      <w:r w:rsidR="007E40EF" w:rsidRPr="00367CDE">
        <w:rPr>
          <w:rFonts w:ascii="Times New Roman" w:eastAsia="Times New Roman" w:hAnsi="Times New Roman" w:cs="Times New Roman" w:hint="cs"/>
          <w:sz w:val="24"/>
          <w:szCs w:val="24"/>
          <w:rtl/>
        </w:rPr>
        <w:t>الأنظمة، التلاعب</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بالبيانات، انتحال</w:t>
      </w:r>
      <w:r w:rsidRPr="00367CDE">
        <w:rPr>
          <w:rFonts w:ascii="Times New Roman" w:eastAsia="Times New Roman" w:hAnsi="Times New Roman" w:cs="Times New Roman"/>
          <w:sz w:val="24"/>
          <w:szCs w:val="24"/>
          <w:rtl/>
        </w:rPr>
        <w:t xml:space="preserve"> الهوية </w:t>
      </w:r>
      <w:r w:rsidR="007E40EF" w:rsidRPr="00367CDE">
        <w:rPr>
          <w:rFonts w:ascii="Times New Roman" w:eastAsia="Times New Roman" w:hAnsi="Times New Roman" w:cs="Times New Roman" w:hint="cs"/>
          <w:sz w:val="24"/>
          <w:szCs w:val="24"/>
          <w:rtl/>
        </w:rPr>
        <w:t>الرقمية.</w:t>
      </w:r>
    </w:p>
    <w:p w14:paraId="79C7CF91" w14:textId="4A2C67AD"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مما أدى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hint="cs"/>
          <w:sz w:val="24"/>
          <w:szCs w:val="24"/>
          <w:rtl/>
        </w:rPr>
        <w:t xml:space="preserve"> </w:t>
      </w:r>
      <w:r w:rsidRPr="00367CDE">
        <w:rPr>
          <w:rFonts w:ascii="Times New Roman" w:eastAsia="Times New Roman" w:hAnsi="Times New Roman" w:cs="Times New Roman"/>
          <w:sz w:val="24"/>
          <w:szCs w:val="24"/>
          <w:rtl/>
        </w:rPr>
        <w:t xml:space="preserve">عدم وجود توصيف قانوني دقيق لها </w:t>
      </w:r>
    </w:p>
    <w:p w14:paraId="32830EAB" w14:textId="3EB0E9AF"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r w:rsidRPr="00367CDE">
        <w:rPr>
          <w:rFonts w:ascii="Segoe UI Symbol" w:eastAsia="Times New Roman" w:hAnsi="Segoe UI Symbol" w:hint="cs"/>
          <w:sz w:val="24"/>
          <w:szCs w:val="24"/>
          <w:rtl/>
        </w:rPr>
        <w:t xml:space="preserve">وهذا بدوره </w:t>
      </w:r>
      <w:r w:rsidRPr="00367CDE">
        <w:rPr>
          <w:rFonts w:ascii="Segoe UI Symbol" w:eastAsia="Times New Roman" w:hAnsi="Segoe UI Symbol" w:hint="eastAsia"/>
          <w:sz w:val="24"/>
          <w:szCs w:val="24"/>
          <w:rtl/>
        </w:rPr>
        <w:t>أدى</w:t>
      </w:r>
      <w:r w:rsidRPr="00367CDE">
        <w:rPr>
          <w:rFonts w:ascii="Segoe UI Symbol" w:eastAsia="Times New Roman" w:hAnsi="Segoe UI Symbol" w:hint="cs"/>
          <w:sz w:val="24"/>
          <w:szCs w:val="24"/>
          <w:rtl/>
        </w:rPr>
        <w:t xml:space="preserve"> </w:t>
      </w:r>
      <w:r w:rsidR="00787B32" w:rsidRPr="00367CDE">
        <w:rPr>
          <w:rFonts w:ascii="Segoe UI Symbol" w:eastAsia="Times New Roman" w:hAnsi="Segoe UI Symbol" w:hint="cs"/>
          <w:sz w:val="24"/>
          <w:szCs w:val="24"/>
          <w:rtl/>
        </w:rPr>
        <w:t>إلى</w:t>
      </w:r>
      <w:r w:rsidRPr="00367CDE">
        <w:rPr>
          <w:rFonts w:ascii="Segoe UI Symbol" w:eastAsia="Times New Roman" w:hAnsi="Segoe UI Symbol" w:hint="cs"/>
          <w:sz w:val="24"/>
          <w:szCs w:val="24"/>
          <w:rtl/>
        </w:rPr>
        <w:t xml:space="preserve"> </w:t>
      </w:r>
      <w:r w:rsidRPr="00367CDE">
        <w:rPr>
          <w:rFonts w:ascii="Times New Roman" w:eastAsia="Times New Roman" w:hAnsi="Times New Roman" w:cs="Times New Roman"/>
          <w:sz w:val="24"/>
          <w:szCs w:val="24"/>
          <w:rtl/>
        </w:rPr>
        <w:t xml:space="preserve">صعوبة التكييف </w:t>
      </w:r>
      <w:r w:rsidR="007E40EF" w:rsidRPr="00367CDE">
        <w:rPr>
          <w:rFonts w:ascii="Times New Roman" w:eastAsia="Times New Roman" w:hAnsi="Times New Roman" w:cs="Times New Roman" w:hint="cs"/>
          <w:sz w:val="24"/>
          <w:szCs w:val="24"/>
          <w:rtl/>
        </w:rPr>
        <w:t>القانوني، ضعف</w:t>
      </w:r>
      <w:r w:rsidRPr="00367CDE">
        <w:rPr>
          <w:rFonts w:ascii="Times New Roman" w:eastAsia="Times New Roman" w:hAnsi="Times New Roman" w:cs="Times New Roman"/>
          <w:sz w:val="24"/>
          <w:szCs w:val="24"/>
          <w:rtl/>
        </w:rPr>
        <w:t xml:space="preserve"> الإدانة القضائية</w:t>
      </w:r>
      <w:r>
        <w:rPr>
          <w:rFonts w:ascii="Times New Roman" w:eastAsia="Times New Roman" w:hAnsi="Times New Roman" w:cs="Times New Roman" w:hint="cs"/>
          <w:sz w:val="28"/>
          <w:szCs w:val="28"/>
          <w:rtl/>
        </w:rPr>
        <w:t>.</w:t>
      </w:r>
    </w:p>
    <w:p w14:paraId="3E052594"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DEBB9E8"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236C451"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2A203D52"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03A04653" w14:textId="6F83B0BD"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 xml:space="preserve"> </w:t>
      </w:r>
    </w:p>
    <w:p w14:paraId="566770BB" w14:textId="77777777" w:rsidR="007E40EF"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06509088"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20BB5FC"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FD8C237" w14:textId="7743E095"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057AC801" w14:textId="1E05B6DC"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اختراق الأنظمة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التلاعب بالبيانات</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انتحال الهوية الرقمية</w:t>
      </w:r>
    </w:p>
    <w:p w14:paraId="47D47D80" w14:textId="0829625D" w:rsidR="003B3BAB" w:rsidRP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p>
    <w:p w14:paraId="5E556D43" w14:textId="36B5D306" w:rsidR="00787B32" w:rsidRPr="00787B32" w:rsidRDefault="00787B32" w:rsidP="00AA2D35">
      <w:pPr>
        <w:pStyle w:val="3"/>
        <w:spacing w:line="360" w:lineRule="auto"/>
        <w:rPr>
          <w:bCs/>
          <w:color w:val="auto"/>
          <w:sz w:val="24"/>
          <w:szCs w:val="24"/>
        </w:rPr>
      </w:pPr>
      <w:r w:rsidRPr="00787B32">
        <w:rPr>
          <w:bCs/>
          <w:color w:val="auto"/>
          <w:sz w:val="24"/>
          <w:szCs w:val="24"/>
          <w:rtl/>
        </w:rPr>
        <w:t xml:space="preserve">صعوبة التكييف </w:t>
      </w:r>
      <w:r w:rsidRPr="00787B32">
        <w:rPr>
          <w:rFonts w:hint="cs"/>
          <w:bCs/>
          <w:color w:val="auto"/>
          <w:sz w:val="24"/>
          <w:szCs w:val="24"/>
          <w:rtl/>
        </w:rPr>
        <w:t>القانوني</w:t>
      </w:r>
      <w:r w:rsidRPr="00787B32">
        <w:rPr>
          <w:rFonts w:hint="cs"/>
          <w:bCs/>
          <w:color w:val="auto"/>
          <w:sz w:val="24"/>
          <w:szCs w:val="24"/>
          <w:vertAlign w:val="superscript"/>
          <w:rtl/>
        </w:rPr>
        <w:t xml:space="preserve"> </w:t>
      </w:r>
      <w:r w:rsidRPr="00787B32">
        <w:rPr>
          <w:bCs/>
          <w:color w:val="auto"/>
          <w:sz w:val="24"/>
          <w:szCs w:val="24"/>
          <w:vertAlign w:val="superscript"/>
          <w:rtl/>
        </w:rPr>
        <w:t>(</w:t>
      </w:r>
      <w:r w:rsidRPr="00E160B3">
        <w:rPr>
          <w:rStyle w:val="a8"/>
          <w:bCs/>
          <w:vanish/>
          <w:color w:val="auto"/>
          <w:sz w:val="24"/>
          <w:szCs w:val="24"/>
          <w:vertAlign w:val="baseline"/>
          <w:rtl/>
        </w:rPr>
        <w:footnoteReference w:id="19"/>
      </w:r>
      <w:r w:rsidRPr="00787B32">
        <w:rPr>
          <w:rFonts w:hint="cs"/>
          <w:bCs/>
          <w:color w:val="auto"/>
          <w:sz w:val="24"/>
          <w:szCs w:val="24"/>
          <w:vertAlign w:val="superscript"/>
          <w:rtl/>
        </w:rPr>
        <w:t>1)</w:t>
      </w:r>
    </w:p>
    <w:p w14:paraId="0E4D874C" w14:textId="4D45C76A" w:rsidR="00787B32" w:rsidRPr="00787B32" w:rsidRDefault="00C41252" w:rsidP="00AA2D35">
      <w:pPr>
        <w:spacing w:before="100" w:beforeAutospacing="1" w:after="100" w:afterAutospacing="1" w:line="360" w:lineRule="auto"/>
        <w:jc w:val="left"/>
        <w:rPr>
          <w:rFonts w:ascii="Times New Roman" w:eastAsia="Times New Roman" w:hAnsi="Times New Roman" w:cs="Times New Roman"/>
          <w:sz w:val="24"/>
          <w:szCs w:val="24"/>
        </w:rPr>
      </w:pPr>
      <w:r w:rsidRPr="00C41252">
        <w:rPr>
          <w:rStyle w:val="a3"/>
          <w:b w:val="0"/>
          <w:bCs w:val="0"/>
          <w:rtl/>
        </w:rPr>
        <w:t>ترجع صعوبة التكييف القانوني إلى أن العديد من الأفعال الناتجة عن تطبيقات الذكاء الاصطناعي والبيئات الرقمية لا تتطابق بصورة كاملة مع النماذج الإجرامية التقليدية التي صيغت لمواجهة السلوك الإنساني المباشر، الأمر الذي يثير إشكاليات في تحديد الوصف القانوني للواقعة، واختيار النص النظامي الواجب التطبيق، وتحديد المسؤولية الجنائية بين مطور النظام، أو مشغله، أو مستخدمه، أو غيرهم من الأطراف المرتبطة بالفعل محل التجريم</w:t>
      </w:r>
      <w:r>
        <w:rPr>
          <w:rStyle w:val="a3"/>
        </w:rPr>
        <w:t>.</w:t>
      </w:r>
    </w:p>
    <w:p w14:paraId="05BCB7FE" w14:textId="375813F0" w:rsidR="003B3BAB" w:rsidRDefault="003B3BAB" w:rsidP="00DE2C37">
      <w:pPr>
        <w:spacing w:before="100" w:beforeAutospacing="1" w:after="100" w:afterAutospacing="1" w:line="360" w:lineRule="auto"/>
        <w:jc w:val="left"/>
        <w:rPr>
          <w:rFonts w:ascii="Times New Roman" w:eastAsia="Times New Roman" w:hAnsi="Times New Roman" w:cs="Times New Roman"/>
          <w:b/>
          <w:bCs/>
          <w:sz w:val="24"/>
          <w:szCs w:val="24"/>
          <w:rtl/>
        </w:rPr>
      </w:pPr>
      <w:r w:rsidRPr="00787B32">
        <w:rPr>
          <w:rFonts w:ascii="Times New Roman" w:eastAsia="Times New Roman" w:hAnsi="Times New Roman" w:cs="Times New Roman"/>
          <w:b/>
          <w:bCs/>
          <w:sz w:val="24"/>
          <w:szCs w:val="24"/>
          <w:rtl/>
        </w:rPr>
        <w:t>ضعف الإدانة القضائية</w:t>
      </w:r>
      <w:r w:rsidRPr="00787B32">
        <w:rPr>
          <w:rFonts w:ascii="Times New Roman" w:eastAsia="Times New Roman" w:hAnsi="Times New Roman" w:cs="Times New Roman"/>
          <w:b/>
          <w:bCs/>
          <w:sz w:val="24"/>
          <w:szCs w:val="24"/>
          <w:vertAlign w:val="superscript"/>
          <w:rtl/>
        </w:rPr>
        <w:t xml:space="preserve"> </w:t>
      </w:r>
      <w:r w:rsidR="00787B32" w:rsidRPr="00787B32">
        <w:rPr>
          <w:rFonts w:ascii="Times New Roman" w:eastAsia="Times New Roman" w:hAnsi="Times New Roman" w:cs="Times New Roman" w:hint="cs"/>
          <w:b/>
          <w:bCs/>
          <w:sz w:val="24"/>
          <w:szCs w:val="24"/>
          <w:vertAlign w:val="superscript"/>
          <w:rtl/>
        </w:rPr>
        <w:t>(</w:t>
      </w:r>
      <w:r w:rsidR="00787B32" w:rsidRPr="00E160B3">
        <w:rPr>
          <w:rStyle w:val="a8"/>
          <w:rFonts w:ascii="Times New Roman" w:eastAsia="Times New Roman" w:hAnsi="Times New Roman" w:cs="Times New Roman"/>
          <w:b/>
          <w:bCs/>
          <w:vanish/>
          <w:sz w:val="24"/>
          <w:szCs w:val="24"/>
          <w:vertAlign w:val="baseline"/>
          <w:rtl/>
        </w:rPr>
        <w:footnoteReference w:id="20"/>
      </w:r>
      <w:r w:rsidR="00787B32" w:rsidRPr="00787B32">
        <w:rPr>
          <w:rFonts w:ascii="Times New Roman" w:eastAsia="Times New Roman" w:hAnsi="Times New Roman" w:cs="Times New Roman" w:hint="cs"/>
          <w:b/>
          <w:bCs/>
          <w:sz w:val="24"/>
          <w:szCs w:val="24"/>
          <w:vertAlign w:val="superscript"/>
          <w:rtl/>
        </w:rPr>
        <w:t>2)</w:t>
      </w:r>
    </w:p>
    <w:p w14:paraId="2B145366" w14:textId="6F50C2F3" w:rsidR="00787B32" w:rsidRPr="00787B32" w:rsidRDefault="00787B32" w:rsidP="00DE2C37">
      <w:pPr>
        <w:spacing w:before="100" w:beforeAutospacing="1" w:after="100" w:afterAutospacing="1" w:line="360" w:lineRule="auto"/>
        <w:jc w:val="left"/>
        <w:rPr>
          <w:rFonts w:ascii="Times New Roman" w:eastAsia="Times New Roman" w:hAnsi="Times New Roman" w:cs="Times New Roman"/>
          <w:b/>
          <w:bCs/>
          <w:sz w:val="24"/>
          <w:szCs w:val="24"/>
        </w:rPr>
      </w:pPr>
      <w:r w:rsidRPr="00787B32">
        <w:rPr>
          <w:rFonts w:ascii="Times New Roman" w:hAnsi="Times New Roman" w:cs="Times New Roman"/>
          <w:rtl/>
        </w:rPr>
        <w:t>صد بضعف الإدانة القضائية الصعوبات التي تواجه المحاكم في إثبات الجريمة ونسبتها إلى الفاعل بصورة يقينية، خاصة في الجرائم الرقمية التي تعتمد على أدلة إلكترونية معقدة أو أنظمة ذكية يصعب تتبع قراراتها وآلية عملها. وقد يؤدي نقص الأدلة الفنية أو الغموض في تحديد المسؤول المسؤولية الجنائية إلى إضعاف فرص الإدانة وإثارة الشك حول توافر أركان الجريمة، مما ينعكس على فعالية الملاحقة الجنائية وتحقيق الردع القانوني</w:t>
      </w:r>
      <w:r w:rsidRPr="00787B32">
        <w:rPr>
          <w:rFonts w:ascii="Times New Roman" w:hAnsi="Times New Roman" w:cs="Times New Roman"/>
        </w:rPr>
        <w:t>.</w:t>
      </w:r>
    </w:p>
    <w:p w14:paraId="44A4D682"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تعدد التقنيات وتداخلها</w:t>
      </w:r>
    </w:p>
    <w:p w14:paraId="4859FB40"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التقنية لم تعد مجالًا واحدًا، بل تشمل</w:t>
      </w:r>
      <w:r w:rsidRPr="00367CDE">
        <w:rPr>
          <w:rFonts w:ascii="Times New Roman" w:eastAsia="Times New Roman" w:hAnsi="Times New Roman" w:cs="Times New Roman"/>
          <w:sz w:val="24"/>
          <w:szCs w:val="24"/>
        </w:rPr>
        <w:t xml:space="preserve">: </w:t>
      </w:r>
    </w:p>
    <w:p w14:paraId="4E0DC70B" w14:textId="7B98948C" w:rsidR="003B3BAB" w:rsidRPr="00367CDE" w:rsidRDefault="007E40EF"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hint="cs"/>
          <w:sz w:val="24"/>
          <w:szCs w:val="24"/>
          <w:rtl/>
        </w:rPr>
        <w:t>الأ</w:t>
      </w:r>
      <w:r w:rsidRPr="00367CDE">
        <w:rPr>
          <w:rFonts w:ascii="Times New Roman" w:eastAsia="Times New Roman" w:hAnsi="Times New Roman" w:cs="Times New Roman" w:hint="cs"/>
          <w:sz w:val="24"/>
          <w:szCs w:val="24"/>
          <w:rtl/>
        </w:rPr>
        <w:t>نظمة وهي</w:t>
      </w:r>
      <w:r w:rsidR="003B3BAB" w:rsidRPr="00367CDE">
        <w:rPr>
          <w:rFonts w:ascii="Times New Roman" w:eastAsia="Times New Roman" w:hAnsi="Times New Roman" w:cs="Times New Roman"/>
          <w:sz w:val="24"/>
          <w:szCs w:val="24"/>
        </w:rPr>
        <w:t>:</w:t>
      </w:r>
      <w:r w:rsidR="003B3BAB" w:rsidRPr="00367CDE">
        <w:rPr>
          <w:rFonts w:ascii="Times New Roman" w:eastAsia="Times New Roman" w:hAnsi="Times New Roman" w:cs="Times New Roman"/>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sz w:val="24"/>
          <w:szCs w:val="24"/>
        </w:rPr>
        <w:t>.</w:t>
      </w:r>
    </w:p>
    <w:p w14:paraId="4F8B7957" w14:textId="7BE7683D" w:rsid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تشمل الأنظمة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أنظمة المعلومات </w:t>
      </w:r>
      <w:r w:rsidR="007E40EF" w:rsidRPr="00367CDE">
        <w:rPr>
          <w:rFonts w:ascii="Times New Roman" w:eastAsia="Times New Roman" w:hAnsi="Times New Roman" w:cs="Times New Roman" w:hint="cs"/>
          <w:sz w:val="24"/>
          <w:szCs w:val="24"/>
          <w:rtl/>
        </w:rPr>
        <w:t>الحكومية</w:t>
      </w:r>
      <w:r w:rsidR="00787B32" w:rsidRPr="00787B32">
        <w:rPr>
          <w:rtl/>
        </w:rPr>
        <w:t xml:space="preserve"> </w:t>
      </w:r>
      <w:r w:rsidR="00787B32">
        <w:rPr>
          <w:rFonts w:ascii="Times New Roman" w:hAnsi="Times New Roman" w:cs="Times New Roman" w:hint="cs"/>
          <w:sz w:val="24"/>
          <w:szCs w:val="24"/>
          <w:rtl/>
        </w:rPr>
        <w:t>و</w:t>
      </w:r>
      <w:r w:rsidR="00787B32" w:rsidRPr="00787B32">
        <w:rPr>
          <w:rFonts w:ascii="Times New Roman" w:hAnsi="Times New Roman" w:cs="Times New Roman"/>
          <w:sz w:val="24"/>
          <w:szCs w:val="24"/>
          <w:rtl/>
        </w:rPr>
        <w:t>هي أنظمة رقمية تستخدمها الجهات الحكومية لإدارة المعلومات وتبادلها وتقديم الخدمات إلكترونيًا. وتهدف إلى تسهيل الإجراءات الحكومية، وتحسين سرعة إنجاز المعاملات، وتعزيز التكامل بين الجهات المختلفة، بما يرفع كفاءة العمل الحكومي وجودة الخدمات المقدمة للمستفيدين</w:t>
      </w:r>
      <w:r w:rsidR="00787B32">
        <w:t>.</w:t>
      </w:r>
      <w:r w:rsidR="00787B32">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أنظمة إدارة </w:t>
      </w:r>
      <w:r w:rsidR="007E40EF" w:rsidRPr="00367CDE">
        <w:rPr>
          <w:rFonts w:ascii="Times New Roman" w:eastAsia="Times New Roman" w:hAnsi="Times New Roman" w:cs="Times New Roman" w:hint="cs"/>
          <w:sz w:val="24"/>
          <w:szCs w:val="24"/>
          <w:rtl/>
        </w:rPr>
        <w:t>البيانات</w:t>
      </w:r>
      <w:r w:rsidR="00787B32">
        <w:rPr>
          <w:rFonts w:ascii="Times New Roman" w:eastAsia="Times New Roman" w:hAnsi="Times New Roman" w:cs="Times New Roman" w:hint="cs"/>
          <w:sz w:val="24"/>
          <w:szCs w:val="24"/>
          <w:rtl/>
        </w:rPr>
        <w:t xml:space="preserve"> </w:t>
      </w:r>
      <w:r w:rsidR="00787B32" w:rsidRPr="00787B32">
        <w:rPr>
          <w:rFonts w:ascii="Times New Roman" w:hAnsi="Times New Roman" w:cs="Times New Roman"/>
          <w:sz w:val="24"/>
          <w:szCs w:val="24"/>
          <w:rtl/>
        </w:rPr>
        <w:t>هي أنظمة متخصصة في جمع البيانات وتخزينها وتنظيمها وتحليلها بصورة آمنة ومنهجية. وتساعد هذه الأنظمة المؤسسات على الوصول إلى المعلومات بسرعة ودقة، ودعم اتخاذ القرار، وتحسين التخطيط والرقابة من خلال الاستفادة من البيانات المتاحة</w:t>
      </w:r>
      <w:r w:rsidR="00787B32" w:rsidRPr="00787B32">
        <w:rPr>
          <w:rFonts w:ascii="Times New Roman" w:hAnsi="Times New Roman" w:cs="Times New Roman"/>
          <w:sz w:val="24"/>
          <w:szCs w:val="24"/>
        </w:rPr>
        <w:t>.</w:t>
      </w:r>
      <w:r w:rsidR="00787B32" w:rsidRPr="00367CDE">
        <w:rPr>
          <w:rFonts w:ascii="Times New Roman" w:eastAsia="Times New Roman" w:hAnsi="Times New Roman" w:cs="Times New Roman" w:hint="cs"/>
          <w:sz w:val="24"/>
          <w:szCs w:val="24"/>
          <w:rtl/>
        </w:rPr>
        <w:t>،</w:t>
      </w:r>
    </w:p>
    <w:p w14:paraId="5ED9E718" w14:textId="0B6C277C" w:rsidR="00787B32" w:rsidRDefault="003B3BAB" w:rsidP="00AA2D35">
      <w:pPr>
        <w:pStyle w:val="a5"/>
        <w:bidi/>
        <w:spacing w:line="360" w:lineRule="auto"/>
        <w:rPr>
          <w:rtl/>
        </w:rPr>
      </w:pPr>
      <w:r w:rsidRPr="00367CDE">
        <w:rPr>
          <w:rtl/>
        </w:rPr>
        <w:t xml:space="preserve"> أنظمة التوقيع الإلكتروني </w:t>
      </w:r>
      <w:r w:rsidR="00787B32">
        <w:rPr>
          <w:rtl/>
        </w:rPr>
        <w:t>هي أنظمة تقنية تتيح للأفراد والجهات اعتماد المستندات والمعاملات إلكترونيًا بطريقة موثوقة ومعترف بها قانونيًا. وتُستخدم للتحقق من هوية الموقع وضمان سلامة المستند وعدم تعديله بعد التوقيع، مما يسهم في تسريع الإجراءات وتقليل الاعتماد على المعاملات الورقية</w:t>
      </w:r>
      <w:r w:rsidR="00787B32">
        <w:t>.</w:t>
      </w:r>
    </w:p>
    <w:p w14:paraId="281D5CC0" w14:textId="42129B3A"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وتُعد العمود الفقري للتحول الرقمي، حيث</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تنظم </w:t>
      </w:r>
      <w:r w:rsidR="007E40EF" w:rsidRPr="00367CDE">
        <w:rPr>
          <w:rFonts w:ascii="Times New Roman" w:eastAsia="Times New Roman" w:hAnsi="Times New Roman" w:cs="Times New Roman" w:hint="cs"/>
          <w:sz w:val="24"/>
          <w:szCs w:val="24"/>
          <w:rtl/>
        </w:rPr>
        <w:t>العمليات،</w:t>
      </w:r>
      <w:r w:rsidRPr="00367CDE">
        <w:rPr>
          <w:rFonts w:ascii="Times New Roman" w:eastAsia="Times New Roman" w:hAnsi="Times New Roman" w:cs="Times New Roman"/>
          <w:sz w:val="24"/>
          <w:szCs w:val="24"/>
          <w:rtl/>
        </w:rPr>
        <w:t xml:space="preserve"> تعالج </w:t>
      </w:r>
      <w:r w:rsidR="007E40EF" w:rsidRPr="00367CDE">
        <w:rPr>
          <w:rFonts w:ascii="Times New Roman" w:eastAsia="Times New Roman" w:hAnsi="Times New Roman" w:cs="Times New Roman" w:hint="cs"/>
          <w:sz w:val="24"/>
          <w:szCs w:val="24"/>
          <w:rtl/>
        </w:rPr>
        <w:t>البيانات،</w:t>
      </w:r>
      <w:r w:rsidRPr="00367CDE">
        <w:rPr>
          <w:rFonts w:ascii="Times New Roman" w:eastAsia="Times New Roman" w:hAnsi="Times New Roman" w:cs="Times New Roman"/>
          <w:sz w:val="24"/>
          <w:szCs w:val="24"/>
          <w:rtl/>
        </w:rPr>
        <w:t xml:space="preserve"> تدعم اتخاذ القرار</w:t>
      </w:r>
      <w:r w:rsidRPr="00367CDE">
        <w:rPr>
          <w:rFonts w:ascii="Times New Roman" w:eastAsia="Times New Roman" w:hAnsi="Times New Roman" w:cs="Times New Roman" w:hint="cs"/>
          <w:sz w:val="24"/>
          <w:szCs w:val="24"/>
          <w:rtl/>
        </w:rPr>
        <w:t>.</w:t>
      </w:r>
    </w:p>
    <w:p w14:paraId="2EAE7DE9" w14:textId="5A0ABDF5" w:rsidR="003B3BAB" w:rsidRPr="00367CDE" w:rsidRDefault="003B3BAB" w:rsidP="00AA2D35">
      <w:pPr>
        <w:pStyle w:val="a5"/>
        <w:bidi/>
        <w:spacing w:line="360" w:lineRule="auto"/>
      </w:pPr>
      <w:r w:rsidRPr="00367CDE">
        <w:rPr>
          <w:rtl/>
        </w:rPr>
        <w:t>منصات</w:t>
      </w:r>
      <w:r w:rsidRPr="00367CDE">
        <w:rPr>
          <w:rFonts w:hint="cs"/>
          <w:rtl/>
        </w:rPr>
        <w:t xml:space="preserve"> وهي </w:t>
      </w:r>
      <w:r w:rsidR="00787B32" w:rsidRPr="00367CDE">
        <w:rPr>
          <w:rFonts w:hint="cs"/>
          <w:rtl/>
        </w:rPr>
        <w:t>بيئ</w:t>
      </w:r>
      <w:r w:rsidR="00787B32" w:rsidRPr="00367CDE">
        <w:rPr>
          <w:rFonts w:hint="eastAsia"/>
          <w:rtl/>
        </w:rPr>
        <w:t>ة</w:t>
      </w:r>
      <w:r w:rsidRPr="00367CDE">
        <w:rPr>
          <w:rtl/>
        </w:rPr>
        <w:t xml:space="preserve">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إطار يجمع عدة </w:t>
      </w:r>
      <w:r w:rsidR="007E40EF" w:rsidRPr="00367CDE">
        <w:rPr>
          <w:rFonts w:ascii="Times New Roman" w:eastAsia="Times New Roman" w:hAnsi="Times New Roman" w:cs="Times New Roman" w:hint="cs"/>
          <w:sz w:val="24"/>
          <w:szCs w:val="24"/>
          <w:rtl/>
        </w:rPr>
        <w:t>أنظمة،</w:t>
      </w:r>
      <w:r w:rsidRPr="00367CDE">
        <w:rPr>
          <w:rFonts w:ascii="Times New Roman" w:eastAsia="Times New Roman" w:hAnsi="Times New Roman" w:cs="Times New Roman"/>
          <w:sz w:val="24"/>
          <w:szCs w:val="24"/>
          <w:rtl/>
        </w:rPr>
        <w:t xml:space="preserve"> يوفر خدمات متعددة في مكان واحد </w:t>
      </w:r>
    </w:p>
    <w:p w14:paraId="348E109E" w14:textId="1B84DC43"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وتشمل</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المنصات الحكومية (مثل بوابات الخدمات</w:t>
      </w:r>
      <w:r w:rsidR="00787B32"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الدفع الإلكتروني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التحقق الر</w:t>
      </w:r>
      <w:r w:rsidR="007E40EF" w:rsidRPr="00367CDE">
        <w:rPr>
          <w:rFonts w:ascii="Times New Roman" w:eastAsia="Times New Roman" w:hAnsi="Times New Roman" w:cs="Times New Roman" w:hint="cs"/>
          <w:sz w:val="24"/>
          <w:szCs w:val="24"/>
          <w:rtl/>
        </w:rPr>
        <w:t>قمي</w:t>
      </w:r>
    </w:p>
    <w:p w14:paraId="6959F35E" w14:textId="30A280C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خصائصها</w:t>
      </w:r>
      <w:r w:rsidRPr="003B3BAB">
        <w:rPr>
          <w:rFonts w:ascii="Times New Roman" w:eastAsia="Times New Roman" w:hAnsi="Times New Roman" w:cs="Times New Roman"/>
          <w:b/>
          <w:bCs/>
          <w:sz w:val="28"/>
          <w:szCs w:val="28"/>
        </w:rPr>
        <w:t>:</w:t>
      </w:r>
    </w:p>
    <w:p w14:paraId="07AD1530" w14:textId="611999AE" w:rsidR="005C60F0" w:rsidRDefault="003B3BAB" w:rsidP="00AA2D35">
      <w:pPr>
        <w:pStyle w:val="a5"/>
        <w:bidi/>
        <w:spacing w:line="360" w:lineRule="auto"/>
      </w:pPr>
      <w:r w:rsidRPr="005C60F0">
        <w:rPr>
          <w:b/>
          <w:bCs/>
          <w:rtl/>
        </w:rPr>
        <w:t xml:space="preserve">التكامل بين </w:t>
      </w:r>
      <w:r w:rsidR="005C60F0" w:rsidRPr="005C60F0">
        <w:rPr>
          <w:rFonts w:hint="cs"/>
          <w:b/>
          <w:bCs/>
          <w:rtl/>
        </w:rPr>
        <w:t>الأنظمة</w:t>
      </w:r>
      <w:r w:rsidR="005C60F0" w:rsidRPr="005C60F0">
        <w:rPr>
          <w:rFonts w:hint="cs"/>
          <w:vertAlign w:val="superscript"/>
          <w:rtl/>
        </w:rPr>
        <w:t xml:space="preserve"> </w:t>
      </w:r>
      <w:r w:rsidR="005C60F0" w:rsidRPr="005C60F0">
        <w:rPr>
          <w:vertAlign w:val="superscript"/>
          <w:rtl/>
        </w:rPr>
        <w:t>(</w:t>
      </w:r>
      <w:r w:rsidR="005C60F0" w:rsidRPr="005C60F0">
        <w:rPr>
          <w:rFonts w:hint="cs"/>
          <w:vertAlign w:val="superscript"/>
          <w:rtl/>
        </w:rPr>
        <w:t>1)</w:t>
      </w:r>
      <w:r w:rsidR="005C60F0" w:rsidRPr="00E160B3">
        <w:rPr>
          <w:rStyle w:val="a8"/>
          <w:vanish/>
          <w:vertAlign w:val="baseline"/>
          <w:rtl/>
        </w:rPr>
        <w:footnoteReference w:id="21"/>
      </w:r>
      <w:r w:rsidR="005C60F0" w:rsidRPr="00E160B3">
        <w:rPr>
          <w:rFonts w:hint="cs"/>
          <w:vanish/>
          <w:rtl/>
        </w:rPr>
        <w:t xml:space="preserve"> </w:t>
      </w:r>
      <w:r w:rsidR="005C60F0" w:rsidRPr="005C60F0">
        <w:rPr>
          <w:rtl/>
        </w:rPr>
        <w:t>يقصد به قدرة الأنظمة الرقمية المختلفة على تبادل البيانات والمعلومات والعمل بصورة مترابطة ضمن بيئة موحدة. ويسهم هذا التكامل في تسريع الإجراءات، وتقليل ازدواجية البيانات، وتحسين كفاءة العمل من خلال توفير معلومات دقيقة ومحدثة لجميع الجهات ذات العلاقة</w:t>
      </w:r>
      <w:r w:rsidR="005C60F0" w:rsidRPr="005C60F0">
        <w:t>.</w:t>
      </w:r>
      <w:r w:rsidR="007E40EF" w:rsidRPr="005C60F0">
        <w:rPr>
          <w:rtl/>
        </w:rPr>
        <w:t>،</w:t>
      </w:r>
      <w:r w:rsidRPr="005C60F0">
        <w:rPr>
          <w:rtl/>
        </w:rPr>
        <w:t xml:space="preserve"> </w:t>
      </w:r>
      <w:r w:rsidRPr="005C60F0">
        <w:rPr>
          <w:b/>
          <w:bCs/>
          <w:rtl/>
        </w:rPr>
        <w:t xml:space="preserve">قابلية </w:t>
      </w:r>
      <w:r w:rsidR="007E40EF" w:rsidRPr="005C60F0">
        <w:rPr>
          <w:b/>
          <w:bCs/>
          <w:rtl/>
        </w:rPr>
        <w:t>التوسع</w:t>
      </w:r>
      <w:r w:rsidR="005C60F0">
        <w:rPr>
          <w:rFonts w:hint="cs"/>
          <w:rtl/>
        </w:rPr>
        <w:t xml:space="preserve"> </w:t>
      </w:r>
      <w:r w:rsidR="005C60F0" w:rsidRPr="005C60F0">
        <w:rPr>
          <w:rtl/>
        </w:rPr>
        <w:t>تعني قدرة النظام على استيعاب زيادة عدد المستخدمين أو الخدمات والبيانات دون التأثير على كفاءته أو أدائه. وتُعد هذه الخاصية ضرورية لمواكبة التطور المستمر في الخدمات الرقمية وتلبية الاحتياجات المستقبلية للمؤسسات والمستفيدين</w:t>
      </w:r>
      <w:r w:rsidR="005C60F0" w:rsidRPr="005C60F0">
        <w:t>.</w:t>
      </w:r>
      <w:r w:rsidR="007E40EF" w:rsidRPr="005C60F0">
        <w:rPr>
          <w:rtl/>
        </w:rPr>
        <w:t>،</w:t>
      </w:r>
      <w:r w:rsidRPr="005C60F0">
        <w:rPr>
          <w:rtl/>
        </w:rPr>
        <w:t xml:space="preserve"> </w:t>
      </w:r>
      <w:r w:rsidRPr="005C60F0">
        <w:rPr>
          <w:b/>
          <w:bCs/>
          <w:rtl/>
        </w:rPr>
        <w:t>التفاعل مع المستخدم</w:t>
      </w:r>
      <w:r w:rsidRPr="00367CDE">
        <w:rPr>
          <w:rtl/>
        </w:rPr>
        <w:t xml:space="preserve"> </w:t>
      </w:r>
      <w:r w:rsidR="005C60F0">
        <w:rPr>
          <w:rtl/>
        </w:rPr>
        <w:t>يقصد به تصميم الأنظمة بطريقة تتيح للمستخدمين الوصول إلى الخدمات واستخدامها بسهولة ووضوح. ويساعد ذلك في رفع مستوى رضا المستفيدين وتقليل الوقت والجهد اللازمين لإنجاز المعاملات الإلكترونية</w:t>
      </w:r>
      <w:r w:rsidR="005C60F0">
        <w:t>.</w:t>
      </w:r>
    </w:p>
    <w:p w14:paraId="5C0452AD" w14:textId="77777777" w:rsidR="005C60F0" w:rsidRDefault="003B3BAB" w:rsidP="00AA2D35">
      <w:pPr>
        <w:pStyle w:val="a5"/>
        <w:bidi/>
        <w:spacing w:line="360" w:lineRule="auto"/>
      </w:pPr>
      <w:r w:rsidRPr="00367CDE">
        <w:rPr>
          <w:rtl/>
        </w:rPr>
        <w:t>دورها في التحول الرقمي</w:t>
      </w:r>
      <w:r w:rsidRPr="00367CDE">
        <w:t>:</w:t>
      </w:r>
      <w:r w:rsidR="007E40EF" w:rsidRPr="00367CDE">
        <w:rPr>
          <w:rtl/>
        </w:rPr>
        <w:t xml:space="preserve"> </w:t>
      </w:r>
      <w:r w:rsidR="007E40EF" w:rsidRPr="005C60F0">
        <w:rPr>
          <w:b/>
          <w:bCs/>
          <w:rtl/>
        </w:rPr>
        <w:t xml:space="preserve">تسهيل الوصول </w:t>
      </w:r>
      <w:r w:rsidR="007E40EF" w:rsidRPr="005C60F0">
        <w:rPr>
          <w:rFonts w:hint="cs"/>
          <w:b/>
          <w:bCs/>
          <w:rtl/>
        </w:rPr>
        <w:t>للخدمات</w:t>
      </w:r>
      <w:r w:rsidR="005C60F0">
        <w:rPr>
          <w:rFonts w:hint="cs"/>
          <w:rtl/>
        </w:rPr>
        <w:t xml:space="preserve"> </w:t>
      </w:r>
      <w:r w:rsidR="005C60F0">
        <w:rPr>
          <w:rtl/>
        </w:rPr>
        <w:t>تمكن الأنظمة الرقمية الأفراد والمؤسسات من الحصول على الخدمات في أي وقت ومن أي مكان دون الحاجة إلى الحضور الشخصي، مما يعزز سرعة الإنجاز ويوسع نطاق الاستفادة من الخدمات الحكومية والقضائية</w:t>
      </w:r>
      <w:r w:rsidR="005C60F0">
        <w:t>.</w:t>
      </w:r>
      <w:r w:rsidR="005C60F0" w:rsidRPr="00367CDE">
        <w:rPr>
          <w:rFonts w:hint="cs"/>
          <w:rtl/>
        </w:rPr>
        <w:t xml:space="preserve"> </w:t>
      </w:r>
      <w:r w:rsidR="007E40EF" w:rsidRPr="00367CDE">
        <w:rPr>
          <w:rFonts w:hint="cs"/>
          <w:rtl/>
        </w:rPr>
        <w:t>،</w:t>
      </w:r>
      <w:r w:rsidR="007E40EF" w:rsidRPr="00367CDE">
        <w:rPr>
          <w:rtl/>
        </w:rPr>
        <w:t xml:space="preserve"> </w:t>
      </w:r>
      <w:r w:rsidR="007E40EF" w:rsidRPr="005C60F0">
        <w:rPr>
          <w:b/>
          <w:bCs/>
          <w:rtl/>
        </w:rPr>
        <w:t xml:space="preserve">تحسين تجربة </w:t>
      </w:r>
      <w:r w:rsidR="007E40EF" w:rsidRPr="005C60F0">
        <w:rPr>
          <w:rFonts w:hint="cs"/>
          <w:b/>
          <w:bCs/>
          <w:rtl/>
        </w:rPr>
        <w:t>المستخدم</w:t>
      </w:r>
      <w:r w:rsidR="005C60F0">
        <w:rPr>
          <w:rFonts w:hint="cs"/>
          <w:rtl/>
        </w:rPr>
        <w:t xml:space="preserve"> </w:t>
      </w:r>
      <w:r w:rsidR="005C60F0">
        <w:rPr>
          <w:rtl/>
        </w:rPr>
        <w:t>توفر الأنظمة الرقمية واجهات استخدام سهلة وخدمات إلكترونية متكاملة تُمكن المستفيد من إنجاز معاملاته بسرعة وكفاءة، مما يرفع مستوى الرضا والثقة بالخدمات المقدمة</w:t>
      </w:r>
      <w:r w:rsidR="005C60F0">
        <w:t>.</w:t>
      </w:r>
      <w:r w:rsidR="005C60F0" w:rsidRPr="00367CDE">
        <w:rPr>
          <w:rFonts w:hint="cs"/>
          <w:rtl/>
        </w:rPr>
        <w:t xml:space="preserve"> </w:t>
      </w:r>
      <w:r w:rsidR="007E40EF" w:rsidRPr="00367CDE">
        <w:rPr>
          <w:rFonts w:hint="cs"/>
          <w:rtl/>
        </w:rPr>
        <w:t>،</w:t>
      </w:r>
      <w:r w:rsidR="007E40EF" w:rsidRPr="005C60F0">
        <w:rPr>
          <w:b/>
          <w:bCs/>
          <w:rtl/>
        </w:rPr>
        <w:t xml:space="preserve"> تقليل الإجراءات التقليد</w:t>
      </w:r>
      <w:r w:rsidR="005C60F0">
        <w:rPr>
          <w:rFonts w:hint="cs"/>
          <w:rtl/>
        </w:rPr>
        <w:t xml:space="preserve"> </w:t>
      </w:r>
      <w:r w:rsidR="005C60F0">
        <w:rPr>
          <w:rtl/>
        </w:rPr>
        <w:t>تسهم الأنظمة الرقمية في استبدال المعاملات الورقية والإجراءات اليدوية بإجراءات إلكترونية مؤتمتة، الأمر الذي يقلل الوقت والتكاليف والأخطاء الإدارية ويزيد من كفاءة الأداء المؤسسي</w:t>
      </w:r>
      <w:r w:rsidR="005C60F0">
        <w:t>.</w:t>
      </w:r>
    </w:p>
    <w:p w14:paraId="6323EF2F" w14:textId="7417F41C" w:rsidR="007E40EF" w:rsidRPr="00367CDE" w:rsidRDefault="007E40EF" w:rsidP="00AA2D35">
      <w:pPr>
        <w:spacing w:before="100" w:beforeAutospacing="1" w:after="100" w:afterAutospacing="1" w:line="360" w:lineRule="auto"/>
        <w:jc w:val="left"/>
        <w:rPr>
          <w:rFonts w:ascii="Times New Roman" w:eastAsia="Times New Roman" w:hAnsi="Times New Roman" w:cs="Times New Roman"/>
          <w:sz w:val="24"/>
          <w:szCs w:val="24"/>
        </w:rPr>
      </w:pPr>
    </w:p>
    <w:p w14:paraId="600657B8" w14:textId="394C8634" w:rsidR="00367CDE" w:rsidRDefault="00367CDE" w:rsidP="00AA2D35">
      <w:pPr>
        <w:pStyle w:val="a5"/>
        <w:bidi/>
        <w:spacing w:line="360" w:lineRule="auto"/>
        <w:rPr>
          <w:rtl/>
        </w:rPr>
      </w:pPr>
    </w:p>
    <w:p w14:paraId="09DFC55F" w14:textId="092D7686" w:rsidR="003B3BAB" w:rsidRPr="007E40EF" w:rsidRDefault="007E40EF" w:rsidP="00AA2D35">
      <w:pPr>
        <w:pStyle w:val="a5"/>
        <w:bidi/>
        <w:spacing w:line="360" w:lineRule="auto"/>
      </w:pPr>
      <w:r w:rsidRPr="007E40EF">
        <w:rPr>
          <w:rFonts w:hint="cs"/>
          <w:rtl/>
        </w:rPr>
        <w:t>خوارزميات</w:t>
      </w:r>
      <w:r w:rsidRPr="007E40EF">
        <w:rPr>
          <w:rFonts w:hint="cs"/>
          <w:vertAlign w:val="superscript"/>
          <w:rtl/>
        </w:rPr>
        <w:t xml:space="preserve"> </w:t>
      </w:r>
      <w:r w:rsidRPr="007E40EF">
        <w:rPr>
          <w:vertAlign w:val="superscript"/>
          <w:rtl/>
        </w:rPr>
        <w:t>(</w:t>
      </w:r>
      <w:r w:rsidR="003B3BAB" w:rsidRPr="007E40EF">
        <w:rPr>
          <w:rFonts w:hint="cs"/>
          <w:vertAlign w:val="superscript"/>
          <w:rtl/>
        </w:rPr>
        <w:t>1)</w:t>
      </w:r>
      <w:r w:rsidR="003B3BAB" w:rsidRPr="007E40EF">
        <w:rPr>
          <w:rtl/>
        </w:rPr>
        <w:t xml:space="preserve"> هي</w:t>
      </w:r>
      <w:r w:rsidR="003B3BAB" w:rsidRPr="007E40EF">
        <w:t>:</w:t>
      </w:r>
    </w:p>
    <w:p w14:paraId="59DAE2F3" w14:textId="53FC44C5" w:rsidR="003B3BAB" w:rsidRPr="007E40EF" w:rsidRDefault="003B3BAB" w:rsidP="00AA2D35">
      <w:pPr>
        <w:spacing w:beforeAutospacing="1" w:after="100" w:afterAutospacing="1" w:line="360" w:lineRule="auto"/>
        <w:jc w:val="left"/>
        <w:rPr>
          <w:rFonts w:ascii="Times New Roman" w:eastAsia="Times New Roman" w:hAnsi="Times New Roman" w:cs="Times New Roman"/>
          <w:sz w:val="24"/>
          <w:szCs w:val="24"/>
          <w:rtl/>
        </w:rPr>
      </w:pPr>
      <w:r w:rsidRPr="007E40EF">
        <w:rPr>
          <w:rFonts w:ascii="Times New Roman" w:eastAsia="Times New Roman" w:hAnsi="Times New Roman" w:cs="Times New Roman"/>
          <w:sz w:val="24"/>
          <w:szCs w:val="24"/>
          <w:rtl/>
        </w:rPr>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sz w:val="24"/>
          <w:szCs w:val="24"/>
        </w:rPr>
        <w:t>.</w:t>
      </w:r>
      <w:r w:rsidRPr="007E40EF">
        <w:rPr>
          <w:rStyle w:val="a8"/>
          <w:rFonts w:ascii="Times New Roman" w:eastAsia="Times New Roman" w:hAnsi="Times New Roman" w:cs="Times New Roman"/>
          <w:sz w:val="24"/>
          <w:szCs w:val="24"/>
          <w:rtl/>
        </w:rPr>
        <w:footnoteReference w:id="22"/>
      </w:r>
    </w:p>
    <w:p w14:paraId="11ABAC7B" w14:textId="0E9088C0"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م</w:t>
      </w:r>
      <w:r w:rsidRPr="007E40EF">
        <w:rPr>
          <w:rFonts w:ascii="Times New Roman" w:eastAsia="Times New Roman" w:hAnsi="Times New Roman" w:cs="Times New Roman"/>
          <w:sz w:val="24"/>
          <w:szCs w:val="24"/>
          <w:rtl/>
        </w:rPr>
        <w:t>ما يجعل</w:t>
      </w:r>
      <w:r w:rsidRPr="007E40EF">
        <w:rPr>
          <w:rFonts w:ascii="Times New Roman" w:eastAsia="Times New Roman" w:hAnsi="Times New Roman" w:cs="Times New Roman"/>
          <w:sz w:val="24"/>
          <w:szCs w:val="24"/>
        </w:rPr>
        <w:t>:</w:t>
      </w:r>
    </w:p>
    <w:p w14:paraId="0204A090"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التنظيم القانوني أكثر تعقيدًا</w:t>
      </w:r>
    </w:p>
    <w:p w14:paraId="5960647A" w14:textId="07489055"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ت</w:t>
      </w:r>
      <w:r w:rsidRPr="007E40EF">
        <w:rPr>
          <w:rFonts w:ascii="Times New Roman" w:eastAsia="Times New Roman" w:hAnsi="Times New Roman" w:cs="Times New Roman"/>
          <w:sz w:val="24"/>
          <w:szCs w:val="24"/>
          <w:rtl/>
        </w:rPr>
        <w:t>عد الخوارزميات “العقل” الذي يدير الأنظمة، حيث تقوم بـ</w:t>
      </w:r>
      <w:r w:rsidRPr="007E40EF">
        <w:rPr>
          <w:rFonts w:ascii="Times New Roman" w:eastAsia="Times New Roman" w:hAnsi="Times New Roman" w:cs="Times New Roman"/>
          <w:sz w:val="24"/>
          <w:szCs w:val="24"/>
        </w:rPr>
        <w:t>:</w:t>
      </w:r>
    </w:p>
    <w:p w14:paraId="19A4C918" w14:textId="69C6E12E" w:rsidR="00094165" w:rsidRDefault="003B3BAB" w:rsidP="00AA2D35">
      <w:pPr>
        <w:pStyle w:val="a5"/>
        <w:bidi/>
        <w:spacing w:line="360" w:lineRule="auto"/>
      </w:pPr>
      <w:r w:rsidRPr="00094165">
        <w:rPr>
          <w:b/>
          <w:bCs/>
          <w:rtl/>
        </w:rPr>
        <w:t xml:space="preserve">تحليل </w:t>
      </w:r>
      <w:r w:rsidR="007E40EF" w:rsidRPr="00094165">
        <w:rPr>
          <w:rFonts w:hint="cs"/>
          <w:b/>
          <w:bCs/>
          <w:rtl/>
        </w:rPr>
        <w:t>البيانات</w:t>
      </w:r>
      <w:r w:rsidR="00094165">
        <w:rPr>
          <w:rFonts w:hint="cs"/>
          <w:rtl/>
        </w:rPr>
        <w:t xml:space="preserve"> </w:t>
      </w:r>
      <w:r w:rsidR="00094165" w:rsidRPr="00094165">
        <w:rPr>
          <w:rFonts w:hint="cs"/>
          <w:vertAlign w:val="superscript"/>
          <w:rtl/>
        </w:rPr>
        <w:t>(</w:t>
      </w:r>
      <w:r w:rsidR="00094165">
        <w:rPr>
          <w:rFonts w:hint="cs"/>
          <w:vertAlign w:val="superscript"/>
          <w:rtl/>
        </w:rPr>
        <w:t>2</w:t>
      </w:r>
      <w:r w:rsidR="00094165" w:rsidRPr="00094165">
        <w:rPr>
          <w:rFonts w:hint="cs"/>
          <w:vertAlign w:val="superscript"/>
          <w:rtl/>
        </w:rPr>
        <w:t>)</w:t>
      </w:r>
      <w:r w:rsidR="00094165">
        <w:rPr>
          <w:rFonts w:hint="cs"/>
          <w:vertAlign w:val="superscript"/>
          <w:rtl/>
        </w:rPr>
        <w:t xml:space="preserve"> </w:t>
      </w:r>
      <w:r w:rsidR="00094165">
        <w:rPr>
          <w:rtl/>
        </w:rPr>
        <w:t>يُقصد بتحليل البيانات عملية جمع البيانات وتنظيمها ومعالجتها واستخراج المعلومات والأنماط منها بهدف دعم اتخاذ القرار وتحسين الأداء. ويُعد تحليل البيانات من الأدوات الأساسية في التحول الرقمي، إذ يحول البيانات الخام إلى معلومات ذات قيمة تساعد المؤسسات على فهم الواقع والتنبؤ بالاتجاهات المستقبلية</w:t>
      </w:r>
      <w:r w:rsidR="00094165">
        <w:t>.</w:t>
      </w:r>
    </w:p>
    <w:p w14:paraId="61C3662C" w14:textId="77777777" w:rsidR="00094165" w:rsidRDefault="00094165" w:rsidP="00AA2D35">
      <w:pPr>
        <w:pStyle w:val="a5"/>
        <w:bidi/>
        <w:spacing w:line="360" w:lineRule="auto"/>
      </w:pPr>
      <w:r>
        <w:rPr>
          <w:rtl/>
        </w:rPr>
        <w:t>وفي المجال القضائي، يُستخدم تحليل البيانات لدراسة أعداد القضايا، ومعدلات الإنجاز، ومدد الفصل في الدعاوى، وتحديد أسباب التأخير ومواطن الازدحام في المحاكم. كما يساهم في إعداد التقارير والمؤشرات الإحصائية التي تساعد متخذي القرار على تطوير السياسات وتحسين كفاءة العمل القضائي</w:t>
      </w:r>
      <w:r>
        <w:t>.</w:t>
      </w:r>
    </w:p>
    <w:p w14:paraId="4453030A" w14:textId="77777777" w:rsidR="00094165" w:rsidRDefault="00094165" w:rsidP="00AA2D35">
      <w:pPr>
        <w:pStyle w:val="a5"/>
        <w:bidi/>
        <w:spacing w:line="360" w:lineRule="auto"/>
      </w:pPr>
      <w:r>
        <w:rPr>
          <w:rStyle w:val="a8"/>
          <w:rtl/>
        </w:rPr>
        <w:t xml:space="preserve"> </w:t>
      </w:r>
      <w:r w:rsidRPr="007128BB">
        <w:rPr>
          <w:rStyle w:val="a8"/>
          <w:vanish/>
          <w:vertAlign w:val="baseline"/>
          <w:rtl/>
        </w:rPr>
        <w:footnoteReference w:id="23"/>
      </w:r>
      <w:r w:rsidR="007E40EF" w:rsidRPr="007E40EF">
        <w:rPr>
          <w:rFonts w:hint="cs"/>
          <w:rtl/>
        </w:rPr>
        <w:t>،</w:t>
      </w:r>
      <w:r w:rsidR="003B3BAB" w:rsidRPr="007E40EF">
        <w:rPr>
          <w:rtl/>
        </w:rPr>
        <w:t xml:space="preserve"> </w:t>
      </w:r>
      <w:r w:rsidR="003B3BAB" w:rsidRPr="00094165">
        <w:rPr>
          <w:b/>
          <w:bCs/>
          <w:rtl/>
        </w:rPr>
        <w:t>اتخاذ القرارات</w:t>
      </w:r>
      <w:r>
        <w:rPr>
          <w:rFonts w:hint="cs"/>
          <w:rtl/>
        </w:rPr>
        <w:t xml:space="preserve"> </w:t>
      </w:r>
      <w:r>
        <w:rPr>
          <w:rtl/>
        </w:rPr>
        <w:t>وفي بيئة التحول الرقمي، يساعد توفر البيانات الدقيقة والتقارير التحليلية على اتخاذ قرارات أكثر سرعة ودقة وفعالية، مما يسهم في تحسين الأداء ورفع كفاءة العمل وتحقيق الأهداف المؤسسية بكفاءة أكبر</w:t>
      </w:r>
      <w:r>
        <w:t>.</w:t>
      </w:r>
    </w:p>
    <w:p w14:paraId="7ADDDE6C" w14:textId="77777777" w:rsidR="00094165" w:rsidRDefault="00094165"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094165">
        <w:rPr>
          <w:b/>
          <w:bCs/>
          <w:rtl/>
        </w:rPr>
        <w:t>تشغيل العمليات</w:t>
      </w:r>
      <w:r w:rsidR="003B3BAB" w:rsidRPr="007E40EF">
        <w:rPr>
          <w:rtl/>
        </w:rPr>
        <w:t xml:space="preserve"> </w:t>
      </w:r>
      <w:r>
        <w:rPr>
          <w:rtl/>
        </w:rPr>
        <w:t>يقصد بتشغيل العمليات إدارة وتنفيذ الأنشطة والإجراءات اليومية داخل المؤسسة بصورة منظمة ومستمرة لضمان تحقيق الأهداف بكفاءة وفعالية. ويشمل ذلك تنسيق الموارد البشرية والتقنية والإدارية ومتابعة سير العمل لضمان إنجاز المهام وفق الخطط والإجراءات المعتمدة</w:t>
      </w:r>
      <w:r>
        <w:t>.</w:t>
      </w:r>
    </w:p>
    <w:p w14:paraId="2CAABEBC" w14:textId="77777777" w:rsidR="00094165" w:rsidRDefault="00094165" w:rsidP="00AA2D35">
      <w:pPr>
        <w:pStyle w:val="a5"/>
        <w:bidi/>
        <w:spacing w:line="360" w:lineRule="auto"/>
      </w:pPr>
      <w:r>
        <w:rPr>
          <w:rtl/>
        </w:rPr>
        <w:t>وفي إطار التحول الرقمي، تسهم الأنظمة التقنية في أتمتة وتشغيل العمليات بشكل أسرع وأكثر دقة، مما يقلل الأخطاء، ويوفر الوقت والجهد، ويرفع جودة الخدمات والإنتاجية المؤسسية</w:t>
      </w:r>
      <w:r>
        <w:t>.</w:t>
      </w:r>
    </w:p>
    <w:p w14:paraId="1F0BB3D3" w14:textId="3FA8773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p>
    <w:p w14:paraId="033AE92C" w14:textId="2A121174"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وتشمل</w:t>
      </w:r>
      <w:r w:rsidRPr="007E40EF">
        <w:rPr>
          <w:rFonts w:ascii="Times New Roman" w:eastAsia="Times New Roman" w:hAnsi="Times New Roman" w:cs="Times New Roman"/>
          <w:sz w:val="24"/>
          <w:szCs w:val="24"/>
        </w:rPr>
        <w:t>:</w:t>
      </w:r>
    </w:p>
    <w:p w14:paraId="3B5F59B2" w14:textId="7A89A2DA" w:rsidR="007E383E" w:rsidRDefault="003B3BAB" w:rsidP="00AA2D35">
      <w:pPr>
        <w:pStyle w:val="a5"/>
        <w:bidi/>
        <w:spacing w:line="360" w:lineRule="auto"/>
      </w:pPr>
      <w:r w:rsidRPr="007E383E">
        <w:rPr>
          <w:b/>
          <w:bCs/>
          <w:rtl/>
        </w:rPr>
        <w:t xml:space="preserve">خوارزميات </w:t>
      </w:r>
      <w:r w:rsidR="007E40EF" w:rsidRPr="007E383E">
        <w:rPr>
          <w:rFonts w:hint="cs"/>
          <w:b/>
          <w:bCs/>
          <w:rtl/>
        </w:rPr>
        <w:t>التشفير</w:t>
      </w:r>
      <w:r w:rsidR="007E383E" w:rsidRPr="007E383E">
        <w:rPr>
          <w:rFonts w:hint="cs"/>
          <w:vertAlign w:val="superscript"/>
          <w:rtl/>
        </w:rPr>
        <w:t>(</w:t>
      </w:r>
      <w:r w:rsidR="007E383E" w:rsidRPr="00E160B3">
        <w:rPr>
          <w:rStyle w:val="a8"/>
          <w:vanish/>
          <w:vertAlign w:val="baseline"/>
          <w:rtl/>
        </w:rPr>
        <w:footnoteReference w:id="24"/>
      </w:r>
      <w:r w:rsidR="007E383E" w:rsidRPr="007E383E">
        <w:rPr>
          <w:rFonts w:hint="cs"/>
          <w:vertAlign w:val="superscript"/>
          <w:rtl/>
        </w:rPr>
        <w:t>1)</w:t>
      </w:r>
      <w:r w:rsidR="007E383E">
        <w:rPr>
          <w:rFonts w:hint="cs"/>
          <w:vertAlign w:val="superscript"/>
          <w:rtl/>
        </w:rPr>
        <w:t xml:space="preserve"> </w:t>
      </w:r>
      <w:r w:rsidR="007E383E">
        <w:rPr>
          <w:rFonts w:hint="cs"/>
          <w:rtl/>
        </w:rPr>
        <w:t>و</w:t>
      </w:r>
      <w:r w:rsidR="007E383E">
        <w:rPr>
          <w:rtl/>
        </w:rPr>
        <w:t>هي مجموعة من القواعد والمعادلات الرياضية التي تُستخدم لتحويل البيانات والمعلومات من شكلها المقروء إلى شكل مشفر غير مفهوم، بحيث لا يمكن الاطلاع عليها إلا من قبل الأشخاص أو الجهات المصرح لها باستخدام مفتاح فك التشفير</w:t>
      </w:r>
      <w:r w:rsidR="007E383E">
        <w:t>.</w:t>
      </w:r>
    </w:p>
    <w:p w14:paraId="5400D249" w14:textId="77777777" w:rsidR="007E383E" w:rsidRDefault="007E383E" w:rsidP="00AA2D35">
      <w:pPr>
        <w:pStyle w:val="a5"/>
        <w:bidi/>
        <w:spacing w:line="360" w:lineRule="auto"/>
      </w:pPr>
      <w:r>
        <w:rPr>
          <w:rtl/>
        </w:rPr>
        <w:t>وتهدف خوارزميات التشفير إلى حماية سرية البيانات وسلامتها أثناء التخزين أو النقل عبر الشبكات الإلكترونية، ومنع الوصول غير المصرح به إليها. وتُستخدم على نطاق واسع في المعاملات الحكومية، والخدمات المصرفية، والتوقيع الإلكتروني، والأنظمة القضائية الرقمية لحماية المعلومات الحساسة</w:t>
      </w:r>
      <w:r>
        <w:t>.</w:t>
      </w:r>
    </w:p>
    <w:p w14:paraId="3E902571" w14:textId="77777777" w:rsidR="007E383E" w:rsidRDefault="007E383E" w:rsidP="00AA2D35">
      <w:pPr>
        <w:pStyle w:val="a5"/>
        <w:bidi/>
        <w:spacing w:line="360" w:lineRule="auto"/>
      </w:pPr>
      <w:r>
        <w:rPr>
          <w:rtl/>
        </w:rPr>
        <w:t>وتكمن أهميتها في تعزيز الأمن السيبراني، وحماية الخصوصية، وضمان موثوقية البيانات، مما يجعلها من الركائز الأساسية للتحول الرقمي والبيئات الإلكترونية الآمنة</w:t>
      </w:r>
      <w:r>
        <w:t>.</w:t>
      </w:r>
    </w:p>
    <w:p w14:paraId="0A16BAD9" w14:textId="44AD7F3A" w:rsidR="007E383E" w:rsidRDefault="007E383E" w:rsidP="00AA2D35">
      <w:pPr>
        <w:pStyle w:val="a5"/>
        <w:bidi/>
        <w:spacing w:line="360" w:lineRule="auto"/>
      </w:pPr>
      <w:r w:rsidRPr="007E40EF">
        <w:rPr>
          <w:rFonts w:hint="cs"/>
          <w:rtl/>
        </w:rPr>
        <w:t xml:space="preserve"> </w:t>
      </w:r>
      <w:r w:rsidR="007E40EF" w:rsidRPr="007E40EF">
        <w:rPr>
          <w:rFonts w:hint="cs"/>
          <w:rtl/>
        </w:rPr>
        <w:t>،</w:t>
      </w:r>
      <w:r w:rsidR="003B3BAB" w:rsidRPr="007E40EF">
        <w:rPr>
          <w:rtl/>
        </w:rPr>
        <w:t xml:space="preserve"> </w:t>
      </w:r>
      <w:r w:rsidR="003B3BAB" w:rsidRPr="007E383E">
        <w:rPr>
          <w:b/>
          <w:bCs/>
          <w:rtl/>
        </w:rPr>
        <w:t>خوارزميات الذكاء الاصطناعي</w:t>
      </w:r>
      <w:r>
        <w:rPr>
          <w:rFonts w:hint="cs"/>
          <w:rtl/>
        </w:rPr>
        <w:t xml:space="preserve"> </w:t>
      </w:r>
      <w:r w:rsidRPr="007E383E">
        <w:rPr>
          <w:rFonts w:hint="cs"/>
          <w:vertAlign w:val="superscript"/>
          <w:rtl/>
        </w:rPr>
        <w:t>(</w:t>
      </w:r>
      <w:r w:rsidRPr="00E160B3">
        <w:rPr>
          <w:rStyle w:val="a8"/>
          <w:vanish/>
          <w:vertAlign w:val="baseline"/>
          <w:rtl/>
        </w:rPr>
        <w:footnoteReference w:id="25"/>
      </w:r>
      <w:r w:rsidRPr="007E383E">
        <w:rPr>
          <w:rFonts w:hint="cs"/>
          <w:vertAlign w:val="superscript"/>
          <w:rtl/>
        </w:rPr>
        <w:t>2)</w:t>
      </w:r>
      <w:r>
        <w:rPr>
          <w:rFonts w:hint="cs"/>
          <w:rtl/>
        </w:rPr>
        <w:t xml:space="preserve"> ه</w:t>
      </w:r>
      <w:r>
        <w:rPr>
          <w:rFonts w:hint="eastAsia"/>
          <w:rtl/>
        </w:rPr>
        <w:t>ي</w:t>
      </w:r>
      <w:r>
        <w:rPr>
          <w:rtl/>
        </w:rPr>
        <w:t xml:space="preserve"> مجموعة من القواعد والنماذج الرياضية والبرمجية التي تمكّن الأنظمة الحاسوبية من تحليل البيانات والتعلم منها واتخاذ قرارات أو تقديم تنبؤات بصورة تحاكي التفكير البشري. وتعتمد هذه الخوارزميات على معالجة كميات كبيرة من البيانات لاكتشاف الأنماط والعلاقات واستخلاص النتائج بشكل آلي</w:t>
      </w:r>
      <w:r>
        <w:t>.</w:t>
      </w:r>
    </w:p>
    <w:p w14:paraId="250ACB5C" w14:textId="77777777" w:rsidR="007E383E" w:rsidRDefault="007E383E" w:rsidP="00AA2D35">
      <w:pPr>
        <w:pStyle w:val="a5"/>
        <w:bidi/>
        <w:spacing w:line="360" w:lineRule="auto"/>
      </w:pPr>
      <w:r>
        <w:rPr>
          <w:rtl/>
        </w:rPr>
        <w:t>وتُستخدم خوارزميات الذكاء الاصطناعي في العديد من المجالات، مثل تحليل النصوص والصور، والتعرف على الأصوات، والتنبؤ بالاتجاهات المستقبلية، ودعم اتخاذ القرار، وتقديم الخدمات الذكية. وفي المجال القضائي، يمكن الاستفادة منها في تصنيف القضايا، وتحليل المستندات القانونية، واستخراج المعلومات ذات الصلة، وإعداد المؤشرات الإحصائية التي تساعد في تحسين كفاءة العمل القضائي</w:t>
      </w:r>
      <w:r>
        <w:t>.</w:t>
      </w:r>
    </w:p>
    <w:p w14:paraId="2A284890" w14:textId="77777777" w:rsidR="007E383E" w:rsidRDefault="007E383E" w:rsidP="00AA2D35">
      <w:pPr>
        <w:pStyle w:val="a5"/>
        <w:bidi/>
        <w:spacing w:line="360" w:lineRule="auto"/>
      </w:pPr>
      <w:r>
        <w:rPr>
          <w:rtl/>
        </w:rPr>
        <w:t>وتكمن أهمية هذه الخوارزميات في قدرتها على زيادة سرعة معالجة البيانات، وتحسين دقة النتائج، ودعم القرارات المبنية على المعلومات، مما يجعلها من أهم التقنيات الداعمة للتحول الرقمي والابتكار المؤسسي</w:t>
      </w:r>
      <w:r>
        <w:t>.</w:t>
      </w:r>
    </w:p>
    <w:p w14:paraId="31150421" w14:textId="0DB75B59" w:rsidR="007E383E" w:rsidRDefault="007E383E"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7E383E">
        <w:rPr>
          <w:b/>
          <w:bCs/>
          <w:rtl/>
        </w:rPr>
        <w:t xml:space="preserve">خوارزميات التحقق من الهوية </w:t>
      </w:r>
      <w:r>
        <w:rPr>
          <w:rtl/>
        </w:rPr>
        <w:t>هي مجموعة من التقنيات والعمليات البرمجية المستخدمة للتأكد من أن الشخص أو الجهة التي تطلب الوصول إلى نظام أو خدمة إلكترونية هي بالفعل الجهة المصرح لها بذلك. وتعمل هذه الخوارزميات على مقارنة بيانات المستخدم المدخلة مع البيانات المخزنة أو المعتمدة مسبقًا للتحقق من صحتها</w:t>
      </w:r>
      <w:r>
        <w:t>.</w:t>
      </w:r>
    </w:p>
    <w:p w14:paraId="0E4C38F0" w14:textId="77777777" w:rsidR="007E383E" w:rsidRDefault="007E383E" w:rsidP="00AA2D35">
      <w:pPr>
        <w:pStyle w:val="a5"/>
        <w:bidi/>
        <w:spacing w:line="360" w:lineRule="auto"/>
      </w:pPr>
      <w:r>
        <w:rPr>
          <w:rtl/>
        </w:rPr>
        <w:t>وتُستخدم هذه الخوارزميات في العديد من الوسائل الأمنية، مثل كلمات المرور، والرموز المؤقتة المرسلة للهاتف، والتوقيع الإلكتروني، والبصمة، والتعرف على الوجه أو الصوت. وتهدف إلى منع انتحال الهوية والوصول غير المصرح به إلى الأنظمة والمعلومات الحساسة</w:t>
      </w:r>
      <w:r>
        <w:t>.</w:t>
      </w:r>
    </w:p>
    <w:p w14:paraId="1D310597" w14:textId="77777777" w:rsidR="007E383E" w:rsidRDefault="007E383E" w:rsidP="00AA2D35">
      <w:pPr>
        <w:pStyle w:val="a5"/>
        <w:bidi/>
        <w:spacing w:line="360" w:lineRule="auto"/>
      </w:pPr>
      <w:r>
        <w:rPr>
          <w:rtl/>
        </w:rPr>
        <w:t>وتكمن أهميتها في تعزيز أمن المعلومات وحماية البيانات الشخصية والمالية والقضائية، وضمان موثوقية المعاملات الإلكترونية، مما يجعلها عنصرًا أساسيًا في أنظمة الحكومة الرقمية والتحول الرقمي والأمن السيبراني</w:t>
      </w:r>
      <w:r>
        <w:t>.</w:t>
      </w:r>
    </w:p>
    <w:p w14:paraId="7A586040" w14:textId="23E8DBE2"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7E40EF">
        <w:rPr>
          <w:rFonts w:ascii="Times New Roman" w:eastAsia="Times New Roman" w:hAnsi="Times New Roman" w:cs="Times New Roman"/>
          <w:b/>
          <w:bCs/>
          <w:sz w:val="24"/>
          <w:szCs w:val="24"/>
          <w:rtl/>
        </w:rPr>
        <w:t>مثال</w:t>
      </w:r>
      <w:r w:rsidRPr="007E40EF">
        <w:rPr>
          <w:rFonts w:ascii="Times New Roman" w:eastAsia="Times New Roman" w:hAnsi="Times New Roman" w:cs="Times New Roman"/>
          <w:b/>
          <w:bCs/>
          <w:sz w:val="24"/>
          <w:szCs w:val="24"/>
        </w:rPr>
        <w:t>:</w:t>
      </w:r>
    </w:p>
    <w:p w14:paraId="2B717EDF"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 xml:space="preserve">خوارزمية التحقق من صحة التوقيع الإلكتروني </w:t>
      </w:r>
    </w:p>
    <w:p w14:paraId="3C1D0229"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خوارزمية كشف الاحتيال</w:t>
      </w:r>
    </w:p>
    <w:p w14:paraId="422F8D18" w14:textId="2ED8BB87" w:rsidR="00094165" w:rsidRDefault="0009416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909154D" w14:textId="77777777" w:rsidR="007E383E" w:rsidRDefault="007E383E" w:rsidP="00AA2D35">
      <w:pPr>
        <w:bidi w:val="0"/>
        <w:jc w:val="left"/>
        <w:rPr>
          <w:rFonts w:ascii="Times New Roman" w:eastAsia="Times New Roman" w:hAnsi="Times New Roman" w:cs="Times New Roman"/>
          <w:sz w:val="24"/>
          <w:szCs w:val="24"/>
        </w:rPr>
      </w:pPr>
    </w:p>
    <w:p w14:paraId="14C7A601" w14:textId="77777777" w:rsidR="007E383E" w:rsidRDefault="007E383E" w:rsidP="00AA2D35">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BB9C1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3A77304" w14:textId="26D55471" w:rsidR="003B3BAB" w:rsidRPr="003B3BAB" w:rsidRDefault="003B3BAB" w:rsidP="00081600">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sidRPr="00081600">
        <w:rPr>
          <w:rFonts w:ascii="Times New Roman" w:hAnsi="Times New Roman" w:cs="Times New Roman"/>
          <w:b/>
          <w:bCs/>
          <w:sz w:val="28"/>
          <w:szCs w:val="28"/>
          <w:rtl/>
        </w:rPr>
        <w:t xml:space="preserve">التحديات القانونية في التحول </w:t>
      </w:r>
      <w:r w:rsidR="007E40EF" w:rsidRPr="00081600">
        <w:rPr>
          <w:rFonts w:ascii="Times New Roman" w:hAnsi="Times New Roman" w:cs="Times New Roman" w:hint="cs"/>
          <w:b/>
          <w:bCs/>
          <w:sz w:val="28"/>
          <w:szCs w:val="28"/>
          <w:rtl/>
        </w:rPr>
        <w:t>الرقمي</w:t>
      </w:r>
      <w:r w:rsidR="007E40EF" w:rsidRPr="003B3BAB">
        <w:rPr>
          <w:rFonts w:ascii="Times New Roman" w:hAnsi="Times New Roman" w:cs="Times New Roman" w:hint="cs"/>
          <w:sz w:val="28"/>
          <w:szCs w:val="28"/>
          <w:vertAlign w:val="superscript"/>
          <w:rtl/>
        </w:rPr>
        <w:t xml:space="preserve"> </w:t>
      </w:r>
    </w:p>
    <w:p w14:paraId="68C58B97" w14:textId="59F0D076" w:rsidR="00081600" w:rsidRPr="00081600" w:rsidRDefault="00081600" w:rsidP="00081600">
      <w:pPr>
        <w:spacing w:before="100" w:beforeAutospacing="1" w:after="100" w:afterAutospacing="1" w:line="360" w:lineRule="auto"/>
        <w:jc w:val="left"/>
        <w:outlineLvl w:val="1"/>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أدى الانتقال من القضاء التقليدي إلى القضاء الرقمي إلى ظهور تحديات قانونية تتجاوز مجرد توفير المنصات والوسائل التقنية؛ إذ أصبح نجاح التحول الرقمي مرتبطًا بقدرة التشريعات على استيعاب صور جديدة من التعاملات والأدلة والإجراءات، وتنظيم خدمات الثقة، وحماية البيانات، وتحديد المسؤولية عن الأخطاء والمخاطر التقنية. وتكشف المقارنة بين المملكة العربية السعودية والإمارات العربية المتحدة وسنغافورة عن اتفاق الأنظمة الثلاثة على مشروعية التعامل الإلكتروني، مع اختلافها في درجة تفصيل الأحكام، ومنهج توزيع المسؤوليات، وآليات تحديث القواعد القانونية</w:t>
      </w:r>
      <w:r w:rsidRPr="00081600">
        <w:rPr>
          <w:rFonts w:ascii="Times New Roman" w:eastAsia="Times New Roman" w:hAnsi="Times New Roman" w:cs="Times New Roman"/>
          <w:sz w:val="24"/>
          <w:szCs w:val="24"/>
        </w:rPr>
        <w:t>.</w:t>
      </w:r>
    </w:p>
    <w:p w14:paraId="7D890C6C" w14:textId="77777777" w:rsidR="00081600" w:rsidRPr="00081600" w:rsidRDefault="00081600" w:rsidP="00081600">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81600">
        <w:rPr>
          <w:rFonts w:ascii="Times New Roman" w:eastAsia="Times New Roman" w:hAnsi="Times New Roman" w:cs="Times New Roman"/>
          <w:b/>
          <w:bCs/>
          <w:sz w:val="27"/>
          <w:szCs w:val="27"/>
          <w:rtl/>
        </w:rPr>
        <w:t>أولًا: مواكبة التشريعات للتطور التقني</w:t>
      </w:r>
    </w:p>
    <w:p w14:paraId="0DAE9302" w14:textId="7F6811A3"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يتطلب التحول الرقمي تشريعات قادرة على مواكبة التطور التقني من دون الحاجة إلى تعديلها عند ظهور كل وسيلة أو تقنية جديدة. وقد وضع نظام التعاملات الإلكترونية السعودي أساسًا عامًا للاعتراف بالتعامل والتوقيع الإلكترونيين، كما استكمل نظام الإثبات هذا الاتجاه بإفراد أحكام خاصة للدليل الرقمي. ويكشف ذلك عن انتقال التنظيم السعودي من مجرد الاعتراف بالتعامل الإلكتروني إلى تنظيم آثاره في الخصومة القضائية والإثبات. غير أن تعدد الأنظمة ذات الصلة يجعل مواكبة التطور مرتبطة بمدى التنسيق بين نظام التعاملات </w:t>
      </w:r>
      <w:r w:rsidR="00092562" w:rsidRPr="00081600">
        <w:rPr>
          <w:rFonts w:ascii="Times New Roman" w:eastAsia="Times New Roman" w:hAnsi="Times New Roman" w:cs="Times New Roman" w:hint="cs"/>
          <w:sz w:val="24"/>
          <w:szCs w:val="24"/>
          <w:rtl/>
        </w:rPr>
        <w:t>الإلكترونية</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1</w:t>
      </w:r>
      <w:r w:rsidR="00092562" w:rsidRPr="00092562">
        <w:rPr>
          <w:rStyle w:val="a8"/>
          <w:rFonts w:ascii="Times New Roman" w:eastAsia="Times New Roman" w:hAnsi="Times New Roman" w:cs="Times New Roman"/>
          <w:vanish/>
          <w:sz w:val="24"/>
          <w:szCs w:val="24"/>
          <w:vertAlign w:val="baseline"/>
          <w:rtl/>
        </w:rPr>
        <w:footnoteReference w:id="26"/>
      </w:r>
      <w:r w:rsidR="00092562" w:rsidRPr="00092562">
        <w:rPr>
          <w:rFonts w:ascii="Times New Roman" w:eastAsia="Times New Roman" w:hAnsi="Times New Roman" w:cs="Times New Roman" w:hint="cs"/>
          <w:vanish/>
          <w:sz w:val="24"/>
          <w:szCs w:val="24"/>
          <w:rtl/>
        </w:rPr>
        <w:t>)</w:t>
      </w:r>
      <w:r w:rsidRPr="00081600">
        <w:rPr>
          <w:rFonts w:ascii="Times New Roman" w:eastAsia="Times New Roman" w:hAnsi="Times New Roman" w:cs="Times New Roman"/>
          <w:sz w:val="24"/>
          <w:szCs w:val="24"/>
          <w:rtl/>
        </w:rPr>
        <w:t>، ونظام الإثبات، ونظام حماية البيانات الشخصية، واللوائح والضوابط الفنية المكملة لها</w:t>
      </w:r>
      <w:r w:rsidRPr="00081600">
        <w:rPr>
          <w:rFonts w:ascii="Times New Roman" w:eastAsia="Times New Roman" w:hAnsi="Times New Roman" w:cs="Times New Roman"/>
          <w:sz w:val="24"/>
          <w:szCs w:val="24"/>
        </w:rPr>
        <w:t>.</w:t>
      </w:r>
    </w:p>
    <w:p w14:paraId="7D4A6C4B" w14:textId="7D45A6B8"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ويتقارب التنظيم الإماراتي مع هذا الاتجاه، لكنه اعتمد تحديثًا تشريعيًا متزامنًا نسبيًا؛ إذ صدر </w:t>
      </w:r>
      <w:r w:rsidR="00092562" w:rsidRPr="00081600">
        <w:rPr>
          <w:rFonts w:ascii="Times New Roman" w:eastAsia="Times New Roman" w:hAnsi="Times New Roman" w:cs="Times New Roman" w:hint="cs"/>
          <w:sz w:val="24"/>
          <w:szCs w:val="24"/>
          <w:rtl/>
        </w:rPr>
        <w:t>المرسوم</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2)</w:t>
      </w:r>
      <w:r w:rsidRPr="00081600">
        <w:rPr>
          <w:rFonts w:ascii="Times New Roman" w:eastAsia="Times New Roman" w:hAnsi="Times New Roman" w:cs="Times New Roman"/>
          <w:sz w:val="24"/>
          <w:szCs w:val="24"/>
          <w:rtl/>
        </w:rPr>
        <w:t xml:space="preserve"> بقانون اتحادي رقم (46) لسنة 2021 بشأن المعاملات الإلكترونية وخدمات الثقة، ثم صدرت لائحته التنفيذية بقرار مجلس الوزراء رقم (28) لسنة 2023، إلى جانب قانون الإثبات الاتحادي الصادر سنة 2022. ويتيح هذا التقارب الزمني بين التشريع الموضوعي واللائحة الفنية وقواعد الإثبات بناء إطار أكثر ترابطًا لتنظيم المعاملات والأدلة الرقمية</w:t>
      </w:r>
      <w:r w:rsidRPr="00081600">
        <w:rPr>
          <w:rFonts w:ascii="Times New Roman" w:eastAsia="Times New Roman" w:hAnsi="Times New Roman" w:cs="Times New Roman"/>
          <w:sz w:val="24"/>
          <w:szCs w:val="24"/>
        </w:rPr>
        <w:t>.</w:t>
      </w:r>
    </w:p>
    <w:p w14:paraId="2B297EC5" w14:textId="39338257"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أما سنغافورة، فتقوم قدرتها على مواكبة التقنية على استخدام صياغات وظيفية ومحايدة تقنيًا في قانون المعاملات </w:t>
      </w:r>
      <w:r w:rsidR="00092562" w:rsidRPr="00081600">
        <w:rPr>
          <w:rFonts w:ascii="Times New Roman" w:eastAsia="Times New Roman" w:hAnsi="Times New Roman" w:cs="Times New Roman" w:hint="cs"/>
          <w:sz w:val="24"/>
          <w:szCs w:val="24"/>
          <w:rtl/>
        </w:rPr>
        <w:t>الإلكترونية</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3)</w:t>
      </w:r>
      <w:r w:rsidRPr="00081600">
        <w:rPr>
          <w:rFonts w:ascii="Times New Roman" w:eastAsia="Times New Roman" w:hAnsi="Times New Roman" w:cs="Times New Roman"/>
          <w:sz w:val="24"/>
          <w:szCs w:val="24"/>
          <w:rtl/>
        </w:rPr>
        <w:t>، مع إدخال تعديلات تشريعية عند الحاجة إلى استيعاب صور محددة من المعاملات؛ ومن ذلك تعديل القانون سنة 2021 للاعتراف بالسجلات الإلكترونية القابلة للتحويل. ويؤكد هذا النهج أن الحياد التقني لا يعني ثبات التشريع، وإنما الجمع بين قواعد عامة قابلة للاستيعاب وتعديلات محددة عند ظهور احتياجات قانونية جديدة</w:t>
      </w:r>
      <w:r w:rsidRPr="00081600">
        <w:rPr>
          <w:rFonts w:ascii="Times New Roman" w:eastAsia="Times New Roman" w:hAnsi="Times New Roman" w:cs="Times New Roman"/>
          <w:sz w:val="24"/>
          <w:szCs w:val="24"/>
        </w:rPr>
        <w:t>.</w:t>
      </w:r>
    </w:p>
    <w:p w14:paraId="32C7BB52" w14:textId="74CBF173" w:rsid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tl/>
        </w:rPr>
      </w:pPr>
      <w:r w:rsidRPr="00081600">
        <w:rPr>
          <w:rFonts w:ascii="Times New Roman" w:eastAsia="Times New Roman" w:hAnsi="Times New Roman" w:cs="Times New Roman"/>
          <w:sz w:val="24"/>
          <w:szCs w:val="24"/>
          <w:rtl/>
        </w:rPr>
        <w:t>ويتضح من المقارنة أن التحدي في المملكة لا يتمثل في غياب الأساس التشريعي، بل في ضرورة المحافظة على الاتساق بين الأنظمة المتعددة وسرعة تحديث اللوائح الفنية. وفي المقابل، يحقق النموذج الإماراتي ميزة التكامل بين التشريع واللائحة وخدمات الثقة، بينما يتميز النموذج السنغافوري بتقليل ارتباط النص القانوني بتقنية بعينها. ومن ثم، فإن المعيار الحقيقي لمواكبة التطور لا يقاس بتاريخ إصدار التشريع وحده، وإنما بقدرته على استيعاب التقنية الجديدة، وسرعة إصدار قواعده التطبيقية، ووضوح العلاقة بين النصوص المختلفة</w:t>
      </w:r>
      <w:r w:rsidRPr="00081600">
        <w:rPr>
          <w:rFonts w:ascii="Times New Roman" w:eastAsia="Times New Roman" w:hAnsi="Times New Roman" w:cs="Times New Roman"/>
          <w:sz w:val="24"/>
          <w:szCs w:val="24"/>
        </w:rPr>
        <w:t>.</w:t>
      </w:r>
    </w:p>
    <w:p w14:paraId="362C12FF" w14:textId="77777777" w:rsidR="00092562" w:rsidRPr="00092562" w:rsidRDefault="00092562" w:rsidP="00092562">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92562">
        <w:rPr>
          <w:rFonts w:ascii="Times New Roman" w:eastAsia="Times New Roman" w:hAnsi="Times New Roman" w:cs="Times New Roman"/>
          <w:b/>
          <w:bCs/>
          <w:sz w:val="27"/>
          <w:szCs w:val="27"/>
          <w:rtl/>
        </w:rPr>
        <w:t>ثانيًا: وضوح المفاهيم القانونية المرتبطة بخدمات الثقة والتوقيع الإلكتروني</w:t>
      </w:r>
    </w:p>
    <w:p w14:paraId="53E18C9D"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يمثل وضوح المفاهيم القانونية شرطًا ضروريًا لاستقرار المعاملات الرقمية؛ لأن الخلط بين التوقيع الإلكتروني والتوقيع الرقمي وخدمات التصديق وخدمات الثقة قد يؤدي إلى اختلاف في تحديد الحجية والمسؤولية</w:t>
      </w:r>
      <w:r w:rsidRPr="00092562">
        <w:rPr>
          <w:rFonts w:ascii="Times New Roman" w:eastAsia="Times New Roman" w:hAnsi="Times New Roman" w:cs="Times New Roman"/>
          <w:sz w:val="24"/>
          <w:szCs w:val="24"/>
        </w:rPr>
        <w:t>.</w:t>
      </w:r>
    </w:p>
    <w:p w14:paraId="0EDC43EC"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وقد نظم النظام السعودي التوقيع الإلكتروني والتصديق الرقمي، وربط قبول التوقيع في الإثبات باستيفاء المتطلبات المتعلقة بسلامة السجل الإلكتروني وموثوقية التوقيع. ويحقق ذلك أساسًا قانونيًا للاعتداد بالتوقيع، إلا أن التطور الحديث في مفهوم خدمات الثقة، الذي يشمل الأختام والطوابع الزمنية وخدمات التسليم الإلكتروني المسجل، يقتضي استمرار تحديث المصطلحات واللوائح بما يتجاوز التصديق التقليدي إلى منظومة أشمل للثقة الرقمية</w:t>
      </w:r>
      <w:r w:rsidRPr="00092562">
        <w:rPr>
          <w:rFonts w:ascii="Times New Roman" w:eastAsia="Times New Roman" w:hAnsi="Times New Roman" w:cs="Times New Roman"/>
          <w:sz w:val="24"/>
          <w:szCs w:val="24"/>
        </w:rPr>
        <w:t>.</w:t>
      </w:r>
    </w:p>
    <w:p w14:paraId="332662E4"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ويبدو التنظيم الإماراتي أكثر تفصيلًا في هذا الجانب؛ إذ لم يقتصر المرسوم بقانون رقم (46) لسنة 2021 على تنظيم التوقيع الإلكتروني، بل ميز بين خدمات الثقة وخدمات الثقة المعتمدة، ونظم مقدميها والترخيص لهم، ثم فصلت اللائحة التنفيذية لسنة 2023 المتطلبات الفنية والتنظيمية المرتبطة بها. ولا يعني هذا التفصيل أن كل معاملة يجب أن تستخدم أعلى درجات التوثيق، لكنه يوفر تصنيفًا قانونيًا واضحًا للخدمات وفق درجة الموثوقية المطلوبة</w:t>
      </w:r>
      <w:r w:rsidRPr="00092562">
        <w:rPr>
          <w:rFonts w:ascii="Times New Roman" w:eastAsia="Times New Roman" w:hAnsi="Times New Roman" w:cs="Times New Roman"/>
          <w:sz w:val="24"/>
          <w:szCs w:val="24"/>
        </w:rPr>
        <w:t>.</w:t>
      </w:r>
    </w:p>
    <w:p w14:paraId="62AC9A78"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أما سنغافورة، فتستخدم نموذجًا متدرجًا يميز بين التوقيع الإلكتروني عمومًا والتوقيع الإلكتروني الآمن، كما تخضع جهات التصديق لنظام اعتماد ورقابة تشرف عليه هيئة تطوير الإعلام والاتصالات. وتوضح الهيئة أن جهات التصديق تقوم بالتحقق من هوية المستخدم أو المنشأة قبل إصدار الشهادة الرقمية، بما يدعم وظيفة التوقيع الرقمي في تحديد الهوية وسلامة البيانات</w:t>
      </w:r>
      <w:r w:rsidRPr="00092562">
        <w:rPr>
          <w:rFonts w:ascii="Times New Roman" w:eastAsia="Times New Roman" w:hAnsi="Times New Roman" w:cs="Times New Roman"/>
          <w:sz w:val="24"/>
          <w:szCs w:val="24"/>
        </w:rPr>
        <w:t>.</w:t>
      </w:r>
    </w:p>
    <w:p w14:paraId="12AEDF0A"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وتدل المقارنة على اختلاف في أسلوب بناء المفاهيم: فالسعودية تنطلق من التوقيع والتصديق الإلكترونيين باعتبارهما أساس الحجية، والإمارات تتبنى مفهومًا أوسع لخدمات الثقة، بينما تعتمد سنغافورة التدرج بين الاعتراف العام والصفة الآمنة، مع تنظيم جهات التصديق فنيًا. ويمكن للتنظيم السعودي الاستفادة من هذا التطور من خلال توحيد المصطلحات المتعلقة بخدمات الثقة وتصنيفها بحسب وظائفها ومستوى المخاطر المرتبط بكل خدمة</w:t>
      </w:r>
      <w:r w:rsidRPr="00092562">
        <w:rPr>
          <w:rFonts w:ascii="Times New Roman" w:eastAsia="Times New Roman" w:hAnsi="Times New Roman" w:cs="Times New Roman"/>
          <w:sz w:val="24"/>
          <w:szCs w:val="24"/>
        </w:rPr>
        <w:t>.</w:t>
      </w:r>
    </w:p>
    <w:p w14:paraId="4EFACD7A"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tl/>
        </w:rPr>
      </w:pPr>
    </w:p>
    <w:p w14:paraId="047F5D03" w14:textId="77777777" w:rsidR="00081600" w:rsidRDefault="00081600">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2B9887C6"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ثالثًا: تحديد المسؤولية القانونية لمقدمي الخدمات الرقمية</w:t>
      </w:r>
    </w:p>
    <w:p w14:paraId="159D8289"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الاعتراف بخدمات الثقة من دون تحديد التزامات مقدميها ومسؤوليتهم عند إصدار شهادة غير صحيحة، أو الإخلال بالتحقق من الهوية، أو تسريب بيانات التوقيع، أو التأخر في إلغاء شهادة تعرضت للاختراق</w:t>
      </w:r>
      <w:r w:rsidRPr="00C873A8">
        <w:rPr>
          <w:rFonts w:ascii="Times New Roman" w:eastAsia="Times New Roman" w:hAnsi="Times New Roman" w:cs="Times New Roman"/>
          <w:sz w:val="24"/>
          <w:szCs w:val="24"/>
        </w:rPr>
        <w:t>.</w:t>
      </w:r>
    </w:p>
    <w:p w14:paraId="56A57FCF"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ويحتوي النظام السعودي على أحكام تتعلق بمقدمي خدمات التصديق وشروط ممارسة النشاط والتزاماتهم، إلا أن تعدد صور الخدمات الرقمية الحديثة قد يثير الحاجة إلى قواعد أكثر تفصيلًا تحدد المسؤولية بحسب نوع الخدمة، ودرجة الاعتماد عليها، وطبيعة الخطأ، والعلاقة بين مقدم الخدمة والمستخدم والغير المتضرر. ولا ينبغي وصف التنظيم السعودي بأنه يخلو من المسؤولية، بل الأدق أنه يحتاج إلى تطويرها بما يواكب اتساع مفهوم خدمات الثقة</w:t>
      </w:r>
      <w:r w:rsidRPr="00C873A8">
        <w:rPr>
          <w:rFonts w:ascii="Times New Roman" w:eastAsia="Times New Roman" w:hAnsi="Times New Roman" w:cs="Times New Roman"/>
          <w:sz w:val="24"/>
          <w:szCs w:val="24"/>
        </w:rPr>
        <w:t>.</w:t>
      </w:r>
    </w:p>
    <w:p w14:paraId="26251153"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أخضع المشرع تقديم خدمات الثقة للترخيص، ومنع تقديمها دون الحصول على ترخيص من الهيئة المختصة، كما أجاز اتخاذ إجراءات مثل تعليق الترخيص أو إلغائه عند مخالفة الأحكام المنظمة. وفصلت اللائحة التنفيذية التزامات مقدمي الخدمات وخطط إنهاء النشاط وغيرها من المتطلبات التنظيمية. ويعزز ذلك وضوح المسؤولية التنظيمية، وإن ظلت المسؤولية المدنية عن الأضرار خاضعة كذلك للقواعد العامة بحسب طبيعة الواقعة</w:t>
      </w:r>
      <w:r w:rsidRPr="00C873A8">
        <w:rPr>
          <w:rFonts w:ascii="Times New Roman" w:eastAsia="Times New Roman" w:hAnsi="Times New Roman" w:cs="Times New Roman"/>
          <w:sz w:val="24"/>
          <w:szCs w:val="24"/>
        </w:rPr>
        <w:t>.</w:t>
      </w:r>
    </w:p>
    <w:p w14:paraId="771670EB"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أما في سنغافورة، فتقوم المسؤولية التنظيمية لجهات التصديق على قانون المعاملات الإلكترونية ولوائح جهات التصديق ومتطلبات الاعتماد والتدقيق. وتخضع الجهات المعتمدة لمعايير امتثال ومراجعة دورية، بما يجعل الرقابة الوقائية والتدقيق عنصرين أساسيين في ضبط المسؤولية، بدل اقتصارها على التعويض بعد وقوع الضرر</w:t>
      </w:r>
      <w:r w:rsidRPr="00C873A8">
        <w:rPr>
          <w:rFonts w:ascii="Times New Roman" w:eastAsia="Times New Roman" w:hAnsi="Times New Roman" w:cs="Times New Roman"/>
          <w:sz w:val="24"/>
          <w:szCs w:val="24"/>
        </w:rPr>
        <w:t>.</w:t>
      </w:r>
    </w:p>
    <w:p w14:paraId="32F6EA6C"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ويتضح أن الإمارات وسنغافورة تبرزان بصورة أوضح المسؤولية المؤسسية لمقدم الخدمة من خلال الترخيص أو الاعتماد والتدقيق، بينما يظل تطوير التنظيم السعودي ممكنًا من خلال الانتقال من التركيز على نشاط التصديق إلى تنظيم جميع مقدمي خدمات الثقة وفق درجات متفاوتة من الالتزام والمسؤولية</w:t>
      </w:r>
      <w:r w:rsidRPr="00C873A8">
        <w:rPr>
          <w:rFonts w:ascii="Times New Roman" w:eastAsia="Times New Roman" w:hAnsi="Times New Roman" w:cs="Times New Roman"/>
          <w:sz w:val="24"/>
          <w:szCs w:val="24"/>
        </w:rPr>
        <w:t>.</w:t>
      </w:r>
    </w:p>
    <w:p w14:paraId="458BFF3C"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رابعًا: حجية الأدلة الرقمية وتفاوت القوة الإثباتية</w:t>
      </w:r>
    </w:p>
    <w:p w14:paraId="26CB7E02"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اتفقت الأنظمة الثلاثة على عدم استبعاد الدليل بسبب شكله الرقمي، لكنها اختلفت في طريقة تحديد قوته الإثباتية. فقد أفرد نظام الإثبات السعودي بابًا للدليل الرقمي، وأجاز تقديمه بهيئته الأصلية أو بوسيلة رقمية أخرى، ومنح المحكمة سلطة طلب ما يلزم للتحقق من صحته. ويشكل هذا التنظيم تطورًا مهمًا؛ لأنه ينقل الدليل الرقمي من نطاق القبول الاستثنائي إلى التنظيم التشريعي المباشر</w:t>
      </w:r>
      <w:r w:rsidRPr="00C873A8">
        <w:rPr>
          <w:rFonts w:ascii="Times New Roman" w:eastAsia="Times New Roman" w:hAnsi="Times New Roman" w:cs="Times New Roman"/>
          <w:sz w:val="24"/>
          <w:szCs w:val="24"/>
        </w:rPr>
        <w:t>.</w:t>
      </w:r>
    </w:p>
    <w:p w14:paraId="67ADEB1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ويتقارب قانون الإثبات الإماراتي لسنة 2022 مع التنظيم السعودي من حيث الاعتراف بالدليل الإلكتروني وتنظيم تقديمه والتحقق منه، غير أن وجود منظومة خدمات الثقة المعتمدة يضيف إمكانية دعم الدليل بتوقيع مؤهل أو ختم أو طابع زمني، بما قد يعزز موثوقيته عند المنازعة. ولا يعني ذلك أن كل دليل غير مؤهل يفتقر إلى الحجية، بل تختلف قوته بحسب مصدره وطريقة إنشائه وحفظه</w:t>
      </w:r>
      <w:r w:rsidRPr="00C873A8">
        <w:rPr>
          <w:rFonts w:ascii="Times New Roman" w:eastAsia="Times New Roman" w:hAnsi="Times New Roman" w:cs="Times New Roman"/>
          <w:sz w:val="24"/>
          <w:szCs w:val="24"/>
        </w:rPr>
        <w:t>.</w:t>
      </w:r>
    </w:p>
    <w:p w14:paraId="161FCAF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سنغافورة، يقوم تنظيم الحجية على التكامل بين قانون المعاملات الإلكترونية وقانون الإثبات؛ إذ تقرر المادة</w:t>
      </w:r>
      <w:r w:rsidRPr="00C873A8">
        <w:rPr>
          <w:rFonts w:ascii="Times New Roman" w:eastAsia="Times New Roman" w:hAnsi="Times New Roman" w:cs="Times New Roman"/>
          <w:sz w:val="24"/>
          <w:szCs w:val="24"/>
        </w:rPr>
        <w:t xml:space="preserve"> (116A) </w:t>
      </w:r>
      <w:r w:rsidRPr="00C873A8">
        <w:rPr>
          <w:rFonts w:ascii="Times New Roman" w:eastAsia="Times New Roman" w:hAnsi="Times New Roman" w:cs="Times New Roman"/>
          <w:sz w:val="24"/>
          <w:szCs w:val="24"/>
          <w:rtl/>
        </w:rPr>
        <w:t>من قانون الإثبات قرائن تتعلق بأصالة بعض السجلات الإلكترونية، خصوصًا إذا أنشئت أو حفظت في المسار المعتاد للعمل بواسطة شخص غير ذي مصلحة في النزاع. كما يقرر قانون المعاملات الإلكترونية قرائن للتوقيعات والسجلات الإلكترونية الآمنة</w:t>
      </w:r>
      <w:r w:rsidRPr="00C873A8">
        <w:rPr>
          <w:rFonts w:ascii="Times New Roman" w:eastAsia="Times New Roman" w:hAnsi="Times New Roman" w:cs="Times New Roman"/>
          <w:sz w:val="24"/>
          <w:szCs w:val="24"/>
        </w:rPr>
        <w:t>.</w:t>
      </w:r>
    </w:p>
    <w:p w14:paraId="5CB911E8"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ويظهر من المقارنة أن السعودية والإمارات توفران وضوحًا من خلال تخصيص أحكام حديثة للدليل الرقمي، بينما تتميز سنغافورة بصياغة قرائن تشريعية أكثر تحديدًا لأصالة السجل وسلامته. ولذلك فإن تطوير الممارسة السعودية يمكن أن يستفيد من تقرير قرائن قابلة لإثبات العكس للسجلات الرسمية أو المنتجة بواسطة أنظمة موثوقة، مع بقاء سلطة المحكمة في تقدير الأدلة الأخرى</w:t>
      </w:r>
      <w:r w:rsidRPr="00C873A8">
        <w:rPr>
          <w:rFonts w:ascii="Times New Roman" w:eastAsia="Times New Roman" w:hAnsi="Times New Roman" w:cs="Times New Roman"/>
          <w:sz w:val="24"/>
          <w:szCs w:val="24"/>
        </w:rPr>
        <w:t>.</w:t>
      </w:r>
    </w:p>
    <w:p w14:paraId="42F0DE61"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خامسًا: حماية البيانات الشخصية في البيئة القضائية الرقمية</w:t>
      </w:r>
    </w:p>
    <w:p w14:paraId="2D8FF4B3"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أصبحت حماية البيانات تحديًا مباشرًا للقضاء الرقمي؛ لأن ملفات الدعاوى قد تتضمن بيانات صحية ومالية وأسرية وتجارية عالية الحساسية. وقد أصدر المنظم السعودي نظام حماية البيانات الشخصية سنة 2021، وقرر سريانه على عمليات معالجة البيانات الشخصية بأي وسيلة، بما في ذلك المعالجة التي تتم من جهات خارج المملكة متى تعلقت بأفراد مقيمين فيها. ويعكس ذلك نطاقًا واسعًا للحماية، إلا أن التطبيق القضائي يحتاج إلى مواءمة هذه القواعد العامة مع خصوصية ملفات القضايا ومدد الاحتفاظ بها وصلاحيات الاطلاع عليها</w:t>
      </w:r>
      <w:r w:rsidRPr="00C873A8">
        <w:rPr>
          <w:rFonts w:ascii="Times New Roman" w:eastAsia="Times New Roman" w:hAnsi="Times New Roman" w:cs="Times New Roman"/>
          <w:sz w:val="24"/>
          <w:szCs w:val="24"/>
        </w:rPr>
        <w:t>.</w:t>
      </w:r>
    </w:p>
    <w:p w14:paraId="06AB391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كما أصدرت الإمارات المرسوم بقانون الاتحادي رقم (45) لسنة 2021 بشأن حماية البيانات الشخصية، بالتوازي مع تشريع المعاملات الإلكترونية وخدمات الثقة. وتوفر هذه الموازاة إطارًا يجمع بين توسيع الاستخدام الرقمي وفرض قواعد لحماية البيانات، مع مراعاة الاستثناءات المرتبطة بالمطالبات والإجراءات القانونية</w:t>
      </w:r>
      <w:r w:rsidRPr="00C873A8">
        <w:rPr>
          <w:rFonts w:ascii="Times New Roman" w:eastAsia="Times New Roman" w:hAnsi="Times New Roman" w:cs="Times New Roman"/>
          <w:sz w:val="24"/>
          <w:szCs w:val="24"/>
        </w:rPr>
        <w:t>.</w:t>
      </w:r>
    </w:p>
    <w:p w14:paraId="71BAEF5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سنغافورة، ينظم قانون حماية البيانات الشخصية لسنة 2012 جمع البيانات واستخدامها والإفصاح عنها من قبل المؤسسات، وقد أُدخلت عليه تعديلات متتابعة وصدرت نسخته المنقحة سنة 2020 متضمنة التعديلات النافذة حتى ديسمبر 2021. ويمنح طول مدة التطبيق خبرة تنظيمية أوسع، لكنه لا يعني تلقائيًا أن الحماية أشمل في جميع المجالات؛ إذ يجب مراعاة نطاق تطبيق القانون على المؤسسات والقواعد الخاصة بالجهات العامة</w:t>
      </w:r>
      <w:r w:rsidRPr="00C873A8">
        <w:rPr>
          <w:rFonts w:ascii="Times New Roman" w:eastAsia="Times New Roman" w:hAnsi="Times New Roman" w:cs="Times New Roman"/>
          <w:sz w:val="24"/>
          <w:szCs w:val="24"/>
        </w:rPr>
        <w:t>.</w:t>
      </w:r>
    </w:p>
    <w:p w14:paraId="2B7BD1D7"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ومن ثم، لا يصح تقييم الأنظمة الثلاثة بعبارات عامة مثل «حديث» و«مستقر» فقط، بل وفق معايير تشمل نطاق التطبيق، وحقوق صاحب البيانات، والتزامات الحماية والإبلاغ عن الخروقات، وقواعد النقل عبر الحدود، ومدى وجود تنظيم خاص للبيانات القضائية. ويظهر التحدي السعودي أساسًا في تحويل المبادئ العامة إلى سياسات تفصيلية لإدارة البيانات القضائية، بينما تتمثل ميزة سنغافورة في تراكم الخبرة التطبيقية، وتتمثل ميزة الإمارات في التقارب الزمني والتشريعي بين حماية البيانات وخدمات الثقة</w:t>
      </w:r>
      <w:r w:rsidRPr="00C873A8">
        <w:rPr>
          <w:rFonts w:ascii="Times New Roman" w:eastAsia="Times New Roman" w:hAnsi="Times New Roman" w:cs="Times New Roman"/>
          <w:sz w:val="24"/>
          <w:szCs w:val="24"/>
        </w:rPr>
        <w:t>.</w:t>
      </w:r>
    </w:p>
    <w:p w14:paraId="482DEFA9"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سادسًا: التكامل والمرونة التشريعية</w:t>
      </w:r>
    </w:p>
    <w:p w14:paraId="254FF5F8"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ينشأ التشتت التشريعي عندما تتوزع الأحكام المنظمة للتحول الرقمي بين أنظمة متعددة من دون بيان دقيق للعلاقة بينها أو الجهة المسؤولة عن تنسيقها. وفي المملكة، تتوزع القواعد بين نظام التعاملات الإلكترونية، ونظام الإثبات، ونظام حماية البيانات الشخصية، ونظام مكافحة جرائم المعلوماتية، إضافة إلى اللوائح والضوابط التنظيمية. ولا يعد هذا التعدد عيبًا بذاته؛ لأن كل نظام يعالج موضوعًا مختلفًا، إلا أن التحدي يتمثل في ضمان التكامل بينها داخل البيئة القضائية الرقمية</w:t>
      </w:r>
      <w:r w:rsidRPr="00C873A8">
        <w:rPr>
          <w:rFonts w:ascii="Times New Roman" w:eastAsia="Times New Roman" w:hAnsi="Times New Roman" w:cs="Times New Roman"/>
          <w:sz w:val="24"/>
          <w:szCs w:val="24"/>
        </w:rPr>
        <w:t>.</w:t>
      </w:r>
    </w:p>
    <w:p w14:paraId="079C013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أدى إصدار تشريعات المعاملات الإلكترونية وحماية البيانات والإثبات خلال فترة متقاربة إلى درجة أعلى من التقارب بين المفاهيم والقواعد، كما توفر منصة تشريعات الإمارات قاعدة رسمية موحدة ومحدثة للتشريعات الاتحادية ولوائحها. غير أن تعدد الاختصاصات الاتحادية والمحلية يظل عاملًا يجب مراعاته عند تقييم التكامل العملي</w:t>
      </w:r>
      <w:r w:rsidRPr="00C873A8">
        <w:rPr>
          <w:rFonts w:ascii="Times New Roman" w:eastAsia="Times New Roman" w:hAnsi="Times New Roman" w:cs="Times New Roman"/>
          <w:sz w:val="24"/>
          <w:szCs w:val="24"/>
        </w:rPr>
        <w:t>.</w:t>
      </w:r>
    </w:p>
    <w:p w14:paraId="06E65CF7"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أما سنغافورة، فيتحقق التكامل من خلال الجمع بين قانون المعاملات الإلكترونية وقانون الإثبات وقواعد الجهات التنظيمية، مع اعتماد معايير فنية تصدرها هيئة تطوير الإعلام والاتصالات. ويمنح ذلك التنظيم قدرة على تحديث التفاصيل الفنية من دون تعديل القانون في كل مرة، لكن نجاحه يفترض وضوح الحدود بين القواعد القانونية الملزمة والإرشادات والمعايير الفنية</w:t>
      </w:r>
      <w:r w:rsidRPr="00C873A8">
        <w:rPr>
          <w:rFonts w:ascii="Times New Roman" w:eastAsia="Times New Roman" w:hAnsi="Times New Roman" w:cs="Times New Roman"/>
          <w:sz w:val="24"/>
          <w:szCs w:val="24"/>
        </w:rPr>
        <w:t>.</w:t>
      </w:r>
    </w:p>
    <w:p w14:paraId="4E8930F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وتتطلب المرونة التشريعية توزيعًا مناسبًا بين القانون واللائحة؛ فيقرر القانون الحقوق والالتزامات والضمانات الأساسية، بينما تتولى اللوائح والمعايير الفنية التفاصيل القابلة للتغيير. ويظهر من المقارنة أن سنغافورة تستخدم هذا الفصل بصورة واضحة، وأن الإمارات طورت لائحة تفصيلية لخدمات الثقة، بينما تحتاج المملكة إلى استمرار تحديث اللوائح والمعايير وربطها بصورة أكثر مباشرة بإجراءات التقاضي الرقمي</w:t>
      </w:r>
      <w:r w:rsidRPr="00C873A8">
        <w:rPr>
          <w:rFonts w:ascii="Times New Roman" w:eastAsia="Times New Roman" w:hAnsi="Times New Roman" w:cs="Times New Roman"/>
          <w:sz w:val="24"/>
          <w:szCs w:val="24"/>
        </w:rPr>
        <w:t>.</w:t>
      </w:r>
    </w:p>
    <w:p w14:paraId="00296222"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سابعًا: مواجهة الجرائم والمخاطر الرقمية</w:t>
      </w:r>
    </w:p>
    <w:p w14:paraId="4EA66E5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تنظيم العقوبات لمواجهة الجرائم الرقمية؛ لأن الحماية الفعالة تجمع بين التجريم والوقاية وإدارة المخاطر. ويقرر نظام مكافحة جرائم المعلوماتية السعودي جرائم تتعلق بالدخول غير المشروع والاعتراض والإتلاف وغيرها من الأفعال التي تمس الأنظمة والبيانات. ويشكل ذلك أساسًا جزائيًا مهمًا، إلا أن التحول الرقمي القضائي يتطلب إلى جانبه التزامات وقائية تتعلق بالأمن السيبراني وسجلات التدقيق واستمرارية الخدمات</w:t>
      </w:r>
      <w:r w:rsidRPr="00C873A8">
        <w:rPr>
          <w:rFonts w:ascii="Times New Roman" w:eastAsia="Times New Roman" w:hAnsi="Times New Roman" w:cs="Times New Roman"/>
          <w:sz w:val="24"/>
          <w:szCs w:val="24"/>
        </w:rPr>
        <w:t>.</w:t>
      </w:r>
    </w:p>
    <w:p w14:paraId="61E4F8F2"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يتكامل تجريم الاعتداءات الرقمية مع قواعد حماية البيانات وخدمات الثقة، بما يسمح بمعالجة الفعل من زوايا جزائية وتنظيمية ومدنية. أما في سنغافورة، فيهدف قانون إساءة استخدام الحاسب لسنة 1993 إلى حماية المواد الحاسوبية من الدخول أو التعديل غير المصرح به، كما شملت تعديلاته الحديثة حماية خدمة الهوية الرقمية الوطنية من إساءة الاستخدام</w:t>
      </w:r>
      <w:r w:rsidRPr="00C873A8">
        <w:rPr>
          <w:rFonts w:ascii="Times New Roman" w:eastAsia="Times New Roman" w:hAnsi="Times New Roman" w:cs="Times New Roman"/>
          <w:sz w:val="24"/>
          <w:szCs w:val="24"/>
        </w:rPr>
        <w:t>.</w:t>
      </w:r>
    </w:p>
    <w:p w14:paraId="282F3A4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ويكشف ذلك أن المقارنة لا ينبغي أن تقوم على وصف أحد الأنظمة بأنه «أقوى عقوبة» والآخر بأنه «أكثر وقاية»، ما لم تقارن العقوبات والالتزامات الوقائية وفق معايير محددة. والأدق أن الأنظمة الثلاثة تجمع بدرجات مختلفة بين التجريم والتنظيم، وأن التحدي المشترك يتمثل في الانتقال من الاستجابة اللاحقة للجريمة إلى الحوكمة الوقائية للمخاطر</w:t>
      </w:r>
      <w:r w:rsidRPr="00C873A8">
        <w:rPr>
          <w:rFonts w:ascii="Times New Roman" w:eastAsia="Times New Roman" w:hAnsi="Times New Roman" w:cs="Times New Roman"/>
          <w:sz w:val="24"/>
          <w:szCs w:val="24"/>
        </w:rPr>
        <w:t>.</w:t>
      </w:r>
    </w:p>
    <w:p w14:paraId="591E0484" w14:textId="77777777" w:rsid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36DA7707" w14:textId="15EDA6A0"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ثامنًا: الاعتراف العابر للحدود بالتوقيعات وخدمات الثقة</w:t>
      </w:r>
    </w:p>
    <w:p w14:paraId="76150FD9"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القول إن الاعتراف الدولي بالتوقيع الإلكتروني «مرتفع» أو «في طور التطوير»، لأن الاعتراف العابر للحدود يتوقف على وجود قواعد قانونية للاعتراف بالشهادات والخدمات الأجنبية، ومدى التكافؤ بين مستويات الأمان، والاتفاقيات الدولية أو الترتيبات التنظيمية</w:t>
      </w:r>
      <w:r w:rsidRPr="00C873A8">
        <w:rPr>
          <w:rFonts w:ascii="Times New Roman" w:eastAsia="Times New Roman" w:hAnsi="Times New Roman" w:cs="Times New Roman"/>
          <w:sz w:val="24"/>
          <w:szCs w:val="24"/>
        </w:rPr>
        <w:t>.</w:t>
      </w:r>
    </w:p>
    <w:p w14:paraId="210DDC8A"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وقد استندت التشريعات الثلاثة إلى مبادئ دولية مستمدة من أعمال الأونسيترال بدرجات متفاوتة. ويظهر ذلك بصورة واضحة في قانون المعاملات الإلكترونية السنغافوري، الذي يهدف إلى توفير أساس قانوني آمن للمعاملات الإلكترونية، كما عدّل سنة 2021 لاستيعاب السجلات الإلكترونية القابلة للتحويل وفق التطورات الدولية. وتعمل جهة تنظيم سلطات التصديق في سنغافورة كذلك على مقارنة متطلبات التدقيق في نظامها بأنظمة دولية أخرى، نظرًا إلى عمل جهات التصديق عبر الحدود</w:t>
      </w:r>
      <w:r w:rsidRPr="00C873A8">
        <w:rPr>
          <w:rFonts w:ascii="Times New Roman" w:eastAsia="Times New Roman" w:hAnsi="Times New Roman" w:cs="Times New Roman"/>
          <w:sz w:val="24"/>
          <w:szCs w:val="24"/>
        </w:rPr>
        <w:t>.</w:t>
      </w:r>
    </w:p>
    <w:p w14:paraId="66FEACA2" w14:textId="66DFFBFE" w:rsidR="003B3BAB"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كما ينظم التشريع الإماراتي خدمات الثقة وخدمات الثقة المعتمدة ضمن إطار يمكن أن يدعم الاعتراف المتبادل متى تحققت متطلبات التكافؤ والاعتماد. أما النظام السعودي، فقد أسس للاعتراف بالتوقيعات والشهادات الإلكترونية، إلا أن تطوير الاعتراف العابر للحدود يحتاج إلى قواعد واتفاقات أكثر تفصيلًا تحدد شروط قبول خدمات الثقة الأجنبية وآثارها أمام القضاء</w:t>
      </w:r>
    </w:p>
    <w:p w14:paraId="39D33C2E" w14:textId="6050248C"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D96EAA5" w14:textId="60C2868C"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21B084B9" w14:textId="2C0FCF00"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584FB87" w14:textId="21F97241"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9A0DDB5" w14:textId="7899C74B"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E7F73C5" w14:textId="3C62F7BB"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BC6A770" w14:textId="5892DEE4"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157DAE6B" w14:textId="15DF5585"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3E07A7A"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tl/>
        </w:rPr>
      </w:pPr>
    </w:p>
    <w:p w14:paraId="041D71FB" w14:textId="77777777" w:rsidR="007E383E" w:rsidRDefault="007E383E"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3AD89C15" w14:textId="11B266C6"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7E40EF">
        <w:rPr>
          <w:rFonts w:ascii="Times New Roman" w:eastAsia="Times New Roman" w:hAnsi="Times New Roman" w:cs="Times New Roman" w:hint="cs"/>
          <w:b/>
          <w:bCs/>
          <w:sz w:val="32"/>
          <w:szCs w:val="32"/>
          <w:rtl/>
        </w:rPr>
        <w:t>ثانياً:</w:t>
      </w:r>
      <w:r w:rsidRPr="007E40EF">
        <w:rPr>
          <w:rFonts w:ascii="Times New Roman" w:hAnsi="Times New Roman" w:cs="Times New Roman"/>
          <w:b/>
          <w:bCs/>
          <w:sz w:val="32"/>
          <w:szCs w:val="32"/>
          <w:rtl/>
        </w:rPr>
        <w:t xml:space="preserve"> التحديات التقنية</w:t>
      </w:r>
    </w:p>
    <w:p w14:paraId="0A1668D2" w14:textId="77777777" w:rsidR="00A000ED" w:rsidRDefault="003B3BAB" w:rsidP="00AA2D35">
      <w:pPr>
        <w:pStyle w:val="a5"/>
        <w:bidi/>
        <w:spacing w:line="360" w:lineRule="auto"/>
      </w:pPr>
      <w:r w:rsidRPr="003B3BAB">
        <w:rPr>
          <w:sz w:val="28"/>
          <w:szCs w:val="28"/>
          <w:rtl/>
        </w:rPr>
        <w:t>تعقيد البنية التحتية الرقمية</w:t>
      </w:r>
      <w:r w:rsidR="00A000ED">
        <w:rPr>
          <w:rFonts w:hint="cs"/>
          <w:b/>
          <w:bCs/>
          <w:sz w:val="28"/>
          <w:szCs w:val="28"/>
          <w:rtl/>
        </w:rPr>
        <w:t xml:space="preserve"> </w:t>
      </w:r>
      <w:r w:rsidR="00A000ED">
        <w:rPr>
          <w:rtl/>
        </w:rPr>
        <w:t>يقصد بتعقيد البنية التحتية الرقمية تعدد وتشابك الأنظمة والتقنيات والشبكات التي تعتمد عليها المؤسسات في تقديم خدماتها الرقمية وإدارة أعمالها. وتشمل هذه البنية الخوادم، وقواعد البيانات، والشبكات، والحوسبة السحابية، وأنظمة الأمن السيبراني، ومنصات تبادل البيانات، وغيرها من التقنيات المترابطة</w:t>
      </w:r>
      <w:r w:rsidR="00A000ED">
        <w:t>.</w:t>
      </w:r>
    </w:p>
    <w:p w14:paraId="18C0012E" w14:textId="77777777" w:rsidR="00A000ED" w:rsidRDefault="00A000ED" w:rsidP="00AA2D35">
      <w:pPr>
        <w:pStyle w:val="a5"/>
        <w:bidi/>
        <w:spacing w:line="360" w:lineRule="auto"/>
      </w:pPr>
      <w:r>
        <w:rPr>
          <w:rtl/>
        </w:rPr>
        <w:t>ويُعد هذا التعقيد من أبرز تحديات التحول الرقمي، لأن تشغيل وإدارة هذه المكونات يتطلب خبرات فنية متخصصة وتنسيقًا مستمرًا لضمان تكامل الأنظمة وكفاءة أدائها. كما أن أي خلل في أحد المكونات قد يؤثر في عمل الأنظمة الأخرى ويؤدي إلى تعطيل الخدمات أو انخفاض كفاءتها</w:t>
      </w:r>
      <w:r>
        <w:t>.</w:t>
      </w:r>
    </w:p>
    <w:p w14:paraId="4790CC66" w14:textId="1234321E" w:rsidR="003B3BAB" w:rsidRPr="00A000ED" w:rsidRDefault="00A000ED" w:rsidP="00AA2D35">
      <w:pPr>
        <w:pStyle w:val="a5"/>
        <w:bidi/>
        <w:spacing w:line="360" w:lineRule="auto"/>
        <w:rPr>
          <w:rtl/>
        </w:rPr>
      </w:pPr>
      <w:r>
        <w:rPr>
          <w:rtl/>
        </w:rPr>
        <w:t>وفي القطاع القضائي، تزداد أهمية هذه المسألة نظرًا للحاجة إلى ربط المحاكم والجهات الحكومية وقواعد البيانات المختلفة ضمن بيئة رقمية آمنة وموثوقة. لذلك يتطلب نجاح التحول الرقمي وجود بنية تحتية قوية ومرنة قادرة على استيعاب التطورات التقنية وحماية البيانات وضمان استمرارية الخدمات الإلكترونية</w:t>
      </w:r>
      <w:r>
        <w:t>.</w:t>
      </w:r>
    </w:p>
    <w:p w14:paraId="5DABAAFA" w14:textId="5C01611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hint="cs"/>
          <w:sz w:val="28"/>
          <w:szCs w:val="28"/>
          <w:rtl/>
        </w:rPr>
        <w:t>يق</w:t>
      </w:r>
      <w:r w:rsidRPr="003B3BAB">
        <w:rPr>
          <w:rFonts w:ascii="Times New Roman" w:eastAsia="Times New Roman" w:hAnsi="Times New Roman" w:cs="Times New Roman"/>
          <w:sz w:val="28"/>
          <w:szCs w:val="28"/>
          <w:rtl/>
        </w:rPr>
        <w:t>وم التحول الرقمي على بنية تقنية مركبة تشمل</w:t>
      </w:r>
      <w:r w:rsidRPr="003B3BAB">
        <w:rPr>
          <w:rFonts w:ascii="Times New Roman" w:eastAsia="Times New Roman" w:hAnsi="Times New Roman" w:cs="Times New Roman"/>
          <w:sz w:val="28"/>
          <w:szCs w:val="28"/>
        </w:rPr>
        <w:t>:</w:t>
      </w:r>
    </w:p>
    <w:p w14:paraId="200FD2C5" w14:textId="7E8EEC9C"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الحوسبة السحابية</w:t>
      </w:r>
      <w:r w:rsidRPr="007E40EF">
        <w:rPr>
          <w:rFonts w:ascii="Times New Roman" w:eastAsia="Times New Roman" w:hAnsi="Times New Roman" w:cs="Times New Roman"/>
          <w:sz w:val="24"/>
          <w:szCs w:val="24"/>
        </w:rPr>
        <w:t xml:space="preserve"> (Cloud Computing) </w:t>
      </w:r>
      <w:r w:rsidRPr="007E40EF">
        <w:rPr>
          <w:rFonts w:ascii="Times New Roman" w:eastAsia="Times New Roman" w:hAnsi="Times New Roman" w:cs="Times New Roman" w:hint="cs"/>
          <w:sz w:val="24"/>
          <w:szCs w:val="24"/>
          <w:vertAlign w:val="superscript"/>
          <w:rtl/>
        </w:rPr>
        <w:t>(1</w:t>
      </w:r>
      <w:r w:rsidR="00A000ED" w:rsidRPr="00E160B3">
        <w:rPr>
          <w:rStyle w:val="a8"/>
          <w:rFonts w:ascii="Times New Roman" w:eastAsia="Times New Roman" w:hAnsi="Times New Roman" w:cs="Times New Roman"/>
          <w:vanish/>
          <w:sz w:val="24"/>
          <w:szCs w:val="24"/>
          <w:vertAlign w:val="baseline"/>
          <w:rtl/>
        </w:rPr>
        <w:footnoteReference w:id="27"/>
      </w:r>
      <w:r w:rsidRPr="007E40EF">
        <w:rPr>
          <w:rFonts w:ascii="Times New Roman" w:eastAsia="Times New Roman" w:hAnsi="Times New Roman" w:cs="Times New Roman" w:hint="cs"/>
          <w:sz w:val="24"/>
          <w:szCs w:val="24"/>
          <w:vertAlign w:val="superscript"/>
          <w:rtl/>
        </w:rPr>
        <w:t>)</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البنية التحتية للمفاتيح العامة</w:t>
      </w:r>
      <w:r w:rsidRPr="007E40EF">
        <w:rPr>
          <w:rFonts w:ascii="Times New Roman" w:eastAsia="Times New Roman" w:hAnsi="Times New Roman" w:cs="Times New Roman"/>
          <w:sz w:val="24"/>
          <w:szCs w:val="24"/>
        </w:rPr>
        <w:t xml:space="preserve"> (PKI) </w:t>
      </w:r>
      <w:r w:rsidRPr="007E40EF">
        <w:rPr>
          <w:rFonts w:ascii="Times New Roman" w:eastAsia="Times New Roman" w:hAnsi="Times New Roman" w:cs="Times New Roman" w:hint="cs"/>
          <w:sz w:val="24"/>
          <w:szCs w:val="24"/>
          <w:vertAlign w:val="superscript"/>
          <w:rtl/>
        </w:rPr>
        <w:t>(2</w:t>
      </w:r>
      <w:r w:rsidR="007E40EF" w:rsidRPr="007E40EF">
        <w:rPr>
          <w:rFonts w:ascii="Times New Roman" w:eastAsia="Times New Roman" w:hAnsi="Times New Roman" w:cs="Times New Roman" w:hint="cs"/>
          <w:sz w:val="24"/>
          <w:szCs w:val="24"/>
          <w:vertAlign w:val="superscript"/>
          <w:rtl/>
        </w:rPr>
        <w:t>)</w:t>
      </w:r>
      <w:r w:rsidR="007E40EF" w:rsidRPr="007E40EF">
        <w:rPr>
          <w:rFonts w:ascii="Times New Roman" w:eastAsia="Times New Roman" w:hAnsi="Times New Roman" w:cs="Times New Roman" w:hint="cs"/>
          <w:sz w:val="24"/>
          <w:szCs w:val="24"/>
          <w:rtl/>
        </w:rPr>
        <w:t>، الذكاء</w:t>
      </w:r>
      <w:r w:rsidRPr="007E40EF">
        <w:rPr>
          <w:rFonts w:ascii="Times New Roman" w:eastAsia="Times New Roman" w:hAnsi="Times New Roman" w:cs="Times New Roman"/>
          <w:sz w:val="24"/>
          <w:szCs w:val="24"/>
          <w:rtl/>
        </w:rPr>
        <w:t xml:space="preserve"> الاصطناعي</w:t>
      </w:r>
      <w:r w:rsidRPr="007E40EF">
        <w:rPr>
          <w:rFonts w:ascii="Times New Roman" w:eastAsia="Times New Roman" w:hAnsi="Times New Roman" w:cs="Times New Roman"/>
          <w:sz w:val="24"/>
          <w:szCs w:val="24"/>
        </w:rPr>
        <w:t xml:space="preserve"> (AI) </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إنترنت الأشياء وتحليل البيانات</w:t>
      </w:r>
    </w:p>
    <w:p w14:paraId="6DB9515C" w14:textId="77777777" w:rsidR="003B3BAB" w:rsidRPr="007E40EF" w:rsidRDefault="003B3BAB"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أبعاد التعقيد</w:t>
      </w:r>
    </w:p>
    <w:p w14:paraId="79732CE1" w14:textId="7777777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تكامل الأنظمة القديمة</w:t>
      </w:r>
      <w:r w:rsidRPr="003B3BAB">
        <w:rPr>
          <w:rFonts w:ascii="Times New Roman" w:eastAsia="Times New Roman" w:hAnsi="Times New Roman" w:cs="Times New Roman"/>
          <w:b/>
          <w:bCs/>
          <w:sz w:val="28"/>
          <w:szCs w:val="28"/>
        </w:rPr>
        <w:t xml:space="preserve"> (Legacy Systems)</w:t>
      </w:r>
      <w:r w:rsidRPr="003B3BAB">
        <w:rPr>
          <w:rFonts w:ascii="Times New Roman" w:eastAsia="Times New Roman" w:hAnsi="Times New Roman" w:cs="Times New Roman"/>
          <w:sz w:val="28"/>
          <w:szCs w:val="28"/>
        </w:rPr>
        <w:t xml:space="preserve"> </w:t>
      </w:r>
    </w:p>
    <w:p w14:paraId="04380985" w14:textId="77777777" w:rsidR="00F33F88" w:rsidRDefault="00F33F88" w:rsidP="00AA2D35">
      <w:pPr>
        <w:spacing w:before="100" w:beforeAutospacing="1" w:after="100" w:afterAutospacing="1" w:line="360" w:lineRule="auto"/>
        <w:jc w:val="left"/>
        <w:rPr>
          <w:rFonts w:ascii="Times New Roman" w:hAnsi="Times New Roman" w:cs="Times New Roman"/>
          <w:rtl/>
        </w:rPr>
      </w:pPr>
      <w:r w:rsidRPr="00F33F88">
        <w:rPr>
          <w:rFonts w:ascii="Times New Roman" w:hAnsi="Times New Roman" w:cs="Times New Roman"/>
          <w:rtl/>
        </w:rPr>
        <w:t>يُعد تكامل الأنظمة القديمة مع الأنظمة الرقمية الحديثة من أبرز التحديات التقنية التي تواجه مشروعات التحول الرقمي، خاصة في المؤسسات التي تعتمد منذ سنوات طويلة على أنظمة وتقنيات تقليدية تم تصميمها وفق متطلبات مختلفة عن متطلبات البيئة الرقمية الحديثة</w:t>
      </w:r>
    </w:p>
    <w:p w14:paraId="528DBAAF" w14:textId="46C771F0" w:rsidR="003B3BAB"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hAnsi="Times New Roman" w:cs="Times New Roman"/>
          <w:rtl/>
        </w:rPr>
        <w:t xml:space="preserve"> وتكمن المشكلة في أن العديد من الأنظمة القديمة أُنشئت باستخدام تقنيات وبرمجيات قديمة لا تدعم التكامل السلس مع التطبيقات والمنصات الحديثة، مما يؤدي إلى صعوبة تبادل البيانات والمعلومات بين الأنظمة المختلفة. كما أن اختلاف قواعد البيانات والبنية التقنية والمعايير المستخدمة قد يسبب مشكلات في التوافق والتشغيل المشترك</w:t>
      </w:r>
      <w:r w:rsidRPr="00F33F88">
        <w:rPr>
          <w:rFonts w:ascii="Times New Roman" w:hAnsi="Times New Roman" w:cs="Times New Roman"/>
        </w:rPr>
        <w:t>.</w:t>
      </w:r>
      <w:r w:rsidR="004141E3" w:rsidRPr="00F33F88">
        <w:rPr>
          <w:rFonts w:ascii="Times New Roman" w:eastAsia="Times New Roman" w:hAnsi="Times New Roman" w:cs="Times New Roman"/>
          <w:sz w:val="24"/>
          <w:szCs w:val="24"/>
          <w:vertAlign w:val="superscript"/>
          <w:rtl/>
        </w:rPr>
        <w:t xml:space="preserve"> (3)</w:t>
      </w:r>
    </w:p>
    <w:p w14:paraId="478E7AD5" w14:textId="77777777" w:rsidR="00F33F88" w:rsidRDefault="00F33F88" w:rsidP="00AA2D35">
      <w:pPr>
        <w:pStyle w:val="a5"/>
        <w:bidi/>
        <w:spacing w:line="360" w:lineRule="auto"/>
      </w:pPr>
      <w:r>
        <w:rPr>
          <w:rtl/>
        </w:rPr>
        <w:t>وفي المملكة العربية السعودية، يُعد هذا التحدي من القضايا المهمة التي واجهت بعض الجهات خلال مراحل التحول الرقمي، حيث تطلب الأمر تحديث الأنظمة القائمة أو إعادة تصميمها وربطها بمنصات رقمية حديثة لتحقيق التكامل وتوحيد البيانات والخدمات. كما أن استمرار الاعتماد على بعض الأنظمة التقليدية قد يؤدي إلى بطء الإجراءات وارتفاع تكاليف التشغيل والصيانة</w:t>
      </w:r>
      <w:r>
        <w:t>.</w:t>
      </w:r>
    </w:p>
    <w:p w14:paraId="400B0AA1" w14:textId="77777777" w:rsidR="00F33F88" w:rsidRDefault="00F33F88" w:rsidP="00AA2D35">
      <w:pPr>
        <w:pStyle w:val="a5"/>
        <w:bidi/>
        <w:spacing w:line="360" w:lineRule="auto"/>
      </w:pPr>
      <w:r>
        <w:rPr>
          <w:rtl/>
        </w:rPr>
        <w:t>لذلك يتطلب نجاح التحول الرقمي وضع خطط تدريجية لتحديث الأنظمة القديمة ودمجها مع التقنيات الحديثة، بما يضمن استمرارية العمل، وتحسين كفاءة الخدمات، وتحقيق التكامل الرقمي بين مختلف الجهات والأنظمة الحكومية والقضائية</w:t>
      </w:r>
      <w:r>
        <w:t>.</w:t>
      </w:r>
    </w:p>
    <w:p w14:paraId="7BF81372" w14:textId="77777777" w:rsidR="00A000ED" w:rsidRDefault="00A000ED"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7D60B5C1" w14:textId="77777777" w:rsidR="00F33F88" w:rsidRDefault="00F33F88"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10F11086" w14:textId="77777777" w:rsidR="00F33F88" w:rsidRDefault="00F33F88" w:rsidP="00AA2D35">
      <w:pPr>
        <w:bidi w:val="0"/>
        <w:jc w:val="lef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7F82DC20" w14:textId="5A7A173E" w:rsid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tl/>
        </w:rPr>
      </w:pPr>
      <w:r w:rsidRPr="003B3BAB">
        <w:rPr>
          <w:rFonts w:ascii="Times New Roman" w:eastAsia="Times New Roman" w:hAnsi="Times New Roman" w:cs="Times New Roman"/>
          <w:b/>
          <w:bCs/>
          <w:sz w:val="28"/>
          <w:szCs w:val="28"/>
          <w:rtl/>
        </w:rPr>
        <w:t>تشابك البيانات</w:t>
      </w:r>
      <w:r w:rsidRPr="003B3BAB">
        <w:rPr>
          <w:rFonts w:ascii="Times New Roman" w:eastAsia="Times New Roman" w:hAnsi="Times New Roman" w:cs="Times New Roman"/>
          <w:sz w:val="28"/>
          <w:szCs w:val="28"/>
          <w:rtl/>
        </w:rPr>
        <w:t xml:space="preserve"> </w:t>
      </w:r>
      <w:r w:rsidR="007F42D0" w:rsidRPr="007F42D0">
        <w:rPr>
          <w:rFonts w:ascii="Times New Roman" w:eastAsia="Times New Roman" w:hAnsi="Times New Roman" w:cs="Times New Roman" w:hint="cs"/>
          <w:sz w:val="28"/>
          <w:szCs w:val="28"/>
          <w:vertAlign w:val="superscript"/>
          <w:rtl/>
        </w:rPr>
        <w:t>(1</w:t>
      </w:r>
      <w:r w:rsidR="009C05D8" w:rsidRPr="00E160B3">
        <w:rPr>
          <w:rStyle w:val="a8"/>
          <w:rFonts w:ascii="Times New Roman" w:eastAsia="Times New Roman" w:hAnsi="Times New Roman" w:cs="Times New Roman"/>
          <w:vanish/>
          <w:sz w:val="28"/>
          <w:szCs w:val="28"/>
          <w:vertAlign w:val="baseline"/>
          <w:rtl/>
        </w:rPr>
        <w:footnoteReference w:id="28"/>
      </w:r>
      <w:r w:rsidR="007F42D0" w:rsidRPr="007F42D0">
        <w:rPr>
          <w:rFonts w:ascii="Times New Roman" w:eastAsia="Times New Roman" w:hAnsi="Times New Roman" w:cs="Times New Roman" w:hint="cs"/>
          <w:sz w:val="28"/>
          <w:szCs w:val="28"/>
          <w:vertAlign w:val="superscript"/>
          <w:rtl/>
        </w:rPr>
        <w:t>)</w:t>
      </w:r>
    </w:p>
    <w:p w14:paraId="56C4021B"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يقصد بتشابك البيانات تداخل البيانات والمعلومات وتوزعها بين أنظمة وقواعد بيانات متعددة داخل المؤسسة أو بين عدة جهات، مما يجعل إدارتها وتبادلها وتحليلها أكثر تعقيدًا. ويظهر هذا التحدي عندما تكون البيانات مخزنة بصيغ مختلفة أو في أنظمة غير مترابطة، الأمر الذي يؤدي إلى صعوبة الوصول إلى معلومات دقيقة ومتكاملة</w:t>
      </w:r>
      <w:r w:rsidRPr="00F33F88">
        <w:rPr>
          <w:rFonts w:ascii="Times New Roman" w:eastAsia="Times New Roman" w:hAnsi="Times New Roman" w:cs="Times New Roman"/>
          <w:sz w:val="24"/>
          <w:szCs w:val="24"/>
        </w:rPr>
        <w:t>.</w:t>
      </w:r>
    </w:p>
    <w:p w14:paraId="3891ACFC"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ويُعد تشابك البيانات من التحديات المهمة في مشروعات التحول الرقمي، لأنه قد يسبب تكرار البيانات، وازدواجية المعلومات، وظهور تعارض أو اختلاف في النتائج بين الأنظمة المختلفة. كما قد يؤثر على سرعة إنجاز المعاملات ودقة التقارير واتخاذ القرارات</w:t>
      </w:r>
      <w:r w:rsidRPr="00F33F88">
        <w:rPr>
          <w:rFonts w:ascii="Times New Roman" w:eastAsia="Times New Roman" w:hAnsi="Times New Roman" w:cs="Times New Roman"/>
          <w:sz w:val="24"/>
          <w:szCs w:val="24"/>
        </w:rPr>
        <w:t>.</w:t>
      </w:r>
    </w:p>
    <w:p w14:paraId="1D606EEB" w14:textId="748336CA"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وفي القطاع القضائي والحكومي، تزداد أهمية معالجة تشابك البيانات بسبب الحاجة إلى تبادل المعلومات بين جهات متعددة، مثل المحاكم والوزارات والهيئات الحكومية. ولذلك تسعى المؤسسات إلى بناء قواعد بيانات موحدة ومنصات تكامل رقمي تضمن تدفق البيانات بصورة دقيقة وآمنة، مما يسهم في تحسين كفاءة العمل ودعم اتخاذ القرار وتحقيق أهداف التحول الرقمي</w:t>
      </w:r>
      <w:r w:rsidRPr="00F33F88">
        <w:rPr>
          <w:rFonts w:ascii="Times New Roman" w:eastAsia="Times New Roman" w:hAnsi="Times New Roman" w:cs="Times New Roman"/>
          <w:sz w:val="24"/>
          <w:szCs w:val="24"/>
        </w:rPr>
        <w:t>.</w:t>
      </w:r>
    </w:p>
    <w:p w14:paraId="7F3B50E4" w14:textId="77777777" w:rsidR="007F42D0" w:rsidRPr="007F42D0" w:rsidRDefault="003B3BAB" w:rsidP="00AA2D35">
      <w:pPr>
        <w:pStyle w:val="a5"/>
        <w:bidi/>
        <w:spacing w:line="360" w:lineRule="auto"/>
      </w:pPr>
      <w:r w:rsidRPr="007F42D0">
        <w:rPr>
          <w:b/>
          <w:bCs/>
          <w:rtl/>
        </w:rPr>
        <w:t>تعدد مصادر البيانات</w:t>
      </w:r>
      <w:r w:rsidR="007F42D0">
        <w:rPr>
          <w:rFonts w:hint="cs"/>
          <w:rtl/>
        </w:rPr>
        <w:t xml:space="preserve"> </w:t>
      </w:r>
      <w:r w:rsidR="007F42D0" w:rsidRPr="007F42D0">
        <w:rPr>
          <w:rtl/>
        </w:rPr>
        <w:t>يقصد بتعدد مصادر البيانات وجود البيانات والمعلومات في أكثر من جهة أو نظام أو قاعدة بيانات مختلفة داخل المؤسسة أو بين عدة مؤسسات. فقد يتم الحصول على البيانات من أنظمة إلكترونية متعددة، أو منصات حكومية، أو قواعد بيانات داخلية وخارجية</w:t>
      </w:r>
      <w:r w:rsidR="007F42D0" w:rsidRPr="007F42D0">
        <w:t>.</w:t>
      </w:r>
    </w:p>
    <w:p w14:paraId="219B39AF" w14:textId="77777777" w:rsidR="007F42D0" w:rsidRPr="007F42D0" w:rsidRDefault="007F42D0" w:rsidP="00AA2D35">
      <w:pPr>
        <w:spacing w:before="100" w:beforeAutospacing="1" w:after="100" w:afterAutospacing="1" w:line="360" w:lineRule="auto"/>
        <w:jc w:val="left"/>
        <w:rPr>
          <w:rFonts w:ascii="Times New Roman" w:eastAsia="Times New Roman" w:hAnsi="Times New Roman" w:cs="Times New Roman"/>
          <w:sz w:val="24"/>
          <w:szCs w:val="24"/>
        </w:rPr>
      </w:pPr>
      <w:r w:rsidRPr="007F42D0">
        <w:rPr>
          <w:rFonts w:ascii="Times New Roman" w:eastAsia="Times New Roman" w:hAnsi="Times New Roman" w:cs="Times New Roman"/>
          <w:sz w:val="24"/>
          <w:szCs w:val="24"/>
          <w:rtl/>
        </w:rPr>
        <w:t>ويُعد ذلك تحديًا في التحول الرقمي، لأن اختلاف مصادر البيانات قد يؤدي إلى تكرار المعلومات أو عدم توافقها، مما يصعب عملية جمعها وتحليلها. لذلك تسعى المؤسسات إلى ربط هذه المصادر وتوحيد البيانات لضمان دقتها وسهولة الاستفادة منها في اتخاذ القرارات وتحسين الخدمات</w:t>
      </w:r>
      <w:r w:rsidRPr="007F42D0">
        <w:rPr>
          <w:rFonts w:ascii="Times New Roman" w:eastAsia="Times New Roman" w:hAnsi="Times New Roman" w:cs="Times New Roman"/>
          <w:sz w:val="24"/>
          <w:szCs w:val="24"/>
        </w:rPr>
        <w:t>.</w:t>
      </w:r>
    </w:p>
    <w:p w14:paraId="411DB973" w14:textId="3AF96C51" w:rsidR="009C05D8" w:rsidRDefault="003B3BAB" w:rsidP="00AA2D35">
      <w:pPr>
        <w:pStyle w:val="a5"/>
        <w:bidi/>
        <w:spacing w:line="360" w:lineRule="auto"/>
      </w:pPr>
      <w:r w:rsidRPr="007E40EF">
        <w:rPr>
          <w:rtl/>
        </w:rPr>
        <w:t xml:space="preserve"> </w:t>
      </w:r>
      <w:r w:rsidRPr="009C05D8">
        <w:rPr>
          <w:b/>
          <w:bCs/>
          <w:rtl/>
        </w:rPr>
        <w:t>صعوبة توحيدها</w:t>
      </w:r>
      <w:r w:rsidRPr="007E40EF">
        <w:rPr>
          <w:rtl/>
        </w:rPr>
        <w:t xml:space="preserve"> </w:t>
      </w:r>
      <w:r w:rsidR="009C05D8">
        <w:rPr>
          <w:rtl/>
        </w:rPr>
        <w:t>يقصد بصعوبة توحيد البيانات التحديات التي تواجه المؤسسات عند محاولة جمع البيانات القادمة من مصادر وأنظمة مختلفة وتحويلها إلى صيغة موحدة يمكن استخدامها بسهولة. ويحدث ذلك بسبب اختلاف طرق حفظ البيانات، أو تنوع قواعد البيانات، أو اختلاف معايير إدخال المعلومات بين الجهات المختلفة</w:t>
      </w:r>
      <w:r w:rsidR="009C05D8">
        <w:t>.</w:t>
      </w:r>
    </w:p>
    <w:p w14:paraId="2C6045F9" w14:textId="77777777" w:rsidR="009C05D8" w:rsidRDefault="009C05D8" w:rsidP="00AA2D35">
      <w:pPr>
        <w:pStyle w:val="a5"/>
        <w:bidi/>
        <w:spacing w:line="360" w:lineRule="auto"/>
      </w:pPr>
      <w:r>
        <w:rPr>
          <w:rtl/>
        </w:rPr>
        <w:t>وتؤدي هذه الصعوبة إلى ظهور بيانات مكررة أو غير متناسقة، مما قد يؤثر في دقة التقارير وكفاءة اتخاذ القرار. لذلك يُعد توحيد البيانات خطوة أساسية في التحول الرقمي لضمان جودة المعلومات وسهولة تبادلها والاستفادة منها في تقديم خدمات أكثر كفاءة ودقة</w:t>
      </w:r>
      <w:r>
        <w:t>.</w:t>
      </w:r>
    </w:p>
    <w:p w14:paraId="3964798E" w14:textId="37E4AF09"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73BBE8B5" w14:textId="77777777" w:rsidR="009C05D8" w:rsidRPr="009C05D8" w:rsidRDefault="009C05D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9C05D8">
        <w:rPr>
          <w:rFonts w:ascii="Times New Roman" w:eastAsia="Times New Roman" w:hAnsi="Times New Roman" w:cs="Times New Roman"/>
          <w:b/>
          <w:bCs/>
          <w:sz w:val="24"/>
          <w:szCs w:val="24"/>
          <w:rtl/>
        </w:rPr>
        <w:t>الاعتماد على تقنيات متعددة (السحابة، الذكاء الاصطناعي، الأمن السيبراني)</w:t>
      </w:r>
    </w:p>
    <w:p w14:paraId="0ADB682F"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يقصد بالاعتماد على تقنيات متعددة استخدام أكثر من تقنية حديثة في الوقت نفسه لدعم التحول الرقمي وتحسين كفاءة الخدمات. ومن أبرز هذه التقنيات الحوسبة السحابية، والذكاء الاصطناعي، والأمن السيبراني</w:t>
      </w:r>
      <w:r w:rsidRPr="009C05D8">
        <w:rPr>
          <w:rFonts w:ascii="Times New Roman" w:eastAsia="Times New Roman" w:hAnsi="Times New Roman" w:cs="Times New Roman"/>
          <w:sz w:val="24"/>
          <w:szCs w:val="24"/>
        </w:rPr>
        <w:t>.</w:t>
      </w:r>
    </w:p>
    <w:p w14:paraId="1E389371" w14:textId="77777777"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الحوسبة السحابية</w:t>
      </w:r>
      <w:r w:rsidRPr="009C05D8">
        <w:rPr>
          <w:rFonts w:ascii="Times New Roman" w:eastAsia="Times New Roman" w:hAnsi="Times New Roman" w:cs="Times New Roman"/>
          <w:sz w:val="24"/>
          <w:szCs w:val="24"/>
          <w:rtl/>
        </w:rPr>
        <w:t xml:space="preserve"> توفر إمكانية تخزين البيانات وتشغيل الأنظمة عبر الإنترنت، مما يسهل الوصول إلى المعلومات ويزيد من مرونة العمل</w:t>
      </w:r>
      <w:r w:rsidRPr="009C05D8">
        <w:rPr>
          <w:rFonts w:ascii="Times New Roman" w:eastAsia="Times New Roman" w:hAnsi="Times New Roman" w:cs="Times New Roman"/>
          <w:sz w:val="24"/>
          <w:szCs w:val="24"/>
        </w:rPr>
        <w:t xml:space="preserve">. </w:t>
      </w:r>
    </w:p>
    <w:p w14:paraId="7B7D0AA6" w14:textId="0D63F537"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الذكاء </w:t>
      </w:r>
      <w:r w:rsidR="00BA15BE" w:rsidRPr="009C05D8">
        <w:rPr>
          <w:rFonts w:ascii="Times New Roman" w:eastAsia="Times New Roman" w:hAnsi="Times New Roman" w:cs="Times New Roman" w:hint="cs"/>
          <w:b/>
          <w:bCs/>
          <w:sz w:val="24"/>
          <w:szCs w:val="24"/>
          <w:rtl/>
        </w:rPr>
        <w:t>الاصطناعي</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1)</w:t>
      </w:r>
      <w:r w:rsidRPr="009C05D8">
        <w:rPr>
          <w:rFonts w:ascii="Times New Roman" w:eastAsia="Times New Roman" w:hAnsi="Times New Roman" w:cs="Times New Roman"/>
          <w:sz w:val="24"/>
          <w:szCs w:val="24"/>
          <w:rtl/>
        </w:rPr>
        <w:t xml:space="preserve"> يساعد في تحليل البيانات وأتمتة الإجراءات ودعم اتخاذ القرارات بسرعة ودقة أكبر</w:t>
      </w:r>
      <w:r w:rsidRPr="009C05D8">
        <w:rPr>
          <w:rFonts w:ascii="Times New Roman" w:eastAsia="Times New Roman" w:hAnsi="Times New Roman" w:cs="Times New Roman"/>
          <w:sz w:val="24"/>
          <w:szCs w:val="24"/>
        </w:rPr>
        <w:t xml:space="preserve">. </w:t>
      </w:r>
    </w:p>
    <w:p w14:paraId="070E6FC7" w14:textId="789F40D6"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الأمن </w:t>
      </w:r>
      <w:r w:rsidR="00C873A8" w:rsidRPr="009C05D8">
        <w:rPr>
          <w:rFonts w:ascii="Times New Roman" w:eastAsia="Times New Roman" w:hAnsi="Times New Roman" w:cs="Times New Roman" w:hint="cs"/>
          <w:b/>
          <w:bCs/>
          <w:sz w:val="24"/>
          <w:szCs w:val="24"/>
          <w:rtl/>
        </w:rPr>
        <w:t>السيبراني</w:t>
      </w:r>
      <w:r w:rsidR="00C873A8" w:rsidRPr="00BA15BE">
        <w:rPr>
          <w:rFonts w:ascii="Times New Roman" w:eastAsia="Times New Roman" w:hAnsi="Times New Roman" w:cs="Times New Roman" w:hint="cs"/>
          <w:b/>
          <w:bCs/>
          <w:sz w:val="24"/>
          <w:szCs w:val="24"/>
          <w:vertAlign w:val="superscript"/>
          <w:rtl/>
        </w:rPr>
        <w:t xml:space="preserve"> </w:t>
      </w:r>
      <w:r w:rsidR="00C873A8"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2)</w:t>
      </w:r>
      <w:r w:rsidRPr="009C05D8">
        <w:rPr>
          <w:rFonts w:ascii="Times New Roman" w:eastAsia="Times New Roman" w:hAnsi="Times New Roman" w:cs="Times New Roman"/>
          <w:sz w:val="24"/>
          <w:szCs w:val="24"/>
          <w:rtl/>
        </w:rPr>
        <w:t xml:space="preserve"> يعمل على حماية الأنظمة والبيانات من الاختراقات والهجمات الإلكترونية وضمان سرية المعلومات</w:t>
      </w:r>
      <w:r w:rsidRPr="009C05D8">
        <w:rPr>
          <w:rFonts w:ascii="Times New Roman" w:eastAsia="Times New Roman" w:hAnsi="Times New Roman" w:cs="Times New Roman"/>
          <w:sz w:val="24"/>
          <w:szCs w:val="24"/>
        </w:rPr>
        <w:t xml:space="preserve">. </w:t>
      </w:r>
    </w:p>
    <w:p w14:paraId="4FE2E74E"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ويُعد الجمع بين هذه التقنيات ضروريًا لنجاح التحول الرقمي، إلا أنه يزيد من تعقيد إدارة الأنظمة ويتطلب خبرات متخصصة لضمان التكامل بينها وتحقيق أعلى مستويات الكفاءة والأمان</w:t>
      </w:r>
      <w:r w:rsidRPr="009C05D8">
        <w:rPr>
          <w:rFonts w:ascii="Times New Roman" w:eastAsia="Times New Roman" w:hAnsi="Times New Roman" w:cs="Times New Roman"/>
          <w:sz w:val="24"/>
          <w:szCs w:val="24"/>
        </w:rPr>
        <w:t>.</w:t>
      </w:r>
    </w:p>
    <w:p w14:paraId="2340CC8D" w14:textId="77777777" w:rsidR="007F42D0" w:rsidRPr="009C05D8" w:rsidRDefault="007F42D0" w:rsidP="00AA2D35">
      <w:pPr>
        <w:spacing w:before="100" w:beforeAutospacing="1" w:after="100" w:afterAutospacing="1" w:line="360" w:lineRule="auto"/>
        <w:jc w:val="left"/>
        <w:rPr>
          <w:rFonts w:ascii="Times New Roman" w:eastAsia="Times New Roman" w:hAnsi="Times New Roman" w:cs="Times New Roman"/>
          <w:b/>
          <w:bCs/>
          <w:sz w:val="24"/>
          <w:szCs w:val="24"/>
          <w:rtl/>
        </w:rPr>
      </w:pPr>
    </w:p>
    <w:p w14:paraId="65AB68DE" w14:textId="7E3C14D9" w:rsidR="003B3BAB" w:rsidRPr="007E40EF" w:rsidRDefault="003B3BAB" w:rsidP="00AA2D35">
      <w:pPr>
        <w:spacing w:before="100" w:beforeAutospacing="1" w:after="100" w:afterAutospacing="1" w:line="360" w:lineRule="auto"/>
        <w:ind w:left="142"/>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Pr>
        <w:br/>
      </w:r>
    </w:p>
    <w:p w14:paraId="48696CCB" w14:textId="740FE762" w:rsidR="00A000ED" w:rsidRDefault="003B3BAB" w:rsidP="00AA2D35">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29"/>
      </w:r>
    </w:p>
    <w:p w14:paraId="226A3764" w14:textId="15F1BE02" w:rsidR="007F42D0" w:rsidRPr="007E40EF" w:rsidRDefault="00A000ED" w:rsidP="00AA2D3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FFFFFF" w:themeColor="background1"/>
          <w:sz w:val="28"/>
          <w:szCs w:val="28"/>
        </w:rPr>
        <w:br w:type="page"/>
      </w:r>
    </w:p>
    <w:p w14:paraId="7024FBBB" w14:textId="4A90932F" w:rsidR="00BA15BE" w:rsidRPr="00BA15BE" w:rsidRDefault="00C873A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م</w:t>
      </w:r>
      <w:r w:rsidR="00BA15BE" w:rsidRPr="00BA15BE">
        <w:rPr>
          <w:rFonts w:ascii="Times New Roman" w:eastAsia="Times New Roman" w:hAnsi="Times New Roman" w:cs="Times New Roman"/>
          <w:b/>
          <w:bCs/>
          <w:sz w:val="24"/>
          <w:szCs w:val="24"/>
          <w:rtl/>
        </w:rPr>
        <w:t xml:space="preserve">خاطر الأمن السيبراني أثناء التكامل بين </w:t>
      </w:r>
      <w:r w:rsidR="00BA15BE" w:rsidRPr="00BA15BE">
        <w:rPr>
          <w:rFonts w:ascii="Times New Roman" w:eastAsia="Times New Roman" w:hAnsi="Times New Roman" w:cs="Times New Roman" w:hint="cs"/>
          <w:b/>
          <w:bCs/>
          <w:sz w:val="24"/>
          <w:szCs w:val="24"/>
          <w:rtl/>
        </w:rPr>
        <w:t>الأنظمة</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E160B3">
        <w:rPr>
          <w:rStyle w:val="a8"/>
          <w:rFonts w:ascii="Times New Roman" w:eastAsia="Times New Roman" w:hAnsi="Times New Roman" w:cs="Times New Roman"/>
          <w:b/>
          <w:bCs/>
          <w:vanish/>
          <w:sz w:val="24"/>
          <w:szCs w:val="24"/>
          <w:vertAlign w:val="baseline"/>
          <w:rtl/>
        </w:rPr>
        <w:footnoteReference w:id="30"/>
      </w:r>
      <w:r w:rsidR="00BA15BE" w:rsidRPr="00BA15BE">
        <w:rPr>
          <w:rFonts w:ascii="Times New Roman" w:eastAsia="Times New Roman" w:hAnsi="Times New Roman" w:cs="Times New Roman" w:hint="cs"/>
          <w:b/>
          <w:bCs/>
          <w:sz w:val="24"/>
          <w:szCs w:val="24"/>
          <w:vertAlign w:val="superscript"/>
          <w:rtl/>
        </w:rPr>
        <w:t>1)</w:t>
      </w:r>
    </w:p>
    <w:p w14:paraId="55DA2DCB"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يُعد الأمن السيبراني من أبرز التحديات المصاحبة لعمليات التكامل الرقمي بين الأنظمة الحكومية والقضائية، إذ إن ربط الأنظمة المختلفة ببعضها البعض يؤدي إلى توسيع نطاق تبادل البيانات وزيادة نقاط الاتصال بين الشبكات وقواعد البيانات. وعلى الرغم من أن التكامل يسهم في تحسين كفاءة العمل وتسهيل تبادل المعلومات، إلا أنه قد يرفع من مستوى المخاطر السيبرانية إذا لم تُطبق ضوابط أمنية كافية</w:t>
      </w:r>
      <w:r w:rsidRPr="00BA15BE">
        <w:rPr>
          <w:rFonts w:ascii="Times New Roman" w:eastAsia="Times New Roman" w:hAnsi="Times New Roman" w:cs="Times New Roman"/>
          <w:sz w:val="24"/>
          <w:szCs w:val="24"/>
        </w:rPr>
        <w:t>.</w:t>
      </w:r>
    </w:p>
    <w:p w14:paraId="2E1B9E23"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وتكمن المشكلة الأساسية في أن دمج الأنظمة الحديثة مع الأنظمة القديمة</w:t>
      </w:r>
      <w:r w:rsidRPr="00BA15BE">
        <w:rPr>
          <w:rFonts w:ascii="Times New Roman" w:eastAsia="Times New Roman" w:hAnsi="Times New Roman" w:cs="Times New Roman"/>
          <w:sz w:val="24"/>
          <w:szCs w:val="24"/>
        </w:rPr>
        <w:t xml:space="preserve"> (Legacy Systems) </w:t>
      </w:r>
      <w:r w:rsidRPr="00BA15BE">
        <w:rPr>
          <w:rFonts w:ascii="Times New Roman" w:eastAsia="Times New Roman" w:hAnsi="Times New Roman" w:cs="Times New Roman"/>
          <w:sz w:val="24"/>
          <w:szCs w:val="24"/>
          <w:rtl/>
        </w:rPr>
        <w:t>قد يخلق ثغرات أمنية نتيجة اختلاف مستويات الحماية التقنية بين هذه الأنظمة. فالأنظمة القديمة غالبًا لم تُصمم وفق متطلبات الأمن السيبراني الحديثة، وقد تحتوي على نقاط ضعف يمكن استغلالها للوصول إلى الأنظمة المترابطة الأخرى</w:t>
      </w:r>
      <w:r w:rsidRPr="00BA15BE">
        <w:rPr>
          <w:rFonts w:ascii="Times New Roman" w:eastAsia="Times New Roman" w:hAnsi="Times New Roman" w:cs="Times New Roman"/>
          <w:sz w:val="24"/>
          <w:szCs w:val="24"/>
        </w:rPr>
        <w:t>.</w:t>
      </w:r>
    </w:p>
    <w:p w14:paraId="748E72F0"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وفي تجربة دولة الإمارات العربية المتحدة، برز هذا التحدي خلال مشروعات التحول الرقمي واسعة النطاق التي استهدفت ربط الأنظمة الحكومية المختلفة ضمن منصات موحدة. وقد استلزم ذلك تعزيز إجراءات الأمن السيبراني وتحديث البنية التقنية للأنظمة القديمة قبل دمجها، لتجنب المخاطر المرتبطة بتسرب البيانات أو الاختراقات الإلكترونية أو تعطل الخدمات الرقمية</w:t>
      </w:r>
      <w:r w:rsidRPr="00BA15BE">
        <w:rPr>
          <w:rFonts w:ascii="Times New Roman" w:eastAsia="Times New Roman" w:hAnsi="Times New Roman" w:cs="Times New Roman"/>
          <w:sz w:val="24"/>
          <w:szCs w:val="24"/>
        </w:rPr>
        <w:t>.</w:t>
      </w:r>
    </w:p>
    <w:p w14:paraId="17DC534E"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ومن أبرز المخاطر الناتجة عن التكامل غير الآمن</w:t>
      </w:r>
      <w:r w:rsidRPr="00BA15BE">
        <w:rPr>
          <w:rFonts w:ascii="Times New Roman" w:eastAsia="Times New Roman" w:hAnsi="Times New Roman" w:cs="Times New Roman"/>
          <w:sz w:val="24"/>
          <w:szCs w:val="24"/>
        </w:rPr>
        <w:t>:</w:t>
      </w:r>
    </w:p>
    <w:p w14:paraId="7A74A363"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زيادة عدد نقاط الدخول إلى الأنظمة والشبكات</w:t>
      </w:r>
      <w:r w:rsidRPr="00BA15BE">
        <w:rPr>
          <w:rFonts w:ascii="Times New Roman" w:eastAsia="Times New Roman" w:hAnsi="Times New Roman" w:cs="Times New Roman"/>
          <w:sz w:val="24"/>
          <w:szCs w:val="24"/>
        </w:rPr>
        <w:t xml:space="preserve">. </w:t>
      </w:r>
    </w:p>
    <w:p w14:paraId="67ACF4D0"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احتمالية انتقال الهجمات الإلكترونية من نظام إلى آخر</w:t>
      </w:r>
      <w:r w:rsidRPr="00BA15BE">
        <w:rPr>
          <w:rFonts w:ascii="Times New Roman" w:eastAsia="Times New Roman" w:hAnsi="Times New Roman" w:cs="Times New Roman"/>
          <w:sz w:val="24"/>
          <w:szCs w:val="24"/>
        </w:rPr>
        <w:t xml:space="preserve">. </w:t>
      </w:r>
    </w:p>
    <w:p w14:paraId="7138C679"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تسرب أو فقدان البيانات أثناء عمليات التبادل الإلكتروني</w:t>
      </w:r>
      <w:r w:rsidRPr="00BA15BE">
        <w:rPr>
          <w:rFonts w:ascii="Times New Roman" w:eastAsia="Times New Roman" w:hAnsi="Times New Roman" w:cs="Times New Roman"/>
          <w:sz w:val="24"/>
          <w:szCs w:val="24"/>
        </w:rPr>
        <w:t xml:space="preserve">. </w:t>
      </w:r>
    </w:p>
    <w:p w14:paraId="2A22F3EA"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صعوبة إدارة الصلاحيات والرقابة على الوصول إلى المعلومات</w:t>
      </w:r>
      <w:r w:rsidRPr="00BA15BE">
        <w:rPr>
          <w:rFonts w:ascii="Times New Roman" w:eastAsia="Times New Roman" w:hAnsi="Times New Roman" w:cs="Times New Roman"/>
          <w:sz w:val="24"/>
          <w:szCs w:val="24"/>
        </w:rPr>
        <w:t xml:space="preserve">. </w:t>
      </w:r>
    </w:p>
    <w:p w14:paraId="19F4177A"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تأثر الأنظمة الحديثة بالثغرات الموجودة في الأنظمة القديمة</w:t>
      </w:r>
      <w:r w:rsidRPr="00BA15BE">
        <w:rPr>
          <w:rFonts w:ascii="Times New Roman" w:eastAsia="Times New Roman" w:hAnsi="Times New Roman" w:cs="Times New Roman"/>
          <w:sz w:val="24"/>
          <w:szCs w:val="24"/>
        </w:rPr>
        <w:t xml:space="preserve">. </w:t>
      </w:r>
    </w:p>
    <w:p w14:paraId="44355107"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ولذلك يتطلب التكامل الرقمي الناجح تطبيق معايير صارمة للأمن السيبراني تشمل التشفير، وإدارة الهوية الرقمية، واختبارات الاختراق الدورية، والتحديث المستمر للأنظمة، ومراقبة الشبكات بشكل دائم. كما يجب أن يكون الأمن السيبراني جزءًا أساسيًا من مراحل التخطيط والتنفيذ لأي مشروع تكامل رقمي</w:t>
      </w:r>
      <w:r w:rsidRPr="00BA15BE">
        <w:rPr>
          <w:rFonts w:ascii="Times New Roman" w:eastAsia="Times New Roman" w:hAnsi="Times New Roman" w:cs="Times New Roman"/>
          <w:sz w:val="24"/>
          <w:szCs w:val="24"/>
        </w:rPr>
        <w:t>.</w:t>
      </w:r>
    </w:p>
    <w:p w14:paraId="4C724BBD"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وبذلك يمكن القول إن مخاطر الأمن السيبراني أثناء التكامل تمثل تحديًا تقنيًا وقانونيًا مهمًا، إذ إن نجاح التحول الرقمي لا يعتمد فقط على ربط الأنظمة وتبادل البيانات، بل يتطلب أيضًا توفير بيئة رقمية آمنة تحمي المعلومات وتحافظ على استمرارية الخدمات وثقة المستخدمين</w:t>
      </w:r>
      <w:r w:rsidRPr="00BA15BE">
        <w:rPr>
          <w:rFonts w:ascii="Times New Roman" w:eastAsia="Times New Roman" w:hAnsi="Times New Roman" w:cs="Times New Roman"/>
          <w:sz w:val="24"/>
          <w:szCs w:val="24"/>
        </w:rPr>
        <w:t>.</w:t>
      </w:r>
    </w:p>
    <w:p w14:paraId="1DCB26E4" w14:textId="7A354821"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p>
    <w:p w14:paraId="4F8E844C" w14:textId="61F9D4A4"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نقص الكفاءات الرقمية</w:t>
      </w:r>
    </w:p>
    <w:p w14:paraId="3850A38F"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يعتمد على مهارات متقدمة مثل</w:t>
      </w:r>
      <w:r w:rsidRPr="004141E3">
        <w:rPr>
          <w:rFonts w:ascii="Times New Roman" w:eastAsia="Times New Roman" w:hAnsi="Times New Roman" w:cs="Times New Roman"/>
          <w:sz w:val="24"/>
          <w:szCs w:val="24"/>
        </w:rPr>
        <w:t>:</w:t>
      </w:r>
    </w:p>
    <w:p w14:paraId="2EA327D1" w14:textId="26E9160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الأمن </w:t>
      </w:r>
      <w:r w:rsidR="004141E3" w:rsidRPr="004141E3">
        <w:rPr>
          <w:rFonts w:ascii="Times New Roman" w:eastAsia="Times New Roman" w:hAnsi="Times New Roman" w:cs="Times New Roman" w:hint="cs"/>
          <w:sz w:val="24"/>
          <w:szCs w:val="24"/>
          <w:rtl/>
        </w:rPr>
        <w:t>السيبراني،</w:t>
      </w:r>
      <w:r w:rsidRPr="004141E3">
        <w:rPr>
          <w:rFonts w:ascii="Times New Roman" w:eastAsia="Times New Roman" w:hAnsi="Times New Roman" w:cs="Times New Roman"/>
          <w:sz w:val="24"/>
          <w:szCs w:val="24"/>
          <w:rtl/>
        </w:rPr>
        <w:t xml:space="preserve"> تحليل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الذكاء </w:t>
      </w:r>
      <w:r w:rsidR="004141E3" w:rsidRPr="004141E3">
        <w:rPr>
          <w:rFonts w:ascii="Times New Roman" w:eastAsia="Times New Roman" w:hAnsi="Times New Roman" w:cs="Times New Roman" w:hint="cs"/>
          <w:sz w:val="24"/>
          <w:szCs w:val="24"/>
          <w:rtl/>
        </w:rPr>
        <w:t>الاصطناعي،</w:t>
      </w:r>
      <w:r w:rsidRPr="004141E3">
        <w:rPr>
          <w:rFonts w:ascii="Times New Roman" w:eastAsia="Times New Roman" w:hAnsi="Times New Roman" w:cs="Times New Roman"/>
          <w:sz w:val="24"/>
          <w:szCs w:val="24"/>
          <w:rtl/>
        </w:rPr>
        <w:t xml:space="preserve"> التشفير</w:t>
      </w:r>
    </w:p>
    <w:p w14:paraId="443B483B" w14:textId="203D5323"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hint="cs"/>
          <w:sz w:val="24"/>
          <w:szCs w:val="24"/>
          <w:rtl/>
        </w:rPr>
        <w:t xml:space="preserve">يلاحظ </w:t>
      </w:r>
      <w:r w:rsidRPr="004141E3">
        <w:rPr>
          <w:rFonts w:ascii="Times New Roman" w:eastAsia="Times New Roman" w:hAnsi="Times New Roman" w:cs="Times New Roman"/>
          <w:sz w:val="24"/>
          <w:szCs w:val="24"/>
          <w:rtl/>
        </w:rPr>
        <w:t>نقص الكوادر المؤهلة القادرة على تشغيل وإدارة هذه الأنظمة</w:t>
      </w:r>
      <w:r w:rsidRPr="004141E3">
        <w:rPr>
          <w:rFonts w:ascii="Times New Roman" w:eastAsia="Times New Roman" w:hAnsi="Times New Roman" w:cs="Times New Roman"/>
          <w:sz w:val="24"/>
          <w:szCs w:val="24"/>
        </w:rPr>
        <w:t>.</w:t>
      </w:r>
    </w:p>
    <w:p w14:paraId="01AE27CC"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ارتفاع التكلفة التقنية</w:t>
      </w:r>
    </w:p>
    <w:p w14:paraId="651C6B1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يتطلب استثمارات ضخمة تشمل</w:t>
      </w:r>
      <w:r w:rsidRPr="004141E3">
        <w:rPr>
          <w:rFonts w:ascii="Times New Roman" w:eastAsia="Times New Roman" w:hAnsi="Times New Roman" w:cs="Times New Roman"/>
          <w:sz w:val="24"/>
          <w:szCs w:val="24"/>
        </w:rPr>
        <w:t>:</w:t>
      </w:r>
    </w:p>
    <w:p w14:paraId="283EE2B6" w14:textId="19AD27E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البنية التحتية </w:t>
      </w:r>
      <w:r w:rsidR="004141E3" w:rsidRPr="004141E3">
        <w:rPr>
          <w:rFonts w:ascii="Times New Roman" w:eastAsia="Times New Roman" w:hAnsi="Times New Roman" w:cs="Times New Roman" w:hint="cs"/>
          <w:sz w:val="24"/>
          <w:szCs w:val="24"/>
          <w:rtl/>
        </w:rPr>
        <w:t>الرقمية،</w:t>
      </w:r>
      <w:r w:rsidRPr="004141E3">
        <w:rPr>
          <w:rFonts w:ascii="Times New Roman" w:eastAsia="Times New Roman" w:hAnsi="Times New Roman" w:cs="Times New Roman"/>
          <w:sz w:val="24"/>
          <w:szCs w:val="24"/>
          <w:rtl/>
        </w:rPr>
        <w:t xml:space="preserve"> الأمن السيبراني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تطوير </w:t>
      </w:r>
      <w:r w:rsidR="004141E3" w:rsidRPr="004141E3">
        <w:rPr>
          <w:rFonts w:ascii="Times New Roman" w:eastAsia="Times New Roman" w:hAnsi="Times New Roman" w:cs="Times New Roman" w:hint="cs"/>
          <w:sz w:val="24"/>
          <w:szCs w:val="24"/>
          <w:rtl/>
        </w:rPr>
        <w:t>الأنظمة، ا</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لتدريب</w:t>
      </w:r>
    </w:p>
    <w:p w14:paraId="551C19D6" w14:textId="3FDC56D6"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تحقيق التوازن بين الكفاءة والتكلفة</w:t>
      </w:r>
      <w:r w:rsidRPr="004141E3">
        <w:rPr>
          <w:rFonts w:ascii="Times New Roman" w:eastAsia="Times New Roman" w:hAnsi="Times New Roman" w:cs="Times New Roman"/>
          <w:sz w:val="24"/>
          <w:szCs w:val="24"/>
        </w:rPr>
        <w:t>.</w:t>
      </w:r>
    </w:p>
    <w:p w14:paraId="563EADF1" w14:textId="7777777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p>
    <w:p w14:paraId="347F072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117E3D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CDD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2838C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2B9C93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1C91A1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B9DFB3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298135" w14:textId="39BE060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83D3E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03C564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A1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A22DAE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354F8D4" w14:textId="7470402C"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D63B1EE" w14:textId="0D811CE9" w:rsidR="00C873A8" w:rsidRPr="00C873A8" w:rsidRDefault="00C873A8" w:rsidP="00C873A8">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C873A8">
        <w:rPr>
          <w:rFonts w:ascii="Times New Roman" w:eastAsia="Times New Roman" w:hAnsi="Times New Roman" w:cs="Times New Roman"/>
          <w:b/>
          <w:bCs/>
          <w:sz w:val="36"/>
          <w:szCs w:val="36"/>
          <w:rtl/>
        </w:rPr>
        <w:t>التحديات التقنية للتحول الرقمي في إجراءات التقاضي</w:t>
      </w:r>
    </w:p>
    <w:p w14:paraId="64ADB04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تتحدد كفاءة التحول الرقمي القضائي بمجرد توفير منصة إلكترونية لتقديم الخدمات، وإنما ترتبط بسلامة البنية التحتية، وتكامل الأنظمة والبيانات، وتوافر الكفاءات البشرية، والقدرة على تمويل التطوير والصيانة، واستمرارية الخدمات في مواجهة الأعطال والمخاطر السيبرانية. ومن ثم، فإن التحديات التقنية لا تنفصل عن التنظيم المؤسسي والقانوني؛ لأن ضعف التكامل أو نقص المهارات أو الاعتماد على أنظمة قديمة قد يؤدي إلى تعطيل الإجراءات القضائية أو التأثير في موثوقية البيانات والحقوق الإجرائية للمتقاضين</w:t>
      </w:r>
      <w:r w:rsidRPr="00C873A8">
        <w:rPr>
          <w:rFonts w:ascii="Times New Roman" w:eastAsia="Times New Roman" w:hAnsi="Times New Roman" w:cs="Times New Roman"/>
          <w:sz w:val="24"/>
          <w:szCs w:val="24"/>
        </w:rPr>
        <w:t>.</w:t>
      </w:r>
    </w:p>
    <w:p w14:paraId="734EF2A5" w14:textId="60E6CBA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أ</w:t>
      </w:r>
      <w:r w:rsidRPr="00F87B67">
        <w:rPr>
          <w:rFonts w:ascii="Times New Roman" w:eastAsia="Times New Roman" w:hAnsi="Times New Roman" w:cs="Times New Roman"/>
          <w:b/>
          <w:bCs/>
          <w:sz w:val="27"/>
          <w:szCs w:val="27"/>
          <w:rtl/>
        </w:rPr>
        <w:t>ولًا: تعقيد البنية التحتية الرقمية وإدارة الأنظمة المتعددة</w:t>
      </w:r>
    </w:p>
    <w:p w14:paraId="36BFA93D"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ينشأ تعقيد البنية الرقمية عندما تتعدد المنصات وقواعد البيانات والجهات المشغلة، أو عندما تتعايش أنظمة قديمة مع تطبيقات حديثة من دون إطار موحد للتكامل. وفي المجال القضائي، تزداد حساسية هذا التحدي؛ لأن تقديم الخدمة قد يتطلب الربط مع أنظمة الهوية والسجل المدني والجهات المالية والتنفيذية ومقدمي خدمات الاتصال، بما يجعل أي خلل في إحدى حلقات الربط مؤثرًا في الإجراء القضائي كله</w:t>
      </w:r>
      <w:r w:rsidRPr="00F87B67">
        <w:rPr>
          <w:rFonts w:ascii="Times New Roman" w:eastAsia="Times New Roman" w:hAnsi="Times New Roman" w:cs="Times New Roman"/>
          <w:sz w:val="24"/>
          <w:szCs w:val="24"/>
        </w:rPr>
        <w:t>.</w:t>
      </w:r>
    </w:p>
    <w:p w14:paraId="71CC6864"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وقد حققت المملكة توسعًا كبيرًا في رقمنة الخدمات الحكومية؛ إذ تشير هيئة الحكومة الرقمية إلى تقديم أكثر من 4500 خدمة حكومية رقمية تمثل أكثر من 97% من الخدمات الحكومية، مع إنفاق تراكمي كبير على تقنية المعلومات والاتصالات. ويؤكد ذلك أن التحدي السعودي لم يعد مجرد توفير الخدمات، وإنما إدارة منظومة واسعة ومتعددة الجهات، وضمان اتساق المعايير وتكامل التطبيقات واستدامتها. كما أن إنشاء إطار تنظيمي لسياسات الحكومة الرقمية وقياس التحول الرقمي يعكس إدراكًا مؤسسيًا لحاجة الجهات إلى توحيد الممارسات والمعايير</w:t>
      </w:r>
      <w:r w:rsidRPr="00F87B67">
        <w:rPr>
          <w:rFonts w:ascii="Times New Roman" w:eastAsia="Times New Roman" w:hAnsi="Times New Roman" w:cs="Times New Roman"/>
          <w:sz w:val="24"/>
          <w:szCs w:val="24"/>
        </w:rPr>
        <w:t>.</w:t>
      </w:r>
    </w:p>
    <w:p w14:paraId="49CDBF5C"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ويتقارب الوضع الإماراتي مع المملكة من حيث تعدد الجهات والخدمات، غير أن استراتيجية الحكومة الرقمية الإماراتية ونموذج نضج الحكومة الرقمية يتجهان إلى اعتماد مرجع موحد لقياس التحول، يشمل القيادة والسياسات، والمسرعات التقنية، وإدارة المؤسسات والبيانات وواجهات الربط. كما اعتمدت الحكومة الإماراتية إرشادات خاصة بمبدأ «واجهات البرمجة أولًا» وسياسات المنصة الرقمية الموحدة، بما يستهدف الانتقال من الخدمات المنفصلة إلى خدمات مترابطة وقابلة للتبادل بين الجهات</w:t>
      </w:r>
      <w:r w:rsidRPr="00F87B67">
        <w:rPr>
          <w:rFonts w:ascii="Times New Roman" w:eastAsia="Times New Roman" w:hAnsi="Times New Roman" w:cs="Times New Roman"/>
          <w:sz w:val="24"/>
          <w:szCs w:val="24"/>
        </w:rPr>
        <w:t>.</w:t>
      </w:r>
    </w:p>
    <w:p w14:paraId="75331026"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سنغافورة، فتعتمد بدرجة أكبر على بنية حكومية مشتركة تقودها هيئة التكنولوجيا الحكومية، التي توفر منصات ومنتجات وبنى تقنية تستخدمها الجهات العامة بدل تطوير كل جهة منظومة مستقلة. وتشير الهيئة إلى اعتماد مكونات تقنية مشتركة، وبنى آمنة، وخدمات للمعاملات الحكومية وإدارة القضايا والبيانات والذكاء الاصطناعي، وهو ما يقلل الازدواجية ويساعد على توحيد المعايير عبر القطاع العام</w:t>
      </w:r>
      <w:r w:rsidRPr="00F87B67">
        <w:rPr>
          <w:rFonts w:ascii="Times New Roman" w:eastAsia="Times New Roman" w:hAnsi="Times New Roman" w:cs="Times New Roman"/>
          <w:sz w:val="24"/>
          <w:szCs w:val="24"/>
        </w:rPr>
        <w:t>.</w:t>
      </w:r>
    </w:p>
    <w:p w14:paraId="42FF78F1"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ويتضح من المقارنة أن السعودية والإمارات تواجهان تحدي إدارة توسع واسع في الخدمات والجهات، بينما تتميز سنغافورة بقدر أكبر من مركزية البنية التقنية المشتركة. ومع ذلك، لا يعني ذلك انعدام التعقيد في سنغافورة، بل يعني أن التعقيد يُدار من خلال منصات ومعايير مشتركة على مستوى الحكومة. ومن ثم، فإن العنصر الحاسم ليس عدد الأنظمة، وإنما وجود معمارية حكومية موحدة تحدد كيفية اتصالها وتبادلها للبيانات</w:t>
      </w:r>
      <w:r w:rsidRPr="00F87B67">
        <w:rPr>
          <w:rFonts w:ascii="Times New Roman" w:eastAsia="Times New Roman" w:hAnsi="Times New Roman" w:cs="Times New Roman"/>
          <w:sz w:val="24"/>
          <w:szCs w:val="24"/>
        </w:rPr>
        <w:t>.</w:t>
      </w:r>
    </w:p>
    <w:p w14:paraId="5DCF8832"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ثانيًا: تكامل الأنظمة وتبادل البيانات</w:t>
      </w:r>
    </w:p>
    <w:p w14:paraId="7DA8CD6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يمثل تكامل الأنظمة شرطًا أساسيًا للقضاء الرقمي؛ إذ لا يكفي أن تكون كل جهة قادرة على تقديم خدماتها إلكترونيًا إذا ظلت قواعد البيانات منفصلة أو تطلبت إعادة إدخال المعلومات في كل مرحلة. ويؤدي ضعف التكامل إلى تكرار البيانات، وتأخر التحقق، واحتمال عدم اتساق المعلومات بين الجهات، بينما يسمح التكامل الآمن باسترجاع البيانات اللازمة للإجراء مباشرة من مصدرها الرسمي</w:t>
      </w:r>
      <w:r w:rsidRPr="00F87B67">
        <w:rPr>
          <w:rFonts w:ascii="Times New Roman" w:eastAsia="Times New Roman" w:hAnsi="Times New Roman" w:cs="Times New Roman"/>
          <w:sz w:val="24"/>
          <w:szCs w:val="24"/>
        </w:rPr>
        <w:t>.</w:t>
      </w:r>
    </w:p>
    <w:p w14:paraId="4FDD40E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المملكة، تتجه سياسات الحكومة الرقمية إلى بناء إطار تنظيمي مشترك، وتتبنى هيئة الحكومة الرقمية برامج لتمكين الجهات من استخدام التقنيات الناشئة وتطوير القوى العاملة الحكومية. كما توضح الدراسات الصادرة عن الهيئة أن التحول الرقمي يشمل الجهات الحكومية ضمن استراتيجيات متعددة، وهو ما يعزز الابتكار، لكنه يفرض تحديًا في توحيد الأولويات والمعايير بين القطاعات</w:t>
      </w:r>
      <w:r w:rsidRPr="00F87B67">
        <w:rPr>
          <w:rFonts w:ascii="Times New Roman" w:eastAsia="Times New Roman" w:hAnsi="Times New Roman" w:cs="Times New Roman"/>
          <w:sz w:val="24"/>
          <w:szCs w:val="24"/>
        </w:rPr>
        <w:t>.</w:t>
      </w:r>
    </w:p>
    <w:p w14:paraId="760F152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الإمارات، تظهر أولوية التكامل بصورة واضحة في سياسات المنصة الموحدة، وتصميم واجهات البرمجة، ونموذج نضج الحكومة الرقمية الذي يتضمن إدارة منظومة واجهات الربط والبيانات ضمن عناصر القياس. ويدل ذلك على أن التكامل لا يعامل بوصفه مشروعًا تقنيًا منفصلًا، بل بوصفه عنصرًا من عناصر النضج المؤسسي للحكومة الرقمية</w:t>
      </w:r>
      <w:r w:rsidRPr="00F87B67">
        <w:rPr>
          <w:rFonts w:ascii="Times New Roman" w:eastAsia="Times New Roman" w:hAnsi="Times New Roman" w:cs="Times New Roman"/>
          <w:sz w:val="24"/>
          <w:szCs w:val="24"/>
        </w:rPr>
        <w:t>.</w:t>
      </w:r>
    </w:p>
    <w:p w14:paraId="3BABB7C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سنغافورة، فتعمل هيئة</w:t>
      </w:r>
      <w:r w:rsidRPr="00F87B67">
        <w:rPr>
          <w:rFonts w:ascii="Times New Roman" w:eastAsia="Times New Roman" w:hAnsi="Times New Roman" w:cs="Times New Roman"/>
          <w:sz w:val="24"/>
          <w:szCs w:val="24"/>
        </w:rPr>
        <w:t xml:space="preserve"> GovTech </w:t>
      </w:r>
      <w:r w:rsidRPr="00F87B67">
        <w:rPr>
          <w:rFonts w:ascii="Times New Roman" w:eastAsia="Times New Roman" w:hAnsi="Times New Roman" w:cs="Times New Roman"/>
          <w:sz w:val="24"/>
          <w:szCs w:val="24"/>
          <w:rtl/>
        </w:rPr>
        <w:t>بوصفها جهة مركزية لتطوير البنى المشتركة والإشراف على البنية الأساسية الحكومية والأمن السيبراني، كما توفر أدوات ومنصات تساعد الجهات على بناء خدمات موحدة ومتسقة. ويمنح هذا النموذج الحكومة قدرة أكبر على إعادة استخدام المكونات التقنية بدل إنشاء أنظمة متوازية في كل جهة</w:t>
      </w:r>
      <w:r w:rsidRPr="00F87B67">
        <w:rPr>
          <w:rFonts w:ascii="Times New Roman" w:eastAsia="Times New Roman" w:hAnsi="Times New Roman" w:cs="Times New Roman"/>
          <w:sz w:val="24"/>
          <w:szCs w:val="24"/>
        </w:rPr>
        <w:t>.</w:t>
      </w:r>
    </w:p>
    <w:p w14:paraId="45B6777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ويتبين أن المملكة والإمارات تتجهان نحو التكامل من خلال الأطر والسياسات والمنصات الحكومية، بينما قامت سنغافورة بتطوير نموذج أكثر مركزية في هندسة البنية الحكومية المشتركة. وتتمثل نقطة القوة في النموذج السنغافوري في تقليل الازدواجية، في حين تتمثل ميزة النموذجين الخليجيين في سرعة توسيع نطاق الخدمات. أما التحدي المشترك فهو ضمان ألا يؤدي الربط بين الجهات إلى توسع غير منضبط في تبادل البيانات أو إلى انتقال الخطأ التقني من نظام إلى آخر</w:t>
      </w:r>
      <w:r w:rsidRPr="00F87B67">
        <w:rPr>
          <w:rFonts w:ascii="Times New Roman" w:eastAsia="Times New Roman" w:hAnsi="Times New Roman" w:cs="Times New Roman"/>
          <w:sz w:val="24"/>
          <w:szCs w:val="24"/>
        </w:rPr>
        <w:t>.</w:t>
      </w:r>
    </w:p>
    <w:p w14:paraId="04118A64"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ثالثًا: الكفاءات الرقمية والقدرة على إدارة التقنية</w:t>
      </w:r>
    </w:p>
    <w:p w14:paraId="2FF6CB5D"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يعد توفر الكفاءات المتخصصة من أكثر العوامل تأثيرًا في استدامة التحول الرقمي؛ لأن إنشاء الأنظمة يمكن أن يتم بالتعاقد مع جهات خارجية، بينما تتطلب إدارتها وتطويرها وضمان سلامتها وجود معرفة مؤسسية داخلية. وتشمل هذه الكفاءات هندسة الأنظمة، وتحليل البيانات، والأمن السيبراني، وإدارة المنتجات الرقمية، وتصميم تجربة المستخدم، إلى جانب قدرة القضاة والموظفين على استخدام التقنية وتقييم مخرجاتها</w:t>
      </w:r>
      <w:r w:rsidRPr="00F87B67">
        <w:rPr>
          <w:rFonts w:ascii="Times New Roman" w:eastAsia="Times New Roman" w:hAnsi="Times New Roman" w:cs="Times New Roman"/>
          <w:sz w:val="24"/>
          <w:szCs w:val="24"/>
        </w:rPr>
        <w:t>.</w:t>
      </w:r>
    </w:p>
    <w:p w14:paraId="29E468A2"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ولا تتوافر في المصادر الرسمية المقارنة بيانات تسمح بالجزم بأن نقص الكفاءات في السعودية «مرتفع» أو أن اعتماد سنغافورة على الخبرات الأجنبية «منخفض». غير أن المبادرات الرسمية تكشف اختلافًا في منهج بناء القدرات. ففي المملكة، يجعل برنامج</w:t>
      </w:r>
      <w:r w:rsidRPr="00F87B67">
        <w:rPr>
          <w:rFonts w:ascii="Times New Roman" w:eastAsia="Times New Roman" w:hAnsi="Times New Roman" w:cs="Times New Roman"/>
          <w:sz w:val="24"/>
          <w:szCs w:val="24"/>
        </w:rPr>
        <w:t xml:space="preserve"> GovTech </w:t>
      </w:r>
      <w:r w:rsidRPr="00F87B67">
        <w:rPr>
          <w:rFonts w:ascii="Times New Roman" w:eastAsia="Times New Roman" w:hAnsi="Times New Roman" w:cs="Times New Roman"/>
          <w:sz w:val="24"/>
          <w:szCs w:val="24"/>
          <w:rtl/>
        </w:rPr>
        <w:t>تمكين القوى العاملة الحكومية وتطوير ثقافة الابتكار من أهدافه الأساسية، وهو ما يدل على أن تنمية المهارات تعد جزءًا من معالجة تحديات التحول وليس مسألة ثانوية</w:t>
      </w:r>
      <w:r w:rsidRPr="00F87B67">
        <w:rPr>
          <w:rFonts w:ascii="Times New Roman" w:eastAsia="Times New Roman" w:hAnsi="Times New Roman" w:cs="Times New Roman"/>
          <w:sz w:val="24"/>
          <w:szCs w:val="24"/>
        </w:rPr>
        <w:t>.</w:t>
      </w:r>
    </w:p>
    <w:p w14:paraId="3A8ECB0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سنغافورة، أنشأت</w:t>
      </w:r>
      <w:r w:rsidRPr="00F87B67">
        <w:rPr>
          <w:rFonts w:ascii="Times New Roman" w:eastAsia="Times New Roman" w:hAnsi="Times New Roman" w:cs="Times New Roman"/>
          <w:sz w:val="24"/>
          <w:szCs w:val="24"/>
        </w:rPr>
        <w:t xml:space="preserve"> GovTech </w:t>
      </w:r>
      <w:r w:rsidRPr="00F87B67">
        <w:rPr>
          <w:rFonts w:ascii="Times New Roman" w:eastAsia="Times New Roman" w:hAnsi="Times New Roman" w:cs="Times New Roman"/>
          <w:sz w:val="24"/>
          <w:szCs w:val="24"/>
          <w:rtl/>
        </w:rPr>
        <w:t>الأكاديمية الرقمية لتوفير برامج تدريبية متخصصة لموظفي الخدمة العامة، تشمل المهارات التقنية والرقمية المطلوبة للعمل الحكومي، وتقوم فلسفتها على التدريب المستمر وربط المناهج بالاحتياجات العملية للقطاع العام. ويشكل هذا التنظيم المؤسسي ميزة مهمة؛ لأنه يجعل تطوير المهارات عملية مستمرة وليست تدريبًا مرتبطًا بإطلاق مشروع معين</w:t>
      </w:r>
      <w:r w:rsidRPr="00F87B67">
        <w:rPr>
          <w:rFonts w:ascii="Times New Roman" w:eastAsia="Times New Roman" w:hAnsi="Times New Roman" w:cs="Times New Roman"/>
          <w:sz w:val="24"/>
          <w:szCs w:val="24"/>
        </w:rPr>
        <w:t>.</w:t>
      </w:r>
    </w:p>
    <w:p w14:paraId="130F533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الإمارات، فتربط استراتيجيتها الرقمية بين توفير الأنظمة والبنية التحتية وتمكين الجهات الحكومية من الابتكار والتعاون، إلا أن تقييم حجم الفجوة المهارية أو الاعتماد على الكفاءات الأجنبية يحتاج إلى بيانات سوق عمل وتوظيف تفصيلية لا يجوز استنتاجها من مستوى الخدمات الرقمية وحده</w:t>
      </w:r>
      <w:r w:rsidRPr="00F87B67">
        <w:rPr>
          <w:rFonts w:ascii="Times New Roman" w:eastAsia="Times New Roman" w:hAnsi="Times New Roman" w:cs="Times New Roman"/>
          <w:sz w:val="24"/>
          <w:szCs w:val="24"/>
        </w:rPr>
        <w:t>.</w:t>
      </w:r>
    </w:p>
    <w:p w14:paraId="4DF7202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ويظهر من المقارنة أن سنغافورة تتميز بوجود منصة تدريب حكومية متخصصة ومستمرة، بينما تعمل المملكة على إدراج تمكين الأفراد ضمن برنامج وطني للتقنيات الحكومية، وتتبنى الإمارات نموذجًا يربط بناء القدرات بتمكين الجهات ضمن استراتيجية الحكومة الرقمية. ولا يصح تحويل هذه الفروق إلى ترتيب مطلق في مستوى المهارات دون مؤشر مباشر، لكن يمكن القول إن التجربة السنغافورية تقدم نموذجًا مؤسسيًا أكثر وضوحًا للتطوير المستمر لكفاءات موظفي الحكومة</w:t>
      </w:r>
      <w:r w:rsidRPr="00F87B67">
        <w:rPr>
          <w:rFonts w:ascii="Times New Roman" w:eastAsia="Times New Roman" w:hAnsi="Times New Roman" w:cs="Times New Roman"/>
          <w:sz w:val="24"/>
          <w:szCs w:val="24"/>
        </w:rPr>
        <w:t>.</w:t>
      </w:r>
    </w:p>
    <w:p w14:paraId="1C98FEC4"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رابعًا: تكلفة التحول والقدرة على تمويله</w:t>
      </w:r>
    </w:p>
    <w:p w14:paraId="3472581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يتطلب التحول الرقمي موارد مالية مستمرة لا تقتصر على تكلفة إنشاء المنصات، بل تشمل التحديث والصيانة والأمن السيبراني والتدريب والتخزين السحابي وإدارة البيانات واستبدال الأنظمة القديمة. وقد تكون المنظومة المتقدمة أكثر تكلفة في مراحلها الأولى، لكنها قد تحقق وفورات لاحقة من خلال إعادة استخدام المكونات وتقليل المعاملات اليدوية</w:t>
      </w:r>
      <w:r w:rsidRPr="00F87B67">
        <w:rPr>
          <w:rFonts w:ascii="Times New Roman" w:eastAsia="Times New Roman" w:hAnsi="Times New Roman" w:cs="Times New Roman"/>
          <w:sz w:val="24"/>
          <w:szCs w:val="24"/>
        </w:rPr>
        <w:t>.</w:t>
      </w:r>
    </w:p>
    <w:p w14:paraId="21A9DDEB"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وتبين تقارير هيئة الحكومة الرقمية أن الإنفاق الحكومي السعودي على تقنية المعلومات والاتصالات شهد حجمًا كبيرًا، وأن الإنفاق التراكمي خلال ثلاثة أعوام تجاوز 113 مليار ريال. ويعكس ذلك قدرة تمويلية قوية والتزامًا مؤسسيًا بالتحول الرقمي، لكنه يكشف أيضًا أن اتساع نطاق الخدمات يفرض مسؤولية متزايدة لضبط الإنفاق وقياس العائد ومنع تكرار المشروعات بين الجهات</w:t>
      </w:r>
      <w:r w:rsidRPr="00F87B67">
        <w:rPr>
          <w:rFonts w:ascii="Times New Roman" w:eastAsia="Times New Roman" w:hAnsi="Times New Roman" w:cs="Times New Roman"/>
          <w:sz w:val="24"/>
          <w:szCs w:val="24"/>
        </w:rPr>
        <w:t>.</w:t>
      </w:r>
    </w:p>
    <w:p w14:paraId="0CB3545F"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الإمارات، تؤكد الاستراتيجية والسياسات الرسمية توفير الأنظمة والبنى والممكنات للجهات الحكومية، لكن المصادر المستخدمة لا تقدم مقارنة مالية مباشرة تسمح بوصف التكلفة بأنها «متوسطة» مقارنة بالسعودية أو سنغافورة. وكذلك في سنغافورة، يدل اعتماد المكونات الحكومية المشتركة على إمكان تحقيق كفاءة اقتصادية من خلال إعادة الاستخدام، إلا أنه لا يثبت أن التكلفة الإجمالية أقل من الدولتين الأخريين</w:t>
      </w:r>
      <w:r w:rsidRPr="00F87B67">
        <w:rPr>
          <w:rFonts w:ascii="Times New Roman" w:eastAsia="Times New Roman" w:hAnsi="Times New Roman" w:cs="Times New Roman"/>
          <w:sz w:val="24"/>
          <w:szCs w:val="24"/>
        </w:rPr>
        <w:t>.</w:t>
      </w:r>
    </w:p>
    <w:p w14:paraId="56B8656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وعليه، فالأدق علميًا استبدال تصنيف «مرتفع، متوسط، منخفض» بتحليل يقوم على </w:t>
      </w:r>
      <w:r w:rsidRPr="00F87B67">
        <w:rPr>
          <w:rFonts w:ascii="Times New Roman" w:eastAsia="Times New Roman" w:hAnsi="Times New Roman" w:cs="Times New Roman"/>
          <w:b/>
          <w:bCs/>
          <w:sz w:val="24"/>
          <w:szCs w:val="24"/>
          <w:rtl/>
        </w:rPr>
        <w:t>نموذج الإنفاق</w:t>
      </w:r>
      <w:r w:rsidRPr="00F87B67">
        <w:rPr>
          <w:rFonts w:ascii="Times New Roman" w:eastAsia="Times New Roman" w:hAnsi="Times New Roman" w:cs="Times New Roman"/>
          <w:sz w:val="24"/>
          <w:szCs w:val="24"/>
        </w:rPr>
        <w:t xml:space="preserve">: </w:t>
      </w:r>
      <w:r w:rsidRPr="00F87B67">
        <w:rPr>
          <w:rFonts w:ascii="Times New Roman" w:eastAsia="Times New Roman" w:hAnsi="Times New Roman" w:cs="Times New Roman"/>
          <w:sz w:val="24"/>
          <w:szCs w:val="24"/>
          <w:rtl/>
        </w:rPr>
        <w:t>فالسعودية تمول تحولًا واسع النطاق وسريع التوسع، والإمارات تربط الاستثمار بمشروعات الحكومة والمنصات والسياسات الموحدة، بينما تعتمد سنغافورة بدرجة أكبر على منصات مركزية ومكونات قابلة لإعادة الاستخدام. ويؤثر هذا الاختلاف في الكفاءة المالية، لكنه لا يكفي وحده لإثبات أن إحدى الدول أقل تكلفة إجمالًا</w:t>
      </w:r>
      <w:r w:rsidRPr="00F87B67">
        <w:rPr>
          <w:rFonts w:ascii="Times New Roman" w:eastAsia="Times New Roman" w:hAnsi="Times New Roman" w:cs="Times New Roman"/>
          <w:sz w:val="24"/>
          <w:szCs w:val="24"/>
        </w:rPr>
        <w:t>.</w:t>
      </w:r>
    </w:p>
    <w:p w14:paraId="7B15FBCC"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خامسًا: الجاهزية التقنية واستدامة الخدمات</w:t>
      </w:r>
    </w:p>
    <w:p w14:paraId="1569BED8"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يُقاس مستوى الجاهزية التقنية بقدرة الدولة على تقديم خدمات رقمية متكاملة وآمنة، وتوفير بنية اتصالات ورأس مال بشري، والاستجابة للأعطال والمخاطر. وقد صنف مسح الأمم المتحدة للحكومة الإلكترونية لعام 2024 سنغافورة في صدارة الدول عالميًا، كما وضع السعودية والإمارات ضمن الفئة ذات الأداء المرتفع جدًا. ويؤكد ذلك أن الدول الثلاث تمتلك مستويات متقدمة من الجاهزية، وإن تفاوتت في النضج المؤسسي وفي طريقة تنظيم البنية الحكومية</w:t>
      </w:r>
      <w:r w:rsidRPr="00F87B67">
        <w:rPr>
          <w:rFonts w:ascii="Times New Roman" w:eastAsia="Times New Roman" w:hAnsi="Times New Roman" w:cs="Times New Roman"/>
          <w:sz w:val="24"/>
          <w:szCs w:val="24"/>
        </w:rPr>
        <w:t>.</w:t>
      </w:r>
    </w:p>
    <w:p w14:paraId="14CB1028"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وقد حققت السعودية تقدمًا كبيرًا في مؤشر الأمم المتحدة لعام 2024، كما جاءت في مراتب متقدمة في مؤشر الخدمات الرقمية والمشاركة الإلكترونية. وتدل هذه النتائج على أن وصف جاهزيتها بأنها «في طور التطور» لا يعبر بدقة عن موقعها الحالي؛ والأصح أنها تتمتع بجاهزية مرتفعة مع تحديات ناتجة عن حجم التوسع والتكامل بين الجهات</w:t>
      </w:r>
      <w:r w:rsidRPr="00F87B67">
        <w:rPr>
          <w:rFonts w:ascii="Times New Roman" w:eastAsia="Times New Roman" w:hAnsi="Times New Roman" w:cs="Times New Roman"/>
          <w:sz w:val="24"/>
          <w:szCs w:val="24"/>
        </w:rPr>
        <w:t>.</w:t>
      </w:r>
    </w:p>
    <w:p w14:paraId="4D377E0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الإمارات، فتتبنى نموذجًا رسميًا لقياس النضج الرقمي يشمل التكنولوجيا والأمن السيبراني والبيانات والحوكمة، وهو ما يوفر أداة لتقييم الجاهزية على مستوى الجهات بدل الاكتفاء بقياس عدد الخدمات</w:t>
      </w:r>
      <w:r w:rsidRPr="00F87B67">
        <w:rPr>
          <w:rFonts w:ascii="Times New Roman" w:eastAsia="Times New Roman" w:hAnsi="Times New Roman" w:cs="Times New Roman"/>
          <w:sz w:val="24"/>
          <w:szCs w:val="24"/>
        </w:rPr>
        <w:t>.</w:t>
      </w:r>
    </w:p>
    <w:p w14:paraId="64EAFF4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سنغافورة، تستند الجاهزية إلى بنية مشتركة تديرها</w:t>
      </w:r>
      <w:r w:rsidRPr="00F87B67">
        <w:rPr>
          <w:rFonts w:ascii="Times New Roman" w:eastAsia="Times New Roman" w:hAnsi="Times New Roman" w:cs="Times New Roman"/>
          <w:sz w:val="24"/>
          <w:szCs w:val="24"/>
        </w:rPr>
        <w:t xml:space="preserve"> GovTech</w:t>
      </w:r>
      <w:r w:rsidRPr="00F87B67">
        <w:rPr>
          <w:rFonts w:ascii="Times New Roman" w:eastAsia="Times New Roman" w:hAnsi="Times New Roman" w:cs="Times New Roman"/>
          <w:sz w:val="24"/>
          <w:szCs w:val="24"/>
          <w:rtl/>
        </w:rPr>
        <w:t>، تشمل الخدمات الحكومية والبنية التقنية والأمن السيبراني وتطوير البرمجيات والبيانات والذكاء الاصطناعي. كما أن وجود جهة مركزية تجمع بين البناء التقني والإشراف على البنية الحكومية يعزز سرعة الاستجابة وتوحيد معايير التشغيل</w:t>
      </w:r>
    </w:p>
    <w:p w14:paraId="57D88C8F" w14:textId="77777777" w:rsidR="003B3BAB" w:rsidRPr="00F87B67" w:rsidRDefault="003B3BAB" w:rsidP="00C873A8">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116000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9F3594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8F15BE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532056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D8BF8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EC1B69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504E7F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CA50897" w14:textId="43DD136F" w:rsidR="00BA15BE" w:rsidRDefault="00BA15BE"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618F19C" w14:textId="412F3F88" w:rsidR="003B3BAB"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ثالثاً: التحديات</w:t>
      </w:r>
      <w:r w:rsidR="003B3BAB">
        <w:rPr>
          <w:rFonts w:ascii="Times New Roman" w:eastAsia="Times New Roman" w:hAnsi="Times New Roman" w:cs="Times New Roman" w:hint="cs"/>
          <w:b/>
          <w:bCs/>
          <w:sz w:val="28"/>
          <w:szCs w:val="28"/>
          <w:rtl/>
        </w:rPr>
        <w:t xml:space="preserve"> المؤسسية والتنظيمية </w:t>
      </w:r>
    </w:p>
    <w:p w14:paraId="4EF3038D" w14:textId="77777777"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التحول الرقمي لا يقتصر على التقنية، بل يمثل </w:t>
      </w:r>
      <w:r w:rsidRPr="004141E3">
        <w:rPr>
          <w:rFonts w:ascii="Times New Roman" w:eastAsia="Times New Roman" w:hAnsi="Times New Roman" w:cs="Times New Roman"/>
          <w:b/>
          <w:bCs/>
          <w:sz w:val="24"/>
          <w:szCs w:val="24"/>
          <w:rtl/>
        </w:rPr>
        <w:t>تحولًا هيكليًا في المؤسسات</w:t>
      </w:r>
      <w:r w:rsidRPr="004141E3">
        <w:rPr>
          <w:rFonts w:ascii="Times New Roman" w:eastAsia="Times New Roman" w:hAnsi="Times New Roman" w:cs="Times New Roman"/>
          <w:sz w:val="24"/>
          <w:szCs w:val="24"/>
          <w:rtl/>
        </w:rPr>
        <w:t xml:space="preserve"> يشمل</w:t>
      </w:r>
      <w:r w:rsidRPr="004141E3">
        <w:rPr>
          <w:rFonts w:ascii="Times New Roman" w:eastAsia="Times New Roman" w:hAnsi="Times New Roman" w:cs="Times New Roman"/>
          <w:sz w:val="24"/>
          <w:szCs w:val="24"/>
        </w:rPr>
        <w:t>:</w:t>
      </w:r>
    </w:p>
    <w:p w14:paraId="5BDC0805" w14:textId="742A432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الحوكمة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الحوكمة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sz w:val="24"/>
          <w:szCs w:val="24"/>
          <w:vertAlign w:val="superscript"/>
          <w:rtl/>
        </w:rPr>
        <w:t xml:space="preserve"> </w:t>
      </w:r>
      <w:r w:rsidR="004141E3" w:rsidRPr="004141E3">
        <w:rPr>
          <w:rFonts w:ascii="Times New Roman" w:eastAsia="Times New Roman" w:hAnsi="Times New Roman" w:cs="Times New Roman"/>
          <w:sz w:val="24"/>
          <w:szCs w:val="24"/>
          <w:vertAlign w:val="superscript"/>
          <w:rtl/>
        </w:rPr>
        <w:t>(</w:t>
      </w:r>
      <w:r w:rsidRPr="004141E3">
        <w:rPr>
          <w:rFonts w:ascii="Times New Roman" w:eastAsia="Times New Roman" w:hAnsi="Times New Roman" w:cs="Times New Roman"/>
          <w:sz w:val="24"/>
          <w:szCs w:val="24"/>
          <w:vertAlign w:val="superscript"/>
          <w:rtl/>
        </w:rPr>
        <w:t>1)</w:t>
      </w:r>
    </w:p>
    <w:p w14:paraId="232C92D1" w14:textId="2999100A"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sz w:val="24"/>
          <w:szCs w:val="24"/>
          <w:vertAlign w:val="superscript"/>
          <w:rtl/>
        </w:rPr>
        <w:t>(2)</w:t>
      </w:r>
    </w:p>
    <w:p w14:paraId="00091E17" w14:textId="21D82B6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b/>
          <w:bCs/>
          <w:sz w:val="28"/>
          <w:szCs w:val="28"/>
          <w:rtl/>
        </w:rPr>
        <w:t xml:space="preserve">إدارة الموارد البشرية </w:t>
      </w:r>
      <w:r w:rsidRPr="004141E3">
        <w:rPr>
          <w:rFonts w:ascii="Times New Roman" w:eastAsia="Times New Roman" w:hAnsi="Times New Roman" w:cs="Times New Roman" w:hint="cs"/>
          <w:b/>
          <w:bCs/>
          <w:sz w:val="28"/>
          <w:szCs w:val="28"/>
          <w:vertAlign w:val="superscript"/>
          <w:rtl/>
        </w:rPr>
        <w:t>(3</w:t>
      </w:r>
      <w:r w:rsidR="004141E3" w:rsidRPr="004141E3">
        <w:rPr>
          <w:rFonts w:ascii="Times New Roman" w:eastAsia="Times New Roman" w:hAnsi="Times New Roman" w:cs="Times New Roman" w:hint="cs"/>
          <w:b/>
          <w:bCs/>
          <w:sz w:val="28"/>
          <w:szCs w:val="28"/>
          <w:vertAlign w:val="superscript"/>
          <w:rtl/>
        </w:rPr>
        <w:t>)</w:t>
      </w:r>
      <w:r w:rsidR="004141E3" w:rsidRPr="004141E3">
        <w:rPr>
          <w:rFonts w:ascii="Times New Roman" w:eastAsia="Times New Roman" w:hAnsi="Times New Roman" w:cs="Times New Roman" w:hint="cs"/>
          <w:sz w:val="28"/>
          <w:szCs w:val="28"/>
          <w:rtl/>
        </w:rPr>
        <w:t>، التكامل</w:t>
      </w:r>
      <w:r w:rsidR="004141E3" w:rsidRPr="003B3BAB">
        <w:rPr>
          <w:rFonts w:ascii="Times New Roman" w:eastAsia="Times New Roman" w:hAnsi="Times New Roman" w:cs="Times New Roman"/>
          <w:sz w:val="28"/>
          <w:szCs w:val="28"/>
          <w:rtl/>
        </w:rPr>
        <w:t xml:space="preserve"> </w:t>
      </w:r>
      <w:r w:rsidR="004141E3" w:rsidRPr="003B3BAB">
        <w:rPr>
          <w:rFonts w:ascii="Times New Roman" w:eastAsia="Times New Roman" w:hAnsi="Times New Roman" w:cs="Times New Roman" w:hint="cs"/>
          <w:sz w:val="28"/>
          <w:szCs w:val="28"/>
          <w:rtl/>
        </w:rPr>
        <w:t>المؤسسي.</w:t>
      </w:r>
    </w:p>
    <w:p w14:paraId="76B57610" w14:textId="76B698A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لذلك، فإن التحديات المؤسسية والتنظيمية تُعد </w:t>
      </w:r>
      <w:r w:rsidRPr="004141E3">
        <w:rPr>
          <w:rFonts w:ascii="Times New Roman" w:eastAsia="Times New Roman" w:hAnsi="Times New Roman" w:cs="Times New Roman"/>
          <w:b/>
          <w:bCs/>
          <w:sz w:val="24"/>
          <w:szCs w:val="24"/>
          <w:rtl/>
        </w:rPr>
        <w:t>أخطر من التحديات التقنية</w:t>
      </w:r>
      <w:r w:rsidRPr="004141E3">
        <w:rPr>
          <w:rFonts w:ascii="Times New Roman" w:eastAsia="Times New Roman" w:hAnsi="Times New Roman" w:cs="Times New Roman"/>
          <w:sz w:val="24"/>
          <w:szCs w:val="24"/>
          <w:rtl/>
        </w:rPr>
        <w:t xml:space="preserve"> لأنها تمس جوهر عمل المؤسسات</w:t>
      </w:r>
      <w:r w:rsidRPr="004141E3">
        <w:rPr>
          <w:rFonts w:ascii="Times New Roman" w:eastAsia="Times New Roman" w:hAnsi="Times New Roman" w:cs="Times New Roman"/>
          <w:sz w:val="24"/>
          <w:szCs w:val="24"/>
        </w:rPr>
        <w:t>.</w:t>
      </w:r>
    </w:p>
    <w:p w14:paraId="013E4E4E" w14:textId="02F4919B"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31"/>
      </w:r>
    </w:p>
    <w:p w14:paraId="2F24DD9F" w14:textId="4EC4BB6C" w:rsidR="003B3BAB" w:rsidRDefault="003B3BAB" w:rsidP="00AA2D35">
      <w:pPr>
        <w:bidi w:val="0"/>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br w:type="page"/>
      </w:r>
    </w:p>
    <w:p w14:paraId="703F767B"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تتفق المملكة العربية السعودية والإمارات العربية المتحدة وسنغافورة على أن نجاح التحول الرقمي في مرفق القضاء لا يتوقف على إصدار التشريعات أو توفير البنية التقنية، وإنما يرتبط بوجود تنظيم مؤسسي قادر على تحقيق التكامل بين الجهات المعنية، وتطوير الموارد البشرية، وترسيخ مبادئ الحوكمة الرقمية. إلا أن المقارنة تكشف اختلافًا في الأسلوب المؤسسي الذي اعتمدته كل دولة لمواجهة هذه التحديات</w:t>
      </w:r>
      <w:r w:rsidRPr="00F87B67">
        <w:rPr>
          <w:rFonts w:ascii="Times New Roman" w:eastAsia="Times New Roman" w:hAnsi="Times New Roman" w:cs="Times New Roman"/>
          <w:sz w:val="24"/>
          <w:szCs w:val="24"/>
        </w:rPr>
        <w:t>.</w:t>
      </w:r>
    </w:p>
    <w:p w14:paraId="4DB139EE"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فعلى مستوى </w:t>
      </w:r>
      <w:r w:rsidRPr="00F87B67">
        <w:rPr>
          <w:rFonts w:ascii="Times New Roman" w:eastAsia="Times New Roman" w:hAnsi="Times New Roman" w:cs="Times New Roman"/>
          <w:b/>
          <w:bCs/>
          <w:sz w:val="24"/>
          <w:szCs w:val="24"/>
          <w:rtl/>
        </w:rPr>
        <w:t>التكامل المؤسسي</w:t>
      </w:r>
      <w:r w:rsidRPr="00F87B67">
        <w:rPr>
          <w:rFonts w:ascii="Times New Roman" w:eastAsia="Times New Roman" w:hAnsi="Times New Roman" w:cs="Times New Roman"/>
          <w:sz w:val="24"/>
          <w:szCs w:val="24"/>
          <w:rtl/>
        </w:rPr>
        <w:t>، تتجه المملكة إلى تعزيز الربط بين الجهات الحكومية من خلال الأطر الوطنية للحكومة الرقمية، في حين يعتمد النموذج الإماراتي على التنسيق بين الجهات الاتحادية والمحلية ضمن استراتيجية موحدة للحكومة الرقمية، بينما تقوم التجربة السنغافورية على بنية حكومية مشتركة تقودها هيئة التكنولوجيا الحكومية</w:t>
      </w:r>
      <w:r w:rsidRPr="00F87B67">
        <w:rPr>
          <w:rFonts w:ascii="Times New Roman" w:eastAsia="Times New Roman" w:hAnsi="Times New Roman" w:cs="Times New Roman"/>
          <w:sz w:val="24"/>
          <w:szCs w:val="24"/>
        </w:rPr>
        <w:t xml:space="preserve"> (GovTech)</w:t>
      </w:r>
      <w:r w:rsidRPr="00F87B67">
        <w:rPr>
          <w:rFonts w:ascii="Times New Roman" w:eastAsia="Times New Roman" w:hAnsi="Times New Roman" w:cs="Times New Roman"/>
          <w:sz w:val="24"/>
          <w:szCs w:val="24"/>
          <w:rtl/>
        </w:rPr>
        <w:t>، بما يسهم في توحيد المنصات والمعايير الفنية وتقليل الازدواجية المؤسسية</w:t>
      </w:r>
      <w:r w:rsidRPr="00F87B67">
        <w:rPr>
          <w:rFonts w:ascii="Times New Roman" w:eastAsia="Times New Roman" w:hAnsi="Times New Roman" w:cs="Times New Roman"/>
          <w:sz w:val="24"/>
          <w:szCs w:val="24"/>
        </w:rPr>
        <w:t xml:space="preserve"> (</w:t>
      </w:r>
      <w:r w:rsidRPr="00F87B67">
        <w:rPr>
          <w:rFonts w:ascii="Times New Roman" w:eastAsia="Times New Roman" w:hAnsi="Times New Roman" w:cs="Times New Roman"/>
          <w:sz w:val="24"/>
          <w:szCs w:val="24"/>
          <w:rtl/>
        </w:rPr>
        <w:t>هيئة الحكومة الرقمية، 2024؛ هيئة تنظيم الاتصالات والحكومة الرقمية، د.ت؛</w:t>
      </w:r>
      <w:r w:rsidRPr="00F87B67">
        <w:rPr>
          <w:rFonts w:ascii="Times New Roman" w:eastAsia="Times New Roman" w:hAnsi="Times New Roman" w:cs="Times New Roman"/>
          <w:sz w:val="24"/>
          <w:szCs w:val="24"/>
        </w:rPr>
        <w:t xml:space="preserve"> GovTech Singapore, 2025).</w:t>
      </w:r>
    </w:p>
    <w:p w14:paraId="23083302"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وفيما يتعلق </w:t>
      </w:r>
      <w:r w:rsidRPr="00F87B67">
        <w:rPr>
          <w:rFonts w:ascii="Times New Roman" w:eastAsia="Times New Roman" w:hAnsi="Times New Roman" w:cs="Times New Roman"/>
          <w:b/>
          <w:bCs/>
          <w:sz w:val="24"/>
          <w:szCs w:val="24"/>
          <w:rtl/>
        </w:rPr>
        <w:t>بالثقافة التنظيمية وإدارة التغيير</w:t>
      </w:r>
      <w:r w:rsidRPr="00F87B67">
        <w:rPr>
          <w:rFonts w:ascii="Times New Roman" w:eastAsia="Times New Roman" w:hAnsi="Times New Roman" w:cs="Times New Roman"/>
          <w:sz w:val="24"/>
          <w:szCs w:val="24"/>
          <w:rtl/>
        </w:rPr>
        <w:t>، تبنت الدول الثلاث برامج مؤسسية لدعم التحول الرقمي، إلا أن اختلاف حجم الأجهزة الحكومية وتعدد الجهات المنفذة يجعل إدارة التغيير أكثر تعقيدًا في الأنظمة واسعة النطاق، بينما يسهم وضوح الأدوار المؤسسية وتكاملها في تعزيز سرعة تبني الممارسات الرقمية واستقرارها</w:t>
      </w:r>
      <w:r w:rsidRPr="00F87B67">
        <w:rPr>
          <w:rFonts w:ascii="Times New Roman" w:eastAsia="Times New Roman" w:hAnsi="Times New Roman" w:cs="Times New Roman"/>
          <w:sz w:val="24"/>
          <w:szCs w:val="24"/>
        </w:rPr>
        <w:t>.</w:t>
      </w:r>
    </w:p>
    <w:p w14:paraId="0C999B8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أما </w:t>
      </w:r>
      <w:r w:rsidRPr="00F87B67">
        <w:rPr>
          <w:rFonts w:ascii="Times New Roman" w:eastAsia="Times New Roman" w:hAnsi="Times New Roman" w:cs="Times New Roman"/>
          <w:b/>
          <w:bCs/>
          <w:sz w:val="24"/>
          <w:szCs w:val="24"/>
          <w:rtl/>
        </w:rPr>
        <w:t>الموارد البشرية</w:t>
      </w:r>
      <w:r w:rsidRPr="00F87B67">
        <w:rPr>
          <w:rFonts w:ascii="Times New Roman" w:eastAsia="Times New Roman" w:hAnsi="Times New Roman" w:cs="Times New Roman"/>
          <w:sz w:val="24"/>
          <w:szCs w:val="24"/>
          <w:rtl/>
        </w:rPr>
        <w:t>، فتعد من أهم مرتكزات نجاح القضاء الرقمي؛ إذ تتطلب إدارة المنظومات الرقمية كوادر تمتلك مهارات قانونية وتقنية في آن واحد. ولذلك اتجهت المملكة والإمارات إلى تنفيذ برامج وطنية لبناء القدرات الرقمية، في حين اعتمدت سنغافورة نموذجًا مؤسسيًا مستمرًا لتأهيل موظفي القطاع العام من خلال الأكاديمية الرقمية الحكومية، بما يعزز استدامة الكفاءات الرقمية</w:t>
      </w:r>
      <w:r w:rsidRPr="00F87B67">
        <w:rPr>
          <w:rFonts w:ascii="Times New Roman" w:eastAsia="Times New Roman" w:hAnsi="Times New Roman" w:cs="Times New Roman"/>
          <w:sz w:val="24"/>
          <w:szCs w:val="24"/>
        </w:rPr>
        <w:t xml:space="preserve"> (GovTech Singapore, 2025).</w:t>
      </w:r>
    </w:p>
    <w:p w14:paraId="7BEFA48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وفي مجال </w:t>
      </w:r>
      <w:r w:rsidRPr="00F87B67">
        <w:rPr>
          <w:rFonts w:ascii="Times New Roman" w:eastAsia="Times New Roman" w:hAnsi="Times New Roman" w:cs="Times New Roman"/>
          <w:b/>
          <w:bCs/>
          <w:sz w:val="24"/>
          <w:szCs w:val="24"/>
          <w:rtl/>
        </w:rPr>
        <w:t>الحوكمة الرقمية</w:t>
      </w:r>
      <w:r w:rsidRPr="00F87B67">
        <w:rPr>
          <w:rFonts w:ascii="Times New Roman" w:eastAsia="Times New Roman" w:hAnsi="Times New Roman" w:cs="Times New Roman"/>
          <w:sz w:val="24"/>
          <w:szCs w:val="24"/>
          <w:rtl/>
        </w:rPr>
        <w:t>، اتفقت الأنظمة الثلاثة على اعتماد سياسات تنظم إدارة البيانات والخدمات الرقمية، إلا أن نطاق هذه الحوكمة وآليات تنفيذها يختلف باختلاف البناء المؤسسي لكل دولة. فالسعودية تعمل على تطوير الأطر التنظيمية من خلال هيئة الحكومة الرقمية، بينما اعتمدت الإمارات نموذج نضج الحكومة الرقمية لقياس أداء الجهات الحكومية، في حين تتميز سنغافورة بوجود منظومة مؤسسية مستقرة تقوم على توحيد المعايير والإشراف المركزي على البنية الرقمية الحكومية (هيئة الحكومة الرقمية، 2024؛ هيئة تنظيم الاتصالات والحكومة الرقمية، د.ت)</w:t>
      </w:r>
      <w:r w:rsidRPr="00F87B67">
        <w:rPr>
          <w:rFonts w:ascii="Times New Roman" w:eastAsia="Times New Roman" w:hAnsi="Times New Roman" w:cs="Times New Roman"/>
          <w:sz w:val="24"/>
          <w:szCs w:val="24"/>
        </w:rPr>
        <w:t>.</w:t>
      </w:r>
    </w:p>
    <w:p w14:paraId="3387311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كما أظهرت المقارنة أن </w:t>
      </w:r>
      <w:r w:rsidRPr="00F87B67">
        <w:rPr>
          <w:rFonts w:ascii="Times New Roman" w:eastAsia="Times New Roman" w:hAnsi="Times New Roman" w:cs="Times New Roman"/>
          <w:b/>
          <w:bCs/>
          <w:sz w:val="24"/>
          <w:szCs w:val="24"/>
          <w:rtl/>
        </w:rPr>
        <w:t>التشريعات</w:t>
      </w:r>
      <w:r w:rsidRPr="00F87B67">
        <w:rPr>
          <w:rFonts w:ascii="Times New Roman" w:eastAsia="Times New Roman" w:hAnsi="Times New Roman" w:cs="Times New Roman"/>
          <w:sz w:val="24"/>
          <w:szCs w:val="24"/>
          <w:rtl/>
        </w:rPr>
        <w:t xml:space="preserve"> في الدول الثلاث تخضع للتحديث المستمر لمواكبة التطور التقني، غير أن فاعلية هذه التشريعات ترتبط بسرعة إصدار اللوائح التنفيذية وتكاملها مع السياسات التنظيمية، بما يحقق التوازن بين الابتكار وحماية الحقوق الإجرائية</w:t>
      </w:r>
      <w:r w:rsidRPr="00F87B67">
        <w:rPr>
          <w:rFonts w:ascii="Times New Roman" w:eastAsia="Times New Roman" w:hAnsi="Times New Roman" w:cs="Times New Roman"/>
          <w:sz w:val="24"/>
          <w:szCs w:val="24"/>
        </w:rPr>
        <w:t>.</w:t>
      </w:r>
    </w:p>
    <w:p w14:paraId="6472669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وفيما يخص </w:t>
      </w:r>
      <w:r w:rsidRPr="00F87B67">
        <w:rPr>
          <w:rFonts w:ascii="Times New Roman" w:eastAsia="Times New Roman" w:hAnsi="Times New Roman" w:cs="Times New Roman"/>
          <w:b/>
          <w:bCs/>
          <w:sz w:val="24"/>
          <w:szCs w:val="24"/>
          <w:rtl/>
        </w:rPr>
        <w:t>القيادة واتخاذ القرار</w:t>
      </w:r>
      <w:r w:rsidRPr="00F87B67">
        <w:rPr>
          <w:rFonts w:ascii="Times New Roman" w:eastAsia="Times New Roman" w:hAnsi="Times New Roman" w:cs="Times New Roman"/>
          <w:sz w:val="24"/>
          <w:szCs w:val="24"/>
          <w:rtl/>
        </w:rPr>
        <w:t>، يختلف النموذج المؤسسي بين الدول الثلاث؛ إذ يعتمد نجاح التحول الرقمي على وجود قيادة قادرة على توجيه السياسات الرقمية، وتنسيق جهود الجهات المختلفة، واتخاذ القرارات استنادًا إلى البيانات والمؤشرات، وهو ما يشكل أحد عناصر الحوكمة الحديثة في إدارة العدالة الرقمية</w:t>
      </w:r>
      <w:r w:rsidRPr="00F87B67">
        <w:rPr>
          <w:rFonts w:ascii="Times New Roman" w:eastAsia="Times New Roman" w:hAnsi="Times New Roman" w:cs="Times New Roman"/>
          <w:sz w:val="24"/>
          <w:szCs w:val="24"/>
        </w:rPr>
        <w:t>.</w:t>
      </w:r>
    </w:p>
    <w:p w14:paraId="13D59927"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أما </w:t>
      </w:r>
      <w:r w:rsidRPr="00F87B67">
        <w:rPr>
          <w:rFonts w:ascii="Times New Roman" w:eastAsia="Times New Roman" w:hAnsi="Times New Roman" w:cs="Times New Roman"/>
          <w:b/>
          <w:bCs/>
          <w:sz w:val="24"/>
          <w:szCs w:val="24"/>
          <w:rtl/>
        </w:rPr>
        <w:t>إدارة البيانات</w:t>
      </w:r>
      <w:r w:rsidRPr="00F87B67">
        <w:rPr>
          <w:rFonts w:ascii="Times New Roman" w:eastAsia="Times New Roman" w:hAnsi="Times New Roman" w:cs="Times New Roman"/>
          <w:sz w:val="24"/>
          <w:szCs w:val="24"/>
          <w:rtl/>
        </w:rPr>
        <w:t>، فقد أصبحت تمثل محورًا رئيسًا في التحول الرقمي، حيث تسعى الدول الثلاث إلى تطوير أطر حوكمة البيانات وتعزيز تبادلها بين الجهات الحكومية مع المحافظة على متطلبات الخصوصية والأمن السيبراني، الأمر الذي يسهم في رفع كفاءة الإجراءات القضائية وسرعة إنجازها</w:t>
      </w:r>
      <w:r w:rsidRPr="00F87B67">
        <w:rPr>
          <w:rFonts w:ascii="Times New Roman" w:eastAsia="Times New Roman" w:hAnsi="Times New Roman" w:cs="Times New Roman"/>
          <w:sz w:val="24"/>
          <w:szCs w:val="24"/>
        </w:rPr>
        <w:t>.</w:t>
      </w:r>
    </w:p>
    <w:p w14:paraId="04A4009A" w14:textId="4FDD15C5" w:rsidR="003B3BAB" w:rsidRPr="00DA34D7" w:rsidRDefault="00F87B67" w:rsidP="00DA34D7">
      <w:pPr>
        <w:spacing w:before="100" w:beforeAutospacing="1" w:after="100" w:afterAutospacing="1" w:line="360" w:lineRule="auto"/>
        <w:jc w:val="left"/>
        <w:rPr>
          <w:rFonts w:ascii="Times New Roman" w:eastAsia="Times New Roman" w:hAnsi="Times New Roman" w:cs="Times New Roman"/>
          <w:sz w:val="24"/>
          <w:szCs w:val="24"/>
          <w:rtl/>
        </w:rPr>
      </w:pPr>
      <w:r w:rsidRPr="00F87B67">
        <w:rPr>
          <w:rFonts w:ascii="Times New Roman" w:eastAsia="Times New Roman" w:hAnsi="Times New Roman" w:cs="Times New Roman"/>
          <w:sz w:val="24"/>
          <w:szCs w:val="24"/>
          <w:rtl/>
        </w:rPr>
        <w:t xml:space="preserve">وأخيرًا، يشكل </w:t>
      </w:r>
      <w:r w:rsidRPr="00F87B67">
        <w:rPr>
          <w:rFonts w:ascii="Times New Roman" w:eastAsia="Times New Roman" w:hAnsi="Times New Roman" w:cs="Times New Roman"/>
          <w:b/>
          <w:bCs/>
          <w:sz w:val="24"/>
          <w:szCs w:val="24"/>
          <w:rtl/>
        </w:rPr>
        <w:t>الابتكار المؤسسي</w:t>
      </w:r>
      <w:r w:rsidRPr="00F87B67">
        <w:rPr>
          <w:rFonts w:ascii="Times New Roman" w:eastAsia="Times New Roman" w:hAnsi="Times New Roman" w:cs="Times New Roman"/>
          <w:sz w:val="24"/>
          <w:szCs w:val="24"/>
          <w:rtl/>
        </w:rPr>
        <w:t xml:space="preserve"> أحد العوامل الحاسمة في استدامة التحول الرقمي، إذ لم تعد المؤسسات القضائية تكتفي برقمنة الإجراءات التقليدية، وإنما تتجه إلى إعادة تصميم العمليات والاستفادة من التقنيات الناشئة، مثل الذكاء الاصطناعي وتحليل البيانات، مع مراعاة الضمانات القانونية والاعتبارات الأخلاقية</w:t>
      </w:r>
      <w:r w:rsidRPr="00F87B67">
        <w:rPr>
          <w:rFonts w:ascii="Times New Roman" w:eastAsia="Times New Roman" w:hAnsi="Times New Roman" w:cs="Times New Roman"/>
          <w:sz w:val="24"/>
          <w:szCs w:val="24"/>
        </w:rPr>
        <w:t>.</w:t>
      </w:r>
    </w:p>
    <w:p w14:paraId="38DCCA1A" w14:textId="00AA98B6"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4141E3">
        <w:rPr>
          <w:rFonts w:ascii="Times New Roman" w:hAnsi="Times New Roman" w:cs="Times New Roman"/>
          <w:sz w:val="24"/>
          <w:szCs w:val="24"/>
          <w:rtl/>
        </w:rPr>
        <w:t>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الحوكمة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AA2D35">
      <w:pPr>
        <w:bidi w:val="0"/>
        <w:spacing w:line="360" w:lineRule="auto"/>
        <w:jc w:val="left"/>
        <w:rPr>
          <w:rFonts w:ascii="Times New Roman" w:eastAsia="Times New Roman" w:hAnsi="Times New Roman" w:cs="Times New Roman"/>
          <w:b/>
          <w:bCs/>
          <w:sz w:val="24"/>
          <w:szCs w:val="24"/>
          <w:rtl/>
        </w:rPr>
      </w:pPr>
      <w:r w:rsidRPr="004141E3">
        <w:rPr>
          <w:rFonts w:ascii="Times New Roman" w:eastAsia="Times New Roman" w:hAnsi="Times New Roman" w:cs="Times New Roman"/>
          <w:b/>
          <w:bCs/>
          <w:sz w:val="24"/>
          <w:szCs w:val="24"/>
          <w:rtl/>
        </w:rPr>
        <w:br w:type="page"/>
      </w:r>
    </w:p>
    <w:p w14:paraId="38DE5C04" w14:textId="31755293"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الإطار المفاهيمي للتحديات الأمنية في التحول الرقمي</w:t>
      </w:r>
    </w:p>
    <w:p w14:paraId="4E63266A"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التحديات الأمنية</w:t>
      </w:r>
      <w:r w:rsidRPr="004141E3">
        <w:rPr>
          <w:rFonts w:ascii="Times New Roman" w:eastAsia="Times New Roman" w:hAnsi="Times New Roman" w:cs="Times New Roman"/>
          <w:sz w:val="24"/>
          <w:szCs w:val="24"/>
        </w:rPr>
        <w:t xml:space="preserve"> (Cybersecurity Challenges) </w:t>
      </w:r>
      <w:r w:rsidRPr="004141E3">
        <w:rPr>
          <w:rFonts w:ascii="Times New Roman" w:eastAsia="Times New Roman" w:hAnsi="Times New Roman" w:cs="Times New Roman"/>
          <w:sz w:val="24"/>
          <w:szCs w:val="24"/>
          <w:rtl/>
        </w:rPr>
        <w:t>في التحول الرقمي لا تقتصر على الاختراقات التقنية، بل تشمل</w:t>
      </w:r>
      <w:r w:rsidRPr="004141E3">
        <w:rPr>
          <w:rFonts w:ascii="Times New Roman" w:eastAsia="Times New Roman" w:hAnsi="Times New Roman" w:cs="Times New Roman"/>
          <w:sz w:val="24"/>
          <w:szCs w:val="24"/>
        </w:rPr>
        <w:t>:</w:t>
      </w:r>
    </w:p>
    <w:p w14:paraId="01574890" w14:textId="0C876A2C"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أمن المعلومات</w:t>
      </w:r>
      <w:r w:rsidRPr="004141E3">
        <w:rPr>
          <w:rFonts w:ascii="Times New Roman" w:eastAsia="Times New Roman" w:hAnsi="Times New Roman" w:cs="Times New Roman"/>
          <w:sz w:val="24"/>
          <w:szCs w:val="24"/>
        </w:rPr>
        <w:t xml:space="preserve"> (Information Security)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حماية البنية التحتية الرقمية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أمن البيانات والخصوصية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الحوكمة الأمنية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الأمن التشريعي والتنظيمي </w:t>
      </w:r>
    </w:p>
    <w:p w14:paraId="2D489C73" w14:textId="2B4731C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ويُعد الأمن السيبراني </w:t>
      </w:r>
      <w:r w:rsidRPr="004141E3">
        <w:rPr>
          <w:rFonts w:ascii="Times New Roman" w:eastAsia="Times New Roman" w:hAnsi="Times New Roman" w:cs="Times New Roman"/>
          <w:b/>
          <w:bCs/>
          <w:sz w:val="24"/>
          <w:szCs w:val="24"/>
          <w:rtl/>
        </w:rPr>
        <w:t>ركيزة أساسية لنجاح التحول الرقمي</w:t>
      </w:r>
      <w:r w:rsidRPr="004141E3">
        <w:rPr>
          <w:rFonts w:ascii="Times New Roman" w:eastAsia="Times New Roman" w:hAnsi="Times New Roman" w:cs="Times New Roman"/>
          <w:sz w:val="24"/>
          <w:szCs w:val="24"/>
          <w:rtl/>
        </w:rPr>
        <w:t xml:space="preserve"> وليس عنصرًا داعمًا فقط </w:t>
      </w:r>
    </w:p>
    <w:p w14:paraId="3D7926A1"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يمثل الأمن السيبراني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sz w:val="24"/>
          <w:szCs w:val="24"/>
        </w:rPr>
        <w:t>.</w:t>
      </w:r>
      <w:r w:rsidRPr="004141E3">
        <w:rPr>
          <w:rFonts w:ascii="Times New Roman" w:eastAsia="Times New Roman" w:hAnsi="Times New Roman" w:cs="Times New Roman"/>
          <w:sz w:val="24"/>
          <w:szCs w:val="24"/>
        </w:rPr>
        <w:br/>
      </w:r>
      <w:r w:rsidRPr="004141E3">
        <w:rPr>
          <w:rFonts w:ascii="Times New Roman" w:eastAsia="Times New Roman" w:hAnsi="Times New Roman" w:cs="Times New Roman"/>
          <w:sz w:val="24"/>
          <w:szCs w:val="24"/>
          <w:rtl/>
        </w:rPr>
        <w:t>وتنشأ العلاقة بينهما على أساس</w:t>
      </w:r>
      <w:r w:rsidRPr="004141E3">
        <w:rPr>
          <w:rFonts w:ascii="Times New Roman" w:eastAsia="Times New Roman" w:hAnsi="Times New Roman" w:cs="Times New Roman"/>
          <w:sz w:val="24"/>
          <w:szCs w:val="24"/>
        </w:rPr>
        <w:t>:</w:t>
      </w:r>
    </w:p>
    <w:p w14:paraId="6BCBB9DD" w14:textId="77777777"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وبالتالي فإن</w:t>
      </w:r>
      <w:r w:rsidRPr="004141E3">
        <w:rPr>
          <w:rFonts w:ascii="Times New Roman" w:eastAsia="Times New Roman" w:hAnsi="Times New Roman" w:cs="Times New Roman"/>
          <w:sz w:val="24"/>
          <w:szCs w:val="24"/>
        </w:rPr>
        <w:t>:</w:t>
      </w:r>
    </w:p>
    <w:p w14:paraId="085DB9BC"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ضعف الأمن لا يُنتج فقط مخاطر تقنية </w:t>
      </w:r>
    </w:p>
    <w:p w14:paraId="5BE7C5A6" w14:textId="6F272F3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بل يُثير إشكالات قانونية تتعلق بـ</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 xml:space="preserve">الإسناد </w:t>
      </w:r>
      <w:r w:rsidR="004141E3" w:rsidRPr="004141E3">
        <w:rPr>
          <w:rFonts w:ascii="Times New Roman" w:eastAsia="Times New Roman" w:hAnsi="Times New Roman" w:cs="Times New Roman" w:hint="cs"/>
          <w:sz w:val="24"/>
          <w:szCs w:val="24"/>
          <w:rtl/>
        </w:rPr>
        <w:t>الجنائي، الركن</w:t>
      </w:r>
      <w:r w:rsidRPr="004141E3">
        <w:rPr>
          <w:rFonts w:ascii="Times New Roman" w:eastAsia="Times New Roman" w:hAnsi="Times New Roman" w:cs="Times New Roman"/>
          <w:sz w:val="24"/>
          <w:szCs w:val="24"/>
          <w:rtl/>
        </w:rPr>
        <w:t xml:space="preserve"> المادي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الركن المعنوي</w:t>
      </w:r>
      <w:r w:rsidRPr="004141E3">
        <w:rPr>
          <w:rFonts w:ascii="Times New Roman" w:eastAsia="Times New Roman" w:hAnsi="Times New Roman" w:cs="Times New Roman" w:hint="cs"/>
          <w:sz w:val="24"/>
          <w:szCs w:val="24"/>
          <w:rtl/>
        </w:rPr>
        <w:t>.</w:t>
      </w:r>
    </w:p>
    <w:p w14:paraId="46A14F1E"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أثر التحديات الأمنية على أركان الجريمة المعلوماتية</w:t>
      </w:r>
    </w:p>
    <w:p w14:paraId="35651255" w14:textId="3731BE9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المادي (السلوك الإجرامي)</w:t>
      </w:r>
    </w:p>
    <w:p w14:paraId="7FD86AB6" w14:textId="39DA3BC1" w:rsidR="003B3BAB"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التحديات الأمنية مثل</w:t>
      </w:r>
      <w:r w:rsidR="001A5DD6">
        <w:rPr>
          <w:rFonts w:ascii="Times New Roman" w:eastAsia="Times New Roman" w:hAnsi="Times New Roman" w:cs="Times New Roman"/>
          <w:sz w:val="24"/>
          <w:szCs w:val="24"/>
        </w:rPr>
        <w:t>:</w:t>
      </w:r>
    </w:p>
    <w:p w14:paraId="73DBF3B4" w14:textId="77777777" w:rsidR="001A5DD6" w:rsidRPr="001A5DD6" w:rsidRDefault="001A5DD6" w:rsidP="00AA2D35">
      <w:pPr>
        <w:pStyle w:val="3"/>
        <w:spacing w:line="360" w:lineRule="auto"/>
        <w:rPr>
          <w:bCs/>
          <w:color w:val="auto"/>
          <w:sz w:val="27"/>
          <w:szCs w:val="27"/>
        </w:rPr>
      </w:pPr>
      <w:r w:rsidRPr="001A5DD6">
        <w:rPr>
          <w:bCs/>
          <w:color w:val="auto"/>
          <w:sz w:val="27"/>
          <w:szCs w:val="27"/>
          <w:rtl/>
        </w:rPr>
        <w:t>الثغرات التقنية وضعف الحماية والاختراقات</w:t>
      </w:r>
    </w:p>
    <w:p w14:paraId="58214012"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تُعد الثغرات التقنية من أبرز التحديات التي تواجه أنظمة التحول الرقمي، وهي نقاط ضعف في البرامج أو الشبكات أو الأنظمة الإلكترونية يمكن أن يستغلها المهاجمون للوصول إلى البيانات أو تعطيل الخدمات. وتزداد خطورة هذه الثغرات عندما تكون إجراءات الحماية غير كافية أو عندما لا يتم تحديث الأنظمة بشكل مستمر</w:t>
      </w:r>
      <w:r w:rsidRPr="001A5DD6">
        <w:rPr>
          <w:rFonts w:ascii="Times New Roman" w:eastAsia="Times New Roman" w:hAnsi="Times New Roman" w:cs="Times New Roman"/>
          <w:sz w:val="24"/>
          <w:szCs w:val="24"/>
        </w:rPr>
        <w:t>.</w:t>
      </w:r>
    </w:p>
    <w:p w14:paraId="111FEBF4" w14:textId="77777777" w:rsid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0EA3C82F" w14:textId="0E87F71E"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ويؤدي ضعف الحماية التقنية إلى زيادة احتمالية التعرض للاختراقات الإلكترونية، والتي قد ينتج عنها تسرب المعلومات الحساسة أو التلاعب بالبيانات أو تعطيل الأنظمة والخدمات الرقمية. وتزداد هذه المخاطر في الجهات التي تتعامل مع بيانات مهمة، مثل الجهات الحكومية والقضائية</w:t>
      </w:r>
      <w:r w:rsidRPr="001A5DD6">
        <w:rPr>
          <w:rFonts w:ascii="Times New Roman" w:eastAsia="Times New Roman" w:hAnsi="Times New Roman" w:cs="Times New Roman"/>
          <w:sz w:val="24"/>
          <w:szCs w:val="24"/>
        </w:rPr>
        <w:t>.</w:t>
      </w:r>
    </w:p>
    <w:p w14:paraId="6EC7D32F" w14:textId="48CB1CBB" w:rsidR="001A5DD6" w:rsidRPr="004141E3"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لذلك يتطلب نجاح التحول الرقمي تطبيق إجراءات أمنية فعالة، تشمل تحديث الأنظمة بشكل دوري، واستخدام تقنيات التشفير، وتعزيز أنظمة الحماية والمراقبة الإلكترونية، ورفع مستوى الوعي الأمني لدى المستخدمين، للحد من مخاطر الاختراق وضمان حماية البيانات واستمرارية الخدمات الرقمية</w:t>
      </w:r>
      <w:r w:rsidRPr="001A5DD6">
        <w:rPr>
          <w:rFonts w:ascii="Times New Roman" w:eastAsia="Times New Roman" w:hAnsi="Times New Roman" w:cs="Times New Roman"/>
          <w:sz w:val="24"/>
          <w:szCs w:val="24"/>
        </w:rPr>
        <w:t>.</w:t>
      </w:r>
    </w:p>
    <w:p w14:paraId="56CA26B0" w14:textId="51589487" w:rsidR="003B3BAB" w:rsidRPr="001A5DD6"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تؤدي إلى</w:t>
      </w:r>
      <w:r w:rsidRPr="004141E3">
        <w:rPr>
          <w:rFonts w:ascii="Times New Roman" w:eastAsia="Times New Roman" w:hAnsi="Times New Roman" w:cs="Times New Roman"/>
          <w:sz w:val="24"/>
          <w:szCs w:val="24"/>
        </w:rPr>
        <w:t>:</w:t>
      </w:r>
      <w:r w:rsidR="004141E3" w:rsidRPr="004141E3">
        <w:rPr>
          <w:rFonts w:ascii="Times New Roman" w:eastAsia="Times New Roman" w:hAnsi="Times New Roman" w:cs="Times New Roman"/>
          <w:sz w:val="24"/>
          <w:szCs w:val="24"/>
          <w:rtl/>
        </w:rPr>
        <w:t xml:space="preserve"> صعوبة تحديد الفعل الإجرامي بدقة</w:t>
      </w:r>
      <w:r w:rsidR="004141E3" w:rsidRPr="004141E3">
        <w:rPr>
          <w:rFonts w:ascii="Times New Roman" w:eastAsia="Times New Roman" w:hAnsi="Times New Roman" w:cs="Times New Roman" w:hint="cs"/>
          <w:sz w:val="24"/>
          <w:szCs w:val="24"/>
          <w:rtl/>
        </w:rPr>
        <w:t>،</w:t>
      </w:r>
      <w:r w:rsidR="004141E3" w:rsidRPr="004141E3">
        <w:rPr>
          <w:rFonts w:ascii="Times New Roman" w:eastAsia="Times New Roman" w:hAnsi="Times New Roman" w:cs="Times New Roman"/>
          <w:sz w:val="24"/>
          <w:szCs w:val="24"/>
          <w:rtl/>
        </w:rPr>
        <w:t xml:space="preserve"> تعدد الأفعال (اختراق – تسريب – تعديل بيانات</w:t>
      </w:r>
      <w:r w:rsidR="004141E3">
        <w:rPr>
          <w:rFonts w:ascii="Times New Roman" w:eastAsia="Times New Roman" w:hAnsi="Times New Roman" w:cs="Times New Roman" w:hint="cs"/>
          <w:sz w:val="24"/>
          <w:szCs w:val="24"/>
          <w:rtl/>
        </w:rPr>
        <w:t>.</w:t>
      </w:r>
    </w:p>
    <w:p w14:paraId="43682AE1" w14:textId="052E283C"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المعنوي (القصد الجنائي)</w:t>
      </w:r>
    </w:p>
    <w:p w14:paraId="59E9A3FA" w14:textId="5C782AD0" w:rsidR="001A5DD6" w:rsidRPr="001A5DD6" w:rsidRDefault="001A5DD6"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1A5DD6">
        <w:rPr>
          <w:rFonts w:ascii="Times New Roman" w:eastAsia="Times New Roman" w:hAnsi="Times New Roman" w:cs="Times New Roman"/>
          <w:sz w:val="24"/>
          <w:szCs w:val="24"/>
          <w:rtl/>
        </w:rPr>
        <w:t>يُعد الركن المعنوي</w:t>
      </w:r>
      <w:r w:rsidRPr="001A5DD6">
        <w:rPr>
          <w:rFonts w:ascii="Times New Roman" w:eastAsia="Times New Roman" w:hAnsi="Times New Roman" w:cs="Times New Roman" w:hint="cs"/>
          <w:sz w:val="24"/>
          <w:szCs w:val="24"/>
          <w:vertAlign w:val="superscript"/>
          <w:rtl/>
        </w:rPr>
        <w:t>(</w:t>
      </w:r>
      <w:r w:rsidRPr="00AB790E">
        <w:rPr>
          <w:rStyle w:val="a8"/>
          <w:rFonts w:ascii="Times New Roman" w:eastAsia="Times New Roman" w:hAnsi="Times New Roman" w:cs="Times New Roman"/>
          <w:vanish/>
          <w:sz w:val="24"/>
          <w:szCs w:val="24"/>
          <w:vertAlign w:val="baseline"/>
          <w:rtl/>
        </w:rPr>
        <w:footnoteReference w:id="32"/>
      </w:r>
      <w:r w:rsidRPr="001A5DD6">
        <w:rPr>
          <w:rFonts w:ascii="Times New Roman" w:eastAsia="Times New Roman" w:hAnsi="Times New Roman" w:cs="Times New Roman" w:hint="cs"/>
          <w:sz w:val="24"/>
          <w:szCs w:val="24"/>
          <w:vertAlign w:val="superscript"/>
          <w:rtl/>
        </w:rPr>
        <w:t>1)</w:t>
      </w:r>
      <w:r w:rsidRPr="001A5DD6">
        <w:rPr>
          <w:rFonts w:ascii="Times New Roman" w:eastAsia="Times New Roman" w:hAnsi="Times New Roman" w:cs="Times New Roman"/>
          <w:sz w:val="24"/>
          <w:szCs w:val="24"/>
          <w:vertAlign w:val="superscript"/>
          <w:rtl/>
        </w:rPr>
        <w:t xml:space="preserve"> </w:t>
      </w:r>
      <w:r w:rsidRPr="001A5DD6">
        <w:rPr>
          <w:rFonts w:ascii="Times New Roman" w:eastAsia="Times New Roman" w:hAnsi="Times New Roman" w:cs="Times New Roman"/>
          <w:sz w:val="24"/>
          <w:szCs w:val="24"/>
          <w:rtl/>
        </w:rPr>
        <w:t>أحد الأركان الأساسية للمسؤولية الجنائية، ويقصد به الحالة النفسية للجاني وقت ارتكاب الفعل المجرم، والتي تتمثل عادة في العلم والإرادة، أي أن يكون الجاني عالمًا بالفعل الذي يقوم به ومريدًا للنتيجة المترتبة عليه. إلا أن البيئة الرقمية أوجدت تحديات جديدة في إثبات هذا الركن، نتيجة تعقيد الأنظمة التقنية وتعدد الأطراف المتدخلة في تشغيلها وإدارتها</w:t>
      </w:r>
      <w:r w:rsidRPr="001A5DD6">
        <w:rPr>
          <w:rFonts w:ascii="Times New Roman" w:eastAsia="Times New Roman" w:hAnsi="Times New Roman" w:cs="Times New Roman"/>
          <w:sz w:val="24"/>
          <w:szCs w:val="24"/>
        </w:rPr>
        <w:t>.</w:t>
      </w:r>
    </w:p>
    <w:p w14:paraId="7344916F"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ففي الجرائم الرقمية قد يقع الضرر نتيجة اختراق متعمد من قبل الجاني، وفي هذه الحالة يتوافر القصد الجنائي المباشر لعلمه بالفعل غير المشروع واتجاه إرادته إلى إحداث النتيجة الإجرامية. إلا أن الضرر قد يحدث أحيانًا دون قصد مباشر، كأن يكون نتيجة إهمال تقني أو ضعف في إجراءات الحماية أو عدم تحديث الأنظمة الأمنية، مما يثير إشكالية تحديد المسؤولية الجنائية</w:t>
      </w:r>
      <w:r w:rsidRPr="001A5DD6">
        <w:rPr>
          <w:rFonts w:ascii="Times New Roman" w:eastAsia="Times New Roman" w:hAnsi="Times New Roman" w:cs="Times New Roman"/>
          <w:sz w:val="24"/>
          <w:szCs w:val="24"/>
        </w:rPr>
        <w:t>.</w:t>
      </w:r>
    </w:p>
    <w:p w14:paraId="288C4F27"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ومن هنا يبرز التساؤل القانوني: هل تقع المسؤولية على المخترق وحده باعتباره الفاعل المباشر للجريمة، أم يمكن مساءلة الجهة التي أهملت تأمين النظام؟</w:t>
      </w:r>
    </w:p>
    <w:p w14:paraId="29C56083"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الأصل أن المخترق يُسأل جنائيًا متى ثبت ارتكابه فعل الاختراق بصورة عمدية. غير أن بعض التشريعات الحديثة تتجه إلى مساءلة الجهة أو الشخص المسؤول عن إدارة النظام إذا ثبت وجود إهمال جسيم أو تقصير واضح في تطبيق متطلبات الأمن السيبراني، وكان هذا الإهمال سببًا في وقوع الضرر أو تسهيل ارتكاب الجريمة</w:t>
      </w:r>
      <w:r w:rsidRPr="001A5DD6">
        <w:rPr>
          <w:rFonts w:ascii="Times New Roman" w:eastAsia="Times New Roman" w:hAnsi="Times New Roman" w:cs="Times New Roman"/>
          <w:sz w:val="24"/>
          <w:szCs w:val="24"/>
        </w:rPr>
        <w:t>.</w:t>
      </w:r>
    </w:p>
    <w:p w14:paraId="14145729"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وعليه، فإن المسؤولية في البيئة الرقمية قد لا تقتصر على الفاعل الأصلي فقط، بل قد تمتد إلى المسؤول عن النظام متى توافرت أركان المسؤولية الناتجة عن الإهمال أو التقصير، وهو ما يعكس الطبيعة المعقدة للجرائم الرقمية ويجعل إثبات الركن المعنوي من أبرز التحديات القانونية المعاصرة في مجال الأمن السيبراني والتحول الرقمي</w:t>
      </w:r>
      <w:r w:rsidRPr="001A5DD6">
        <w:rPr>
          <w:rFonts w:ascii="Times New Roman" w:eastAsia="Times New Roman" w:hAnsi="Times New Roman" w:cs="Times New Roman"/>
          <w:sz w:val="24"/>
          <w:szCs w:val="24"/>
        </w:rPr>
        <w:t>.</w:t>
      </w:r>
    </w:p>
    <w:p w14:paraId="27FF2FB1" w14:textId="013CD442"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
    <w:p w14:paraId="069EEB1E" w14:textId="43D47D40" w:rsidR="003B3BAB" w:rsidRDefault="003B3BAB" w:rsidP="000A614A">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 </w:t>
      </w:r>
    </w:p>
    <w:p w14:paraId="08FD381E" w14:textId="5F2CA74B" w:rsidR="000A614A" w:rsidRPr="000A614A" w:rsidRDefault="000A614A" w:rsidP="000A614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A614A">
        <w:rPr>
          <w:rFonts w:ascii="Times New Roman" w:eastAsia="Times New Roman" w:hAnsi="Times New Roman" w:cs="Times New Roman"/>
          <w:b/>
          <w:bCs/>
          <w:sz w:val="27"/>
          <w:szCs w:val="27"/>
          <w:rtl/>
        </w:rPr>
        <w:t>تحديات الأمنية والجنائية في التحول الرقمي</w:t>
      </w:r>
    </w:p>
    <w:p w14:paraId="755E85BA"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أفرز التحول الرقمي في إجراءات التقاضي تحديات أمنية وقانونية متزايدة نتيجة الاعتماد على الأنظمة الإلكترونية في إدارة الدعاوى وتبادل البيانات القضائية. ورغم اتفاق المملكة العربية السعودية والإمارات العربية المتحدة وسنغافورة على تجريم الأفعال التي تستهدف الأنظمة المعلوماتية والبيانات الإلكترونية، فإنها تختلف في منهج تنظيم المسؤولية القانونية وآليات مواجهة المخاطر الرقمية</w:t>
      </w:r>
      <w:r w:rsidRPr="000A614A">
        <w:rPr>
          <w:rFonts w:ascii="Times New Roman" w:eastAsia="Times New Roman" w:hAnsi="Times New Roman" w:cs="Times New Roman"/>
          <w:sz w:val="24"/>
          <w:szCs w:val="24"/>
        </w:rPr>
        <w:t>.</w:t>
      </w:r>
    </w:p>
    <w:p w14:paraId="463D1E91" w14:textId="4BFBDE3E"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فعلى صعيد </w:t>
      </w:r>
      <w:r w:rsidRPr="000A614A">
        <w:rPr>
          <w:rFonts w:ascii="Times New Roman" w:eastAsia="Times New Roman" w:hAnsi="Times New Roman" w:cs="Times New Roman"/>
          <w:b/>
          <w:bCs/>
          <w:sz w:val="24"/>
          <w:szCs w:val="24"/>
          <w:rtl/>
        </w:rPr>
        <w:t>تجريم الاختراقات الإلكترونية</w:t>
      </w:r>
      <w:r w:rsidRPr="000A614A">
        <w:rPr>
          <w:rFonts w:ascii="Times New Roman" w:eastAsia="Times New Roman" w:hAnsi="Times New Roman" w:cs="Times New Roman"/>
          <w:sz w:val="24"/>
          <w:szCs w:val="24"/>
          <w:rtl/>
        </w:rPr>
        <w:t xml:space="preserve">، تتبنى الدول الثلاث أطرًا تشريعية تجرّم الدخول غير المشروع إلى الأنظمة والاعتداء على البيانات، إلا أن سنغافورة طورت تنظيمها بصورة مستمرة من خلال تحديث قانون إساءة استخدام الحاسب، بينما عززت الإمارات الحماية الجنائية بالتكامل بين تشريعات الجرائم الإلكترونية والتعاملات الإلكترونية، في حين يعتمد التنظيم السعودي على نظام مكافحة جرائم المعلوماتية </w:t>
      </w:r>
      <w:r w:rsidRPr="000A614A">
        <w:rPr>
          <w:rFonts w:ascii="Times New Roman" w:eastAsia="Times New Roman" w:hAnsi="Times New Roman" w:cs="Times New Roman" w:hint="cs"/>
          <w:sz w:val="24"/>
          <w:szCs w:val="24"/>
          <w:vertAlign w:val="superscript"/>
          <w:rtl/>
        </w:rPr>
        <w:t>(1)</w:t>
      </w:r>
      <w:r w:rsidRPr="000A614A">
        <w:rPr>
          <w:rStyle w:val="a8"/>
          <w:rFonts w:ascii="Times New Roman" w:eastAsia="Times New Roman" w:hAnsi="Times New Roman" w:cs="Times New Roman"/>
          <w:vanish/>
          <w:sz w:val="24"/>
          <w:szCs w:val="24"/>
          <w:vertAlign w:val="baseline"/>
          <w:rtl/>
        </w:rPr>
        <w:footnoteReference w:id="33"/>
      </w:r>
      <w:r w:rsidRPr="000A614A">
        <w:rPr>
          <w:rFonts w:ascii="Times New Roman" w:eastAsia="Times New Roman" w:hAnsi="Times New Roman" w:cs="Times New Roman"/>
          <w:sz w:val="24"/>
          <w:szCs w:val="24"/>
          <w:rtl/>
        </w:rPr>
        <w:t xml:space="preserve">بوصفه الإطار الرئيس لحماية الأنظمة والبيانات الرقمية (المملكة العربية السعودية، 1428هـ؛ دولة الإمارات العربية المتحدة، </w:t>
      </w:r>
      <w:r w:rsidR="000C475B" w:rsidRPr="000C475B">
        <w:rPr>
          <w:rFonts w:ascii="Times New Roman" w:eastAsia="Times New Roman" w:hAnsi="Times New Roman" w:cs="Times New Roman" w:hint="cs"/>
          <w:sz w:val="24"/>
          <w:szCs w:val="24"/>
          <w:vertAlign w:val="superscript"/>
          <w:rtl/>
        </w:rPr>
        <w:t>(2)</w:t>
      </w:r>
      <w:r w:rsidRPr="000A614A">
        <w:rPr>
          <w:rFonts w:ascii="Times New Roman" w:eastAsia="Times New Roman" w:hAnsi="Times New Roman" w:cs="Times New Roman"/>
          <w:sz w:val="24"/>
          <w:szCs w:val="24"/>
          <w:rtl/>
        </w:rPr>
        <w:t>2021؛ حكومة سنغافورة، 1993)</w:t>
      </w:r>
      <w:r w:rsidRPr="000A614A">
        <w:rPr>
          <w:rFonts w:ascii="Times New Roman" w:eastAsia="Times New Roman" w:hAnsi="Times New Roman" w:cs="Times New Roman"/>
          <w:sz w:val="24"/>
          <w:szCs w:val="24"/>
        </w:rPr>
        <w:t>.</w:t>
      </w:r>
    </w:p>
    <w:p w14:paraId="31CA6D07"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أما </w:t>
      </w:r>
      <w:r w:rsidRPr="000A614A">
        <w:rPr>
          <w:rFonts w:ascii="Times New Roman" w:eastAsia="Times New Roman" w:hAnsi="Times New Roman" w:cs="Times New Roman"/>
          <w:b/>
          <w:bCs/>
          <w:sz w:val="24"/>
          <w:szCs w:val="24"/>
          <w:rtl/>
        </w:rPr>
        <w:t>المسؤولية عن الإخلال بالمتطلبات الأمنية</w:t>
      </w:r>
      <w:r w:rsidRPr="000A614A">
        <w:rPr>
          <w:rFonts w:ascii="Times New Roman" w:eastAsia="Times New Roman" w:hAnsi="Times New Roman" w:cs="Times New Roman"/>
          <w:sz w:val="24"/>
          <w:szCs w:val="24"/>
          <w:rtl/>
        </w:rPr>
        <w:t>، فتظهر المقارنة أن التشريعات الثلاثة تفرض التزامات بحماية الأنظمة والبيانات، إلا أن نطاق المسؤولية يختلف بحسب طبيعة الجهة والالتزامات النظامية المقررة عليها. ففي الإمارات وسنغافورة ارتبطت المسؤولية بصورة أوضح بالالتزامات المفروضة على مقدمي خدمات الثقة والجهات المعالجة للبيانات، في حين ما زال التنظيم السعودي يعتمد بدرجة أكبر على القواعد العامة والمسؤولية النظامية الواردة في الأنظمة ذات الصلة، وهو ما يبرز الحاجة إلى مزيد من التفصيل في البيئة القضائية الرقمية</w:t>
      </w:r>
      <w:r w:rsidRPr="000A614A">
        <w:rPr>
          <w:rFonts w:ascii="Times New Roman" w:eastAsia="Times New Roman" w:hAnsi="Times New Roman" w:cs="Times New Roman"/>
          <w:sz w:val="24"/>
          <w:szCs w:val="24"/>
        </w:rPr>
        <w:t>.</w:t>
      </w:r>
    </w:p>
    <w:p w14:paraId="3DC582E7"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وفيما يتعلق </w:t>
      </w:r>
      <w:r w:rsidRPr="000A614A">
        <w:rPr>
          <w:rFonts w:ascii="Times New Roman" w:eastAsia="Times New Roman" w:hAnsi="Times New Roman" w:cs="Times New Roman"/>
          <w:b/>
          <w:bCs/>
          <w:sz w:val="24"/>
          <w:szCs w:val="24"/>
          <w:rtl/>
        </w:rPr>
        <w:t>بالمسؤولية المؤسسية وتعدد الفاعلين</w:t>
      </w:r>
      <w:r w:rsidRPr="000A614A">
        <w:rPr>
          <w:rFonts w:ascii="Times New Roman" w:eastAsia="Times New Roman" w:hAnsi="Times New Roman" w:cs="Times New Roman"/>
          <w:sz w:val="24"/>
          <w:szCs w:val="24"/>
          <w:rtl/>
        </w:rPr>
        <w:t>، تزداد صعوبة تحديد المسؤولية القانونية مع تعدد الأطراف المشاركة في تشغيل المنظومات الرقمية، كجهات تطوير الأنظمة، ومقدمي خدمات الحوسبة السحابية، ومقدمي خدمات الثقة، والجهات القضائية. ويلاحظ أن التنظيمين الإماراتي والسنغافوري أوليا اهتمامًا أكبر بتنظيم مسؤوليات مقدمي الخدمات الرقمية والجهات المعتمدة، بينما لا تزال الحاجة قائمة في المملكة إلى تطوير إطار أكثر تفصيلاً يحدد مسؤولية كل طرف في المنظومة الرقمية وفقًا لطبيعة دوره</w:t>
      </w:r>
      <w:r w:rsidRPr="000A614A">
        <w:rPr>
          <w:rFonts w:ascii="Times New Roman" w:eastAsia="Times New Roman" w:hAnsi="Times New Roman" w:cs="Times New Roman"/>
          <w:sz w:val="24"/>
          <w:szCs w:val="24"/>
        </w:rPr>
        <w:t>.</w:t>
      </w:r>
    </w:p>
    <w:p w14:paraId="5D3BBE32"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كما تمثل </w:t>
      </w:r>
      <w:r w:rsidRPr="000A614A">
        <w:rPr>
          <w:rFonts w:ascii="Times New Roman" w:eastAsia="Times New Roman" w:hAnsi="Times New Roman" w:cs="Times New Roman"/>
          <w:b/>
          <w:bCs/>
          <w:sz w:val="24"/>
          <w:szCs w:val="24"/>
          <w:rtl/>
        </w:rPr>
        <w:t>الجرائم الرقمية العابرة للحدود</w:t>
      </w:r>
      <w:r w:rsidRPr="000A614A">
        <w:rPr>
          <w:rFonts w:ascii="Times New Roman" w:eastAsia="Times New Roman" w:hAnsi="Times New Roman" w:cs="Times New Roman"/>
          <w:sz w:val="24"/>
          <w:szCs w:val="24"/>
          <w:rtl/>
        </w:rPr>
        <w:t xml:space="preserve"> أحد أبرز التحديات المشتركة، إذ إن انتقال البيانات والخدمات عبر الحدود يحد من فاعلية الاختصاص القضائي التقليدي. ولذلك اتجهت الدول الثلاث إلى تعزيز التعاون الدولي وتطوير الأطر النظامية المتعلقة بمكافحة الجرائم الإلكترونية، غير أن فعالية هذه الجهود تظل مرتبطة بمدى التعاون القضائي الدولي وتبادل المعلومات بين السلطات المختصة</w:t>
      </w:r>
      <w:r w:rsidRPr="000A614A">
        <w:rPr>
          <w:rFonts w:ascii="Times New Roman" w:eastAsia="Times New Roman" w:hAnsi="Times New Roman" w:cs="Times New Roman"/>
          <w:sz w:val="24"/>
          <w:szCs w:val="24"/>
        </w:rPr>
        <w:t>.</w:t>
      </w:r>
    </w:p>
    <w:p w14:paraId="57FC5BAE"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أما في مجال </w:t>
      </w:r>
      <w:r w:rsidRPr="000A614A">
        <w:rPr>
          <w:rFonts w:ascii="Times New Roman" w:eastAsia="Times New Roman" w:hAnsi="Times New Roman" w:cs="Times New Roman"/>
          <w:b/>
          <w:bCs/>
          <w:sz w:val="24"/>
          <w:szCs w:val="24"/>
          <w:rtl/>
        </w:rPr>
        <w:t>الإثبات الرقمي</w:t>
      </w:r>
      <w:r w:rsidRPr="000A614A">
        <w:rPr>
          <w:rFonts w:ascii="Times New Roman" w:eastAsia="Times New Roman" w:hAnsi="Times New Roman" w:cs="Times New Roman"/>
          <w:sz w:val="24"/>
          <w:szCs w:val="24"/>
          <w:rtl/>
        </w:rPr>
        <w:t>، فقد اعترفت الأنظمة الثلاثة بحجية الأدلة الإلكترونية، إلا أن التحدي العملي يتمثل في إثبات سلامة الدليل، والمحافظة على سلسلة حيازته الرقمية، والتحقق من أصالته عند المنازعة فيه. ويبرز هنا دور الخبرة الفنية والتوقيع الإلكتروني وخدمات الثقة في تعزيز القيمة الإثباتية للدليل الرقمي</w:t>
      </w:r>
      <w:r w:rsidRPr="000A614A">
        <w:rPr>
          <w:rFonts w:ascii="Times New Roman" w:eastAsia="Times New Roman" w:hAnsi="Times New Roman" w:cs="Times New Roman"/>
          <w:sz w:val="24"/>
          <w:szCs w:val="24"/>
        </w:rPr>
        <w:t>.</w:t>
      </w:r>
    </w:p>
    <w:p w14:paraId="0756020C"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وفيما يتعلق </w:t>
      </w:r>
      <w:r w:rsidRPr="000A614A">
        <w:rPr>
          <w:rFonts w:ascii="Times New Roman" w:eastAsia="Times New Roman" w:hAnsi="Times New Roman" w:cs="Times New Roman"/>
          <w:b/>
          <w:bCs/>
          <w:sz w:val="24"/>
          <w:szCs w:val="24"/>
          <w:rtl/>
        </w:rPr>
        <w:t>بحماية البيانات الشخصية</w:t>
      </w:r>
      <w:r w:rsidRPr="000A614A">
        <w:rPr>
          <w:rFonts w:ascii="Times New Roman" w:eastAsia="Times New Roman" w:hAnsi="Times New Roman" w:cs="Times New Roman"/>
          <w:sz w:val="24"/>
          <w:szCs w:val="24"/>
          <w:rtl/>
        </w:rPr>
        <w:t>، اتجهت المملكة والإمارات إلى إصدار تشريعات حديثة تنظم معالجة البيانات الشخصية، في حين تتمتع سنغافورة بإطار تشريعي مستقر يخضع للتحديث الدوري، الأمر الذي أسهم في ترسيخ الممارسات التنظيمية المتعلقة بحماية البيانات وإدارة المخاطر الرقمية. ومع ذلك، فإن التحدي المشترك يتمثل في تحقيق التوازن بين متطلبات حماية الخصوصية، وضمان انسيابية الإجراءات القضائية الرقمية</w:t>
      </w:r>
      <w:r w:rsidRPr="000A614A">
        <w:rPr>
          <w:rFonts w:ascii="Times New Roman" w:eastAsia="Times New Roman" w:hAnsi="Times New Roman" w:cs="Times New Roman"/>
          <w:sz w:val="24"/>
          <w:szCs w:val="24"/>
        </w:rPr>
        <w:t>.</w:t>
      </w:r>
    </w:p>
    <w:p w14:paraId="0999460D" w14:textId="79642B3D" w:rsidR="000A614A" w:rsidRPr="000A614A" w:rsidRDefault="000A614A" w:rsidP="000C475B">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ويتضح من المقارنة أن الاختلاف بين الدول الثلاث لا يكمن في الاعتراف بالمخاطر الأمنية للتحول الرقمي، وإنما في درجة تفصيل التنظيم القانوني للمسؤولية المؤسسية، وآليات إدارة المخاطر، والتنسيق بين التشريعات الجزائية والتنظيمية.</w:t>
      </w:r>
      <w:r w:rsidRPr="000A614A">
        <w:rPr>
          <w:rFonts w:ascii="Times New Roman" w:eastAsia="Times New Roman" w:hAnsi="Times New Roman" w:cs="Times New Roman"/>
          <w:sz w:val="24"/>
          <w:szCs w:val="24"/>
        </w:rPr>
        <w:t>.</w:t>
      </w:r>
    </w:p>
    <w:p w14:paraId="2FFFA947" w14:textId="77777777" w:rsidR="000A614A" w:rsidRDefault="000A614A" w:rsidP="000A614A">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341D88C0"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57C039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950E0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FFFB8C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A0AC5BA"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4451ED9"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4075CAF"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89978E"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0A00FF6"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1F62A7"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FD74F17"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C94344"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54CF44" w14:textId="11FEECA5"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خامساً: التحديات الدولية </w:t>
      </w:r>
    </w:p>
    <w:p w14:paraId="44E24BBF"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مفهوم التحديات الدولية للتحول الرقمي</w:t>
      </w:r>
    </w:p>
    <w:p w14:paraId="3880AD96"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sz w:val="24"/>
          <w:szCs w:val="24"/>
        </w:rPr>
        <w:t>:</w:t>
      </w:r>
    </w:p>
    <w:p w14:paraId="5A082C27" w14:textId="78522E9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الطبيعة العابرة للحدود للفضاء </w:t>
      </w:r>
      <w:r w:rsidR="004141E3" w:rsidRPr="004141E3">
        <w:rPr>
          <w:rFonts w:ascii="Times New Roman" w:eastAsia="Times New Roman" w:hAnsi="Times New Roman" w:cs="Times New Roman" w:hint="cs"/>
          <w:sz w:val="24"/>
          <w:szCs w:val="24"/>
          <w:rtl/>
        </w:rPr>
        <w:t>الرقمي،</w:t>
      </w:r>
      <w:r w:rsidRPr="004141E3">
        <w:rPr>
          <w:rFonts w:ascii="Times New Roman" w:eastAsia="Times New Roman" w:hAnsi="Times New Roman" w:cs="Times New Roman"/>
          <w:sz w:val="24"/>
          <w:szCs w:val="24"/>
          <w:rtl/>
        </w:rPr>
        <w:t xml:space="preserve"> ترابط الأنظمة </w:t>
      </w:r>
      <w:r w:rsidR="004141E3" w:rsidRPr="004141E3">
        <w:rPr>
          <w:rFonts w:ascii="Times New Roman" w:eastAsia="Times New Roman" w:hAnsi="Times New Roman" w:cs="Times New Roman" w:hint="cs"/>
          <w:sz w:val="24"/>
          <w:szCs w:val="24"/>
          <w:rtl/>
        </w:rPr>
        <w:t>العالمية، اختلاف</w:t>
      </w:r>
      <w:r w:rsidRPr="004141E3">
        <w:rPr>
          <w:rFonts w:ascii="Times New Roman" w:eastAsia="Times New Roman" w:hAnsi="Times New Roman" w:cs="Times New Roman"/>
          <w:sz w:val="24"/>
          <w:szCs w:val="24"/>
          <w:rtl/>
        </w:rPr>
        <w:t xml:space="preserve"> الأطر القانونية بين الدول </w:t>
      </w:r>
    </w:p>
    <w:p w14:paraId="729295A6" w14:textId="152097DF"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sz w:val="24"/>
          <w:szCs w:val="24"/>
          <w:rtl/>
        </w:rPr>
        <w:t>مسألة حوكمة عالمية</w:t>
      </w:r>
      <w:r w:rsidRPr="003B3BAB">
        <w:rPr>
          <w:rFonts w:ascii="Times New Roman" w:eastAsia="Times New Roman" w:hAnsi="Times New Roman" w:cs="Times New Roman"/>
          <w:sz w:val="28"/>
          <w:szCs w:val="28"/>
        </w:rPr>
        <w:t>.</w:t>
      </w:r>
    </w:p>
    <w:p w14:paraId="274ADE88" w14:textId="7CB36618" w:rsid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3B3BAB">
        <w:rPr>
          <w:rFonts w:ascii="Times New Roman" w:eastAsia="Times New Roman" w:hAnsi="Times New Roman" w:cs="Times New Roman"/>
          <w:b/>
          <w:bCs/>
          <w:kern w:val="36"/>
          <w:sz w:val="28"/>
          <w:szCs w:val="28"/>
          <w:rtl/>
        </w:rPr>
        <w:t>أبرز التحديات الدولية للتحول الرقمي</w:t>
      </w:r>
    </w:p>
    <w:p w14:paraId="09609BAF" w14:textId="006A0A78" w:rsidR="00C94A38" w:rsidRDefault="00C94A38" w:rsidP="00C94A38">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C94A38">
        <w:rPr>
          <w:sz w:val="24"/>
          <w:szCs w:val="24"/>
          <w:rtl/>
        </w:rPr>
        <w:t xml:space="preserve">يمثل التحول الرقمي في مرفق العدالة أحد أبرز التحولات المؤسسية التي شهدتها الأنظمة القضائية خلال العقدين الأخيرين، إلا أن نجاح هذا التحول لم يعد يقاس بمدى رقمنة الإجراءات أو زيادة عدد الخدمات الإلكترونية، وإنما بقدرة الدولة على بناء منظومة قانونية ومؤسسية وتقنية متكاملة تحقق الأمن القانوني، وتحافظ على الضمانات القضائية، وتواكب التطورات التقنية المتسارعة. وتؤكد الأدبيات الدولية أن معظم الدول، على اختلاف مستوياتها </w:t>
      </w:r>
      <w:r w:rsidRPr="00C94A38">
        <w:rPr>
          <w:rFonts w:hint="cs"/>
          <w:sz w:val="24"/>
          <w:szCs w:val="24"/>
          <w:rtl/>
        </w:rPr>
        <w:t>الرقمية</w:t>
      </w:r>
      <w:r w:rsidRPr="00C94A38">
        <w:rPr>
          <w:rFonts w:hint="cs"/>
          <w:sz w:val="24"/>
          <w:szCs w:val="24"/>
          <w:vertAlign w:val="superscript"/>
          <w:rtl/>
        </w:rPr>
        <w:t xml:space="preserve"> </w:t>
      </w:r>
      <w:r w:rsidRPr="00C94A38">
        <w:rPr>
          <w:sz w:val="24"/>
          <w:szCs w:val="24"/>
          <w:vertAlign w:val="superscript"/>
          <w:rtl/>
        </w:rPr>
        <w:t>(</w:t>
      </w:r>
      <w:r w:rsidRPr="00C94A38">
        <w:rPr>
          <w:rStyle w:val="a8"/>
          <w:vanish/>
          <w:sz w:val="24"/>
          <w:szCs w:val="24"/>
          <w:vertAlign w:val="baseline"/>
          <w:rtl/>
        </w:rPr>
        <w:footnoteReference w:id="34"/>
      </w:r>
      <w:r w:rsidRPr="00C94A38">
        <w:rPr>
          <w:rFonts w:hint="cs"/>
          <w:sz w:val="24"/>
          <w:szCs w:val="24"/>
          <w:vertAlign w:val="superscript"/>
          <w:rtl/>
        </w:rPr>
        <w:t>1)</w:t>
      </w:r>
      <w:r w:rsidRPr="00C94A38">
        <w:rPr>
          <w:sz w:val="24"/>
          <w:szCs w:val="24"/>
          <w:rtl/>
        </w:rPr>
        <w:t xml:space="preserve">، تواجه تحديات متشابهة تتمثل في مواكبة التشريعات للتقنيات الحديثة، وحماية البيانات، وتعزيز الأمن السيبراني، وتطوير البنية المؤسسية، وتنظيم استخدام الذكاء الاصطناعي في العمل </w:t>
      </w:r>
      <w:r w:rsidRPr="00C94A38">
        <w:rPr>
          <w:rFonts w:hint="cs"/>
          <w:sz w:val="24"/>
          <w:szCs w:val="24"/>
          <w:rtl/>
        </w:rPr>
        <w:t>القضا</w:t>
      </w:r>
      <w:r>
        <w:rPr>
          <w:rFonts w:hint="cs"/>
          <w:sz w:val="24"/>
          <w:szCs w:val="24"/>
          <w:rtl/>
        </w:rPr>
        <w:t>ئية.</w:t>
      </w:r>
    </w:p>
    <w:p w14:paraId="693975A2" w14:textId="3898370E" w:rsidR="00C94A38" w:rsidRPr="00C94A38" w:rsidRDefault="00C94A38" w:rsidP="00C94A38">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C94A38">
        <w:rPr>
          <w:sz w:val="24"/>
          <w:szCs w:val="24"/>
          <w:rtl/>
        </w:rPr>
        <w:t xml:space="preserve">يظهر من الدراسة المقارنة أن المملكة العربية السعودية ودولة الإمارات العربية المتحدة وجمهورية سنغافورة اتفقت جميعها على تبني استراتيجيات وطنية للتحول الرقمي وتطوير الخدمات القضائية الإلكترونية، إلا أن اختلاف البناء التشريعي والمؤسسي لكل دولة أدى إلى تباين طبيعة التحديات التي واجهتها ووسائل معالجتها. فالمملكة العربية السعودية ركزت على تطوير البيئة التشريعية وإعادة هندسة الإجراءات القضائية وربط الجهات الحكومية بمنصات رقمية موحدة، في حين اتجهت دولة الإمارات إلى بناء منظومة متكاملة تجمع بين خدمات الثقة الرقمية، والهوية الرقمية، وحوكمة الخدمات الحكومية، بينما اعتمدت سنغافورة نموذجًا يقوم على الحوكمة الرقمية المركزية، وتوحيد البنية التقنية الحكومية، والاستثمار المستمر في رأس المال البشري والابتكار </w:t>
      </w:r>
      <w:r w:rsidR="00807C78" w:rsidRPr="00C94A38">
        <w:rPr>
          <w:rFonts w:hint="cs"/>
          <w:sz w:val="24"/>
          <w:szCs w:val="24"/>
          <w:rtl/>
        </w:rPr>
        <w:t>المؤسسي</w:t>
      </w:r>
      <w:r w:rsidR="00807C78">
        <w:rPr>
          <w:rFonts w:ascii="Times New Roman" w:eastAsia="Times New Roman" w:hAnsi="Times New Roman" w:cs="Times New Roman" w:hint="cs"/>
          <w:b/>
          <w:bCs/>
          <w:kern w:val="36"/>
          <w:sz w:val="24"/>
          <w:szCs w:val="24"/>
          <w:rtl/>
        </w:rPr>
        <w:t>.</w:t>
      </w:r>
    </w:p>
    <w:p w14:paraId="16A5B85B" w14:textId="77777777" w:rsidR="00C94A38" w:rsidRPr="00C94A38" w:rsidRDefault="003B3BAB" w:rsidP="00C94A38">
      <w:pPr>
        <w:pStyle w:val="isselectedend"/>
        <w:bidi/>
        <w:spacing w:line="360" w:lineRule="auto"/>
      </w:pPr>
      <w:r w:rsidRPr="003B3BAB">
        <w:rPr>
          <w:sz w:val="28"/>
          <w:szCs w:val="28"/>
        </w:rPr>
        <w:t xml:space="preserve"> </w:t>
      </w:r>
      <w:r w:rsidR="00C94A38" w:rsidRPr="00C94A38">
        <w:rPr>
          <w:rtl/>
        </w:rPr>
        <w:t xml:space="preserve">يبرز </w:t>
      </w:r>
      <w:r w:rsidR="00C94A38" w:rsidRPr="00C94A38">
        <w:rPr>
          <w:b/>
          <w:bCs/>
          <w:rtl/>
        </w:rPr>
        <w:t>التحدي التشريعي</w:t>
      </w:r>
      <w:r w:rsidR="00C94A38" w:rsidRPr="00C94A38">
        <w:rPr>
          <w:rtl/>
        </w:rPr>
        <w:t xml:space="preserve"> بوصفه أحد أهم التحديات المشتركة، إذ تفرض سرعة التطور التقني تحديثًا مستمرًا للقواعد القانونية المنظمة للتعاملات الإلكترونية والإثبات الرقمي وحماية البيانات. وقد اتجهت المملكة إلى تحديث عدد من الأنظمة ذات الصلة، مثل نظام الإثبات ونظام حماية البيانات الشخصية، بينما اعتمدت الإمارات إطارًا تشريعيًا متكاملًا يربط بين قانون المعاملات الإلكترونية وخدمات الثقة وقانون حماية البيانات الشخصية وقانون الإثبات. أما سنغافورة، فقد انتهجت أسلوب الحياد التقني، مع إجراء تعديلات دورية على قانون المعاملات الإلكترونية بما يسمح باستيعاب التطبيقات التقنية المستحدثة دون الحاجة إلى إعادة صياغة الإطار القانوني بصورة متكررة. ويكشف ذلك أن الاختلاف لا يكمن في الاعتراف القانوني بالتحول الرقمي، وإنما في الآلية التشريعية التي يتم من خلالها مواكبة الابتكار التقني</w:t>
      </w:r>
      <w:r w:rsidR="00C94A38" w:rsidRPr="00C94A38">
        <w:t>.</w:t>
      </w:r>
    </w:p>
    <w:p w14:paraId="6E9E3128" w14:textId="77777777" w:rsidR="00C94A38" w:rsidRPr="00C94A38"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 xml:space="preserve">كما يمثل </w:t>
      </w:r>
      <w:r w:rsidRPr="00C94A38">
        <w:rPr>
          <w:rFonts w:ascii="Times New Roman" w:eastAsia="Times New Roman" w:hAnsi="Times New Roman" w:cs="Times New Roman"/>
          <w:b/>
          <w:bCs/>
          <w:sz w:val="24"/>
          <w:szCs w:val="24"/>
          <w:rtl/>
        </w:rPr>
        <w:t>الأمن السيبراني وحماية البيانات</w:t>
      </w:r>
      <w:r w:rsidRPr="00C94A38">
        <w:rPr>
          <w:rFonts w:ascii="Times New Roman" w:eastAsia="Times New Roman" w:hAnsi="Times New Roman" w:cs="Times New Roman"/>
          <w:sz w:val="24"/>
          <w:szCs w:val="24"/>
          <w:rtl/>
        </w:rPr>
        <w:t xml:space="preserve"> تحديًا عالميًا يزداد تعقيدًا مع توسع الخدمات القضائية الرقمية وتبادل البيانات بين الجهات الحكومية. فالتشريعات الثلاثة أقرت حماية البيانات الشخصية وجرمت الاعتداء على الأنظمة المعلوماتية، إلا أن التطبيق العملي يواجه تحديات تتعلق بتأمين البنية التحتية الرقمية، وإدارة المخاطر السيبرانية، وضمان سرية البيانات القضائية. وفي هذا السياق، تستفيد سنغافورة من خبرة مؤسسية طويلة في إدارة الأمن السيبراني والبنية الرقمية المشتركة، بينما تعمل المملكة والإمارات على تطوير الأطر التنظيمية والمعايير الوطنية بما يواكب التوسع المتسارع في الخدمات الحكومية الرقمية</w:t>
      </w:r>
      <w:r w:rsidRPr="00C94A38">
        <w:rPr>
          <w:rFonts w:ascii="Times New Roman" w:eastAsia="Times New Roman" w:hAnsi="Times New Roman" w:cs="Times New Roman"/>
          <w:sz w:val="24"/>
          <w:szCs w:val="24"/>
        </w:rPr>
        <w:t>.</w:t>
      </w:r>
    </w:p>
    <w:p w14:paraId="4158D0C8" w14:textId="42D78570" w:rsidR="00C94A38" w:rsidRPr="00C94A38"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 xml:space="preserve">ومن أبرز التحديات كذلك </w:t>
      </w:r>
      <w:r w:rsidRPr="00C94A38">
        <w:rPr>
          <w:rFonts w:ascii="Times New Roman" w:eastAsia="Times New Roman" w:hAnsi="Times New Roman" w:cs="Times New Roman"/>
          <w:b/>
          <w:bCs/>
          <w:sz w:val="24"/>
          <w:szCs w:val="24"/>
          <w:rtl/>
        </w:rPr>
        <w:t xml:space="preserve">الحوكمة المؤسسية </w:t>
      </w:r>
      <w:r w:rsidR="00103495" w:rsidRPr="00103495">
        <w:rPr>
          <w:rFonts w:ascii="Times New Roman" w:eastAsia="Times New Roman" w:hAnsi="Times New Roman" w:cs="Times New Roman" w:hint="cs"/>
          <w:b/>
          <w:bCs/>
          <w:sz w:val="24"/>
          <w:szCs w:val="24"/>
          <w:vertAlign w:val="superscript"/>
          <w:rtl/>
        </w:rPr>
        <w:t>(1)</w:t>
      </w:r>
      <w:r w:rsidR="00103495" w:rsidRPr="00C94A38">
        <w:rPr>
          <w:rFonts w:ascii="Times New Roman" w:eastAsia="Times New Roman" w:hAnsi="Times New Roman" w:cs="Times New Roman" w:hint="cs"/>
          <w:b/>
          <w:bCs/>
          <w:sz w:val="24"/>
          <w:szCs w:val="24"/>
          <w:rtl/>
        </w:rPr>
        <w:t xml:space="preserve"> والتكام</w:t>
      </w:r>
      <w:r w:rsidR="00103495" w:rsidRPr="00C94A38">
        <w:rPr>
          <w:rFonts w:ascii="Times New Roman" w:eastAsia="Times New Roman" w:hAnsi="Times New Roman" w:cs="Times New Roman" w:hint="eastAsia"/>
          <w:b/>
          <w:bCs/>
          <w:sz w:val="24"/>
          <w:szCs w:val="24"/>
          <w:rtl/>
        </w:rPr>
        <w:t>ل</w:t>
      </w:r>
      <w:r w:rsidRPr="00C94A38">
        <w:rPr>
          <w:rFonts w:ascii="Times New Roman" w:eastAsia="Times New Roman" w:hAnsi="Times New Roman" w:cs="Times New Roman"/>
          <w:b/>
          <w:bCs/>
          <w:sz w:val="24"/>
          <w:szCs w:val="24"/>
          <w:rtl/>
        </w:rPr>
        <w:t xml:space="preserve"> بين الجهات</w:t>
      </w:r>
      <w:r w:rsidRPr="00C94A38">
        <w:rPr>
          <w:rFonts w:ascii="Times New Roman" w:eastAsia="Times New Roman" w:hAnsi="Times New Roman" w:cs="Times New Roman"/>
          <w:sz w:val="24"/>
          <w:szCs w:val="24"/>
          <w:rtl/>
        </w:rPr>
        <w:t>، حيث تؤكد الأدبيات الدولية أن نجاح التحول الرقمي لا يتحقق بمجرد امتلاك التقنيات الحديثة، وإنما بوجود مؤسسات قادرة على إدارة البيانات، وتوحيد المعايير، وتنسيق الأدوار بين الجهات المختلفة. وتواجه المملكة تحدي تعزيز التكامل بين الجهات القضائية والجهات الحكومية ذات العلاقة، في حين يفرض النظام الاتحادي في دولة الإمارات ضرورة التنسيق المستمر بين الجهات الاتحادية والمحلية، أما في سنغافورة فقد أسهم وجود هيئة حكومية متخصصة</w:t>
      </w:r>
      <w:r w:rsidRPr="00C94A38">
        <w:rPr>
          <w:rFonts w:ascii="Times New Roman" w:eastAsia="Times New Roman" w:hAnsi="Times New Roman" w:cs="Times New Roman"/>
          <w:sz w:val="24"/>
          <w:szCs w:val="24"/>
        </w:rPr>
        <w:t xml:space="preserve"> (GovTech) </w:t>
      </w:r>
      <w:r w:rsidRPr="00C94A38">
        <w:rPr>
          <w:rFonts w:ascii="Times New Roman" w:eastAsia="Times New Roman" w:hAnsi="Times New Roman" w:cs="Times New Roman"/>
          <w:sz w:val="24"/>
          <w:szCs w:val="24"/>
          <w:rtl/>
        </w:rPr>
        <w:t>في توحيد البنية الرقمية الحكومية وتعزيز التكامل المؤسسي، مع استمرار الحاجة إلى تطوير الأنظمة بما يواكب الابتكار التقني</w:t>
      </w:r>
      <w:r w:rsidRPr="00C94A38">
        <w:rPr>
          <w:rFonts w:ascii="Times New Roman" w:eastAsia="Times New Roman" w:hAnsi="Times New Roman" w:cs="Times New Roman"/>
          <w:sz w:val="24"/>
          <w:szCs w:val="24"/>
        </w:rPr>
        <w:t>.</w:t>
      </w:r>
    </w:p>
    <w:p w14:paraId="074E584F" w14:textId="77777777" w:rsidR="00C94A38" w:rsidRPr="00C94A38"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 xml:space="preserve">وتبرز </w:t>
      </w:r>
      <w:r w:rsidRPr="00C94A38">
        <w:rPr>
          <w:rFonts w:ascii="Times New Roman" w:eastAsia="Times New Roman" w:hAnsi="Times New Roman" w:cs="Times New Roman"/>
          <w:b/>
          <w:bCs/>
          <w:sz w:val="24"/>
          <w:szCs w:val="24"/>
          <w:rtl/>
        </w:rPr>
        <w:t>تنمية الموارد البشرية</w:t>
      </w:r>
      <w:r w:rsidRPr="00C94A38">
        <w:rPr>
          <w:rFonts w:ascii="Times New Roman" w:eastAsia="Times New Roman" w:hAnsi="Times New Roman" w:cs="Times New Roman"/>
          <w:sz w:val="24"/>
          <w:szCs w:val="24"/>
          <w:rtl/>
        </w:rPr>
        <w:t xml:space="preserve"> باعتبارها عنصرًا حاسمًا في استدامة التحول الرقمي؛ إذ إن نجاح الأنظمة الرقمية يتوقف على توافر كوادر تمتلك المهارات القانونية والتقنية اللازمة لإدارة البيئة الرقمية. وقد أطلقت المملكة والإمارات برامج وطنية لتطوير القدرات الرقمية، في حين اعتمدت سنغافورة نموذجًا مؤسسيًا للتدريب المستمر من خلال الأكاديمية الرقمية الحكومية، بما يعزز جاهزية العاملين في القطاع العام للتعامل مع التقنيات الحديثة</w:t>
      </w:r>
      <w:r w:rsidRPr="00C94A38">
        <w:rPr>
          <w:rFonts w:ascii="Times New Roman" w:eastAsia="Times New Roman" w:hAnsi="Times New Roman" w:cs="Times New Roman"/>
          <w:sz w:val="24"/>
          <w:szCs w:val="24"/>
        </w:rPr>
        <w:t>.</w:t>
      </w:r>
    </w:p>
    <w:p w14:paraId="639E8565" w14:textId="7371B854" w:rsidR="00C94A38" w:rsidRPr="00C94A38" w:rsidRDefault="00C94A38" w:rsidP="00103495">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 xml:space="preserve">كما يثير </w:t>
      </w:r>
      <w:r w:rsidRPr="00C94A38">
        <w:rPr>
          <w:rFonts w:ascii="Times New Roman" w:eastAsia="Times New Roman" w:hAnsi="Times New Roman" w:cs="Times New Roman"/>
          <w:b/>
          <w:bCs/>
          <w:sz w:val="24"/>
          <w:szCs w:val="24"/>
          <w:rtl/>
        </w:rPr>
        <w:t>استخدام الذكاء الاصطناعي في القضاء</w:t>
      </w:r>
      <w:r w:rsidRPr="00C94A38">
        <w:rPr>
          <w:rFonts w:ascii="Times New Roman" w:eastAsia="Times New Roman" w:hAnsi="Times New Roman" w:cs="Times New Roman"/>
          <w:sz w:val="24"/>
          <w:szCs w:val="24"/>
          <w:rtl/>
        </w:rPr>
        <w:t xml:space="preserve"> </w:t>
      </w:r>
      <w:r w:rsidR="00462B76" w:rsidRPr="00462B76">
        <w:rPr>
          <w:rFonts w:ascii="Times New Roman" w:eastAsia="Times New Roman" w:hAnsi="Times New Roman" w:cs="Times New Roman" w:hint="cs"/>
          <w:sz w:val="24"/>
          <w:szCs w:val="24"/>
          <w:vertAlign w:val="superscript"/>
          <w:rtl/>
        </w:rPr>
        <w:t>(</w:t>
      </w:r>
      <w:r w:rsidR="00462B76" w:rsidRPr="00462B76">
        <w:rPr>
          <w:rStyle w:val="a8"/>
          <w:rFonts w:ascii="Times New Roman" w:eastAsia="Times New Roman" w:hAnsi="Times New Roman" w:cs="Times New Roman"/>
          <w:vanish/>
          <w:sz w:val="24"/>
          <w:szCs w:val="24"/>
          <w:rtl/>
        </w:rPr>
        <w:footnoteReference w:id="35"/>
      </w:r>
      <w:r w:rsidR="00103495">
        <w:rPr>
          <w:rFonts w:ascii="Times New Roman" w:eastAsia="Times New Roman" w:hAnsi="Times New Roman" w:cs="Times New Roman" w:hint="cs"/>
          <w:sz w:val="24"/>
          <w:szCs w:val="24"/>
          <w:vertAlign w:val="superscript"/>
          <w:rtl/>
        </w:rPr>
        <w:t>2</w:t>
      </w:r>
      <w:r w:rsidR="00462B76" w:rsidRPr="00462B76">
        <w:rPr>
          <w:rFonts w:ascii="Times New Roman" w:eastAsia="Times New Roman" w:hAnsi="Times New Roman" w:cs="Times New Roman" w:hint="cs"/>
          <w:sz w:val="24"/>
          <w:szCs w:val="24"/>
          <w:vertAlign w:val="superscript"/>
          <w:rtl/>
        </w:rPr>
        <w:t>)</w:t>
      </w:r>
      <w:r w:rsidRPr="00C94A38">
        <w:rPr>
          <w:rFonts w:ascii="Times New Roman" w:eastAsia="Times New Roman" w:hAnsi="Times New Roman" w:cs="Times New Roman"/>
          <w:sz w:val="24"/>
          <w:szCs w:val="24"/>
          <w:rtl/>
        </w:rPr>
        <w:t>تحديات قانونية وأخلاقية متزايدة، تتعلق بالشفافية، وقابلية تفسير القرارات، والمسؤولية عن الأخطاء التقنية، وضمان عدم الإخلال باستقلال القاضي وحقوق المتقاضين. وقد اتجهت الدول الثلاث إلى الاستفادة من تطبيقات الذكاء الاصطناعي في الخدمات القضائية بدرجات متفاوتة، مع التأكيد على بقاء القرار القضائي النهائي بيد القاضي، وهو ما ينسجم مع التوجهات الدولية التي تشدد على ضرورة الإشراف البشري وعدم إحلال الأنظمة الذكية محل السلطة القضائية</w:t>
      </w:r>
      <w:r w:rsidRPr="00C94A38">
        <w:rPr>
          <w:rFonts w:ascii="Times New Roman" w:eastAsia="Times New Roman" w:hAnsi="Times New Roman" w:cs="Times New Roman"/>
          <w:sz w:val="24"/>
          <w:szCs w:val="24"/>
        </w:rPr>
        <w:t>.</w:t>
      </w:r>
    </w:p>
    <w:p w14:paraId="53706475" w14:textId="299559CB" w:rsidR="00C94A38" w:rsidRPr="00C94A38" w:rsidRDefault="00C94A38" w:rsidP="00103495">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وت</w:t>
      </w:r>
      <w:r w:rsidR="00103495" w:rsidRPr="00103495">
        <w:rPr>
          <w:rFonts w:ascii="Times New Roman" w:eastAsia="Times New Roman" w:hAnsi="Times New Roman" w:cs="Times New Roman" w:hint="cs"/>
          <w:sz w:val="24"/>
          <w:szCs w:val="24"/>
          <w:rtl/>
        </w:rPr>
        <w:t>لخ</w:t>
      </w:r>
      <w:r w:rsidRPr="00C94A38">
        <w:rPr>
          <w:rFonts w:ascii="Times New Roman" w:eastAsia="Times New Roman" w:hAnsi="Times New Roman" w:cs="Times New Roman"/>
          <w:sz w:val="24"/>
          <w:szCs w:val="24"/>
          <w:rtl/>
        </w:rPr>
        <w:t xml:space="preserve">ص الدراسة </w:t>
      </w:r>
      <w:r w:rsidR="00103495" w:rsidRPr="00103495">
        <w:rPr>
          <w:sz w:val="24"/>
          <w:szCs w:val="24"/>
          <w:rtl/>
        </w:rPr>
        <w:t xml:space="preserve">استنادًا إلى الأدبيات </w:t>
      </w:r>
      <w:r w:rsidR="00103495" w:rsidRPr="00103495">
        <w:rPr>
          <w:rFonts w:hint="cs"/>
          <w:sz w:val="24"/>
          <w:szCs w:val="24"/>
          <w:rtl/>
        </w:rPr>
        <w:t>الدولية</w:t>
      </w:r>
      <w:r w:rsidR="00103495" w:rsidRPr="00103495">
        <w:rPr>
          <w:rFonts w:hint="cs"/>
          <w:sz w:val="24"/>
          <w:szCs w:val="24"/>
          <w:vertAlign w:val="superscript"/>
          <w:rtl/>
        </w:rPr>
        <w:t xml:space="preserve"> </w:t>
      </w:r>
      <w:r w:rsidR="00103495" w:rsidRPr="00103495">
        <w:rPr>
          <w:sz w:val="24"/>
          <w:szCs w:val="24"/>
          <w:vertAlign w:val="superscript"/>
          <w:rtl/>
        </w:rPr>
        <w:t>(</w:t>
      </w:r>
      <w:r w:rsidR="00103495" w:rsidRPr="00103495">
        <w:rPr>
          <w:rFonts w:hint="cs"/>
          <w:sz w:val="24"/>
          <w:szCs w:val="24"/>
          <w:vertAlign w:val="superscript"/>
          <w:rtl/>
        </w:rPr>
        <w:t>3)</w:t>
      </w:r>
      <w:r w:rsidR="00103495" w:rsidRPr="00103495">
        <w:rPr>
          <w:sz w:val="24"/>
          <w:szCs w:val="24"/>
          <w:rtl/>
        </w:rPr>
        <w:t xml:space="preserve"> ونتائج الدراسة المقارنة، إلى أن التحديات التي تواجه التحول الرقمي في إجراءات التقاضي لم تعد تنحصر في الجوانب التقنية، بل أصبحت ترتبط بقدرة الدولة على تحقيق التكامل بين الإطار التشريعي، والحوكمة المؤسسية، والبنية التقنية، بما يضمن استدامة الخدمات القضائية الرقمية، وتعزيز الأمن القانوني، وحماية حقوق المتقاضين</w:t>
      </w:r>
      <w:r w:rsidRPr="00C94A38">
        <w:rPr>
          <w:rFonts w:ascii="Times New Roman" w:eastAsia="Times New Roman" w:hAnsi="Times New Roman" w:cs="Times New Roman"/>
          <w:sz w:val="24"/>
          <w:szCs w:val="24"/>
          <w:rtl/>
        </w:rPr>
        <w:t>. وتتميز التجربة السعودية بسرعة التطوير التشريعي والتوسع في الخدمات الرقمية، بينما تتميز التجربة الإماراتية بتكامل الإطار التشريعي والتنظيمي، في حين تنفرد التجربة السنغافورية باستقرار بنيتها المؤسسية واعتمادها على الحوكمة الرقمية المركزية والحياد التقني. وترى الباحثة أن تطوير منظومة التقاضي الرقمي في المملكة يمكن أن يستفيد من التجربة الإماراتية في تنظيم خدمات الثقة الرقمية، ومن التجربة السنغافورية في بناء بنية حكومية رقمية موحدة وتطوير القدرات المؤسسية، بما يعزز الأمن القانوني، ويرفع كفاءة العدالة الرقمية، ويحقق استدامة التحول الرقمي في مرفق القضاء</w:t>
      </w:r>
      <w:r w:rsidRPr="00C94A38">
        <w:rPr>
          <w:rFonts w:ascii="Times New Roman" w:eastAsia="Times New Roman" w:hAnsi="Times New Roman" w:cs="Times New Roman"/>
          <w:sz w:val="24"/>
          <w:szCs w:val="24"/>
        </w:rPr>
        <w:t>.</w:t>
      </w:r>
    </w:p>
    <w:p w14:paraId="30CCD143" w14:textId="700D9E10" w:rsidR="004E091D" w:rsidRDefault="004E091D" w:rsidP="00C94A38">
      <w:pPr>
        <w:spacing w:before="100" w:beforeAutospacing="1" w:after="100" w:afterAutospacing="1" w:line="360" w:lineRule="auto"/>
        <w:jc w:val="left"/>
        <w:outlineLvl w:val="0"/>
      </w:pPr>
    </w:p>
    <w:p w14:paraId="681A501E" w14:textId="5B3BD70C" w:rsidR="003B3BAB" w:rsidRPr="004E091D" w:rsidRDefault="003B3BAB" w:rsidP="00AA2D35">
      <w:pPr>
        <w:spacing w:before="100" w:beforeAutospacing="1" w:after="100" w:afterAutospacing="1" w:line="360" w:lineRule="auto"/>
        <w:ind w:left="360"/>
        <w:jc w:val="left"/>
        <w:rPr>
          <w:rFonts w:ascii="Times New Roman" w:eastAsia="Times New Roman" w:hAnsi="Times New Roman" w:cs="Times New Roman"/>
          <w:sz w:val="28"/>
          <w:szCs w:val="28"/>
          <w:rtl/>
        </w:rPr>
      </w:pPr>
    </w:p>
    <w:p w14:paraId="6D853B7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A88FA8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635EFD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387FD5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D56289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A1372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FAEFD1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7855377" w14:textId="468DAB9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71AB6A4" w14:textId="5190B517" w:rsidR="003B3BAB" w:rsidRPr="003B3BAB" w:rsidRDefault="003B3BAB" w:rsidP="00C94A38">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3B3BAB">
        <w:rPr>
          <w:rFonts w:ascii="Times New Roman" w:hAnsi="Times New Roman" w:cs="Times New Roman"/>
          <w:sz w:val="28"/>
          <w:szCs w:val="28"/>
        </w:rPr>
        <w:t>.</w:t>
      </w:r>
    </w:p>
    <w:p w14:paraId="6BEF58AD"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D090C7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E217F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8181F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0969A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DF37C"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7267CC0" w14:textId="4BEF8A95" w:rsidR="00C94A38" w:rsidRDefault="00C94A38" w:rsidP="00103495">
      <w:pPr>
        <w:spacing w:after="431"/>
        <w:ind w:right="59"/>
        <w:jc w:val="both"/>
        <w:rPr>
          <w:rFonts w:ascii="Times New Roman" w:hAnsi="Times New Roman" w:cs="Times New Roman"/>
          <w:b/>
          <w:bCs/>
          <w:sz w:val="32"/>
          <w:szCs w:val="32"/>
          <w:rtl/>
        </w:rPr>
      </w:pPr>
    </w:p>
    <w:p w14:paraId="799E1622" w14:textId="77777777" w:rsidR="00C94A38" w:rsidRDefault="00C94A38" w:rsidP="00F43B89">
      <w:pPr>
        <w:spacing w:after="431"/>
        <w:ind w:right="59"/>
        <w:jc w:val="both"/>
        <w:rPr>
          <w:rFonts w:ascii="Times New Roman" w:hAnsi="Times New Roman" w:cs="Times New Roman"/>
          <w:b/>
          <w:bCs/>
          <w:sz w:val="32"/>
          <w:szCs w:val="32"/>
          <w:rtl/>
        </w:rPr>
      </w:pPr>
    </w:p>
    <w:p w14:paraId="5D82A350" w14:textId="4E2842F8" w:rsidR="00745B06" w:rsidRPr="00D3434E" w:rsidRDefault="003A0856" w:rsidP="00F43B89">
      <w:pPr>
        <w:spacing w:after="431"/>
        <w:ind w:right="59"/>
        <w:jc w:val="both"/>
        <w:rPr>
          <w:rFonts w:ascii="Times New Roman" w:hAnsi="Times New Roman" w:cs="Times New Roman"/>
          <w:b/>
          <w:bCs/>
          <w:sz w:val="32"/>
          <w:szCs w:val="32"/>
          <w:rtl/>
        </w:rPr>
      </w:pPr>
      <w:r w:rsidRPr="00D3434E">
        <w:rPr>
          <w:rFonts w:ascii="Times New Roman" w:hAnsi="Times New Roman" w:cs="Times New Roman"/>
          <w:b/>
          <w:bCs/>
          <w:sz w:val="32"/>
          <w:szCs w:val="32"/>
          <w:rtl/>
        </w:rPr>
        <w:t>الفصل الثالث:</w:t>
      </w:r>
      <w:r w:rsidRPr="00D3434E">
        <w:rPr>
          <w:rFonts w:ascii="Times New Roman" w:hAnsi="Times New Roman" w:cs="Times New Roman" w:hint="cs"/>
          <w:b/>
          <w:bCs/>
          <w:sz w:val="32"/>
          <w:szCs w:val="32"/>
          <w:rtl/>
        </w:rPr>
        <w:t xml:space="preserve"> </w:t>
      </w:r>
      <w:r w:rsidRPr="00D3434E">
        <w:rPr>
          <w:rFonts w:ascii="Times New Roman" w:hAnsi="Times New Roman" w:cs="Times New Roman"/>
          <w:b/>
          <w:bCs/>
          <w:sz w:val="32"/>
          <w:szCs w:val="32"/>
          <w:rtl/>
        </w:rPr>
        <w:t>ال</w:t>
      </w:r>
      <w:r w:rsidRPr="00D3434E">
        <w:rPr>
          <w:rFonts w:ascii="Times New Roman" w:hAnsi="Times New Roman" w:cs="Times New Roman" w:hint="cs"/>
          <w:b/>
          <w:bCs/>
          <w:sz w:val="32"/>
          <w:szCs w:val="32"/>
          <w:rtl/>
        </w:rPr>
        <w:t>آ</w:t>
      </w:r>
      <w:r w:rsidRPr="00D3434E">
        <w:rPr>
          <w:rFonts w:ascii="Times New Roman" w:hAnsi="Times New Roman" w:cs="Times New Roman"/>
          <w:b/>
          <w:bCs/>
          <w:sz w:val="32"/>
          <w:szCs w:val="32"/>
          <w:rtl/>
        </w:rPr>
        <w:t>ثــــــــــــــــــــــــــــار</w:t>
      </w:r>
      <w:r w:rsidRPr="00D3434E">
        <w:rPr>
          <w:rFonts w:ascii="Times New Roman" w:hAnsi="Times New Roman" w:cs="Times New Roman" w:hint="cs"/>
          <w:b/>
          <w:bCs/>
          <w:sz w:val="32"/>
          <w:szCs w:val="32"/>
          <w:rtl/>
        </w:rPr>
        <w:t xml:space="preserve"> المترتبة </w:t>
      </w:r>
      <w:r w:rsidR="00F43B89" w:rsidRPr="00D3434E">
        <w:rPr>
          <w:rFonts w:ascii="Times New Roman" w:hAnsi="Times New Roman" w:cs="Times New Roman" w:hint="cs"/>
          <w:b/>
          <w:bCs/>
          <w:sz w:val="32"/>
          <w:szCs w:val="32"/>
          <w:rtl/>
        </w:rPr>
        <w:t>على</w:t>
      </w:r>
      <w:r w:rsidRPr="00D3434E">
        <w:rPr>
          <w:rFonts w:ascii="Times New Roman" w:hAnsi="Times New Roman" w:cs="Times New Roman" w:hint="cs"/>
          <w:b/>
          <w:bCs/>
          <w:sz w:val="32"/>
          <w:szCs w:val="32"/>
          <w:rtl/>
        </w:rPr>
        <w:t xml:space="preserve"> تنظيم التحول الرقمي </w:t>
      </w:r>
    </w:p>
    <w:p w14:paraId="0D732F9B" w14:textId="0758F3CE" w:rsidR="003A0856" w:rsidRDefault="003A0856" w:rsidP="00AA2D35">
      <w:pPr>
        <w:spacing w:after="431" w:line="360" w:lineRule="auto"/>
        <w:ind w:right="59"/>
        <w:jc w:val="both"/>
        <w:rPr>
          <w:rFonts w:ascii="Times New Roman" w:hAnsi="Times New Roman" w:cs="Times New Roman"/>
          <w:sz w:val="24"/>
          <w:szCs w:val="24"/>
          <w:rtl/>
        </w:rPr>
      </w:pPr>
      <w:r w:rsidRPr="003A0856">
        <w:rPr>
          <w:rFonts w:ascii="Times New Roman" w:hAnsi="Times New Roman" w:cs="Times New Roman"/>
          <w:sz w:val="24"/>
          <w:szCs w:val="24"/>
          <w:rtl/>
        </w:rPr>
        <w:t>يُعد تنظيم التحول الرقمي من القضايا القانونية والتنظيمية الحديثة التي ترتب آثارًا واسعة النطاق على الجوانب القانونية والإدارية والاقتصادية والتقنية. فمع توسع استخدام التقنيات الرقمية في المؤسسات الحكومية والقضائية والخدمية، أصبح وجود إطار تنظيمي واضح ضرورة لضمان تحقيق الاستفادة من التقنيات الحديثة مع الحد من المخاطر المرتبطة بها. ويترتب على تنظيم التحول الرقمي مجموعة من الآثار الإيجابية والتحديات التي تؤثر بصورة مباشرة في كفاءة المؤسسات وحماية الحقوق وتحقيق التنمية المستدامة</w:t>
      </w:r>
      <w:r w:rsidRPr="003A0856">
        <w:rPr>
          <w:rFonts w:ascii="Times New Roman" w:hAnsi="Times New Roman" w:cs="Times New Roman"/>
          <w:sz w:val="24"/>
          <w:szCs w:val="24"/>
        </w:rPr>
        <w:t>.</w:t>
      </w:r>
    </w:p>
    <w:p w14:paraId="727A9C2B" w14:textId="5F39EC19" w:rsidR="0017347B" w:rsidRDefault="00325595" w:rsidP="00186A24">
      <w:pPr>
        <w:spacing w:before="100" w:beforeAutospacing="1" w:after="100" w:afterAutospacing="1" w:line="360" w:lineRule="auto"/>
        <w:jc w:val="left"/>
        <w:outlineLvl w:val="2"/>
        <w:rPr>
          <w:rFonts w:ascii="Times New Roman" w:eastAsia="Times New Roman" w:hAnsi="Times New Roman" w:cs="Times New Roman"/>
          <w:b/>
          <w:bCs/>
          <w:sz w:val="28"/>
          <w:szCs w:val="28"/>
          <w:vertAlign w:val="superscript"/>
          <w:rtl/>
        </w:rPr>
      </w:pPr>
      <w:r>
        <w:rPr>
          <w:rFonts w:ascii="Times New Roman" w:eastAsia="Times New Roman" w:hAnsi="Times New Roman" w:cs="Times New Roman" w:hint="cs"/>
          <w:b/>
          <w:bCs/>
          <w:sz w:val="28"/>
          <w:szCs w:val="28"/>
          <w:rtl/>
        </w:rPr>
        <w:t xml:space="preserve">المبحث </w:t>
      </w:r>
      <w:r w:rsidR="0017347B">
        <w:rPr>
          <w:rFonts w:ascii="Times New Roman" w:eastAsia="Times New Roman" w:hAnsi="Times New Roman" w:cs="Times New Roman" w:hint="cs"/>
          <w:b/>
          <w:bCs/>
          <w:sz w:val="28"/>
          <w:szCs w:val="28"/>
          <w:rtl/>
        </w:rPr>
        <w:t>الأول</w:t>
      </w:r>
      <w:r w:rsidR="0017347B">
        <w:rPr>
          <w:rFonts w:hint="cs"/>
          <w:rtl/>
        </w:rPr>
        <w:t xml:space="preserve">: </w:t>
      </w:r>
      <w:r w:rsidR="0017347B" w:rsidRPr="0017347B">
        <w:rPr>
          <w:rFonts w:hint="cs"/>
          <w:b/>
          <w:bCs/>
          <w:sz w:val="28"/>
          <w:szCs w:val="28"/>
          <w:rtl/>
        </w:rPr>
        <w:t>الآثار</w:t>
      </w:r>
      <w:r w:rsidR="0017347B" w:rsidRPr="0017347B">
        <w:rPr>
          <w:b/>
          <w:bCs/>
          <w:sz w:val="28"/>
          <w:szCs w:val="28"/>
          <w:rtl/>
        </w:rPr>
        <w:t xml:space="preserve"> القانونية</w:t>
      </w:r>
      <w:r w:rsidR="00186A24">
        <w:rPr>
          <w:rFonts w:hint="cs"/>
          <w:b/>
          <w:bCs/>
          <w:sz w:val="28"/>
          <w:szCs w:val="28"/>
          <w:rtl/>
        </w:rPr>
        <w:t xml:space="preserve"> والقضائية</w:t>
      </w:r>
      <w:r w:rsidR="0017347B" w:rsidRPr="0017347B">
        <w:rPr>
          <w:b/>
          <w:bCs/>
          <w:sz w:val="28"/>
          <w:szCs w:val="28"/>
          <w:rtl/>
        </w:rPr>
        <w:t xml:space="preserve"> للتحول الرقمي</w:t>
      </w:r>
      <w:r w:rsidR="0017347B">
        <w:t>.</w:t>
      </w:r>
      <w:r w:rsidR="002304D5">
        <w:rPr>
          <w:rFonts w:ascii="Times New Roman" w:eastAsia="Times New Roman" w:hAnsi="Times New Roman" w:cs="Times New Roman" w:hint="cs"/>
          <w:b/>
          <w:bCs/>
          <w:sz w:val="28"/>
          <w:szCs w:val="28"/>
          <w:rtl/>
        </w:rPr>
        <w:t xml:space="preserve"> </w:t>
      </w:r>
      <w:r w:rsidR="00AF4DAE" w:rsidRPr="00AF4DAE">
        <w:rPr>
          <w:rFonts w:ascii="Times New Roman" w:eastAsia="Times New Roman" w:hAnsi="Times New Roman" w:cs="Times New Roman" w:hint="cs"/>
          <w:b/>
          <w:bCs/>
          <w:sz w:val="28"/>
          <w:szCs w:val="28"/>
          <w:vertAlign w:val="superscript"/>
          <w:rtl/>
        </w:rPr>
        <w:t>(1</w:t>
      </w:r>
      <w:r w:rsidR="001537F5">
        <w:rPr>
          <w:rFonts w:ascii="Times New Roman" w:eastAsia="Times New Roman" w:hAnsi="Times New Roman" w:cs="Times New Roman" w:hint="cs"/>
          <w:b/>
          <w:bCs/>
          <w:sz w:val="28"/>
          <w:szCs w:val="28"/>
          <w:vertAlign w:val="superscript"/>
          <w:rtl/>
        </w:rPr>
        <w:t>)</w:t>
      </w:r>
      <w:r w:rsidR="00AF4DAE">
        <w:rPr>
          <w:rFonts w:ascii="Times New Roman" w:eastAsia="Times New Roman" w:hAnsi="Times New Roman" w:cs="Times New Roman" w:hint="cs"/>
          <w:b/>
          <w:bCs/>
          <w:sz w:val="28"/>
          <w:szCs w:val="28"/>
          <w:vertAlign w:val="superscript"/>
          <w:rtl/>
        </w:rPr>
        <w:t xml:space="preserve"> </w:t>
      </w:r>
    </w:p>
    <w:p w14:paraId="6E450A4D" w14:textId="15D7DA1A" w:rsidR="003A0856" w:rsidRPr="0017347B" w:rsidRDefault="0017347B" w:rsidP="0017347B">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7347B">
        <w:rPr>
          <w:b/>
          <w:bCs/>
          <w:sz w:val="28"/>
          <w:szCs w:val="28"/>
          <w:rtl/>
        </w:rPr>
        <w:t>المطلب الأول: آثار التنظيم القانوني للتحول الرقمي في تعزيز الأمن القانوني</w:t>
      </w:r>
      <w:r w:rsidRPr="0017347B">
        <w:rPr>
          <w:b/>
          <w:bCs/>
          <w:sz w:val="28"/>
          <w:szCs w:val="28"/>
        </w:rPr>
        <w:t>.</w:t>
      </w:r>
      <w:r w:rsidRPr="0017347B">
        <w:rPr>
          <w:rStyle w:val="a8"/>
          <w:rFonts w:ascii="Times New Roman" w:eastAsia="Times New Roman" w:hAnsi="Times New Roman" w:cs="Times New Roman"/>
          <w:b/>
          <w:bCs/>
          <w:vanish/>
          <w:sz w:val="28"/>
          <w:szCs w:val="28"/>
          <w:vertAlign w:val="baseline"/>
          <w:rtl/>
        </w:rPr>
        <w:t xml:space="preserve"> </w:t>
      </w:r>
      <w:r w:rsidR="00AF4DAE" w:rsidRPr="0017347B">
        <w:rPr>
          <w:rStyle w:val="a8"/>
          <w:rFonts w:ascii="Times New Roman" w:eastAsia="Times New Roman" w:hAnsi="Times New Roman" w:cs="Times New Roman"/>
          <w:b/>
          <w:bCs/>
          <w:vanish/>
          <w:sz w:val="28"/>
          <w:szCs w:val="28"/>
          <w:vertAlign w:val="baseline"/>
          <w:rtl/>
        </w:rPr>
        <w:footnoteReference w:id="36"/>
      </w:r>
      <w:r w:rsidR="00AF4DAE" w:rsidRPr="0017347B">
        <w:rPr>
          <w:rFonts w:ascii="Times New Roman" w:eastAsia="Times New Roman" w:hAnsi="Times New Roman" w:cs="Times New Roman" w:hint="cs"/>
          <w:b/>
          <w:bCs/>
          <w:vanish/>
          <w:sz w:val="28"/>
          <w:szCs w:val="28"/>
          <w:rtl/>
        </w:rPr>
        <w:t>)</w:t>
      </w:r>
    </w:p>
    <w:p w14:paraId="69A911B9" w14:textId="49FC5ACC" w:rsidR="003A0856" w:rsidRPr="00FF37FA" w:rsidRDefault="003A0856" w:rsidP="00FF37FA">
      <w:pPr>
        <w:spacing w:before="100" w:beforeAutospacing="1" w:after="100" w:afterAutospacing="1" w:line="360" w:lineRule="auto"/>
        <w:jc w:val="left"/>
        <w:outlineLvl w:val="3"/>
        <w:rPr>
          <w:rFonts w:ascii="Times New Roman" w:eastAsia="Times New Roman" w:hAnsi="Times New Roman" w:cs="Times New Roman"/>
          <w:b/>
          <w:bCs/>
          <w:sz w:val="28"/>
          <w:szCs w:val="28"/>
        </w:rPr>
      </w:pPr>
      <w:r w:rsidRPr="00FF37FA">
        <w:rPr>
          <w:rFonts w:ascii="Times New Roman" w:eastAsia="Times New Roman" w:hAnsi="Times New Roman" w:cs="Times New Roman"/>
          <w:b/>
          <w:bCs/>
          <w:sz w:val="28"/>
          <w:szCs w:val="28"/>
        </w:rPr>
        <w:t xml:space="preserve"> </w:t>
      </w:r>
      <w:r w:rsidRPr="00FF37FA">
        <w:rPr>
          <w:rFonts w:ascii="Times New Roman" w:eastAsia="Times New Roman" w:hAnsi="Times New Roman" w:cs="Times New Roman"/>
          <w:b/>
          <w:bCs/>
          <w:sz w:val="28"/>
          <w:szCs w:val="28"/>
          <w:rtl/>
        </w:rPr>
        <w:t>تعزيز الأمن القانوني</w:t>
      </w:r>
    </w:p>
    <w:p w14:paraId="7117F1E8" w14:textId="15E5E7F4" w:rsidR="00AF4DAE" w:rsidRDefault="00AF4DAE" w:rsidP="00AA2D35">
      <w:pPr>
        <w:pStyle w:val="a5"/>
        <w:bidi/>
        <w:spacing w:line="360" w:lineRule="auto"/>
      </w:pPr>
      <w:r>
        <w:rPr>
          <w:rtl/>
        </w:rPr>
        <w:t xml:space="preserve">يُقصد بالأمن </w:t>
      </w:r>
      <w:r w:rsidR="00385F2F">
        <w:rPr>
          <w:rFonts w:hint="cs"/>
          <w:rtl/>
        </w:rPr>
        <w:t>القانوني</w:t>
      </w:r>
      <w:r w:rsidR="00385F2F" w:rsidRPr="00385F2F">
        <w:rPr>
          <w:rFonts w:hint="cs"/>
          <w:vertAlign w:val="superscript"/>
          <w:rtl/>
        </w:rPr>
        <w:t xml:space="preserve"> </w:t>
      </w:r>
      <w:r w:rsidR="00385F2F" w:rsidRPr="00385F2F">
        <w:rPr>
          <w:vertAlign w:val="superscript"/>
          <w:rtl/>
        </w:rPr>
        <w:t>(</w:t>
      </w:r>
      <w:r w:rsidR="00385F2F" w:rsidRPr="00385F2F">
        <w:rPr>
          <w:rStyle w:val="a8"/>
          <w:vanish/>
          <w:vertAlign w:val="baseline"/>
          <w:rtl/>
        </w:rPr>
        <w:footnoteReference w:id="37"/>
      </w:r>
      <w:r w:rsidR="00385F2F" w:rsidRPr="00385F2F">
        <w:rPr>
          <w:rFonts w:hint="cs"/>
          <w:vertAlign w:val="superscript"/>
          <w:rtl/>
        </w:rPr>
        <w:t>2)</w:t>
      </w:r>
      <w:r>
        <w:rPr>
          <w:rtl/>
        </w:rPr>
        <w:t xml:space="preserve"> توفير بيئة تشريعية مستقرة وواضحة تمكن الأفراد والمؤسسات من معرفة حقوقهم والتزاماتهم بصورة مسبقة، بما يحقق الثقة والاستقرار في التعاملات القانونية. ويُعد الأمن القانوني من أهم الآثار المترتبة على تنظيم التحول الرقمي، لأن التطور التقني السريع أدى إلى ظهور معاملات وعلاقات قانونية جديدة لم تكن موجودة في البيئة التقليدية</w:t>
      </w:r>
      <w:r>
        <w:t>.</w:t>
      </w:r>
    </w:p>
    <w:p w14:paraId="3EA84F3C" w14:textId="77777777" w:rsidR="00AF4DAE" w:rsidRDefault="00AF4DAE" w:rsidP="00AA2D35">
      <w:pPr>
        <w:pStyle w:val="a5"/>
        <w:bidi/>
        <w:spacing w:line="360" w:lineRule="auto"/>
      </w:pPr>
      <w:r>
        <w:rPr>
          <w:rtl/>
        </w:rPr>
        <w:t>وقبل صدور التشريعات المنظمة للتحول الرقمي، كانت العديد من المعاملات الإلكترونية تواجه إشكاليات قانونية تتعلق بمدى مشروعيتها وحجيتها وإثباتها أمام الجهات القضائية. إلا أن التنظيم القانوني أسهم في إزالة هذا الغموض من خلال وضع قواعد واضحة تنظم استخدام الوسائل الإلكترونية وتعترف بآثارها القانونية</w:t>
      </w:r>
      <w:r>
        <w:t>.</w:t>
      </w:r>
    </w:p>
    <w:p w14:paraId="4C4170ED" w14:textId="77777777" w:rsidR="00AF4DAE" w:rsidRPr="00AF4DAE" w:rsidRDefault="00AF4DAE" w:rsidP="00AA2D35">
      <w:pPr>
        <w:spacing w:before="100" w:beforeAutospacing="1" w:after="100" w:afterAutospacing="1" w:line="360" w:lineRule="auto"/>
        <w:jc w:val="left"/>
        <w:rPr>
          <w:rFonts w:ascii="Times New Roman" w:eastAsia="Times New Roman" w:hAnsi="Times New Roman" w:cs="Times New Roman"/>
          <w:sz w:val="24"/>
          <w:szCs w:val="24"/>
        </w:rPr>
      </w:pPr>
      <w:r w:rsidRPr="00F43B89">
        <w:rPr>
          <w:rFonts w:ascii="Times New Roman" w:eastAsia="Times New Roman" w:hAnsi="Times New Roman" w:cs="Times New Roman"/>
          <w:b/>
          <w:bCs/>
          <w:sz w:val="32"/>
          <w:szCs w:val="32"/>
          <w:rtl/>
        </w:rPr>
        <w:t>ومن أبرز صور تعزيز الأمن القانوني</w:t>
      </w:r>
      <w:r w:rsidRPr="00AF4DAE">
        <w:rPr>
          <w:rFonts w:ascii="Times New Roman" w:eastAsia="Times New Roman" w:hAnsi="Times New Roman" w:cs="Times New Roman"/>
          <w:sz w:val="24"/>
          <w:szCs w:val="24"/>
        </w:rPr>
        <w:t>:</w:t>
      </w:r>
    </w:p>
    <w:p w14:paraId="39258406" w14:textId="6BDDF3B3" w:rsidR="00971DD2" w:rsidRPr="00971DD2" w:rsidRDefault="00AF4DAE" w:rsidP="00971DD2">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AF4DAE">
        <w:rPr>
          <w:rFonts w:ascii="Times New Roman" w:eastAsia="Times New Roman" w:hAnsi="Times New Roman" w:cs="Times New Roman"/>
          <w:b/>
          <w:bCs/>
          <w:sz w:val="27"/>
          <w:szCs w:val="27"/>
          <w:rtl/>
        </w:rPr>
        <w:t>أ- الاعتراف القانوني بالتوقيع الإلكتروني</w:t>
      </w:r>
    </w:p>
    <w:p w14:paraId="6F46BEBB" w14:textId="77777777" w:rsidR="00971DD2" w:rsidRPr="00971DD2" w:rsidRDefault="00971DD2" w:rsidP="00971DD2">
      <w:pPr>
        <w:spacing w:before="100" w:beforeAutospacing="1" w:after="100" w:afterAutospacing="1" w:line="360" w:lineRule="auto"/>
        <w:jc w:val="left"/>
        <w:rPr>
          <w:rFonts w:ascii="Times New Roman" w:eastAsia="Times New Roman" w:hAnsi="Times New Roman" w:cs="Times New Roman"/>
          <w:sz w:val="24"/>
          <w:szCs w:val="24"/>
        </w:rPr>
      </w:pPr>
      <w:r w:rsidRPr="00971DD2">
        <w:rPr>
          <w:rFonts w:ascii="Times New Roman" w:eastAsia="Times New Roman" w:hAnsi="Times New Roman" w:cs="Times New Roman"/>
          <w:sz w:val="24"/>
          <w:szCs w:val="24"/>
          <w:rtl/>
        </w:rPr>
        <w:t>قبل صدور التشريعات المنظمة للتعاملات الإلكترونية، كان اشتراط التوقيع الخطي يمثل عائقًا أمام الاعتداد بالمحررات والتصرفات المنجزة في البيئة الرقمية؛ إذ كان من الممكن المنازعة في صحة التصرف لمجرد غياب التوقيع التقليدي، فضلًا عن صعوبة تحديد هوية الموقع وإثبات موافقته على مضمون المحرر. وقد غيّرت التشريعات محل المقارنة هذا الوضع من خلال تقرير مبدأ التكافؤ الوظيفي بين التوقيع الخطي والتوقيع الإلكتروني، متى أدت الوسيلة الإلكترونية وظائف التوقيع التقليدي في تحديد هوية الموقع، وإظهار إرادته، وضمان سلامة البيانات المرتبطة به</w:t>
      </w:r>
      <w:r w:rsidRPr="00971DD2">
        <w:rPr>
          <w:rFonts w:ascii="Times New Roman" w:eastAsia="Times New Roman" w:hAnsi="Times New Roman" w:cs="Times New Roman"/>
          <w:sz w:val="24"/>
          <w:szCs w:val="24"/>
        </w:rPr>
        <w:t>.</w:t>
      </w:r>
    </w:p>
    <w:p w14:paraId="08100300" w14:textId="3AFE5481" w:rsidR="00971DD2" w:rsidRPr="00971DD2" w:rsidRDefault="00971DD2" w:rsidP="00971DD2">
      <w:pPr>
        <w:spacing w:before="100" w:beforeAutospacing="1" w:after="100" w:afterAutospacing="1" w:line="360" w:lineRule="auto"/>
        <w:jc w:val="left"/>
        <w:rPr>
          <w:rFonts w:ascii="Times New Roman" w:eastAsia="Times New Roman" w:hAnsi="Times New Roman" w:cs="Times New Roman"/>
          <w:sz w:val="24"/>
          <w:szCs w:val="24"/>
        </w:rPr>
      </w:pPr>
      <w:r w:rsidRPr="00971DD2">
        <w:rPr>
          <w:rFonts w:ascii="Times New Roman" w:eastAsia="Times New Roman" w:hAnsi="Times New Roman" w:cs="Times New Roman"/>
          <w:sz w:val="24"/>
          <w:szCs w:val="24"/>
          <w:rtl/>
        </w:rPr>
        <w:t xml:space="preserve">ففي المملكة العربية السعودية، قرر نظام التعاملات </w:t>
      </w:r>
      <w:r w:rsidRPr="00971DD2">
        <w:rPr>
          <w:rFonts w:ascii="Times New Roman" w:eastAsia="Times New Roman" w:hAnsi="Times New Roman" w:cs="Times New Roman" w:hint="cs"/>
          <w:sz w:val="24"/>
          <w:szCs w:val="24"/>
          <w:rtl/>
        </w:rPr>
        <w:t>الإلكترونية</w:t>
      </w:r>
      <w:r w:rsidRPr="00971DD2">
        <w:rPr>
          <w:rFonts w:ascii="Times New Roman" w:eastAsia="Times New Roman" w:hAnsi="Times New Roman" w:cs="Times New Roman" w:hint="cs"/>
          <w:sz w:val="24"/>
          <w:szCs w:val="24"/>
          <w:vertAlign w:val="superscript"/>
          <w:rtl/>
        </w:rPr>
        <w:t xml:space="preserve"> </w:t>
      </w:r>
      <w:r w:rsidRPr="00971DD2">
        <w:rPr>
          <w:rFonts w:ascii="Times New Roman" w:eastAsia="Times New Roman" w:hAnsi="Times New Roman" w:cs="Times New Roman"/>
          <w:sz w:val="24"/>
          <w:szCs w:val="24"/>
          <w:vertAlign w:val="superscript"/>
          <w:rtl/>
        </w:rPr>
        <w:t>(</w:t>
      </w:r>
      <w:r w:rsidRPr="00971DD2">
        <w:rPr>
          <w:rFonts w:ascii="Times New Roman" w:eastAsia="Times New Roman" w:hAnsi="Times New Roman" w:cs="Times New Roman" w:hint="cs"/>
          <w:sz w:val="24"/>
          <w:szCs w:val="24"/>
          <w:vertAlign w:val="superscript"/>
          <w:rtl/>
        </w:rPr>
        <w:t>1</w:t>
      </w:r>
      <w:r w:rsidR="00553383" w:rsidRPr="00553383">
        <w:rPr>
          <w:rStyle w:val="a8"/>
          <w:rFonts w:ascii="Times New Roman" w:eastAsia="Times New Roman" w:hAnsi="Times New Roman" w:cs="Times New Roman"/>
          <w:vanish/>
          <w:sz w:val="24"/>
          <w:szCs w:val="24"/>
          <w:vertAlign w:val="baseline"/>
          <w:rtl/>
        </w:rPr>
        <w:footnoteReference w:id="38"/>
      </w:r>
      <w:r w:rsidRPr="00971DD2">
        <w:rPr>
          <w:rFonts w:ascii="Times New Roman" w:eastAsia="Times New Roman" w:hAnsi="Times New Roman" w:cs="Times New Roman" w:hint="cs"/>
          <w:sz w:val="24"/>
          <w:szCs w:val="24"/>
          <w:vertAlign w:val="superscript"/>
          <w:rtl/>
        </w:rPr>
        <w:t>)</w:t>
      </w:r>
      <w:r w:rsidRPr="00971DD2">
        <w:rPr>
          <w:rFonts w:ascii="Times New Roman" w:eastAsia="Times New Roman" w:hAnsi="Times New Roman" w:cs="Times New Roman"/>
          <w:sz w:val="24"/>
          <w:szCs w:val="24"/>
          <w:vertAlign w:val="superscript"/>
          <w:rtl/>
        </w:rPr>
        <w:t xml:space="preserve"> </w:t>
      </w:r>
      <w:r w:rsidRPr="00971DD2">
        <w:rPr>
          <w:rFonts w:ascii="Times New Roman" w:eastAsia="Times New Roman" w:hAnsi="Times New Roman" w:cs="Times New Roman"/>
          <w:sz w:val="24"/>
          <w:szCs w:val="24"/>
          <w:rtl/>
        </w:rPr>
        <w:t>حجية التعاملات والسجلات والتوقيعات الإلكترونية، وعدم جواز نفي صحتها أو قابليتها للتنفيذ لمجرد إتمامها إلكترونيًا. كما نصت المادة التاسعة على قبول التعامل أو التوقيع الإلكتروني دليلًا في الإثبات متى استوفى السجل الإلكتروني المتطلبات النظامية، في حين قررت المادة الرابعة عشرة أن اشتراط التوقيع الخطي يعد مستوفًى بالتوقيع الإلكتروني عند تحقق الشروط المقررة في النظام. وبهذا لم يعد التوقيع الإلكتروني مجرد قرينة فنية قابلة للتقدير المطلق، بل أصبح وسيلة إثبات معترفًا بها نظامًا، تنتج آثار التوقيع التقليدي متى ثبتت موثوقيتها ونسبتها إلى صاحبها</w:t>
      </w:r>
      <w:r w:rsidRPr="00971DD2">
        <w:rPr>
          <w:rFonts w:ascii="Times New Roman" w:eastAsia="Times New Roman" w:hAnsi="Times New Roman" w:cs="Times New Roman"/>
          <w:sz w:val="24"/>
          <w:szCs w:val="24"/>
        </w:rPr>
        <w:t>.</w:t>
      </w:r>
    </w:p>
    <w:p w14:paraId="23835039" w14:textId="77777777" w:rsidR="00553383" w:rsidRDefault="00971DD2" w:rsidP="00553383">
      <w:pPr>
        <w:spacing w:before="100" w:beforeAutospacing="1" w:after="100" w:afterAutospacing="1" w:line="360" w:lineRule="auto"/>
        <w:jc w:val="left"/>
        <w:rPr>
          <w:rFonts w:ascii="Times New Roman" w:eastAsia="Times New Roman" w:hAnsi="Times New Roman" w:cs="Times New Roman"/>
          <w:sz w:val="24"/>
          <w:szCs w:val="24"/>
          <w:rtl/>
        </w:rPr>
      </w:pPr>
      <w:r w:rsidRPr="00971DD2">
        <w:rPr>
          <w:rFonts w:ascii="Times New Roman" w:eastAsia="Times New Roman" w:hAnsi="Times New Roman" w:cs="Times New Roman"/>
          <w:sz w:val="24"/>
          <w:szCs w:val="24"/>
          <w:rtl/>
        </w:rPr>
        <w:t>وقد ترتب على هذا التنظيم انتقال المنازعة من التساؤل عن جواز الاعتداد بالتوقيع الإلكتروني من حيث المبدأ إلى التحقق من استيفائه شروط الموثوقية. وبذلك أسهم النظام السعودي في تحقيق قدر أكبر من اليقين القانوني؛ لأن الطرف المتمسك بالمحرر الإلكتروني لم يعد مطالبًا بإثبات مشروعية الشكل الإلكتروني ذاته، وإنما بإثبات سلامة السجل وصحة نسبة التوقيع إلى صاحبه. إلا أن القوة الإثباتية تظل مرتبطة بدرجة تحقق المحكمة من سلامة منظومة التوقيع وملابسات إنشائه واستخدامه</w:t>
      </w:r>
      <w:r w:rsidRPr="00971DD2">
        <w:rPr>
          <w:rFonts w:ascii="Times New Roman" w:eastAsia="Times New Roman" w:hAnsi="Times New Roman" w:cs="Times New Roman"/>
          <w:sz w:val="24"/>
          <w:szCs w:val="24"/>
        </w:rPr>
        <w:t>.</w:t>
      </w:r>
    </w:p>
    <w:p w14:paraId="42899324" w14:textId="54BE6DFE" w:rsidR="00553383" w:rsidRPr="00553383" w:rsidRDefault="00553383" w:rsidP="00553383">
      <w:pPr>
        <w:spacing w:before="100" w:beforeAutospacing="1" w:after="100" w:afterAutospacing="1" w:line="360" w:lineRule="auto"/>
        <w:jc w:val="left"/>
        <w:rPr>
          <w:rFonts w:ascii="Times New Roman" w:eastAsia="Times New Roman" w:hAnsi="Times New Roman" w:cs="Times New Roman"/>
          <w:sz w:val="24"/>
          <w:szCs w:val="24"/>
        </w:rPr>
      </w:pPr>
      <w:r>
        <w:rPr>
          <w:rtl/>
        </w:rPr>
        <w:t xml:space="preserve">في </w:t>
      </w:r>
      <w:r>
        <w:rPr>
          <w:rFonts w:hint="cs"/>
          <w:rtl/>
        </w:rPr>
        <w:t>الإمارات،</w:t>
      </w:r>
      <w:r w:rsidRPr="00553383">
        <w:rPr>
          <w:rFonts w:hint="cs"/>
          <w:vertAlign w:val="superscript"/>
          <w:rtl/>
        </w:rPr>
        <w:t xml:space="preserve"> </w:t>
      </w:r>
      <w:r w:rsidRPr="00553383">
        <w:rPr>
          <w:vertAlign w:val="superscript"/>
          <w:rtl/>
        </w:rPr>
        <w:t>(</w:t>
      </w:r>
      <w:r w:rsidRPr="00553383">
        <w:rPr>
          <w:rFonts w:hint="cs"/>
          <w:vertAlign w:val="superscript"/>
          <w:rtl/>
        </w:rPr>
        <w:t>2)</w:t>
      </w:r>
      <w:r w:rsidRPr="00553383">
        <w:rPr>
          <w:vertAlign w:val="superscript"/>
          <w:rtl/>
        </w:rPr>
        <w:t xml:space="preserve"> </w:t>
      </w:r>
      <w:r>
        <w:rPr>
          <w:rtl/>
        </w:rPr>
        <w:t>تجاوز المرسوم بقانون اتحادي رقم (46) لسنة 2021 مجرد الاعتراف العام بالتوقيع الإلكتروني إلى وضع درجات متفاوتة له؛ إذ ميز بين التوقيع الإلكتروني، والتوقيع الموثوق، والتوقيع المعتمد. وعرّف التوقيع الإلكتروني بأنه وسيلة إلكترونية مرتبطة بمستند إلكتروني، من شأنها التحقق من هوية الموقع وقبوله لمحتوى البيانات، بينما جعل التوقيع المعتمد توقيعًا موثوقًا منشأً بأداة معتمدة ومستندًا إلى شهادة مصادقة معتمدة. كما قررت المادة (28) جواز استخدام مختلف أشكال التوقيع الإلكتروني، وألزمت الجهات الحكومية بقبول التوقيعات والأختام الإلكترونية والهوية الرقمية وفق مستويات الثقة والأمان المحددة</w:t>
      </w:r>
      <w:r>
        <w:t>.</w:t>
      </w:r>
    </w:p>
    <w:p w14:paraId="32DE912A" w14:textId="77777777" w:rsidR="00553383" w:rsidRDefault="00553383" w:rsidP="00553383">
      <w:pPr>
        <w:pStyle w:val="isselectedend"/>
        <w:bidi/>
        <w:spacing w:line="360" w:lineRule="auto"/>
      </w:pPr>
      <w:r>
        <w:rPr>
          <w:rtl/>
        </w:rPr>
        <w:t>ولم يظل هذا الاعتراف الإماراتي في نطاق المعاملات العامة، بل امتد مباشرة إلى إجراءات التقاضي؛ إذ قررت المادة (338) من قانون الإجراءات المدنية أن يكون للتوقيع والمستندات الإلكترونية الحجية المقررة للتوقيعات والمحررات الورقية الرسمية والعرفية، متى استوفت شروط قانون المعاملات الإلكترونية وخدمات الثقة. كما اعتدت المادة (330) بالإجراءات القضائية المنجزة كليًا أو جزئيًا عن بُعد، بما يشمل القيد والإعلان وتقديم المستندات والحضور وإصدار الأحكام والطعون والتنفيذ. ومن ثم، أصبح التوقيع الإلكتروني في النظام الإماراتي جزءًا من بنية إجرائية متكاملة، وليس مجرد أداة لإبرام المعاملات المدنية والتجارية</w:t>
      </w:r>
      <w:r>
        <w:t>.</w:t>
      </w:r>
    </w:p>
    <w:p w14:paraId="277415B2" w14:textId="0335C4A9" w:rsidR="00553383" w:rsidRDefault="00553383" w:rsidP="00553383">
      <w:pPr>
        <w:pStyle w:val="isselectedend"/>
        <w:bidi/>
        <w:spacing w:line="360" w:lineRule="auto"/>
        <w:rPr>
          <w:rtl/>
        </w:rPr>
      </w:pPr>
    </w:p>
    <w:p w14:paraId="1F73BDDE" w14:textId="6594E38F" w:rsidR="00553383" w:rsidRDefault="00553383" w:rsidP="00553383">
      <w:pPr>
        <w:pStyle w:val="isselectedend"/>
        <w:bidi/>
        <w:spacing w:line="360" w:lineRule="auto"/>
      </w:pPr>
      <w:r>
        <w:rPr>
          <w:rtl/>
        </w:rPr>
        <w:t xml:space="preserve">أما في </w:t>
      </w:r>
      <w:r>
        <w:rPr>
          <w:rFonts w:hint="cs"/>
          <w:rtl/>
        </w:rPr>
        <w:t>سنغافورة</w:t>
      </w:r>
      <w:r w:rsidRPr="00553383">
        <w:rPr>
          <w:rFonts w:hint="cs"/>
          <w:vertAlign w:val="superscript"/>
          <w:rtl/>
        </w:rPr>
        <w:t xml:space="preserve"> </w:t>
      </w:r>
      <w:r w:rsidRPr="00553383">
        <w:rPr>
          <w:vertAlign w:val="superscript"/>
          <w:rtl/>
        </w:rPr>
        <w:t>(</w:t>
      </w:r>
      <w:r w:rsidRPr="00553383">
        <w:rPr>
          <w:rFonts w:hint="cs"/>
          <w:vertAlign w:val="superscript"/>
          <w:rtl/>
        </w:rPr>
        <w:t>1)</w:t>
      </w:r>
      <w:r>
        <w:rPr>
          <w:rtl/>
        </w:rPr>
        <w:t>، فقد قررت المادة الثامنة من قانون المعاملات الإلكترونية لسنة 2010 أن متطلب التوقيع القانوني يتحقق بالنسبة إلى السجل الإلكتروني إذا استخدمت وسيلة تحدد هوية الشخص وتبين قصده المتعلق بالمعلومات الواردة في السجل، وكانت الوسيلة موثوقة بالقدر المناسب للغرض المقصود وفي ضوء ظروف المعاملة. ويكشف هذا النص عن اعتماد معيار وظيفي ومحايد تقنيًا؛ إذ لا يشترط القانون استخدام برنامج أو تقنية محددة، بل يربط الحجية بقدرة الوسيلة المستخدمة على أداء وظيفة التوقيع بدرجة مناسبة من الموثوقية</w:t>
      </w:r>
      <w:r>
        <w:t>.</w:t>
      </w:r>
    </w:p>
    <w:p w14:paraId="3647BDAC" w14:textId="77777777" w:rsidR="00553383" w:rsidRDefault="00553383" w:rsidP="00553383">
      <w:pPr>
        <w:pStyle w:val="a5"/>
        <w:bidi/>
        <w:spacing w:line="360" w:lineRule="auto"/>
      </w:pPr>
      <w:r>
        <w:rPr>
          <w:rtl/>
        </w:rPr>
        <w:t>كما ميز القانون السنغافوري بين التوقيع الإلكتروني العام والتوقيع الإلكتروني الآمن؛ إذ نظمت المواد من (17) إلى (19) السجلات والتوقيعات الآمنة والقرائن القانونية المترتبة عليها. ويؤدي هذا التمييز إلى الاعتراف بالتوقيعات الإلكترونية البسيطة متى استوفت المعيار الوظيفي، مع منح التوقيعات الآمنة مركزًا إثباتيًا أقوى وقرائن قابلة لإثبات العكس بشأن صحة نسبتها وسلامة السجل المرتبط بها. وبذلك يجمع التنظيم السنغافوري بين المرونة في قبول التقنيات الحديثة واليقين القانوني في المعاملات التي تستخدم إجراءات أمنية معتمدة</w:t>
      </w:r>
      <w:r>
        <w:t>.</w:t>
      </w:r>
    </w:p>
    <w:p w14:paraId="39F192A9" w14:textId="228866EF" w:rsidR="002035C2" w:rsidRPr="002035C2" w:rsidRDefault="00553383" w:rsidP="00553383">
      <w:pPr>
        <w:spacing w:before="100" w:beforeAutospacing="1" w:after="100" w:afterAutospacing="1" w:line="360" w:lineRule="auto"/>
        <w:jc w:val="left"/>
        <w:rPr>
          <w:rFonts w:ascii="Times New Roman" w:eastAsia="Times New Roman" w:hAnsi="Times New Roman" w:cs="Times New Roman"/>
          <w:sz w:val="24"/>
          <w:szCs w:val="24"/>
        </w:rPr>
      </w:pPr>
      <w:r w:rsidRPr="00553383">
        <w:rPr>
          <w:sz w:val="24"/>
          <w:szCs w:val="24"/>
          <w:rtl/>
        </w:rPr>
        <w:t>ويترتب على ذلك أن النموذج السعودي يحقق وضوحًا في أصل الحجية، لكنه يترك جانبًا من تقدير الموثوقية للضوابط الفنية وللمحكمة عند النزاع؛ بينما يوفر النموذج الإماراتي يقينًا مؤسسيًا أكبر من خلال الترخيص والشهادات وقائمة الثقة، وإن كان ذلك يؤدي إلى زيادة التفاصيل والمتطلبات التنظيمية. أما النموذج السنغافوري فيمنح التشريع قدرة أكبر على استيعاب الوسائل التقنية الجديدة، لكنه يوسع مساحة التقدير القضائي عند استخدام توقيع إلكتروني لا يتمتع بصفة التوقيع الآمن</w:t>
      </w:r>
      <w:r>
        <w:t>.</w:t>
      </w:r>
      <w:r w:rsidR="002035C2" w:rsidRPr="002035C2">
        <w:rPr>
          <w:rFonts w:ascii="Times New Roman" w:eastAsia="Times New Roman" w:hAnsi="Times New Roman" w:cs="Times New Roman"/>
          <w:sz w:val="24"/>
          <w:szCs w:val="24"/>
        </w:rPr>
        <w:t>.</w:t>
      </w:r>
    </w:p>
    <w:p w14:paraId="4270A1DC" w14:textId="77777777" w:rsidR="00971DD2" w:rsidRPr="00AF4DAE" w:rsidRDefault="00971DD2" w:rsidP="00971DD2">
      <w:pPr>
        <w:bidi w:val="0"/>
        <w:spacing w:before="100" w:beforeAutospacing="1" w:after="100" w:afterAutospacing="1" w:line="24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ب- تنظيم المعاملات الإلكترونية</w:t>
      </w:r>
    </w:p>
    <w:p w14:paraId="325E33BF" w14:textId="2EC5BF2C" w:rsidR="00971DD2" w:rsidRDefault="00971DD2" w:rsidP="00A66CB4">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أدى انتشار الوسائل الرقمية</w:t>
      </w:r>
      <w:r w:rsidRPr="002E309A">
        <w:rPr>
          <w:rFonts w:ascii="Times New Roman" w:eastAsia="Times New Roman" w:hAnsi="Times New Roman" w:cs="Times New Roman" w:hint="cs"/>
          <w:sz w:val="24"/>
          <w:szCs w:val="24"/>
          <w:vertAlign w:val="superscript"/>
          <w:rtl/>
        </w:rPr>
        <w:t>(</w:t>
      </w:r>
      <w:r w:rsidRPr="002E309A">
        <w:rPr>
          <w:rStyle w:val="a8"/>
          <w:rFonts w:ascii="Times New Roman" w:eastAsia="Times New Roman" w:hAnsi="Times New Roman" w:cs="Times New Roman"/>
          <w:vanish/>
          <w:sz w:val="24"/>
          <w:szCs w:val="24"/>
          <w:vertAlign w:val="baseline"/>
          <w:rtl/>
        </w:rPr>
        <w:footnoteReference w:id="39"/>
      </w:r>
      <w:r w:rsidR="00A66CB4">
        <w:rPr>
          <w:rFonts w:ascii="Times New Roman" w:eastAsia="Times New Roman" w:hAnsi="Times New Roman" w:cs="Times New Roman" w:hint="cs"/>
          <w:sz w:val="24"/>
          <w:szCs w:val="24"/>
          <w:vertAlign w:val="superscript"/>
          <w:rtl/>
        </w:rPr>
        <w:t>2</w:t>
      </w:r>
      <w:r w:rsidRPr="002E309A">
        <w:rPr>
          <w:rFonts w:ascii="Times New Roman" w:eastAsia="Times New Roman" w:hAnsi="Times New Roman" w:cs="Times New Roman" w:hint="cs"/>
          <w:sz w:val="24"/>
          <w:szCs w:val="24"/>
          <w:vertAlign w:val="superscript"/>
          <w:rtl/>
        </w:rPr>
        <w:t>)</w:t>
      </w:r>
      <w:r w:rsidRPr="002035C2">
        <w:rPr>
          <w:rFonts w:ascii="Times New Roman" w:eastAsia="Times New Roman" w:hAnsi="Times New Roman" w:cs="Times New Roman"/>
          <w:sz w:val="24"/>
          <w:szCs w:val="24"/>
          <w:rtl/>
        </w:rPr>
        <w:t xml:space="preserve"> إلى ظهور العقود الإلكترونية والتعاملات التي تتم عبر الإنترنت والمنصات الرقمية، وهو ما استلزم وضع قواعد قانونية تنظم هذه المعاملات وتحدد آثارها القانونية</w:t>
      </w:r>
    </w:p>
    <w:p w14:paraId="03943F08" w14:textId="2DE4820F" w:rsidR="002035C2" w:rsidRPr="002035C2" w:rsidRDefault="002035C2" w:rsidP="00971DD2">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وقد أسهم التنظيم القانوني في بيان كيفية إبرام العقود الإلكترونية وتحديد وقت ومكان انعقادها، وتنظيم وسائل التعبير عن الإرادة الإلكترونية، وبيان حقوق والتزامات الأطراف المتعاقدة. كما وضع ضوابط قانونية لحماية المستهلك في البيئة الرقمية وتنظيم عمليات الدفع الإلكتروني والتجارة الإلكترونية</w:t>
      </w:r>
      <w:r w:rsidRPr="002035C2">
        <w:rPr>
          <w:rFonts w:ascii="Times New Roman" w:eastAsia="Times New Roman" w:hAnsi="Times New Roman" w:cs="Times New Roman"/>
          <w:sz w:val="24"/>
          <w:szCs w:val="24"/>
        </w:rPr>
        <w:t>.</w:t>
      </w:r>
    </w:p>
    <w:p w14:paraId="6942BD04"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وتكمن أهمية هذا التنظيم في توفير اليقين القانوني للأفراد والشركات، حيث أصبح المتعاملون يعلمون مسبقًا القواعد التي تحكم معاملاتهم الإلكترونية والنتائج القانونية المترتبة عليها. كما أدى ذلك إلى تعزيز الثقة في الخدمات الرقمية والتجارة الإلكترونية وتشجيع الاستثمار في الاقتصاد الرقمي</w:t>
      </w:r>
      <w:r w:rsidRPr="002035C2">
        <w:rPr>
          <w:rFonts w:ascii="Times New Roman" w:eastAsia="Times New Roman" w:hAnsi="Times New Roman" w:cs="Times New Roman"/>
          <w:sz w:val="24"/>
          <w:szCs w:val="24"/>
        </w:rPr>
        <w:t>.</w:t>
      </w:r>
    </w:p>
    <w:p w14:paraId="077CBDCC" w14:textId="7A4AFD50" w:rsid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 xml:space="preserve">ومن ثم فإن تنظيم المعاملات الإلكترونية يُعد من الركائز الأساسية للأمن القانوني، لأنه يضمن استقرار العلاقات القانونية الناشئة في البيئة الرقمية ويحد من حالات الغموض </w:t>
      </w:r>
      <w:r w:rsidR="00D93D64" w:rsidRPr="002035C2">
        <w:rPr>
          <w:rFonts w:ascii="Times New Roman" w:eastAsia="Times New Roman" w:hAnsi="Times New Roman" w:cs="Times New Roman" w:hint="cs"/>
          <w:sz w:val="24"/>
          <w:szCs w:val="24"/>
          <w:rtl/>
        </w:rPr>
        <w:t>والنزاع</w:t>
      </w:r>
      <w:r w:rsidR="00D93D64">
        <w:rPr>
          <w:rFonts w:ascii="Times New Roman" w:eastAsia="Times New Roman" w:hAnsi="Times New Roman" w:cs="Times New Roman" w:hint="cs"/>
          <w:sz w:val="24"/>
          <w:szCs w:val="24"/>
          <w:rtl/>
        </w:rPr>
        <w:t>.</w:t>
      </w:r>
      <w:r w:rsidRPr="002035C2">
        <w:rPr>
          <w:rFonts w:ascii="Times New Roman" w:eastAsia="Times New Roman" w:hAnsi="Times New Roman" w:cs="Times New Roman"/>
          <w:sz w:val="24"/>
          <w:szCs w:val="24"/>
        </w:rPr>
        <w:t>.</w:t>
      </w:r>
    </w:p>
    <w:p w14:paraId="5F6DDC64" w14:textId="664F33A2"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ج- الاعتراف بالأدلة الرقمية</w:t>
      </w:r>
    </w:p>
    <w:p w14:paraId="31CF4F88" w14:textId="36E61C81" w:rsidR="00825FC7" w:rsidRPr="00825FC7" w:rsidRDefault="00825FC7" w:rsidP="00596D4C">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من أبرز الآثار القانونية للتحول الرقمي تطور وسائل الإثبات القانونية وظهور ما يُعرف بالأدلة الرقمية</w:t>
      </w:r>
      <w:r w:rsidR="00D93D64" w:rsidRPr="00D93D64">
        <w:rPr>
          <w:rFonts w:ascii="Times New Roman" w:eastAsia="Times New Roman" w:hAnsi="Times New Roman" w:cs="Times New Roman" w:hint="cs"/>
          <w:sz w:val="24"/>
          <w:szCs w:val="24"/>
          <w:vertAlign w:val="superscript"/>
          <w:rtl/>
        </w:rPr>
        <w:t>(</w:t>
      </w:r>
      <w:r w:rsidR="00596D4C">
        <w:rPr>
          <w:rFonts w:ascii="Times New Roman" w:eastAsia="Times New Roman" w:hAnsi="Times New Roman" w:cs="Times New Roman"/>
          <w:sz w:val="24"/>
          <w:szCs w:val="24"/>
          <w:vertAlign w:val="superscript"/>
        </w:rPr>
        <w:t>1</w:t>
      </w:r>
      <w:r w:rsidR="00D93D64" w:rsidRPr="00D93D64">
        <w:rPr>
          <w:rFonts w:ascii="Times New Roman" w:eastAsia="Times New Roman" w:hAnsi="Times New Roman" w:cs="Times New Roman" w:hint="cs"/>
          <w:sz w:val="24"/>
          <w:szCs w:val="24"/>
          <w:vertAlign w:val="superscript"/>
          <w:rtl/>
        </w:rPr>
        <w:t>)</w:t>
      </w:r>
      <w:r w:rsidR="00D93D64" w:rsidRPr="00D93D64">
        <w:rPr>
          <w:rStyle w:val="a8"/>
          <w:rFonts w:ascii="Times New Roman" w:eastAsia="Times New Roman" w:hAnsi="Times New Roman" w:cs="Times New Roman"/>
          <w:vanish/>
          <w:sz w:val="24"/>
          <w:szCs w:val="24"/>
          <w:vertAlign w:val="baseline"/>
          <w:rtl/>
        </w:rPr>
        <w:footnoteReference w:id="40"/>
      </w:r>
      <w:r w:rsidRPr="00825FC7">
        <w:rPr>
          <w:rFonts w:ascii="Times New Roman" w:eastAsia="Times New Roman" w:hAnsi="Times New Roman" w:cs="Times New Roman"/>
          <w:sz w:val="24"/>
          <w:szCs w:val="24"/>
          <w:rtl/>
        </w:rPr>
        <w:t>، مثل الرسائل الإلكترونية، والبريد الإلكتروني، والسجلات الإلكترونية، والمستندات الرقمية، وبيانات الأنظمة الإلكترونية</w:t>
      </w:r>
      <w:r w:rsidRPr="00825FC7">
        <w:rPr>
          <w:rFonts w:ascii="Times New Roman" w:eastAsia="Times New Roman" w:hAnsi="Times New Roman" w:cs="Times New Roman"/>
          <w:sz w:val="24"/>
          <w:szCs w:val="24"/>
        </w:rPr>
        <w:t>.</w:t>
      </w:r>
    </w:p>
    <w:p w14:paraId="792AF523"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وفي السابق كانت بعض هذه الوسائل تواجه صعوبات تتعلق بمدى قبولها كأدلة أمام القضاء، إلا أن التشريعات الحديثة أقرت حجيتها القانونية متى أمكن التحقق من سلامتها وصحتها ومصدرها</w:t>
      </w:r>
      <w:r w:rsidRPr="00825FC7">
        <w:rPr>
          <w:rFonts w:ascii="Times New Roman" w:eastAsia="Times New Roman" w:hAnsi="Times New Roman" w:cs="Times New Roman"/>
          <w:sz w:val="24"/>
          <w:szCs w:val="24"/>
        </w:rPr>
        <w:t>.</w:t>
      </w:r>
    </w:p>
    <w:p w14:paraId="000B2CAA"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أدى الاعتراف بالأدلة الرقمية إلى تطوير نظام الإثبات القانوني ليتوافق مع متطلبات العصر الرقمي، حيث أصبح بالإمكان الاستناد إلى المستندات الإلكترونية لإثبات الحقوق والالتزامات والمعاملات المختلفة. كما ساعد ذلك على تسريع الإجراءات القضائية وتقليل الاعتماد على الوثائق الورقية التقليدية</w:t>
      </w:r>
      <w:r w:rsidRPr="00825FC7">
        <w:rPr>
          <w:rFonts w:ascii="Times New Roman" w:eastAsia="Times New Roman" w:hAnsi="Times New Roman" w:cs="Times New Roman"/>
          <w:sz w:val="24"/>
          <w:szCs w:val="24"/>
        </w:rPr>
        <w:t>.</w:t>
      </w:r>
    </w:p>
    <w:p w14:paraId="47BD2D6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وتزداد أهمية الأدلة الرقمية في القضايا المتعلقة بالمعاملات الإلكترونية والجرائم المعلوماتية والنزاعات الناشئة عن استخدام التقنيات الحديثة، مما يجعلها أحد العناصر الأساسية لتحقيق العدالة في البيئة الرقمية</w:t>
      </w:r>
      <w:r w:rsidRPr="00825FC7">
        <w:rPr>
          <w:rFonts w:ascii="Times New Roman" w:eastAsia="Times New Roman" w:hAnsi="Times New Roman" w:cs="Times New Roman"/>
          <w:sz w:val="24"/>
          <w:szCs w:val="24"/>
        </w:rPr>
        <w:t>.</w:t>
      </w:r>
    </w:p>
    <w:p w14:paraId="46F74B60" w14:textId="351B79A2" w:rsidR="00AF4DAE" w:rsidRPr="00AF4DAE" w:rsidRDefault="00AF4DAE" w:rsidP="00596D4C">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د- تقليل النزاعات القانونية</w:t>
      </w:r>
      <w:r w:rsidR="00D93D64" w:rsidRPr="00D93D64">
        <w:rPr>
          <w:rFonts w:ascii="Times New Roman" w:eastAsia="Times New Roman" w:hAnsi="Times New Roman" w:cs="Times New Roman" w:hint="cs"/>
          <w:b/>
          <w:bCs/>
          <w:sz w:val="28"/>
          <w:szCs w:val="28"/>
          <w:vertAlign w:val="superscript"/>
          <w:rtl/>
        </w:rPr>
        <w:t xml:space="preserve"> </w:t>
      </w:r>
      <w:r w:rsidR="00CE01A4">
        <w:rPr>
          <w:rFonts w:ascii="Times New Roman" w:eastAsia="Times New Roman" w:hAnsi="Times New Roman" w:cs="Times New Roman" w:hint="cs"/>
          <w:b/>
          <w:bCs/>
          <w:sz w:val="28"/>
          <w:szCs w:val="28"/>
          <w:vertAlign w:val="superscript"/>
          <w:rtl/>
        </w:rPr>
        <w:t>(</w:t>
      </w:r>
      <w:r w:rsidR="00596D4C">
        <w:rPr>
          <w:rFonts w:ascii="Times New Roman" w:eastAsia="Times New Roman" w:hAnsi="Times New Roman" w:cs="Times New Roman" w:hint="cs"/>
          <w:b/>
          <w:bCs/>
          <w:sz w:val="28"/>
          <w:szCs w:val="28"/>
          <w:vertAlign w:val="superscript"/>
          <w:rtl/>
        </w:rPr>
        <w:t>2</w:t>
      </w:r>
      <w:r w:rsidR="00CE01A4">
        <w:rPr>
          <w:rFonts w:ascii="Times New Roman" w:eastAsia="Times New Roman" w:hAnsi="Times New Roman" w:cs="Times New Roman" w:hint="cs"/>
          <w:b/>
          <w:bCs/>
          <w:sz w:val="28"/>
          <w:szCs w:val="28"/>
          <w:vertAlign w:val="superscript"/>
          <w:rtl/>
        </w:rPr>
        <w:t>)</w:t>
      </w:r>
      <w:r w:rsidR="00D93D64" w:rsidRPr="00CE01A4">
        <w:rPr>
          <w:rFonts w:ascii="Times New Roman" w:eastAsia="Times New Roman" w:hAnsi="Times New Roman" w:cs="Times New Roman" w:hint="cs"/>
          <w:b/>
          <w:bCs/>
          <w:vanish/>
          <w:sz w:val="28"/>
          <w:szCs w:val="28"/>
          <w:rtl/>
        </w:rPr>
        <w:t>)</w:t>
      </w:r>
      <w:r w:rsidR="00D93D64" w:rsidRPr="00CE01A4">
        <w:rPr>
          <w:rStyle w:val="a8"/>
          <w:rFonts w:ascii="Times New Roman" w:eastAsia="Times New Roman" w:hAnsi="Times New Roman" w:cs="Times New Roman"/>
          <w:b/>
          <w:bCs/>
          <w:vanish/>
          <w:sz w:val="28"/>
          <w:szCs w:val="28"/>
          <w:vertAlign w:val="baseline"/>
        </w:rPr>
        <w:footnoteReference w:id="41"/>
      </w:r>
    </w:p>
    <w:p w14:paraId="7890D3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كلما كانت القواعد القانونية واضحة ومحددة، انخفضت احتمالات الاختلاف في تفسير الحقوق والالتزامات بين الأطراف، وهو ما يؤدي إلى تقليل المنازعات وتحقيق قدر أكبر من الاستقرار القانوني</w:t>
      </w:r>
      <w:r w:rsidRPr="00825FC7">
        <w:rPr>
          <w:rFonts w:ascii="Times New Roman" w:eastAsia="Times New Roman" w:hAnsi="Times New Roman" w:cs="Times New Roman"/>
          <w:sz w:val="24"/>
          <w:szCs w:val="24"/>
        </w:rPr>
        <w:t>.</w:t>
      </w:r>
    </w:p>
    <w:p w14:paraId="671D277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أسهم تنظيم التحول الرقمي في وضع إطار قانوني واضح للعقود الإلكترونية والتوقيعات الرقمية وحماية البيانات والمعاملات الإلكترونية، مما ساعد على الحد من حالات الغموض القانوني التي قد تؤدي إلى النزاع</w:t>
      </w:r>
      <w:r w:rsidRPr="00825FC7">
        <w:rPr>
          <w:rFonts w:ascii="Times New Roman" w:eastAsia="Times New Roman" w:hAnsi="Times New Roman" w:cs="Times New Roman"/>
          <w:sz w:val="24"/>
          <w:szCs w:val="24"/>
        </w:rPr>
        <w:t>.</w:t>
      </w:r>
    </w:p>
    <w:p w14:paraId="6480F4FF"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كما أن وضوح القواعد القانونية يسهّل على القضاة والجهات المختصة تطبيق الأنظمة بصورة موحدة، ويعزز القدرة على حسم النزاعات بسرعة وكفاءة. ومن ناحية أخرى، يساعد الأفراد والشركات على فهم التزاماتهم القانونية وتجنب المخالفات أو الأخطاء التي قد تؤدي إلى قيام المسؤولية القانونية</w:t>
      </w:r>
      <w:r w:rsidRPr="00825FC7">
        <w:rPr>
          <w:rFonts w:ascii="Times New Roman" w:eastAsia="Times New Roman" w:hAnsi="Times New Roman" w:cs="Times New Roman"/>
          <w:sz w:val="24"/>
          <w:szCs w:val="24"/>
        </w:rPr>
        <w:t>.</w:t>
      </w:r>
    </w:p>
    <w:p w14:paraId="4243CD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وبذلك يسهم الأمن القانوني في خلق بيئة رقمية مستقرة تقوم على الوضوح واليقين والثقة، وهو ما ينعكس إيجابًا على التنمية الاقتصادية والاستثمار والتحول الرقمي</w:t>
      </w:r>
      <w:r w:rsidRPr="00825FC7">
        <w:rPr>
          <w:rFonts w:ascii="Times New Roman" w:eastAsia="Times New Roman" w:hAnsi="Times New Roman" w:cs="Times New Roman"/>
          <w:sz w:val="24"/>
          <w:szCs w:val="24"/>
        </w:rPr>
        <w:t>.</w:t>
      </w:r>
    </w:p>
    <w:p w14:paraId="52434EB1" w14:textId="6872744C" w:rsidR="002035C2" w:rsidRDefault="002035C2" w:rsidP="00AA2D35">
      <w:pPr>
        <w:spacing w:after="0" w:line="360" w:lineRule="auto"/>
        <w:jc w:val="left"/>
        <w:rPr>
          <w:rFonts w:ascii="Times New Roman" w:eastAsia="Times New Roman" w:hAnsi="Times New Roman" w:cs="Times New Roman"/>
          <w:b/>
          <w:bCs/>
          <w:sz w:val="36"/>
          <w:szCs w:val="36"/>
        </w:rPr>
      </w:pPr>
    </w:p>
    <w:p w14:paraId="75706F29" w14:textId="3D5E2D51" w:rsidR="002035C2" w:rsidRDefault="002035C2"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60FD6027" w14:textId="35925239" w:rsidR="002035C2" w:rsidRDefault="002035C2" w:rsidP="00AA2D35">
      <w:pPr>
        <w:rPr>
          <w:rFonts w:ascii="Times New Roman" w:eastAsia="Times New Roman" w:hAnsi="Times New Roman" w:cs="Times New Roman"/>
          <w:sz w:val="36"/>
          <w:szCs w:val="36"/>
          <w:rtl/>
        </w:rPr>
      </w:pPr>
    </w:p>
    <w:p w14:paraId="496932E4" w14:textId="61D3235B" w:rsidR="002035C2" w:rsidRDefault="002035C2" w:rsidP="00AA2D35">
      <w:pPr>
        <w:rPr>
          <w:rFonts w:ascii="Times New Roman" w:eastAsia="Times New Roman" w:hAnsi="Times New Roman" w:cs="Times New Roman"/>
          <w:sz w:val="36"/>
          <w:szCs w:val="36"/>
          <w:rtl/>
        </w:rPr>
      </w:pPr>
    </w:p>
    <w:p w14:paraId="7C0044FA" w14:textId="1592DB36" w:rsidR="002035C2" w:rsidRDefault="002035C2" w:rsidP="00AA2D35">
      <w:pPr>
        <w:bidi w:val="0"/>
        <w:jc w:val="left"/>
        <w:rPr>
          <w:rFonts w:ascii="Times New Roman" w:eastAsia="Times New Roman" w:hAnsi="Times New Roman" w:cs="Times New Roman"/>
          <w:sz w:val="36"/>
          <w:szCs w:val="36"/>
        </w:rPr>
      </w:pPr>
      <w:r>
        <w:rPr>
          <w:rFonts w:ascii="Times New Roman" w:eastAsia="Times New Roman" w:hAnsi="Times New Roman" w:cs="Times New Roman"/>
          <w:sz w:val="36"/>
          <w:szCs w:val="36"/>
          <w:rtl/>
        </w:rPr>
        <w:br w:type="page"/>
      </w:r>
    </w:p>
    <w:p w14:paraId="2E5BCB8C" w14:textId="25450E1A" w:rsidR="001537F5" w:rsidRPr="002B26D1" w:rsidRDefault="008A445A" w:rsidP="00D3434E">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596D4C">
        <w:rPr>
          <w:rFonts w:ascii="Times New Roman" w:eastAsia="Times New Roman" w:hAnsi="Times New Roman" w:cs="Times New Roman" w:hint="cs"/>
          <w:b/>
          <w:bCs/>
          <w:sz w:val="32"/>
          <w:szCs w:val="32"/>
          <w:rtl/>
        </w:rPr>
        <w:t>الثاني:</w:t>
      </w:r>
      <w:r w:rsidR="001537F5" w:rsidRPr="002B26D1">
        <w:rPr>
          <w:rFonts w:ascii="Times New Roman" w:eastAsia="Times New Roman" w:hAnsi="Times New Roman" w:cs="Times New Roman"/>
          <w:b/>
          <w:bCs/>
          <w:sz w:val="32"/>
          <w:szCs w:val="32"/>
        </w:rPr>
        <w:t xml:space="preserve"> </w:t>
      </w:r>
      <w:r w:rsidR="00186A24" w:rsidRPr="00186A24">
        <w:rPr>
          <w:b/>
          <w:bCs/>
          <w:sz w:val="32"/>
          <w:szCs w:val="32"/>
          <w:rtl/>
        </w:rPr>
        <w:t>آثار التحول الرقمي في حماية الحقوق والخصوصية وتطور المسؤولية القانونية</w:t>
      </w:r>
      <w:r w:rsidR="00186A24" w:rsidRPr="002B26D1">
        <w:rPr>
          <w:rFonts w:ascii="Times New Roman" w:eastAsia="Times New Roman" w:hAnsi="Times New Roman" w:cs="Times New Roman" w:hint="cs"/>
          <w:b/>
          <w:bCs/>
          <w:sz w:val="32"/>
          <w:szCs w:val="32"/>
          <w:vertAlign w:val="superscript"/>
          <w:rtl/>
        </w:rPr>
        <w:t xml:space="preserve"> </w:t>
      </w:r>
    </w:p>
    <w:p w14:paraId="3A364BEB" w14:textId="77777777" w:rsidR="00AB790E" w:rsidRPr="00AB790E" w:rsidRDefault="00AB790E" w:rsidP="00AA2D35">
      <w:pPr>
        <w:spacing w:before="100" w:beforeAutospacing="1" w:after="100" w:afterAutospacing="1" w:line="360" w:lineRule="auto"/>
        <w:jc w:val="left"/>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تُعد حماية البيانات والخصوصية من أهم الآثار القانونية المترتبة على تنظيم التحول الرقمي، وذلك نتيجة التوسع الكبير في استخدام التقنيات الرقمية والاعتماد المتزايد على البيانات في تقديم الخدمات الحكومية والقضائية والتجارية. فمع انتقال جزء كبير من الأنشطة اليومية إلى البيئة الرقمية، أصبحت البيانات الشخصية تُجمع وتُخزن وتُعالج بصورة مستمرة، الأمر الذي استوجب تدخل المشرع لوضع قواعد قانونية تضمن حماية حقوق الأفراد ومنع إساءة استخدام معلوماتهم الشخصية</w:t>
      </w:r>
      <w:r w:rsidRPr="00AB790E">
        <w:rPr>
          <w:rFonts w:ascii="Times New Roman" w:eastAsia="Times New Roman" w:hAnsi="Times New Roman" w:cs="Times New Roman"/>
          <w:sz w:val="24"/>
          <w:szCs w:val="24"/>
        </w:rPr>
        <w:t>.</w:t>
      </w:r>
    </w:p>
    <w:p w14:paraId="68119B7B" w14:textId="2A1AC4D8" w:rsidR="00AB790E" w:rsidRPr="00825FC7" w:rsidRDefault="00AB790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وتتمثل أهمية التنظيم القانوني في إيجاد التوازن بين الاستفادة من البيانات لتحقيق التنمية الرقمية من جهة، وضمان حماية الخصوصية والحريات الفردية من جهة أخرى</w:t>
      </w:r>
      <w:r w:rsidRPr="00AB790E">
        <w:rPr>
          <w:rFonts w:ascii="Times New Roman" w:eastAsia="Times New Roman" w:hAnsi="Times New Roman" w:cs="Times New Roman"/>
          <w:sz w:val="24"/>
          <w:szCs w:val="24"/>
        </w:rPr>
        <w:t>.</w:t>
      </w:r>
    </w:p>
    <w:p w14:paraId="171AB8F3" w14:textId="1CD78AE6" w:rsidR="00AB790E" w:rsidRPr="00FF37FA" w:rsidRDefault="00D3434E" w:rsidP="00E242F3">
      <w:pPr>
        <w:spacing w:after="431" w:line="360" w:lineRule="auto"/>
        <w:ind w:right="59"/>
        <w:jc w:val="left"/>
        <w:rPr>
          <w:rFonts w:ascii="Times New Roman" w:hAnsi="Times New Roman" w:cs="Times New Roman"/>
          <w:sz w:val="28"/>
          <w:szCs w:val="28"/>
        </w:rPr>
      </w:pPr>
      <w:r>
        <w:rPr>
          <w:rFonts w:ascii="Times New Roman" w:hAnsi="Times New Roman" w:cs="Times New Roman" w:hint="cs"/>
          <w:b/>
          <w:bCs/>
          <w:sz w:val="28"/>
          <w:szCs w:val="28"/>
          <w:rtl/>
        </w:rPr>
        <w:t>أولاً: حماية</w:t>
      </w:r>
      <w:r w:rsidR="00AB790E" w:rsidRPr="00FF37FA">
        <w:rPr>
          <w:rFonts w:ascii="Times New Roman" w:hAnsi="Times New Roman" w:cs="Times New Roman"/>
          <w:b/>
          <w:bCs/>
          <w:sz w:val="28"/>
          <w:szCs w:val="28"/>
          <w:rtl/>
        </w:rPr>
        <w:t xml:space="preserve"> الحق في الخصوصية</w:t>
      </w:r>
      <w:r w:rsidRPr="002B26D1">
        <w:rPr>
          <w:rFonts w:ascii="Times New Roman" w:eastAsia="Times New Roman" w:hAnsi="Times New Roman" w:cs="Times New Roman" w:hint="cs"/>
          <w:b/>
          <w:bCs/>
          <w:sz w:val="32"/>
          <w:szCs w:val="32"/>
          <w:vertAlign w:val="superscript"/>
          <w:rtl/>
        </w:rPr>
        <w:t>(</w:t>
      </w:r>
      <w:r w:rsidRPr="002B26D1">
        <w:rPr>
          <w:rStyle w:val="a8"/>
          <w:rFonts w:ascii="Times New Roman" w:eastAsia="Times New Roman" w:hAnsi="Times New Roman" w:cs="Times New Roman"/>
          <w:b/>
          <w:bCs/>
          <w:vanish/>
          <w:sz w:val="32"/>
          <w:szCs w:val="32"/>
          <w:vertAlign w:val="baseline"/>
          <w:rtl/>
        </w:rPr>
        <w:footnoteReference w:id="42"/>
      </w:r>
      <w:r w:rsidRPr="002B26D1">
        <w:rPr>
          <w:rFonts w:ascii="Times New Roman" w:eastAsia="Times New Roman" w:hAnsi="Times New Roman" w:cs="Times New Roman" w:hint="cs"/>
          <w:b/>
          <w:bCs/>
          <w:sz w:val="32"/>
          <w:szCs w:val="32"/>
          <w:vertAlign w:val="superscript"/>
          <w:rtl/>
        </w:rPr>
        <w:t>1)</w:t>
      </w:r>
    </w:p>
    <w:p w14:paraId="44877CFC" w14:textId="0E85A0D4" w:rsidR="009C25CB" w:rsidRDefault="00A66CB4" w:rsidP="00A66CB4">
      <w:pPr>
        <w:bidi w:val="0"/>
        <w:spacing w:before="100" w:beforeAutospacing="1" w:after="100" w:afterAutospacing="1" w:line="360" w:lineRule="auto"/>
        <w:rPr>
          <w:rFonts w:ascii="Times New Roman" w:eastAsia="Times New Roman" w:hAnsi="Times New Roman" w:cs="Times New Roman"/>
          <w:sz w:val="24"/>
          <w:szCs w:val="24"/>
          <w:rtl/>
        </w:rPr>
      </w:pPr>
      <w:r w:rsidRPr="00A66CB4">
        <w:rPr>
          <w:sz w:val="24"/>
          <w:szCs w:val="24"/>
          <w:rtl/>
        </w:rPr>
        <w:t>أسهم التنظيم القانوني للتحول الرقمي في نقل حماية الخصوصية من مجرد التزام عام بالمحافظة على السرية إلى منظومة تشريعية تحدد أسس جمع البيانات الشخصية ومعالجتها والإفصاح عنها، وحقوق أصحابها، ومدد الاحتفاظ بها، والتدابير الواجب اتخاذها لحمايتها. وتكشف المقارنة بين المملكة العربية السعودية والإمارات العربية المتحدة وسنغافورة عن اتفاقها على مبادئ مشروعية المعالجة، وتحديد الغرض، وتقليل البيانات، وحمايتها من الوصول غير المشروع، إلا أنها تختلف في نطاق حقوق صاحب البيانات والاستثناءات المرتبطة بالإجراءات القضائية والمصلحة العامة</w:t>
      </w:r>
      <w:r>
        <w:t>.</w:t>
      </w:r>
    </w:p>
    <w:p w14:paraId="4614205D" w14:textId="493EA591" w:rsidR="00A66CB4" w:rsidRPr="00A66CB4" w:rsidRDefault="007B11E9" w:rsidP="00A66CB4">
      <w:pPr>
        <w:pStyle w:val="3"/>
        <w:spacing w:line="360" w:lineRule="auto"/>
        <w:rPr>
          <w:bCs/>
          <w:color w:val="auto"/>
          <w:sz w:val="27"/>
          <w:szCs w:val="27"/>
        </w:rPr>
      </w:pPr>
      <w:r>
        <w:rPr>
          <w:rFonts w:hint="cs"/>
          <w:bCs/>
          <w:color w:val="auto"/>
          <w:sz w:val="27"/>
          <w:szCs w:val="27"/>
          <w:rtl/>
        </w:rPr>
        <w:t>1-</w:t>
      </w:r>
      <w:r w:rsidR="00A66CB4" w:rsidRPr="00A66CB4">
        <w:rPr>
          <w:bCs/>
          <w:color w:val="auto"/>
          <w:sz w:val="27"/>
          <w:szCs w:val="27"/>
          <w:rtl/>
        </w:rPr>
        <w:t xml:space="preserve"> ضوابط جمع البيانات ومعالجتها</w:t>
      </w:r>
    </w:p>
    <w:p w14:paraId="0D2A68CE" w14:textId="71F6E57A" w:rsidR="00A66CB4" w:rsidRPr="00A66CB4"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قرر نظام حماية البيانات الشخصية </w:t>
      </w:r>
      <w:r w:rsidR="00624BE8" w:rsidRPr="00A66CB4">
        <w:rPr>
          <w:rFonts w:ascii="Times New Roman" w:eastAsia="Times New Roman" w:hAnsi="Times New Roman" w:cs="Times New Roman" w:hint="cs"/>
          <w:sz w:val="24"/>
          <w:szCs w:val="24"/>
          <w:rtl/>
        </w:rPr>
        <w:t>السعودي</w:t>
      </w:r>
      <w:r w:rsidR="00624BE8" w:rsidRPr="00624BE8">
        <w:rPr>
          <w:rFonts w:ascii="Times New Roman" w:eastAsia="Times New Roman" w:hAnsi="Times New Roman" w:cs="Times New Roman" w:hint="cs"/>
          <w:sz w:val="24"/>
          <w:szCs w:val="24"/>
          <w:vertAlign w:val="superscript"/>
          <w:rtl/>
        </w:rPr>
        <w:t xml:space="preserve"> </w:t>
      </w:r>
      <w:r w:rsidR="00624BE8" w:rsidRPr="00624BE8">
        <w:rPr>
          <w:rFonts w:ascii="Times New Roman" w:eastAsia="Times New Roman" w:hAnsi="Times New Roman" w:cs="Times New Roman"/>
          <w:sz w:val="24"/>
          <w:szCs w:val="24"/>
          <w:vertAlign w:val="superscript"/>
          <w:rtl/>
        </w:rPr>
        <w:t>(</w:t>
      </w:r>
      <w:r w:rsidR="00624BE8" w:rsidRPr="00624BE8">
        <w:rPr>
          <w:rFonts w:ascii="Times New Roman" w:eastAsia="Times New Roman" w:hAnsi="Times New Roman" w:cs="Times New Roman" w:hint="cs"/>
          <w:sz w:val="24"/>
          <w:szCs w:val="24"/>
          <w:vertAlign w:val="superscript"/>
          <w:rtl/>
        </w:rPr>
        <w:t>2)</w:t>
      </w:r>
      <w:r w:rsidRPr="00A66CB4">
        <w:rPr>
          <w:rFonts w:ascii="Times New Roman" w:eastAsia="Times New Roman" w:hAnsi="Times New Roman" w:cs="Times New Roman"/>
          <w:sz w:val="24"/>
          <w:szCs w:val="24"/>
          <w:rtl/>
        </w:rPr>
        <w:t xml:space="preserve"> في </w:t>
      </w:r>
      <w:r w:rsidRPr="00A66CB4">
        <w:rPr>
          <w:rFonts w:ascii="Times New Roman" w:eastAsia="Times New Roman" w:hAnsi="Times New Roman" w:cs="Times New Roman"/>
          <w:b/>
          <w:bCs/>
          <w:sz w:val="24"/>
          <w:szCs w:val="24"/>
          <w:rtl/>
        </w:rPr>
        <w:t>المادة الخامسة</w:t>
      </w:r>
      <w:r w:rsidRPr="00A66CB4">
        <w:rPr>
          <w:rFonts w:ascii="Times New Roman" w:eastAsia="Times New Roman" w:hAnsi="Times New Roman" w:cs="Times New Roman"/>
          <w:sz w:val="24"/>
          <w:szCs w:val="24"/>
          <w:rtl/>
        </w:rPr>
        <w:t xml:space="preserve"> أنه لا تجوز معالجة البيانات الشخصية أو تغيير الغرض من معالجتها، في غير الحالات المستثناة نظامًا، إلا بعد موافقة صاحبها، مع منحه حق الرجوع عن موافقته. كما أجازت </w:t>
      </w:r>
      <w:r w:rsidRPr="00A66CB4">
        <w:rPr>
          <w:rFonts w:ascii="Times New Roman" w:eastAsia="Times New Roman" w:hAnsi="Times New Roman" w:cs="Times New Roman"/>
          <w:b/>
          <w:bCs/>
          <w:sz w:val="24"/>
          <w:szCs w:val="24"/>
          <w:rtl/>
        </w:rPr>
        <w:t>المادة السادسة</w:t>
      </w:r>
      <w:r w:rsidRPr="00A66CB4">
        <w:rPr>
          <w:rFonts w:ascii="Times New Roman" w:eastAsia="Times New Roman" w:hAnsi="Times New Roman" w:cs="Times New Roman"/>
          <w:sz w:val="24"/>
          <w:szCs w:val="24"/>
          <w:rtl/>
        </w:rPr>
        <w:t xml:space="preserve"> المعالجة دون موافقة في حالات محددة، من بينها استيفاء المتطلبات القضائية عندما تكون جهة التحكم جهة عامة. وقررت </w:t>
      </w:r>
      <w:r w:rsidRPr="00A66CB4">
        <w:rPr>
          <w:rFonts w:ascii="Times New Roman" w:eastAsia="Times New Roman" w:hAnsi="Times New Roman" w:cs="Times New Roman"/>
          <w:b/>
          <w:bCs/>
          <w:sz w:val="24"/>
          <w:szCs w:val="24"/>
          <w:rtl/>
        </w:rPr>
        <w:t>المادة العاشرة</w:t>
      </w:r>
      <w:r w:rsidRPr="00A66CB4">
        <w:rPr>
          <w:rFonts w:ascii="Times New Roman" w:eastAsia="Times New Roman" w:hAnsi="Times New Roman" w:cs="Times New Roman"/>
          <w:sz w:val="24"/>
          <w:szCs w:val="24"/>
          <w:rtl/>
        </w:rPr>
        <w:t xml:space="preserve"> أن الأصل هو جمع البيانات من صاحبها مباشرة ومعالجتها للغرض الذي جمعت من أجله، مع استثناءات تشمل المصلحة العامة، وتنفيذ الأنظمة، والمتطلبات القضائية، والمصالح المشروعة وفق الضوابط النظامية. وحددت </w:t>
      </w:r>
      <w:r w:rsidRPr="00A66CB4">
        <w:rPr>
          <w:rFonts w:ascii="Times New Roman" w:eastAsia="Times New Roman" w:hAnsi="Times New Roman" w:cs="Times New Roman"/>
          <w:b/>
          <w:bCs/>
          <w:sz w:val="24"/>
          <w:szCs w:val="24"/>
          <w:rtl/>
        </w:rPr>
        <w:t>المادة الحادية عشرة</w:t>
      </w:r>
      <w:r w:rsidRPr="00A66CB4">
        <w:rPr>
          <w:rFonts w:ascii="Times New Roman" w:eastAsia="Times New Roman" w:hAnsi="Times New Roman" w:cs="Times New Roman"/>
          <w:sz w:val="24"/>
          <w:szCs w:val="24"/>
          <w:rtl/>
        </w:rPr>
        <w:t xml:space="preserve"> معيار تقليل البيانات، فأوجبت أن يكون محتواها ملائمًا ومقصورًا على الحد الأدنى اللازم لتحقيق الغرض من جمعها</w:t>
      </w:r>
      <w:r w:rsidRPr="00A66CB4">
        <w:rPr>
          <w:rFonts w:ascii="Times New Roman" w:eastAsia="Times New Roman" w:hAnsi="Times New Roman" w:cs="Times New Roman"/>
          <w:sz w:val="24"/>
          <w:szCs w:val="24"/>
        </w:rPr>
        <w:t>.</w:t>
      </w:r>
    </w:p>
    <w:p w14:paraId="2F035239" w14:textId="3A1DE7AB" w:rsidR="00A66CB4" w:rsidRPr="00A66CB4"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وفي </w:t>
      </w:r>
      <w:r w:rsidR="00624BE8" w:rsidRPr="00A66CB4">
        <w:rPr>
          <w:rFonts w:ascii="Times New Roman" w:eastAsia="Times New Roman" w:hAnsi="Times New Roman" w:cs="Times New Roman" w:hint="cs"/>
          <w:sz w:val="24"/>
          <w:szCs w:val="24"/>
          <w:rtl/>
        </w:rPr>
        <w:t>الإمارات،</w:t>
      </w:r>
      <w:r w:rsidR="00624BE8" w:rsidRPr="00624BE8">
        <w:rPr>
          <w:rFonts w:ascii="Times New Roman" w:eastAsia="Times New Roman" w:hAnsi="Times New Roman" w:cs="Times New Roman" w:hint="cs"/>
          <w:sz w:val="24"/>
          <w:szCs w:val="24"/>
          <w:vertAlign w:val="superscript"/>
          <w:rtl/>
        </w:rPr>
        <w:t xml:space="preserve"> </w:t>
      </w:r>
      <w:r w:rsidR="00624BE8" w:rsidRPr="00624BE8">
        <w:rPr>
          <w:rFonts w:ascii="Times New Roman" w:eastAsia="Times New Roman" w:hAnsi="Times New Roman" w:cs="Times New Roman"/>
          <w:sz w:val="24"/>
          <w:szCs w:val="24"/>
          <w:vertAlign w:val="superscript"/>
          <w:rtl/>
        </w:rPr>
        <w:t>(</w:t>
      </w:r>
      <w:r w:rsidR="00624BE8" w:rsidRPr="00624BE8">
        <w:rPr>
          <w:rFonts w:ascii="Times New Roman" w:eastAsia="Times New Roman" w:hAnsi="Times New Roman" w:cs="Times New Roman" w:hint="cs"/>
          <w:sz w:val="24"/>
          <w:szCs w:val="24"/>
          <w:vertAlign w:val="superscript"/>
          <w:rtl/>
        </w:rPr>
        <w:t>1)</w:t>
      </w:r>
      <w:r w:rsidR="00624BE8" w:rsidRPr="00624BE8">
        <w:rPr>
          <w:rStyle w:val="a8"/>
          <w:rFonts w:ascii="Times New Roman" w:eastAsia="Times New Roman" w:hAnsi="Times New Roman" w:cs="Times New Roman"/>
          <w:vanish/>
          <w:sz w:val="24"/>
          <w:szCs w:val="24"/>
          <w:vertAlign w:val="baseline"/>
          <w:rtl/>
        </w:rPr>
        <w:footnoteReference w:id="43"/>
      </w:r>
      <w:r w:rsidRPr="00624BE8">
        <w:rPr>
          <w:rFonts w:ascii="Times New Roman" w:eastAsia="Times New Roman" w:hAnsi="Times New Roman" w:cs="Times New Roman"/>
          <w:vanish/>
          <w:sz w:val="24"/>
          <w:szCs w:val="24"/>
          <w:rtl/>
        </w:rPr>
        <w:t xml:space="preserve"> </w:t>
      </w:r>
      <w:r w:rsidRPr="00A66CB4">
        <w:rPr>
          <w:rFonts w:ascii="Times New Roman" w:eastAsia="Times New Roman" w:hAnsi="Times New Roman" w:cs="Times New Roman"/>
          <w:sz w:val="24"/>
          <w:szCs w:val="24"/>
          <w:rtl/>
        </w:rPr>
        <w:t xml:space="preserve">قررت </w:t>
      </w:r>
      <w:r w:rsidRPr="00A66CB4">
        <w:rPr>
          <w:rFonts w:ascii="Times New Roman" w:eastAsia="Times New Roman" w:hAnsi="Times New Roman" w:cs="Times New Roman"/>
          <w:b/>
          <w:bCs/>
          <w:sz w:val="24"/>
          <w:szCs w:val="24"/>
          <w:rtl/>
        </w:rPr>
        <w:t>المادة الخامسة</w:t>
      </w:r>
      <w:r w:rsidRPr="00A66CB4">
        <w:rPr>
          <w:rFonts w:ascii="Times New Roman" w:eastAsia="Times New Roman" w:hAnsi="Times New Roman" w:cs="Times New Roman"/>
          <w:sz w:val="24"/>
          <w:szCs w:val="24"/>
          <w:rtl/>
        </w:rPr>
        <w:t xml:space="preserve"> من المرسوم بقانون اتحادي رقم (45) لسنة 2021 أن تكون معالجة البيانات عادلة وشفافة ومشروعة، وأن تجمع لغرض محدد وواضح، وألا تتجاوز البيانات القدر اللازم لهذا الغرض. ويقوم القانون الإماراتي كذلك على الموافقة بوصفها أحد أسس المعالجة، مع إجازة المعالجة دونها في الحالات المحددة قانونًا، ومنها ما يلزم لإقامة المطالبات القانونية أو الدفاع عن الحقوق والإجراءات القضائية. وبذلك لم يجعل المشرع الخصوصية مانعًا مطلقًا من معالجة البيانات القضائية، وإنما أخضعها لمعياري الضرورة والتناسب</w:t>
      </w:r>
      <w:r w:rsidRPr="00A66CB4">
        <w:rPr>
          <w:rFonts w:ascii="Times New Roman" w:eastAsia="Times New Roman" w:hAnsi="Times New Roman" w:cs="Times New Roman"/>
          <w:sz w:val="24"/>
          <w:szCs w:val="24"/>
        </w:rPr>
        <w:t>.</w:t>
      </w:r>
    </w:p>
    <w:p w14:paraId="2D760EB4" w14:textId="205B07E9" w:rsidR="00A66CB4" w:rsidRPr="00A66CB4"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أما قانون حماية البيانات الشخصية </w:t>
      </w:r>
      <w:r w:rsidR="00624BE8" w:rsidRPr="00A66CB4">
        <w:rPr>
          <w:rFonts w:ascii="Times New Roman" w:eastAsia="Times New Roman" w:hAnsi="Times New Roman" w:cs="Times New Roman" w:hint="cs"/>
          <w:sz w:val="24"/>
          <w:szCs w:val="24"/>
          <w:rtl/>
        </w:rPr>
        <w:t>السنغافوري</w:t>
      </w:r>
      <w:r w:rsidR="00624BE8" w:rsidRPr="00624BE8">
        <w:rPr>
          <w:rFonts w:ascii="Times New Roman" w:eastAsia="Times New Roman" w:hAnsi="Times New Roman" w:cs="Times New Roman" w:hint="cs"/>
          <w:sz w:val="24"/>
          <w:szCs w:val="24"/>
          <w:vertAlign w:val="superscript"/>
          <w:rtl/>
        </w:rPr>
        <w:t xml:space="preserve"> </w:t>
      </w:r>
      <w:r w:rsidR="00624BE8" w:rsidRPr="00624BE8">
        <w:rPr>
          <w:rFonts w:ascii="Times New Roman" w:eastAsia="Times New Roman" w:hAnsi="Times New Roman" w:cs="Times New Roman"/>
          <w:sz w:val="24"/>
          <w:szCs w:val="24"/>
          <w:vertAlign w:val="superscript"/>
          <w:rtl/>
        </w:rPr>
        <w:t>(</w:t>
      </w:r>
      <w:r w:rsidR="00624BE8" w:rsidRPr="00624BE8">
        <w:rPr>
          <w:rFonts w:ascii="Times New Roman" w:eastAsia="Times New Roman" w:hAnsi="Times New Roman" w:cs="Times New Roman" w:hint="cs"/>
          <w:sz w:val="24"/>
          <w:szCs w:val="24"/>
          <w:vertAlign w:val="superscript"/>
          <w:rtl/>
        </w:rPr>
        <w:t>2)</w:t>
      </w:r>
      <w:r w:rsidRPr="00A66CB4">
        <w:rPr>
          <w:rFonts w:ascii="Times New Roman" w:eastAsia="Times New Roman" w:hAnsi="Times New Roman" w:cs="Times New Roman"/>
          <w:sz w:val="24"/>
          <w:szCs w:val="24"/>
          <w:rtl/>
        </w:rPr>
        <w:t xml:space="preserve">، فقد أوجب في </w:t>
      </w:r>
      <w:r w:rsidRPr="00A66CB4">
        <w:rPr>
          <w:rFonts w:ascii="Times New Roman" w:eastAsia="Times New Roman" w:hAnsi="Times New Roman" w:cs="Times New Roman"/>
          <w:b/>
          <w:bCs/>
          <w:sz w:val="24"/>
          <w:szCs w:val="24"/>
          <w:rtl/>
        </w:rPr>
        <w:t>المادة 13</w:t>
      </w:r>
      <w:r w:rsidRPr="00A66CB4">
        <w:rPr>
          <w:rFonts w:ascii="Times New Roman" w:eastAsia="Times New Roman" w:hAnsi="Times New Roman" w:cs="Times New Roman"/>
          <w:sz w:val="24"/>
          <w:szCs w:val="24"/>
          <w:rtl/>
        </w:rPr>
        <w:t xml:space="preserve"> الحصول على الموافقة، مع تنظيم الموافقة المفترضة وحالات المعالجة دون موافقة في المواد اللاحقة. كما قصرت </w:t>
      </w:r>
      <w:r w:rsidRPr="00A66CB4">
        <w:rPr>
          <w:rFonts w:ascii="Times New Roman" w:eastAsia="Times New Roman" w:hAnsi="Times New Roman" w:cs="Times New Roman"/>
          <w:b/>
          <w:bCs/>
          <w:sz w:val="24"/>
          <w:szCs w:val="24"/>
          <w:rtl/>
        </w:rPr>
        <w:t>المادة 18</w:t>
      </w:r>
      <w:r w:rsidRPr="00A66CB4">
        <w:rPr>
          <w:rFonts w:ascii="Times New Roman" w:eastAsia="Times New Roman" w:hAnsi="Times New Roman" w:cs="Times New Roman"/>
          <w:sz w:val="24"/>
          <w:szCs w:val="24"/>
          <w:rtl/>
        </w:rPr>
        <w:t xml:space="preserve"> جمع البيانات واستخدامها والإفصاح عنها على أغراض يعدها الشخص المعتاد مناسبة في ظروف الحالة، وألزمت </w:t>
      </w:r>
      <w:r w:rsidRPr="00A66CB4">
        <w:rPr>
          <w:rFonts w:ascii="Times New Roman" w:eastAsia="Times New Roman" w:hAnsi="Times New Roman" w:cs="Times New Roman"/>
          <w:b/>
          <w:bCs/>
          <w:sz w:val="24"/>
          <w:szCs w:val="24"/>
          <w:rtl/>
        </w:rPr>
        <w:t>المادة 20</w:t>
      </w:r>
      <w:r w:rsidRPr="00A66CB4">
        <w:rPr>
          <w:rFonts w:ascii="Times New Roman" w:eastAsia="Times New Roman" w:hAnsi="Times New Roman" w:cs="Times New Roman"/>
          <w:sz w:val="24"/>
          <w:szCs w:val="24"/>
          <w:rtl/>
        </w:rPr>
        <w:t xml:space="preserve"> المؤسسة بإخطار الفرد بالأغراض التي ستجمع بياناته أو تستخدم أو يفصح عنها من أجلها. ويعكس ذلك اعتماد سنغافورة معيارًا وظيفيًا قائمًا على معقولية الغرض وملاءمته، لا على الموافقة الشكلية وحدها</w:t>
      </w:r>
      <w:r w:rsidRPr="00A66CB4">
        <w:rPr>
          <w:rFonts w:ascii="Times New Roman" w:eastAsia="Times New Roman" w:hAnsi="Times New Roman" w:cs="Times New Roman"/>
          <w:sz w:val="24"/>
          <w:szCs w:val="24"/>
        </w:rPr>
        <w:t>.</w:t>
      </w:r>
    </w:p>
    <w:p w14:paraId="251ED97F" w14:textId="130D7310" w:rsidR="00A66CB4" w:rsidRPr="00A66CB4" w:rsidRDefault="00A66CB4" w:rsidP="0035293F">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وتكشف المقارنة أن النظام السعودي أكثر صراحة في ذكر المتطلبات القضائية ضمن استثناءات المعالجة التي تجريها الجهات العامة، بينما يربط التنظيم الإماراتي المعالجة القضائية بضرورة حماية الحقوق والمطالبات القانونية، في حين يستخدم النظام السنغافوري معيار الغرض الذي يعد مناسبًا في نظر الشخص المعتاد، مع استثناءات تفصيلية في جداول القانون. وتؤدي هذه المناهج المختلفة إلى نتيجة مشتركة </w:t>
      </w:r>
      <w:r w:rsidR="0035293F">
        <w:rPr>
          <w:rFonts w:ascii="Times New Roman" w:eastAsia="Times New Roman" w:hAnsi="Times New Roman" w:cs="Times New Roman" w:hint="cs"/>
          <w:sz w:val="24"/>
          <w:szCs w:val="24"/>
          <w:rtl/>
        </w:rPr>
        <w:t xml:space="preserve">وهي </w:t>
      </w:r>
      <w:r w:rsidRPr="00A66CB4">
        <w:rPr>
          <w:rFonts w:ascii="Times New Roman" w:eastAsia="Times New Roman" w:hAnsi="Times New Roman" w:cs="Times New Roman"/>
          <w:sz w:val="24"/>
          <w:szCs w:val="24"/>
          <w:rtl/>
        </w:rPr>
        <w:t>أن استخدام البيانات في القضاء مشروع عند الضرورة، لكنه لا يبرر جمع بيانات لا صلة لها بالنزاع أو الاحتفاظ بها دون حاجة</w:t>
      </w:r>
      <w:r w:rsidRPr="00A66CB4">
        <w:rPr>
          <w:rFonts w:ascii="Times New Roman" w:eastAsia="Times New Roman" w:hAnsi="Times New Roman" w:cs="Times New Roman"/>
          <w:sz w:val="24"/>
          <w:szCs w:val="24"/>
        </w:rPr>
        <w:t>.</w:t>
      </w:r>
    </w:p>
    <w:p w14:paraId="5CE9EC92" w14:textId="0B97C6CA" w:rsidR="0035293F" w:rsidRPr="0035293F"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7"/>
          <w:szCs w:val="27"/>
          <w:rtl/>
        </w:rPr>
        <w:t>2-</w:t>
      </w:r>
      <w:r w:rsidR="0035293F" w:rsidRPr="0035293F">
        <w:rPr>
          <w:rFonts w:ascii="Times New Roman" w:eastAsia="Times New Roman" w:hAnsi="Times New Roman" w:cs="Times New Roman"/>
          <w:b/>
          <w:bCs/>
          <w:sz w:val="27"/>
          <w:szCs w:val="27"/>
          <w:rtl/>
        </w:rPr>
        <w:t xml:space="preserve"> الجهات المخولة بالوصول والإفصاح</w:t>
      </w:r>
    </w:p>
    <w:p w14:paraId="15258B90"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قيدت </w:t>
      </w:r>
      <w:r w:rsidRPr="0035293F">
        <w:rPr>
          <w:rFonts w:ascii="Times New Roman" w:eastAsia="Times New Roman" w:hAnsi="Times New Roman" w:cs="Times New Roman"/>
          <w:b/>
          <w:bCs/>
          <w:sz w:val="24"/>
          <w:szCs w:val="24"/>
          <w:rtl/>
        </w:rPr>
        <w:t>المادة الخامسة عشرة</w:t>
      </w:r>
      <w:r w:rsidRPr="0035293F">
        <w:rPr>
          <w:rFonts w:ascii="Times New Roman" w:eastAsia="Times New Roman" w:hAnsi="Times New Roman" w:cs="Times New Roman"/>
          <w:sz w:val="24"/>
          <w:szCs w:val="24"/>
          <w:rtl/>
        </w:rPr>
        <w:t xml:space="preserve"> من النظام السعودي الإفصاح عن البيانات الشخصية بحالات محددة، تشمل موافقة صاحب البيانات، أو كون البيانات متاحة للعموم، أو طلب جهة عامة لها لأغراض المصلحة العامة أو الأمن أو تنفيذ نظام أو استيفاء متطلبات قضائية. كما منعت </w:t>
      </w:r>
      <w:r w:rsidRPr="0035293F">
        <w:rPr>
          <w:rFonts w:ascii="Times New Roman" w:eastAsia="Times New Roman" w:hAnsi="Times New Roman" w:cs="Times New Roman"/>
          <w:b/>
          <w:bCs/>
          <w:sz w:val="24"/>
          <w:szCs w:val="24"/>
          <w:rtl/>
        </w:rPr>
        <w:t>المادة السادسة عشرة</w:t>
      </w:r>
      <w:r w:rsidRPr="0035293F">
        <w:rPr>
          <w:rFonts w:ascii="Times New Roman" w:eastAsia="Times New Roman" w:hAnsi="Times New Roman" w:cs="Times New Roman"/>
          <w:sz w:val="24"/>
          <w:szCs w:val="24"/>
          <w:rtl/>
        </w:rPr>
        <w:t xml:space="preserve"> الإفصاح إذا كان يمس المحاكمة العادلة، أو سلامة الإجراءات الجنائية، أو خصوصية شخص آخر، أو ينطوي على إخلال بحكم أو التزام قضائي. ويعني ذلك أن مجرد صفة الجهة العامة لا يمنحها وصولًا مطلقًا، بل يجب أن يقوم الإفصاح على غرض نظامي محدد وألا يتعارض مع الضمانات القضائية</w:t>
      </w:r>
      <w:r w:rsidRPr="0035293F">
        <w:rPr>
          <w:rFonts w:ascii="Times New Roman" w:eastAsia="Times New Roman" w:hAnsi="Times New Roman" w:cs="Times New Roman"/>
          <w:sz w:val="24"/>
          <w:szCs w:val="24"/>
        </w:rPr>
        <w:t>.</w:t>
      </w:r>
    </w:p>
    <w:p w14:paraId="5C67C3B7"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الإمارات، يحدد القانون أدوار </w:t>
      </w:r>
      <w:r w:rsidRPr="0035293F">
        <w:rPr>
          <w:rFonts w:ascii="Times New Roman" w:eastAsia="Times New Roman" w:hAnsi="Times New Roman" w:cs="Times New Roman"/>
          <w:b/>
          <w:bCs/>
          <w:sz w:val="24"/>
          <w:szCs w:val="24"/>
          <w:rtl/>
        </w:rPr>
        <w:t>المتحكم</w:t>
      </w:r>
      <w:r w:rsidRPr="0035293F">
        <w:rPr>
          <w:rFonts w:ascii="Times New Roman" w:eastAsia="Times New Roman" w:hAnsi="Times New Roman" w:cs="Times New Roman"/>
          <w:sz w:val="24"/>
          <w:szCs w:val="24"/>
          <w:rtl/>
        </w:rPr>
        <w:t xml:space="preserve"> و</w:t>
      </w:r>
      <w:r w:rsidRPr="0035293F">
        <w:rPr>
          <w:rFonts w:ascii="Times New Roman" w:eastAsia="Times New Roman" w:hAnsi="Times New Roman" w:cs="Times New Roman"/>
          <w:b/>
          <w:bCs/>
          <w:sz w:val="24"/>
          <w:szCs w:val="24"/>
          <w:rtl/>
        </w:rPr>
        <w:t>المعالج</w:t>
      </w:r>
      <w:r w:rsidRPr="0035293F">
        <w:rPr>
          <w:rFonts w:ascii="Times New Roman" w:eastAsia="Times New Roman" w:hAnsi="Times New Roman" w:cs="Times New Roman"/>
          <w:sz w:val="24"/>
          <w:szCs w:val="24"/>
          <w:rtl/>
        </w:rPr>
        <w:t xml:space="preserve">، ويحمّل كلًا منهما التزامات تتصل بحدود المعالجة وأمن البيانات وسريتها. كما يمنح صاحب البيانات، بموجب </w:t>
      </w:r>
      <w:r w:rsidRPr="0035293F">
        <w:rPr>
          <w:rFonts w:ascii="Times New Roman" w:eastAsia="Times New Roman" w:hAnsi="Times New Roman" w:cs="Times New Roman"/>
          <w:b/>
          <w:bCs/>
          <w:sz w:val="24"/>
          <w:szCs w:val="24"/>
          <w:rtl/>
        </w:rPr>
        <w:t>المادة الثالثة عشرة</w:t>
      </w:r>
      <w:r w:rsidRPr="0035293F">
        <w:rPr>
          <w:rFonts w:ascii="Times New Roman" w:eastAsia="Times New Roman" w:hAnsi="Times New Roman" w:cs="Times New Roman"/>
          <w:sz w:val="24"/>
          <w:szCs w:val="24"/>
          <w:rtl/>
        </w:rPr>
        <w:t>، حق معرفة أنواع البيانات المعالجة، وأغراض المعالجة، والجهات التي ستشارك معها البيانات، والتدابير المستخدمة في عمليات المعالجة العابرة للحدود. ويعزز ذلك شفافية تحديد من يصل إلى البيانات والسبب الذي يبرر هذا الوصول</w:t>
      </w:r>
      <w:r w:rsidRPr="0035293F">
        <w:rPr>
          <w:rFonts w:ascii="Times New Roman" w:eastAsia="Times New Roman" w:hAnsi="Times New Roman" w:cs="Times New Roman"/>
          <w:sz w:val="24"/>
          <w:szCs w:val="24"/>
        </w:rPr>
        <w:t>.</w:t>
      </w:r>
    </w:p>
    <w:p w14:paraId="3B5A2431" w14:textId="629177DA" w:rsidR="007B11E9" w:rsidRPr="00624BE8" w:rsidRDefault="0035293F" w:rsidP="00624BE8">
      <w:pPr>
        <w:spacing w:before="100" w:beforeAutospacing="1" w:after="100" w:afterAutospacing="1" w:line="360" w:lineRule="auto"/>
        <w:jc w:val="left"/>
        <w:rPr>
          <w:rFonts w:ascii="Times New Roman" w:eastAsia="Times New Roman" w:hAnsi="Times New Roman" w:cs="Times New Roman"/>
          <w:sz w:val="24"/>
          <w:szCs w:val="24"/>
          <w:rtl/>
        </w:rPr>
      </w:pPr>
      <w:r w:rsidRPr="0035293F">
        <w:rPr>
          <w:rFonts w:ascii="Times New Roman" w:eastAsia="Times New Roman" w:hAnsi="Times New Roman" w:cs="Times New Roman"/>
          <w:sz w:val="24"/>
          <w:szCs w:val="24"/>
          <w:rtl/>
        </w:rPr>
        <w:t xml:space="preserve">وفي سنغافورة، تحدد المواد </w:t>
      </w:r>
      <w:r w:rsidRPr="0035293F">
        <w:rPr>
          <w:rFonts w:ascii="Times New Roman" w:eastAsia="Times New Roman" w:hAnsi="Times New Roman" w:cs="Times New Roman"/>
          <w:b/>
          <w:bCs/>
          <w:sz w:val="24"/>
          <w:szCs w:val="24"/>
        </w:rPr>
        <w:t>13–20</w:t>
      </w:r>
      <w:r w:rsidRPr="0035293F">
        <w:rPr>
          <w:rFonts w:ascii="Times New Roman" w:eastAsia="Times New Roman" w:hAnsi="Times New Roman" w:cs="Times New Roman"/>
          <w:sz w:val="24"/>
          <w:szCs w:val="24"/>
        </w:rPr>
        <w:t xml:space="preserve"> </w:t>
      </w:r>
      <w:r w:rsidRPr="0035293F">
        <w:rPr>
          <w:rFonts w:ascii="Times New Roman" w:eastAsia="Times New Roman" w:hAnsi="Times New Roman" w:cs="Times New Roman"/>
          <w:sz w:val="24"/>
          <w:szCs w:val="24"/>
          <w:rtl/>
        </w:rPr>
        <w:t xml:space="preserve">أغراض الجمع والاستخدام والإفصاح ومتطلبات الموافقة والإخطار، بينما تلزم </w:t>
      </w:r>
      <w:r w:rsidRPr="0035293F">
        <w:rPr>
          <w:rFonts w:ascii="Times New Roman" w:eastAsia="Times New Roman" w:hAnsi="Times New Roman" w:cs="Times New Roman"/>
          <w:b/>
          <w:bCs/>
          <w:sz w:val="24"/>
          <w:szCs w:val="24"/>
          <w:rtl/>
        </w:rPr>
        <w:t>المادة 21</w:t>
      </w:r>
      <w:r w:rsidRPr="0035293F">
        <w:rPr>
          <w:rFonts w:ascii="Times New Roman" w:eastAsia="Times New Roman" w:hAnsi="Times New Roman" w:cs="Times New Roman"/>
          <w:sz w:val="24"/>
          <w:szCs w:val="24"/>
          <w:rtl/>
        </w:rPr>
        <w:t xml:space="preserve"> المؤسسة بتمكين الفرد، وفق الاستثناءات القانونية، من الوصول إلى بياناته ومعرفة كيفية استخدامها أو الإفصاح عنها خلال الفترة السابقة المحددة. ويقوم ضبط الوصول هنا على مسؤولية المؤسسة عن البيانات الموجودة في حيازتها أو تحت سيطرتها، مع استثناءات تحمي التحقيقات والمصالح القانونية وحقوق الغير</w:t>
      </w:r>
      <w:r w:rsidR="00624BE8">
        <w:rPr>
          <w:rFonts w:ascii="Times New Roman" w:eastAsia="Times New Roman" w:hAnsi="Times New Roman" w:cs="Times New Roman"/>
          <w:sz w:val="24"/>
          <w:szCs w:val="24"/>
        </w:rPr>
        <w:t>.</w:t>
      </w:r>
    </w:p>
    <w:p w14:paraId="1A81CDF6" w14:textId="0EB9EB23" w:rsidR="0035293F" w:rsidRPr="007B11E9"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4"/>
          <w:szCs w:val="24"/>
          <w:rtl/>
        </w:rPr>
        <w:t>3</w:t>
      </w:r>
      <w:r w:rsidRPr="007B11E9">
        <w:rPr>
          <w:rFonts w:ascii="Times New Roman" w:eastAsia="Times New Roman" w:hAnsi="Times New Roman" w:cs="Times New Roman" w:hint="cs"/>
          <w:b/>
          <w:bCs/>
          <w:sz w:val="28"/>
          <w:szCs w:val="28"/>
          <w:rtl/>
        </w:rPr>
        <w:t>-</w:t>
      </w:r>
      <w:r w:rsidR="0035293F" w:rsidRPr="007B11E9">
        <w:rPr>
          <w:rFonts w:ascii="Times New Roman" w:eastAsia="Times New Roman" w:hAnsi="Times New Roman" w:cs="Times New Roman"/>
          <w:b/>
          <w:bCs/>
          <w:sz w:val="28"/>
          <w:szCs w:val="28"/>
          <w:rtl/>
        </w:rPr>
        <w:t xml:space="preserve"> مدة الاحتفاظ بالبيانات وإتلافها</w:t>
      </w:r>
    </w:p>
    <w:p w14:paraId="00C7153C"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نظمت </w:t>
      </w:r>
      <w:r w:rsidRPr="0035293F">
        <w:rPr>
          <w:rFonts w:ascii="Times New Roman" w:eastAsia="Times New Roman" w:hAnsi="Times New Roman" w:cs="Times New Roman"/>
          <w:b/>
          <w:bCs/>
          <w:sz w:val="24"/>
          <w:szCs w:val="24"/>
          <w:rtl/>
        </w:rPr>
        <w:t>المادة الثامنة عشرة</w:t>
      </w:r>
      <w:r w:rsidRPr="0035293F">
        <w:rPr>
          <w:rFonts w:ascii="Times New Roman" w:eastAsia="Times New Roman" w:hAnsi="Times New Roman" w:cs="Times New Roman"/>
          <w:sz w:val="24"/>
          <w:szCs w:val="24"/>
          <w:rtl/>
        </w:rPr>
        <w:t xml:space="preserve"> من النظام السعودي مدة الاحتفاظ على أساس انتهاء الغرض؛ فأوجبت إتلاف البيانات بعد انتهاء الغرض من جمعها دون تأخير، وأجازت الاحتفاظ بها بعد إزالة ما يؤدي إلى تحديد هوية صاحبها. كما أوجبت استمرار الاحتفاظ إذا كان هناك مسوغ نظامي يحدد مدة معينة، أو إذا كانت البيانات مرتبطة بقضية منظورة وكان الاحتفاظ بها لازمًا للإجراءات القضائية، على أن تتلف بعد انتهاء الحاجة النظامية أو القضائية. وتعد هذه الإشارة الصريحة إلى القضية المنظورة ذات أهمية مباشرة للملفات القضائية الرقمية</w:t>
      </w:r>
      <w:r w:rsidRPr="0035293F">
        <w:rPr>
          <w:rFonts w:ascii="Times New Roman" w:eastAsia="Times New Roman" w:hAnsi="Times New Roman" w:cs="Times New Roman"/>
          <w:sz w:val="24"/>
          <w:szCs w:val="24"/>
        </w:rPr>
        <w:t>.</w:t>
      </w:r>
    </w:p>
    <w:p w14:paraId="7086617B"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الإمارات، يرتبط الاحتفاظ بمبدأ تحديد الغرض الوارد في </w:t>
      </w:r>
      <w:r w:rsidRPr="0035293F">
        <w:rPr>
          <w:rFonts w:ascii="Times New Roman" w:eastAsia="Times New Roman" w:hAnsi="Times New Roman" w:cs="Times New Roman"/>
          <w:b/>
          <w:bCs/>
          <w:sz w:val="24"/>
          <w:szCs w:val="24"/>
          <w:rtl/>
        </w:rPr>
        <w:t>المادة الخامسة</w:t>
      </w:r>
      <w:r w:rsidRPr="0035293F">
        <w:rPr>
          <w:rFonts w:ascii="Times New Roman" w:eastAsia="Times New Roman" w:hAnsi="Times New Roman" w:cs="Times New Roman"/>
          <w:sz w:val="24"/>
          <w:szCs w:val="24"/>
          <w:rtl/>
        </w:rPr>
        <w:t xml:space="preserve">؛ فلا يجوز الاحتفاظ بالبيانات بعد انتهاء الغرض الذي عولجت من أجله إلا إذا ظلت هوية صاحبها غير ممكنة أو استمر مسوغ قانوني للاحتفاظ. كما يحق لصاحب البيانات، وفق </w:t>
      </w:r>
      <w:r w:rsidRPr="0035293F">
        <w:rPr>
          <w:rFonts w:ascii="Times New Roman" w:eastAsia="Times New Roman" w:hAnsi="Times New Roman" w:cs="Times New Roman"/>
          <w:b/>
          <w:bCs/>
          <w:sz w:val="24"/>
          <w:szCs w:val="24"/>
          <w:rtl/>
        </w:rPr>
        <w:t>المادة الخامسة عشرة</w:t>
      </w:r>
      <w:r w:rsidRPr="0035293F">
        <w:rPr>
          <w:rFonts w:ascii="Times New Roman" w:eastAsia="Times New Roman" w:hAnsi="Times New Roman" w:cs="Times New Roman"/>
          <w:sz w:val="24"/>
          <w:szCs w:val="24"/>
          <w:rtl/>
        </w:rPr>
        <w:t>، طلب محو بياناته في الحالات المحددة، مثل انتفاء الحاجة إليها أو سحب الموافقة مع عدم وجود أساس قانوني آخر للمعالجة، مع بقاء الاستثناءات اللازمة للمطالبات القانونية أو الالتزامات النظامية</w:t>
      </w:r>
      <w:r w:rsidRPr="0035293F">
        <w:rPr>
          <w:rFonts w:ascii="Times New Roman" w:eastAsia="Times New Roman" w:hAnsi="Times New Roman" w:cs="Times New Roman"/>
          <w:sz w:val="24"/>
          <w:szCs w:val="24"/>
        </w:rPr>
        <w:t>.</w:t>
      </w:r>
    </w:p>
    <w:p w14:paraId="6E569ED9"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أما سنغافورة، فقد قررت </w:t>
      </w:r>
      <w:r w:rsidRPr="0035293F">
        <w:rPr>
          <w:rFonts w:ascii="Times New Roman" w:eastAsia="Times New Roman" w:hAnsi="Times New Roman" w:cs="Times New Roman"/>
          <w:b/>
          <w:bCs/>
          <w:sz w:val="24"/>
          <w:szCs w:val="24"/>
          <w:rtl/>
        </w:rPr>
        <w:t>المادة 25</w:t>
      </w:r>
      <w:r w:rsidRPr="0035293F">
        <w:rPr>
          <w:rFonts w:ascii="Times New Roman" w:eastAsia="Times New Roman" w:hAnsi="Times New Roman" w:cs="Times New Roman"/>
          <w:sz w:val="24"/>
          <w:szCs w:val="24"/>
          <w:rtl/>
        </w:rPr>
        <w:t xml:space="preserve"> أن تتوقف المؤسسة عن الاحتفاظ بالوثائق التي تتضمن بيانات شخصية، أو تزيل الوسيلة التي يمكن بها ربط البيانات بالفرد، متى لم يعد الاحتفاظ يخدم الغرض الذي جمعت من أجله ولم يعد ضروريًا لأغراض قانونية أو تجارية. ولا يقرر القانون السنغافوري حقًا عامًا مستقلًا في المحو مماثلًا للنموذج الإماراتي؛ بل تتحقق النتيجة من خلال واجب المؤسسة في وقف الاحتفاظ، وإمكان سحب الموافقة، وتصحيح البيانات</w:t>
      </w:r>
      <w:r w:rsidRPr="0035293F">
        <w:rPr>
          <w:rFonts w:ascii="Times New Roman" w:eastAsia="Times New Roman" w:hAnsi="Times New Roman" w:cs="Times New Roman"/>
          <w:sz w:val="24"/>
          <w:szCs w:val="24"/>
        </w:rPr>
        <w:t>.</w:t>
      </w:r>
    </w:p>
    <w:p w14:paraId="7649BE36" w14:textId="39344A4F" w:rsidR="009D2F8D" w:rsidRDefault="009D2F8D" w:rsidP="009D2F8D">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4514ABA6"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0C5DB4D8"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0EEEF3F3"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4A6CBEA4"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66B8D12E"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0C18D742" w14:textId="072BA3C1" w:rsidR="0035293F" w:rsidRPr="0035293F"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8"/>
          <w:szCs w:val="28"/>
          <w:rtl/>
        </w:rPr>
        <w:t>4</w:t>
      </w:r>
      <w:r w:rsidR="007B11E9" w:rsidRPr="007B11E9">
        <w:rPr>
          <w:rFonts w:ascii="Times New Roman" w:eastAsia="Times New Roman" w:hAnsi="Times New Roman" w:cs="Times New Roman" w:hint="cs"/>
          <w:b/>
          <w:bCs/>
          <w:sz w:val="28"/>
          <w:szCs w:val="28"/>
          <w:rtl/>
        </w:rPr>
        <w:t>-</w:t>
      </w:r>
      <w:r w:rsidR="0035293F" w:rsidRPr="007B11E9">
        <w:rPr>
          <w:rFonts w:ascii="Times New Roman" w:eastAsia="Times New Roman" w:hAnsi="Times New Roman" w:cs="Times New Roman"/>
          <w:b/>
          <w:bCs/>
          <w:sz w:val="28"/>
          <w:szCs w:val="28"/>
          <w:rtl/>
        </w:rPr>
        <w:t xml:space="preserve"> التدابير الأمنية وحماية البيانات من الاختراق</w:t>
      </w:r>
    </w:p>
    <w:p w14:paraId="3006AC29"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أوجبت </w:t>
      </w:r>
      <w:r w:rsidRPr="0035293F">
        <w:rPr>
          <w:rFonts w:ascii="Times New Roman" w:eastAsia="Times New Roman" w:hAnsi="Times New Roman" w:cs="Times New Roman"/>
          <w:b/>
          <w:bCs/>
          <w:sz w:val="24"/>
          <w:szCs w:val="24"/>
          <w:rtl/>
        </w:rPr>
        <w:t>المادة التاسعة عشرة</w:t>
      </w:r>
      <w:r w:rsidRPr="0035293F">
        <w:rPr>
          <w:rFonts w:ascii="Times New Roman" w:eastAsia="Times New Roman" w:hAnsi="Times New Roman" w:cs="Times New Roman"/>
          <w:sz w:val="24"/>
          <w:szCs w:val="24"/>
          <w:rtl/>
        </w:rPr>
        <w:t xml:space="preserve"> من النظام السعودي على جهة التحكم اتخاذ الإجراءات والوسائل التنظيمية والإدارية والتقنية اللازمة للمحافظة على البيانات الشخصية، بما في ذلك أثناء نقلها. كما نظمت </w:t>
      </w:r>
      <w:r w:rsidRPr="0035293F">
        <w:rPr>
          <w:rFonts w:ascii="Times New Roman" w:eastAsia="Times New Roman" w:hAnsi="Times New Roman" w:cs="Times New Roman"/>
          <w:b/>
          <w:bCs/>
          <w:sz w:val="24"/>
          <w:szCs w:val="24"/>
          <w:rtl/>
        </w:rPr>
        <w:t>المادة العشرون</w:t>
      </w:r>
      <w:r w:rsidRPr="0035293F">
        <w:rPr>
          <w:rFonts w:ascii="Times New Roman" w:eastAsia="Times New Roman" w:hAnsi="Times New Roman" w:cs="Times New Roman"/>
          <w:sz w:val="24"/>
          <w:szCs w:val="24"/>
          <w:rtl/>
        </w:rPr>
        <w:t xml:space="preserve"> الإشعار عن تسرب البيانات أو تلفها أو الوصول غير المشروع إليها، وألزمت بإبلاغ صاحب البيانات إذا كان الحادث قد يرتب ضررًا أو يتعارض مع حقوقه أو مصالحه</w:t>
      </w:r>
      <w:r w:rsidRPr="0035293F">
        <w:rPr>
          <w:rFonts w:ascii="Times New Roman" w:eastAsia="Times New Roman" w:hAnsi="Times New Roman" w:cs="Times New Roman"/>
          <w:sz w:val="24"/>
          <w:szCs w:val="24"/>
        </w:rPr>
        <w:t>.</w:t>
      </w:r>
    </w:p>
    <w:p w14:paraId="0B0768AE"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الإمارات، ألزمت </w:t>
      </w:r>
      <w:r w:rsidRPr="0035293F">
        <w:rPr>
          <w:rFonts w:ascii="Times New Roman" w:eastAsia="Times New Roman" w:hAnsi="Times New Roman" w:cs="Times New Roman"/>
          <w:b/>
          <w:bCs/>
          <w:sz w:val="24"/>
          <w:szCs w:val="24"/>
          <w:rtl/>
        </w:rPr>
        <w:t>المادة العشرون</w:t>
      </w:r>
      <w:r w:rsidRPr="0035293F">
        <w:rPr>
          <w:rFonts w:ascii="Times New Roman" w:eastAsia="Times New Roman" w:hAnsi="Times New Roman" w:cs="Times New Roman"/>
          <w:sz w:val="24"/>
          <w:szCs w:val="24"/>
          <w:rtl/>
        </w:rPr>
        <w:t xml:space="preserve"> المتحكم والمعالج باتخاذ تدابير تقنية وتنظيمية ملائمة تضمن مستوى من أمن المعلومات يتناسب مع مخاطر المعالجة، وطبيعة البيانات وحساسيتها، وحالة التقنيات المستخدمة وتكلفة تطبيقها. وهذا يجعل الالتزام بالأمن قائمًا على تقييم المخاطر، لا على تطبيق وسيلة فنية موحدة في جميع الحالات</w:t>
      </w:r>
      <w:r w:rsidRPr="0035293F">
        <w:rPr>
          <w:rFonts w:ascii="Times New Roman" w:eastAsia="Times New Roman" w:hAnsi="Times New Roman" w:cs="Times New Roman"/>
          <w:sz w:val="24"/>
          <w:szCs w:val="24"/>
        </w:rPr>
        <w:t>.</w:t>
      </w:r>
    </w:p>
    <w:p w14:paraId="36478F23"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سنغافورة، أوجبت </w:t>
      </w:r>
      <w:r w:rsidRPr="0035293F">
        <w:rPr>
          <w:rFonts w:ascii="Times New Roman" w:eastAsia="Times New Roman" w:hAnsi="Times New Roman" w:cs="Times New Roman"/>
          <w:b/>
          <w:bCs/>
          <w:sz w:val="24"/>
          <w:szCs w:val="24"/>
          <w:rtl/>
        </w:rPr>
        <w:t>المادة 24</w:t>
      </w:r>
      <w:r w:rsidRPr="0035293F">
        <w:rPr>
          <w:rFonts w:ascii="Times New Roman" w:eastAsia="Times New Roman" w:hAnsi="Times New Roman" w:cs="Times New Roman"/>
          <w:sz w:val="24"/>
          <w:szCs w:val="24"/>
          <w:rtl/>
        </w:rPr>
        <w:t xml:space="preserve"> اتخاذ ترتيبات أمنية معقولة لمنع الوصول أو الجمع أو الاستخدام أو الإفصاح أو النسخ أو التعديل أو الإتلاف غير المصرح به، وكذلك لمنع فقد وسائط التخزين. كما أضاف القانون واجبات لتقييم خروقات البيانات والإبلاغ عنها في المواد </w:t>
      </w:r>
      <w:r w:rsidRPr="0035293F">
        <w:rPr>
          <w:rFonts w:ascii="Times New Roman" w:eastAsia="Times New Roman" w:hAnsi="Times New Roman" w:cs="Times New Roman"/>
          <w:b/>
          <w:bCs/>
          <w:sz w:val="24"/>
          <w:szCs w:val="24"/>
        </w:rPr>
        <w:t>26A–26D</w:t>
      </w:r>
      <w:r w:rsidRPr="0035293F">
        <w:rPr>
          <w:rFonts w:ascii="Times New Roman" w:eastAsia="Times New Roman" w:hAnsi="Times New Roman" w:cs="Times New Roman"/>
          <w:sz w:val="24"/>
          <w:szCs w:val="24"/>
        </w:rPr>
        <w:t xml:space="preserve"> </w:t>
      </w:r>
      <w:r w:rsidRPr="0035293F">
        <w:rPr>
          <w:rFonts w:ascii="Times New Roman" w:eastAsia="Times New Roman" w:hAnsi="Times New Roman" w:cs="Times New Roman"/>
          <w:sz w:val="24"/>
          <w:szCs w:val="24"/>
          <w:rtl/>
        </w:rPr>
        <w:t>متى استوفت الخروقات شروط الإشعار</w:t>
      </w:r>
      <w:r w:rsidRPr="0035293F">
        <w:rPr>
          <w:rFonts w:ascii="Times New Roman" w:eastAsia="Times New Roman" w:hAnsi="Times New Roman" w:cs="Times New Roman"/>
          <w:sz w:val="24"/>
          <w:szCs w:val="24"/>
        </w:rPr>
        <w:t>.</w:t>
      </w:r>
    </w:p>
    <w:p w14:paraId="724B06D5"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وتظهر المقارنة أن الدول الثلاث تأخذ بمنهج الحماية الوقائية، إلا أن الإمارات وسنغافورة تستخدمان صياغة أوضح قائمة على تناسب التدابير مع المخاطر، بينما يقرر النظام السعودي الالتزام العام بالتدابير التنظيمية والإدارية والتقنية، مع إحالة التفاصيل إلى اللائحة. ويتيح المنهج القائم على المخاطر قدرًا أكبر من المرونة، لكنه يستلزم معايير رقابية واضحة لتحديد ما يعد حماية كافية</w:t>
      </w:r>
      <w:r w:rsidRPr="0035293F">
        <w:rPr>
          <w:rFonts w:ascii="Times New Roman" w:eastAsia="Times New Roman" w:hAnsi="Times New Roman" w:cs="Times New Roman"/>
          <w:sz w:val="24"/>
          <w:szCs w:val="24"/>
        </w:rPr>
        <w:t>.</w:t>
      </w:r>
    </w:p>
    <w:p w14:paraId="43520068" w14:textId="08FFBA12" w:rsidR="0035293F" w:rsidRPr="0035293F"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5-</w:t>
      </w:r>
      <w:r w:rsidR="0035293F" w:rsidRPr="0035293F">
        <w:rPr>
          <w:rFonts w:ascii="Times New Roman" w:eastAsia="Times New Roman" w:hAnsi="Times New Roman" w:cs="Times New Roman"/>
          <w:b/>
          <w:bCs/>
          <w:sz w:val="24"/>
          <w:szCs w:val="24"/>
          <w:rtl/>
        </w:rPr>
        <w:t xml:space="preserve"> </w:t>
      </w:r>
      <w:r w:rsidR="0035293F" w:rsidRPr="007B11E9">
        <w:rPr>
          <w:rFonts w:ascii="Times New Roman" w:eastAsia="Times New Roman" w:hAnsi="Times New Roman" w:cs="Times New Roman"/>
          <w:b/>
          <w:bCs/>
          <w:sz w:val="28"/>
          <w:szCs w:val="28"/>
          <w:rtl/>
        </w:rPr>
        <w:t>حقوق أصحاب البيانات</w:t>
      </w:r>
    </w:p>
    <w:p w14:paraId="3BE66654"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قررت </w:t>
      </w:r>
      <w:r w:rsidRPr="0035293F">
        <w:rPr>
          <w:rFonts w:ascii="Times New Roman" w:eastAsia="Times New Roman" w:hAnsi="Times New Roman" w:cs="Times New Roman"/>
          <w:b/>
          <w:bCs/>
          <w:sz w:val="24"/>
          <w:szCs w:val="24"/>
          <w:rtl/>
        </w:rPr>
        <w:t>المادة الرابعة</w:t>
      </w:r>
      <w:r w:rsidRPr="0035293F">
        <w:rPr>
          <w:rFonts w:ascii="Times New Roman" w:eastAsia="Times New Roman" w:hAnsi="Times New Roman" w:cs="Times New Roman"/>
          <w:sz w:val="24"/>
          <w:szCs w:val="24"/>
          <w:rtl/>
        </w:rPr>
        <w:t xml:space="preserve"> من النظام السعودي لصاحب البيانات الحق في العلم بالمسوغ والغرض من جمعها، والوصول إليها، والحصول عليها بصيغة مقروءة وواضحة، وطلب تصحيحها أو إتمامها أو تحديثها، وطلب إتلاف ما انتهت الحاجة إليه منها، مع مراعاة الاستثناءات النظامية. كما تمنحه </w:t>
      </w:r>
      <w:r w:rsidRPr="0035293F">
        <w:rPr>
          <w:rFonts w:ascii="Times New Roman" w:eastAsia="Times New Roman" w:hAnsi="Times New Roman" w:cs="Times New Roman"/>
          <w:b/>
          <w:bCs/>
          <w:sz w:val="24"/>
          <w:szCs w:val="24"/>
          <w:rtl/>
        </w:rPr>
        <w:t>المادة الخامسة</w:t>
      </w:r>
      <w:r w:rsidRPr="0035293F">
        <w:rPr>
          <w:rFonts w:ascii="Times New Roman" w:eastAsia="Times New Roman" w:hAnsi="Times New Roman" w:cs="Times New Roman"/>
          <w:sz w:val="24"/>
          <w:szCs w:val="24"/>
          <w:rtl/>
        </w:rPr>
        <w:t xml:space="preserve"> حق الرجوع عن الموافقة، وتلزم </w:t>
      </w:r>
      <w:r w:rsidRPr="0035293F">
        <w:rPr>
          <w:rFonts w:ascii="Times New Roman" w:eastAsia="Times New Roman" w:hAnsi="Times New Roman" w:cs="Times New Roman"/>
          <w:b/>
          <w:bCs/>
          <w:sz w:val="24"/>
          <w:szCs w:val="24"/>
          <w:rtl/>
        </w:rPr>
        <w:t>المادة الحادية والعشرون</w:t>
      </w:r>
      <w:r w:rsidRPr="0035293F">
        <w:rPr>
          <w:rFonts w:ascii="Times New Roman" w:eastAsia="Times New Roman" w:hAnsi="Times New Roman" w:cs="Times New Roman"/>
          <w:sz w:val="24"/>
          <w:szCs w:val="24"/>
          <w:rtl/>
        </w:rPr>
        <w:t xml:space="preserve"> جهة التحكم بالاستجابة لطلباته خلال المدة التي تحددها اللائحة</w:t>
      </w:r>
      <w:r w:rsidRPr="0035293F">
        <w:rPr>
          <w:rFonts w:ascii="Times New Roman" w:eastAsia="Times New Roman" w:hAnsi="Times New Roman" w:cs="Times New Roman"/>
          <w:sz w:val="24"/>
          <w:szCs w:val="24"/>
        </w:rPr>
        <w:t>.</w:t>
      </w:r>
    </w:p>
    <w:p w14:paraId="064E3959"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67DB1270"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5D502C74"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180F41B8"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309895D0"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10F08879" w14:textId="22A860DC"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أما القانون الإماراتي، فيمنح نطاقًا أوسع من الحقوق التفصيلية؛ إذ تقرر </w:t>
      </w:r>
      <w:r w:rsidRPr="0035293F">
        <w:rPr>
          <w:rFonts w:ascii="Times New Roman" w:eastAsia="Times New Roman" w:hAnsi="Times New Roman" w:cs="Times New Roman"/>
          <w:b/>
          <w:bCs/>
          <w:sz w:val="24"/>
          <w:szCs w:val="24"/>
          <w:rtl/>
        </w:rPr>
        <w:t>المادة الثالثة عشرة</w:t>
      </w:r>
      <w:r w:rsidRPr="0035293F">
        <w:rPr>
          <w:rFonts w:ascii="Times New Roman" w:eastAsia="Times New Roman" w:hAnsi="Times New Roman" w:cs="Times New Roman"/>
          <w:sz w:val="24"/>
          <w:szCs w:val="24"/>
          <w:rtl/>
        </w:rPr>
        <w:t xml:space="preserve"> حق الحصول على المعلومات، و</w:t>
      </w:r>
      <w:r w:rsidRPr="0035293F">
        <w:rPr>
          <w:rFonts w:ascii="Times New Roman" w:eastAsia="Times New Roman" w:hAnsi="Times New Roman" w:cs="Times New Roman"/>
          <w:b/>
          <w:bCs/>
          <w:sz w:val="24"/>
          <w:szCs w:val="24"/>
          <w:rtl/>
        </w:rPr>
        <w:t>المادة الرابعة عشرة</w:t>
      </w:r>
      <w:r w:rsidRPr="0035293F">
        <w:rPr>
          <w:rFonts w:ascii="Times New Roman" w:eastAsia="Times New Roman" w:hAnsi="Times New Roman" w:cs="Times New Roman"/>
          <w:sz w:val="24"/>
          <w:szCs w:val="24"/>
          <w:rtl/>
        </w:rPr>
        <w:t xml:space="preserve"> حق نقل البيانات، و</w:t>
      </w:r>
      <w:r w:rsidRPr="0035293F">
        <w:rPr>
          <w:rFonts w:ascii="Times New Roman" w:eastAsia="Times New Roman" w:hAnsi="Times New Roman" w:cs="Times New Roman"/>
          <w:b/>
          <w:bCs/>
          <w:sz w:val="24"/>
          <w:szCs w:val="24"/>
          <w:rtl/>
        </w:rPr>
        <w:t>المادة الخامسة عشرة</w:t>
      </w:r>
      <w:r w:rsidRPr="0035293F">
        <w:rPr>
          <w:rFonts w:ascii="Times New Roman" w:eastAsia="Times New Roman" w:hAnsi="Times New Roman" w:cs="Times New Roman"/>
          <w:sz w:val="24"/>
          <w:szCs w:val="24"/>
          <w:rtl/>
        </w:rPr>
        <w:t xml:space="preserve"> حق التصحيح أو المحو، و</w:t>
      </w:r>
      <w:r w:rsidRPr="0035293F">
        <w:rPr>
          <w:rFonts w:ascii="Times New Roman" w:eastAsia="Times New Roman" w:hAnsi="Times New Roman" w:cs="Times New Roman"/>
          <w:b/>
          <w:bCs/>
          <w:sz w:val="24"/>
          <w:szCs w:val="24"/>
          <w:rtl/>
        </w:rPr>
        <w:t>المادة السادسة عشرة</w:t>
      </w:r>
      <w:r w:rsidRPr="0035293F">
        <w:rPr>
          <w:rFonts w:ascii="Times New Roman" w:eastAsia="Times New Roman" w:hAnsi="Times New Roman" w:cs="Times New Roman"/>
          <w:sz w:val="24"/>
          <w:szCs w:val="24"/>
          <w:rtl/>
        </w:rPr>
        <w:t xml:space="preserve"> حق تقييد المعالجة، و</w:t>
      </w:r>
      <w:r w:rsidRPr="0035293F">
        <w:rPr>
          <w:rFonts w:ascii="Times New Roman" w:eastAsia="Times New Roman" w:hAnsi="Times New Roman" w:cs="Times New Roman"/>
          <w:b/>
          <w:bCs/>
          <w:sz w:val="24"/>
          <w:szCs w:val="24"/>
          <w:rtl/>
        </w:rPr>
        <w:t>المادة السابعة عشرة</w:t>
      </w:r>
      <w:r w:rsidRPr="0035293F">
        <w:rPr>
          <w:rFonts w:ascii="Times New Roman" w:eastAsia="Times New Roman" w:hAnsi="Times New Roman" w:cs="Times New Roman"/>
          <w:sz w:val="24"/>
          <w:szCs w:val="24"/>
          <w:rtl/>
        </w:rPr>
        <w:t xml:space="preserve"> حق إيقاف المعالجة في الحالات المحددة. ويشمل ذلك الاعتراض على المعالجة لأغراض التسويق المباشر وبعض الحالات القائمة على المصلحة المشروعة، وفق شروط القانون</w:t>
      </w:r>
      <w:r w:rsidRPr="0035293F">
        <w:rPr>
          <w:rFonts w:ascii="Times New Roman" w:eastAsia="Times New Roman" w:hAnsi="Times New Roman" w:cs="Times New Roman"/>
          <w:sz w:val="24"/>
          <w:szCs w:val="24"/>
        </w:rPr>
        <w:t>.</w:t>
      </w:r>
    </w:p>
    <w:p w14:paraId="76B04945"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سنغافورة، تمنح </w:t>
      </w:r>
      <w:r w:rsidRPr="0035293F">
        <w:rPr>
          <w:rFonts w:ascii="Times New Roman" w:eastAsia="Times New Roman" w:hAnsi="Times New Roman" w:cs="Times New Roman"/>
          <w:b/>
          <w:bCs/>
          <w:sz w:val="24"/>
          <w:szCs w:val="24"/>
          <w:rtl/>
        </w:rPr>
        <w:t>المادة 21</w:t>
      </w:r>
      <w:r w:rsidRPr="0035293F">
        <w:rPr>
          <w:rFonts w:ascii="Times New Roman" w:eastAsia="Times New Roman" w:hAnsi="Times New Roman" w:cs="Times New Roman"/>
          <w:sz w:val="24"/>
          <w:szCs w:val="24"/>
          <w:rtl/>
        </w:rPr>
        <w:t xml:space="preserve"> حق الوصول إلى البيانات والمعلومات المتعلقة باستخدامها والإفصاح عنها، وتقرر </w:t>
      </w:r>
      <w:r w:rsidRPr="0035293F">
        <w:rPr>
          <w:rFonts w:ascii="Times New Roman" w:eastAsia="Times New Roman" w:hAnsi="Times New Roman" w:cs="Times New Roman"/>
          <w:b/>
          <w:bCs/>
          <w:sz w:val="24"/>
          <w:szCs w:val="24"/>
          <w:rtl/>
        </w:rPr>
        <w:t>المادة 22</w:t>
      </w:r>
      <w:r w:rsidRPr="0035293F">
        <w:rPr>
          <w:rFonts w:ascii="Times New Roman" w:eastAsia="Times New Roman" w:hAnsi="Times New Roman" w:cs="Times New Roman"/>
          <w:sz w:val="24"/>
          <w:szCs w:val="24"/>
          <w:rtl/>
        </w:rPr>
        <w:t xml:space="preserve"> حق طلب تصحيح الخطأ أو النقص، بينما تتيح </w:t>
      </w:r>
      <w:r w:rsidRPr="0035293F">
        <w:rPr>
          <w:rFonts w:ascii="Times New Roman" w:eastAsia="Times New Roman" w:hAnsi="Times New Roman" w:cs="Times New Roman"/>
          <w:b/>
          <w:bCs/>
          <w:sz w:val="24"/>
          <w:szCs w:val="24"/>
          <w:rtl/>
        </w:rPr>
        <w:t>المادة 16</w:t>
      </w:r>
      <w:r w:rsidRPr="0035293F">
        <w:rPr>
          <w:rFonts w:ascii="Times New Roman" w:eastAsia="Times New Roman" w:hAnsi="Times New Roman" w:cs="Times New Roman"/>
          <w:sz w:val="24"/>
          <w:szCs w:val="24"/>
          <w:rtl/>
        </w:rPr>
        <w:t xml:space="preserve"> سحب الموافقة مع تحمل الآثار القانونية المترتبة عليه. إلا أن القانون لا يمنح حقًا عامًا في الاعتراض أو المحو بالصياغة الواسعة الموجودة في القانون الإماراتي؛ إذ تعتمد الحماية بدرجة أكبر على تحديد الغرض، وسحب الموافقة، وواجب وقف الاحتفاظ بعد انتهاء الحاجة</w:t>
      </w:r>
      <w:r w:rsidRPr="0035293F">
        <w:rPr>
          <w:rFonts w:ascii="Times New Roman" w:eastAsia="Times New Roman" w:hAnsi="Times New Roman" w:cs="Times New Roman"/>
          <w:sz w:val="24"/>
          <w:szCs w:val="24"/>
        </w:rPr>
        <w:t>.</w:t>
      </w:r>
    </w:p>
    <w:p w14:paraId="5B42308C" w14:textId="59AC67BA" w:rsidR="00A66CB4" w:rsidRDefault="00A66CB4" w:rsidP="009C25CB">
      <w:pPr>
        <w:bidi w:val="0"/>
        <w:spacing w:before="100" w:beforeAutospacing="1" w:after="100" w:afterAutospacing="1" w:line="360" w:lineRule="auto"/>
        <w:rPr>
          <w:rFonts w:ascii="Times New Roman" w:eastAsia="Times New Roman" w:hAnsi="Times New Roman" w:cs="Times New Roman"/>
          <w:sz w:val="24"/>
          <w:szCs w:val="24"/>
          <w:rtl/>
        </w:rPr>
      </w:pPr>
    </w:p>
    <w:p w14:paraId="06F7E8AD" w14:textId="77777777" w:rsidR="00A66CB4" w:rsidRDefault="00A66CB4">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15717122" w14:textId="201859B7" w:rsidR="00A577EB" w:rsidRPr="00205096" w:rsidRDefault="00A577EB" w:rsidP="00A577EB">
      <w:p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205096">
        <w:rPr>
          <w:rFonts w:ascii="Times New Roman" w:eastAsia="Times New Roman" w:hAnsi="Times New Roman" w:cs="Times New Roman" w:hint="cs"/>
          <w:b/>
          <w:bCs/>
          <w:sz w:val="32"/>
          <w:szCs w:val="32"/>
          <w:rtl/>
        </w:rPr>
        <w:t xml:space="preserve">ثانياً: </w:t>
      </w:r>
      <w:r w:rsidRPr="00205096">
        <w:rPr>
          <w:rFonts w:ascii="Times New Roman" w:eastAsia="Times New Roman" w:hAnsi="Times New Roman" w:cs="Times New Roman"/>
          <w:b/>
          <w:bCs/>
          <w:sz w:val="32"/>
          <w:szCs w:val="32"/>
          <w:rtl/>
        </w:rPr>
        <w:t>تطوير المسؤولية القانونية والجنائية في البيئة الرقمية</w:t>
      </w:r>
    </w:p>
    <w:p w14:paraId="3C0DD1EF" w14:textId="77777777"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أدى التحول الرقمي إلى توسيع نطاق المسؤولية القانونية؛ فلم تعد تقتصر على معاقبة من يرتكب الاختراق أو يتلف البيانات، بل امتدت إلى مساءلة الجهات التي تدير المنصات الرقمية ومقدمي الخدمات عند الإخلال بواجبات الحماية أو إساءة معالجة البيانات. وبذلك أصبحت المسؤولية في البيئة الرقمية تجمع بين المسؤولية الوقائية والتنظيمية والمدنية والجنائية</w:t>
      </w:r>
      <w:r w:rsidRPr="00A577EB">
        <w:rPr>
          <w:rFonts w:ascii="Times New Roman" w:eastAsia="Times New Roman" w:hAnsi="Times New Roman" w:cs="Times New Roman"/>
          <w:sz w:val="24"/>
          <w:szCs w:val="24"/>
        </w:rPr>
        <w:t>.</w:t>
      </w:r>
    </w:p>
    <w:p w14:paraId="793B9A95" w14:textId="49788427"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1-</w:t>
      </w:r>
      <w:r w:rsidRPr="00A577EB">
        <w:rPr>
          <w:rFonts w:ascii="Times New Roman" w:eastAsia="Times New Roman" w:hAnsi="Times New Roman" w:cs="Times New Roman"/>
          <w:b/>
          <w:bCs/>
          <w:sz w:val="27"/>
          <w:szCs w:val="27"/>
          <w:rtl/>
        </w:rPr>
        <w:t xml:space="preserve"> المسؤولية عن الاعتداء على الأنظمة والبيانات</w:t>
      </w:r>
    </w:p>
    <w:p w14:paraId="7EA64162" w14:textId="492105C1"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Pr>
          <w:rtl/>
        </w:rPr>
        <w:t>أحاطت</w:t>
      </w:r>
      <w:r w:rsidRPr="00A577EB">
        <w:rPr>
          <w:rFonts w:ascii="Times New Roman" w:eastAsia="Times New Roman" w:hAnsi="Times New Roman" w:cs="Times New Roman"/>
          <w:sz w:val="24"/>
          <w:szCs w:val="24"/>
          <w:rtl/>
        </w:rPr>
        <w:t xml:space="preserve"> التشريعات في المملكة العربية </w:t>
      </w:r>
      <w:r w:rsidR="00E55AD3" w:rsidRPr="00A577EB">
        <w:rPr>
          <w:rFonts w:ascii="Times New Roman" w:eastAsia="Times New Roman" w:hAnsi="Times New Roman" w:cs="Times New Roman" w:hint="cs"/>
          <w:sz w:val="24"/>
          <w:szCs w:val="24"/>
          <w:rtl/>
        </w:rPr>
        <w:t>السعودية</w:t>
      </w:r>
      <w:r w:rsidR="00E55AD3" w:rsidRPr="00E55AD3">
        <w:rPr>
          <w:rFonts w:ascii="Times New Roman" w:eastAsia="Times New Roman" w:hAnsi="Times New Roman" w:cs="Times New Roman" w:hint="cs"/>
          <w:sz w:val="24"/>
          <w:szCs w:val="24"/>
          <w:vertAlign w:val="superscript"/>
          <w:rtl/>
        </w:rPr>
        <w:t xml:space="preserve"> </w:t>
      </w:r>
      <w:r w:rsidR="00E55AD3" w:rsidRPr="00E55AD3">
        <w:rPr>
          <w:rFonts w:ascii="Times New Roman" w:eastAsia="Times New Roman" w:hAnsi="Times New Roman" w:cs="Times New Roman"/>
          <w:sz w:val="24"/>
          <w:szCs w:val="24"/>
          <w:vertAlign w:val="superscript"/>
          <w:rtl/>
        </w:rPr>
        <w:t>(</w:t>
      </w:r>
      <w:r w:rsidR="00E55AD3" w:rsidRPr="00E55AD3">
        <w:rPr>
          <w:rStyle w:val="a8"/>
          <w:rFonts w:ascii="Times New Roman" w:eastAsia="Times New Roman" w:hAnsi="Times New Roman" w:cs="Times New Roman"/>
          <w:vanish/>
          <w:sz w:val="24"/>
          <w:szCs w:val="24"/>
          <w:vertAlign w:val="baseline"/>
          <w:rtl/>
        </w:rPr>
        <w:footnoteReference w:id="44"/>
      </w:r>
      <w:r w:rsidR="00E55AD3" w:rsidRPr="00E55AD3">
        <w:rPr>
          <w:rFonts w:ascii="Times New Roman" w:eastAsia="Times New Roman" w:hAnsi="Times New Roman" w:cs="Times New Roman" w:hint="cs"/>
          <w:sz w:val="24"/>
          <w:szCs w:val="24"/>
          <w:vertAlign w:val="superscript"/>
          <w:rtl/>
        </w:rPr>
        <w:t>1)</w:t>
      </w:r>
      <w:r w:rsidRPr="00A577EB">
        <w:rPr>
          <w:rFonts w:ascii="Times New Roman" w:eastAsia="Times New Roman" w:hAnsi="Times New Roman" w:cs="Times New Roman"/>
          <w:sz w:val="24"/>
          <w:szCs w:val="24"/>
          <w:rtl/>
        </w:rPr>
        <w:t xml:space="preserve"> والإمارات </w:t>
      </w:r>
      <w:r w:rsidR="00E55AD3" w:rsidRPr="00E55AD3">
        <w:rPr>
          <w:rFonts w:ascii="Times New Roman" w:eastAsia="Times New Roman" w:hAnsi="Times New Roman" w:cs="Times New Roman" w:hint="cs"/>
          <w:sz w:val="24"/>
          <w:szCs w:val="24"/>
          <w:vertAlign w:val="superscript"/>
          <w:rtl/>
        </w:rPr>
        <w:t>(2)</w:t>
      </w:r>
      <w:r w:rsidRPr="00A577EB">
        <w:rPr>
          <w:rFonts w:ascii="Times New Roman" w:eastAsia="Times New Roman" w:hAnsi="Times New Roman" w:cs="Times New Roman"/>
          <w:sz w:val="24"/>
          <w:szCs w:val="24"/>
          <w:rtl/>
        </w:rPr>
        <w:t>وسنغافورة الدخول غير المشروع إلى الأنظمة، واعتراض البيانات أو تعديلها أو إتلافها. ويعتمد التنظيم السعودي على نظام مكافحة جرائم المعلوماتية، بينما وسّعت الإمارات نطاق التجريم من خلال المرسوم بقانون اتحادي رقم (34) لسنة 2021، في حين طورت سنغافورة قانون إساءة استخدام الحاسب وأدخلت أدوات وقائية حديثة لمواجهة الأضرار الجنائية عبر الإنترنت. ويكشف ذلك عن انتقال السياسة الجنائية من حماية النظام التقني فقط إلى حماية البيانات والثقة العامة واستمرارية الخدمات الرقمية</w:t>
      </w:r>
      <w:r w:rsidRPr="00A577EB">
        <w:rPr>
          <w:rFonts w:ascii="Times New Roman" w:eastAsia="Times New Roman" w:hAnsi="Times New Roman" w:cs="Times New Roman"/>
          <w:sz w:val="24"/>
          <w:szCs w:val="24"/>
        </w:rPr>
        <w:t>.</w:t>
      </w:r>
    </w:p>
    <w:p w14:paraId="4B274529" w14:textId="3E1992B1"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2-</w:t>
      </w:r>
      <w:r w:rsidRPr="00A577EB">
        <w:rPr>
          <w:rFonts w:ascii="Times New Roman" w:eastAsia="Times New Roman" w:hAnsi="Times New Roman" w:cs="Times New Roman"/>
          <w:b/>
          <w:bCs/>
          <w:sz w:val="27"/>
          <w:szCs w:val="27"/>
          <w:rtl/>
        </w:rPr>
        <w:t xml:space="preserve"> المسؤولية عن الإهمال في الحماية</w:t>
      </w:r>
    </w:p>
    <w:p w14:paraId="3C9519C6" w14:textId="6547B148"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أوجبت قوانين حماية البيانات في الدول الثلاث اتخاذ تدابير تنظيمية وتقنية لحماية البيانات والإبلاغ عن الخروقات. ويت</w:t>
      </w:r>
      <w:r>
        <w:rPr>
          <w:rFonts w:ascii="Times New Roman" w:eastAsia="Times New Roman" w:hAnsi="Times New Roman" w:cs="Times New Roman"/>
          <w:sz w:val="24"/>
          <w:szCs w:val="24"/>
          <w:rtl/>
        </w:rPr>
        <w:t xml:space="preserve">رتب على مخالفة هذه الالتزامات </w:t>
      </w:r>
      <w:r>
        <w:rPr>
          <w:rFonts w:ascii="Times New Roman" w:eastAsia="Times New Roman" w:hAnsi="Times New Roman" w:cs="Times New Roman" w:hint="cs"/>
          <w:sz w:val="24"/>
          <w:szCs w:val="24"/>
          <w:rtl/>
        </w:rPr>
        <w:t>جزاء تنظيمي</w:t>
      </w:r>
      <w:r>
        <w:rPr>
          <w:rFonts w:ascii="Times New Roman" w:eastAsia="Times New Roman" w:hAnsi="Times New Roman" w:cs="Times New Roman"/>
          <w:sz w:val="24"/>
          <w:szCs w:val="24"/>
          <w:rtl/>
        </w:rPr>
        <w:t xml:space="preserve"> أو مالي</w:t>
      </w:r>
      <w:r w:rsidRPr="00A577EB">
        <w:rPr>
          <w:rFonts w:ascii="Times New Roman" w:eastAsia="Times New Roman" w:hAnsi="Times New Roman" w:cs="Times New Roman"/>
          <w:sz w:val="24"/>
          <w:szCs w:val="24"/>
          <w:rtl/>
        </w:rPr>
        <w:t>، مع إمكان التعويض المدني، وقد تقوم المسؤولية الجنائية في الحالات التي نص عليها القانون. ويتميز النموذج السنغافوري بقوة الإنفاذ الإداري ونشر قرارات المخالفات، بينما يجمع التنظيم الإماراتي بين المسؤولية التنظيمية والمدنية والجنائية، ويقيم النظام السعودي مسؤولية جهة التحكم عن الإخلال بواجبات حماية البيانات</w:t>
      </w:r>
      <w:r w:rsidRPr="00A577EB">
        <w:rPr>
          <w:rFonts w:ascii="Times New Roman" w:eastAsia="Times New Roman" w:hAnsi="Times New Roman" w:cs="Times New Roman"/>
          <w:sz w:val="24"/>
          <w:szCs w:val="24"/>
        </w:rPr>
        <w:t>.</w:t>
      </w:r>
    </w:p>
    <w:p w14:paraId="3F0A9FA4" w14:textId="48F83972"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3-</w:t>
      </w:r>
      <w:r w:rsidRPr="00A577EB">
        <w:rPr>
          <w:rFonts w:ascii="Times New Roman" w:eastAsia="Times New Roman" w:hAnsi="Times New Roman" w:cs="Times New Roman"/>
          <w:b/>
          <w:bCs/>
          <w:sz w:val="27"/>
          <w:szCs w:val="27"/>
          <w:rtl/>
        </w:rPr>
        <w:t xml:space="preserve"> مسؤولية المؤسسات ومقدمي الخدمات الرقمية</w:t>
      </w:r>
    </w:p>
    <w:p w14:paraId="159B20D6" w14:textId="77777777"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أدى تعدد المتدخلين في تشغيل المنظومات الرقمية إلى صعوبة تحديد المسؤولية بين الجهة المالكة للنظام، ومقدم الخدمة السحابية، والمعالج، ومقدم خدمة الثقة. ويتميز التنظيم الإماراتي بتفصيل التزامات مقدمي خدمات الثقة وترخيصهم، كما يعتمد النظام السنغافوري على الاعتماد والتدقيق والرقابة الفنية على جهات التصديق. أما التنظيم السعودي، فعلى الرغم من تنظيمه لمقدمي خدمات التصديق، فإنه يحتاج إلى مزيد من التفصيل بشأن توزيع المسؤولية بين مختلف مقدمي الخدمات الرقمية الحديثة</w:t>
      </w:r>
      <w:r w:rsidRPr="00A577EB">
        <w:rPr>
          <w:rFonts w:ascii="Times New Roman" w:eastAsia="Times New Roman" w:hAnsi="Times New Roman" w:cs="Times New Roman"/>
          <w:sz w:val="24"/>
          <w:szCs w:val="24"/>
        </w:rPr>
        <w:t>.</w:t>
      </w:r>
    </w:p>
    <w:p w14:paraId="7B476570" w14:textId="4A7B45FF"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4-</w:t>
      </w:r>
      <w:r w:rsidRPr="00A577EB">
        <w:rPr>
          <w:rFonts w:ascii="Times New Roman" w:eastAsia="Times New Roman" w:hAnsi="Times New Roman" w:cs="Times New Roman"/>
          <w:b/>
          <w:bCs/>
          <w:sz w:val="27"/>
          <w:szCs w:val="27"/>
          <w:rtl/>
        </w:rPr>
        <w:t xml:space="preserve"> المسؤولية عن أنظمة الذكاء الاصطناعي</w:t>
      </w:r>
    </w:p>
    <w:p w14:paraId="7D0B86A0" w14:textId="77777777"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لا تمنح تشريعات الدول الثلاث أنظمة الذكاء الاصطناعي شخصية قانونية مستقلة؛ لذلك تظل المسؤولية موزعة بين المطور والمشغل والمستخدم والجهة التي تعتمد على مخرجات النظام. وفي المجال القضائي، يجب أن تظل المسؤولية النهائية عن القرار بيد القاضي أو الجهة المختصة، مع ضمان الإشراف البشري وإمكان مراجعة الأخطاء الناتجة عن الأنظمة الآلية</w:t>
      </w:r>
      <w:r w:rsidRPr="00A577EB">
        <w:rPr>
          <w:rFonts w:ascii="Times New Roman" w:eastAsia="Times New Roman" w:hAnsi="Times New Roman" w:cs="Times New Roman"/>
          <w:sz w:val="24"/>
          <w:szCs w:val="24"/>
        </w:rPr>
        <w:t>.</w:t>
      </w:r>
    </w:p>
    <w:p w14:paraId="3D829C8E" w14:textId="77777777" w:rsidR="00A66CB4" w:rsidRDefault="00A66CB4" w:rsidP="00A577EB">
      <w:pPr>
        <w:spacing w:before="100" w:beforeAutospacing="1" w:after="100" w:afterAutospacing="1" w:line="360" w:lineRule="auto"/>
        <w:rPr>
          <w:rFonts w:ascii="Times New Roman" w:eastAsia="Times New Roman" w:hAnsi="Times New Roman" w:cs="Times New Roman"/>
          <w:sz w:val="24"/>
          <w:szCs w:val="24"/>
        </w:rPr>
      </w:pPr>
    </w:p>
    <w:p w14:paraId="2CC6FBA9" w14:textId="77777777" w:rsidR="00687D4D" w:rsidRDefault="00A66CB4" w:rsidP="002D0106">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F59B59B" w14:textId="06740B69" w:rsidR="00687D4D" w:rsidRPr="00687D4D" w:rsidRDefault="00687D4D" w:rsidP="002D0106">
      <w:pPr>
        <w:jc w:val="left"/>
        <w:rPr>
          <w:rFonts w:ascii="Times New Roman" w:eastAsia="Times New Roman" w:hAnsi="Times New Roman" w:cs="Times New Roman"/>
          <w:b/>
          <w:bCs/>
          <w:sz w:val="32"/>
          <w:szCs w:val="32"/>
          <w:rtl/>
        </w:rPr>
      </w:pPr>
      <w:r w:rsidRPr="00687D4D">
        <w:rPr>
          <w:b/>
          <w:bCs/>
          <w:sz w:val="32"/>
          <w:szCs w:val="32"/>
          <w:rtl/>
        </w:rPr>
        <w:t>المطلب الثالث: الآثار القضائية المترتبة على تنظيم التحول الرقمي</w:t>
      </w:r>
    </w:p>
    <w:p w14:paraId="61BD24C3" w14:textId="03D8EAA8" w:rsidR="00687D4D" w:rsidRPr="00687D4D" w:rsidRDefault="00687D4D" w:rsidP="00687D4D">
      <w:pPr>
        <w:spacing w:line="360" w:lineRule="auto"/>
        <w:jc w:val="left"/>
        <w:rPr>
          <w:rFonts w:ascii="Times New Roman" w:eastAsia="Times New Roman" w:hAnsi="Times New Roman" w:cs="Times New Roman"/>
          <w:sz w:val="24"/>
          <w:szCs w:val="24"/>
          <w:rtl/>
        </w:rPr>
      </w:pPr>
      <w:r w:rsidRPr="00687D4D">
        <w:rPr>
          <w:rFonts w:hint="cs"/>
          <w:sz w:val="24"/>
          <w:szCs w:val="24"/>
          <w:rtl/>
        </w:rPr>
        <w:t>ل</w:t>
      </w:r>
      <w:r w:rsidRPr="00687D4D">
        <w:rPr>
          <w:sz w:val="24"/>
          <w:szCs w:val="24"/>
          <w:rtl/>
        </w:rPr>
        <w:t xml:space="preserve">م يعد أثر التحول الرقمي في القضاء مقتصرًا على استبدال الإجراءات الورقية بإجراءات إلكترونية، بل امتد إلى إعادة تشكيل الوظيفة القضائية ذاتها من خلال إدخال تطبيقات الذكاء الاصطناعي، </w:t>
      </w:r>
      <w:r w:rsidRPr="00687D4D">
        <w:rPr>
          <w:rFonts w:hint="cs"/>
          <w:sz w:val="24"/>
          <w:szCs w:val="24"/>
          <w:rtl/>
        </w:rPr>
        <w:t>و</w:t>
      </w:r>
      <w:r>
        <w:rPr>
          <w:rFonts w:hint="cs"/>
          <w:sz w:val="24"/>
          <w:szCs w:val="24"/>
          <w:rtl/>
        </w:rPr>
        <w:t xml:space="preserve">إكمال </w:t>
      </w:r>
      <w:r w:rsidRPr="00687D4D">
        <w:rPr>
          <w:sz w:val="24"/>
          <w:szCs w:val="24"/>
          <w:rtl/>
        </w:rPr>
        <w:t>بعض الإجراءات، وتحليل البيانات القضائية، وتطوير وسائل دعم القرار القضائي. وقد أوجد هذا التطور آثارًا قانونية جديدة تتعلق بحدود استخدام الذكاء الاصطناعي في القضاء، ومدى مشروعية الاعتماد على الخوارزميات، والمسؤولية الناشئة عن أخطائها، والضمانات اللازمة للحفاظ على استقلال القضاء والمحاكمة العادلة</w:t>
      </w:r>
      <w:r w:rsidRPr="00687D4D">
        <w:rPr>
          <w:sz w:val="24"/>
          <w:szCs w:val="24"/>
        </w:rPr>
        <w:t>.</w:t>
      </w:r>
    </w:p>
    <w:p w14:paraId="6DF54433" w14:textId="77777777" w:rsidR="0020562A" w:rsidRP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562A">
        <w:rPr>
          <w:rFonts w:ascii="Times New Roman" w:eastAsia="Times New Roman" w:hAnsi="Times New Roman" w:cs="Times New Roman"/>
          <w:b/>
          <w:bCs/>
          <w:sz w:val="28"/>
          <w:szCs w:val="28"/>
          <w:rtl/>
        </w:rPr>
        <w:t>أولًا: استخدام الذكاء الاصطناعي في دعم العمل القضائي</w:t>
      </w:r>
    </w:p>
    <w:p w14:paraId="75464B51" w14:textId="0CB1D0FA" w:rsidR="0020562A" w:rsidRPr="0020562A" w:rsidRDefault="0020562A" w:rsidP="0020562A">
      <w:pPr>
        <w:spacing w:before="100" w:beforeAutospacing="1" w:after="100" w:afterAutospacing="1" w:line="360" w:lineRule="auto"/>
        <w:jc w:val="left"/>
        <w:rPr>
          <w:rFonts w:ascii="Times New Roman" w:eastAsia="Times New Roman" w:hAnsi="Times New Roman" w:cs="Times New Roman"/>
          <w:sz w:val="24"/>
          <w:szCs w:val="24"/>
        </w:rPr>
      </w:pPr>
      <w:r w:rsidRPr="0020562A">
        <w:rPr>
          <w:rFonts w:ascii="Times New Roman" w:eastAsia="Times New Roman" w:hAnsi="Times New Roman" w:cs="Times New Roman"/>
          <w:sz w:val="24"/>
          <w:szCs w:val="24"/>
          <w:rtl/>
        </w:rPr>
        <w:t xml:space="preserve">اتجهت المملكة العربية السعودية والإمارات العربية المتحدة وسنغافورة إلى توظيف تطبيقات الذكاء الاصطناعي في إدارة العمل القضائي، إلا أن نطاق الاستخدام يختلف من دولة إلى أخرى. ففي المملكة يتركز الاستخدام في إدارة الدعاوى، وتصنيف الطلبات، وتحليل البيانات، وتقديم الخدمات العدلية الرقمية عبر منصة </w:t>
      </w:r>
      <w:r w:rsidR="008F4BE3" w:rsidRPr="0020562A">
        <w:rPr>
          <w:rFonts w:ascii="Times New Roman" w:eastAsia="Times New Roman" w:hAnsi="Times New Roman" w:cs="Times New Roman" w:hint="cs"/>
          <w:sz w:val="24"/>
          <w:szCs w:val="24"/>
          <w:rtl/>
        </w:rPr>
        <w:t>ناجز</w:t>
      </w:r>
      <w:r w:rsidR="008F4BE3" w:rsidRPr="008F4BE3">
        <w:rPr>
          <w:rFonts w:ascii="Times New Roman" w:eastAsia="Times New Roman" w:hAnsi="Times New Roman" w:cs="Times New Roman" w:hint="cs"/>
          <w:sz w:val="24"/>
          <w:szCs w:val="24"/>
          <w:vertAlign w:val="superscript"/>
          <w:rtl/>
        </w:rPr>
        <w:t xml:space="preserve"> </w:t>
      </w:r>
      <w:r w:rsidR="008F4BE3" w:rsidRPr="008F4BE3">
        <w:rPr>
          <w:rFonts w:ascii="Times New Roman" w:eastAsia="Times New Roman" w:hAnsi="Times New Roman" w:cs="Times New Roman"/>
          <w:sz w:val="24"/>
          <w:szCs w:val="24"/>
          <w:vertAlign w:val="superscript"/>
          <w:rtl/>
        </w:rPr>
        <w:t>(</w:t>
      </w:r>
      <w:r w:rsidR="008F4BE3" w:rsidRPr="008F4BE3">
        <w:rPr>
          <w:rStyle w:val="a8"/>
          <w:rFonts w:ascii="Times New Roman" w:eastAsia="Times New Roman" w:hAnsi="Times New Roman" w:cs="Times New Roman"/>
          <w:vanish/>
          <w:sz w:val="24"/>
          <w:szCs w:val="24"/>
          <w:vertAlign w:val="baseline"/>
          <w:rtl/>
        </w:rPr>
        <w:footnoteReference w:id="45"/>
      </w:r>
      <w:r w:rsidR="008F4BE3" w:rsidRPr="008F4BE3">
        <w:rPr>
          <w:rFonts w:ascii="Times New Roman" w:eastAsia="Times New Roman" w:hAnsi="Times New Roman" w:cs="Times New Roman" w:hint="cs"/>
          <w:sz w:val="24"/>
          <w:szCs w:val="24"/>
          <w:vertAlign w:val="superscript"/>
          <w:rtl/>
        </w:rPr>
        <w:t>1)</w:t>
      </w:r>
      <w:r w:rsidRPr="0020562A">
        <w:rPr>
          <w:rFonts w:ascii="Times New Roman" w:eastAsia="Times New Roman" w:hAnsi="Times New Roman" w:cs="Times New Roman"/>
          <w:sz w:val="24"/>
          <w:szCs w:val="24"/>
          <w:rtl/>
        </w:rPr>
        <w:t xml:space="preserve">، دون أن يمتد إلى إحلال الذكاء الاصطناعي محل القاضي في إصدار الأحكام. وفي الإمارات </w:t>
      </w:r>
      <w:r w:rsidR="008F4BE3" w:rsidRPr="008F4BE3">
        <w:rPr>
          <w:rFonts w:ascii="Times New Roman" w:eastAsia="Times New Roman" w:hAnsi="Times New Roman" w:cs="Times New Roman" w:hint="cs"/>
          <w:sz w:val="24"/>
          <w:szCs w:val="24"/>
          <w:vertAlign w:val="superscript"/>
          <w:rtl/>
        </w:rPr>
        <w:t>(2)</w:t>
      </w:r>
      <w:r w:rsidR="008F4BE3" w:rsidRPr="0020562A">
        <w:rPr>
          <w:rFonts w:ascii="Times New Roman" w:eastAsia="Times New Roman" w:hAnsi="Times New Roman" w:cs="Times New Roman" w:hint="cs"/>
          <w:sz w:val="24"/>
          <w:szCs w:val="24"/>
          <w:rtl/>
        </w:rPr>
        <w:t xml:space="preserve"> استُخدم</w:t>
      </w:r>
      <w:r w:rsidR="008F4BE3" w:rsidRPr="0020562A">
        <w:rPr>
          <w:rFonts w:ascii="Times New Roman" w:eastAsia="Times New Roman" w:hAnsi="Times New Roman" w:cs="Times New Roman" w:hint="eastAsia"/>
          <w:sz w:val="24"/>
          <w:szCs w:val="24"/>
          <w:rtl/>
        </w:rPr>
        <w:t>ت</w:t>
      </w:r>
      <w:r w:rsidRPr="0020562A">
        <w:rPr>
          <w:rFonts w:ascii="Times New Roman" w:eastAsia="Times New Roman" w:hAnsi="Times New Roman" w:cs="Times New Roman"/>
          <w:sz w:val="24"/>
          <w:szCs w:val="24"/>
          <w:rtl/>
        </w:rPr>
        <w:t xml:space="preserve"> تقنيات الذكاء الاصطناعي في الخدمات القضائية الذكية وتحليل البيانات وتحسين كفاءة المحاكم، بينما طورت سنغافورة </w:t>
      </w:r>
      <w:r w:rsidR="00E13C3F" w:rsidRPr="00E13C3F">
        <w:rPr>
          <w:rFonts w:ascii="Times New Roman" w:eastAsia="Times New Roman" w:hAnsi="Times New Roman" w:cs="Times New Roman" w:hint="cs"/>
          <w:sz w:val="24"/>
          <w:szCs w:val="24"/>
          <w:vertAlign w:val="superscript"/>
          <w:rtl/>
        </w:rPr>
        <w:t>(3)</w:t>
      </w:r>
      <w:r w:rsidR="00E13C3F" w:rsidRPr="0020562A">
        <w:rPr>
          <w:rFonts w:ascii="Times New Roman" w:eastAsia="Times New Roman" w:hAnsi="Times New Roman" w:cs="Times New Roman" w:hint="cs"/>
          <w:sz w:val="24"/>
          <w:szCs w:val="24"/>
          <w:rtl/>
        </w:rPr>
        <w:t xml:space="preserve"> تطبيقا</w:t>
      </w:r>
      <w:r w:rsidR="00E13C3F" w:rsidRPr="0020562A">
        <w:rPr>
          <w:rFonts w:ascii="Times New Roman" w:eastAsia="Times New Roman" w:hAnsi="Times New Roman" w:cs="Times New Roman" w:hint="eastAsia"/>
          <w:sz w:val="24"/>
          <w:szCs w:val="24"/>
          <w:rtl/>
        </w:rPr>
        <w:t>ت</w:t>
      </w:r>
      <w:r w:rsidRPr="0020562A">
        <w:rPr>
          <w:rFonts w:ascii="Times New Roman" w:eastAsia="Times New Roman" w:hAnsi="Times New Roman" w:cs="Times New Roman"/>
          <w:sz w:val="24"/>
          <w:szCs w:val="24"/>
          <w:rtl/>
        </w:rPr>
        <w:t xml:space="preserve"> أكثر تقدمًا تعتمد على تحليل السوابق القضائية، ودعم القاضي في البحث القانوني، والتنبؤ بالمدد الإجرائية، مع بقاء سلطة الفصل في النزاع للقاضي البشري</w:t>
      </w:r>
      <w:r w:rsidRPr="0020562A">
        <w:rPr>
          <w:rFonts w:ascii="Times New Roman" w:eastAsia="Times New Roman" w:hAnsi="Times New Roman" w:cs="Times New Roman"/>
          <w:sz w:val="24"/>
          <w:szCs w:val="24"/>
        </w:rPr>
        <w:t>.</w:t>
      </w:r>
    </w:p>
    <w:p w14:paraId="24C4524C" w14:textId="38D4E2F3" w:rsidR="0020562A" w:rsidRPr="0020562A" w:rsidRDefault="00E13C3F" w:rsidP="00E13C3F">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 xml:space="preserve">ثانيًا: حدود </w:t>
      </w:r>
      <w:r>
        <w:rPr>
          <w:rFonts w:ascii="Times New Roman" w:eastAsia="Times New Roman" w:hAnsi="Times New Roman" w:cs="Times New Roman" w:hint="cs"/>
          <w:b/>
          <w:bCs/>
          <w:sz w:val="28"/>
          <w:szCs w:val="28"/>
          <w:rtl/>
        </w:rPr>
        <w:t>رقمنه الإجراءات</w:t>
      </w:r>
      <w:r w:rsidR="0020562A" w:rsidRPr="0020562A">
        <w:rPr>
          <w:rFonts w:ascii="Times New Roman" w:eastAsia="Times New Roman" w:hAnsi="Times New Roman" w:cs="Times New Roman"/>
          <w:b/>
          <w:bCs/>
          <w:sz w:val="28"/>
          <w:szCs w:val="28"/>
          <w:rtl/>
        </w:rPr>
        <w:t xml:space="preserve"> القضائية وخوارزميات التنبؤ بالأحكام</w:t>
      </w:r>
    </w:p>
    <w:p w14:paraId="1A95E86E" w14:textId="77777777" w:rsidR="0020562A" w:rsidRPr="0020562A" w:rsidRDefault="0020562A" w:rsidP="0020562A">
      <w:pPr>
        <w:spacing w:before="100" w:beforeAutospacing="1" w:after="100" w:afterAutospacing="1" w:line="360" w:lineRule="auto"/>
        <w:jc w:val="left"/>
        <w:rPr>
          <w:rFonts w:ascii="Times New Roman" w:eastAsia="Times New Roman" w:hAnsi="Times New Roman" w:cs="Times New Roman"/>
          <w:sz w:val="24"/>
          <w:szCs w:val="24"/>
        </w:rPr>
      </w:pPr>
      <w:r w:rsidRPr="0020562A">
        <w:rPr>
          <w:rFonts w:ascii="Times New Roman" w:eastAsia="Times New Roman" w:hAnsi="Times New Roman" w:cs="Times New Roman"/>
          <w:sz w:val="24"/>
          <w:szCs w:val="24"/>
          <w:rtl/>
        </w:rPr>
        <w:t>أدى تنظيم التحول الرقمي إلى إتاحة استخدام الخوارزميات في تصنيف القضايا، وتوزيعها، وإدارة الجلسات، وتحليل السوابق القضائية، بل وفي بعض الدول لتقدير احتمالات نتائج النزاع. إلا أن المقارنة تبين أن الدول الثلاث لم تمنح هذه الخوارزميات سلطة إصدار الأحكام أو الحلول محل القاضي، وإنما اعتبرتها أدوات مساعدة في اتخاذ القرار. ويعد هذا الاتجاه أكثر اتساقًا مع مبادئ استقلال القضاء وضمان حق التقاضي، إذ يبقى القاضي مسؤولًا عن تقدير الوقائع وتطبيق القانون وتسبيب الحكم، ولا يجوز أن يستند الحكم إلى نتيجة آلية غير قابلة للمراجعة أو التفسير</w:t>
      </w:r>
      <w:r w:rsidRPr="0020562A">
        <w:rPr>
          <w:rFonts w:ascii="Times New Roman" w:eastAsia="Times New Roman" w:hAnsi="Times New Roman" w:cs="Times New Roman"/>
          <w:sz w:val="24"/>
          <w:szCs w:val="24"/>
        </w:rPr>
        <w:t>.</w:t>
      </w:r>
    </w:p>
    <w:p w14:paraId="04028DFE" w14:textId="77777777" w:rsidR="0020562A" w:rsidRP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562A">
        <w:rPr>
          <w:rFonts w:ascii="Times New Roman" w:eastAsia="Times New Roman" w:hAnsi="Times New Roman" w:cs="Times New Roman"/>
          <w:b/>
          <w:bCs/>
          <w:sz w:val="28"/>
          <w:szCs w:val="28"/>
          <w:rtl/>
        </w:rPr>
        <w:t>ثالثًا: المسؤولية القانونية عن أخطاء أنظمة الذكاء الاصطناعي</w:t>
      </w:r>
    </w:p>
    <w:p w14:paraId="710E0E6E" w14:textId="77777777" w:rsidR="0020562A" w:rsidRPr="0020562A" w:rsidRDefault="0020562A" w:rsidP="0020562A">
      <w:pPr>
        <w:spacing w:before="100" w:beforeAutospacing="1" w:after="100" w:afterAutospacing="1" w:line="360" w:lineRule="auto"/>
        <w:jc w:val="left"/>
        <w:rPr>
          <w:rFonts w:ascii="Times New Roman" w:eastAsia="Times New Roman" w:hAnsi="Times New Roman" w:cs="Times New Roman"/>
          <w:sz w:val="24"/>
          <w:szCs w:val="24"/>
        </w:rPr>
      </w:pPr>
      <w:r w:rsidRPr="0020562A">
        <w:rPr>
          <w:rFonts w:ascii="Times New Roman" w:eastAsia="Times New Roman" w:hAnsi="Times New Roman" w:cs="Times New Roman"/>
          <w:sz w:val="24"/>
          <w:szCs w:val="24"/>
          <w:rtl/>
        </w:rPr>
        <w:t>يثير استخدام الذكاء الاصطناعي في القضاء تساؤلات بشأن المسؤولية عند وقوع ضرر بسبب خطأ في النظام أو في البيانات التي اعتمد عليها. وتكشف الدراسة المقارنة أن التشريعات في المملكة والإمارات وسنغافورة لا تعترف للذكاء الاصطناعي بشخصية قانونية مستقلة، ومن ثم لا يمكن مساءلته بذاته، وإنما تنتقل المسؤولية إلى الأشخاص أو الجهات التي قامت بتطوير النظام أو تشغيله أو اعتمدت على مخرجاته. ويختلف نطاق هذه المسؤولية بحسب طبيعة الخطأ، فقد تكون مسؤولية مدنية إذا ترتب ضرر للمتقاضين، أو مسؤولية تنظيمية عند مخالفة متطلبات الحوكمة أو حماية البيانات، أو مسؤولية جنائية إذا انطوى السلوك على جريمة معلوماتية أو تزوير أو استخدام غير مشروع للبيانات</w:t>
      </w:r>
      <w:r w:rsidRPr="0020562A">
        <w:rPr>
          <w:rFonts w:ascii="Times New Roman" w:eastAsia="Times New Roman" w:hAnsi="Times New Roman" w:cs="Times New Roman"/>
          <w:sz w:val="24"/>
          <w:szCs w:val="24"/>
        </w:rPr>
        <w:t>.</w:t>
      </w:r>
    </w:p>
    <w:p w14:paraId="434C84E7" w14:textId="21352C49" w:rsidR="0020562A" w:rsidRP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562A">
        <w:rPr>
          <w:rFonts w:ascii="Times New Roman" w:eastAsia="Times New Roman" w:hAnsi="Times New Roman" w:cs="Times New Roman"/>
          <w:b/>
          <w:bCs/>
          <w:sz w:val="28"/>
          <w:szCs w:val="28"/>
          <w:rtl/>
        </w:rPr>
        <w:t>رابعًا: الضمانات القضائية</w:t>
      </w:r>
      <w:r w:rsidR="009D2F8D" w:rsidRPr="009D2F8D">
        <w:rPr>
          <w:rFonts w:ascii="Times New Roman" w:eastAsia="Times New Roman" w:hAnsi="Times New Roman" w:cs="Times New Roman" w:hint="cs"/>
          <w:b/>
          <w:bCs/>
          <w:sz w:val="28"/>
          <w:szCs w:val="28"/>
          <w:vertAlign w:val="superscript"/>
          <w:rtl/>
        </w:rPr>
        <w:t>(1)</w:t>
      </w:r>
      <w:r w:rsidR="009D2F8D" w:rsidRPr="009D2F8D">
        <w:rPr>
          <w:rStyle w:val="a8"/>
          <w:rFonts w:ascii="Times New Roman" w:eastAsia="Times New Roman" w:hAnsi="Times New Roman" w:cs="Times New Roman"/>
          <w:b/>
          <w:bCs/>
          <w:vanish/>
          <w:sz w:val="28"/>
          <w:szCs w:val="28"/>
          <w:vertAlign w:val="baseline"/>
          <w:rtl/>
        </w:rPr>
        <w:footnoteReference w:id="46"/>
      </w:r>
      <w:r w:rsidRPr="0020562A">
        <w:rPr>
          <w:rFonts w:ascii="Times New Roman" w:eastAsia="Times New Roman" w:hAnsi="Times New Roman" w:cs="Times New Roman"/>
          <w:b/>
          <w:bCs/>
          <w:sz w:val="28"/>
          <w:szCs w:val="28"/>
          <w:rtl/>
        </w:rPr>
        <w:t xml:space="preserve"> في مواجهة استخدام الذكاء الاصطناعي</w:t>
      </w:r>
    </w:p>
    <w:p w14:paraId="69935DF8" w14:textId="77777777" w:rsidR="0020562A" w:rsidRPr="0020562A" w:rsidRDefault="0020562A" w:rsidP="0020562A">
      <w:pPr>
        <w:spacing w:before="100" w:beforeAutospacing="1" w:after="100" w:afterAutospacing="1" w:line="360" w:lineRule="auto"/>
        <w:jc w:val="left"/>
        <w:rPr>
          <w:rFonts w:ascii="Times New Roman" w:eastAsia="Times New Roman" w:hAnsi="Times New Roman" w:cs="Times New Roman"/>
          <w:sz w:val="24"/>
          <w:szCs w:val="24"/>
        </w:rPr>
      </w:pPr>
      <w:r w:rsidRPr="0020562A">
        <w:rPr>
          <w:rFonts w:ascii="Times New Roman" w:eastAsia="Times New Roman" w:hAnsi="Times New Roman" w:cs="Times New Roman"/>
          <w:sz w:val="24"/>
          <w:szCs w:val="24"/>
          <w:rtl/>
        </w:rPr>
        <w:t>اتفقت التجارب المقارنة على أن نجاح التحول الرقمي لا يتحقق بمجرد استخدام التقنيات الحديثة، وإنما يتطلب ضمانات قانونية تحافظ على استقلال القضاء وحقوق المتقاضين. ومن أهم هذه الضمانات ضرورة بقاء القرار القضائي النهائي بيد القاضي، وإمكانية مراجعة مخرجات الأنظمة الذكية، وشفافية الخوارزميات المستخدمة، وإمكانية تفسير النتائج، وعدم التمييز بين المتقاضين، وحماية البيانات القضائية من إساءة الاستخدام. وتبرز التجربة السنغافورية في تبني مبادئ الحوكمة الرقمية والرقابة المؤسسية على استخدام الذكاء الاصطناعي، بينما اتجهت المملكة والإمارات إلى التوسع في الخدمات القضائية الرقمية مع التأكيد على أن التقنية تمثل وسيلة لدعم العدالة، لا بديلًا عن السلطة القضائية</w:t>
      </w:r>
      <w:r w:rsidRPr="0020562A">
        <w:rPr>
          <w:rFonts w:ascii="Times New Roman" w:eastAsia="Times New Roman" w:hAnsi="Times New Roman" w:cs="Times New Roman"/>
          <w:sz w:val="24"/>
          <w:szCs w:val="24"/>
        </w:rPr>
        <w:t>.</w:t>
      </w:r>
    </w:p>
    <w:p w14:paraId="14005F62" w14:textId="727F2F4B" w:rsidR="00A66CB4" w:rsidRPr="0020562A" w:rsidRDefault="0020562A" w:rsidP="0020562A">
      <w:pPr>
        <w:spacing w:line="360" w:lineRule="auto"/>
        <w:jc w:val="left"/>
        <w:rPr>
          <w:rFonts w:ascii="Times New Roman" w:eastAsia="Times New Roman" w:hAnsi="Times New Roman" w:cs="Times New Roman"/>
          <w:sz w:val="24"/>
          <w:szCs w:val="24"/>
        </w:rPr>
      </w:pPr>
      <w:r w:rsidRPr="0020562A">
        <w:rPr>
          <w:rFonts w:hint="cs"/>
          <w:sz w:val="24"/>
          <w:szCs w:val="24"/>
          <w:rtl/>
        </w:rPr>
        <w:t>يتضح أ</w:t>
      </w:r>
      <w:r w:rsidRPr="0020562A">
        <w:rPr>
          <w:sz w:val="24"/>
          <w:szCs w:val="24"/>
          <w:rtl/>
        </w:rPr>
        <w:t>ن الدول الثلاث تتفق على رفض فكرة «القاضي الآلي» الذي يصدر الأحكام بصورة مستقلة، مع السماح باستخدام الذكاء الاصطناعي بوصفه أداة مساعدة في إدارة الدعوى وتحليل البيانات والبحث القانوني. ويظهر الاختلاف في مدى التوسع في التطبيقات القضائية؛ إذ تركز المملكة على رقمنة الإجراءات والخدمات العدلية، والإمارات على المحاكم الذكية وتكامل الخدمات الرقمية، بينما تتقدم سنغافورة في توظيف التحليلات الذكية والخوارزميات الداعمة للعمل القضائي ضمن إطار حوكمة ورقابة مؤسسية. وترى الباحثة أن الاستفادة من الذكاء الاصطناعي في القضاء يجب أن تظل مقيدة بضمانات المحاكمة العادلة، وألا تؤدي إلى إضعاف استقلال القاضي أو المساس بحقوق المتقاضين، مع ضرورة تطوير قواعد قانونية خاصة تحدد المسؤولية عن الأنظمة الذكية المستخدمة في مرفق القضاء</w:t>
      </w:r>
      <w:r>
        <w:t>.</w:t>
      </w:r>
    </w:p>
    <w:p w14:paraId="0165E68A" w14:textId="77777777" w:rsidR="0020562A" w:rsidRDefault="0020562A" w:rsidP="0020562A">
      <w:pPr>
        <w:spacing w:line="360" w:lineRule="auto"/>
        <w:jc w:val="left"/>
        <w:rPr>
          <w:b/>
          <w:bCs/>
          <w:sz w:val="24"/>
          <w:szCs w:val="24"/>
          <w:rtl/>
        </w:rPr>
      </w:pPr>
    </w:p>
    <w:p w14:paraId="1824A0B1" w14:textId="77777777" w:rsidR="0020562A" w:rsidRDefault="0020562A" w:rsidP="0020562A">
      <w:pPr>
        <w:spacing w:line="360" w:lineRule="auto"/>
        <w:jc w:val="left"/>
        <w:rPr>
          <w:b/>
          <w:bCs/>
          <w:sz w:val="24"/>
          <w:szCs w:val="24"/>
          <w:rtl/>
        </w:rPr>
      </w:pPr>
    </w:p>
    <w:p w14:paraId="1207DF33" w14:textId="77777777" w:rsidR="0020562A" w:rsidRDefault="0020562A" w:rsidP="0020562A">
      <w:pPr>
        <w:spacing w:line="360" w:lineRule="auto"/>
        <w:jc w:val="left"/>
        <w:rPr>
          <w:b/>
          <w:bCs/>
          <w:sz w:val="24"/>
          <w:szCs w:val="24"/>
          <w:rtl/>
        </w:rPr>
      </w:pPr>
    </w:p>
    <w:p w14:paraId="63A6C488" w14:textId="77777777" w:rsidR="0020562A" w:rsidRDefault="0020562A" w:rsidP="0020562A">
      <w:pPr>
        <w:spacing w:line="360" w:lineRule="auto"/>
        <w:jc w:val="left"/>
        <w:rPr>
          <w:b/>
          <w:bCs/>
          <w:sz w:val="24"/>
          <w:szCs w:val="24"/>
          <w:rtl/>
        </w:rPr>
      </w:pPr>
    </w:p>
    <w:p w14:paraId="4265054C" w14:textId="7B7B712F" w:rsidR="0020562A" w:rsidRDefault="0020562A" w:rsidP="0020562A">
      <w:pPr>
        <w:spacing w:line="360" w:lineRule="auto"/>
        <w:jc w:val="left"/>
        <w:rPr>
          <w:b/>
          <w:bCs/>
          <w:sz w:val="24"/>
          <w:szCs w:val="24"/>
          <w:rtl/>
        </w:rPr>
      </w:pPr>
    </w:p>
    <w:p w14:paraId="49B2197A" w14:textId="77777777" w:rsidR="009D2F8D" w:rsidRDefault="009D2F8D" w:rsidP="0020562A">
      <w:pPr>
        <w:spacing w:line="360" w:lineRule="auto"/>
        <w:jc w:val="left"/>
        <w:rPr>
          <w:b/>
          <w:bCs/>
          <w:sz w:val="24"/>
          <w:szCs w:val="24"/>
          <w:rtl/>
        </w:rPr>
      </w:pPr>
    </w:p>
    <w:p w14:paraId="5289F195" w14:textId="6EFDDBB1" w:rsidR="00D3434E" w:rsidRDefault="00D3434E" w:rsidP="009B6E91">
      <w:pPr>
        <w:bidi w:val="0"/>
        <w:spacing w:before="100" w:beforeAutospacing="1" w:after="100" w:afterAutospacing="1" w:line="240" w:lineRule="auto"/>
        <w:jc w:val="both"/>
        <w:outlineLvl w:val="0"/>
        <w:rPr>
          <w:rFonts w:ascii="Times New Roman" w:eastAsia="Times New Roman" w:hAnsi="Times New Roman" w:cs="Times New Roman"/>
          <w:b/>
          <w:bCs/>
          <w:kern w:val="36"/>
          <w:sz w:val="36"/>
          <w:szCs w:val="36"/>
          <w:rtl/>
        </w:rPr>
      </w:pPr>
    </w:p>
    <w:p w14:paraId="5C51FCBE" w14:textId="6F6360EA" w:rsidR="0037781B" w:rsidRPr="0037781B" w:rsidRDefault="0073634D" w:rsidP="00D3434E">
      <w:pPr>
        <w:bidi w:val="0"/>
        <w:spacing w:before="100" w:beforeAutospacing="1" w:after="100" w:afterAutospacing="1" w:line="240" w:lineRule="auto"/>
        <w:outlineLvl w:val="0"/>
        <w:rPr>
          <w:rFonts w:ascii="Times New Roman" w:eastAsia="Times New Roman" w:hAnsi="Times New Roman" w:cs="Times New Roman"/>
          <w:b/>
          <w:bCs/>
          <w:kern w:val="36"/>
          <w:sz w:val="36"/>
          <w:szCs w:val="36"/>
        </w:rPr>
      </w:pPr>
      <w:r>
        <w:rPr>
          <w:rFonts w:ascii="Times New Roman" w:eastAsia="Times New Roman" w:hAnsi="Times New Roman" w:cs="Times New Roman" w:hint="cs"/>
          <w:b/>
          <w:bCs/>
          <w:kern w:val="36"/>
          <w:sz w:val="36"/>
          <w:szCs w:val="36"/>
          <w:rtl/>
        </w:rPr>
        <w:t>المبحث</w:t>
      </w:r>
      <w:r w:rsidR="0037781B" w:rsidRPr="0037781B">
        <w:rPr>
          <w:rFonts w:ascii="Times New Roman" w:eastAsia="Times New Roman" w:hAnsi="Times New Roman" w:cs="Times New Roman"/>
          <w:b/>
          <w:bCs/>
          <w:kern w:val="36"/>
          <w:sz w:val="36"/>
          <w:szCs w:val="36"/>
          <w:rtl/>
        </w:rPr>
        <w:t xml:space="preserve"> </w:t>
      </w:r>
      <w:r w:rsidR="00161D51">
        <w:rPr>
          <w:rFonts w:ascii="Times New Roman" w:eastAsia="Times New Roman" w:hAnsi="Times New Roman" w:cs="Times New Roman" w:hint="cs"/>
          <w:b/>
          <w:bCs/>
          <w:kern w:val="36"/>
          <w:sz w:val="36"/>
          <w:szCs w:val="36"/>
          <w:rtl/>
        </w:rPr>
        <w:t>الثاني</w:t>
      </w:r>
      <w:r w:rsidR="0037781B" w:rsidRPr="0037781B">
        <w:rPr>
          <w:rFonts w:ascii="Times New Roman" w:eastAsia="Times New Roman" w:hAnsi="Times New Roman" w:cs="Times New Roman"/>
          <w:b/>
          <w:bCs/>
          <w:kern w:val="36"/>
          <w:sz w:val="36"/>
          <w:szCs w:val="36"/>
          <w:rtl/>
        </w:rPr>
        <w:t xml:space="preserve">: </w:t>
      </w:r>
      <w:r w:rsidR="005B112F" w:rsidRPr="005B112F">
        <w:rPr>
          <w:b/>
          <w:bCs/>
          <w:sz w:val="36"/>
          <w:szCs w:val="36"/>
          <w:rtl/>
        </w:rPr>
        <w:t>الآثار المؤسسية والاقتصادية للتحول الرقمي</w:t>
      </w:r>
    </w:p>
    <w:p w14:paraId="1D14A2A6"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يمثل التحول الرقمي أحد أهم التحولات الإدارية والمؤسسية في العصر الحديث، إذ لم يعد مجرد استخدام للتقنيات الحديثة داخل المؤسسات، بل أصبح نهجًا استراتيجيًا يهدف إلى إعادة بناء العمليات والإجراءات وآليات العمل بما يتوافق مع متطلبات البيئة الرقمية. ويؤدي تنظيم التحول الرقمي دورًا محوريًا في ضمان نجاح هذه العملية من خلال وضع الأطر القانونية والتنظيمية والإدارية التي تحكم استخدام التكنولوجيا وتكفل تحقيق أهدافها بكفاءة وفعالية</w:t>
      </w:r>
      <w:r w:rsidRPr="0037781B">
        <w:rPr>
          <w:rFonts w:ascii="Times New Roman" w:eastAsia="Times New Roman" w:hAnsi="Times New Roman" w:cs="Times New Roman"/>
          <w:sz w:val="24"/>
          <w:szCs w:val="24"/>
        </w:rPr>
        <w:t>.</w:t>
      </w:r>
    </w:p>
    <w:p w14:paraId="3BB08336" w14:textId="210C0225"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وقد ترتبت على تنظيم التحول الرقمي مجموعة من الآثار الإدارية والمؤسسية المهمة التي أسهمت في تطوير أداء المؤسسات الحكومية والقضائية والخاصة، ورفعت من مستوى الكفاءة التشغيلية، وعززت الحوكمة المؤسسية، وحسّنت جودة الخدمات المقدمة للمستفيدين</w:t>
      </w:r>
      <w:r w:rsidRPr="0037781B">
        <w:rPr>
          <w:rFonts w:ascii="Times New Roman" w:eastAsia="Times New Roman" w:hAnsi="Times New Roman" w:cs="Times New Roman"/>
          <w:sz w:val="24"/>
          <w:szCs w:val="24"/>
        </w:rPr>
        <w:t>.</w:t>
      </w:r>
    </w:p>
    <w:p w14:paraId="0BE53D6E" w14:textId="0EBA02B3" w:rsidR="0037781B" w:rsidRDefault="00706687"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E85B85">
        <w:rPr>
          <w:rFonts w:ascii="Times New Roman" w:eastAsia="Times New Roman" w:hAnsi="Times New Roman" w:cs="Times New Roman" w:hint="cs"/>
          <w:b/>
          <w:bCs/>
          <w:sz w:val="32"/>
          <w:szCs w:val="32"/>
          <w:rtl/>
        </w:rPr>
        <w:t>الأول:</w:t>
      </w:r>
      <w:r>
        <w:rPr>
          <w:rFonts w:ascii="Times New Roman" w:eastAsia="Times New Roman" w:hAnsi="Times New Roman" w:cs="Times New Roman" w:hint="cs"/>
          <w:b/>
          <w:bCs/>
          <w:sz w:val="32"/>
          <w:szCs w:val="32"/>
          <w:rtl/>
        </w:rPr>
        <w:t xml:space="preserve"> الآثار </w:t>
      </w:r>
      <w:r w:rsidR="00186A24">
        <w:rPr>
          <w:rFonts w:ascii="Times New Roman" w:eastAsia="Times New Roman" w:hAnsi="Times New Roman" w:cs="Times New Roman" w:hint="cs"/>
          <w:b/>
          <w:bCs/>
          <w:sz w:val="32"/>
          <w:szCs w:val="32"/>
          <w:rtl/>
        </w:rPr>
        <w:t>الإدارية</w:t>
      </w:r>
      <w:r w:rsidR="00E242F3">
        <w:rPr>
          <w:rFonts w:ascii="Times New Roman" w:eastAsia="Times New Roman" w:hAnsi="Times New Roman" w:cs="Times New Roman" w:hint="cs"/>
          <w:b/>
          <w:bCs/>
          <w:sz w:val="32"/>
          <w:szCs w:val="32"/>
          <w:rtl/>
        </w:rPr>
        <w:t xml:space="preserve"> </w:t>
      </w:r>
      <w:r w:rsidR="00101EFA">
        <w:rPr>
          <w:rFonts w:ascii="Times New Roman" w:eastAsia="Times New Roman" w:hAnsi="Times New Roman" w:cs="Times New Roman" w:hint="cs"/>
          <w:b/>
          <w:bCs/>
          <w:sz w:val="32"/>
          <w:szCs w:val="32"/>
          <w:rtl/>
        </w:rPr>
        <w:t>والمؤسسية.</w:t>
      </w:r>
    </w:p>
    <w:p w14:paraId="70839966"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لم يقتصر أثر تنظيم التحول الرقمي في إجراءات التقاضي على الاعتراف القانوني بالوسائل الإلكترونية، بل امتد إلى إحداث تغيرات جوهرية في البناء الإداري والمؤسسي للسلطات القضائية. فقد أدى التنظيم التشريعي إلى إعادة تنظيم آليات إدارة المحاكم، وتعزيز التكامل بين الجهات القضائية والجهات الحكومية، وإرساء قواعد الحوكمة الرقمية، بما انعكس على رفع كفاءة الأداء الإداري وتحسين جودة الخدمات العدلية</w:t>
      </w:r>
      <w:r w:rsidRPr="00D27886">
        <w:rPr>
          <w:rFonts w:ascii="Times New Roman" w:eastAsia="Times New Roman" w:hAnsi="Times New Roman" w:cs="Times New Roman"/>
          <w:sz w:val="24"/>
          <w:szCs w:val="24"/>
        </w:rPr>
        <w:t>.</w:t>
      </w:r>
    </w:p>
    <w:p w14:paraId="03A0BF8B" w14:textId="0F07F620" w:rsidR="00D27886" w:rsidRPr="00D27886" w:rsidRDefault="00D27886" w:rsidP="005A5C0D">
      <w:pPr>
        <w:spacing w:before="100" w:beforeAutospacing="1" w:after="100" w:afterAutospacing="1" w:line="360" w:lineRule="auto"/>
        <w:jc w:val="left"/>
        <w:rPr>
          <w:rFonts w:ascii="Times New Roman" w:eastAsia="Times New Roman" w:hAnsi="Times New Roman" w:cs="Times New Roman"/>
          <w:sz w:val="24"/>
          <w:szCs w:val="24"/>
          <w:rtl/>
        </w:rPr>
      </w:pPr>
      <w:r w:rsidRPr="00D27886">
        <w:rPr>
          <w:rFonts w:ascii="Times New Roman" w:eastAsia="Times New Roman" w:hAnsi="Times New Roman" w:cs="Times New Roman"/>
          <w:sz w:val="24"/>
          <w:szCs w:val="24"/>
          <w:rtl/>
        </w:rPr>
        <w:t xml:space="preserve">وتكشف الدراسة المقارنة أن المملكة العربية السعودية، والإمارات العربية المتحدة، وسنغافورة اتجهت جميعها إلى إعادة هيكلة الإدارة القضائية بما يتوافق مع متطلبات البيئة الرقمية، إلا أن لكل دولة منهجًا مختلفًا في إدارة هذا التحول. فقد اعتمدت المملكة </w:t>
      </w:r>
      <w:r w:rsidR="009112F0" w:rsidRPr="009112F0">
        <w:rPr>
          <w:rFonts w:ascii="Times New Roman" w:eastAsia="Times New Roman" w:hAnsi="Times New Roman" w:cs="Times New Roman" w:hint="cs"/>
          <w:sz w:val="24"/>
          <w:szCs w:val="24"/>
          <w:vertAlign w:val="superscript"/>
          <w:rtl/>
        </w:rPr>
        <w:t>(</w:t>
      </w:r>
      <w:r w:rsidR="009112F0" w:rsidRPr="009112F0">
        <w:rPr>
          <w:rStyle w:val="a8"/>
          <w:rFonts w:ascii="Times New Roman" w:eastAsia="Times New Roman" w:hAnsi="Times New Roman" w:cs="Times New Roman"/>
          <w:vanish/>
          <w:sz w:val="24"/>
          <w:szCs w:val="24"/>
          <w:vertAlign w:val="baseline"/>
          <w:rtl/>
        </w:rPr>
        <w:footnoteReference w:id="47"/>
      </w:r>
      <w:r w:rsidR="009112F0" w:rsidRPr="009112F0">
        <w:rPr>
          <w:rFonts w:ascii="Times New Roman" w:eastAsia="Times New Roman" w:hAnsi="Times New Roman" w:cs="Times New Roman" w:hint="cs"/>
          <w:sz w:val="24"/>
          <w:szCs w:val="24"/>
          <w:vertAlign w:val="superscript"/>
          <w:rtl/>
        </w:rPr>
        <w:t>1)</w:t>
      </w:r>
      <w:r w:rsidR="009112F0" w:rsidRPr="00D27886">
        <w:rPr>
          <w:rFonts w:ascii="Times New Roman" w:eastAsia="Times New Roman" w:hAnsi="Times New Roman" w:cs="Times New Roman" w:hint="cs"/>
          <w:sz w:val="24"/>
          <w:szCs w:val="24"/>
          <w:rtl/>
        </w:rPr>
        <w:t xml:space="preserve"> عل</w:t>
      </w:r>
      <w:r w:rsidR="009112F0" w:rsidRPr="00D27886">
        <w:rPr>
          <w:rFonts w:ascii="Times New Roman" w:eastAsia="Times New Roman" w:hAnsi="Times New Roman" w:cs="Times New Roman" w:hint="eastAsia"/>
          <w:sz w:val="24"/>
          <w:szCs w:val="24"/>
          <w:rtl/>
        </w:rPr>
        <w:t>ى</w:t>
      </w:r>
      <w:r w:rsidRPr="00D27886">
        <w:rPr>
          <w:rFonts w:ascii="Times New Roman" w:eastAsia="Times New Roman" w:hAnsi="Times New Roman" w:cs="Times New Roman"/>
          <w:sz w:val="24"/>
          <w:szCs w:val="24"/>
          <w:rtl/>
        </w:rPr>
        <w:t xml:space="preserve"> تطوير المنظومة العدلية ضمن مستهدفات رؤية السعودية 2030 من خلال التكامل بين وزارة العدل، وهيئة الحكومة الرقمية، والجهات الحكومية الأخرى، بما أسهم في توحيد الإجراءات الرقمية وتبادل البيانات بين الجهات المختصة. أما </w:t>
      </w:r>
      <w:r w:rsidR="005A5C0D" w:rsidRPr="00D27886">
        <w:rPr>
          <w:rFonts w:ascii="Times New Roman" w:eastAsia="Times New Roman" w:hAnsi="Times New Roman" w:cs="Times New Roman" w:hint="cs"/>
          <w:sz w:val="24"/>
          <w:szCs w:val="24"/>
          <w:rtl/>
        </w:rPr>
        <w:t>الإمارات،</w:t>
      </w:r>
      <w:r w:rsidR="005A5C0D" w:rsidRPr="005A5C0D">
        <w:rPr>
          <w:rFonts w:ascii="Times New Roman" w:eastAsia="Times New Roman" w:hAnsi="Times New Roman" w:cs="Times New Roman" w:hint="cs"/>
          <w:sz w:val="24"/>
          <w:szCs w:val="24"/>
          <w:vertAlign w:val="superscript"/>
          <w:rtl/>
        </w:rPr>
        <w:t xml:space="preserve"> </w:t>
      </w:r>
      <w:r w:rsidR="005A5C0D" w:rsidRPr="005A5C0D">
        <w:rPr>
          <w:rFonts w:ascii="Times New Roman" w:eastAsia="Times New Roman" w:hAnsi="Times New Roman" w:cs="Times New Roman"/>
          <w:sz w:val="24"/>
          <w:szCs w:val="24"/>
          <w:vertAlign w:val="superscript"/>
          <w:rtl/>
        </w:rPr>
        <w:t>(</w:t>
      </w:r>
      <w:r w:rsidR="005A5C0D" w:rsidRPr="005A5C0D">
        <w:rPr>
          <w:rFonts w:ascii="Times New Roman" w:eastAsia="Times New Roman" w:hAnsi="Times New Roman" w:cs="Times New Roman" w:hint="cs"/>
          <w:sz w:val="24"/>
          <w:szCs w:val="24"/>
          <w:vertAlign w:val="superscript"/>
          <w:rtl/>
        </w:rPr>
        <w:t>2)</w:t>
      </w:r>
      <w:r w:rsidRPr="00D27886">
        <w:rPr>
          <w:rFonts w:ascii="Times New Roman" w:eastAsia="Times New Roman" w:hAnsi="Times New Roman" w:cs="Times New Roman"/>
          <w:sz w:val="24"/>
          <w:szCs w:val="24"/>
          <w:rtl/>
        </w:rPr>
        <w:t xml:space="preserve"> فقد ارتكزت على نموذج الحكومة الرقمية المتكاملة الذي يقوم على التنسيق بين الجهات الاتحادية والمحلية وربط الخدمات القضائية بمنظومة الهوية الرقمية وخدمات الثقة. في حين تبنت سنغافورة </w:t>
      </w:r>
      <w:r w:rsidR="005A5C0D" w:rsidRPr="005A5C0D">
        <w:rPr>
          <w:rFonts w:ascii="Times New Roman" w:eastAsia="Times New Roman" w:hAnsi="Times New Roman" w:cs="Times New Roman" w:hint="cs"/>
          <w:sz w:val="24"/>
          <w:szCs w:val="24"/>
          <w:vertAlign w:val="superscript"/>
          <w:rtl/>
        </w:rPr>
        <w:t>(3)</w:t>
      </w:r>
      <w:r w:rsidR="005A5C0D" w:rsidRPr="00D27886">
        <w:rPr>
          <w:rFonts w:ascii="Times New Roman" w:eastAsia="Times New Roman" w:hAnsi="Times New Roman" w:cs="Times New Roman" w:hint="cs"/>
          <w:sz w:val="24"/>
          <w:szCs w:val="24"/>
          <w:rtl/>
        </w:rPr>
        <w:t xml:space="preserve"> نموذجً</w:t>
      </w:r>
      <w:r w:rsidR="005A5C0D" w:rsidRPr="00D27886">
        <w:rPr>
          <w:rFonts w:ascii="Times New Roman" w:eastAsia="Times New Roman" w:hAnsi="Times New Roman" w:cs="Times New Roman" w:hint="eastAsia"/>
          <w:sz w:val="24"/>
          <w:szCs w:val="24"/>
          <w:rtl/>
        </w:rPr>
        <w:t>ا</w:t>
      </w:r>
      <w:r w:rsidRPr="00D27886">
        <w:rPr>
          <w:rFonts w:ascii="Times New Roman" w:eastAsia="Times New Roman" w:hAnsi="Times New Roman" w:cs="Times New Roman"/>
          <w:sz w:val="24"/>
          <w:szCs w:val="24"/>
          <w:rtl/>
        </w:rPr>
        <w:t xml:space="preserve"> أكثر مركزية، تتولى فيه وكالة التكنولوجيا الحكومية</w:t>
      </w:r>
      <w:r w:rsidRPr="00D27886">
        <w:rPr>
          <w:rFonts w:ascii="Times New Roman" w:eastAsia="Times New Roman" w:hAnsi="Times New Roman" w:cs="Times New Roman"/>
          <w:sz w:val="24"/>
          <w:szCs w:val="24"/>
        </w:rPr>
        <w:t xml:space="preserve"> (GovTech) </w:t>
      </w:r>
      <w:r w:rsidRPr="00D27886">
        <w:rPr>
          <w:rFonts w:ascii="Times New Roman" w:eastAsia="Times New Roman" w:hAnsi="Times New Roman" w:cs="Times New Roman"/>
          <w:sz w:val="24"/>
          <w:szCs w:val="24"/>
          <w:rtl/>
        </w:rPr>
        <w:t xml:space="preserve">تطوير البنية الرقمية الحكومية وتوحيد المعايير التقنية وإدارة المنصات المشتركة، الأمر الذي أسهم في تعزيز سرعة اتخاذ القرار الإداري وتقليل الازدواجية </w:t>
      </w:r>
      <w:r w:rsidR="005A5C0D" w:rsidRPr="00D27886">
        <w:rPr>
          <w:rFonts w:ascii="Times New Roman" w:eastAsia="Times New Roman" w:hAnsi="Times New Roman" w:cs="Times New Roman" w:hint="cs"/>
          <w:sz w:val="24"/>
          <w:szCs w:val="24"/>
          <w:rtl/>
        </w:rPr>
        <w:t>المؤسسية</w:t>
      </w:r>
      <w:r w:rsidR="005A5C0D">
        <w:rPr>
          <w:rFonts w:ascii="Times New Roman" w:eastAsia="Times New Roman" w:hAnsi="Times New Roman" w:cs="Times New Roman"/>
          <w:sz w:val="24"/>
          <w:szCs w:val="24"/>
        </w:rPr>
        <w:t>.</w:t>
      </w:r>
    </w:p>
    <w:p w14:paraId="48E0E7AD"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 xml:space="preserve">ومن أبرز الآثار المؤسسية التي أفرزها التنظيم القانوني للتحول الرقمي </w:t>
      </w:r>
      <w:r w:rsidRPr="00D27886">
        <w:rPr>
          <w:rFonts w:ascii="Times New Roman" w:eastAsia="Times New Roman" w:hAnsi="Times New Roman" w:cs="Times New Roman"/>
          <w:b/>
          <w:bCs/>
          <w:sz w:val="24"/>
          <w:szCs w:val="24"/>
          <w:rtl/>
        </w:rPr>
        <w:t>تعزيز التكامل المؤسسي</w:t>
      </w:r>
      <w:r w:rsidRPr="00D27886">
        <w:rPr>
          <w:rFonts w:ascii="Times New Roman" w:eastAsia="Times New Roman" w:hAnsi="Times New Roman" w:cs="Times New Roman"/>
          <w:sz w:val="24"/>
          <w:szCs w:val="24"/>
          <w:rtl/>
        </w:rPr>
        <w:t xml:space="preserve"> بين الجهات المرتبطة بإجراءات التقاضي. فلم تعد إدارة الدعوى تعتمد على تبادل المستندات الورقية بين الجهات، بل أصبحت تقوم على الربط الإلكتروني وتبادل البيانات بصورة آمنة ومنظمة. ويظهر هذا التكامل بصورة واضحة في التجربة السعودية من خلال الربط بين الجهات القضائية والجهات الحكومية ذات العلاقة، بينما يتميز النموذج الإماراتي بدمج الخدمات الحكومية والقضائية ضمن بيئة رقمية موحدة، في حين تعتمد سنغافورة على منصة حكومية مركزية تتيح تبادل البيانات وفق معايير موحدة، وهو ما أدى إلى تقليص الإجراءات الإدارية وتسريع إنجاز المعاملات</w:t>
      </w:r>
      <w:r w:rsidRPr="00D27886">
        <w:rPr>
          <w:rFonts w:ascii="Times New Roman" w:eastAsia="Times New Roman" w:hAnsi="Times New Roman" w:cs="Times New Roman"/>
          <w:sz w:val="24"/>
          <w:szCs w:val="24"/>
        </w:rPr>
        <w:t>.</w:t>
      </w:r>
    </w:p>
    <w:p w14:paraId="7724A9D1"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 xml:space="preserve">كما أسهم التنظيم القانوني في </w:t>
      </w:r>
      <w:r w:rsidRPr="00D27886">
        <w:rPr>
          <w:rFonts w:ascii="Times New Roman" w:eastAsia="Times New Roman" w:hAnsi="Times New Roman" w:cs="Times New Roman"/>
          <w:b/>
          <w:bCs/>
          <w:sz w:val="24"/>
          <w:szCs w:val="24"/>
          <w:rtl/>
        </w:rPr>
        <w:t>تطوير الحوكمة الرقمية</w:t>
      </w:r>
      <w:r w:rsidRPr="00D27886">
        <w:rPr>
          <w:rFonts w:ascii="Times New Roman" w:eastAsia="Times New Roman" w:hAnsi="Times New Roman" w:cs="Times New Roman"/>
          <w:sz w:val="24"/>
          <w:szCs w:val="24"/>
          <w:rtl/>
        </w:rPr>
        <w:t xml:space="preserve"> داخل المؤسسات القضائية، من خلال تحديد مسؤوليات الجهات المشرفة على إدارة البيانات والخدمات الرقمية، ووضع ضوابط للرقابة والامتثال وإدارة المخاطر. وتتشابه الدول الثلاث في اعتماد مبادئ الحوكمة الرقمية، إلا أن سنغافورة تتميز بوجود نموذج مؤسسي أكثر استقرارًا يقوم على الإدارة المركزية للمنصات الحكومية، بينما اتجهت الإمارات إلى تطبيق نماذج لقياس نضج الحكومة الرقمية، في حين تواصل المملكة تطوير الأطر التنظيمية بما يتوافق مع التوسع المتسارع في الخدمات العدلية الرقمية</w:t>
      </w:r>
      <w:r w:rsidRPr="00D27886">
        <w:rPr>
          <w:rFonts w:ascii="Times New Roman" w:eastAsia="Times New Roman" w:hAnsi="Times New Roman" w:cs="Times New Roman"/>
          <w:sz w:val="24"/>
          <w:szCs w:val="24"/>
        </w:rPr>
        <w:t>.</w:t>
      </w:r>
    </w:p>
    <w:p w14:paraId="5493AC30"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 xml:space="preserve">وامتدت الآثار المؤسسية كذلك إلى </w:t>
      </w:r>
      <w:r w:rsidRPr="00D27886">
        <w:rPr>
          <w:rFonts w:ascii="Times New Roman" w:eastAsia="Times New Roman" w:hAnsi="Times New Roman" w:cs="Times New Roman"/>
          <w:b/>
          <w:bCs/>
          <w:sz w:val="24"/>
          <w:szCs w:val="24"/>
          <w:rtl/>
        </w:rPr>
        <w:t>تنمية الموارد البشرية</w:t>
      </w:r>
      <w:r w:rsidRPr="00D27886">
        <w:rPr>
          <w:rFonts w:ascii="Times New Roman" w:eastAsia="Times New Roman" w:hAnsi="Times New Roman" w:cs="Times New Roman"/>
          <w:sz w:val="24"/>
          <w:szCs w:val="24"/>
          <w:rtl/>
        </w:rPr>
        <w:t>، إذ فرض التحول الرقمي متطلبات جديدة على العاملين في مرفق القضاء، أبرزها اكتساب المهارات الرقمية والقدرة على إدارة الأنظمة الإلكترونية والتعامل مع البيانات الرقمية. وقد تبنت الدول الثلاث برامج لتأهيل الكوادر القضائية والإدارية، إلا أن سنغافورة تتميز باستمرار برامج التدريب المؤسسي وربطها بتطوير الأداء الحكومي، بينما تركز المملكة والإمارات على رفع الكفاءة المهنية بما يدعم استدامة التحول الرقمي في القطاع العدلي</w:t>
      </w:r>
      <w:r w:rsidRPr="00D27886">
        <w:rPr>
          <w:rFonts w:ascii="Times New Roman" w:eastAsia="Times New Roman" w:hAnsi="Times New Roman" w:cs="Times New Roman"/>
          <w:sz w:val="24"/>
          <w:szCs w:val="24"/>
        </w:rPr>
        <w:t>.</w:t>
      </w:r>
    </w:p>
    <w:p w14:paraId="4041919E" w14:textId="2222CC7A" w:rsidR="00D27886" w:rsidRPr="00D27886" w:rsidRDefault="00D27886" w:rsidP="006B7129">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و</w:t>
      </w:r>
      <w:r w:rsidR="006B7129">
        <w:rPr>
          <w:rFonts w:ascii="Times New Roman" w:eastAsia="Times New Roman" w:hAnsi="Times New Roman" w:cs="Times New Roman" w:hint="cs"/>
          <w:sz w:val="24"/>
          <w:szCs w:val="24"/>
          <w:rtl/>
        </w:rPr>
        <w:t>تلخص</w:t>
      </w:r>
      <w:r w:rsidRPr="00D27886">
        <w:rPr>
          <w:rFonts w:ascii="Times New Roman" w:eastAsia="Times New Roman" w:hAnsi="Times New Roman" w:cs="Times New Roman"/>
          <w:sz w:val="24"/>
          <w:szCs w:val="24"/>
          <w:rtl/>
        </w:rPr>
        <w:t xml:space="preserve"> الدراسة المقارنة إلى أن التنظيم القانوني للتحول الرقمي لم يؤدِّ فقط إلى تحديث الوسائل الإجرائية، بل أسهم في إعادة تشكيل الإدارة القضائية من خلال تعزيز التكامل المؤسسي، وتطوير الحوكمة الرقمية، ورفع كفاءة الموارد البشرية. وتتمثل أبرز أوجه الاختلاف في أن المملكة تركز على التكامل التدريجي ضمن مستهدفات رؤية 2030، بينما تعتمد الإمارات على نموذج الحكومة الرقمية المتكاملة، في حين تقوم التجربة السنغافورية على إدارة مؤسسية مركزية تستند إلى البيانات والمعايير التقنية الموحدة. وترى الباحثة أن استمرار نجاح التحول الرقمي في مرفق القضاء يتطلب تطوير الأطر المؤسسية بالتوازي مع تحديث التشريعات، لأن فعالية التنظيم القانوني ترتبط بقدرة المؤسسات على تطبيقه بصورة متكاملة</w:t>
      </w:r>
    </w:p>
    <w:p w14:paraId="110657AE" w14:textId="77777777" w:rsidR="00D27886" w:rsidRPr="00D27886" w:rsidRDefault="00D27886" w:rsidP="00D27886">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177B1EF1"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65BEBDAD"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28E77367"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09B91881"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1D7C9B5C" w14:textId="4BBED9A8" w:rsidR="006B7129" w:rsidRDefault="006B7129"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601BD74F" w14:textId="2463EAAF" w:rsidR="006B7129" w:rsidRPr="006B7129" w:rsidRDefault="006B7129" w:rsidP="006B7129">
      <w:pPr>
        <w:bidi w:val="0"/>
        <w:spacing w:before="100" w:beforeAutospacing="1" w:after="100" w:afterAutospacing="1" w:line="360" w:lineRule="auto"/>
        <w:outlineLvl w:val="2"/>
        <w:rPr>
          <w:rFonts w:ascii="Times New Roman" w:eastAsia="Times New Roman" w:hAnsi="Times New Roman" w:cs="Times New Roman"/>
          <w:b/>
          <w:bCs/>
          <w:sz w:val="32"/>
          <w:szCs w:val="32"/>
        </w:rPr>
      </w:pPr>
      <w:r w:rsidRPr="006B7129">
        <w:rPr>
          <w:rFonts w:ascii="Times New Roman" w:eastAsia="Times New Roman" w:hAnsi="Times New Roman" w:cs="Times New Roman"/>
          <w:b/>
          <w:bCs/>
          <w:sz w:val="32"/>
          <w:szCs w:val="32"/>
          <w:rtl/>
        </w:rPr>
        <w:t>المطلب الثاني: الآثار الاقتصادية المترتبة على تنظيم التحول الرقمي</w:t>
      </w:r>
    </w:p>
    <w:p w14:paraId="365964B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لم يعد تنظيم التحول الرقمي في القطاع القضائي مقتصرًا على تحقيق السرعة في تقديم الخدمات أو تحديث وسائل التقاضي، وإنما ترتبت عليه آثار اقتصادية تمس كفاءة الإنفاق العام، وتكاليف الحصول على العدالة، وإنتاجية المؤسسات القضائية، والاستغلال الأمثل للموارد. فكلما كان التحول الرقمي قائمًا على إطار تنظيمي واضح يحدد اختصاصات الجهات، وينظم المنصات والخدمات الرقمية، ويحقق التكامل وتبادل البيانات بينها، أمكن الحد من ازدواجية الأنظمة والإجراءات، ومن ثم تخفيض التكلفة الاقتصادية المرتبطة بتقديم الخدمة القضائية</w:t>
      </w:r>
      <w:r w:rsidRPr="0056277A">
        <w:rPr>
          <w:rFonts w:ascii="Times New Roman" w:eastAsia="Times New Roman" w:hAnsi="Times New Roman" w:cs="Times New Roman"/>
          <w:sz w:val="24"/>
          <w:szCs w:val="24"/>
        </w:rPr>
        <w:t>.</w:t>
      </w:r>
    </w:p>
    <w:p w14:paraId="1E7A67D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وتظهر هذه الآثار بصورة خاصة في المملكة العربية السعودية والإمارات العربية المتحدة وسنغافورة، وإن اختلفت درجة ظهورها وآليات قياسها؛ إذ اتجهت الدول الثلاث إلى الانتقال من مجرد رقمنة بعض الخدمات القضائية إلى بناء منظومات رقمية مترابطة، وهو ما انعكس على تكلفة الإجراءات والوقت والموارد المستخدمة في تقديم الخدمات العدلية والقضائية</w:t>
      </w:r>
      <w:r w:rsidRPr="0056277A">
        <w:rPr>
          <w:rFonts w:ascii="Times New Roman" w:eastAsia="Times New Roman" w:hAnsi="Times New Roman" w:cs="Times New Roman"/>
          <w:sz w:val="24"/>
          <w:szCs w:val="24"/>
        </w:rPr>
        <w:t>.</w:t>
      </w:r>
    </w:p>
    <w:p w14:paraId="58EECAB8"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أولًا: رفع كفاءة الإنفاق وترشيد استخدام الموارد</w:t>
      </w:r>
    </w:p>
    <w:p w14:paraId="5BE3DB58"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يُعد رفع كفاءة الإنفاق من أبرز الآثار الاقتصادية لتنظيم التحول الرقمي؛ لأن تقديم الخدمات القضائية بالوسائل التقليدية يستلزم نفقات مرتبطة بالمقار والوثائق الورقية والأرشفة والنقل والحضور الشخصي وتكرار إدخال البيانات، في حين يسمح التنظيم الرقمي بإعادة تصميم هذه العمليات وتقديم نسبة كبيرة منها عبر منصات موحدة</w:t>
      </w:r>
      <w:r w:rsidRPr="0056277A">
        <w:rPr>
          <w:rFonts w:ascii="Times New Roman" w:eastAsia="Times New Roman" w:hAnsi="Times New Roman" w:cs="Times New Roman"/>
          <w:sz w:val="24"/>
          <w:szCs w:val="24"/>
        </w:rPr>
        <w:t>.</w:t>
      </w:r>
    </w:p>
    <w:p w14:paraId="4F62AB64" w14:textId="1AEA2423"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المملكة العربية السعودية</w:t>
      </w:r>
      <w:r w:rsidR="007020DD" w:rsidRPr="007020DD">
        <w:rPr>
          <w:rFonts w:ascii="Times New Roman" w:eastAsia="Times New Roman" w:hAnsi="Times New Roman" w:cs="Times New Roman" w:hint="cs"/>
          <w:sz w:val="24"/>
          <w:szCs w:val="24"/>
          <w:vertAlign w:val="superscript"/>
          <w:rtl/>
        </w:rPr>
        <w:t>(1)</w:t>
      </w:r>
      <w:r w:rsidR="007020DD" w:rsidRPr="007020DD">
        <w:rPr>
          <w:rStyle w:val="a8"/>
          <w:rFonts w:ascii="Times New Roman" w:eastAsia="Times New Roman" w:hAnsi="Times New Roman" w:cs="Times New Roman"/>
          <w:vanish/>
          <w:sz w:val="24"/>
          <w:szCs w:val="24"/>
          <w:vertAlign w:val="baseline"/>
          <w:rtl/>
        </w:rPr>
        <w:footnoteReference w:id="48"/>
      </w:r>
      <w:r w:rsidRPr="0056277A">
        <w:rPr>
          <w:rFonts w:ascii="Times New Roman" w:eastAsia="Times New Roman" w:hAnsi="Times New Roman" w:cs="Times New Roman"/>
          <w:sz w:val="24"/>
          <w:szCs w:val="24"/>
          <w:rtl/>
        </w:rPr>
        <w:t xml:space="preserve"> يتضح الارتباط بين التنظيم الرقمي والكفاءة الاقتصادية من توجه هيئة الحكومة الرقمية إلى تنظيم المنصات والخدمات الحكومية والحد من الازدواجية وتحسين استغلال الموارد التقنية. وقد أكدت </w:t>
      </w:r>
      <w:r w:rsidRPr="0056277A">
        <w:rPr>
          <w:rFonts w:ascii="Times New Roman" w:eastAsia="Times New Roman" w:hAnsi="Times New Roman" w:cs="Times New Roman"/>
          <w:b/>
          <w:bCs/>
          <w:sz w:val="24"/>
          <w:szCs w:val="24"/>
          <w:rtl/>
        </w:rPr>
        <w:t>سياسة الحكومة الرقمية</w:t>
      </w:r>
      <w:r w:rsidRPr="0056277A">
        <w:rPr>
          <w:rFonts w:ascii="Times New Roman" w:eastAsia="Times New Roman" w:hAnsi="Times New Roman" w:cs="Times New Roman"/>
          <w:sz w:val="24"/>
          <w:szCs w:val="24"/>
          <w:rtl/>
        </w:rPr>
        <w:t xml:space="preserve"> أن التكامل الحكومي وتنظيم استخدام الموارد والاستثمارات التقنية يستهدفان رفع الكفاءة وتحسين الاستفادة من الإنفاق الحكومي. كما جعلت هيئة الحكومة الرقمية من </w:t>
      </w:r>
      <w:r w:rsidRPr="0056277A">
        <w:rPr>
          <w:rFonts w:ascii="Times New Roman" w:eastAsia="Times New Roman" w:hAnsi="Times New Roman" w:cs="Times New Roman"/>
          <w:b/>
          <w:bCs/>
          <w:sz w:val="24"/>
          <w:szCs w:val="24"/>
          <w:rtl/>
        </w:rPr>
        <w:t>كفاءة الاستثمار</w:t>
      </w:r>
      <w:r w:rsidRPr="0056277A">
        <w:rPr>
          <w:rFonts w:ascii="Times New Roman" w:eastAsia="Times New Roman" w:hAnsi="Times New Roman" w:cs="Times New Roman"/>
          <w:sz w:val="24"/>
          <w:szCs w:val="24"/>
          <w:rtl/>
        </w:rPr>
        <w:t xml:space="preserve"> أحد التوجهات الاستراتيجية للحكومة الرقمية، من خلال الاستخدام الأمثل للموارد الحكومية الرقمية ورفع العائد على الاستثمار وتحقيق الاستدامة. ومن ثم فإن تنظيم الخدمات القضائية الرقمية، بما فيها الخدمات التي تقدمها وزارة العدل عبر المنصات الإلكترونية، ينبغي النظر إليه بوصفه جزءًا من سياسة أوسع تستهدف تحقيق الكفاءة الاقتصادية، وليس مجرد استبدال المعاملة الورقية بمعاملة إلكترونية</w:t>
      </w:r>
      <w:r w:rsidRPr="0056277A">
        <w:rPr>
          <w:rFonts w:ascii="Times New Roman" w:eastAsia="Times New Roman" w:hAnsi="Times New Roman" w:cs="Times New Roman"/>
          <w:sz w:val="24"/>
          <w:szCs w:val="24"/>
        </w:rPr>
        <w:t>.</w:t>
      </w:r>
    </w:p>
    <w:p w14:paraId="1755EEC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وتدعم المؤشرات الرسمية هذا الاستنتاج؛ فقد أظهر </w:t>
      </w:r>
      <w:r w:rsidRPr="0056277A">
        <w:rPr>
          <w:rFonts w:ascii="Times New Roman" w:eastAsia="Times New Roman" w:hAnsi="Times New Roman" w:cs="Times New Roman"/>
          <w:b/>
          <w:bCs/>
          <w:sz w:val="24"/>
          <w:szCs w:val="24"/>
          <w:rtl/>
        </w:rPr>
        <w:t>تقرير الإنفاق الحكومي على خدمات الاتصالات وتقنية المعلومات لعام 2024</w:t>
      </w:r>
      <w:r w:rsidRPr="0056277A">
        <w:rPr>
          <w:rFonts w:ascii="Times New Roman" w:eastAsia="Times New Roman" w:hAnsi="Times New Roman" w:cs="Times New Roman"/>
          <w:sz w:val="24"/>
          <w:szCs w:val="24"/>
          <w:rtl/>
        </w:rPr>
        <w:t xml:space="preserve"> أن الجهات الحكومية السعودية حققت وفرًا ماليًا يقدر بنحو </w:t>
      </w:r>
      <w:r w:rsidRPr="0056277A">
        <w:rPr>
          <w:rFonts w:ascii="Times New Roman" w:eastAsia="Times New Roman" w:hAnsi="Times New Roman" w:cs="Times New Roman"/>
          <w:b/>
          <w:bCs/>
          <w:sz w:val="24"/>
          <w:szCs w:val="24"/>
          <w:rtl/>
        </w:rPr>
        <w:t>مليار ريال خلال عام 2024</w:t>
      </w:r>
      <w:r w:rsidRPr="0056277A">
        <w:rPr>
          <w:rFonts w:ascii="Times New Roman" w:eastAsia="Times New Roman" w:hAnsi="Times New Roman" w:cs="Times New Roman"/>
          <w:sz w:val="24"/>
          <w:szCs w:val="24"/>
          <w:rtl/>
        </w:rPr>
        <w:t xml:space="preserve"> نتيجة تطبيق ممارسات كفاءة الإنفاق وتحسين إدارة الميزانيات والمشتريات. ولا يعني ذلك أن هذا المبلغ يمثل وفرًا خاصًا بالقطاع القضائي، وإنما يمثل مؤشرًا رسميًا على الأثر الاقتصادي للتحول الرقمي المنظم على مستوى الحكومة السعودية، وهو السياق المؤسسي الذي تعمل داخله وزارة العدل ومنظومة العدالة الرقمية</w:t>
      </w:r>
      <w:r w:rsidRPr="0056277A">
        <w:rPr>
          <w:rFonts w:ascii="Times New Roman" w:eastAsia="Times New Roman" w:hAnsi="Times New Roman" w:cs="Times New Roman"/>
          <w:sz w:val="24"/>
          <w:szCs w:val="24"/>
        </w:rPr>
        <w:t>.</w:t>
      </w:r>
    </w:p>
    <w:p w14:paraId="2166EDAD" w14:textId="77777777" w:rsid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tl/>
        </w:rPr>
      </w:pPr>
    </w:p>
    <w:p w14:paraId="37DF519D" w14:textId="77777777" w:rsid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tl/>
        </w:rPr>
      </w:pPr>
    </w:p>
    <w:p w14:paraId="56B6EF49" w14:textId="02DE50F5"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أما في دولة الإمارات</w:t>
      </w:r>
      <w:r w:rsidRPr="0056277A">
        <w:rPr>
          <w:rFonts w:ascii="Times New Roman" w:eastAsia="Times New Roman" w:hAnsi="Times New Roman" w:cs="Times New Roman"/>
          <w:sz w:val="24"/>
          <w:szCs w:val="24"/>
          <w:vertAlign w:val="superscript"/>
          <w:rtl/>
        </w:rPr>
        <w:t>،</w:t>
      </w:r>
      <w:r w:rsidR="007020DD" w:rsidRPr="007020DD">
        <w:rPr>
          <w:rFonts w:ascii="Times New Roman" w:eastAsia="Times New Roman" w:hAnsi="Times New Roman" w:cs="Times New Roman" w:hint="cs"/>
          <w:sz w:val="24"/>
          <w:szCs w:val="24"/>
          <w:vertAlign w:val="superscript"/>
          <w:rtl/>
        </w:rPr>
        <w:t>(1)</w:t>
      </w:r>
      <w:r w:rsidR="007020DD" w:rsidRPr="007020DD">
        <w:rPr>
          <w:rStyle w:val="a8"/>
          <w:rFonts w:ascii="Times New Roman" w:eastAsia="Times New Roman" w:hAnsi="Times New Roman" w:cs="Times New Roman"/>
          <w:vanish/>
          <w:sz w:val="24"/>
          <w:szCs w:val="24"/>
          <w:vertAlign w:val="baseline"/>
          <w:rtl/>
        </w:rPr>
        <w:footnoteReference w:id="49"/>
      </w:r>
      <w:r w:rsidRPr="0056277A">
        <w:rPr>
          <w:rFonts w:ascii="Times New Roman" w:eastAsia="Times New Roman" w:hAnsi="Times New Roman" w:cs="Times New Roman"/>
          <w:sz w:val="24"/>
          <w:szCs w:val="24"/>
          <w:rtl/>
        </w:rPr>
        <w:t xml:space="preserve"> فقد اتخذ الأثر الاقتصادي للتحول الرقمي صورة أكثر وضوحًا من حيث القياس الكمي؛ إذ تشير البيانات الرسمية للحكومة الإماراتية إلى أن نتائج التحول الرقمي حتى عام 2024 حققت نحو </w:t>
      </w:r>
      <w:r w:rsidRPr="0056277A">
        <w:rPr>
          <w:rFonts w:ascii="Times New Roman" w:eastAsia="Times New Roman" w:hAnsi="Times New Roman" w:cs="Times New Roman"/>
          <w:b/>
          <w:bCs/>
          <w:sz w:val="24"/>
          <w:szCs w:val="24"/>
        </w:rPr>
        <w:t xml:space="preserve">20 </w:t>
      </w:r>
      <w:r w:rsidRPr="0056277A">
        <w:rPr>
          <w:rFonts w:ascii="Times New Roman" w:eastAsia="Times New Roman" w:hAnsi="Times New Roman" w:cs="Times New Roman"/>
          <w:b/>
          <w:bCs/>
          <w:sz w:val="24"/>
          <w:szCs w:val="24"/>
          <w:rtl/>
        </w:rPr>
        <w:t>مليار درهم من الوفورات الحكومية المباشرة</w:t>
      </w:r>
      <w:r w:rsidRPr="0056277A">
        <w:rPr>
          <w:rFonts w:ascii="Times New Roman" w:eastAsia="Times New Roman" w:hAnsi="Times New Roman" w:cs="Times New Roman"/>
          <w:sz w:val="24"/>
          <w:szCs w:val="24"/>
          <w:rtl/>
        </w:rPr>
        <w:t xml:space="preserve">، فضلًا عن توفير أكثر من </w:t>
      </w:r>
      <w:r w:rsidRPr="0056277A">
        <w:rPr>
          <w:rFonts w:ascii="Times New Roman" w:eastAsia="Times New Roman" w:hAnsi="Times New Roman" w:cs="Times New Roman"/>
          <w:b/>
          <w:bCs/>
          <w:sz w:val="24"/>
          <w:szCs w:val="24"/>
        </w:rPr>
        <w:t xml:space="preserve">530 </w:t>
      </w:r>
      <w:r w:rsidRPr="0056277A">
        <w:rPr>
          <w:rFonts w:ascii="Times New Roman" w:eastAsia="Times New Roman" w:hAnsi="Times New Roman" w:cs="Times New Roman"/>
          <w:b/>
          <w:bCs/>
          <w:sz w:val="24"/>
          <w:szCs w:val="24"/>
          <w:rtl/>
        </w:rPr>
        <w:t>مليون ساعة عمل حكومية</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 xml:space="preserve">كما قدرت الوفورات التي تحققت للمتعاملين نتيجة استخدام الخدمات الحكومية الرقمية بأكثر من </w:t>
      </w:r>
      <w:r w:rsidRPr="0056277A">
        <w:rPr>
          <w:rFonts w:ascii="Times New Roman" w:eastAsia="Times New Roman" w:hAnsi="Times New Roman" w:cs="Times New Roman"/>
          <w:b/>
          <w:bCs/>
          <w:sz w:val="24"/>
          <w:szCs w:val="24"/>
        </w:rPr>
        <w:t xml:space="preserve">368 </w:t>
      </w:r>
      <w:r w:rsidRPr="0056277A">
        <w:rPr>
          <w:rFonts w:ascii="Times New Roman" w:eastAsia="Times New Roman" w:hAnsi="Times New Roman" w:cs="Times New Roman"/>
          <w:b/>
          <w:bCs/>
          <w:sz w:val="24"/>
          <w:szCs w:val="24"/>
          <w:rtl/>
        </w:rPr>
        <w:t>مليار درهم</w:t>
      </w:r>
      <w:r w:rsidRPr="0056277A">
        <w:rPr>
          <w:rFonts w:ascii="Times New Roman" w:eastAsia="Times New Roman" w:hAnsi="Times New Roman" w:cs="Times New Roman"/>
          <w:sz w:val="24"/>
          <w:szCs w:val="24"/>
          <w:rtl/>
        </w:rPr>
        <w:t xml:space="preserve"> خلال العقد السابق. وهذه النتائج تتجاوز القطاع القضائي وحده، إلا أنها تكشف عن العلاقة المباشرة بين تنظيم تقديم الخدمات الحكومية رقميًا وبين تخفيض تكاليف التشغيل والمعاملات ورفع إنتاجية الجهاز الحكومي</w:t>
      </w:r>
      <w:r w:rsidRPr="0056277A">
        <w:rPr>
          <w:rFonts w:ascii="Times New Roman" w:eastAsia="Times New Roman" w:hAnsi="Times New Roman" w:cs="Times New Roman"/>
          <w:sz w:val="24"/>
          <w:szCs w:val="24"/>
        </w:rPr>
        <w:t>.</w:t>
      </w:r>
    </w:p>
    <w:p w14:paraId="4306A1EE"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وتقترب التجربة السنغافورية من الاتجاه ذاته، إلا أنها تقوم بصورة أكبر على دمج التقنيات الرقمية في إدارة دورة القضية وتبادل المستندات والمعلومات بين أطراف منظومة العدالة. ويؤدي هذا النموذج إلى تقليل الاعتماد على الإجراءات المادية المتكررة وتحسين إدارة الوقت والموارد القضائية. ولذلك لا ينبغي قياس الأثر الاقتصادي للتحول القضائي الرقمي فقط بمقدار ما توفره الدولة من أموال مباشرة، وإنما كذلك بقيمة الوقت القضائي الذي يعاد توجيهه إلى الأعمال الموضوعية الأكثر أهمية</w:t>
      </w:r>
      <w:r w:rsidRPr="0056277A">
        <w:rPr>
          <w:rFonts w:ascii="Times New Roman" w:eastAsia="Times New Roman" w:hAnsi="Times New Roman" w:cs="Times New Roman"/>
          <w:sz w:val="24"/>
          <w:szCs w:val="24"/>
        </w:rPr>
        <w:t>.</w:t>
      </w:r>
    </w:p>
    <w:p w14:paraId="707EFC34"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ثانيًا: خفض تكاليف التقاضي والتعامل مع الجهات القضائية</w:t>
      </w:r>
    </w:p>
    <w:p w14:paraId="529E4170"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لا تقتصر الآثار الاقتصادية على الدولة، وإنما تمتد إلى المتقاضين والمحامين والمنشآت الاقتصادية. فإتاحة رفع الدعاوى وتقديم الطلبات والمذكرات وسداد الرسوم ومتابعة القضايا وحضور بعض الجلسات إلكترونيًا تؤدي إلى تخفيض ما يمكن وصفه بـ </w:t>
      </w:r>
      <w:r w:rsidRPr="0056277A">
        <w:rPr>
          <w:rFonts w:ascii="Times New Roman" w:eastAsia="Times New Roman" w:hAnsi="Times New Roman" w:cs="Times New Roman"/>
          <w:b/>
          <w:bCs/>
          <w:sz w:val="24"/>
          <w:szCs w:val="24"/>
          <w:rtl/>
        </w:rPr>
        <w:t>التكاليف غير المباشرة للوصول إلى العدالة</w:t>
      </w:r>
      <w:r w:rsidRPr="0056277A">
        <w:rPr>
          <w:rFonts w:ascii="Times New Roman" w:eastAsia="Times New Roman" w:hAnsi="Times New Roman" w:cs="Times New Roman"/>
          <w:sz w:val="24"/>
          <w:szCs w:val="24"/>
          <w:rtl/>
        </w:rPr>
        <w:t>؛ كتكلفة الانتقال، والوقت الضائع في مراجعة الجهات القضائية، وطباعة المستندات وحفظها وتبادلها</w:t>
      </w:r>
      <w:r w:rsidRPr="0056277A">
        <w:rPr>
          <w:rFonts w:ascii="Times New Roman" w:eastAsia="Times New Roman" w:hAnsi="Times New Roman" w:cs="Times New Roman"/>
          <w:sz w:val="24"/>
          <w:szCs w:val="24"/>
        </w:rPr>
        <w:t>.</w:t>
      </w:r>
    </w:p>
    <w:p w14:paraId="1C414AEB"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المملكة، أسهم التوسع في الخدمات العدلية الرقمية في تحويل عدد كبير من الإجراءات إلى خدمات يمكن إنجازها عن بُعد، وهو ما يتفق مع الاتجاه العام للحكومة الرقمية نحو تقديم خدمات تتمحور حول المستفيد ورفع جودة الخدمات وكفاءتها. وتظهر أهمية التنظيم القانوني هنا في أنه منح التعامل الإلكتروني أساسًا نظاميًا، بحيث لم يعد إنجاز الإجراء عن بُعد مجرد خيار تقني، وإنما أصبح وسيلة معترفًا بها لإنجاز عدد متزايد من المعاملات والإجراءات العدلية</w:t>
      </w:r>
      <w:r w:rsidRPr="0056277A">
        <w:rPr>
          <w:rFonts w:ascii="Times New Roman" w:eastAsia="Times New Roman" w:hAnsi="Times New Roman" w:cs="Times New Roman"/>
          <w:sz w:val="24"/>
          <w:szCs w:val="24"/>
        </w:rPr>
        <w:t>.</w:t>
      </w:r>
    </w:p>
    <w:p w14:paraId="1982AB79" w14:textId="2CFFCFE6" w:rsidR="0056277A" w:rsidRDefault="0056277A" w:rsidP="007020DD">
      <w:pPr>
        <w:spacing w:before="100" w:beforeAutospacing="1" w:after="100" w:afterAutospacing="1" w:line="360" w:lineRule="auto"/>
        <w:jc w:val="left"/>
        <w:rPr>
          <w:rFonts w:ascii="Times New Roman" w:eastAsia="Times New Roman" w:hAnsi="Times New Roman" w:cs="Times New Roman"/>
          <w:sz w:val="24"/>
          <w:szCs w:val="24"/>
          <w:rtl/>
        </w:rPr>
      </w:pPr>
      <w:r w:rsidRPr="0056277A">
        <w:rPr>
          <w:rFonts w:ascii="Times New Roman" w:eastAsia="Times New Roman" w:hAnsi="Times New Roman" w:cs="Times New Roman"/>
          <w:sz w:val="24"/>
          <w:szCs w:val="24"/>
          <w:rtl/>
        </w:rPr>
        <w:t xml:space="preserve">وفي الإمارات ظهر هذا الاتجاه بصورة واضحة في تحويل إجراءات قيد الدعاوى والطلبات القضائية وطلبات التنفيذ في المحاكم الاتحادية إلى نظم إلكترونية بنسبة 100%، وفق ما أعلنته وزارة العدل. كما أسهم تطوير الخدمات في تقليل الحاجة إلى الحضور المادي؛ فعلى سبيل المثال، أعلنت وزارة العدل في عام 2024 أن تطوير خدمة الكاتب العدل أدى إلى </w:t>
      </w:r>
      <w:r w:rsidRPr="0056277A">
        <w:rPr>
          <w:rFonts w:ascii="Times New Roman" w:eastAsia="Times New Roman" w:hAnsi="Times New Roman" w:cs="Times New Roman"/>
          <w:b/>
          <w:bCs/>
          <w:sz w:val="24"/>
          <w:szCs w:val="24"/>
          <w:rtl/>
        </w:rPr>
        <w:t>اختصار زمن تقديم الخدمة بنسبة 50% وتقليل عدد الحقول المطلوب تعبئتها بنسبة 70</w:t>
      </w:r>
      <w:r w:rsidRPr="0056277A">
        <w:rPr>
          <w:rFonts w:ascii="Times New Roman" w:eastAsia="Times New Roman" w:hAnsi="Times New Roman" w:cs="Times New Roman"/>
          <w:b/>
          <w:bCs/>
          <w:sz w:val="24"/>
          <w:szCs w:val="24"/>
        </w:rPr>
        <w:t>%</w:t>
      </w:r>
      <w:r w:rsidRPr="0056277A">
        <w:rPr>
          <w:rFonts w:ascii="Times New Roman" w:eastAsia="Times New Roman" w:hAnsi="Times New Roman" w:cs="Times New Roman"/>
          <w:sz w:val="24"/>
          <w:szCs w:val="24"/>
          <w:rtl/>
        </w:rPr>
        <w:t>، مع إمكان إنجاز بعض الخدمات دون الحضور الشخصي. ورغم أن هذه الخدمة ليست تقاضيًا بالمعنى الضيق، فإنها تقدم نموذجًا واضحًا لكيفية تحول التنظيم الرقمي للخدمات العدلية إلى خفض في تكلفة الوقت والإجراء بالنسبة إلى المستفيد</w:t>
      </w:r>
      <w:r w:rsidRPr="0056277A">
        <w:rPr>
          <w:rFonts w:ascii="Times New Roman" w:eastAsia="Times New Roman" w:hAnsi="Times New Roman" w:cs="Times New Roman"/>
          <w:sz w:val="24"/>
          <w:szCs w:val="24"/>
        </w:rPr>
        <w:t>.</w:t>
      </w:r>
      <w:bookmarkStart w:id="0" w:name="_GoBack"/>
      <w:bookmarkEnd w:id="0"/>
    </w:p>
    <w:p w14:paraId="337DF840" w14:textId="31D7CF88"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سنغافورة أدى تطوير منظومة التقاضي الإلكتروني إلى جعل التعامل الرقمي مع ملفات القضايا جزءًا من البنية الأساسية للعمل القضائي، بما يقلل الاعتماد على الملفات الورقية والإجراءات المادية المتكررة. ويكشف ذلك عن اختلاف نسبي بين التجارب الثلاث؛ ففي حين يبرز في السعودية أثر تكامل الخدمات والمنصات الحكومية، وتظهر الإمارات قدرة أكبر على </w:t>
      </w:r>
      <w:r w:rsidRPr="0056277A">
        <w:rPr>
          <w:rtl/>
        </w:rPr>
        <w:t>خفض التكاليف المالية والتشغيلية</w:t>
      </w:r>
      <w:r w:rsidRPr="0056277A">
        <w:rPr>
          <w:rFonts w:ascii="Times New Roman" w:eastAsia="Times New Roman" w:hAnsi="Times New Roman" w:cs="Times New Roman"/>
          <w:sz w:val="24"/>
          <w:szCs w:val="24"/>
          <w:rtl/>
        </w:rPr>
        <w:t xml:space="preserve"> </w:t>
      </w:r>
      <w:r w:rsidRPr="0056277A">
        <w:rPr>
          <w:rFonts w:ascii="Times New Roman" w:eastAsia="Times New Roman" w:hAnsi="Times New Roman" w:cs="Times New Roman"/>
          <w:sz w:val="24"/>
          <w:szCs w:val="24"/>
          <w:rtl/>
        </w:rPr>
        <w:t>والوقت بصورة كمية، تبرز التجربة السنغافورية في دمج الإدارة الرقمية للقضية في سير العمل القضائي ذاته</w:t>
      </w:r>
      <w:r w:rsidRPr="0056277A">
        <w:rPr>
          <w:rFonts w:ascii="Times New Roman" w:eastAsia="Times New Roman" w:hAnsi="Times New Roman" w:cs="Times New Roman"/>
          <w:sz w:val="24"/>
          <w:szCs w:val="24"/>
        </w:rPr>
        <w:t>.</w:t>
      </w:r>
    </w:p>
    <w:p w14:paraId="02A99010"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ثالثًا: رفع الإنتاجية وتحسين استغلال الموارد البشرية</w:t>
      </w:r>
    </w:p>
    <w:p w14:paraId="3E085D00"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يمثل رفع الإنتاجية أثرًا اقتصاديًا مهمًا للتحول الرقمي القضائي؛ فالاقتصاد في الوقت الذي يستغرقه تسجيل الطلبات وتصنيفها واسترجاع الملفات وتبادل المستندات يتيح للعاملين في الجهات القضائية توجيه قدر أكبر من وقت العمل إلى المهام القانونية والقضائية الأساسية</w:t>
      </w:r>
      <w:r w:rsidRPr="0056277A">
        <w:rPr>
          <w:rFonts w:ascii="Times New Roman" w:eastAsia="Times New Roman" w:hAnsi="Times New Roman" w:cs="Times New Roman"/>
          <w:sz w:val="24"/>
          <w:szCs w:val="24"/>
        </w:rPr>
        <w:t>.</w:t>
      </w:r>
    </w:p>
    <w:p w14:paraId="61E4A2C4"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المملكة يعكس </w:t>
      </w:r>
      <w:r w:rsidRPr="0056277A">
        <w:rPr>
          <w:rFonts w:ascii="Times New Roman" w:eastAsia="Times New Roman" w:hAnsi="Times New Roman" w:cs="Times New Roman"/>
          <w:b/>
          <w:bCs/>
          <w:sz w:val="24"/>
          <w:szCs w:val="24"/>
          <w:rtl/>
        </w:rPr>
        <w:t>قياس التحول الرقمي لعام 2024</w:t>
      </w:r>
      <w:r w:rsidRPr="0056277A">
        <w:rPr>
          <w:rFonts w:ascii="Times New Roman" w:eastAsia="Times New Roman" w:hAnsi="Times New Roman" w:cs="Times New Roman"/>
          <w:sz w:val="24"/>
          <w:szCs w:val="24"/>
          <w:rtl/>
        </w:rPr>
        <w:t xml:space="preserve"> هذا الاتجاه؛ إذ يستهدف القياس تحسين أداء الجهات الحكومية وفاعليتها وجودة الخدمات المقدمة للمستفيدين، وقد بلغ متوسط نتيجة الجهات الحكومية المشمولة بالقياس </w:t>
      </w:r>
      <w:r w:rsidRPr="0056277A">
        <w:rPr>
          <w:rFonts w:ascii="Times New Roman" w:eastAsia="Times New Roman" w:hAnsi="Times New Roman" w:cs="Times New Roman"/>
          <w:b/>
          <w:bCs/>
          <w:sz w:val="24"/>
          <w:szCs w:val="24"/>
        </w:rPr>
        <w:t xml:space="preserve">85.53% </w:t>
      </w:r>
      <w:r w:rsidRPr="0056277A">
        <w:rPr>
          <w:rFonts w:ascii="Times New Roman" w:eastAsia="Times New Roman" w:hAnsi="Times New Roman" w:cs="Times New Roman"/>
          <w:b/>
          <w:bCs/>
          <w:sz w:val="24"/>
          <w:szCs w:val="24"/>
          <w:rtl/>
        </w:rPr>
        <w:t>في عام 2024</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وتكشف هذه المؤشرات أن التحول الرقمي أصبح مرتبطًا بقياس الأداء المؤسسي، وليس بمجرد عدد الخدمات التي تم تحويلها إلى الشكل الإلكتروني</w:t>
      </w:r>
      <w:r w:rsidRPr="0056277A">
        <w:rPr>
          <w:rFonts w:ascii="Times New Roman" w:eastAsia="Times New Roman" w:hAnsi="Times New Roman" w:cs="Times New Roman"/>
          <w:sz w:val="24"/>
          <w:szCs w:val="24"/>
        </w:rPr>
        <w:t>.</w:t>
      </w:r>
    </w:p>
    <w:p w14:paraId="1B451AE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الإمارات يرتبط ذلك بتوجه أكثر صراحة نحو تقليص الإجراءات وتصفير البيروقراطية؛ فقد أكدت وزارة العدل أن التحول الرقمي في المنظومة القضائية والقانونية يقوم على تيسير الإجراءات وتقليصها والاستفادة من التقنيات الحديثة في رفع كفاءة منظومة العدالة. كما أن توفير ملايين ساعات العمل على المستوى الحكومي يعني اقتصاديًا إمكان إعادة توجيه الموارد البشرية نحو أعمال أكثر إنتاجية بدلًا من استهلاكها في الإجراءات الروتينية</w:t>
      </w:r>
      <w:r w:rsidRPr="0056277A">
        <w:rPr>
          <w:rFonts w:ascii="Times New Roman" w:eastAsia="Times New Roman" w:hAnsi="Times New Roman" w:cs="Times New Roman"/>
          <w:sz w:val="24"/>
          <w:szCs w:val="24"/>
        </w:rPr>
        <w:t>.</w:t>
      </w:r>
    </w:p>
    <w:p w14:paraId="45263117"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أما سنغافورة، فإن الاعتماد المبكر على التقاضي الإلكتروني وإدارة الملفات الرقمية يعكس نموذجًا يقوم على جعل التقنية جزءًا من إدارة الموارد القضائية نفسها. ومن ثم يظهر الأثر الاقتصادي في تقليل الزمن الإداري للقضية وتحسين تدفق المستندات والمعلومات بين المحكمة وممارسي المهنة القانونية</w:t>
      </w:r>
      <w:r w:rsidRPr="0056277A">
        <w:rPr>
          <w:rFonts w:ascii="Times New Roman" w:eastAsia="Times New Roman" w:hAnsi="Times New Roman" w:cs="Times New Roman"/>
          <w:sz w:val="24"/>
          <w:szCs w:val="24"/>
        </w:rPr>
        <w:t>.</w:t>
      </w:r>
    </w:p>
    <w:p w14:paraId="0BBA68A7"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0CCB741D"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7773F42C"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26B2D71B" w14:textId="5087872C"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65360E07" w14:textId="67601736"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رابعًا: دعم بيئة الأعمال وتحقيق قيمة اقتصادية غير مباشرة</w:t>
      </w:r>
    </w:p>
    <w:p w14:paraId="65C5181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لا ينبغي حصر الأثر الاقتصادي للتحول القضائي الرقمي في الوفر المالي المباشر؛ لأن سرعة الإجراءات القضائية وإمكان الوصول إلى الخدمات القانونية عن بُعد وتحسين كفاءة تنفيذ الحقوق تؤثر كذلك في </w:t>
      </w:r>
      <w:r w:rsidRPr="0056277A">
        <w:rPr>
          <w:rFonts w:ascii="Times New Roman" w:eastAsia="Times New Roman" w:hAnsi="Times New Roman" w:cs="Times New Roman"/>
          <w:b/>
          <w:bCs/>
          <w:sz w:val="24"/>
          <w:szCs w:val="24"/>
          <w:rtl/>
        </w:rPr>
        <w:t>بيئة الأعمال والثقة في المعاملات والاستثمار</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فالمستثمر لا ينظر فقط إلى القواعد الموضوعية التي تحكم نشاطه، وإنما يهتم أيضًا بمدى سهولة إنفاذ العقود وتسوية المنازعات والحصول على الخدمات القانونية والقضائية</w:t>
      </w:r>
      <w:r w:rsidRPr="0056277A">
        <w:rPr>
          <w:rFonts w:ascii="Times New Roman" w:eastAsia="Times New Roman" w:hAnsi="Times New Roman" w:cs="Times New Roman"/>
          <w:sz w:val="24"/>
          <w:szCs w:val="24"/>
        </w:rPr>
        <w:t>.</w:t>
      </w:r>
    </w:p>
    <w:p w14:paraId="553A9D6C"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ولهذا ربطت الاستراتيجية السعودية للحكومة الرقمية بين تطوير الخدمات الرقمية وبين </w:t>
      </w:r>
      <w:r w:rsidRPr="0056277A">
        <w:rPr>
          <w:rFonts w:ascii="Times New Roman" w:eastAsia="Times New Roman" w:hAnsi="Times New Roman" w:cs="Times New Roman"/>
          <w:b/>
          <w:bCs/>
          <w:sz w:val="24"/>
          <w:szCs w:val="24"/>
          <w:rtl/>
        </w:rPr>
        <w:t>تمكين الأعمال وتسهيل ممارسة الأنشطة الاقتصادية وتنمية الاقتصاد الرقمي ورفع كفاءة الاستثمار الحكومي</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 xml:space="preserve">كما تشير هيئة الحكومة الرقمية إلى أن حجم سوق الاتصالات وتقنية المعلومات في المملكة تجاوز </w:t>
      </w:r>
      <w:r w:rsidRPr="0056277A">
        <w:rPr>
          <w:rFonts w:ascii="Times New Roman" w:eastAsia="Times New Roman" w:hAnsi="Times New Roman" w:cs="Times New Roman"/>
          <w:b/>
          <w:bCs/>
          <w:sz w:val="24"/>
          <w:szCs w:val="24"/>
        </w:rPr>
        <w:t xml:space="preserve">180 </w:t>
      </w:r>
      <w:r w:rsidRPr="0056277A">
        <w:rPr>
          <w:rFonts w:ascii="Times New Roman" w:eastAsia="Times New Roman" w:hAnsi="Times New Roman" w:cs="Times New Roman"/>
          <w:b/>
          <w:bCs/>
          <w:sz w:val="24"/>
          <w:szCs w:val="24"/>
          <w:rtl/>
        </w:rPr>
        <w:t>مليار ريال في عام 2024</w:t>
      </w:r>
      <w:r w:rsidRPr="0056277A">
        <w:rPr>
          <w:rFonts w:ascii="Times New Roman" w:eastAsia="Times New Roman" w:hAnsi="Times New Roman" w:cs="Times New Roman"/>
          <w:sz w:val="24"/>
          <w:szCs w:val="24"/>
          <w:rtl/>
        </w:rPr>
        <w:t xml:space="preserve">، مع تقديم أكثر من </w:t>
      </w:r>
      <w:r w:rsidRPr="0056277A">
        <w:rPr>
          <w:rFonts w:ascii="Times New Roman" w:eastAsia="Times New Roman" w:hAnsi="Times New Roman" w:cs="Times New Roman"/>
          <w:b/>
          <w:bCs/>
          <w:sz w:val="24"/>
          <w:szCs w:val="24"/>
        </w:rPr>
        <w:t xml:space="preserve">4500 </w:t>
      </w:r>
      <w:r w:rsidRPr="0056277A">
        <w:rPr>
          <w:rFonts w:ascii="Times New Roman" w:eastAsia="Times New Roman" w:hAnsi="Times New Roman" w:cs="Times New Roman"/>
          <w:b/>
          <w:bCs/>
          <w:sz w:val="24"/>
          <w:szCs w:val="24"/>
          <w:rtl/>
        </w:rPr>
        <w:t>خدمة حكومية رقمية</w:t>
      </w:r>
      <w:r w:rsidRPr="0056277A">
        <w:rPr>
          <w:rFonts w:ascii="Times New Roman" w:eastAsia="Times New Roman" w:hAnsi="Times New Roman" w:cs="Times New Roman"/>
          <w:sz w:val="24"/>
          <w:szCs w:val="24"/>
          <w:rtl/>
        </w:rPr>
        <w:t xml:space="preserve"> تمثل أكثر من 97% من الخدمات الحكومية، وهو ما يعكس البيئة الاقتصادية الأوسع التي تعمل ضمنها منظومة العدالة الرقمية</w:t>
      </w:r>
      <w:r w:rsidRPr="0056277A">
        <w:rPr>
          <w:rFonts w:ascii="Times New Roman" w:eastAsia="Times New Roman" w:hAnsi="Times New Roman" w:cs="Times New Roman"/>
          <w:sz w:val="24"/>
          <w:szCs w:val="24"/>
        </w:rPr>
        <w:t>.</w:t>
      </w:r>
    </w:p>
    <w:p w14:paraId="44B61B5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ويتقارب ذلك مع النموذج الإماراتي الذي يربط الخدمات الرقمية بتعزيز الإنتاجية وتقليل الأعباء الإجرائية على الأفراد والمنشآت، بينما تعكس التجربة السنغافورية نموذجًا ناضجًا في دمج الخدمات القضائية الرقمية ضمن بيئة قانونية واقتصادية تقوم على السرعة والكفاءة وإمكان إدارة المنازعات والمستندات إلكترونيًا</w:t>
      </w:r>
      <w:r w:rsidRPr="0056277A">
        <w:rPr>
          <w:rFonts w:ascii="Times New Roman" w:eastAsia="Times New Roman" w:hAnsi="Times New Roman" w:cs="Times New Roman"/>
          <w:sz w:val="24"/>
          <w:szCs w:val="24"/>
        </w:rPr>
        <w:t>.</w:t>
      </w:r>
    </w:p>
    <w:p w14:paraId="477B014B" w14:textId="5D033952" w:rsidR="00D27886" w:rsidRPr="0056277A" w:rsidRDefault="0056277A" w:rsidP="0056277A">
      <w:pPr>
        <w:spacing w:before="100" w:beforeAutospacing="1" w:after="100" w:afterAutospacing="1" w:line="360" w:lineRule="auto"/>
        <w:jc w:val="both"/>
        <w:outlineLvl w:val="1"/>
        <w:rPr>
          <w:rFonts w:ascii="Times New Roman" w:eastAsia="Times New Roman" w:hAnsi="Times New Roman" w:cs="Times New Roman"/>
          <w:b/>
          <w:bCs/>
          <w:sz w:val="32"/>
          <w:szCs w:val="32"/>
          <w:rtl/>
        </w:rPr>
      </w:pPr>
      <w:r>
        <w:rPr>
          <w:rtl/>
        </w:rPr>
        <w:t xml:space="preserve">يتضح من المقارنة أن الأثر الاقتصادي لتنظيم التحول الرقمي القضائي في الدول الثلاث لا يتمثل في مجرد تخفيض استخدام الورق أو تقليل أعداد المراجعين للمحاكم، وإنما يمتد إلى </w:t>
      </w:r>
      <w:r>
        <w:rPr>
          <w:rStyle w:val="a3"/>
          <w:rtl/>
        </w:rPr>
        <w:t>إعادة توزيع الموارد العامة، وخفض تكاليف الوصول إلى العدالة، ورفع إنتاجية الموارد البشرية، وتحسين كفاءة تقديم الخدمات، ودعم بيئة الأعمال</w:t>
      </w:r>
      <w:r>
        <w:t xml:space="preserve">. </w:t>
      </w:r>
      <w:r>
        <w:rPr>
          <w:rtl/>
        </w:rPr>
        <w:t>غير أن التجارب تختلف في طريقة إظهار هذه النتائج؛ إذ تتجه المملكة العربية السعودية بصورة متزايدة نحو ربط التحول الرقمي بكفاءة الإنفاق والاستثمار والتكامل بين المنصات الحكومية، بينما تتميز الإمارات بوجود مؤشرات كمية واضحة لقياس الوفر المالي والزمني الناتج عن التحول الرقمي، في حين تتميز سنغافورة بعمق دمج النظم الرقمية في دورة إدارة الدعوى والعمل القضائي</w:t>
      </w:r>
    </w:p>
    <w:p w14:paraId="6F7D439B" w14:textId="6A953113" w:rsidR="00D27886" w:rsidRDefault="0056277A" w:rsidP="0056277A">
      <w:pPr>
        <w:spacing w:before="100" w:beforeAutospacing="1" w:after="100" w:afterAutospacing="1" w:line="360" w:lineRule="auto"/>
        <w:jc w:val="both"/>
        <w:outlineLvl w:val="1"/>
        <w:rPr>
          <w:rFonts w:ascii="Times New Roman" w:eastAsia="Times New Roman" w:hAnsi="Times New Roman" w:cs="Times New Roman"/>
          <w:b/>
          <w:bCs/>
          <w:sz w:val="32"/>
          <w:szCs w:val="32"/>
          <w:rtl/>
        </w:rPr>
      </w:pPr>
      <w:r>
        <w:rPr>
          <w:rtl/>
        </w:rPr>
        <w:t xml:space="preserve">أن الاستفادة من التجربتين الإماراتية والسنغافورية في المملكة لا تقتضي نقل النموذج التقني ذاته، بقدر ما تستدعي </w:t>
      </w:r>
      <w:r>
        <w:rPr>
          <w:rStyle w:val="a3"/>
          <w:rtl/>
        </w:rPr>
        <w:t>تطوير مؤشرات اقتصادية خاصة بالتحول القضائي الرقمي</w:t>
      </w:r>
      <w:r>
        <w:rPr>
          <w:rtl/>
        </w:rPr>
        <w:t xml:space="preserve"> تقيس بصورة مستقلة تكلفة الدعوى الإلكترونية مقارنة بالدعوى التقليدية، ومتوسط الوقت الذي توفره الخدمات الرقمية، ومقدار خفض التكاليف على المتقاضين، والعائد الاقتصادي الناتج عن التكامل بين منصة ناجز والجهات الحكومية الأخرى. فمن شأن وجود هذه المؤشرات أن ينقل تقييم التحول الرقمي القضائي من قياس عدد الخدمات والمعاملات الإلكترونية إلى قياس </w:t>
      </w:r>
      <w:r>
        <w:rPr>
          <w:rStyle w:val="a3"/>
          <w:rtl/>
        </w:rPr>
        <w:t>القيمة الاقتصادية الفعلية التي يحققها التنظيم الرقمي لمنظومة العدالة</w:t>
      </w:r>
      <w:r>
        <w:t>.</w:t>
      </w:r>
    </w:p>
    <w:p w14:paraId="52A8861A" w14:textId="77777777" w:rsidR="00D27886" w:rsidRDefault="00D27886" w:rsidP="0056277A">
      <w:pPr>
        <w:spacing w:before="100" w:beforeAutospacing="1" w:after="100" w:afterAutospacing="1" w:line="360" w:lineRule="auto"/>
        <w:jc w:val="both"/>
        <w:outlineLvl w:val="1"/>
        <w:rPr>
          <w:rFonts w:ascii="Times New Roman" w:eastAsia="Times New Roman" w:hAnsi="Times New Roman" w:cs="Times New Roman"/>
          <w:b/>
          <w:bCs/>
          <w:sz w:val="32"/>
          <w:szCs w:val="32"/>
          <w:rtl/>
        </w:rPr>
      </w:pPr>
    </w:p>
    <w:p w14:paraId="05E67D5F" w14:textId="186FDDDF" w:rsidR="00576DB0" w:rsidRPr="00576DB0" w:rsidRDefault="00576DB0" w:rsidP="0056277A">
      <w:pPr>
        <w:pStyle w:val="3"/>
        <w:spacing w:line="360" w:lineRule="auto"/>
        <w:ind w:left="0" w:firstLine="0"/>
        <w:rPr>
          <w:sz w:val="24"/>
          <w:szCs w:val="24"/>
        </w:rPr>
      </w:pPr>
    </w:p>
    <w:p w14:paraId="766467D2" w14:textId="69E196D1" w:rsidR="00F306DC"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Pr>
        <w:t>.</w:t>
      </w:r>
    </w:p>
    <w:p w14:paraId="33A6D03B" w14:textId="77777777" w:rsidR="0056277A" w:rsidRPr="0056277A" w:rsidRDefault="0056277A" w:rsidP="0056277A">
      <w:pPr>
        <w:bidi w:val="0"/>
        <w:spacing w:before="100" w:beforeAutospacing="1" w:after="100" w:afterAutospacing="1" w:line="360" w:lineRule="auto"/>
        <w:outlineLvl w:val="1"/>
        <w:rPr>
          <w:rFonts w:ascii="Times New Roman" w:eastAsia="Times New Roman" w:hAnsi="Times New Roman" w:cs="Times New Roman"/>
          <w:b/>
          <w:bCs/>
          <w:sz w:val="36"/>
          <w:szCs w:val="36"/>
        </w:rPr>
      </w:pPr>
      <w:r w:rsidRPr="0056277A">
        <w:rPr>
          <w:rFonts w:ascii="Times New Roman" w:eastAsia="Times New Roman" w:hAnsi="Times New Roman" w:cs="Times New Roman"/>
          <w:b/>
          <w:bCs/>
          <w:sz w:val="36"/>
          <w:szCs w:val="36"/>
          <w:rtl/>
        </w:rPr>
        <w:t>المطلب الثالث: الآثار التقنية والأمنية المترتبة على تنظيم التحول الرقمي</w:t>
      </w:r>
    </w:p>
    <w:p w14:paraId="218F294C"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أدى تنظيم التحول الرقمي إلى إحداث آثار تقنية وأمنية جوهرية في عمل المؤسسات القضائية؛ إذ لم يعد استخدام الوسائل التقنية في التقاضي قائمًا على مبادرات منفصلة أو حلول تقنية محدودة، وإنما أصبح جزءًا من منظومة تخضع لمتطلبات تنظيمية تتعلق بتكامل الأنظمة، وحوكمة تقنية المعلومات، واستمرارية الخدمات، وإدارة المخاطر، والأمن السيبراني. وتكتسب هذه الآثار أهمية خاصة في المجال القضائي بالنظر إلى حساسية البيانات والمستندات المتداولة، وضرورة المحافظة على سلامة الإجراءات وإمكان الاعتماد على الأنظمة الرقمية بصورة مستقرة وآمنة</w:t>
      </w:r>
      <w:r w:rsidRPr="0056277A">
        <w:rPr>
          <w:rFonts w:ascii="Times New Roman" w:eastAsia="Times New Roman" w:hAnsi="Times New Roman" w:cs="Times New Roman"/>
          <w:sz w:val="24"/>
          <w:szCs w:val="24"/>
        </w:rPr>
        <w:t>.</w:t>
      </w:r>
    </w:p>
    <w:p w14:paraId="0C30157D"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وتكشف المقارنة بين المملكة العربية السعودية والإمارات العربية المتحدة وسنغافورة عن اتجاه مشترك نحو بناء بنية قضائية رقمية موثوقة، وإن اختلفت الأدوات التنظيمية والتقنية التي اعتمدتها كل دولة لتحقيق ذلك</w:t>
      </w:r>
      <w:r w:rsidRPr="0056277A">
        <w:rPr>
          <w:rFonts w:ascii="Times New Roman" w:eastAsia="Times New Roman" w:hAnsi="Times New Roman" w:cs="Times New Roman"/>
          <w:sz w:val="24"/>
          <w:szCs w:val="24"/>
        </w:rPr>
        <w:t>.</w:t>
      </w:r>
    </w:p>
    <w:p w14:paraId="2BB51DD3" w14:textId="77777777"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أولًا: تطوير البنية التقنية وتحقيق التكامل بين الأنظمة</w:t>
      </w:r>
    </w:p>
    <w:p w14:paraId="5E45F11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يتمثل أول الآثار التقنية لتنظيم التحول الرقمي في الانتقال من استخدام تطبيقات إلكترونية منفصلة إلى بناء منظومات رقمية مترابطة تستطيع تبادل البيانات والخدمات. ولا تتحقق الفائدة الكاملة من التحول القضائي بمجرد تحويل الدعوى الورقية إلى ملف إلكتروني، وإنما تتطلب وجود بنية تقنية تسمح بربط المحكمة بالجهات ذات الصلة، وتبادل المعلومات بصورة موثوقة، والحد من تكرار إدخال البيانات والمستندات</w:t>
      </w:r>
      <w:r w:rsidRPr="0056277A">
        <w:rPr>
          <w:rFonts w:ascii="Times New Roman" w:eastAsia="Times New Roman" w:hAnsi="Times New Roman" w:cs="Times New Roman"/>
          <w:sz w:val="24"/>
          <w:szCs w:val="24"/>
        </w:rPr>
        <w:t>.</w:t>
      </w:r>
    </w:p>
    <w:p w14:paraId="3C3E8CC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المملكة العربية السعودية يتضح هذا الاتجاه من الإطار التنظيمي للحكومة الرقمية، الذي يركز على تحقيق التكامل بين الجهات الحكومية ورفع كفاءة البنية الرقمية. ويستهدف </w:t>
      </w:r>
      <w:r w:rsidRPr="0056277A">
        <w:rPr>
          <w:rFonts w:ascii="Times New Roman" w:eastAsia="Times New Roman" w:hAnsi="Times New Roman" w:cs="Times New Roman"/>
          <w:b/>
          <w:bCs/>
          <w:sz w:val="24"/>
          <w:szCs w:val="24"/>
          <w:rtl/>
        </w:rPr>
        <w:t>برنامج الحكومة الشاملة</w:t>
      </w:r>
      <w:r w:rsidRPr="0056277A">
        <w:rPr>
          <w:rFonts w:ascii="Times New Roman" w:eastAsia="Times New Roman" w:hAnsi="Times New Roman" w:cs="Times New Roman"/>
          <w:sz w:val="24"/>
          <w:szCs w:val="24"/>
          <w:rtl/>
        </w:rPr>
        <w:t xml:space="preserve"> تطوير وتشغيل منصات وتطبيقات موحدة تمكّن الجهات الحكومية من تبادل الخدمات وربطها بكفاءة، مع رفع مستوى مشاركة البيانات بينها. كما تقرر سياسات الحكومة الرقمية ضرورة بناء التقنيات بصورة مرنة تسمح بمواءمتها مع التوجهات المستقبلية، وامتثال التقنيات للمتطلبات التشريعية والتنظيمية المتعلقة بإدارة البيانات والتعاملات الرقمية والأمن السيبراني. ويعني ذلك أن تنظيم التحول الرقمي أحدث أثرًا تقنيًا يتمثل في الانتقال من مجرد رقمنة الخدمة إلى </w:t>
      </w:r>
      <w:r w:rsidRPr="0056277A">
        <w:rPr>
          <w:rFonts w:ascii="Times New Roman" w:eastAsia="Times New Roman" w:hAnsi="Times New Roman" w:cs="Times New Roman"/>
          <w:b/>
          <w:bCs/>
          <w:sz w:val="24"/>
          <w:szCs w:val="24"/>
          <w:rtl/>
        </w:rPr>
        <w:t>تكامل الأنظمة والخدمات والبيانات داخل بيئة حكومية منظمة</w:t>
      </w:r>
      <w:r w:rsidRPr="0056277A">
        <w:rPr>
          <w:rFonts w:ascii="Times New Roman" w:eastAsia="Times New Roman" w:hAnsi="Times New Roman" w:cs="Times New Roman"/>
          <w:sz w:val="24"/>
          <w:szCs w:val="24"/>
        </w:rPr>
        <w:t>.</w:t>
      </w:r>
    </w:p>
    <w:p w14:paraId="46AB28C0"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وينعكس ذلك على المجال القضائي من خلال إمكان ربط الخدمات العدلية الرقمية بالجهات الحكومية ذات العلاقة، الأمر الذي يختصر الإجراءات ويعزز دقة البيانات المتداولة. وبالتالي فإن القيمة التقنية لمنصة رقمية قضائية لا تقاس فقط بعدد الخدمات التي تقدمها، وإنما كذلك بقدرتها على العمل ضمن منظومة حكومية متكاملة</w:t>
      </w:r>
      <w:r w:rsidRPr="0056277A">
        <w:rPr>
          <w:rFonts w:ascii="Times New Roman" w:eastAsia="Times New Roman" w:hAnsi="Times New Roman" w:cs="Times New Roman"/>
          <w:sz w:val="24"/>
          <w:szCs w:val="24"/>
        </w:rPr>
        <w:t>.</w:t>
      </w:r>
    </w:p>
    <w:p w14:paraId="4E8A8989"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6664315"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248A609F"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2F4716A8" w14:textId="1BD70FEB"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وتتقارب الإمارات وسنغافورة مع المملكة في هذا الاتجاه؛ إذ يقوم التحول الرقمي لديهما على بنية حكومية رقمية تدعم تبادل المعلومات والخدمات، غير أن التجربة السنغافورية تقدم نموذجًا متقدمًا في دمج التقنية مباشرة في دورة التقاضي؛ فمنصة </w:t>
      </w:r>
      <w:r w:rsidRPr="0056277A">
        <w:rPr>
          <w:rFonts w:ascii="Times New Roman" w:eastAsia="Times New Roman" w:hAnsi="Times New Roman" w:cs="Times New Roman"/>
          <w:b/>
          <w:bCs/>
          <w:sz w:val="24"/>
          <w:szCs w:val="24"/>
        </w:rPr>
        <w:t>eLitigation</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التابعة للسلطة القضائية السنغافورية تتيح الإيداع الإلكتروني للطلبات والمستندات في القضايا المدنية والأسرية، وكذلك في نطاق محدد من القضايا الجنائية أمام المحكمة العليا، وهو ما يجعل البنية الرقمية جزءًا من سير الدعوى نفسها، وليس مجرد قناة مساندة للخدمة القضائية</w:t>
      </w:r>
      <w:r w:rsidRPr="0056277A">
        <w:rPr>
          <w:rFonts w:ascii="Times New Roman" w:eastAsia="Times New Roman" w:hAnsi="Times New Roman" w:cs="Times New Roman"/>
          <w:sz w:val="24"/>
          <w:szCs w:val="24"/>
        </w:rPr>
        <w:t>.</w:t>
      </w:r>
    </w:p>
    <w:p w14:paraId="553CFAC1"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ومن ثم يظهر الأثر التقني المشترك في الدول الثلاث في </w:t>
      </w:r>
      <w:r w:rsidRPr="0056277A">
        <w:rPr>
          <w:rFonts w:ascii="Times New Roman" w:eastAsia="Times New Roman" w:hAnsi="Times New Roman" w:cs="Times New Roman"/>
          <w:b/>
          <w:bCs/>
          <w:sz w:val="24"/>
          <w:szCs w:val="24"/>
          <w:rtl/>
        </w:rPr>
        <w:t>تحول البنية الرقمية من وسيلة لتقديم الخدمة إلى بنية أساسية لإدارة الإجراء القضائي وتبادل المعلومات المرتبطة به</w:t>
      </w:r>
      <w:r w:rsidRPr="0056277A">
        <w:rPr>
          <w:rFonts w:ascii="Times New Roman" w:eastAsia="Times New Roman" w:hAnsi="Times New Roman" w:cs="Times New Roman"/>
          <w:sz w:val="24"/>
          <w:szCs w:val="24"/>
        </w:rPr>
        <w:t>.</w:t>
      </w:r>
    </w:p>
    <w:p w14:paraId="1F6CA225" w14:textId="77777777"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ثانيًا: تعزيز موثوقية الأنظمة الرقمية واستمرارية الخدمات القضائية</w:t>
      </w:r>
    </w:p>
    <w:p w14:paraId="25952BBA"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أدى تنظيم التحول الرقمي كذلك إلى زيادة الاهتمام بموثوقية الأنظمة واستمرارية عملها؛ لأن الاعتماد المتزايد على المنصات القضائية يجعل أي تعطل تقني مؤثرًا بصورة مباشرة في قدرة الأفراد على رفع الدعاوى وتقديم الطلبات ومتابعة الإجراءات</w:t>
      </w:r>
      <w:r w:rsidRPr="0056277A">
        <w:rPr>
          <w:rFonts w:ascii="Times New Roman" w:eastAsia="Times New Roman" w:hAnsi="Times New Roman" w:cs="Times New Roman"/>
          <w:sz w:val="24"/>
          <w:szCs w:val="24"/>
        </w:rPr>
        <w:t>.</w:t>
      </w:r>
    </w:p>
    <w:p w14:paraId="66BB409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وتظهر أهمية هذا الأثر في أن التنظيم التقني الحديث لم يعد يهتم فقط بإنشاء النظام الإلكتروني، وإنما أصبح يتطلب إدارة المخاطر واستمرارية الأعمال ورفع جاهزية الجهات الحكومية. وفي المملكة، تتضمن البيئة التنظيمية للحكومة الرقمية ضوابط ومعايير لحوكمة تقنية المعلومات وإدارة المخاطر واستمرارية الأعمال، وهو ما يعكس الانتقال من مفهوم «تشغيل الخدمة الرقمية» إلى مفهوم أوسع يقوم على </w:t>
      </w:r>
      <w:r w:rsidRPr="0056277A">
        <w:rPr>
          <w:rFonts w:ascii="Times New Roman" w:eastAsia="Times New Roman" w:hAnsi="Times New Roman" w:cs="Times New Roman"/>
          <w:b/>
          <w:bCs/>
          <w:sz w:val="24"/>
          <w:szCs w:val="24"/>
          <w:rtl/>
        </w:rPr>
        <w:t>ضمان استدامة الخدمة وقدرتها على مواجهة الأعطال والمخاطر الرقمية</w:t>
      </w:r>
      <w:r w:rsidRPr="0056277A">
        <w:rPr>
          <w:rFonts w:ascii="Times New Roman" w:eastAsia="Times New Roman" w:hAnsi="Times New Roman" w:cs="Times New Roman"/>
          <w:sz w:val="24"/>
          <w:szCs w:val="24"/>
        </w:rPr>
        <w:t>.</w:t>
      </w:r>
    </w:p>
    <w:p w14:paraId="38A96EF1"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وتزداد أهمية ذلك في القضاء؛ فإذا أصبح رفع الدعوى أو تقديم المذكرة أو الحصول على خدمة قضائية مرتبطًا بمنصة رقمية، فإن استمرارية هذه المنصة تصبح من الضمانات العملية للوصول إلى العدالة. ومن هنا يترتب على التحول الرقمي التزام مؤسسي بتوفير بنية تقنية مستقرة وخطط للتعامل مع الأعطال واستعادة الخدمات والبيانات</w:t>
      </w:r>
      <w:r w:rsidRPr="0056277A">
        <w:rPr>
          <w:rFonts w:ascii="Times New Roman" w:eastAsia="Times New Roman" w:hAnsi="Times New Roman" w:cs="Times New Roman"/>
          <w:sz w:val="24"/>
          <w:szCs w:val="24"/>
        </w:rPr>
        <w:t>.</w:t>
      </w:r>
    </w:p>
    <w:p w14:paraId="5711F31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ويظهر الاتجاه ذاته في سنغافورة؛ فقد أصدرت هيئة تطوير الإعلام والاتصالات في عام 2025 إرشادات تتعلق بمرونة وأمن الخدمات السحابية ومراكز البيانات، موضحة أن استمرار الخدمات الرقمية يعتمد على توافر البنية السحابية ومراكز البيانات بصورة مستقرة، وأن المخاطر قد تنتج عن أخطاء في البنية التقنية أو الحوادث المادية أو الهجمات السيبرانية</w:t>
      </w:r>
      <w:r w:rsidRPr="0056277A">
        <w:rPr>
          <w:rFonts w:ascii="Times New Roman" w:eastAsia="Times New Roman" w:hAnsi="Times New Roman" w:cs="Times New Roman"/>
          <w:sz w:val="24"/>
          <w:szCs w:val="24"/>
        </w:rPr>
        <w:t>.</w:t>
      </w:r>
    </w:p>
    <w:p w14:paraId="2F5CA8C4"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r w:rsidRPr="0056277A">
        <w:rPr>
          <w:rFonts w:ascii="Times New Roman" w:eastAsia="Times New Roman" w:hAnsi="Times New Roman" w:cs="Times New Roman"/>
          <w:sz w:val="24"/>
          <w:szCs w:val="24"/>
          <w:rtl/>
        </w:rPr>
        <w:t xml:space="preserve">وبذلك يتضح أن أحد أهم الآثار التقنية للتنظيم يتمثل في </w:t>
      </w:r>
      <w:r w:rsidRPr="0056277A">
        <w:rPr>
          <w:rFonts w:ascii="Times New Roman" w:eastAsia="Times New Roman" w:hAnsi="Times New Roman" w:cs="Times New Roman"/>
          <w:b/>
          <w:bCs/>
          <w:sz w:val="24"/>
          <w:szCs w:val="24"/>
          <w:rtl/>
        </w:rPr>
        <w:t>تحويل استمرارية الأنظمة من مسألة تشغيلية داخلية إلى عنصر أساسي في موثوقية الخدمة الرقمية</w:t>
      </w:r>
      <w:r w:rsidRPr="0056277A">
        <w:rPr>
          <w:rFonts w:ascii="Times New Roman" w:eastAsia="Times New Roman" w:hAnsi="Times New Roman" w:cs="Times New Roman"/>
          <w:sz w:val="24"/>
          <w:szCs w:val="24"/>
          <w:rtl/>
        </w:rPr>
        <w:t>، وهو أمر أكثر أهمية في البيئة القضائية لارتباط الخدمة بمواعيد وإجراءات قد يترتب على فواتها آثار قانونية</w:t>
      </w:r>
    </w:p>
    <w:p w14:paraId="0CA94B23"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66A75D2B" w14:textId="6E9CB3C4"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Pr>
        <w:t>.</w:t>
      </w:r>
    </w:p>
    <w:p w14:paraId="3DAE3415" w14:textId="02DBBF97" w:rsid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tl/>
        </w:rPr>
      </w:pPr>
      <w:r w:rsidRPr="0056277A">
        <w:rPr>
          <w:rFonts w:ascii="Times New Roman" w:eastAsia="Times New Roman" w:hAnsi="Times New Roman" w:cs="Times New Roman"/>
          <w:b/>
          <w:bCs/>
          <w:sz w:val="27"/>
          <w:szCs w:val="27"/>
          <w:rtl/>
        </w:rPr>
        <w:t>ثالثًا: تعزيز الأمن السيبراني وحماية الأنظمة القضائية</w:t>
      </w:r>
    </w:p>
    <w:p w14:paraId="5F10CDF6"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يقابل التوسع التقني توسع في المخاطر الأمنية؛ فكلما زاد الاعتماد على الملفات الإلكترونية والاتصال عن بُعد وتبادل البيانات بين الجهات، اتسع نطاق المخاطر المرتبطة بالاختراق أو التلاعب أو فقدان البيانات أو تعطيل الخدمات. ولذلك كان من أبرز الآثار الأمنية لتنظيم التحول الرقمي الانتقال من التعامل مع الأمن السيبراني بوصفه إجراءً تقنيًا مساعدًا إلى اعتباره </w:t>
      </w:r>
      <w:r w:rsidRPr="0056277A">
        <w:rPr>
          <w:rFonts w:ascii="Times New Roman" w:eastAsia="Times New Roman" w:hAnsi="Times New Roman" w:cs="Times New Roman"/>
          <w:b/>
          <w:bCs/>
          <w:sz w:val="24"/>
          <w:szCs w:val="24"/>
          <w:rtl/>
        </w:rPr>
        <w:t>التزامًا تنظيميًا ومؤسسيًا ملازمًا للتحول الرقمي</w:t>
      </w:r>
      <w:r w:rsidRPr="0056277A">
        <w:rPr>
          <w:rFonts w:ascii="Times New Roman" w:eastAsia="Times New Roman" w:hAnsi="Times New Roman" w:cs="Times New Roman"/>
          <w:sz w:val="24"/>
          <w:szCs w:val="24"/>
        </w:rPr>
        <w:t>.</w:t>
      </w:r>
    </w:p>
    <w:p w14:paraId="22BA4962"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المملكة العربية السعودية يمثل إصدار الهيئة الوطنية للأمن السيبراني </w:t>
      </w:r>
      <w:r w:rsidRPr="0056277A">
        <w:rPr>
          <w:rFonts w:ascii="Times New Roman" w:eastAsia="Times New Roman" w:hAnsi="Times New Roman" w:cs="Times New Roman"/>
          <w:b/>
          <w:bCs/>
          <w:sz w:val="24"/>
          <w:szCs w:val="24"/>
          <w:rtl/>
        </w:rPr>
        <w:t>الضوابط الأساسية للأمن السيبراني</w:t>
      </w:r>
      <w:r w:rsidRPr="0056277A">
        <w:rPr>
          <w:rFonts w:ascii="Times New Roman" w:eastAsia="Times New Roman" w:hAnsi="Times New Roman" w:cs="Times New Roman"/>
          <w:b/>
          <w:bCs/>
          <w:sz w:val="24"/>
          <w:szCs w:val="24"/>
        </w:rPr>
        <w:t xml:space="preserve"> (ECC 2-2024)</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مثالًا واضحًا على ذلك؛ إذ تستهدف هذه الضوابط تعزيز الأمن السيبراني على المستوى الوطني وحماية الأصول المعلوماتية والتقنية للجهات الوطنية. كما تؤكد الهيئة أن التحول الرقمي وما يصاحبه من زيادة قدرات تخزين البيانات وتبادلها يتطلب المحافظة على أمن المعلومات وتكامل الأنظمة وحماية الخدمات والأنشطة الحكومية</w:t>
      </w:r>
      <w:r w:rsidRPr="0056277A">
        <w:rPr>
          <w:rFonts w:ascii="Times New Roman" w:eastAsia="Times New Roman" w:hAnsi="Times New Roman" w:cs="Times New Roman"/>
          <w:sz w:val="24"/>
          <w:szCs w:val="24"/>
        </w:rPr>
        <w:t>.</w:t>
      </w:r>
    </w:p>
    <w:p w14:paraId="5F9E0778"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وتكتسب هذه الضوابط أهمية بالنسبة إلى القضاء؛ لأن الأنظمة القضائية تحتوي على بيانات ومستندات وملفات ذات حساسية مرتفعة، ومن ثم فإن ضمان سرية المعلومات وسلامتها وتوافرها يمثل شرطًا أساسيًا لاستمرار الثقة في التقاضي الرقمي. وقد دعمت المملكة هذا الاتجاه كذلك بضوابط متخصصة، من بينها </w:t>
      </w:r>
      <w:r w:rsidRPr="0056277A">
        <w:rPr>
          <w:rFonts w:ascii="Times New Roman" w:eastAsia="Times New Roman" w:hAnsi="Times New Roman" w:cs="Times New Roman"/>
          <w:b/>
          <w:bCs/>
          <w:sz w:val="24"/>
          <w:szCs w:val="24"/>
          <w:rtl/>
        </w:rPr>
        <w:t>ضوابط الأمن السيبراني للحوسبة السحابية</w:t>
      </w:r>
      <w:r w:rsidRPr="0056277A">
        <w:rPr>
          <w:rFonts w:ascii="Times New Roman" w:eastAsia="Times New Roman" w:hAnsi="Times New Roman" w:cs="Times New Roman"/>
          <w:b/>
          <w:bCs/>
          <w:sz w:val="24"/>
          <w:szCs w:val="24"/>
        </w:rPr>
        <w:t xml:space="preserve"> (CCC-2:2024)</w:t>
      </w:r>
      <w:r w:rsidRPr="0056277A">
        <w:rPr>
          <w:rFonts w:ascii="Times New Roman" w:eastAsia="Times New Roman" w:hAnsi="Times New Roman" w:cs="Times New Roman"/>
          <w:sz w:val="24"/>
          <w:szCs w:val="24"/>
          <w:rtl/>
        </w:rPr>
        <w:t>، التي تستهدف تقليل المخاطر السيبرانية ورفع جاهزية مقدمي الخدمات والمشتركين في الخدمات السحابية</w:t>
      </w:r>
      <w:r w:rsidRPr="0056277A">
        <w:rPr>
          <w:rFonts w:ascii="Times New Roman" w:eastAsia="Times New Roman" w:hAnsi="Times New Roman" w:cs="Times New Roman"/>
          <w:sz w:val="24"/>
          <w:szCs w:val="24"/>
        </w:rPr>
        <w:t>.</w:t>
      </w:r>
    </w:p>
    <w:p w14:paraId="4C9182C0"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أما الإمارات وسنغافورة فقد تبنتا كذلك أطرًا وطنية لحماية البنية الرقمية وتعزيز الثقة والأمن في الخدمات الإلكترونية. وتبرز التجربة السنغافورية بصورة خاصة في ربط الأمن بمفهوم </w:t>
      </w:r>
      <w:r w:rsidRPr="0056277A">
        <w:rPr>
          <w:rFonts w:ascii="Times New Roman" w:eastAsia="Times New Roman" w:hAnsi="Times New Roman" w:cs="Times New Roman"/>
          <w:b/>
          <w:bCs/>
          <w:sz w:val="24"/>
          <w:szCs w:val="24"/>
          <w:rtl/>
        </w:rPr>
        <w:t>الثقة الرقمية</w:t>
      </w:r>
      <w:r w:rsidRPr="0056277A">
        <w:rPr>
          <w:rFonts w:ascii="Times New Roman" w:eastAsia="Times New Roman" w:hAnsi="Times New Roman" w:cs="Times New Roman"/>
          <w:sz w:val="24"/>
          <w:szCs w:val="24"/>
          <w:rtl/>
        </w:rPr>
        <w:t>؛ إذ تؤكد هيئة تطوير الإعلام والاتصالات السنغافورية أن انتشار التعاملات الرقمية يقتضي وجود تقنيات تحقق الخصوصية والموثوقية والثقة في الأنظمة والمعاملات الرقمية، كما تدعم سنغافورة البحث في تقنيات تعزيز الخصوصية وتقييم موثوقية أنظمة الذكاء الاصطناعي</w:t>
      </w:r>
      <w:r w:rsidRPr="0056277A">
        <w:rPr>
          <w:rFonts w:ascii="Times New Roman" w:eastAsia="Times New Roman" w:hAnsi="Times New Roman" w:cs="Times New Roman"/>
          <w:sz w:val="24"/>
          <w:szCs w:val="24"/>
        </w:rPr>
        <w:t>.</w:t>
      </w:r>
    </w:p>
    <w:p w14:paraId="2D2C5820"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r w:rsidRPr="0056277A">
        <w:rPr>
          <w:rFonts w:ascii="Times New Roman" w:eastAsia="Times New Roman" w:hAnsi="Times New Roman" w:cs="Times New Roman"/>
          <w:sz w:val="24"/>
          <w:szCs w:val="24"/>
          <w:rtl/>
        </w:rPr>
        <w:t>وعليه، تكشف المقارنة عن أن التنظيم في الدول الثلاث أدى إلى جعل الأمن السيبراني مكونًا أصيلًا من مكونات التحول الرقمي، بدلًا من اعتباره مرحلة لاحقة لتطوير النظام</w:t>
      </w:r>
    </w:p>
    <w:p w14:paraId="0A93B832"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112DC774"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A2EEEDD"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73D8ECF"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A7732F1"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754635C8"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0551D8C5" w14:textId="409D800C"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Pr>
        <w:t>.</w:t>
      </w:r>
    </w:p>
    <w:p w14:paraId="7671502B" w14:textId="62F32D61"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رابعًا: رفع مستوى الثقة في التقاضي الرقمي</w:t>
      </w:r>
    </w:p>
    <w:p w14:paraId="7E5F52A2"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لا يقتصر الأثر الأمني على منع الاختراقات والهجمات، بل يمتد إلى </w:t>
      </w:r>
      <w:r w:rsidRPr="0056277A">
        <w:rPr>
          <w:rFonts w:ascii="Times New Roman" w:eastAsia="Times New Roman" w:hAnsi="Times New Roman" w:cs="Times New Roman"/>
          <w:b/>
          <w:bCs/>
          <w:sz w:val="24"/>
          <w:szCs w:val="24"/>
          <w:rtl/>
        </w:rPr>
        <w:t>تعزيز الثقة القانونية والعملية في البيئة القضائية الرقمية</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فقبول المتقاضي والمحامي والقاضي للاعتماد على النظام الإلكتروني يرتبط بمدى الاطمئنان إلى أن المستندات لن تتعرض للتغيير غير المشروع، وأن هوية المستخدم يمكن التحقق منها، وأن البيانات لن تكون متاحة لغير المصرح لهم، وأن النظام قادر على الاحتفاظ بالمعلومات واسترجاعها</w:t>
      </w:r>
      <w:r w:rsidRPr="0056277A">
        <w:rPr>
          <w:rFonts w:ascii="Times New Roman" w:eastAsia="Times New Roman" w:hAnsi="Times New Roman" w:cs="Times New Roman"/>
          <w:sz w:val="24"/>
          <w:szCs w:val="24"/>
        </w:rPr>
        <w:t>.</w:t>
      </w:r>
    </w:p>
    <w:p w14:paraId="29F20152"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ولهذا توجد علاقة وثيقة بين الأمن التقني وحجية الإجراء القضائي؛ فسلامة البيئة التقنية تساعد على إثبات مصدر المستند وسلامته وتاريخ تقديمه، كما تدعم إمكان تتبع العمليات التي تتم داخل النظام. وبالتالي فإن التنظيم الأمني لا يحمي النظام القضائي من المخاطر التقنية فحسب، وإنما </w:t>
      </w:r>
      <w:r w:rsidRPr="0056277A">
        <w:rPr>
          <w:rFonts w:ascii="Times New Roman" w:eastAsia="Times New Roman" w:hAnsi="Times New Roman" w:cs="Times New Roman"/>
          <w:b/>
          <w:bCs/>
          <w:sz w:val="24"/>
          <w:szCs w:val="24"/>
          <w:rtl/>
        </w:rPr>
        <w:t>يسهم بصورة غير مباشرة في تعزيز الثقة في صحة الإجراءات القضائية الإلكترونية ذاتها</w:t>
      </w:r>
      <w:r w:rsidRPr="0056277A">
        <w:rPr>
          <w:rFonts w:ascii="Times New Roman" w:eastAsia="Times New Roman" w:hAnsi="Times New Roman" w:cs="Times New Roman"/>
          <w:sz w:val="24"/>
          <w:szCs w:val="24"/>
        </w:rPr>
        <w:t>.</w:t>
      </w:r>
    </w:p>
    <w:p w14:paraId="442972FE"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وتظهر التجربة السنغافورية هذا الترابط بوضوح؛ إذ تجمع بنيتها الرقمية بين الهوية الرقمية والخدمات الموثوقة والتحقق من المستندات وتبادل المعلومات في بيئة رقمية آمنة. وتصف هيئة تطوير الإعلام والاتصالات السنغافورية الهوية الرقمية الوطنية، التي يتم الوصول إليها من خلال</w:t>
      </w:r>
      <w:r w:rsidRPr="0056277A">
        <w:rPr>
          <w:rFonts w:ascii="Times New Roman" w:eastAsia="Times New Roman" w:hAnsi="Times New Roman" w:cs="Times New Roman"/>
          <w:sz w:val="24"/>
          <w:szCs w:val="24"/>
        </w:rPr>
        <w:t xml:space="preserve"> Singpass </w:t>
      </w:r>
      <w:r w:rsidRPr="0056277A">
        <w:rPr>
          <w:rFonts w:ascii="Times New Roman" w:eastAsia="Times New Roman" w:hAnsi="Times New Roman" w:cs="Times New Roman"/>
          <w:sz w:val="24"/>
          <w:szCs w:val="24"/>
          <w:rtl/>
        </w:rPr>
        <w:t>و</w:t>
      </w:r>
      <w:r w:rsidRPr="0056277A">
        <w:rPr>
          <w:rFonts w:ascii="Times New Roman" w:eastAsia="Times New Roman" w:hAnsi="Times New Roman" w:cs="Times New Roman"/>
          <w:sz w:val="24"/>
          <w:szCs w:val="24"/>
        </w:rPr>
        <w:t>Corppass</w:t>
      </w:r>
      <w:r w:rsidRPr="0056277A">
        <w:rPr>
          <w:rFonts w:ascii="Times New Roman" w:eastAsia="Times New Roman" w:hAnsi="Times New Roman" w:cs="Times New Roman"/>
          <w:sz w:val="24"/>
          <w:szCs w:val="24"/>
          <w:rtl/>
        </w:rPr>
        <w:t>، بأنها توفر بيئة موثوقة للأفراد والأعمال لإجراء التعاملات الرقمية بأمان</w:t>
      </w:r>
      <w:r w:rsidRPr="0056277A">
        <w:rPr>
          <w:rFonts w:ascii="Times New Roman" w:eastAsia="Times New Roman" w:hAnsi="Times New Roman" w:cs="Times New Roman"/>
          <w:sz w:val="24"/>
          <w:szCs w:val="24"/>
        </w:rPr>
        <w:t>.</w:t>
      </w:r>
    </w:p>
    <w:p w14:paraId="052D49B4"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وبالمقارنة، تتجه المملكة إلى تحقيق الغاية نفسها من خلال الجمع بين تنظيم الحكومة الرقمية وضوابط الأمن السيبراني والهوية الرقمية والتكامل بين الجهات، بينما اتجهت الإمارات إلى بناء منظومة واسعة للخدمات الحكومية والقضائية الرقمية مقرونة بأطر وطنية للأمن والثقة الرقمية. ويكشف ذلك أن الثقة في التقاضي الرقمي لا تنتج عن التقنية وحدها، وإنما عن </w:t>
      </w:r>
      <w:r w:rsidRPr="0056277A">
        <w:rPr>
          <w:rFonts w:ascii="Times New Roman" w:eastAsia="Times New Roman" w:hAnsi="Times New Roman" w:cs="Times New Roman"/>
          <w:b/>
          <w:bCs/>
          <w:sz w:val="24"/>
          <w:szCs w:val="24"/>
          <w:rtl/>
        </w:rPr>
        <w:t>تكامل التنظيم القانوني مع الضمانات التقنية والأمنية</w:t>
      </w:r>
      <w:r w:rsidRPr="0056277A">
        <w:rPr>
          <w:rFonts w:ascii="Times New Roman" w:eastAsia="Times New Roman" w:hAnsi="Times New Roman" w:cs="Times New Roman"/>
          <w:sz w:val="24"/>
          <w:szCs w:val="24"/>
        </w:rPr>
        <w:t>.</w:t>
      </w:r>
    </w:p>
    <w:p w14:paraId="4FEC81D7"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يتبين من المقارنة أن الآثار التقنية والأمنية لتنظيم التحول الرقمي في المملكة العربية السعودية والإمارات وسنغافورة تجاوزت مجرد تحديث الأجهزة والبرامج المستخدمة في العمل القضائي، وأدت إلى تحول أعمق في بنية العدالة الرقمية، يقوم على تكامل الأنظمة، واستمرارية الخدمات، وإدارة المخاطر، وحماية الأصول المعلوماتية، وتعزيز الثقة في الإجراءات الإلكترونية</w:t>
      </w:r>
      <w:r w:rsidRPr="0056277A">
        <w:rPr>
          <w:rFonts w:ascii="Times New Roman" w:eastAsia="Times New Roman" w:hAnsi="Times New Roman" w:cs="Times New Roman"/>
          <w:sz w:val="24"/>
          <w:szCs w:val="24"/>
        </w:rPr>
        <w:t>.</w:t>
      </w:r>
    </w:p>
    <w:p w14:paraId="5A8E7906"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4C889E30"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96EEFDC"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1BA1AB1D"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F3DFBFB" w14:textId="225E6DA9"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وتتميز المملكة بوجود إطار تنظيمي متنامٍ يجمع بين تنظيم الحكومة الرقمية والضوابط الوطنية للأمن السيبراني، بما يوفر أساسًا قويًا لتطوير الخدمات القضائية الرقمية. وفي المقابل، تظهر التجربة الإماراتية توسعًا كبيرًا في دمج الخدمات الحكومية والقضائية ضمن بيئة رقمية متكاملة، بينما تتميز سنغافورة بدمج البنية التقنية بصورة مباشرة في دورة إدارة الدعوى من خلال نظام</w:t>
      </w:r>
      <w:r w:rsidRPr="0056277A">
        <w:rPr>
          <w:rFonts w:ascii="Times New Roman" w:eastAsia="Times New Roman" w:hAnsi="Times New Roman" w:cs="Times New Roman"/>
          <w:sz w:val="24"/>
          <w:szCs w:val="24"/>
        </w:rPr>
        <w:t xml:space="preserve"> eLitigation</w:t>
      </w:r>
      <w:r w:rsidRPr="0056277A">
        <w:rPr>
          <w:rFonts w:ascii="Times New Roman" w:eastAsia="Times New Roman" w:hAnsi="Times New Roman" w:cs="Times New Roman"/>
          <w:sz w:val="24"/>
          <w:szCs w:val="24"/>
          <w:rtl/>
        </w:rPr>
        <w:t>، إلى جانب الاهتمام المتقدم بالثقة الرقمية ومرونة البنية السحابية</w:t>
      </w:r>
      <w:r w:rsidRPr="0056277A">
        <w:rPr>
          <w:rFonts w:ascii="Times New Roman" w:eastAsia="Times New Roman" w:hAnsi="Times New Roman" w:cs="Times New Roman"/>
          <w:sz w:val="24"/>
          <w:szCs w:val="24"/>
        </w:rPr>
        <w:t>.</w:t>
      </w:r>
    </w:p>
    <w:p w14:paraId="47F8B515" w14:textId="5CE59CA2"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أن التطور المستقبلي للتحول القضائي الرقمي في المملكة ينبغي ألا يقاس فقط بزيادة عدد الخدمات المقدمة إلكترونيًا، وإنما بمدى </w:t>
      </w:r>
      <w:r w:rsidRPr="0056277A">
        <w:rPr>
          <w:rFonts w:ascii="Times New Roman" w:eastAsia="Times New Roman" w:hAnsi="Times New Roman" w:cs="Times New Roman"/>
          <w:b/>
          <w:bCs/>
          <w:sz w:val="24"/>
          <w:szCs w:val="24"/>
          <w:rtl/>
        </w:rPr>
        <w:t>موثوقية البنية التقنية القضائية، وقدرتها على الاستمرار في حالات الأعطال والهجمات السيبرانية، وسرعة استعادة الخدمات، ومستوى التكامل الآمن بين الجهات، وفاعلية إدارة المخاطر التقنية</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كما يستحسن تطوير مؤشرات متخصصة للأمن والمرونة الرقمية في القطاع القضائي؛ نظرًا إلى أن اتساع نطاق التقاضي الرقمي يؤدي بالضرورة إلى زيادة الاعتماد على البنية التقنية، ومن ثم زيادة الآثار القانونية المترتبة على أي خلل أو اختراق يصيبها</w:t>
      </w:r>
      <w:r w:rsidRPr="0056277A">
        <w:rPr>
          <w:rFonts w:ascii="Times New Roman" w:eastAsia="Times New Roman" w:hAnsi="Times New Roman" w:cs="Times New Roman"/>
          <w:sz w:val="24"/>
          <w:szCs w:val="24"/>
        </w:rPr>
        <w:t>.</w:t>
      </w:r>
    </w:p>
    <w:p w14:paraId="2B47CBDC" w14:textId="42948B5B"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w:t>
      </w:r>
      <w:r>
        <w:rPr>
          <w:rFonts w:ascii="Times New Roman" w:eastAsia="Times New Roman" w:hAnsi="Times New Roman" w:cs="Times New Roman" w:hint="cs"/>
          <w:sz w:val="24"/>
          <w:szCs w:val="24"/>
          <w:rtl/>
        </w:rPr>
        <w:t>يلخص</w:t>
      </w:r>
      <w:r w:rsidRPr="0056277A">
        <w:rPr>
          <w:rFonts w:ascii="Times New Roman" w:eastAsia="Times New Roman" w:hAnsi="Times New Roman" w:cs="Times New Roman"/>
          <w:sz w:val="24"/>
          <w:szCs w:val="24"/>
          <w:rtl/>
        </w:rPr>
        <w:t xml:space="preserve"> من ذلك إلى أن التنظيم القانوني للتحول الرقمي أدى إلى نتيجة مزدوجة: فمن الناحية التقنية، أسهم في بناء بيئة أكثر تكاملًا واستدامة لإدارة الإجراءات القضائية؛ ومن الناحية الأمنية، فرض الانتقال إلى مفهوم الأمن الوقائي القائم على إدارة المخاطر وحماية الأنظمة والبيانات وضمان استمرارية الخدمات. وبذلك أصبح </w:t>
      </w:r>
      <w:r w:rsidRPr="0056277A">
        <w:rPr>
          <w:rFonts w:ascii="Times New Roman" w:eastAsia="Times New Roman" w:hAnsi="Times New Roman" w:cs="Times New Roman"/>
          <w:b/>
          <w:bCs/>
          <w:sz w:val="24"/>
          <w:szCs w:val="24"/>
          <w:rtl/>
        </w:rPr>
        <w:t>الأمن السيبراني والاستقرار التقني من ضمانات فعالية العدالة الرقمية، وليس مجرد متطلبات تقنية مساندة لها</w:t>
      </w:r>
      <w:r w:rsidRPr="0056277A">
        <w:rPr>
          <w:rFonts w:ascii="Times New Roman" w:eastAsia="Times New Roman" w:hAnsi="Times New Roman" w:cs="Times New Roman"/>
          <w:sz w:val="24"/>
          <w:szCs w:val="24"/>
        </w:rPr>
        <w:t>.</w:t>
      </w:r>
    </w:p>
    <w:p w14:paraId="3CAF4C74" w14:textId="688CCA7E" w:rsidR="00CF2016" w:rsidRPr="0056277A" w:rsidRDefault="00CF2016" w:rsidP="0056277A">
      <w:pPr>
        <w:spacing w:before="100" w:beforeAutospacing="1" w:after="100" w:afterAutospacing="1" w:line="360" w:lineRule="auto"/>
        <w:jc w:val="both"/>
        <w:outlineLvl w:val="2"/>
        <w:rPr>
          <w:rFonts w:ascii="Times New Roman" w:eastAsia="Times New Roman" w:hAnsi="Times New Roman" w:cs="Times New Roman"/>
          <w:sz w:val="24"/>
          <w:szCs w:val="24"/>
        </w:rPr>
      </w:pPr>
    </w:p>
    <w:p w14:paraId="727FC7EA" w14:textId="77777777" w:rsidR="00F306DC" w:rsidRPr="00CF2016" w:rsidRDefault="00F306DC" w:rsidP="0056277A">
      <w:pPr>
        <w:spacing w:before="100" w:beforeAutospacing="1" w:after="100" w:afterAutospacing="1" w:line="360" w:lineRule="auto"/>
        <w:jc w:val="both"/>
        <w:rPr>
          <w:rFonts w:ascii="Times New Roman" w:eastAsia="Times New Roman" w:hAnsi="Times New Roman" w:cs="Times New Roman"/>
          <w:sz w:val="24"/>
          <w:szCs w:val="24"/>
          <w:rtl/>
        </w:rPr>
      </w:pPr>
    </w:p>
    <w:p w14:paraId="30E1F5E8" w14:textId="5C9E32CB" w:rsidR="000A7209" w:rsidRPr="00CD3237" w:rsidRDefault="00F306DC" w:rsidP="0056277A">
      <w:pPr>
        <w:bidi w:val="0"/>
        <w:spacing w:line="360" w:lineRule="auto"/>
        <w:rPr>
          <w:rFonts w:ascii="Times New Roman" w:eastAsia="Times New Roman" w:hAnsi="Times New Roman" w:cs="Times New Roman"/>
          <w:b/>
          <w:bCs/>
          <w:sz w:val="28"/>
          <w:szCs w:val="28"/>
        </w:rPr>
      </w:pPr>
      <w:r>
        <w:rPr>
          <w:rFonts w:ascii="Times New Roman" w:eastAsia="Times New Roman" w:hAnsi="Times New Roman" w:cs="Times New Roman"/>
          <w:sz w:val="24"/>
          <w:szCs w:val="24"/>
          <w:rtl/>
        </w:rPr>
        <w:br w:type="page"/>
      </w:r>
    </w:p>
    <w:p w14:paraId="392EAAFE"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12E77838" w14:textId="1424DE95" w:rsidR="0037781B" w:rsidRDefault="0037781B" w:rsidP="00F43B89">
      <w:pPr>
        <w:bidi w:val="0"/>
        <w:jc w:val="left"/>
        <w:rPr>
          <w:rFonts w:ascii="Times New Roman" w:hAnsi="Times New Roman" w:cs="Times New Roman"/>
          <w:b/>
          <w:bCs/>
          <w:sz w:val="24"/>
          <w:szCs w:val="24"/>
          <w:rtl/>
        </w:rPr>
      </w:pPr>
    </w:p>
    <w:p w14:paraId="1E836DF3" w14:textId="022456A4" w:rsidR="00101EFA" w:rsidRDefault="00101EFA" w:rsidP="0037781B">
      <w:pPr>
        <w:spacing w:after="431" w:line="360" w:lineRule="auto"/>
        <w:ind w:right="59"/>
        <w:jc w:val="both"/>
        <w:rPr>
          <w:rFonts w:ascii="Times New Roman" w:hAnsi="Times New Roman" w:cs="Times New Roman"/>
          <w:b/>
          <w:bCs/>
          <w:sz w:val="24"/>
          <w:szCs w:val="24"/>
          <w:rtl/>
        </w:rPr>
      </w:pPr>
    </w:p>
    <w:p w14:paraId="471C7CF6" w14:textId="77777777" w:rsidR="00101EFA" w:rsidRDefault="00101EFA">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66AC7C2A" w14:textId="4CCDA03D" w:rsidR="0037781B" w:rsidRPr="003505C5" w:rsidRDefault="0037781B" w:rsidP="003505C5">
      <w:pPr>
        <w:spacing w:after="431" w:line="360" w:lineRule="auto"/>
        <w:ind w:right="59"/>
        <w:jc w:val="both"/>
        <w:rPr>
          <w:rFonts w:ascii="Times New Roman" w:hAnsi="Times New Roman" w:cs="Times New Roman"/>
          <w:b/>
          <w:bCs/>
          <w:sz w:val="24"/>
          <w:szCs w:val="24"/>
        </w:rPr>
      </w:pPr>
    </w:p>
    <w:sectPr w:rsidR="0037781B" w:rsidRPr="003505C5" w:rsidSect="0093132B">
      <w:footerReference w:type="default" r:id="rId15"/>
      <w:pgSz w:w="11906" w:h="16838" w:code="9"/>
      <w:pgMar w:top="1480" w:right="1378" w:bottom="1435" w:left="1440" w:header="488" w:footer="476" w:gutter="0"/>
      <w:pgNumType w:start="0"/>
      <w:cols w:space="720"/>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0C524" w14:textId="77777777" w:rsidR="00AA2343" w:rsidRDefault="00AA2343">
      <w:pPr>
        <w:spacing w:after="0" w:line="240" w:lineRule="auto"/>
      </w:pPr>
      <w:r>
        <w:separator/>
      </w:r>
    </w:p>
  </w:endnote>
  <w:endnote w:type="continuationSeparator" w:id="0">
    <w:p w14:paraId="6BD2A5AF" w14:textId="77777777" w:rsidR="00AA2343" w:rsidRDefault="00AA2343">
      <w:pPr>
        <w:spacing w:after="0" w:line="240" w:lineRule="auto"/>
      </w:pPr>
      <w:r>
        <w:continuationSeparator/>
      </w:r>
    </w:p>
  </w:endnote>
  <w:endnote w:type="continuationNotice" w:id="1">
    <w:p w14:paraId="0FA801FA" w14:textId="77777777" w:rsidR="00AA2343" w:rsidRDefault="00AA23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iwani Bent">
    <w:altName w:val="Arial"/>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Old Antic Decorative">
    <w:altName w:val="Arial"/>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71F3" w14:textId="0F2DD413" w:rsidR="00AA2343" w:rsidRDefault="00AA2343">
    <w:pPr>
      <w:bidi w:val="0"/>
      <w:spacing w:after="0"/>
      <w:ind w:right="179"/>
      <w:jc w:val="center"/>
    </w:pPr>
    <w:r>
      <w:rPr>
        <w:noProof/>
      </w:rPr>
      <mc:AlternateContent>
        <mc:Choice Requires="wpg">
          <w:drawing>
            <wp:anchor distT="0" distB="0" distL="114300" distR="114300" simplePos="0" relativeHeight="251658246"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68EA44" id="Group 111215" o:spid="_x0000_s1026" style="position:absolute;left:0;text-align:left;margin-left:24.5pt;margin-top:817.1pt;width:546.95pt;height:.95pt;z-index:251658246;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Pr="009F7783">
      <w:rPr>
        <w:rFonts w:ascii="Arial" w:eastAsia="Arial" w:hAnsi="Arial" w:cs="Arial"/>
        <w:b/>
        <w:noProof/>
        <w:color w:val="181717"/>
        <w:sz w:val="21"/>
      </w:rPr>
      <w:t>3</w:t>
    </w:r>
    <w:r>
      <w:rPr>
        <w:rFonts w:ascii="Arial" w:eastAsia="Arial" w:hAnsi="Arial" w:cs="Arial"/>
        <w:b/>
        <w:color w:val="181717"/>
        <w:sz w:val="21"/>
      </w:rPr>
      <w:fldChar w:fldCharType="end"/>
    </w:r>
  </w:p>
  <w:p w14:paraId="6A4736FF" w14:textId="77777777" w:rsidR="00AA2343" w:rsidRDefault="00AA2343">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A9B9" w14:textId="49CC5127" w:rsidR="00AA2343" w:rsidRDefault="00AA2343"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8EC7" w14:textId="77777777" w:rsidR="00AA2343" w:rsidRDefault="00AA2343">
    <w:pPr>
      <w:bidi w:val="0"/>
      <w:spacing w:after="0"/>
      <w:ind w:left="-1440" w:right="10528"/>
      <w:jc w:val="left"/>
    </w:pPr>
    <w:r>
      <w:rPr>
        <w:noProof/>
      </w:rPr>
      <mc:AlternateContent>
        <mc:Choice Requires="wpg">
          <w:drawing>
            <wp:anchor distT="0" distB="0" distL="114300" distR="114300" simplePos="0" relativeHeight="251658247"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A0C6C6" id="Group 111160" o:spid="_x0000_s1026" style="position:absolute;left:0;text-align:left;margin-left:24.5pt;margin-top:817.1pt;width:546.95pt;height:.95pt;z-index:251658247;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4328381"/>
      <w:docPartObj>
        <w:docPartGallery w:val="Page Numbers (Bottom of Page)"/>
        <w:docPartUnique/>
      </w:docPartObj>
    </w:sdtPr>
    <w:sdtContent>
      <w:p w14:paraId="30C0026E" w14:textId="1904DFF1" w:rsidR="00AA2343" w:rsidRDefault="00AA2343">
        <w:pPr>
          <w:pStyle w:val="ac"/>
          <w:jc w:val="center"/>
        </w:pPr>
        <w:r>
          <w:fldChar w:fldCharType="begin"/>
        </w:r>
        <w:r>
          <w:instrText>PAGE   \* MERGEFORMAT</w:instrText>
        </w:r>
        <w:r>
          <w:fldChar w:fldCharType="separate"/>
        </w:r>
        <w:r w:rsidR="007020DD" w:rsidRPr="007020DD">
          <w:rPr>
            <w:noProof/>
            <w:rtl/>
            <w:lang w:val="ar-SA"/>
          </w:rPr>
          <w:t>78</w:t>
        </w:r>
        <w:r>
          <w:fldChar w:fldCharType="end"/>
        </w:r>
      </w:p>
    </w:sdtContent>
  </w:sdt>
  <w:p w14:paraId="12BABA6A" w14:textId="77777777" w:rsidR="00AA2343" w:rsidRDefault="00AA2343"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0B1F7" w14:textId="77777777" w:rsidR="00AA2343" w:rsidRDefault="00AA2343" w:rsidP="006216C4">
      <w:pPr>
        <w:bidi w:val="0"/>
        <w:spacing w:after="0" w:line="240" w:lineRule="auto"/>
      </w:pPr>
      <w:r>
        <w:separator/>
      </w:r>
    </w:p>
  </w:footnote>
  <w:footnote w:type="continuationSeparator" w:id="0">
    <w:p w14:paraId="506A0967" w14:textId="77777777" w:rsidR="00AA2343" w:rsidRDefault="00AA2343">
      <w:pPr>
        <w:spacing w:after="0" w:line="240" w:lineRule="auto"/>
      </w:pPr>
      <w:r>
        <w:continuationSeparator/>
      </w:r>
    </w:p>
  </w:footnote>
  <w:footnote w:type="continuationNotice" w:id="1">
    <w:p w14:paraId="4B1C0002" w14:textId="77777777" w:rsidR="00AA2343" w:rsidRDefault="00AA2343">
      <w:pPr>
        <w:spacing w:after="0" w:line="240" w:lineRule="auto"/>
      </w:pPr>
    </w:p>
  </w:footnote>
  <w:footnote w:id="2">
    <w:p w14:paraId="459EE67D" w14:textId="60CED070" w:rsidR="00AA2343" w:rsidRPr="002167D0" w:rsidRDefault="00AA2343" w:rsidP="00DC389E">
      <w:pPr>
        <w:pStyle w:val="a6"/>
        <w:numPr>
          <w:ilvl w:val="0"/>
          <w:numId w:val="13"/>
        </w:numPr>
        <w:spacing w:after="0" w:line="240" w:lineRule="auto"/>
        <w:jc w:val="left"/>
        <w:rPr>
          <w:sz w:val="20"/>
          <w:szCs w:val="20"/>
          <w:rtl/>
        </w:rPr>
      </w:pPr>
      <w:r w:rsidRPr="002167D0">
        <w:rPr>
          <w:rFonts w:ascii="Arial" w:hAnsi="Arial" w:cs="Arial" w:hint="cs"/>
          <w:color w:val="222222"/>
          <w:sz w:val="20"/>
          <w:szCs w:val="20"/>
          <w:shd w:val="clear" w:color="auto" w:fill="FFFFFF"/>
          <w:rtl/>
        </w:rPr>
        <w:t>السلمي</w:t>
      </w:r>
      <w:r w:rsidRPr="002167D0">
        <w:rPr>
          <w:rFonts w:ascii="Arial" w:hAnsi="Arial" w:cs="Arial"/>
          <w:color w:val="222222"/>
          <w:sz w:val="20"/>
          <w:szCs w:val="20"/>
          <w:shd w:val="clear" w:color="auto" w:fill="FFFFFF"/>
          <w:rtl/>
        </w:rPr>
        <w:t>،</w:t>
      </w:r>
      <w:r w:rsidRPr="002167D0">
        <w:rPr>
          <w:rFonts w:ascii="Arial" w:hAnsi="Arial" w:cs="Arial"/>
          <w:color w:val="222222"/>
          <w:sz w:val="20"/>
          <w:szCs w:val="20"/>
          <w:shd w:val="clear" w:color="auto" w:fill="FFFFFF"/>
        </w:rPr>
        <w:t xml:space="preserve"> &amp; </w:t>
      </w:r>
      <w:r w:rsidRPr="002167D0">
        <w:rPr>
          <w:rFonts w:ascii="Arial" w:hAnsi="Arial" w:cs="Arial" w:hint="cs"/>
          <w:color w:val="222222"/>
          <w:sz w:val="20"/>
          <w:szCs w:val="20"/>
          <w:shd w:val="clear" w:color="auto" w:fill="FFFFFF"/>
          <w:rtl/>
        </w:rPr>
        <w:t>عبد الرحم</w:t>
      </w:r>
      <w:r w:rsidRPr="002167D0">
        <w:rPr>
          <w:rFonts w:ascii="Arial" w:hAnsi="Arial" w:cs="Arial" w:hint="eastAsia"/>
          <w:color w:val="222222"/>
          <w:sz w:val="20"/>
          <w:szCs w:val="20"/>
          <w:shd w:val="clear" w:color="auto" w:fill="FFFFFF"/>
          <w:rtl/>
        </w:rPr>
        <w:t>ن</w:t>
      </w:r>
      <w:r w:rsidRPr="002167D0">
        <w:rPr>
          <w:rFonts w:ascii="Arial" w:hAnsi="Arial" w:cs="Arial"/>
          <w:color w:val="222222"/>
          <w:sz w:val="20"/>
          <w:szCs w:val="20"/>
          <w:shd w:val="clear" w:color="auto" w:fill="FFFFFF"/>
          <w:rtl/>
        </w:rPr>
        <w:t xml:space="preserve"> بن فهم. (2025). التقاضي الإلكتروني وأثره على الدعوى الجزائية في التشريع بالمملكة العربية السعودية والمقارن</w:t>
      </w:r>
      <w:r w:rsidRPr="002167D0">
        <w:rPr>
          <w:rFonts w:ascii="Arial" w:hAnsi="Arial" w:cs="Arial"/>
          <w:color w:val="222222"/>
          <w:sz w:val="20"/>
          <w:szCs w:val="20"/>
          <w:shd w:val="clear" w:color="auto" w:fill="FFFFFF"/>
        </w:rPr>
        <w:t xml:space="preserve"> Electronic litigation and its impact on criminal litigation in Saudi and comparative legislation. </w:t>
      </w:r>
      <w:r w:rsidRPr="002167D0">
        <w:rPr>
          <w:rFonts w:ascii="Arial" w:hAnsi="Arial" w:cs="Arial"/>
          <w:i/>
          <w:iCs/>
          <w:color w:val="222222"/>
          <w:sz w:val="20"/>
          <w:szCs w:val="20"/>
          <w:shd w:val="clear" w:color="auto" w:fill="FFFFFF"/>
          <w:rtl/>
        </w:rPr>
        <w:t>روح القوانين</w:t>
      </w:r>
      <w:r w:rsidRPr="002167D0">
        <w:rPr>
          <w:rFonts w:ascii="Arial" w:hAnsi="Arial" w:cs="Arial"/>
          <w:color w:val="222222"/>
          <w:sz w:val="20"/>
          <w:szCs w:val="20"/>
          <w:shd w:val="clear" w:color="auto" w:fill="FFFFFF"/>
        </w:rPr>
        <w:t>, </w:t>
      </w:r>
      <w:r w:rsidRPr="002167D0">
        <w:rPr>
          <w:rFonts w:ascii="Arial" w:hAnsi="Arial" w:cs="Arial"/>
          <w:i/>
          <w:iCs/>
          <w:color w:val="222222"/>
          <w:sz w:val="20"/>
          <w:szCs w:val="20"/>
          <w:shd w:val="clear" w:color="auto" w:fill="FFFFFF"/>
        </w:rPr>
        <w:t>37</w:t>
      </w:r>
      <w:r w:rsidRPr="002167D0">
        <w:rPr>
          <w:rFonts w:ascii="Arial" w:hAnsi="Arial" w:cs="Arial"/>
          <w:color w:val="222222"/>
          <w:sz w:val="20"/>
          <w:szCs w:val="20"/>
          <w:shd w:val="clear" w:color="auto" w:fill="FFFFFF"/>
        </w:rPr>
        <w:t>(110) , 865-1026.</w:t>
      </w:r>
    </w:p>
    <w:p w14:paraId="2A0C94C7" w14:textId="72CBB54D" w:rsidR="00AA2343" w:rsidRDefault="00AA2343" w:rsidP="00DC389E">
      <w:pPr>
        <w:pStyle w:val="a6"/>
        <w:numPr>
          <w:ilvl w:val="0"/>
          <w:numId w:val="13"/>
        </w:numPr>
        <w:spacing w:after="0" w:line="240" w:lineRule="auto"/>
        <w:jc w:val="left"/>
        <w:rPr>
          <w:rFonts w:ascii="Times New Roman" w:hAnsi="Times New Roman" w:cs="Times New Roman"/>
          <w:sz w:val="20"/>
          <w:szCs w:val="20"/>
        </w:rPr>
      </w:pPr>
      <w:r w:rsidRPr="002167D0">
        <w:rPr>
          <w:rFonts w:ascii="Times New Roman" w:hAnsi="Times New Roman" w:cs="Times New Roman"/>
          <w:sz w:val="20"/>
          <w:szCs w:val="20"/>
          <w:rtl/>
        </w:rPr>
        <w:t>المملكة العربية السعودية. (1443هـ)</w:t>
      </w:r>
      <w:r w:rsidRPr="002167D0">
        <w:rPr>
          <w:rFonts w:ascii="Times New Roman" w:hAnsi="Times New Roman" w:cs="Times New Roman"/>
          <w:sz w:val="20"/>
          <w:szCs w:val="20"/>
        </w:rPr>
        <w:t xml:space="preserve">. </w:t>
      </w:r>
      <w:r w:rsidRPr="002167D0">
        <w:rPr>
          <w:rStyle w:val="a4"/>
          <w:rFonts w:ascii="Times New Roman" w:hAnsi="Times New Roman" w:cs="Times New Roman"/>
          <w:sz w:val="20"/>
          <w:szCs w:val="20"/>
          <w:rtl/>
        </w:rPr>
        <w:t>نظام الإثبات، الصادر بالمرسوم الملكي رقم (م/43) وتاريخ 26/5/1443هـ</w:t>
      </w:r>
      <w:r w:rsidRPr="002167D0">
        <w:rPr>
          <w:rFonts w:ascii="Times New Roman" w:hAnsi="Times New Roman" w:cs="Times New Roman"/>
          <w:sz w:val="20"/>
          <w:szCs w:val="20"/>
        </w:rPr>
        <w:t xml:space="preserve">. </w:t>
      </w:r>
      <w:r w:rsidRPr="002167D0">
        <w:rPr>
          <w:rFonts w:ascii="Times New Roman" w:hAnsi="Times New Roman" w:cs="Times New Roman"/>
          <w:sz w:val="20"/>
          <w:szCs w:val="20"/>
          <w:rtl/>
        </w:rPr>
        <w:t>هيئة الخبراء بمجلس الوزراء</w:t>
      </w:r>
      <w:r w:rsidRPr="002167D0">
        <w:rPr>
          <w:rFonts w:ascii="Times New Roman" w:hAnsi="Times New Roman" w:cs="Times New Roman"/>
          <w:sz w:val="20"/>
          <w:szCs w:val="20"/>
        </w:rPr>
        <w:t>.</w:t>
      </w:r>
    </w:p>
    <w:p w14:paraId="0BF741F6" w14:textId="596AE9E3" w:rsidR="00AA2343" w:rsidRPr="00FF2EBB" w:rsidRDefault="00AA2343" w:rsidP="00FF2EBB">
      <w:pPr>
        <w:spacing w:after="0" w:line="240" w:lineRule="auto"/>
        <w:jc w:val="left"/>
        <w:rPr>
          <w:rFonts w:ascii="Times New Roman" w:hAnsi="Times New Roman" w:cs="Times New Roman"/>
          <w:sz w:val="20"/>
          <w:szCs w:val="20"/>
          <w:rtl/>
        </w:rPr>
      </w:pPr>
    </w:p>
  </w:footnote>
  <w:footnote w:id="3">
    <w:p w14:paraId="7D9DD989" w14:textId="554A2622" w:rsidR="00AA2343" w:rsidRDefault="00AA2343" w:rsidP="00DC389E">
      <w:pPr>
        <w:pStyle w:val="a7"/>
        <w:numPr>
          <w:ilvl w:val="0"/>
          <w:numId w:val="14"/>
        </w:numPr>
        <w:jc w:val="both"/>
        <w:rPr>
          <w:rtl/>
        </w:rPr>
      </w:pPr>
      <w:r w:rsidRPr="002167D0">
        <w:rPr>
          <w:rFonts w:ascii="Times New Roman" w:hAnsi="Times New Roman" w:cs="Times New Roman"/>
          <w:rtl/>
        </w:rPr>
        <w:t>دولة الإمارات العربية المتحدة</w:t>
      </w:r>
      <w:r w:rsidRPr="002167D0">
        <w:rPr>
          <w:rFonts w:ascii="Times New Roman" w:hAnsi="Times New Roman" w:cs="Times New Roman"/>
        </w:rPr>
        <w:t xml:space="preserve">. (2022). </w:t>
      </w:r>
      <w:r w:rsidRPr="002167D0">
        <w:rPr>
          <w:rStyle w:val="a4"/>
          <w:rFonts w:ascii="Times New Roman" w:hAnsi="Times New Roman" w:cs="Times New Roman"/>
          <w:rtl/>
        </w:rPr>
        <w:t>مرسوم بقانون اتحادي رقم (35) لسنة 2022 بإصدار قانون الإثبات في المعاملات المدنية والتجارية</w:t>
      </w:r>
      <w:r w:rsidRPr="002167D0">
        <w:rPr>
          <w:rFonts w:ascii="Times New Roman" w:hAnsi="Times New Roman" w:cs="Times New Roman"/>
        </w:rPr>
        <w:t xml:space="preserve">. </w:t>
      </w:r>
      <w:r w:rsidRPr="002167D0">
        <w:rPr>
          <w:rFonts w:ascii="Times New Roman" w:hAnsi="Times New Roman" w:cs="Times New Roman"/>
          <w:rtl/>
        </w:rPr>
        <w:t>بوابة تشريعات الإمارات العربية المتحدة</w:t>
      </w:r>
      <w:r w:rsidRPr="002167D0">
        <w:rPr>
          <w:rFonts w:ascii="Times New Roman" w:hAnsi="Times New Roman" w:cs="Times New Roman"/>
        </w:rPr>
        <w:t>.</w:t>
      </w:r>
    </w:p>
    <w:p w14:paraId="5A8EB9BD" w14:textId="7899B34E" w:rsidR="00AA2343" w:rsidRDefault="00AA2343" w:rsidP="00DC389E">
      <w:pPr>
        <w:pStyle w:val="a7"/>
        <w:numPr>
          <w:ilvl w:val="0"/>
          <w:numId w:val="14"/>
        </w:numPr>
        <w:jc w:val="both"/>
      </w:pPr>
      <w:r>
        <w:rPr>
          <w:rFonts w:ascii="Arial" w:hAnsi="Arial" w:cs="Arial" w:hint="cs"/>
          <w:color w:val="222222"/>
          <w:shd w:val="clear" w:color="auto" w:fill="FFFFFF"/>
          <w:rtl/>
        </w:rPr>
        <w:t>البدوي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د المصطفى. (2025). المعالجات الدولية لنزاعات التجارة الرقمية عبر الحدود</w:t>
      </w:r>
      <w:r>
        <w:rPr>
          <w:rFonts w:ascii="Arial" w:hAnsi="Arial" w:cs="Arial"/>
          <w:color w:val="222222"/>
          <w:shd w:val="clear" w:color="auto" w:fill="FFFFFF"/>
        </w:rPr>
        <w:t>/International Responses to Cross-Border Digital Trade Disputes.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(50) , 4041-4127.</w:t>
      </w:r>
    </w:p>
    <w:p w14:paraId="1721F14C" w14:textId="6A7E3736" w:rsidR="00AA2343" w:rsidRDefault="00AA2343" w:rsidP="00DC389E">
      <w:pPr>
        <w:pStyle w:val="a7"/>
        <w:numPr>
          <w:ilvl w:val="0"/>
          <w:numId w:val="14"/>
        </w:numPr>
        <w:jc w:val="both"/>
      </w:pPr>
      <w:r>
        <w:rPr>
          <w:rFonts w:ascii="Arial" w:hAnsi="Arial" w:cs="Arial"/>
          <w:color w:val="222222"/>
          <w:shd w:val="clear" w:color="auto" w:fill="FFFFFF"/>
          <w:rtl/>
        </w:rPr>
        <w:t>م. د. زينب ثامر حميدي. (2026). الأمن القانوني والاعتراف بالأحكام الأجنبية في منازعات التجارة الإلكترونية الدولية في ظل تعدد الأنظمة القانونية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(6) , 504-522.</w:t>
      </w:r>
    </w:p>
  </w:footnote>
  <w:footnote w:id="4">
    <w:p w14:paraId="0C2F4593" w14:textId="75FFC21A" w:rsidR="00AA2343" w:rsidRDefault="00AA2343" w:rsidP="00DC389E">
      <w:pPr>
        <w:pStyle w:val="a7"/>
        <w:numPr>
          <w:ilvl w:val="0"/>
          <w:numId w:val="15"/>
        </w:numPr>
        <w:jc w:val="both"/>
        <w:rPr>
          <w:rtl/>
        </w:rPr>
      </w:pP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w:t>
      </w:r>
      <w:r>
        <w:rPr>
          <w:rFonts w:ascii="Arial" w:hAnsi="Arial" w:cs="Arial" w:hint="cs"/>
          <w:color w:val="222222"/>
          <w:shd w:val="clear" w:color="auto" w:fill="FFFFFF"/>
          <w:rtl/>
        </w:rPr>
        <w:t>العسري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الحسين زرهون. (2025). قراءة في بعض مظاهر رقمنة </w:t>
      </w:r>
      <w:r>
        <w:rPr>
          <w:rFonts w:ascii="Arial" w:hAnsi="Arial" w:cs="Arial" w:hint="cs"/>
          <w:color w:val="222222"/>
          <w:shd w:val="clear" w:color="auto" w:fill="FFFFFF"/>
          <w:rtl/>
        </w:rPr>
        <w:t>الإجراءات</w:t>
      </w:r>
      <w:r>
        <w:rPr>
          <w:rFonts w:ascii="Arial" w:hAnsi="Arial" w:cs="Arial"/>
          <w:color w:val="222222"/>
          <w:shd w:val="clear" w:color="auto" w:fill="FFFFFF"/>
          <w:rtl/>
        </w:rPr>
        <w:t xml:space="preserve"> والمساطر القضائية على ضوء مشروع قانون المسطرة المدنية رقم 02.23 وتأثيرها المتوقع على النجاعة القضائية</w:t>
      </w:r>
      <w:r>
        <w:rPr>
          <w:rFonts w:ascii="Arial" w:hAnsi="Arial" w:cs="Arial"/>
          <w:color w:val="222222"/>
          <w:shd w:val="clear" w:color="auto" w:fill="FFFFFF"/>
        </w:rPr>
        <w:t>. </w:t>
      </w:r>
      <w:r>
        <w:rPr>
          <w:rFonts w:ascii="Arial" w:hAnsi="Arial" w:cs="Arial"/>
          <w:i/>
          <w:iCs/>
          <w:color w:val="222222"/>
          <w:shd w:val="clear" w:color="auto" w:fill="FFFFFF"/>
          <w:rtl/>
        </w:rPr>
        <w:t>مجلة المنبر القانوني</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(28).</w:t>
      </w:r>
    </w:p>
    <w:p w14:paraId="107AED1A" w14:textId="24AF5D8E" w:rsidR="00AA2343" w:rsidRDefault="00AA2343" w:rsidP="00DC389E">
      <w:pPr>
        <w:pStyle w:val="a7"/>
        <w:numPr>
          <w:ilvl w:val="0"/>
          <w:numId w:val="15"/>
        </w:numPr>
        <w:jc w:val="both"/>
      </w:pPr>
      <w:r>
        <w:rPr>
          <w:rFonts w:ascii="Arial" w:hAnsi="Arial" w:cs="Arial" w:hint="cs"/>
          <w:color w:val="222222"/>
          <w:shd w:val="clear" w:color="auto" w:fill="FFFFFF"/>
          <w:rtl/>
        </w:rPr>
        <w:t>القحطاني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محمد بن حسن. (2024). الإجراءات المنظمة لرفع الدعاوى أمام القضاء الإداري في المملكة العربية السعودية</w:t>
      </w:r>
      <w:r>
        <w:rPr>
          <w:rFonts w:ascii="Arial" w:hAnsi="Arial" w:cs="Arial"/>
          <w:color w:val="222222"/>
          <w:shd w:val="clear" w:color="auto" w:fill="FFFFFF"/>
        </w:rPr>
        <w:t xml:space="preserve"> Procedures governing the filing of cases before the administrative court in the Kingdom of Saudi Arabia.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43</w:t>
      </w:r>
      <w:r>
        <w:rPr>
          <w:rFonts w:ascii="Arial" w:hAnsi="Arial" w:cs="Arial"/>
          <w:color w:val="222222"/>
          <w:shd w:val="clear" w:color="auto" w:fill="FFFFFF"/>
        </w:rPr>
        <w:t>(43) , 1957-1997.</w:t>
      </w:r>
    </w:p>
    <w:p w14:paraId="76A4D9A3" w14:textId="2A623FF3" w:rsidR="00AA2343" w:rsidRPr="00C95A4B" w:rsidRDefault="00AA2343" w:rsidP="00DC389E">
      <w:pPr>
        <w:pStyle w:val="a7"/>
        <w:numPr>
          <w:ilvl w:val="0"/>
          <w:numId w:val="15"/>
        </w:numPr>
        <w:jc w:val="both"/>
        <w:rPr>
          <w:rtl/>
        </w:rPr>
      </w:pPr>
      <w:r>
        <w:rPr>
          <w:rtl/>
        </w:rPr>
        <w:t>دولة الإمارات العربية المتحدة</w:t>
      </w:r>
      <w:r>
        <w:t xml:space="preserve">. (2022). </w:t>
      </w:r>
      <w:r>
        <w:rPr>
          <w:rStyle w:val="a4"/>
          <w:rtl/>
        </w:rPr>
        <w:t>مرسوم بقانون اتحادي رقم (42) لسنة 2022 بإصدار قانون الإجراءات المدنية</w:t>
      </w:r>
      <w:r>
        <w:t xml:space="preserve">. </w:t>
      </w:r>
      <w:r>
        <w:rPr>
          <w:rtl/>
        </w:rPr>
        <w:t>بوابة تشريعات الإمارات العربية المتحدة</w:t>
      </w:r>
      <w:r>
        <w:t>.</w:t>
      </w:r>
    </w:p>
  </w:footnote>
  <w:footnote w:id="5">
    <w:p w14:paraId="5572F6E6" w14:textId="23FF3924" w:rsidR="00AA2343" w:rsidRDefault="00AA2343" w:rsidP="00A3513C">
      <w:pPr>
        <w:pStyle w:val="a7"/>
        <w:jc w:val="both"/>
        <w:rPr>
          <w:rtl/>
        </w:rPr>
      </w:pPr>
      <w:r>
        <w:rPr>
          <w:rFonts w:hint="cs"/>
          <w:rtl/>
        </w:rPr>
        <w:t>(1)</w:t>
      </w:r>
      <w:r w:rsidRPr="00A3513C">
        <w:rPr>
          <w:rFonts w:ascii="Arial" w:hAnsi="Arial" w:cs="Arial"/>
          <w:color w:val="222222"/>
          <w:shd w:val="clear" w:color="auto" w:fill="FFFFFF"/>
        </w:rPr>
        <w:t xml:space="preserve"> </w:t>
      </w:r>
      <w:r>
        <w:rPr>
          <w:rFonts w:ascii="Arial" w:hAnsi="Arial" w:cs="Arial"/>
          <w:color w:val="222222"/>
          <w:shd w:val="clear" w:color="auto" w:fill="FFFFFF"/>
        </w:rPr>
        <w:t>Truby, J. (2026). Law and Technology in Singapore.</w:t>
      </w:r>
      <w:r>
        <w:rPr>
          <w:rFonts w:ascii="Arial" w:hAnsi="Arial" w:cs="Arial"/>
          <w:color w:val="222222"/>
          <w:shd w:val="clear" w:color="auto" w:fill="FFFFFF"/>
          <w:rtl/>
        </w:rPr>
        <w:t>‏</w:t>
      </w:r>
    </w:p>
  </w:footnote>
  <w:footnote w:id="6">
    <w:p w14:paraId="71A5D755" w14:textId="72890291" w:rsidR="00AA2343" w:rsidRDefault="00AA2343" w:rsidP="00A75063">
      <w:pPr>
        <w:pStyle w:val="a7"/>
        <w:jc w:val="both"/>
        <w:rPr>
          <w:rtl/>
        </w:rPr>
      </w:pPr>
      <w:r>
        <w:rPr>
          <w:rFonts w:hint="cs"/>
          <w:rtl/>
        </w:rPr>
        <w:t>(1)</w:t>
      </w:r>
      <w:r w:rsidRPr="00A75063">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محمد حسانين. (2024). المشكلات الإجرائية للتبليغات الإلكترونية وأثرها في انعقاد الخصومة القضائية في النظام </w:t>
      </w:r>
      <w:r>
        <w:rPr>
          <w:rFonts w:ascii="Arial" w:hAnsi="Arial" w:cs="Arial" w:hint="cs"/>
          <w:color w:val="222222"/>
          <w:shd w:val="clear" w:color="auto" w:fill="FFFFFF"/>
          <w:rtl/>
        </w:rPr>
        <w:t>السعودي</w:t>
      </w:r>
      <w:r>
        <w:rPr>
          <w:rFonts w:ascii="Arial" w:hAnsi="Arial" w:cs="Arial"/>
          <w:color w:val="222222"/>
          <w:shd w:val="clear" w:color="auto" w:fill="FFFFFF"/>
        </w:rPr>
        <w:t>. </w:t>
      </w:r>
      <w:r>
        <w:rPr>
          <w:rFonts w:ascii="Arial" w:hAnsi="Arial" w:cs="Arial"/>
          <w:i/>
          <w:iCs/>
          <w:color w:val="222222"/>
          <w:shd w:val="clear" w:color="auto" w:fill="FFFFFF"/>
        </w:rPr>
        <w:t>L'Egypte Contemporaine</w:t>
      </w:r>
      <w:r>
        <w:rPr>
          <w:rFonts w:ascii="Arial" w:hAnsi="Arial" w:cs="Arial"/>
          <w:color w:val="222222"/>
          <w:shd w:val="clear" w:color="auto" w:fill="FFFFFF"/>
        </w:rPr>
        <w:t>, </w:t>
      </w:r>
      <w:r>
        <w:rPr>
          <w:rFonts w:ascii="Arial" w:hAnsi="Arial" w:cs="Arial"/>
          <w:i/>
          <w:iCs/>
          <w:color w:val="222222"/>
          <w:shd w:val="clear" w:color="auto" w:fill="FFFFFF"/>
        </w:rPr>
        <w:t>115</w:t>
      </w:r>
      <w:r>
        <w:rPr>
          <w:rFonts w:ascii="Arial" w:hAnsi="Arial" w:cs="Arial"/>
          <w:color w:val="222222"/>
          <w:shd w:val="clear" w:color="auto" w:fill="FFFFFF"/>
        </w:rPr>
        <w:t>(554), 9-46.</w:t>
      </w:r>
      <w:r>
        <w:rPr>
          <w:rFonts w:ascii="Arial" w:hAnsi="Arial" w:cs="Arial"/>
          <w:color w:val="222222"/>
          <w:shd w:val="clear" w:color="auto" w:fill="FFFFFF"/>
          <w:rtl/>
        </w:rPr>
        <w:t>‏</w:t>
      </w:r>
    </w:p>
    <w:p w14:paraId="0D347076" w14:textId="6634228B" w:rsidR="00AA2343" w:rsidRDefault="00AA2343" w:rsidP="00A75063">
      <w:pPr>
        <w:pStyle w:val="a7"/>
        <w:jc w:val="both"/>
        <w:rPr>
          <w:rtl/>
        </w:rPr>
      </w:pPr>
      <w:r>
        <w:rPr>
          <w:rFonts w:hint="cs"/>
          <w:rtl/>
        </w:rPr>
        <w:t>(2)</w:t>
      </w:r>
      <w:r w:rsidRPr="00DC389E">
        <w:rPr>
          <w:rFonts w:ascii="Arial" w:hAnsi="Arial" w:cs="Arial"/>
          <w:color w:val="222222"/>
          <w:shd w:val="clear" w:color="auto" w:fill="FFFFFF"/>
          <w:rtl/>
        </w:rPr>
        <w:t xml:space="preserve"> </w:t>
      </w:r>
      <w:r>
        <w:rPr>
          <w:rFonts w:ascii="Arial" w:hAnsi="Arial" w:cs="Arial"/>
          <w:color w:val="222222"/>
          <w:shd w:val="clear" w:color="auto" w:fill="FFFFFF"/>
          <w:rtl/>
        </w:rPr>
        <w:t>د. ليلى عبد المجيد</w:t>
      </w:r>
      <w:r>
        <w:rPr>
          <w:rFonts w:ascii="Arial" w:hAnsi="Arial" w:cs="Arial"/>
          <w:color w:val="222222"/>
          <w:shd w:val="clear" w:color="auto" w:fill="FFFFFF"/>
        </w:rPr>
        <w:t>. (2021). </w:t>
      </w:r>
      <w:r>
        <w:rPr>
          <w:rFonts w:ascii="Arial" w:hAnsi="Arial" w:cs="Arial"/>
          <w:i/>
          <w:iCs/>
          <w:color w:val="222222"/>
          <w:shd w:val="clear" w:color="auto" w:fill="FFFFFF"/>
          <w:rtl/>
        </w:rPr>
        <w:t>التنظيم التشريعي والقانوني للإعلام التقليدي والإلكتروني</w:t>
      </w:r>
      <w:r>
        <w:rPr>
          <w:rFonts w:ascii="Arial" w:hAnsi="Arial" w:cs="Arial"/>
          <w:color w:val="222222"/>
          <w:shd w:val="clear" w:color="auto" w:fill="FFFFFF"/>
        </w:rPr>
        <w:t>. Al Arabi Publishing and Distributing.</w:t>
      </w:r>
      <w:r>
        <w:rPr>
          <w:rFonts w:ascii="Arial" w:hAnsi="Arial" w:cs="Arial"/>
          <w:color w:val="222222"/>
          <w:shd w:val="clear" w:color="auto" w:fill="FFFFFF"/>
          <w:rtl/>
        </w:rPr>
        <w:t>‏</w:t>
      </w:r>
    </w:p>
  </w:footnote>
  <w:footnote w:id="7">
    <w:p w14:paraId="70989940" w14:textId="62D6701E" w:rsidR="00AA2343" w:rsidRDefault="00AA2343" w:rsidP="00E86C42">
      <w:pPr>
        <w:pStyle w:val="a7"/>
        <w:jc w:val="both"/>
        <w:rPr>
          <w:rtl/>
        </w:rPr>
      </w:pPr>
      <w:r>
        <w:rPr>
          <w:rFonts w:hint="cs"/>
          <w:rtl/>
        </w:rPr>
        <w:t>(1)</w:t>
      </w:r>
      <w:r w:rsidRPr="00E86C42">
        <w:rPr>
          <w:rtl/>
        </w:rPr>
        <w:t xml:space="preserve"> </w:t>
      </w:r>
      <w:r>
        <w:rPr>
          <w:rtl/>
        </w:rPr>
        <w:t>المملكة العربية السعودية. (1443هـ)</w:t>
      </w:r>
      <w:r>
        <w:t xml:space="preserve">. </w:t>
      </w:r>
      <w:r>
        <w:rPr>
          <w:rStyle w:val="a4"/>
          <w:rtl/>
        </w:rPr>
        <w:t>نظام الإثبات، الصادر بالمرسوم الملكي رقم (م/43) وتاريخ 26/5/1443هـ</w:t>
      </w:r>
      <w:r>
        <w:t xml:space="preserve">. </w:t>
      </w:r>
      <w:r>
        <w:rPr>
          <w:rtl/>
        </w:rPr>
        <w:t>هيئة الخبراء بمجلس الوزراء</w:t>
      </w:r>
      <w:r>
        <w:t>.</w:t>
      </w:r>
    </w:p>
    <w:p w14:paraId="57981540" w14:textId="0484BA60" w:rsidR="00AA2343" w:rsidRPr="00E86C42" w:rsidRDefault="00AA2343" w:rsidP="00E86C42">
      <w:pPr>
        <w:pStyle w:val="a7"/>
        <w:jc w:val="both"/>
        <w:rPr>
          <w:rtl/>
        </w:rPr>
      </w:pPr>
      <w:r>
        <w:rPr>
          <w:rFonts w:hint="cs"/>
          <w:rtl/>
        </w:rPr>
        <w:t>(2)</w:t>
      </w:r>
      <w:r w:rsidRPr="00E86C42">
        <w:rPr>
          <w:rtl/>
        </w:rPr>
        <w:t xml:space="preserve"> </w:t>
      </w:r>
      <w:r>
        <w:rPr>
          <w:rtl/>
        </w:rPr>
        <w:t>دولة الإمارات العربية المتحدة</w:t>
      </w:r>
      <w:r>
        <w:t xml:space="preserve">. (2022). </w:t>
      </w:r>
      <w:r>
        <w:rPr>
          <w:rStyle w:val="a4"/>
          <w:rtl/>
        </w:rPr>
        <w:t>مرسوم بقانون اتحادي رقم (35) لسنة 2022 بإصدار قانون الإثبات في المعاملات المدنية والتجارية</w:t>
      </w:r>
      <w:r>
        <w:t xml:space="preserve">. </w:t>
      </w:r>
      <w:r>
        <w:rPr>
          <w:rtl/>
        </w:rPr>
        <w:t>بوابة تشريعات الإمارات العربية المتحدة</w:t>
      </w:r>
      <w:r>
        <w:t>.</w:t>
      </w:r>
    </w:p>
  </w:footnote>
  <w:footnote w:id="8">
    <w:p w14:paraId="7814830F" w14:textId="510767F6" w:rsidR="00AA2343" w:rsidRDefault="00AA2343" w:rsidP="00FE4565">
      <w:pPr>
        <w:pStyle w:val="a7"/>
        <w:jc w:val="both"/>
        <w:rPr>
          <w:rtl/>
        </w:rPr>
      </w:pPr>
      <w:r>
        <w:rPr>
          <w:rFonts w:hint="cs"/>
          <w:rtl/>
        </w:rPr>
        <w:t>(1)</w:t>
      </w:r>
      <w:r w:rsidRPr="00C43AD9">
        <w:rPr>
          <w:rFonts w:ascii="Arial" w:hAnsi="Arial" w:cs="Arial"/>
          <w:color w:val="222222"/>
          <w:shd w:val="clear" w:color="auto" w:fill="FFFFFF"/>
        </w:rPr>
        <w:t xml:space="preserve"> </w:t>
      </w:r>
      <w:r>
        <w:rPr>
          <w:rFonts w:ascii="Arial" w:hAnsi="Arial" w:cs="Arial"/>
          <w:color w:val="222222"/>
          <w:shd w:val="clear" w:color="auto" w:fill="FFFFFF"/>
        </w:rPr>
        <w:t xml:space="preserve">Chen, S. (2013). </w:t>
      </w:r>
      <w:r>
        <w:rPr>
          <w:rFonts w:ascii="Arial" w:hAnsi="Arial" w:cs="Arial"/>
          <w:color w:val="222222"/>
          <w:shd w:val="clear" w:color="auto" w:fill="FFFFFF"/>
          <w:rtl/>
        </w:rPr>
        <w:t>حدود السلطة التقديرية لدى النيابة العامة في سنغافورة: الماضي والحاضر والمستقبل</w:t>
      </w:r>
      <w:r>
        <w:rPr>
          <w:rFonts w:ascii="Arial" w:hAnsi="Arial" w:cs="Arial"/>
          <w:color w:val="222222"/>
          <w:shd w:val="clear" w:color="auto" w:fill="FFFFFF"/>
        </w:rPr>
        <w:t>. </w:t>
      </w:r>
      <w:r>
        <w:rPr>
          <w:rFonts w:ascii="Arial" w:hAnsi="Arial" w:cs="Arial"/>
          <w:i/>
          <w:iCs/>
          <w:color w:val="222222"/>
          <w:shd w:val="clear" w:color="auto" w:fill="FFFFFF"/>
        </w:rPr>
        <w:t>International Review of Law</w:t>
      </w:r>
      <w:r>
        <w:rPr>
          <w:rFonts w:ascii="Arial" w:hAnsi="Arial" w:cs="Arial"/>
          <w:color w:val="222222"/>
          <w:shd w:val="clear" w:color="auto" w:fill="FFFFFF"/>
        </w:rPr>
        <w:t>, </w:t>
      </w:r>
      <w:r>
        <w:rPr>
          <w:rFonts w:ascii="Arial" w:hAnsi="Arial" w:cs="Arial"/>
          <w:i/>
          <w:iCs/>
          <w:color w:val="222222"/>
          <w:shd w:val="clear" w:color="auto" w:fill="FFFFFF"/>
        </w:rPr>
        <w:t>2013</w:t>
      </w:r>
      <w:r>
        <w:rPr>
          <w:rFonts w:ascii="Arial" w:hAnsi="Arial" w:cs="Arial"/>
          <w:color w:val="222222"/>
          <w:shd w:val="clear" w:color="auto" w:fill="FFFFFF"/>
        </w:rPr>
        <w:t>(1).</w:t>
      </w:r>
      <w:r>
        <w:rPr>
          <w:rFonts w:ascii="Arial" w:hAnsi="Arial" w:cs="Arial"/>
          <w:color w:val="222222"/>
          <w:shd w:val="clear" w:color="auto" w:fill="FFFFFF"/>
          <w:rtl/>
        </w:rPr>
        <w:t>‏</w:t>
      </w:r>
    </w:p>
  </w:footnote>
  <w:footnote w:id="9">
    <w:p w14:paraId="3C5890B9" w14:textId="13219498" w:rsidR="00AA2343" w:rsidRPr="0083328E" w:rsidRDefault="00AA2343" w:rsidP="0083328E">
      <w:pPr>
        <w:pStyle w:val="a7"/>
        <w:jc w:val="both"/>
        <w:rPr>
          <w:rtl/>
        </w:rPr>
      </w:pPr>
      <w:r>
        <w:rPr>
          <w:rFonts w:hint="cs"/>
          <w:rtl/>
        </w:rPr>
        <w:t>(1)</w:t>
      </w:r>
      <w:r w:rsidRPr="0083328E">
        <w:rPr>
          <w:rFonts w:ascii="Arial" w:hAnsi="Arial" w:cs="Arial"/>
          <w:color w:val="222222"/>
          <w:shd w:val="clear" w:color="auto" w:fill="FFFFFF"/>
          <w:rtl/>
        </w:rPr>
        <w:t xml:space="preserve"> </w:t>
      </w:r>
      <w:r>
        <w:rPr>
          <w:rFonts w:ascii="Arial" w:hAnsi="Arial" w:cs="Arial"/>
          <w:color w:val="222222"/>
          <w:shd w:val="clear" w:color="auto" w:fill="FFFFFF"/>
          <w:rtl/>
        </w:rPr>
        <w:t>العلي</w:t>
      </w:r>
      <w:r>
        <w:rPr>
          <w:rFonts w:ascii="Arial" w:hAnsi="Arial" w:cs="Arial"/>
          <w:color w:val="222222"/>
          <w:shd w:val="clear" w:color="auto" w:fill="FFFFFF"/>
        </w:rPr>
        <w:t xml:space="preserve">, &amp; </w:t>
      </w:r>
      <w:r>
        <w:rPr>
          <w:rFonts w:ascii="Arial" w:hAnsi="Arial" w:cs="Arial"/>
          <w:color w:val="222222"/>
          <w:shd w:val="clear" w:color="auto" w:fill="FFFFFF"/>
          <w:rtl/>
        </w:rPr>
        <w:t>لمى. (2026). التعاون الدولي في مكافحة الجريمة السيبرانية في إطار القانون الدولي العام</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53</w:t>
      </w:r>
      <w:r>
        <w:rPr>
          <w:rFonts w:ascii="Arial" w:hAnsi="Arial" w:cs="Arial"/>
          <w:color w:val="222222"/>
          <w:shd w:val="clear" w:color="auto" w:fill="FFFFFF"/>
        </w:rPr>
        <w:t>(53), 3819-3904.</w:t>
      </w:r>
    </w:p>
  </w:footnote>
  <w:footnote w:id="10">
    <w:p w14:paraId="0E11D2C9" w14:textId="7A3A97B9" w:rsidR="00AA2343" w:rsidRPr="00AB12F7" w:rsidRDefault="00AA2343" w:rsidP="00AB12F7">
      <w:pPr>
        <w:pStyle w:val="a7"/>
        <w:jc w:val="both"/>
        <w:rPr>
          <w:rtl/>
        </w:rPr>
      </w:pPr>
      <w:r>
        <w:rPr>
          <w:rFonts w:hint="cs"/>
          <w:rtl/>
        </w:rPr>
        <w:t>(1)</w:t>
      </w:r>
      <w:r w:rsidRPr="00AB12F7">
        <w:rPr>
          <w:rFonts w:ascii="Arial" w:hAnsi="Arial" w:cs="Arial"/>
          <w:color w:val="222222"/>
          <w:shd w:val="clear" w:color="auto" w:fill="FFFFFF"/>
          <w:rtl/>
        </w:rPr>
        <w:t xml:space="preserve"> </w:t>
      </w:r>
      <w:r>
        <w:rPr>
          <w:rFonts w:ascii="Arial" w:hAnsi="Arial" w:cs="Arial" w:hint="cs"/>
          <w:color w:val="222222"/>
          <w:shd w:val="clear" w:color="auto" w:fill="FFFFFF"/>
          <w:rtl/>
        </w:rPr>
        <w:t>سالــــــــم،</w:t>
      </w:r>
      <w:r>
        <w:rPr>
          <w:rFonts w:ascii="Arial" w:hAnsi="Arial" w:cs="Arial"/>
          <w:color w:val="222222"/>
          <w:shd w:val="clear" w:color="auto" w:fill="FFFFFF"/>
          <w:rtl/>
        </w:rPr>
        <w:t xml:space="preserve"> أ. د/دعــــــــاء </w:t>
      </w:r>
      <w:r>
        <w:rPr>
          <w:rFonts w:ascii="Arial" w:hAnsi="Arial" w:cs="Arial" w:hint="cs"/>
          <w:color w:val="222222"/>
          <w:shd w:val="clear" w:color="auto" w:fill="FFFFFF"/>
          <w:rtl/>
        </w:rPr>
        <w:t>فتحـــــــي،</w:t>
      </w:r>
      <w:r>
        <w:rPr>
          <w:rFonts w:ascii="Arial" w:hAnsi="Arial" w:cs="Arial"/>
          <w:color w:val="222222"/>
          <w:shd w:val="clear" w:color="auto" w:fill="FFFFFF"/>
          <w:rtl/>
        </w:rPr>
        <w:t xml:space="preserve"> </w:t>
      </w:r>
      <w:r>
        <w:rPr>
          <w:rFonts w:ascii="Arial" w:hAnsi="Arial" w:cs="Arial" w:hint="cs"/>
          <w:color w:val="222222"/>
          <w:shd w:val="clear" w:color="auto" w:fill="FFFFFF"/>
          <w:rtl/>
        </w:rPr>
        <w:t>أبو الجدايل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 م. د/محمد حاتم صلاح. (2023). فاعلية استخدام الهيئة الوطنية للأمن السيبراني بالمملكة العربية السعودية لتقنيات الذكاء الاصطناعي كتوجه مستقبلي: دراسة استشرافية</w:t>
      </w:r>
      <w:r>
        <w:rPr>
          <w:rFonts w:ascii="Arial" w:hAnsi="Arial" w:cs="Arial"/>
          <w:color w:val="222222"/>
          <w:shd w:val="clear" w:color="auto" w:fill="FFFFFF"/>
        </w:rPr>
        <w:t>. </w:t>
      </w:r>
      <w:r>
        <w:rPr>
          <w:rFonts w:ascii="Arial" w:hAnsi="Arial" w:cs="Arial"/>
          <w:i/>
          <w:iCs/>
          <w:color w:val="222222"/>
          <w:shd w:val="clear" w:color="auto" w:fill="FFFFFF"/>
          <w:rtl/>
        </w:rPr>
        <w:t>بحوث عربية فى مجالات التربية النوعية</w:t>
      </w:r>
      <w:r>
        <w:rPr>
          <w:rFonts w:ascii="Arial" w:hAnsi="Arial" w:cs="Arial"/>
          <w:color w:val="222222"/>
          <w:shd w:val="clear" w:color="auto" w:fill="FFFFFF"/>
        </w:rPr>
        <w:t>, </w:t>
      </w:r>
      <w:r>
        <w:rPr>
          <w:rFonts w:ascii="Arial" w:hAnsi="Arial" w:cs="Arial"/>
          <w:i/>
          <w:iCs/>
          <w:color w:val="222222"/>
          <w:shd w:val="clear" w:color="auto" w:fill="FFFFFF"/>
        </w:rPr>
        <w:t>30</w:t>
      </w:r>
      <w:r>
        <w:rPr>
          <w:rFonts w:ascii="Arial" w:hAnsi="Arial" w:cs="Arial"/>
          <w:color w:val="222222"/>
          <w:shd w:val="clear" w:color="auto" w:fill="FFFFFF"/>
        </w:rPr>
        <w:t>(1), 183-239.</w:t>
      </w:r>
    </w:p>
  </w:footnote>
  <w:footnote w:id="11">
    <w:p w14:paraId="7245133F" w14:textId="3EDF914D" w:rsidR="00AA2343" w:rsidRPr="00AB12F7" w:rsidRDefault="00AA2343" w:rsidP="00AB12F7">
      <w:pPr>
        <w:pStyle w:val="a7"/>
        <w:jc w:val="both"/>
        <w:rPr>
          <w:rtl/>
        </w:rPr>
      </w:pPr>
      <w:r>
        <w:rPr>
          <w:rFonts w:hint="cs"/>
          <w:rtl/>
        </w:rPr>
        <w:t>(1)</w:t>
      </w:r>
      <w:r w:rsidRPr="00AB12F7">
        <w:rPr>
          <w:rtl/>
        </w:rPr>
        <w:t xml:space="preserve"> </w:t>
      </w:r>
      <w:r>
        <w:rPr>
          <w:rtl/>
        </w:rPr>
        <w:t>دولة الإمارات العربية المتحدة</w:t>
      </w:r>
      <w:r>
        <w:t xml:space="preserve">. (2021). </w:t>
      </w:r>
      <w:r>
        <w:rPr>
          <w:rStyle w:val="a4"/>
          <w:rtl/>
        </w:rPr>
        <w:t>مرسوم بقانون اتحادي رقم (46) لسنة 2021 بشأن المعاملات الإلكترونية وخدمات الثقة</w:t>
      </w:r>
      <w:r>
        <w:t xml:space="preserve">. </w:t>
      </w:r>
      <w:r>
        <w:rPr>
          <w:rtl/>
        </w:rPr>
        <w:t>بوابة تشريعات الإمارات العربية المتحدة</w:t>
      </w:r>
      <w:r>
        <w:t>.</w:t>
      </w:r>
    </w:p>
  </w:footnote>
  <w:footnote w:id="12">
    <w:p w14:paraId="74E0E467" w14:textId="7D8271CD" w:rsidR="00AA2343" w:rsidRPr="00406949" w:rsidRDefault="00AA2343" w:rsidP="00406949">
      <w:pPr>
        <w:pStyle w:val="a7"/>
        <w:jc w:val="both"/>
        <w:rPr>
          <w:rtl/>
        </w:rPr>
      </w:pPr>
      <w:r>
        <w:rPr>
          <w:rFonts w:hint="cs"/>
          <w:rtl/>
        </w:rPr>
        <w:t>(1)</w:t>
      </w:r>
      <w:r w:rsidRPr="00406949">
        <w:rPr>
          <w:rFonts w:ascii="Arial" w:hAnsi="Arial" w:cs="Arial"/>
          <w:color w:val="222222"/>
          <w:shd w:val="clear" w:color="auto" w:fill="FFFFFF"/>
          <w:rtl/>
        </w:rPr>
        <w:t xml:space="preserve"> </w:t>
      </w:r>
      <w:r>
        <w:rPr>
          <w:rFonts w:ascii="Arial" w:hAnsi="Arial" w:cs="Arial"/>
          <w:color w:val="222222"/>
          <w:shd w:val="clear" w:color="auto" w:fill="FFFFFF"/>
          <w:rtl/>
        </w:rPr>
        <w:t>الشمري</w:t>
      </w:r>
      <w:r>
        <w:rPr>
          <w:rFonts w:ascii="Arial" w:hAnsi="Arial" w:cs="Arial"/>
          <w:color w:val="222222"/>
          <w:shd w:val="clear" w:color="auto" w:fill="FFFFFF"/>
        </w:rPr>
        <w:t xml:space="preserve">, &amp; </w:t>
      </w:r>
      <w:r>
        <w:rPr>
          <w:rFonts w:ascii="Arial" w:hAnsi="Arial" w:cs="Arial"/>
          <w:color w:val="222222"/>
          <w:shd w:val="clear" w:color="auto" w:fill="FFFFFF"/>
          <w:rtl/>
        </w:rPr>
        <w:t>ثامر بن حسن بن عسكر. (2025). حجية التوقيع الإلكتروني والتصديق عليه في مجال المعاملات المصرفية في نظام التعاملات الإلكترونية السعودي: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البحوث القانونية والإقتصادية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(94.), 1-53.</w:t>
      </w:r>
    </w:p>
  </w:footnote>
  <w:footnote w:id="13">
    <w:p w14:paraId="714D2B84" w14:textId="7DF3E12F" w:rsidR="00AA2343" w:rsidRPr="00406949" w:rsidRDefault="00AA2343" w:rsidP="00406949">
      <w:pPr>
        <w:pStyle w:val="a7"/>
        <w:jc w:val="both"/>
        <w:rPr>
          <w:rtl/>
        </w:rPr>
      </w:pPr>
      <w:r>
        <w:rPr>
          <w:rFonts w:hint="cs"/>
          <w:rtl/>
        </w:rPr>
        <w:t>(1)</w:t>
      </w:r>
      <w:r w:rsidRPr="00406949">
        <w:rPr>
          <w:rtl/>
        </w:rPr>
        <w:t xml:space="preserve"> </w:t>
      </w:r>
      <w:r>
        <w:rPr>
          <w:rtl/>
        </w:rPr>
        <w:t>دولة الإمارات العربية المتحدة</w:t>
      </w:r>
      <w:r>
        <w:t xml:space="preserve">. (2021). </w:t>
      </w:r>
      <w:r>
        <w:rPr>
          <w:rStyle w:val="a4"/>
          <w:rtl/>
        </w:rPr>
        <w:t>مرسوم بقانون اتحادي رقم (46) لسنة 2021 بشأن المعاملات الإلكترونية وخدمات الثقة</w:t>
      </w:r>
      <w:r>
        <w:t xml:space="preserve">. </w:t>
      </w:r>
      <w:r>
        <w:rPr>
          <w:rtl/>
        </w:rPr>
        <w:t>بوابة تشريعات الإمارات العربية المتحدة</w:t>
      </w:r>
      <w:r>
        <w:t>.</w:t>
      </w:r>
    </w:p>
  </w:footnote>
  <w:footnote w:id="14">
    <w:p w14:paraId="0BA7BFC8" w14:textId="65BF23F1" w:rsidR="00AA2343" w:rsidRDefault="00AA2343" w:rsidP="00361B7D">
      <w:pPr>
        <w:pStyle w:val="a7"/>
        <w:jc w:val="both"/>
      </w:pPr>
      <w:r>
        <w:rPr>
          <w:rFonts w:hint="cs"/>
          <w:rtl/>
        </w:rPr>
        <w:t>(1)</w:t>
      </w:r>
      <w:r w:rsidRPr="00361B7D">
        <w:rPr>
          <w:rFonts w:ascii="Arial" w:hAnsi="Arial" w:cs="Arial"/>
          <w:color w:val="222222"/>
          <w:shd w:val="clear" w:color="auto" w:fill="FFFFFF"/>
          <w:rtl/>
        </w:rPr>
        <w:t xml:space="preserve"> </w:t>
      </w:r>
      <w:r>
        <w:rPr>
          <w:rFonts w:ascii="Arial" w:hAnsi="Arial" w:cs="Arial"/>
          <w:color w:val="222222"/>
          <w:shd w:val="clear" w:color="auto" w:fill="FFFFFF"/>
          <w:rtl/>
        </w:rPr>
        <w:t>عذراء احمد عيسى انصاف. (2025). الحماية القانونية المقررة في عقد البيع الالكتروني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599-620.</w:t>
      </w:r>
    </w:p>
  </w:footnote>
  <w:footnote w:id="15">
    <w:p w14:paraId="2FA08EF2" w14:textId="0769D9B2" w:rsidR="00AA2343" w:rsidRPr="00873376" w:rsidRDefault="00AA2343" w:rsidP="00873376">
      <w:pPr>
        <w:pStyle w:val="a7"/>
        <w:jc w:val="both"/>
        <w:rPr>
          <w:rtl/>
        </w:rPr>
      </w:pPr>
      <w:r>
        <w:rPr>
          <w:rFonts w:hint="cs"/>
          <w:rtl/>
        </w:rPr>
        <w:t>(1)</w:t>
      </w:r>
      <w:r w:rsidRPr="00873376">
        <w:rPr>
          <w:rFonts w:ascii="Arial" w:hAnsi="Arial" w:cs="Arial"/>
          <w:color w:val="222222"/>
          <w:shd w:val="clear" w:color="auto" w:fill="FFFFFF"/>
          <w:rtl/>
        </w:rPr>
        <w:t xml:space="preserve"> </w:t>
      </w:r>
      <w:r>
        <w:rPr>
          <w:rFonts w:ascii="Arial" w:hAnsi="Arial" w:cs="Arial"/>
          <w:color w:val="222222"/>
          <w:shd w:val="clear" w:color="auto" w:fill="FFFFFF"/>
          <w:rtl/>
        </w:rPr>
        <w:t>بن نايف عبدالله الشمرى</w:t>
      </w:r>
      <w:r>
        <w:rPr>
          <w:rFonts w:ascii="Arial" w:hAnsi="Arial" w:cs="Arial"/>
          <w:color w:val="222222"/>
          <w:shd w:val="clear" w:color="auto" w:fill="FFFFFF"/>
        </w:rPr>
        <w:t xml:space="preserve">, &amp; </w:t>
      </w:r>
      <w:r>
        <w:rPr>
          <w:rFonts w:ascii="Arial" w:hAnsi="Arial" w:cs="Arial"/>
          <w:color w:val="222222"/>
          <w:shd w:val="clear" w:color="auto" w:fill="FFFFFF"/>
          <w:rtl/>
        </w:rPr>
        <w:t>نواف. (2025). النظام الجزائي لجرائم المعلوماتية وأثره في حماية الأمن السيبراني في السعودية</w:t>
      </w:r>
      <w:r>
        <w:rPr>
          <w:rFonts w:ascii="Arial" w:hAnsi="Arial" w:cs="Arial"/>
          <w:color w:val="222222"/>
          <w:shd w:val="clear" w:color="auto" w:fill="FFFFFF"/>
        </w:rPr>
        <w:t xml:space="preserve"> The Penal System for Cybercrimes and Its Impact on Protecting Cyber security in Saudi Arabia.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(112), 1883-1930.</w:t>
      </w:r>
    </w:p>
  </w:footnote>
  <w:footnote w:id="16">
    <w:p w14:paraId="09AC492B" w14:textId="12058D43" w:rsidR="00AA2343" w:rsidRPr="00F76FFA" w:rsidRDefault="00AA2343" w:rsidP="00F76FFA">
      <w:pPr>
        <w:pStyle w:val="a7"/>
        <w:jc w:val="both"/>
        <w:rPr>
          <w:rtl/>
        </w:rPr>
      </w:pPr>
      <w:r>
        <w:rPr>
          <w:rFonts w:hint="cs"/>
          <w:rtl/>
        </w:rPr>
        <w:t>(1)</w:t>
      </w:r>
      <w:r w:rsidRPr="00F76FFA">
        <w:rPr>
          <w:rFonts w:ascii="Arial" w:hAnsi="Arial" w:cs="Arial"/>
          <w:color w:val="222222"/>
          <w:shd w:val="clear" w:color="auto" w:fill="FFFFFF"/>
          <w:rtl/>
        </w:rPr>
        <w:t xml:space="preserve"> </w:t>
      </w:r>
      <w:r>
        <w:rPr>
          <w:rFonts w:ascii="Arial" w:hAnsi="Arial" w:cs="Arial"/>
          <w:color w:val="222222"/>
          <w:shd w:val="clear" w:color="auto" w:fill="FFFFFF"/>
          <w:rtl/>
        </w:rPr>
        <w:t>مزوز, صورية, رجب فتح الباب صميده</w:t>
      </w:r>
      <w:r>
        <w:rPr>
          <w:rFonts w:ascii="Arial" w:hAnsi="Arial" w:cs="Arial"/>
          <w:color w:val="222222"/>
          <w:shd w:val="clear" w:color="auto" w:fill="FFFFFF"/>
        </w:rPr>
        <w:t xml:space="preserve">, &amp; </w:t>
      </w:r>
      <w:r>
        <w:rPr>
          <w:rFonts w:ascii="Arial" w:hAnsi="Arial" w:cs="Arial"/>
          <w:color w:val="222222"/>
          <w:shd w:val="clear" w:color="auto" w:fill="FFFFFF"/>
          <w:rtl/>
        </w:rPr>
        <w:t>صلاح الدين. (2026). المسؤولية النظامية للشركات عن حماية البيانات الشخصية في ظل استخدام تقنيات الذكاء الاصطناعي دراسة تحليلية في النظام السعودي</w:t>
      </w:r>
      <w:r>
        <w:rPr>
          <w:rFonts w:ascii="Arial" w:hAnsi="Arial" w:cs="Arial"/>
          <w:color w:val="222222"/>
          <w:shd w:val="clear" w:color="auto" w:fill="FFFFFF"/>
        </w:rPr>
        <w:t>/Corporate Legal Responsibility for Safeguarding Personal Data under Artificial Intelligence Technologies: An Analytical Examination within the Saudi Legal System.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53</w:t>
      </w:r>
      <w:r>
        <w:rPr>
          <w:rFonts w:ascii="Arial" w:hAnsi="Arial" w:cs="Arial"/>
          <w:color w:val="222222"/>
          <w:shd w:val="clear" w:color="auto" w:fill="FFFFFF"/>
        </w:rPr>
        <w:t>(53), 595-651.</w:t>
      </w:r>
    </w:p>
  </w:footnote>
  <w:footnote w:id="17">
    <w:p w14:paraId="03450711" w14:textId="5AB338F5" w:rsidR="00AA2343" w:rsidRPr="00A66CB4" w:rsidRDefault="00AA2343" w:rsidP="00A66CB4">
      <w:pPr>
        <w:pStyle w:val="a7"/>
        <w:jc w:val="left"/>
        <w:rPr>
          <w:vertAlign w:val="superscript"/>
        </w:rPr>
      </w:pPr>
      <w:r w:rsidRPr="00A66CB4">
        <w:rPr>
          <w:rStyle w:val="a8"/>
          <w:rFonts w:hint="cs"/>
          <w:rtl/>
        </w:rPr>
        <w:t>(</w:t>
      </w:r>
      <w:r w:rsidRPr="00A66CB4">
        <w:rPr>
          <w:rFonts w:hint="cs"/>
          <w:vertAlign w:val="superscript"/>
          <w:rtl/>
        </w:rPr>
        <w:t>1)</w:t>
      </w:r>
      <w:r w:rsidRPr="00A66CB4">
        <w:rPr>
          <w:rtl/>
        </w:rPr>
        <w:t xml:space="preserve"> </w:t>
      </w:r>
      <w:r w:rsidRPr="00A66CB4">
        <w:rPr>
          <w:rFonts w:ascii="Arial" w:hAnsi="Arial" w:cs="Arial" w:hint="cs"/>
          <w:color w:val="222222"/>
          <w:shd w:val="clear" w:color="auto" w:fill="FFFFFF"/>
          <w:rtl/>
        </w:rPr>
        <w:t>الحربي،</w:t>
      </w:r>
      <w:r w:rsidRPr="00A66CB4">
        <w:rPr>
          <w:rFonts w:ascii="Arial" w:hAnsi="Arial" w:cs="Arial"/>
          <w:color w:val="222222"/>
          <w:shd w:val="clear" w:color="auto" w:fill="FFFFFF"/>
          <w:rtl/>
        </w:rPr>
        <w:t xml:space="preserve"> ت. د</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Information Studies and Technology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2025</w:t>
      </w:r>
      <w:r w:rsidRPr="00A66CB4">
        <w:rPr>
          <w:rFonts w:ascii="Arial" w:hAnsi="Arial" w:cs="Arial"/>
          <w:color w:val="222222"/>
          <w:shd w:val="clear" w:color="auto" w:fill="FFFFFF"/>
        </w:rPr>
        <w:t>(1), 7.</w:t>
      </w:r>
      <w:r w:rsidRPr="00A66CB4">
        <w:rPr>
          <w:rFonts w:ascii="Arial" w:hAnsi="Arial" w:cs="Arial"/>
          <w:color w:val="222222"/>
          <w:shd w:val="clear" w:color="auto" w:fill="FFFFFF"/>
          <w:rtl/>
        </w:rPr>
        <w:t>‏</w:t>
      </w:r>
    </w:p>
  </w:footnote>
  <w:footnote w:id="18">
    <w:p w14:paraId="0A2CBC45" w14:textId="77777777" w:rsidR="00AA2343" w:rsidRPr="00A66CB4" w:rsidRDefault="00AA2343" w:rsidP="00A66CB4">
      <w:pPr>
        <w:pStyle w:val="a7"/>
        <w:jc w:val="left"/>
        <w:rPr>
          <w:rtl/>
        </w:rPr>
      </w:pPr>
      <w:r w:rsidRPr="00A66CB4">
        <w:rPr>
          <w:rStyle w:val="a8"/>
          <w:rFonts w:hint="cs"/>
          <w:vertAlign w:val="baseline"/>
          <w:rtl/>
        </w:rPr>
        <w:t>(</w:t>
      </w:r>
      <w:r w:rsidRPr="00A66CB4">
        <w:rPr>
          <w:rFonts w:hint="cs"/>
          <w:rtl/>
        </w:rPr>
        <w:t>2)</w:t>
      </w:r>
      <w:r w:rsidRPr="00A66CB4">
        <w:rPr>
          <w:rtl/>
        </w:rPr>
        <w:t xml:space="preserve"> رشوان، فاطمة</w:t>
      </w:r>
      <w:r w:rsidRPr="00A66CB4">
        <w:t>. (2025).</w:t>
      </w:r>
      <w:r w:rsidRPr="00A66CB4">
        <w:rPr>
          <w:rtl/>
        </w:rPr>
        <w:t xml:space="preserve"> التحديات القانونية للحوكمة الرقمية في المؤسسات العامة</w:t>
      </w:r>
      <w:r w:rsidRPr="00A66CB4">
        <w:t>.</w:t>
      </w:r>
      <w:r w:rsidRPr="00A66CB4">
        <w:rPr>
          <w:rStyle w:val="1Char"/>
          <w:rFonts w:eastAsia="Calibri"/>
          <w:sz w:val="20"/>
          <w:rtl/>
        </w:rPr>
        <w:t xml:space="preserve"> </w:t>
      </w:r>
      <w:r w:rsidRPr="00A66CB4">
        <w:rPr>
          <w:rStyle w:val="a4"/>
          <w:rtl/>
        </w:rPr>
        <w:t>مجلة القانون والدراسات الاجتماعية، 4</w:t>
      </w:r>
      <w:r w:rsidRPr="00A66CB4">
        <w:t>(1)</w:t>
      </w:r>
      <w:r w:rsidRPr="00A66CB4">
        <w:rPr>
          <w:rtl/>
        </w:rPr>
        <w:t>، 287</w:t>
      </w:r>
      <w:r w:rsidRPr="00A66CB4">
        <w:t>–347.</w:t>
      </w:r>
    </w:p>
  </w:footnote>
  <w:footnote w:id="19">
    <w:p w14:paraId="786D4DB1" w14:textId="186A4E83"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Pr>
        <w:t>.</w:t>
      </w:r>
      <w:r w:rsidRPr="00A66CB4">
        <w:rPr>
          <w:rFonts w:ascii="Arial" w:hAnsi="Arial" w:cs="Arial"/>
          <w:color w:val="222222"/>
          <w:shd w:val="clear" w:color="auto" w:fill="FFFFFF"/>
          <w:rtl/>
        </w:rPr>
        <w:t xml:space="preserve"> عبد الله بن إبراه. (2025). الجرائم المستحدثة بواسطة الذكاء الاصطناعي دراسة تحليلية في ضوء نظام مكافحة الجرائم المعلوماتية السعودي والفقه الإسلامي</w:t>
      </w:r>
      <w:r w:rsidRPr="00A66CB4">
        <w:rPr>
          <w:rFonts w:ascii="Arial" w:hAnsi="Arial" w:cs="Arial"/>
          <w:color w:val="222222"/>
          <w:shd w:val="clear" w:color="auto" w:fill="FFFFFF"/>
        </w:rPr>
        <w:t>. </w:t>
      </w:r>
      <w:r w:rsidRPr="00A66CB4">
        <w:rPr>
          <w:rFonts w:ascii="Arial" w:hAnsi="Arial" w:cs="Arial"/>
          <w:i/>
          <w:iCs/>
          <w:color w:val="222222"/>
          <w:shd w:val="clear" w:color="auto" w:fill="FFFFFF"/>
        </w:rPr>
        <w:t>Al-Andalus journal for Humanities &amp; Social Sciences</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12</w:t>
      </w:r>
      <w:r w:rsidRPr="00A66CB4">
        <w:rPr>
          <w:rFonts w:ascii="Arial" w:hAnsi="Arial" w:cs="Arial"/>
          <w:color w:val="222222"/>
          <w:shd w:val="clear" w:color="auto" w:fill="FFFFFF"/>
        </w:rPr>
        <w:t>(135), 164.</w:t>
      </w:r>
      <w:r w:rsidRPr="00A66CB4">
        <w:rPr>
          <w:rFonts w:ascii="Arial" w:hAnsi="Arial" w:cs="Arial"/>
          <w:color w:val="222222"/>
          <w:shd w:val="clear" w:color="auto" w:fill="FFFFFF"/>
          <w:rtl/>
        </w:rPr>
        <w:t>‏</w:t>
      </w:r>
    </w:p>
  </w:footnote>
  <w:footnote w:id="20">
    <w:p w14:paraId="49019F4D" w14:textId="653F06A8" w:rsidR="00AA2343" w:rsidRPr="00A66CB4" w:rsidRDefault="00AA234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عبد </w:t>
      </w:r>
      <w:r w:rsidRPr="00A66CB4">
        <w:rPr>
          <w:rFonts w:ascii="Arial" w:hAnsi="Arial" w:cs="Arial" w:hint="cs"/>
          <w:color w:val="222222"/>
          <w:shd w:val="clear" w:color="auto" w:fill="FFFFFF"/>
          <w:rtl/>
        </w:rPr>
        <w:t>المؤمن</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hint="cs"/>
          <w:color w:val="222222"/>
          <w:shd w:val="clear" w:color="auto" w:fill="FFFFFF"/>
          <w:rtl/>
        </w:rPr>
        <w:t>إسلام</w:t>
      </w:r>
      <w:r w:rsidRPr="00A66CB4">
        <w:rPr>
          <w:rFonts w:ascii="Arial" w:hAnsi="Arial" w:cs="Arial"/>
          <w:color w:val="222222"/>
          <w:shd w:val="clear" w:color="auto" w:fill="FFFFFF"/>
          <w:rtl/>
        </w:rPr>
        <w:t xml:space="preserve"> متولي. (2026). 03/07-افاق قضائية مقام القضاء والمخرجات المؤتمتة-فى البنية القيمية للرقابة القضائية وسبل المواجهة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محكمة النقض</w:t>
      </w:r>
      <w:r w:rsidRPr="00A66CB4">
        <w:rPr>
          <w:rFonts w:ascii="Arial" w:hAnsi="Arial" w:cs="Arial"/>
          <w:color w:val="222222"/>
          <w:shd w:val="clear" w:color="auto" w:fill="FFFFFF"/>
        </w:rPr>
        <w:t>, </w:t>
      </w:r>
      <w:r w:rsidRPr="00A66CB4">
        <w:rPr>
          <w:rFonts w:ascii="Arial" w:hAnsi="Arial" w:cs="Arial"/>
          <w:i/>
          <w:iCs/>
          <w:color w:val="222222"/>
          <w:shd w:val="clear" w:color="auto" w:fill="FFFFFF"/>
        </w:rPr>
        <w:t>3</w:t>
      </w:r>
      <w:r w:rsidRPr="00A66CB4">
        <w:rPr>
          <w:rFonts w:ascii="Arial" w:hAnsi="Arial" w:cs="Arial"/>
          <w:color w:val="222222"/>
          <w:shd w:val="clear" w:color="auto" w:fill="FFFFFF"/>
        </w:rPr>
        <w:t>(3).</w:t>
      </w:r>
    </w:p>
  </w:footnote>
  <w:footnote w:id="21">
    <w:p w14:paraId="1203DCA2" w14:textId="1698CC50" w:rsidR="00AA2343" w:rsidRPr="00A66CB4" w:rsidRDefault="00AA2343" w:rsidP="00A66CB4">
      <w:pPr>
        <w:pStyle w:val="a7"/>
        <w:jc w:val="both"/>
      </w:pPr>
      <w:r w:rsidRPr="00A66CB4">
        <w:rPr>
          <w:rFonts w:hint="cs"/>
          <w:rtl/>
        </w:rPr>
        <w:t>(1)</w:t>
      </w:r>
      <w:r w:rsidRPr="00A66CB4">
        <w:rPr>
          <w:rFonts w:ascii="Arial" w:hAnsi="Arial" w:cs="Arial"/>
          <w:color w:val="222222"/>
          <w:shd w:val="clear" w:color="auto" w:fill="FFFFFF"/>
          <w:rtl/>
        </w:rPr>
        <w:t xml:space="preserve"> مصطفى علي بلقاسم اعميد. (2025). دور الانظمة الرقمية المدمجة</w:t>
      </w:r>
      <w:r w:rsidRPr="00A66CB4">
        <w:rPr>
          <w:rFonts w:ascii="Arial" w:hAnsi="Arial" w:cs="Arial"/>
          <w:color w:val="222222"/>
          <w:shd w:val="clear" w:color="auto" w:fill="FFFFFF"/>
        </w:rPr>
        <w:t xml:space="preserve"> (ERP) </w:t>
      </w:r>
      <w:r w:rsidRPr="00A66CB4">
        <w:rPr>
          <w:rFonts w:ascii="Arial" w:hAnsi="Arial" w:cs="Arial"/>
          <w:color w:val="222222"/>
          <w:shd w:val="clear" w:color="auto" w:fill="FFFFFF"/>
          <w:rtl/>
        </w:rPr>
        <w:t>في تعزيز التواصل بين إدارة الأعمال والإدارات العامة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الشاملة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10</w:t>
      </w:r>
      <w:r w:rsidRPr="00A66CB4">
        <w:rPr>
          <w:rFonts w:ascii="Arial" w:hAnsi="Arial" w:cs="Arial"/>
          <w:color w:val="222222"/>
          <w:shd w:val="clear" w:color="auto" w:fill="FFFFFF"/>
        </w:rPr>
        <w:t>(38) , 144-158.</w:t>
      </w:r>
    </w:p>
  </w:footnote>
  <w:footnote w:id="22">
    <w:p w14:paraId="5BB7C802" w14:textId="33319FC4" w:rsidR="00AA2343" w:rsidRPr="00A66CB4" w:rsidRDefault="00AA2343" w:rsidP="00A66CB4">
      <w:pPr>
        <w:pStyle w:val="a7"/>
        <w:jc w:val="both"/>
        <w:rPr>
          <w:rFonts w:ascii="Arial" w:hAnsi="Arial" w:cs="Arial"/>
          <w:color w:val="222222"/>
          <w:shd w:val="clear" w:color="auto" w:fill="FFFFFF"/>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الشريف</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أشرف عبد المحسن. (2025). الذكاء الاصطناعي والفهم الذكي لأحكام الفقه الإسلامي</w:t>
      </w:r>
      <w:r w:rsidRPr="00A66CB4">
        <w:rPr>
          <w:rFonts w:ascii="Arial" w:hAnsi="Arial" w:cs="Arial"/>
          <w:color w:val="222222"/>
          <w:shd w:val="clear" w:color="auto" w:fill="FFFFFF"/>
        </w:rPr>
        <w:t xml:space="preserve"> Artificial Intelligence And Intelligent Understanding of Islamic Jurisprudence. </w:t>
      </w:r>
      <w:r w:rsidRPr="00A66CB4">
        <w:rPr>
          <w:rFonts w:ascii="Arial" w:hAnsi="Arial" w:cs="Arial"/>
          <w:i/>
          <w:iCs/>
          <w:color w:val="222222"/>
          <w:shd w:val="clear" w:color="auto" w:fill="FFFFFF"/>
          <w:rtl/>
        </w:rPr>
        <w:t>مجلة تطبيقات الذكاء الاصطناعي في العلوم الإنسانية والاجتماعية</w:t>
      </w:r>
    </w:p>
    <w:p w14:paraId="6239F190" w14:textId="4697CE1D" w:rsidR="00AA2343" w:rsidRPr="00A66CB4" w:rsidRDefault="00AA2343" w:rsidP="00A66CB4">
      <w:pPr>
        <w:pStyle w:val="a7"/>
        <w:jc w:val="both"/>
        <w:rPr>
          <w:rtl/>
        </w:rPr>
      </w:pPr>
      <w:r w:rsidRPr="00A66CB4">
        <w:rPr>
          <w:rFonts w:ascii="Arial" w:hAnsi="Arial" w:cs="Arial"/>
          <w:color w:val="222222"/>
          <w:shd w:val="clear" w:color="auto" w:fill="FFFFFF"/>
        </w:rPr>
        <w:t>, </w:t>
      </w:r>
      <w:r w:rsidRPr="00A66CB4">
        <w:rPr>
          <w:rFonts w:ascii="Arial" w:hAnsi="Arial" w:cs="Arial"/>
          <w:i/>
          <w:iCs/>
          <w:color w:val="222222"/>
          <w:shd w:val="clear" w:color="auto" w:fill="FFFFFF"/>
        </w:rPr>
        <w:t>1</w:t>
      </w:r>
      <w:r w:rsidRPr="00A66CB4">
        <w:rPr>
          <w:rFonts w:ascii="Arial" w:hAnsi="Arial" w:cs="Arial"/>
          <w:color w:val="222222"/>
          <w:shd w:val="clear" w:color="auto" w:fill="FFFFFF"/>
        </w:rPr>
        <w:t>(1), 22-62.</w:t>
      </w:r>
    </w:p>
    <w:p w14:paraId="48CB09DF" w14:textId="44855210" w:rsidR="00AA2343" w:rsidRPr="00A66CB4" w:rsidRDefault="00AA234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الشايب</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خولة. (2023). تحليل البيانات</w:t>
      </w:r>
      <w:r w:rsidRPr="00A66CB4">
        <w:rPr>
          <w:rFonts w:ascii="Arial" w:hAnsi="Arial" w:cs="Arial"/>
          <w:color w:val="222222"/>
          <w:shd w:val="clear" w:color="auto" w:fill="FFFFFF"/>
        </w:rPr>
        <w:t>.</w:t>
      </w:r>
    </w:p>
    <w:p w14:paraId="43EE33B9" w14:textId="23731E58" w:rsidR="00AA2343" w:rsidRPr="00A66CB4" w:rsidRDefault="00AA2343" w:rsidP="00A66CB4">
      <w:pPr>
        <w:pStyle w:val="a7"/>
        <w:jc w:val="both"/>
        <w:rPr>
          <w:rtl/>
        </w:rPr>
      </w:pPr>
    </w:p>
    <w:p w14:paraId="125FDAAE" w14:textId="77777777" w:rsidR="00AA2343" w:rsidRPr="00A66CB4" w:rsidRDefault="00AA2343" w:rsidP="00A66CB4">
      <w:pPr>
        <w:pStyle w:val="a7"/>
        <w:jc w:val="both"/>
        <w:rPr>
          <w:rtl/>
        </w:rPr>
      </w:pPr>
    </w:p>
  </w:footnote>
  <w:footnote w:id="23">
    <w:p w14:paraId="0817EEC5" w14:textId="558EC857" w:rsidR="00AA2343" w:rsidRPr="00A66CB4" w:rsidRDefault="00AA2343" w:rsidP="00A66CB4">
      <w:pPr>
        <w:pStyle w:val="a7"/>
        <w:rPr>
          <w:rtl/>
        </w:rPr>
      </w:pPr>
      <w:r w:rsidRPr="00A66CB4">
        <w:rPr>
          <w:rStyle w:val="a8"/>
        </w:rPr>
        <w:footnoteRef/>
      </w:r>
      <w:r w:rsidRPr="00A66CB4">
        <w:rPr>
          <w:rtl/>
        </w:rPr>
        <w:t xml:space="preserve"> </w:t>
      </w:r>
    </w:p>
  </w:footnote>
  <w:footnote w:id="24">
    <w:p w14:paraId="6FEBD9FE" w14:textId="1590EFA7"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د. إسماعيل إبراهيم الأحمد*. (2023). واجهة تخطيطية لمحاكاة خوارزمية التشفير</w:t>
      </w:r>
      <w:r w:rsidRPr="00A66CB4">
        <w:rPr>
          <w:rFonts w:ascii="Arial" w:hAnsi="Arial" w:cs="Arial"/>
          <w:color w:val="222222"/>
          <w:shd w:val="clear" w:color="auto" w:fill="FFFFFF"/>
        </w:rPr>
        <w:t xml:space="preserve"> S-DES </w:t>
      </w:r>
      <w:r w:rsidRPr="00A66CB4">
        <w:rPr>
          <w:rFonts w:ascii="Arial" w:hAnsi="Arial" w:cs="Arial"/>
          <w:color w:val="222222"/>
          <w:shd w:val="clear" w:color="auto" w:fill="FFFFFF"/>
          <w:rtl/>
        </w:rPr>
        <w:t>د. إسماعيل إبراهيم الأحمد</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الأندلس للعلوم الإنسانية </w:t>
      </w:r>
      <w:r w:rsidRPr="00A66CB4">
        <w:rPr>
          <w:rFonts w:ascii="Arial" w:hAnsi="Arial" w:cs="Arial" w:hint="cs"/>
          <w:i/>
          <w:iCs/>
          <w:color w:val="222222"/>
          <w:shd w:val="clear" w:color="auto" w:fill="FFFFFF"/>
          <w:rtl/>
        </w:rPr>
        <w:t>والاجتماعية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10</w:t>
      </w:r>
      <w:r w:rsidRPr="00A66CB4">
        <w:rPr>
          <w:rFonts w:ascii="Arial" w:hAnsi="Arial" w:cs="Arial"/>
          <w:color w:val="222222"/>
          <w:shd w:val="clear" w:color="auto" w:fill="FFFFFF"/>
        </w:rPr>
        <w:t>(17).</w:t>
      </w:r>
    </w:p>
  </w:footnote>
  <w:footnote w:id="25">
    <w:p w14:paraId="4EF6B241" w14:textId="4CE272C5" w:rsidR="00AA2343" w:rsidRPr="00A66CB4" w:rsidRDefault="00AA234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زغلول</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طارق أحمد ماهر. (2023). خوارزميات الذكاء </w:t>
      </w:r>
      <w:r w:rsidRPr="00A66CB4">
        <w:rPr>
          <w:rFonts w:ascii="Arial" w:hAnsi="Arial" w:cs="Arial" w:hint="cs"/>
          <w:color w:val="222222"/>
          <w:shd w:val="clear" w:color="auto" w:fill="FFFFFF"/>
          <w:rtl/>
        </w:rPr>
        <w:t>الاصطناعي</w:t>
      </w:r>
      <w:r w:rsidRPr="00A66CB4">
        <w:rPr>
          <w:rFonts w:ascii="Arial" w:hAnsi="Arial" w:cs="Arial"/>
          <w:color w:val="222222"/>
          <w:shd w:val="clear" w:color="auto" w:fill="FFFFFF"/>
          <w:rtl/>
        </w:rPr>
        <w:t xml:space="preserve"> والعدالة الجنائية التنبؤية دراسة وصفية تحليلية تأصيلية مقارنة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الدراسات القانونية والاقتصادية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9</w:t>
      </w:r>
      <w:r w:rsidRPr="00A66CB4">
        <w:rPr>
          <w:rFonts w:ascii="Arial" w:hAnsi="Arial" w:cs="Arial"/>
          <w:color w:val="222222"/>
          <w:shd w:val="clear" w:color="auto" w:fill="FFFFFF"/>
        </w:rPr>
        <w:t>(2) , 31-306.</w:t>
      </w:r>
    </w:p>
  </w:footnote>
  <w:footnote w:id="26">
    <w:p w14:paraId="56799865" w14:textId="479C627D"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الهرماس </w:t>
      </w:r>
      <w:r w:rsidRPr="00A66CB4">
        <w:rPr>
          <w:rFonts w:ascii="Arial" w:hAnsi="Arial" w:cs="Arial" w:hint="cs"/>
          <w:color w:val="222222"/>
          <w:shd w:val="clear" w:color="auto" w:fill="FFFFFF"/>
          <w:rtl/>
        </w:rPr>
        <w:t>الشمري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أحمد محمد. (2024). القرار الإداري </w:t>
      </w:r>
      <w:r w:rsidRPr="00A66CB4">
        <w:rPr>
          <w:rFonts w:ascii="Arial" w:hAnsi="Arial" w:cs="Arial" w:hint="cs"/>
          <w:color w:val="222222"/>
          <w:shd w:val="clear" w:color="auto" w:fill="FFFFFF"/>
          <w:rtl/>
        </w:rPr>
        <w:t>الإلكتروني</w:t>
      </w:r>
      <w:r w:rsidRPr="00A66CB4">
        <w:rPr>
          <w:rFonts w:ascii="Arial" w:hAnsi="Arial" w:cs="Arial"/>
          <w:color w:val="222222"/>
          <w:shd w:val="clear" w:color="auto" w:fill="FFFFFF"/>
          <w:rtl/>
        </w:rPr>
        <w:t xml:space="preserve"> حجيته وتنفيذه ونطاق سريانه في النظام السعودي</w:t>
      </w:r>
      <w:r w:rsidRPr="00A66CB4">
        <w:rPr>
          <w:rFonts w:ascii="Arial" w:hAnsi="Arial" w:cs="Arial"/>
          <w:color w:val="222222"/>
          <w:shd w:val="clear" w:color="auto" w:fill="FFFFFF"/>
        </w:rPr>
        <w:t>/The Legal Validity, Enforcement, and Scope of the Electronic Administrative Decision in the Saudi Legal System. </w:t>
      </w:r>
      <w:r w:rsidRPr="00A66CB4">
        <w:rPr>
          <w:rFonts w:ascii="Arial" w:hAnsi="Arial" w:cs="Arial"/>
          <w:i/>
          <w:iCs/>
          <w:color w:val="222222"/>
          <w:shd w:val="clear" w:color="auto" w:fill="FFFFFF"/>
          <w:rtl/>
        </w:rPr>
        <w:t>مجلة الشريعة والقانون بالقاهرة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44</w:t>
      </w:r>
      <w:r w:rsidRPr="00A66CB4">
        <w:rPr>
          <w:rFonts w:ascii="Arial" w:hAnsi="Arial" w:cs="Arial"/>
          <w:color w:val="222222"/>
          <w:shd w:val="clear" w:color="auto" w:fill="FFFFFF"/>
        </w:rPr>
        <w:t>(44) , 3677-3776.</w:t>
      </w:r>
    </w:p>
    <w:p w14:paraId="0946D936" w14:textId="37D979D0" w:rsidR="00AA2343" w:rsidRPr="00A66CB4" w:rsidRDefault="00AA2343"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مرسوم بقانون اتحادي رقم (46) لسنة 2021 بشأن المعاملات الإلكترونية وخدمات الثقة</w:t>
      </w:r>
      <w:r w:rsidRPr="00A66CB4">
        <w:t xml:space="preserve">. </w:t>
      </w:r>
      <w:r w:rsidRPr="00A66CB4">
        <w:rPr>
          <w:rtl/>
        </w:rPr>
        <w:t>بوابة تشريعات الإمارات العربية المتحدة</w:t>
      </w:r>
      <w:r w:rsidRPr="00A66CB4">
        <w:t>.</w:t>
      </w:r>
    </w:p>
    <w:p w14:paraId="2D230558" w14:textId="34B602A8" w:rsidR="00AA2343" w:rsidRPr="00A66CB4" w:rsidRDefault="00AA2343" w:rsidP="00A66CB4">
      <w:pPr>
        <w:pStyle w:val="a7"/>
        <w:jc w:val="both"/>
        <w:rPr>
          <w:rtl/>
        </w:rPr>
      </w:pPr>
      <w:r w:rsidRPr="00A66CB4">
        <w:rPr>
          <w:rFonts w:hint="cs"/>
          <w:rtl/>
        </w:rPr>
        <w:t>(3)</w:t>
      </w:r>
      <w:r w:rsidRPr="00A66CB4">
        <w:rPr>
          <w:rtl/>
        </w:rPr>
        <w:t xml:space="preserve"> حكومة سنغافورة</w:t>
      </w:r>
      <w:r w:rsidRPr="00A66CB4">
        <w:t xml:space="preserve">. (2010). </w:t>
      </w:r>
      <w:r w:rsidRPr="00A66CB4">
        <w:rPr>
          <w:rStyle w:val="a4"/>
          <w:rtl/>
        </w:rPr>
        <w:t>قانون المعاملات الإلكترونية لسنة 2010</w:t>
      </w:r>
      <w:r w:rsidRPr="00A66CB4">
        <w:rPr>
          <w:rStyle w:val="a4"/>
        </w:rPr>
        <w:t xml:space="preserve"> (Electronic Transactions Act 2010)</w:t>
      </w:r>
      <w:r w:rsidRPr="00A66CB4">
        <w:t xml:space="preserve">. </w:t>
      </w:r>
      <w:r w:rsidRPr="00A66CB4">
        <w:rPr>
          <w:rtl/>
        </w:rPr>
        <w:t>موقع التشريعات السنغافورية الرسمي</w:t>
      </w:r>
      <w:r w:rsidRPr="00A66CB4">
        <w:t>.</w:t>
      </w:r>
    </w:p>
  </w:footnote>
  <w:footnote w:id="27">
    <w:p w14:paraId="6B72598E" w14:textId="16954DCD" w:rsidR="00AA2343" w:rsidRPr="00A66CB4" w:rsidRDefault="00AA2343" w:rsidP="00A66CB4">
      <w:pPr>
        <w:pStyle w:val="a7"/>
        <w:jc w:val="both"/>
        <w:rPr>
          <w:rFonts w:ascii="Arial" w:hAnsi="Arial" w:cs="Arial"/>
          <w:color w:val="222222"/>
          <w:shd w:val="clear" w:color="auto" w:fill="FFFFFF"/>
        </w:rPr>
      </w:pPr>
      <w:r w:rsidRPr="00A66CB4">
        <w:rPr>
          <w:rStyle w:val="a8"/>
          <w:rFonts w:hint="cs"/>
          <w:vertAlign w:val="baseline"/>
          <w:rtl/>
        </w:rPr>
        <w:t>(</w:t>
      </w:r>
      <w:r w:rsidRPr="00A66CB4">
        <w:rPr>
          <w:rFonts w:hint="cs"/>
          <w:rtl/>
        </w:rPr>
        <w:t>1)</w:t>
      </w:r>
      <w:r w:rsidRPr="00A66CB4">
        <w:rPr>
          <w:rFonts w:ascii="Arial" w:hAnsi="Arial" w:cs="Arial"/>
          <w:color w:val="222222"/>
          <w:shd w:val="clear" w:color="auto" w:fill="FFFFFF"/>
        </w:rPr>
        <w:t xml:space="preserve"> Rashwan, F. (2025). </w:t>
      </w:r>
      <w:r w:rsidRPr="00A66CB4">
        <w:rPr>
          <w:rFonts w:ascii="Arial" w:hAnsi="Arial" w:cs="Arial"/>
          <w:color w:val="222222"/>
          <w:shd w:val="clear" w:color="auto" w:fill="FFFFFF"/>
          <w:rtl/>
        </w:rPr>
        <w:t>التحديات القانونية للحوكمة الرقمية في المؤسسات العامة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القانون والدراسات </w:t>
      </w:r>
      <w:r w:rsidRPr="00A66CB4">
        <w:rPr>
          <w:rFonts w:ascii="Arial" w:hAnsi="Arial" w:cs="Arial" w:hint="cs"/>
          <w:i/>
          <w:iCs/>
          <w:color w:val="222222"/>
          <w:shd w:val="clear" w:color="auto" w:fill="FFFFFF"/>
          <w:rtl/>
        </w:rPr>
        <w:t>الاجتماعية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w:t>
      </w:r>
      <w:r w:rsidRPr="00A66CB4">
        <w:rPr>
          <w:rFonts w:ascii="Arial" w:hAnsi="Arial" w:cs="Arial"/>
          <w:color w:val="222222"/>
          <w:shd w:val="clear" w:color="auto" w:fill="FFFFFF"/>
        </w:rPr>
        <w:t>(1) , 287-</w:t>
      </w:r>
    </w:p>
    <w:p w14:paraId="1CE27AEC" w14:textId="43DACFD7" w:rsidR="00AA2343" w:rsidRPr="00A66CB4" w:rsidRDefault="00AA2343" w:rsidP="00A66CB4">
      <w:pPr>
        <w:pStyle w:val="a7"/>
        <w:jc w:val="both"/>
        <w:rPr>
          <w:rtl/>
        </w:rPr>
      </w:pPr>
      <w:r w:rsidRPr="00A66CB4">
        <w:rPr>
          <w:rFonts w:ascii="Arial" w:hAnsi="Arial" w:cs="Arial"/>
          <w:color w:val="222222"/>
          <w:shd w:val="clear" w:color="auto" w:fill="FFFFFF"/>
        </w:rPr>
        <w:t>347.</w:t>
      </w:r>
    </w:p>
    <w:p w14:paraId="63C47A21" w14:textId="6AD450DA" w:rsidR="00AA2343" w:rsidRPr="00A66CB4" w:rsidRDefault="00AA2343" w:rsidP="00A66CB4">
      <w:pPr>
        <w:pStyle w:val="a7"/>
        <w:jc w:val="both"/>
        <w:rPr>
          <w:rFonts w:ascii="Arial" w:hAnsi="Arial" w:cs="Arial"/>
          <w:color w:val="222222"/>
          <w:shd w:val="clear" w:color="auto" w:fill="FFFFFF"/>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خالدي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نعيمة. (2025). تأثير تقنية البلوكشين على تحسين الخدمات المصرفية الإلكترونية دراسة حالة لبنوك رائدة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Economic Geography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w:t>
      </w:r>
      <w:r w:rsidRPr="00A66CB4">
        <w:rPr>
          <w:rFonts w:ascii="Arial" w:hAnsi="Arial" w:cs="Arial"/>
          <w:color w:val="222222"/>
          <w:shd w:val="clear" w:color="auto" w:fill="FFFFFF"/>
        </w:rPr>
        <w:t>(1), 72-93</w:t>
      </w:r>
    </w:p>
    <w:p w14:paraId="3C6456EE" w14:textId="3DAF6164" w:rsidR="00AA2343" w:rsidRPr="00A66CB4" w:rsidRDefault="00AA2343" w:rsidP="00A66CB4">
      <w:pPr>
        <w:pStyle w:val="a7"/>
        <w:jc w:val="both"/>
        <w:rPr>
          <w:rtl/>
        </w:rPr>
      </w:pPr>
      <w:r w:rsidRPr="00A66CB4">
        <w:rPr>
          <w:rFonts w:hint="cs"/>
          <w:rtl/>
        </w:rPr>
        <w:t>(3)</w:t>
      </w:r>
      <w:r w:rsidRPr="00A66CB4">
        <w:rPr>
          <w:rFonts w:ascii="Arial" w:hAnsi="Arial" w:cs="Arial"/>
          <w:color w:val="222222"/>
          <w:shd w:val="clear" w:color="auto" w:fill="FFFFFF"/>
          <w:rtl/>
        </w:rPr>
        <w:t xml:space="preserve"> عبد </w:t>
      </w:r>
      <w:r w:rsidRPr="00A66CB4">
        <w:rPr>
          <w:rFonts w:ascii="Arial" w:hAnsi="Arial" w:cs="Arial" w:hint="cs"/>
          <w:color w:val="222222"/>
          <w:shd w:val="clear" w:color="auto" w:fill="FFFFFF"/>
          <w:rtl/>
        </w:rPr>
        <w:t>الكاظم</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محمد راضي. (2025). التحديات التي تواجه اعتماد التقنيات الرقمية في القطاع المالي</w:t>
      </w:r>
      <w:r w:rsidRPr="00A66CB4">
        <w:rPr>
          <w:rFonts w:ascii="Arial" w:hAnsi="Arial" w:cs="Arial"/>
          <w:color w:val="222222"/>
          <w:shd w:val="clear" w:color="auto" w:fill="FFFFFF"/>
        </w:rPr>
        <w:t>.</w:t>
      </w:r>
    </w:p>
    <w:p w14:paraId="4C18141B" w14:textId="4A39C19F" w:rsidR="00AA2343" w:rsidRPr="00A66CB4" w:rsidRDefault="00AA2343" w:rsidP="00A66CB4">
      <w:pPr>
        <w:pStyle w:val="a7"/>
        <w:jc w:val="both"/>
        <w:rPr>
          <w:rtl/>
        </w:rPr>
      </w:pPr>
    </w:p>
  </w:footnote>
  <w:footnote w:id="28">
    <w:p w14:paraId="4E9213C1" w14:textId="77777777" w:rsidR="00AA2343" w:rsidRPr="00A66CB4" w:rsidRDefault="00AA2343" w:rsidP="00A66CB4">
      <w:pPr>
        <w:pStyle w:val="a7"/>
        <w:jc w:val="both"/>
        <w:rPr>
          <w:rtl/>
        </w:rPr>
      </w:pPr>
      <w:r w:rsidRPr="00A66CB4">
        <w:rPr>
          <w:rStyle w:val="a8"/>
          <w:rFonts w:hint="cs"/>
          <w:vertAlign w:val="baseline"/>
          <w:rtl/>
        </w:rPr>
        <w:t>(</w:t>
      </w: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سليمان،</w:t>
      </w:r>
      <w:r w:rsidRPr="00A66CB4">
        <w:rPr>
          <w:rFonts w:ascii="Arial" w:hAnsi="Arial" w:cs="Arial"/>
          <w:color w:val="222222"/>
          <w:shd w:val="clear" w:color="auto" w:fill="FFFFFF"/>
          <w:rtl/>
        </w:rPr>
        <w:t xml:space="preserve"> أ. د/أسامة ربيع </w:t>
      </w:r>
      <w:r w:rsidRPr="00A66CB4">
        <w:rPr>
          <w:rFonts w:ascii="Arial" w:hAnsi="Arial" w:cs="Arial" w:hint="cs"/>
          <w:color w:val="222222"/>
          <w:shd w:val="clear" w:color="auto" w:fill="FFFFFF"/>
          <w:rtl/>
        </w:rPr>
        <w:t>أمين،</w:t>
      </w:r>
      <w:r w:rsidRPr="00A66CB4">
        <w:rPr>
          <w:rFonts w:ascii="Arial" w:hAnsi="Arial" w:cs="Arial"/>
          <w:color w:val="222222"/>
          <w:shd w:val="clear" w:color="auto" w:fill="FFFFFF"/>
          <w:rtl/>
        </w:rPr>
        <w:t xml:space="preserve"> مصطفى کمال, إبراهيم</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غيداء أبو بکر. (2022). أدوات تحليل البيانات الضخمة في ظل التحول الرقمي لتعزيز أهداف التنمية المستدامة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العلمية للدراسات والبحوث المالية والإدارية</w:t>
      </w:r>
      <w:r w:rsidRPr="00A66CB4">
        <w:rPr>
          <w:rFonts w:ascii="Arial" w:hAnsi="Arial" w:cs="Arial"/>
          <w:i/>
          <w:iCs/>
          <w:color w:val="222222"/>
          <w:shd w:val="clear" w:color="auto" w:fill="FFFFFF"/>
          <w:cs/>
        </w:rPr>
        <w:t>‎</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13</w:t>
      </w:r>
      <w:r w:rsidRPr="00A66CB4">
        <w:rPr>
          <w:rFonts w:ascii="Arial" w:hAnsi="Arial" w:cs="Arial"/>
          <w:color w:val="222222"/>
          <w:shd w:val="clear" w:color="auto" w:fill="FFFFFF"/>
        </w:rPr>
        <w:t>(3), 1514-1538.</w:t>
      </w:r>
      <w:r w:rsidRPr="00A66CB4">
        <w:rPr>
          <w:rFonts w:ascii="Arial" w:hAnsi="Arial" w:cs="Arial"/>
          <w:color w:val="222222"/>
          <w:shd w:val="clear" w:color="auto" w:fill="FFFFFF"/>
          <w:rtl/>
        </w:rPr>
        <w:t>‏</w:t>
      </w:r>
    </w:p>
    <w:p w14:paraId="18DA78C6" w14:textId="6A801427" w:rsidR="00AA2343" w:rsidRPr="00A66CB4" w:rsidRDefault="00AA2343" w:rsidP="00A66CB4">
      <w:pPr>
        <w:pStyle w:val="a7"/>
        <w:jc w:val="both"/>
        <w:rPr>
          <w:rtl/>
        </w:rPr>
      </w:pPr>
    </w:p>
  </w:footnote>
  <w:footnote w:id="29">
    <w:p w14:paraId="5632F01D" w14:textId="072E26C3" w:rsidR="00AA2343" w:rsidRPr="00A66CB4" w:rsidRDefault="00AA2343" w:rsidP="00DC389E">
      <w:pPr>
        <w:pStyle w:val="a7"/>
        <w:numPr>
          <w:ilvl w:val="0"/>
          <w:numId w:val="7"/>
        </w:numPr>
        <w:jc w:val="both"/>
        <w:rPr>
          <w:rFonts w:ascii="Arial" w:hAnsi="Arial" w:cs="Arial"/>
          <w:color w:val="222222"/>
          <w:shd w:val="clear" w:color="auto" w:fill="FFFFFF"/>
        </w:rPr>
      </w:pPr>
      <w:r w:rsidRPr="00A66CB4">
        <w:rPr>
          <w:rFonts w:ascii="Arial" w:hAnsi="Arial" w:cs="Arial"/>
          <w:color w:val="222222"/>
          <w:shd w:val="clear" w:color="auto" w:fill="FFFFFF"/>
          <w:rtl/>
        </w:rPr>
        <w:t xml:space="preserve">تهاني دبيان </w:t>
      </w:r>
      <w:r w:rsidRPr="00A66CB4">
        <w:rPr>
          <w:rFonts w:ascii="Arial" w:hAnsi="Arial" w:cs="Arial" w:hint="cs"/>
          <w:color w:val="222222"/>
          <w:shd w:val="clear" w:color="auto" w:fill="FFFFFF"/>
          <w:rtl/>
        </w:rPr>
        <w:t>الحربي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ريم علي الرابغي. (2025). دور الحكومة الرقمية ودعمها للجهات الحكومية في تبني التقنيات الناشئة لتفعيل التحول الرقمي: دراسة حالة هيئة الحكومة الرقمية السعودية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Information Studies and Technology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2025</w:t>
      </w:r>
      <w:r w:rsidRPr="00A66CB4">
        <w:rPr>
          <w:rFonts w:ascii="Arial" w:hAnsi="Arial" w:cs="Arial"/>
          <w:color w:val="222222"/>
          <w:shd w:val="clear" w:color="auto" w:fill="FFFFFF"/>
        </w:rPr>
        <w:t>(1).</w:t>
      </w:r>
      <w:r w:rsidRPr="00A66CB4">
        <w:rPr>
          <w:rFonts w:ascii="Arial" w:hAnsi="Arial" w:cs="Arial"/>
          <w:color w:val="222222"/>
          <w:shd w:val="clear" w:color="auto" w:fill="FFFFFF"/>
          <w:rtl/>
        </w:rPr>
        <w:t>‏</w:t>
      </w:r>
    </w:p>
    <w:p w14:paraId="7B3273E7" w14:textId="4FD16186" w:rsidR="00AA2343" w:rsidRPr="00A66CB4" w:rsidRDefault="00AA2343" w:rsidP="00DC389E">
      <w:pPr>
        <w:pStyle w:val="a7"/>
        <w:numPr>
          <w:ilvl w:val="0"/>
          <w:numId w:val="7"/>
        </w:numPr>
        <w:jc w:val="both"/>
        <w:rPr>
          <w:rFonts w:ascii="Arial" w:hAnsi="Arial" w:cs="Arial"/>
          <w:color w:val="222222"/>
          <w:shd w:val="clear" w:color="auto" w:fill="FFFFFF"/>
        </w:rPr>
      </w:pPr>
      <w:r w:rsidRPr="00A66CB4">
        <w:rPr>
          <w:rFonts w:ascii="Arial" w:hAnsi="Arial" w:cs="Arial"/>
          <w:color w:val="222222"/>
          <w:shd w:val="clear" w:color="auto" w:fill="FFFFFF"/>
          <w:rtl/>
        </w:rPr>
        <w:t>هيله عبد المجيد عبد الحافظ العودة. (2025). التحديات التي تواجه الأمن السيبراني</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الإنسانية والطبيعية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6</w:t>
      </w:r>
      <w:r w:rsidRPr="00A66CB4">
        <w:rPr>
          <w:rFonts w:ascii="Arial" w:hAnsi="Arial" w:cs="Arial"/>
          <w:color w:val="222222"/>
          <w:shd w:val="clear" w:color="auto" w:fill="FFFFFF"/>
        </w:rPr>
        <w:t>(7), 720-734.</w:t>
      </w:r>
    </w:p>
    <w:p w14:paraId="7F9C9385" w14:textId="09E50983" w:rsidR="00AA2343" w:rsidRPr="00A66CB4" w:rsidRDefault="00AA2343" w:rsidP="00A66CB4">
      <w:pPr>
        <w:pStyle w:val="a7"/>
        <w:ind w:left="720"/>
        <w:jc w:val="both"/>
        <w:rPr>
          <w:rFonts w:ascii="Arial" w:hAnsi="Arial" w:cs="Arial"/>
          <w:color w:val="222222"/>
          <w:shd w:val="clear" w:color="auto" w:fill="FFFFFF"/>
        </w:rPr>
      </w:pPr>
    </w:p>
    <w:p w14:paraId="262C490F" w14:textId="77777777" w:rsidR="00AA2343" w:rsidRPr="00A66CB4" w:rsidRDefault="00AA2343" w:rsidP="00A66CB4">
      <w:pPr>
        <w:pStyle w:val="a7"/>
        <w:jc w:val="both"/>
        <w:rPr>
          <w:rtl/>
        </w:rPr>
      </w:pPr>
    </w:p>
  </w:footnote>
  <w:footnote w:id="30">
    <w:p w14:paraId="0690B54A" w14:textId="34744621"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سراج</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محمد عبد المنعم. (2025). أثر محددات جودة وظيفة المراجعة الداخلية وهيكل الحوكمة السيبراني على مؤشرات إدارة مخاطر الأمن السيبراني: استخدام نماذج المعادلات الهيكلية القائمة على المربعات الصغرى</w:t>
      </w:r>
      <w:r w:rsidRPr="00A66CB4">
        <w:rPr>
          <w:rFonts w:ascii="Arial" w:hAnsi="Arial" w:cs="Arial"/>
          <w:color w:val="222222"/>
          <w:shd w:val="clear" w:color="auto" w:fill="FFFFFF"/>
        </w:rPr>
        <w:t xml:space="preserve"> PLS-SEM)). </w:t>
      </w:r>
      <w:r w:rsidRPr="00A66CB4">
        <w:rPr>
          <w:rFonts w:ascii="Arial" w:hAnsi="Arial" w:cs="Arial"/>
          <w:i/>
          <w:iCs/>
          <w:color w:val="222222"/>
          <w:shd w:val="clear" w:color="auto" w:fill="FFFFFF"/>
          <w:rtl/>
        </w:rPr>
        <w:t xml:space="preserve">مجلة </w:t>
      </w:r>
      <w:r w:rsidRPr="00A66CB4">
        <w:rPr>
          <w:rFonts w:ascii="Arial" w:hAnsi="Arial" w:cs="Arial" w:hint="cs"/>
          <w:i/>
          <w:iCs/>
          <w:color w:val="222222"/>
          <w:shd w:val="clear" w:color="auto" w:fill="FFFFFF"/>
          <w:rtl/>
        </w:rPr>
        <w:t>الإسكندرية</w:t>
      </w:r>
      <w:r w:rsidRPr="00A66CB4">
        <w:rPr>
          <w:rFonts w:ascii="Arial" w:hAnsi="Arial" w:cs="Arial"/>
          <w:i/>
          <w:iCs/>
          <w:color w:val="222222"/>
          <w:shd w:val="clear" w:color="auto" w:fill="FFFFFF"/>
          <w:rtl/>
        </w:rPr>
        <w:t xml:space="preserve"> للبحوث المحاسبية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9</w:t>
      </w:r>
      <w:r w:rsidRPr="00A66CB4">
        <w:rPr>
          <w:rFonts w:ascii="Arial" w:hAnsi="Arial" w:cs="Arial"/>
          <w:color w:val="222222"/>
          <w:shd w:val="clear" w:color="auto" w:fill="FFFFFF"/>
        </w:rPr>
        <w:t>(3), 463-552.</w:t>
      </w:r>
    </w:p>
  </w:footnote>
  <w:footnote w:id="31">
    <w:p w14:paraId="19329CF8" w14:textId="77EF3818" w:rsidR="00AA2343" w:rsidRPr="00A66CB4" w:rsidRDefault="00AA2343" w:rsidP="00A66CB4">
      <w:pPr>
        <w:pStyle w:val="a7"/>
        <w:jc w:val="both"/>
        <w:rPr>
          <w:rtl/>
        </w:rPr>
      </w:pPr>
      <w:r w:rsidRPr="00A66CB4">
        <w:rPr>
          <w:rStyle w:val="a8"/>
          <w:rFonts w:hint="cs"/>
          <w:vertAlign w:val="baseline"/>
          <w:rtl/>
        </w:rPr>
        <w:t xml:space="preserve"> (</w:t>
      </w: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علي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وليد. (2024). قياس أثر الملاءة المهنية للمراجع الداخلي على جودة الأمن السبيراني في ضوء الحوكمة الرقمية-دراسة تطبيقية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العلمية للدراسات والبحوث المالية والتجارية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5</w:t>
      </w:r>
      <w:r w:rsidRPr="00A66CB4">
        <w:rPr>
          <w:rFonts w:ascii="Arial" w:hAnsi="Arial" w:cs="Arial"/>
          <w:color w:val="222222"/>
          <w:shd w:val="clear" w:color="auto" w:fill="FFFFFF"/>
        </w:rPr>
        <w:t>(2) , 991-1033.</w:t>
      </w:r>
    </w:p>
    <w:p w14:paraId="7B8290BE" w14:textId="55A5D236" w:rsidR="00AA2343" w:rsidRPr="00A66CB4" w:rsidRDefault="00AA234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محروس </w:t>
      </w:r>
      <w:r w:rsidRPr="00A66CB4">
        <w:rPr>
          <w:rFonts w:ascii="Arial" w:hAnsi="Arial" w:cs="Arial" w:hint="cs"/>
          <w:color w:val="222222"/>
          <w:shd w:val="clear" w:color="auto" w:fill="FFFFFF"/>
          <w:rtl/>
        </w:rPr>
        <w:t>الخولي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رباب. (2022). مفهوم الثقافة التنظيمية: مراجعة نظرية تطبيقية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الدولية للسياسات العامة في مصر</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w:t>
      </w:r>
      <w:r w:rsidRPr="00A66CB4">
        <w:rPr>
          <w:rFonts w:ascii="Arial" w:hAnsi="Arial" w:cs="Arial"/>
          <w:color w:val="222222"/>
          <w:shd w:val="clear" w:color="auto" w:fill="FFFFFF"/>
        </w:rPr>
        <w:t>(1) , 50-72.</w:t>
      </w:r>
    </w:p>
    <w:p w14:paraId="13778B47" w14:textId="6037991F" w:rsidR="00AA2343" w:rsidRPr="00A66CB4" w:rsidRDefault="00AA2343" w:rsidP="00A66CB4">
      <w:pPr>
        <w:pStyle w:val="a7"/>
        <w:jc w:val="both"/>
        <w:rPr>
          <w:rtl/>
        </w:rPr>
      </w:pPr>
      <w:r w:rsidRPr="00A66CB4">
        <w:rPr>
          <w:rFonts w:hint="cs"/>
          <w:rtl/>
        </w:rPr>
        <w:t>(3)</w:t>
      </w:r>
      <w:r w:rsidRPr="00A66CB4">
        <w:rPr>
          <w:rFonts w:ascii="Arial" w:hAnsi="Arial" w:cs="Arial"/>
          <w:color w:val="222222"/>
          <w:shd w:val="clear" w:color="auto" w:fill="FFFFFF"/>
          <w:rtl/>
        </w:rPr>
        <w:t xml:space="preserve"> إدارة الموارد البشرية. (2011). إدارة الموارد البشرية</w:t>
      </w:r>
      <w:r w:rsidRPr="00A66CB4">
        <w:rPr>
          <w:rFonts w:ascii="Arial" w:hAnsi="Arial" w:cs="Arial"/>
          <w:color w:val="222222"/>
          <w:shd w:val="clear" w:color="auto" w:fill="FFFFFF"/>
        </w:rPr>
        <w:t>.</w:t>
      </w:r>
    </w:p>
    <w:p w14:paraId="056541B9" w14:textId="77777777" w:rsidR="00AA2343" w:rsidRPr="00A66CB4" w:rsidRDefault="00AA2343" w:rsidP="00A66CB4">
      <w:pPr>
        <w:pStyle w:val="a7"/>
        <w:jc w:val="both"/>
        <w:rPr>
          <w:rtl/>
        </w:rPr>
      </w:pPr>
    </w:p>
  </w:footnote>
  <w:footnote w:id="32">
    <w:p w14:paraId="090F46F5" w14:textId="5CBB6CD6"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ضياء مسلم عبد الأ</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عدي صالح هادي الع. (2023). الركن المعنوي الجريمة النشر الإلكتروني للمواد الإباحية (دراسة مقارنة)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Kufa Legal &amp; Political Science</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15</w:t>
      </w:r>
      <w:r w:rsidRPr="00A66CB4">
        <w:rPr>
          <w:rFonts w:ascii="Arial" w:hAnsi="Arial" w:cs="Arial"/>
          <w:color w:val="222222"/>
          <w:shd w:val="clear" w:color="auto" w:fill="FFFFFF"/>
        </w:rPr>
        <w:t>(57).</w:t>
      </w:r>
      <w:r w:rsidRPr="00A66CB4">
        <w:rPr>
          <w:rFonts w:ascii="Arial" w:hAnsi="Arial" w:cs="Arial"/>
          <w:color w:val="222222"/>
          <w:shd w:val="clear" w:color="auto" w:fill="FFFFFF"/>
          <w:rtl/>
        </w:rPr>
        <w:t>‏</w:t>
      </w:r>
    </w:p>
  </w:footnote>
  <w:footnote w:id="33">
    <w:p w14:paraId="44C851D6" w14:textId="3341E4D4"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عبد الصمد محمود </w:t>
      </w:r>
      <w:r w:rsidRPr="00A66CB4">
        <w:rPr>
          <w:rFonts w:ascii="Arial" w:hAnsi="Arial" w:cs="Arial" w:hint="cs"/>
          <w:color w:val="222222"/>
          <w:shd w:val="clear" w:color="auto" w:fill="FFFFFF"/>
          <w:rtl/>
        </w:rPr>
        <w:t>عطيه</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ثروت. (2024). السياسة الجنائية لمكافحة الجريمة المعلوماتية في المملكة العربية السعودية (دراسة مقارنة)</w:t>
      </w:r>
      <w:r w:rsidRPr="00A66CB4">
        <w:rPr>
          <w:rFonts w:ascii="Arial" w:hAnsi="Arial" w:cs="Arial"/>
          <w:color w:val="222222"/>
          <w:shd w:val="clear" w:color="auto" w:fill="FFFFFF"/>
        </w:rPr>
        <w:t xml:space="preserve"> Criminal Policy To Combat Information Crime In The Kingdom Of Saudi Arabia (A Comparative Study). </w:t>
      </w:r>
      <w:r w:rsidRPr="00A66CB4">
        <w:rPr>
          <w:rFonts w:ascii="Arial" w:hAnsi="Arial" w:cs="Arial"/>
          <w:i/>
          <w:iCs/>
          <w:color w:val="222222"/>
          <w:shd w:val="clear" w:color="auto" w:fill="FFFFFF"/>
          <w:rtl/>
        </w:rPr>
        <w:t>مجلة البحوث الفقهية والقانونية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46</w:t>
      </w:r>
      <w:r w:rsidRPr="00A66CB4">
        <w:rPr>
          <w:rFonts w:ascii="Arial" w:hAnsi="Arial" w:cs="Arial"/>
          <w:color w:val="222222"/>
          <w:shd w:val="clear" w:color="auto" w:fill="FFFFFF"/>
        </w:rPr>
        <w:t>(46) , 379-478.</w:t>
      </w:r>
    </w:p>
    <w:p w14:paraId="01F46E5D" w14:textId="170BAED8" w:rsidR="00AA2343" w:rsidRPr="00A66CB4" w:rsidRDefault="00AA2343"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المرسوم بقانون اتحادي رقم (34) لسنة 2021 بشأن مكافحة الشائعات والجرائم الإلكترونية</w:t>
      </w:r>
      <w:r w:rsidRPr="00A66CB4">
        <w:t xml:space="preserve">. </w:t>
      </w:r>
      <w:r w:rsidRPr="00A66CB4">
        <w:rPr>
          <w:rtl/>
        </w:rPr>
        <w:t>بوابة تشريعات الإمارات العربية المتحدة</w:t>
      </w:r>
      <w:r w:rsidRPr="00A66CB4">
        <w:t>.</w:t>
      </w:r>
    </w:p>
    <w:p w14:paraId="363F64DE" w14:textId="53ED49CA" w:rsidR="00AA2343" w:rsidRPr="00A66CB4" w:rsidRDefault="00AA2343" w:rsidP="00A66CB4">
      <w:pPr>
        <w:pStyle w:val="a7"/>
        <w:jc w:val="both"/>
        <w:rPr>
          <w:rtl/>
        </w:rPr>
      </w:pPr>
      <w:r w:rsidRPr="00A66CB4">
        <w:rPr>
          <w:rFonts w:hint="cs"/>
          <w:rtl/>
        </w:rPr>
        <w:t>(3)</w:t>
      </w:r>
      <w:r w:rsidRPr="00A66CB4">
        <w:rPr>
          <w:rtl/>
        </w:rPr>
        <w:t xml:space="preserve"> حكومة سنغافورة</w:t>
      </w:r>
      <w:r w:rsidRPr="00A66CB4">
        <w:t xml:space="preserve">. (2012). </w:t>
      </w:r>
      <w:r w:rsidRPr="00A66CB4">
        <w:rPr>
          <w:rStyle w:val="a4"/>
          <w:rtl/>
        </w:rPr>
        <w:t>قانون حماية البيانات الشخصية</w:t>
      </w:r>
      <w:r w:rsidRPr="00A66CB4">
        <w:rPr>
          <w:rStyle w:val="a4"/>
        </w:rPr>
        <w:t xml:space="preserve"> (Personal Data Protection Act 2012)</w:t>
      </w:r>
      <w:r w:rsidRPr="00A66CB4">
        <w:t xml:space="preserve">. </w:t>
      </w:r>
      <w:r w:rsidRPr="00A66CB4">
        <w:rPr>
          <w:rtl/>
        </w:rPr>
        <w:t>موقع التشريعات السنغافورية الرسمي</w:t>
      </w:r>
      <w:r w:rsidRPr="00A66CB4">
        <w:t>.</w:t>
      </w:r>
    </w:p>
  </w:footnote>
  <w:footnote w:id="34">
    <w:p w14:paraId="7F205EDA" w14:textId="3229A648"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د. ليلى عبد المجيد</w:t>
      </w:r>
      <w:r w:rsidRPr="00A66CB4">
        <w:rPr>
          <w:rFonts w:ascii="Arial" w:hAnsi="Arial" w:cs="Arial"/>
          <w:color w:val="222222"/>
          <w:shd w:val="clear" w:color="auto" w:fill="FFFFFF"/>
        </w:rPr>
        <w:t>. (2021). </w:t>
      </w:r>
      <w:r w:rsidRPr="00A66CB4">
        <w:rPr>
          <w:rFonts w:ascii="Arial" w:hAnsi="Arial" w:cs="Arial"/>
          <w:i/>
          <w:iCs/>
          <w:color w:val="222222"/>
          <w:shd w:val="clear" w:color="auto" w:fill="FFFFFF"/>
          <w:rtl/>
        </w:rPr>
        <w:t>التنظيم التشريعي والقانوني للإعلام التقليدي والإلكتروني</w:t>
      </w:r>
      <w:r w:rsidRPr="00A66CB4">
        <w:rPr>
          <w:rFonts w:ascii="Arial" w:hAnsi="Arial" w:cs="Arial"/>
          <w:color w:val="222222"/>
          <w:shd w:val="clear" w:color="auto" w:fill="FFFFFF"/>
        </w:rPr>
        <w:t>. Al Arabi Publishing and Distributing.</w:t>
      </w:r>
      <w:r w:rsidRPr="00A66CB4">
        <w:rPr>
          <w:rFonts w:ascii="Arial" w:hAnsi="Arial" w:cs="Arial"/>
          <w:color w:val="222222"/>
          <w:shd w:val="clear" w:color="auto" w:fill="FFFFFF"/>
          <w:rtl/>
        </w:rPr>
        <w:t>‏</w:t>
      </w:r>
    </w:p>
  </w:footnote>
  <w:footnote w:id="35">
    <w:p w14:paraId="71083E1F" w14:textId="49B9A2DA" w:rsidR="00AA2343" w:rsidRPr="00A66CB4" w:rsidRDefault="00AA2343" w:rsidP="00A66CB4">
      <w:pPr>
        <w:pStyle w:val="a7"/>
        <w:jc w:val="both"/>
        <w:rPr>
          <w:rFonts w:ascii="Arial" w:hAnsi="Arial" w:cs="Arial"/>
          <w:color w:val="222222"/>
          <w:shd w:val="clear" w:color="auto" w:fill="FFFFFF"/>
          <w:rtl/>
        </w:rPr>
      </w:pPr>
      <w:r w:rsidRPr="00A66CB4">
        <w:rPr>
          <w:rFonts w:hint="cs"/>
          <w:rtl/>
        </w:rPr>
        <w:t>(1)</w:t>
      </w:r>
      <w:r w:rsidRPr="00A66CB4">
        <w:rPr>
          <w:rFonts w:ascii="Arial" w:hAnsi="Arial" w:cs="Arial"/>
          <w:color w:val="222222"/>
          <w:shd w:val="clear" w:color="auto" w:fill="FFFFFF"/>
          <w:rtl/>
        </w:rPr>
        <w:t xml:space="preserve"> أحمد محمد علي" البديوي </w:t>
      </w:r>
      <w:r w:rsidRPr="00A66CB4">
        <w:rPr>
          <w:rFonts w:ascii="Arial" w:hAnsi="Arial" w:cs="Arial" w:hint="cs"/>
          <w:color w:val="222222"/>
          <w:shd w:val="clear" w:color="auto" w:fill="FFFFFF"/>
          <w:rtl/>
        </w:rPr>
        <w:t>الرحاحلة</w:t>
      </w:r>
      <w:r w:rsidRPr="00A66CB4">
        <w:rPr>
          <w:rFonts w:ascii="Arial" w:hAnsi="Arial" w:cs="Arial"/>
          <w:color w:val="222222"/>
          <w:shd w:val="clear" w:color="auto" w:fill="FFFFFF"/>
          <w:rtl/>
        </w:rPr>
        <w:t>". (2026). دور الحوكمة الرقمية في تعزيز النزاهة ومكافحة الفساد</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الإنسانية والطبيعية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7</w:t>
      </w:r>
      <w:r w:rsidRPr="00A66CB4">
        <w:rPr>
          <w:rFonts w:ascii="Arial" w:hAnsi="Arial" w:cs="Arial"/>
          <w:color w:val="222222"/>
          <w:shd w:val="clear" w:color="auto" w:fill="FFFFFF"/>
        </w:rPr>
        <w:t>(1) , 139-155.</w:t>
      </w:r>
    </w:p>
    <w:p w14:paraId="3711063D" w14:textId="4215A962" w:rsidR="00AA2343" w:rsidRPr="00A66CB4" w:rsidRDefault="00AA2343" w:rsidP="00A66CB4">
      <w:pPr>
        <w:pStyle w:val="a7"/>
        <w:jc w:val="both"/>
        <w:rPr>
          <w:rtl/>
        </w:rPr>
      </w:pPr>
      <w:r w:rsidRPr="00A66CB4">
        <w:rPr>
          <w:rFonts w:ascii="Arial" w:hAnsi="Arial" w:cs="Arial" w:hint="cs"/>
          <w:color w:val="222222"/>
          <w:shd w:val="clear" w:color="auto" w:fill="FFFFFF"/>
          <w:rtl/>
        </w:rPr>
        <w:t>(2) صلا</w:t>
      </w:r>
      <w:r w:rsidRPr="00A66CB4">
        <w:rPr>
          <w:rFonts w:ascii="Arial" w:hAnsi="Arial" w:cs="Arial" w:hint="eastAsia"/>
          <w:color w:val="222222"/>
          <w:shd w:val="clear" w:color="auto" w:fill="FFFFFF"/>
          <w:rtl/>
        </w:rPr>
        <w:t>ح</w:t>
      </w:r>
      <w:r w:rsidRPr="00A66CB4">
        <w:rPr>
          <w:rFonts w:ascii="Arial" w:hAnsi="Arial" w:cs="Arial"/>
          <w:color w:val="222222"/>
          <w:shd w:val="clear" w:color="auto" w:fill="FFFFFF"/>
          <w:rtl/>
        </w:rPr>
        <w:t xml:space="preserve"> الدين رجب فت. (2025). آليات بناء القواعد القانونية لحماية البيانات الشخصية في البيئة الرقمية (دراسة تحليلية في ضوء تطور تقنيات الذكاء الاصطناعي)</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Jerash Journal for Research &amp; Studies</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25</w:t>
      </w:r>
      <w:r w:rsidRPr="00A66CB4">
        <w:rPr>
          <w:rFonts w:ascii="Arial" w:hAnsi="Arial" w:cs="Arial"/>
          <w:color w:val="222222"/>
          <w:shd w:val="clear" w:color="auto" w:fill="FFFFFF"/>
        </w:rPr>
        <w:t>(2B), 213.</w:t>
      </w:r>
      <w:r w:rsidRPr="00A66CB4">
        <w:rPr>
          <w:rFonts w:ascii="Arial" w:hAnsi="Arial" w:cs="Arial"/>
          <w:color w:val="222222"/>
          <w:shd w:val="clear" w:color="auto" w:fill="FFFFFF"/>
          <w:rtl/>
        </w:rPr>
        <w:t>‏</w:t>
      </w:r>
    </w:p>
    <w:p w14:paraId="540FF389" w14:textId="5A11AA54" w:rsidR="00AA2343" w:rsidRPr="00A66CB4" w:rsidRDefault="00AA2343" w:rsidP="00A66CB4">
      <w:pPr>
        <w:pStyle w:val="a7"/>
        <w:jc w:val="both"/>
        <w:rPr>
          <w:rtl/>
        </w:rPr>
      </w:pPr>
      <w:r w:rsidRPr="00A66CB4">
        <w:rPr>
          <w:rFonts w:hint="cs"/>
          <w:rtl/>
        </w:rPr>
        <w:t>(3)</w:t>
      </w:r>
      <w:r w:rsidRPr="00A66CB4">
        <w:rPr>
          <w:rtl/>
        </w:rPr>
        <w:t xml:space="preserve"> إدارة الشؤون الاقتصادية والاجتماعية بالأمم المتحدة، 2024؛ منظمة التعاون الاقتصادي والتنمية، 2024؛ البنك الدولي، 2025</w:t>
      </w:r>
      <w:r w:rsidRPr="00A66CB4">
        <w:t>).</w:t>
      </w:r>
    </w:p>
  </w:footnote>
  <w:footnote w:id="36">
    <w:p w14:paraId="4D06E346" w14:textId="5399C355" w:rsidR="00AA2343" w:rsidRPr="00A66CB4" w:rsidRDefault="00AA2343" w:rsidP="00A66CB4">
      <w:pPr>
        <w:pStyle w:val="a7"/>
        <w:jc w:val="both"/>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حبيب</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مها جواد مبارك. (2025). ضمانات المتعاقد مع الإدارة في مواجهة الأزمات والكوارث في عصر التحول الرقمي 2025</w:t>
      </w:r>
      <w:r w:rsidRPr="00A66CB4">
        <w:rPr>
          <w:rFonts w:ascii="Arial" w:hAnsi="Arial" w:cs="Arial"/>
          <w:color w:val="222222"/>
          <w:shd w:val="clear" w:color="auto" w:fill="FFFFFF"/>
        </w:rPr>
        <w:t>/Guarantees between the Contracted and the Management Against Crises and Disasters in the Time of Digital Transformation 2025. </w:t>
      </w:r>
      <w:r w:rsidRPr="00A66CB4">
        <w:rPr>
          <w:rFonts w:ascii="Arial" w:hAnsi="Arial" w:cs="Arial"/>
          <w:i/>
          <w:iCs/>
          <w:color w:val="222222"/>
          <w:shd w:val="clear" w:color="auto" w:fill="FFFFFF"/>
          <w:rtl/>
        </w:rPr>
        <w:t>مجلة البحوث الفقهية والقانونية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48</w:t>
      </w:r>
      <w:r w:rsidRPr="00A66CB4">
        <w:rPr>
          <w:rFonts w:ascii="Arial" w:hAnsi="Arial" w:cs="Arial"/>
          <w:color w:val="222222"/>
          <w:shd w:val="clear" w:color="auto" w:fill="FFFFFF"/>
        </w:rPr>
        <w:t>(48) , 5833-5912.</w:t>
      </w:r>
    </w:p>
  </w:footnote>
  <w:footnote w:id="37">
    <w:p w14:paraId="30002A19" w14:textId="1E3DC8D9" w:rsidR="00AA2343" w:rsidRPr="00A66CB4" w:rsidRDefault="00AA2343" w:rsidP="00A66CB4">
      <w:pPr>
        <w:pStyle w:val="a7"/>
        <w:jc w:val="both"/>
        <w:rPr>
          <w:rtl/>
        </w:rPr>
      </w:pPr>
      <w:r w:rsidRPr="00A66CB4">
        <w:rPr>
          <w:rStyle w:val="a8"/>
          <w:rFonts w:hint="cs"/>
          <w:vertAlign w:val="baseline"/>
          <w:rtl/>
        </w:rPr>
        <w:t>(</w:t>
      </w:r>
      <w:r w:rsidRPr="00A66CB4">
        <w:rPr>
          <w:rFonts w:hint="cs"/>
          <w:rtl/>
        </w:rPr>
        <w:t>2)</w:t>
      </w:r>
      <w:r w:rsidRPr="00A66CB4">
        <w:rPr>
          <w:rFonts w:ascii="Arial" w:hAnsi="Arial" w:cs="Arial"/>
          <w:color w:val="222222"/>
          <w:shd w:val="clear" w:color="auto" w:fill="FFFFFF"/>
          <w:rtl/>
        </w:rPr>
        <w:t xml:space="preserve"> مجموعة مؤلفين</w:t>
      </w:r>
      <w:r w:rsidRPr="00A66CB4">
        <w:rPr>
          <w:rFonts w:ascii="Arial" w:hAnsi="Arial" w:cs="Arial"/>
          <w:color w:val="222222"/>
          <w:shd w:val="clear" w:color="auto" w:fill="FFFFFF"/>
        </w:rPr>
        <w:t>. (2023). </w:t>
      </w:r>
      <w:r w:rsidRPr="00A66CB4">
        <w:rPr>
          <w:rFonts w:ascii="Arial" w:hAnsi="Arial" w:cs="Arial"/>
          <w:i/>
          <w:iCs/>
          <w:color w:val="222222"/>
          <w:shd w:val="clear" w:color="auto" w:fill="FFFFFF"/>
          <w:rtl/>
        </w:rPr>
        <w:t>الأمن القومي العربي وتحديات الأمن الإقليمي</w:t>
      </w:r>
      <w:r w:rsidRPr="00A66CB4">
        <w:rPr>
          <w:rFonts w:ascii="Arial" w:hAnsi="Arial" w:cs="Arial"/>
          <w:color w:val="222222"/>
          <w:shd w:val="clear" w:color="auto" w:fill="FFFFFF"/>
        </w:rPr>
        <w:t xml:space="preserve">. </w:t>
      </w:r>
      <w:r w:rsidRPr="00A66CB4">
        <w:rPr>
          <w:rFonts w:ascii="Arial" w:hAnsi="Arial" w:cs="Arial"/>
          <w:color w:val="222222"/>
          <w:shd w:val="clear" w:color="auto" w:fill="FFFFFF"/>
          <w:rtl/>
        </w:rPr>
        <w:t>المركز العربي للأبحاث ودراسة السياسات</w:t>
      </w:r>
      <w:r w:rsidRPr="00A66CB4">
        <w:rPr>
          <w:rFonts w:ascii="Arial" w:hAnsi="Arial" w:cs="Arial"/>
          <w:color w:val="222222"/>
          <w:shd w:val="clear" w:color="auto" w:fill="FFFFFF"/>
        </w:rPr>
        <w:t>.</w:t>
      </w:r>
    </w:p>
  </w:footnote>
  <w:footnote w:id="38">
    <w:p w14:paraId="74E4FC99" w14:textId="77777777" w:rsidR="00AA2343" w:rsidRPr="00A66CB4" w:rsidRDefault="00AA2343" w:rsidP="00A66CB4">
      <w:pPr>
        <w:pStyle w:val="a7"/>
        <w:jc w:val="both"/>
        <w:rPr>
          <w:rFonts w:ascii="Arial" w:hAnsi="Arial" w:cs="Arial"/>
          <w:color w:val="222222"/>
          <w:shd w:val="clear" w:color="auto" w:fill="FFFFFF"/>
          <w:rtl/>
        </w:rPr>
      </w:pPr>
      <w:r w:rsidRPr="00A66CB4">
        <w:rPr>
          <w:rFonts w:hint="cs"/>
          <w:rtl/>
        </w:rPr>
        <w:t>(1)</w:t>
      </w:r>
      <w:r w:rsidRPr="00A66CB4">
        <w:rPr>
          <w:rFonts w:ascii="Arial" w:hAnsi="Arial" w:cs="Arial"/>
          <w:color w:val="222222"/>
          <w:shd w:val="clear" w:color="auto" w:fill="FFFFFF"/>
          <w:rtl/>
        </w:rPr>
        <w:t xml:space="preserve"> </w:t>
      </w:r>
      <w:r w:rsidRPr="00A66CB4">
        <w:rPr>
          <w:rtl/>
        </w:rPr>
        <w:t>المملكة العربية السعودية. (1428هـ)</w:t>
      </w:r>
      <w:r w:rsidRPr="00A66CB4">
        <w:t xml:space="preserve">. </w:t>
      </w:r>
      <w:r w:rsidRPr="00A66CB4">
        <w:rPr>
          <w:rStyle w:val="a4"/>
          <w:rtl/>
        </w:rPr>
        <w:t>نظام التعاملات الإلكترونية، الصادر بالمرسوم الملكي رقم (م/18) وتاريخ 8/3/1428هـ</w:t>
      </w:r>
      <w:r w:rsidRPr="00A66CB4">
        <w:rPr>
          <w:rtl/>
        </w:rPr>
        <w:t>، ال</w:t>
      </w:r>
      <w:r w:rsidRPr="00A66CB4">
        <w:rPr>
          <w:rFonts w:hint="cs"/>
          <w:rtl/>
        </w:rPr>
        <w:t>مادة</w:t>
      </w:r>
      <w:r w:rsidRPr="00A66CB4">
        <w:rPr>
          <w:rtl/>
        </w:rPr>
        <w:t xml:space="preserve"> (5)، و(9)، و(14). هيئة الخبراء بمجلس الوزراء</w:t>
      </w:r>
      <w:r w:rsidRPr="00A66CB4">
        <w:t>.</w:t>
      </w:r>
    </w:p>
    <w:p w14:paraId="49FC9B66" w14:textId="0CD7BAEB" w:rsidR="00AA2343" w:rsidRPr="00A66CB4" w:rsidRDefault="00AA2343"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مرسوم بقانون اتحادي رقم (46) لسنة 2021 بشأن المعاملات الإلكترونية وخدمات الثقة</w:t>
      </w:r>
      <w:r w:rsidRPr="00A66CB4">
        <w:rPr>
          <w:rtl/>
        </w:rPr>
        <w:t xml:space="preserve">، </w:t>
      </w:r>
      <w:r w:rsidRPr="00A66CB4">
        <w:rPr>
          <w:rFonts w:hint="cs"/>
          <w:rtl/>
        </w:rPr>
        <w:t xml:space="preserve">المادة </w:t>
      </w:r>
      <w:r w:rsidRPr="00A66CB4">
        <w:rPr>
          <w:rtl/>
        </w:rPr>
        <w:t>(1)، و(19)، و(28). بوابة تشريعات الإمارات العربية المتحدة</w:t>
      </w:r>
      <w:r w:rsidRPr="00A66CB4">
        <w:t>.</w:t>
      </w:r>
    </w:p>
  </w:footnote>
  <w:footnote w:id="39">
    <w:p w14:paraId="364DC8AE" w14:textId="77777777" w:rsidR="00AA2343" w:rsidRDefault="00AA2343" w:rsidP="00A66CB4">
      <w:pPr>
        <w:spacing w:before="100" w:beforeAutospacing="1" w:after="100" w:afterAutospacing="1" w:line="240" w:lineRule="auto"/>
        <w:jc w:val="left"/>
        <w:rPr>
          <w:rFonts w:ascii="Times New Roman" w:eastAsia="Times New Roman" w:hAnsi="Times New Roman" w:cs="Times New Roman"/>
          <w:sz w:val="20"/>
          <w:szCs w:val="20"/>
          <w:rtl/>
        </w:rPr>
      </w:pPr>
      <w:r w:rsidRPr="00A66CB4">
        <w:rPr>
          <w:rFonts w:hint="cs"/>
          <w:sz w:val="20"/>
          <w:szCs w:val="20"/>
          <w:rtl/>
        </w:rPr>
        <w:t>(1)</w:t>
      </w:r>
      <w:r w:rsidRPr="00A66CB4">
        <w:rPr>
          <w:rFonts w:ascii="Arial" w:hAnsi="Arial" w:cs="Arial"/>
          <w:color w:val="222222"/>
          <w:sz w:val="20"/>
          <w:szCs w:val="20"/>
          <w:shd w:val="clear" w:color="auto" w:fill="FFFFFF"/>
          <w:rtl/>
        </w:rPr>
        <w:t xml:space="preserve"> </w:t>
      </w:r>
      <w:r w:rsidRPr="00A66CB4">
        <w:rPr>
          <w:rFonts w:ascii="Times New Roman" w:eastAsia="Times New Roman" w:hAnsi="Times New Roman" w:cs="Times New Roman"/>
          <w:sz w:val="20"/>
          <w:szCs w:val="20"/>
          <w:rtl/>
        </w:rPr>
        <w:t>حكومة سنغافورة</w:t>
      </w:r>
      <w:r w:rsidRPr="00A66CB4">
        <w:rPr>
          <w:rFonts w:ascii="Times New Roman" w:eastAsia="Times New Roman" w:hAnsi="Times New Roman" w:cs="Times New Roman"/>
          <w:sz w:val="20"/>
          <w:szCs w:val="20"/>
        </w:rPr>
        <w:t xml:space="preserve">. (2010). </w:t>
      </w:r>
      <w:r w:rsidRPr="00A66CB4">
        <w:rPr>
          <w:rFonts w:ascii="Times New Roman" w:eastAsia="Times New Roman" w:hAnsi="Times New Roman" w:cs="Times New Roman"/>
          <w:i/>
          <w:iCs/>
          <w:sz w:val="20"/>
          <w:szCs w:val="20"/>
          <w:rtl/>
        </w:rPr>
        <w:t>قانون المعاملات الإلكترونية لسنة 2010</w:t>
      </w:r>
      <w:r w:rsidRPr="00A66CB4">
        <w:rPr>
          <w:rFonts w:ascii="Times New Roman" w:eastAsia="Times New Roman" w:hAnsi="Times New Roman" w:cs="Times New Roman"/>
          <w:i/>
          <w:iCs/>
          <w:sz w:val="20"/>
          <w:szCs w:val="20"/>
        </w:rPr>
        <w:t xml:space="preserve"> (Electronic Transactions Act 2010)</w:t>
      </w:r>
      <w:r w:rsidRPr="00A66CB4">
        <w:rPr>
          <w:rFonts w:ascii="Times New Roman" w:eastAsia="Times New Roman" w:hAnsi="Times New Roman" w:cs="Times New Roman"/>
          <w:sz w:val="20"/>
          <w:szCs w:val="20"/>
          <w:rtl/>
        </w:rPr>
        <w:t>، ولا سيما المواد (6)، و(8)، و(17)–(19). موقع التشريعات السنغافورية الرسمي</w:t>
      </w:r>
      <w:r w:rsidRPr="00A66CB4">
        <w:rPr>
          <w:rFonts w:ascii="Times New Roman" w:eastAsia="Times New Roman" w:hAnsi="Times New Roman" w:cs="Times New Roman"/>
          <w:sz w:val="20"/>
          <w:szCs w:val="20"/>
        </w:rPr>
        <w:t xml:space="preserve">. </w:t>
      </w:r>
    </w:p>
    <w:p w14:paraId="04753BAA" w14:textId="509213A0" w:rsidR="00AA2343" w:rsidRPr="00A66CB4" w:rsidRDefault="00AA2343" w:rsidP="00A66CB4">
      <w:pPr>
        <w:spacing w:before="100" w:beforeAutospacing="1" w:after="100" w:afterAutospacing="1" w:line="240" w:lineRule="auto"/>
        <w:jc w:val="left"/>
        <w:rPr>
          <w:rFonts w:ascii="Times New Roman" w:eastAsia="Times New Roman" w:hAnsi="Times New Roman" w:cs="Times New Roman"/>
          <w:sz w:val="20"/>
          <w:szCs w:val="20"/>
          <w:rtl/>
        </w:rPr>
      </w:pPr>
      <w:r w:rsidRPr="00A66CB4">
        <w:rPr>
          <w:rFonts w:ascii="Arial" w:hAnsi="Arial" w:cs="Arial" w:hint="cs"/>
          <w:color w:val="222222"/>
          <w:sz w:val="20"/>
          <w:szCs w:val="20"/>
          <w:shd w:val="clear" w:color="auto" w:fill="FFFFFF"/>
          <w:rtl/>
        </w:rPr>
        <w:t>(2) كرا</w:t>
      </w:r>
      <w:r w:rsidRPr="00A66CB4">
        <w:rPr>
          <w:rFonts w:ascii="Arial" w:hAnsi="Arial" w:cs="Arial" w:hint="eastAsia"/>
          <w:color w:val="222222"/>
          <w:sz w:val="20"/>
          <w:szCs w:val="20"/>
          <w:shd w:val="clear" w:color="auto" w:fill="FFFFFF"/>
          <w:rtl/>
        </w:rPr>
        <w:t>ر</w:t>
      </w:r>
      <w:r w:rsidRPr="00A66CB4">
        <w:rPr>
          <w:rFonts w:ascii="Arial" w:hAnsi="Arial" w:cs="Arial"/>
          <w:color w:val="222222"/>
          <w:sz w:val="20"/>
          <w:szCs w:val="20"/>
          <w:shd w:val="clear" w:color="auto" w:fill="FFFFFF"/>
          <w:rtl/>
        </w:rPr>
        <w:t xml:space="preserve"> غانم </w:t>
      </w:r>
      <w:r w:rsidRPr="00A66CB4">
        <w:rPr>
          <w:rFonts w:ascii="Arial" w:hAnsi="Arial" w:cs="Arial" w:hint="cs"/>
          <w:color w:val="222222"/>
          <w:sz w:val="20"/>
          <w:szCs w:val="20"/>
          <w:shd w:val="clear" w:color="auto" w:fill="FFFFFF"/>
          <w:rtl/>
        </w:rPr>
        <w:t>ب ستان</w:t>
      </w:r>
      <w:r w:rsidRPr="00A66CB4">
        <w:rPr>
          <w:rFonts w:ascii="Arial" w:hAnsi="Arial" w:cs="Arial"/>
          <w:color w:val="222222"/>
          <w:sz w:val="20"/>
          <w:szCs w:val="20"/>
          <w:shd w:val="clear" w:color="auto" w:fill="FFFFFF"/>
          <w:rtl/>
        </w:rPr>
        <w:t>1، الأستاذة الدكتورة/أودين سلوم1. (2025). الوسائل الالكترونية للتثبت من الأهلية ودورها في حماية المتعاقد الإلكتروني</w:t>
      </w:r>
      <w:r w:rsidRPr="00A66CB4">
        <w:rPr>
          <w:rFonts w:ascii="Arial" w:hAnsi="Arial" w:cs="Arial"/>
          <w:color w:val="222222"/>
          <w:sz w:val="20"/>
          <w:szCs w:val="20"/>
          <w:shd w:val="clear" w:color="auto" w:fill="FFFFFF"/>
        </w:rPr>
        <w:t>. </w:t>
      </w:r>
      <w:r w:rsidRPr="00A66CB4">
        <w:rPr>
          <w:rFonts w:ascii="Arial" w:hAnsi="Arial" w:cs="Arial"/>
          <w:i/>
          <w:iCs/>
          <w:color w:val="222222"/>
          <w:sz w:val="20"/>
          <w:szCs w:val="20"/>
          <w:shd w:val="clear" w:color="auto" w:fill="FFFFFF"/>
          <w:rtl/>
        </w:rPr>
        <w:t>مجلة العلوم الإنسانية والطبيعية</w:t>
      </w:r>
      <w:r w:rsidRPr="00A66CB4">
        <w:rPr>
          <w:rFonts w:ascii="Arial" w:hAnsi="Arial" w:cs="Arial"/>
          <w:color w:val="222222"/>
          <w:sz w:val="20"/>
          <w:szCs w:val="20"/>
          <w:shd w:val="clear" w:color="auto" w:fill="FFFFFF"/>
        </w:rPr>
        <w:t>, </w:t>
      </w:r>
      <w:r w:rsidRPr="00A66CB4">
        <w:rPr>
          <w:rFonts w:ascii="Arial" w:hAnsi="Arial" w:cs="Arial"/>
          <w:i/>
          <w:iCs/>
          <w:color w:val="222222"/>
          <w:sz w:val="20"/>
          <w:szCs w:val="20"/>
          <w:shd w:val="clear" w:color="auto" w:fill="FFFFFF"/>
        </w:rPr>
        <w:t>6</w:t>
      </w:r>
      <w:r w:rsidRPr="00A66CB4">
        <w:rPr>
          <w:rFonts w:ascii="Arial" w:hAnsi="Arial" w:cs="Arial"/>
          <w:color w:val="222222"/>
          <w:sz w:val="20"/>
          <w:szCs w:val="20"/>
          <w:shd w:val="clear" w:color="auto" w:fill="FFFFFF"/>
        </w:rPr>
        <w:t>(1) , 517-534.</w:t>
      </w:r>
    </w:p>
  </w:footnote>
  <w:footnote w:id="40">
    <w:p w14:paraId="503A2FC1" w14:textId="1C015558" w:rsidR="00AA2343" w:rsidRPr="00A66CB4" w:rsidRDefault="00AA234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الحارثي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hint="cs"/>
          <w:color w:val="222222"/>
          <w:shd w:val="clear" w:color="auto" w:fill="FFFFFF"/>
          <w:rtl/>
        </w:rPr>
        <w:t>عبد الرحم</w:t>
      </w:r>
      <w:r w:rsidRPr="00A66CB4">
        <w:rPr>
          <w:rFonts w:ascii="Arial" w:hAnsi="Arial" w:cs="Arial" w:hint="eastAsia"/>
          <w:color w:val="222222"/>
          <w:shd w:val="clear" w:color="auto" w:fill="FFFFFF"/>
          <w:rtl/>
        </w:rPr>
        <w:t>ن</w:t>
      </w:r>
      <w:r w:rsidRPr="00A66CB4">
        <w:rPr>
          <w:rFonts w:ascii="Arial" w:hAnsi="Arial" w:cs="Arial"/>
          <w:color w:val="222222"/>
          <w:shd w:val="clear" w:color="auto" w:fill="FFFFFF"/>
          <w:rtl/>
        </w:rPr>
        <w:t>. (2026). الحجية القانونية للأدلة الرقمية في نظام الإثبات السعودي دراسة تحليلية</w:t>
      </w:r>
      <w:r w:rsidRPr="00A66CB4">
        <w:rPr>
          <w:rFonts w:ascii="Arial" w:hAnsi="Arial" w:cs="Arial"/>
          <w:color w:val="222222"/>
          <w:shd w:val="clear" w:color="auto" w:fill="FFFFFF"/>
        </w:rPr>
        <w:t>/The Legal Admissibility of Digital Evidence in the Saudi Evidence System An Analytical Study. </w:t>
      </w:r>
      <w:r w:rsidRPr="00A66CB4">
        <w:rPr>
          <w:rFonts w:ascii="Arial" w:hAnsi="Arial" w:cs="Arial"/>
          <w:i/>
          <w:iCs/>
          <w:color w:val="222222"/>
          <w:shd w:val="clear" w:color="auto" w:fill="FFFFFF"/>
          <w:rtl/>
        </w:rPr>
        <w:t>مجلة قطاع الشريعة والقانون</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19</w:t>
      </w:r>
      <w:r w:rsidRPr="00A66CB4">
        <w:rPr>
          <w:rFonts w:ascii="Arial" w:hAnsi="Arial" w:cs="Arial"/>
          <w:color w:val="222222"/>
          <w:shd w:val="clear" w:color="auto" w:fill="FFFFFF"/>
        </w:rPr>
        <w:t>(19) , 1811-1842.</w:t>
      </w:r>
    </w:p>
  </w:footnote>
  <w:footnote w:id="41">
    <w:p w14:paraId="504BF735" w14:textId="69E5FF6E" w:rsidR="00AA2343" w:rsidRPr="00A66CB4" w:rsidRDefault="00AA234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شامي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يسين. (2023). تسوية النزاع القضائي بطريق الوساطة في قانون </w:t>
      </w:r>
      <w:r w:rsidRPr="00A66CB4">
        <w:rPr>
          <w:rFonts w:ascii="Arial" w:hAnsi="Arial" w:cs="Arial" w:hint="cs"/>
          <w:color w:val="222222"/>
          <w:shd w:val="clear" w:color="auto" w:fill="FFFFFF"/>
          <w:rtl/>
        </w:rPr>
        <w:t>الإجراءات</w:t>
      </w:r>
      <w:r w:rsidRPr="00A66CB4">
        <w:rPr>
          <w:rFonts w:ascii="Arial" w:hAnsi="Arial" w:cs="Arial"/>
          <w:color w:val="222222"/>
          <w:shd w:val="clear" w:color="auto" w:fill="FFFFFF"/>
          <w:rtl/>
        </w:rPr>
        <w:t xml:space="preserve"> المدنية </w:t>
      </w:r>
      <w:r w:rsidRPr="00A66CB4">
        <w:rPr>
          <w:rFonts w:ascii="Arial" w:hAnsi="Arial" w:cs="Arial" w:hint="cs"/>
          <w:color w:val="222222"/>
          <w:shd w:val="clear" w:color="auto" w:fill="FFFFFF"/>
          <w:rtl/>
        </w:rPr>
        <w:t>والإدارية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البحوث والدراسات القانونية والسياسية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12</w:t>
      </w:r>
      <w:r w:rsidRPr="00A66CB4">
        <w:rPr>
          <w:rFonts w:ascii="Arial" w:hAnsi="Arial" w:cs="Arial"/>
          <w:color w:val="222222"/>
          <w:shd w:val="clear" w:color="auto" w:fill="FFFFFF"/>
        </w:rPr>
        <w:t>(1) , 77-100.</w:t>
      </w:r>
    </w:p>
  </w:footnote>
  <w:footnote w:id="42">
    <w:p w14:paraId="13F85979" w14:textId="35245BA6" w:rsidR="00AA2343" w:rsidRDefault="00AA2343" w:rsidP="00A66CB4">
      <w:pPr>
        <w:pStyle w:val="a7"/>
        <w:jc w:val="left"/>
        <w:rPr>
          <w:rtl/>
        </w:rPr>
      </w:pPr>
      <w:r w:rsidRPr="00A66CB4">
        <w:rPr>
          <w:rFonts w:hint="cs"/>
          <w:rtl/>
        </w:rPr>
        <w:t>(1)</w:t>
      </w:r>
      <w:r w:rsidRPr="00A66CB4">
        <w:rPr>
          <w:rFonts w:ascii="Arial" w:hAnsi="Arial" w:cs="Arial"/>
          <w:color w:val="222222"/>
          <w:shd w:val="clear" w:color="auto" w:fill="FFFFFF"/>
          <w:rtl/>
        </w:rPr>
        <w:t xml:space="preserve"> أحمد علي طه </w:t>
      </w:r>
      <w:r w:rsidRPr="00A66CB4">
        <w:rPr>
          <w:rFonts w:ascii="Arial" w:hAnsi="Arial" w:cs="Arial" w:hint="cs"/>
          <w:color w:val="222222"/>
          <w:shd w:val="clear" w:color="auto" w:fill="FFFFFF"/>
          <w:rtl/>
        </w:rPr>
        <w:t>ريان</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إيمان. (2021). الحماية التشريعية للحق في خصوصية البيانات في العصر الرقمي</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کلية الشريعة </w:t>
      </w:r>
      <w:r w:rsidRPr="00A66CB4">
        <w:rPr>
          <w:rFonts w:ascii="Arial" w:hAnsi="Arial" w:cs="Arial" w:hint="cs"/>
          <w:i/>
          <w:iCs/>
          <w:color w:val="222222"/>
          <w:shd w:val="clear" w:color="auto" w:fill="FFFFFF"/>
          <w:rtl/>
        </w:rPr>
        <w:t>والقانون بطنطا</w:t>
      </w:r>
      <w:r w:rsidRPr="00A66CB4">
        <w:rPr>
          <w:rFonts w:ascii="Arial" w:hAnsi="Arial" w:cs="Arial"/>
          <w:color w:val="222222"/>
          <w:shd w:val="clear" w:color="auto" w:fill="FFFFFF"/>
        </w:rPr>
        <w:t>, </w:t>
      </w:r>
      <w:r w:rsidRPr="00A66CB4">
        <w:rPr>
          <w:rFonts w:ascii="Arial" w:hAnsi="Arial" w:cs="Arial"/>
          <w:i/>
          <w:iCs/>
          <w:color w:val="222222"/>
          <w:shd w:val="clear" w:color="auto" w:fill="FFFFFF"/>
        </w:rPr>
        <w:t>36</w:t>
      </w:r>
      <w:r w:rsidRPr="00A66CB4">
        <w:rPr>
          <w:rFonts w:ascii="Arial" w:hAnsi="Arial" w:cs="Arial"/>
          <w:color w:val="222222"/>
          <w:shd w:val="clear" w:color="auto" w:fill="FFFFFF"/>
        </w:rPr>
        <w:t>(3) , 188-277.</w:t>
      </w:r>
    </w:p>
    <w:p w14:paraId="4EDCCB75" w14:textId="080DFFF0" w:rsidR="00AA2343" w:rsidRDefault="00AA2343" w:rsidP="00A66CB4">
      <w:pPr>
        <w:pStyle w:val="a7"/>
        <w:jc w:val="left"/>
        <w:rPr>
          <w:rtl/>
        </w:rPr>
      </w:pPr>
      <w:r>
        <w:rPr>
          <w:rFonts w:hint="cs"/>
          <w:rtl/>
        </w:rPr>
        <w:t>(2)</w:t>
      </w:r>
      <w:r w:rsidRPr="007B11E9">
        <w:rPr>
          <w:rtl/>
        </w:rPr>
        <w:t xml:space="preserve"> </w:t>
      </w:r>
      <w:r>
        <w:rPr>
          <w:rtl/>
        </w:rPr>
        <w:t>المملكة العربية السعودية. (1443هـ)</w:t>
      </w:r>
      <w:r>
        <w:t xml:space="preserve">. </w:t>
      </w:r>
      <w:r>
        <w:rPr>
          <w:rStyle w:val="a4"/>
          <w:rtl/>
        </w:rPr>
        <w:t>نظام حماية البيانات الشخصية، الصادر بالمرسوم الملكي رقم (م/19) وتاريخ 9/2/1443هـ، والمعدل بالمرسوم الملكي رقم (م/148) وتاريخ 5/9/1444هـ</w:t>
      </w:r>
      <w:r>
        <w:t xml:space="preserve">. </w:t>
      </w:r>
      <w:r>
        <w:rPr>
          <w:rtl/>
        </w:rPr>
        <w:t>هيئة الخبراء بمجلس الوزراء</w:t>
      </w:r>
      <w:r>
        <w:t>.</w:t>
      </w:r>
    </w:p>
    <w:p w14:paraId="1C2046EC" w14:textId="77777777" w:rsidR="00AA2343" w:rsidRPr="007B11E9" w:rsidRDefault="00AA2343" w:rsidP="00A66CB4">
      <w:pPr>
        <w:pStyle w:val="a7"/>
        <w:jc w:val="left"/>
        <w:rPr>
          <w:rtl/>
        </w:rPr>
      </w:pPr>
    </w:p>
  </w:footnote>
  <w:footnote w:id="43">
    <w:p w14:paraId="39BEEC2C" w14:textId="39BEAE1E" w:rsidR="00AA2343" w:rsidRDefault="00AA2343" w:rsidP="00DC389E">
      <w:pPr>
        <w:pStyle w:val="pdq2pgselectionanchorcontainer"/>
        <w:numPr>
          <w:ilvl w:val="0"/>
          <w:numId w:val="10"/>
        </w:numPr>
        <w:bidi/>
        <w:rPr>
          <w:sz w:val="20"/>
          <w:szCs w:val="20"/>
          <w:rtl/>
        </w:rPr>
      </w:pPr>
      <w:r w:rsidRPr="00624BE8">
        <w:rPr>
          <w:sz w:val="20"/>
          <w:szCs w:val="20"/>
          <w:rtl/>
        </w:rPr>
        <w:t>دولة الإمارات العربية المتحدة</w:t>
      </w:r>
      <w:r w:rsidRPr="00624BE8">
        <w:rPr>
          <w:sz w:val="20"/>
          <w:szCs w:val="20"/>
        </w:rPr>
        <w:t xml:space="preserve">. (2021). </w:t>
      </w:r>
      <w:r w:rsidRPr="00624BE8">
        <w:rPr>
          <w:rStyle w:val="a4"/>
          <w:sz w:val="20"/>
          <w:szCs w:val="20"/>
          <w:rtl/>
        </w:rPr>
        <w:t>مرسوم بقانون اتحادي رقم (45) لسنة 2021 بشأن حماية البيانات الشخصية</w:t>
      </w:r>
      <w:r w:rsidRPr="00624BE8">
        <w:rPr>
          <w:sz w:val="20"/>
          <w:szCs w:val="20"/>
        </w:rPr>
        <w:t xml:space="preserve">. </w:t>
      </w:r>
      <w:r w:rsidRPr="00624BE8">
        <w:rPr>
          <w:sz w:val="20"/>
          <w:szCs w:val="20"/>
          <w:rtl/>
        </w:rPr>
        <w:t>بوابة تشريعات الإمارات العربية المتحدة</w:t>
      </w:r>
      <w:r w:rsidRPr="00624BE8">
        <w:rPr>
          <w:sz w:val="20"/>
          <w:szCs w:val="20"/>
        </w:rPr>
        <w:t xml:space="preserve">. </w:t>
      </w:r>
    </w:p>
    <w:p w14:paraId="6B2C2145" w14:textId="4BB89E63" w:rsidR="00AA2343" w:rsidRPr="00624BE8" w:rsidRDefault="00AA2343" w:rsidP="00DC389E">
      <w:pPr>
        <w:pStyle w:val="pdq2pgselectionanchorcontainer"/>
        <w:numPr>
          <w:ilvl w:val="0"/>
          <w:numId w:val="10"/>
        </w:numPr>
        <w:bidi/>
        <w:rPr>
          <w:sz w:val="20"/>
          <w:szCs w:val="20"/>
        </w:rPr>
      </w:pPr>
      <w:r>
        <w:rPr>
          <w:rtl/>
        </w:rPr>
        <w:t>حكومة سنغافورة</w:t>
      </w:r>
      <w:r>
        <w:t xml:space="preserve">. (2012). </w:t>
      </w:r>
      <w:r>
        <w:rPr>
          <w:rStyle w:val="a4"/>
          <w:rtl/>
        </w:rPr>
        <w:t>قانون حماية البيانات الشخصية لسنة 2012</w:t>
      </w:r>
      <w:r>
        <w:rPr>
          <w:rStyle w:val="a4"/>
        </w:rPr>
        <w:t xml:space="preserve"> (Personal Data Protection Act 2012)</w:t>
      </w:r>
      <w:r>
        <w:rPr>
          <w:rStyle w:val="a4"/>
          <w:rtl/>
        </w:rPr>
        <w:t>، بصيغته المعدلة</w:t>
      </w:r>
      <w:r>
        <w:t xml:space="preserve">. </w:t>
      </w:r>
      <w:r>
        <w:rPr>
          <w:rtl/>
        </w:rPr>
        <w:t>موقع التشريعات السنغافورية الرسمي</w:t>
      </w:r>
      <w:r>
        <w:t>.</w:t>
      </w:r>
    </w:p>
    <w:p w14:paraId="284D4E55" w14:textId="4B01C517" w:rsidR="00AA2343" w:rsidRPr="00624BE8" w:rsidRDefault="00AA2343" w:rsidP="00624BE8">
      <w:pPr>
        <w:pStyle w:val="a7"/>
        <w:jc w:val="both"/>
      </w:pPr>
    </w:p>
  </w:footnote>
  <w:footnote w:id="44">
    <w:p w14:paraId="59F6B92F" w14:textId="11C9D03F" w:rsidR="00AA2343" w:rsidRDefault="00AA2343" w:rsidP="00DC389E">
      <w:pPr>
        <w:pStyle w:val="a7"/>
        <w:numPr>
          <w:ilvl w:val="0"/>
          <w:numId w:val="11"/>
        </w:numPr>
        <w:jc w:val="both"/>
        <w:rPr>
          <w:rtl/>
        </w:rPr>
      </w:pPr>
      <w:r>
        <w:rPr>
          <w:rFonts w:ascii="Arial" w:hAnsi="Arial" w:cs="Arial"/>
          <w:color w:val="222222"/>
          <w:shd w:val="clear" w:color="auto" w:fill="FFFFFF"/>
          <w:rtl/>
        </w:rPr>
        <w:t xml:space="preserve">عبد الصمد محمود </w:t>
      </w:r>
      <w:r>
        <w:rPr>
          <w:rFonts w:ascii="Arial" w:hAnsi="Arial" w:cs="Arial" w:hint="cs"/>
          <w:color w:val="222222"/>
          <w:shd w:val="clear" w:color="auto" w:fill="FFFFFF"/>
          <w:rtl/>
        </w:rPr>
        <w:t>عطية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ثروت. (2024). السياسة الجنائية لمكافحة الجريمة المعلوماتية في المملكة العربية السعودية (دراسة مقارنة)</w:t>
      </w:r>
      <w:r>
        <w:rPr>
          <w:rFonts w:ascii="Arial" w:hAnsi="Arial" w:cs="Arial"/>
          <w:color w:val="222222"/>
          <w:shd w:val="clear" w:color="auto" w:fill="FFFFFF"/>
        </w:rPr>
        <w:t xml:space="preserve"> Criminal Policy To Combat Information Crime In The Kingdom Of Saudi Arabia (A Comparative Study).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46</w:t>
      </w:r>
      <w:r>
        <w:rPr>
          <w:rFonts w:ascii="Arial" w:hAnsi="Arial" w:cs="Arial"/>
          <w:color w:val="222222"/>
          <w:shd w:val="clear" w:color="auto" w:fill="FFFFFF"/>
        </w:rPr>
        <w:t>(46) , 379-478.</w:t>
      </w:r>
    </w:p>
    <w:p w14:paraId="590B2B12" w14:textId="3FDC0C48" w:rsidR="00AA2343" w:rsidRDefault="00AA2343" w:rsidP="00DC389E">
      <w:pPr>
        <w:pStyle w:val="a7"/>
        <w:numPr>
          <w:ilvl w:val="0"/>
          <w:numId w:val="11"/>
        </w:numPr>
        <w:jc w:val="both"/>
      </w:pPr>
      <w:r>
        <w:rPr>
          <w:rtl/>
        </w:rPr>
        <w:t>دولة الإمارات العربية المتحدة</w:t>
      </w:r>
      <w:r>
        <w:t xml:space="preserve">. (2021). </w:t>
      </w:r>
      <w:r>
        <w:rPr>
          <w:rStyle w:val="a4"/>
          <w:rtl/>
        </w:rPr>
        <w:t>المرسوم بقانون اتحادي رقم (34) لسنة 2021 في شأن مكافحة الشائعات والجرائم الإلكترونية</w:t>
      </w:r>
      <w:r>
        <w:t>.</w:t>
      </w:r>
    </w:p>
    <w:p w14:paraId="77CFF8A6" w14:textId="31A74E57" w:rsidR="00AA2343" w:rsidRPr="00E55AD3" w:rsidRDefault="00AA2343" w:rsidP="00DC389E">
      <w:pPr>
        <w:pStyle w:val="a7"/>
        <w:numPr>
          <w:ilvl w:val="0"/>
          <w:numId w:val="11"/>
        </w:numPr>
        <w:jc w:val="both"/>
        <w:rPr>
          <w:rtl/>
        </w:rPr>
      </w:pPr>
      <w:r>
        <w:rPr>
          <w:rtl/>
        </w:rPr>
        <w:t>حكومة سنغافورة</w:t>
      </w:r>
      <w:r>
        <w:t xml:space="preserve">. (2023). </w:t>
      </w:r>
      <w:r>
        <w:rPr>
          <w:rStyle w:val="a4"/>
          <w:rtl/>
        </w:rPr>
        <w:t>قانون الأضرار الجنائية عبر الإنترنت لسنة 2023</w:t>
      </w:r>
      <w:r>
        <w:t>.</w:t>
      </w:r>
    </w:p>
  </w:footnote>
  <w:footnote w:id="45">
    <w:p w14:paraId="70C1E07A" w14:textId="22553E1E" w:rsidR="00AA2343" w:rsidRDefault="00AA2343" w:rsidP="00DC389E">
      <w:pPr>
        <w:pStyle w:val="a7"/>
        <w:numPr>
          <w:ilvl w:val="0"/>
          <w:numId w:val="12"/>
        </w:numPr>
        <w:jc w:val="both"/>
        <w:rPr>
          <w:rtl/>
        </w:rPr>
      </w:pPr>
      <w:r>
        <w:rPr>
          <w:rFonts w:ascii="Arial" w:hAnsi="Arial" w:cs="Arial" w:hint="cs"/>
          <w:color w:val="222222"/>
          <w:shd w:val="clear" w:color="auto" w:fill="FFFFFF"/>
          <w:rtl/>
        </w:rPr>
        <w:t>السلمي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الرحم</w:t>
      </w:r>
      <w:r>
        <w:rPr>
          <w:rFonts w:ascii="Arial" w:hAnsi="Arial" w:cs="Arial" w:hint="eastAsia"/>
          <w:color w:val="222222"/>
          <w:shd w:val="clear" w:color="auto" w:fill="FFFFFF"/>
          <w:rtl/>
        </w:rPr>
        <w:t>ن</w:t>
      </w:r>
      <w:r>
        <w:rPr>
          <w:rFonts w:ascii="Arial" w:hAnsi="Arial" w:cs="Arial"/>
          <w:color w:val="222222"/>
          <w:shd w:val="clear" w:color="auto" w:fill="FFFFFF"/>
          <w:rtl/>
        </w:rPr>
        <w:t xml:space="preserve"> بن فهم. (2025). التقاضي الإلكتروني وأثره على الدعوى الجزائية في التشريع بالمملكة العربية السعودية والمقارن</w:t>
      </w:r>
      <w:r>
        <w:rPr>
          <w:rFonts w:ascii="Arial" w:hAnsi="Arial" w:cs="Arial"/>
          <w:color w:val="222222"/>
          <w:shd w:val="clear" w:color="auto" w:fill="FFFFFF"/>
        </w:rPr>
        <w:t xml:space="preserve"> Electronic litigation and its impact on criminal litigation in Saudi and comparative legislation.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(110) , 865-1026.</w:t>
      </w:r>
    </w:p>
    <w:p w14:paraId="73E4518A" w14:textId="31E00589" w:rsidR="00AA2343" w:rsidRDefault="00AA2343" w:rsidP="00DC389E">
      <w:pPr>
        <w:pStyle w:val="a7"/>
        <w:numPr>
          <w:ilvl w:val="0"/>
          <w:numId w:val="12"/>
        </w:numPr>
        <w:jc w:val="both"/>
      </w:pPr>
      <w:r>
        <w:rPr>
          <w:rFonts w:ascii="Arial" w:hAnsi="Arial" w:cs="Arial" w:hint="cs"/>
          <w:color w:val="222222"/>
          <w:shd w:val="clear" w:color="auto" w:fill="FFFFFF"/>
          <w:rtl/>
        </w:rPr>
        <w:t>هرموزي،</w:t>
      </w:r>
      <w:r>
        <w:rPr>
          <w:rFonts w:ascii="Arial" w:hAnsi="Arial" w:cs="Arial"/>
          <w:color w:val="222222"/>
          <w:shd w:val="clear" w:color="auto" w:fill="FFFFFF"/>
          <w:rtl/>
        </w:rPr>
        <w:t xml:space="preserve"> </w:t>
      </w:r>
      <w:r>
        <w:rPr>
          <w:rFonts w:ascii="Arial" w:hAnsi="Arial" w:cs="Arial" w:hint="cs"/>
          <w:color w:val="222222"/>
          <w:shd w:val="clear" w:color="auto" w:fill="FFFFFF"/>
          <w:rtl/>
        </w:rPr>
        <w:t>أحلام،</w:t>
      </w:r>
      <w:r>
        <w:rPr>
          <w:rFonts w:ascii="Arial" w:hAnsi="Arial" w:cs="Arial"/>
          <w:color w:val="222222"/>
          <w:shd w:val="clear" w:color="auto" w:fill="FFFFFF"/>
          <w:rtl/>
        </w:rPr>
        <w:t xml:space="preserve"> بوزيد امحمد</w:t>
      </w:r>
      <w:r>
        <w:rPr>
          <w:rFonts w:ascii="Arial" w:hAnsi="Arial" w:cs="Arial"/>
          <w:color w:val="222222"/>
          <w:shd w:val="clear" w:color="auto" w:fill="FFFFFF"/>
        </w:rPr>
        <w:t xml:space="preserve">, &amp; </w:t>
      </w:r>
      <w:r>
        <w:rPr>
          <w:rFonts w:ascii="Arial" w:hAnsi="Arial" w:cs="Arial"/>
          <w:color w:val="222222"/>
          <w:shd w:val="clear" w:color="auto" w:fill="FFFFFF"/>
          <w:rtl/>
        </w:rPr>
        <w:t>اعمر. (2024). استراتيجيات الذكاء الاصطناعي في تحقيق التنمية المستدامة-تجربة الامارات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7A413959" w14:textId="0BFC8AC6" w:rsidR="00AA2343" w:rsidRPr="008F4BE3" w:rsidRDefault="00AA2343" w:rsidP="00DC389E">
      <w:pPr>
        <w:pStyle w:val="a7"/>
        <w:numPr>
          <w:ilvl w:val="0"/>
          <w:numId w:val="12"/>
        </w:numPr>
        <w:jc w:val="both"/>
        <w:rPr>
          <w:rtl/>
        </w:rPr>
      </w:pPr>
      <w:r>
        <w:rPr>
          <w:rFonts w:ascii="Arial" w:hAnsi="Arial" w:cs="Arial"/>
          <w:color w:val="222222"/>
          <w:shd w:val="clear" w:color="auto" w:fill="FFFFFF"/>
          <w:rtl/>
        </w:rPr>
        <w:t>الدكتور بلال ياسين الكساسبة. (2022). أثر التنمية الاقتصادية على التحول الديمقراطي في دول جنوب شرق آسيا دراسة حالة (ماليزيا وسنغافورا)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(1) , 296-332.</w:t>
      </w:r>
    </w:p>
  </w:footnote>
  <w:footnote w:id="46">
    <w:p w14:paraId="0FF0B2BB" w14:textId="222206C7" w:rsidR="00AA2343" w:rsidRPr="009D2F8D" w:rsidRDefault="00AA2343" w:rsidP="009D2F8D">
      <w:pPr>
        <w:pStyle w:val="a7"/>
        <w:jc w:val="both"/>
        <w:rPr>
          <w:rtl/>
        </w:rPr>
      </w:pPr>
      <w:r>
        <w:rPr>
          <w:rFonts w:hint="cs"/>
          <w:rtl/>
        </w:rPr>
        <w:t>(1)</w:t>
      </w:r>
      <w:r w:rsidRPr="009D2F8D">
        <w:rPr>
          <w:rFonts w:ascii="Arial" w:hAnsi="Arial" w:cs="Arial"/>
          <w:color w:val="222222"/>
          <w:shd w:val="clear" w:color="auto" w:fill="FFFFFF"/>
          <w:rtl/>
        </w:rPr>
        <w:t xml:space="preserve"> </w:t>
      </w:r>
      <w:r>
        <w:rPr>
          <w:rFonts w:ascii="Arial" w:hAnsi="Arial" w:cs="Arial"/>
          <w:color w:val="222222"/>
          <w:shd w:val="clear" w:color="auto" w:fill="FFFFFF"/>
          <w:rtl/>
        </w:rPr>
        <w:t>السلمي</w:t>
      </w:r>
      <w:r>
        <w:rPr>
          <w:rFonts w:ascii="Arial" w:hAnsi="Arial" w:cs="Arial"/>
          <w:color w:val="222222"/>
          <w:shd w:val="clear" w:color="auto" w:fill="FFFFFF"/>
        </w:rPr>
        <w:t xml:space="preserve">, &amp; </w:t>
      </w:r>
      <w:r>
        <w:rPr>
          <w:rFonts w:ascii="Arial" w:hAnsi="Arial" w:cs="Arial"/>
          <w:color w:val="222222"/>
          <w:shd w:val="clear" w:color="auto" w:fill="FFFFFF"/>
          <w:rtl/>
        </w:rPr>
        <w:t>عبدالرحمن بن فهم. (2025). التقاضي الإلكتروني وأثره على الدعوى الجزائية في التشريع بالمملكة العربية السعودية والمقارن</w:t>
      </w:r>
      <w:r>
        <w:rPr>
          <w:rFonts w:ascii="Arial" w:hAnsi="Arial" w:cs="Arial"/>
          <w:color w:val="222222"/>
          <w:shd w:val="clear" w:color="auto" w:fill="FFFFFF"/>
        </w:rPr>
        <w:t xml:space="preserve"> Electronic litigation and its impact on criminal litigation in Saudi and comparative legislation.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(110), 865-1026.</w:t>
      </w:r>
    </w:p>
  </w:footnote>
  <w:footnote w:id="47">
    <w:p w14:paraId="626E18BC" w14:textId="659D4DBC" w:rsidR="00AA2343" w:rsidRDefault="00AA2343" w:rsidP="009112F0">
      <w:pPr>
        <w:pStyle w:val="a7"/>
        <w:jc w:val="both"/>
        <w:rPr>
          <w:rtl/>
        </w:rPr>
      </w:pPr>
      <w:r>
        <w:rPr>
          <w:rFonts w:hint="cs"/>
          <w:rtl/>
        </w:rPr>
        <w:t>(1)</w:t>
      </w:r>
      <w:r w:rsidRPr="009112F0">
        <w:rPr>
          <w:rFonts w:ascii="Arial" w:hAnsi="Arial" w:cs="Arial"/>
          <w:color w:val="222222"/>
          <w:shd w:val="clear" w:color="auto" w:fill="FFFFFF"/>
          <w:rtl/>
        </w:rPr>
        <w:t xml:space="preserve"> </w:t>
      </w:r>
      <w:r>
        <w:rPr>
          <w:rFonts w:ascii="Arial" w:hAnsi="Arial" w:cs="Arial"/>
          <w:color w:val="222222"/>
          <w:shd w:val="clear" w:color="auto" w:fill="FFFFFF"/>
          <w:rtl/>
        </w:rPr>
        <w:t>بن عبد الرزاق الدايل. (2025). أثر تقنيات الذكاء الاصطناعي في تطبيق العقوبات البديلة على مرتكبي الجرائم بالمجتمع السعودي من منظور سوسيولوجي</w:t>
      </w:r>
      <w:r>
        <w:rPr>
          <w:rFonts w:ascii="Arial" w:hAnsi="Arial" w:cs="Arial"/>
          <w:color w:val="222222"/>
          <w:shd w:val="clear" w:color="auto" w:fill="FFFFFF"/>
        </w:rPr>
        <w:t>. </w:t>
      </w:r>
      <w:r>
        <w:rPr>
          <w:rFonts w:ascii="Arial" w:hAnsi="Arial" w:cs="Arial"/>
          <w:i/>
          <w:iCs/>
          <w:color w:val="222222"/>
          <w:shd w:val="clear" w:color="auto" w:fill="FFFFFF"/>
          <w:rtl/>
        </w:rPr>
        <w:t>مجلة کلية الخدمة الاجتماعية للدراسات والبحوث الاجتماعية</w:t>
      </w:r>
      <w:r>
        <w:rPr>
          <w:rFonts w:ascii="Arial" w:hAnsi="Arial" w:cs="Arial"/>
          <w:color w:val="222222"/>
          <w:shd w:val="clear" w:color="auto" w:fill="FFFFFF"/>
        </w:rPr>
        <w:t>, </w:t>
      </w:r>
      <w:r>
        <w:rPr>
          <w:rFonts w:ascii="Arial" w:hAnsi="Arial" w:cs="Arial"/>
          <w:i/>
          <w:iCs/>
          <w:color w:val="222222"/>
          <w:shd w:val="clear" w:color="auto" w:fill="FFFFFF"/>
        </w:rPr>
        <w:t>40</w:t>
      </w:r>
      <w:r>
        <w:rPr>
          <w:rFonts w:ascii="Arial" w:hAnsi="Arial" w:cs="Arial"/>
          <w:color w:val="222222"/>
          <w:shd w:val="clear" w:color="auto" w:fill="FFFFFF"/>
        </w:rPr>
        <w:t>(2), 468-506.</w:t>
      </w:r>
    </w:p>
    <w:p w14:paraId="5EBC0222" w14:textId="0D6F79BC" w:rsidR="00AA2343" w:rsidRDefault="00AA2343" w:rsidP="009112F0">
      <w:pPr>
        <w:pStyle w:val="a7"/>
        <w:jc w:val="both"/>
        <w:rPr>
          <w:rtl/>
        </w:rPr>
      </w:pPr>
      <w:r>
        <w:rPr>
          <w:rFonts w:hint="cs"/>
          <w:rtl/>
        </w:rPr>
        <w:t>(2)</w:t>
      </w:r>
      <w:r w:rsidRPr="005A5C0D">
        <w:rPr>
          <w:rFonts w:ascii="Arial" w:hAnsi="Arial" w:cs="Arial"/>
          <w:color w:val="222222"/>
          <w:shd w:val="clear" w:color="auto" w:fill="FFFFFF"/>
          <w:rtl/>
        </w:rPr>
        <w:t xml:space="preserve"> </w:t>
      </w:r>
      <w:r>
        <w:rPr>
          <w:rFonts w:ascii="Arial" w:hAnsi="Arial" w:cs="Arial"/>
          <w:color w:val="222222"/>
          <w:shd w:val="clear" w:color="auto" w:fill="FFFFFF"/>
          <w:rtl/>
        </w:rPr>
        <w:t xml:space="preserve">إيمان بنت محمد </w:t>
      </w:r>
      <w:r>
        <w:rPr>
          <w:rFonts w:ascii="Arial" w:hAnsi="Arial" w:cs="Arial" w:hint="cs"/>
          <w:color w:val="222222"/>
          <w:shd w:val="clear" w:color="auto" w:fill="FFFFFF"/>
          <w:rtl/>
        </w:rPr>
        <w:t>عسيري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منى بنت داخل السريحي. (2019). منصة البيانات المفتوحة وتفعيلها عبر بوابات الحكومة الإلكترونية لدول مجلس التعاون الخليجي: دراسة مقارنة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2018</w:t>
      </w:r>
      <w:r>
        <w:rPr>
          <w:rFonts w:ascii="Arial" w:hAnsi="Arial" w:cs="Arial"/>
          <w:color w:val="222222"/>
          <w:shd w:val="clear" w:color="auto" w:fill="FFFFFF"/>
        </w:rPr>
        <w:t>(2).</w:t>
      </w:r>
      <w:r>
        <w:rPr>
          <w:rFonts w:ascii="Arial" w:hAnsi="Arial" w:cs="Arial"/>
          <w:color w:val="222222"/>
          <w:shd w:val="clear" w:color="auto" w:fill="FFFFFF"/>
          <w:rtl/>
        </w:rPr>
        <w:t>‏</w:t>
      </w:r>
    </w:p>
    <w:p w14:paraId="089DD59A" w14:textId="7A92EDDE" w:rsidR="00AA2343" w:rsidRDefault="00AA2343" w:rsidP="009112F0">
      <w:pPr>
        <w:pStyle w:val="a7"/>
        <w:jc w:val="both"/>
      </w:pPr>
      <w:r>
        <w:rPr>
          <w:rFonts w:hint="cs"/>
          <w:rtl/>
        </w:rPr>
        <w:t>(3)</w:t>
      </w:r>
      <w:r w:rsidRPr="005A5C0D">
        <w:rPr>
          <w:rFonts w:ascii="Arial" w:hAnsi="Arial" w:cs="Arial"/>
          <w:color w:val="222222"/>
          <w:shd w:val="clear" w:color="auto" w:fill="FFFFFF"/>
        </w:rPr>
        <w:t xml:space="preserve"> </w:t>
      </w:r>
      <w:r>
        <w:rPr>
          <w:rFonts w:ascii="Arial" w:hAnsi="Arial" w:cs="Arial"/>
          <w:color w:val="222222"/>
          <w:shd w:val="clear" w:color="auto" w:fill="FFFFFF"/>
        </w:rPr>
        <w:t>Perdana, A., &amp; Mokhtar, I. A. (2025). Digital transformation in government: Lessons from GovTech Singapore. </w:t>
      </w:r>
      <w:r>
        <w:rPr>
          <w:rFonts w:ascii="Arial" w:hAnsi="Arial" w:cs="Arial"/>
          <w:i/>
          <w:iCs/>
          <w:color w:val="222222"/>
          <w:shd w:val="clear" w:color="auto" w:fill="FFFFFF"/>
        </w:rPr>
        <w:t>Journal of Information Technology Teaching Cases</w:t>
      </w:r>
      <w:r>
        <w:rPr>
          <w:rFonts w:ascii="Arial" w:hAnsi="Arial" w:cs="Arial"/>
          <w:color w:val="222222"/>
          <w:shd w:val="clear" w:color="auto" w:fill="FFFFFF"/>
        </w:rPr>
        <w:t>, 20438869251362871.</w:t>
      </w:r>
      <w:r>
        <w:rPr>
          <w:rFonts w:ascii="Arial" w:hAnsi="Arial" w:cs="Arial"/>
          <w:color w:val="222222"/>
          <w:shd w:val="clear" w:color="auto" w:fill="FFFFFF"/>
          <w:rtl/>
        </w:rPr>
        <w:t>‏</w:t>
      </w:r>
    </w:p>
  </w:footnote>
  <w:footnote w:id="48">
    <w:p w14:paraId="2379224B" w14:textId="6DF66413" w:rsidR="007020DD" w:rsidRPr="007020DD" w:rsidRDefault="007020DD" w:rsidP="007020DD">
      <w:pPr>
        <w:pStyle w:val="a7"/>
        <w:jc w:val="both"/>
        <w:rPr>
          <w:rFonts w:hint="cs"/>
          <w:rtl/>
        </w:rPr>
      </w:pPr>
      <w:r>
        <w:rPr>
          <w:rFonts w:hint="cs"/>
          <w:rtl/>
        </w:rPr>
        <w:t>(1)</w:t>
      </w:r>
      <w:r w:rsidRPr="007020DD">
        <w:rPr>
          <w:rtl/>
        </w:rPr>
        <w:t xml:space="preserve"> </w:t>
      </w:r>
      <w:r>
        <w:rPr>
          <w:rtl/>
        </w:rPr>
        <w:t>هيئة الحكومة الرقمية</w:t>
      </w:r>
      <w:r>
        <w:t xml:space="preserve">. (2025). </w:t>
      </w:r>
      <w:r>
        <w:rPr>
          <w:rStyle w:val="a4"/>
          <w:rtl/>
        </w:rPr>
        <w:t>التقرير السنوي لهيئة الحكومة الرقمية 2024</w:t>
      </w:r>
      <w:r>
        <w:t xml:space="preserve">. </w:t>
      </w:r>
      <w:r>
        <w:rPr>
          <w:rtl/>
        </w:rPr>
        <w:t>المملكة العربية السعودية</w:t>
      </w:r>
      <w:r>
        <w:t>.</w:t>
      </w:r>
    </w:p>
  </w:footnote>
  <w:footnote w:id="49">
    <w:p w14:paraId="25D46F51" w14:textId="46FECC59" w:rsidR="007020DD" w:rsidRPr="007020DD" w:rsidRDefault="007020DD" w:rsidP="007020DD">
      <w:pPr>
        <w:pStyle w:val="a7"/>
        <w:jc w:val="both"/>
        <w:rPr>
          <w:rFonts w:hint="cs"/>
          <w:vertAlign w:val="superscript"/>
          <w:rtl/>
        </w:rPr>
      </w:pPr>
      <w:r>
        <w:rPr>
          <w:rFonts w:hint="cs"/>
          <w:rtl/>
        </w:rPr>
        <w:t>(1)</w:t>
      </w:r>
      <w:r w:rsidRPr="007020DD">
        <w:rPr>
          <w:rtl/>
        </w:rPr>
        <w:t xml:space="preserve"> </w:t>
      </w:r>
      <w:r>
        <w:rPr>
          <w:rtl/>
        </w:rPr>
        <w:t>حكومة دولة الإمارات العربية المتحدة</w:t>
      </w:r>
      <w:r>
        <w:t xml:space="preserve">. (2025). </w:t>
      </w:r>
      <w:r>
        <w:rPr>
          <w:rStyle w:val="a4"/>
          <w:rtl/>
        </w:rPr>
        <w:t>تقرير التحول الرقمي الحكومي 2024</w:t>
      </w:r>
      <w:r>
        <w:t xml:space="preserve">. </w:t>
      </w:r>
      <w:r>
        <w:rPr>
          <w:rtl/>
        </w:rPr>
        <w:t>البوابة الرسمية لحكومة دولة الإمارات العربية المتحدة</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39D7" w14:textId="77777777" w:rsidR="00AA2343" w:rsidRDefault="00AA2343">
    <w:pPr>
      <w:bidi w:val="0"/>
      <w:spacing w:after="0"/>
      <w:ind w:left="-1440" w:right="10528"/>
      <w:jc w:val="left"/>
    </w:pPr>
    <w:r>
      <w:rPr>
        <w:noProof/>
      </w:rPr>
      <mc:AlternateContent>
        <mc:Choice Requires="wpg">
          <w:drawing>
            <wp:anchor distT="0" distB="0" distL="114300" distR="114300" simplePos="0" relativeHeight="25165824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7A9B186" id="Group 111200" o:spid="_x0000_s1026" style="position:absolute;left:0;text-align:left;margin-left:24.5pt;margin-top:24.5pt;width:546.5pt;height:.5pt;z-index:25165824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AA2343" w:rsidRDefault="00AA2343">
    <w:r>
      <w:rPr>
        <w:noProof/>
      </w:rPr>
      <mc:AlternateContent>
        <mc:Choice Requires="wpg">
          <w:drawing>
            <wp:anchor distT="0" distB="0" distL="114300" distR="114300" simplePos="0" relativeHeight="251658241"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5EF980" id="Group 111204" o:spid="_x0000_s1026" style="position:absolute;left:0;text-align:left;margin-left:24.5pt;margin-top:24.95pt;width:546.95pt;height:792.1pt;z-index:-251658239;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5393" w14:textId="77777777" w:rsidR="00AA2343" w:rsidRDefault="00AA2343">
    <w:pPr>
      <w:bidi w:val="0"/>
      <w:spacing w:after="0"/>
      <w:ind w:left="-1440" w:right="10528"/>
      <w:jc w:val="left"/>
    </w:pPr>
    <w:r>
      <w:rPr>
        <w:noProof/>
      </w:rPr>
      <mc:AlternateContent>
        <mc:Choice Requires="wpg">
          <w:drawing>
            <wp:anchor distT="0" distB="0" distL="114300" distR="114300" simplePos="0" relativeHeight="251658242"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C5BBB3" id="Group 111171" o:spid="_x0000_s1026" style="position:absolute;left:0;text-align:left;margin-left:24.5pt;margin-top:24.5pt;width:546.5pt;height:.5pt;z-index:251658242;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AA2343" w:rsidRDefault="00AA2343">
    <w:r>
      <w:rPr>
        <w:noProof/>
      </w:rPr>
      <mc:AlternateContent>
        <mc:Choice Requires="wpg">
          <w:drawing>
            <wp:anchor distT="0" distB="0" distL="114300" distR="114300" simplePos="0" relativeHeight="251658243"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156B45E" id="Group 111175" o:spid="_x0000_s1026" style="position:absolute;left:0;text-align:left;margin-left:24.5pt;margin-top:24.95pt;width:546.95pt;height:792.1pt;z-index:-251658237;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4C38" w14:textId="77777777" w:rsidR="00AA2343" w:rsidRDefault="00AA2343">
    <w:pPr>
      <w:bidi w:val="0"/>
      <w:spacing w:after="0"/>
      <w:ind w:left="-1440" w:right="10528"/>
      <w:jc w:val="left"/>
    </w:pPr>
    <w:r>
      <w:rPr>
        <w:noProof/>
      </w:rPr>
      <mc:AlternateContent>
        <mc:Choice Requires="wpg">
          <w:drawing>
            <wp:anchor distT="0" distB="0" distL="114300" distR="114300" simplePos="0" relativeHeight="251658244"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3F27EB" id="Group 111148" o:spid="_x0000_s1026" style="position:absolute;left:0;text-align:left;margin-left:24.5pt;margin-top:24.5pt;width:546.5pt;height:.5pt;z-index:2516582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AA2343" w:rsidRDefault="00AA2343">
    <w:r>
      <w:rPr>
        <w:noProof/>
      </w:rPr>
      <mc:AlternateContent>
        <mc:Choice Requires="wpg">
          <w:drawing>
            <wp:anchor distT="0" distB="0" distL="114300" distR="114300" simplePos="0" relativeHeight="251658245"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70C835" id="Group 111152" o:spid="_x0000_s1026" style="position:absolute;left:0;text-align:left;margin-left:24.5pt;margin-top:24.95pt;width:546.95pt;height:792.1pt;z-index:-251658235;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3A35"/>
    <w:multiLevelType w:val="hybridMultilevel"/>
    <w:tmpl w:val="7AEE61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466033"/>
    <w:multiLevelType w:val="hybridMultilevel"/>
    <w:tmpl w:val="47BAFE46"/>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A529F8"/>
    <w:multiLevelType w:val="hybridMultilevel"/>
    <w:tmpl w:val="ADD450A4"/>
    <w:lvl w:ilvl="0" w:tplc="214E01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2AA57F2"/>
    <w:multiLevelType w:val="hybridMultilevel"/>
    <w:tmpl w:val="9CA6225C"/>
    <w:lvl w:ilvl="0" w:tplc="8264B0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B3C271D"/>
    <w:multiLevelType w:val="hybridMultilevel"/>
    <w:tmpl w:val="154A3D4A"/>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2592F33"/>
    <w:multiLevelType w:val="multilevel"/>
    <w:tmpl w:val="0C3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296FAF"/>
    <w:multiLevelType w:val="hybridMultilevel"/>
    <w:tmpl w:val="66822286"/>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4194F37"/>
    <w:multiLevelType w:val="multilevel"/>
    <w:tmpl w:val="71F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C52866"/>
    <w:multiLevelType w:val="hybridMultilevel"/>
    <w:tmpl w:val="C9A68364"/>
    <w:lvl w:ilvl="0" w:tplc="603AF8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91E4106"/>
    <w:multiLevelType w:val="hybridMultilevel"/>
    <w:tmpl w:val="39328D28"/>
    <w:lvl w:ilvl="0" w:tplc="913AC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2"/>
  </w:num>
  <w:num w:numId="2">
    <w:abstractNumId w:val="6"/>
  </w:num>
  <w:num w:numId="3">
    <w:abstractNumId w:val="14"/>
  </w:num>
  <w:num w:numId="4">
    <w:abstractNumId w:val="11"/>
  </w:num>
  <w:num w:numId="5">
    <w:abstractNumId w:val="5"/>
  </w:num>
  <w:num w:numId="6">
    <w:abstractNumId w:val="7"/>
  </w:num>
  <w:num w:numId="7">
    <w:abstractNumId w:val="3"/>
  </w:num>
  <w:num w:numId="8">
    <w:abstractNumId w:val="9"/>
  </w:num>
  <w:num w:numId="9">
    <w:abstractNumId w:val="0"/>
  </w:num>
  <w:num w:numId="10">
    <w:abstractNumId w:val="8"/>
  </w:num>
  <w:num w:numId="11">
    <w:abstractNumId w:val="1"/>
  </w:num>
  <w:num w:numId="12">
    <w:abstractNumId w:val="4"/>
  </w:num>
  <w:num w:numId="13">
    <w:abstractNumId w:val="13"/>
  </w:num>
  <w:num w:numId="14">
    <w:abstractNumId w:val="2"/>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166BF"/>
    <w:rsid w:val="0003162B"/>
    <w:rsid w:val="00033FE1"/>
    <w:rsid w:val="00035CDA"/>
    <w:rsid w:val="000407E8"/>
    <w:rsid w:val="00060AE0"/>
    <w:rsid w:val="000669A5"/>
    <w:rsid w:val="00072648"/>
    <w:rsid w:val="000733ED"/>
    <w:rsid w:val="0007403E"/>
    <w:rsid w:val="00081600"/>
    <w:rsid w:val="00092562"/>
    <w:rsid w:val="00094165"/>
    <w:rsid w:val="000A0FEC"/>
    <w:rsid w:val="000A2FA9"/>
    <w:rsid w:val="000A614A"/>
    <w:rsid w:val="000A7209"/>
    <w:rsid w:val="000A7A7C"/>
    <w:rsid w:val="000B1E7C"/>
    <w:rsid w:val="000B5528"/>
    <w:rsid w:val="000B76CA"/>
    <w:rsid w:val="000C2A13"/>
    <w:rsid w:val="000C475B"/>
    <w:rsid w:val="000C4F85"/>
    <w:rsid w:val="000D0436"/>
    <w:rsid w:val="000D5560"/>
    <w:rsid w:val="000E1C3B"/>
    <w:rsid w:val="000E4AD0"/>
    <w:rsid w:val="000F0D3C"/>
    <w:rsid w:val="00101EFA"/>
    <w:rsid w:val="00103495"/>
    <w:rsid w:val="00114370"/>
    <w:rsid w:val="00122CF6"/>
    <w:rsid w:val="001253E8"/>
    <w:rsid w:val="00133098"/>
    <w:rsid w:val="00137F42"/>
    <w:rsid w:val="0014093E"/>
    <w:rsid w:val="001450EE"/>
    <w:rsid w:val="00147930"/>
    <w:rsid w:val="001537F5"/>
    <w:rsid w:val="001561EE"/>
    <w:rsid w:val="00161D51"/>
    <w:rsid w:val="0016554B"/>
    <w:rsid w:val="00167EB3"/>
    <w:rsid w:val="00171837"/>
    <w:rsid w:val="0017347B"/>
    <w:rsid w:val="001742CB"/>
    <w:rsid w:val="00175A93"/>
    <w:rsid w:val="0018393C"/>
    <w:rsid w:val="00185E50"/>
    <w:rsid w:val="00186A24"/>
    <w:rsid w:val="00187C01"/>
    <w:rsid w:val="001A5DD6"/>
    <w:rsid w:val="001B2048"/>
    <w:rsid w:val="001C44D6"/>
    <w:rsid w:val="001C60AE"/>
    <w:rsid w:val="001C78D3"/>
    <w:rsid w:val="001D0146"/>
    <w:rsid w:val="001D4885"/>
    <w:rsid w:val="001D78DD"/>
    <w:rsid w:val="001E21F2"/>
    <w:rsid w:val="001F13FD"/>
    <w:rsid w:val="001F7A38"/>
    <w:rsid w:val="002035C2"/>
    <w:rsid w:val="00205096"/>
    <w:rsid w:val="0020562A"/>
    <w:rsid w:val="002167D0"/>
    <w:rsid w:val="002272C7"/>
    <w:rsid w:val="002304D5"/>
    <w:rsid w:val="002415FF"/>
    <w:rsid w:val="00243387"/>
    <w:rsid w:val="00246BB6"/>
    <w:rsid w:val="002553C1"/>
    <w:rsid w:val="0025581A"/>
    <w:rsid w:val="00256FA3"/>
    <w:rsid w:val="00262C35"/>
    <w:rsid w:val="00263CD1"/>
    <w:rsid w:val="0027352E"/>
    <w:rsid w:val="0027525C"/>
    <w:rsid w:val="00284AB9"/>
    <w:rsid w:val="002A3CBD"/>
    <w:rsid w:val="002A5FA0"/>
    <w:rsid w:val="002A776B"/>
    <w:rsid w:val="002B20BE"/>
    <w:rsid w:val="002B26D1"/>
    <w:rsid w:val="002B5461"/>
    <w:rsid w:val="002B6CE9"/>
    <w:rsid w:val="002B7282"/>
    <w:rsid w:val="002C7616"/>
    <w:rsid w:val="002D0106"/>
    <w:rsid w:val="002D0A19"/>
    <w:rsid w:val="002D0BEB"/>
    <w:rsid w:val="002D2E33"/>
    <w:rsid w:val="002D3A38"/>
    <w:rsid w:val="002E309A"/>
    <w:rsid w:val="002E69D6"/>
    <w:rsid w:val="002F0C4A"/>
    <w:rsid w:val="002F4416"/>
    <w:rsid w:val="00301C1B"/>
    <w:rsid w:val="003122E7"/>
    <w:rsid w:val="0032018D"/>
    <w:rsid w:val="00323404"/>
    <w:rsid w:val="00325595"/>
    <w:rsid w:val="00330EF6"/>
    <w:rsid w:val="00341317"/>
    <w:rsid w:val="003456F3"/>
    <w:rsid w:val="003505C5"/>
    <w:rsid w:val="0035293F"/>
    <w:rsid w:val="00361B7D"/>
    <w:rsid w:val="00367CDE"/>
    <w:rsid w:val="00375953"/>
    <w:rsid w:val="00376A7A"/>
    <w:rsid w:val="0037781B"/>
    <w:rsid w:val="00385F2F"/>
    <w:rsid w:val="003879A6"/>
    <w:rsid w:val="003A0856"/>
    <w:rsid w:val="003A7BDA"/>
    <w:rsid w:val="003B3BAB"/>
    <w:rsid w:val="003C58D5"/>
    <w:rsid w:val="003E7071"/>
    <w:rsid w:val="003F2C35"/>
    <w:rsid w:val="00405481"/>
    <w:rsid w:val="00406949"/>
    <w:rsid w:val="004141E3"/>
    <w:rsid w:val="00433314"/>
    <w:rsid w:val="00442336"/>
    <w:rsid w:val="00444862"/>
    <w:rsid w:val="00445B3C"/>
    <w:rsid w:val="0044620A"/>
    <w:rsid w:val="0046275F"/>
    <w:rsid w:val="00462B76"/>
    <w:rsid w:val="00465B37"/>
    <w:rsid w:val="004714D6"/>
    <w:rsid w:val="004815A3"/>
    <w:rsid w:val="00481F64"/>
    <w:rsid w:val="00495A3A"/>
    <w:rsid w:val="004A18A6"/>
    <w:rsid w:val="004A6999"/>
    <w:rsid w:val="004B2A4D"/>
    <w:rsid w:val="004B6247"/>
    <w:rsid w:val="004B7C52"/>
    <w:rsid w:val="004C127D"/>
    <w:rsid w:val="004E091D"/>
    <w:rsid w:val="004E0B7D"/>
    <w:rsid w:val="004E1D2A"/>
    <w:rsid w:val="004E4530"/>
    <w:rsid w:val="004F0721"/>
    <w:rsid w:val="004F46C6"/>
    <w:rsid w:val="00515C9A"/>
    <w:rsid w:val="00522A40"/>
    <w:rsid w:val="005243E8"/>
    <w:rsid w:val="00530A59"/>
    <w:rsid w:val="00543038"/>
    <w:rsid w:val="00543A68"/>
    <w:rsid w:val="00544A92"/>
    <w:rsid w:val="00553383"/>
    <w:rsid w:val="00556D27"/>
    <w:rsid w:val="0056277A"/>
    <w:rsid w:val="00567094"/>
    <w:rsid w:val="00575E84"/>
    <w:rsid w:val="00576DB0"/>
    <w:rsid w:val="00586374"/>
    <w:rsid w:val="005947A2"/>
    <w:rsid w:val="00596D4C"/>
    <w:rsid w:val="005A0259"/>
    <w:rsid w:val="005A0C6C"/>
    <w:rsid w:val="005A2AFD"/>
    <w:rsid w:val="005A5C0D"/>
    <w:rsid w:val="005A78C8"/>
    <w:rsid w:val="005B112F"/>
    <w:rsid w:val="005C0D01"/>
    <w:rsid w:val="005C0ECA"/>
    <w:rsid w:val="005C37CF"/>
    <w:rsid w:val="005C5554"/>
    <w:rsid w:val="005C5656"/>
    <w:rsid w:val="005C60F0"/>
    <w:rsid w:val="005D58F5"/>
    <w:rsid w:val="005D6FF7"/>
    <w:rsid w:val="005E2173"/>
    <w:rsid w:val="005E3CCF"/>
    <w:rsid w:val="005E4EBB"/>
    <w:rsid w:val="0060307F"/>
    <w:rsid w:val="00605449"/>
    <w:rsid w:val="00605D0E"/>
    <w:rsid w:val="006071EC"/>
    <w:rsid w:val="006216C4"/>
    <w:rsid w:val="006216CE"/>
    <w:rsid w:val="00622D82"/>
    <w:rsid w:val="00624BE8"/>
    <w:rsid w:val="00656E84"/>
    <w:rsid w:val="00661E39"/>
    <w:rsid w:val="00664569"/>
    <w:rsid w:val="00681EE5"/>
    <w:rsid w:val="006840D6"/>
    <w:rsid w:val="0068500B"/>
    <w:rsid w:val="00687D4D"/>
    <w:rsid w:val="006A0B8C"/>
    <w:rsid w:val="006A76A4"/>
    <w:rsid w:val="006B678C"/>
    <w:rsid w:val="006B7129"/>
    <w:rsid w:val="006C1859"/>
    <w:rsid w:val="006C5AE7"/>
    <w:rsid w:val="006C71BB"/>
    <w:rsid w:val="006D6A6A"/>
    <w:rsid w:val="006E34AB"/>
    <w:rsid w:val="006E6266"/>
    <w:rsid w:val="006E7F2A"/>
    <w:rsid w:val="006F0011"/>
    <w:rsid w:val="006F1E47"/>
    <w:rsid w:val="006F6314"/>
    <w:rsid w:val="006F7FC7"/>
    <w:rsid w:val="007020DD"/>
    <w:rsid w:val="00706687"/>
    <w:rsid w:val="00706943"/>
    <w:rsid w:val="0071079F"/>
    <w:rsid w:val="007128BB"/>
    <w:rsid w:val="00723BE7"/>
    <w:rsid w:val="00723C82"/>
    <w:rsid w:val="00732081"/>
    <w:rsid w:val="0073634D"/>
    <w:rsid w:val="00745B06"/>
    <w:rsid w:val="00753A23"/>
    <w:rsid w:val="007544F0"/>
    <w:rsid w:val="00776E76"/>
    <w:rsid w:val="00785414"/>
    <w:rsid w:val="00787B32"/>
    <w:rsid w:val="0079004E"/>
    <w:rsid w:val="007A252C"/>
    <w:rsid w:val="007B11E9"/>
    <w:rsid w:val="007B1CF8"/>
    <w:rsid w:val="007C4618"/>
    <w:rsid w:val="007D1417"/>
    <w:rsid w:val="007E383E"/>
    <w:rsid w:val="007E40EF"/>
    <w:rsid w:val="007E7CDD"/>
    <w:rsid w:val="007F42D0"/>
    <w:rsid w:val="007F4E72"/>
    <w:rsid w:val="00805015"/>
    <w:rsid w:val="0080653B"/>
    <w:rsid w:val="00807C78"/>
    <w:rsid w:val="00825348"/>
    <w:rsid w:val="00825FC7"/>
    <w:rsid w:val="00827DE4"/>
    <w:rsid w:val="008312AB"/>
    <w:rsid w:val="00832CEE"/>
    <w:rsid w:val="0083328E"/>
    <w:rsid w:val="008337B5"/>
    <w:rsid w:val="00841FAE"/>
    <w:rsid w:val="00843EA1"/>
    <w:rsid w:val="00862135"/>
    <w:rsid w:val="008649CB"/>
    <w:rsid w:val="00873376"/>
    <w:rsid w:val="00896529"/>
    <w:rsid w:val="008A16E2"/>
    <w:rsid w:val="008A336C"/>
    <w:rsid w:val="008A445A"/>
    <w:rsid w:val="008B17A5"/>
    <w:rsid w:val="008D5362"/>
    <w:rsid w:val="008E0125"/>
    <w:rsid w:val="008E1FAE"/>
    <w:rsid w:val="008F09EE"/>
    <w:rsid w:val="008F4BE3"/>
    <w:rsid w:val="00905371"/>
    <w:rsid w:val="009112F0"/>
    <w:rsid w:val="00913640"/>
    <w:rsid w:val="00914B5C"/>
    <w:rsid w:val="00924EFC"/>
    <w:rsid w:val="0093132B"/>
    <w:rsid w:val="0094195C"/>
    <w:rsid w:val="00941B94"/>
    <w:rsid w:val="00944B7F"/>
    <w:rsid w:val="00945331"/>
    <w:rsid w:val="00957DBE"/>
    <w:rsid w:val="00964540"/>
    <w:rsid w:val="00964C7C"/>
    <w:rsid w:val="00970C45"/>
    <w:rsid w:val="00971DD2"/>
    <w:rsid w:val="00981A86"/>
    <w:rsid w:val="0099375D"/>
    <w:rsid w:val="009970C1"/>
    <w:rsid w:val="009A1B7F"/>
    <w:rsid w:val="009A3DC7"/>
    <w:rsid w:val="009A47AA"/>
    <w:rsid w:val="009B6E91"/>
    <w:rsid w:val="009C05D8"/>
    <w:rsid w:val="009C0C21"/>
    <w:rsid w:val="009C25CB"/>
    <w:rsid w:val="009C4110"/>
    <w:rsid w:val="009D2F8D"/>
    <w:rsid w:val="009E49F1"/>
    <w:rsid w:val="009E654B"/>
    <w:rsid w:val="009E6D9B"/>
    <w:rsid w:val="009F228E"/>
    <w:rsid w:val="009F2E74"/>
    <w:rsid w:val="009F67B1"/>
    <w:rsid w:val="009F7783"/>
    <w:rsid w:val="00A000ED"/>
    <w:rsid w:val="00A04B02"/>
    <w:rsid w:val="00A119B2"/>
    <w:rsid w:val="00A14163"/>
    <w:rsid w:val="00A23B2F"/>
    <w:rsid w:val="00A24403"/>
    <w:rsid w:val="00A275BE"/>
    <w:rsid w:val="00A300CC"/>
    <w:rsid w:val="00A32369"/>
    <w:rsid w:val="00A33219"/>
    <w:rsid w:val="00A33AB6"/>
    <w:rsid w:val="00A3513C"/>
    <w:rsid w:val="00A35667"/>
    <w:rsid w:val="00A40A04"/>
    <w:rsid w:val="00A577EB"/>
    <w:rsid w:val="00A62D0F"/>
    <w:rsid w:val="00A66CB4"/>
    <w:rsid w:val="00A67EE8"/>
    <w:rsid w:val="00A7275C"/>
    <w:rsid w:val="00A75063"/>
    <w:rsid w:val="00A9138E"/>
    <w:rsid w:val="00A95453"/>
    <w:rsid w:val="00AA2343"/>
    <w:rsid w:val="00AA2D35"/>
    <w:rsid w:val="00AA54A3"/>
    <w:rsid w:val="00AA5892"/>
    <w:rsid w:val="00AB12F7"/>
    <w:rsid w:val="00AB790E"/>
    <w:rsid w:val="00AD2D47"/>
    <w:rsid w:val="00AD3182"/>
    <w:rsid w:val="00AD3CAD"/>
    <w:rsid w:val="00AD4DB0"/>
    <w:rsid w:val="00AD6692"/>
    <w:rsid w:val="00AF2AA1"/>
    <w:rsid w:val="00AF38E5"/>
    <w:rsid w:val="00AF4DAE"/>
    <w:rsid w:val="00B02F67"/>
    <w:rsid w:val="00B1474E"/>
    <w:rsid w:val="00B21484"/>
    <w:rsid w:val="00B23FDE"/>
    <w:rsid w:val="00B30A88"/>
    <w:rsid w:val="00B34DFA"/>
    <w:rsid w:val="00B35857"/>
    <w:rsid w:val="00B364CE"/>
    <w:rsid w:val="00B40015"/>
    <w:rsid w:val="00B44BA6"/>
    <w:rsid w:val="00B61984"/>
    <w:rsid w:val="00B76251"/>
    <w:rsid w:val="00B77814"/>
    <w:rsid w:val="00B8162E"/>
    <w:rsid w:val="00B91C6C"/>
    <w:rsid w:val="00B92F79"/>
    <w:rsid w:val="00BA15BE"/>
    <w:rsid w:val="00BA44CA"/>
    <w:rsid w:val="00BB518F"/>
    <w:rsid w:val="00BB550B"/>
    <w:rsid w:val="00BC0C4C"/>
    <w:rsid w:val="00BC0F40"/>
    <w:rsid w:val="00BD391A"/>
    <w:rsid w:val="00BE3196"/>
    <w:rsid w:val="00BE5AB8"/>
    <w:rsid w:val="00C0397B"/>
    <w:rsid w:val="00C10857"/>
    <w:rsid w:val="00C17537"/>
    <w:rsid w:val="00C23D1F"/>
    <w:rsid w:val="00C36A83"/>
    <w:rsid w:val="00C37D6B"/>
    <w:rsid w:val="00C40B09"/>
    <w:rsid w:val="00C41252"/>
    <w:rsid w:val="00C43AD9"/>
    <w:rsid w:val="00C47A9D"/>
    <w:rsid w:val="00C500C5"/>
    <w:rsid w:val="00C53302"/>
    <w:rsid w:val="00C873A8"/>
    <w:rsid w:val="00C92855"/>
    <w:rsid w:val="00C94A38"/>
    <w:rsid w:val="00C95A4B"/>
    <w:rsid w:val="00CA1B5E"/>
    <w:rsid w:val="00CD0678"/>
    <w:rsid w:val="00CD3237"/>
    <w:rsid w:val="00CD4246"/>
    <w:rsid w:val="00CE01A4"/>
    <w:rsid w:val="00CE2630"/>
    <w:rsid w:val="00CF09B8"/>
    <w:rsid w:val="00CF2016"/>
    <w:rsid w:val="00CF7A13"/>
    <w:rsid w:val="00D06CDB"/>
    <w:rsid w:val="00D07025"/>
    <w:rsid w:val="00D138ED"/>
    <w:rsid w:val="00D20876"/>
    <w:rsid w:val="00D27886"/>
    <w:rsid w:val="00D329D1"/>
    <w:rsid w:val="00D3434E"/>
    <w:rsid w:val="00D40119"/>
    <w:rsid w:val="00D42CD7"/>
    <w:rsid w:val="00D47F71"/>
    <w:rsid w:val="00D92DC6"/>
    <w:rsid w:val="00D93D64"/>
    <w:rsid w:val="00D94123"/>
    <w:rsid w:val="00D94925"/>
    <w:rsid w:val="00DA1A91"/>
    <w:rsid w:val="00DA34D7"/>
    <w:rsid w:val="00DA5D3C"/>
    <w:rsid w:val="00DB1737"/>
    <w:rsid w:val="00DB4D37"/>
    <w:rsid w:val="00DC389E"/>
    <w:rsid w:val="00DD22FA"/>
    <w:rsid w:val="00DE2257"/>
    <w:rsid w:val="00DE2C37"/>
    <w:rsid w:val="00E058A7"/>
    <w:rsid w:val="00E05FD0"/>
    <w:rsid w:val="00E10747"/>
    <w:rsid w:val="00E13C3F"/>
    <w:rsid w:val="00E15A2B"/>
    <w:rsid w:val="00E160B3"/>
    <w:rsid w:val="00E242F3"/>
    <w:rsid w:val="00E31EBE"/>
    <w:rsid w:val="00E342D4"/>
    <w:rsid w:val="00E354BE"/>
    <w:rsid w:val="00E35F7F"/>
    <w:rsid w:val="00E36C02"/>
    <w:rsid w:val="00E451DE"/>
    <w:rsid w:val="00E475D3"/>
    <w:rsid w:val="00E55AD3"/>
    <w:rsid w:val="00E578AB"/>
    <w:rsid w:val="00E60D7D"/>
    <w:rsid w:val="00E85B85"/>
    <w:rsid w:val="00E86C42"/>
    <w:rsid w:val="00E92037"/>
    <w:rsid w:val="00E92A92"/>
    <w:rsid w:val="00EA004E"/>
    <w:rsid w:val="00EA1A83"/>
    <w:rsid w:val="00EA5869"/>
    <w:rsid w:val="00EB0133"/>
    <w:rsid w:val="00EB3F51"/>
    <w:rsid w:val="00EB6A84"/>
    <w:rsid w:val="00EC2A53"/>
    <w:rsid w:val="00ED0B67"/>
    <w:rsid w:val="00ED1F7B"/>
    <w:rsid w:val="00ED37A3"/>
    <w:rsid w:val="00ED37C8"/>
    <w:rsid w:val="00EE5CDE"/>
    <w:rsid w:val="00EF398E"/>
    <w:rsid w:val="00F20761"/>
    <w:rsid w:val="00F2622C"/>
    <w:rsid w:val="00F306DC"/>
    <w:rsid w:val="00F33F88"/>
    <w:rsid w:val="00F3685A"/>
    <w:rsid w:val="00F406DB"/>
    <w:rsid w:val="00F43B89"/>
    <w:rsid w:val="00F44011"/>
    <w:rsid w:val="00F503E2"/>
    <w:rsid w:val="00F54158"/>
    <w:rsid w:val="00F5460F"/>
    <w:rsid w:val="00F675E5"/>
    <w:rsid w:val="00F76FFA"/>
    <w:rsid w:val="00F82D9A"/>
    <w:rsid w:val="00F86D3C"/>
    <w:rsid w:val="00F87B67"/>
    <w:rsid w:val="00F9457E"/>
    <w:rsid w:val="00FA13BA"/>
    <w:rsid w:val="00FA5A10"/>
    <w:rsid w:val="00FA7BD4"/>
    <w:rsid w:val="00FB03C3"/>
    <w:rsid w:val="00FB14A7"/>
    <w:rsid w:val="00FC56C7"/>
    <w:rsid w:val="00FE4565"/>
    <w:rsid w:val="00FE7ABB"/>
    <w:rsid w:val="00FF2EBB"/>
    <w:rsid w:val="00FF3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paragraph" w:styleId="4">
    <w:name w:val="heading 4"/>
    <w:basedOn w:val="a"/>
    <w:next w:val="a"/>
    <w:link w:val="4Char"/>
    <w:uiPriority w:val="9"/>
    <w:semiHidden/>
    <w:unhideWhenUsed/>
    <w:qFormat/>
    <w:rsid w:val="003A08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 w:type="character" w:customStyle="1" w:styleId="4Char">
    <w:name w:val="عنوان 4 Char"/>
    <w:basedOn w:val="a0"/>
    <w:link w:val="4"/>
    <w:uiPriority w:val="9"/>
    <w:semiHidden/>
    <w:rsid w:val="003A0856"/>
    <w:rPr>
      <w:rFonts w:asciiTheme="majorHAnsi" w:eastAsiaTheme="majorEastAsia" w:hAnsiTheme="majorHAnsi" w:cstheme="majorBidi"/>
      <w:i/>
      <w:iCs/>
      <w:color w:val="2E74B5" w:themeColor="accent1" w:themeShade="BF"/>
    </w:rPr>
  </w:style>
  <w:style w:type="paragraph" w:customStyle="1" w:styleId="pdq2pgselectionanchorcontainer">
    <w:name w:val="pdq2pg_selectionanchorcontainer"/>
    <w:basedOn w:val="a"/>
    <w:rsid w:val="002B20BE"/>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isselectedend">
    <w:name w:val="isselectedend"/>
    <w:basedOn w:val="a"/>
    <w:rsid w:val="00905371"/>
    <w:pPr>
      <w:bidi w:val="0"/>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7859">
      <w:bodyDiv w:val="1"/>
      <w:marLeft w:val="0"/>
      <w:marRight w:val="0"/>
      <w:marTop w:val="0"/>
      <w:marBottom w:val="0"/>
      <w:divBdr>
        <w:top w:val="none" w:sz="0" w:space="0" w:color="auto"/>
        <w:left w:val="none" w:sz="0" w:space="0" w:color="auto"/>
        <w:bottom w:val="none" w:sz="0" w:space="0" w:color="auto"/>
        <w:right w:val="none" w:sz="0" w:space="0" w:color="auto"/>
      </w:divBdr>
    </w:div>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1368">
      <w:bodyDiv w:val="1"/>
      <w:marLeft w:val="0"/>
      <w:marRight w:val="0"/>
      <w:marTop w:val="0"/>
      <w:marBottom w:val="0"/>
      <w:divBdr>
        <w:top w:val="none" w:sz="0" w:space="0" w:color="auto"/>
        <w:left w:val="none" w:sz="0" w:space="0" w:color="auto"/>
        <w:bottom w:val="none" w:sz="0" w:space="0" w:color="auto"/>
        <w:right w:val="none" w:sz="0" w:space="0" w:color="auto"/>
      </w:divBdr>
    </w:div>
    <w:div w:id="53739819">
      <w:bodyDiv w:val="1"/>
      <w:marLeft w:val="0"/>
      <w:marRight w:val="0"/>
      <w:marTop w:val="0"/>
      <w:marBottom w:val="0"/>
      <w:divBdr>
        <w:top w:val="none" w:sz="0" w:space="0" w:color="auto"/>
        <w:left w:val="none" w:sz="0" w:space="0" w:color="auto"/>
        <w:bottom w:val="none" w:sz="0" w:space="0" w:color="auto"/>
        <w:right w:val="none" w:sz="0" w:space="0" w:color="auto"/>
      </w:divBdr>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5997981">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0297497">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86312280">
      <w:bodyDiv w:val="1"/>
      <w:marLeft w:val="0"/>
      <w:marRight w:val="0"/>
      <w:marTop w:val="0"/>
      <w:marBottom w:val="0"/>
      <w:divBdr>
        <w:top w:val="none" w:sz="0" w:space="0" w:color="auto"/>
        <w:left w:val="none" w:sz="0" w:space="0" w:color="auto"/>
        <w:bottom w:val="none" w:sz="0" w:space="0" w:color="auto"/>
        <w:right w:val="none" w:sz="0" w:space="0" w:color="auto"/>
      </w:divBdr>
    </w:div>
    <w:div w:id="86704424">
      <w:bodyDiv w:val="1"/>
      <w:marLeft w:val="0"/>
      <w:marRight w:val="0"/>
      <w:marTop w:val="0"/>
      <w:marBottom w:val="0"/>
      <w:divBdr>
        <w:top w:val="none" w:sz="0" w:space="0" w:color="auto"/>
        <w:left w:val="none" w:sz="0" w:space="0" w:color="auto"/>
        <w:bottom w:val="none" w:sz="0" w:space="0" w:color="auto"/>
        <w:right w:val="none" w:sz="0" w:space="0" w:color="auto"/>
      </w:divBdr>
    </w:div>
    <w:div w:id="91292084">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03044132">
      <w:bodyDiv w:val="1"/>
      <w:marLeft w:val="0"/>
      <w:marRight w:val="0"/>
      <w:marTop w:val="0"/>
      <w:marBottom w:val="0"/>
      <w:divBdr>
        <w:top w:val="none" w:sz="0" w:space="0" w:color="auto"/>
        <w:left w:val="none" w:sz="0" w:space="0" w:color="auto"/>
        <w:bottom w:val="none" w:sz="0" w:space="0" w:color="auto"/>
        <w:right w:val="none" w:sz="0" w:space="0" w:color="auto"/>
      </w:divBdr>
      <w:divsChild>
        <w:div w:id="75027512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sChild>
                <w:div w:id="1422793567">
                  <w:marLeft w:val="0"/>
                  <w:marRight w:val="0"/>
                  <w:marTop w:val="0"/>
                  <w:marBottom w:val="0"/>
                  <w:divBdr>
                    <w:top w:val="none" w:sz="0" w:space="0" w:color="auto"/>
                    <w:left w:val="none" w:sz="0" w:space="0" w:color="auto"/>
                    <w:bottom w:val="none" w:sz="0" w:space="0" w:color="auto"/>
                    <w:right w:val="none" w:sz="0" w:space="0" w:color="auto"/>
                  </w:divBdr>
                  <w:divsChild>
                    <w:div w:id="1256208974">
                      <w:marLeft w:val="0"/>
                      <w:marRight w:val="0"/>
                      <w:marTop w:val="0"/>
                      <w:marBottom w:val="0"/>
                      <w:divBdr>
                        <w:top w:val="none" w:sz="0" w:space="0" w:color="auto"/>
                        <w:left w:val="none" w:sz="0" w:space="0" w:color="auto"/>
                        <w:bottom w:val="none" w:sz="0" w:space="0" w:color="auto"/>
                        <w:right w:val="none" w:sz="0" w:space="0" w:color="auto"/>
                      </w:divBdr>
                      <w:divsChild>
                        <w:div w:id="2039620068">
                          <w:marLeft w:val="0"/>
                          <w:marRight w:val="0"/>
                          <w:marTop w:val="0"/>
                          <w:marBottom w:val="0"/>
                          <w:divBdr>
                            <w:top w:val="none" w:sz="0" w:space="0" w:color="auto"/>
                            <w:left w:val="none" w:sz="0" w:space="0" w:color="auto"/>
                            <w:bottom w:val="none" w:sz="0" w:space="0" w:color="auto"/>
                            <w:right w:val="none" w:sz="0" w:space="0" w:color="auto"/>
                          </w:divBdr>
                          <w:divsChild>
                            <w:div w:id="686324648">
                              <w:marLeft w:val="0"/>
                              <w:marRight w:val="0"/>
                              <w:marTop w:val="0"/>
                              <w:marBottom w:val="0"/>
                              <w:divBdr>
                                <w:top w:val="none" w:sz="0" w:space="0" w:color="auto"/>
                                <w:left w:val="none" w:sz="0" w:space="0" w:color="auto"/>
                                <w:bottom w:val="none" w:sz="0" w:space="0" w:color="auto"/>
                                <w:right w:val="none" w:sz="0" w:space="0" w:color="auto"/>
                              </w:divBdr>
                              <w:divsChild>
                                <w:div w:id="1429429095">
                                  <w:marLeft w:val="0"/>
                                  <w:marRight w:val="0"/>
                                  <w:marTop w:val="0"/>
                                  <w:marBottom w:val="0"/>
                                  <w:divBdr>
                                    <w:top w:val="none" w:sz="0" w:space="0" w:color="auto"/>
                                    <w:left w:val="none" w:sz="0" w:space="0" w:color="auto"/>
                                    <w:bottom w:val="none" w:sz="0" w:space="0" w:color="auto"/>
                                    <w:right w:val="none" w:sz="0" w:space="0" w:color="auto"/>
                                  </w:divBdr>
                                  <w:divsChild>
                                    <w:div w:id="1985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885171">
      <w:bodyDiv w:val="1"/>
      <w:marLeft w:val="0"/>
      <w:marRight w:val="0"/>
      <w:marTop w:val="0"/>
      <w:marBottom w:val="0"/>
      <w:divBdr>
        <w:top w:val="none" w:sz="0" w:space="0" w:color="auto"/>
        <w:left w:val="none" w:sz="0" w:space="0" w:color="auto"/>
        <w:bottom w:val="none" w:sz="0" w:space="0" w:color="auto"/>
        <w:right w:val="none" w:sz="0" w:space="0" w:color="auto"/>
      </w:divBdr>
    </w:div>
    <w:div w:id="105733122">
      <w:bodyDiv w:val="1"/>
      <w:marLeft w:val="0"/>
      <w:marRight w:val="0"/>
      <w:marTop w:val="0"/>
      <w:marBottom w:val="0"/>
      <w:divBdr>
        <w:top w:val="none" w:sz="0" w:space="0" w:color="auto"/>
        <w:left w:val="none" w:sz="0" w:space="0" w:color="auto"/>
        <w:bottom w:val="none" w:sz="0" w:space="0" w:color="auto"/>
        <w:right w:val="none" w:sz="0" w:space="0" w:color="auto"/>
      </w:divBdr>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27283434">
      <w:bodyDiv w:val="1"/>
      <w:marLeft w:val="0"/>
      <w:marRight w:val="0"/>
      <w:marTop w:val="0"/>
      <w:marBottom w:val="0"/>
      <w:divBdr>
        <w:top w:val="none" w:sz="0" w:space="0" w:color="auto"/>
        <w:left w:val="none" w:sz="0" w:space="0" w:color="auto"/>
        <w:bottom w:val="none" w:sz="0" w:space="0" w:color="auto"/>
        <w:right w:val="none" w:sz="0" w:space="0" w:color="auto"/>
      </w:divBdr>
    </w:div>
    <w:div w:id="127826789">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39199269">
      <w:bodyDiv w:val="1"/>
      <w:marLeft w:val="0"/>
      <w:marRight w:val="0"/>
      <w:marTop w:val="0"/>
      <w:marBottom w:val="0"/>
      <w:divBdr>
        <w:top w:val="none" w:sz="0" w:space="0" w:color="auto"/>
        <w:left w:val="none" w:sz="0" w:space="0" w:color="auto"/>
        <w:bottom w:val="none" w:sz="0" w:space="0" w:color="auto"/>
        <w:right w:val="none" w:sz="0" w:space="0" w:color="auto"/>
      </w:divBdr>
    </w:div>
    <w:div w:id="14215940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45322281">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1458838">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2469830">
      <w:bodyDiv w:val="1"/>
      <w:marLeft w:val="0"/>
      <w:marRight w:val="0"/>
      <w:marTop w:val="0"/>
      <w:marBottom w:val="0"/>
      <w:divBdr>
        <w:top w:val="none" w:sz="0" w:space="0" w:color="auto"/>
        <w:left w:val="none" w:sz="0" w:space="0" w:color="auto"/>
        <w:bottom w:val="none" w:sz="0" w:space="0" w:color="auto"/>
        <w:right w:val="none" w:sz="0" w:space="0" w:color="auto"/>
      </w:divBdr>
      <w:divsChild>
        <w:div w:id="1290942388">
          <w:marLeft w:val="0"/>
          <w:marRight w:val="0"/>
          <w:marTop w:val="0"/>
          <w:marBottom w:val="0"/>
          <w:divBdr>
            <w:top w:val="none" w:sz="0" w:space="0" w:color="auto"/>
            <w:left w:val="none" w:sz="0" w:space="0" w:color="auto"/>
            <w:bottom w:val="none" w:sz="0" w:space="0" w:color="auto"/>
            <w:right w:val="none" w:sz="0" w:space="0" w:color="auto"/>
          </w:divBdr>
          <w:divsChild>
            <w:div w:id="1527403287">
              <w:marLeft w:val="0"/>
              <w:marRight w:val="0"/>
              <w:marTop w:val="0"/>
              <w:marBottom w:val="0"/>
              <w:divBdr>
                <w:top w:val="none" w:sz="0" w:space="0" w:color="auto"/>
                <w:left w:val="none" w:sz="0" w:space="0" w:color="auto"/>
                <w:bottom w:val="none" w:sz="0" w:space="0" w:color="auto"/>
                <w:right w:val="none" w:sz="0" w:space="0" w:color="auto"/>
              </w:divBdr>
              <w:divsChild>
                <w:div w:id="1606501199">
                  <w:marLeft w:val="0"/>
                  <w:marRight w:val="0"/>
                  <w:marTop w:val="0"/>
                  <w:marBottom w:val="0"/>
                  <w:divBdr>
                    <w:top w:val="none" w:sz="0" w:space="0" w:color="auto"/>
                    <w:left w:val="none" w:sz="0" w:space="0" w:color="auto"/>
                    <w:bottom w:val="none" w:sz="0" w:space="0" w:color="auto"/>
                    <w:right w:val="none" w:sz="0" w:space="0" w:color="auto"/>
                  </w:divBdr>
                  <w:divsChild>
                    <w:div w:id="1096049436">
                      <w:marLeft w:val="0"/>
                      <w:marRight w:val="0"/>
                      <w:marTop w:val="0"/>
                      <w:marBottom w:val="0"/>
                      <w:divBdr>
                        <w:top w:val="none" w:sz="0" w:space="0" w:color="auto"/>
                        <w:left w:val="none" w:sz="0" w:space="0" w:color="auto"/>
                        <w:bottom w:val="none" w:sz="0" w:space="0" w:color="auto"/>
                        <w:right w:val="none" w:sz="0" w:space="0" w:color="auto"/>
                      </w:divBdr>
                      <w:divsChild>
                        <w:div w:id="1895964212">
                          <w:marLeft w:val="0"/>
                          <w:marRight w:val="0"/>
                          <w:marTop w:val="0"/>
                          <w:marBottom w:val="0"/>
                          <w:divBdr>
                            <w:top w:val="none" w:sz="0" w:space="0" w:color="auto"/>
                            <w:left w:val="none" w:sz="0" w:space="0" w:color="auto"/>
                            <w:bottom w:val="none" w:sz="0" w:space="0" w:color="auto"/>
                            <w:right w:val="none" w:sz="0" w:space="0" w:color="auto"/>
                          </w:divBdr>
                          <w:divsChild>
                            <w:div w:id="1886211954">
                              <w:marLeft w:val="0"/>
                              <w:marRight w:val="0"/>
                              <w:marTop w:val="0"/>
                              <w:marBottom w:val="0"/>
                              <w:divBdr>
                                <w:top w:val="none" w:sz="0" w:space="0" w:color="auto"/>
                                <w:left w:val="none" w:sz="0" w:space="0" w:color="auto"/>
                                <w:bottom w:val="none" w:sz="0" w:space="0" w:color="auto"/>
                                <w:right w:val="none" w:sz="0" w:space="0" w:color="auto"/>
                              </w:divBdr>
                              <w:divsChild>
                                <w:div w:id="1266185297">
                                  <w:marLeft w:val="0"/>
                                  <w:marRight w:val="0"/>
                                  <w:marTop w:val="0"/>
                                  <w:marBottom w:val="0"/>
                                  <w:divBdr>
                                    <w:top w:val="none" w:sz="0" w:space="0" w:color="auto"/>
                                    <w:left w:val="none" w:sz="0" w:space="0" w:color="auto"/>
                                    <w:bottom w:val="none" w:sz="0" w:space="0" w:color="auto"/>
                                    <w:right w:val="none" w:sz="0" w:space="0" w:color="auto"/>
                                  </w:divBdr>
                                  <w:divsChild>
                                    <w:div w:id="12577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49969401">
      <w:bodyDiv w:val="1"/>
      <w:marLeft w:val="0"/>
      <w:marRight w:val="0"/>
      <w:marTop w:val="0"/>
      <w:marBottom w:val="0"/>
      <w:divBdr>
        <w:top w:val="none" w:sz="0" w:space="0" w:color="auto"/>
        <w:left w:val="none" w:sz="0" w:space="0" w:color="auto"/>
        <w:bottom w:val="none" w:sz="0" w:space="0" w:color="auto"/>
        <w:right w:val="none" w:sz="0" w:space="0" w:color="auto"/>
      </w:divBdr>
    </w:div>
    <w:div w:id="249973660">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6136">
      <w:bodyDiv w:val="1"/>
      <w:marLeft w:val="0"/>
      <w:marRight w:val="0"/>
      <w:marTop w:val="0"/>
      <w:marBottom w:val="0"/>
      <w:divBdr>
        <w:top w:val="none" w:sz="0" w:space="0" w:color="auto"/>
        <w:left w:val="none" w:sz="0" w:space="0" w:color="auto"/>
        <w:bottom w:val="none" w:sz="0" w:space="0" w:color="auto"/>
        <w:right w:val="none" w:sz="0" w:space="0" w:color="auto"/>
      </w:divBdr>
      <w:divsChild>
        <w:div w:id="213155739">
          <w:marLeft w:val="0"/>
          <w:marRight w:val="0"/>
          <w:marTop w:val="0"/>
          <w:marBottom w:val="0"/>
          <w:divBdr>
            <w:top w:val="none" w:sz="0" w:space="0" w:color="auto"/>
            <w:left w:val="none" w:sz="0" w:space="0" w:color="auto"/>
            <w:bottom w:val="none" w:sz="0" w:space="0" w:color="auto"/>
            <w:right w:val="none" w:sz="0" w:space="0" w:color="auto"/>
          </w:divBdr>
          <w:divsChild>
            <w:div w:id="1723409587">
              <w:marLeft w:val="0"/>
              <w:marRight w:val="0"/>
              <w:marTop w:val="0"/>
              <w:marBottom w:val="0"/>
              <w:divBdr>
                <w:top w:val="none" w:sz="0" w:space="0" w:color="auto"/>
                <w:left w:val="none" w:sz="0" w:space="0" w:color="auto"/>
                <w:bottom w:val="none" w:sz="0" w:space="0" w:color="auto"/>
                <w:right w:val="none" w:sz="0" w:space="0" w:color="auto"/>
              </w:divBdr>
              <w:divsChild>
                <w:div w:id="1108935386">
                  <w:marLeft w:val="0"/>
                  <w:marRight w:val="0"/>
                  <w:marTop w:val="0"/>
                  <w:marBottom w:val="0"/>
                  <w:divBdr>
                    <w:top w:val="none" w:sz="0" w:space="0" w:color="auto"/>
                    <w:left w:val="none" w:sz="0" w:space="0" w:color="auto"/>
                    <w:bottom w:val="none" w:sz="0" w:space="0" w:color="auto"/>
                    <w:right w:val="none" w:sz="0" w:space="0" w:color="auto"/>
                  </w:divBdr>
                  <w:divsChild>
                    <w:div w:id="1961835506">
                      <w:marLeft w:val="0"/>
                      <w:marRight w:val="0"/>
                      <w:marTop w:val="0"/>
                      <w:marBottom w:val="0"/>
                      <w:divBdr>
                        <w:top w:val="none" w:sz="0" w:space="0" w:color="auto"/>
                        <w:left w:val="none" w:sz="0" w:space="0" w:color="auto"/>
                        <w:bottom w:val="none" w:sz="0" w:space="0" w:color="auto"/>
                        <w:right w:val="none" w:sz="0" w:space="0" w:color="auto"/>
                      </w:divBdr>
                      <w:divsChild>
                        <w:div w:id="1197693981">
                          <w:marLeft w:val="0"/>
                          <w:marRight w:val="0"/>
                          <w:marTop w:val="0"/>
                          <w:marBottom w:val="0"/>
                          <w:divBdr>
                            <w:top w:val="none" w:sz="0" w:space="0" w:color="auto"/>
                            <w:left w:val="none" w:sz="0" w:space="0" w:color="auto"/>
                            <w:bottom w:val="none" w:sz="0" w:space="0" w:color="auto"/>
                            <w:right w:val="none" w:sz="0" w:space="0" w:color="auto"/>
                          </w:divBdr>
                          <w:divsChild>
                            <w:div w:id="1782262882">
                              <w:marLeft w:val="0"/>
                              <w:marRight w:val="0"/>
                              <w:marTop w:val="0"/>
                              <w:marBottom w:val="0"/>
                              <w:divBdr>
                                <w:top w:val="none" w:sz="0" w:space="0" w:color="auto"/>
                                <w:left w:val="none" w:sz="0" w:space="0" w:color="auto"/>
                                <w:bottom w:val="none" w:sz="0" w:space="0" w:color="auto"/>
                                <w:right w:val="none" w:sz="0" w:space="0" w:color="auto"/>
                              </w:divBdr>
                              <w:divsChild>
                                <w:div w:id="1767920205">
                                  <w:marLeft w:val="0"/>
                                  <w:marRight w:val="0"/>
                                  <w:marTop w:val="0"/>
                                  <w:marBottom w:val="0"/>
                                  <w:divBdr>
                                    <w:top w:val="none" w:sz="0" w:space="0" w:color="auto"/>
                                    <w:left w:val="none" w:sz="0" w:space="0" w:color="auto"/>
                                    <w:bottom w:val="none" w:sz="0" w:space="0" w:color="auto"/>
                                    <w:right w:val="none" w:sz="0" w:space="0" w:color="auto"/>
                                  </w:divBdr>
                                  <w:divsChild>
                                    <w:div w:id="15738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346310">
      <w:bodyDiv w:val="1"/>
      <w:marLeft w:val="0"/>
      <w:marRight w:val="0"/>
      <w:marTop w:val="0"/>
      <w:marBottom w:val="0"/>
      <w:divBdr>
        <w:top w:val="none" w:sz="0" w:space="0" w:color="auto"/>
        <w:left w:val="none" w:sz="0" w:space="0" w:color="auto"/>
        <w:bottom w:val="none" w:sz="0" w:space="0" w:color="auto"/>
        <w:right w:val="none" w:sz="0" w:space="0" w:color="auto"/>
      </w:divBdr>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6759275">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3702464">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18926630">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45596938">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864727">
      <w:bodyDiv w:val="1"/>
      <w:marLeft w:val="0"/>
      <w:marRight w:val="0"/>
      <w:marTop w:val="0"/>
      <w:marBottom w:val="0"/>
      <w:divBdr>
        <w:top w:val="none" w:sz="0" w:space="0" w:color="auto"/>
        <w:left w:val="none" w:sz="0" w:space="0" w:color="auto"/>
        <w:bottom w:val="none" w:sz="0" w:space="0" w:color="auto"/>
        <w:right w:val="none" w:sz="0" w:space="0" w:color="auto"/>
      </w:divBdr>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76515225">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4280877">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17793408">
      <w:bodyDiv w:val="1"/>
      <w:marLeft w:val="0"/>
      <w:marRight w:val="0"/>
      <w:marTop w:val="0"/>
      <w:marBottom w:val="0"/>
      <w:divBdr>
        <w:top w:val="none" w:sz="0" w:space="0" w:color="auto"/>
        <w:left w:val="none" w:sz="0" w:space="0" w:color="auto"/>
        <w:bottom w:val="none" w:sz="0" w:space="0" w:color="auto"/>
        <w:right w:val="none" w:sz="0" w:space="0" w:color="auto"/>
      </w:divBdr>
    </w:div>
    <w:div w:id="420830915">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1777960">
      <w:bodyDiv w:val="1"/>
      <w:marLeft w:val="0"/>
      <w:marRight w:val="0"/>
      <w:marTop w:val="0"/>
      <w:marBottom w:val="0"/>
      <w:divBdr>
        <w:top w:val="none" w:sz="0" w:space="0" w:color="auto"/>
        <w:left w:val="none" w:sz="0" w:space="0" w:color="auto"/>
        <w:bottom w:val="none" w:sz="0" w:space="0" w:color="auto"/>
        <w:right w:val="none" w:sz="0" w:space="0" w:color="auto"/>
      </w:divBdr>
      <w:divsChild>
        <w:div w:id="297730112">
          <w:marLeft w:val="0"/>
          <w:marRight w:val="0"/>
          <w:marTop w:val="0"/>
          <w:marBottom w:val="0"/>
          <w:divBdr>
            <w:top w:val="none" w:sz="0" w:space="0" w:color="auto"/>
            <w:left w:val="none" w:sz="0" w:space="0" w:color="auto"/>
            <w:bottom w:val="none" w:sz="0" w:space="0" w:color="auto"/>
            <w:right w:val="none" w:sz="0" w:space="0" w:color="auto"/>
          </w:divBdr>
          <w:divsChild>
            <w:div w:id="1958826681">
              <w:marLeft w:val="0"/>
              <w:marRight w:val="0"/>
              <w:marTop w:val="0"/>
              <w:marBottom w:val="0"/>
              <w:divBdr>
                <w:top w:val="none" w:sz="0" w:space="0" w:color="auto"/>
                <w:left w:val="none" w:sz="0" w:space="0" w:color="auto"/>
                <w:bottom w:val="none" w:sz="0" w:space="0" w:color="auto"/>
                <w:right w:val="none" w:sz="0" w:space="0" w:color="auto"/>
              </w:divBdr>
              <w:divsChild>
                <w:div w:id="436943819">
                  <w:marLeft w:val="0"/>
                  <w:marRight w:val="0"/>
                  <w:marTop w:val="0"/>
                  <w:marBottom w:val="0"/>
                  <w:divBdr>
                    <w:top w:val="none" w:sz="0" w:space="0" w:color="auto"/>
                    <w:left w:val="none" w:sz="0" w:space="0" w:color="auto"/>
                    <w:bottom w:val="none" w:sz="0" w:space="0" w:color="auto"/>
                    <w:right w:val="none" w:sz="0" w:space="0" w:color="auto"/>
                  </w:divBdr>
                  <w:divsChild>
                    <w:div w:id="613637834">
                      <w:marLeft w:val="0"/>
                      <w:marRight w:val="0"/>
                      <w:marTop w:val="0"/>
                      <w:marBottom w:val="0"/>
                      <w:divBdr>
                        <w:top w:val="none" w:sz="0" w:space="0" w:color="auto"/>
                        <w:left w:val="none" w:sz="0" w:space="0" w:color="auto"/>
                        <w:bottom w:val="none" w:sz="0" w:space="0" w:color="auto"/>
                        <w:right w:val="none" w:sz="0" w:space="0" w:color="auto"/>
                      </w:divBdr>
                      <w:divsChild>
                        <w:div w:id="1888182470">
                          <w:marLeft w:val="0"/>
                          <w:marRight w:val="0"/>
                          <w:marTop w:val="0"/>
                          <w:marBottom w:val="0"/>
                          <w:divBdr>
                            <w:top w:val="none" w:sz="0" w:space="0" w:color="auto"/>
                            <w:left w:val="none" w:sz="0" w:space="0" w:color="auto"/>
                            <w:bottom w:val="none" w:sz="0" w:space="0" w:color="auto"/>
                            <w:right w:val="none" w:sz="0" w:space="0" w:color="auto"/>
                          </w:divBdr>
                          <w:divsChild>
                            <w:div w:id="71396903">
                              <w:marLeft w:val="0"/>
                              <w:marRight w:val="0"/>
                              <w:marTop w:val="0"/>
                              <w:marBottom w:val="0"/>
                              <w:divBdr>
                                <w:top w:val="none" w:sz="0" w:space="0" w:color="auto"/>
                                <w:left w:val="none" w:sz="0" w:space="0" w:color="auto"/>
                                <w:bottom w:val="none" w:sz="0" w:space="0" w:color="auto"/>
                                <w:right w:val="none" w:sz="0" w:space="0" w:color="auto"/>
                              </w:divBdr>
                              <w:divsChild>
                                <w:div w:id="214584435">
                                  <w:marLeft w:val="0"/>
                                  <w:marRight w:val="0"/>
                                  <w:marTop w:val="0"/>
                                  <w:marBottom w:val="0"/>
                                  <w:divBdr>
                                    <w:top w:val="none" w:sz="0" w:space="0" w:color="auto"/>
                                    <w:left w:val="none" w:sz="0" w:space="0" w:color="auto"/>
                                    <w:bottom w:val="none" w:sz="0" w:space="0" w:color="auto"/>
                                    <w:right w:val="none" w:sz="0" w:space="0" w:color="auto"/>
                                  </w:divBdr>
                                  <w:divsChild>
                                    <w:div w:id="9443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573969">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0346419">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7522761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04307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0484511">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5406596">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2588348">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0530203">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1766139">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5576">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22232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7201264">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08187072">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7742">
      <w:bodyDiv w:val="1"/>
      <w:marLeft w:val="0"/>
      <w:marRight w:val="0"/>
      <w:marTop w:val="0"/>
      <w:marBottom w:val="0"/>
      <w:divBdr>
        <w:top w:val="none" w:sz="0" w:space="0" w:color="auto"/>
        <w:left w:val="none" w:sz="0" w:space="0" w:color="auto"/>
        <w:bottom w:val="none" w:sz="0" w:space="0" w:color="auto"/>
        <w:right w:val="none" w:sz="0" w:space="0" w:color="auto"/>
      </w:divBdr>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9769006">
      <w:bodyDiv w:val="1"/>
      <w:marLeft w:val="0"/>
      <w:marRight w:val="0"/>
      <w:marTop w:val="0"/>
      <w:marBottom w:val="0"/>
      <w:divBdr>
        <w:top w:val="none" w:sz="0" w:space="0" w:color="auto"/>
        <w:left w:val="none" w:sz="0" w:space="0" w:color="auto"/>
        <w:bottom w:val="none" w:sz="0" w:space="0" w:color="auto"/>
        <w:right w:val="none" w:sz="0" w:space="0" w:color="auto"/>
      </w:divBdr>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1950129">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587100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0871435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044934">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0304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4853772">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898978020">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1162502">
      <w:bodyDiv w:val="1"/>
      <w:marLeft w:val="0"/>
      <w:marRight w:val="0"/>
      <w:marTop w:val="0"/>
      <w:marBottom w:val="0"/>
      <w:divBdr>
        <w:top w:val="none" w:sz="0" w:space="0" w:color="auto"/>
        <w:left w:val="none" w:sz="0" w:space="0" w:color="auto"/>
        <w:bottom w:val="none" w:sz="0" w:space="0" w:color="auto"/>
        <w:right w:val="none" w:sz="0" w:space="0" w:color="auto"/>
      </w:divBdr>
    </w:div>
    <w:div w:id="913394401">
      <w:bodyDiv w:val="1"/>
      <w:marLeft w:val="0"/>
      <w:marRight w:val="0"/>
      <w:marTop w:val="0"/>
      <w:marBottom w:val="0"/>
      <w:divBdr>
        <w:top w:val="none" w:sz="0" w:space="0" w:color="auto"/>
        <w:left w:val="none" w:sz="0" w:space="0" w:color="auto"/>
        <w:bottom w:val="none" w:sz="0" w:space="0" w:color="auto"/>
        <w:right w:val="none" w:sz="0" w:space="0" w:color="auto"/>
      </w:divBdr>
    </w:div>
    <w:div w:id="913397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2472388">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48010358">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1083206">
      <w:bodyDiv w:val="1"/>
      <w:marLeft w:val="0"/>
      <w:marRight w:val="0"/>
      <w:marTop w:val="0"/>
      <w:marBottom w:val="0"/>
      <w:divBdr>
        <w:top w:val="none" w:sz="0" w:space="0" w:color="auto"/>
        <w:left w:val="none" w:sz="0" w:space="0" w:color="auto"/>
        <w:bottom w:val="none" w:sz="0" w:space="0" w:color="auto"/>
        <w:right w:val="none" w:sz="0" w:space="0" w:color="auto"/>
      </w:divBdr>
      <w:divsChild>
        <w:div w:id="1588618165">
          <w:marLeft w:val="0"/>
          <w:marRight w:val="0"/>
          <w:marTop w:val="0"/>
          <w:marBottom w:val="0"/>
          <w:divBdr>
            <w:top w:val="none" w:sz="0" w:space="0" w:color="auto"/>
            <w:left w:val="none" w:sz="0" w:space="0" w:color="auto"/>
            <w:bottom w:val="none" w:sz="0" w:space="0" w:color="auto"/>
            <w:right w:val="none" w:sz="0" w:space="0" w:color="auto"/>
          </w:divBdr>
          <w:divsChild>
            <w:div w:id="1537506835">
              <w:marLeft w:val="0"/>
              <w:marRight w:val="0"/>
              <w:marTop w:val="0"/>
              <w:marBottom w:val="0"/>
              <w:divBdr>
                <w:top w:val="none" w:sz="0" w:space="0" w:color="auto"/>
                <w:left w:val="none" w:sz="0" w:space="0" w:color="auto"/>
                <w:bottom w:val="none" w:sz="0" w:space="0" w:color="auto"/>
                <w:right w:val="none" w:sz="0" w:space="0" w:color="auto"/>
              </w:divBdr>
              <w:divsChild>
                <w:div w:id="594871365">
                  <w:marLeft w:val="0"/>
                  <w:marRight w:val="0"/>
                  <w:marTop w:val="0"/>
                  <w:marBottom w:val="0"/>
                  <w:divBdr>
                    <w:top w:val="none" w:sz="0" w:space="0" w:color="auto"/>
                    <w:left w:val="none" w:sz="0" w:space="0" w:color="auto"/>
                    <w:bottom w:val="none" w:sz="0" w:space="0" w:color="auto"/>
                    <w:right w:val="none" w:sz="0" w:space="0" w:color="auto"/>
                  </w:divBdr>
                  <w:divsChild>
                    <w:div w:id="1544636699">
                      <w:marLeft w:val="0"/>
                      <w:marRight w:val="0"/>
                      <w:marTop w:val="0"/>
                      <w:marBottom w:val="0"/>
                      <w:divBdr>
                        <w:top w:val="none" w:sz="0" w:space="0" w:color="auto"/>
                        <w:left w:val="none" w:sz="0" w:space="0" w:color="auto"/>
                        <w:bottom w:val="none" w:sz="0" w:space="0" w:color="auto"/>
                        <w:right w:val="none" w:sz="0" w:space="0" w:color="auto"/>
                      </w:divBdr>
                      <w:divsChild>
                        <w:div w:id="1763916233">
                          <w:marLeft w:val="0"/>
                          <w:marRight w:val="0"/>
                          <w:marTop w:val="0"/>
                          <w:marBottom w:val="0"/>
                          <w:divBdr>
                            <w:top w:val="none" w:sz="0" w:space="0" w:color="auto"/>
                            <w:left w:val="none" w:sz="0" w:space="0" w:color="auto"/>
                            <w:bottom w:val="none" w:sz="0" w:space="0" w:color="auto"/>
                            <w:right w:val="none" w:sz="0" w:space="0" w:color="auto"/>
                          </w:divBdr>
                          <w:divsChild>
                            <w:div w:id="649555638">
                              <w:marLeft w:val="0"/>
                              <w:marRight w:val="0"/>
                              <w:marTop w:val="0"/>
                              <w:marBottom w:val="0"/>
                              <w:divBdr>
                                <w:top w:val="none" w:sz="0" w:space="0" w:color="auto"/>
                                <w:left w:val="none" w:sz="0" w:space="0" w:color="auto"/>
                                <w:bottom w:val="none" w:sz="0" w:space="0" w:color="auto"/>
                                <w:right w:val="none" w:sz="0" w:space="0" w:color="auto"/>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8455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2875668">
      <w:bodyDiv w:val="1"/>
      <w:marLeft w:val="0"/>
      <w:marRight w:val="0"/>
      <w:marTop w:val="0"/>
      <w:marBottom w:val="0"/>
      <w:divBdr>
        <w:top w:val="none" w:sz="0" w:space="0" w:color="auto"/>
        <w:left w:val="none" w:sz="0" w:space="0" w:color="auto"/>
        <w:bottom w:val="none" w:sz="0" w:space="0" w:color="auto"/>
        <w:right w:val="none" w:sz="0" w:space="0" w:color="auto"/>
      </w:divBdr>
    </w:div>
    <w:div w:id="994644747">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44276">
      <w:bodyDiv w:val="1"/>
      <w:marLeft w:val="0"/>
      <w:marRight w:val="0"/>
      <w:marTop w:val="0"/>
      <w:marBottom w:val="0"/>
      <w:divBdr>
        <w:top w:val="none" w:sz="0" w:space="0" w:color="auto"/>
        <w:left w:val="none" w:sz="0" w:space="0" w:color="auto"/>
        <w:bottom w:val="none" w:sz="0" w:space="0" w:color="auto"/>
        <w:right w:val="none" w:sz="0" w:space="0" w:color="auto"/>
      </w:divBdr>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1422277">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7974833">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39936301">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1344284">
      <w:bodyDiv w:val="1"/>
      <w:marLeft w:val="0"/>
      <w:marRight w:val="0"/>
      <w:marTop w:val="0"/>
      <w:marBottom w:val="0"/>
      <w:divBdr>
        <w:top w:val="none" w:sz="0" w:space="0" w:color="auto"/>
        <w:left w:val="none" w:sz="0" w:space="0" w:color="auto"/>
        <w:bottom w:val="none" w:sz="0" w:space="0" w:color="auto"/>
        <w:right w:val="none" w:sz="0" w:space="0" w:color="auto"/>
      </w:divBdr>
    </w:div>
    <w:div w:id="1053966988">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638346">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6256064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1825038">
      <w:bodyDiv w:val="1"/>
      <w:marLeft w:val="0"/>
      <w:marRight w:val="0"/>
      <w:marTop w:val="0"/>
      <w:marBottom w:val="0"/>
      <w:divBdr>
        <w:top w:val="none" w:sz="0" w:space="0" w:color="auto"/>
        <w:left w:val="none" w:sz="0" w:space="0" w:color="auto"/>
        <w:bottom w:val="none" w:sz="0" w:space="0" w:color="auto"/>
        <w:right w:val="none" w:sz="0" w:space="0" w:color="auto"/>
      </w:divBdr>
    </w:div>
    <w:div w:id="1112745154">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7956547">
      <w:bodyDiv w:val="1"/>
      <w:marLeft w:val="0"/>
      <w:marRight w:val="0"/>
      <w:marTop w:val="0"/>
      <w:marBottom w:val="0"/>
      <w:divBdr>
        <w:top w:val="none" w:sz="0" w:space="0" w:color="auto"/>
        <w:left w:val="none" w:sz="0" w:space="0" w:color="auto"/>
        <w:bottom w:val="none" w:sz="0" w:space="0" w:color="auto"/>
        <w:right w:val="none" w:sz="0" w:space="0" w:color="auto"/>
      </w:divBdr>
    </w:div>
    <w:div w:id="1158109150">
      <w:bodyDiv w:val="1"/>
      <w:marLeft w:val="0"/>
      <w:marRight w:val="0"/>
      <w:marTop w:val="0"/>
      <w:marBottom w:val="0"/>
      <w:divBdr>
        <w:top w:val="none" w:sz="0" w:space="0" w:color="auto"/>
        <w:left w:val="none" w:sz="0" w:space="0" w:color="auto"/>
        <w:bottom w:val="none" w:sz="0" w:space="0" w:color="auto"/>
        <w:right w:val="none" w:sz="0" w:space="0" w:color="auto"/>
      </w:divBdr>
      <w:divsChild>
        <w:div w:id="343171374">
          <w:marLeft w:val="0"/>
          <w:marRight w:val="0"/>
          <w:marTop w:val="0"/>
          <w:marBottom w:val="0"/>
          <w:divBdr>
            <w:top w:val="none" w:sz="0" w:space="0" w:color="auto"/>
            <w:left w:val="none" w:sz="0" w:space="0" w:color="auto"/>
            <w:bottom w:val="none" w:sz="0" w:space="0" w:color="auto"/>
            <w:right w:val="none" w:sz="0" w:space="0" w:color="auto"/>
          </w:divBdr>
          <w:divsChild>
            <w:div w:id="474491070">
              <w:marLeft w:val="0"/>
              <w:marRight w:val="0"/>
              <w:marTop w:val="0"/>
              <w:marBottom w:val="0"/>
              <w:divBdr>
                <w:top w:val="none" w:sz="0" w:space="0" w:color="auto"/>
                <w:left w:val="none" w:sz="0" w:space="0" w:color="auto"/>
                <w:bottom w:val="none" w:sz="0" w:space="0" w:color="auto"/>
                <w:right w:val="none" w:sz="0" w:space="0" w:color="auto"/>
              </w:divBdr>
              <w:divsChild>
                <w:div w:id="68120751">
                  <w:marLeft w:val="0"/>
                  <w:marRight w:val="0"/>
                  <w:marTop w:val="0"/>
                  <w:marBottom w:val="0"/>
                  <w:divBdr>
                    <w:top w:val="none" w:sz="0" w:space="0" w:color="auto"/>
                    <w:left w:val="none" w:sz="0" w:space="0" w:color="auto"/>
                    <w:bottom w:val="none" w:sz="0" w:space="0" w:color="auto"/>
                    <w:right w:val="none" w:sz="0" w:space="0" w:color="auto"/>
                  </w:divBdr>
                  <w:divsChild>
                    <w:div w:id="601648196">
                      <w:marLeft w:val="0"/>
                      <w:marRight w:val="0"/>
                      <w:marTop w:val="0"/>
                      <w:marBottom w:val="0"/>
                      <w:divBdr>
                        <w:top w:val="none" w:sz="0" w:space="0" w:color="auto"/>
                        <w:left w:val="none" w:sz="0" w:space="0" w:color="auto"/>
                        <w:bottom w:val="none" w:sz="0" w:space="0" w:color="auto"/>
                        <w:right w:val="none" w:sz="0" w:space="0" w:color="auto"/>
                      </w:divBdr>
                      <w:divsChild>
                        <w:div w:id="1939753106">
                          <w:marLeft w:val="0"/>
                          <w:marRight w:val="0"/>
                          <w:marTop w:val="0"/>
                          <w:marBottom w:val="0"/>
                          <w:divBdr>
                            <w:top w:val="none" w:sz="0" w:space="0" w:color="auto"/>
                            <w:left w:val="none" w:sz="0" w:space="0" w:color="auto"/>
                            <w:bottom w:val="none" w:sz="0" w:space="0" w:color="auto"/>
                            <w:right w:val="none" w:sz="0" w:space="0" w:color="auto"/>
                          </w:divBdr>
                          <w:divsChild>
                            <w:div w:id="1133138659">
                              <w:marLeft w:val="0"/>
                              <w:marRight w:val="0"/>
                              <w:marTop w:val="0"/>
                              <w:marBottom w:val="0"/>
                              <w:divBdr>
                                <w:top w:val="none" w:sz="0" w:space="0" w:color="auto"/>
                                <w:left w:val="none" w:sz="0" w:space="0" w:color="auto"/>
                                <w:bottom w:val="none" w:sz="0" w:space="0" w:color="auto"/>
                                <w:right w:val="none" w:sz="0" w:space="0" w:color="auto"/>
                              </w:divBdr>
                              <w:divsChild>
                                <w:div w:id="1733381737">
                                  <w:marLeft w:val="0"/>
                                  <w:marRight w:val="0"/>
                                  <w:marTop w:val="0"/>
                                  <w:marBottom w:val="0"/>
                                  <w:divBdr>
                                    <w:top w:val="none" w:sz="0" w:space="0" w:color="auto"/>
                                    <w:left w:val="none" w:sz="0" w:space="0" w:color="auto"/>
                                    <w:bottom w:val="none" w:sz="0" w:space="0" w:color="auto"/>
                                    <w:right w:val="none" w:sz="0" w:space="0" w:color="auto"/>
                                  </w:divBdr>
                                  <w:divsChild>
                                    <w:div w:id="7053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36041">
      <w:bodyDiv w:val="1"/>
      <w:marLeft w:val="0"/>
      <w:marRight w:val="0"/>
      <w:marTop w:val="0"/>
      <w:marBottom w:val="0"/>
      <w:divBdr>
        <w:top w:val="none" w:sz="0" w:space="0" w:color="auto"/>
        <w:left w:val="none" w:sz="0" w:space="0" w:color="auto"/>
        <w:bottom w:val="none" w:sz="0" w:space="0" w:color="auto"/>
        <w:right w:val="none" w:sz="0" w:space="0" w:color="auto"/>
      </w:divBdr>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6382162">
      <w:bodyDiv w:val="1"/>
      <w:marLeft w:val="0"/>
      <w:marRight w:val="0"/>
      <w:marTop w:val="0"/>
      <w:marBottom w:val="0"/>
      <w:divBdr>
        <w:top w:val="none" w:sz="0" w:space="0" w:color="auto"/>
        <w:left w:val="none" w:sz="0" w:space="0" w:color="auto"/>
        <w:bottom w:val="none" w:sz="0" w:space="0" w:color="auto"/>
        <w:right w:val="none" w:sz="0" w:space="0" w:color="auto"/>
      </w:divBdr>
    </w:div>
    <w:div w:id="1197158822">
      <w:bodyDiv w:val="1"/>
      <w:marLeft w:val="0"/>
      <w:marRight w:val="0"/>
      <w:marTop w:val="0"/>
      <w:marBottom w:val="0"/>
      <w:divBdr>
        <w:top w:val="none" w:sz="0" w:space="0" w:color="auto"/>
        <w:left w:val="none" w:sz="0" w:space="0" w:color="auto"/>
        <w:bottom w:val="none" w:sz="0" w:space="0" w:color="auto"/>
        <w:right w:val="none" w:sz="0" w:space="0" w:color="auto"/>
      </w:divBdr>
      <w:divsChild>
        <w:div w:id="1533808553">
          <w:marLeft w:val="0"/>
          <w:marRight w:val="0"/>
          <w:marTop w:val="0"/>
          <w:marBottom w:val="0"/>
          <w:divBdr>
            <w:top w:val="none" w:sz="0" w:space="0" w:color="auto"/>
            <w:left w:val="none" w:sz="0" w:space="0" w:color="auto"/>
            <w:bottom w:val="none" w:sz="0" w:space="0" w:color="auto"/>
            <w:right w:val="none" w:sz="0" w:space="0" w:color="auto"/>
          </w:divBdr>
          <w:divsChild>
            <w:div w:id="1940021277">
              <w:marLeft w:val="0"/>
              <w:marRight w:val="0"/>
              <w:marTop w:val="0"/>
              <w:marBottom w:val="0"/>
              <w:divBdr>
                <w:top w:val="none" w:sz="0" w:space="0" w:color="auto"/>
                <w:left w:val="none" w:sz="0" w:space="0" w:color="auto"/>
                <w:bottom w:val="none" w:sz="0" w:space="0" w:color="auto"/>
                <w:right w:val="none" w:sz="0" w:space="0" w:color="auto"/>
              </w:divBdr>
              <w:divsChild>
                <w:div w:id="1019239790">
                  <w:marLeft w:val="0"/>
                  <w:marRight w:val="0"/>
                  <w:marTop w:val="0"/>
                  <w:marBottom w:val="0"/>
                  <w:divBdr>
                    <w:top w:val="none" w:sz="0" w:space="0" w:color="auto"/>
                    <w:left w:val="none" w:sz="0" w:space="0" w:color="auto"/>
                    <w:bottom w:val="none" w:sz="0" w:space="0" w:color="auto"/>
                    <w:right w:val="none" w:sz="0" w:space="0" w:color="auto"/>
                  </w:divBdr>
                  <w:divsChild>
                    <w:div w:id="1917200245">
                      <w:marLeft w:val="0"/>
                      <w:marRight w:val="0"/>
                      <w:marTop w:val="0"/>
                      <w:marBottom w:val="0"/>
                      <w:divBdr>
                        <w:top w:val="none" w:sz="0" w:space="0" w:color="auto"/>
                        <w:left w:val="none" w:sz="0" w:space="0" w:color="auto"/>
                        <w:bottom w:val="none" w:sz="0" w:space="0" w:color="auto"/>
                        <w:right w:val="none" w:sz="0" w:space="0" w:color="auto"/>
                      </w:divBdr>
                      <w:divsChild>
                        <w:div w:id="2040348873">
                          <w:marLeft w:val="0"/>
                          <w:marRight w:val="0"/>
                          <w:marTop w:val="0"/>
                          <w:marBottom w:val="0"/>
                          <w:divBdr>
                            <w:top w:val="none" w:sz="0" w:space="0" w:color="auto"/>
                            <w:left w:val="none" w:sz="0" w:space="0" w:color="auto"/>
                            <w:bottom w:val="none" w:sz="0" w:space="0" w:color="auto"/>
                            <w:right w:val="none" w:sz="0" w:space="0" w:color="auto"/>
                          </w:divBdr>
                          <w:divsChild>
                            <w:div w:id="790712689">
                              <w:marLeft w:val="0"/>
                              <w:marRight w:val="0"/>
                              <w:marTop w:val="0"/>
                              <w:marBottom w:val="0"/>
                              <w:divBdr>
                                <w:top w:val="none" w:sz="0" w:space="0" w:color="auto"/>
                                <w:left w:val="none" w:sz="0" w:space="0" w:color="auto"/>
                                <w:bottom w:val="none" w:sz="0" w:space="0" w:color="auto"/>
                                <w:right w:val="none" w:sz="0" w:space="0" w:color="auto"/>
                              </w:divBdr>
                              <w:divsChild>
                                <w:div w:id="1245342011">
                                  <w:marLeft w:val="0"/>
                                  <w:marRight w:val="0"/>
                                  <w:marTop w:val="0"/>
                                  <w:marBottom w:val="0"/>
                                  <w:divBdr>
                                    <w:top w:val="none" w:sz="0" w:space="0" w:color="auto"/>
                                    <w:left w:val="none" w:sz="0" w:space="0" w:color="auto"/>
                                    <w:bottom w:val="none" w:sz="0" w:space="0" w:color="auto"/>
                                    <w:right w:val="none" w:sz="0" w:space="0" w:color="auto"/>
                                  </w:divBdr>
                                  <w:divsChild>
                                    <w:div w:id="2005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461130">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35434214">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67470771">
      <w:bodyDiv w:val="1"/>
      <w:marLeft w:val="0"/>
      <w:marRight w:val="0"/>
      <w:marTop w:val="0"/>
      <w:marBottom w:val="0"/>
      <w:divBdr>
        <w:top w:val="none" w:sz="0" w:space="0" w:color="auto"/>
        <w:left w:val="none" w:sz="0" w:space="0" w:color="auto"/>
        <w:bottom w:val="none" w:sz="0" w:space="0" w:color="auto"/>
        <w:right w:val="none" w:sz="0" w:space="0" w:color="auto"/>
      </w:divBdr>
    </w:div>
    <w:div w:id="1271472594">
      <w:bodyDiv w:val="1"/>
      <w:marLeft w:val="0"/>
      <w:marRight w:val="0"/>
      <w:marTop w:val="0"/>
      <w:marBottom w:val="0"/>
      <w:divBdr>
        <w:top w:val="none" w:sz="0" w:space="0" w:color="auto"/>
        <w:left w:val="none" w:sz="0" w:space="0" w:color="auto"/>
        <w:bottom w:val="none" w:sz="0" w:space="0" w:color="auto"/>
        <w:right w:val="none" w:sz="0" w:space="0" w:color="auto"/>
      </w:divBdr>
    </w:div>
    <w:div w:id="1271665134">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8291827">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36774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532417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1276270">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78117085">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938908">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6679172">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450110">
      <w:bodyDiv w:val="1"/>
      <w:marLeft w:val="0"/>
      <w:marRight w:val="0"/>
      <w:marTop w:val="0"/>
      <w:marBottom w:val="0"/>
      <w:divBdr>
        <w:top w:val="none" w:sz="0" w:space="0" w:color="auto"/>
        <w:left w:val="none" w:sz="0" w:space="0" w:color="auto"/>
        <w:bottom w:val="none" w:sz="0" w:space="0" w:color="auto"/>
        <w:right w:val="none" w:sz="0" w:space="0" w:color="auto"/>
      </w:divBdr>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729748">
      <w:bodyDiv w:val="1"/>
      <w:marLeft w:val="0"/>
      <w:marRight w:val="0"/>
      <w:marTop w:val="0"/>
      <w:marBottom w:val="0"/>
      <w:divBdr>
        <w:top w:val="none" w:sz="0" w:space="0" w:color="auto"/>
        <w:left w:val="none" w:sz="0" w:space="0" w:color="auto"/>
        <w:bottom w:val="none" w:sz="0" w:space="0" w:color="auto"/>
        <w:right w:val="none" w:sz="0" w:space="0" w:color="auto"/>
      </w:divBdr>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4496693">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58835683">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4789305">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0344387">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11288738">
      <w:bodyDiv w:val="1"/>
      <w:marLeft w:val="0"/>
      <w:marRight w:val="0"/>
      <w:marTop w:val="0"/>
      <w:marBottom w:val="0"/>
      <w:divBdr>
        <w:top w:val="none" w:sz="0" w:space="0" w:color="auto"/>
        <w:left w:val="none" w:sz="0" w:space="0" w:color="auto"/>
        <w:bottom w:val="none" w:sz="0" w:space="0" w:color="auto"/>
        <w:right w:val="none" w:sz="0" w:space="0" w:color="auto"/>
      </w:divBdr>
    </w:div>
    <w:div w:id="1526287141">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2935491">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5585917">
      <w:bodyDiv w:val="1"/>
      <w:marLeft w:val="0"/>
      <w:marRight w:val="0"/>
      <w:marTop w:val="0"/>
      <w:marBottom w:val="0"/>
      <w:divBdr>
        <w:top w:val="none" w:sz="0" w:space="0" w:color="auto"/>
        <w:left w:val="none" w:sz="0" w:space="0" w:color="auto"/>
        <w:bottom w:val="none" w:sz="0" w:space="0" w:color="auto"/>
        <w:right w:val="none" w:sz="0" w:space="0" w:color="auto"/>
      </w:divBdr>
      <w:divsChild>
        <w:div w:id="1091853494">
          <w:marLeft w:val="0"/>
          <w:marRight w:val="0"/>
          <w:marTop w:val="0"/>
          <w:marBottom w:val="0"/>
          <w:divBdr>
            <w:top w:val="none" w:sz="0" w:space="0" w:color="auto"/>
            <w:left w:val="none" w:sz="0" w:space="0" w:color="auto"/>
            <w:bottom w:val="none" w:sz="0" w:space="0" w:color="auto"/>
            <w:right w:val="none" w:sz="0" w:space="0" w:color="auto"/>
          </w:divBdr>
          <w:divsChild>
            <w:div w:id="1377773299">
              <w:marLeft w:val="0"/>
              <w:marRight w:val="0"/>
              <w:marTop w:val="0"/>
              <w:marBottom w:val="0"/>
              <w:divBdr>
                <w:top w:val="none" w:sz="0" w:space="0" w:color="auto"/>
                <w:left w:val="none" w:sz="0" w:space="0" w:color="auto"/>
                <w:bottom w:val="none" w:sz="0" w:space="0" w:color="auto"/>
                <w:right w:val="none" w:sz="0" w:space="0" w:color="auto"/>
              </w:divBdr>
              <w:divsChild>
                <w:div w:id="8066155">
                  <w:marLeft w:val="0"/>
                  <w:marRight w:val="0"/>
                  <w:marTop w:val="0"/>
                  <w:marBottom w:val="0"/>
                  <w:divBdr>
                    <w:top w:val="none" w:sz="0" w:space="0" w:color="auto"/>
                    <w:left w:val="none" w:sz="0" w:space="0" w:color="auto"/>
                    <w:bottom w:val="none" w:sz="0" w:space="0" w:color="auto"/>
                    <w:right w:val="none" w:sz="0" w:space="0" w:color="auto"/>
                  </w:divBdr>
                  <w:divsChild>
                    <w:div w:id="1428578394">
                      <w:marLeft w:val="0"/>
                      <w:marRight w:val="0"/>
                      <w:marTop w:val="0"/>
                      <w:marBottom w:val="0"/>
                      <w:divBdr>
                        <w:top w:val="none" w:sz="0" w:space="0" w:color="auto"/>
                        <w:left w:val="none" w:sz="0" w:space="0" w:color="auto"/>
                        <w:bottom w:val="none" w:sz="0" w:space="0" w:color="auto"/>
                        <w:right w:val="none" w:sz="0" w:space="0" w:color="auto"/>
                      </w:divBdr>
                      <w:divsChild>
                        <w:div w:id="414590954">
                          <w:marLeft w:val="0"/>
                          <w:marRight w:val="0"/>
                          <w:marTop w:val="0"/>
                          <w:marBottom w:val="0"/>
                          <w:divBdr>
                            <w:top w:val="none" w:sz="0" w:space="0" w:color="auto"/>
                            <w:left w:val="none" w:sz="0" w:space="0" w:color="auto"/>
                            <w:bottom w:val="none" w:sz="0" w:space="0" w:color="auto"/>
                            <w:right w:val="none" w:sz="0" w:space="0" w:color="auto"/>
                          </w:divBdr>
                          <w:divsChild>
                            <w:div w:id="365638303">
                              <w:marLeft w:val="0"/>
                              <w:marRight w:val="0"/>
                              <w:marTop w:val="0"/>
                              <w:marBottom w:val="0"/>
                              <w:divBdr>
                                <w:top w:val="none" w:sz="0" w:space="0" w:color="auto"/>
                                <w:left w:val="none" w:sz="0" w:space="0" w:color="auto"/>
                                <w:bottom w:val="none" w:sz="0" w:space="0" w:color="auto"/>
                                <w:right w:val="none" w:sz="0" w:space="0" w:color="auto"/>
                              </w:divBdr>
                              <w:divsChild>
                                <w:div w:id="510070662">
                                  <w:marLeft w:val="0"/>
                                  <w:marRight w:val="0"/>
                                  <w:marTop w:val="0"/>
                                  <w:marBottom w:val="0"/>
                                  <w:divBdr>
                                    <w:top w:val="none" w:sz="0" w:space="0" w:color="auto"/>
                                    <w:left w:val="none" w:sz="0" w:space="0" w:color="auto"/>
                                    <w:bottom w:val="none" w:sz="0" w:space="0" w:color="auto"/>
                                    <w:right w:val="none" w:sz="0" w:space="0" w:color="auto"/>
                                  </w:divBdr>
                                  <w:divsChild>
                                    <w:div w:id="12950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69227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1548208">
      <w:bodyDiv w:val="1"/>
      <w:marLeft w:val="0"/>
      <w:marRight w:val="0"/>
      <w:marTop w:val="0"/>
      <w:marBottom w:val="0"/>
      <w:divBdr>
        <w:top w:val="none" w:sz="0" w:space="0" w:color="auto"/>
        <w:left w:val="none" w:sz="0" w:space="0" w:color="auto"/>
        <w:bottom w:val="none" w:sz="0" w:space="0" w:color="auto"/>
        <w:right w:val="none" w:sz="0" w:space="0" w:color="auto"/>
      </w:divBdr>
    </w:div>
    <w:div w:id="1594708296">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0900590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2934324">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17251753">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27811074">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658999">
      <w:bodyDiv w:val="1"/>
      <w:marLeft w:val="0"/>
      <w:marRight w:val="0"/>
      <w:marTop w:val="0"/>
      <w:marBottom w:val="0"/>
      <w:divBdr>
        <w:top w:val="none" w:sz="0" w:space="0" w:color="auto"/>
        <w:left w:val="none" w:sz="0" w:space="0" w:color="auto"/>
        <w:bottom w:val="none" w:sz="0" w:space="0" w:color="auto"/>
        <w:right w:val="none" w:sz="0" w:space="0" w:color="auto"/>
      </w:divBdr>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0526358">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0614763">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59526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686841">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1132454">
      <w:bodyDiv w:val="1"/>
      <w:marLeft w:val="0"/>
      <w:marRight w:val="0"/>
      <w:marTop w:val="0"/>
      <w:marBottom w:val="0"/>
      <w:divBdr>
        <w:top w:val="none" w:sz="0" w:space="0" w:color="auto"/>
        <w:left w:val="none" w:sz="0" w:space="0" w:color="auto"/>
        <w:bottom w:val="none" w:sz="0" w:space="0" w:color="auto"/>
        <w:right w:val="none" w:sz="0" w:space="0" w:color="auto"/>
      </w:divBdr>
      <w:divsChild>
        <w:div w:id="291862592">
          <w:marLeft w:val="0"/>
          <w:marRight w:val="0"/>
          <w:marTop w:val="0"/>
          <w:marBottom w:val="0"/>
          <w:divBdr>
            <w:top w:val="none" w:sz="0" w:space="0" w:color="auto"/>
            <w:left w:val="none" w:sz="0" w:space="0" w:color="auto"/>
            <w:bottom w:val="none" w:sz="0" w:space="0" w:color="auto"/>
            <w:right w:val="none" w:sz="0" w:space="0" w:color="auto"/>
          </w:divBdr>
          <w:divsChild>
            <w:div w:id="1476140488">
              <w:marLeft w:val="0"/>
              <w:marRight w:val="0"/>
              <w:marTop w:val="0"/>
              <w:marBottom w:val="0"/>
              <w:divBdr>
                <w:top w:val="none" w:sz="0" w:space="0" w:color="auto"/>
                <w:left w:val="none" w:sz="0" w:space="0" w:color="auto"/>
                <w:bottom w:val="none" w:sz="0" w:space="0" w:color="auto"/>
                <w:right w:val="none" w:sz="0" w:space="0" w:color="auto"/>
              </w:divBdr>
              <w:divsChild>
                <w:div w:id="1190410056">
                  <w:marLeft w:val="0"/>
                  <w:marRight w:val="0"/>
                  <w:marTop w:val="0"/>
                  <w:marBottom w:val="0"/>
                  <w:divBdr>
                    <w:top w:val="none" w:sz="0" w:space="0" w:color="auto"/>
                    <w:left w:val="none" w:sz="0" w:space="0" w:color="auto"/>
                    <w:bottom w:val="none" w:sz="0" w:space="0" w:color="auto"/>
                    <w:right w:val="none" w:sz="0" w:space="0" w:color="auto"/>
                  </w:divBdr>
                  <w:divsChild>
                    <w:div w:id="1608199897">
                      <w:marLeft w:val="0"/>
                      <w:marRight w:val="0"/>
                      <w:marTop w:val="0"/>
                      <w:marBottom w:val="0"/>
                      <w:divBdr>
                        <w:top w:val="none" w:sz="0" w:space="0" w:color="auto"/>
                        <w:left w:val="none" w:sz="0" w:space="0" w:color="auto"/>
                        <w:bottom w:val="none" w:sz="0" w:space="0" w:color="auto"/>
                        <w:right w:val="none" w:sz="0" w:space="0" w:color="auto"/>
                      </w:divBdr>
                      <w:divsChild>
                        <w:div w:id="2007323166">
                          <w:marLeft w:val="0"/>
                          <w:marRight w:val="0"/>
                          <w:marTop w:val="0"/>
                          <w:marBottom w:val="0"/>
                          <w:divBdr>
                            <w:top w:val="none" w:sz="0" w:space="0" w:color="auto"/>
                            <w:left w:val="none" w:sz="0" w:space="0" w:color="auto"/>
                            <w:bottom w:val="none" w:sz="0" w:space="0" w:color="auto"/>
                            <w:right w:val="none" w:sz="0" w:space="0" w:color="auto"/>
                          </w:divBdr>
                          <w:divsChild>
                            <w:div w:id="1214196028">
                              <w:marLeft w:val="0"/>
                              <w:marRight w:val="0"/>
                              <w:marTop w:val="0"/>
                              <w:marBottom w:val="0"/>
                              <w:divBdr>
                                <w:top w:val="none" w:sz="0" w:space="0" w:color="auto"/>
                                <w:left w:val="none" w:sz="0" w:space="0" w:color="auto"/>
                                <w:bottom w:val="none" w:sz="0" w:space="0" w:color="auto"/>
                                <w:right w:val="none" w:sz="0" w:space="0" w:color="auto"/>
                              </w:divBdr>
                              <w:divsChild>
                                <w:div w:id="994408188">
                                  <w:marLeft w:val="0"/>
                                  <w:marRight w:val="0"/>
                                  <w:marTop w:val="0"/>
                                  <w:marBottom w:val="0"/>
                                  <w:divBdr>
                                    <w:top w:val="none" w:sz="0" w:space="0" w:color="auto"/>
                                    <w:left w:val="none" w:sz="0" w:space="0" w:color="auto"/>
                                    <w:bottom w:val="none" w:sz="0" w:space="0" w:color="auto"/>
                                    <w:right w:val="none" w:sz="0" w:space="0" w:color="auto"/>
                                  </w:divBdr>
                                  <w:divsChild>
                                    <w:div w:id="215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4062531">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36856562">
      <w:bodyDiv w:val="1"/>
      <w:marLeft w:val="0"/>
      <w:marRight w:val="0"/>
      <w:marTop w:val="0"/>
      <w:marBottom w:val="0"/>
      <w:divBdr>
        <w:top w:val="none" w:sz="0" w:space="0" w:color="auto"/>
        <w:left w:val="none" w:sz="0" w:space="0" w:color="auto"/>
        <w:bottom w:val="none" w:sz="0" w:space="0" w:color="auto"/>
        <w:right w:val="none" w:sz="0" w:space="0" w:color="auto"/>
      </w:divBdr>
    </w:div>
    <w:div w:id="1739590248">
      <w:bodyDiv w:val="1"/>
      <w:marLeft w:val="0"/>
      <w:marRight w:val="0"/>
      <w:marTop w:val="0"/>
      <w:marBottom w:val="0"/>
      <w:divBdr>
        <w:top w:val="none" w:sz="0" w:space="0" w:color="auto"/>
        <w:left w:val="none" w:sz="0" w:space="0" w:color="auto"/>
        <w:bottom w:val="none" w:sz="0" w:space="0" w:color="auto"/>
        <w:right w:val="none" w:sz="0" w:space="0" w:color="auto"/>
      </w:divBdr>
    </w:div>
    <w:div w:id="1740178478">
      <w:bodyDiv w:val="1"/>
      <w:marLeft w:val="0"/>
      <w:marRight w:val="0"/>
      <w:marTop w:val="0"/>
      <w:marBottom w:val="0"/>
      <w:divBdr>
        <w:top w:val="none" w:sz="0" w:space="0" w:color="auto"/>
        <w:left w:val="none" w:sz="0" w:space="0" w:color="auto"/>
        <w:bottom w:val="none" w:sz="0" w:space="0" w:color="auto"/>
        <w:right w:val="none" w:sz="0" w:space="0" w:color="auto"/>
      </w:divBdr>
    </w:div>
    <w:div w:id="1745757328">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56169291">
      <w:bodyDiv w:val="1"/>
      <w:marLeft w:val="0"/>
      <w:marRight w:val="0"/>
      <w:marTop w:val="0"/>
      <w:marBottom w:val="0"/>
      <w:divBdr>
        <w:top w:val="none" w:sz="0" w:space="0" w:color="auto"/>
        <w:left w:val="none" w:sz="0" w:space="0" w:color="auto"/>
        <w:bottom w:val="none" w:sz="0" w:space="0" w:color="auto"/>
        <w:right w:val="none" w:sz="0" w:space="0" w:color="auto"/>
      </w:divBdr>
    </w:div>
    <w:div w:id="1761220216">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73818403">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799882853">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14833339">
      <w:bodyDiv w:val="1"/>
      <w:marLeft w:val="0"/>
      <w:marRight w:val="0"/>
      <w:marTop w:val="0"/>
      <w:marBottom w:val="0"/>
      <w:divBdr>
        <w:top w:val="none" w:sz="0" w:space="0" w:color="auto"/>
        <w:left w:val="none" w:sz="0" w:space="0" w:color="auto"/>
        <w:bottom w:val="none" w:sz="0" w:space="0" w:color="auto"/>
        <w:right w:val="none" w:sz="0" w:space="0" w:color="auto"/>
      </w:divBdr>
    </w:div>
    <w:div w:id="1816143952">
      <w:bodyDiv w:val="1"/>
      <w:marLeft w:val="0"/>
      <w:marRight w:val="0"/>
      <w:marTop w:val="0"/>
      <w:marBottom w:val="0"/>
      <w:divBdr>
        <w:top w:val="none" w:sz="0" w:space="0" w:color="auto"/>
        <w:left w:val="none" w:sz="0" w:space="0" w:color="auto"/>
        <w:bottom w:val="none" w:sz="0" w:space="0" w:color="auto"/>
        <w:right w:val="none" w:sz="0" w:space="0" w:color="auto"/>
      </w:divBdr>
    </w:div>
    <w:div w:id="1823039664">
      <w:bodyDiv w:val="1"/>
      <w:marLeft w:val="0"/>
      <w:marRight w:val="0"/>
      <w:marTop w:val="0"/>
      <w:marBottom w:val="0"/>
      <w:divBdr>
        <w:top w:val="none" w:sz="0" w:space="0" w:color="auto"/>
        <w:left w:val="none" w:sz="0" w:space="0" w:color="auto"/>
        <w:bottom w:val="none" w:sz="0" w:space="0" w:color="auto"/>
        <w:right w:val="none" w:sz="0" w:space="0" w:color="auto"/>
      </w:divBdr>
    </w:div>
    <w:div w:id="1823932646">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563009">
      <w:bodyDiv w:val="1"/>
      <w:marLeft w:val="0"/>
      <w:marRight w:val="0"/>
      <w:marTop w:val="0"/>
      <w:marBottom w:val="0"/>
      <w:divBdr>
        <w:top w:val="none" w:sz="0" w:space="0" w:color="auto"/>
        <w:left w:val="none" w:sz="0" w:space="0" w:color="auto"/>
        <w:bottom w:val="none" w:sz="0" w:space="0" w:color="auto"/>
        <w:right w:val="none" w:sz="0" w:space="0" w:color="auto"/>
      </w:divBdr>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207772">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48012647">
      <w:bodyDiv w:val="1"/>
      <w:marLeft w:val="0"/>
      <w:marRight w:val="0"/>
      <w:marTop w:val="0"/>
      <w:marBottom w:val="0"/>
      <w:divBdr>
        <w:top w:val="none" w:sz="0" w:space="0" w:color="auto"/>
        <w:left w:val="none" w:sz="0" w:space="0" w:color="auto"/>
        <w:bottom w:val="none" w:sz="0" w:space="0" w:color="auto"/>
        <w:right w:val="none" w:sz="0" w:space="0" w:color="auto"/>
      </w:divBdr>
    </w:div>
    <w:div w:id="1850630931">
      <w:bodyDiv w:val="1"/>
      <w:marLeft w:val="0"/>
      <w:marRight w:val="0"/>
      <w:marTop w:val="0"/>
      <w:marBottom w:val="0"/>
      <w:divBdr>
        <w:top w:val="none" w:sz="0" w:space="0" w:color="auto"/>
        <w:left w:val="none" w:sz="0" w:space="0" w:color="auto"/>
        <w:bottom w:val="none" w:sz="0" w:space="0" w:color="auto"/>
        <w:right w:val="none" w:sz="0" w:space="0" w:color="auto"/>
      </w:divBdr>
    </w:div>
    <w:div w:id="1857965169">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6938039">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362672">
      <w:bodyDiv w:val="1"/>
      <w:marLeft w:val="0"/>
      <w:marRight w:val="0"/>
      <w:marTop w:val="0"/>
      <w:marBottom w:val="0"/>
      <w:divBdr>
        <w:top w:val="none" w:sz="0" w:space="0" w:color="auto"/>
        <w:left w:val="none" w:sz="0" w:space="0" w:color="auto"/>
        <w:bottom w:val="none" w:sz="0" w:space="0" w:color="auto"/>
        <w:right w:val="none" w:sz="0" w:space="0" w:color="auto"/>
      </w:divBdr>
      <w:divsChild>
        <w:div w:id="550577584">
          <w:marLeft w:val="0"/>
          <w:marRight w:val="0"/>
          <w:marTop w:val="0"/>
          <w:marBottom w:val="0"/>
          <w:divBdr>
            <w:top w:val="none" w:sz="0" w:space="0" w:color="auto"/>
            <w:left w:val="none" w:sz="0" w:space="0" w:color="auto"/>
            <w:bottom w:val="none" w:sz="0" w:space="0" w:color="auto"/>
            <w:right w:val="none" w:sz="0" w:space="0" w:color="auto"/>
          </w:divBdr>
          <w:divsChild>
            <w:div w:id="2132244856">
              <w:marLeft w:val="0"/>
              <w:marRight w:val="0"/>
              <w:marTop w:val="0"/>
              <w:marBottom w:val="0"/>
              <w:divBdr>
                <w:top w:val="none" w:sz="0" w:space="0" w:color="auto"/>
                <w:left w:val="none" w:sz="0" w:space="0" w:color="auto"/>
                <w:bottom w:val="none" w:sz="0" w:space="0" w:color="auto"/>
                <w:right w:val="none" w:sz="0" w:space="0" w:color="auto"/>
              </w:divBdr>
              <w:divsChild>
                <w:div w:id="498615517">
                  <w:marLeft w:val="0"/>
                  <w:marRight w:val="0"/>
                  <w:marTop w:val="0"/>
                  <w:marBottom w:val="0"/>
                  <w:divBdr>
                    <w:top w:val="none" w:sz="0" w:space="0" w:color="auto"/>
                    <w:left w:val="none" w:sz="0" w:space="0" w:color="auto"/>
                    <w:bottom w:val="none" w:sz="0" w:space="0" w:color="auto"/>
                    <w:right w:val="none" w:sz="0" w:space="0" w:color="auto"/>
                  </w:divBdr>
                  <w:divsChild>
                    <w:div w:id="1708335137">
                      <w:marLeft w:val="0"/>
                      <w:marRight w:val="0"/>
                      <w:marTop w:val="0"/>
                      <w:marBottom w:val="0"/>
                      <w:divBdr>
                        <w:top w:val="none" w:sz="0" w:space="0" w:color="auto"/>
                        <w:left w:val="none" w:sz="0" w:space="0" w:color="auto"/>
                        <w:bottom w:val="none" w:sz="0" w:space="0" w:color="auto"/>
                        <w:right w:val="none" w:sz="0" w:space="0" w:color="auto"/>
                      </w:divBdr>
                      <w:divsChild>
                        <w:div w:id="337385576">
                          <w:marLeft w:val="0"/>
                          <w:marRight w:val="0"/>
                          <w:marTop w:val="0"/>
                          <w:marBottom w:val="0"/>
                          <w:divBdr>
                            <w:top w:val="none" w:sz="0" w:space="0" w:color="auto"/>
                            <w:left w:val="none" w:sz="0" w:space="0" w:color="auto"/>
                            <w:bottom w:val="none" w:sz="0" w:space="0" w:color="auto"/>
                            <w:right w:val="none" w:sz="0" w:space="0" w:color="auto"/>
                          </w:divBdr>
                          <w:divsChild>
                            <w:div w:id="1464690739">
                              <w:marLeft w:val="0"/>
                              <w:marRight w:val="0"/>
                              <w:marTop w:val="0"/>
                              <w:marBottom w:val="0"/>
                              <w:divBdr>
                                <w:top w:val="none" w:sz="0" w:space="0" w:color="auto"/>
                                <w:left w:val="none" w:sz="0" w:space="0" w:color="auto"/>
                                <w:bottom w:val="none" w:sz="0" w:space="0" w:color="auto"/>
                                <w:right w:val="none" w:sz="0" w:space="0" w:color="auto"/>
                              </w:divBdr>
                              <w:divsChild>
                                <w:div w:id="508566716">
                                  <w:marLeft w:val="0"/>
                                  <w:marRight w:val="0"/>
                                  <w:marTop w:val="0"/>
                                  <w:marBottom w:val="0"/>
                                  <w:divBdr>
                                    <w:top w:val="none" w:sz="0" w:space="0" w:color="auto"/>
                                    <w:left w:val="none" w:sz="0" w:space="0" w:color="auto"/>
                                    <w:bottom w:val="none" w:sz="0" w:space="0" w:color="auto"/>
                                    <w:right w:val="none" w:sz="0" w:space="0" w:color="auto"/>
                                  </w:divBdr>
                                  <w:divsChild>
                                    <w:div w:id="12798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0261626">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1668632">
      <w:bodyDiv w:val="1"/>
      <w:marLeft w:val="0"/>
      <w:marRight w:val="0"/>
      <w:marTop w:val="0"/>
      <w:marBottom w:val="0"/>
      <w:divBdr>
        <w:top w:val="none" w:sz="0" w:space="0" w:color="auto"/>
        <w:left w:val="none" w:sz="0" w:space="0" w:color="auto"/>
        <w:bottom w:val="none" w:sz="0" w:space="0" w:color="auto"/>
        <w:right w:val="none" w:sz="0" w:space="0" w:color="auto"/>
      </w:divBdr>
    </w:div>
    <w:div w:id="190259468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0380048">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670650">
      <w:bodyDiv w:val="1"/>
      <w:marLeft w:val="0"/>
      <w:marRight w:val="0"/>
      <w:marTop w:val="0"/>
      <w:marBottom w:val="0"/>
      <w:divBdr>
        <w:top w:val="none" w:sz="0" w:space="0" w:color="auto"/>
        <w:left w:val="none" w:sz="0" w:space="0" w:color="auto"/>
        <w:bottom w:val="none" w:sz="0" w:space="0" w:color="auto"/>
        <w:right w:val="none" w:sz="0" w:space="0" w:color="auto"/>
      </w:divBdr>
      <w:divsChild>
        <w:div w:id="1407189999">
          <w:marLeft w:val="0"/>
          <w:marRight w:val="0"/>
          <w:marTop w:val="0"/>
          <w:marBottom w:val="0"/>
          <w:divBdr>
            <w:top w:val="none" w:sz="0" w:space="0" w:color="auto"/>
            <w:left w:val="none" w:sz="0" w:space="0" w:color="auto"/>
            <w:bottom w:val="none" w:sz="0" w:space="0" w:color="auto"/>
            <w:right w:val="none" w:sz="0" w:space="0" w:color="auto"/>
          </w:divBdr>
        </w:div>
      </w:divsChild>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2836292">
      <w:bodyDiv w:val="1"/>
      <w:marLeft w:val="0"/>
      <w:marRight w:val="0"/>
      <w:marTop w:val="0"/>
      <w:marBottom w:val="0"/>
      <w:divBdr>
        <w:top w:val="none" w:sz="0" w:space="0" w:color="auto"/>
        <w:left w:val="none" w:sz="0" w:space="0" w:color="auto"/>
        <w:bottom w:val="none" w:sz="0" w:space="0" w:color="auto"/>
        <w:right w:val="none" w:sz="0" w:space="0" w:color="auto"/>
      </w:divBdr>
      <w:divsChild>
        <w:div w:id="450788193">
          <w:marLeft w:val="0"/>
          <w:marRight w:val="0"/>
          <w:marTop w:val="0"/>
          <w:marBottom w:val="0"/>
          <w:divBdr>
            <w:top w:val="none" w:sz="0" w:space="0" w:color="auto"/>
            <w:left w:val="none" w:sz="0" w:space="0" w:color="auto"/>
            <w:bottom w:val="none" w:sz="0" w:space="0" w:color="auto"/>
            <w:right w:val="none" w:sz="0" w:space="0" w:color="auto"/>
          </w:divBdr>
          <w:divsChild>
            <w:div w:id="1115902128">
              <w:marLeft w:val="0"/>
              <w:marRight w:val="0"/>
              <w:marTop w:val="0"/>
              <w:marBottom w:val="0"/>
              <w:divBdr>
                <w:top w:val="none" w:sz="0" w:space="0" w:color="auto"/>
                <w:left w:val="none" w:sz="0" w:space="0" w:color="auto"/>
                <w:bottom w:val="none" w:sz="0" w:space="0" w:color="auto"/>
                <w:right w:val="none" w:sz="0" w:space="0" w:color="auto"/>
              </w:divBdr>
              <w:divsChild>
                <w:div w:id="2051228068">
                  <w:marLeft w:val="0"/>
                  <w:marRight w:val="0"/>
                  <w:marTop w:val="0"/>
                  <w:marBottom w:val="0"/>
                  <w:divBdr>
                    <w:top w:val="none" w:sz="0" w:space="0" w:color="auto"/>
                    <w:left w:val="none" w:sz="0" w:space="0" w:color="auto"/>
                    <w:bottom w:val="none" w:sz="0" w:space="0" w:color="auto"/>
                    <w:right w:val="none" w:sz="0" w:space="0" w:color="auto"/>
                  </w:divBdr>
                  <w:divsChild>
                    <w:div w:id="1183662898">
                      <w:marLeft w:val="0"/>
                      <w:marRight w:val="0"/>
                      <w:marTop w:val="0"/>
                      <w:marBottom w:val="0"/>
                      <w:divBdr>
                        <w:top w:val="none" w:sz="0" w:space="0" w:color="auto"/>
                        <w:left w:val="none" w:sz="0" w:space="0" w:color="auto"/>
                        <w:bottom w:val="none" w:sz="0" w:space="0" w:color="auto"/>
                        <w:right w:val="none" w:sz="0" w:space="0" w:color="auto"/>
                      </w:divBdr>
                      <w:divsChild>
                        <w:div w:id="1928927235">
                          <w:marLeft w:val="0"/>
                          <w:marRight w:val="0"/>
                          <w:marTop w:val="0"/>
                          <w:marBottom w:val="0"/>
                          <w:divBdr>
                            <w:top w:val="none" w:sz="0" w:space="0" w:color="auto"/>
                            <w:left w:val="none" w:sz="0" w:space="0" w:color="auto"/>
                            <w:bottom w:val="none" w:sz="0" w:space="0" w:color="auto"/>
                            <w:right w:val="none" w:sz="0" w:space="0" w:color="auto"/>
                          </w:divBdr>
                          <w:divsChild>
                            <w:div w:id="1423333141">
                              <w:marLeft w:val="0"/>
                              <w:marRight w:val="0"/>
                              <w:marTop w:val="0"/>
                              <w:marBottom w:val="0"/>
                              <w:divBdr>
                                <w:top w:val="none" w:sz="0" w:space="0" w:color="auto"/>
                                <w:left w:val="none" w:sz="0" w:space="0" w:color="auto"/>
                                <w:bottom w:val="none" w:sz="0" w:space="0" w:color="auto"/>
                                <w:right w:val="none" w:sz="0" w:space="0" w:color="auto"/>
                              </w:divBdr>
                              <w:divsChild>
                                <w:div w:id="1756588659">
                                  <w:marLeft w:val="0"/>
                                  <w:marRight w:val="0"/>
                                  <w:marTop w:val="0"/>
                                  <w:marBottom w:val="0"/>
                                  <w:divBdr>
                                    <w:top w:val="none" w:sz="0" w:space="0" w:color="auto"/>
                                    <w:left w:val="none" w:sz="0" w:space="0" w:color="auto"/>
                                    <w:bottom w:val="none" w:sz="0" w:space="0" w:color="auto"/>
                                    <w:right w:val="none" w:sz="0" w:space="0" w:color="auto"/>
                                  </w:divBdr>
                                  <w:divsChild>
                                    <w:div w:id="95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24884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8733757">
      <w:bodyDiv w:val="1"/>
      <w:marLeft w:val="0"/>
      <w:marRight w:val="0"/>
      <w:marTop w:val="0"/>
      <w:marBottom w:val="0"/>
      <w:divBdr>
        <w:top w:val="none" w:sz="0" w:space="0" w:color="auto"/>
        <w:left w:val="none" w:sz="0" w:space="0" w:color="auto"/>
        <w:bottom w:val="none" w:sz="0" w:space="0" w:color="auto"/>
        <w:right w:val="none" w:sz="0" w:space="0" w:color="auto"/>
      </w:divBdr>
    </w:div>
    <w:div w:id="1969162247">
      <w:bodyDiv w:val="1"/>
      <w:marLeft w:val="0"/>
      <w:marRight w:val="0"/>
      <w:marTop w:val="0"/>
      <w:marBottom w:val="0"/>
      <w:divBdr>
        <w:top w:val="none" w:sz="0" w:space="0" w:color="auto"/>
        <w:left w:val="none" w:sz="0" w:space="0" w:color="auto"/>
        <w:bottom w:val="none" w:sz="0" w:space="0" w:color="auto"/>
        <w:right w:val="none" w:sz="0" w:space="0" w:color="auto"/>
      </w:divBdr>
      <w:divsChild>
        <w:div w:id="651569571">
          <w:marLeft w:val="0"/>
          <w:marRight w:val="0"/>
          <w:marTop w:val="0"/>
          <w:marBottom w:val="0"/>
          <w:divBdr>
            <w:top w:val="none" w:sz="0" w:space="0" w:color="auto"/>
            <w:left w:val="none" w:sz="0" w:space="0" w:color="auto"/>
            <w:bottom w:val="none" w:sz="0" w:space="0" w:color="auto"/>
            <w:right w:val="none" w:sz="0" w:space="0" w:color="auto"/>
          </w:divBdr>
          <w:divsChild>
            <w:div w:id="2135638652">
              <w:marLeft w:val="0"/>
              <w:marRight w:val="0"/>
              <w:marTop w:val="0"/>
              <w:marBottom w:val="0"/>
              <w:divBdr>
                <w:top w:val="none" w:sz="0" w:space="0" w:color="auto"/>
                <w:left w:val="none" w:sz="0" w:space="0" w:color="auto"/>
                <w:bottom w:val="none" w:sz="0" w:space="0" w:color="auto"/>
                <w:right w:val="none" w:sz="0" w:space="0" w:color="auto"/>
              </w:divBdr>
              <w:divsChild>
                <w:div w:id="634064360">
                  <w:marLeft w:val="0"/>
                  <w:marRight w:val="0"/>
                  <w:marTop w:val="0"/>
                  <w:marBottom w:val="0"/>
                  <w:divBdr>
                    <w:top w:val="none" w:sz="0" w:space="0" w:color="auto"/>
                    <w:left w:val="none" w:sz="0" w:space="0" w:color="auto"/>
                    <w:bottom w:val="none" w:sz="0" w:space="0" w:color="auto"/>
                    <w:right w:val="none" w:sz="0" w:space="0" w:color="auto"/>
                  </w:divBdr>
                  <w:divsChild>
                    <w:div w:id="1659382024">
                      <w:marLeft w:val="0"/>
                      <w:marRight w:val="0"/>
                      <w:marTop w:val="0"/>
                      <w:marBottom w:val="0"/>
                      <w:divBdr>
                        <w:top w:val="none" w:sz="0" w:space="0" w:color="auto"/>
                        <w:left w:val="none" w:sz="0" w:space="0" w:color="auto"/>
                        <w:bottom w:val="none" w:sz="0" w:space="0" w:color="auto"/>
                        <w:right w:val="none" w:sz="0" w:space="0" w:color="auto"/>
                      </w:divBdr>
                      <w:divsChild>
                        <w:div w:id="557938015">
                          <w:marLeft w:val="0"/>
                          <w:marRight w:val="0"/>
                          <w:marTop w:val="0"/>
                          <w:marBottom w:val="0"/>
                          <w:divBdr>
                            <w:top w:val="none" w:sz="0" w:space="0" w:color="auto"/>
                            <w:left w:val="none" w:sz="0" w:space="0" w:color="auto"/>
                            <w:bottom w:val="none" w:sz="0" w:space="0" w:color="auto"/>
                            <w:right w:val="none" w:sz="0" w:space="0" w:color="auto"/>
                          </w:divBdr>
                          <w:divsChild>
                            <w:div w:id="1516729833">
                              <w:marLeft w:val="0"/>
                              <w:marRight w:val="0"/>
                              <w:marTop w:val="0"/>
                              <w:marBottom w:val="0"/>
                              <w:divBdr>
                                <w:top w:val="none" w:sz="0" w:space="0" w:color="auto"/>
                                <w:left w:val="none" w:sz="0" w:space="0" w:color="auto"/>
                                <w:bottom w:val="none" w:sz="0" w:space="0" w:color="auto"/>
                                <w:right w:val="none" w:sz="0" w:space="0" w:color="auto"/>
                              </w:divBdr>
                              <w:divsChild>
                                <w:div w:id="2105344426">
                                  <w:marLeft w:val="0"/>
                                  <w:marRight w:val="0"/>
                                  <w:marTop w:val="0"/>
                                  <w:marBottom w:val="0"/>
                                  <w:divBdr>
                                    <w:top w:val="none" w:sz="0" w:space="0" w:color="auto"/>
                                    <w:left w:val="none" w:sz="0" w:space="0" w:color="auto"/>
                                    <w:bottom w:val="none" w:sz="0" w:space="0" w:color="auto"/>
                                    <w:right w:val="none" w:sz="0" w:space="0" w:color="auto"/>
                                  </w:divBdr>
                                  <w:divsChild>
                                    <w:div w:id="9959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1999193059">
      <w:bodyDiv w:val="1"/>
      <w:marLeft w:val="0"/>
      <w:marRight w:val="0"/>
      <w:marTop w:val="0"/>
      <w:marBottom w:val="0"/>
      <w:divBdr>
        <w:top w:val="none" w:sz="0" w:space="0" w:color="auto"/>
        <w:left w:val="none" w:sz="0" w:space="0" w:color="auto"/>
        <w:bottom w:val="none" w:sz="0" w:space="0" w:color="auto"/>
        <w:right w:val="none" w:sz="0" w:space="0" w:color="auto"/>
      </w:divBdr>
    </w:div>
    <w:div w:id="2004164501">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51567660">
      <w:bodyDiv w:val="1"/>
      <w:marLeft w:val="0"/>
      <w:marRight w:val="0"/>
      <w:marTop w:val="0"/>
      <w:marBottom w:val="0"/>
      <w:divBdr>
        <w:top w:val="none" w:sz="0" w:space="0" w:color="auto"/>
        <w:left w:val="none" w:sz="0" w:space="0" w:color="auto"/>
        <w:bottom w:val="none" w:sz="0" w:space="0" w:color="auto"/>
        <w:right w:val="none" w:sz="0" w:space="0" w:color="auto"/>
      </w:divBdr>
    </w:div>
    <w:div w:id="2053846966">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525747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097752356">
      <w:bodyDiv w:val="1"/>
      <w:marLeft w:val="0"/>
      <w:marRight w:val="0"/>
      <w:marTop w:val="0"/>
      <w:marBottom w:val="0"/>
      <w:divBdr>
        <w:top w:val="none" w:sz="0" w:space="0" w:color="auto"/>
        <w:left w:val="none" w:sz="0" w:space="0" w:color="auto"/>
        <w:bottom w:val="none" w:sz="0" w:space="0" w:color="auto"/>
        <w:right w:val="none" w:sz="0" w:space="0" w:color="auto"/>
      </w:divBdr>
    </w:div>
    <w:div w:id="2099137459">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4762175">
      <w:bodyDiv w:val="1"/>
      <w:marLeft w:val="0"/>
      <w:marRight w:val="0"/>
      <w:marTop w:val="0"/>
      <w:marBottom w:val="0"/>
      <w:divBdr>
        <w:top w:val="none" w:sz="0" w:space="0" w:color="auto"/>
        <w:left w:val="none" w:sz="0" w:space="0" w:color="auto"/>
        <w:bottom w:val="none" w:sz="0" w:space="0" w:color="auto"/>
        <w:right w:val="none" w:sz="0" w:space="0" w:color="auto"/>
      </w:divBdr>
      <w:divsChild>
        <w:div w:id="1993100313">
          <w:marLeft w:val="0"/>
          <w:marRight w:val="0"/>
          <w:marTop w:val="0"/>
          <w:marBottom w:val="0"/>
          <w:divBdr>
            <w:top w:val="none" w:sz="0" w:space="0" w:color="auto"/>
            <w:left w:val="none" w:sz="0" w:space="0" w:color="auto"/>
            <w:bottom w:val="none" w:sz="0" w:space="0" w:color="auto"/>
            <w:right w:val="none" w:sz="0" w:space="0" w:color="auto"/>
          </w:divBdr>
          <w:divsChild>
            <w:div w:id="1749617741">
              <w:marLeft w:val="0"/>
              <w:marRight w:val="0"/>
              <w:marTop w:val="0"/>
              <w:marBottom w:val="0"/>
              <w:divBdr>
                <w:top w:val="none" w:sz="0" w:space="0" w:color="auto"/>
                <w:left w:val="none" w:sz="0" w:space="0" w:color="auto"/>
                <w:bottom w:val="none" w:sz="0" w:space="0" w:color="auto"/>
                <w:right w:val="none" w:sz="0" w:space="0" w:color="auto"/>
              </w:divBdr>
              <w:divsChild>
                <w:div w:id="577986222">
                  <w:marLeft w:val="0"/>
                  <w:marRight w:val="0"/>
                  <w:marTop w:val="0"/>
                  <w:marBottom w:val="0"/>
                  <w:divBdr>
                    <w:top w:val="none" w:sz="0" w:space="0" w:color="auto"/>
                    <w:left w:val="none" w:sz="0" w:space="0" w:color="auto"/>
                    <w:bottom w:val="none" w:sz="0" w:space="0" w:color="auto"/>
                    <w:right w:val="none" w:sz="0" w:space="0" w:color="auto"/>
                  </w:divBdr>
                  <w:divsChild>
                    <w:div w:id="1582644482">
                      <w:marLeft w:val="0"/>
                      <w:marRight w:val="0"/>
                      <w:marTop w:val="0"/>
                      <w:marBottom w:val="0"/>
                      <w:divBdr>
                        <w:top w:val="none" w:sz="0" w:space="0" w:color="auto"/>
                        <w:left w:val="none" w:sz="0" w:space="0" w:color="auto"/>
                        <w:bottom w:val="none" w:sz="0" w:space="0" w:color="auto"/>
                        <w:right w:val="none" w:sz="0" w:space="0" w:color="auto"/>
                      </w:divBdr>
                      <w:divsChild>
                        <w:div w:id="561330639">
                          <w:marLeft w:val="0"/>
                          <w:marRight w:val="0"/>
                          <w:marTop w:val="0"/>
                          <w:marBottom w:val="0"/>
                          <w:divBdr>
                            <w:top w:val="none" w:sz="0" w:space="0" w:color="auto"/>
                            <w:left w:val="none" w:sz="0" w:space="0" w:color="auto"/>
                            <w:bottom w:val="none" w:sz="0" w:space="0" w:color="auto"/>
                            <w:right w:val="none" w:sz="0" w:space="0" w:color="auto"/>
                          </w:divBdr>
                          <w:divsChild>
                            <w:div w:id="230820799">
                              <w:marLeft w:val="0"/>
                              <w:marRight w:val="0"/>
                              <w:marTop w:val="0"/>
                              <w:marBottom w:val="0"/>
                              <w:divBdr>
                                <w:top w:val="none" w:sz="0" w:space="0" w:color="auto"/>
                                <w:left w:val="none" w:sz="0" w:space="0" w:color="auto"/>
                                <w:bottom w:val="none" w:sz="0" w:space="0" w:color="auto"/>
                                <w:right w:val="none" w:sz="0" w:space="0" w:color="auto"/>
                              </w:divBdr>
                              <w:divsChild>
                                <w:div w:id="731544238">
                                  <w:marLeft w:val="0"/>
                                  <w:marRight w:val="0"/>
                                  <w:marTop w:val="0"/>
                                  <w:marBottom w:val="0"/>
                                  <w:divBdr>
                                    <w:top w:val="none" w:sz="0" w:space="0" w:color="auto"/>
                                    <w:left w:val="none" w:sz="0" w:space="0" w:color="auto"/>
                                    <w:bottom w:val="none" w:sz="0" w:space="0" w:color="auto"/>
                                    <w:right w:val="none" w:sz="0" w:space="0" w:color="auto"/>
                                  </w:divBdr>
                                  <w:divsChild>
                                    <w:div w:id="15568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E0927-7E23-4538-9585-977F68659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22099</Words>
  <Characters>125970</Characters>
  <Application>Microsoft Office Word</Application>
  <DocSecurity>0</DocSecurity>
  <Lines>1049</Lines>
  <Paragraphs>295</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147774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acer</cp:lastModifiedBy>
  <cp:revision>2</cp:revision>
  <dcterms:created xsi:type="dcterms:W3CDTF">2026-08-14T19:29:00Z</dcterms:created>
  <dcterms:modified xsi:type="dcterms:W3CDTF">2026-08-14T19:29:00Z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