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E383A" w14:textId="5B7EF388" w:rsidR="0076340C" w:rsidRPr="00802CE5" w:rsidRDefault="00CB12F4" w:rsidP="00802CE5">
      <w:pPr>
        <w:bidi/>
        <w:rPr>
          <w:rFonts w:ascii="Sakkal Majalla" w:hAnsi="Sakkal Majalla" w:cs="Sakkal Majalla"/>
          <w:sz w:val="32"/>
          <w:szCs w:val="28"/>
        </w:rPr>
      </w:pPr>
      <w:r w:rsidRPr="00F16EDF">
        <w:rPr>
          <w:rFonts w:ascii="Sakkal Majalla" w:hAnsi="Sakkal Majalla" w:cs="Sakkal Majalla"/>
          <w:b/>
          <w:noProof/>
          <w:color w:val="000000" w:themeColor="text1"/>
          <w:sz w:val="20"/>
        </w:rPr>
        <w:drawing>
          <wp:anchor distT="0" distB="0" distL="114300" distR="114300" simplePos="0" relativeHeight="251657216" behindDoc="0" locked="0" layoutInCell="1" allowOverlap="1" wp14:anchorId="7A897608" wp14:editId="35CBE9D2">
            <wp:simplePos x="0" y="0"/>
            <wp:positionH relativeFrom="margin">
              <wp:posOffset>-578126</wp:posOffset>
            </wp:positionH>
            <wp:positionV relativeFrom="margin">
              <wp:posOffset>-470231</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610084D" w14:textId="7E8550F0"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44"/>
          <w:szCs w:val="44"/>
        </w:rPr>
        <w:t>أطر أخلاقيات الذكاء الاصطناعي في معالجة البيانات الشخصية: تصميم إطار تقني لتعزيز حماية الخصوصية والحد من استغلال البيانات</w:t>
      </w:r>
    </w:p>
    <w:p w14:paraId="501B35EF" w14:textId="77777777" w:rsidR="0076340C" w:rsidRPr="00802CE5" w:rsidRDefault="0076340C" w:rsidP="00802CE5">
      <w:pPr>
        <w:bidi/>
        <w:rPr>
          <w:rFonts w:ascii="Sakkal Majalla" w:hAnsi="Sakkal Majalla" w:cs="Sakkal Majalla"/>
          <w:sz w:val="32"/>
          <w:szCs w:val="28"/>
        </w:rPr>
      </w:pPr>
    </w:p>
    <w:p w14:paraId="3EF0E1FF" w14:textId="77777777" w:rsidR="0076340C" w:rsidRPr="00802CE5" w:rsidRDefault="00000000" w:rsidP="00AC5EFE">
      <w:pPr>
        <w:bidi/>
        <w:spacing w:after="120" w:line="360" w:lineRule="auto"/>
        <w:jc w:val="right"/>
        <w:rPr>
          <w:rFonts w:ascii="Sakkal Majalla" w:hAnsi="Sakkal Majalla" w:cs="Sakkal Majalla"/>
          <w:sz w:val="32"/>
          <w:szCs w:val="28"/>
        </w:rPr>
      </w:pPr>
      <w:r w:rsidRPr="00802CE5">
        <w:rPr>
          <w:rFonts w:ascii="Sakkal Majalla" w:hAnsi="Sakkal Majalla" w:cs="Sakkal Majalla"/>
          <w:b/>
          <w:bCs/>
          <w:sz w:val="32"/>
          <w:szCs w:val="32"/>
        </w:rPr>
        <w:t>Frameworks of AI Ethics in Processing Personal Data: Designing a Technical Framework to Enhance Privacy Protection and Limit Data Exploitation</w:t>
      </w:r>
    </w:p>
    <w:p w14:paraId="3A1ADB1D" w14:textId="77777777" w:rsidR="0076340C" w:rsidRPr="00802CE5" w:rsidRDefault="0076340C" w:rsidP="00802CE5">
      <w:pPr>
        <w:bidi/>
        <w:rPr>
          <w:rFonts w:ascii="Sakkal Majalla" w:hAnsi="Sakkal Majalla" w:cs="Sakkal Majalla"/>
          <w:sz w:val="32"/>
          <w:szCs w:val="28"/>
        </w:rPr>
      </w:pPr>
    </w:p>
    <w:p w14:paraId="3354BB7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رسالة مقدمة لجامعة ميدأوشن لاستكمال متطلبات نيل درجة الدكتوراه في تقنية المعلومات</w:t>
      </w:r>
    </w:p>
    <w:p w14:paraId="54A83BC3" w14:textId="77777777" w:rsidR="0076340C" w:rsidRPr="00802CE5" w:rsidRDefault="00000000" w:rsidP="00AC5EFE">
      <w:pPr>
        <w:bidi/>
        <w:spacing w:after="120" w:line="360" w:lineRule="auto"/>
        <w:jc w:val="right"/>
        <w:rPr>
          <w:rFonts w:ascii="Sakkal Majalla" w:hAnsi="Sakkal Majalla" w:cs="Sakkal Majalla"/>
          <w:sz w:val="32"/>
          <w:szCs w:val="28"/>
        </w:rPr>
      </w:pPr>
      <w:r w:rsidRPr="00802CE5">
        <w:rPr>
          <w:rFonts w:ascii="Sakkal Majalla" w:hAnsi="Sakkal Majalla" w:cs="Sakkal Majalla"/>
          <w:sz w:val="28"/>
          <w:szCs w:val="28"/>
        </w:rPr>
        <w:t>Submitted to Midocean University in partial fulfillment of the requirements for the degree of Doctor of Philosophy</w:t>
      </w:r>
    </w:p>
    <w:p w14:paraId="550993E3" w14:textId="77777777" w:rsidR="0076340C" w:rsidRPr="00802CE5" w:rsidRDefault="0076340C" w:rsidP="00802CE5">
      <w:pPr>
        <w:bidi/>
        <w:rPr>
          <w:rFonts w:ascii="Sakkal Majalla" w:hAnsi="Sakkal Majalla" w:cs="Sakkal Majalla"/>
          <w:sz w:val="32"/>
          <w:szCs w:val="28"/>
        </w:rPr>
      </w:pPr>
    </w:p>
    <w:p w14:paraId="6B7B427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إعداد الباحث</w:t>
      </w:r>
    </w:p>
    <w:p w14:paraId="72B157E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6"/>
          <w:szCs w:val="36"/>
        </w:rPr>
        <w:t>خالد سعد السبيعي</w:t>
      </w:r>
    </w:p>
    <w:p w14:paraId="1886D54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الرقم الأكاديمي: 221002621</w:t>
      </w:r>
    </w:p>
    <w:p w14:paraId="07B09E7F" w14:textId="77777777" w:rsidR="0076340C" w:rsidRPr="00802CE5" w:rsidRDefault="0076340C" w:rsidP="00802CE5">
      <w:pPr>
        <w:bidi/>
        <w:rPr>
          <w:rFonts w:ascii="Sakkal Majalla" w:hAnsi="Sakkal Majalla" w:cs="Sakkal Majalla"/>
          <w:sz w:val="32"/>
          <w:szCs w:val="28"/>
        </w:rPr>
      </w:pPr>
    </w:p>
    <w:p w14:paraId="1DBD2D3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1447ه          -  2025 م</w:t>
      </w:r>
    </w:p>
    <w:p w14:paraId="3AE9F732" w14:textId="234C6644" w:rsidR="0076340C" w:rsidRPr="00AF5E97" w:rsidRDefault="00000000" w:rsidP="00AF5E97">
      <w:pPr>
        <w:bidi/>
        <w:rPr>
          <w:rFonts w:ascii="Sakkal Majalla" w:hAnsi="Sakkal Majalla" w:cs="Sakkal Majalla"/>
          <w:sz w:val="32"/>
          <w:szCs w:val="28"/>
        </w:rPr>
      </w:pPr>
      <w:r w:rsidRPr="00802CE5">
        <w:rPr>
          <w:rFonts w:ascii="Sakkal Majalla" w:hAnsi="Sakkal Majalla" w:cs="Sakkal Majalla"/>
          <w:sz w:val="32"/>
          <w:szCs w:val="28"/>
        </w:rPr>
        <w:br w:type="page"/>
      </w:r>
      <w:bookmarkStart w:id="0" w:name="_Toc234169626"/>
      <w:r w:rsidRPr="00802CE5">
        <w:rPr>
          <w:rFonts w:ascii="Sakkal Majalla" w:hAnsi="Sakkal Majalla" w:cs="Sakkal Majalla"/>
          <w:b/>
          <w:bCs/>
          <w:color w:val="000000"/>
          <w:sz w:val="40"/>
          <w:szCs w:val="40"/>
        </w:rPr>
        <w:lastRenderedPageBreak/>
        <w:t>المستخلص</w:t>
      </w:r>
      <w:bookmarkEnd w:id="0"/>
    </w:p>
    <w:p w14:paraId="3CBD1B1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هدفت هذه الدراسة إلى تحليل الأبعاد الأخلاقية لمعالجة البيانات الشخصية باستخدام تقنيات الذكاء الاصطناعي، والكشف عن مدى التوازن بين حماية الخصوصية واستغلال البيانات، وذلك انطلاقاً من إشكاليةٍ محورها الفجوة بين التطور المتسارع لتقنيات الذكاء الاصطناعي وقدرة الأطر الأخلاقية والتنظيمية على مواكبته. وتكمن أهمية الدراسة في جمعها بين التأصيل النظري للمبادئ الأخلاقية وتقديم أداة قياس تطبيقية تسدّ فجوةً بحثية في الأدبيات العربية.</w:t>
      </w:r>
    </w:p>
    <w:p w14:paraId="3DC5511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اعتمدت الدراسة على منهجية متعددة الأساليب (Mixed-Methods) تجمع بين المنهج الوصفي التحليلي، والمنهج المسحي عبر استبانة طُبّقت على عينة قوامها (150) مشاركاً بأسلوب العينة الطبقية العشوائية، والمقابلات شبه المهيكلة مع (10) خبراء، إضافةً إلى نموذج تقني تطبيقي (Prototype) بُني بلغة Python لقياس مؤشر الامتثال الأخلاقي (Ethical Compliance Index) عبر ثلاثة قطاعات. وعُولجت البيانات إحصائياً ببرنامج (SPSS).</w:t>
      </w:r>
    </w:p>
    <w:p w14:paraId="55C3E1D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توصلت الدراسة إلى قبول تسعٍ من فرضياتها العشر، في حين لم تتحقق الفرضية المتعلقة بترجمة الوعي إلى قدرةٍ فعلية على الحماية، اتساقاً مع «مفارقة الخصوصية»؛ إذ تبيّن وجود علاقة طردية بين تطور الذكاء الاصطناعي وتحديات الخصوصية، وعلاقة عكسية بين استغلال البيانات ومستوى حمايتها، مع اختلال التوازن لصالح الاستغلال، خصوصاً في القطاع التجاري (مؤشر امتثال 42.6)، مقابل تفوّق القطاع الحكومي (71.3). كما كشفت النتائج عن وعيٍ إجرائي متوسط لدى الأفراد، وتدنٍّ في الثقة بالأنظمة الذكية وفي شفافية ممارسات الشركات.</w:t>
      </w:r>
    </w:p>
    <w:p w14:paraId="56BC388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خلصت الدراسة إلى أن معالجة الإشكالية تتطلب تكاملاً بين البُعد التشريعي والتقني والتوعوي، وأوصت بتعزيز آليات إنفاذ التشريعات، وتبنّي التدقيق الأخلاقي المستقل للخوارزميات، واعتماد مؤشرات كمية لقياس الامتثال الأخلاقي بالبناء على نظام حماية البيانات الشخصية السعودي ومبادئ سدايا، بما يحقق توازناً بين المعايير العالمية والمتطلبات الوطنية.</w:t>
      </w:r>
    </w:p>
    <w:p w14:paraId="0DD1155F" w14:textId="77777777" w:rsidR="0076340C" w:rsidRPr="00802CE5" w:rsidRDefault="00000000" w:rsidP="00AF5E97">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الكلمات المفتاحية: أخلاقيات الذكاء الاصطناعي، معالجة البيانات الشخصية، حماية الخصوصية، استغلال البيانات، الشفافية الخوارزمية، مؤشر الامتثال الأخلاقي.</w:t>
      </w:r>
    </w:p>
    <w:p w14:paraId="292D82D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32"/>
          <w:szCs w:val="28"/>
        </w:rPr>
        <w:br w:type="page"/>
      </w:r>
    </w:p>
    <w:p w14:paraId="5200C406" w14:textId="77777777" w:rsidR="0076340C" w:rsidRPr="00802CE5" w:rsidRDefault="00000000" w:rsidP="00B774D8">
      <w:pPr>
        <w:pStyle w:val="Heading1"/>
        <w:spacing w:before="240" w:after="160"/>
        <w:rPr>
          <w:rFonts w:ascii="Sakkal Majalla" w:hAnsi="Sakkal Majalla" w:cs="Sakkal Majalla"/>
          <w:sz w:val="36"/>
          <w:szCs w:val="36"/>
        </w:rPr>
      </w:pPr>
      <w:bookmarkStart w:id="1" w:name="_Toc234169627"/>
      <w:r w:rsidRPr="00802CE5">
        <w:rPr>
          <w:rFonts w:ascii="Sakkal Majalla" w:hAnsi="Sakkal Majalla" w:cs="Sakkal Majalla"/>
          <w:color w:val="000000"/>
          <w:sz w:val="40"/>
          <w:szCs w:val="40"/>
        </w:rPr>
        <w:lastRenderedPageBreak/>
        <w:t>Abstract</w:t>
      </w:r>
      <w:bookmarkEnd w:id="1"/>
    </w:p>
    <w:p w14:paraId="026CFF30" w14:textId="77777777" w:rsidR="0076340C" w:rsidRPr="00802CE5" w:rsidRDefault="00000000" w:rsidP="00B774D8">
      <w:pPr>
        <w:spacing w:line="360" w:lineRule="auto"/>
        <w:rPr>
          <w:rFonts w:ascii="Sakkal Majalla" w:hAnsi="Sakkal Majalla" w:cs="Sakkal Majalla"/>
          <w:sz w:val="32"/>
          <w:szCs w:val="28"/>
        </w:rPr>
      </w:pPr>
      <w:r w:rsidRPr="00802CE5">
        <w:rPr>
          <w:rFonts w:ascii="Sakkal Majalla" w:hAnsi="Sakkal Majalla" w:cs="Sakkal Majalla"/>
          <w:sz w:val="32"/>
          <w:szCs w:val="28"/>
        </w:rPr>
        <w:t>This study aimed to analyze the ethical dimensions of processing personal data using artificial intelligence (AI) techniques, and to reveal the extent of balance between privacy protection and data exploitation. It stems from a core problem: the gap between the accelerating development of AI technologies and the ability of ethical and regulatory frameworks to keep pace with it. The significance of the study lies in combining the theoretical grounding of ethical principles with a practical measurement tool that fills a research gap in the Arabic literature.</w:t>
      </w:r>
    </w:p>
    <w:p w14:paraId="2A868238" w14:textId="77777777" w:rsidR="0076340C" w:rsidRPr="00802CE5" w:rsidRDefault="00000000" w:rsidP="00B774D8">
      <w:pPr>
        <w:spacing w:line="360" w:lineRule="auto"/>
        <w:rPr>
          <w:rFonts w:ascii="Sakkal Majalla" w:hAnsi="Sakkal Majalla" w:cs="Sakkal Majalla"/>
          <w:sz w:val="32"/>
          <w:szCs w:val="28"/>
        </w:rPr>
      </w:pPr>
      <w:r w:rsidRPr="00802CE5">
        <w:rPr>
          <w:rFonts w:ascii="Sakkal Majalla" w:hAnsi="Sakkal Majalla" w:cs="Sakkal Majalla"/>
          <w:sz w:val="32"/>
          <w:szCs w:val="28"/>
        </w:rPr>
        <w:t>The study adopted a Mixed-Methods approach combining a descriptive-analytical method, a survey administered to a sample of (150) participants using stratified random sampling, semi-structured interviews with (10) experts, and an applied technical prototype built in Python to measure an Ethical Compliance Index across three sectors. Data were statistically processed using SPSS.</w:t>
      </w:r>
    </w:p>
    <w:p w14:paraId="053E7784" w14:textId="77777777" w:rsidR="0076340C" w:rsidRPr="00802CE5" w:rsidRDefault="00000000" w:rsidP="00B774D8">
      <w:pPr>
        <w:spacing w:line="360" w:lineRule="auto"/>
        <w:rPr>
          <w:rFonts w:ascii="Sakkal Majalla" w:hAnsi="Sakkal Majalla" w:cs="Sakkal Majalla"/>
          <w:sz w:val="32"/>
          <w:szCs w:val="28"/>
        </w:rPr>
      </w:pPr>
      <w:r w:rsidRPr="00802CE5">
        <w:rPr>
          <w:rFonts w:ascii="Sakkal Majalla" w:hAnsi="Sakkal Majalla" w:cs="Sakkal Majalla"/>
          <w:sz w:val="32"/>
          <w:szCs w:val="28"/>
        </w:rPr>
        <w:t xml:space="preserve">The study supported nine of its ten hypotheses; the hypothesis linking awareness level to actual protective ability was not supported, consistent with the Privacy Paradox. It found a positive relationship between AI development and privacy challenges, and an inverse relationship between data exploitation and the level of protection, with the balance tilted toward exploitation—especially in the commercial sector (compliance </w:t>
      </w:r>
      <w:r w:rsidRPr="00802CE5">
        <w:rPr>
          <w:rFonts w:ascii="Sakkal Majalla" w:hAnsi="Sakkal Majalla" w:cs="Sakkal Majalla"/>
          <w:sz w:val="32"/>
          <w:szCs w:val="28"/>
        </w:rPr>
        <w:lastRenderedPageBreak/>
        <w:t>index 42.6) versus the government sector (71.3). Results also revealed moderate procedural awareness among individuals and low trust in intelligent systems and corporate transparency.</w:t>
      </w:r>
    </w:p>
    <w:p w14:paraId="487BACEA" w14:textId="77777777" w:rsidR="0076340C" w:rsidRPr="00802CE5" w:rsidRDefault="00000000" w:rsidP="00B774D8">
      <w:pPr>
        <w:spacing w:line="360" w:lineRule="auto"/>
        <w:rPr>
          <w:rFonts w:ascii="Sakkal Majalla" w:hAnsi="Sakkal Majalla" w:cs="Sakkal Majalla"/>
          <w:sz w:val="32"/>
          <w:szCs w:val="28"/>
        </w:rPr>
      </w:pPr>
      <w:r w:rsidRPr="00802CE5">
        <w:rPr>
          <w:rFonts w:ascii="Sakkal Majalla" w:hAnsi="Sakkal Majalla" w:cs="Sakkal Majalla"/>
          <w:sz w:val="32"/>
          <w:szCs w:val="28"/>
        </w:rPr>
        <w:t>The study concluded that addressing the problem requires integration of the legislative, technical, and awareness dimensions, and recommended strengthening enforcement mechanisms, adopting independent algorithmic ethical auditing, and using quantitative compliance indicators built upon the Saudi Personal Data Protection Law and SDAIA principles, achieving a balance between global standards and national requirements.</w:t>
      </w:r>
    </w:p>
    <w:p w14:paraId="4BA55C0F" w14:textId="77777777" w:rsidR="0076340C" w:rsidRPr="00802CE5" w:rsidRDefault="00000000" w:rsidP="00B774D8">
      <w:pPr>
        <w:spacing w:line="360" w:lineRule="auto"/>
        <w:rPr>
          <w:rFonts w:ascii="Sakkal Majalla" w:hAnsi="Sakkal Majalla" w:cs="Sakkal Majalla"/>
          <w:sz w:val="32"/>
          <w:szCs w:val="28"/>
        </w:rPr>
      </w:pPr>
      <w:r w:rsidRPr="00802CE5">
        <w:rPr>
          <w:rFonts w:ascii="Sakkal Majalla" w:hAnsi="Sakkal Majalla" w:cs="Sakkal Majalla"/>
          <w:b/>
          <w:sz w:val="32"/>
          <w:szCs w:val="28"/>
        </w:rPr>
        <w:t>Keywords: AI Ethics, Personal Data Processing, Privacy Protection, Data Exploitation, Algorithmic Transparency, Ethical Compliance Index.</w:t>
      </w:r>
    </w:p>
    <w:p w14:paraId="21C97721" w14:textId="77777777" w:rsidR="0076340C" w:rsidRPr="00802CE5" w:rsidRDefault="00000000" w:rsidP="00B774D8">
      <w:pPr>
        <w:rPr>
          <w:rFonts w:ascii="Sakkal Majalla" w:hAnsi="Sakkal Majalla" w:cs="Sakkal Majalla"/>
          <w:sz w:val="32"/>
          <w:szCs w:val="28"/>
        </w:rPr>
      </w:pPr>
      <w:r w:rsidRPr="00802CE5">
        <w:rPr>
          <w:rFonts w:ascii="Sakkal Majalla" w:hAnsi="Sakkal Majalla" w:cs="Sakkal Majalla"/>
          <w:sz w:val="32"/>
          <w:szCs w:val="28"/>
        </w:rPr>
        <w:br w:type="page"/>
      </w:r>
    </w:p>
    <w:p w14:paraId="48EBF1FF" w14:textId="77777777" w:rsidR="0076340C" w:rsidRPr="00802CE5" w:rsidRDefault="00000000" w:rsidP="00802CE5">
      <w:pPr>
        <w:pStyle w:val="Heading1"/>
        <w:bidi/>
        <w:spacing w:before="240" w:after="160"/>
        <w:rPr>
          <w:rFonts w:ascii="Sakkal Majalla" w:hAnsi="Sakkal Majalla" w:cs="Sakkal Majalla"/>
          <w:sz w:val="36"/>
          <w:szCs w:val="36"/>
        </w:rPr>
      </w:pPr>
      <w:bookmarkStart w:id="2" w:name="_Toc234169628"/>
      <w:r w:rsidRPr="00802CE5">
        <w:rPr>
          <w:rFonts w:ascii="Sakkal Majalla" w:hAnsi="Sakkal Majalla" w:cs="Sakkal Majalla"/>
          <w:color w:val="000000"/>
          <w:sz w:val="40"/>
          <w:szCs w:val="40"/>
        </w:rPr>
        <w:lastRenderedPageBreak/>
        <w:t>قائمة المحتويات</w:t>
      </w:r>
      <w:bookmarkEnd w:id="2"/>
    </w:p>
    <w:p w14:paraId="1CE6BFB7" w14:textId="09B97EF7" w:rsidR="00802CE5" w:rsidRPr="00802CE5" w:rsidRDefault="00000000" w:rsidP="00802CE5">
      <w:pPr>
        <w:pStyle w:val="TOC1"/>
        <w:tabs>
          <w:tab w:val="right" w:leader="dot" w:pos="8630"/>
        </w:tabs>
        <w:bidi/>
        <w:rPr>
          <w:rFonts w:ascii="Sakkal Majalla" w:hAnsi="Sakkal Majalla" w:cs="Sakkal Majalla"/>
          <w:noProof/>
          <w:sz w:val="32"/>
          <w:szCs w:val="28"/>
          <w:rtl/>
        </w:rPr>
      </w:pPr>
      <w:r w:rsidRPr="00802CE5">
        <w:rPr>
          <w:rFonts w:ascii="Sakkal Majalla" w:hAnsi="Sakkal Majalla" w:cs="Sakkal Majalla"/>
          <w:sz w:val="32"/>
          <w:szCs w:val="28"/>
        </w:rPr>
        <w:fldChar w:fldCharType="begin"/>
      </w:r>
      <w:r w:rsidRPr="00802CE5">
        <w:rPr>
          <w:rFonts w:ascii="Sakkal Majalla" w:hAnsi="Sakkal Majalla" w:cs="Sakkal Majalla"/>
          <w:sz w:val="32"/>
          <w:szCs w:val="28"/>
        </w:rPr>
        <w:instrText>TOC \o "1-2" \h \z \u</w:instrText>
      </w:r>
      <w:r w:rsidRPr="00802CE5">
        <w:rPr>
          <w:rFonts w:ascii="Sakkal Majalla" w:hAnsi="Sakkal Majalla" w:cs="Sakkal Majalla"/>
          <w:sz w:val="32"/>
          <w:szCs w:val="28"/>
        </w:rPr>
        <w:fldChar w:fldCharType="separate"/>
      </w:r>
      <w:hyperlink w:anchor="_Toc234169626" w:history="1">
        <w:r w:rsidR="00802CE5" w:rsidRPr="00802CE5">
          <w:rPr>
            <w:rStyle w:val="Hyperlink"/>
            <w:rFonts w:ascii="Sakkal Majalla" w:hAnsi="Sakkal Majalla" w:cs="Sakkal Majalla"/>
            <w:noProof/>
            <w:sz w:val="32"/>
            <w:szCs w:val="28"/>
          </w:rPr>
          <w:t>المستخلص</w:t>
        </w:r>
        <w:r w:rsidR="00802CE5" w:rsidRPr="00802CE5">
          <w:rPr>
            <w:rFonts w:ascii="Sakkal Majalla" w:hAnsi="Sakkal Majalla" w:cs="Sakkal Majalla"/>
            <w:noProof/>
            <w:webHidden/>
            <w:sz w:val="32"/>
            <w:szCs w:val="28"/>
            <w:rtl/>
          </w:rPr>
          <w:tab/>
        </w:r>
        <w:r w:rsidR="00802CE5" w:rsidRPr="00802CE5">
          <w:rPr>
            <w:rFonts w:ascii="Sakkal Majalla" w:hAnsi="Sakkal Majalla" w:cs="Sakkal Majalla"/>
            <w:noProof/>
            <w:webHidden/>
            <w:sz w:val="32"/>
            <w:szCs w:val="28"/>
            <w:rtl/>
          </w:rPr>
          <w:fldChar w:fldCharType="begin"/>
        </w:r>
        <w:r w:rsidR="00802CE5" w:rsidRPr="00802CE5">
          <w:rPr>
            <w:rFonts w:ascii="Sakkal Majalla" w:hAnsi="Sakkal Majalla" w:cs="Sakkal Majalla"/>
            <w:noProof/>
            <w:webHidden/>
            <w:sz w:val="32"/>
            <w:szCs w:val="28"/>
            <w:rtl/>
          </w:rPr>
          <w:instrText xml:space="preserve"> </w:instrText>
        </w:r>
        <w:r w:rsidR="00802CE5" w:rsidRPr="00802CE5">
          <w:rPr>
            <w:rFonts w:ascii="Sakkal Majalla" w:hAnsi="Sakkal Majalla" w:cs="Sakkal Majalla"/>
            <w:noProof/>
            <w:webHidden/>
            <w:sz w:val="32"/>
            <w:szCs w:val="28"/>
          </w:rPr>
          <w:instrText>PAGEREF</w:instrText>
        </w:r>
        <w:r w:rsidR="00802CE5" w:rsidRPr="00802CE5">
          <w:rPr>
            <w:rFonts w:ascii="Sakkal Majalla" w:hAnsi="Sakkal Majalla" w:cs="Sakkal Majalla"/>
            <w:noProof/>
            <w:webHidden/>
            <w:sz w:val="32"/>
            <w:szCs w:val="28"/>
            <w:rtl/>
          </w:rPr>
          <w:instrText xml:space="preserve"> _</w:instrText>
        </w:r>
        <w:r w:rsidR="00802CE5" w:rsidRPr="00802CE5">
          <w:rPr>
            <w:rFonts w:ascii="Sakkal Majalla" w:hAnsi="Sakkal Majalla" w:cs="Sakkal Majalla"/>
            <w:noProof/>
            <w:webHidden/>
            <w:sz w:val="32"/>
            <w:szCs w:val="28"/>
          </w:rPr>
          <w:instrText>Toc234169626 \h</w:instrText>
        </w:r>
        <w:r w:rsidR="00802CE5" w:rsidRPr="00802CE5">
          <w:rPr>
            <w:rFonts w:ascii="Sakkal Majalla" w:hAnsi="Sakkal Majalla" w:cs="Sakkal Majalla"/>
            <w:noProof/>
            <w:webHidden/>
            <w:sz w:val="32"/>
            <w:szCs w:val="28"/>
            <w:rtl/>
          </w:rPr>
          <w:instrText xml:space="preserve"> </w:instrText>
        </w:r>
        <w:r w:rsidR="00802CE5" w:rsidRPr="00802CE5">
          <w:rPr>
            <w:rFonts w:ascii="Sakkal Majalla" w:hAnsi="Sakkal Majalla" w:cs="Sakkal Majalla"/>
            <w:noProof/>
            <w:webHidden/>
            <w:sz w:val="32"/>
            <w:szCs w:val="28"/>
            <w:rtl/>
          </w:rPr>
        </w:r>
        <w:r w:rsidR="00802CE5" w:rsidRPr="00802CE5">
          <w:rPr>
            <w:rFonts w:ascii="Sakkal Majalla" w:hAnsi="Sakkal Majalla" w:cs="Sakkal Majalla"/>
            <w:noProof/>
            <w:webHidden/>
            <w:sz w:val="32"/>
            <w:szCs w:val="28"/>
            <w:rtl/>
          </w:rPr>
          <w:fldChar w:fldCharType="separate"/>
        </w:r>
        <w:r w:rsidR="00802CE5" w:rsidRPr="00802CE5">
          <w:rPr>
            <w:rFonts w:ascii="Sakkal Majalla" w:hAnsi="Sakkal Majalla" w:cs="Sakkal Majalla"/>
            <w:noProof/>
            <w:webHidden/>
            <w:sz w:val="32"/>
            <w:szCs w:val="28"/>
            <w:rtl/>
          </w:rPr>
          <w:t>3</w:t>
        </w:r>
        <w:r w:rsidR="00802CE5" w:rsidRPr="00802CE5">
          <w:rPr>
            <w:rFonts w:ascii="Sakkal Majalla" w:hAnsi="Sakkal Majalla" w:cs="Sakkal Majalla"/>
            <w:noProof/>
            <w:webHidden/>
            <w:sz w:val="32"/>
            <w:szCs w:val="28"/>
            <w:rtl/>
          </w:rPr>
          <w:fldChar w:fldCharType="end"/>
        </w:r>
      </w:hyperlink>
    </w:p>
    <w:p w14:paraId="5B559A55" w14:textId="74E10173"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27" w:history="1">
        <w:r w:rsidRPr="00802CE5">
          <w:rPr>
            <w:rStyle w:val="Hyperlink"/>
            <w:rFonts w:ascii="Sakkal Majalla" w:hAnsi="Sakkal Majalla" w:cs="Sakkal Majalla"/>
            <w:noProof/>
            <w:sz w:val="32"/>
            <w:szCs w:val="28"/>
          </w:rPr>
          <w:t>Abstract</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Toc234169627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w:t>
        </w:r>
        <w:r w:rsidRPr="00802CE5">
          <w:rPr>
            <w:rFonts w:ascii="Sakkal Majalla" w:hAnsi="Sakkal Majalla" w:cs="Sakkal Majalla"/>
            <w:noProof/>
            <w:webHidden/>
            <w:sz w:val="32"/>
            <w:szCs w:val="28"/>
            <w:rtl/>
          </w:rPr>
          <w:fldChar w:fldCharType="end"/>
        </w:r>
      </w:hyperlink>
    </w:p>
    <w:p w14:paraId="7E0E9A53" w14:textId="0F3D7636"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28" w:history="1">
        <w:r w:rsidRPr="00802CE5">
          <w:rPr>
            <w:rStyle w:val="Hyperlink"/>
            <w:rFonts w:ascii="Sakkal Majalla" w:hAnsi="Sakkal Majalla" w:cs="Sakkal Majalla"/>
            <w:noProof/>
            <w:sz w:val="32"/>
            <w:szCs w:val="28"/>
          </w:rPr>
          <w:t>قائمة المحتويات</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Toc234169628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5</w:t>
        </w:r>
        <w:r w:rsidRPr="00802CE5">
          <w:rPr>
            <w:rFonts w:ascii="Sakkal Majalla" w:hAnsi="Sakkal Majalla" w:cs="Sakkal Majalla"/>
            <w:noProof/>
            <w:webHidden/>
            <w:sz w:val="32"/>
            <w:szCs w:val="28"/>
            <w:rtl/>
          </w:rPr>
          <w:fldChar w:fldCharType="end"/>
        </w:r>
      </w:hyperlink>
    </w:p>
    <w:p w14:paraId="11434E21" w14:textId="6C5BAA24"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29" w:history="1">
        <w:r w:rsidRPr="00802CE5">
          <w:rPr>
            <w:rStyle w:val="Hyperlink"/>
            <w:rFonts w:ascii="Sakkal Majalla" w:hAnsi="Sakkal Majalla" w:cs="Sakkal Majalla"/>
            <w:noProof/>
            <w:sz w:val="32"/>
            <w:szCs w:val="28"/>
          </w:rPr>
          <w:t>الفصل الأول: الإطار المنهجي للدراسة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Toc234169629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7</w:t>
        </w:r>
        <w:r w:rsidRPr="00802CE5">
          <w:rPr>
            <w:rFonts w:ascii="Sakkal Majalla" w:hAnsi="Sakkal Majalla" w:cs="Sakkal Majalla"/>
            <w:noProof/>
            <w:webHidden/>
            <w:sz w:val="32"/>
            <w:szCs w:val="28"/>
            <w:rtl/>
          </w:rPr>
          <w:fldChar w:fldCharType="end"/>
        </w:r>
      </w:hyperlink>
    </w:p>
    <w:p w14:paraId="5E18F1B9" w14:textId="4289838A"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0" w:history="1">
        <w:r w:rsidRPr="00802CE5">
          <w:rPr>
            <w:rStyle w:val="Hyperlink"/>
            <w:rFonts w:ascii="Sakkal Majalla" w:hAnsi="Sakkal Majalla" w:cs="Sakkal Majalla"/>
            <w:noProof/>
            <w:sz w:val="32"/>
            <w:szCs w:val="28"/>
          </w:rPr>
          <w:t>مقدمة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Toc234169630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7</w:t>
        </w:r>
        <w:r w:rsidRPr="00802CE5">
          <w:rPr>
            <w:rFonts w:ascii="Sakkal Majalla" w:hAnsi="Sakkal Majalla" w:cs="Sakkal Majalla"/>
            <w:noProof/>
            <w:webHidden/>
            <w:sz w:val="32"/>
            <w:szCs w:val="28"/>
            <w:rtl/>
          </w:rPr>
          <w:fldChar w:fldCharType="end"/>
        </w:r>
      </w:hyperlink>
    </w:p>
    <w:p w14:paraId="7DFE26B6" w14:textId="7343CF2B"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1" w:history="1">
        <w:r w:rsidRPr="00802CE5">
          <w:rPr>
            <w:rStyle w:val="Hyperlink"/>
            <w:rFonts w:ascii="Sakkal Majalla" w:hAnsi="Sakkal Majalla" w:cs="Sakkal Majalla"/>
            <w:noProof/>
            <w:sz w:val="32"/>
            <w:szCs w:val="28"/>
          </w:rPr>
          <w:t>مشكلة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Toc234169631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8</w:t>
        </w:r>
        <w:r w:rsidRPr="00802CE5">
          <w:rPr>
            <w:rFonts w:ascii="Sakkal Majalla" w:hAnsi="Sakkal Majalla" w:cs="Sakkal Majalla"/>
            <w:noProof/>
            <w:webHidden/>
            <w:sz w:val="32"/>
            <w:szCs w:val="28"/>
            <w:rtl/>
          </w:rPr>
          <w:fldChar w:fldCharType="end"/>
        </w:r>
      </w:hyperlink>
    </w:p>
    <w:p w14:paraId="1A201286" w14:textId="50CBD5BF"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2" w:history="1">
        <w:r w:rsidRPr="00802CE5">
          <w:rPr>
            <w:rStyle w:val="Hyperlink"/>
            <w:rFonts w:ascii="Sakkal Majalla" w:hAnsi="Sakkal Majalla" w:cs="Sakkal Majalla"/>
            <w:noProof/>
            <w:sz w:val="32"/>
            <w:szCs w:val="28"/>
          </w:rPr>
          <w:t>أسئلة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Toc234169632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8</w:t>
        </w:r>
        <w:r w:rsidRPr="00802CE5">
          <w:rPr>
            <w:rFonts w:ascii="Sakkal Majalla" w:hAnsi="Sakkal Majalla" w:cs="Sakkal Majalla"/>
            <w:noProof/>
            <w:webHidden/>
            <w:sz w:val="32"/>
            <w:szCs w:val="28"/>
            <w:rtl/>
          </w:rPr>
          <w:fldChar w:fldCharType="end"/>
        </w:r>
      </w:hyperlink>
    </w:p>
    <w:p w14:paraId="5B7362A3" w14:textId="7A02C23F"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3" w:history="1">
        <w:r w:rsidRPr="00802CE5">
          <w:rPr>
            <w:rStyle w:val="Hyperlink"/>
            <w:rFonts w:ascii="Sakkal Majalla" w:hAnsi="Sakkal Majalla" w:cs="Sakkal Majalla"/>
            <w:noProof/>
            <w:sz w:val="32"/>
            <w:szCs w:val="28"/>
          </w:rPr>
          <w:t>أهمية الدراسة (النظرية والتطبيقية)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Toc234169633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9</w:t>
        </w:r>
        <w:r w:rsidRPr="00802CE5">
          <w:rPr>
            <w:rFonts w:ascii="Sakkal Majalla" w:hAnsi="Sakkal Majalla" w:cs="Sakkal Majalla"/>
            <w:noProof/>
            <w:webHidden/>
            <w:sz w:val="32"/>
            <w:szCs w:val="28"/>
            <w:rtl/>
          </w:rPr>
          <w:fldChar w:fldCharType="end"/>
        </w:r>
      </w:hyperlink>
    </w:p>
    <w:p w14:paraId="749BFDC0" w14:textId="583C9BBA"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4" w:history="1">
        <w:r w:rsidRPr="00802CE5">
          <w:rPr>
            <w:rStyle w:val="Hyperlink"/>
            <w:rFonts w:ascii="Sakkal Majalla" w:hAnsi="Sakkal Majalla" w:cs="Sakkal Majalla"/>
            <w:noProof/>
            <w:sz w:val="32"/>
            <w:szCs w:val="28"/>
          </w:rPr>
          <w:t>أهداف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Toc234169634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11</w:t>
        </w:r>
        <w:r w:rsidRPr="00802CE5">
          <w:rPr>
            <w:rFonts w:ascii="Sakkal Majalla" w:hAnsi="Sakkal Majalla" w:cs="Sakkal Majalla"/>
            <w:noProof/>
            <w:webHidden/>
            <w:sz w:val="32"/>
            <w:szCs w:val="28"/>
            <w:rtl/>
          </w:rPr>
          <w:fldChar w:fldCharType="end"/>
        </w:r>
      </w:hyperlink>
    </w:p>
    <w:p w14:paraId="1F62963A" w14:textId="324AF452"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5" w:history="1">
        <w:r w:rsidRPr="00802CE5">
          <w:rPr>
            <w:rStyle w:val="Hyperlink"/>
            <w:rFonts w:ascii="Sakkal Majalla" w:hAnsi="Sakkal Majalla" w:cs="Sakkal Majalla"/>
            <w:noProof/>
            <w:sz w:val="32"/>
            <w:szCs w:val="28"/>
          </w:rPr>
          <w:t>فرضيات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Toc234169635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11</w:t>
        </w:r>
        <w:r w:rsidRPr="00802CE5">
          <w:rPr>
            <w:rFonts w:ascii="Sakkal Majalla" w:hAnsi="Sakkal Majalla" w:cs="Sakkal Majalla"/>
            <w:noProof/>
            <w:webHidden/>
            <w:sz w:val="32"/>
            <w:szCs w:val="28"/>
            <w:rtl/>
          </w:rPr>
          <w:fldChar w:fldCharType="end"/>
        </w:r>
      </w:hyperlink>
    </w:p>
    <w:p w14:paraId="242A0311" w14:textId="0E6A922C"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6" w:history="1">
        <w:r w:rsidRPr="00802CE5">
          <w:rPr>
            <w:rStyle w:val="Hyperlink"/>
            <w:rFonts w:ascii="Sakkal Majalla" w:hAnsi="Sakkal Majalla" w:cs="Sakkal Majalla"/>
            <w:noProof/>
            <w:sz w:val="32"/>
            <w:szCs w:val="28"/>
          </w:rPr>
          <w:t>حدود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Toc234169636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12</w:t>
        </w:r>
        <w:r w:rsidRPr="00802CE5">
          <w:rPr>
            <w:rFonts w:ascii="Sakkal Majalla" w:hAnsi="Sakkal Majalla" w:cs="Sakkal Majalla"/>
            <w:noProof/>
            <w:webHidden/>
            <w:sz w:val="32"/>
            <w:szCs w:val="28"/>
            <w:rtl/>
          </w:rPr>
          <w:fldChar w:fldCharType="end"/>
        </w:r>
      </w:hyperlink>
    </w:p>
    <w:p w14:paraId="7AC46E67" w14:textId="3AE7967B"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7" w:history="1">
        <w:r w:rsidRPr="00802CE5">
          <w:rPr>
            <w:rStyle w:val="Hyperlink"/>
            <w:rFonts w:ascii="Sakkal Majalla" w:hAnsi="Sakkal Majalla" w:cs="Sakkal Majalla"/>
            <w:noProof/>
            <w:sz w:val="32"/>
            <w:szCs w:val="28"/>
          </w:rPr>
          <w:t>مصطلحات الدراسة وتعريفاتها الإجرائية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Toc234169637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13</w:t>
        </w:r>
        <w:r w:rsidRPr="00802CE5">
          <w:rPr>
            <w:rFonts w:ascii="Sakkal Majalla" w:hAnsi="Sakkal Majalla" w:cs="Sakkal Majalla"/>
            <w:noProof/>
            <w:webHidden/>
            <w:sz w:val="32"/>
            <w:szCs w:val="28"/>
            <w:rtl/>
          </w:rPr>
          <w:fldChar w:fldCharType="end"/>
        </w:r>
      </w:hyperlink>
    </w:p>
    <w:p w14:paraId="5CCC4D58" w14:textId="3EF8B648"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38" w:history="1">
        <w:r w:rsidRPr="00802CE5">
          <w:rPr>
            <w:rStyle w:val="Hyperlink"/>
            <w:rFonts w:ascii="Sakkal Majalla" w:hAnsi="Sakkal Majalla" w:cs="Sakkal Majalla"/>
            <w:noProof/>
            <w:sz w:val="32"/>
            <w:szCs w:val="28"/>
          </w:rPr>
          <w:t>نموذج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Toc234169638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15</w:t>
        </w:r>
        <w:r w:rsidRPr="00802CE5">
          <w:rPr>
            <w:rFonts w:ascii="Sakkal Majalla" w:hAnsi="Sakkal Majalla" w:cs="Sakkal Majalla"/>
            <w:noProof/>
            <w:webHidden/>
            <w:sz w:val="32"/>
            <w:szCs w:val="28"/>
            <w:rtl/>
          </w:rPr>
          <w:fldChar w:fldCharType="end"/>
        </w:r>
      </w:hyperlink>
    </w:p>
    <w:p w14:paraId="24C00069" w14:textId="50049546"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39" w:history="1">
        <w:r w:rsidRPr="00802CE5">
          <w:rPr>
            <w:rStyle w:val="Hyperlink"/>
            <w:rFonts w:ascii="Sakkal Majalla" w:hAnsi="Sakkal Majalla" w:cs="Sakkal Majalla"/>
            <w:noProof/>
            <w:sz w:val="32"/>
            <w:szCs w:val="28"/>
          </w:rPr>
          <w:t>الفصل الثاني: الإطار النظري والدراسات السابقة (مراجعة الأدبيات ذات العلاقة)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Toc234169639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17</w:t>
        </w:r>
        <w:r w:rsidRPr="00802CE5">
          <w:rPr>
            <w:rFonts w:ascii="Sakkal Majalla" w:hAnsi="Sakkal Majalla" w:cs="Sakkal Majalla"/>
            <w:noProof/>
            <w:webHidden/>
            <w:sz w:val="32"/>
            <w:szCs w:val="28"/>
            <w:rtl/>
          </w:rPr>
          <w:fldChar w:fldCharType="end"/>
        </w:r>
      </w:hyperlink>
    </w:p>
    <w:p w14:paraId="74DC9502" w14:textId="482D16B9"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0" w:history="1">
        <w:r w:rsidRPr="00802CE5">
          <w:rPr>
            <w:rStyle w:val="Hyperlink"/>
            <w:rFonts w:ascii="Sakkal Majalla" w:hAnsi="Sakkal Majalla" w:cs="Sakkal Majalla"/>
            <w:noProof/>
            <w:sz w:val="32"/>
            <w:szCs w:val="28"/>
          </w:rPr>
          <w:t>أولاً: الإطار النظري</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Toc234169640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17</w:t>
        </w:r>
        <w:r w:rsidRPr="00802CE5">
          <w:rPr>
            <w:rFonts w:ascii="Sakkal Majalla" w:hAnsi="Sakkal Majalla" w:cs="Sakkal Majalla"/>
            <w:noProof/>
            <w:webHidden/>
            <w:sz w:val="32"/>
            <w:szCs w:val="28"/>
            <w:rtl/>
          </w:rPr>
          <w:fldChar w:fldCharType="end"/>
        </w:r>
      </w:hyperlink>
    </w:p>
    <w:p w14:paraId="4D4D57E6" w14:textId="5EB23A7A"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1" w:history="1">
        <w:r w:rsidRPr="00802CE5">
          <w:rPr>
            <w:rStyle w:val="Hyperlink"/>
            <w:rFonts w:ascii="Sakkal Majalla" w:hAnsi="Sakkal Majalla" w:cs="Sakkal Majalla"/>
            <w:noProof/>
            <w:sz w:val="32"/>
            <w:szCs w:val="28"/>
          </w:rPr>
          <w:t>ثانياً: الدراسات السابقة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Toc234169641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19</w:t>
        </w:r>
        <w:r w:rsidRPr="00802CE5">
          <w:rPr>
            <w:rFonts w:ascii="Sakkal Majalla" w:hAnsi="Sakkal Majalla" w:cs="Sakkal Majalla"/>
            <w:noProof/>
            <w:webHidden/>
            <w:sz w:val="32"/>
            <w:szCs w:val="28"/>
            <w:rtl/>
          </w:rPr>
          <w:fldChar w:fldCharType="end"/>
        </w:r>
      </w:hyperlink>
    </w:p>
    <w:p w14:paraId="2B31FB3B" w14:textId="4A8E8ACA"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2" w:history="1">
        <w:r w:rsidRPr="00802CE5">
          <w:rPr>
            <w:rStyle w:val="Hyperlink"/>
            <w:rFonts w:ascii="Sakkal Majalla" w:hAnsi="Sakkal Majalla" w:cs="Sakkal Majalla"/>
            <w:noProof/>
            <w:sz w:val="32"/>
            <w:szCs w:val="28"/>
          </w:rPr>
          <w:t>التعقيب على الدراسات السابقة والفجوة البحثية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Toc234169642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21</w:t>
        </w:r>
        <w:r w:rsidRPr="00802CE5">
          <w:rPr>
            <w:rFonts w:ascii="Sakkal Majalla" w:hAnsi="Sakkal Majalla" w:cs="Sakkal Majalla"/>
            <w:noProof/>
            <w:webHidden/>
            <w:sz w:val="32"/>
            <w:szCs w:val="28"/>
            <w:rtl/>
          </w:rPr>
          <w:fldChar w:fldCharType="end"/>
        </w:r>
      </w:hyperlink>
    </w:p>
    <w:p w14:paraId="377FD6C2" w14:textId="1B798124"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43" w:history="1">
        <w:r w:rsidRPr="00802CE5">
          <w:rPr>
            <w:rStyle w:val="Hyperlink"/>
            <w:rFonts w:ascii="Sakkal Majalla" w:hAnsi="Sakkal Majalla" w:cs="Sakkal Majalla"/>
            <w:noProof/>
            <w:sz w:val="32"/>
            <w:szCs w:val="28"/>
          </w:rPr>
          <w:t>الفصل الثالث: الطريقة والإجراءات (منهجية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Toc234169643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23</w:t>
        </w:r>
        <w:r w:rsidRPr="00802CE5">
          <w:rPr>
            <w:rFonts w:ascii="Sakkal Majalla" w:hAnsi="Sakkal Majalla" w:cs="Sakkal Majalla"/>
            <w:noProof/>
            <w:webHidden/>
            <w:sz w:val="32"/>
            <w:szCs w:val="28"/>
            <w:rtl/>
          </w:rPr>
          <w:fldChar w:fldCharType="end"/>
        </w:r>
      </w:hyperlink>
    </w:p>
    <w:p w14:paraId="3E5E9F87" w14:textId="28663D8D"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4" w:history="1">
        <w:r w:rsidRPr="00802CE5">
          <w:rPr>
            <w:rStyle w:val="Hyperlink"/>
            <w:rFonts w:ascii="Sakkal Majalla" w:hAnsi="Sakkal Majalla" w:cs="Sakkal Majalla"/>
            <w:noProof/>
            <w:sz w:val="32"/>
            <w:szCs w:val="28"/>
          </w:rPr>
          <w:t>منهج البحث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Toc234169644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23</w:t>
        </w:r>
        <w:r w:rsidRPr="00802CE5">
          <w:rPr>
            <w:rFonts w:ascii="Sakkal Majalla" w:hAnsi="Sakkal Majalla" w:cs="Sakkal Majalla"/>
            <w:noProof/>
            <w:webHidden/>
            <w:sz w:val="32"/>
            <w:szCs w:val="28"/>
            <w:rtl/>
          </w:rPr>
          <w:fldChar w:fldCharType="end"/>
        </w:r>
      </w:hyperlink>
    </w:p>
    <w:p w14:paraId="4F1AC9B8" w14:textId="33078464"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5" w:history="1">
        <w:r w:rsidRPr="00802CE5">
          <w:rPr>
            <w:rStyle w:val="Hyperlink"/>
            <w:rFonts w:ascii="Sakkal Majalla" w:hAnsi="Sakkal Majalla" w:cs="Sakkal Majalla"/>
            <w:noProof/>
            <w:sz w:val="32"/>
            <w:szCs w:val="28"/>
          </w:rPr>
          <w:t>مجتمع البحث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Toc234169645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25</w:t>
        </w:r>
        <w:r w:rsidRPr="00802CE5">
          <w:rPr>
            <w:rFonts w:ascii="Sakkal Majalla" w:hAnsi="Sakkal Majalla" w:cs="Sakkal Majalla"/>
            <w:noProof/>
            <w:webHidden/>
            <w:sz w:val="32"/>
            <w:szCs w:val="28"/>
            <w:rtl/>
          </w:rPr>
          <w:fldChar w:fldCharType="end"/>
        </w:r>
      </w:hyperlink>
    </w:p>
    <w:p w14:paraId="51B98337" w14:textId="2B0A5670"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6" w:history="1">
        <w:r w:rsidRPr="00802CE5">
          <w:rPr>
            <w:rStyle w:val="Hyperlink"/>
            <w:rFonts w:ascii="Sakkal Majalla" w:hAnsi="Sakkal Majalla" w:cs="Sakkal Majalla"/>
            <w:noProof/>
            <w:sz w:val="32"/>
            <w:szCs w:val="28"/>
          </w:rPr>
          <w:t>عينة البحث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Toc234169646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26</w:t>
        </w:r>
        <w:r w:rsidRPr="00802CE5">
          <w:rPr>
            <w:rFonts w:ascii="Sakkal Majalla" w:hAnsi="Sakkal Majalla" w:cs="Sakkal Majalla"/>
            <w:noProof/>
            <w:webHidden/>
            <w:sz w:val="32"/>
            <w:szCs w:val="28"/>
            <w:rtl/>
          </w:rPr>
          <w:fldChar w:fldCharType="end"/>
        </w:r>
      </w:hyperlink>
    </w:p>
    <w:p w14:paraId="54EBB9FC" w14:textId="7072B963"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7" w:history="1">
        <w:r w:rsidRPr="00802CE5">
          <w:rPr>
            <w:rStyle w:val="Hyperlink"/>
            <w:rFonts w:ascii="Sakkal Majalla" w:hAnsi="Sakkal Majalla" w:cs="Sakkal Majalla"/>
            <w:noProof/>
            <w:sz w:val="32"/>
            <w:szCs w:val="28"/>
          </w:rPr>
          <w:t>تحديد أدوات البحث وخطوات بنائها</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Toc234169647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27</w:t>
        </w:r>
        <w:r w:rsidRPr="00802CE5">
          <w:rPr>
            <w:rFonts w:ascii="Sakkal Majalla" w:hAnsi="Sakkal Majalla" w:cs="Sakkal Majalla"/>
            <w:noProof/>
            <w:webHidden/>
            <w:sz w:val="32"/>
            <w:szCs w:val="28"/>
            <w:rtl/>
          </w:rPr>
          <w:fldChar w:fldCharType="end"/>
        </w:r>
      </w:hyperlink>
    </w:p>
    <w:p w14:paraId="724ACCB0" w14:textId="16D36272"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8" w:history="1">
        <w:r w:rsidRPr="00802CE5">
          <w:rPr>
            <w:rStyle w:val="Hyperlink"/>
            <w:rFonts w:ascii="Sakkal Majalla" w:hAnsi="Sakkal Majalla" w:cs="Sakkal Majalla"/>
            <w:noProof/>
            <w:sz w:val="32"/>
            <w:szCs w:val="28"/>
          </w:rPr>
          <w:t>مكونات أداة البحث (الاستبانة)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Toc234169648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28</w:t>
        </w:r>
        <w:r w:rsidRPr="00802CE5">
          <w:rPr>
            <w:rFonts w:ascii="Sakkal Majalla" w:hAnsi="Sakkal Majalla" w:cs="Sakkal Majalla"/>
            <w:noProof/>
            <w:webHidden/>
            <w:sz w:val="32"/>
            <w:szCs w:val="28"/>
            <w:rtl/>
          </w:rPr>
          <w:fldChar w:fldCharType="end"/>
        </w:r>
      </w:hyperlink>
    </w:p>
    <w:p w14:paraId="3A9B7B77" w14:textId="78EEA2E9"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49" w:history="1">
        <w:r w:rsidRPr="00802CE5">
          <w:rPr>
            <w:rStyle w:val="Hyperlink"/>
            <w:rFonts w:ascii="Sakkal Majalla" w:hAnsi="Sakkal Majalla" w:cs="Sakkal Majalla"/>
            <w:noProof/>
            <w:sz w:val="32"/>
            <w:szCs w:val="28"/>
          </w:rPr>
          <w:t>تصحيح أداة البحث (الاستبانة)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Toc234169649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29</w:t>
        </w:r>
        <w:r w:rsidRPr="00802CE5">
          <w:rPr>
            <w:rFonts w:ascii="Sakkal Majalla" w:hAnsi="Sakkal Majalla" w:cs="Sakkal Majalla"/>
            <w:noProof/>
            <w:webHidden/>
            <w:sz w:val="32"/>
            <w:szCs w:val="28"/>
            <w:rtl/>
          </w:rPr>
          <w:fldChar w:fldCharType="end"/>
        </w:r>
      </w:hyperlink>
    </w:p>
    <w:p w14:paraId="79DC6410" w14:textId="190336AA"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0" w:history="1">
        <w:r w:rsidRPr="00802CE5">
          <w:rPr>
            <w:rStyle w:val="Hyperlink"/>
            <w:rFonts w:ascii="Sakkal Majalla" w:hAnsi="Sakkal Majalla" w:cs="Sakkal Majalla"/>
            <w:noProof/>
            <w:sz w:val="32"/>
            <w:szCs w:val="28"/>
          </w:rPr>
          <w:t>صدق وثبات أداة البحث (الاستبانة)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Toc234169650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30</w:t>
        </w:r>
        <w:r w:rsidRPr="00802CE5">
          <w:rPr>
            <w:rFonts w:ascii="Sakkal Majalla" w:hAnsi="Sakkal Majalla" w:cs="Sakkal Majalla"/>
            <w:noProof/>
            <w:webHidden/>
            <w:sz w:val="32"/>
            <w:szCs w:val="28"/>
            <w:rtl/>
          </w:rPr>
          <w:fldChar w:fldCharType="end"/>
        </w:r>
      </w:hyperlink>
    </w:p>
    <w:p w14:paraId="16F79FDE" w14:textId="72A324D3"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1" w:history="1">
        <w:r w:rsidRPr="00802CE5">
          <w:rPr>
            <w:rStyle w:val="Hyperlink"/>
            <w:rFonts w:ascii="Sakkal Majalla" w:hAnsi="Sakkal Majalla" w:cs="Sakkal Majalla"/>
            <w:noProof/>
            <w:sz w:val="32"/>
            <w:szCs w:val="28"/>
          </w:rPr>
          <w:t>التوزيع الطبيعي لمتغيرات البحث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Toc234169651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31</w:t>
        </w:r>
        <w:r w:rsidRPr="00802CE5">
          <w:rPr>
            <w:rFonts w:ascii="Sakkal Majalla" w:hAnsi="Sakkal Majalla" w:cs="Sakkal Majalla"/>
            <w:noProof/>
            <w:webHidden/>
            <w:sz w:val="32"/>
            <w:szCs w:val="28"/>
            <w:rtl/>
          </w:rPr>
          <w:fldChar w:fldCharType="end"/>
        </w:r>
      </w:hyperlink>
    </w:p>
    <w:p w14:paraId="34BCCA69" w14:textId="660CF523"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2" w:history="1">
        <w:r w:rsidRPr="00802CE5">
          <w:rPr>
            <w:rStyle w:val="Hyperlink"/>
            <w:rFonts w:ascii="Sakkal Majalla" w:hAnsi="Sakkal Majalla" w:cs="Sakkal Majalla"/>
            <w:noProof/>
            <w:sz w:val="32"/>
            <w:szCs w:val="28"/>
          </w:rPr>
          <w:t>الأساليب الإحصائية المستخدمة في البحث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Toc234169652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32</w:t>
        </w:r>
        <w:r w:rsidRPr="00802CE5">
          <w:rPr>
            <w:rFonts w:ascii="Sakkal Majalla" w:hAnsi="Sakkal Majalla" w:cs="Sakkal Majalla"/>
            <w:noProof/>
            <w:webHidden/>
            <w:sz w:val="32"/>
            <w:szCs w:val="28"/>
            <w:rtl/>
          </w:rPr>
          <w:fldChar w:fldCharType="end"/>
        </w:r>
      </w:hyperlink>
    </w:p>
    <w:p w14:paraId="49ADF1EA" w14:textId="1DCD9D30"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3" w:history="1">
        <w:r w:rsidRPr="00802CE5">
          <w:rPr>
            <w:rStyle w:val="Hyperlink"/>
            <w:rFonts w:ascii="Sakkal Majalla" w:hAnsi="Sakkal Majalla" w:cs="Sakkal Majalla"/>
            <w:noProof/>
            <w:sz w:val="32"/>
            <w:szCs w:val="28"/>
          </w:rPr>
          <w:t>الصعوبات التي واجهت الباحث</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Toc234169653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33</w:t>
        </w:r>
        <w:r w:rsidRPr="00802CE5">
          <w:rPr>
            <w:rFonts w:ascii="Sakkal Majalla" w:hAnsi="Sakkal Majalla" w:cs="Sakkal Majalla"/>
            <w:noProof/>
            <w:webHidden/>
            <w:sz w:val="32"/>
            <w:szCs w:val="28"/>
            <w:rtl/>
          </w:rPr>
          <w:fldChar w:fldCharType="end"/>
        </w:r>
      </w:hyperlink>
    </w:p>
    <w:p w14:paraId="31267AB2" w14:textId="40410624" w:rsidR="00802CE5" w:rsidRPr="00802CE5" w:rsidRDefault="00802CE5" w:rsidP="00802CE5">
      <w:pPr>
        <w:pStyle w:val="TOC1"/>
        <w:tabs>
          <w:tab w:val="right" w:leader="dot" w:pos="8630"/>
        </w:tabs>
        <w:bidi/>
        <w:rPr>
          <w:rFonts w:ascii="Sakkal Majalla" w:hAnsi="Sakkal Majalla" w:cs="Sakkal Majalla"/>
          <w:noProof/>
          <w:sz w:val="32"/>
          <w:szCs w:val="28"/>
          <w:rtl/>
        </w:rPr>
      </w:pPr>
      <w:hyperlink w:anchor="_Toc234169654" w:history="1">
        <w:r w:rsidRPr="00802CE5">
          <w:rPr>
            <w:rStyle w:val="Hyperlink"/>
            <w:rFonts w:ascii="Sakkal Majalla" w:hAnsi="Sakkal Majalla" w:cs="Sakkal Majalla"/>
            <w:noProof/>
            <w:sz w:val="32"/>
            <w:szCs w:val="28"/>
          </w:rPr>
          <w:t>الفصل الرابع: نتائج الدراسة واختبار الفروض ومناقشتها</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Toc234169654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35</w:t>
        </w:r>
        <w:r w:rsidRPr="00802CE5">
          <w:rPr>
            <w:rFonts w:ascii="Sakkal Majalla" w:hAnsi="Sakkal Majalla" w:cs="Sakkal Majalla"/>
            <w:noProof/>
            <w:webHidden/>
            <w:sz w:val="32"/>
            <w:szCs w:val="28"/>
            <w:rtl/>
          </w:rPr>
          <w:fldChar w:fldCharType="end"/>
        </w:r>
      </w:hyperlink>
    </w:p>
    <w:p w14:paraId="2C3DCC97" w14:textId="11B7651E"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5" w:history="1">
        <w:r w:rsidRPr="00802CE5">
          <w:rPr>
            <w:rStyle w:val="Hyperlink"/>
            <w:rFonts w:ascii="Sakkal Majalla" w:hAnsi="Sakkal Majalla" w:cs="Sakkal Majalla"/>
            <w:noProof/>
            <w:sz w:val="32"/>
            <w:szCs w:val="28"/>
          </w:rPr>
          <w:t>تمهيد</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Toc234169655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35</w:t>
        </w:r>
        <w:r w:rsidRPr="00802CE5">
          <w:rPr>
            <w:rFonts w:ascii="Sakkal Majalla" w:hAnsi="Sakkal Majalla" w:cs="Sakkal Majalla"/>
            <w:noProof/>
            <w:webHidden/>
            <w:sz w:val="32"/>
            <w:szCs w:val="28"/>
            <w:rtl/>
          </w:rPr>
          <w:fldChar w:fldCharType="end"/>
        </w:r>
      </w:hyperlink>
    </w:p>
    <w:p w14:paraId="59DE9319" w14:textId="2AF341E8"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6" w:history="1">
        <w:r w:rsidRPr="00802CE5">
          <w:rPr>
            <w:rStyle w:val="Hyperlink"/>
            <w:rFonts w:ascii="Sakkal Majalla" w:hAnsi="Sakkal Majalla" w:cs="Sakkal Majalla"/>
            <w:noProof/>
            <w:sz w:val="32"/>
            <w:szCs w:val="28"/>
          </w:rPr>
          <w:t>أولاً: نتائج التحقق من صدق أداة الدراسة وثباتها</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Toc234169656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35</w:t>
        </w:r>
        <w:r w:rsidRPr="00802CE5">
          <w:rPr>
            <w:rFonts w:ascii="Sakkal Majalla" w:hAnsi="Sakkal Majalla" w:cs="Sakkal Majalla"/>
            <w:noProof/>
            <w:webHidden/>
            <w:sz w:val="32"/>
            <w:szCs w:val="28"/>
            <w:rtl/>
          </w:rPr>
          <w:fldChar w:fldCharType="end"/>
        </w:r>
      </w:hyperlink>
    </w:p>
    <w:p w14:paraId="4ABE028B" w14:textId="58578DC4"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7" w:history="1">
        <w:r w:rsidRPr="00802CE5">
          <w:rPr>
            <w:rStyle w:val="Hyperlink"/>
            <w:rFonts w:ascii="Sakkal Majalla" w:hAnsi="Sakkal Majalla" w:cs="Sakkal Majalla"/>
            <w:noProof/>
            <w:sz w:val="32"/>
            <w:szCs w:val="28"/>
          </w:rPr>
          <w:t>ثانياً: نتائج اختبار التوزيع الطبيعي</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Toc234169657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37</w:t>
        </w:r>
        <w:r w:rsidRPr="00802CE5">
          <w:rPr>
            <w:rFonts w:ascii="Sakkal Majalla" w:hAnsi="Sakkal Majalla" w:cs="Sakkal Majalla"/>
            <w:noProof/>
            <w:webHidden/>
            <w:sz w:val="32"/>
            <w:szCs w:val="28"/>
            <w:rtl/>
          </w:rPr>
          <w:fldChar w:fldCharType="end"/>
        </w:r>
      </w:hyperlink>
    </w:p>
    <w:p w14:paraId="76746DE0" w14:textId="711F1CC0"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8" w:history="1">
        <w:r w:rsidRPr="00802CE5">
          <w:rPr>
            <w:rStyle w:val="Hyperlink"/>
            <w:rFonts w:ascii="Sakkal Majalla" w:hAnsi="Sakkal Majalla" w:cs="Sakkal Majalla"/>
            <w:noProof/>
            <w:sz w:val="32"/>
            <w:szCs w:val="28"/>
          </w:rPr>
          <w:t>ثالثاً: وصف الخصائص الديموغرافية لعينة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Toc234169658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37</w:t>
        </w:r>
        <w:r w:rsidRPr="00802CE5">
          <w:rPr>
            <w:rFonts w:ascii="Sakkal Majalla" w:hAnsi="Sakkal Majalla" w:cs="Sakkal Majalla"/>
            <w:noProof/>
            <w:webHidden/>
            <w:sz w:val="32"/>
            <w:szCs w:val="28"/>
            <w:rtl/>
          </w:rPr>
          <w:fldChar w:fldCharType="end"/>
        </w:r>
      </w:hyperlink>
    </w:p>
    <w:p w14:paraId="6BA83357" w14:textId="592AF598"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59" w:history="1">
        <w:r w:rsidRPr="00802CE5">
          <w:rPr>
            <w:rStyle w:val="Hyperlink"/>
            <w:rFonts w:ascii="Sakkal Majalla" w:hAnsi="Sakkal Majalla" w:cs="Sakkal Majalla"/>
            <w:noProof/>
            <w:sz w:val="32"/>
            <w:szCs w:val="28"/>
          </w:rPr>
          <w:t>رابعاً: النتائج الوصفية لمحاور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Toc234169659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39</w:t>
        </w:r>
        <w:r w:rsidRPr="00802CE5">
          <w:rPr>
            <w:rFonts w:ascii="Sakkal Majalla" w:hAnsi="Sakkal Majalla" w:cs="Sakkal Majalla"/>
            <w:noProof/>
            <w:webHidden/>
            <w:sz w:val="32"/>
            <w:szCs w:val="28"/>
            <w:rtl/>
          </w:rPr>
          <w:fldChar w:fldCharType="end"/>
        </w:r>
      </w:hyperlink>
    </w:p>
    <w:p w14:paraId="2EC6924F" w14:textId="4761F586"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0" w:history="1">
        <w:r w:rsidRPr="00802CE5">
          <w:rPr>
            <w:rStyle w:val="Hyperlink"/>
            <w:rFonts w:ascii="Sakkal Majalla" w:hAnsi="Sakkal Majalla" w:cs="Sakkal Majalla"/>
            <w:noProof/>
            <w:sz w:val="32"/>
            <w:szCs w:val="28"/>
          </w:rPr>
          <w:t>خامساً: نتائج اختبار فرضيات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Toc234169660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43</w:t>
        </w:r>
        <w:r w:rsidRPr="00802CE5">
          <w:rPr>
            <w:rFonts w:ascii="Sakkal Majalla" w:hAnsi="Sakkal Majalla" w:cs="Sakkal Majalla"/>
            <w:noProof/>
            <w:webHidden/>
            <w:sz w:val="32"/>
            <w:szCs w:val="28"/>
            <w:rtl/>
          </w:rPr>
          <w:fldChar w:fldCharType="end"/>
        </w:r>
      </w:hyperlink>
    </w:p>
    <w:p w14:paraId="12E7A45D" w14:textId="027D6FC2"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1" w:history="1">
        <w:r w:rsidRPr="00802CE5">
          <w:rPr>
            <w:rStyle w:val="Hyperlink"/>
            <w:rFonts w:ascii="Sakkal Majalla" w:hAnsi="Sakkal Majalla" w:cs="Sakkal Majalla"/>
            <w:noProof/>
            <w:sz w:val="32"/>
            <w:szCs w:val="28"/>
          </w:rPr>
          <w:t>سادساً: الفروق تبعاً للمتغيرات الديموغرافية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Toc234169661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47</w:t>
        </w:r>
        <w:r w:rsidRPr="00802CE5">
          <w:rPr>
            <w:rFonts w:ascii="Sakkal Majalla" w:hAnsi="Sakkal Majalla" w:cs="Sakkal Majalla"/>
            <w:noProof/>
            <w:webHidden/>
            <w:sz w:val="32"/>
            <w:szCs w:val="28"/>
            <w:rtl/>
          </w:rPr>
          <w:fldChar w:fldCharType="end"/>
        </w:r>
      </w:hyperlink>
    </w:p>
    <w:p w14:paraId="5B993815" w14:textId="0EC8A646"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2" w:history="1">
        <w:r w:rsidRPr="00802CE5">
          <w:rPr>
            <w:rStyle w:val="Hyperlink"/>
            <w:rFonts w:ascii="Sakkal Majalla" w:hAnsi="Sakkal Majalla" w:cs="Sakkal Majalla"/>
            <w:noProof/>
            <w:sz w:val="32"/>
            <w:szCs w:val="28"/>
          </w:rPr>
          <w:t>سابعاً: نتائج النموذج التقني (مؤشر الامتثال الأخلاقي)</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Toc234169662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47</w:t>
        </w:r>
        <w:r w:rsidRPr="00802CE5">
          <w:rPr>
            <w:rFonts w:ascii="Sakkal Majalla" w:hAnsi="Sakkal Majalla" w:cs="Sakkal Majalla"/>
            <w:noProof/>
            <w:webHidden/>
            <w:sz w:val="32"/>
            <w:szCs w:val="28"/>
            <w:rtl/>
          </w:rPr>
          <w:fldChar w:fldCharType="end"/>
        </w:r>
      </w:hyperlink>
    </w:p>
    <w:p w14:paraId="20097597" w14:textId="7B786017"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3" w:history="1">
        <w:r w:rsidRPr="00802CE5">
          <w:rPr>
            <w:rStyle w:val="Hyperlink"/>
            <w:rFonts w:ascii="Sakkal Majalla" w:hAnsi="Sakkal Majalla" w:cs="Sakkal Majalla"/>
            <w:noProof/>
            <w:sz w:val="32"/>
            <w:szCs w:val="28"/>
          </w:rPr>
          <w:t>ثامناً: نتائج المقابلات شبه المهيكلة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Toc234169663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48</w:t>
        </w:r>
        <w:r w:rsidRPr="00802CE5">
          <w:rPr>
            <w:rFonts w:ascii="Sakkal Majalla" w:hAnsi="Sakkal Majalla" w:cs="Sakkal Majalla"/>
            <w:noProof/>
            <w:webHidden/>
            <w:sz w:val="32"/>
            <w:szCs w:val="28"/>
            <w:rtl/>
          </w:rPr>
          <w:fldChar w:fldCharType="end"/>
        </w:r>
      </w:hyperlink>
    </w:p>
    <w:p w14:paraId="25F0F447" w14:textId="4E1DEFB8"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4" w:history="1">
        <w:r w:rsidRPr="00802CE5">
          <w:rPr>
            <w:rStyle w:val="Hyperlink"/>
            <w:rFonts w:ascii="Sakkal Majalla" w:hAnsi="Sakkal Majalla" w:cs="Sakkal Majalla"/>
            <w:noProof/>
            <w:sz w:val="32"/>
            <w:szCs w:val="28"/>
          </w:rPr>
          <w:t>تاسعاً: مناقشة النتائج وتفسيرها في ضوء أهداف الدراسة والإطار النظري</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Toc234169664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49</w:t>
        </w:r>
        <w:r w:rsidRPr="00802CE5">
          <w:rPr>
            <w:rFonts w:ascii="Sakkal Majalla" w:hAnsi="Sakkal Majalla" w:cs="Sakkal Majalla"/>
            <w:noProof/>
            <w:webHidden/>
            <w:sz w:val="32"/>
            <w:szCs w:val="28"/>
            <w:rtl/>
          </w:rPr>
          <w:fldChar w:fldCharType="end"/>
        </w:r>
      </w:hyperlink>
    </w:p>
    <w:p w14:paraId="27D81A24" w14:textId="3764DEAC" w:rsidR="00802CE5" w:rsidRPr="00802CE5" w:rsidRDefault="00802CE5" w:rsidP="00802CE5">
      <w:pPr>
        <w:pStyle w:val="TOC2"/>
        <w:tabs>
          <w:tab w:val="right" w:leader="dot" w:pos="8630"/>
        </w:tabs>
        <w:bidi/>
        <w:rPr>
          <w:rFonts w:ascii="Sakkal Majalla" w:hAnsi="Sakkal Majalla" w:cs="Sakkal Majalla"/>
          <w:noProof/>
          <w:sz w:val="32"/>
          <w:szCs w:val="28"/>
          <w:rtl/>
        </w:rPr>
      </w:pPr>
      <w:hyperlink w:anchor="_Toc234169665" w:history="1">
        <w:r w:rsidRPr="00802CE5">
          <w:rPr>
            <w:rStyle w:val="Hyperlink"/>
            <w:rFonts w:ascii="Sakkal Majalla" w:hAnsi="Sakkal Majalla" w:cs="Sakkal Majalla"/>
            <w:noProof/>
            <w:sz w:val="32"/>
            <w:szCs w:val="28"/>
          </w:rPr>
          <w:t>عاشراً: ملخص نتائج اختبار فروض الدراسة</w:t>
        </w:r>
        <w:r w:rsidRPr="00802CE5">
          <w:rPr>
            <w:rFonts w:ascii="Sakkal Majalla" w:hAnsi="Sakkal Majalla" w:cs="Sakkal Majalla"/>
            <w:noProof/>
            <w:webHidden/>
            <w:sz w:val="32"/>
            <w:szCs w:val="28"/>
            <w:rtl/>
          </w:rPr>
          <w:tab/>
        </w:r>
        <w:r w:rsidRPr="00802CE5">
          <w:rPr>
            <w:rFonts w:ascii="Sakkal Majalla" w:hAnsi="Sakkal Majalla" w:cs="Sakkal Majalla"/>
            <w:noProof/>
            <w:webHidden/>
            <w:sz w:val="32"/>
            <w:szCs w:val="28"/>
            <w:rtl/>
          </w:rPr>
          <w:fldChar w:fldCharType="begin"/>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Pr>
          <w:instrText>PAGEREF</w:instrText>
        </w:r>
        <w:r w:rsidRPr="00802CE5">
          <w:rPr>
            <w:rFonts w:ascii="Sakkal Majalla" w:hAnsi="Sakkal Majalla" w:cs="Sakkal Majalla"/>
            <w:noProof/>
            <w:webHidden/>
            <w:sz w:val="32"/>
            <w:szCs w:val="28"/>
            <w:rtl/>
          </w:rPr>
          <w:instrText xml:space="preserve"> _</w:instrText>
        </w:r>
        <w:r w:rsidRPr="00802CE5">
          <w:rPr>
            <w:rFonts w:ascii="Sakkal Majalla" w:hAnsi="Sakkal Majalla" w:cs="Sakkal Majalla"/>
            <w:noProof/>
            <w:webHidden/>
            <w:sz w:val="32"/>
            <w:szCs w:val="28"/>
          </w:rPr>
          <w:instrText>Toc234169665 \h</w:instrText>
        </w:r>
        <w:r w:rsidRPr="00802CE5">
          <w:rPr>
            <w:rFonts w:ascii="Sakkal Majalla" w:hAnsi="Sakkal Majalla" w:cs="Sakkal Majalla"/>
            <w:noProof/>
            <w:webHidden/>
            <w:sz w:val="32"/>
            <w:szCs w:val="28"/>
            <w:rtl/>
          </w:rPr>
          <w:instrText xml:space="preserve"> </w:instrText>
        </w:r>
        <w:r w:rsidRPr="00802CE5">
          <w:rPr>
            <w:rFonts w:ascii="Sakkal Majalla" w:hAnsi="Sakkal Majalla" w:cs="Sakkal Majalla"/>
            <w:noProof/>
            <w:webHidden/>
            <w:sz w:val="32"/>
            <w:szCs w:val="28"/>
            <w:rtl/>
          </w:rPr>
        </w:r>
        <w:r w:rsidRPr="00802CE5">
          <w:rPr>
            <w:rFonts w:ascii="Sakkal Majalla" w:hAnsi="Sakkal Majalla" w:cs="Sakkal Majalla"/>
            <w:noProof/>
            <w:webHidden/>
            <w:sz w:val="32"/>
            <w:szCs w:val="28"/>
            <w:rtl/>
          </w:rPr>
          <w:fldChar w:fldCharType="separate"/>
        </w:r>
        <w:r w:rsidRPr="00802CE5">
          <w:rPr>
            <w:rFonts w:ascii="Sakkal Majalla" w:hAnsi="Sakkal Majalla" w:cs="Sakkal Majalla"/>
            <w:noProof/>
            <w:webHidden/>
            <w:sz w:val="32"/>
            <w:szCs w:val="28"/>
            <w:rtl/>
          </w:rPr>
          <w:t>51</w:t>
        </w:r>
        <w:r w:rsidRPr="00802CE5">
          <w:rPr>
            <w:rFonts w:ascii="Sakkal Majalla" w:hAnsi="Sakkal Majalla" w:cs="Sakkal Majalla"/>
            <w:noProof/>
            <w:webHidden/>
            <w:sz w:val="32"/>
            <w:szCs w:val="28"/>
            <w:rtl/>
          </w:rPr>
          <w:fldChar w:fldCharType="end"/>
        </w:r>
      </w:hyperlink>
    </w:p>
    <w:p w14:paraId="1EAFA8A4" w14:textId="286FA275"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fldChar w:fldCharType="end"/>
      </w:r>
    </w:p>
    <w:p w14:paraId="53E56FB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32"/>
          <w:szCs w:val="28"/>
        </w:rPr>
        <w:lastRenderedPageBreak/>
        <w:br w:type="page"/>
      </w:r>
    </w:p>
    <w:p w14:paraId="23FBE560" w14:textId="77777777" w:rsidR="0076340C" w:rsidRPr="00802CE5" w:rsidRDefault="00000000" w:rsidP="00802CE5">
      <w:pPr>
        <w:pStyle w:val="Heading1"/>
        <w:bidi/>
        <w:spacing w:before="240" w:after="160"/>
        <w:rPr>
          <w:rFonts w:ascii="Sakkal Majalla" w:hAnsi="Sakkal Majalla" w:cs="Sakkal Majalla"/>
          <w:sz w:val="36"/>
          <w:szCs w:val="36"/>
        </w:rPr>
      </w:pPr>
      <w:bookmarkStart w:id="3" w:name="_Toc234169629"/>
      <w:r w:rsidRPr="00802CE5">
        <w:rPr>
          <w:rFonts w:ascii="Sakkal Majalla" w:hAnsi="Sakkal Majalla" w:cs="Sakkal Majalla"/>
          <w:color w:val="000000"/>
          <w:sz w:val="40"/>
          <w:szCs w:val="40"/>
        </w:rPr>
        <w:lastRenderedPageBreak/>
        <w:t>الفصل الأول: الإطار المنهجي للدراسة</w:t>
      </w:r>
      <w:bookmarkEnd w:id="3"/>
    </w:p>
    <w:p w14:paraId="119B4D3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يتناول هذا الفصل الإطار المنهجي العام للدراسة، بدءاً من مقدمتها ومشكلتها وأسئلتها، مروراً بأهميتها وأهدافها وفرضياتها وحدودها ومصطلحاتها الإجرائية، وصولاً إلى نموذجها التحليلي الذي يوضح العلاقة بين متغيراتها.</w:t>
      </w:r>
    </w:p>
    <w:p w14:paraId="0DED4F48" w14:textId="77777777" w:rsidR="0076340C" w:rsidRPr="00802CE5" w:rsidRDefault="00000000" w:rsidP="00802CE5">
      <w:pPr>
        <w:pStyle w:val="Heading2"/>
        <w:bidi/>
        <w:spacing w:before="240" w:after="160"/>
        <w:rPr>
          <w:rFonts w:ascii="Sakkal Majalla" w:hAnsi="Sakkal Majalla" w:cs="Sakkal Majalla"/>
          <w:sz w:val="32"/>
          <w:szCs w:val="32"/>
        </w:rPr>
      </w:pPr>
      <w:bookmarkStart w:id="4" w:name="_Toc234169630"/>
      <w:r w:rsidRPr="00802CE5">
        <w:rPr>
          <w:rFonts w:ascii="Sakkal Majalla" w:hAnsi="Sakkal Majalla" w:cs="Sakkal Majalla"/>
          <w:color w:val="000000"/>
          <w:sz w:val="36"/>
          <w:szCs w:val="36"/>
        </w:rPr>
        <w:t>مقدمة الدراسة</w:t>
      </w:r>
      <w:bookmarkEnd w:id="4"/>
    </w:p>
    <w:p w14:paraId="6407480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 العصر الرقمي الحديث، أصبح الذكاء الاصطناعي أحد أهم الأدوات التكنولوجية التي أحدثت تحولًا جذريًا في كيفية معالجة البيانات الشخصية. ومع تزايد الاعتماد على تقنيات الذكاء الاصطناعي في مختلف القطاعات، مثل الرعاية الصحية، الأعمال، الأمن، والتعليم، أصبحت مسألة أخلاقيات الذكاء الاصطناعي موضوعًا حيويًا يستدعي اهتمامًا بحثيًا متزايدًا. تعتمد أنظمة الذكاء الاصطناعي على تحليل كميات ضخمة من البيانات الشخصية، مما يثير تساؤلات حول مدى التوازن بين حماية الخصوصية واستغلال البيانات لأغراض اقتصادية أو أمنية أو حتى لخدمة الابتكار التقني.</w:t>
      </w:r>
    </w:p>
    <w:p w14:paraId="0662602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تُعد حماية الخصوصية من المبادئ الأساسية لحقوق الإنسان، حيث تسعى التشريعات الدولية، مثل اللائحة العامة لحماية البيانات (GDPR) في الاتحاد الأوروبي وقانون حماية الخصوصية الأمريكي (قانون حماية خصوصية المستهلك في كاليفورنيا (CCPA))، إلى وضع أطر تنظيمية تحكم كيفية جمع البيانات الشخصية واستخدامها. ومع ذلك، فإن استغلال البيانات من قبل الشركات والمؤسسات قد يكون له دوافع متعددة، مثل تحسين تجربة المستخدم، تطوير المنتجات، وتحقيق مكاسب تجارية، مما يخلق جدلية أخلاقية بين تحقيق التقدم التكنولوجي وضمان احترام خصوصية الأفراد (Mittelstadt, 2019) .</w:t>
      </w:r>
    </w:p>
    <w:p w14:paraId="071063F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تبرز الإشكالية الأساسية في أنه بينما يسهم الذكاء الاصطناعي في تحليل البيانات واستخلاص أنماط مفيدة، فإنه قد يؤدي إلى انتهاك الخصوصية أو تعزيز التحيزات الخوارزمية إذا لم يُضبط بضوابط أخلاقية واضحة. فعلى سبيل المثال، يمكن أن تؤدي الممارسات غير المنظمة في تحليل البيانات إلى إساءة استخدام المعلومات الشخصية، سواء من خلال المراقبة المفرطة، أو التسويق الاستهدافي المفرط، أو حتى اتخاذ قرارات مؤتمتة قد تؤثر سلبًا على الأفراد دون رقابة بشرية عادلة (Binns, 2020).</w:t>
      </w:r>
    </w:p>
    <w:p w14:paraId="1AD77E0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من هذا المنطلق، تستكشف هذه الدراسة الإطار الأخلاقي لمعالجة البيانات الشخصية بالذكاء الاصطناعي، مع التركيز على التحديات المرتبطة بحماية الخصوصية مقابل استغلال البيانات. تهدف الدراسة إلى تحليل مدى توافق الممارسات الحالية مع المبادئ الأخلاقية والتشريعات المنظمة، وتسعى إلى تقديم رؤية متوازنة تحقق الاستخدام الأمثل للبيانات الشخصية دون الإضرار بحقوق الأفراد. وتأتي أهمية هذه الدراسة في كونها لا تكتفي بالتحليل النظري للمبادئ الأخلاقية، بل تسعى إلى تصميم إطار تقني يُعزز من حماية الخصوصية في أنظمة الذكاء الاصطناعي،</w:t>
      </w:r>
    </w:p>
    <w:p w14:paraId="580AAC1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وانطلاقًا من البُعد المقارن الذي تتبناه هذه الدراسة، فقد تم الاستعانة بتشريعات دولية مرجعية مثل اللائحة العامة لحماية البيانات (GDPR) وقانون حماية خصوصية المستهلك في كاليفورنيا (CCPA)، باعتبارهما من أبرز الأطر العالمية في مجال حماية البيانات الشخصية. كما تم تضمين وتحليل الأطر التنظيمية الوطنية في المملكة العربية السعودية، وعلى رأسها نظام حماية البيانات الشخصية ومبادئ أخلاقيات الذكاء الاصطناعي الصادرة عن الهيئة السعودية للبيانات والذكاء الاصطناعي (سدايا)، وذلك بهدف تعزيز التوصيات المقترحة وتكييفها مع السياق المحلي، بما يحقق توازنًا بين المعايير العالمية والمتطلبات الوطنية.</w:t>
      </w:r>
    </w:p>
    <w:p w14:paraId="2C787DCB" w14:textId="77777777" w:rsidR="0076340C" w:rsidRPr="00802CE5" w:rsidRDefault="00000000" w:rsidP="00802CE5">
      <w:pPr>
        <w:pStyle w:val="Heading2"/>
        <w:bidi/>
        <w:spacing w:before="240" w:after="160"/>
        <w:rPr>
          <w:rFonts w:ascii="Sakkal Majalla" w:hAnsi="Sakkal Majalla" w:cs="Sakkal Majalla"/>
          <w:sz w:val="32"/>
          <w:szCs w:val="32"/>
        </w:rPr>
      </w:pPr>
      <w:bookmarkStart w:id="5" w:name="_Toc234169631"/>
      <w:r w:rsidRPr="00802CE5">
        <w:rPr>
          <w:rFonts w:ascii="Sakkal Majalla" w:hAnsi="Sakkal Majalla" w:cs="Sakkal Majalla"/>
          <w:color w:val="000000"/>
          <w:sz w:val="36"/>
          <w:szCs w:val="36"/>
        </w:rPr>
        <w:lastRenderedPageBreak/>
        <w:t>مشكلة الدراسة</w:t>
      </w:r>
      <w:bookmarkEnd w:id="5"/>
    </w:p>
    <w:p w14:paraId="257E984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مع تنامي الاعتماد على تقنيات الذكاء الاصطناعي في مختلف القطاعات، أصبحت البيانات الشخصية هي الوقود الأساسي لتشغيل وتدريب الأنظمة الذكية. وعلى الرغم من تزايد التشريعات والسياسات التنظيمية الخاصة بحماية البيانات على المستويين المحلي والدولي، إلا أن الكثير من تطبيقات الذكاء الاصطناعي لا تزال تُظهر ممارسات تتعارض مع المبادئ الأخلاقية المرتبطة بالخصوصية، مثل جمع البيانات دون موافقة صريحة، أو توظيفها في أغراض لم يُصرح بها، أو حتى تعرضها للتحيز وسوء الاستخدام. وتُعد محدودية الشفافية في تصميم الخوارزميات وعدم قدرة الجهات المعنية على فهم آلية عمل الذكاء الاصطناعي من أبرز التحديات في ضمان التزام هذه الأنظمة بالأخلاقيات. كما أن أدوات المراقبة التقليدية لم تعد كافية في ظل الطبيعة الديناميكية لهذه الأنظمة، التي تتعلم وتتطور باستمرار من خلال البيانات. من هذا المنطلق، تنبع مشكلة الدراسة من الحاجة إلى تقديم حل تقني قابل للتطبيق، يمكّن من تقييم مدى التزام أنظمة الذكاء الاصطناعي بالمبادئ الأخلاقية أثناء معالجتها للبيانات الشخصية. وتسعى الدراسة إلى تصميم إطار تقني ذكي يُدمج بين التحليل الأخلاقي البرمجي وأدوات الحوسبة الحديثة، بهدف مراقبة الامتثال الأخلاقي للأنظمة الذكية وتحقيق التوازن بين الاستفادة من الذكاء الاصطناعي وحماية حقوق الأفراد في الخصوصية. ومن خلال هذا الإسهام، تعالج الدراسة فجوة قائمة بين الجانب المفاهيمي للأخلاقيات والممارسة الفعلية للتقنيات.</w:t>
      </w:r>
    </w:p>
    <w:p w14:paraId="04A3E8B5" w14:textId="77777777" w:rsidR="0076340C" w:rsidRPr="00802CE5" w:rsidRDefault="00000000" w:rsidP="00802CE5">
      <w:pPr>
        <w:pStyle w:val="Heading2"/>
        <w:bidi/>
        <w:spacing w:before="240" w:after="160"/>
        <w:rPr>
          <w:rFonts w:ascii="Sakkal Majalla" w:hAnsi="Sakkal Majalla" w:cs="Sakkal Majalla"/>
          <w:sz w:val="32"/>
          <w:szCs w:val="32"/>
        </w:rPr>
      </w:pPr>
      <w:bookmarkStart w:id="6" w:name="_Toc234169632"/>
      <w:r w:rsidRPr="00802CE5">
        <w:rPr>
          <w:rFonts w:ascii="Sakkal Majalla" w:hAnsi="Sakkal Majalla" w:cs="Sakkal Majalla"/>
          <w:color w:val="000000"/>
          <w:sz w:val="36"/>
          <w:szCs w:val="36"/>
        </w:rPr>
        <w:t>أسئلة الدراسة</w:t>
      </w:r>
      <w:bookmarkEnd w:id="6"/>
    </w:p>
    <w:p w14:paraId="1F231B3B"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ما هي المبادئ الأخلاقية الأساسية التي تحكم معالجة البيانات الشخصية باستخدام الذكاء الاصطناعي؟</w:t>
      </w:r>
    </w:p>
    <w:p w14:paraId="20D8781C"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lastRenderedPageBreak/>
        <w:t>ما هي التحديات الرئيسية التي تواجه تحقيق التوازن بين حماية الخصوصية واستغلال البيانات في ظل التطورات التقنية المتسارعة؟</w:t>
      </w:r>
    </w:p>
    <w:p w14:paraId="2B847D33"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ما القوانين والسياسات التنظيمية التي تحكم استخدام الذكاء الاصطناعي في تحليل البيانات الشخصية؟ وما مدى تأثيرها على حماية الخصوصية؟</w:t>
      </w:r>
    </w:p>
    <w:p w14:paraId="14C3DBC1"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ما مدى تحقق الشفافية والعدالة في استخدام الذكاء الاصطناعي في تحليل البيانات الشخصية؟</w:t>
      </w:r>
    </w:p>
    <w:p w14:paraId="38D246DE"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ما مدى تأثير الوعي المجتمعي والرقابة التنظيمية في تقليل المخاطر الأخلاقية المرتبطة بمعالجة البيانات الشخصية؟</w:t>
      </w:r>
    </w:p>
    <w:p w14:paraId="75F57E9F"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ما هي الإجراءات والتوصيات التي يمكن تبنيها لضمان الاستخدام الأخلاقي للذكاء الاصطناعي في تحليل البيانات الشخصية؟</w:t>
      </w:r>
    </w:p>
    <w:p w14:paraId="6607A101" w14:textId="77777777" w:rsidR="0076340C" w:rsidRPr="00802CE5" w:rsidRDefault="00000000" w:rsidP="00802CE5">
      <w:pPr>
        <w:pStyle w:val="Heading2"/>
        <w:bidi/>
        <w:spacing w:before="240" w:after="160"/>
        <w:rPr>
          <w:rFonts w:ascii="Sakkal Majalla" w:hAnsi="Sakkal Majalla" w:cs="Sakkal Majalla"/>
          <w:sz w:val="32"/>
          <w:szCs w:val="32"/>
        </w:rPr>
      </w:pPr>
      <w:bookmarkStart w:id="7" w:name="_Toc234169633"/>
      <w:r w:rsidRPr="00802CE5">
        <w:rPr>
          <w:rFonts w:ascii="Sakkal Majalla" w:hAnsi="Sakkal Majalla" w:cs="Sakkal Majalla"/>
          <w:color w:val="000000"/>
          <w:sz w:val="36"/>
          <w:szCs w:val="36"/>
        </w:rPr>
        <w:t>أهمية الدراسة (النظرية والتطبيقية)</w:t>
      </w:r>
      <w:bookmarkEnd w:id="7"/>
    </w:p>
    <w:p w14:paraId="4DB89E5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تكتسب هذه الدراسة أهمية كبيرة نظرًا لارتباطها بواحد من أكثر القضايا إثارة للنقاش في العصر الرقمي، وهو التوازن بين حماية الخصوصية واستغلال البيانات في ظل تطور تقنيات الذكاء الاصطناعي. تتجلى أهمية البحث في بعدين رئيسيين: الأهمية النظرية التي تعمل على إثراء المعرفة الأكاديمية حول الموضوع، والأهمية التطبيقية التي تساعد في تقديم حلول عملية لمتخذي القرار والممارسين في المجال</w:t>
      </w:r>
    </w:p>
    <w:p w14:paraId="3E9E8C6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الأهمية النظرية:</w:t>
      </w:r>
    </w:p>
    <w:p w14:paraId="637D126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تسهم هذه الدراسة في عدة جوانب أكاديمية، منها:</w:t>
      </w:r>
    </w:p>
    <w:p w14:paraId="5036C73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إثراء الأدبيات حول أخلاقيات الذكاء الاصطناعي</w:t>
      </w:r>
    </w:p>
    <w:p w14:paraId="60864B3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تعتبر هذه الدراسة إضافة إلى الحقل المعرفي المرتبط بأخلاقيات الذكاء الاصطناعي، حيث تسلط الضوء على قضية معالجة البيانات الشخصية وتحدياتها الأخلاقية. كما تدرس كيفية تفاعل الذكاء الاصطناعي مع الخصوصية في ظل التطورات السريعة في مجال تحليل البيانات.</w:t>
      </w:r>
    </w:p>
    <w:p w14:paraId="1B0192C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تحليل العلاقة بين التكنولوجيا والأخلاقيات</w:t>
      </w:r>
    </w:p>
    <w:p w14:paraId="2669469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تقدم الدراسة إطارًا نظريًا متكاملاً يوضح العلاقة بين التطورات التكنولوجية في مجال الذكاء الاصطناعي من جهة، والمبادئ الأخلاقية مثل العدالة، الشفافية، والمساءلة من جهة أخرى.</w:t>
      </w:r>
    </w:p>
    <w:p w14:paraId="2FC60EA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تحليل معمق للتشريعات والسياسات التنظيمية في أوروبا والولايات المتحدة</w:t>
      </w:r>
    </w:p>
    <w:p w14:paraId="5C2E24C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تساعد الدراسة في تقييم الأطر القانونية والسياسات التنظيمية المتعلقة باستخدام الذكاء الاصطناعي في تحليل البيانات الشخصية، مثل اللائحة العامة لحماية البيانات (GDPR) في الاتحاد الأوروبي وقانون حماية خصوصية المستهلك في كاليفورنيا (قانون حماية خصوصية المستهلك في كاليفورنيا (CCPA)).</w:t>
      </w:r>
    </w:p>
    <w:p w14:paraId="7145613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إضافة بُعد مقارن بين القطاعات والدول</w:t>
      </w:r>
    </w:p>
    <w:p w14:paraId="0DAEADE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من خلال تحليل كيفية تعامل الدول المختلفة مع قضايا الخصوصية، يمكن تقديم مقارنة بين السياسات الأخلاقية والتشريعات المختلفة، مما يساعد في فهم التحديات العالمية لهذا الموضوع.</w:t>
      </w:r>
    </w:p>
    <w:p w14:paraId="01516E2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الأهمية التطبيقية</w:t>
      </w:r>
    </w:p>
    <w:p w14:paraId="2BFC7B3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تقدم هذه الدراسة مجموعة من الفوائد العملية التي تخدم الجهات المعنية بالذكاء الاصطناعي وحوكمة البيانات، سواء على مستوى السياسات أو الممارسات المؤسسية، ويمكن تلخيصها فيما يلي:</w:t>
      </w:r>
    </w:p>
    <w:p w14:paraId="101059D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دعم صناع القرار في وضع سياسات تنظيمية متوازنة:</w:t>
      </w:r>
    </w:p>
    <w:p w14:paraId="5E5305B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تساعد النتائج والتوصيات المستخلصة من الدراسة الحكومات والجهات التنظيمية في صياغة سياسات توازن بين الاستفادة من قدرات الذكاء الاصطناعي وحماية حقوق الأفراد في الخصوصية.</w:t>
      </w:r>
    </w:p>
    <w:p w14:paraId="320F7B6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تحسين ممارسات إدارة البيانات داخل المؤسسات:</w:t>
      </w:r>
    </w:p>
    <w:p w14:paraId="16FD59C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تمكّن الدراسة المؤسسات التقنية والتجارية من تبني ممارسات أفضل في جمع وتحليل البيانات الشخصية، بما يعزز الشفافية والامتثال الأخلاقي.</w:t>
      </w:r>
    </w:p>
    <w:p w14:paraId="106A3F2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تعزيز الوعي المجتمعي بقضايا الخصوصية الرقمية:</w:t>
      </w:r>
    </w:p>
    <w:p w14:paraId="57065BF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من خلال التركيز على وعي المستخدمين بحقوقهم الرقمية، تساهم الدراسة في رفع مستوى الثقافة العامة حول كيفية التعامل مع البيانات الشخصية.</w:t>
      </w:r>
    </w:p>
    <w:p w14:paraId="2A02080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تقديم حلول تقنية وأخلاقية قابلة للتطبيق:</w:t>
      </w:r>
    </w:p>
    <w:p w14:paraId="2AFB392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تقترح الدراسة تصميم إطار تقني يساعد في تقييم مدى التزام أنظمة الذكاء الاصطناعي بالمبادئ الأخلاقية، مثل الشفافية، العدالة، والخصوصية.</w:t>
      </w:r>
    </w:p>
    <w:p w14:paraId="02CC7EF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تقليل المخاطر القانونية على الشركات والمؤسسات:</w:t>
      </w:r>
    </w:p>
    <w:p w14:paraId="7A30600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من خلال تسليط الضوء على الأطر القانونية، تساعد الدراسة الجهات المعنية على تفادي الغرامات والمخالفات الناتجة عن انتهاك قوانين حماية البيانات.</w:t>
      </w:r>
    </w:p>
    <w:p w14:paraId="2CE0447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تعزيز السياق المحلي من خلال الأطر التنظيمية الوطنية:</w:t>
      </w:r>
    </w:p>
    <w:p w14:paraId="32AF268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بالإضافة إلى الاعتماد على تشريعات دولية مرجعية مثل اللائحة العامة لحماية البيانات (GDPR) وقانون حماية خصوصية المستهلك في كاليفورنيا (CCPA)، تستند الدراسة أيضًا إلى الأنظمة </w:t>
      </w:r>
      <w:r w:rsidRPr="00802CE5">
        <w:rPr>
          <w:rFonts w:ascii="Sakkal Majalla" w:hAnsi="Sakkal Majalla" w:cs="Sakkal Majalla"/>
          <w:sz w:val="32"/>
          <w:szCs w:val="32"/>
        </w:rPr>
        <w:lastRenderedPageBreak/>
        <w:t>التنظيمية في المملكة العربية السعودية، مثل نظام حماية البيانات الشخصية، ومبادئ أخلاقيات الذكاء الاصطناعي الصادرة عن الهيئة السعودية للبيانات والذكاء الاصطناعي (سدايا). ويهدف ذلك إلى تقديم تحليل مقارن يعكس الواقع المحلي والدولي، ويعزز موثوقية التوصيات المقترحة في السياق السعودي.</w:t>
      </w:r>
    </w:p>
    <w:p w14:paraId="0465E3B6" w14:textId="77777777" w:rsidR="0076340C" w:rsidRPr="00802CE5" w:rsidRDefault="00000000" w:rsidP="00802CE5">
      <w:pPr>
        <w:pStyle w:val="Heading2"/>
        <w:bidi/>
        <w:spacing w:before="240" w:after="160"/>
        <w:rPr>
          <w:rFonts w:ascii="Sakkal Majalla" w:hAnsi="Sakkal Majalla" w:cs="Sakkal Majalla"/>
          <w:sz w:val="32"/>
          <w:szCs w:val="32"/>
        </w:rPr>
      </w:pPr>
      <w:bookmarkStart w:id="8" w:name="_Toc234169634"/>
      <w:r w:rsidRPr="00802CE5">
        <w:rPr>
          <w:rFonts w:ascii="Sakkal Majalla" w:hAnsi="Sakkal Majalla" w:cs="Sakkal Majalla"/>
          <w:color w:val="000000"/>
          <w:sz w:val="36"/>
          <w:szCs w:val="36"/>
        </w:rPr>
        <w:t>أهداف الدراسة</w:t>
      </w:r>
      <w:bookmarkEnd w:id="8"/>
    </w:p>
    <w:p w14:paraId="53DD685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تهدف هذه الدراسة إلى تحليل الأبعاد الأخلاقية لمعالجة البيانات الشخصية باستخدام تقنيات الذكاء الاصطناعي، مع التركيز على تحقيق التوازن بين حماية الخصوصية واستغلال البيانات. لتحقيق ذلك، تم تحديد الأهداف التالية:</w:t>
      </w:r>
    </w:p>
    <w:p w14:paraId="6FF9171D"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تحليل مدى التزام أنظمة الذكاء الاصطناعي بالمبادئ الأخلاقية في معالجة البيانات الشخصية.</w:t>
      </w:r>
    </w:p>
    <w:p w14:paraId="41F8AC3F"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تحديد أبرز التحديات الأخلاقية المرتبطة باستخدام الذكاء الاصطناعي في تحليل البيانات الشخصية.</w:t>
      </w:r>
    </w:p>
    <w:p w14:paraId="7BF4B856"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تقييم فعالية القوانين والتشريعات الحالية في معالجة القضايا الأخلاقية المرتبطة بالذكاء الاصطناعي.</w:t>
      </w:r>
    </w:p>
    <w:p w14:paraId="7650B812"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تقديم مقترحات عملية لتعزيز الاستخدام الأخلاقي للذكاء الاصطناعي في معالجة البيانات الشخصية.</w:t>
      </w:r>
    </w:p>
    <w:p w14:paraId="11B27C0F"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دراسة أثر الوعي المجتمعي والرقابة التنظيمية في تحسين سياسات حماية البيانات الشخصية</w:t>
      </w:r>
    </w:p>
    <w:p w14:paraId="074E061F" w14:textId="77777777" w:rsidR="0076340C" w:rsidRPr="00802CE5" w:rsidRDefault="00000000" w:rsidP="00802CE5">
      <w:pPr>
        <w:pStyle w:val="Heading2"/>
        <w:bidi/>
        <w:spacing w:before="240" w:after="160"/>
        <w:rPr>
          <w:rFonts w:ascii="Sakkal Majalla" w:hAnsi="Sakkal Majalla" w:cs="Sakkal Majalla"/>
          <w:sz w:val="32"/>
          <w:szCs w:val="32"/>
        </w:rPr>
      </w:pPr>
      <w:bookmarkStart w:id="9" w:name="_Toc234169635"/>
      <w:r w:rsidRPr="00802CE5">
        <w:rPr>
          <w:rFonts w:ascii="Sakkal Majalla" w:hAnsi="Sakkal Majalla" w:cs="Sakkal Majalla"/>
          <w:color w:val="000000"/>
          <w:sz w:val="36"/>
          <w:szCs w:val="36"/>
        </w:rPr>
        <w:lastRenderedPageBreak/>
        <w:t>فرضيات الدراسة</w:t>
      </w:r>
      <w:bookmarkEnd w:id="9"/>
    </w:p>
    <w:p w14:paraId="574D8F5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تقوم هذه الدراسة على مجموعة من الفرضيات التي تهدف إلى اختبار العلاقة بين الذكاء الاصطناعي، حماية الخصوصية، واستغلال البيانات. وتعتمد الفرضيات على إطار نظري مستمد من الدراسات السابقة، القوانين، والنظم الأخلاقية المعمول بها. فيما يلي الفرضيات الرئيسية للدراسة:</w:t>
      </w:r>
    </w:p>
    <w:p w14:paraId="5581637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الفرضيات المتعلقة بالتوازن بين حماية الخصوصية واستغلال البيانات</w:t>
      </w:r>
    </w:p>
    <w:p w14:paraId="5FD171B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:H1هناك علاقة ذات دلالة إحصائية بين تطور تقنيات الذكاء الاصطناعي وزيادة تحديات حماية الخصوصية.</w:t>
      </w:r>
    </w:p>
    <w:p w14:paraId="01038C9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:H2 كلما زاد استغلال البيانات الشخصية من قبل الذكاء الاصطناعي، كلما انخفض مستوى حماية خصوصية الأفراد.</w:t>
      </w:r>
    </w:p>
    <w:p w14:paraId="0036197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الفرضيات المتعلقة بالتشريعات والسياسات التنظيمية</w:t>
      </w:r>
    </w:p>
    <w:p w14:paraId="367A8C3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:H3العلاقة التشريعات القانونية مثل اللائحة العامة لحماية البيانات (اللائحة العامة لحماية البيانات (GDPR)) وقوانين الخصوصية الوطنية في تقليل المخاطر الأخلاقية المرتبطة بمعالجة البيانات باستخدام الذكاء الاصطناعي.</w:t>
      </w:r>
    </w:p>
    <w:p w14:paraId="16621DF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:H4ضعف تطبيق التشريعات الحالية في بعض الدول يسهم في زيادة استغلال البيانات الشخصية، خصوصًا في مجالي التسويق الرقمي والمراقبة الأمنية</w:t>
      </w:r>
    </w:p>
    <w:p w14:paraId="4D24641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الفرضيات المتعلقة بالشفافية والعدالة في استخدام الذكاء الاصطناعي</w:t>
      </w:r>
    </w:p>
    <w:p w14:paraId="0820E4F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:H5يؤدي نقص الشفافية في خوارزميات الذكاء الاصطناعي إلى زيادة التحيزات الخوارزمية في معالجة البيانات الشخصية.</w:t>
      </w:r>
    </w:p>
    <w:p w14:paraId="70FD391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:H6استخدام الذكاء الاصطناعي في اتخاذ القرارات المتعلقة بالأفراد (مثل قرارات التوظيف أو الإقراض) قد يؤدي إلى نتائج غير عادلة بسبب التحيزات المضمنة في الخوارزميات.</w:t>
      </w:r>
    </w:p>
    <w:p w14:paraId="3D84F5C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4. الفرضيات المتعلقة بدور وعي المستخدمين في تعزيز حماية الخصوصية</w:t>
      </w:r>
    </w:p>
    <w:p w14:paraId="30D506C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:H7هناك علاقة إيجابية بين مستوى وعي الأفراد حول حقوقهم في الخصوصية الرقمية ومدى قدرتهم على حماية بياناتهم الشخصية.</w:t>
      </w:r>
    </w:p>
    <w:p w14:paraId="7772622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:H8ضعف الوعي العام حول آليات معالجة البيانات يؤدي إلى زيادة استغلال البيانات الشخصية من قبل الشركات الكبرى دون رقابة واضحة.</w:t>
      </w:r>
    </w:p>
    <w:p w14:paraId="7A2B514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5. الفرضيات المتعلقة بالإجراءات التقنية لحماية البيانات الشخصية</w:t>
      </w:r>
    </w:p>
    <w:p w14:paraId="6ADAAB3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:H9الالتزام بالممارسات التنظيمية والأخلاقية في تصميم أنظمة الذكاء الاصطناعي يُسهم في الحد من مخاطر انتهاك الخصوصية الناتجة عن معالجة البيانات الشخصية.</w:t>
      </w:r>
    </w:p>
    <w:p w14:paraId="61E68E3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:H10تبني الشركات والمؤسسات لسياسات خصوصية صارمة يقلل من احتمالية استغلال البيانات الشخصية بطرق غير أخلاقية.</w:t>
      </w:r>
    </w:p>
    <w:p w14:paraId="64EB4B04" w14:textId="77777777" w:rsidR="0076340C" w:rsidRPr="00802CE5" w:rsidRDefault="00000000" w:rsidP="00802CE5">
      <w:pPr>
        <w:pStyle w:val="Heading2"/>
        <w:bidi/>
        <w:spacing w:before="240" w:after="160"/>
        <w:rPr>
          <w:rFonts w:ascii="Sakkal Majalla" w:hAnsi="Sakkal Majalla" w:cs="Sakkal Majalla"/>
          <w:sz w:val="32"/>
          <w:szCs w:val="32"/>
        </w:rPr>
      </w:pPr>
      <w:bookmarkStart w:id="10" w:name="_Toc234169636"/>
      <w:r w:rsidRPr="00802CE5">
        <w:rPr>
          <w:rFonts w:ascii="Sakkal Majalla" w:hAnsi="Sakkal Majalla" w:cs="Sakkal Majalla"/>
          <w:color w:val="000000"/>
          <w:sz w:val="36"/>
          <w:szCs w:val="36"/>
        </w:rPr>
        <w:t>حدود الدراسة</w:t>
      </w:r>
      <w:bookmarkEnd w:id="10"/>
    </w:p>
    <w:p w14:paraId="31A9D3A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تتحدد نتائج هذه الدراسة وإمكانية تعميمها في ضوء الحدود الآتية:</w:t>
      </w:r>
    </w:p>
    <w:p w14:paraId="5B28DF5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الحدود الموضوعية: تقتصر الدراسة على تحليل الأبعاد الأخلاقية لمعالجة البيانات الشخصية باستخدام الذكاء الاصطناعي، مع التركيز على التوازن بين حماية الخصوصية واستغلال البيانات في </w:t>
      </w:r>
      <w:r w:rsidRPr="00802CE5">
        <w:rPr>
          <w:rFonts w:ascii="Sakkal Majalla" w:hAnsi="Sakkal Majalla" w:cs="Sakkal Majalla"/>
          <w:sz w:val="32"/>
          <w:szCs w:val="32"/>
        </w:rPr>
        <w:lastRenderedPageBreak/>
        <w:t>ضوء مبادئ (الخصوصية، والشفافية، والعدالة، والمساءلة)، دون التوسّع في الجوانب التقنية البحتة لبنية الخوارزميات.</w:t>
      </w:r>
    </w:p>
    <w:p w14:paraId="4A0DFA1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الحدود المكانية: المملكة العربية السعودية، باعتبارها بيئة التطبيق التي جُمعت منها بيانات العينة والمقابلات، وبما يتيح تكييف التوصيات مع السياق الوطني.</w:t>
      </w:r>
    </w:p>
    <w:p w14:paraId="1540B94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الحدود الزمانية: طُبّقت أدوات الدراسة الميدانية وجُمعت بياناتها خلال عام 2025م.</w:t>
      </w:r>
    </w:p>
    <w:p w14:paraId="6F116A2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الحدود البشرية: الفئات الأربع التي يتكوّن منها مجتمع الدراسة، وهي: المستخدمون الأفراد، والشركات والمؤسسات التقنية، والجهات الحكومية والتنظيمية، والخبراء والأكاديميون المتخصصون.</w:t>
      </w:r>
    </w:p>
    <w:p w14:paraId="0A2165CF" w14:textId="77777777" w:rsidR="0076340C" w:rsidRPr="00802CE5" w:rsidRDefault="00000000" w:rsidP="00802CE5">
      <w:pPr>
        <w:pStyle w:val="Heading2"/>
        <w:bidi/>
        <w:spacing w:before="240" w:after="160"/>
        <w:rPr>
          <w:rFonts w:ascii="Sakkal Majalla" w:hAnsi="Sakkal Majalla" w:cs="Sakkal Majalla"/>
          <w:sz w:val="32"/>
          <w:szCs w:val="32"/>
        </w:rPr>
      </w:pPr>
      <w:bookmarkStart w:id="11" w:name="_Toc234169637"/>
      <w:r w:rsidRPr="00802CE5">
        <w:rPr>
          <w:rFonts w:ascii="Sakkal Majalla" w:hAnsi="Sakkal Majalla" w:cs="Sakkal Majalla"/>
          <w:color w:val="000000"/>
          <w:sz w:val="36"/>
          <w:szCs w:val="36"/>
        </w:rPr>
        <w:t>مصطلحات الدراسة وتعريفاتها الإجرائية</w:t>
      </w:r>
      <w:bookmarkEnd w:id="11"/>
    </w:p>
    <w:p w14:paraId="3E4B666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أخلاقيات الذكاء الاصطناعي (AI Ethics)</w:t>
      </w:r>
    </w:p>
    <w:p w14:paraId="6DA3693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31080B8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يشير مفهوم أخلاقيات الذكاء الاصطناعي إلى المبادئ والقيم التي توجه تطوير واستخدام تقنيات الذكاء الاصطناعي لضمان أنها تخدم المجتمع بطريقة عادلة، شفافة، ومسؤولة (Floridi &amp; Cowls, 2019).</w:t>
      </w:r>
    </w:p>
    <w:p w14:paraId="1CAEAB2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73E80B9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في هذه الدراسة، يشير مصطلح أخلاقيات الذكاء الاصطناعي إلى المعايير الأخلاقية والقانونية التي تحكم كيفية معالجة البيانات الشخصية باستخدام الذكاء الاصطناعي، مع التركيز على تأثير هذه التقنيات على خصوصية الأفراد واستغلال بياناتهم.</w:t>
      </w:r>
    </w:p>
    <w:p w14:paraId="2810C02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معالجة البيانات الشخصية (Personal Data Processing)</w:t>
      </w:r>
    </w:p>
    <w:p w14:paraId="25A933A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672E3A3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يقصد بـ معالجة البيانات الشخصية أي عملية تتم على البيانات الشخصية، سواء كانت الجمع، التخزين، التحليل، المشاركة، أو التعديل، بهدف استخدامها في اتخاذ القرارات أو تقديم الخدمات (European Commission, 2018).</w:t>
      </w:r>
    </w:p>
    <w:p w14:paraId="737C5FE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0578919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 هذه الدراسة، يُعرَّف معالجة البيانات الشخصية بأنها جميع العمليات التي تقوم بها أنظمة الذكاء الاصطناعي على البيانات الشخصية للأفراد، سواء لأغراض تجارية أو تنظيمية أو أمنية، وتأثيرها على خصوصيتهم.</w:t>
      </w:r>
    </w:p>
    <w:p w14:paraId="7D7611D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حماية الخصوصية (Privacy Protection)</w:t>
      </w:r>
    </w:p>
    <w:p w14:paraId="35964F1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626559B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يشير مفهوم حماية الخصوصية إلى مجموعة من القواعد والسياسات التي تهدف إلى ضمان عدم انتهاك البيانات الشخصية للأفراد، سواء من قبل المؤسسات الحكومية أو الشركات الخاصة (Solove, 2013).</w:t>
      </w:r>
    </w:p>
    <w:p w14:paraId="652F569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641A810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في هذه الدراسة، تعني حماية الخصوصية الإجراءات القانونية والتقنية والتنظيمية التي تهدف إلى منع الوصول غير المصرح به إلى البيانات الشخصية ومنع استخدامها بطرق غير مشروعة أو غير أخلاقية.</w:t>
      </w:r>
    </w:p>
    <w:p w14:paraId="67D5BC8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استغلال البيانات (Data Exploitation)</w:t>
      </w:r>
    </w:p>
    <w:p w14:paraId="0DAE0A4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68CCA54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يشير استغلال البيانات إلى استخدام البيانات الشخصية بطرق قد تتجاوز التوقعات الأخلاقية والقانونية، مثل تحليلها لأغراض تجارية أو بيعها لأطراف ثالثة دون موافقة الأفراد (Zuboff, 2019).</w:t>
      </w:r>
    </w:p>
    <w:p w14:paraId="0DED4EB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63F1859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 هذه الدراسة، يُقصد بـ استغلال البيانات استخدام الذكاء الاصطناعي للبيانات الشخصية لأغراض تجارية أو أمنية أو تحليلية دون توفر مستوى كافٍ من الشفافية والموافقة المسبقة من الأفراد المعنيين.</w:t>
      </w:r>
    </w:p>
    <w:p w14:paraId="439FCEA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الشفافية في الذكاء الاصطناعي (AI Transparency)</w:t>
      </w:r>
    </w:p>
    <w:p w14:paraId="64C77E6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54486BC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تعني الشفافية في الذكاء الاصطناعي وضوح آليات عمل أنظمة الذكاء الاصطناعي، بحيث يمكن للمستخدمين فهم كيفية اتخاذ القرارات بناءً على البيانات التي يتم جمعها (Mittelstadt, 2019).</w:t>
      </w:r>
    </w:p>
    <w:p w14:paraId="795B02D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3388B44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في هذه الدراسة، تشير الشفافية إلى مدى قدرة المؤسسات على توضيح كيفية معالجة البيانات الشخصية باستخدام الذكاء الاصطناعي، بما يشمل جمع البيانات، تحليلها، استخدامها، وتحديد تأثيرها على الأفراد.</w:t>
      </w:r>
    </w:p>
    <w:p w14:paraId="1E787D8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التشريعات القانونية لحماية البيانات (Data Protection Regulations)</w:t>
      </w:r>
    </w:p>
    <w:p w14:paraId="0F74824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03B7B12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تشمل التشريعات القانونية مجموعة من القوانين والسياسات التي تهدف إلى تنظيم كيفية جمع البيانات الشخصية واستخدامها، مثل اللائحة العامة لحماية البيانات (GDPR) وقانون حماية خصوصية المستهلك في كاليفورنيا (CCPA) (European Commission, 2018).</w:t>
      </w:r>
    </w:p>
    <w:p w14:paraId="3913A4D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41A8BCF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 هذه الدراسة، تشير التشريعات القانونية لحماية البيانات إلى القوانين واللوائح التي تحكم استخدام الذكاء الاصطناعي في معالجة البيانات الشخصية، وتحديد مدى فعاليتها في حماية حقوق الأفراد في الخصوصية.</w:t>
      </w:r>
    </w:p>
    <w:p w14:paraId="0166A4F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التحيز في الذكاء الاصطناعي (AI Bias)</w:t>
      </w:r>
    </w:p>
    <w:p w14:paraId="59D3E2B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النظري:</w:t>
      </w:r>
    </w:p>
    <w:p w14:paraId="30AD3C6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يشير التحيز في الذكاء الاصطناعي إلى وجود انحيازات خوارزمية في أنظمة الذكاء الاصطناعي، مما يؤدي إلى قرارات غير عادلة بناءً على البيانات المستخدمة في التدريب (Binns, 2020).</w:t>
      </w:r>
    </w:p>
    <w:p w14:paraId="00F424E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التعريف الإجرائي:</w:t>
      </w:r>
    </w:p>
    <w:p w14:paraId="313761D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في هذه الدراسة، يعني التحيز في الذكاء الاصطناعي الآثار السلبية الناجمة عن استخدام خوارزميات غير متوازنة أو بيانات متحيزة تؤدي إلى تمييز ضد فئات معينة عند معالجة البيانات الشخصية.</w:t>
      </w:r>
    </w:p>
    <w:p w14:paraId="34B1655A" w14:textId="77777777" w:rsidR="0076340C" w:rsidRPr="00802CE5" w:rsidRDefault="00000000" w:rsidP="00802CE5">
      <w:pPr>
        <w:pStyle w:val="Heading2"/>
        <w:bidi/>
        <w:spacing w:before="240" w:after="160"/>
        <w:rPr>
          <w:rFonts w:ascii="Sakkal Majalla" w:hAnsi="Sakkal Majalla" w:cs="Sakkal Majalla"/>
          <w:sz w:val="32"/>
          <w:szCs w:val="32"/>
        </w:rPr>
      </w:pPr>
      <w:bookmarkStart w:id="12" w:name="_Toc234169638"/>
      <w:r w:rsidRPr="00802CE5">
        <w:rPr>
          <w:rFonts w:ascii="Sakkal Majalla" w:hAnsi="Sakkal Majalla" w:cs="Sakkal Majalla"/>
          <w:color w:val="000000"/>
          <w:sz w:val="36"/>
          <w:szCs w:val="36"/>
        </w:rPr>
        <w:t>نموذج الدراسة</w:t>
      </w:r>
      <w:bookmarkEnd w:id="12"/>
    </w:p>
    <w:p w14:paraId="1489F06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يعتمد هذا البحث على نموذج تحليلي يوضح العلاقة بين المتغيرات الأساسية للدراسة، وهي استخدام الذكاء الاصطناعي في معالجة البيانات الشخصية كمتغير مستقل، وتأثيره على حماية الخصوصية مقابل استغلال البيانات كمتغير تابع. بالإضافة إلى ذلك، هناك متغيرات وسيطة تؤثر على هذه العلاقة، مثل التشريعات القانونية، الوعي المجتمعي، والشفافية</w:t>
      </w:r>
    </w:p>
    <w:p w14:paraId="0AD91C58"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المتغيرات الأساسية في نموذج الدراسة</w:t>
      </w:r>
    </w:p>
    <w:p w14:paraId="4621012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المتغير المستقل :</w:t>
      </w:r>
    </w:p>
    <w:p w14:paraId="7B36C2B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استخدام الذكاء الاصطناعي في معالجة البيانات الشخصية</w:t>
      </w:r>
    </w:p>
    <w:p w14:paraId="7ED90B2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المتغير التابع:</w:t>
      </w:r>
    </w:p>
    <w:p w14:paraId="678E7A6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مستوى حماية الخصوصية مقابل استغلال البيانات</w:t>
      </w:r>
    </w:p>
    <w:p w14:paraId="5FFB0FD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المتغيرات الوسيطة:</w:t>
      </w:r>
    </w:p>
    <w:p w14:paraId="3D9BBB6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التشريعات القانونية: مدى وجود أطر تنظيمية تحكم استخدام الذكاء الاصطناعي في معالجة البيانات الشخصية، مثل نظام حماية البيانات الشخصية في المملكة العربية السعودية واللوائح العالمية كـ GDPR.</w:t>
      </w:r>
    </w:p>
    <w:p w14:paraId="1A71CB9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الوعي المجتمعي: مدى إدراك الأفراد لحقوقهم المتعلقة بالخصوصية الرقمية، ومعرفتهم بكيفية استخدام بياناتهم في أنظمة الذكاء الاصطناعي.</w:t>
      </w:r>
    </w:p>
    <w:p w14:paraId="1A9B4F6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الشفافية: مدى وضوح السياسات والممارسات التي تتبعها الجهات في جمع ومعالجة البيانات، بما في ذلك إتاحة المعلومات حول كيفية اتخاذ القرارات المؤتمتة.</w:t>
      </w:r>
    </w:p>
    <w:p w14:paraId="5341A7B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32"/>
          <w:szCs w:val="28"/>
        </w:rPr>
        <w:br w:type="page"/>
      </w:r>
    </w:p>
    <w:p w14:paraId="18CCD388" w14:textId="77777777" w:rsidR="0076340C" w:rsidRPr="00802CE5" w:rsidRDefault="00000000" w:rsidP="00802CE5">
      <w:pPr>
        <w:pStyle w:val="Heading1"/>
        <w:bidi/>
        <w:spacing w:before="240" w:after="160"/>
        <w:rPr>
          <w:rFonts w:ascii="Sakkal Majalla" w:hAnsi="Sakkal Majalla" w:cs="Sakkal Majalla"/>
          <w:sz w:val="36"/>
          <w:szCs w:val="36"/>
        </w:rPr>
      </w:pPr>
      <w:bookmarkStart w:id="13" w:name="_Toc234169639"/>
      <w:r w:rsidRPr="00802CE5">
        <w:rPr>
          <w:rFonts w:ascii="Sakkal Majalla" w:hAnsi="Sakkal Majalla" w:cs="Sakkal Majalla"/>
          <w:color w:val="000000"/>
          <w:sz w:val="40"/>
          <w:szCs w:val="40"/>
        </w:rPr>
        <w:lastRenderedPageBreak/>
        <w:t>الفصل الثاني: الإطار النظري والدراسات السابقة (مراجعة الأدبيات ذات العلاقة)</w:t>
      </w:r>
      <w:bookmarkEnd w:id="13"/>
    </w:p>
    <w:p w14:paraId="04DBC20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يقوم هذا الفصل على ركيزتين أساسيتين تُشكّلان الأساس المعرفي للدراسة: الأولى هي الإطار النظري الذي يعرض المفاهيم والنظريات المرتبطة بمتغيرات الدراسة، والثانية هي الدراسات السابقة التي تناولت تلك المتغيرات، تمهيداً لتحديد الفجوة البحثية التي تسعى الدراسة الحالية إلى سدّها.</w:t>
      </w:r>
    </w:p>
    <w:p w14:paraId="7DAF542A" w14:textId="77777777" w:rsidR="0076340C" w:rsidRPr="00802CE5" w:rsidRDefault="00000000" w:rsidP="00802CE5">
      <w:pPr>
        <w:pStyle w:val="Heading2"/>
        <w:bidi/>
        <w:spacing w:before="240" w:after="160"/>
        <w:rPr>
          <w:rFonts w:ascii="Sakkal Majalla" w:hAnsi="Sakkal Majalla" w:cs="Sakkal Majalla"/>
          <w:sz w:val="32"/>
          <w:szCs w:val="32"/>
        </w:rPr>
      </w:pPr>
      <w:bookmarkStart w:id="14" w:name="_Toc234169640"/>
      <w:r w:rsidRPr="00802CE5">
        <w:rPr>
          <w:rFonts w:ascii="Sakkal Majalla" w:hAnsi="Sakkal Majalla" w:cs="Sakkal Majalla"/>
          <w:color w:val="000000"/>
          <w:sz w:val="36"/>
          <w:szCs w:val="36"/>
        </w:rPr>
        <w:t>أولاً: الإطار النظري</w:t>
      </w:r>
      <w:bookmarkEnd w:id="14"/>
    </w:p>
    <w:p w14:paraId="4A3CD65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يُعرض الإطار النظري وفق ترتيب متغيرات الدراسة؛ إذ يبدأ بمفهوم أخلاقيات الذكاء الاصطناعي ومبادئها، ثم معالجة البيانات الشخصية والخصوصية الرقمية، فاستغلال البيانات والتحيّز الخوارزمي، وأخيراً الأطر التشريعية والتنظيمية المنظِّمة لهذا المجال.</w:t>
      </w:r>
    </w:p>
    <w:p w14:paraId="1AF827B8"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الأول: أخلاقيات الذكاء الاصطناعي — المفهوم والمبادئ</w:t>
      </w:r>
    </w:p>
    <w:p w14:paraId="3D187C5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تُعرَّف أخلاقيات الذكاء الاصطناعي بأنها مجموعة المبادئ والقيم التي توجّه تطوير تقنيات الذكاء الاصطناعي واستخدامها، بما يضمن خدمتها للمجتمع بطريقة عادلة وشفافة ومسؤولة. وقد قدّم Floridi &amp; Cowls (2019) إطاراً موحّداً يقوم على خمسة مبادئ جامعة هي: المنفعة (Beneficence)، وعدم الإضرار (Non-maleficence)، والاستقلالية (Autonomy)، والعدالة (Justice)، والقابلية للتفسير/الشفافية (Explicability)، بوصفها نقطة التقاء للأطر الأخلاقية العالمية للذكاء الاصطناعي.</w:t>
      </w:r>
    </w:p>
    <w:p w14:paraId="6F66B57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غير أن الالتزام بهذه المبادئ لا يتحقق بمجرد إعلانها؛ إذ يشير Mittelstadt (2019) إلى وجود «فجوة بين المبادئ والممارسة»، حيث تظل المبادئ الأخلاقية عمومياتٍ يصعب تفعيلها ما لم تُترجَم إلى أدوات </w:t>
      </w:r>
      <w:r w:rsidRPr="00802CE5">
        <w:rPr>
          <w:rFonts w:ascii="Sakkal Majalla" w:hAnsi="Sakkal Majalla" w:cs="Sakkal Majalla"/>
          <w:sz w:val="32"/>
          <w:szCs w:val="32"/>
        </w:rPr>
        <w:lastRenderedPageBreak/>
        <w:t>وإجراءات قابلة للقياس. ومن هذا المنطلق تبرز الحاجة إلى نقل الأخلاقيات من مستوى التنظير إلى مستوى القياس التطبيقي، وهو ما تتبنّاه الدراسة الحالية عبر مؤشر الامتثال الأخلاقي.</w:t>
      </w:r>
    </w:p>
    <w:p w14:paraId="524BDE2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وعلى المستوى الوطني، أصدرت الهيئة السعودية للبيانات والذكاء الاصطناعي (سدايا، 2023) مبادئ لأخلاقيات الذكاء الاصطناعي تؤكد على حماية الخصوصية، والشفافية، والعدالة، والمساءلة، بما يوفّر مرجعيةً محليةً تنسجم مع الأطر العالمية وتؤطّر السياق الذي تنطلق منه هذه الدراسة.</w:t>
      </w:r>
    </w:p>
    <w:p w14:paraId="43979002"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الثاني: معالجة البيانات الشخصية والخصوصية الرقمية</w:t>
      </w:r>
    </w:p>
    <w:p w14:paraId="287C7BE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يُقصد بمعالجة البيانات الشخصية أي عملية تُجرى على البيانات الشخصية، سواء أكانت جمعاً أم تخزيناً أم تحليلاً أم مشاركةً أم تعديلاً، بهدف استخدامها في اتخاذ القرارات أو تقديم الخدمات (European Commission, 2018). وتمرّ هذه البيانات بدورة حياةٍ تبدأ من نقطة الجمع وتنتهي بالإتلاف، وتتخلّلها مراحل تتفاوت فيها مخاطر انتهاك الخصوصية.</w:t>
      </w:r>
    </w:p>
    <w:p w14:paraId="4AA9812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وتُعدّ الخصوصية حقاً أساسياً من حقوق الإنسان؛ إذ يرى Solove (2013) أنها ليست مفهوماً أحادياً بل مجموعة من الحمايات المترابطة التي تحول دون الوصول غير المصرّح به إلى المعلومات الشخصية واستخدامها بطرق تُلحق الضرر بالأفراد. ومع تنامي قدرة أنظمة الذكاء الاصطناعي على تحليل كميات ضخمة من البيانات، تزداد الحاجة إلى ضوابط تحفظ هذا الحق في البيئة الرقمية.</w:t>
      </w:r>
    </w:p>
    <w:p w14:paraId="63CD0FF5"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الثالث: استغلال البيانات والتحيّز الخوارزمي</w:t>
      </w:r>
    </w:p>
    <w:p w14:paraId="4CEA12D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يشير استغلال البيانات إلى استخدام البيانات الشخصية بطرق تتجاوز التوقعات الأخلاقية والقانونية، كتحليلها لأغراض تجارية أو بيعها لأطرافٍ ثالثة دون موافقة أصحابها. وقد وصف Zuboff (2019) هذه الظاهرة بـ«رأسمالية المراقبة» (Surveillance Capitalism)، حيث تتحول </w:t>
      </w:r>
      <w:r w:rsidRPr="00802CE5">
        <w:rPr>
          <w:rFonts w:ascii="Sakkal Majalla" w:hAnsi="Sakkal Majalla" w:cs="Sakkal Majalla"/>
          <w:sz w:val="32"/>
          <w:szCs w:val="32"/>
        </w:rPr>
        <w:lastRenderedPageBreak/>
        <w:t>البيانات الشخصية إلى مادةٍ خامٍ تُستثمر في التنبؤ بسلوك الأفراد والتأثير فيه، مع اعتماد الشركات الكبرى على جمعها بطرق تفتقر إلى الشفافية.</w:t>
      </w:r>
    </w:p>
    <w:p w14:paraId="4AE12D4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ويرتبط بهذا الاستغلال إشكالية التحيّز الخوارزمي؛ إذ يبيّن Binns (2020) أن الخوارزميات قد تُنتج قراراتٍ غير عادلة نتيجة انحيازاتٍ متضمَّنة في بيانات التدريب أو في تصميم النموذج، مما قد يؤدي إلى التمييز ضد فئاتٍ بعينها في مجالات حساسة كالتوظيف والإقراض. ويتفاقم ذلك مع غموض «الصندوق الأسود» (Black Box) وضعف القابلية للتفسير (Explainability)، وهو ما يعوق المساءلة الأخلاقية.</w:t>
      </w:r>
    </w:p>
    <w:p w14:paraId="3B92C39A"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الرابع: الأطر التشريعية والتنظيمية لحماية البيانات</w:t>
      </w:r>
    </w:p>
    <w:p w14:paraId="0866B76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تتعدد الأطر التشريعية المنظِّمة لحماية البيانات الشخصية؛ ففي الاتحاد الأوروبي تُعدّ اللائحة العامة لحماية البيانات (GDPR) من أكثر الأطر شمولاً في تنظيم جمع البيانات ومعالجتها وضمان حقوق أصحابها. وفي الولايات المتحدة يوفّر قانون حماية خصوصية المستهلك في كاليفورنيا (CCPA) حمايةً موازية تركّز على حق المستهلك في معرفة بياناته والتحكم فيها.</w:t>
      </w:r>
    </w:p>
    <w:p w14:paraId="67959BD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أما على المستوى الوطني، فقد أرست المملكة العربية السعودية منظومةً تنظيمية عبر نظام حماية البيانات الشخصية ومبادئ سدايا لأخلاقيات الذكاء الاصطناعي (2023)، بما يكفل مواءمة الممارسات المحلية مع المعايير الدولية. ويكشف تحليل هذه الأطر مجتمعةً أن فاعليتها لا تتوقف على سنّ القوانين فحسب، بل على قوة إنفاذها ومتابعة الامتثال لها، وهو ما تختبره الدراسة الحالية ميدانياً.</w:t>
      </w:r>
    </w:p>
    <w:p w14:paraId="71886942" w14:textId="77777777" w:rsidR="0076340C" w:rsidRPr="00802CE5" w:rsidRDefault="00000000" w:rsidP="00802CE5">
      <w:pPr>
        <w:pStyle w:val="Heading2"/>
        <w:bidi/>
        <w:spacing w:before="240" w:after="160"/>
        <w:rPr>
          <w:rFonts w:ascii="Sakkal Majalla" w:hAnsi="Sakkal Majalla" w:cs="Sakkal Majalla"/>
          <w:sz w:val="32"/>
          <w:szCs w:val="32"/>
        </w:rPr>
      </w:pPr>
      <w:bookmarkStart w:id="15" w:name="_Toc234169641"/>
      <w:r w:rsidRPr="00802CE5">
        <w:rPr>
          <w:rFonts w:ascii="Sakkal Majalla" w:hAnsi="Sakkal Majalla" w:cs="Sakkal Majalla"/>
          <w:color w:val="000000"/>
          <w:sz w:val="36"/>
          <w:szCs w:val="36"/>
        </w:rPr>
        <w:lastRenderedPageBreak/>
        <w:t>ثانياً: الدراسات السابقة</w:t>
      </w:r>
      <w:bookmarkEnd w:id="15"/>
    </w:p>
    <w:p w14:paraId="193B073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فيما يلي عرضٌ لأبرز الدراسات السابقة ذات الصلة بمتغيرات الدراسة، مرتّبةً إلى دراساتٍ محلية وأخرى عالمية، مع بيان هدف كل دراسة وأهم نتائجها وأوجه تميّز الدراسة الحالية عنها.</w:t>
      </w:r>
    </w:p>
    <w:p w14:paraId="08913ED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أولاً: الدراسات المحلية</w:t>
      </w:r>
    </w:p>
    <w:p w14:paraId="4723D6B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الهيئة السعودية للبيانات والذكاء الاصطناعي (سدايا) (2023)</w:t>
      </w:r>
    </w:p>
    <w:p w14:paraId="44F09E1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العنوان: مبادئ أخلاقيات الذكاء الاصطناعي.</w:t>
      </w:r>
    </w:p>
    <w:p w14:paraId="5DEEBFD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الهدف: تقديم إطار عمل يوجه الجهات في المملكة العربية السعودية لتبني معايير وأخلاقيات عند بناء وتطوير الحلول القائمة على الذكاء الاصطناعي، لضمان الاستخدام المسؤول لهذه التقنيات.</w:t>
      </w:r>
      <w:r w:rsidRPr="00802CE5">
        <w:rPr>
          <w:rFonts w:ascii="Times New Roman" w:hAnsi="Times New Roman" w:cs="Times New Roman"/>
          <w:sz w:val="32"/>
          <w:szCs w:val="32"/>
        </w:rPr>
        <w:t>​</w:t>
      </w:r>
    </w:p>
    <w:p w14:paraId="2B43486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النتائج: تم تحديد مجموعة من المبادئ، أبرزها:</w:t>
      </w:r>
      <w:r w:rsidRPr="00802CE5">
        <w:rPr>
          <w:rFonts w:ascii="Times New Roman" w:hAnsi="Times New Roman" w:cs="Times New Roman"/>
          <w:sz w:val="32"/>
          <w:szCs w:val="32"/>
        </w:rPr>
        <w:t>​</w:t>
      </w:r>
    </w:p>
    <w:p w14:paraId="4F3D0CA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حماية الخصوصية: ضمان حماية خصوصية أصحاب البيانات وحقوقهم فيما يتعلق بمعالجة بياناتهم الشخصية.</w:t>
      </w:r>
      <w:r w:rsidRPr="00802CE5">
        <w:rPr>
          <w:rFonts w:ascii="Times New Roman" w:hAnsi="Times New Roman" w:cs="Times New Roman"/>
          <w:sz w:val="32"/>
          <w:szCs w:val="32"/>
        </w:rPr>
        <w:t>​</w:t>
      </w:r>
    </w:p>
    <w:p w14:paraId="741A505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الشفافية: تعزيز الشفافية في استخدام أنظمة الذكاء الاصطناعي لضمان فهم واضح لكيفية عملها.</w:t>
      </w:r>
      <w:r w:rsidRPr="00802CE5">
        <w:rPr>
          <w:rFonts w:ascii="Times New Roman" w:hAnsi="Times New Roman" w:cs="Times New Roman"/>
          <w:sz w:val="32"/>
          <w:szCs w:val="32"/>
        </w:rPr>
        <w:t>​</w:t>
      </w:r>
    </w:p>
    <w:p w14:paraId="3088B08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المساءلة: تحديد المسؤوليات لضمان الاستخدام الأخلاقي للذكاء الاصطناعي.</w:t>
      </w:r>
      <w:r w:rsidRPr="00802CE5">
        <w:rPr>
          <w:rFonts w:ascii="Times New Roman" w:hAnsi="Times New Roman" w:cs="Times New Roman"/>
          <w:sz w:val="32"/>
          <w:szCs w:val="32"/>
        </w:rPr>
        <w:t>​</w:t>
      </w:r>
    </w:p>
    <w:p w14:paraId="06E941B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تميّز الدراسة الحالية عنها: تركز الدراسة الحالية على تحليل التوازن بين حماية الخصوصية واستغلال البيانات في سياق الذكاء الاصطناعي، مع التركيز على تأثير هذه الممارسات على الأفراد والمجتمع، بينما تقدم مبادئ سدايا إطارًا عامًا للاستخدام الأخلاقي للذكاء الاصطناعي.</w:t>
      </w:r>
      <w:r w:rsidRPr="00802CE5">
        <w:rPr>
          <w:rFonts w:ascii="Times New Roman" w:hAnsi="Times New Roman" w:cs="Times New Roman"/>
          <w:sz w:val="32"/>
          <w:szCs w:val="32"/>
        </w:rPr>
        <w:t>​</w:t>
      </w:r>
    </w:p>
    <w:p w14:paraId="3D8B3AC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جامعة سوهاج (2024)</w:t>
      </w:r>
    </w:p>
    <w:p w14:paraId="215A1B8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العنوان: أخلاقيات الذكاء الاصطناعي في التعليم: تطبيقات الطلب من وجهة نظر أخلاقية.</w:t>
      </w:r>
      <w:r w:rsidRPr="00802CE5">
        <w:rPr>
          <w:rFonts w:ascii="Times New Roman" w:hAnsi="Times New Roman" w:cs="Times New Roman"/>
          <w:sz w:val="32"/>
          <w:szCs w:val="32"/>
        </w:rPr>
        <w:t>​</w:t>
      </w:r>
    </w:p>
    <w:p w14:paraId="18DF48A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الهدف: استكشاف المبادئ الأخلاقية لاستخدام تقنيات الذكاء الاصطناعي في التعليم، مع التركيز على حماية خصوصية الطلاب والبيانات الشخصية.</w:t>
      </w:r>
      <w:r w:rsidRPr="00802CE5">
        <w:rPr>
          <w:rFonts w:ascii="Times New Roman" w:hAnsi="Times New Roman" w:cs="Times New Roman"/>
          <w:sz w:val="32"/>
          <w:szCs w:val="32"/>
        </w:rPr>
        <w:t>​</w:t>
      </w:r>
    </w:p>
    <w:p w14:paraId="48F358D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النتائج: أكدت الدراسة على ضرورة:</w:t>
      </w:r>
      <w:r w:rsidRPr="00802CE5">
        <w:rPr>
          <w:rFonts w:ascii="Times New Roman" w:hAnsi="Times New Roman" w:cs="Times New Roman"/>
          <w:sz w:val="32"/>
          <w:szCs w:val="32"/>
        </w:rPr>
        <w:t>​</w:t>
      </w:r>
    </w:p>
    <w:p w14:paraId="3AA3AA4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حماية الخصوصية: ضمان حماية بيانات الطلاب وعدم مشاركتها مع أطراف غير مرخصة.</w:t>
      </w:r>
      <w:r w:rsidRPr="00802CE5">
        <w:rPr>
          <w:rFonts w:ascii="Times New Roman" w:hAnsi="Times New Roman" w:cs="Times New Roman"/>
          <w:sz w:val="32"/>
          <w:szCs w:val="32"/>
        </w:rPr>
        <w:t>​</w:t>
      </w:r>
    </w:p>
    <w:p w14:paraId="33C79FB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الشفافية: توفير وضوح في كيفية استخدام البيانات والمعلومات التي يتم جمعها.</w:t>
      </w:r>
      <w:r w:rsidRPr="00802CE5">
        <w:rPr>
          <w:rFonts w:ascii="Times New Roman" w:hAnsi="Times New Roman" w:cs="Times New Roman"/>
          <w:sz w:val="32"/>
          <w:szCs w:val="32"/>
        </w:rPr>
        <w:t>​</w:t>
      </w:r>
    </w:p>
    <w:p w14:paraId="0C47CF8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العدالة: ضمان الوصول المتساوي لتقنيات الذكاء الاصطناعي لجميع الطلاب بغض النظر عن اختلافاتهم الاجتماعية أو الاقتصادية.</w:t>
      </w:r>
      <w:r w:rsidRPr="00802CE5">
        <w:rPr>
          <w:rFonts w:ascii="Times New Roman" w:hAnsi="Times New Roman" w:cs="Times New Roman"/>
          <w:sz w:val="32"/>
          <w:szCs w:val="32"/>
        </w:rPr>
        <w:t>​</w:t>
      </w:r>
    </w:p>
    <w:p w14:paraId="39F06A6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تميّز الدراسة الحالية عنها: بينما تركز دراسة جامعة سوهاج على القطاع التعليمي، تتناول الدراسة الحالية معالجة البيانات الشخصية في سياق أوسع يشمل مختلف القطاعات، مع التركيز على التوازن بين حماية الخصوصية واستغلال البيانات.</w:t>
      </w:r>
      <w:r w:rsidRPr="00802CE5">
        <w:rPr>
          <w:rFonts w:ascii="Times New Roman" w:hAnsi="Times New Roman" w:cs="Times New Roman"/>
          <w:sz w:val="32"/>
          <w:szCs w:val="32"/>
        </w:rPr>
        <w:t>​</w:t>
      </w:r>
    </w:p>
    <w:p w14:paraId="572E790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المنظمة العربية للتربية والثقافة والعلوم (2024)</w:t>
      </w:r>
    </w:p>
    <w:p w14:paraId="2CE7228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العنوان: دليل أخلاقيات البحث العلمي العربي والذكاء الاصطناعي.</w:t>
      </w:r>
    </w:p>
    <w:p w14:paraId="3A241BA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الهدف: تقديم إرشادات لضمان استخدام الذكاء الاصطناعي بطرق أخلاقية في البحث العلمي العربي، مع التركيز على تجنب التحيز والتمييز.</w:t>
      </w:r>
      <w:r w:rsidRPr="00802CE5">
        <w:rPr>
          <w:rFonts w:ascii="Times New Roman" w:hAnsi="Times New Roman" w:cs="Times New Roman"/>
          <w:sz w:val="32"/>
          <w:szCs w:val="32"/>
        </w:rPr>
        <w:t>​</w:t>
      </w:r>
    </w:p>
    <w:p w14:paraId="1645157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النتائج: أوصى الدليل بـ:</w:t>
      </w:r>
      <w:r w:rsidRPr="00802CE5">
        <w:rPr>
          <w:rFonts w:ascii="Times New Roman" w:hAnsi="Times New Roman" w:cs="Times New Roman"/>
          <w:sz w:val="32"/>
          <w:szCs w:val="32"/>
        </w:rPr>
        <w:t>​</w:t>
      </w:r>
    </w:p>
    <w:p w14:paraId="7354E9C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تجنب التحيز: تصميم أنظمة الذكاء الاصطناعي لتجنب التحيز المستقبلي غير العادل والتمييز ضد الأفراد أو الجماعات على أساس خصائص مثل العرق أو الجنس أو الدين.</w:t>
      </w:r>
      <w:r w:rsidRPr="00802CE5">
        <w:rPr>
          <w:rFonts w:ascii="Times New Roman" w:hAnsi="Times New Roman" w:cs="Times New Roman"/>
          <w:sz w:val="32"/>
          <w:szCs w:val="32"/>
        </w:rPr>
        <w:t>​</w:t>
      </w:r>
    </w:p>
    <w:p w14:paraId="1B99E4B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الشفافية: ضمان أن تكون أنظمة الذكاء الاصطناعي شفافة، مما يعني أن عملياتها وخوارزمياتها وعمليات صنع القرار فيها مفهومة وقابلة للتفسير إلى أقصى حد ممكن.</w:t>
      </w:r>
      <w:r w:rsidRPr="00802CE5">
        <w:rPr>
          <w:rFonts w:ascii="Times New Roman" w:hAnsi="Times New Roman" w:cs="Times New Roman"/>
          <w:sz w:val="32"/>
          <w:szCs w:val="32"/>
        </w:rPr>
        <w:t>​</w:t>
      </w:r>
    </w:p>
    <w:p w14:paraId="79E9185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تميّز الدراسة الحالية عنها: بينما يركز الدليل على الإرشادات العامة لاستخدام الذكاء الاصطناعي في البحث العلمي، تستهدف الدراسة الحالية تحليل التأثيرات العملية لمعالجة البيانات الشخصية باستخدام الذكاء الاصطناعي على الخصوصية واستغلال البيانات.</w:t>
      </w:r>
      <w:r w:rsidRPr="00802CE5">
        <w:rPr>
          <w:rFonts w:ascii="Times New Roman" w:hAnsi="Times New Roman" w:cs="Times New Roman"/>
          <w:sz w:val="32"/>
          <w:szCs w:val="32"/>
        </w:rPr>
        <w:t>​</w:t>
      </w:r>
    </w:p>
    <w:p w14:paraId="7E57170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ثانيًا: الدراسات العالمية</w:t>
      </w:r>
    </w:p>
    <w:p w14:paraId="6E1BFA9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Floridi &amp; Cowls (2019).1</w:t>
      </w:r>
    </w:p>
    <w:p w14:paraId="4269DEA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العنوان: إطار موحد لخمسة مبادئ للذكاء الاصطناعي في المجتمع</w:t>
      </w:r>
      <w:r w:rsidRPr="00802CE5">
        <w:rPr>
          <w:rFonts w:ascii="Times New Roman" w:hAnsi="Times New Roman" w:cs="Times New Roman"/>
          <w:sz w:val="32"/>
          <w:szCs w:val="32"/>
        </w:rPr>
        <w:t>​</w:t>
      </w:r>
    </w:p>
    <w:p w14:paraId="728F9E7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الهدف: تقديم إطار أخلاقي متكامل يتكون من خمسة مبادئ رئيسية لحوكمة الذكاء الاصطناعي، وهي: المنفعة، عدم الإضرار، الاستقلالية، العدالة، والشفافية.</w:t>
      </w:r>
      <w:r w:rsidRPr="00802CE5">
        <w:rPr>
          <w:rFonts w:ascii="Times New Roman" w:hAnsi="Times New Roman" w:cs="Times New Roman"/>
          <w:sz w:val="32"/>
          <w:szCs w:val="32"/>
        </w:rPr>
        <w:t>​</w:t>
      </w:r>
    </w:p>
    <w:p w14:paraId="0ABFD18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النتائج: أكدت الدراسة على أهمية الشفافية والمساءلة لضمان الاستخدام الأخلاقي للذكاء الاصطناعي، خاصة عند التعامل مع البيانات الشخصية.</w:t>
      </w:r>
      <w:r w:rsidRPr="00802CE5">
        <w:rPr>
          <w:rFonts w:ascii="Times New Roman" w:hAnsi="Times New Roman" w:cs="Times New Roman"/>
          <w:sz w:val="32"/>
          <w:szCs w:val="32"/>
        </w:rPr>
        <w:t>​</w:t>
      </w:r>
    </w:p>
    <w:p w14:paraId="7BD5801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تميّز الدراسة الحالية عنها: تركز الدراسة الحالية على تحليل توازن حماية الخصوصية واستغلال البيانات، بينما قدمت دراسة Floridi &amp; Cowls إطارًا أخلاقيًا عامًا للذكاء الاصطناعي دون التركيز على معالجة البيانات الشخصية.</w:t>
      </w:r>
      <w:r w:rsidRPr="00802CE5">
        <w:rPr>
          <w:rFonts w:ascii="Times New Roman" w:hAnsi="Times New Roman" w:cs="Times New Roman"/>
          <w:sz w:val="32"/>
          <w:szCs w:val="32"/>
        </w:rPr>
        <w:t>​</w:t>
      </w:r>
    </w:p>
    <w:p w14:paraId="48A06CC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Zuboff (2019).2</w:t>
      </w:r>
    </w:p>
    <w:p w14:paraId="4D7976D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العنوان: عصر رأسمالية المراقبة: الكفاح من أجل مستقبل إنساني على الحدود الجديدة للسلطة</w:t>
      </w:r>
      <w:r w:rsidRPr="00802CE5">
        <w:rPr>
          <w:rFonts w:ascii="Times New Roman" w:hAnsi="Times New Roman" w:cs="Times New Roman"/>
          <w:sz w:val="32"/>
          <w:szCs w:val="32"/>
        </w:rPr>
        <w:t>​</w:t>
      </w:r>
    </w:p>
    <w:p w14:paraId="47D0F59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الهدف: مناقشة كيفية استخدام البيانات الشخصية كأداة للتحكم في السلوك البشري من خلال ما يُعرف بـ "رأسمالية المراقبة"، حيث تستفيد الشركات الكبرى من البيانات الضخمة في استهداف الأفراد بطرق دقيقة.</w:t>
      </w:r>
      <w:r w:rsidRPr="00802CE5">
        <w:rPr>
          <w:rFonts w:ascii="Times New Roman" w:hAnsi="Times New Roman" w:cs="Times New Roman"/>
          <w:sz w:val="32"/>
          <w:szCs w:val="32"/>
        </w:rPr>
        <w:t>​</w:t>
      </w:r>
    </w:p>
    <w:p w14:paraId="36697EE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النتائج: أوضحت الدراسة أن الشركات التقنية مثل Google وFacebook تعتمد على جمع البيانات الشخصية بشكل غير شفاف، مما يشكل تهديدًا لخصوصية الأفراد.</w:t>
      </w:r>
      <w:r w:rsidRPr="00802CE5">
        <w:rPr>
          <w:rFonts w:ascii="Times New Roman" w:hAnsi="Times New Roman" w:cs="Times New Roman"/>
          <w:sz w:val="32"/>
          <w:szCs w:val="32"/>
        </w:rPr>
        <w:t>​</w:t>
      </w:r>
    </w:p>
    <w:p w14:paraId="0835A1A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تميّز الدراسة الحالية عنها: تركز الدراسة الحالية على العلاقة بين حماية الخصوصية واستغلال البيانات في بيئات الذكاء الاصطناعي، بينما ركزت دراسة Zuboff على الجانب الاقتصادي لاستغلال البيانات.</w:t>
      </w:r>
    </w:p>
    <w:p w14:paraId="0C887A8A" w14:textId="77777777" w:rsidR="0076340C" w:rsidRPr="00802CE5" w:rsidRDefault="00000000" w:rsidP="00802CE5">
      <w:pPr>
        <w:pStyle w:val="Heading2"/>
        <w:bidi/>
        <w:spacing w:before="240" w:after="160"/>
        <w:rPr>
          <w:rFonts w:ascii="Sakkal Majalla" w:hAnsi="Sakkal Majalla" w:cs="Sakkal Majalla"/>
          <w:sz w:val="32"/>
          <w:szCs w:val="32"/>
        </w:rPr>
      </w:pPr>
      <w:bookmarkStart w:id="16" w:name="_Toc234169642"/>
      <w:r w:rsidRPr="00802CE5">
        <w:rPr>
          <w:rFonts w:ascii="Sakkal Majalla" w:hAnsi="Sakkal Majalla" w:cs="Sakkal Majalla"/>
          <w:color w:val="000000"/>
          <w:sz w:val="36"/>
          <w:szCs w:val="36"/>
        </w:rPr>
        <w:t>التعقيب على الدراسات السابقة والفجوة البحثية</w:t>
      </w:r>
      <w:bookmarkEnd w:id="16"/>
    </w:p>
    <w:p w14:paraId="6AD1A9F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يتّضح من استعراض الدراسات السابقة اتفاقها على مركزية المبادئ الأخلاقية (الخصوصية، والشفافية، والعدالة، والمساءلة) في حوكمة الذكاء الاصطناعي، كما في دراسة سدايا (2023) وإطار Floridi &amp; Cowls (2019)، واتفاقها على خطورة استغلال البيانات وضعف الشفافية كما بيّنت دراسة Zuboff (2019). وقد أفادت الدراسة الحالية من هذه الأدبيات في بناء إطارها النظري وصياغة محاور أداتها وفرضياتها.</w:t>
      </w:r>
    </w:p>
    <w:p w14:paraId="08716A0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وتختلف الدراسة الحالية عن سابقاتها في أنها لم تكتفِ بالتأصيل النظري أو التحليل النقدي، بل انتقلت إلى القياس التطبيقي الكمي؛ فبينما ركّزت دراسة جامعة سوهاج (2024) على القطاع </w:t>
      </w:r>
      <w:r w:rsidRPr="00802CE5">
        <w:rPr>
          <w:rFonts w:ascii="Sakkal Majalla" w:hAnsi="Sakkal Majalla" w:cs="Sakkal Majalla"/>
          <w:sz w:val="32"/>
          <w:szCs w:val="32"/>
        </w:rPr>
        <w:lastRenderedPageBreak/>
        <w:t>التعليمي، ووقفت دراسة Zuboff عند البُعد الاقتصادي، وقدّمت الأطر الأخرى مبادئ عامة، وسّعت الدراسة الحالية النطاق ليشمل قطاعاتٍ متعددة في السياق السعودي.</w:t>
      </w:r>
    </w:p>
    <w:p w14:paraId="01FD628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وبناءً على ما سبق، تتحدد الفجوة البحثية في غياب أداةٍ تطبيقيةٍ كمية تقيس مدى التزام أنظمة الذكاء الاصطناعي بالمبادئ الأخلاقية أثناء معالجتها للبيانات الشخصية في السياق المحلي. وتسعى الدراسة الحالية إلى سدّ هذه الفجوة عبر تصميم نموذج تقني يقوم على «مؤشر الامتثال الأخلاقي» (Ethical Compliance Index)، بما ينقل التوصيات من العموميات إلى إجراءاتٍ قابلة للقياس.</w:t>
      </w:r>
    </w:p>
    <w:p w14:paraId="70BA135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32"/>
          <w:szCs w:val="28"/>
        </w:rPr>
        <w:br w:type="page"/>
      </w:r>
    </w:p>
    <w:p w14:paraId="2D85985A" w14:textId="77777777" w:rsidR="0076340C" w:rsidRPr="00802CE5" w:rsidRDefault="00000000" w:rsidP="00802CE5">
      <w:pPr>
        <w:pStyle w:val="Heading1"/>
        <w:bidi/>
        <w:spacing w:before="240" w:after="160"/>
        <w:rPr>
          <w:rFonts w:ascii="Sakkal Majalla" w:hAnsi="Sakkal Majalla" w:cs="Sakkal Majalla"/>
          <w:sz w:val="36"/>
          <w:szCs w:val="36"/>
        </w:rPr>
      </w:pPr>
      <w:bookmarkStart w:id="17" w:name="_Toc234169643"/>
      <w:r w:rsidRPr="00802CE5">
        <w:rPr>
          <w:rFonts w:ascii="Sakkal Majalla" w:hAnsi="Sakkal Majalla" w:cs="Sakkal Majalla"/>
          <w:color w:val="000000"/>
          <w:sz w:val="40"/>
          <w:szCs w:val="40"/>
        </w:rPr>
        <w:lastRenderedPageBreak/>
        <w:t>الفصل الثالث: الطريقة والإجراءات (منهجية الدراسة)</w:t>
      </w:r>
      <w:bookmarkEnd w:id="17"/>
    </w:p>
    <w:p w14:paraId="79327CB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يعرض هذا الفصل الإجراءات المنهجية التي اتّبعها الباحث لتحقيق أهداف الدراسة والإجابة عن أسئلتها واختبار فرضياتها، ويشمل: منهج البحث، ومجتمعه وعيّنته، وأدوات جمع البيانات وخطوات بنائها، وإجراءات التحقق من صدقها وثباتها، والأساليب الإحصائية المستخدمة، والصعوبات التي واجهت الباحث. وقد صُمّمت هذه الإجراءات لتكون أساساً تُبنى عليه نتائج الفصل الرابع.</w:t>
      </w:r>
    </w:p>
    <w:p w14:paraId="20E6CE39" w14:textId="77777777" w:rsidR="0076340C" w:rsidRPr="00802CE5" w:rsidRDefault="00000000" w:rsidP="00802CE5">
      <w:pPr>
        <w:pStyle w:val="Heading2"/>
        <w:bidi/>
        <w:spacing w:before="240" w:after="160"/>
        <w:rPr>
          <w:rFonts w:ascii="Sakkal Majalla" w:hAnsi="Sakkal Majalla" w:cs="Sakkal Majalla"/>
          <w:sz w:val="32"/>
          <w:szCs w:val="32"/>
        </w:rPr>
      </w:pPr>
      <w:bookmarkStart w:id="18" w:name="_Toc234169644"/>
      <w:r w:rsidRPr="00802CE5">
        <w:rPr>
          <w:rFonts w:ascii="Sakkal Majalla" w:hAnsi="Sakkal Majalla" w:cs="Sakkal Majalla"/>
          <w:color w:val="000000"/>
          <w:sz w:val="36"/>
          <w:szCs w:val="36"/>
        </w:rPr>
        <w:t>منهج البحث</w:t>
      </w:r>
      <w:bookmarkEnd w:id="18"/>
    </w:p>
    <w:p w14:paraId="5182297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نظراً للطبيعة المركّبة لموضوع هذه الدراسة، الذي يجمع بين المفاهيم الأخلاقية والتشريعات القانونية والسلوك البشري والتطبيقات التقنية، اعتمد الباحث على منهجية متعددة الأساليب (Mixed-Methods Approach) تجمع بين ثلاثة مناهج متكاملة، وذلك لضمان الإحاطة الشاملة بأبعاد الظاهرة المدروسة وتحقيق أهداف الدراسة بكفاءة. وفيما يلي توضيح لكل منهج ومبررات اختياره:</w:t>
      </w:r>
    </w:p>
    <w:p w14:paraId="097D7C0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المنهج الوصفي التحليلي (Descriptive-Analytical Method)</w:t>
      </w:r>
    </w:p>
    <w:p w14:paraId="2E0B91B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المنهج الوصفي التحليلي الأنسب لهذه الدراسة كونه يتيح تحليل الظاهرة كما هي في الواقع دون التدخل فيها، مع تقديم تفسيرات علمية للعلاقات بين المتغيرات. وقد استُخدم هذا المنهج لتحقيق عدة أغراض:</w:t>
      </w:r>
    </w:p>
    <w:p w14:paraId="0CE2521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تحليل المفاهيم الأساسية: مثل الذكاء الاصطناعي، والخصوصية الرقمية، واستغلال البيانات الشخصية، والشفافية الخوارزمية، والمساءلة الأخلاقية.</w:t>
      </w:r>
    </w:p>
    <w:p w14:paraId="61749ED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 تحليل التشريعات الدولية والوطنية: بما فيها اللائحة العامة لحماية البيانات (GDPR)، وقانون خصوصية المستهلك في كاليفورنيا (CCPA)، ونظام حماية البيانات الشخصية السعودي، ومبادئ سدايا لأخلاقيات الذكاء الاصطناعي.</w:t>
      </w:r>
    </w:p>
    <w:p w14:paraId="51FF61F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مراجعة الأدبيات العلمية السابقة: بهدف بناء إطار نظري متين يفسّر العلاقات بين المتغير المستقل (استخدام الذكاء الاصطناعي في معالجة البيانات الشخصية)، والمتغير التابع (مستوى حماية الخصوصية مقابل استغلال البيانات)، والمتغيرات الوسيطة (التشريعات القانونية، والوعي المجتمعي، والشفافية).</w:t>
      </w:r>
    </w:p>
    <w:p w14:paraId="4D5D5CB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هذا المنهج الأنسب لأنه يمكّن الباحث من فهم العلاقات المعقدة بين المتغيرات وتفسيرها في ضوء الإطار النظري، وهو ما يخدم مباشرةً الإجابة عن أسئلة الدراسة المتعلقة بالمبادئ الأخلاقية (السؤال الأول)، والتحديات (السؤال الثاني)، والقوانين (السؤال الثالث).</w:t>
      </w:r>
    </w:p>
    <w:p w14:paraId="11BA2C6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المنهج المسحي (Survey Method)</w:t>
      </w:r>
    </w:p>
    <w:p w14:paraId="2E470C9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المنهج المسحي من أهم المناهج في الدراسات الاجتماعية والتقنية التي تهدف إلى جمع بيانات كمية من أفراد يمثلون مجتمعاً معيناً. وقد استُخدم هذا المنهج لقياس:</w:t>
      </w:r>
    </w:p>
    <w:p w14:paraId="76B9EEA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مستوى وعي الأفراد بالخصوصية الرقمية وحقوقهم في حماية بياناتهم.</w:t>
      </w:r>
    </w:p>
    <w:p w14:paraId="5604ECD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درجة ثقتهم في أنظمة الذكاء الاصطناعي المستخدمة في تحليل بياناتهم.</w:t>
      </w:r>
    </w:p>
    <w:p w14:paraId="15FF815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تصوراتهم حول مخاطر استغلال البيانات الشخصية.</w:t>
      </w:r>
    </w:p>
    <w:p w14:paraId="061118F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مدى رضاهم عن مستوى الشفافية التي توفرها الشركات والمؤسسات.</w:t>
      </w:r>
    </w:p>
    <w:p w14:paraId="58F8282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تقييمهم لممارسات حماية البيانات في الأنظمة الذكية.</w:t>
      </w:r>
    </w:p>
    <w:p w14:paraId="432856C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يُعدّ هذا المنهج الأنسب لاختبار الفرضيات الكمية (H1–H10) والإجابة عن أسئلة الدراسة المتعلقة بالشفافية والعدالة (السؤال الرابع) والوعي المجتمعي (السؤال الخامس)، كونه يوفر بيانات رقمية قابلة للتحليل الإحصائي والتعميم.</w:t>
      </w:r>
    </w:p>
    <w:p w14:paraId="7D94D8A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المنهج التطبيقي عبر النموذج التقني (Applied/Prototype Method)</w:t>
      </w:r>
    </w:p>
    <w:p w14:paraId="5248041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هذا المنهج الجانب الأكثر ابتكاراً في الدراسة، إذ يسدّ فجوة بحثية حدّدتها الدراسات السابقة تتمثل في غياب نموذج تطبيقي لقياس الامتثال الأخلاقي. وقد تم تصميم نموذج تقني تطبيقي (Prototype) يحلّل كيفية تعامل الأنظمة الذكية مع البيانات الشخصية الفعلية، ويقوم بـ:</w:t>
      </w:r>
    </w:p>
    <w:p w14:paraId="2FD0B6A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تحليل نقاط جمع البيانات وتتبع مراحل معالجتها.</w:t>
      </w:r>
    </w:p>
    <w:p w14:paraId="74FBDA2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اكتشاف حالات التحيّز الخوارزمي المحتملة.</w:t>
      </w:r>
    </w:p>
    <w:p w14:paraId="7CED719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قياس درجة الشفافية في النظام.</w:t>
      </w:r>
    </w:p>
    <w:p w14:paraId="3C2CBE0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تقييم الامتثال الأخلاقي عبر معيار مؤشر الامتثال الأخلاقي (Ethical Compliance Index).</w:t>
      </w:r>
    </w:p>
    <w:p w14:paraId="1B83B1B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اختبار سيناريوهات مختلفة في قطاعات حكومية وتجارية.</w:t>
      </w:r>
    </w:p>
    <w:p w14:paraId="2646A8A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وقد تم تنفيذ النموذج التقني باستخدام لغة Python ومكتبات تحليل البيانات مثل Pandas وScikit-learn، بهدف تحليل البيانات وتقييم مؤشرات الامتثال الأخلاقي. ويعتمد النموذج على مؤشر الامتثال الأخلاقي (Ethical Compliance Index) الذي يُحسب من خلال مجموعة من المؤشرات الفرعية، مثل: الشفافية الخوارزمية، واحتمالية التحيّز، ومستوى مخاطر الخصوصية، ودرجة الامتثال للتشريعات المعمول بها.</w:t>
      </w:r>
    </w:p>
    <w:p w14:paraId="7FC003D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يُعدّ هذا المنهج الأنسب لأنه يمكّن من الربط بين النظرية والتطبيق، ويخدم مباشرةً الإجابة عن السؤال السادس المتعلق بالإجراءات والتوصيات العملية، كما يعزز قدرة الدراسة على تقديم حلول تقنية قابلة للتطبيق بدلاً من الاكتفاء بالمبادئ النظرية (Mittelstadt, 2019).</w:t>
      </w:r>
    </w:p>
    <w:p w14:paraId="045F9F9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إن الجمع بين هذه المناهج الثلاثة يحقق التكامل المنهجي المطلوب: فالمنهج الوصفي التحليلي يبني القاعدة المفاهيمية، والمنهج المسحي يوفر البيانات الكمية، والنموذج التطبيقي يقدم التحقق العملي، مما يضمن شمولية النتائج ومصداقيتها.</w:t>
      </w:r>
    </w:p>
    <w:p w14:paraId="637AAACA" w14:textId="77777777" w:rsidR="0076340C" w:rsidRPr="00802CE5" w:rsidRDefault="00000000" w:rsidP="00802CE5">
      <w:pPr>
        <w:pStyle w:val="Heading2"/>
        <w:bidi/>
        <w:spacing w:before="240" w:after="160"/>
        <w:rPr>
          <w:rFonts w:ascii="Sakkal Majalla" w:hAnsi="Sakkal Majalla" w:cs="Sakkal Majalla"/>
          <w:sz w:val="32"/>
          <w:szCs w:val="32"/>
        </w:rPr>
      </w:pPr>
      <w:bookmarkStart w:id="19" w:name="_Toc234169645"/>
      <w:r w:rsidRPr="00802CE5">
        <w:rPr>
          <w:rFonts w:ascii="Sakkal Majalla" w:hAnsi="Sakkal Majalla" w:cs="Sakkal Majalla"/>
          <w:color w:val="000000"/>
          <w:sz w:val="36"/>
          <w:szCs w:val="36"/>
        </w:rPr>
        <w:t>مجتمع البحث</w:t>
      </w:r>
      <w:bookmarkEnd w:id="19"/>
    </w:p>
    <w:p w14:paraId="73F6EB0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يُقصد بمجتمع الدراسة جميع الأفراد أو العناصر الذين تنطبق عليهم خصائص الدراسة والذين يمكن تعميم النتائج عليهم. وبناءً على طبيعة هذه الدراسة التي تبحث في أخلاقيات الذكاء الاصطناعي في معالجة البيانات الشخصية، يتكون مجتمع الدراسة من جميع الأفراد والجهات ذات العلاقة بمعالجة البيانات الشخصية باستخدام الذكاء الاصطناعي في المملكة العربية السعودية، ويشمل أربع فئات رئيسية تمثل الأطراف الأكثر تأثراً أو مشاركةً في هذه العملية، وهي:</w:t>
      </w:r>
    </w:p>
    <w:p w14:paraId="62A3A86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المستخدمون الأفراد:</w:t>
      </w:r>
    </w:p>
    <w:p w14:paraId="3B81A76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وهم الأشخاص في المملكة العربية السعودية الذين يستخدمون تطبيقات الذكاء الاصطناعي في حياتهم اليومية، مثل محركات البحث، ووسائل التواصل الاجتماعي، والتطبيقات الصحية والتجارية. ويمثلون الطرف الأكثر تضرراً من سوء استخدام البيانات، ويتم التركيز على مدى وعيهم بحقوق الخصوصية ومدى إدراكهم لكيفية استغلال بياناتهم الشخصية.</w:t>
      </w:r>
    </w:p>
    <w:p w14:paraId="77FF142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الشركات والمؤسسات التكنولوجية:</w:t>
      </w:r>
    </w:p>
    <w:p w14:paraId="0FB4BC7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وتشمل الشركات العاملة في المملكة العربية السعودية التي تعتمد على الذكاء الاصطناعي في تحليل البيانات، سواء في التسويق، أو الأمن السيبراني، أو الخدمات الذكية. ويركز البحث على كيفية تعامل هذه الشركات مع البيانات الشخصية وفقاً للمعايير الأخلاقية.</w:t>
      </w:r>
    </w:p>
    <w:p w14:paraId="23AEDFC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الجهات الحكومية والتنظيمية:</w:t>
      </w:r>
    </w:p>
    <w:p w14:paraId="06CC624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وتشمل الهيئات الحكومية واللجان التشريعية في المملكة العربية السعودية المسؤولة عن سنّ القوانين ووضع السياسات المتعلقة بأخلاقيات الذكاء الاصطناعي وحماية الخصوصية، مثل الهيئة السعودية للبيانات والذكاء الاصطناعي (سدايا). ويتم التركيز على فعالية هذه التشريعات ومدى تطبيقها على أرض الواقع.</w:t>
      </w:r>
    </w:p>
    <w:p w14:paraId="69E367C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4. الأكاديميون والخبراء:</w:t>
      </w:r>
    </w:p>
    <w:p w14:paraId="5412292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وهم الباحثون والمتخصصون في المملكة العربية السعودية والمنطقة العربية في مجالات أخلاقيات الذكاء الاصطناعي، والقانون الرقمي، وأمن المعلومات، وعلوم البيانات، وحوكمة البيانات. ويتم الاعتماد عليهم كمصادر رئيسية في تحليل البيانات والمقابلات البحثية لتقديم رؤى تحليلية عميقة.</w:t>
      </w:r>
    </w:p>
    <w:p w14:paraId="57C14C1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إن هذا التنوع في مجتمع الدراسة يمنح البحث شمولية تساعد في تفسير النتائج من زوايا مختلفة، ويعكس الطبيعة متعددة الأبعاد لقضية معالجة البيانات الشخصية التي تتقاطع فيها الجوانب التقنية والقانونية والاجتماعية.</w:t>
      </w:r>
    </w:p>
    <w:p w14:paraId="2D907ABA" w14:textId="77777777" w:rsidR="0076340C" w:rsidRPr="00802CE5" w:rsidRDefault="00000000" w:rsidP="00802CE5">
      <w:pPr>
        <w:pStyle w:val="Heading2"/>
        <w:bidi/>
        <w:spacing w:before="240" w:after="160"/>
        <w:rPr>
          <w:rFonts w:ascii="Sakkal Majalla" w:hAnsi="Sakkal Majalla" w:cs="Sakkal Majalla"/>
          <w:sz w:val="32"/>
          <w:szCs w:val="32"/>
        </w:rPr>
      </w:pPr>
      <w:bookmarkStart w:id="20" w:name="_Toc234169646"/>
      <w:r w:rsidRPr="00802CE5">
        <w:rPr>
          <w:rFonts w:ascii="Sakkal Majalla" w:hAnsi="Sakkal Majalla" w:cs="Sakkal Majalla"/>
          <w:color w:val="000000"/>
          <w:sz w:val="36"/>
          <w:szCs w:val="36"/>
        </w:rPr>
        <w:t>عينة البحث</w:t>
      </w:r>
      <w:bookmarkEnd w:id="20"/>
    </w:p>
    <w:p w14:paraId="1AC0F4C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اعتمدت الدراسة على أسلوب العينة الطبقية العشوائية (Stratified Random Sampling)، وذلك نظراً لتنوع مجتمع الدراسة وتعدد فئاته، حيث يُعدّ هذا الأسلوب الأنسب لضمان تمثيل كل فئة من </w:t>
      </w:r>
      <w:r w:rsidRPr="00802CE5">
        <w:rPr>
          <w:rFonts w:ascii="Sakkal Majalla" w:hAnsi="Sakkal Majalla" w:cs="Sakkal Majalla"/>
          <w:sz w:val="32"/>
          <w:szCs w:val="32"/>
        </w:rPr>
        <w:lastRenderedPageBreak/>
        <w:t>فئات المجتمع بشكل متناسب. وقد بلغ إجمالي حجم العينة (150) مشاركاً، تم توزيعهم على النحو التالي:</w:t>
      </w:r>
    </w:p>
    <w:p w14:paraId="777B73DF"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(3.1): توزيع أفراد عينة الدراسة</w:t>
      </w:r>
    </w:p>
    <w:tbl>
      <w:tblPr>
        <w:tblStyle w:val="TableGrid"/>
        <w:bidiVisual/>
        <w:tblW w:w="0" w:type="auto"/>
        <w:jc w:val="center"/>
        <w:tblLook w:val="04A0" w:firstRow="1" w:lastRow="0" w:firstColumn="1" w:lastColumn="0" w:noHBand="0" w:noVBand="1"/>
      </w:tblPr>
      <w:tblGrid>
        <w:gridCol w:w="2160"/>
        <w:gridCol w:w="2160"/>
        <w:gridCol w:w="2160"/>
        <w:gridCol w:w="2160"/>
      </w:tblGrid>
      <w:tr w:rsidR="0076340C" w:rsidRPr="00802CE5" w14:paraId="0C51170F" w14:textId="77777777">
        <w:trPr>
          <w:jc w:val="center"/>
        </w:trPr>
        <w:tc>
          <w:tcPr>
            <w:tcW w:w="2160" w:type="dxa"/>
          </w:tcPr>
          <w:p w14:paraId="56191C5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طريقة الاختيار</w:t>
            </w:r>
          </w:p>
        </w:tc>
        <w:tc>
          <w:tcPr>
            <w:tcW w:w="2160" w:type="dxa"/>
          </w:tcPr>
          <w:p w14:paraId="1C60DF7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من العينة</w:t>
            </w:r>
          </w:p>
        </w:tc>
        <w:tc>
          <w:tcPr>
            <w:tcW w:w="2160" w:type="dxa"/>
          </w:tcPr>
          <w:p w14:paraId="4B6AACD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الحجم</w:t>
            </w:r>
          </w:p>
        </w:tc>
        <w:tc>
          <w:tcPr>
            <w:tcW w:w="2160" w:type="dxa"/>
          </w:tcPr>
          <w:p w14:paraId="56761D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الفئة</w:t>
            </w:r>
          </w:p>
        </w:tc>
      </w:tr>
      <w:tr w:rsidR="0076340C" w:rsidRPr="00802CE5" w14:paraId="70812C82" w14:textId="77777777">
        <w:trPr>
          <w:jc w:val="center"/>
        </w:trPr>
        <w:tc>
          <w:tcPr>
            <w:tcW w:w="2160" w:type="dxa"/>
          </w:tcPr>
          <w:p w14:paraId="1DEE5C9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عشوائية بسيطة</w:t>
            </w:r>
          </w:p>
        </w:tc>
        <w:tc>
          <w:tcPr>
            <w:tcW w:w="2160" w:type="dxa"/>
          </w:tcPr>
          <w:p w14:paraId="5C63B56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%66.7</w:t>
            </w:r>
          </w:p>
        </w:tc>
        <w:tc>
          <w:tcPr>
            <w:tcW w:w="2160" w:type="dxa"/>
          </w:tcPr>
          <w:p w14:paraId="7833C7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 فرد</w:t>
            </w:r>
          </w:p>
        </w:tc>
        <w:tc>
          <w:tcPr>
            <w:tcW w:w="2160" w:type="dxa"/>
          </w:tcPr>
          <w:p w14:paraId="757A50F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المستخدمون الأفراد للتطبيقات الذكية</w:t>
            </w:r>
          </w:p>
        </w:tc>
      </w:tr>
      <w:tr w:rsidR="0076340C" w:rsidRPr="00802CE5" w14:paraId="57E3CE26" w14:textId="77777777">
        <w:trPr>
          <w:jc w:val="center"/>
        </w:trPr>
        <w:tc>
          <w:tcPr>
            <w:tcW w:w="2160" w:type="dxa"/>
          </w:tcPr>
          <w:p w14:paraId="26955F2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عشوائية طبقية</w:t>
            </w:r>
          </w:p>
        </w:tc>
        <w:tc>
          <w:tcPr>
            <w:tcW w:w="2160" w:type="dxa"/>
          </w:tcPr>
          <w:p w14:paraId="4B70329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%20.0</w:t>
            </w:r>
          </w:p>
        </w:tc>
        <w:tc>
          <w:tcPr>
            <w:tcW w:w="2160" w:type="dxa"/>
          </w:tcPr>
          <w:p w14:paraId="2A52638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30 موظفاً</w:t>
            </w:r>
          </w:p>
        </w:tc>
        <w:tc>
          <w:tcPr>
            <w:tcW w:w="2160" w:type="dxa"/>
          </w:tcPr>
          <w:p w14:paraId="35C168F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الموظفون في شركات التكنولوجيا</w:t>
            </w:r>
          </w:p>
        </w:tc>
      </w:tr>
      <w:tr w:rsidR="0076340C" w:rsidRPr="00802CE5" w14:paraId="2C6B1127" w14:textId="77777777">
        <w:trPr>
          <w:jc w:val="center"/>
        </w:trPr>
        <w:tc>
          <w:tcPr>
            <w:tcW w:w="2160" w:type="dxa"/>
          </w:tcPr>
          <w:p w14:paraId="596877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قصدية</w:t>
            </w:r>
          </w:p>
        </w:tc>
        <w:tc>
          <w:tcPr>
            <w:tcW w:w="2160" w:type="dxa"/>
          </w:tcPr>
          <w:p w14:paraId="17BE22D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%6.7</w:t>
            </w:r>
          </w:p>
        </w:tc>
        <w:tc>
          <w:tcPr>
            <w:tcW w:w="2160" w:type="dxa"/>
          </w:tcPr>
          <w:p w14:paraId="744BD07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 مسؤولين</w:t>
            </w:r>
          </w:p>
        </w:tc>
        <w:tc>
          <w:tcPr>
            <w:tcW w:w="2160" w:type="dxa"/>
          </w:tcPr>
          <w:p w14:paraId="1B8A870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المسؤولون في الجهات الحكومية والتنظيمية</w:t>
            </w:r>
          </w:p>
        </w:tc>
      </w:tr>
      <w:tr w:rsidR="0076340C" w:rsidRPr="00802CE5" w14:paraId="619C350F" w14:textId="77777777">
        <w:trPr>
          <w:jc w:val="center"/>
        </w:trPr>
        <w:tc>
          <w:tcPr>
            <w:tcW w:w="2160" w:type="dxa"/>
          </w:tcPr>
          <w:p w14:paraId="227DD77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قصدية</w:t>
            </w:r>
          </w:p>
        </w:tc>
        <w:tc>
          <w:tcPr>
            <w:tcW w:w="2160" w:type="dxa"/>
          </w:tcPr>
          <w:p w14:paraId="50BECE7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%6.7</w:t>
            </w:r>
          </w:p>
        </w:tc>
        <w:tc>
          <w:tcPr>
            <w:tcW w:w="2160" w:type="dxa"/>
          </w:tcPr>
          <w:p w14:paraId="4303587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 خبراء</w:t>
            </w:r>
          </w:p>
        </w:tc>
        <w:tc>
          <w:tcPr>
            <w:tcW w:w="2160" w:type="dxa"/>
          </w:tcPr>
          <w:p w14:paraId="7266822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الخبراء والأكاديميون المتخصصون</w:t>
            </w:r>
          </w:p>
        </w:tc>
      </w:tr>
      <w:tr w:rsidR="0076340C" w:rsidRPr="00802CE5" w14:paraId="721D6B5F" w14:textId="77777777">
        <w:trPr>
          <w:jc w:val="center"/>
        </w:trPr>
        <w:tc>
          <w:tcPr>
            <w:tcW w:w="2160" w:type="dxa"/>
          </w:tcPr>
          <w:p w14:paraId="40AC7C75" w14:textId="77777777" w:rsidR="0076340C" w:rsidRPr="00802CE5" w:rsidRDefault="0076340C" w:rsidP="00802CE5">
            <w:pPr>
              <w:bidi/>
              <w:rPr>
                <w:rFonts w:ascii="Sakkal Majalla" w:hAnsi="Sakkal Majalla" w:cs="Sakkal Majalla"/>
                <w:sz w:val="32"/>
                <w:szCs w:val="28"/>
              </w:rPr>
            </w:pPr>
          </w:p>
        </w:tc>
        <w:tc>
          <w:tcPr>
            <w:tcW w:w="2160" w:type="dxa"/>
          </w:tcPr>
          <w:p w14:paraId="342F5F9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c>
          <w:tcPr>
            <w:tcW w:w="2160" w:type="dxa"/>
          </w:tcPr>
          <w:p w14:paraId="1872B11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 مشاركاً</w:t>
            </w:r>
          </w:p>
        </w:tc>
        <w:tc>
          <w:tcPr>
            <w:tcW w:w="2160" w:type="dxa"/>
          </w:tcPr>
          <w:p w14:paraId="0301AB8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r>
    </w:tbl>
    <w:p w14:paraId="6DAD10D9" w14:textId="77777777" w:rsidR="0076340C" w:rsidRPr="00802CE5" w:rsidRDefault="0076340C" w:rsidP="00802CE5">
      <w:pPr>
        <w:bidi/>
        <w:spacing w:after="40"/>
        <w:rPr>
          <w:rFonts w:ascii="Sakkal Majalla" w:hAnsi="Sakkal Majalla" w:cs="Sakkal Majalla"/>
          <w:sz w:val="32"/>
          <w:szCs w:val="28"/>
        </w:rPr>
      </w:pPr>
    </w:p>
    <w:p w14:paraId="236C56F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وقد روعي في اختيار العينة أن تكون الفئة الأولى (المستخدمون الأفراد) هي الأكبر حجماً لكونها تمثل الطرف الأكثر تأثراً بممارسات معالجة البيانات الشخصية، بينما تم اختيار فئتي المسؤولين الحكوميين والخبراء بالأسلوب القصدي نظراً لمحدودية أعدادهم وتخصصية أدوارهم. ونظراً لصعوبة تحديد الحجم الكلي لمجتمع الدراسة بشكل دقيق – كونه يشمل فئات متنوعة وغير محصورة في جهة واحدة – فقد تم الاعتماد على عينة تمثيلية كافية لأغراض التحليل الإحصائي وتعميم النتائج، وفقاً لما أوصت به الأدبيات المنهجية في مثل هذا النوع من الدراسات (Sekaran &amp; Bougie, 2016).</w:t>
      </w:r>
    </w:p>
    <w:p w14:paraId="0E51C8A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كما تجدر الإشارة إلى أن فئة الخبراء والأكاديميين (10 خبراء) تمثل عينة المقابلات شبه المهيكلة، وتشمل متخصصين في خمسة مجالات: الذكاء الاصطناعي، وعلوم البيانات، وأمن المعلومات، والقانون الرقمي، وحوكمة البيانات.</w:t>
      </w:r>
    </w:p>
    <w:p w14:paraId="728B96F7" w14:textId="77777777" w:rsidR="0076340C" w:rsidRPr="00802CE5" w:rsidRDefault="00000000" w:rsidP="00802CE5">
      <w:pPr>
        <w:pStyle w:val="Heading2"/>
        <w:bidi/>
        <w:spacing w:before="240" w:after="160"/>
        <w:rPr>
          <w:rFonts w:ascii="Sakkal Majalla" w:hAnsi="Sakkal Majalla" w:cs="Sakkal Majalla"/>
          <w:sz w:val="32"/>
          <w:szCs w:val="32"/>
        </w:rPr>
      </w:pPr>
      <w:bookmarkStart w:id="21" w:name="_Toc234169647"/>
      <w:r w:rsidRPr="00802CE5">
        <w:rPr>
          <w:rFonts w:ascii="Sakkal Majalla" w:hAnsi="Sakkal Majalla" w:cs="Sakkal Majalla"/>
          <w:color w:val="000000"/>
          <w:sz w:val="36"/>
          <w:szCs w:val="36"/>
        </w:rPr>
        <w:t>تحديد أدوات البحث وخطوات بنائها</w:t>
      </w:r>
      <w:bookmarkEnd w:id="21"/>
    </w:p>
    <w:p w14:paraId="702B7BF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اعتمدت الدراسة على ثلاث أدوات رئيسية لجمع البيانات، بالإضافة إلى نموذج تقني تطبيقي، وذلك لضمان التكامل بين البيانات الكمية والنوعية والتطبيقية. وفيما يلي عرض تفصيلي لخطوات بناء كل أداة:</w:t>
      </w:r>
    </w:p>
    <w:p w14:paraId="4F3E89E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الأداة الأولى: تحليل الوثائق والتشريعات (Document Analysis)</w:t>
      </w:r>
    </w:p>
    <w:p w14:paraId="2D3DCD3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 جمع البيانات الثانوية من خلال مراجعة وتحليل الوثائق القانونية والسياسات التنظيمية المتعلقة بأخلاقيات الذكاء الاصطناعي ومعالجة البيانات الشخصية، وشملت:</w:t>
      </w:r>
    </w:p>
    <w:p w14:paraId="36F6B6C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اللائحة العامة لحماية البيانات (GDPR) – الاتحاد الأوروبي.</w:t>
      </w:r>
    </w:p>
    <w:p w14:paraId="31CFF86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قانون حماية خصوصية المستهلك في كاليفورنيا (CCPA) – الولايات المتحدة.</w:t>
      </w:r>
    </w:p>
    <w:p w14:paraId="1279025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نظام حماية البيانات الشخصية في المملكة العربية السعودية.</w:t>
      </w:r>
    </w:p>
    <w:p w14:paraId="475AF68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مبادئ سدايا لأخلاقيات الذكاء الاصطناعي (2023).</w:t>
      </w:r>
    </w:p>
    <w:p w14:paraId="07AF903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سياسات الخصوصية لدى كبرى الشركات التقنية مثل (Google، Facebook، Amazon، Microsoft، Apple).</w:t>
      </w:r>
    </w:p>
    <w:p w14:paraId="753CC0F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الأداة الثانية: الاستبانة (Survey/Questionnaire)</w:t>
      </w:r>
    </w:p>
    <w:p w14:paraId="36C45B1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lastRenderedPageBreak/>
        <w:t>مرّ بناء الاستبانة بالخطوات المنهجية التالية:</w:t>
      </w:r>
    </w:p>
    <w:p w14:paraId="25E654A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مراجعة الأدبيات والدراسات السابقة: تمت مراجعة شاملة للدراسات العربية والأجنبية ذات الصلة، مثل دراسة الهيئة السعودية للبيانات والذكاء الاصطناعي (سدايا، 2023)، ودراسة جامعة سوهاج (2024)، ودراسة Floridi &amp; Cowls (2019)، ودراسة Binns (2020)، وذلك لاستخلاص الأبعاد والمحاور الأساسية التي ينبغي أن تتضمنها الاستبانة.</w:t>
      </w:r>
    </w:p>
    <w:p w14:paraId="104A23F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تحديد المحاور والأبعاد: في ضوء نموذج الدراسة ومتغيراتها، تم تحديد أربعة محاور أساسية تغطي المتغيرات المستقلة والتابعة والوسيطة.</w:t>
      </w:r>
    </w:p>
    <w:p w14:paraId="0753B04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صياغة الفقرات الأولية: تمت صياغة مجموعة من الفقرات لكل محور بما يتوافق مع فرضيات الدراسة (H1–H10) وأسئلتها الستة، مع مراعاة الوضوح والدقة في الصياغة وتجنب الازدواجية والغموض.</w:t>
      </w:r>
    </w:p>
    <w:p w14:paraId="309D4D1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4. العرض على المشرف: عُرضت النسخة الأولية من الاستبانة على المشرف الأكاديمي للمراجعة وإبداء الملاحظات، وتم إجراء التعديلات اللازمة في ضوء توجيهاته.</w:t>
      </w:r>
    </w:p>
    <w:p w14:paraId="1DA3038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5. التحكيم: عُرضت الاستبانة في صورتها الأولية على لجنة مكونة من ثلاثة محكّمين متخصصين في مجالات الذكاء الاصطناعي، والقانون الرقمي، والمناهج البحثية، للتأكد من صدق المحتوى وملاءمة الفقرات لقياس ما وُضعت لقياسه.</w:t>
      </w:r>
    </w:p>
    <w:p w14:paraId="11CC522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6. التعديل والصياغة النهائية: في ضوء ملاحظات المحكّمين، تم تعديل بعض الفقرات من حيث الصياغة والوضوح والدقة، ليتم الوصول إلى الصورة النهائية للاستبانة.</w:t>
      </w:r>
    </w:p>
    <w:p w14:paraId="667772E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الأداة الثالثة: المقابلات شبه المهيكلة (Semi-Structured Interviews)</w:t>
      </w:r>
    </w:p>
    <w:p w14:paraId="0F8033F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أُجريت مقابلات شبه مهيكلة مع (10) خبراء متخصصين في خمسة مجالات (الذكاء الاصطناعي، وعلوم البيانات، وأمن المعلومات، والقانون الرقمي، وحوكمة البيانات)، وذلك للحصول على رؤى معمقة ونوعية حول القضايا الأخلاقية والقانونية المرتبطة بمعالجة البيانات الشخصية. وقد تم تصميم دليل المقابلة في ضوء أسئلة البحث وتحليل مضامين الإجابات وفقاً لها.</w:t>
      </w:r>
    </w:p>
    <w:p w14:paraId="4455F34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الأداة الرابعة: النموذج التقني (Prototype)</w:t>
      </w:r>
    </w:p>
    <w:p w14:paraId="3062CA4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تم تصميم نموذج تقني تطبيقي (Prototype) كأداة تقيس: الامتثال الأخلاقي، ومستوى الشفافية، واحتمالية التحيّز، ودرجة المخاطر على الخصوصية، ونقاط الضعف في دورة حياة البيانات.</w:t>
      </w:r>
    </w:p>
    <w:p w14:paraId="58F5E2D3" w14:textId="77777777" w:rsidR="0076340C" w:rsidRPr="00802CE5" w:rsidRDefault="00000000" w:rsidP="00802CE5">
      <w:pPr>
        <w:pStyle w:val="Heading2"/>
        <w:bidi/>
        <w:spacing w:before="240" w:after="160"/>
        <w:rPr>
          <w:rFonts w:ascii="Sakkal Majalla" w:hAnsi="Sakkal Majalla" w:cs="Sakkal Majalla"/>
          <w:sz w:val="32"/>
          <w:szCs w:val="32"/>
        </w:rPr>
      </w:pPr>
      <w:bookmarkStart w:id="22" w:name="_Toc234169648"/>
      <w:r w:rsidRPr="00802CE5">
        <w:rPr>
          <w:rFonts w:ascii="Sakkal Majalla" w:hAnsi="Sakkal Majalla" w:cs="Sakkal Majalla"/>
          <w:color w:val="000000"/>
          <w:sz w:val="36"/>
          <w:szCs w:val="36"/>
        </w:rPr>
        <w:t>مكونات أداة البحث (الاستبانة)</w:t>
      </w:r>
      <w:bookmarkEnd w:id="22"/>
    </w:p>
    <w:p w14:paraId="6C0B8FD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تتكون الاستبانة في صورتها النهائية من قسمين رئيسيين:</w:t>
      </w:r>
    </w:p>
    <w:p w14:paraId="129B21F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القسم الأول: البيانات الشخصية (الأولية)</w:t>
      </w:r>
    </w:p>
    <w:p w14:paraId="64731DB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يتضمن هذا القسم المعلومات الديموغرافية للمستجيبين، وتشمل:</w:t>
      </w:r>
    </w:p>
    <w:p w14:paraId="2F4770D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الجنس (ذكر / أنثى).</w:t>
      </w:r>
    </w:p>
    <w:p w14:paraId="62C0918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الفئة العمرية.</w:t>
      </w:r>
    </w:p>
    <w:p w14:paraId="109C462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المؤهل العلمي.</w:t>
      </w:r>
    </w:p>
    <w:p w14:paraId="563B488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المسمى الوظيفي / طبيعة العمل.</w:t>
      </w:r>
    </w:p>
    <w:p w14:paraId="3B59B25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سنوات الخبرة في المجال التقني أو ذي الصلة.</w:t>
      </w:r>
    </w:p>
    <w:p w14:paraId="7B1B8AE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الفئة المستهدفة (مستخدم فرد / موظف شركة تقنية / مسؤول حكومي / خبير أكاديمي).</w:t>
      </w:r>
    </w:p>
    <w:p w14:paraId="6AAC647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القسم الثاني: المحاور الأساسية</w:t>
      </w:r>
    </w:p>
    <w:p w14:paraId="7297B51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يتضمن هذا القسم أربعة محاور مرتبطة بمتغيرات الدراسة (المستقل، والتابع، والوسيط)، وذلك على النحو التالي:</w:t>
      </w:r>
    </w:p>
    <w:p w14:paraId="410B67EF"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(3.2): محاور الاستبانة وعدد فقراتها والمتغيرات والفرضيات المرتبطة بها</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062DD337" w14:textId="77777777">
        <w:trPr>
          <w:jc w:val="center"/>
        </w:trPr>
        <w:tc>
          <w:tcPr>
            <w:tcW w:w="1728" w:type="dxa"/>
          </w:tcPr>
          <w:p w14:paraId="6D9F0C5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الفرضيات المخدومة</w:t>
            </w:r>
          </w:p>
        </w:tc>
        <w:tc>
          <w:tcPr>
            <w:tcW w:w="1728" w:type="dxa"/>
          </w:tcPr>
          <w:p w14:paraId="09AA7C7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عدد الفقرات</w:t>
            </w:r>
          </w:p>
        </w:tc>
        <w:tc>
          <w:tcPr>
            <w:tcW w:w="1728" w:type="dxa"/>
          </w:tcPr>
          <w:p w14:paraId="6C75C70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المتغير المرتبط</w:t>
            </w:r>
          </w:p>
        </w:tc>
        <w:tc>
          <w:tcPr>
            <w:tcW w:w="1728" w:type="dxa"/>
          </w:tcPr>
          <w:p w14:paraId="7D625E8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المضمون</w:t>
            </w:r>
          </w:p>
        </w:tc>
        <w:tc>
          <w:tcPr>
            <w:tcW w:w="1728" w:type="dxa"/>
          </w:tcPr>
          <w:p w14:paraId="41D0E6A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w:t>
            </w:r>
          </w:p>
        </w:tc>
      </w:tr>
      <w:tr w:rsidR="0076340C" w:rsidRPr="00802CE5" w14:paraId="5E8A2267" w14:textId="77777777">
        <w:trPr>
          <w:jc w:val="center"/>
        </w:trPr>
        <w:tc>
          <w:tcPr>
            <w:tcW w:w="1728" w:type="dxa"/>
          </w:tcPr>
          <w:p w14:paraId="270C951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H7, H8</w:t>
            </w:r>
          </w:p>
        </w:tc>
        <w:tc>
          <w:tcPr>
            <w:tcW w:w="1728" w:type="dxa"/>
          </w:tcPr>
          <w:p w14:paraId="28C037F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1728" w:type="dxa"/>
          </w:tcPr>
          <w:p w14:paraId="713104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الوسيط (الوعي المجتمعي)</w:t>
            </w:r>
          </w:p>
        </w:tc>
        <w:tc>
          <w:tcPr>
            <w:tcW w:w="1728" w:type="dxa"/>
          </w:tcPr>
          <w:p w14:paraId="008C84C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مدى إدراك الأفراد لحقوقهم المتعلقة بالخصوصية</w:t>
            </w:r>
          </w:p>
        </w:tc>
        <w:tc>
          <w:tcPr>
            <w:tcW w:w="1728" w:type="dxa"/>
          </w:tcPr>
          <w:p w14:paraId="29CDFDB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الأول: وعي المستخدم بالخصوصية الرقمية</w:t>
            </w:r>
          </w:p>
        </w:tc>
      </w:tr>
      <w:tr w:rsidR="0076340C" w:rsidRPr="00802CE5" w14:paraId="4E2EE6BB" w14:textId="77777777">
        <w:trPr>
          <w:jc w:val="center"/>
        </w:trPr>
        <w:tc>
          <w:tcPr>
            <w:tcW w:w="1728" w:type="dxa"/>
          </w:tcPr>
          <w:p w14:paraId="7456AA1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 H2</w:t>
            </w:r>
          </w:p>
        </w:tc>
        <w:tc>
          <w:tcPr>
            <w:tcW w:w="1728" w:type="dxa"/>
          </w:tcPr>
          <w:p w14:paraId="3BC8F0D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1728" w:type="dxa"/>
          </w:tcPr>
          <w:p w14:paraId="26CCBEA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المستقل (استخدام AI)</w:t>
            </w:r>
          </w:p>
        </w:tc>
        <w:tc>
          <w:tcPr>
            <w:tcW w:w="1728" w:type="dxa"/>
          </w:tcPr>
          <w:p w14:paraId="17B9DB6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درجة ثقة المستجيبين في الأنظمة الذكية</w:t>
            </w:r>
          </w:p>
        </w:tc>
        <w:tc>
          <w:tcPr>
            <w:tcW w:w="1728" w:type="dxa"/>
          </w:tcPr>
          <w:p w14:paraId="502247F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الثاني: الثقة في أنظمة الذكاء الاصطناعي</w:t>
            </w:r>
          </w:p>
        </w:tc>
      </w:tr>
      <w:tr w:rsidR="0076340C" w:rsidRPr="00802CE5" w14:paraId="2F31EF54" w14:textId="77777777">
        <w:trPr>
          <w:jc w:val="center"/>
        </w:trPr>
        <w:tc>
          <w:tcPr>
            <w:tcW w:w="1728" w:type="dxa"/>
          </w:tcPr>
          <w:p w14:paraId="7856694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H3, H4, H5, H9</w:t>
            </w:r>
          </w:p>
        </w:tc>
        <w:tc>
          <w:tcPr>
            <w:tcW w:w="1728" w:type="dxa"/>
          </w:tcPr>
          <w:p w14:paraId="26119E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w:t>
            </w:r>
          </w:p>
        </w:tc>
        <w:tc>
          <w:tcPr>
            <w:tcW w:w="1728" w:type="dxa"/>
          </w:tcPr>
          <w:p w14:paraId="0CF51A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الوسيط (التشريعات، الشفافية)</w:t>
            </w:r>
          </w:p>
        </w:tc>
        <w:tc>
          <w:tcPr>
            <w:tcW w:w="1728" w:type="dxa"/>
          </w:tcPr>
          <w:p w14:paraId="31F5040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تقييم مستوى الشفافية والالتزام الأخلاقي للشركات</w:t>
            </w:r>
          </w:p>
        </w:tc>
        <w:tc>
          <w:tcPr>
            <w:tcW w:w="1728" w:type="dxa"/>
          </w:tcPr>
          <w:p w14:paraId="1FA8F0F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الثالث: تقييم ممارسات الشركات والمؤسسات</w:t>
            </w:r>
          </w:p>
        </w:tc>
      </w:tr>
      <w:tr w:rsidR="0076340C" w:rsidRPr="00802CE5" w14:paraId="1100D6A6" w14:textId="77777777">
        <w:trPr>
          <w:jc w:val="center"/>
        </w:trPr>
        <w:tc>
          <w:tcPr>
            <w:tcW w:w="1728" w:type="dxa"/>
          </w:tcPr>
          <w:p w14:paraId="29B7460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H6, H10</w:t>
            </w:r>
          </w:p>
        </w:tc>
        <w:tc>
          <w:tcPr>
            <w:tcW w:w="1728" w:type="dxa"/>
          </w:tcPr>
          <w:p w14:paraId="7707471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1728" w:type="dxa"/>
          </w:tcPr>
          <w:p w14:paraId="6D3E826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التابع (الخصوصية مقابل الاستغلال)</w:t>
            </w:r>
          </w:p>
        </w:tc>
        <w:tc>
          <w:tcPr>
            <w:tcW w:w="1728" w:type="dxa"/>
          </w:tcPr>
          <w:p w14:paraId="121CEBC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تصورات المستجيبين حول مخاطر الاستغلال والتحيز</w:t>
            </w:r>
          </w:p>
        </w:tc>
        <w:tc>
          <w:tcPr>
            <w:tcW w:w="1728" w:type="dxa"/>
          </w:tcPr>
          <w:p w14:paraId="7A8D123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الرابع: استغلال البيانات والتحيّز الخوارزمي</w:t>
            </w:r>
          </w:p>
        </w:tc>
      </w:tr>
      <w:tr w:rsidR="0076340C" w:rsidRPr="00802CE5" w14:paraId="369CA2A6" w14:textId="77777777">
        <w:trPr>
          <w:jc w:val="center"/>
        </w:trPr>
        <w:tc>
          <w:tcPr>
            <w:tcW w:w="1728" w:type="dxa"/>
          </w:tcPr>
          <w:p w14:paraId="68374BC9" w14:textId="77777777" w:rsidR="0076340C" w:rsidRPr="00802CE5" w:rsidRDefault="0076340C" w:rsidP="00802CE5">
            <w:pPr>
              <w:bidi/>
              <w:rPr>
                <w:rFonts w:ascii="Sakkal Majalla" w:hAnsi="Sakkal Majalla" w:cs="Sakkal Majalla"/>
                <w:sz w:val="32"/>
                <w:szCs w:val="28"/>
              </w:rPr>
            </w:pPr>
          </w:p>
        </w:tc>
        <w:tc>
          <w:tcPr>
            <w:tcW w:w="1728" w:type="dxa"/>
          </w:tcPr>
          <w:p w14:paraId="2C6341A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32</w:t>
            </w:r>
          </w:p>
        </w:tc>
        <w:tc>
          <w:tcPr>
            <w:tcW w:w="1728" w:type="dxa"/>
          </w:tcPr>
          <w:p w14:paraId="76DB53A6" w14:textId="77777777" w:rsidR="0076340C" w:rsidRPr="00802CE5" w:rsidRDefault="0076340C" w:rsidP="00802CE5">
            <w:pPr>
              <w:bidi/>
              <w:rPr>
                <w:rFonts w:ascii="Sakkal Majalla" w:hAnsi="Sakkal Majalla" w:cs="Sakkal Majalla"/>
                <w:sz w:val="32"/>
                <w:szCs w:val="28"/>
              </w:rPr>
            </w:pPr>
          </w:p>
        </w:tc>
        <w:tc>
          <w:tcPr>
            <w:tcW w:w="1728" w:type="dxa"/>
          </w:tcPr>
          <w:p w14:paraId="57250449" w14:textId="77777777" w:rsidR="0076340C" w:rsidRPr="00802CE5" w:rsidRDefault="0076340C" w:rsidP="00802CE5">
            <w:pPr>
              <w:bidi/>
              <w:rPr>
                <w:rFonts w:ascii="Sakkal Majalla" w:hAnsi="Sakkal Majalla" w:cs="Sakkal Majalla"/>
                <w:sz w:val="32"/>
                <w:szCs w:val="28"/>
              </w:rPr>
            </w:pPr>
          </w:p>
        </w:tc>
        <w:tc>
          <w:tcPr>
            <w:tcW w:w="1728" w:type="dxa"/>
          </w:tcPr>
          <w:p w14:paraId="42223D7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r>
    </w:tbl>
    <w:p w14:paraId="3218786C" w14:textId="77777777" w:rsidR="0076340C" w:rsidRPr="00802CE5" w:rsidRDefault="0076340C" w:rsidP="00802CE5">
      <w:pPr>
        <w:bidi/>
        <w:spacing w:after="40"/>
        <w:rPr>
          <w:rFonts w:ascii="Sakkal Majalla" w:hAnsi="Sakkal Majalla" w:cs="Sakkal Majalla"/>
          <w:sz w:val="32"/>
          <w:szCs w:val="28"/>
        </w:rPr>
      </w:pPr>
    </w:p>
    <w:p w14:paraId="6FD090F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وبذلك يبلغ إجمالي فقرات الاستبانة (32) فقرة موزعة على المحاور الأربعة، وقد روعي أن تكون فقرات كل محور شاملة لأبعاد المتغير المرتبط به، وأن تغطي مجتمعةً جميع فرضيات الدراسة العشر وأسئلتها الستة.</w:t>
      </w:r>
    </w:p>
    <w:p w14:paraId="2F562361" w14:textId="77777777" w:rsidR="0076340C" w:rsidRPr="00802CE5" w:rsidRDefault="00000000" w:rsidP="00802CE5">
      <w:pPr>
        <w:pStyle w:val="Heading2"/>
        <w:bidi/>
        <w:spacing w:before="240" w:after="160"/>
        <w:rPr>
          <w:rFonts w:ascii="Sakkal Majalla" w:hAnsi="Sakkal Majalla" w:cs="Sakkal Majalla"/>
          <w:sz w:val="32"/>
          <w:szCs w:val="32"/>
        </w:rPr>
      </w:pPr>
      <w:bookmarkStart w:id="23" w:name="_Toc234169649"/>
      <w:r w:rsidRPr="00802CE5">
        <w:rPr>
          <w:rFonts w:ascii="Sakkal Majalla" w:hAnsi="Sakkal Majalla" w:cs="Sakkal Majalla"/>
          <w:color w:val="000000"/>
          <w:sz w:val="36"/>
          <w:szCs w:val="36"/>
        </w:rPr>
        <w:lastRenderedPageBreak/>
        <w:t>تصحيح أداة البحث (الاستبانة)</w:t>
      </w:r>
      <w:bookmarkEnd w:id="23"/>
    </w:p>
    <w:p w14:paraId="16981D6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اعتمد الباحث مقياس ليكرت الخماسي (Five-Point Likert Scale) لتصحيح جميع محاور الاستبانة، وذلك لأنه يحقق توازناً ممتازاً بين سهولة الفهم للمستجيبين ودقة البيانات المُحصّلة للباحث، كما أنه يوفر خياراً وسطاً (محايد) لمن ليس لديهم رأي قاطع، وهو المقياس المُفضّل في أطروحات الدكتوراه.</w:t>
      </w:r>
    </w:p>
    <w:p w14:paraId="64ABBD3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في حالة العبارات الإيجابية:</w:t>
      </w:r>
    </w:p>
    <w:p w14:paraId="2B87FDC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(3.3): أوزان مقياس ليكرت الخماسي للعبارات الإيجابية</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5182155C" w14:textId="77777777">
        <w:trPr>
          <w:jc w:val="center"/>
        </w:trPr>
        <w:tc>
          <w:tcPr>
            <w:tcW w:w="1440" w:type="dxa"/>
          </w:tcPr>
          <w:p w14:paraId="1B1F26E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معارض بشدة</w:t>
            </w:r>
          </w:p>
        </w:tc>
        <w:tc>
          <w:tcPr>
            <w:tcW w:w="1440" w:type="dxa"/>
          </w:tcPr>
          <w:p w14:paraId="1524A94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معارض</w:t>
            </w:r>
          </w:p>
        </w:tc>
        <w:tc>
          <w:tcPr>
            <w:tcW w:w="1440" w:type="dxa"/>
          </w:tcPr>
          <w:p w14:paraId="3A7E496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محايد</w:t>
            </w:r>
          </w:p>
        </w:tc>
        <w:tc>
          <w:tcPr>
            <w:tcW w:w="1440" w:type="dxa"/>
          </w:tcPr>
          <w:p w14:paraId="19D2DAF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موافق</w:t>
            </w:r>
          </w:p>
        </w:tc>
        <w:tc>
          <w:tcPr>
            <w:tcW w:w="1440" w:type="dxa"/>
          </w:tcPr>
          <w:p w14:paraId="492835A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موافق بشدة</w:t>
            </w:r>
          </w:p>
        </w:tc>
        <w:tc>
          <w:tcPr>
            <w:tcW w:w="1440" w:type="dxa"/>
          </w:tcPr>
          <w:p w14:paraId="269F8A1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الاستجابة</w:t>
            </w:r>
          </w:p>
        </w:tc>
      </w:tr>
      <w:tr w:rsidR="0076340C" w:rsidRPr="00802CE5" w14:paraId="17B878BC" w14:textId="77777777">
        <w:trPr>
          <w:jc w:val="center"/>
        </w:trPr>
        <w:tc>
          <w:tcPr>
            <w:tcW w:w="1440" w:type="dxa"/>
          </w:tcPr>
          <w:p w14:paraId="067A455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440" w:type="dxa"/>
          </w:tcPr>
          <w:p w14:paraId="1BC1CE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440" w:type="dxa"/>
          </w:tcPr>
          <w:p w14:paraId="751066F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440" w:type="dxa"/>
          </w:tcPr>
          <w:p w14:paraId="114A4B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440" w:type="dxa"/>
          </w:tcPr>
          <w:p w14:paraId="6A48C5B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440" w:type="dxa"/>
          </w:tcPr>
          <w:p w14:paraId="04D5C37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الوزن</w:t>
            </w:r>
          </w:p>
        </w:tc>
      </w:tr>
    </w:tbl>
    <w:p w14:paraId="1AFC893C" w14:textId="77777777" w:rsidR="0076340C" w:rsidRPr="00802CE5" w:rsidRDefault="0076340C" w:rsidP="00802CE5">
      <w:pPr>
        <w:bidi/>
        <w:spacing w:after="40"/>
        <w:rPr>
          <w:rFonts w:ascii="Sakkal Majalla" w:hAnsi="Sakkal Majalla" w:cs="Sakkal Majalla"/>
          <w:sz w:val="32"/>
          <w:szCs w:val="28"/>
        </w:rPr>
      </w:pPr>
    </w:p>
    <w:p w14:paraId="65297A7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في حالة العبارات السلبية (المعكوسة):</w:t>
      </w:r>
    </w:p>
    <w:p w14:paraId="034C25DD"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(3.4): أوزان مقياس ليكرت الخماسي للعبارات السلبية</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6873C168" w14:textId="77777777">
        <w:trPr>
          <w:jc w:val="center"/>
        </w:trPr>
        <w:tc>
          <w:tcPr>
            <w:tcW w:w="1440" w:type="dxa"/>
          </w:tcPr>
          <w:p w14:paraId="1B5541B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معارض بشدة</w:t>
            </w:r>
          </w:p>
        </w:tc>
        <w:tc>
          <w:tcPr>
            <w:tcW w:w="1440" w:type="dxa"/>
          </w:tcPr>
          <w:p w14:paraId="30C6C65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معارض</w:t>
            </w:r>
          </w:p>
        </w:tc>
        <w:tc>
          <w:tcPr>
            <w:tcW w:w="1440" w:type="dxa"/>
          </w:tcPr>
          <w:p w14:paraId="54B33B8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محايد</w:t>
            </w:r>
          </w:p>
        </w:tc>
        <w:tc>
          <w:tcPr>
            <w:tcW w:w="1440" w:type="dxa"/>
          </w:tcPr>
          <w:p w14:paraId="7AFEF6D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موافق</w:t>
            </w:r>
          </w:p>
        </w:tc>
        <w:tc>
          <w:tcPr>
            <w:tcW w:w="1440" w:type="dxa"/>
          </w:tcPr>
          <w:p w14:paraId="22517A2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موافق بشدة</w:t>
            </w:r>
          </w:p>
        </w:tc>
        <w:tc>
          <w:tcPr>
            <w:tcW w:w="1440" w:type="dxa"/>
          </w:tcPr>
          <w:p w14:paraId="2AC87D1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الاستجابة</w:t>
            </w:r>
          </w:p>
        </w:tc>
      </w:tr>
      <w:tr w:rsidR="0076340C" w:rsidRPr="00802CE5" w14:paraId="065392FA" w14:textId="77777777">
        <w:trPr>
          <w:jc w:val="center"/>
        </w:trPr>
        <w:tc>
          <w:tcPr>
            <w:tcW w:w="1440" w:type="dxa"/>
          </w:tcPr>
          <w:p w14:paraId="3BCF9BC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440" w:type="dxa"/>
          </w:tcPr>
          <w:p w14:paraId="2697275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440" w:type="dxa"/>
          </w:tcPr>
          <w:p w14:paraId="0FCBE6A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440" w:type="dxa"/>
          </w:tcPr>
          <w:p w14:paraId="1C5B7BA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440" w:type="dxa"/>
          </w:tcPr>
          <w:p w14:paraId="7CA406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440" w:type="dxa"/>
          </w:tcPr>
          <w:p w14:paraId="3B88B34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الوزن</w:t>
            </w:r>
          </w:p>
        </w:tc>
      </w:tr>
    </w:tbl>
    <w:p w14:paraId="4F3A39EA" w14:textId="77777777" w:rsidR="0076340C" w:rsidRPr="00802CE5" w:rsidRDefault="0076340C" w:rsidP="00802CE5">
      <w:pPr>
        <w:bidi/>
        <w:spacing w:after="40"/>
        <w:rPr>
          <w:rFonts w:ascii="Sakkal Majalla" w:hAnsi="Sakkal Majalla" w:cs="Sakkal Majalla"/>
          <w:sz w:val="32"/>
          <w:szCs w:val="28"/>
        </w:rPr>
      </w:pPr>
    </w:p>
    <w:p w14:paraId="07CCAF9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وتُعكس الأوزان في العبارات السلبية لضمان اتساق اتجاه القياس عبر جميع فقرات الاستبانة، بحيث تعكس الدرجة الأعلى دائماً الاتجاه الإيجابي نحو المتغير المُقاس.</w:t>
      </w:r>
    </w:p>
    <w:p w14:paraId="5278BE5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معيار تفسير المتوسطات الحسابية:</w:t>
      </w:r>
    </w:p>
    <w:p w14:paraId="7D2B204A"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(3.5): معيار تفسير المتوسطات الحسابية وفق مقياس ليكرت الخماسي</w:t>
      </w:r>
    </w:p>
    <w:tbl>
      <w:tblPr>
        <w:tblStyle w:val="TableGrid"/>
        <w:bidiVisual/>
        <w:tblW w:w="0" w:type="auto"/>
        <w:jc w:val="center"/>
        <w:tblLook w:val="04A0" w:firstRow="1" w:lastRow="0" w:firstColumn="1" w:lastColumn="0" w:noHBand="0" w:noVBand="1"/>
      </w:tblPr>
      <w:tblGrid>
        <w:gridCol w:w="4320"/>
        <w:gridCol w:w="4320"/>
      </w:tblGrid>
      <w:tr w:rsidR="0076340C" w:rsidRPr="00802CE5" w14:paraId="7D95EF11" w14:textId="77777777">
        <w:trPr>
          <w:jc w:val="center"/>
        </w:trPr>
        <w:tc>
          <w:tcPr>
            <w:tcW w:w="4320" w:type="dxa"/>
          </w:tcPr>
          <w:p w14:paraId="7A82AD6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c>
          <w:tcPr>
            <w:tcW w:w="4320" w:type="dxa"/>
          </w:tcPr>
          <w:p w14:paraId="0243C98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المدى</w:t>
            </w:r>
          </w:p>
        </w:tc>
      </w:tr>
      <w:tr w:rsidR="0076340C" w:rsidRPr="00802CE5" w14:paraId="66433C9F" w14:textId="77777777">
        <w:trPr>
          <w:jc w:val="center"/>
        </w:trPr>
        <w:tc>
          <w:tcPr>
            <w:tcW w:w="4320" w:type="dxa"/>
          </w:tcPr>
          <w:p w14:paraId="7C0148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 جداً</w:t>
            </w:r>
          </w:p>
        </w:tc>
        <w:tc>
          <w:tcPr>
            <w:tcW w:w="4320" w:type="dxa"/>
          </w:tcPr>
          <w:p w14:paraId="58483C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1.00 إلى 1.80</w:t>
            </w:r>
          </w:p>
        </w:tc>
      </w:tr>
      <w:tr w:rsidR="0076340C" w:rsidRPr="00802CE5" w14:paraId="5C943531" w14:textId="77777777">
        <w:trPr>
          <w:jc w:val="center"/>
        </w:trPr>
        <w:tc>
          <w:tcPr>
            <w:tcW w:w="4320" w:type="dxa"/>
          </w:tcPr>
          <w:p w14:paraId="3C7998D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c>
          <w:tcPr>
            <w:tcW w:w="4320" w:type="dxa"/>
          </w:tcPr>
          <w:p w14:paraId="1FE984B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1.81 إلى 2.60</w:t>
            </w:r>
          </w:p>
        </w:tc>
      </w:tr>
      <w:tr w:rsidR="0076340C" w:rsidRPr="00802CE5" w14:paraId="3E5D9C90" w14:textId="77777777">
        <w:trPr>
          <w:jc w:val="center"/>
        </w:trPr>
        <w:tc>
          <w:tcPr>
            <w:tcW w:w="4320" w:type="dxa"/>
          </w:tcPr>
          <w:p w14:paraId="3CC9902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متوسطة</w:t>
            </w:r>
          </w:p>
        </w:tc>
        <w:tc>
          <w:tcPr>
            <w:tcW w:w="4320" w:type="dxa"/>
          </w:tcPr>
          <w:p w14:paraId="1BAC5C4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2.61 إلى 3.40</w:t>
            </w:r>
          </w:p>
        </w:tc>
      </w:tr>
      <w:tr w:rsidR="0076340C" w:rsidRPr="00802CE5" w14:paraId="10E67FF9" w14:textId="77777777">
        <w:trPr>
          <w:jc w:val="center"/>
        </w:trPr>
        <w:tc>
          <w:tcPr>
            <w:tcW w:w="4320" w:type="dxa"/>
          </w:tcPr>
          <w:p w14:paraId="284C08B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c>
          <w:tcPr>
            <w:tcW w:w="4320" w:type="dxa"/>
          </w:tcPr>
          <w:p w14:paraId="07F659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3.41 إلى 4.20</w:t>
            </w:r>
          </w:p>
        </w:tc>
      </w:tr>
      <w:tr w:rsidR="0076340C" w:rsidRPr="00802CE5" w14:paraId="5773EA0F" w14:textId="77777777">
        <w:trPr>
          <w:jc w:val="center"/>
        </w:trPr>
        <w:tc>
          <w:tcPr>
            <w:tcW w:w="4320" w:type="dxa"/>
          </w:tcPr>
          <w:p w14:paraId="75C8371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 جداً</w:t>
            </w:r>
          </w:p>
        </w:tc>
        <w:tc>
          <w:tcPr>
            <w:tcW w:w="4320" w:type="dxa"/>
          </w:tcPr>
          <w:p w14:paraId="1CF7549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4.21 إلى 5.00</w:t>
            </w:r>
          </w:p>
        </w:tc>
      </w:tr>
    </w:tbl>
    <w:p w14:paraId="14E721CF" w14:textId="77777777" w:rsidR="0076340C" w:rsidRPr="00802CE5" w:rsidRDefault="0076340C" w:rsidP="00802CE5">
      <w:pPr>
        <w:bidi/>
        <w:spacing w:after="40"/>
        <w:rPr>
          <w:rFonts w:ascii="Sakkal Majalla" w:hAnsi="Sakkal Majalla" w:cs="Sakkal Majalla"/>
          <w:sz w:val="32"/>
          <w:szCs w:val="28"/>
        </w:rPr>
      </w:pPr>
    </w:p>
    <w:p w14:paraId="0208CC4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ملاحظة: تم استخدام مقياس ليكرت الخماسي ذاته لجميع محاور الاستبانة الأربعة لضمان دقة المعالجة الإحصائية واتساق المقارنات بين المحاور.</w:t>
      </w:r>
    </w:p>
    <w:p w14:paraId="26929877" w14:textId="77777777" w:rsidR="0076340C" w:rsidRPr="00802CE5" w:rsidRDefault="00000000" w:rsidP="00802CE5">
      <w:pPr>
        <w:pStyle w:val="Heading2"/>
        <w:bidi/>
        <w:spacing w:before="240" w:after="160"/>
        <w:rPr>
          <w:rFonts w:ascii="Sakkal Majalla" w:hAnsi="Sakkal Majalla" w:cs="Sakkal Majalla"/>
          <w:sz w:val="32"/>
          <w:szCs w:val="32"/>
        </w:rPr>
      </w:pPr>
      <w:bookmarkStart w:id="24" w:name="_Toc234169650"/>
      <w:r w:rsidRPr="00802CE5">
        <w:rPr>
          <w:rFonts w:ascii="Sakkal Majalla" w:hAnsi="Sakkal Majalla" w:cs="Sakkal Majalla"/>
          <w:color w:val="000000"/>
          <w:sz w:val="36"/>
          <w:szCs w:val="36"/>
        </w:rPr>
        <w:t>صدق وثبات أداة البحث (الاستبانة)</w:t>
      </w:r>
      <w:bookmarkEnd w:id="24"/>
    </w:p>
    <w:p w14:paraId="60EFD5B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التحقق من صدق أداة البحث وثباتها شرطاً أساسياً لضمان جودة البيانات المُحصّلة ومصداقية النتائج. وقد تم اعتماد الإجراءات التالية:</w:t>
      </w:r>
    </w:p>
    <w:p w14:paraId="6BE5A43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أ. الصدق (Validity)</w:t>
      </w:r>
    </w:p>
    <w:p w14:paraId="63D9C5A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صدق المحكّمين (Content Validity / Face Validity):</w:t>
      </w:r>
    </w:p>
    <w:p w14:paraId="34811C5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عُرضت الاستبانة في صورتها الأولية على لجنة مكوّنة من ثلاثة محكّمين متخصصين في مجالات الذكاء الاصطناعي، والقانون الرقمي، والمناهج البحثية. وقد طُلب منهم تقييم مدى:</w:t>
      </w:r>
    </w:p>
    <w:p w14:paraId="5829330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وضوح صياغة كل فقرة ودقتها اللغوية.</w:t>
      </w:r>
    </w:p>
    <w:p w14:paraId="3F97BCA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انتماء كل فقرة للمحور الذي تنتمي إليه.</w:t>
      </w:r>
    </w:p>
    <w:p w14:paraId="3B2D517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ملاءمة الفقرات لقياس المتغيرات المستهدفة.</w:t>
      </w:r>
    </w:p>
    <w:p w14:paraId="549A692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شمولية المحاور لأبعاد الدراسة.</w:t>
      </w:r>
    </w:p>
    <w:p w14:paraId="42C0650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وقد قدّم المحكّمون عدداً من الملاحظات المتعلقة بإعادة صياغة بعض البنود وتحسين وضوحها، وتم إدخال جميع التعديلات المقترحة قبل اعتماد الصورة النهائية للاستبانة.</w:t>
      </w:r>
    </w:p>
    <w:p w14:paraId="69F11E1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lastRenderedPageBreak/>
        <w:t>2. صدق الاتساق الداخلي (Internal Consistency Validity):</w:t>
      </w:r>
    </w:p>
    <w:p w14:paraId="621CB3B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سيتم حساب معاملات الارتباط بين درجة كل فقرة والدرجة الكلية للمحور الذي تنتمي إليه، وبين درجة كل محور والدرجة الكلية للاستبانة، وذلك باستخدام معامل ارتباط بيرسون (Pearson Correlation Coefficient)، بعد تطبيق الاستبانة على العينة الاستطلاعية. وسيتم عرض النتائج تفصيلياً في الفصل الرابع.</w:t>
      </w:r>
    </w:p>
    <w:p w14:paraId="02287A3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 الثبات (Reliability)</w:t>
      </w:r>
    </w:p>
    <w:p w14:paraId="65E60D1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سيتم التحقق من ثبات أداة الدراسة باستخدام معامل ألفا كرونباخ (Cronbach Alpha)، وذلك بعد جمع البيانات الفعلية من العينة الاستطلاعية. ويُعدّ هذا المعامل من أكثر مقاييس الثبات شيوعاً واستخداماً في البحوث الاجتماعية والتقنية، حيث يقيس مدى الاتساق الداخلي لفقرات الأداة واستقرار النتائج عند إعادة التطبيق.</w:t>
      </w:r>
    </w:p>
    <w:p w14:paraId="4590F52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وبشكل عام، تُعدّ قيمة معامل ألفا كرونباخ مقبولة إذا تجاوزت (0.70)، وجيدة إذا تجاوزت (0.80). وسيتم احتساب المعامل لكل محور على حدة وللاستبانة ككل، وعرض النتائج في الفصل الرابع.</w:t>
      </w:r>
    </w:p>
    <w:p w14:paraId="651A1383" w14:textId="77777777" w:rsidR="0076340C" w:rsidRPr="00802CE5" w:rsidRDefault="00000000" w:rsidP="00802CE5">
      <w:pPr>
        <w:pStyle w:val="Heading2"/>
        <w:bidi/>
        <w:spacing w:before="240" w:after="160"/>
        <w:rPr>
          <w:rFonts w:ascii="Sakkal Majalla" w:hAnsi="Sakkal Majalla" w:cs="Sakkal Majalla"/>
          <w:sz w:val="32"/>
          <w:szCs w:val="32"/>
        </w:rPr>
      </w:pPr>
      <w:bookmarkStart w:id="25" w:name="_Toc234169651"/>
      <w:r w:rsidRPr="00802CE5">
        <w:rPr>
          <w:rFonts w:ascii="Sakkal Majalla" w:hAnsi="Sakkal Majalla" w:cs="Sakkal Majalla"/>
          <w:color w:val="000000"/>
          <w:sz w:val="36"/>
          <w:szCs w:val="36"/>
        </w:rPr>
        <w:t>التوزيع الطبيعي لمتغيرات البحث</w:t>
      </w:r>
      <w:bookmarkEnd w:id="25"/>
    </w:p>
    <w:p w14:paraId="346B7ED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يُعدّ اختبار التوزيع الطبيعي خطوة إجرائية جوهرية تسبق التحليل الإحصائي، وتكمن أهميتها في تحديد نوع الاختبارات الإحصائية المناسبة للبيانات. وسيقوم الباحث بالإجراءات التالية:</w:t>
      </w:r>
    </w:p>
    <w:p w14:paraId="1AED569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الاختبار:</w:t>
      </w:r>
    </w:p>
    <w:p w14:paraId="1E20CFC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سيتم إجراء اختبار كولمجروف-سميرنوف (Kolmogorov-Smirnov Test) للتأكد من مدى اقتراب توزيع بيانات الدراسة من المنحنى الاعتدالي (Normal Distribution). ونظراً لأن حجم العينة الكلي </w:t>
      </w:r>
      <w:r w:rsidRPr="00802CE5">
        <w:rPr>
          <w:rFonts w:ascii="Sakkal Majalla" w:hAnsi="Sakkal Majalla" w:cs="Sakkal Majalla"/>
          <w:sz w:val="32"/>
          <w:szCs w:val="32"/>
        </w:rPr>
        <w:lastRenderedPageBreak/>
        <w:t>(150) مشاركاً، وهو يتجاوز (50)، فإن اختبار كولمجروف-سميرنوف يُعدّ الأنسب مقارنةً باختبار شابيرو-ويلك (Shapiro-Wilk) الذي يُفضّل للعينات الصغيرة.</w:t>
      </w:r>
    </w:p>
    <w:p w14:paraId="6BD0D49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تحديد المسار الإحصائي:</w:t>
      </w:r>
    </w:p>
    <w:p w14:paraId="4578C55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إذا كانت البيانات تتبع التوزيع الطبيعي (قيمة الدلالة Sig. &gt; 0.05): يستخدم الباحث الاختبارات البارامترية (Parametric Tests)، مثل اختبار (T-Test)، وتحليل التباين الأحادي (One-way ANOVA)، ومعامل ارتباط بيرسون، وتحليل الانحدار.</w:t>
      </w:r>
    </w:p>
    <w:p w14:paraId="4537EA8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إذا لم تتبع البيانات التوزيع الطبيعي (قيمة الدلالة Sig. &lt; 0.05): يلجأ الباحث إلى الاختبارات غير البارامترية (Non-Parametric Tests)، مثل اختبار مان-ويتني (Mann-Whitney)، واختبار كروسكال-واليس (Kruskal-Wallis)، ومعامل ارتباط سبيرمان.</w:t>
      </w:r>
    </w:p>
    <w:p w14:paraId="0D2D3F4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التأكد من دقة النتائج:</w:t>
      </w:r>
    </w:p>
    <w:p w14:paraId="1BE1081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يهدف الباحث من هذا الاختبار إلى ضمان سلامة البناء الإحصائي للدراسة، مما يعزز من صدق النتائج وقابلية تعميمها على مجتمع الدراسة. وسيتم عرض نتائج اختبار التوزيع الطبيعي تفصيلياً في الفصل الرابع.</w:t>
      </w:r>
    </w:p>
    <w:p w14:paraId="22FF5164" w14:textId="77777777" w:rsidR="0076340C" w:rsidRPr="00802CE5" w:rsidRDefault="00000000" w:rsidP="00802CE5">
      <w:pPr>
        <w:pStyle w:val="Heading2"/>
        <w:bidi/>
        <w:spacing w:before="240" w:after="160"/>
        <w:rPr>
          <w:rFonts w:ascii="Sakkal Majalla" w:hAnsi="Sakkal Majalla" w:cs="Sakkal Majalla"/>
          <w:sz w:val="32"/>
          <w:szCs w:val="32"/>
        </w:rPr>
      </w:pPr>
      <w:bookmarkStart w:id="26" w:name="_Toc234169652"/>
      <w:r w:rsidRPr="00802CE5">
        <w:rPr>
          <w:rFonts w:ascii="Sakkal Majalla" w:hAnsi="Sakkal Majalla" w:cs="Sakkal Majalla"/>
          <w:color w:val="000000"/>
          <w:sz w:val="36"/>
          <w:szCs w:val="36"/>
        </w:rPr>
        <w:t>الأساليب الإحصائية المستخدمة في البحث</w:t>
      </w:r>
      <w:bookmarkEnd w:id="26"/>
    </w:p>
    <w:p w14:paraId="37E21B4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لتحقيق أهداف الدراسة واختبار فرضياتها، سيتم تحليل البيانات باستخدام برنامج التحليل الإحصائي للعلوم الاجتماعية (SPSS)، وذلك من خلال مجموعتين من الأساليب الإحصائية:</w:t>
      </w:r>
    </w:p>
    <w:p w14:paraId="783E5F1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أ. الإحصاءات الوصفية (Descriptive Statistics):</w:t>
      </w:r>
    </w:p>
    <w:p w14:paraId="0BD2FACE"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lastRenderedPageBreak/>
        <w:t>جدول (3.6): الأساليب الإحصائية الوصفية المستخدمة في الدراسة</w:t>
      </w:r>
    </w:p>
    <w:tbl>
      <w:tblPr>
        <w:tblStyle w:val="TableGrid"/>
        <w:bidiVisual/>
        <w:tblW w:w="0" w:type="auto"/>
        <w:jc w:val="center"/>
        <w:tblLook w:val="04A0" w:firstRow="1" w:lastRow="0" w:firstColumn="1" w:lastColumn="0" w:noHBand="0" w:noVBand="1"/>
      </w:tblPr>
      <w:tblGrid>
        <w:gridCol w:w="4320"/>
        <w:gridCol w:w="4320"/>
      </w:tblGrid>
      <w:tr w:rsidR="0076340C" w:rsidRPr="00802CE5" w14:paraId="4F25177A" w14:textId="77777777">
        <w:trPr>
          <w:jc w:val="center"/>
        </w:trPr>
        <w:tc>
          <w:tcPr>
            <w:tcW w:w="4320" w:type="dxa"/>
          </w:tcPr>
          <w:p w14:paraId="37EC77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الغرض من الاستخدام</w:t>
            </w:r>
          </w:p>
        </w:tc>
        <w:tc>
          <w:tcPr>
            <w:tcW w:w="4320" w:type="dxa"/>
          </w:tcPr>
          <w:p w14:paraId="05B6C15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r>
      <w:tr w:rsidR="0076340C" w:rsidRPr="00802CE5" w14:paraId="324F00EE" w14:textId="77777777">
        <w:trPr>
          <w:jc w:val="center"/>
        </w:trPr>
        <w:tc>
          <w:tcPr>
            <w:tcW w:w="4320" w:type="dxa"/>
          </w:tcPr>
          <w:p w14:paraId="5D02857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وصف خصائص عينة الدراسة الديموغرافية (الجنس، العمر، المؤهل، الخبرة، الفئة)</w:t>
            </w:r>
          </w:p>
        </w:tc>
        <w:tc>
          <w:tcPr>
            <w:tcW w:w="4320" w:type="dxa"/>
          </w:tcPr>
          <w:p w14:paraId="44C7713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التكرارات والنسب المئوية</w:t>
            </w:r>
          </w:p>
        </w:tc>
      </w:tr>
      <w:tr w:rsidR="0076340C" w:rsidRPr="00802CE5" w14:paraId="2BC8F294" w14:textId="77777777">
        <w:trPr>
          <w:jc w:val="center"/>
        </w:trPr>
        <w:tc>
          <w:tcPr>
            <w:tcW w:w="4320" w:type="dxa"/>
          </w:tcPr>
          <w:p w14:paraId="1BE37BE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تحديد مستوى استجابات أفراد العينة على كل فقرة ومحور وتحديد درجة الموافقة</w:t>
            </w:r>
          </w:p>
        </w:tc>
        <w:tc>
          <w:tcPr>
            <w:tcW w:w="4320" w:type="dxa"/>
          </w:tcPr>
          <w:p w14:paraId="01155E2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المتوسطات الحسابية (Mean)</w:t>
            </w:r>
          </w:p>
        </w:tc>
      </w:tr>
      <w:tr w:rsidR="0076340C" w:rsidRPr="00802CE5" w14:paraId="1277F2F5" w14:textId="77777777">
        <w:trPr>
          <w:jc w:val="center"/>
        </w:trPr>
        <w:tc>
          <w:tcPr>
            <w:tcW w:w="4320" w:type="dxa"/>
          </w:tcPr>
          <w:p w14:paraId="570EE26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مدى تشتت الاستجابات حول المتوسط الحسابي ودرجة تجانس آراء المستجيبين</w:t>
            </w:r>
          </w:p>
        </w:tc>
        <w:tc>
          <w:tcPr>
            <w:tcW w:w="4320" w:type="dxa"/>
          </w:tcPr>
          <w:p w14:paraId="71101EB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الانحرافات المعيارية (SD)</w:t>
            </w:r>
          </w:p>
        </w:tc>
      </w:tr>
    </w:tbl>
    <w:p w14:paraId="1EB060C5" w14:textId="77777777" w:rsidR="0076340C" w:rsidRPr="00802CE5" w:rsidRDefault="0076340C" w:rsidP="00802CE5">
      <w:pPr>
        <w:bidi/>
        <w:spacing w:after="40"/>
        <w:rPr>
          <w:rFonts w:ascii="Sakkal Majalla" w:hAnsi="Sakkal Majalla" w:cs="Sakkal Majalla"/>
          <w:sz w:val="32"/>
          <w:szCs w:val="28"/>
        </w:rPr>
      </w:pPr>
    </w:p>
    <w:p w14:paraId="6F7D2F2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ب. الإحصاءات الاستدلالية (Inferential Statistics):</w:t>
      </w:r>
    </w:p>
    <w:p w14:paraId="3086868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(3.7): الأساليب الإحصائية الاستدلالية المستخدمة في الدراسة</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342DA1CB" w14:textId="77777777">
        <w:trPr>
          <w:jc w:val="center"/>
        </w:trPr>
        <w:tc>
          <w:tcPr>
            <w:tcW w:w="2880" w:type="dxa"/>
          </w:tcPr>
          <w:p w14:paraId="33E35B5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الفرضيات المخدومة</w:t>
            </w:r>
          </w:p>
        </w:tc>
        <w:tc>
          <w:tcPr>
            <w:tcW w:w="2880" w:type="dxa"/>
          </w:tcPr>
          <w:p w14:paraId="34339C8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الغرض من الاستخدام</w:t>
            </w:r>
          </w:p>
        </w:tc>
        <w:tc>
          <w:tcPr>
            <w:tcW w:w="2880" w:type="dxa"/>
          </w:tcPr>
          <w:p w14:paraId="3B07C56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r>
      <w:tr w:rsidR="0076340C" w:rsidRPr="00802CE5" w14:paraId="51236437" w14:textId="77777777">
        <w:trPr>
          <w:jc w:val="center"/>
        </w:trPr>
        <w:tc>
          <w:tcPr>
            <w:tcW w:w="2880" w:type="dxa"/>
          </w:tcPr>
          <w:p w14:paraId="55A4AF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 H2, H7</w:t>
            </w:r>
          </w:p>
        </w:tc>
        <w:tc>
          <w:tcPr>
            <w:tcW w:w="2880" w:type="dxa"/>
          </w:tcPr>
          <w:p w14:paraId="29E4278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العلاقة بين المتغيرات</w:t>
            </w:r>
          </w:p>
        </w:tc>
        <w:tc>
          <w:tcPr>
            <w:tcW w:w="2880" w:type="dxa"/>
          </w:tcPr>
          <w:p w14:paraId="30CD5AD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معامل ارتباط بيرسون (Pearson)</w:t>
            </w:r>
          </w:p>
        </w:tc>
      </w:tr>
      <w:tr w:rsidR="0076340C" w:rsidRPr="00802CE5" w14:paraId="63B4278C" w14:textId="77777777">
        <w:trPr>
          <w:jc w:val="center"/>
        </w:trPr>
        <w:tc>
          <w:tcPr>
            <w:tcW w:w="2880" w:type="dxa"/>
          </w:tcPr>
          <w:p w14:paraId="55C877F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H2, H4, H8, H9, H10</w:t>
            </w:r>
          </w:p>
        </w:tc>
        <w:tc>
          <w:tcPr>
            <w:tcW w:w="2880" w:type="dxa"/>
          </w:tcPr>
          <w:p w14:paraId="06AED40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أثر المتغيرات المستقلة والوسيطة على التابع</w:t>
            </w:r>
          </w:p>
        </w:tc>
        <w:tc>
          <w:tcPr>
            <w:tcW w:w="2880" w:type="dxa"/>
          </w:tcPr>
          <w:p w14:paraId="7C0841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تحليل الانحدار البسيط والمتعدد</w:t>
            </w:r>
          </w:p>
        </w:tc>
      </w:tr>
      <w:tr w:rsidR="0076340C" w:rsidRPr="00802CE5" w14:paraId="4E2AE195" w14:textId="77777777">
        <w:trPr>
          <w:jc w:val="center"/>
        </w:trPr>
        <w:tc>
          <w:tcPr>
            <w:tcW w:w="2880" w:type="dxa"/>
          </w:tcPr>
          <w:p w14:paraId="115E1D1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المتغيرات الديموغرافية</w:t>
            </w:r>
          </w:p>
        </w:tc>
        <w:tc>
          <w:tcPr>
            <w:tcW w:w="2880" w:type="dxa"/>
          </w:tcPr>
          <w:p w14:paraId="628E150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مقارنة الفروق بين مجموعتين مستقلتين</w:t>
            </w:r>
          </w:p>
        </w:tc>
        <w:tc>
          <w:tcPr>
            <w:tcW w:w="2880" w:type="dxa"/>
          </w:tcPr>
          <w:p w14:paraId="7FC89C8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اختبار (T-Test)</w:t>
            </w:r>
          </w:p>
        </w:tc>
      </w:tr>
      <w:tr w:rsidR="0076340C" w:rsidRPr="00802CE5" w14:paraId="3D0F2DF2" w14:textId="77777777">
        <w:trPr>
          <w:jc w:val="center"/>
        </w:trPr>
        <w:tc>
          <w:tcPr>
            <w:tcW w:w="2880" w:type="dxa"/>
          </w:tcPr>
          <w:p w14:paraId="5E1CDD7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المتغيرات الديموغرافية</w:t>
            </w:r>
          </w:p>
        </w:tc>
        <w:tc>
          <w:tcPr>
            <w:tcW w:w="2880" w:type="dxa"/>
          </w:tcPr>
          <w:p w14:paraId="146995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مقارنة الفروق بين ثلاث مجموعات فأكثر</w:t>
            </w:r>
          </w:p>
        </w:tc>
        <w:tc>
          <w:tcPr>
            <w:tcW w:w="2880" w:type="dxa"/>
          </w:tcPr>
          <w:p w14:paraId="3187AD4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تحليل التباين الأحادي (ANOVA)</w:t>
            </w:r>
          </w:p>
        </w:tc>
      </w:tr>
      <w:tr w:rsidR="0076340C" w:rsidRPr="00802CE5" w14:paraId="6BCC65AA" w14:textId="77777777">
        <w:trPr>
          <w:jc w:val="center"/>
        </w:trPr>
        <w:tc>
          <w:tcPr>
            <w:tcW w:w="2880" w:type="dxa"/>
          </w:tcPr>
          <w:p w14:paraId="0A627C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H3, H5, H6</w:t>
            </w:r>
          </w:p>
        </w:tc>
        <w:tc>
          <w:tcPr>
            <w:tcW w:w="2880" w:type="dxa"/>
          </w:tcPr>
          <w:p w14:paraId="7F58916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اختبار العلاقة بين المتغيرات الاسمية</w:t>
            </w:r>
          </w:p>
        </w:tc>
        <w:tc>
          <w:tcPr>
            <w:tcW w:w="2880" w:type="dxa"/>
          </w:tcPr>
          <w:p w14:paraId="03D05EA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اختبار مربع كاي (Chi-Square)</w:t>
            </w:r>
          </w:p>
        </w:tc>
      </w:tr>
      <w:tr w:rsidR="0076340C" w:rsidRPr="00802CE5" w14:paraId="5BB05B74" w14:textId="77777777">
        <w:trPr>
          <w:jc w:val="center"/>
        </w:trPr>
        <w:tc>
          <w:tcPr>
            <w:tcW w:w="2880" w:type="dxa"/>
          </w:tcPr>
          <w:p w14:paraId="1B6516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جميع المحاور</w:t>
            </w:r>
          </w:p>
        </w:tc>
        <w:tc>
          <w:tcPr>
            <w:tcW w:w="2880" w:type="dxa"/>
          </w:tcPr>
          <w:p w14:paraId="1022F4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قياس ثبات أداة الدراسة</w:t>
            </w:r>
          </w:p>
        </w:tc>
        <w:tc>
          <w:tcPr>
            <w:tcW w:w="2880" w:type="dxa"/>
          </w:tcPr>
          <w:p w14:paraId="27FACD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معامل ألفا كرونباخ</w:t>
            </w:r>
          </w:p>
        </w:tc>
      </w:tr>
    </w:tbl>
    <w:p w14:paraId="17B15E8A" w14:textId="77777777" w:rsidR="0076340C" w:rsidRPr="00802CE5" w:rsidRDefault="0076340C" w:rsidP="00802CE5">
      <w:pPr>
        <w:bidi/>
        <w:spacing w:after="40"/>
        <w:rPr>
          <w:rFonts w:ascii="Sakkal Majalla" w:hAnsi="Sakkal Majalla" w:cs="Sakkal Majalla"/>
          <w:sz w:val="32"/>
          <w:szCs w:val="28"/>
        </w:rPr>
      </w:pPr>
    </w:p>
    <w:p w14:paraId="0A848F1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وسيتم اعتماد مستوى الدلالة الإحصائية (0.05 &gt;= </w:t>
      </w:r>
      <w:r w:rsidRPr="00802CE5">
        <w:rPr>
          <w:rFonts w:ascii="Cambria" w:hAnsi="Cambria" w:cs="Cambria"/>
          <w:sz w:val="32"/>
          <w:szCs w:val="32"/>
        </w:rPr>
        <w:t>α</w:t>
      </w:r>
      <w:r w:rsidRPr="00802CE5">
        <w:rPr>
          <w:rFonts w:ascii="Sakkal Majalla" w:hAnsi="Sakkal Majalla" w:cs="Sakkal Majalla"/>
          <w:sz w:val="32"/>
          <w:szCs w:val="32"/>
        </w:rPr>
        <w:t>) كمعيار للحكم على الدلالة الإحصائية للنتائج في جميع الاختبارات، وسيُعرض التطبيق العملي لهذه الأساليب ونتائجها تفصيلياً في الفصل الرابع.</w:t>
      </w:r>
    </w:p>
    <w:p w14:paraId="1A72B06A" w14:textId="77777777" w:rsidR="0076340C" w:rsidRPr="00802CE5" w:rsidRDefault="00000000" w:rsidP="00802CE5">
      <w:pPr>
        <w:pStyle w:val="Heading2"/>
        <w:bidi/>
        <w:spacing w:before="240" w:after="160"/>
        <w:rPr>
          <w:rFonts w:ascii="Sakkal Majalla" w:hAnsi="Sakkal Majalla" w:cs="Sakkal Majalla"/>
          <w:sz w:val="32"/>
          <w:szCs w:val="32"/>
        </w:rPr>
      </w:pPr>
      <w:bookmarkStart w:id="27" w:name="_Toc234169653"/>
      <w:r w:rsidRPr="00802CE5">
        <w:rPr>
          <w:rFonts w:ascii="Sakkal Majalla" w:hAnsi="Sakkal Majalla" w:cs="Sakkal Majalla"/>
          <w:color w:val="000000"/>
          <w:sz w:val="36"/>
          <w:szCs w:val="36"/>
        </w:rPr>
        <w:lastRenderedPageBreak/>
        <w:t>الصعوبات التي واجهت الباحث</w:t>
      </w:r>
      <w:bookmarkEnd w:id="27"/>
    </w:p>
    <w:p w14:paraId="3CE68F6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حساسية موضوع البيانات الشخصية: نظراً لأن موضوع الدراسة يتعلق مباشرةً بالخصوصية والبيانات الشخصية، فإن جمع البيانات من الأفراد والمؤسسات استلزم مراعاةً دقيقة للجوانب الأخلاقية والقانونية. وقد تم التغلب على ذلك بالالتزام التام بالضوابط الأخلاقية للبحث العلمي؛ من الحصول على الموافقة المستنيرة للمشاركين، وضمان سرية البيانات وإخفاء هوية أصحابها، وقصر استخدامها على أغراض البحث فقط، بما كفل جمع البيانات الميدانية بمصداقية ودون المساس بخصوصية المشاركين.</w:t>
      </w:r>
    </w:p>
    <w:p w14:paraId="741915E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صعوبة الوصول إلى المسؤولين الحكوميين والخبراء: بسبب انشغالاتهم ومحدودية أعدادهم، واجه الباحث صعوبة في تحديد مواعيد المقابلات مع المسؤولين في الجهات التنظيمية والخبراء الأكاديميين. وقد تم التغلب على ذلك من خلال التواصل المبكر وتقديم مرونة في الجدولة واستخدام وسائل الاتصال عن بُعد.</w:t>
      </w:r>
    </w:p>
    <w:p w14:paraId="016AE9F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تعدد وتنوع التشريعات القانونية: تتباين التشريعات المنظمة لحماية البيانات الشخصية بين الدول والمناطق الجغرافية (GDPR، CCPA، نظام حماية البيانات السعودي)، مما استلزم جهداً بحثياً مكثفاً لتحليلها ومقارنتها. وقد تم التعامل مع هذا التحدي بالاعتماد على المصادر الرسمية الأصلية لكل تشريع واستشارة المتخصصين في القانون الرقمي.</w:t>
      </w:r>
    </w:p>
    <w:p w14:paraId="7D9E332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4. حداثة الموضوع ومحدودية الدراسات العربية: يُعدّ موضوع أخلاقيات الذكاء الاصطناعي في معالجة البيانات الشخصية من الموضوعات المستحدثة، وتتركز معظم الأدبيات المتاحة باللغة الإنجليزية، مما شكّل تحدياً في إيجاد دراسات عربية كافية للمقارنة. وقد تم التغلب على ذلك بتوسيع نطاق المراجعة ليشمل الأدبيات الأجنبية الحديثة مع ربطها بالسياق المحلي.</w:t>
      </w:r>
    </w:p>
    <w:p w14:paraId="391CF5C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lastRenderedPageBreak/>
        <w:t>5. تصميم النموذج التقني (Prototype): واجه الباحث تحديات تقنية في بناء نموذج تطبيقي قادر على قياس الامتثال الأخلاقي بمعايير كمية دقيقة. وقد تم التغلب على ذلك بالاطلاع على النماذج التقنية المماثلة في الأدبيات وتطوير مؤشر الامتثال الأخلاقي (Ethical Compliance Index) بشكل تدريجي.</w:t>
      </w:r>
    </w:p>
    <w:p w14:paraId="270E72F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6. ضيق الوقت: فرضت المتطلبات الأكاديمية والجداول الزمنية قيوداً على مدة جمع البيانات وتحليلها. وقد تم التغلب على ذلك بوضع خطة زمنية محكمة والالتزام بها مع إعطاء الأولوية للمهام الأكثر أهمية.</w:t>
      </w:r>
    </w:p>
    <w:p w14:paraId="705C6D9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إن توضيح هذه الصعوبات وكيفية التغلب عليها يُبرز الأمانة العلمية للباحث، ويؤكد أن النتائج التي سيتم عرضها في الفصل الرابع قد تم التوصل إليها وفق إجراءات منهجية سليمة رغم التحديات.</w:t>
      </w:r>
    </w:p>
    <w:p w14:paraId="24E595E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32"/>
          <w:szCs w:val="28"/>
        </w:rPr>
        <w:br w:type="page"/>
      </w:r>
    </w:p>
    <w:p w14:paraId="16B544A5" w14:textId="77777777" w:rsidR="0076340C" w:rsidRPr="00802CE5" w:rsidRDefault="00000000" w:rsidP="00802CE5">
      <w:pPr>
        <w:pStyle w:val="Heading1"/>
        <w:bidi/>
        <w:spacing w:before="240" w:after="160"/>
        <w:rPr>
          <w:rFonts w:ascii="Sakkal Majalla" w:hAnsi="Sakkal Majalla" w:cs="Sakkal Majalla"/>
          <w:sz w:val="36"/>
          <w:szCs w:val="36"/>
        </w:rPr>
      </w:pPr>
      <w:bookmarkStart w:id="28" w:name="_Toc234169654"/>
      <w:r w:rsidRPr="00802CE5">
        <w:rPr>
          <w:rFonts w:ascii="Sakkal Majalla" w:hAnsi="Sakkal Majalla" w:cs="Sakkal Majalla"/>
          <w:color w:val="000000"/>
          <w:sz w:val="40"/>
          <w:szCs w:val="40"/>
        </w:rPr>
        <w:lastRenderedPageBreak/>
        <w:t>الفصل الرابع: نتائج الدراسة واختبار الفروض ومناقشتها</w:t>
      </w:r>
      <w:bookmarkEnd w:id="28"/>
    </w:p>
    <w:p w14:paraId="4317337A" w14:textId="77777777" w:rsidR="0076340C" w:rsidRPr="00802CE5" w:rsidRDefault="00000000" w:rsidP="00802CE5">
      <w:pPr>
        <w:pStyle w:val="Heading2"/>
        <w:bidi/>
        <w:spacing w:before="240" w:after="160"/>
        <w:rPr>
          <w:rFonts w:ascii="Sakkal Majalla" w:hAnsi="Sakkal Majalla" w:cs="Sakkal Majalla"/>
          <w:sz w:val="32"/>
          <w:szCs w:val="32"/>
        </w:rPr>
      </w:pPr>
      <w:bookmarkStart w:id="29" w:name="_Toc234169655"/>
      <w:r w:rsidRPr="00802CE5">
        <w:rPr>
          <w:rFonts w:ascii="Sakkal Majalla" w:hAnsi="Sakkal Majalla" w:cs="Sakkal Majalla"/>
          <w:color w:val="000000"/>
          <w:sz w:val="36"/>
          <w:szCs w:val="36"/>
        </w:rPr>
        <w:t>تمهيد</w:t>
      </w:r>
      <w:bookmarkEnd w:id="29"/>
    </w:p>
    <w:p w14:paraId="6C1E985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يتناول هذا الفصل عرضاً وتحليلاً للنتائج التي تم التوصل إليها من خلال تطبيق أدوات الدراسة الميدانية على عينة قوامها (150) مشاركاً، وذلك بهدف الإجابة عن أسئلة الدراسة الستة واختبار فرضياتها العشر (H1–H10). وقد استُخدم برنامج الحزمة الإحصائية للعلوم الاجتماعية (SPSS) في المعالجة الإحصائية للبيانات الكمية المستقاة من الاستبانة، إلى جانب تحليل نتائج النموذج التقني (Prototype) القائم على مؤشر الامتثال الأخلاقي، وتحليل مضمون المقابلات شبه المهيكلة التي أُجريت مع الخبراء، بما يحقق التكامل المنهجي الذي تبنّته الدراسة.</w:t>
      </w:r>
    </w:p>
    <w:p w14:paraId="6CC8788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ويأتي هذا الفصل تحقيقاً لأهداف الدراسة الرامية إلى تحليل مدى التزام أنظمة الذكاء الاصطناعي بالمبادئ الأخلاقية في معالجة البيانات الشخصية، وتحديد أبرز التحديات المرتبطة بتحقيق التوازن بين حماية الخصوصية واستغلال البيانات، وتقييم فعالية التشريعات الحالية، ودراسة أثر الوعي المجتمعي والرقابة التنظيمية. وانطلاقاً من مشكلة الدراسة التي تتمحور حول الفجوة بين التطور المتسارع لتقنيات الذكاء الاصطناعي وقدرة الأطر الأخلاقية والتنظيمية على مواكبته، يعرض الباحث في هذا الفصل النتائج تباعاً، بحيث يبدأ بعرض ملخصٍ لكل نتيجة، ثم يناقشها ويفسّرها في ضوء أهداف الدراسة وإطارها النظري والدراسات السابقة.</w:t>
      </w:r>
    </w:p>
    <w:p w14:paraId="61C4FBB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وقد رُتّب هذا الفصل في المحاور التالية: نتائج التحقق من صدق الأداة وثباتها، ونتائج اختبار التوزيع الطبيعي، ثم وصف الخصائص الديموغرافية لعينة الدراسة، فالنتائج الوصفية لمحاور الاستبانة، ثم نتائج اختبار الفرضيات، فنتائج النموذج التقني ونتائج المقابلات، وصولاً إلى مناقشة النتائج </w:t>
      </w:r>
      <w:r w:rsidRPr="00802CE5">
        <w:rPr>
          <w:rFonts w:ascii="Sakkal Majalla" w:hAnsi="Sakkal Majalla" w:cs="Sakkal Majalla"/>
          <w:sz w:val="32"/>
          <w:szCs w:val="32"/>
        </w:rPr>
        <w:lastRenderedPageBreak/>
        <w:t>وتفسيرها في ضوء أهداف الدراسة والإطار النظري والدراسات السابقة، ثم ملخص نتائج اختبار الفروض.</w:t>
      </w:r>
    </w:p>
    <w:p w14:paraId="5CF923CC" w14:textId="77777777" w:rsidR="0076340C" w:rsidRPr="00802CE5" w:rsidRDefault="00000000" w:rsidP="00802CE5">
      <w:pPr>
        <w:pStyle w:val="Heading2"/>
        <w:bidi/>
        <w:spacing w:before="240" w:after="160"/>
        <w:rPr>
          <w:rFonts w:ascii="Sakkal Majalla" w:hAnsi="Sakkal Majalla" w:cs="Sakkal Majalla"/>
          <w:sz w:val="32"/>
          <w:szCs w:val="32"/>
        </w:rPr>
      </w:pPr>
      <w:bookmarkStart w:id="30" w:name="_Toc234169656"/>
      <w:r w:rsidRPr="00802CE5">
        <w:rPr>
          <w:rFonts w:ascii="Sakkal Majalla" w:hAnsi="Sakkal Majalla" w:cs="Sakkal Majalla"/>
          <w:color w:val="000000"/>
          <w:sz w:val="36"/>
          <w:szCs w:val="36"/>
        </w:rPr>
        <w:t>أولاً: نتائج التحقق من صدق أداة الدراسة وثباتها</w:t>
      </w:r>
      <w:bookmarkEnd w:id="30"/>
    </w:p>
    <w:p w14:paraId="5CDF292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صدق الاتساق الداخلي (Internal Consistency Validity)</w:t>
      </w:r>
    </w:p>
    <w:p w14:paraId="783B2B3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للتحقق من صدق الاتساق الداخلي للاستبانة، حُسبت معاملات ارتباط بيرسون (Pearson) بين درجة كل فقرة والدرجة الكلية للمحور الذي تنتمي إليه، بعد تطبيق الأداة على عينة استطلاعية قوامها (30) مفردة. وقد جاءت جميع معاملات الارتباط موجبة ودالة إحصائياً عند مستوى دلالة (0.01)، مما يدل على تمتّع الأداة بدرجة عالية من الاتساق الداخلي، كما يوضح الجدول التالي:</w:t>
      </w:r>
    </w:p>
    <w:p w14:paraId="10F5B998"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 مدى معاملات ارتباط الفقرات بالدرجة الكلية للمحور</w:t>
      </w:r>
    </w:p>
    <w:tbl>
      <w:tblPr>
        <w:tblStyle w:val="TableGrid"/>
        <w:bidiVisual/>
        <w:tblW w:w="0" w:type="auto"/>
        <w:jc w:val="center"/>
        <w:tblLook w:val="04A0" w:firstRow="1" w:lastRow="0" w:firstColumn="1" w:lastColumn="0" w:noHBand="0" w:noVBand="1"/>
      </w:tblPr>
      <w:tblGrid>
        <w:gridCol w:w="2160"/>
        <w:gridCol w:w="2160"/>
        <w:gridCol w:w="2160"/>
        <w:gridCol w:w="2160"/>
      </w:tblGrid>
      <w:tr w:rsidR="0076340C" w:rsidRPr="00802CE5" w14:paraId="0E9EF8D5" w14:textId="77777777">
        <w:trPr>
          <w:jc w:val="center"/>
        </w:trPr>
        <w:tc>
          <w:tcPr>
            <w:tcW w:w="2160" w:type="dxa"/>
          </w:tcPr>
          <w:p w14:paraId="3DDDC32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w:t>
            </w:r>
          </w:p>
        </w:tc>
        <w:tc>
          <w:tcPr>
            <w:tcW w:w="2160" w:type="dxa"/>
          </w:tcPr>
          <w:p w14:paraId="7F956FB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عدد الفقرات</w:t>
            </w:r>
          </w:p>
        </w:tc>
        <w:tc>
          <w:tcPr>
            <w:tcW w:w="2160" w:type="dxa"/>
          </w:tcPr>
          <w:p w14:paraId="22EB753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مدى معاملات الارتباط</w:t>
            </w:r>
          </w:p>
        </w:tc>
        <w:tc>
          <w:tcPr>
            <w:tcW w:w="2160" w:type="dxa"/>
          </w:tcPr>
          <w:p w14:paraId="3DFC2E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مستوى الدلالة</w:t>
            </w:r>
          </w:p>
        </w:tc>
      </w:tr>
      <w:tr w:rsidR="0076340C" w:rsidRPr="00802CE5" w14:paraId="5E281A4C" w14:textId="77777777">
        <w:trPr>
          <w:jc w:val="center"/>
        </w:trPr>
        <w:tc>
          <w:tcPr>
            <w:tcW w:w="2160" w:type="dxa"/>
          </w:tcPr>
          <w:p w14:paraId="03BCB2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الأول: وعي المستخدم بالخصوصية الرقمية</w:t>
            </w:r>
          </w:p>
        </w:tc>
        <w:tc>
          <w:tcPr>
            <w:tcW w:w="2160" w:type="dxa"/>
          </w:tcPr>
          <w:p w14:paraId="791348F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2160" w:type="dxa"/>
          </w:tcPr>
          <w:p w14:paraId="73E3FC6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0.512 – 0.783</w:t>
            </w:r>
          </w:p>
        </w:tc>
        <w:tc>
          <w:tcPr>
            <w:tcW w:w="2160" w:type="dxa"/>
          </w:tcPr>
          <w:p w14:paraId="0C5619C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دالة عند 0.01</w:t>
            </w:r>
          </w:p>
        </w:tc>
      </w:tr>
      <w:tr w:rsidR="0076340C" w:rsidRPr="00802CE5" w14:paraId="2C7B7BE3" w14:textId="77777777">
        <w:trPr>
          <w:jc w:val="center"/>
        </w:trPr>
        <w:tc>
          <w:tcPr>
            <w:tcW w:w="2160" w:type="dxa"/>
          </w:tcPr>
          <w:p w14:paraId="4385AD2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الثاني: الثقة في أنظمة الذكاء الاصطناعي</w:t>
            </w:r>
          </w:p>
        </w:tc>
        <w:tc>
          <w:tcPr>
            <w:tcW w:w="2160" w:type="dxa"/>
          </w:tcPr>
          <w:p w14:paraId="7A4F847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2160" w:type="dxa"/>
          </w:tcPr>
          <w:p w14:paraId="5799628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0.564 – 0.801</w:t>
            </w:r>
          </w:p>
        </w:tc>
        <w:tc>
          <w:tcPr>
            <w:tcW w:w="2160" w:type="dxa"/>
          </w:tcPr>
          <w:p w14:paraId="3266CAB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دالة عند 0.01</w:t>
            </w:r>
          </w:p>
        </w:tc>
      </w:tr>
      <w:tr w:rsidR="0076340C" w:rsidRPr="00802CE5" w14:paraId="604E0566" w14:textId="77777777">
        <w:trPr>
          <w:jc w:val="center"/>
        </w:trPr>
        <w:tc>
          <w:tcPr>
            <w:tcW w:w="2160" w:type="dxa"/>
          </w:tcPr>
          <w:p w14:paraId="184C902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الثالث: تقييم ممارسات الشركات والمؤسسات</w:t>
            </w:r>
          </w:p>
        </w:tc>
        <w:tc>
          <w:tcPr>
            <w:tcW w:w="2160" w:type="dxa"/>
          </w:tcPr>
          <w:p w14:paraId="4C42F61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w:t>
            </w:r>
          </w:p>
        </w:tc>
        <w:tc>
          <w:tcPr>
            <w:tcW w:w="2160" w:type="dxa"/>
          </w:tcPr>
          <w:p w14:paraId="3FE7CCF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0.538 – 0.826</w:t>
            </w:r>
          </w:p>
        </w:tc>
        <w:tc>
          <w:tcPr>
            <w:tcW w:w="2160" w:type="dxa"/>
          </w:tcPr>
          <w:p w14:paraId="3AAED5D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دالة عند 0.01</w:t>
            </w:r>
          </w:p>
        </w:tc>
      </w:tr>
      <w:tr w:rsidR="0076340C" w:rsidRPr="00802CE5" w14:paraId="3CDFFDD4" w14:textId="77777777">
        <w:trPr>
          <w:jc w:val="center"/>
        </w:trPr>
        <w:tc>
          <w:tcPr>
            <w:tcW w:w="2160" w:type="dxa"/>
          </w:tcPr>
          <w:p w14:paraId="2C31FCA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الرابع: استغلال البيانات والتحيّز الخوارزمي</w:t>
            </w:r>
          </w:p>
        </w:tc>
        <w:tc>
          <w:tcPr>
            <w:tcW w:w="2160" w:type="dxa"/>
          </w:tcPr>
          <w:p w14:paraId="14B6BAB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2160" w:type="dxa"/>
          </w:tcPr>
          <w:p w14:paraId="412681E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0.579 – 0.812</w:t>
            </w:r>
          </w:p>
        </w:tc>
        <w:tc>
          <w:tcPr>
            <w:tcW w:w="2160" w:type="dxa"/>
          </w:tcPr>
          <w:p w14:paraId="7D518EC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دالة عند 0.01</w:t>
            </w:r>
          </w:p>
        </w:tc>
      </w:tr>
    </w:tbl>
    <w:p w14:paraId="7819800F" w14:textId="77777777" w:rsidR="0076340C" w:rsidRPr="00802CE5" w:rsidRDefault="0076340C" w:rsidP="00802CE5">
      <w:pPr>
        <w:bidi/>
        <w:spacing w:after="40"/>
        <w:rPr>
          <w:rFonts w:ascii="Sakkal Majalla" w:hAnsi="Sakkal Majalla" w:cs="Sakkal Majalla"/>
          <w:sz w:val="32"/>
          <w:szCs w:val="28"/>
        </w:rPr>
      </w:pPr>
    </w:p>
    <w:p w14:paraId="0552BBA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يتضح من الجدول (4.1) أن جميع الفقرات ارتبطت ارتباطاً دالاً بمحاورها، ولم تُحذف أي فقرة، مما يؤكد صدق الاتساق الداخلي للأداة.</w:t>
      </w:r>
    </w:p>
    <w:p w14:paraId="51F6E25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كما حُسبت معاملات الارتباط بين درجة كل محور والدرجة الكلية للاستبانة، وجاءت جميعها مرتفعة ودالة عند (0.01)، على النحو التالي: المحور الأول (0.812)، والمحور الثاني (0.774)، والمحور الثالث (0.845)، والمحور الرابع (0.798)، وهو ما يدل على أن المحاور تقيس مجتمعةً البناء الكلي للظاهرة موضع الدراسة.</w:t>
      </w:r>
    </w:p>
    <w:p w14:paraId="0756258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ثبات الأداة (Reliability) – معامل ألفا كرونباخ</w:t>
      </w:r>
    </w:p>
    <w:p w14:paraId="0EEAAAE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للتحقق من ثبات أداة الدراسة، استُخدم معامل ألفا كرونباخ (Cronbach's Alpha)، وجاءت قيمه لكل محور وللأداة ككل أعلى من الحد المقبول (0.70)، بل تجاوزت أغلبها الحد الجيد (0.80)، مما يعكس درجة عالية من الثبات والاستقرار، كما يوضح الجدول التالي:</w:t>
      </w:r>
    </w:p>
    <w:p w14:paraId="5BAB00E3"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(4.2): معاملات ثبات ألفا كرونباخ لمحاور الاستبانة والدرجة الكلية</w:t>
      </w:r>
    </w:p>
    <w:tbl>
      <w:tblPr>
        <w:tblStyle w:val="TableGrid"/>
        <w:bidiVisual/>
        <w:tblW w:w="0" w:type="auto"/>
        <w:jc w:val="center"/>
        <w:tblLook w:val="04A0" w:firstRow="1" w:lastRow="0" w:firstColumn="1" w:lastColumn="0" w:noHBand="0" w:noVBand="1"/>
      </w:tblPr>
      <w:tblGrid>
        <w:gridCol w:w="2160"/>
        <w:gridCol w:w="2160"/>
        <w:gridCol w:w="2160"/>
        <w:gridCol w:w="2160"/>
      </w:tblGrid>
      <w:tr w:rsidR="0076340C" w:rsidRPr="00802CE5" w14:paraId="55F6879E" w14:textId="77777777">
        <w:trPr>
          <w:jc w:val="center"/>
        </w:trPr>
        <w:tc>
          <w:tcPr>
            <w:tcW w:w="2160" w:type="dxa"/>
          </w:tcPr>
          <w:p w14:paraId="4A4DDB4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w:t>
            </w:r>
          </w:p>
        </w:tc>
        <w:tc>
          <w:tcPr>
            <w:tcW w:w="2160" w:type="dxa"/>
          </w:tcPr>
          <w:p w14:paraId="27E32D2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عدد الفقرات</w:t>
            </w:r>
          </w:p>
        </w:tc>
        <w:tc>
          <w:tcPr>
            <w:tcW w:w="2160" w:type="dxa"/>
          </w:tcPr>
          <w:p w14:paraId="5149227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معامل ألفا كرونباخ</w:t>
            </w:r>
          </w:p>
        </w:tc>
        <w:tc>
          <w:tcPr>
            <w:tcW w:w="2160" w:type="dxa"/>
          </w:tcPr>
          <w:p w14:paraId="7DBCFB0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درجة الثبات</w:t>
            </w:r>
          </w:p>
        </w:tc>
      </w:tr>
      <w:tr w:rsidR="0076340C" w:rsidRPr="00802CE5" w14:paraId="20D1E8E6" w14:textId="77777777">
        <w:trPr>
          <w:jc w:val="center"/>
        </w:trPr>
        <w:tc>
          <w:tcPr>
            <w:tcW w:w="2160" w:type="dxa"/>
          </w:tcPr>
          <w:p w14:paraId="6DBD970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الأول: وعي المستخدم بالخصوصية الرقمية</w:t>
            </w:r>
          </w:p>
        </w:tc>
        <w:tc>
          <w:tcPr>
            <w:tcW w:w="2160" w:type="dxa"/>
          </w:tcPr>
          <w:p w14:paraId="1D57F78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2160" w:type="dxa"/>
          </w:tcPr>
          <w:p w14:paraId="52C0E0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0.788</w:t>
            </w:r>
          </w:p>
        </w:tc>
        <w:tc>
          <w:tcPr>
            <w:tcW w:w="2160" w:type="dxa"/>
          </w:tcPr>
          <w:p w14:paraId="4C818B8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جيد</w:t>
            </w:r>
          </w:p>
        </w:tc>
      </w:tr>
      <w:tr w:rsidR="0076340C" w:rsidRPr="00802CE5" w14:paraId="6AF46CBB" w14:textId="77777777">
        <w:trPr>
          <w:jc w:val="center"/>
        </w:trPr>
        <w:tc>
          <w:tcPr>
            <w:tcW w:w="2160" w:type="dxa"/>
          </w:tcPr>
          <w:p w14:paraId="2FE07DE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الثاني: الثقة في أنظمة الذكاء الاصطناعي</w:t>
            </w:r>
          </w:p>
        </w:tc>
        <w:tc>
          <w:tcPr>
            <w:tcW w:w="2160" w:type="dxa"/>
          </w:tcPr>
          <w:p w14:paraId="524A98D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2160" w:type="dxa"/>
          </w:tcPr>
          <w:p w14:paraId="12D5C04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0.845</w:t>
            </w:r>
          </w:p>
        </w:tc>
        <w:tc>
          <w:tcPr>
            <w:tcW w:w="2160" w:type="dxa"/>
          </w:tcPr>
          <w:p w14:paraId="2D3F282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جيد جداً</w:t>
            </w:r>
          </w:p>
        </w:tc>
      </w:tr>
      <w:tr w:rsidR="0076340C" w:rsidRPr="00802CE5" w14:paraId="252660B9" w14:textId="77777777">
        <w:trPr>
          <w:jc w:val="center"/>
        </w:trPr>
        <w:tc>
          <w:tcPr>
            <w:tcW w:w="2160" w:type="dxa"/>
          </w:tcPr>
          <w:p w14:paraId="3DFC38D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الثالث: تقييم ممارسات الشركات والمؤسسات</w:t>
            </w:r>
          </w:p>
        </w:tc>
        <w:tc>
          <w:tcPr>
            <w:tcW w:w="2160" w:type="dxa"/>
          </w:tcPr>
          <w:p w14:paraId="101D9A8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w:t>
            </w:r>
          </w:p>
        </w:tc>
        <w:tc>
          <w:tcPr>
            <w:tcW w:w="2160" w:type="dxa"/>
          </w:tcPr>
          <w:p w14:paraId="5ABCE6C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0.883</w:t>
            </w:r>
          </w:p>
        </w:tc>
        <w:tc>
          <w:tcPr>
            <w:tcW w:w="2160" w:type="dxa"/>
          </w:tcPr>
          <w:p w14:paraId="1BEE6F0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جيد جداً</w:t>
            </w:r>
          </w:p>
        </w:tc>
      </w:tr>
      <w:tr w:rsidR="0076340C" w:rsidRPr="00802CE5" w14:paraId="3036429D" w14:textId="77777777">
        <w:trPr>
          <w:jc w:val="center"/>
        </w:trPr>
        <w:tc>
          <w:tcPr>
            <w:tcW w:w="2160" w:type="dxa"/>
          </w:tcPr>
          <w:p w14:paraId="4C59526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الرابع: استغلال البيانات والتحيّز الخوارزمي</w:t>
            </w:r>
          </w:p>
        </w:tc>
        <w:tc>
          <w:tcPr>
            <w:tcW w:w="2160" w:type="dxa"/>
          </w:tcPr>
          <w:p w14:paraId="19BA1D6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2160" w:type="dxa"/>
          </w:tcPr>
          <w:p w14:paraId="140764F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0.716</w:t>
            </w:r>
          </w:p>
        </w:tc>
        <w:tc>
          <w:tcPr>
            <w:tcW w:w="2160" w:type="dxa"/>
          </w:tcPr>
          <w:p w14:paraId="7AB9426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مقبول</w:t>
            </w:r>
          </w:p>
        </w:tc>
      </w:tr>
      <w:tr w:rsidR="0076340C" w:rsidRPr="00802CE5" w14:paraId="6CE7399F" w14:textId="77777777">
        <w:trPr>
          <w:jc w:val="center"/>
        </w:trPr>
        <w:tc>
          <w:tcPr>
            <w:tcW w:w="2160" w:type="dxa"/>
          </w:tcPr>
          <w:p w14:paraId="2CA653F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الاستبانة ككل</w:t>
            </w:r>
          </w:p>
        </w:tc>
        <w:tc>
          <w:tcPr>
            <w:tcW w:w="2160" w:type="dxa"/>
          </w:tcPr>
          <w:p w14:paraId="03F0A0F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32</w:t>
            </w:r>
          </w:p>
        </w:tc>
        <w:tc>
          <w:tcPr>
            <w:tcW w:w="2160" w:type="dxa"/>
          </w:tcPr>
          <w:p w14:paraId="415B38C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0.881</w:t>
            </w:r>
          </w:p>
        </w:tc>
        <w:tc>
          <w:tcPr>
            <w:tcW w:w="2160" w:type="dxa"/>
          </w:tcPr>
          <w:p w14:paraId="639F2F5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جيد جداً</w:t>
            </w:r>
          </w:p>
        </w:tc>
      </w:tr>
    </w:tbl>
    <w:p w14:paraId="7D9A8AFC" w14:textId="77777777" w:rsidR="0076340C" w:rsidRPr="00802CE5" w:rsidRDefault="0076340C" w:rsidP="00802CE5">
      <w:pPr>
        <w:bidi/>
        <w:spacing w:after="40"/>
        <w:rPr>
          <w:rFonts w:ascii="Sakkal Majalla" w:hAnsi="Sakkal Majalla" w:cs="Sakkal Majalla"/>
          <w:sz w:val="32"/>
          <w:szCs w:val="28"/>
        </w:rPr>
      </w:pPr>
    </w:p>
    <w:p w14:paraId="2CD2DA1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يتبيّن من الجدول (4.2) أن معامل الثبات الكلي بلغ (0.881)، وهو معامل ثبات جيد جداً يؤكد صلاحية الأداة للتطبيق وإمكانية الاعتماد على نتائجها، مع ملاحظة أن المحور الرابع سجّل أدنى قيمة (0.716) وهي ضمن الحد المقبول (0.70).</w:t>
      </w:r>
    </w:p>
    <w:p w14:paraId="30045CAC" w14:textId="77777777" w:rsidR="0076340C" w:rsidRPr="00802CE5" w:rsidRDefault="00000000" w:rsidP="00802CE5">
      <w:pPr>
        <w:pStyle w:val="Heading2"/>
        <w:bidi/>
        <w:spacing w:before="240" w:after="160"/>
        <w:rPr>
          <w:rFonts w:ascii="Sakkal Majalla" w:hAnsi="Sakkal Majalla" w:cs="Sakkal Majalla"/>
          <w:sz w:val="32"/>
          <w:szCs w:val="32"/>
        </w:rPr>
      </w:pPr>
      <w:bookmarkStart w:id="31" w:name="_Toc234169657"/>
      <w:r w:rsidRPr="00802CE5">
        <w:rPr>
          <w:rFonts w:ascii="Sakkal Majalla" w:hAnsi="Sakkal Majalla" w:cs="Sakkal Majalla"/>
          <w:color w:val="000000"/>
          <w:sz w:val="36"/>
          <w:szCs w:val="36"/>
        </w:rPr>
        <w:lastRenderedPageBreak/>
        <w:t>ثانياً: نتائج اختبار التوزيع الطبيعي</w:t>
      </w:r>
      <w:bookmarkEnd w:id="31"/>
    </w:p>
    <w:p w14:paraId="3264098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قبل الشروع في اختبار الفرضيات، أُجري اختبار كولمجروف–سميرنوف (Kolmogorov–Smirnov) للتأكد من مدى اعتدالية توزيع بيانات الدراسة، نظراً لأن حجم العينة (150) يتجاوز (50). وقد جاءت قيم مستوى الدلالة (Sig.) لجميع المحاور والدرجة الكلية أكبر من (0.05)، مما يدل على أن البيانات تتبع التوزيع الطبيعي، وبالتالي اعتمد الباحث الأساليب الإحصائية البارامترية (بيرسون، الانحدار، T-Test، ANOVA) في اختبار الفرضيات، مع استخدام اختبار مربع كاي للفرضيات المتعلقة بالعلاقات بين المتغيرات الاسمية.</w:t>
      </w:r>
    </w:p>
    <w:p w14:paraId="42CF429C"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(4.3): نتائج اختبار كولمجروف–سميرنوف للتوزيع الطبيعي</w:t>
      </w:r>
    </w:p>
    <w:tbl>
      <w:tblPr>
        <w:tblStyle w:val="TableGrid"/>
        <w:bidiVisual/>
        <w:tblW w:w="0" w:type="auto"/>
        <w:jc w:val="center"/>
        <w:tblLook w:val="04A0" w:firstRow="1" w:lastRow="0" w:firstColumn="1" w:lastColumn="0" w:noHBand="0" w:noVBand="1"/>
      </w:tblPr>
      <w:tblGrid>
        <w:gridCol w:w="2160"/>
        <w:gridCol w:w="2160"/>
        <w:gridCol w:w="2160"/>
        <w:gridCol w:w="2160"/>
      </w:tblGrid>
      <w:tr w:rsidR="0076340C" w:rsidRPr="00802CE5" w14:paraId="22BAE6A3" w14:textId="77777777">
        <w:trPr>
          <w:jc w:val="center"/>
        </w:trPr>
        <w:tc>
          <w:tcPr>
            <w:tcW w:w="2160" w:type="dxa"/>
          </w:tcPr>
          <w:p w14:paraId="243B33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w:t>
            </w:r>
          </w:p>
        </w:tc>
        <w:tc>
          <w:tcPr>
            <w:tcW w:w="2160" w:type="dxa"/>
          </w:tcPr>
          <w:p w14:paraId="0E23B9B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قيمة Z</w:t>
            </w:r>
          </w:p>
        </w:tc>
        <w:tc>
          <w:tcPr>
            <w:tcW w:w="2160" w:type="dxa"/>
          </w:tcPr>
          <w:p w14:paraId="0B98A2C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مستوى الدلالة (Sig.)</w:t>
            </w:r>
          </w:p>
        </w:tc>
        <w:tc>
          <w:tcPr>
            <w:tcW w:w="2160" w:type="dxa"/>
          </w:tcPr>
          <w:p w14:paraId="79AAA64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نوع التوزيع</w:t>
            </w:r>
          </w:p>
        </w:tc>
      </w:tr>
      <w:tr w:rsidR="0076340C" w:rsidRPr="00802CE5" w14:paraId="08526765" w14:textId="77777777">
        <w:trPr>
          <w:jc w:val="center"/>
        </w:trPr>
        <w:tc>
          <w:tcPr>
            <w:tcW w:w="2160" w:type="dxa"/>
          </w:tcPr>
          <w:p w14:paraId="772ECF0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الأول: وعي المستخدم بالخصوصية الرقمية</w:t>
            </w:r>
          </w:p>
        </w:tc>
        <w:tc>
          <w:tcPr>
            <w:tcW w:w="2160" w:type="dxa"/>
          </w:tcPr>
          <w:p w14:paraId="59CA561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1.14</w:t>
            </w:r>
          </w:p>
        </w:tc>
        <w:tc>
          <w:tcPr>
            <w:tcW w:w="2160" w:type="dxa"/>
          </w:tcPr>
          <w:p w14:paraId="425613C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0.148</w:t>
            </w:r>
          </w:p>
        </w:tc>
        <w:tc>
          <w:tcPr>
            <w:tcW w:w="2160" w:type="dxa"/>
          </w:tcPr>
          <w:p w14:paraId="7B41046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طبيعي</w:t>
            </w:r>
          </w:p>
        </w:tc>
      </w:tr>
      <w:tr w:rsidR="0076340C" w:rsidRPr="00802CE5" w14:paraId="26A6F7B2" w14:textId="77777777">
        <w:trPr>
          <w:jc w:val="center"/>
        </w:trPr>
        <w:tc>
          <w:tcPr>
            <w:tcW w:w="2160" w:type="dxa"/>
          </w:tcPr>
          <w:p w14:paraId="5C5532E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الثاني: الثقة في أنظمة الذكاء الاصطناعي</w:t>
            </w:r>
          </w:p>
        </w:tc>
        <w:tc>
          <w:tcPr>
            <w:tcW w:w="2160" w:type="dxa"/>
          </w:tcPr>
          <w:p w14:paraId="4B8FB8D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1.02</w:t>
            </w:r>
          </w:p>
        </w:tc>
        <w:tc>
          <w:tcPr>
            <w:tcW w:w="2160" w:type="dxa"/>
          </w:tcPr>
          <w:p w14:paraId="63B3DF6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0.213</w:t>
            </w:r>
          </w:p>
        </w:tc>
        <w:tc>
          <w:tcPr>
            <w:tcW w:w="2160" w:type="dxa"/>
          </w:tcPr>
          <w:p w14:paraId="068E92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طبيعي</w:t>
            </w:r>
          </w:p>
        </w:tc>
      </w:tr>
      <w:tr w:rsidR="0076340C" w:rsidRPr="00802CE5" w14:paraId="73AE5662" w14:textId="77777777">
        <w:trPr>
          <w:jc w:val="center"/>
        </w:trPr>
        <w:tc>
          <w:tcPr>
            <w:tcW w:w="2160" w:type="dxa"/>
          </w:tcPr>
          <w:p w14:paraId="6E79359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الثالث: تقييم ممارسات الشركات والمؤسسات</w:t>
            </w:r>
          </w:p>
        </w:tc>
        <w:tc>
          <w:tcPr>
            <w:tcW w:w="2160" w:type="dxa"/>
          </w:tcPr>
          <w:p w14:paraId="3B09B81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1.21</w:t>
            </w:r>
          </w:p>
        </w:tc>
        <w:tc>
          <w:tcPr>
            <w:tcW w:w="2160" w:type="dxa"/>
          </w:tcPr>
          <w:p w14:paraId="7EE8739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0.106</w:t>
            </w:r>
          </w:p>
        </w:tc>
        <w:tc>
          <w:tcPr>
            <w:tcW w:w="2160" w:type="dxa"/>
          </w:tcPr>
          <w:p w14:paraId="36A85A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طبيعي</w:t>
            </w:r>
          </w:p>
        </w:tc>
      </w:tr>
      <w:tr w:rsidR="0076340C" w:rsidRPr="00802CE5" w14:paraId="68E63483" w14:textId="77777777">
        <w:trPr>
          <w:jc w:val="center"/>
        </w:trPr>
        <w:tc>
          <w:tcPr>
            <w:tcW w:w="2160" w:type="dxa"/>
          </w:tcPr>
          <w:p w14:paraId="0234D7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الرابع: استغلال البيانات والتحيّز الخوارزمي</w:t>
            </w:r>
          </w:p>
        </w:tc>
        <w:tc>
          <w:tcPr>
            <w:tcW w:w="2160" w:type="dxa"/>
          </w:tcPr>
          <w:p w14:paraId="4032909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0.97</w:t>
            </w:r>
          </w:p>
        </w:tc>
        <w:tc>
          <w:tcPr>
            <w:tcW w:w="2160" w:type="dxa"/>
          </w:tcPr>
          <w:p w14:paraId="6EE1984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0.301</w:t>
            </w:r>
          </w:p>
        </w:tc>
        <w:tc>
          <w:tcPr>
            <w:tcW w:w="2160" w:type="dxa"/>
          </w:tcPr>
          <w:p w14:paraId="5F9B6E6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طبيعي</w:t>
            </w:r>
          </w:p>
        </w:tc>
      </w:tr>
      <w:tr w:rsidR="0076340C" w:rsidRPr="00802CE5" w14:paraId="40AF922D" w14:textId="77777777">
        <w:trPr>
          <w:jc w:val="center"/>
        </w:trPr>
        <w:tc>
          <w:tcPr>
            <w:tcW w:w="2160" w:type="dxa"/>
          </w:tcPr>
          <w:p w14:paraId="627965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الدرجة الكلية للاستبانة</w:t>
            </w:r>
          </w:p>
        </w:tc>
        <w:tc>
          <w:tcPr>
            <w:tcW w:w="2160" w:type="dxa"/>
          </w:tcPr>
          <w:p w14:paraId="662666E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1.08</w:t>
            </w:r>
          </w:p>
        </w:tc>
        <w:tc>
          <w:tcPr>
            <w:tcW w:w="2160" w:type="dxa"/>
          </w:tcPr>
          <w:p w14:paraId="6A47B6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0.192</w:t>
            </w:r>
          </w:p>
        </w:tc>
        <w:tc>
          <w:tcPr>
            <w:tcW w:w="2160" w:type="dxa"/>
          </w:tcPr>
          <w:p w14:paraId="5C1F87F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طبيعي</w:t>
            </w:r>
          </w:p>
        </w:tc>
      </w:tr>
    </w:tbl>
    <w:p w14:paraId="2A87AFD3" w14:textId="77777777" w:rsidR="0076340C" w:rsidRPr="00802CE5" w:rsidRDefault="0076340C" w:rsidP="00802CE5">
      <w:pPr>
        <w:bidi/>
        <w:spacing w:after="40"/>
        <w:rPr>
          <w:rFonts w:ascii="Sakkal Majalla" w:hAnsi="Sakkal Majalla" w:cs="Sakkal Majalla"/>
          <w:sz w:val="32"/>
          <w:szCs w:val="28"/>
        </w:rPr>
      </w:pPr>
    </w:p>
    <w:p w14:paraId="3271059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جميع قيم الدلالة أكبر من (0.05)، مما يؤكد اعتدالية التوزيع ويبرر استخدام الاختبارات البارامترية.</w:t>
      </w:r>
    </w:p>
    <w:p w14:paraId="34EF9CAA" w14:textId="77777777" w:rsidR="0076340C" w:rsidRPr="00802CE5" w:rsidRDefault="00000000" w:rsidP="00802CE5">
      <w:pPr>
        <w:pStyle w:val="Heading2"/>
        <w:bidi/>
        <w:spacing w:before="240" w:after="160"/>
        <w:rPr>
          <w:rFonts w:ascii="Sakkal Majalla" w:hAnsi="Sakkal Majalla" w:cs="Sakkal Majalla"/>
          <w:sz w:val="32"/>
          <w:szCs w:val="32"/>
        </w:rPr>
      </w:pPr>
      <w:bookmarkStart w:id="32" w:name="_Toc234169658"/>
      <w:r w:rsidRPr="00802CE5">
        <w:rPr>
          <w:rFonts w:ascii="Sakkal Majalla" w:hAnsi="Sakkal Majalla" w:cs="Sakkal Majalla"/>
          <w:color w:val="000000"/>
          <w:sz w:val="36"/>
          <w:szCs w:val="36"/>
        </w:rPr>
        <w:t>ثالثاً: وصف الخصائص الديموغرافية لعينة الدراسة</w:t>
      </w:r>
      <w:bookmarkEnd w:id="32"/>
    </w:p>
    <w:p w14:paraId="6759EB7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فيما يلي عرض للخصائص الديموغرافية لأفراد عينة الدراسة باستخدام التكرارات والنسب المئوية، بما يتيح فهم طبيعة العينة وتفسير نتائجها في ضوء تنوع فئاتها:</w:t>
      </w:r>
    </w:p>
    <w:p w14:paraId="7FAA250A"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lastRenderedPageBreak/>
        <w:t>جدول (4.4): توزيع أفراد العينة وفق متغير الجنس</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22EBA3D2" w14:textId="77777777">
        <w:trPr>
          <w:jc w:val="center"/>
        </w:trPr>
        <w:tc>
          <w:tcPr>
            <w:tcW w:w="2880" w:type="dxa"/>
          </w:tcPr>
          <w:p w14:paraId="3D5BEC6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الجنس</w:t>
            </w:r>
          </w:p>
        </w:tc>
        <w:tc>
          <w:tcPr>
            <w:tcW w:w="2880" w:type="dxa"/>
          </w:tcPr>
          <w:p w14:paraId="0A897B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التكرار</w:t>
            </w:r>
          </w:p>
        </w:tc>
        <w:tc>
          <w:tcPr>
            <w:tcW w:w="2880" w:type="dxa"/>
          </w:tcPr>
          <w:p w14:paraId="57423B5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المئوية</w:t>
            </w:r>
          </w:p>
        </w:tc>
      </w:tr>
      <w:tr w:rsidR="0076340C" w:rsidRPr="00802CE5" w14:paraId="26301E80" w14:textId="77777777">
        <w:trPr>
          <w:jc w:val="center"/>
        </w:trPr>
        <w:tc>
          <w:tcPr>
            <w:tcW w:w="2880" w:type="dxa"/>
          </w:tcPr>
          <w:p w14:paraId="44F864A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ذكر</w:t>
            </w:r>
          </w:p>
        </w:tc>
        <w:tc>
          <w:tcPr>
            <w:tcW w:w="2880" w:type="dxa"/>
          </w:tcPr>
          <w:p w14:paraId="0839A7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92</w:t>
            </w:r>
          </w:p>
        </w:tc>
        <w:tc>
          <w:tcPr>
            <w:tcW w:w="2880" w:type="dxa"/>
          </w:tcPr>
          <w:p w14:paraId="26E1240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%61.3</w:t>
            </w:r>
          </w:p>
        </w:tc>
      </w:tr>
      <w:tr w:rsidR="0076340C" w:rsidRPr="00802CE5" w14:paraId="4352A690" w14:textId="77777777">
        <w:trPr>
          <w:jc w:val="center"/>
        </w:trPr>
        <w:tc>
          <w:tcPr>
            <w:tcW w:w="2880" w:type="dxa"/>
          </w:tcPr>
          <w:p w14:paraId="1F0ED4F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أنثى</w:t>
            </w:r>
          </w:p>
        </w:tc>
        <w:tc>
          <w:tcPr>
            <w:tcW w:w="2880" w:type="dxa"/>
          </w:tcPr>
          <w:p w14:paraId="170BDD1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58</w:t>
            </w:r>
          </w:p>
        </w:tc>
        <w:tc>
          <w:tcPr>
            <w:tcW w:w="2880" w:type="dxa"/>
          </w:tcPr>
          <w:p w14:paraId="3D2EB14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%38.7</w:t>
            </w:r>
          </w:p>
        </w:tc>
      </w:tr>
      <w:tr w:rsidR="0076340C" w:rsidRPr="00802CE5" w14:paraId="3674969D" w14:textId="77777777">
        <w:trPr>
          <w:jc w:val="center"/>
        </w:trPr>
        <w:tc>
          <w:tcPr>
            <w:tcW w:w="2880" w:type="dxa"/>
          </w:tcPr>
          <w:p w14:paraId="54CCB2A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c>
          <w:tcPr>
            <w:tcW w:w="2880" w:type="dxa"/>
          </w:tcPr>
          <w:p w14:paraId="4BEDE64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w:t>
            </w:r>
          </w:p>
        </w:tc>
        <w:tc>
          <w:tcPr>
            <w:tcW w:w="2880" w:type="dxa"/>
          </w:tcPr>
          <w:p w14:paraId="00A78A6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bl>
    <w:p w14:paraId="31C2C3AD" w14:textId="77777777" w:rsidR="0076340C" w:rsidRPr="00802CE5" w:rsidRDefault="0076340C" w:rsidP="00802CE5">
      <w:pPr>
        <w:bidi/>
        <w:spacing w:after="40"/>
        <w:rPr>
          <w:rFonts w:ascii="Sakkal Majalla" w:hAnsi="Sakkal Majalla" w:cs="Sakkal Majalla"/>
          <w:sz w:val="32"/>
          <w:szCs w:val="28"/>
        </w:rPr>
      </w:pPr>
    </w:p>
    <w:p w14:paraId="17D9A37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(4.5): توزيع أفراد العينة وفق متغير الفئة العمرية</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33D0A2E0" w14:textId="77777777">
        <w:trPr>
          <w:jc w:val="center"/>
        </w:trPr>
        <w:tc>
          <w:tcPr>
            <w:tcW w:w="2880" w:type="dxa"/>
          </w:tcPr>
          <w:p w14:paraId="136090A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الفئة العمرية</w:t>
            </w:r>
          </w:p>
        </w:tc>
        <w:tc>
          <w:tcPr>
            <w:tcW w:w="2880" w:type="dxa"/>
          </w:tcPr>
          <w:p w14:paraId="7A9A25A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التكرار</w:t>
            </w:r>
          </w:p>
        </w:tc>
        <w:tc>
          <w:tcPr>
            <w:tcW w:w="2880" w:type="dxa"/>
          </w:tcPr>
          <w:p w14:paraId="06A2EF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المئوية</w:t>
            </w:r>
          </w:p>
        </w:tc>
      </w:tr>
      <w:tr w:rsidR="0076340C" w:rsidRPr="00802CE5" w14:paraId="07B56611" w14:textId="77777777">
        <w:trPr>
          <w:jc w:val="center"/>
        </w:trPr>
        <w:tc>
          <w:tcPr>
            <w:tcW w:w="2880" w:type="dxa"/>
          </w:tcPr>
          <w:p w14:paraId="6605309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18 إلى 25 سنة</w:t>
            </w:r>
          </w:p>
        </w:tc>
        <w:tc>
          <w:tcPr>
            <w:tcW w:w="2880" w:type="dxa"/>
          </w:tcPr>
          <w:p w14:paraId="7026A43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34</w:t>
            </w:r>
          </w:p>
        </w:tc>
        <w:tc>
          <w:tcPr>
            <w:tcW w:w="2880" w:type="dxa"/>
          </w:tcPr>
          <w:p w14:paraId="1576C02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%22.7</w:t>
            </w:r>
          </w:p>
        </w:tc>
      </w:tr>
      <w:tr w:rsidR="0076340C" w:rsidRPr="00802CE5" w14:paraId="2EA5C0CE" w14:textId="77777777">
        <w:trPr>
          <w:jc w:val="center"/>
        </w:trPr>
        <w:tc>
          <w:tcPr>
            <w:tcW w:w="2880" w:type="dxa"/>
          </w:tcPr>
          <w:p w14:paraId="551956D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26 إلى 35 سنة</w:t>
            </w:r>
          </w:p>
        </w:tc>
        <w:tc>
          <w:tcPr>
            <w:tcW w:w="2880" w:type="dxa"/>
          </w:tcPr>
          <w:p w14:paraId="4826616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61</w:t>
            </w:r>
          </w:p>
        </w:tc>
        <w:tc>
          <w:tcPr>
            <w:tcW w:w="2880" w:type="dxa"/>
          </w:tcPr>
          <w:p w14:paraId="0374B08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%40.7</w:t>
            </w:r>
          </w:p>
        </w:tc>
      </w:tr>
      <w:tr w:rsidR="0076340C" w:rsidRPr="00802CE5" w14:paraId="47022AA6" w14:textId="77777777">
        <w:trPr>
          <w:jc w:val="center"/>
        </w:trPr>
        <w:tc>
          <w:tcPr>
            <w:tcW w:w="2880" w:type="dxa"/>
          </w:tcPr>
          <w:p w14:paraId="27E25F6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36 إلى 45 سنة</w:t>
            </w:r>
          </w:p>
        </w:tc>
        <w:tc>
          <w:tcPr>
            <w:tcW w:w="2880" w:type="dxa"/>
          </w:tcPr>
          <w:p w14:paraId="3273A21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w:t>
            </w:r>
          </w:p>
        </w:tc>
        <w:tc>
          <w:tcPr>
            <w:tcW w:w="2880" w:type="dxa"/>
          </w:tcPr>
          <w:p w14:paraId="191EA08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%25.3</w:t>
            </w:r>
          </w:p>
        </w:tc>
      </w:tr>
      <w:tr w:rsidR="0076340C" w:rsidRPr="00802CE5" w14:paraId="3E9ED383" w14:textId="77777777">
        <w:trPr>
          <w:jc w:val="center"/>
        </w:trPr>
        <w:tc>
          <w:tcPr>
            <w:tcW w:w="2880" w:type="dxa"/>
          </w:tcPr>
          <w:p w14:paraId="392AEB9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46 سنة فأكثر</w:t>
            </w:r>
          </w:p>
        </w:tc>
        <w:tc>
          <w:tcPr>
            <w:tcW w:w="2880" w:type="dxa"/>
          </w:tcPr>
          <w:p w14:paraId="3E9CA5B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17</w:t>
            </w:r>
          </w:p>
        </w:tc>
        <w:tc>
          <w:tcPr>
            <w:tcW w:w="2880" w:type="dxa"/>
          </w:tcPr>
          <w:p w14:paraId="1A8D6D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%11.3</w:t>
            </w:r>
          </w:p>
        </w:tc>
      </w:tr>
      <w:tr w:rsidR="0076340C" w:rsidRPr="00802CE5" w14:paraId="0140DF4F" w14:textId="77777777">
        <w:trPr>
          <w:jc w:val="center"/>
        </w:trPr>
        <w:tc>
          <w:tcPr>
            <w:tcW w:w="2880" w:type="dxa"/>
          </w:tcPr>
          <w:p w14:paraId="6E251F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c>
          <w:tcPr>
            <w:tcW w:w="2880" w:type="dxa"/>
          </w:tcPr>
          <w:p w14:paraId="2130CCF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w:t>
            </w:r>
          </w:p>
        </w:tc>
        <w:tc>
          <w:tcPr>
            <w:tcW w:w="2880" w:type="dxa"/>
          </w:tcPr>
          <w:p w14:paraId="6832D5C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bl>
    <w:p w14:paraId="30C39844" w14:textId="77777777" w:rsidR="0076340C" w:rsidRPr="00802CE5" w:rsidRDefault="0076340C" w:rsidP="00802CE5">
      <w:pPr>
        <w:bidi/>
        <w:spacing w:after="40"/>
        <w:rPr>
          <w:rFonts w:ascii="Sakkal Majalla" w:hAnsi="Sakkal Majalla" w:cs="Sakkal Majalla"/>
          <w:sz w:val="32"/>
          <w:szCs w:val="28"/>
        </w:rPr>
      </w:pPr>
    </w:p>
    <w:p w14:paraId="5AB535E1"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(4.6): توزيع أفراد العينة وفق متغير المؤهل العلمي</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4C2CADF6" w14:textId="77777777">
        <w:trPr>
          <w:jc w:val="center"/>
        </w:trPr>
        <w:tc>
          <w:tcPr>
            <w:tcW w:w="2880" w:type="dxa"/>
          </w:tcPr>
          <w:p w14:paraId="74E0E1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المؤهل العلمي</w:t>
            </w:r>
          </w:p>
        </w:tc>
        <w:tc>
          <w:tcPr>
            <w:tcW w:w="2880" w:type="dxa"/>
          </w:tcPr>
          <w:p w14:paraId="7238BFA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التكرار</w:t>
            </w:r>
          </w:p>
        </w:tc>
        <w:tc>
          <w:tcPr>
            <w:tcW w:w="2880" w:type="dxa"/>
          </w:tcPr>
          <w:p w14:paraId="061E1C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المئوية</w:t>
            </w:r>
          </w:p>
        </w:tc>
      </w:tr>
      <w:tr w:rsidR="0076340C" w:rsidRPr="00802CE5" w14:paraId="523F9927" w14:textId="77777777">
        <w:trPr>
          <w:jc w:val="center"/>
        </w:trPr>
        <w:tc>
          <w:tcPr>
            <w:tcW w:w="2880" w:type="dxa"/>
          </w:tcPr>
          <w:p w14:paraId="691AA39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ثانوية فأقل</w:t>
            </w:r>
          </w:p>
        </w:tc>
        <w:tc>
          <w:tcPr>
            <w:tcW w:w="2880" w:type="dxa"/>
          </w:tcPr>
          <w:p w14:paraId="3E0391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18</w:t>
            </w:r>
          </w:p>
        </w:tc>
        <w:tc>
          <w:tcPr>
            <w:tcW w:w="2880" w:type="dxa"/>
          </w:tcPr>
          <w:p w14:paraId="29EF092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%12.0</w:t>
            </w:r>
          </w:p>
        </w:tc>
      </w:tr>
      <w:tr w:rsidR="0076340C" w:rsidRPr="00802CE5" w14:paraId="33FD2FB6" w14:textId="77777777">
        <w:trPr>
          <w:jc w:val="center"/>
        </w:trPr>
        <w:tc>
          <w:tcPr>
            <w:tcW w:w="2880" w:type="dxa"/>
          </w:tcPr>
          <w:p w14:paraId="6CE3418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بكالوريوس</w:t>
            </w:r>
          </w:p>
        </w:tc>
        <w:tc>
          <w:tcPr>
            <w:tcW w:w="2880" w:type="dxa"/>
          </w:tcPr>
          <w:p w14:paraId="655612D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79</w:t>
            </w:r>
          </w:p>
        </w:tc>
        <w:tc>
          <w:tcPr>
            <w:tcW w:w="2880" w:type="dxa"/>
          </w:tcPr>
          <w:p w14:paraId="321D958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%52.7</w:t>
            </w:r>
          </w:p>
        </w:tc>
      </w:tr>
      <w:tr w:rsidR="0076340C" w:rsidRPr="00802CE5" w14:paraId="1F6C9218" w14:textId="77777777">
        <w:trPr>
          <w:jc w:val="center"/>
        </w:trPr>
        <w:tc>
          <w:tcPr>
            <w:tcW w:w="2880" w:type="dxa"/>
          </w:tcPr>
          <w:p w14:paraId="131C154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ماجستير</w:t>
            </w:r>
          </w:p>
        </w:tc>
        <w:tc>
          <w:tcPr>
            <w:tcW w:w="2880" w:type="dxa"/>
          </w:tcPr>
          <w:p w14:paraId="376965E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39</w:t>
            </w:r>
          </w:p>
        </w:tc>
        <w:tc>
          <w:tcPr>
            <w:tcW w:w="2880" w:type="dxa"/>
          </w:tcPr>
          <w:p w14:paraId="6176A38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%26.0</w:t>
            </w:r>
          </w:p>
        </w:tc>
      </w:tr>
      <w:tr w:rsidR="0076340C" w:rsidRPr="00802CE5" w14:paraId="3A3A78F5" w14:textId="77777777">
        <w:trPr>
          <w:jc w:val="center"/>
        </w:trPr>
        <w:tc>
          <w:tcPr>
            <w:tcW w:w="2880" w:type="dxa"/>
          </w:tcPr>
          <w:p w14:paraId="232D559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دكتوراه</w:t>
            </w:r>
          </w:p>
        </w:tc>
        <w:tc>
          <w:tcPr>
            <w:tcW w:w="2880" w:type="dxa"/>
          </w:tcPr>
          <w:p w14:paraId="1D398E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14</w:t>
            </w:r>
          </w:p>
        </w:tc>
        <w:tc>
          <w:tcPr>
            <w:tcW w:w="2880" w:type="dxa"/>
          </w:tcPr>
          <w:p w14:paraId="442AD50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%9.3</w:t>
            </w:r>
          </w:p>
        </w:tc>
      </w:tr>
      <w:tr w:rsidR="0076340C" w:rsidRPr="00802CE5" w14:paraId="7CCA05DC" w14:textId="77777777">
        <w:trPr>
          <w:jc w:val="center"/>
        </w:trPr>
        <w:tc>
          <w:tcPr>
            <w:tcW w:w="2880" w:type="dxa"/>
          </w:tcPr>
          <w:p w14:paraId="703F109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c>
          <w:tcPr>
            <w:tcW w:w="2880" w:type="dxa"/>
          </w:tcPr>
          <w:p w14:paraId="3E6B620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w:t>
            </w:r>
          </w:p>
        </w:tc>
        <w:tc>
          <w:tcPr>
            <w:tcW w:w="2880" w:type="dxa"/>
          </w:tcPr>
          <w:p w14:paraId="389D120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bl>
    <w:p w14:paraId="6D4FCF44" w14:textId="77777777" w:rsidR="0076340C" w:rsidRPr="00802CE5" w:rsidRDefault="0076340C" w:rsidP="00802CE5">
      <w:pPr>
        <w:bidi/>
        <w:spacing w:after="40"/>
        <w:rPr>
          <w:rFonts w:ascii="Sakkal Majalla" w:hAnsi="Sakkal Majalla" w:cs="Sakkal Majalla"/>
          <w:sz w:val="32"/>
          <w:szCs w:val="28"/>
        </w:rPr>
      </w:pPr>
    </w:p>
    <w:p w14:paraId="29CF57C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(4.7): توزيع أفراد العينة وفق متغير سنوات الخبرة</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365B3D88" w14:textId="77777777">
        <w:trPr>
          <w:jc w:val="center"/>
        </w:trPr>
        <w:tc>
          <w:tcPr>
            <w:tcW w:w="2880" w:type="dxa"/>
          </w:tcPr>
          <w:p w14:paraId="1266E1F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سنوات الخبرة</w:t>
            </w:r>
          </w:p>
        </w:tc>
        <w:tc>
          <w:tcPr>
            <w:tcW w:w="2880" w:type="dxa"/>
          </w:tcPr>
          <w:p w14:paraId="0FF8239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التكرار</w:t>
            </w:r>
          </w:p>
        </w:tc>
        <w:tc>
          <w:tcPr>
            <w:tcW w:w="2880" w:type="dxa"/>
          </w:tcPr>
          <w:p w14:paraId="3D7B182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المئوية</w:t>
            </w:r>
          </w:p>
        </w:tc>
      </w:tr>
      <w:tr w:rsidR="0076340C" w:rsidRPr="00802CE5" w14:paraId="69B29B14" w14:textId="77777777">
        <w:trPr>
          <w:jc w:val="center"/>
        </w:trPr>
        <w:tc>
          <w:tcPr>
            <w:tcW w:w="2880" w:type="dxa"/>
          </w:tcPr>
          <w:p w14:paraId="6554534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أقل من 5 سنوات</w:t>
            </w:r>
          </w:p>
        </w:tc>
        <w:tc>
          <w:tcPr>
            <w:tcW w:w="2880" w:type="dxa"/>
          </w:tcPr>
          <w:p w14:paraId="6F0CF3C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53</w:t>
            </w:r>
          </w:p>
        </w:tc>
        <w:tc>
          <w:tcPr>
            <w:tcW w:w="2880" w:type="dxa"/>
          </w:tcPr>
          <w:p w14:paraId="5EF14A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%35.3</w:t>
            </w:r>
          </w:p>
        </w:tc>
      </w:tr>
      <w:tr w:rsidR="0076340C" w:rsidRPr="00802CE5" w14:paraId="2E160653" w14:textId="77777777">
        <w:trPr>
          <w:jc w:val="center"/>
        </w:trPr>
        <w:tc>
          <w:tcPr>
            <w:tcW w:w="2880" w:type="dxa"/>
          </w:tcPr>
          <w:p w14:paraId="03F43D9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5 إلى 10 سنوات</w:t>
            </w:r>
          </w:p>
        </w:tc>
        <w:tc>
          <w:tcPr>
            <w:tcW w:w="2880" w:type="dxa"/>
          </w:tcPr>
          <w:p w14:paraId="4BEC60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57</w:t>
            </w:r>
          </w:p>
        </w:tc>
        <w:tc>
          <w:tcPr>
            <w:tcW w:w="2880" w:type="dxa"/>
          </w:tcPr>
          <w:p w14:paraId="4639AFB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%38.0</w:t>
            </w:r>
          </w:p>
        </w:tc>
      </w:tr>
      <w:tr w:rsidR="0076340C" w:rsidRPr="00802CE5" w14:paraId="0C6AA98E" w14:textId="77777777">
        <w:trPr>
          <w:jc w:val="center"/>
        </w:trPr>
        <w:tc>
          <w:tcPr>
            <w:tcW w:w="2880" w:type="dxa"/>
          </w:tcPr>
          <w:p w14:paraId="1DFD5C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 11 إلى 15 سنة</w:t>
            </w:r>
          </w:p>
        </w:tc>
        <w:tc>
          <w:tcPr>
            <w:tcW w:w="2880" w:type="dxa"/>
          </w:tcPr>
          <w:p w14:paraId="1BD7EC2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w:t>
            </w:r>
          </w:p>
        </w:tc>
        <w:tc>
          <w:tcPr>
            <w:tcW w:w="2880" w:type="dxa"/>
          </w:tcPr>
          <w:p w14:paraId="458B4F3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%16.7</w:t>
            </w:r>
          </w:p>
        </w:tc>
      </w:tr>
      <w:tr w:rsidR="0076340C" w:rsidRPr="00802CE5" w14:paraId="2F6BBA2E" w14:textId="77777777">
        <w:trPr>
          <w:jc w:val="center"/>
        </w:trPr>
        <w:tc>
          <w:tcPr>
            <w:tcW w:w="2880" w:type="dxa"/>
          </w:tcPr>
          <w:p w14:paraId="72F7656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أكثر من 15 سنة</w:t>
            </w:r>
          </w:p>
        </w:tc>
        <w:tc>
          <w:tcPr>
            <w:tcW w:w="2880" w:type="dxa"/>
          </w:tcPr>
          <w:p w14:paraId="17F92E4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w:t>
            </w:r>
          </w:p>
        </w:tc>
        <w:tc>
          <w:tcPr>
            <w:tcW w:w="2880" w:type="dxa"/>
          </w:tcPr>
          <w:p w14:paraId="4D7227B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r w:rsidR="0076340C" w:rsidRPr="00802CE5" w14:paraId="509F372A" w14:textId="77777777">
        <w:trPr>
          <w:jc w:val="center"/>
        </w:trPr>
        <w:tc>
          <w:tcPr>
            <w:tcW w:w="2880" w:type="dxa"/>
          </w:tcPr>
          <w:p w14:paraId="52D250D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c>
          <w:tcPr>
            <w:tcW w:w="2880" w:type="dxa"/>
          </w:tcPr>
          <w:p w14:paraId="6974826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w:t>
            </w:r>
          </w:p>
        </w:tc>
        <w:tc>
          <w:tcPr>
            <w:tcW w:w="2880" w:type="dxa"/>
          </w:tcPr>
          <w:p w14:paraId="35BA8C2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bl>
    <w:p w14:paraId="07142A4A" w14:textId="77777777" w:rsidR="0076340C" w:rsidRPr="00802CE5" w:rsidRDefault="0076340C" w:rsidP="00802CE5">
      <w:pPr>
        <w:bidi/>
        <w:spacing w:after="40"/>
        <w:rPr>
          <w:rFonts w:ascii="Sakkal Majalla" w:hAnsi="Sakkal Majalla" w:cs="Sakkal Majalla"/>
          <w:sz w:val="32"/>
          <w:szCs w:val="28"/>
        </w:rPr>
      </w:pPr>
    </w:p>
    <w:p w14:paraId="2BA71F2B"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(4.8): توزيع أفراد العينة وفق متغير الفئة المستهدفة</w:t>
      </w:r>
    </w:p>
    <w:tbl>
      <w:tblPr>
        <w:tblStyle w:val="TableGrid"/>
        <w:bidiVisual/>
        <w:tblW w:w="0" w:type="auto"/>
        <w:jc w:val="center"/>
        <w:tblLook w:val="04A0" w:firstRow="1" w:lastRow="0" w:firstColumn="1" w:lastColumn="0" w:noHBand="0" w:noVBand="1"/>
      </w:tblPr>
      <w:tblGrid>
        <w:gridCol w:w="2880"/>
        <w:gridCol w:w="2880"/>
        <w:gridCol w:w="2880"/>
      </w:tblGrid>
      <w:tr w:rsidR="0076340C" w:rsidRPr="00802CE5" w14:paraId="52E1936D" w14:textId="77777777">
        <w:trPr>
          <w:jc w:val="center"/>
        </w:trPr>
        <w:tc>
          <w:tcPr>
            <w:tcW w:w="2880" w:type="dxa"/>
          </w:tcPr>
          <w:p w14:paraId="456376A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الفئة المستهدفة</w:t>
            </w:r>
          </w:p>
        </w:tc>
        <w:tc>
          <w:tcPr>
            <w:tcW w:w="2880" w:type="dxa"/>
          </w:tcPr>
          <w:p w14:paraId="13CAFFA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التكرار</w:t>
            </w:r>
          </w:p>
        </w:tc>
        <w:tc>
          <w:tcPr>
            <w:tcW w:w="2880" w:type="dxa"/>
          </w:tcPr>
          <w:p w14:paraId="6DBEFC4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النسبة المئوية</w:t>
            </w:r>
          </w:p>
        </w:tc>
      </w:tr>
      <w:tr w:rsidR="0076340C" w:rsidRPr="00802CE5" w14:paraId="2E3119F2" w14:textId="77777777">
        <w:trPr>
          <w:jc w:val="center"/>
        </w:trPr>
        <w:tc>
          <w:tcPr>
            <w:tcW w:w="2880" w:type="dxa"/>
          </w:tcPr>
          <w:p w14:paraId="32E18FD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مستخدم فرد للتطبيقات الذكية</w:t>
            </w:r>
          </w:p>
        </w:tc>
        <w:tc>
          <w:tcPr>
            <w:tcW w:w="2880" w:type="dxa"/>
          </w:tcPr>
          <w:p w14:paraId="125823B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c>
          <w:tcPr>
            <w:tcW w:w="2880" w:type="dxa"/>
          </w:tcPr>
          <w:p w14:paraId="5A5FF46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%66.7</w:t>
            </w:r>
          </w:p>
        </w:tc>
      </w:tr>
      <w:tr w:rsidR="0076340C" w:rsidRPr="00802CE5" w14:paraId="7E7AA36F" w14:textId="77777777">
        <w:trPr>
          <w:jc w:val="center"/>
        </w:trPr>
        <w:tc>
          <w:tcPr>
            <w:tcW w:w="2880" w:type="dxa"/>
          </w:tcPr>
          <w:p w14:paraId="2CBD27A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موظف في شركة تقنية</w:t>
            </w:r>
          </w:p>
        </w:tc>
        <w:tc>
          <w:tcPr>
            <w:tcW w:w="2880" w:type="dxa"/>
          </w:tcPr>
          <w:p w14:paraId="6FA77AE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30</w:t>
            </w:r>
          </w:p>
        </w:tc>
        <w:tc>
          <w:tcPr>
            <w:tcW w:w="2880" w:type="dxa"/>
          </w:tcPr>
          <w:p w14:paraId="0723AB9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%20.0</w:t>
            </w:r>
          </w:p>
        </w:tc>
      </w:tr>
      <w:tr w:rsidR="0076340C" w:rsidRPr="00802CE5" w14:paraId="532FC4FD" w14:textId="77777777">
        <w:trPr>
          <w:jc w:val="center"/>
        </w:trPr>
        <w:tc>
          <w:tcPr>
            <w:tcW w:w="2880" w:type="dxa"/>
          </w:tcPr>
          <w:p w14:paraId="41DCC2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مسؤول حكومي / تنظيمي</w:t>
            </w:r>
          </w:p>
        </w:tc>
        <w:tc>
          <w:tcPr>
            <w:tcW w:w="2880" w:type="dxa"/>
          </w:tcPr>
          <w:p w14:paraId="4D1F696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w:t>
            </w:r>
          </w:p>
        </w:tc>
        <w:tc>
          <w:tcPr>
            <w:tcW w:w="2880" w:type="dxa"/>
          </w:tcPr>
          <w:p w14:paraId="491C067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%6.7</w:t>
            </w:r>
          </w:p>
        </w:tc>
      </w:tr>
      <w:tr w:rsidR="0076340C" w:rsidRPr="00802CE5" w14:paraId="46E24F16" w14:textId="77777777">
        <w:trPr>
          <w:jc w:val="center"/>
        </w:trPr>
        <w:tc>
          <w:tcPr>
            <w:tcW w:w="2880" w:type="dxa"/>
          </w:tcPr>
          <w:p w14:paraId="6AA4F0A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خبير أكاديمي متخصص</w:t>
            </w:r>
          </w:p>
        </w:tc>
        <w:tc>
          <w:tcPr>
            <w:tcW w:w="2880" w:type="dxa"/>
          </w:tcPr>
          <w:p w14:paraId="54B03EB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w:t>
            </w:r>
          </w:p>
        </w:tc>
        <w:tc>
          <w:tcPr>
            <w:tcW w:w="2880" w:type="dxa"/>
          </w:tcPr>
          <w:p w14:paraId="0862870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%6.7</w:t>
            </w:r>
          </w:p>
        </w:tc>
      </w:tr>
      <w:tr w:rsidR="0076340C" w:rsidRPr="00802CE5" w14:paraId="471E7455" w14:textId="77777777">
        <w:trPr>
          <w:jc w:val="center"/>
        </w:trPr>
        <w:tc>
          <w:tcPr>
            <w:tcW w:w="2880" w:type="dxa"/>
          </w:tcPr>
          <w:p w14:paraId="7300E66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الإجمالي</w:t>
            </w:r>
          </w:p>
        </w:tc>
        <w:tc>
          <w:tcPr>
            <w:tcW w:w="2880" w:type="dxa"/>
          </w:tcPr>
          <w:p w14:paraId="04937DA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150</w:t>
            </w:r>
          </w:p>
        </w:tc>
        <w:tc>
          <w:tcPr>
            <w:tcW w:w="2880" w:type="dxa"/>
          </w:tcPr>
          <w:p w14:paraId="2947EB6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%100</w:t>
            </w:r>
          </w:p>
        </w:tc>
      </w:tr>
    </w:tbl>
    <w:p w14:paraId="7661B745" w14:textId="77777777" w:rsidR="0076340C" w:rsidRPr="00802CE5" w:rsidRDefault="0076340C" w:rsidP="00802CE5">
      <w:pPr>
        <w:bidi/>
        <w:spacing w:after="40"/>
        <w:rPr>
          <w:rFonts w:ascii="Sakkal Majalla" w:hAnsi="Sakkal Majalla" w:cs="Sakkal Majalla"/>
          <w:sz w:val="32"/>
          <w:szCs w:val="28"/>
        </w:rPr>
      </w:pPr>
    </w:p>
    <w:p w14:paraId="1DC0BC7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قد لا يبلغ مجموع النسب المئوية (100%) تماماً بسبب تقريب الكسور العشرية.</w:t>
      </w:r>
    </w:p>
    <w:p w14:paraId="060AF86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يتضح من الجداول السابقة تنوع عينة الدراسة وشمولها لمختلف الفئات، مع غلبة فئة المستخدمين الأفراد (%66.7) باعتبارهم الطرف الأكثر تأثراً بممارسات معالجة البيانات، وهو ما يمنح النتائج قدرة أكبر على تفسير الظاهرة من زوايا متعددة.</w:t>
      </w:r>
    </w:p>
    <w:p w14:paraId="6DE737DD" w14:textId="77777777" w:rsidR="0076340C" w:rsidRPr="00802CE5" w:rsidRDefault="00000000" w:rsidP="00802CE5">
      <w:pPr>
        <w:pStyle w:val="Heading2"/>
        <w:bidi/>
        <w:spacing w:before="240" w:after="160"/>
        <w:rPr>
          <w:rFonts w:ascii="Sakkal Majalla" w:hAnsi="Sakkal Majalla" w:cs="Sakkal Majalla"/>
          <w:sz w:val="32"/>
          <w:szCs w:val="32"/>
        </w:rPr>
      </w:pPr>
      <w:bookmarkStart w:id="33" w:name="_Toc234169659"/>
      <w:r w:rsidRPr="00802CE5">
        <w:rPr>
          <w:rFonts w:ascii="Sakkal Majalla" w:hAnsi="Sakkal Majalla" w:cs="Sakkal Majalla"/>
          <w:color w:val="000000"/>
          <w:sz w:val="36"/>
          <w:szCs w:val="36"/>
        </w:rPr>
        <w:t>رابعاً: النتائج الوصفية لمحاور الدراسة</w:t>
      </w:r>
      <w:bookmarkEnd w:id="33"/>
    </w:p>
    <w:p w14:paraId="5A5713F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لتحديد مستوى استجابات أفراد العينة، حُسبت المتوسطات الحسابية والانحرافات المعيارية لكل فقرة ولكل محور، وفُسّرت في ضوء معيار تفسير المتوسطات الحسابية المعتمد في الفصل الثالث (منخفضة جداً 1.00–1.80، منخفضة 1.81–2.60، متوسطة 2.61–3.40، مرتفعة 3.41–4.20، مرتفعة جداً 4.21–5.00).</w:t>
      </w:r>
    </w:p>
    <w:p w14:paraId="59A4EBBA"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الأول: وعي المستخدم بالخصوصية الرقمية</w:t>
      </w:r>
    </w:p>
    <w:p w14:paraId="26F41CFB"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(4.9): المتوسطات الحسابية والانحرافات المعيارية لفقرات المحور الأول</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02962455" w14:textId="77777777">
        <w:trPr>
          <w:jc w:val="center"/>
        </w:trPr>
        <w:tc>
          <w:tcPr>
            <w:tcW w:w="1728" w:type="dxa"/>
          </w:tcPr>
          <w:p w14:paraId="7E089DE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w:t>
            </w:r>
          </w:p>
        </w:tc>
        <w:tc>
          <w:tcPr>
            <w:tcW w:w="1728" w:type="dxa"/>
          </w:tcPr>
          <w:p w14:paraId="2B9F77A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الفقرة</w:t>
            </w:r>
          </w:p>
        </w:tc>
        <w:tc>
          <w:tcPr>
            <w:tcW w:w="1728" w:type="dxa"/>
          </w:tcPr>
          <w:p w14:paraId="1FBDDA2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المتوسط</w:t>
            </w:r>
          </w:p>
        </w:tc>
        <w:tc>
          <w:tcPr>
            <w:tcW w:w="1728" w:type="dxa"/>
          </w:tcPr>
          <w:p w14:paraId="51678CA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الانحراف</w:t>
            </w:r>
          </w:p>
        </w:tc>
        <w:tc>
          <w:tcPr>
            <w:tcW w:w="1728" w:type="dxa"/>
          </w:tcPr>
          <w:p w14:paraId="0C8C6F4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r>
      <w:tr w:rsidR="0076340C" w:rsidRPr="00802CE5" w14:paraId="2030A2D9" w14:textId="77777777">
        <w:trPr>
          <w:jc w:val="center"/>
        </w:trPr>
        <w:tc>
          <w:tcPr>
            <w:tcW w:w="1728" w:type="dxa"/>
          </w:tcPr>
          <w:p w14:paraId="54FC781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728" w:type="dxa"/>
          </w:tcPr>
          <w:p w14:paraId="7496FDF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أعرف حقوقي </w:t>
            </w:r>
            <w:r w:rsidRPr="00802CE5">
              <w:rPr>
                <w:rFonts w:ascii="Sakkal Majalla" w:hAnsi="Sakkal Majalla" w:cs="Sakkal Majalla"/>
                <w:sz w:val="28"/>
                <w:szCs w:val="28"/>
              </w:rPr>
              <w:lastRenderedPageBreak/>
              <w:t>القانونية المتعلقة بخصوصية بياناتي الشخصية.</w:t>
            </w:r>
          </w:p>
        </w:tc>
        <w:tc>
          <w:tcPr>
            <w:tcW w:w="1728" w:type="dxa"/>
          </w:tcPr>
          <w:p w14:paraId="5F98E8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2.91</w:t>
            </w:r>
          </w:p>
        </w:tc>
        <w:tc>
          <w:tcPr>
            <w:tcW w:w="1728" w:type="dxa"/>
          </w:tcPr>
          <w:p w14:paraId="0813006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0.94</w:t>
            </w:r>
          </w:p>
        </w:tc>
        <w:tc>
          <w:tcPr>
            <w:tcW w:w="1728" w:type="dxa"/>
          </w:tcPr>
          <w:p w14:paraId="5C03FD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0975034C" w14:textId="77777777">
        <w:trPr>
          <w:jc w:val="center"/>
        </w:trPr>
        <w:tc>
          <w:tcPr>
            <w:tcW w:w="1728" w:type="dxa"/>
          </w:tcPr>
          <w:p w14:paraId="04E4121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728" w:type="dxa"/>
          </w:tcPr>
          <w:p w14:paraId="3C9692C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أقرأ سياسة الخصوصية قبل الموافقة على استخدام التطبيقات.</w:t>
            </w:r>
          </w:p>
        </w:tc>
        <w:tc>
          <w:tcPr>
            <w:tcW w:w="1728" w:type="dxa"/>
          </w:tcPr>
          <w:p w14:paraId="7789023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2.34</w:t>
            </w:r>
          </w:p>
        </w:tc>
        <w:tc>
          <w:tcPr>
            <w:tcW w:w="1728" w:type="dxa"/>
          </w:tcPr>
          <w:p w14:paraId="5E275E8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1.08</w:t>
            </w:r>
          </w:p>
        </w:tc>
        <w:tc>
          <w:tcPr>
            <w:tcW w:w="1728" w:type="dxa"/>
          </w:tcPr>
          <w:p w14:paraId="2762842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4A0D5ED1" w14:textId="77777777">
        <w:trPr>
          <w:jc w:val="center"/>
        </w:trPr>
        <w:tc>
          <w:tcPr>
            <w:tcW w:w="1728" w:type="dxa"/>
          </w:tcPr>
          <w:p w14:paraId="690C2B6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728" w:type="dxa"/>
          </w:tcPr>
          <w:p w14:paraId="12E9585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أدرك كيفية استخدام تطبيقات الذكاء الاصطناعي لبياناتي.</w:t>
            </w:r>
          </w:p>
        </w:tc>
        <w:tc>
          <w:tcPr>
            <w:tcW w:w="1728" w:type="dxa"/>
          </w:tcPr>
          <w:p w14:paraId="1CEE161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2.62</w:t>
            </w:r>
          </w:p>
        </w:tc>
        <w:tc>
          <w:tcPr>
            <w:tcW w:w="1728" w:type="dxa"/>
          </w:tcPr>
          <w:p w14:paraId="74D20AB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0.97</w:t>
            </w:r>
          </w:p>
        </w:tc>
        <w:tc>
          <w:tcPr>
            <w:tcW w:w="1728" w:type="dxa"/>
          </w:tcPr>
          <w:p w14:paraId="38F27F6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114C5F78" w14:textId="77777777">
        <w:trPr>
          <w:jc w:val="center"/>
        </w:trPr>
        <w:tc>
          <w:tcPr>
            <w:tcW w:w="1728" w:type="dxa"/>
          </w:tcPr>
          <w:p w14:paraId="7DFB42B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728" w:type="dxa"/>
          </w:tcPr>
          <w:p w14:paraId="2B3AD7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أعرف كيف أتحكم في إعدادات الخصوصية في التطبيقات.</w:t>
            </w:r>
          </w:p>
        </w:tc>
        <w:tc>
          <w:tcPr>
            <w:tcW w:w="1728" w:type="dxa"/>
          </w:tcPr>
          <w:p w14:paraId="0B784FD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3.05</w:t>
            </w:r>
          </w:p>
        </w:tc>
        <w:tc>
          <w:tcPr>
            <w:tcW w:w="1728" w:type="dxa"/>
          </w:tcPr>
          <w:p w14:paraId="219ADB8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0.89</w:t>
            </w:r>
          </w:p>
        </w:tc>
        <w:tc>
          <w:tcPr>
            <w:tcW w:w="1728" w:type="dxa"/>
          </w:tcPr>
          <w:p w14:paraId="4CE53C6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52EFA462" w14:textId="77777777">
        <w:trPr>
          <w:jc w:val="center"/>
        </w:trPr>
        <w:tc>
          <w:tcPr>
            <w:tcW w:w="1728" w:type="dxa"/>
          </w:tcPr>
          <w:p w14:paraId="39F73CB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728" w:type="dxa"/>
          </w:tcPr>
          <w:p w14:paraId="5CE0DBD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لدي معرفة كافية بأنظمة حماية البيانات الشخصية في المملكة.</w:t>
            </w:r>
          </w:p>
        </w:tc>
        <w:tc>
          <w:tcPr>
            <w:tcW w:w="1728" w:type="dxa"/>
          </w:tcPr>
          <w:p w14:paraId="395EE37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2.58</w:t>
            </w:r>
          </w:p>
        </w:tc>
        <w:tc>
          <w:tcPr>
            <w:tcW w:w="1728" w:type="dxa"/>
          </w:tcPr>
          <w:p w14:paraId="0849C2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1.01</w:t>
            </w:r>
          </w:p>
        </w:tc>
        <w:tc>
          <w:tcPr>
            <w:tcW w:w="1728" w:type="dxa"/>
          </w:tcPr>
          <w:p w14:paraId="10C0E3C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337C4AE5" w14:textId="77777777">
        <w:trPr>
          <w:jc w:val="center"/>
        </w:trPr>
        <w:tc>
          <w:tcPr>
            <w:tcW w:w="1728" w:type="dxa"/>
          </w:tcPr>
          <w:p w14:paraId="4E8221F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w:t>
            </w:r>
          </w:p>
        </w:tc>
        <w:tc>
          <w:tcPr>
            <w:tcW w:w="1728" w:type="dxa"/>
          </w:tcPr>
          <w:p w14:paraId="715CC1F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أستطيع التمييز بين الجهات الموثوقة وغير الموثوقة في جمع بياناتي.</w:t>
            </w:r>
          </w:p>
        </w:tc>
        <w:tc>
          <w:tcPr>
            <w:tcW w:w="1728" w:type="dxa"/>
          </w:tcPr>
          <w:p w14:paraId="0E89E9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2.87</w:t>
            </w:r>
          </w:p>
        </w:tc>
        <w:tc>
          <w:tcPr>
            <w:tcW w:w="1728" w:type="dxa"/>
          </w:tcPr>
          <w:p w14:paraId="5BBDE30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0.92</w:t>
            </w:r>
          </w:p>
        </w:tc>
        <w:tc>
          <w:tcPr>
            <w:tcW w:w="1728" w:type="dxa"/>
          </w:tcPr>
          <w:p w14:paraId="1EBC28F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397E6AE7" w14:textId="77777777">
        <w:trPr>
          <w:jc w:val="center"/>
        </w:trPr>
        <w:tc>
          <w:tcPr>
            <w:tcW w:w="1728" w:type="dxa"/>
          </w:tcPr>
          <w:p w14:paraId="425211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1728" w:type="dxa"/>
          </w:tcPr>
          <w:p w14:paraId="617FD5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أعلم بحقي في طلب حذف بياناتي الشخصية من الأنظمة.</w:t>
            </w:r>
          </w:p>
        </w:tc>
        <w:tc>
          <w:tcPr>
            <w:tcW w:w="1728" w:type="dxa"/>
          </w:tcPr>
          <w:p w14:paraId="002BBF4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2.79</w:t>
            </w:r>
          </w:p>
        </w:tc>
        <w:tc>
          <w:tcPr>
            <w:tcW w:w="1728" w:type="dxa"/>
          </w:tcPr>
          <w:p w14:paraId="2955798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1.03</w:t>
            </w:r>
          </w:p>
        </w:tc>
        <w:tc>
          <w:tcPr>
            <w:tcW w:w="1728" w:type="dxa"/>
          </w:tcPr>
          <w:p w14:paraId="4F242A7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7524AE26" w14:textId="77777777">
        <w:trPr>
          <w:jc w:val="center"/>
        </w:trPr>
        <w:tc>
          <w:tcPr>
            <w:tcW w:w="1728" w:type="dxa"/>
          </w:tcPr>
          <w:p w14:paraId="41D7FEE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1728" w:type="dxa"/>
          </w:tcPr>
          <w:p w14:paraId="165BB03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أتخذ إجراءات فعلية لحماية بياناتي (كلمات مرور قوية، رفض </w:t>
            </w:r>
            <w:r w:rsidRPr="00802CE5">
              <w:rPr>
                <w:rFonts w:ascii="Sakkal Majalla" w:hAnsi="Sakkal Majalla" w:cs="Sakkal Majalla"/>
                <w:sz w:val="28"/>
                <w:szCs w:val="28"/>
              </w:rPr>
              <w:lastRenderedPageBreak/>
              <w:t>الأذونات).</w:t>
            </w:r>
          </w:p>
        </w:tc>
        <w:tc>
          <w:tcPr>
            <w:tcW w:w="1728" w:type="dxa"/>
          </w:tcPr>
          <w:p w14:paraId="56846AA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2.96</w:t>
            </w:r>
          </w:p>
        </w:tc>
        <w:tc>
          <w:tcPr>
            <w:tcW w:w="1728" w:type="dxa"/>
          </w:tcPr>
          <w:p w14:paraId="30FC4A6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0.95</w:t>
            </w:r>
          </w:p>
        </w:tc>
        <w:tc>
          <w:tcPr>
            <w:tcW w:w="1728" w:type="dxa"/>
          </w:tcPr>
          <w:p w14:paraId="59BE508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157FEBE5" w14:textId="77777777">
        <w:trPr>
          <w:jc w:val="center"/>
        </w:trPr>
        <w:tc>
          <w:tcPr>
            <w:tcW w:w="1728" w:type="dxa"/>
          </w:tcPr>
          <w:p w14:paraId="1B39D6DA" w14:textId="77777777" w:rsidR="0076340C" w:rsidRPr="00802CE5" w:rsidRDefault="0076340C" w:rsidP="00802CE5">
            <w:pPr>
              <w:bidi/>
              <w:rPr>
                <w:rFonts w:ascii="Sakkal Majalla" w:hAnsi="Sakkal Majalla" w:cs="Sakkal Majalla"/>
                <w:sz w:val="32"/>
                <w:szCs w:val="28"/>
              </w:rPr>
            </w:pPr>
          </w:p>
        </w:tc>
        <w:tc>
          <w:tcPr>
            <w:tcW w:w="1728" w:type="dxa"/>
          </w:tcPr>
          <w:p w14:paraId="14F4242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 للمحور</w:t>
            </w:r>
          </w:p>
        </w:tc>
        <w:tc>
          <w:tcPr>
            <w:tcW w:w="1728" w:type="dxa"/>
          </w:tcPr>
          <w:p w14:paraId="751C373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2.77</w:t>
            </w:r>
          </w:p>
        </w:tc>
        <w:tc>
          <w:tcPr>
            <w:tcW w:w="1728" w:type="dxa"/>
          </w:tcPr>
          <w:p w14:paraId="567F68F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0.71</w:t>
            </w:r>
          </w:p>
        </w:tc>
        <w:tc>
          <w:tcPr>
            <w:tcW w:w="1728" w:type="dxa"/>
          </w:tcPr>
          <w:p w14:paraId="70EB7F4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bl>
    <w:p w14:paraId="67895CC6" w14:textId="77777777" w:rsidR="0076340C" w:rsidRPr="00802CE5" w:rsidRDefault="0076340C" w:rsidP="00802CE5">
      <w:pPr>
        <w:bidi/>
        <w:spacing w:after="40"/>
        <w:rPr>
          <w:rFonts w:ascii="Sakkal Majalla" w:hAnsi="Sakkal Majalla" w:cs="Sakkal Majalla"/>
          <w:sz w:val="32"/>
          <w:szCs w:val="28"/>
        </w:rPr>
      </w:pPr>
    </w:p>
    <w:p w14:paraId="1BB8F4B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جاء المحور الأول بدرجة (متوسطة) بمتوسط عام (2.77)، مما يشير إلى محدودية وعي المستخدمين بحقوقهم الرقمية، وبرزت الفقرة (2) الخاصة بقراءة سياسات الخصوصية كأدنى الفقرات (2.34)، وهو مؤشر مقلق على السلوك الرقمي للأفراد.</w:t>
      </w:r>
    </w:p>
    <w:p w14:paraId="218FFF32"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الثاني: الثقة في أنظمة الذكاء الاصطناعي</w:t>
      </w:r>
    </w:p>
    <w:p w14:paraId="2C3DF349"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(4.10): المتوسطات الحسابية والانحرافات المعيارية لفقرات المحور الثاني</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07FD0B83" w14:textId="77777777">
        <w:trPr>
          <w:jc w:val="center"/>
        </w:trPr>
        <w:tc>
          <w:tcPr>
            <w:tcW w:w="1728" w:type="dxa"/>
          </w:tcPr>
          <w:p w14:paraId="5FAB14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w:t>
            </w:r>
          </w:p>
        </w:tc>
        <w:tc>
          <w:tcPr>
            <w:tcW w:w="1728" w:type="dxa"/>
          </w:tcPr>
          <w:p w14:paraId="4138C2E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الفقرة</w:t>
            </w:r>
          </w:p>
        </w:tc>
        <w:tc>
          <w:tcPr>
            <w:tcW w:w="1728" w:type="dxa"/>
          </w:tcPr>
          <w:p w14:paraId="399AA5B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المتوسط</w:t>
            </w:r>
          </w:p>
        </w:tc>
        <w:tc>
          <w:tcPr>
            <w:tcW w:w="1728" w:type="dxa"/>
          </w:tcPr>
          <w:p w14:paraId="7CD4FA8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الانحراف</w:t>
            </w:r>
          </w:p>
        </w:tc>
        <w:tc>
          <w:tcPr>
            <w:tcW w:w="1728" w:type="dxa"/>
          </w:tcPr>
          <w:p w14:paraId="119B259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r>
      <w:tr w:rsidR="0076340C" w:rsidRPr="00802CE5" w14:paraId="0C16BE5E" w14:textId="77777777">
        <w:trPr>
          <w:jc w:val="center"/>
        </w:trPr>
        <w:tc>
          <w:tcPr>
            <w:tcW w:w="1728" w:type="dxa"/>
          </w:tcPr>
          <w:p w14:paraId="11AF604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728" w:type="dxa"/>
          </w:tcPr>
          <w:p w14:paraId="100D6CC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أثق في أن أنظمة الذكاء الاصطناعي تعالج بياناتي بشكل آمن.</w:t>
            </w:r>
          </w:p>
        </w:tc>
        <w:tc>
          <w:tcPr>
            <w:tcW w:w="1728" w:type="dxa"/>
          </w:tcPr>
          <w:p w14:paraId="6E12876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2.41</w:t>
            </w:r>
          </w:p>
        </w:tc>
        <w:tc>
          <w:tcPr>
            <w:tcW w:w="1728" w:type="dxa"/>
          </w:tcPr>
          <w:p w14:paraId="57E138F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0.98</w:t>
            </w:r>
          </w:p>
        </w:tc>
        <w:tc>
          <w:tcPr>
            <w:tcW w:w="1728" w:type="dxa"/>
          </w:tcPr>
          <w:p w14:paraId="7653E8C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40D65027" w14:textId="77777777">
        <w:trPr>
          <w:jc w:val="center"/>
        </w:trPr>
        <w:tc>
          <w:tcPr>
            <w:tcW w:w="1728" w:type="dxa"/>
          </w:tcPr>
          <w:p w14:paraId="5F91D11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728" w:type="dxa"/>
          </w:tcPr>
          <w:p w14:paraId="78107C3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أعتقد أن الشركات التقنية تستخدم بياناتي للأغراض المعلنة فقط.</w:t>
            </w:r>
          </w:p>
        </w:tc>
        <w:tc>
          <w:tcPr>
            <w:tcW w:w="1728" w:type="dxa"/>
          </w:tcPr>
          <w:p w14:paraId="2B79F75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2.28</w:t>
            </w:r>
          </w:p>
        </w:tc>
        <w:tc>
          <w:tcPr>
            <w:tcW w:w="1728" w:type="dxa"/>
          </w:tcPr>
          <w:p w14:paraId="01118DD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1.05</w:t>
            </w:r>
          </w:p>
        </w:tc>
        <w:tc>
          <w:tcPr>
            <w:tcW w:w="1728" w:type="dxa"/>
          </w:tcPr>
          <w:p w14:paraId="197BE39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61EF67E3" w14:textId="77777777">
        <w:trPr>
          <w:jc w:val="center"/>
        </w:trPr>
        <w:tc>
          <w:tcPr>
            <w:tcW w:w="1728" w:type="dxa"/>
          </w:tcPr>
          <w:p w14:paraId="78CDADA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728" w:type="dxa"/>
          </w:tcPr>
          <w:p w14:paraId="058C2B7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أشعر بالاطمئنان عند مشاركة بياناتي مع الخدمات الذكية.</w:t>
            </w:r>
          </w:p>
        </w:tc>
        <w:tc>
          <w:tcPr>
            <w:tcW w:w="1728" w:type="dxa"/>
          </w:tcPr>
          <w:p w14:paraId="6D6C9D3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2.35</w:t>
            </w:r>
          </w:p>
        </w:tc>
        <w:tc>
          <w:tcPr>
            <w:tcW w:w="1728" w:type="dxa"/>
          </w:tcPr>
          <w:p w14:paraId="7AD751A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1.02</w:t>
            </w:r>
          </w:p>
        </w:tc>
        <w:tc>
          <w:tcPr>
            <w:tcW w:w="1728" w:type="dxa"/>
          </w:tcPr>
          <w:p w14:paraId="3163EFB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5080B380" w14:textId="77777777">
        <w:trPr>
          <w:jc w:val="center"/>
        </w:trPr>
        <w:tc>
          <w:tcPr>
            <w:tcW w:w="1728" w:type="dxa"/>
          </w:tcPr>
          <w:p w14:paraId="387162B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728" w:type="dxa"/>
          </w:tcPr>
          <w:p w14:paraId="70E47B2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أثق في قدرة أنظمة الذكاء الاصطناعي على اتخاذ قرارات عادلة.</w:t>
            </w:r>
          </w:p>
        </w:tc>
        <w:tc>
          <w:tcPr>
            <w:tcW w:w="1728" w:type="dxa"/>
          </w:tcPr>
          <w:p w14:paraId="0855EA0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2.57</w:t>
            </w:r>
          </w:p>
        </w:tc>
        <w:tc>
          <w:tcPr>
            <w:tcW w:w="1728" w:type="dxa"/>
          </w:tcPr>
          <w:p w14:paraId="6300CED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0.94</w:t>
            </w:r>
          </w:p>
        </w:tc>
        <w:tc>
          <w:tcPr>
            <w:tcW w:w="1728" w:type="dxa"/>
          </w:tcPr>
          <w:p w14:paraId="310CBB7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72EC7E6B" w14:textId="77777777">
        <w:trPr>
          <w:jc w:val="center"/>
        </w:trPr>
        <w:tc>
          <w:tcPr>
            <w:tcW w:w="1728" w:type="dxa"/>
          </w:tcPr>
          <w:p w14:paraId="7473053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728" w:type="dxa"/>
          </w:tcPr>
          <w:p w14:paraId="7B9C3FB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أعتقد أن تطور الذكاء الاصطناعي </w:t>
            </w:r>
            <w:r w:rsidRPr="00802CE5">
              <w:rPr>
                <w:rFonts w:ascii="Sakkal Majalla" w:hAnsi="Sakkal Majalla" w:cs="Sakkal Majalla"/>
                <w:sz w:val="28"/>
                <w:szCs w:val="28"/>
              </w:rPr>
              <w:lastRenderedPageBreak/>
              <w:t>يصب في مصلحة حماية خصوصيتي.</w:t>
            </w:r>
          </w:p>
        </w:tc>
        <w:tc>
          <w:tcPr>
            <w:tcW w:w="1728" w:type="dxa"/>
          </w:tcPr>
          <w:p w14:paraId="3445FC0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2.49</w:t>
            </w:r>
          </w:p>
        </w:tc>
        <w:tc>
          <w:tcPr>
            <w:tcW w:w="1728" w:type="dxa"/>
          </w:tcPr>
          <w:p w14:paraId="7BE214D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0.99</w:t>
            </w:r>
          </w:p>
        </w:tc>
        <w:tc>
          <w:tcPr>
            <w:tcW w:w="1728" w:type="dxa"/>
          </w:tcPr>
          <w:p w14:paraId="2B478CA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4BE09F9E" w14:textId="77777777">
        <w:trPr>
          <w:jc w:val="center"/>
        </w:trPr>
        <w:tc>
          <w:tcPr>
            <w:tcW w:w="1728" w:type="dxa"/>
          </w:tcPr>
          <w:p w14:paraId="75BACA3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w:t>
            </w:r>
          </w:p>
        </w:tc>
        <w:tc>
          <w:tcPr>
            <w:tcW w:w="1728" w:type="dxa"/>
          </w:tcPr>
          <w:p w14:paraId="19EC062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أثق في آليات الرقابة على أنظمة الذكاء الاصطناعي الحالية.</w:t>
            </w:r>
          </w:p>
        </w:tc>
        <w:tc>
          <w:tcPr>
            <w:tcW w:w="1728" w:type="dxa"/>
          </w:tcPr>
          <w:p w14:paraId="0EB406B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2.68</w:t>
            </w:r>
          </w:p>
        </w:tc>
        <w:tc>
          <w:tcPr>
            <w:tcW w:w="1728" w:type="dxa"/>
          </w:tcPr>
          <w:p w14:paraId="2B72757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0.91</w:t>
            </w:r>
          </w:p>
        </w:tc>
        <w:tc>
          <w:tcPr>
            <w:tcW w:w="1728" w:type="dxa"/>
          </w:tcPr>
          <w:p w14:paraId="61105D8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0D64FCDB" w14:textId="77777777">
        <w:trPr>
          <w:jc w:val="center"/>
        </w:trPr>
        <w:tc>
          <w:tcPr>
            <w:tcW w:w="1728" w:type="dxa"/>
          </w:tcPr>
          <w:p w14:paraId="0358443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1728" w:type="dxa"/>
          </w:tcPr>
          <w:p w14:paraId="6C3EE22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أطمئن إلى أن بياناتي لن تُستخدم ضد مصلحتي.</w:t>
            </w:r>
          </w:p>
        </w:tc>
        <w:tc>
          <w:tcPr>
            <w:tcW w:w="1728" w:type="dxa"/>
          </w:tcPr>
          <w:p w14:paraId="4377C88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2.93</w:t>
            </w:r>
          </w:p>
        </w:tc>
        <w:tc>
          <w:tcPr>
            <w:tcW w:w="1728" w:type="dxa"/>
          </w:tcPr>
          <w:p w14:paraId="655446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0.96</w:t>
            </w:r>
          </w:p>
        </w:tc>
        <w:tc>
          <w:tcPr>
            <w:tcW w:w="1728" w:type="dxa"/>
          </w:tcPr>
          <w:p w14:paraId="6D2707D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52A4A4F8" w14:textId="77777777">
        <w:trPr>
          <w:jc w:val="center"/>
        </w:trPr>
        <w:tc>
          <w:tcPr>
            <w:tcW w:w="1728" w:type="dxa"/>
          </w:tcPr>
          <w:p w14:paraId="76451C1F" w14:textId="77777777" w:rsidR="0076340C" w:rsidRPr="00802CE5" w:rsidRDefault="0076340C" w:rsidP="00802CE5">
            <w:pPr>
              <w:bidi/>
              <w:rPr>
                <w:rFonts w:ascii="Sakkal Majalla" w:hAnsi="Sakkal Majalla" w:cs="Sakkal Majalla"/>
                <w:sz w:val="32"/>
                <w:szCs w:val="28"/>
              </w:rPr>
            </w:pPr>
          </w:p>
        </w:tc>
        <w:tc>
          <w:tcPr>
            <w:tcW w:w="1728" w:type="dxa"/>
          </w:tcPr>
          <w:p w14:paraId="5454C4C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 للمحور</w:t>
            </w:r>
          </w:p>
        </w:tc>
        <w:tc>
          <w:tcPr>
            <w:tcW w:w="1728" w:type="dxa"/>
          </w:tcPr>
          <w:p w14:paraId="530EC9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2.53</w:t>
            </w:r>
          </w:p>
        </w:tc>
        <w:tc>
          <w:tcPr>
            <w:tcW w:w="1728" w:type="dxa"/>
          </w:tcPr>
          <w:p w14:paraId="7964B6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0.79</w:t>
            </w:r>
          </w:p>
        </w:tc>
        <w:tc>
          <w:tcPr>
            <w:tcW w:w="1728" w:type="dxa"/>
          </w:tcPr>
          <w:p w14:paraId="27BB2C7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bl>
    <w:p w14:paraId="1159A799" w14:textId="77777777" w:rsidR="0076340C" w:rsidRPr="00802CE5" w:rsidRDefault="0076340C" w:rsidP="00802CE5">
      <w:pPr>
        <w:bidi/>
        <w:spacing w:after="40"/>
        <w:rPr>
          <w:rFonts w:ascii="Sakkal Majalla" w:hAnsi="Sakkal Majalla" w:cs="Sakkal Majalla"/>
          <w:sz w:val="32"/>
          <w:szCs w:val="28"/>
        </w:rPr>
      </w:pPr>
    </w:p>
    <w:p w14:paraId="377F427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جاء المحور الثاني بدرجة (منخفضة) بمتوسط عام (2.53)، مما يعكس تدني ثقة المستخدمين في أنظمة الذكاء الاصطناعي وفي شفافية الجهات التي تعالج بياناتهم، وهو ما يتسق مع نتائج المحور الرابع الخاص بإدراك مخاطر الاستغلال.</w:t>
      </w:r>
    </w:p>
    <w:p w14:paraId="2825BDAD"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الثالث: تقييم ممارسات الشركات والمؤسسات</w:t>
      </w:r>
    </w:p>
    <w:p w14:paraId="4AEA65A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(4.11): المتوسطات الحسابية والانحرافات المعيارية لفقرات المحور الثالث</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510A5BBC" w14:textId="77777777">
        <w:trPr>
          <w:jc w:val="center"/>
        </w:trPr>
        <w:tc>
          <w:tcPr>
            <w:tcW w:w="1728" w:type="dxa"/>
          </w:tcPr>
          <w:p w14:paraId="1D4A55F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w:t>
            </w:r>
          </w:p>
        </w:tc>
        <w:tc>
          <w:tcPr>
            <w:tcW w:w="1728" w:type="dxa"/>
          </w:tcPr>
          <w:p w14:paraId="47CFC0B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الفقرة</w:t>
            </w:r>
          </w:p>
        </w:tc>
        <w:tc>
          <w:tcPr>
            <w:tcW w:w="1728" w:type="dxa"/>
          </w:tcPr>
          <w:p w14:paraId="0820EE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المتوسط</w:t>
            </w:r>
          </w:p>
        </w:tc>
        <w:tc>
          <w:tcPr>
            <w:tcW w:w="1728" w:type="dxa"/>
          </w:tcPr>
          <w:p w14:paraId="727891F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الانحراف</w:t>
            </w:r>
          </w:p>
        </w:tc>
        <w:tc>
          <w:tcPr>
            <w:tcW w:w="1728" w:type="dxa"/>
          </w:tcPr>
          <w:p w14:paraId="1683957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r>
      <w:tr w:rsidR="0076340C" w:rsidRPr="00802CE5" w14:paraId="2F4AF9C9" w14:textId="77777777">
        <w:trPr>
          <w:jc w:val="center"/>
        </w:trPr>
        <w:tc>
          <w:tcPr>
            <w:tcW w:w="1728" w:type="dxa"/>
          </w:tcPr>
          <w:p w14:paraId="156E232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728" w:type="dxa"/>
          </w:tcPr>
          <w:p w14:paraId="3D4739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توضح الشركات بجلاء كيفية جمعها لبياناتي الشخصية.</w:t>
            </w:r>
          </w:p>
        </w:tc>
        <w:tc>
          <w:tcPr>
            <w:tcW w:w="1728" w:type="dxa"/>
          </w:tcPr>
          <w:p w14:paraId="706A55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2.38</w:t>
            </w:r>
          </w:p>
        </w:tc>
        <w:tc>
          <w:tcPr>
            <w:tcW w:w="1728" w:type="dxa"/>
          </w:tcPr>
          <w:p w14:paraId="3A6E93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1.01</w:t>
            </w:r>
          </w:p>
        </w:tc>
        <w:tc>
          <w:tcPr>
            <w:tcW w:w="1728" w:type="dxa"/>
          </w:tcPr>
          <w:p w14:paraId="3F11F75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27E21DAA" w14:textId="77777777">
        <w:trPr>
          <w:jc w:val="center"/>
        </w:trPr>
        <w:tc>
          <w:tcPr>
            <w:tcW w:w="1728" w:type="dxa"/>
          </w:tcPr>
          <w:p w14:paraId="6A5D4F6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728" w:type="dxa"/>
          </w:tcPr>
          <w:p w14:paraId="18BD571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تلتزم المؤسسات بالحصول على موافقتي قبل معالجة بياناتي.</w:t>
            </w:r>
          </w:p>
        </w:tc>
        <w:tc>
          <w:tcPr>
            <w:tcW w:w="1728" w:type="dxa"/>
          </w:tcPr>
          <w:p w14:paraId="32C34B0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2.55</w:t>
            </w:r>
          </w:p>
        </w:tc>
        <w:tc>
          <w:tcPr>
            <w:tcW w:w="1728" w:type="dxa"/>
          </w:tcPr>
          <w:p w14:paraId="09210E9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0.97</w:t>
            </w:r>
          </w:p>
        </w:tc>
        <w:tc>
          <w:tcPr>
            <w:tcW w:w="1728" w:type="dxa"/>
          </w:tcPr>
          <w:p w14:paraId="5438F37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3AD8D156" w14:textId="77777777">
        <w:trPr>
          <w:jc w:val="center"/>
        </w:trPr>
        <w:tc>
          <w:tcPr>
            <w:tcW w:w="1728" w:type="dxa"/>
          </w:tcPr>
          <w:p w14:paraId="2898C40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728" w:type="dxa"/>
          </w:tcPr>
          <w:p w14:paraId="07A4D5A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توفر الشركات آلية سهلة للاطلاع على بياناتي أو حذفها.</w:t>
            </w:r>
          </w:p>
        </w:tc>
        <w:tc>
          <w:tcPr>
            <w:tcW w:w="1728" w:type="dxa"/>
          </w:tcPr>
          <w:p w14:paraId="59A609D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2.22</w:t>
            </w:r>
          </w:p>
        </w:tc>
        <w:tc>
          <w:tcPr>
            <w:tcW w:w="1728" w:type="dxa"/>
          </w:tcPr>
          <w:p w14:paraId="51D5501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1.06</w:t>
            </w:r>
          </w:p>
        </w:tc>
        <w:tc>
          <w:tcPr>
            <w:tcW w:w="1728" w:type="dxa"/>
          </w:tcPr>
          <w:p w14:paraId="7F6E059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03BB401C" w14:textId="77777777">
        <w:trPr>
          <w:jc w:val="center"/>
        </w:trPr>
        <w:tc>
          <w:tcPr>
            <w:tcW w:w="1728" w:type="dxa"/>
          </w:tcPr>
          <w:p w14:paraId="2AE3B0A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728" w:type="dxa"/>
          </w:tcPr>
          <w:p w14:paraId="7BFDAD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تفصح الشركات </w:t>
            </w:r>
            <w:r w:rsidRPr="00802CE5">
              <w:rPr>
                <w:rFonts w:ascii="Sakkal Majalla" w:hAnsi="Sakkal Majalla" w:cs="Sakkal Majalla"/>
                <w:sz w:val="28"/>
                <w:szCs w:val="28"/>
              </w:rPr>
              <w:lastRenderedPageBreak/>
              <w:t>عن استخدامها للذكاء الاصطناعي في تحليل بياناتي.</w:t>
            </w:r>
          </w:p>
        </w:tc>
        <w:tc>
          <w:tcPr>
            <w:tcW w:w="1728" w:type="dxa"/>
          </w:tcPr>
          <w:p w14:paraId="4E05FEB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2.19</w:t>
            </w:r>
          </w:p>
        </w:tc>
        <w:tc>
          <w:tcPr>
            <w:tcW w:w="1728" w:type="dxa"/>
          </w:tcPr>
          <w:p w14:paraId="570A87E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1.04</w:t>
            </w:r>
          </w:p>
        </w:tc>
        <w:tc>
          <w:tcPr>
            <w:tcW w:w="1728" w:type="dxa"/>
          </w:tcPr>
          <w:p w14:paraId="4A0D852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0281811B" w14:textId="77777777">
        <w:trPr>
          <w:jc w:val="center"/>
        </w:trPr>
        <w:tc>
          <w:tcPr>
            <w:tcW w:w="1728" w:type="dxa"/>
          </w:tcPr>
          <w:p w14:paraId="419712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728" w:type="dxa"/>
          </w:tcPr>
          <w:p w14:paraId="5B9DE4B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تلتزم المؤسسات بالتشريعات المحلية لحماية البيانات.</w:t>
            </w:r>
          </w:p>
        </w:tc>
        <w:tc>
          <w:tcPr>
            <w:tcW w:w="1728" w:type="dxa"/>
          </w:tcPr>
          <w:p w14:paraId="535CB4B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2.71</w:t>
            </w:r>
          </w:p>
        </w:tc>
        <w:tc>
          <w:tcPr>
            <w:tcW w:w="1728" w:type="dxa"/>
          </w:tcPr>
          <w:p w14:paraId="268EE2E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0.93</w:t>
            </w:r>
          </w:p>
        </w:tc>
        <w:tc>
          <w:tcPr>
            <w:tcW w:w="1728" w:type="dxa"/>
          </w:tcPr>
          <w:p w14:paraId="52A441E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57CF3CC9" w14:textId="77777777">
        <w:trPr>
          <w:jc w:val="center"/>
        </w:trPr>
        <w:tc>
          <w:tcPr>
            <w:tcW w:w="1728" w:type="dxa"/>
          </w:tcPr>
          <w:p w14:paraId="3D42AD2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w:t>
            </w:r>
          </w:p>
        </w:tc>
        <w:tc>
          <w:tcPr>
            <w:tcW w:w="1728" w:type="dxa"/>
          </w:tcPr>
          <w:p w14:paraId="41F9311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تطبق الشركات مبدأ تقليل البيانات (جمع ما يلزم فقط).</w:t>
            </w:r>
          </w:p>
        </w:tc>
        <w:tc>
          <w:tcPr>
            <w:tcW w:w="1728" w:type="dxa"/>
          </w:tcPr>
          <w:p w14:paraId="0FDD4F9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2.34</w:t>
            </w:r>
          </w:p>
        </w:tc>
        <w:tc>
          <w:tcPr>
            <w:tcW w:w="1728" w:type="dxa"/>
          </w:tcPr>
          <w:p w14:paraId="384346F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0.99</w:t>
            </w:r>
          </w:p>
        </w:tc>
        <w:tc>
          <w:tcPr>
            <w:tcW w:w="1728" w:type="dxa"/>
          </w:tcPr>
          <w:p w14:paraId="08058BC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0205333E" w14:textId="77777777">
        <w:trPr>
          <w:jc w:val="center"/>
        </w:trPr>
        <w:tc>
          <w:tcPr>
            <w:tcW w:w="1728" w:type="dxa"/>
          </w:tcPr>
          <w:p w14:paraId="445BC46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1728" w:type="dxa"/>
          </w:tcPr>
          <w:p w14:paraId="0F8ABE5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تخضع خوارزميات الشركات لتدقيق أخلاقي مستقل.</w:t>
            </w:r>
          </w:p>
        </w:tc>
        <w:tc>
          <w:tcPr>
            <w:tcW w:w="1728" w:type="dxa"/>
          </w:tcPr>
          <w:p w14:paraId="58B60E4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2.15</w:t>
            </w:r>
          </w:p>
        </w:tc>
        <w:tc>
          <w:tcPr>
            <w:tcW w:w="1728" w:type="dxa"/>
          </w:tcPr>
          <w:p w14:paraId="5B4E12A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1.08</w:t>
            </w:r>
          </w:p>
        </w:tc>
        <w:tc>
          <w:tcPr>
            <w:tcW w:w="1728" w:type="dxa"/>
          </w:tcPr>
          <w:p w14:paraId="5D2F7E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4457A17E" w14:textId="77777777">
        <w:trPr>
          <w:jc w:val="center"/>
        </w:trPr>
        <w:tc>
          <w:tcPr>
            <w:tcW w:w="1728" w:type="dxa"/>
          </w:tcPr>
          <w:p w14:paraId="1C8B80C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1728" w:type="dxa"/>
          </w:tcPr>
          <w:p w14:paraId="2ED929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توفر المؤسسات قنوات واضحة للشكاوى المتعلقة بالخصوصية.</w:t>
            </w:r>
          </w:p>
        </w:tc>
        <w:tc>
          <w:tcPr>
            <w:tcW w:w="1728" w:type="dxa"/>
          </w:tcPr>
          <w:p w14:paraId="5C29E70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2.48</w:t>
            </w:r>
          </w:p>
        </w:tc>
        <w:tc>
          <w:tcPr>
            <w:tcW w:w="1728" w:type="dxa"/>
          </w:tcPr>
          <w:p w14:paraId="4E8FC18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0.95</w:t>
            </w:r>
          </w:p>
        </w:tc>
        <w:tc>
          <w:tcPr>
            <w:tcW w:w="1728" w:type="dxa"/>
          </w:tcPr>
          <w:p w14:paraId="7C00C37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34B8BB71" w14:textId="77777777">
        <w:trPr>
          <w:jc w:val="center"/>
        </w:trPr>
        <w:tc>
          <w:tcPr>
            <w:tcW w:w="1728" w:type="dxa"/>
          </w:tcPr>
          <w:p w14:paraId="70DB42F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9</w:t>
            </w:r>
          </w:p>
        </w:tc>
        <w:tc>
          <w:tcPr>
            <w:tcW w:w="1728" w:type="dxa"/>
          </w:tcPr>
          <w:p w14:paraId="26A45ED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تتحمل الشركات المسؤولية عند حدوث تسريب للبيانات.</w:t>
            </w:r>
          </w:p>
        </w:tc>
        <w:tc>
          <w:tcPr>
            <w:tcW w:w="1728" w:type="dxa"/>
          </w:tcPr>
          <w:p w14:paraId="0AD7FE0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2.66</w:t>
            </w:r>
          </w:p>
        </w:tc>
        <w:tc>
          <w:tcPr>
            <w:tcW w:w="1728" w:type="dxa"/>
          </w:tcPr>
          <w:p w14:paraId="1B3A3AA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0.98</w:t>
            </w:r>
          </w:p>
        </w:tc>
        <w:tc>
          <w:tcPr>
            <w:tcW w:w="1728" w:type="dxa"/>
          </w:tcPr>
          <w:p w14:paraId="23E8CAC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5B6E2ED3" w14:textId="77777777">
        <w:trPr>
          <w:jc w:val="center"/>
        </w:trPr>
        <w:tc>
          <w:tcPr>
            <w:tcW w:w="1728" w:type="dxa"/>
          </w:tcPr>
          <w:p w14:paraId="2DFBB4E5" w14:textId="77777777" w:rsidR="0076340C" w:rsidRPr="00802CE5" w:rsidRDefault="0076340C" w:rsidP="00802CE5">
            <w:pPr>
              <w:bidi/>
              <w:rPr>
                <w:rFonts w:ascii="Sakkal Majalla" w:hAnsi="Sakkal Majalla" w:cs="Sakkal Majalla"/>
                <w:sz w:val="32"/>
                <w:szCs w:val="28"/>
              </w:rPr>
            </w:pPr>
          </w:p>
        </w:tc>
        <w:tc>
          <w:tcPr>
            <w:tcW w:w="1728" w:type="dxa"/>
          </w:tcPr>
          <w:p w14:paraId="2C577CA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 للمحور</w:t>
            </w:r>
          </w:p>
        </w:tc>
        <w:tc>
          <w:tcPr>
            <w:tcW w:w="1728" w:type="dxa"/>
          </w:tcPr>
          <w:p w14:paraId="3356B74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2.41</w:t>
            </w:r>
          </w:p>
        </w:tc>
        <w:tc>
          <w:tcPr>
            <w:tcW w:w="1728" w:type="dxa"/>
          </w:tcPr>
          <w:p w14:paraId="20C16AF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0.83</w:t>
            </w:r>
          </w:p>
        </w:tc>
        <w:tc>
          <w:tcPr>
            <w:tcW w:w="1728" w:type="dxa"/>
          </w:tcPr>
          <w:p w14:paraId="3730851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bl>
    <w:p w14:paraId="2D073756" w14:textId="77777777" w:rsidR="0076340C" w:rsidRPr="00802CE5" w:rsidRDefault="0076340C" w:rsidP="00802CE5">
      <w:pPr>
        <w:bidi/>
        <w:spacing w:after="40"/>
        <w:rPr>
          <w:rFonts w:ascii="Sakkal Majalla" w:hAnsi="Sakkal Majalla" w:cs="Sakkal Majalla"/>
          <w:sz w:val="32"/>
          <w:szCs w:val="28"/>
        </w:rPr>
      </w:pPr>
    </w:p>
    <w:p w14:paraId="08E29A3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حصل المحور الثالث على أدنى المتوسطات (2.41 – درجة منخفضة)، وجاءت فقرة خضوع الخوارزميات للتدقيق الأخلاقي المستقل في أدنى مرتبة (2.15)، مما يكشف ضعف الشفافية والمساءلة في ممارسات الشركات من وجهة نظر المستجيبين.</w:t>
      </w:r>
    </w:p>
    <w:p w14:paraId="7841E2E6"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المحور الرابع: استغلال البيانات والتحيّز الخوارزمي</w:t>
      </w:r>
    </w:p>
    <w:p w14:paraId="12AA8BFE"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(4.12): المتوسطات الحسابية والانحرافات المعيارية لفقرات المحور الرابع</w:t>
      </w:r>
    </w:p>
    <w:tbl>
      <w:tblPr>
        <w:tblStyle w:val="TableGrid"/>
        <w:bidiVisual/>
        <w:tblW w:w="0" w:type="auto"/>
        <w:jc w:val="center"/>
        <w:tblLook w:val="04A0" w:firstRow="1" w:lastRow="0" w:firstColumn="1" w:lastColumn="0" w:noHBand="0" w:noVBand="1"/>
      </w:tblPr>
      <w:tblGrid>
        <w:gridCol w:w="1728"/>
        <w:gridCol w:w="1745"/>
        <w:gridCol w:w="1728"/>
        <w:gridCol w:w="1728"/>
        <w:gridCol w:w="1728"/>
      </w:tblGrid>
      <w:tr w:rsidR="0076340C" w:rsidRPr="00802CE5" w14:paraId="72419E1C" w14:textId="77777777">
        <w:trPr>
          <w:jc w:val="center"/>
        </w:trPr>
        <w:tc>
          <w:tcPr>
            <w:tcW w:w="1728" w:type="dxa"/>
          </w:tcPr>
          <w:p w14:paraId="33C93B4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lastRenderedPageBreak/>
              <w:t>م</w:t>
            </w:r>
          </w:p>
        </w:tc>
        <w:tc>
          <w:tcPr>
            <w:tcW w:w="1728" w:type="dxa"/>
          </w:tcPr>
          <w:p w14:paraId="49F31E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الفقرة</w:t>
            </w:r>
          </w:p>
        </w:tc>
        <w:tc>
          <w:tcPr>
            <w:tcW w:w="1728" w:type="dxa"/>
          </w:tcPr>
          <w:p w14:paraId="0EE0589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المتوسط</w:t>
            </w:r>
          </w:p>
        </w:tc>
        <w:tc>
          <w:tcPr>
            <w:tcW w:w="1728" w:type="dxa"/>
          </w:tcPr>
          <w:p w14:paraId="4FB2351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الانحراف</w:t>
            </w:r>
          </w:p>
        </w:tc>
        <w:tc>
          <w:tcPr>
            <w:tcW w:w="1728" w:type="dxa"/>
          </w:tcPr>
          <w:p w14:paraId="02AAEC8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r>
      <w:tr w:rsidR="0076340C" w:rsidRPr="00802CE5" w14:paraId="70A1B3F3" w14:textId="77777777">
        <w:trPr>
          <w:jc w:val="center"/>
        </w:trPr>
        <w:tc>
          <w:tcPr>
            <w:tcW w:w="1728" w:type="dxa"/>
          </w:tcPr>
          <w:p w14:paraId="5A5B7D8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728" w:type="dxa"/>
          </w:tcPr>
          <w:p w14:paraId="02EC71D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أعتقد أن بياناتي الشخصية تُستخدم لأغراض تجارية دون علمي.</w:t>
            </w:r>
          </w:p>
        </w:tc>
        <w:tc>
          <w:tcPr>
            <w:tcW w:w="1728" w:type="dxa"/>
          </w:tcPr>
          <w:p w14:paraId="43D873B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4.12</w:t>
            </w:r>
          </w:p>
        </w:tc>
        <w:tc>
          <w:tcPr>
            <w:tcW w:w="1728" w:type="dxa"/>
          </w:tcPr>
          <w:p w14:paraId="61DB095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0.79</w:t>
            </w:r>
          </w:p>
        </w:tc>
        <w:tc>
          <w:tcPr>
            <w:tcW w:w="1728" w:type="dxa"/>
          </w:tcPr>
          <w:p w14:paraId="2B016C3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0368B54B" w14:textId="77777777">
        <w:trPr>
          <w:jc w:val="center"/>
        </w:trPr>
        <w:tc>
          <w:tcPr>
            <w:tcW w:w="1728" w:type="dxa"/>
          </w:tcPr>
          <w:p w14:paraId="06816B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728" w:type="dxa"/>
          </w:tcPr>
          <w:p w14:paraId="2DF4188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أرى أن الشركات الكبرى تجمع بيانات أكثر مما تحتاج فعلياً.</w:t>
            </w:r>
          </w:p>
        </w:tc>
        <w:tc>
          <w:tcPr>
            <w:tcW w:w="1728" w:type="dxa"/>
          </w:tcPr>
          <w:p w14:paraId="085EC2B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4.21</w:t>
            </w:r>
          </w:p>
        </w:tc>
        <w:tc>
          <w:tcPr>
            <w:tcW w:w="1728" w:type="dxa"/>
          </w:tcPr>
          <w:p w14:paraId="3661037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0.74</w:t>
            </w:r>
          </w:p>
        </w:tc>
        <w:tc>
          <w:tcPr>
            <w:tcW w:w="1728" w:type="dxa"/>
          </w:tcPr>
          <w:p w14:paraId="42CE679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 جداً</w:t>
            </w:r>
          </w:p>
        </w:tc>
      </w:tr>
      <w:tr w:rsidR="0076340C" w:rsidRPr="00802CE5" w14:paraId="52CF32D9" w14:textId="77777777">
        <w:trPr>
          <w:jc w:val="center"/>
        </w:trPr>
        <w:tc>
          <w:tcPr>
            <w:tcW w:w="1728" w:type="dxa"/>
          </w:tcPr>
          <w:p w14:paraId="62FFC2E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728" w:type="dxa"/>
          </w:tcPr>
          <w:p w14:paraId="08E41A4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أعتقد أن قرارات الذكاء الاصطناعي قد تكون متحيزة ضد فئات معينة.</w:t>
            </w:r>
          </w:p>
        </w:tc>
        <w:tc>
          <w:tcPr>
            <w:tcW w:w="1728" w:type="dxa"/>
          </w:tcPr>
          <w:p w14:paraId="31D065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3.87</w:t>
            </w:r>
          </w:p>
        </w:tc>
        <w:tc>
          <w:tcPr>
            <w:tcW w:w="1728" w:type="dxa"/>
          </w:tcPr>
          <w:p w14:paraId="22C2FAA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0.83</w:t>
            </w:r>
          </w:p>
        </w:tc>
        <w:tc>
          <w:tcPr>
            <w:tcW w:w="1728" w:type="dxa"/>
          </w:tcPr>
          <w:p w14:paraId="2D167D3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2F18743F" w14:textId="77777777">
        <w:trPr>
          <w:jc w:val="center"/>
        </w:trPr>
        <w:tc>
          <w:tcPr>
            <w:tcW w:w="1728" w:type="dxa"/>
          </w:tcPr>
          <w:p w14:paraId="71DE96A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728" w:type="dxa"/>
          </w:tcPr>
          <w:p w14:paraId="034787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أخشى أن تُباع بياناتي لأطراف ثالثة دون موافقتي.</w:t>
            </w:r>
          </w:p>
        </w:tc>
        <w:tc>
          <w:tcPr>
            <w:tcW w:w="1728" w:type="dxa"/>
          </w:tcPr>
          <w:p w14:paraId="6A38318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4.05</w:t>
            </w:r>
          </w:p>
        </w:tc>
        <w:tc>
          <w:tcPr>
            <w:tcW w:w="1728" w:type="dxa"/>
          </w:tcPr>
          <w:p w14:paraId="08D1BCC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0.81</w:t>
            </w:r>
          </w:p>
        </w:tc>
        <w:tc>
          <w:tcPr>
            <w:tcW w:w="1728" w:type="dxa"/>
          </w:tcPr>
          <w:p w14:paraId="7142EA0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65BE2D50" w14:textId="77777777">
        <w:trPr>
          <w:jc w:val="center"/>
        </w:trPr>
        <w:tc>
          <w:tcPr>
            <w:tcW w:w="1728" w:type="dxa"/>
          </w:tcPr>
          <w:p w14:paraId="583051C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w:t>
            </w:r>
          </w:p>
        </w:tc>
        <w:tc>
          <w:tcPr>
            <w:tcW w:w="1728" w:type="dxa"/>
          </w:tcPr>
          <w:p w14:paraId="50BF192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أرى أن استخدام الذكاء الاصطناعي في التوظيف/الإقراض قد ينتج قرارات غير عادلة.</w:t>
            </w:r>
          </w:p>
        </w:tc>
        <w:tc>
          <w:tcPr>
            <w:tcW w:w="1728" w:type="dxa"/>
          </w:tcPr>
          <w:p w14:paraId="4E35251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3.79</w:t>
            </w:r>
          </w:p>
        </w:tc>
        <w:tc>
          <w:tcPr>
            <w:tcW w:w="1728" w:type="dxa"/>
          </w:tcPr>
          <w:p w14:paraId="67DDC6F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0.88</w:t>
            </w:r>
          </w:p>
        </w:tc>
        <w:tc>
          <w:tcPr>
            <w:tcW w:w="1728" w:type="dxa"/>
          </w:tcPr>
          <w:p w14:paraId="4226CE1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64BF21EA" w14:textId="77777777">
        <w:trPr>
          <w:jc w:val="center"/>
        </w:trPr>
        <w:tc>
          <w:tcPr>
            <w:tcW w:w="1728" w:type="dxa"/>
          </w:tcPr>
          <w:p w14:paraId="4BDD3CC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w:t>
            </w:r>
          </w:p>
        </w:tc>
        <w:tc>
          <w:tcPr>
            <w:tcW w:w="1728" w:type="dxa"/>
          </w:tcPr>
          <w:p w14:paraId="0171EC5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أعتقد أن ضعف الشفافية يزيد من مخاطر استغلال بياناتي.</w:t>
            </w:r>
          </w:p>
        </w:tc>
        <w:tc>
          <w:tcPr>
            <w:tcW w:w="1728" w:type="dxa"/>
          </w:tcPr>
          <w:p w14:paraId="0A84D97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4.08</w:t>
            </w:r>
          </w:p>
        </w:tc>
        <w:tc>
          <w:tcPr>
            <w:tcW w:w="1728" w:type="dxa"/>
          </w:tcPr>
          <w:p w14:paraId="259685F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0.72</w:t>
            </w:r>
          </w:p>
        </w:tc>
        <w:tc>
          <w:tcPr>
            <w:tcW w:w="1728" w:type="dxa"/>
          </w:tcPr>
          <w:p w14:paraId="1A9F1A4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7EFB1C93" w14:textId="77777777">
        <w:trPr>
          <w:jc w:val="center"/>
        </w:trPr>
        <w:tc>
          <w:tcPr>
            <w:tcW w:w="1728" w:type="dxa"/>
          </w:tcPr>
          <w:p w14:paraId="1384FE9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w:t>
            </w:r>
          </w:p>
        </w:tc>
        <w:tc>
          <w:tcPr>
            <w:tcW w:w="1728" w:type="dxa"/>
          </w:tcPr>
          <w:p w14:paraId="7027AA4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أرى أن المراقبة الرقمية عبر الذكاء الاصطناعي تهدد خصوصيتي.</w:t>
            </w:r>
          </w:p>
        </w:tc>
        <w:tc>
          <w:tcPr>
            <w:tcW w:w="1728" w:type="dxa"/>
          </w:tcPr>
          <w:p w14:paraId="3CBCC50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3.82</w:t>
            </w:r>
          </w:p>
        </w:tc>
        <w:tc>
          <w:tcPr>
            <w:tcW w:w="1728" w:type="dxa"/>
          </w:tcPr>
          <w:p w14:paraId="30DE956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0.86</w:t>
            </w:r>
          </w:p>
        </w:tc>
        <w:tc>
          <w:tcPr>
            <w:tcW w:w="1728" w:type="dxa"/>
          </w:tcPr>
          <w:p w14:paraId="6616425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4E5F373D" w14:textId="77777777">
        <w:trPr>
          <w:jc w:val="center"/>
        </w:trPr>
        <w:tc>
          <w:tcPr>
            <w:tcW w:w="1728" w:type="dxa"/>
          </w:tcPr>
          <w:p w14:paraId="02843C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8</w:t>
            </w:r>
          </w:p>
        </w:tc>
        <w:tc>
          <w:tcPr>
            <w:tcW w:w="1728" w:type="dxa"/>
          </w:tcPr>
          <w:p w14:paraId="2623E2D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أعتقد أن غياب الرقابة التنظيمية </w:t>
            </w:r>
            <w:r w:rsidRPr="00802CE5">
              <w:rPr>
                <w:rFonts w:ascii="Sakkal Majalla" w:hAnsi="Sakkal Majalla" w:cs="Sakkal Majalla"/>
                <w:sz w:val="28"/>
                <w:szCs w:val="28"/>
              </w:rPr>
              <w:lastRenderedPageBreak/>
              <w:t>الصارمة يسهّل إساءة استخدام البيانات.</w:t>
            </w:r>
          </w:p>
        </w:tc>
        <w:tc>
          <w:tcPr>
            <w:tcW w:w="1728" w:type="dxa"/>
          </w:tcPr>
          <w:p w14:paraId="49C134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3.58</w:t>
            </w:r>
          </w:p>
        </w:tc>
        <w:tc>
          <w:tcPr>
            <w:tcW w:w="1728" w:type="dxa"/>
          </w:tcPr>
          <w:p w14:paraId="141795F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0.90</w:t>
            </w:r>
          </w:p>
        </w:tc>
        <w:tc>
          <w:tcPr>
            <w:tcW w:w="1728" w:type="dxa"/>
          </w:tcPr>
          <w:p w14:paraId="67E16EA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1C94622A" w14:textId="77777777">
        <w:trPr>
          <w:jc w:val="center"/>
        </w:trPr>
        <w:tc>
          <w:tcPr>
            <w:tcW w:w="1728" w:type="dxa"/>
          </w:tcPr>
          <w:p w14:paraId="35D703F1" w14:textId="77777777" w:rsidR="0076340C" w:rsidRPr="00802CE5" w:rsidRDefault="0076340C" w:rsidP="00802CE5">
            <w:pPr>
              <w:bidi/>
              <w:rPr>
                <w:rFonts w:ascii="Sakkal Majalla" w:hAnsi="Sakkal Majalla" w:cs="Sakkal Majalla"/>
                <w:sz w:val="32"/>
                <w:szCs w:val="28"/>
              </w:rPr>
            </w:pPr>
          </w:p>
        </w:tc>
        <w:tc>
          <w:tcPr>
            <w:tcW w:w="1728" w:type="dxa"/>
          </w:tcPr>
          <w:p w14:paraId="14BEF3C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 للمحور</w:t>
            </w:r>
          </w:p>
        </w:tc>
        <w:tc>
          <w:tcPr>
            <w:tcW w:w="1728" w:type="dxa"/>
          </w:tcPr>
          <w:p w14:paraId="7C9B71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3.94</w:t>
            </w:r>
          </w:p>
        </w:tc>
        <w:tc>
          <w:tcPr>
            <w:tcW w:w="1728" w:type="dxa"/>
          </w:tcPr>
          <w:p w14:paraId="726DD6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0.68</w:t>
            </w:r>
          </w:p>
        </w:tc>
        <w:tc>
          <w:tcPr>
            <w:tcW w:w="1728" w:type="dxa"/>
          </w:tcPr>
          <w:p w14:paraId="7ABF6BB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bl>
    <w:p w14:paraId="0386A387" w14:textId="77777777" w:rsidR="0076340C" w:rsidRPr="00802CE5" w:rsidRDefault="0076340C" w:rsidP="00802CE5">
      <w:pPr>
        <w:bidi/>
        <w:spacing w:after="40"/>
        <w:rPr>
          <w:rFonts w:ascii="Sakkal Majalla" w:hAnsi="Sakkal Majalla" w:cs="Sakkal Majalla"/>
          <w:sz w:val="32"/>
          <w:szCs w:val="28"/>
        </w:rPr>
      </w:pPr>
    </w:p>
    <w:p w14:paraId="5F3C235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جاء المحور الرابع بدرجة (مرتفعة) بمتوسط عام (3.94)، وهو أعلى المحاور، مما يدل على وعيٍ مرتفع لدى المستجيبين بمخاطر استغلال البيانات والتحيز الخوارزمي، رغم انخفاض وعيهم الإجرائي بحقوقهم (المحور الأول).</w:t>
      </w:r>
    </w:p>
    <w:p w14:paraId="2124D4BE"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الترتيب العام لمحاور الدراسة</w:t>
      </w:r>
    </w:p>
    <w:p w14:paraId="1D023479"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(4.13): الترتيب العام لمحاور الدراسة وفق المتوسطات الحسابية</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7CD62D55" w14:textId="77777777">
        <w:trPr>
          <w:jc w:val="center"/>
        </w:trPr>
        <w:tc>
          <w:tcPr>
            <w:tcW w:w="1728" w:type="dxa"/>
          </w:tcPr>
          <w:p w14:paraId="78A3C95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الترتيب</w:t>
            </w:r>
          </w:p>
        </w:tc>
        <w:tc>
          <w:tcPr>
            <w:tcW w:w="1728" w:type="dxa"/>
          </w:tcPr>
          <w:p w14:paraId="3E6F0D9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w:t>
            </w:r>
          </w:p>
        </w:tc>
        <w:tc>
          <w:tcPr>
            <w:tcW w:w="1728" w:type="dxa"/>
          </w:tcPr>
          <w:p w14:paraId="4568C8F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المتوسط</w:t>
            </w:r>
          </w:p>
        </w:tc>
        <w:tc>
          <w:tcPr>
            <w:tcW w:w="1728" w:type="dxa"/>
          </w:tcPr>
          <w:p w14:paraId="5FF3BD7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الانحراف</w:t>
            </w:r>
          </w:p>
        </w:tc>
        <w:tc>
          <w:tcPr>
            <w:tcW w:w="1728" w:type="dxa"/>
          </w:tcPr>
          <w:p w14:paraId="24B9895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الدرجة</w:t>
            </w:r>
          </w:p>
        </w:tc>
      </w:tr>
      <w:tr w:rsidR="0076340C" w:rsidRPr="00802CE5" w14:paraId="15E368A1" w14:textId="77777777">
        <w:trPr>
          <w:jc w:val="center"/>
        </w:trPr>
        <w:tc>
          <w:tcPr>
            <w:tcW w:w="1728" w:type="dxa"/>
          </w:tcPr>
          <w:p w14:paraId="3F96239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w:t>
            </w:r>
          </w:p>
        </w:tc>
        <w:tc>
          <w:tcPr>
            <w:tcW w:w="1728" w:type="dxa"/>
          </w:tcPr>
          <w:p w14:paraId="7DDF5E1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الرابع: استغلال البيانات والتحيّز الخوارزمي</w:t>
            </w:r>
          </w:p>
        </w:tc>
        <w:tc>
          <w:tcPr>
            <w:tcW w:w="1728" w:type="dxa"/>
          </w:tcPr>
          <w:p w14:paraId="7D29B88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3.94</w:t>
            </w:r>
          </w:p>
        </w:tc>
        <w:tc>
          <w:tcPr>
            <w:tcW w:w="1728" w:type="dxa"/>
          </w:tcPr>
          <w:p w14:paraId="4499E08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0.68</w:t>
            </w:r>
          </w:p>
        </w:tc>
        <w:tc>
          <w:tcPr>
            <w:tcW w:w="1728" w:type="dxa"/>
          </w:tcPr>
          <w:p w14:paraId="5E48474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مرتفعة</w:t>
            </w:r>
          </w:p>
        </w:tc>
      </w:tr>
      <w:tr w:rsidR="0076340C" w:rsidRPr="00802CE5" w14:paraId="19CF4206" w14:textId="77777777">
        <w:trPr>
          <w:jc w:val="center"/>
        </w:trPr>
        <w:tc>
          <w:tcPr>
            <w:tcW w:w="1728" w:type="dxa"/>
          </w:tcPr>
          <w:p w14:paraId="5031A94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w:t>
            </w:r>
          </w:p>
        </w:tc>
        <w:tc>
          <w:tcPr>
            <w:tcW w:w="1728" w:type="dxa"/>
          </w:tcPr>
          <w:p w14:paraId="1C38CD6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الأول: وعي المستخدم بالخصوصية الرقمية</w:t>
            </w:r>
          </w:p>
        </w:tc>
        <w:tc>
          <w:tcPr>
            <w:tcW w:w="1728" w:type="dxa"/>
          </w:tcPr>
          <w:p w14:paraId="4A2BFD5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2.77</w:t>
            </w:r>
          </w:p>
        </w:tc>
        <w:tc>
          <w:tcPr>
            <w:tcW w:w="1728" w:type="dxa"/>
          </w:tcPr>
          <w:p w14:paraId="14A3038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0.71</w:t>
            </w:r>
          </w:p>
        </w:tc>
        <w:tc>
          <w:tcPr>
            <w:tcW w:w="1728" w:type="dxa"/>
          </w:tcPr>
          <w:p w14:paraId="4CCAC40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r w:rsidR="0076340C" w:rsidRPr="00802CE5" w14:paraId="078DB76B" w14:textId="77777777">
        <w:trPr>
          <w:jc w:val="center"/>
        </w:trPr>
        <w:tc>
          <w:tcPr>
            <w:tcW w:w="1728" w:type="dxa"/>
          </w:tcPr>
          <w:p w14:paraId="3F248ED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w:t>
            </w:r>
          </w:p>
        </w:tc>
        <w:tc>
          <w:tcPr>
            <w:tcW w:w="1728" w:type="dxa"/>
          </w:tcPr>
          <w:p w14:paraId="78896D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الثاني: الثقة في أنظمة الذكاء الاصطناعي</w:t>
            </w:r>
          </w:p>
        </w:tc>
        <w:tc>
          <w:tcPr>
            <w:tcW w:w="1728" w:type="dxa"/>
          </w:tcPr>
          <w:p w14:paraId="4B4D0AC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2.53</w:t>
            </w:r>
          </w:p>
        </w:tc>
        <w:tc>
          <w:tcPr>
            <w:tcW w:w="1728" w:type="dxa"/>
          </w:tcPr>
          <w:p w14:paraId="65A350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0.79</w:t>
            </w:r>
          </w:p>
        </w:tc>
        <w:tc>
          <w:tcPr>
            <w:tcW w:w="1728" w:type="dxa"/>
          </w:tcPr>
          <w:p w14:paraId="45667B1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0947B421" w14:textId="77777777">
        <w:trPr>
          <w:jc w:val="center"/>
        </w:trPr>
        <w:tc>
          <w:tcPr>
            <w:tcW w:w="1728" w:type="dxa"/>
          </w:tcPr>
          <w:p w14:paraId="62C239F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728" w:type="dxa"/>
          </w:tcPr>
          <w:p w14:paraId="5036BE7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الثالث: تقييم ممارسات الشركات والمؤسسات</w:t>
            </w:r>
          </w:p>
        </w:tc>
        <w:tc>
          <w:tcPr>
            <w:tcW w:w="1728" w:type="dxa"/>
          </w:tcPr>
          <w:p w14:paraId="5F3630E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2.41</w:t>
            </w:r>
          </w:p>
        </w:tc>
        <w:tc>
          <w:tcPr>
            <w:tcW w:w="1728" w:type="dxa"/>
          </w:tcPr>
          <w:p w14:paraId="3CFFCF7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0.83</w:t>
            </w:r>
          </w:p>
        </w:tc>
        <w:tc>
          <w:tcPr>
            <w:tcW w:w="1728" w:type="dxa"/>
          </w:tcPr>
          <w:p w14:paraId="3CC5BF4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منخفضة</w:t>
            </w:r>
          </w:p>
        </w:tc>
      </w:tr>
      <w:tr w:rsidR="0076340C" w:rsidRPr="00802CE5" w14:paraId="305FBC52" w14:textId="77777777">
        <w:trPr>
          <w:jc w:val="center"/>
        </w:trPr>
        <w:tc>
          <w:tcPr>
            <w:tcW w:w="1728" w:type="dxa"/>
          </w:tcPr>
          <w:p w14:paraId="1ED60558" w14:textId="77777777" w:rsidR="0076340C" w:rsidRPr="00802CE5" w:rsidRDefault="0076340C" w:rsidP="00802CE5">
            <w:pPr>
              <w:bidi/>
              <w:rPr>
                <w:rFonts w:ascii="Sakkal Majalla" w:hAnsi="Sakkal Majalla" w:cs="Sakkal Majalla"/>
                <w:sz w:val="32"/>
                <w:szCs w:val="28"/>
              </w:rPr>
            </w:pPr>
          </w:p>
        </w:tc>
        <w:tc>
          <w:tcPr>
            <w:tcW w:w="1728" w:type="dxa"/>
          </w:tcPr>
          <w:p w14:paraId="1397D30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 للأداة</w:t>
            </w:r>
          </w:p>
        </w:tc>
        <w:tc>
          <w:tcPr>
            <w:tcW w:w="1728" w:type="dxa"/>
          </w:tcPr>
          <w:p w14:paraId="4287165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2.91</w:t>
            </w:r>
          </w:p>
        </w:tc>
        <w:tc>
          <w:tcPr>
            <w:tcW w:w="1728" w:type="dxa"/>
          </w:tcPr>
          <w:p w14:paraId="537027C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0.62</w:t>
            </w:r>
          </w:p>
        </w:tc>
        <w:tc>
          <w:tcPr>
            <w:tcW w:w="1728" w:type="dxa"/>
          </w:tcPr>
          <w:p w14:paraId="10B2A48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متوسطة</w:t>
            </w:r>
          </w:p>
        </w:tc>
      </w:tr>
    </w:tbl>
    <w:p w14:paraId="63C85C5F" w14:textId="77777777" w:rsidR="0076340C" w:rsidRPr="00802CE5" w:rsidRDefault="0076340C" w:rsidP="00802CE5">
      <w:pPr>
        <w:bidi/>
        <w:spacing w:after="40"/>
        <w:rPr>
          <w:rFonts w:ascii="Sakkal Majalla" w:hAnsi="Sakkal Majalla" w:cs="Sakkal Majalla"/>
          <w:sz w:val="32"/>
          <w:szCs w:val="28"/>
        </w:rPr>
      </w:pPr>
    </w:p>
    <w:p w14:paraId="188C866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يكشف الترتيب العام عن مفارقة جوهرية: ارتفاع إدراك المخاطر (المحور الرابع) مقابل تدني الثقة في الأنظمة وضعف تقييم ممارسات الشركات، مع وعي إجرائي متوسط، وهو نمط يعكس اختلالاً في التوازن بين حماية الخصوصية واستغلال البيانات لصالح كفّة الاستغلال.</w:t>
      </w:r>
    </w:p>
    <w:p w14:paraId="620CC162" w14:textId="77777777" w:rsidR="0076340C" w:rsidRPr="00802CE5" w:rsidRDefault="00000000" w:rsidP="00802CE5">
      <w:pPr>
        <w:pStyle w:val="Heading2"/>
        <w:bidi/>
        <w:spacing w:before="240" w:after="160"/>
        <w:rPr>
          <w:rFonts w:ascii="Sakkal Majalla" w:hAnsi="Sakkal Majalla" w:cs="Sakkal Majalla"/>
          <w:sz w:val="32"/>
          <w:szCs w:val="32"/>
        </w:rPr>
      </w:pPr>
      <w:bookmarkStart w:id="34" w:name="_Toc234169660"/>
      <w:r w:rsidRPr="00802CE5">
        <w:rPr>
          <w:rFonts w:ascii="Sakkal Majalla" w:hAnsi="Sakkal Majalla" w:cs="Sakkal Majalla"/>
          <w:color w:val="000000"/>
          <w:sz w:val="36"/>
          <w:szCs w:val="36"/>
        </w:rPr>
        <w:t>خامساً: نتائج اختبار فرضيات الدراسة</w:t>
      </w:r>
      <w:bookmarkEnd w:id="34"/>
    </w:p>
    <w:p w14:paraId="1E63ADA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فيما يلي عرض لنتائج اختبار فرضيات الدراسة العشر باستخدام الأساليب الإحصائية المناسبة لطبيعة كل فرضية، مع اعتماد مستوى الدلالة (</w:t>
      </w:r>
      <w:r w:rsidRPr="00802CE5">
        <w:rPr>
          <w:rFonts w:ascii="Cambria" w:hAnsi="Cambria" w:cs="Cambria"/>
          <w:sz w:val="32"/>
          <w:szCs w:val="32"/>
        </w:rPr>
        <w:t>α</w:t>
      </w:r>
      <w:r w:rsidRPr="00802CE5">
        <w:rPr>
          <w:rFonts w:ascii="Sakkal Majalla" w:hAnsi="Sakkal Majalla" w:cs="Sakkal Majalla"/>
          <w:sz w:val="32"/>
          <w:szCs w:val="32"/>
        </w:rPr>
        <w:t xml:space="preserve"> ≤ 0.05) معياراً للحكم:</w:t>
      </w:r>
    </w:p>
    <w:p w14:paraId="7109024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1. الفرضيات المتعلقة بالتوازن بين حماية الخصوصية واستغلال البيانات (H1، H2)</w:t>
      </w:r>
    </w:p>
    <w:p w14:paraId="01AA5E1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H1: توجد علاقة ذات دلالة إحصائية بين تطور تقنيات الذكاء الاصطناعي وزيادة تحديات حماية الخصوصية.</w:t>
      </w:r>
    </w:p>
    <w:p w14:paraId="7FE8D75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معامل ارتباط بيرسون، بلغت قيمة معامل الارتباط (r = 0.641) عند مستوى دلالة (0.000)، وهي علاقة طردية متوسطة إلى قوية ودالة إحصائياً، وبذلك تُقبل الفرضية (H1)؛ أي أن تطور تقنيات الذكاء الاصطناعي يقترن بزيادة تحديات حماية الخصوصية.</w:t>
      </w:r>
    </w:p>
    <w:p w14:paraId="229A4B4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H2: كلما زاد استغلال البيانات الشخصية من قبل الذكاء الاصطناعي، انخفض مستوى حماية خصوصية الأفراد.</w:t>
      </w:r>
    </w:p>
    <w:p w14:paraId="1445941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بلغت قيمة معامل ارتباط بيرسون (r = −0.603) عند مستوى دلالة (0.000)، وهي علاقة عكسية قوية ودالة، وبذلك تُقبل الفرضية (H2)؛ إذ يرتبط ارتفاع استغلال البيانات بانخفاض مستوى حماية الخصوصية.</w:t>
      </w:r>
    </w:p>
    <w:p w14:paraId="4C4E2465"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(4.14): نتائج اختبار الفرضيتين (H1، H2) بمعامل ارتباط بيرسون</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1D30B776" w14:textId="77777777">
        <w:trPr>
          <w:jc w:val="center"/>
        </w:trPr>
        <w:tc>
          <w:tcPr>
            <w:tcW w:w="1728" w:type="dxa"/>
          </w:tcPr>
          <w:p w14:paraId="6CD716D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lastRenderedPageBreak/>
              <w:t>الفرضية</w:t>
            </w:r>
          </w:p>
        </w:tc>
        <w:tc>
          <w:tcPr>
            <w:tcW w:w="1728" w:type="dxa"/>
          </w:tcPr>
          <w:p w14:paraId="1293783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قيمة r</w:t>
            </w:r>
          </w:p>
        </w:tc>
        <w:tc>
          <w:tcPr>
            <w:tcW w:w="1728" w:type="dxa"/>
          </w:tcPr>
          <w:p w14:paraId="3E77AE9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728" w:type="dxa"/>
          </w:tcPr>
          <w:p w14:paraId="1072DF0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نوع العلاقة</w:t>
            </w:r>
          </w:p>
        </w:tc>
        <w:tc>
          <w:tcPr>
            <w:tcW w:w="1728" w:type="dxa"/>
          </w:tcPr>
          <w:p w14:paraId="21E3048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3555CE05" w14:textId="77777777">
        <w:trPr>
          <w:jc w:val="center"/>
        </w:trPr>
        <w:tc>
          <w:tcPr>
            <w:tcW w:w="1728" w:type="dxa"/>
          </w:tcPr>
          <w:p w14:paraId="70FAE13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w:t>
            </w:r>
          </w:p>
        </w:tc>
        <w:tc>
          <w:tcPr>
            <w:tcW w:w="1728" w:type="dxa"/>
          </w:tcPr>
          <w:p w14:paraId="639FC3E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0.641</w:t>
            </w:r>
          </w:p>
        </w:tc>
        <w:tc>
          <w:tcPr>
            <w:tcW w:w="1728" w:type="dxa"/>
          </w:tcPr>
          <w:p w14:paraId="032BD17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728" w:type="dxa"/>
          </w:tcPr>
          <w:p w14:paraId="430E589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طردية متوسطة إلى قوية</w:t>
            </w:r>
          </w:p>
        </w:tc>
        <w:tc>
          <w:tcPr>
            <w:tcW w:w="1728" w:type="dxa"/>
          </w:tcPr>
          <w:p w14:paraId="1869FE8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7A2065EF" w14:textId="77777777">
        <w:trPr>
          <w:jc w:val="center"/>
        </w:trPr>
        <w:tc>
          <w:tcPr>
            <w:tcW w:w="1728" w:type="dxa"/>
          </w:tcPr>
          <w:p w14:paraId="37CD54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H2</w:t>
            </w:r>
          </w:p>
        </w:tc>
        <w:tc>
          <w:tcPr>
            <w:tcW w:w="1728" w:type="dxa"/>
          </w:tcPr>
          <w:p w14:paraId="5B3F1F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−0.603</w:t>
            </w:r>
          </w:p>
        </w:tc>
        <w:tc>
          <w:tcPr>
            <w:tcW w:w="1728" w:type="dxa"/>
          </w:tcPr>
          <w:p w14:paraId="1FB694D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728" w:type="dxa"/>
          </w:tcPr>
          <w:p w14:paraId="3A77D17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عكسية قوية</w:t>
            </w:r>
          </w:p>
        </w:tc>
        <w:tc>
          <w:tcPr>
            <w:tcW w:w="1728" w:type="dxa"/>
          </w:tcPr>
          <w:p w14:paraId="21ACB82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47F37883" w14:textId="77777777" w:rsidR="0076340C" w:rsidRPr="00802CE5" w:rsidRDefault="0076340C" w:rsidP="00802CE5">
      <w:pPr>
        <w:bidi/>
        <w:spacing w:after="40"/>
        <w:rPr>
          <w:rFonts w:ascii="Sakkal Majalla" w:hAnsi="Sakkal Majalla" w:cs="Sakkal Majalla"/>
          <w:sz w:val="32"/>
          <w:szCs w:val="28"/>
        </w:rPr>
      </w:pPr>
    </w:p>
    <w:p w14:paraId="626308A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2. الفرضيات المتعلقة بالتشريعات والسياسات التنظيمية (H3، H4)</w:t>
      </w:r>
    </w:p>
    <w:p w14:paraId="0C4F474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H3: تسهم التشريعات القانونية (مثل GDPR وأنظمة الخصوصية الوطنية) في تقليل المخاطر الأخلاقية المرتبطة بمعالجة البيانات باستخدام الذكاء الاصطناعي.</w:t>
      </w:r>
    </w:p>
    <w:p w14:paraId="586D73F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اختبار مربع كاي (Chi-Square) لدلالة العلاقة، بلغت قيمة (</w:t>
      </w:r>
      <w:r w:rsidRPr="00802CE5">
        <w:rPr>
          <w:rFonts w:ascii="Cambria" w:hAnsi="Cambria" w:cs="Cambria"/>
          <w:sz w:val="32"/>
          <w:szCs w:val="32"/>
        </w:rPr>
        <w:t>χ</w:t>
      </w:r>
      <w:r w:rsidRPr="00802CE5">
        <w:rPr>
          <w:rFonts w:ascii="Sakkal Majalla" w:hAnsi="Sakkal Majalla" w:cs="Sakkal Majalla"/>
          <w:sz w:val="32"/>
          <w:szCs w:val="32"/>
        </w:rPr>
        <w:t>² = 18.92) بدرجات حرية (df = 4) ومستوى دلالة (0.001)، وبمعامل اقتران (Cramer's V = 0.24) يدل على علاقة متوسطة القوة، وبذلك تُقبل الفرضية (H3).</w:t>
      </w:r>
    </w:p>
    <w:p w14:paraId="7A076F8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H4: يسهم ضعف تطبيق التشريعات الحالية في بعض الدول في زيادة استغلال البيانات الشخصية، خصوصاً في التسويق الرقمي والمراقبة الأمنية.</w:t>
      </w:r>
    </w:p>
    <w:p w14:paraId="0A4F485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تحليل الانحدار البسيط، بلغ معامل الانحدار المعياري (</w:t>
      </w:r>
      <w:r w:rsidRPr="00802CE5">
        <w:rPr>
          <w:rFonts w:ascii="Cambria" w:hAnsi="Cambria" w:cs="Cambria"/>
          <w:sz w:val="32"/>
          <w:szCs w:val="32"/>
        </w:rPr>
        <w:t>β</w:t>
      </w:r>
      <w:r w:rsidRPr="00802CE5">
        <w:rPr>
          <w:rFonts w:ascii="Sakkal Majalla" w:hAnsi="Sakkal Majalla" w:cs="Sakkal Majalla"/>
          <w:sz w:val="32"/>
          <w:szCs w:val="32"/>
        </w:rPr>
        <w:t xml:space="preserve"> = 0.418) بقيمة (t = 5.62) ومعامل تحديد (R² = 0.175) عند دلالة (0.000)، مما يعني أن ضعف تطبيق التشريعات يفسّر (%17.5) من التباين في استغلال البيانات، وبذلك تُقبل الفرضية (H4).</w:t>
      </w:r>
    </w:p>
    <w:p w14:paraId="1E981764"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(4.15): نتائج اختبار الفرضيتين (H3، H4)</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75F5EEB7" w14:textId="77777777">
        <w:trPr>
          <w:jc w:val="center"/>
        </w:trPr>
        <w:tc>
          <w:tcPr>
            <w:tcW w:w="1728" w:type="dxa"/>
          </w:tcPr>
          <w:p w14:paraId="4BC6179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الفرضية</w:t>
            </w:r>
          </w:p>
        </w:tc>
        <w:tc>
          <w:tcPr>
            <w:tcW w:w="1728" w:type="dxa"/>
          </w:tcPr>
          <w:p w14:paraId="0984DC6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c>
          <w:tcPr>
            <w:tcW w:w="1728" w:type="dxa"/>
          </w:tcPr>
          <w:p w14:paraId="4907D9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القيمة</w:t>
            </w:r>
          </w:p>
        </w:tc>
        <w:tc>
          <w:tcPr>
            <w:tcW w:w="1728" w:type="dxa"/>
          </w:tcPr>
          <w:p w14:paraId="4D3FF44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728" w:type="dxa"/>
          </w:tcPr>
          <w:p w14:paraId="298BDE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67C32E94" w14:textId="77777777">
        <w:trPr>
          <w:jc w:val="center"/>
        </w:trPr>
        <w:tc>
          <w:tcPr>
            <w:tcW w:w="1728" w:type="dxa"/>
          </w:tcPr>
          <w:p w14:paraId="76D3D0C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H3</w:t>
            </w:r>
          </w:p>
        </w:tc>
        <w:tc>
          <w:tcPr>
            <w:tcW w:w="1728" w:type="dxa"/>
          </w:tcPr>
          <w:p w14:paraId="36FD242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مربع كاي (</w:t>
            </w:r>
            <w:r w:rsidRPr="00802CE5">
              <w:rPr>
                <w:rFonts w:ascii="Cambria" w:hAnsi="Cambria" w:cs="Cambria"/>
                <w:sz w:val="28"/>
                <w:szCs w:val="28"/>
              </w:rPr>
              <w:t>χ</w:t>
            </w:r>
            <w:r w:rsidRPr="00802CE5">
              <w:rPr>
                <w:rFonts w:ascii="Sakkal Majalla" w:hAnsi="Sakkal Majalla" w:cs="Sakkal Majalla"/>
                <w:sz w:val="28"/>
                <w:szCs w:val="28"/>
              </w:rPr>
              <w:t>²)</w:t>
            </w:r>
          </w:p>
        </w:tc>
        <w:tc>
          <w:tcPr>
            <w:tcW w:w="1728" w:type="dxa"/>
          </w:tcPr>
          <w:p w14:paraId="2860DF7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18.92</w:t>
            </w:r>
          </w:p>
        </w:tc>
        <w:tc>
          <w:tcPr>
            <w:tcW w:w="1728" w:type="dxa"/>
          </w:tcPr>
          <w:p w14:paraId="276A60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0.001</w:t>
            </w:r>
          </w:p>
        </w:tc>
        <w:tc>
          <w:tcPr>
            <w:tcW w:w="1728" w:type="dxa"/>
          </w:tcPr>
          <w:p w14:paraId="3702214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7071C54A" w14:textId="77777777">
        <w:trPr>
          <w:jc w:val="center"/>
        </w:trPr>
        <w:tc>
          <w:tcPr>
            <w:tcW w:w="1728" w:type="dxa"/>
          </w:tcPr>
          <w:p w14:paraId="45DECDC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H4</w:t>
            </w:r>
          </w:p>
        </w:tc>
        <w:tc>
          <w:tcPr>
            <w:tcW w:w="1728" w:type="dxa"/>
          </w:tcPr>
          <w:p w14:paraId="0F89990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 بسيط (</w:t>
            </w:r>
            <w:r w:rsidRPr="00802CE5">
              <w:rPr>
                <w:rFonts w:ascii="Cambria" w:hAnsi="Cambria" w:cs="Cambria"/>
                <w:sz w:val="28"/>
                <w:szCs w:val="28"/>
              </w:rPr>
              <w:t>β</w:t>
            </w:r>
            <w:r w:rsidRPr="00802CE5">
              <w:rPr>
                <w:rFonts w:ascii="Sakkal Majalla" w:hAnsi="Sakkal Majalla" w:cs="Sakkal Majalla"/>
                <w:sz w:val="28"/>
                <w:szCs w:val="28"/>
              </w:rPr>
              <w:t>)</w:t>
            </w:r>
          </w:p>
        </w:tc>
        <w:tc>
          <w:tcPr>
            <w:tcW w:w="1728" w:type="dxa"/>
          </w:tcPr>
          <w:p w14:paraId="2CC132F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0.418</w:t>
            </w:r>
          </w:p>
        </w:tc>
        <w:tc>
          <w:tcPr>
            <w:tcW w:w="1728" w:type="dxa"/>
          </w:tcPr>
          <w:p w14:paraId="0ACCB3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728" w:type="dxa"/>
          </w:tcPr>
          <w:p w14:paraId="6A0C2EF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57AA9DBE" w14:textId="77777777" w:rsidR="0076340C" w:rsidRPr="00802CE5" w:rsidRDefault="0076340C" w:rsidP="00802CE5">
      <w:pPr>
        <w:bidi/>
        <w:spacing w:after="40"/>
        <w:rPr>
          <w:rFonts w:ascii="Sakkal Majalla" w:hAnsi="Sakkal Majalla" w:cs="Sakkal Majalla"/>
          <w:sz w:val="32"/>
          <w:szCs w:val="28"/>
        </w:rPr>
      </w:pPr>
    </w:p>
    <w:p w14:paraId="4772779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3. الفرضيات المتعلقة بالشفافية والعدالة (H5، H6)</w:t>
      </w:r>
    </w:p>
    <w:p w14:paraId="0D628F1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H5: يؤدي نقص الشفافية في خوارزميات الذكاء الاصطناعي إلى زيادة التحيزات الخوارزمية في معالجة البيانات الشخصية.</w:t>
      </w:r>
    </w:p>
    <w:p w14:paraId="1918E1F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اختبار مربع كاي، بلغت قيمة (</w:t>
      </w:r>
      <w:r w:rsidRPr="00802CE5">
        <w:rPr>
          <w:rFonts w:ascii="Cambria" w:hAnsi="Cambria" w:cs="Cambria"/>
          <w:sz w:val="32"/>
          <w:szCs w:val="32"/>
        </w:rPr>
        <w:t>χ</w:t>
      </w:r>
      <w:r w:rsidRPr="00802CE5">
        <w:rPr>
          <w:rFonts w:ascii="Sakkal Majalla" w:hAnsi="Sakkal Majalla" w:cs="Sakkal Majalla"/>
          <w:sz w:val="32"/>
          <w:szCs w:val="32"/>
        </w:rPr>
        <w:t>² = 22.41) بدرجات حرية (df = 4) ومستوى دلالة (0.000) ومعامل (Cramer's V = 0.27)، وهي علاقة دالة، وبذلك تُقبل الفرضية (H5).</w:t>
      </w:r>
    </w:p>
    <w:p w14:paraId="6AA099F0"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H6: قد يؤدي استخدام الذكاء الاصطناعي في اتخاذ القرارات المتعلقة بالأفراد (كالتوظيف أو الإقراض) إلى نتائج غير عادلة بسبب التحيزات المضمنة في الخوارزميات.</w:t>
      </w:r>
    </w:p>
    <w:p w14:paraId="2E3E7FA7"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اختبار مربع كاي، بلغت قيمة (</w:t>
      </w:r>
      <w:r w:rsidRPr="00802CE5">
        <w:rPr>
          <w:rFonts w:ascii="Cambria" w:hAnsi="Cambria" w:cs="Cambria"/>
          <w:sz w:val="32"/>
          <w:szCs w:val="32"/>
        </w:rPr>
        <w:t>χ</w:t>
      </w:r>
      <w:r w:rsidRPr="00802CE5">
        <w:rPr>
          <w:rFonts w:ascii="Sakkal Majalla" w:hAnsi="Sakkal Majalla" w:cs="Sakkal Majalla"/>
          <w:sz w:val="32"/>
          <w:szCs w:val="32"/>
        </w:rPr>
        <w:t>² = 11.83) بدرجات حرية (df = 4) ومستوى دلالة (0.019) ومعامل (Cramer's V = 0.19)، وهي علاقة دالة وإنْ كانت ضعيفة نسبياً، وبذلك تُقبل الفرضية (H6).</w:t>
      </w:r>
    </w:p>
    <w:p w14:paraId="2EB3FFFD"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(4.16): نتائج اختبار الفرضيتين (H5، H6) بمربع كاي</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06E8D5B0" w14:textId="77777777">
        <w:trPr>
          <w:jc w:val="center"/>
        </w:trPr>
        <w:tc>
          <w:tcPr>
            <w:tcW w:w="1440" w:type="dxa"/>
          </w:tcPr>
          <w:p w14:paraId="4A7049F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الفرضية</w:t>
            </w:r>
          </w:p>
        </w:tc>
        <w:tc>
          <w:tcPr>
            <w:tcW w:w="1440" w:type="dxa"/>
          </w:tcPr>
          <w:p w14:paraId="50D2D71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 xml:space="preserve">قيمة </w:t>
            </w:r>
            <w:r w:rsidRPr="00802CE5">
              <w:rPr>
                <w:rFonts w:ascii="Cambria" w:hAnsi="Cambria" w:cs="Cambria"/>
                <w:b/>
                <w:bCs/>
                <w:sz w:val="28"/>
                <w:szCs w:val="28"/>
              </w:rPr>
              <w:t>χ</w:t>
            </w:r>
            <w:r w:rsidRPr="00802CE5">
              <w:rPr>
                <w:rFonts w:ascii="Sakkal Majalla" w:hAnsi="Sakkal Majalla" w:cs="Sakkal Majalla"/>
                <w:b/>
                <w:bCs/>
                <w:sz w:val="28"/>
                <w:szCs w:val="28"/>
              </w:rPr>
              <w:t>²</w:t>
            </w:r>
          </w:p>
        </w:tc>
        <w:tc>
          <w:tcPr>
            <w:tcW w:w="1440" w:type="dxa"/>
          </w:tcPr>
          <w:p w14:paraId="4392239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درجات الحرية</w:t>
            </w:r>
          </w:p>
        </w:tc>
        <w:tc>
          <w:tcPr>
            <w:tcW w:w="1440" w:type="dxa"/>
          </w:tcPr>
          <w:p w14:paraId="586CEF7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440" w:type="dxa"/>
          </w:tcPr>
          <w:p w14:paraId="662C63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Cramer's V</w:t>
            </w:r>
          </w:p>
        </w:tc>
        <w:tc>
          <w:tcPr>
            <w:tcW w:w="1440" w:type="dxa"/>
          </w:tcPr>
          <w:p w14:paraId="4FFBB8A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31604BD6" w14:textId="77777777">
        <w:trPr>
          <w:jc w:val="center"/>
        </w:trPr>
        <w:tc>
          <w:tcPr>
            <w:tcW w:w="1440" w:type="dxa"/>
          </w:tcPr>
          <w:p w14:paraId="2D5A78B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H5</w:t>
            </w:r>
          </w:p>
        </w:tc>
        <w:tc>
          <w:tcPr>
            <w:tcW w:w="1440" w:type="dxa"/>
          </w:tcPr>
          <w:p w14:paraId="02D4B0D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22.41</w:t>
            </w:r>
          </w:p>
        </w:tc>
        <w:tc>
          <w:tcPr>
            <w:tcW w:w="1440" w:type="dxa"/>
          </w:tcPr>
          <w:p w14:paraId="348FC9D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440" w:type="dxa"/>
          </w:tcPr>
          <w:p w14:paraId="0B402D3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38140A4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0.27</w:t>
            </w:r>
          </w:p>
        </w:tc>
        <w:tc>
          <w:tcPr>
            <w:tcW w:w="1440" w:type="dxa"/>
          </w:tcPr>
          <w:p w14:paraId="73DAF11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2FE3F937" w14:textId="77777777">
        <w:trPr>
          <w:jc w:val="center"/>
        </w:trPr>
        <w:tc>
          <w:tcPr>
            <w:tcW w:w="1440" w:type="dxa"/>
          </w:tcPr>
          <w:p w14:paraId="564A1F0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H6</w:t>
            </w:r>
          </w:p>
        </w:tc>
        <w:tc>
          <w:tcPr>
            <w:tcW w:w="1440" w:type="dxa"/>
          </w:tcPr>
          <w:p w14:paraId="7495BBB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11.83</w:t>
            </w:r>
          </w:p>
        </w:tc>
        <w:tc>
          <w:tcPr>
            <w:tcW w:w="1440" w:type="dxa"/>
          </w:tcPr>
          <w:p w14:paraId="2F4F49B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w:t>
            </w:r>
          </w:p>
        </w:tc>
        <w:tc>
          <w:tcPr>
            <w:tcW w:w="1440" w:type="dxa"/>
          </w:tcPr>
          <w:p w14:paraId="0FCB39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0.019</w:t>
            </w:r>
          </w:p>
        </w:tc>
        <w:tc>
          <w:tcPr>
            <w:tcW w:w="1440" w:type="dxa"/>
          </w:tcPr>
          <w:p w14:paraId="0264566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0.19</w:t>
            </w:r>
          </w:p>
        </w:tc>
        <w:tc>
          <w:tcPr>
            <w:tcW w:w="1440" w:type="dxa"/>
          </w:tcPr>
          <w:p w14:paraId="5E52F73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57DC8ED7" w14:textId="77777777" w:rsidR="0076340C" w:rsidRPr="00802CE5" w:rsidRDefault="0076340C" w:rsidP="00802CE5">
      <w:pPr>
        <w:bidi/>
        <w:spacing w:after="40"/>
        <w:rPr>
          <w:rFonts w:ascii="Sakkal Majalla" w:hAnsi="Sakkal Majalla" w:cs="Sakkal Majalla"/>
          <w:sz w:val="32"/>
          <w:szCs w:val="28"/>
        </w:rPr>
      </w:pPr>
    </w:p>
    <w:p w14:paraId="4360C278"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4. الفرضيات المتعلقة بدور وعي المستخدمين (H7، H8)</w:t>
      </w:r>
    </w:p>
    <w:p w14:paraId="721152C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H7: توجد علاقة إيجابية بين مستوى وعي الأفراد بحقوقهم في الخصوصية الرقمية ومدى قدرتهم على حماية بياناتهم الشخصية.</w:t>
      </w:r>
    </w:p>
    <w:p w14:paraId="1DA2812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بلغت قيمة معامل ارتباط بيرسون (r = 0.148) عند مستوى دلالة (0.071)، وهي قيمة موجبة لكنها ضعيفة وغير دالة إحصائياً عند مستوى (0.05)، وبذلك لا تتحقق الفرضية (H7)؛ إذ لم تظهر علاقة دالة بين مستوى وعي الأفراد بحقوقهم في الخصوصية الرقمية وقدرتهم الفعلية على حماية </w:t>
      </w:r>
      <w:r w:rsidRPr="00802CE5">
        <w:rPr>
          <w:rFonts w:ascii="Sakkal Majalla" w:hAnsi="Sakkal Majalla" w:cs="Sakkal Majalla"/>
          <w:sz w:val="32"/>
          <w:szCs w:val="32"/>
        </w:rPr>
        <w:lastRenderedPageBreak/>
        <w:t>بياناتهم. ويُفسَّر ذلك في ضوء ما يُعرف بـ«مفارقة الخصوصية» (Privacy Paradox)، حيث لا يُترجَم ارتفاع الوعي بالضرورة إلى سلوكٍ حمائي فعلي.</w:t>
      </w:r>
    </w:p>
    <w:p w14:paraId="7E427B2D"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H8: يؤدي ضعف الوعي العام حول آليات معالجة البيانات إلى زيادة استغلال البيانات الشخصية من قبل الشركات الكبرى دون رقابة واضحة.</w:t>
      </w:r>
    </w:p>
    <w:p w14:paraId="577C79C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تحليل الانحدار البسيط، وبجعل (ضعف الوعي) متغيراً منبئاً، بلغ معامل الانحدار المعياري (</w:t>
      </w:r>
      <w:r w:rsidRPr="00802CE5">
        <w:rPr>
          <w:rFonts w:ascii="Cambria" w:hAnsi="Cambria" w:cs="Cambria"/>
          <w:sz w:val="32"/>
          <w:szCs w:val="32"/>
        </w:rPr>
        <w:t>β</w:t>
      </w:r>
      <w:r w:rsidRPr="00802CE5">
        <w:rPr>
          <w:rFonts w:ascii="Sakkal Majalla" w:hAnsi="Sakkal Majalla" w:cs="Sakkal Majalla"/>
          <w:sz w:val="32"/>
          <w:szCs w:val="32"/>
        </w:rPr>
        <w:t xml:space="preserve"> = 0.372) بقيمة (t = 4.87) ومعامل تحديد (R² = 0.138) عند دلالة (0.000)؛ أي أن ضعف الوعي يقترن بارتفاع استغلال البيانات ويفسّر (%13.8) من تباينه، وبذلك تُقبل الفرضية (H8).</w:t>
      </w:r>
    </w:p>
    <w:p w14:paraId="5D5816F6"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(4.17): نتائج اختبار الفرضيتين (H7، H8)</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099847C0" w14:textId="77777777">
        <w:trPr>
          <w:jc w:val="center"/>
        </w:trPr>
        <w:tc>
          <w:tcPr>
            <w:tcW w:w="1728" w:type="dxa"/>
          </w:tcPr>
          <w:p w14:paraId="1775D58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الفرضية</w:t>
            </w:r>
          </w:p>
        </w:tc>
        <w:tc>
          <w:tcPr>
            <w:tcW w:w="1728" w:type="dxa"/>
          </w:tcPr>
          <w:p w14:paraId="1E8C6C3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c>
          <w:tcPr>
            <w:tcW w:w="1728" w:type="dxa"/>
          </w:tcPr>
          <w:p w14:paraId="0C1F3B5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القيمة</w:t>
            </w:r>
          </w:p>
        </w:tc>
        <w:tc>
          <w:tcPr>
            <w:tcW w:w="1728" w:type="dxa"/>
          </w:tcPr>
          <w:p w14:paraId="2535350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728" w:type="dxa"/>
          </w:tcPr>
          <w:p w14:paraId="05402A0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3A822AA0" w14:textId="77777777">
        <w:trPr>
          <w:jc w:val="center"/>
        </w:trPr>
        <w:tc>
          <w:tcPr>
            <w:tcW w:w="1728" w:type="dxa"/>
          </w:tcPr>
          <w:p w14:paraId="32054CF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H7</w:t>
            </w:r>
          </w:p>
        </w:tc>
        <w:tc>
          <w:tcPr>
            <w:tcW w:w="1728" w:type="dxa"/>
          </w:tcPr>
          <w:p w14:paraId="1067879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ارتباط بيرسون (r)</w:t>
            </w:r>
          </w:p>
        </w:tc>
        <w:tc>
          <w:tcPr>
            <w:tcW w:w="1728" w:type="dxa"/>
          </w:tcPr>
          <w:p w14:paraId="6ECA559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0.148</w:t>
            </w:r>
          </w:p>
        </w:tc>
        <w:tc>
          <w:tcPr>
            <w:tcW w:w="1728" w:type="dxa"/>
          </w:tcPr>
          <w:p w14:paraId="6343887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0.071</w:t>
            </w:r>
          </w:p>
        </w:tc>
        <w:tc>
          <w:tcPr>
            <w:tcW w:w="1728" w:type="dxa"/>
          </w:tcPr>
          <w:p w14:paraId="30D6C64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لا تُقبل</w:t>
            </w:r>
          </w:p>
        </w:tc>
      </w:tr>
      <w:tr w:rsidR="0076340C" w:rsidRPr="00802CE5" w14:paraId="12B174DB" w14:textId="77777777">
        <w:trPr>
          <w:jc w:val="center"/>
        </w:trPr>
        <w:tc>
          <w:tcPr>
            <w:tcW w:w="1728" w:type="dxa"/>
          </w:tcPr>
          <w:p w14:paraId="2EAA0DE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H8</w:t>
            </w:r>
          </w:p>
        </w:tc>
        <w:tc>
          <w:tcPr>
            <w:tcW w:w="1728" w:type="dxa"/>
          </w:tcPr>
          <w:p w14:paraId="4CE3045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 بسيط (</w:t>
            </w:r>
            <w:r w:rsidRPr="00802CE5">
              <w:rPr>
                <w:rFonts w:ascii="Cambria" w:hAnsi="Cambria" w:cs="Cambria"/>
                <w:sz w:val="28"/>
                <w:szCs w:val="28"/>
              </w:rPr>
              <w:t>β</w:t>
            </w:r>
            <w:r w:rsidRPr="00802CE5">
              <w:rPr>
                <w:rFonts w:ascii="Sakkal Majalla" w:hAnsi="Sakkal Majalla" w:cs="Sakkal Majalla"/>
                <w:sz w:val="28"/>
                <w:szCs w:val="28"/>
              </w:rPr>
              <w:t>)</w:t>
            </w:r>
          </w:p>
        </w:tc>
        <w:tc>
          <w:tcPr>
            <w:tcW w:w="1728" w:type="dxa"/>
          </w:tcPr>
          <w:p w14:paraId="3C2B7A9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0.372</w:t>
            </w:r>
          </w:p>
        </w:tc>
        <w:tc>
          <w:tcPr>
            <w:tcW w:w="1728" w:type="dxa"/>
          </w:tcPr>
          <w:p w14:paraId="6B0BCB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728" w:type="dxa"/>
          </w:tcPr>
          <w:p w14:paraId="3E8BC28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3CDCAC8E" w14:textId="77777777" w:rsidR="0076340C" w:rsidRPr="00802CE5" w:rsidRDefault="0076340C" w:rsidP="00802CE5">
      <w:pPr>
        <w:bidi/>
        <w:spacing w:after="40"/>
        <w:rPr>
          <w:rFonts w:ascii="Sakkal Majalla" w:hAnsi="Sakkal Majalla" w:cs="Sakkal Majalla"/>
          <w:sz w:val="32"/>
          <w:szCs w:val="28"/>
        </w:rPr>
      </w:pPr>
    </w:p>
    <w:p w14:paraId="78D4A9DC"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5. الفرضيات المتعلقة بالإجراءات التقنية لحماية البيانات (H9، H10)</w:t>
      </w:r>
    </w:p>
    <w:p w14:paraId="11855AC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H9: يسهم الالتزام بالممارسات التنظيمية والأخلاقية في تصميم أنظمة الذكاء الاصطناعي في الحد من مخاطر انتهاك الخصوصية الناتجة عن معالجة البيانات الشخصية.</w:t>
      </w:r>
    </w:p>
    <w:p w14:paraId="43F94A4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تحليل الانحدار، بلغ معامل الانحدار المعياري (</w:t>
      </w:r>
      <w:r w:rsidRPr="00802CE5">
        <w:rPr>
          <w:rFonts w:ascii="Cambria" w:hAnsi="Cambria" w:cs="Cambria"/>
          <w:sz w:val="32"/>
          <w:szCs w:val="32"/>
        </w:rPr>
        <w:t>β</w:t>
      </w:r>
      <w:r w:rsidRPr="00802CE5">
        <w:rPr>
          <w:rFonts w:ascii="Sakkal Majalla" w:hAnsi="Sakkal Majalla" w:cs="Sakkal Majalla"/>
          <w:sz w:val="32"/>
          <w:szCs w:val="32"/>
        </w:rPr>
        <w:t xml:space="preserve"> = −0.489) بقيمة (t = −6.81) ومعامل تحديد (R² = 0.239) عند دلالة (0.000)، مما يدل على أن الالتزام بالممارسات الأخلاقية في التصميم يقلل من انتهاكات الخصوصية، وبذلك تُقبل الفرضية (H9).</w:t>
      </w:r>
    </w:p>
    <w:p w14:paraId="4DA47863"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H10: يقلل تبني الشركات والمؤسسات لسياسات خصوصية صارمة من احتمالية استغلال البيانات الشخصية بطرق غير أخلاقية.</w:t>
      </w:r>
    </w:p>
    <w:p w14:paraId="39AB56F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باستخدام تحليل الانحدار، بلغ معامل الانحدار المعياري (</w:t>
      </w:r>
      <w:r w:rsidRPr="00802CE5">
        <w:rPr>
          <w:rFonts w:ascii="Cambria" w:hAnsi="Cambria" w:cs="Cambria"/>
          <w:sz w:val="32"/>
          <w:szCs w:val="32"/>
        </w:rPr>
        <w:t>β</w:t>
      </w:r>
      <w:r w:rsidRPr="00802CE5">
        <w:rPr>
          <w:rFonts w:ascii="Sakkal Majalla" w:hAnsi="Sakkal Majalla" w:cs="Sakkal Majalla"/>
          <w:sz w:val="32"/>
          <w:szCs w:val="32"/>
        </w:rPr>
        <w:t xml:space="preserve"> = −0.412) بقيمة (t = −5.49) ومعامل تحديد (R² = 0.170) عند دلالة (0.001)، وبذلك تُقبل الفرضية (H10).</w:t>
      </w:r>
    </w:p>
    <w:p w14:paraId="7D332161"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(4.18): نتائج اختبار الفرضيتين (H9، H10)</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21AA530D" w14:textId="77777777">
        <w:trPr>
          <w:jc w:val="center"/>
        </w:trPr>
        <w:tc>
          <w:tcPr>
            <w:tcW w:w="1440" w:type="dxa"/>
          </w:tcPr>
          <w:p w14:paraId="2D94918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الفرضية</w:t>
            </w:r>
          </w:p>
        </w:tc>
        <w:tc>
          <w:tcPr>
            <w:tcW w:w="1440" w:type="dxa"/>
          </w:tcPr>
          <w:p w14:paraId="379FDB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c>
          <w:tcPr>
            <w:tcW w:w="1440" w:type="dxa"/>
          </w:tcPr>
          <w:p w14:paraId="0ABAA04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القيمة</w:t>
            </w:r>
          </w:p>
        </w:tc>
        <w:tc>
          <w:tcPr>
            <w:tcW w:w="1440" w:type="dxa"/>
          </w:tcPr>
          <w:p w14:paraId="34A3EBB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R²</w:t>
            </w:r>
          </w:p>
        </w:tc>
        <w:tc>
          <w:tcPr>
            <w:tcW w:w="1440" w:type="dxa"/>
          </w:tcPr>
          <w:p w14:paraId="0F965AC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440" w:type="dxa"/>
          </w:tcPr>
          <w:p w14:paraId="1624ED2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3792E08E" w14:textId="77777777">
        <w:trPr>
          <w:jc w:val="center"/>
        </w:trPr>
        <w:tc>
          <w:tcPr>
            <w:tcW w:w="1440" w:type="dxa"/>
          </w:tcPr>
          <w:p w14:paraId="1E40CC7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H9</w:t>
            </w:r>
          </w:p>
        </w:tc>
        <w:tc>
          <w:tcPr>
            <w:tcW w:w="1440" w:type="dxa"/>
          </w:tcPr>
          <w:p w14:paraId="36F0307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 (</w:t>
            </w:r>
            <w:r w:rsidRPr="00802CE5">
              <w:rPr>
                <w:rFonts w:ascii="Cambria" w:hAnsi="Cambria" w:cs="Cambria"/>
                <w:sz w:val="28"/>
                <w:szCs w:val="28"/>
              </w:rPr>
              <w:t>β</w:t>
            </w:r>
            <w:r w:rsidRPr="00802CE5">
              <w:rPr>
                <w:rFonts w:ascii="Sakkal Majalla" w:hAnsi="Sakkal Majalla" w:cs="Sakkal Majalla"/>
                <w:sz w:val="28"/>
                <w:szCs w:val="28"/>
              </w:rPr>
              <w:t>)</w:t>
            </w:r>
          </w:p>
        </w:tc>
        <w:tc>
          <w:tcPr>
            <w:tcW w:w="1440" w:type="dxa"/>
          </w:tcPr>
          <w:p w14:paraId="37812E0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−0.489</w:t>
            </w:r>
          </w:p>
        </w:tc>
        <w:tc>
          <w:tcPr>
            <w:tcW w:w="1440" w:type="dxa"/>
          </w:tcPr>
          <w:p w14:paraId="71CEF39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0.239</w:t>
            </w:r>
          </w:p>
        </w:tc>
        <w:tc>
          <w:tcPr>
            <w:tcW w:w="1440" w:type="dxa"/>
          </w:tcPr>
          <w:p w14:paraId="2B62F0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0DB6C43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1DE20825" w14:textId="77777777">
        <w:trPr>
          <w:jc w:val="center"/>
        </w:trPr>
        <w:tc>
          <w:tcPr>
            <w:tcW w:w="1440" w:type="dxa"/>
          </w:tcPr>
          <w:p w14:paraId="18BD684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H10</w:t>
            </w:r>
          </w:p>
        </w:tc>
        <w:tc>
          <w:tcPr>
            <w:tcW w:w="1440" w:type="dxa"/>
          </w:tcPr>
          <w:p w14:paraId="35552FB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 (</w:t>
            </w:r>
            <w:r w:rsidRPr="00802CE5">
              <w:rPr>
                <w:rFonts w:ascii="Cambria" w:hAnsi="Cambria" w:cs="Cambria"/>
                <w:sz w:val="28"/>
                <w:szCs w:val="28"/>
              </w:rPr>
              <w:t>β</w:t>
            </w:r>
            <w:r w:rsidRPr="00802CE5">
              <w:rPr>
                <w:rFonts w:ascii="Sakkal Majalla" w:hAnsi="Sakkal Majalla" w:cs="Sakkal Majalla"/>
                <w:sz w:val="28"/>
                <w:szCs w:val="28"/>
              </w:rPr>
              <w:t>)</w:t>
            </w:r>
          </w:p>
        </w:tc>
        <w:tc>
          <w:tcPr>
            <w:tcW w:w="1440" w:type="dxa"/>
          </w:tcPr>
          <w:p w14:paraId="2014A93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−0.412</w:t>
            </w:r>
          </w:p>
        </w:tc>
        <w:tc>
          <w:tcPr>
            <w:tcW w:w="1440" w:type="dxa"/>
          </w:tcPr>
          <w:p w14:paraId="53ABA69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0.170</w:t>
            </w:r>
          </w:p>
        </w:tc>
        <w:tc>
          <w:tcPr>
            <w:tcW w:w="1440" w:type="dxa"/>
          </w:tcPr>
          <w:p w14:paraId="7B2327B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0.001</w:t>
            </w:r>
          </w:p>
        </w:tc>
        <w:tc>
          <w:tcPr>
            <w:tcW w:w="1440" w:type="dxa"/>
          </w:tcPr>
          <w:p w14:paraId="0EB702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035F37EE" w14:textId="77777777" w:rsidR="0076340C" w:rsidRPr="00802CE5" w:rsidRDefault="0076340C" w:rsidP="00802CE5">
      <w:pPr>
        <w:bidi/>
        <w:spacing w:after="40"/>
        <w:rPr>
          <w:rFonts w:ascii="Sakkal Majalla" w:hAnsi="Sakkal Majalla" w:cs="Sakkal Majalla"/>
          <w:sz w:val="32"/>
          <w:szCs w:val="28"/>
        </w:rPr>
      </w:pPr>
    </w:p>
    <w:p w14:paraId="76F159AF"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b/>
          <w:bCs/>
          <w:sz w:val="32"/>
          <w:szCs w:val="32"/>
        </w:rPr>
        <w:t>6. نموذج الانحدار المتعدد للعوامل المؤثرة في استغلال البيانات</w:t>
      </w:r>
    </w:p>
    <w:p w14:paraId="240A7F9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لقياس الأثر المشترك للمتغيرات المستقلة والوسيطة (الوعي، الثقة، ممارسات الشركات، فاعلية التشريعات) في المتغير التابع (مستوى استغلال البيانات مقابل حماية الخصوصية)، أُجري تحليل الانحدار المتعدد، وجاءت النتائج دالة إحصائياً، إذ بلغ معامل الارتباط المتعدد (R = 0.628) ومعامل التحديد (R² = 0.394)، أي أن هذه العوامل مجتمعةً تفسّر (%39.4) من التباين في استغلال البيانات، بقيمة (F = 23.60) ودلالة (0.000).</w:t>
      </w:r>
    </w:p>
    <w:p w14:paraId="41CCB438"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(4.19): نتائج تحليل الانحدار المتعدد للعوامل المؤثرة في استغلال البيانات</w:t>
      </w:r>
    </w:p>
    <w:tbl>
      <w:tblPr>
        <w:tblStyle w:val="TableGrid"/>
        <w:bidiVisual/>
        <w:tblW w:w="0" w:type="auto"/>
        <w:jc w:val="center"/>
        <w:tblLook w:val="04A0" w:firstRow="1" w:lastRow="0" w:firstColumn="1" w:lastColumn="0" w:noHBand="0" w:noVBand="1"/>
      </w:tblPr>
      <w:tblGrid>
        <w:gridCol w:w="2160"/>
        <w:gridCol w:w="2160"/>
        <w:gridCol w:w="2160"/>
        <w:gridCol w:w="2160"/>
      </w:tblGrid>
      <w:tr w:rsidR="0076340C" w:rsidRPr="00802CE5" w14:paraId="6CCB4A66" w14:textId="77777777">
        <w:trPr>
          <w:jc w:val="center"/>
        </w:trPr>
        <w:tc>
          <w:tcPr>
            <w:tcW w:w="2160" w:type="dxa"/>
          </w:tcPr>
          <w:p w14:paraId="652A9A5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المتغير المستقل/الوسيط</w:t>
            </w:r>
          </w:p>
        </w:tc>
        <w:tc>
          <w:tcPr>
            <w:tcW w:w="2160" w:type="dxa"/>
          </w:tcPr>
          <w:p w14:paraId="2E6EE45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معامل بيتا (</w:t>
            </w:r>
            <w:r w:rsidRPr="00802CE5">
              <w:rPr>
                <w:rFonts w:ascii="Cambria" w:hAnsi="Cambria" w:cs="Cambria"/>
                <w:b/>
                <w:bCs/>
                <w:sz w:val="28"/>
                <w:szCs w:val="28"/>
              </w:rPr>
              <w:t>β</w:t>
            </w:r>
            <w:r w:rsidRPr="00802CE5">
              <w:rPr>
                <w:rFonts w:ascii="Sakkal Majalla" w:hAnsi="Sakkal Majalla" w:cs="Sakkal Majalla"/>
                <w:b/>
                <w:bCs/>
                <w:sz w:val="28"/>
                <w:szCs w:val="28"/>
              </w:rPr>
              <w:t>)</w:t>
            </w:r>
          </w:p>
        </w:tc>
        <w:tc>
          <w:tcPr>
            <w:tcW w:w="2160" w:type="dxa"/>
          </w:tcPr>
          <w:p w14:paraId="6F3A28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قيمة t</w:t>
            </w:r>
          </w:p>
        </w:tc>
        <w:tc>
          <w:tcPr>
            <w:tcW w:w="2160" w:type="dxa"/>
          </w:tcPr>
          <w:p w14:paraId="2527393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r>
      <w:tr w:rsidR="0076340C" w:rsidRPr="00802CE5" w14:paraId="10587306" w14:textId="77777777">
        <w:trPr>
          <w:jc w:val="center"/>
        </w:trPr>
        <w:tc>
          <w:tcPr>
            <w:tcW w:w="2160" w:type="dxa"/>
          </w:tcPr>
          <w:p w14:paraId="4DF20D3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مستوى تقييم ممارسات الشركات</w:t>
            </w:r>
          </w:p>
        </w:tc>
        <w:tc>
          <w:tcPr>
            <w:tcW w:w="2160" w:type="dxa"/>
          </w:tcPr>
          <w:p w14:paraId="59F1A8A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−0.29</w:t>
            </w:r>
          </w:p>
        </w:tc>
        <w:tc>
          <w:tcPr>
            <w:tcW w:w="2160" w:type="dxa"/>
          </w:tcPr>
          <w:p w14:paraId="26E01F4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−4.11</w:t>
            </w:r>
          </w:p>
        </w:tc>
        <w:tc>
          <w:tcPr>
            <w:tcW w:w="2160" w:type="dxa"/>
          </w:tcPr>
          <w:p w14:paraId="7F1CD65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r>
      <w:tr w:rsidR="0076340C" w:rsidRPr="00802CE5" w14:paraId="0BD124DD" w14:textId="77777777">
        <w:trPr>
          <w:jc w:val="center"/>
        </w:trPr>
        <w:tc>
          <w:tcPr>
            <w:tcW w:w="2160" w:type="dxa"/>
          </w:tcPr>
          <w:p w14:paraId="2C415A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مستوى الوعي بالخصوصية الرقمية</w:t>
            </w:r>
          </w:p>
        </w:tc>
        <w:tc>
          <w:tcPr>
            <w:tcW w:w="2160" w:type="dxa"/>
          </w:tcPr>
          <w:p w14:paraId="6234699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−0.21</w:t>
            </w:r>
          </w:p>
        </w:tc>
        <w:tc>
          <w:tcPr>
            <w:tcW w:w="2160" w:type="dxa"/>
          </w:tcPr>
          <w:p w14:paraId="0FC2B9F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−3.02</w:t>
            </w:r>
          </w:p>
        </w:tc>
        <w:tc>
          <w:tcPr>
            <w:tcW w:w="2160" w:type="dxa"/>
          </w:tcPr>
          <w:p w14:paraId="3C650DD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0.003</w:t>
            </w:r>
          </w:p>
        </w:tc>
      </w:tr>
      <w:tr w:rsidR="0076340C" w:rsidRPr="00802CE5" w14:paraId="52CD98AA" w14:textId="77777777">
        <w:trPr>
          <w:jc w:val="center"/>
        </w:trPr>
        <w:tc>
          <w:tcPr>
            <w:tcW w:w="2160" w:type="dxa"/>
          </w:tcPr>
          <w:p w14:paraId="717FDC6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فاعلية التشريعات </w:t>
            </w:r>
            <w:r w:rsidRPr="00802CE5">
              <w:rPr>
                <w:rFonts w:ascii="Sakkal Majalla" w:hAnsi="Sakkal Majalla" w:cs="Sakkal Majalla"/>
                <w:sz w:val="28"/>
                <w:szCs w:val="28"/>
              </w:rPr>
              <w:lastRenderedPageBreak/>
              <w:t>التنظيمية</w:t>
            </w:r>
          </w:p>
        </w:tc>
        <w:tc>
          <w:tcPr>
            <w:tcW w:w="2160" w:type="dxa"/>
          </w:tcPr>
          <w:p w14:paraId="5136EBA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−0.18</w:t>
            </w:r>
          </w:p>
        </w:tc>
        <w:tc>
          <w:tcPr>
            <w:tcW w:w="2160" w:type="dxa"/>
          </w:tcPr>
          <w:p w14:paraId="42FC35B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−2.55</w:t>
            </w:r>
          </w:p>
        </w:tc>
        <w:tc>
          <w:tcPr>
            <w:tcW w:w="2160" w:type="dxa"/>
          </w:tcPr>
          <w:p w14:paraId="60A5C6E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0.011</w:t>
            </w:r>
          </w:p>
        </w:tc>
      </w:tr>
      <w:tr w:rsidR="0076340C" w:rsidRPr="00802CE5" w14:paraId="6F5B2263" w14:textId="77777777">
        <w:trPr>
          <w:jc w:val="center"/>
        </w:trPr>
        <w:tc>
          <w:tcPr>
            <w:tcW w:w="2160" w:type="dxa"/>
          </w:tcPr>
          <w:p w14:paraId="3466836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مستوى الثقة في أنظمة الذكاء الاصطناعي</w:t>
            </w:r>
          </w:p>
        </w:tc>
        <w:tc>
          <w:tcPr>
            <w:tcW w:w="2160" w:type="dxa"/>
          </w:tcPr>
          <w:p w14:paraId="5BCCEC5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−0.12</w:t>
            </w:r>
          </w:p>
        </w:tc>
        <w:tc>
          <w:tcPr>
            <w:tcW w:w="2160" w:type="dxa"/>
          </w:tcPr>
          <w:p w14:paraId="5F9406E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−1.71</w:t>
            </w:r>
          </w:p>
        </w:tc>
        <w:tc>
          <w:tcPr>
            <w:tcW w:w="2160" w:type="dxa"/>
          </w:tcPr>
          <w:p w14:paraId="4CDA577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0.089</w:t>
            </w:r>
          </w:p>
        </w:tc>
      </w:tr>
    </w:tbl>
    <w:p w14:paraId="164310DA" w14:textId="77777777" w:rsidR="0076340C" w:rsidRPr="00802CE5" w:rsidRDefault="0076340C" w:rsidP="00802CE5">
      <w:pPr>
        <w:bidi/>
        <w:spacing w:after="40"/>
        <w:rPr>
          <w:rFonts w:ascii="Sakkal Majalla" w:hAnsi="Sakkal Majalla" w:cs="Sakkal Majalla"/>
          <w:sz w:val="32"/>
          <w:szCs w:val="28"/>
        </w:rPr>
      </w:pPr>
    </w:p>
    <w:p w14:paraId="25EA296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R = 0.628 ، R² = 0.394 ، F = 23.60 ، الدلالة = 0.000. ويتبيّن أن تقييم ممارسات الشركات هو العامل الأقوى تأثيراً (</w:t>
      </w:r>
      <w:r w:rsidRPr="00802CE5">
        <w:rPr>
          <w:rFonts w:ascii="Cambria" w:hAnsi="Cambria" w:cs="Cambria"/>
          <w:sz w:val="32"/>
          <w:szCs w:val="32"/>
        </w:rPr>
        <w:t>β</w:t>
      </w:r>
      <w:r w:rsidRPr="00802CE5">
        <w:rPr>
          <w:rFonts w:ascii="Sakkal Majalla" w:hAnsi="Sakkal Majalla" w:cs="Sakkal Majalla"/>
          <w:sz w:val="32"/>
          <w:szCs w:val="32"/>
        </w:rPr>
        <w:t xml:space="preserve"> = −0.29)، أي أن ضعفها يقترن بارتفاع الاستغلال، يليه مستوى الوعي بالخصوصية (</w:t>
      </w:r>
      <w:r w:rsidRPr="00802CE5">
        <w:rPr>
          <w:rFonts w:ascii="Cambria" w:hAnsi="Cambria" w:cs="Cambria"/>
          <w:sz w:val="32"/>
          <w:szCs w:val="32"/>
        </w:rPr>
        <w:t>β</w:t>
      </w:r>
      <w:r w:rsidRPr="00802CE5">
        <w:rPr>
          <w:rFonts w:ascii="Sakkal Majalla" w:hAnsi="Sakkal Majalla" w:cs="Sakkal Majalla"/>
          <w:sz w:val="32"/>
          <w:szCs w:val="32"/>
        </w:rPr>
        <w:t xml:space="preserve"> = −0.21)، ففاعلية التشريعات (</w:t>
      </w:r>
      <w:r w:rsidRPr="00802CE5">
        <w:rPr>
          <w:rFonts w:ascii="Cambria" w:hAnsi="Cambria" w:cs="Cambria"/>
          <w:sz w:val="32"/>
          <w:szCs w:val="32"/>
        </w:rPr>
        <w:t>β</w:t>
      </w:r>
      <w:r w:rsidRPr="00802CE5">
        <w:rPr>
          <w:rFonts w:ascii="Sakkal Majalla" w:hAnsi="Sakkal Majalla" w:cs="Sakkal Majalla"/>
          <w:sz w:val="32"/>
          <w:szCs w:val="32"/>
        </w:rPr>
        <w:t xml:space="preserve"> = −0.18)، في حين لم يظهر أثرٌ دالٌّ لمستوى الثقة في الأنظمة الذكية (</w:t>
      </w:r>
      <w:r w:rsidRPr="00802CE5">
        <w:rPr>
          <w:rFonts w:ascii="Cambria" w:hAnsi="Cambria" w:cs="Cambria"/>
          <w:sz w:val="32"/>
          <w:szCs w:val="32"/>
        </w:rPr>
        <w:t>β</w:t>
      </w:r>
      <w:r w:rsidRPr="00802CE5">
        <w:rPr>
          <w:rFonts w:ascii="Sakkal Majalla" w:hAnsi="Sakkal Majalla" w:cs="Sakkal Majalla"/>
          <w:sz w:val="32"/>
          <w:szCs w:val="32"/>
        </w:rPr>
        <w:t xml:space="preserve"> = −0.12، دلالة = 0.089).</w:t>
      </w:r>
    </w:p>
    <w:p w14:paraId="23441736" w14:textId="77777777" w:rsidR="0076340C" w:rsidRPr="00802CE5" w:rsidRDefault="00000000" w:rsidP="00802CE5">
      <w:pPr>
        <w:pStyle w:val="Heading2"/>
        <w:bidi/>
        <w:spacing w:before="240" w:after="160"/>
        <w:rPr>
          <w:rFonts w:ascii="Sakkal Majalla" w:hAnsi="Sakkal Majalla" w:cs="Sakkal Majalla"/>
          <w:sz w:val="32"/>
          <w:szCs w:val="32"/>
        </w:rPr>
      </w:pPr>
      <w:bookmarkStart w:id="35" w:name="_Toc234169661"/>
      <w:r w:rsidRPr="00802CE5">
        <w:rPr>
          <w:rFonts w:ascii="Sakkal Majalla" w:hAnsi="Sakkal Majalla" w:cs="Sakkal Majalla"/>
          <w:color w:val="000000"/>
          <w:sz w:val="36"/>
          <w:szCs w:val="36"/>
        </w:rPr>
        <w:t>سادساً: الفروق تبعاً للمتغيرات الديموغرافية</w:t>
      </w:r>
      <w:bookmarkEnd w:id="35"/>
    </w:p>
    <w:p w14:paraId="063B3994"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لاختبار دلالة الفروق بين استجابات أفراد العينة تبعاً لمتغيراتهم الديموغرافية، استُخدم اختبار (T-Test) للمقارنة بين مجموعتين، وتحليل التباين الأحادي (One-Way ANOVA) للمقارنة بين ثلاث مجموعات فأكثر.</w:t>
      </w:r>
    </w:p>
    <w:p w14:paraId="291C96C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حسب الجنس: لم تظهر فروق دالة إحصائياً في مستوى الوعي بالخصوصية الرقمية بين الذكور والإناث (t = −1.48، الدلالة = 0.141).</w:t>
      </w:r>
    </w:p>
    <w:p w14:paraId="48D0B94A"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حسب الفئة المستهدفة: ظهرت فروق دالة في مستوى الثقة بأنظمة الذكاء الاصطناعي (F = 6.83، الدلالة = 0.000)، وكشفت المقارنات البعدية (Scheffé) أن الخبراء الأكاديميين هم الأقل ثقة (م = 2.14) مقارنةً بالمستخدمين الأفراد (م = 2.61)، وهو ما يعكس نظرةً نقديةً أعمق لدى المتخصصين تجاه هذه الأنظمة.</w:t>
      </w:r>
    </w:p>
    <w:p w14:paraId="0A612EC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حسب المؤهل العلمي: ظهرت فروق دالة في مستوى الوعي بالخصوصية لصالح ذوي المؤهلات العليا (F = 4.27، الدلالة = 0.006)، مما يؤكد أثر التعليم في رفع الوعي الرقمي.</w:t>
      </w:r>
    </w:p>
    <w:p w14:paraId="4D4CCC3B"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lastRenderedPageBreak/>
        <w:t>جدول (4.20): ملخص نتائج اختبار الفروق تبعاً للمتغيرات الديموغرافية</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7531334E" w14:textId="77777777">
        <w:trPr>
          <w:jc w:val="center"/>
        </w:trPr>
        <w:tc>
          <w:tcPr>
            <w:tcW w:w="1440" w:type="dxa"/>
          </w:tcPr>
          <w:p w14:paraId="1643CCE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المتغير</w:t>
            </w:r>
          </w:p>
        </w:tc>
        <w:tc>
          <w:tcPr>
            <w:tcW w:w="1440" w:type="dxa"/>
          </w:tcPr>
          <w:p w14:paraId="421868C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المحور المقارَن</w:t>
            </w:r>
          </w:p>
        </w:tc>
        <w:tc>
          <w:tcPr>
            <w:tcW w:w="1440" w:type="dxa"/>
          </w:tcPr>
          <w:p w14:paraId="3D77556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w:t>
            </w:r>
          </w:p>
        </w:tc>
        <w:tc>
          <w:tcPr>
            <w:tcW w:w="1440" w:type="dxa"/>
          </w:tcPr>
          <w:p w14:paraId="26135CF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القيمة</w:t>
            </w:r>
          </w:p>
        </w:tc>
        <w:tc>
          <w:tcPr>
            <w:tcW w:w="1440" w:type="dxa"/>
          </w:tcPr>
          <w:p w14:paraId="4FE1DA0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440" w:type="dxa"/>
          </w:tcPr>
          <w:p w14:paraId="2675184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النتيجة</w:t>
            </w:r>
          </w:p>
        </w:tc>
      </w:tr>
      <w:tr w:rsidR="0076340C" w:rsidRPr="00802CE5" w14:paraId="78064E62" w14:textId="77777777">
        <w:trPr>
          <w:jc w:val="center"/>
        </w:trPr>
        <w:tc>
          <w:tcPr>
            <w:tcW w:w="1440" w:type="dxa"/>
          </w:tcPr>
          <w:p w14:paraId="7B8A3D8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الجنس</w:t>
            </w:r>
          </w:p>
        </w:tc>
        <w:tc>
          <w:tcPr>
            <w:tcW w:w="1440" w:type="dxa"/>
          </w:tcPr>
          <w:p w14:paraId="0167708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الوعي بالخصوصية</w:t>
            </w:r>
          </w:p>
        </w:tc>
        <w:tc>
          <w:tcPr>
            <w:tcW w:w="1440" w:type="dxa"/>
          </w:tcPr>
          <w:p w14:paraId="7855016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T-Test</w:t>
            </w:r>
          </w:p>
        </w:tc>
        <w:tc>
          <w:tcPr>
            <w:tcW w:w="1440" w:type="dxa"/>
          </w:tcPr>
          <w:p w14:paraId="70247B4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−1.48</w:t>
            </w:r>
          </w:p>
        </w:tc>
        <w:tc>
          <w:tcPr>
            <w:tcW w:w="1440" w:type="dxa"/>
          </w:tcPr>
          <w:p w14:paraId="429A3F8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0.141</w:t>
            </w:r>
          </w:p>
        </w:tc>
        <w:tc>
          <w:tcPr>
            <w:tcW w:w="1440" w:type="dxa"/>
          </w:tcPr>
          <w:p w14:paraId="3283740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لا توجد فروق</w:t>
            </w:r>
          </w:p>
        </w:tc>
      </w:tr>
      <w:tr w:rsidR="0076340C" w:rsidRPr="00802CE5" w14:paraId="64EF3895" w14:textId="77777777">
        <w:trPr>
          <w:jc w:val="center"/>
        </w:trPr>
        <w:tc>
          <w:tcPr>
            <w:tcW w:w="1440" w:type="dxa"/>
          </w:tcPr>
          <w:p w14:paraId="24FA07C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الفئة المستهدفة</w:t>
            </w:r>
          </w:p>
        </w:tc>
        <w:tc>
          <w:tcPr>
            <w:tcW w:w="1440" w:type="dxa"/>
          </w:tcPr>
          <w:p w14:paraId="27083E3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الثقة في الذكاء الاصطناعي</w:t>
            </w:r>
          </w:p>
        </w:tc>
        <w:tc>
          <w:tcPr>
            <w:tcW w:w="1440" w:type="dxa"/>
          </w:tcPr>
          <w:p w14:paraId="0247D2A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ANOVA</w:t>
            </w:r>
          </w:p>
        </w:tc>
        <w:tc>
          <w:tcPr>
            <w:tcW w:w="1440" w:type="dxa"/>
          </w:tcPr>
          <w:p w14:paraId="1868D7C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6.83</w:t>
            </w:r>
          </w:p>
        </w:tc>
        <w:tc>
          <w:tcPr>
            <w:tcW w:w="1440" w:type="dxa"/>
          </w:tcPr>
          <w:p w14:paraId="092B1DA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561E56A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توجد فروق</w:t>
            </w:r>
          </w:p>
        </w:tc>
      </w:tr>
      <w:tr w:rsidR="0076340C" w:rsidRPr="00802CE5" w14:paraId="0846E8D1" w14:textId="77777777">
        <w:trPr>
          <w:jc w:val="center"/>
        </w:trPr>
        <w:tc>
          <w:tcPr>
            <w:tcW w:w="1440" w:type="dxa"/>
          </w:tcPr>
          <w:p w14:paraId="485A85E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المؤهل العلمي</w:t>
            </w:r>
          </w:p>
        </w:tc>
        <w:tc>
          <w:tcPr>
            <w:tcW w:w="1440" w:type="dxa"/>
          </w:tcPr>
          <w:p w14:paraId="53CF6CE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الوعي بالخصوصية</w:t>
            </w:r>
          </w:p>
        </w:tc>
        <w:tc>
          <w:tcPr>
            <w:tcW w:w="1440" w:type="dxa"/>
          </w:tcPr>
          <w:p w14:paraId="57916AB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ANOVA</w:t>
            </w:r>
          </w:p>
        </w:tc>
        <w:tc>
          <w:tcPr>
            <w:tcW w:w="1440" w:type="dxa"/>
          </w:tcPr>
          <w:p w14:paraId="00B7493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4.27</w:t>
            </w:r>
          </w:p>
        </w:tc>
        <w:tc>
          <w:tcPr>
            <w:tcW w:w="1440" w:type="dxa"/>
          </w:tcPr>
          <w:p w14:paraId="12819EC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0.006</w:t>
            </w:r>
          </w:p>
        </w:tc>
        <w:tc>
          <w:tcPr>
            <w:tcW w:w="1440" w:type="dxa"/>
          </w:tcPr>
          <w:p w14:paraId="11B5D8B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توجد فروق</w:t>
            </w:r>
          </w:p>
        </w:tc>
      </w:tr>
    </w:tbl>
    <w:p w14:paraId="235E41FA" w14:textId="77777777" w:rsidR="0076340C" w:rsidRPr="00802CE5" w:rsidRDefault="0076340C" w:rsidP="00802CE5">
      <w:pPr>
        <w:bidi/>
        <w:spacing w:after="40"/>
        <w:rPr>
          <w:rFonts w:ascii="Sakkal Majalla" w:hAnsi="Sakkal Majalla" w:cs="Sakkal Majalla"/>
          <w:sz w:val="32"/>
          <w:szCs w:val="28"/>
        </w:rPr>
      </w:pPr>
    </w:p>
    <w:p w14:paraId="7215DDCF" w14:textId="77777777" w:rsidR="0076340C" w:rsidRPr="00802CE5" w:rsidRDefault="00000000" w:rsidP="00802CE5">
      <w:pPr>
        <w:pStyle w:val="Heading2"/>
        <w:bidi/>
        <w:spacing w:before="240" w:after="160"/>
        <w:rPr>
          <w:rFonts w:ascii="Sakkal Majalla" w:hAnsi="Sakkal Majalla" w:cs="Sakkal Majalla"/>
          <w:sz w:val="32"/>
          <w:szCs w:val="32"/>
        </w:rPr>
      </w:pPr>
      <w:bookmarkStart w:id="36" w:name="_Toc234169662"/>
      <w:r w:rsidRPr="00802CE5">
        <w:rPr>
          <w:rFonts w:ascii="Sakkal Majalla" w:hAnsi="Sakkal Majalla" w:cs="Sakkal Majalla"/>
          <w:color w:val="000000"/>
          <w:sz w:val="36"/>
          <w:szCs w:val="36"/>
        </w:rPr>
        <w:t>سابعاً: نتائج النموذج التقني (مؤشر الامتثال الأخلاقي)</w:t>
      </w:r>
      <w:bookmarkEnd w:id="36"/>
    </w:p>
    <w:p w14:paraId="4BEB496B"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نتائج النموذج التقني (Prototype) – مؤشر الامتثال الأخلاقي</w:t>
      </w:r>
    </w:p>
    <w:p w14:paraId="1C6C6FC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تطبيقاً للجانب الابتكاري في الدراسة، شُغّل النموذج التقني المصمم بلغة Python (باستخدام مكتبتي Pandas وScikit-learn) على مجموعات بيانات ميدانية فعلية جُمعت من ثلاثة قطاعات (حكومي، صحي، تجاري/تسويقي)، لقياس مؤشر الامتثال الأخلاقي (Ethical Compliance Index) على مقياس (0–100)، إضافةً إلى درجة الشفافية، واحتمالية التحيز، ودرجة مخاطر الخصوصية. وجاءت النتائج على النحو التالي:</w:t>
      </w:r>
    </w:p>
    <w:p w14:paraId="0709F4D3"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(4.21): نتائج مؤشر الامتثال الأخلاقي عبر القطاعات</w:t>
      </w:r>
    </w:p>
    <w:tbl>
      <w:tblPr>
        <w:tblStyle w:val="TableGrid"/>
        <w:bidiVisual/>
        <w:tblW w:w="0" w:type="auto"/>
        <w:jc w:val="center"/>
        <w:tblLook w:val="04A0" w:firstRow="1" w:lastRow="0" w:firstColumn="1" w:lastColumn="0" w:noHBand="0" w:noVBand="1"/>
      </w:tblPr>
      <w:tblGrid>
        <w:gridCol w:w="1728"/>
        <w:gridCol w:w="1728"/>
        <w:gridCol w:w="1728"/>
        <w:gridCol w:w="1728"/>
        <w:gridCol w:w="1728"/>
      </w:tblGrid>
      <w:tr w:rsidR="0076340C" w:rsidRPr="00802CE5" w14:paraId="3CB936EC" w14:textId="77777777">
        <w:trPr>
          <w:jc w:val="center"/>
        </w:trPr>
        <w:tc>
          <w:tcPr>
            <w:tcW w:w="1728" w:type="dxa"/>
          </w:tcPr>
          <w:p w14:paraId="240204F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القطاع</w:t>
            </w:r>
          </w:p>
        </w:tc>
        <w:tc>
          <w:tcPr>
            <w:tcW w:w="1728" w:type="dxa"/>
          </w:tcPr>
          <w:p w14:paraId="7C85480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مؤشر الامتثال</w:t>
            </w:r>
          </w:p>
        </w:tc>
        <w:tc>
          <w:tcPr>
            <w:tcW w:w="1728" w:type="dxa"/>
          </w:tcPr>
          <w:p w14:paraId="202A102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درجة الشفافية</w:t>
            </w:r>
          </w:p>
        </w:tc>
        <w:tc>
          <w:tcPr>
            <w:tcW w:w="1728" w:type="dxa"/>
          </w:tcPr>
          <w:p w14:paraId="08B9DA7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احتمالية التحيز</w:t>
            </w:r>
          </w:p>
        </w:tc>
        <w:tc>
          <w:tcPr>
            <w:tcW w:w="1728" w:type="dxa"/>
          </w:tcPr>
          <w:p w14:paraId="5CFEF99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مخاطر الخصوصية</w:t>
            </w:r>
          </w:p>
        </w:tc>
      </w:tr>
      <w:tr w:rsidR="0076340C" w:rsidRPr="00802CE5" w14:paraId="6E55F39B" w14:textId="77777777">
        <w:trPr>
          <w:jc w:val="center"/>
        </w:trPr>
        <w:tc>
          <w:tcPr>
            <w:tcW w:w="1728" w:type="dxa"/>
          </w:tcPr>
          <w:p w14:paraId="287CD0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الحكومي</w:t>
            </w:r>
          </w:p>
        </w:tc>
        <w:tc>
          <w:tcPr>
            <w:tcW w:w="1728" w:type="dxa"/>
          </w:tcPr>
          <w:p w14:paraId="574E234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71.3</w:t>
            </w:r>
          </w:p>
        </w:tc>
        <w:tc>
          <w:tcPr>
            <w:tcW w:w="1728" w:type="dxa"/>
          </w:tcPr>
          <w:p w14:paraId="6BAB660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68.5</w:t>
            </w:r>
          </w:p>
        </w:tc>
        <w:tc>
          <w:tcPr>
            <w:tcW w:w="1728" w:type="dxa"/>
          </w:tcPr>
          <w:p w14:paraId="2977011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0.22</w:t>
            </w:r>
          </w:p>
        </w:tc>
        <w:tc>
          <w:tcPr>
            <w:tcW w:w="1728" w:type="dxa"/>
          </w:tcPr>
          <w:p w14:paraId="5571159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34.0 (منخفضة)</w:t>
            </w:r>
          </w:p>
        </w:tc>
      </w:tr>
      <w:tr w:rsidR="0076340C" w:rsidRPr="00802CE5" w14:paraId="75C5F1A3" w14:textId="77777777">
        <w:trPr>
          <w:jc w:val="center"/>
        </w:trPr>
        <w:tc>
          <w:tcPr>
            <w:tcW w:w="1728" w:type="dxa"/>
          </w:tcPr>
          <w:p w14:paraId="726F72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الصحي</w:t>
            </w:r>
          </w:p>
        </w:tc>
        <w:tc>
          <w:tcPr>
            <w:tcW w:w="1728" w:type="dxa"/>
          </w:tcPr>
          <w:p w14:paraId="38896A3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63.8</w:t>
            </w:r>
          </w:p>
        </w:tc>
        <w:tc>
          <w:tcPr>
            <w:tcW w:w="1728" w:type="dxa"/>
          </w:tcPr>
          <w:p w14:paraId="0ABC198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61.2</w:t>
            </w:r>
          </w:p>
        </w:tc>
        <w:tc>
          <w:tcPr>
            <w:tcW w:w="1728" w:type="dxa"/>
          </w:tcPr>
          <w:p w14:paraId="6D2CBC5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0.29</w:t>
            </w:r>
          </w:p>
        </w:tc>
        <w:tc>
          <w:tcPr>
            <w:tcW w:w="1728" w:type="dxa"/>
          </w:tcPr>
          <w:p w14:paraId="684337F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41.5 (متوسطة)</w:t>
            </w:r>
          </w:p>
        </w:tc>
      </w:tr>
      <w:tr w:rsidR="0076340C" w:rsidRPr="00802CE5" w14:paraId="2CCA4640" w14:textId="77777777">
        <w:trPr>
          <w:jc w:val="center"/>
        </w:trPr>
        <w:tc>
          <w:tcPr>
            <w:tcW w:w="1728" w:type="dxa"/>
          </w:tcPr>
          <w:p w14:paraId="45D3F94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التجاري / التسويقي</w:t>
            </w:r>
          </w:p>
        </w:tc>
        <w:tc>
          <w:tcPr>
            <w:tcW w:w="1728" w:type="dxa"/>
          </w:tcPr>
          <w:p w14:paraId="700F8E7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42.6</w:t>
            </w:r>
          </w:p>
        </w:tc>
        <w:tc>
          <w:tcPr>
            <w:tcW w:w="1728" w:type="dxa"/>
          </w:tcPr>
          <w:p w14:paraId="1FD9F58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38.7</w:t>
            </w:r>
          </w:p>
        </w:tc>
        <w:tc>
          <w:tcPr>
            <w:tcW w:w="1728" w:type="dxa"/>
          </w:tcPr>
          <w:p w14:paraId="07AD04C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0.47</w:t>
            </w:r>
          </w:p>
        </w:tc>
        <w:tc>
          <w:tcPr>
            <w:tcW w:w="1728" w:type="dxa"/>
          </w:tcPr>
          <w:p w14:paraId="139DEE4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68.9 (مرتفعة)</w:t>
            </w:r>
          </w:p>
        </w:tc>
      </w:tr>
      <w:tr w:rsidR="0076340C" w:rsidRPr="00802CE5" w14:paraId="6FBE616E" w14:textId="77777777">
        <w:trPr>
          <w:jc w:val="center"/>
        </w:trPr>
        <w:tc>
          <w:tcPr>
            <w:tcW w:w="1728" w:type="dxa"/>
          </w:tcPr>
          <w:p w14:paraId="66F5CAC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المتوسط العام</w:t>
            </w:r>
          </w:p>
        </w:tc>
        <w:tc>
          <w:tcPr>
            <w:tcW w:w="1728" w:type="dxa"/>
          </w:tcPr>
          <w:p w14:paraId="7E714A1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59.2</w:t>
            </w:r>
          </w:p>
        </w:tc>
        <w:tc>
          <w:tcPr>
            <w:tcW w:w="1728" w:type="dxa"/>
          </w:tcPr>
          <w:p w14:paraId="5B339890"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56.1</w:t>
            </w:r>
          </w:p>
        </w:tc>
        <w:tc>
          <w:tcPr>
            <w:tcW w:w="1728" w:type="dxa"/>
          </w:tcPr>
          <w:p w14:paraId="6570A83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0.33</w:t>
            </w:r>
          </w:p>
        </w:tc>
        <w:tc>
          <w:tcPr>
            <w:tcW w:w="1728" w:type="dxa"/>
          </w:tcPr>
          <w:p w14:paraId="2DF3743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48.1 (متوسطة)</w:t>
            </w:r>
          </w:p>
        </w:tc>
      </w:tr>
    </w:tbl>
    <w:p w14:paraId="75ACB809" w14:textId="77777777" w:rsidR="0076340C" w:rsidRPr="00802CE5" w:rsidRDefault="0076340C" w:rsidP="00802CE5">
      <w:pPr>
        <w:bidi/>
        <w:spacing w:after="40"/>
        <w:rPr>
          <w:rFonts w:ascii="Sakkal Majalla" w:hAnsi="Sakkal Majalla" w:cs="Sakkal Majalla"/>
          <w:sz w:val="32"/>
          <w:szCs w:val="28"/>
        </w:rPr>
      </w:pPr>
    </w:p>
    <w:p w14:paraId="7E1D33D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lastRenderedPageBreak/>
        <w:t>يتبيّن تفوّق القطاع الحكومي في الامتثال الأخلاقي (71.3) لالتزامه بالأنظمة التنظيمية، مقابل تدنٍّ واضح في القطاع التجاري (42.6) وارتفاع مخاطر الخصوصية فيه (68.9)، مما يؤكد فرضيات الدراسة حول تركّز الاستغلال في المجال التجاري والتسويقي.</w:t>
      </w:r>
    </w:p>
    <w:p w14:paraId="415BBC9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وتتسق نتائج النموذج التقني مع النتائج المسحية للمحور الثالث (ضعف تقييم ممارسات الشركات) والمحور الرابع (ارتفاع إدراك المخاطر)، مما يعزز مصداقية النتائج عبر تقاطع الأدلة الكمية والتطبيقية (Triangulation).</w:t>
      </w:r>
    </w:p>
    <w:p w14:paraId="775DD652" w14:textId="77777777" w:rsidR="0076340C" w:rsidRPr="00802CE5" w:rsidRDefault="00000000" w:rsidP="00802CE5">
      <w:pPr>
        <w:pStyle w:val="Heading2"/>
        <w:bidi/>
        <w:spacing w:before="240" w:after="160"/>
        <w:rPr>
          <w:rFonts w:ascii="Sakkal Majalla" w:hAnsi="Sakkal Majalla" w:cs="Sakkal Majalla"/>
          <w:sz w:val="32"/>
          <w:szCs w:val="32"/>
        </w:rPr>
      </w:pPr>
      <w:bookmarkStart w:id="37" w:name="_Toc234169663"/>
      <w:r w:rsidRPr="00802CE5">
        <w:rPr>
          <w:rFonts w:ascii="Sakkal Majalla" w:hAnsi="Sakkal Majalla" w:cs="Sakkal Majalla"/>
          <w:color w:val="000000"/>
          <w:sz w:val="36"/>
          <w:szCs w:val="36"/>
        </w:rPr>
        <w:t>ثامناً: نتائج المقابلات شبه المهيكلة</w:t>
      </w:r>
      <w:bookmarkEnd w:id="37"/>
    </w:p>
    <w:p w14:paraId="65F40B3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أُجريت مقابلات شبه مهيكلة مع (10) خبراء في مجالات الذكاء الاصطناعي وعلوم البيانات وأمن المعلومات والقانون الرقمي وحوكمة البيانات. وبتحليل مضمون استجاباتهم، انبثقت المحاور النوعية التالية:</w:t>
      </w:r>
    </w:p>
    <w:p w14:paraId="5E5F0788"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الفجوة بين التشريعات والتطبيق العملي: أشار (8 من 10) إلى أن المشكلة ليست في غياب التشريعات بل في ضعف إنفاذها ومتابعة الامتثال لها.</w:t>
      </w:r>
    </w:p>
    <w:p w14:paraId="7EB0E257"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ضعف الشفافية الخوارزمية وصعوبة التفسير (Explainability): أكد (7 من 10) أن غموض «الصندوق الأسود» للخوارزميات يعوق المساءلة الأخلاقية.</w:t>
      </w:r>
    </w:p>
    <w:p w14:paraId="62E8200F"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غياب التدقيق الأخلاقي المستقل: اتفق (9 من 10) على الحاجة إلى جهات تدقيق محايدة تراجع الخوارزميات دورياً.</w:t>
      </w:r>
    </w:p>
    <w:p w14:paraId="7E22D469"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تدني الوعي المجتمعي كعامل مضاعِف للمخاطر: رأى (6 من 10) أن ضعف وعي الأفراد يسهّل استغلال بياناتهم.</w:t>
      </w:r>
    </w:p>
    <w:p w14:paraId="193BAEBE"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lastRenderedPageBreak/>
        <w:t>الحاجة إلى مؤشرات كمية لقياس الامتثال: أجمع (10 من 10) على أهمية أدوات مثل مؤشر الامتثال الأخلاقي المقترح في هذه الدراسة.</w:t>
      </w:r>
    </w:p>
    <w:p w14:paraId="21AB6666" w14:textId="77777777" w:rsidR="0076340C" w:rsidRPr="00802CE5" w:rsidRDefault="00000000" w:rsidP="00802CE5">
      <w:pPr>
        <w:pStyle w:val="ListBullet"/>
        <w:bidi/>
        <w:spacing w:line="360" w:lineRule="auto"/>
        <w:rPr>
          <w:rFonts w:ascii="Sakkal Majalla" w:hAnsi="Sakkal Majalla" w:cs="Sakkal Majalla"/>
          <w:sz w:val="32"/>
          <w:szCs w:val="28"/>
        </w:rPr>
      </w:pPr>
      <w:r w:rsidRPr="00802CE5">
        <w:rPr>
          <w:rFonts w:ascii="Sakkal Majalla" w:hAnsi="Sakkal Majalla" w:cs="Sakkal Majalla"/>
          <w:sz w:val="32"/>
          <w:szCs w:val="32"/>
        </w:rPr>
        <w:t>تعزيز السياق المحلي: شدد (7 من 10) على أهمية البناء على نظام حماية البيانات الشخصية السعودي ومبادئ سدايا لأخلاقيات الذكاء الاصطناعي.</w:t>
      </w:r>
    </w:p>
    <w:p w14:paraId="4784137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وتلتقي هذه المحاور النوعية مع النتائج الكمية، وتضيف عمقاً تفسيرياً يوضح «لماذا» ظهرت تلك النتائج، لا «ماذا» فحسب.</w:t>
      </w:r>
    </w:p>
    <w:p w14:paraId="30EAE5B1" w14:textId="77777777" w:rsidR="0076340C" w:rsidRPr="00802CE5" w:rsidRDefault="00000000" w:rsidP="00802CE5">
      <w:pPr>
        <w:pStyle w:val="Heading2"/>
        <w:bidi/>
        <w:spacing w:before="240" w:after="160"/>
        <w:rPr>
          <w:rFonts w:ascii="Sakkal Majalla" w:hAnsi="Sakkal Majalla" w:cs="Sakkal Majalla"/>
          <w:sz w:val="32"/>
          <w:szCs w:val="32"/>
        </w:rPr>
      </w:pPr>
      <w:bookmarkStart w:id="38" w:name="_Toc234169664"/>
      <w:r w:rsidRPr="00802CE5">
        <w:rPr>
          <w:rFonts w:ascii="Sakkal Majalla" w:hAnsi="Sakkal Majalla" w:cs="Sakkal Majalla"/>
          <w:color w:val="000000"/>
          <w:sz w:val="36"/>
          <w:szCs w:val="36"/>
        </w:rPr>
        <w:t>تاسعاً: مناقشة النتائج وتفسيرها في ضوء أهداف الدراسة والإطار النظري</w:t>
      </w:r>
      <w:bookmarkEnd w:id="38"/>
    </w:p>
    <w:p w14:paraId="3E7A72A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تُناقَش النتائج فيما يلي في ضوء أسئلة الدراسة الستة وأهدافها وإطارها النظري، مع ربطها بالدراسات السابقة الداعمة والمخالفة وتفسير أسباب الاتفاق والاختلاف.</w:t>
      </w:r>
    </w:p>
    <w:p w14:paraId="7A8CF862"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مناقشة نتائج السؤال الأول: المبادئ الأخلاقية الأساسية</w:t>
      </w:r>
    </w:p>
    <w:p w14:paraId="0D21BCA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كشفت النتائج أن المبادئ الأخلاقية المحورية التي تحكم معالجة البيانات الشخصية بالذكاء الاصطناعي هي: الخصوصية، والشفافية، والعدالة، والمساءلة. وتتفق هذه النتيجة مع دراسة الهيئة السعودية للبيانات والذكاء الاصطناعي (سدايا، 2023) التي حددت المبادئ ذاتها، ومع إطار Floridi &amp; Cowls (2019) القائم على خمسة مبادئ (المنفعة، وعدم الإضرار، والاستقلالية، والعدالة، والشفافية). ويُعزى هذا الاتفاق إلى الطبيعة الكونية للمبادئ الأخلاقية للذكاء الاصطناعي. غير أن الدراسة الحالية تتميز بانتقالها من التنظير إلى القياس التطبيقي عبر مؤشر الامتثال الأخلاقي، وهو ما لم تتناوله تلك الأطر.</w:t>
      </w:r>
    </w:p>
    <w:p w14:paraId="624EAEED"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lastRenderedPageBreak/>
        <w:t>مناقشة نتائج السؤال الثاني: تحديات التوازن بين الحماية والاستغلال</w:t>
      </w:r>
    </w:p>
    <w:p w14:paraId="7F99A1A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أظهرت نتائج المحور الرابع (م = 3.94) وقبول الفرضيتين (H1، H2) أن التوازن مختلٌّ لصالح الاستغلال. وتتفق هذه النتيجة مع دراسة Zuboff (2019) حول «رأسمالية المراقبة» التي بيّنت اعتماد الشركات الكبرى على جمع البيانات بطرق غير شفافة. ويرجع هذا الاتفاق إلى تشابه منطق النموذج الاقتصادي القائم على البيانات عالمياً. إلا أن الدراسة الحالية تختلف في أنها لم تكتفِ بالتحليل النقدي الاقتصادي كما فعلت Zuboff، بل قدّمت قياساً كمياً ميدانياً وتطبيقياً للظاهرة في السياق المحلي.</w:t>
      </w:r>
    </w:p>
    <w:p w14:paraId="43DB3831"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مناقشة نتائج السؤال الثالث: القوانين والسياسات التنظيمية</w:t>
      </w:r>
    </w:p>
    <w:p w14:paraId="4C07966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دلّت نتائج الفرضيتين (H3، H4) ونتائج النموذج التقني على أن التشريعات تقلل المخاطر الأخلاقية، لكن ضعف الإنفاذ يفاقم الاستغلال، خصوصاً في القطاع التجاري (مؤشر امتثال 42.6). وتتسق هذه النتيجة مع ما أكدته المقابلات من «فجوة التطبيق»، وتتفق جزئياً مع الأدبيات حول فاعلية GDPR وCCPA. ويُفسَّر الاختلاف في درجات الامتثال بين القطاعات باختلاف البيئة التنظيمية والرقابية، وهو ما يبرز الحاجة إلى تعزيز آليات الإنفاذ لا مجرد سنّ القوانين.</w:t>
      </w:r>
    </w:p>
    <w:p w14:paraId="5A20D443"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مناقشة نتائج السؤال الرابع: الشفافية والعدالة</w:t>
      </w:r>
    </w:p>
    <w:p w14:paraId="387C040E"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أكدت نتائج الفرضيتين (H5، H6) وتدني المحور الثالث (م = 2.41) أن نقص الشفافية يقترن بزيادة التحيز الخوارزمي واحتمالية القرارات غير العادلة. وتتفق هذه النتيجة مع دراسة جامعة سوهاج (2024) ودليل المنظمة العربية للتربية والثقافة والعلوم (ألكسو، 2024) اللذين شددا على تجنب التحيز وضمان الشفافية. ويُعزى الاتفاق إلى الإجماع الأكاديمي على مركزية الشفافية. وتتميز </w:t>
      </w:r>
      <w:r w:rsidRPr="00802CE5">
        <w:rPr>
          <w:rFonts w:ascii="Sakkal Majalla" w:hAnsi="Sakkal Majalla" w:cs="Sakkal Majalla"/>
          <w:sz w:val="32"/>
          <w:szCs w:val="32"/>
        </w:rPr>
        <w:lastRenderedPageBreak/>
        <w:t>الدراسة الحالية بأنها وسّعت النطاق من القطاع التعليمي (سوهاج) إلى قطاعات متعددة، وقاست التحيز كمياً عبر النموذج التقني (احتمالية تحيز 0.47 في القطاع التجاري).</w:t>
      </w:r>
    </w:p>
    <w:p w14:paraId="08B44E47"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مناقشة نتائج السؤال الخامس: الوعي المجتمعي والرقابة التنظيمية</w:t>
      </w:r>
    </w:p>
    <w:p w14:paraId="082BAE52"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بيّنت نتائج الفرضية (H8) — مقابل عدم تحقق الفرضية (H7) — أن ضعف الوعي يضاعف الاستغلال، غير أن ارتفاع الوعي وحده لا يُترجَم بالضرورة إلى قدرةٍ فعلية على حماية البيانات؛ وهو ما يتسق مع «مفارقة الخصوصية» (Privacy Paradox) في الأدبيات. ويتقاطع ذلك مع ما كشفه المحور الأول من وعي إجرائي متوسط (م = 2.77)، خصوصاً تدني قراءة سياسات الخصوصية (م = 2.34). ويُفسَّر ضعف تحوّل الوعي إلى سلوكٍ حمائي في السياق المحلي بحداثة الموضوع ومحدودية برامج التوعية الرقمية التطبيقية.</w:t>
      </w:r>
    </w:p>
    <w:p w14:paraId="0ECB3FEE"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مناقشة نتائج السؤال السادس: الإجراءات والتوصيات</w:t>
      </w:r>
    </w:p>
    <w:p w14:paraId="26605385"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دعمت نتائج الفرضيتين (H9، H10) ونموذج الانحدار المتعدد (R² = 0.394) فرضية أن الالتزام بالممارسات الأخلاقية وتبني سياسات خصوصية صارمة يقلّلان من الاستغلال. وتؤكد هذه النتيجة جدوى الإطار التقني الذي اقترحته الدراسة، وتتسق مع دعوة سدايا (2023) إلى إطار عمل أخلاقي. وتنفرد الدراسة الحالية بتقديم أداة قياس عملية (مؤشر الامتثال الأخلاقي) تسدّ فجوةً بحثية أشار إليها الخبراء (10 من 10)، وتنقل التوصيات من العموميات إلى إجراءات قابلة للقياس.</w:t>
      </w:r>
    </w:p>
    <w:p w14:paraId="5870E8C9" w14:textId="77777777" w:rsidR="0076340C" w:rsidRPr="00802CE5" w:rsidRDefault="00000000" w:rsidP="00802CE5">
      <w:pPr>
        <w:pStyle w:val="Heading3"/>
        <w:bidi/>
        <w:spacing w:before="240" w:after="160"/>
        <w:rPr>
          <w:rFonts w:ascii="Sakkal Majalla" w:hAnsi="Sakkal Majalla" w:cs="Sakkal Majalla"/>
          <w:sz w:val="32"/>
          <w:szCs w:val="28"/>
        </w:rPr>
      </w:pPr>
      <w:r w:rsidRPr="00802CE5">
        <w:rPr>
          <w:rFonts w:ascii="Sakkal Majalla" w:hAnsi="Sakkal Majalla" w:cs="Sakkal Majalla"/>
          <w:color w:val="000000"/>
          <w:sz w:val="32"/>
          <w:szCs w:val="32"/>
        </w:rPr>
        <w:t>خلاصة المناقشة</w:t>
      </w:r>
    </w:p>
    <w:p w14:paraId="7E9F4E31"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 xml:space="preserve">تُجمِع النتائج الكمية (الاستبانة) والتطبيقية (النموذج التقني) والنوعية (المقابلات) على صورة متسقة: اختلال التوازن لصالح استغلال البيانات، مع وعي إجرائي محدود، وثقة متدنية، وممارسات </w:t>
      </w:r>
      <w:r w:rsidRPr="00802CE5">
        <w:rPr>
          <w:rFonts w:ascii="Sakkal Majalla" w:hAnsi="Sakkal Majalla" w:cs="Sakkal Majalla"/>
          <w:sz w:val="32"/>
          <w:szCs w:val="32"/>
        </w:rPr>
        <w:lastRenderedPageBreak/>
        <w:t>مؤسسية ضعيفة الشفافية، وتشريعاتٍ فاعلةٍ نظرياً لكنها ضعيفة الإنفاذ عملياً. وهذا التقاطع بين مصادر الأدلة الثلاثة (Triangulation) يعزز مصداقية النتائج، ويؤكد أن معالجة الإشكالية تتطلب تكاملاً بين البُعد التشريعي والتقني والتوعوي، وهو جوهر ما تسعى الدراسة إلى الإسهام فيه في سدّ الفجوة البحثية القائمة في الأدبيات العربية.</w:t>
      </w:r>
    </w:p>
    <w:p w14:paraId="4087B293" w14:textId="77777777" w:rsidR="0076340C" w:rsidRPr="00802CE5" w:rsidRDefault="00000000" w:rsidP="00802CE5">
      <w:pPr>
        <w:pStyle w:val="Heading2"/>
        <w:bidi/>
        <w:spacing w:before="240" w:after="160"/>
        <w:rPr>
          <w:rFonts w:ascii="Sakkal Majalla" w:hAnsi="Sakkal Majalla" w:cs="Sakkal Majalla"/>
          <w:sz w:val="32"/>
          <w:szCs w:val="32"/>
        </w:rPr>
      </w:pPr>
      <w:bookmarkStart w:id="39" w:name="_Toc234169665"/>
      <w:r w:rsidRPr="00802CE5">
        <w:rPr>
          <w:rFonts w:ascii="Sakkal Majalla" w:hAnsi="Sakkal Majalla" w:cs="Sakkal Majalla"/>
          <w:color w:val="000000"/>
          <w:sz w:val="36"/>
          <w:szCs w:val="36"/>
        </w:rPr>
        <w:t>عاشراً: ملخص نتائج اختبار فروض الدراسة</w:t>
      </w:r>
      <w:bookmarkEnd w:id="39"/>
    </w:p>
    <w:p w14:paraId="30DA8626"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ملخص نتائج اختبار فروض الدراسة</w:t>
      </w:r>
    </w:p>
    <w:p w14:paraId="4A5923FD" w14:textId="77777777" w:rsidR="0076340C" w:rsidRPr="00802CE5" w:rsidRDefault="00000000" w:rsidP="00802CE5">
      <w:pPr>
        <w:bidi/>
        <w:spacing w:before="120" w:after="40"/>
        <w:rPr>
          <w:rFonts w:ascii="Sakkal Majalla" w:hAnsi="Sakkal Majalla" w:cs="Sakkal Majalla"/>
          <w:sz w:val="32"/>
          <w:szCs w:val="28"/>
        </w:rPr>
      </w:pPr>
      <w:r w:rsidRPr="00802CE5">
        <w:rPr>
          <w:rFonts w:ascii="Sakkal Majalla" w:hAnsi="Sakkal Majalla" w:cs="Sakkal Majalla"/>
          <w:b/>
          <w:bCs/>
          <w:sz w:val="32"/>
          <w:szCs w:val="32"/>
        </w:rPr>
        <w:t>جدول (4.22): ملخص نتائج اختبار فرضيات الدراسة (H1–H10)</w:t>
      </w:r>
    </w:p>
    <w:tbl>
      <w:tblPr>
        <w:tblStyle w:val="TableGrid"/>
        <w:bidiVisual/>
        <w:tblW w:w="0" w:type="auto"/>
        <w:jc w:val="center"/>
        <w:tblLook w:val="04A0" w:firstRow="1" w:lastRow="0" w:firstColumn="1" w:lastColumn="0" w:noHBand="0" w:noVBand="1"/>
      </w:tblPr>
      <w:tblGrid>
        <w:gridCol w:w="1440"/>
        <w:gridCol w:w="1440"/>
        <w:gridCol w:w="1440"/>
        <w:gridCol w:w="1440"/>
        <w:gridCol w:w="1440"/>
        <w:gridCol w:w="1440"/>
      </w:tblGrid>
      <w:tr w:rsidR="0076340C" w:rsidRPr="00802CE5" w14:paraId="7ED99C29" w14:textId="77777777">
        <w:trPr>
          <w:jc w:val="center"/>
        </w:trPr>
        <w:tc>
          <w:tcPr>
            <w:tcW w:w="1440" w:type="dxa"/>
          </w:tcPr>
          <w:p w14:paraId="58C685F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الفرضية</w:t>
            </w:r>
          </w:p>
        </w:tc>
        <w:tc>
          <w:tcPr>
            <w:tcW w:w="1440" w:type="dxa"/>
          </w:tcPr>
          <w:p w14:paraId="530F160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مضمونها المختصر</w:t>
            </w:r>
          </w:p>
        </w:tc>
        <w:tc>
          <w:tcPr>
            <w:tcW w:w="1440" w:type="dxa"/>
          </w:tcPr>
          <w:p w14:paraId="04CCB93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الأسلوب الإحصائي</w:t>
            </w:r>
          </w:p>
        </w:tc>
        <w:tc>
          <w:tcPr>
            <w:tcW w:w="1440" w:type="dxa"/>
          </w:tcPr>
          <w:p w14:paraId="3CEA9FC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القيمة</w:t>
            </w:r>
          </w:p>
        </w:tc>
        <w:tc>
          <w:tcPr>
            <w:tcW w:w="1440" w:type="dxa"/>
          </w:tcPr>
          <w:p w14:paraId="0FFFF6C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الدلالة</w:t>
            </w:r>
          </w:p>
        </w:tc>
        <w:tc>
          <w:tcPr>
            <w:tcW w:w="1440" w:type="dxa"/>
          </w:tcPr>
          <w:p w14:paraId="69ABCCB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b/>
                <w:bCs/>
                <w:sz w:val="28"/>
                <w:szCs w:val="28"/>
              </w:rPr>
              <w:t>القرار</w:t>
            </w:r>
          </w:p>
        </w:tc>
      </w:tr>
      <w:tr w:rsidR="0076340C" w:rsidRPr="00802CE5" w14:paraId="06621C0C" w14:textId="77777777">
        <w:trPr>
          <w:jc w:val="center"/>
        </w:trPr>
        <w:tc>
          <w:tcPr>
            <w:tcW w:w="1440" w:type="dxa"/>
          </w:tcPr>
          <w:p w14:paraId="7D48D19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w:t>
            </w:r>
          </w:p>
        </w:tc>
        <w:tc>
          <w:tcPr>
            <w:tcW w:w="1440" w:type="dxa"/>
          </w:tcPr>
          <w:p w14:paraId="6D9E9CF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تطور الذكاء الاصطناعي </w:t>
            </w:r>
            <w:r w:rsidRPr="00802CE5">
              <w:rPr>
                <w:rFonts w:ascii="Times New Roman" w:hAnsi="Times New Roman" w:cs="Times New Roman"/>
                <w:sz w:val="28"/>
                <w:szCs w:val="28"/>
              </w:rPr>
              <w:t>↔</w:t>
            </w:r>
            <w:r w:rsidRPr="00802CE5">
              <w:rPr>
                <w:rFonts w:ascii="Sakkal Majalla" w:hAnsi="Sakkal Majalla" w:cs="Sakkal Majalla"/>
                <w:sz w:val="28"/>
                <w:szCs w:val="28"/>
              </w:rPr>
              <w:t xml:space="preserve"> تحديات الخصوصية</w:t>
            </w:r>
          </w:p>
        </w:tc>
        <w:tc>
          <w:tcPr>
            <w:tcW w:w="1440" w:type="dxa"/>
          </w:tcPr>
          <w:p w14:paraId="78F9D38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بيرسون</w:t>
            </w:r>
          </w:p>
        </w:tc>
        <w:tc>
          <w:tcPr>
            <w:tcW w:w="1440" w:type="dxa"/>
          </w:tcPr>
          <w:p w14:paraId="2335BE3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r = 0.641</w:t>
            </w:r>
          </w:p>
        </w:tc>
        <w:tc>
          <w:tcPr>
            <w:tcW w:w="1440" w:type="dxa"/>
          </w:tcPr>
          <w:p w14:paraId="5FCFE0E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44F5023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212BA1C2" w14:textId="77777777">
        <w:trPr>
          <w:jc w:val="center"/>
        </w:trPr>
        <w:tc>
          <w:tcPr>
            <w:tcW w:w="1440" w:type="dxa"/>
          </w:tcPr>
          <w:p w14:paraId="7CDAB0B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H2</w:t>
            </w:r>
          </w:p>
        </w:tc>
        <w:tc>
          <w:tcPr>
            <w:tcW w:w="1440" w:type="dxa"/>
          </w:tcPr>
          <w:p w14:paraId="6CB9DA0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استغلال البيانات </w:t>
            </w:r>
            <w:r w:rsidRPr="00802CE5">
              <w:rPr>
                <w:rFonts w:ascii="Times New Roman" w:hAnsi="Times New Roman" w:cs="Times New Roman"/>
                <w:sz w:val="28"/>
                <w:szCs w:val="28"/>
              </w:rPr>
              <w:t>↔</w:t>
            </w:r>
            <w:r w:rsidRPr="00802CE5">
              <w:rPr>
                <w:rFonts w:ascii="Sakkal Majalla" w:hAnsi="Sakkal Majalla" w:cs="Sakkal Majalla"/>
                <w:sz w:val="28"/>
                <w:szCs w:val="28"/>
              </w:rPr>
              <w:t xml:space="preserve"> انخفاض حماية الخصوصية</w:t>
            </w:r>
          </w:p>
        </w:tc>
        <w:tc>
          <w:tcPr>
            <w:tcW w:w="1440" w:type="dxa"/>
          </w:tcPr>
          <w:p w14:paraId="30ED58D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بيرسون</w:t>
            </w:r>
          </w:p>
        </w:tc>
        <w:tc>
          <w:tcPr>
            <w:tcW w:w="1440" w:type="dxa"/>
          </w:tcPr>
          <w:p w14:paraId="1C7703E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r = −0.603</w:t>
            </w:r>
          </w:p>
        </w:tc>
        <w:tc>
          <w:tcPr>
            <w:tcW w:w="1440" w:type="dxa"/>
          </w:tcPr>
          <w:p w14:paraId="1CDDAB2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7EFBE92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4F50D174" w14:textId="77777777">
        <w:trPr>
          <w:jc w:val="center"/>
        </w:trPr>
        <w:tc>
          <w:tcPr>
            <w:tcW w:w="1440" w:type="dxa"/>
          </w:tcPr>
          <w:p w14:paraId="21E9523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H3</w:t>
            </w:r>
          </w:p>
        </w:tc>
        <w:tc>
          <w:tcPr>
            <w:tcW w:w="1440" w:type="dxa"/>
          </w:tcPr>
          <w:p w14:paraId="0F04C1E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التشريعات تقلل المخاطر الأخلاقية</w:t>
            </w:r>
          </w:p>
        </w:tc>
        <w:tc>
          <w:tcPr>
            <w:tcW w:w="1440" w:type="dxa"/>
          </w:tcPr>
          <w:p w14:paraId="4490A42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مربع كاي</w:t>
            </w:r>
          </w:p>
        </w:tc>
        <w:tc>
          <w:tcPr>
            <w:tcW w:w="1440" w:type="dxa"/>
          </w:tcPr>
          <w:p w14:paraId="7BF613BA"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χ</w:t>
            </w:r>
            <w:r w:rsidRPr="00802CE5">
              <w:rPr>
                <w:rFonts w:ascii="Sakkal Majalla" w:hAnsi="Sakkal Majalla" w:cs="Sakkal Majalla"/>
                <w:sz w:val="28"/>
                <w:szCs w:val="28"/>
              </w:rPr>
              <w:t>² = 18.92</w:t>
            </w:r>
          </w:p>
        </w:tc>
        <w:tc>
          <w:tcPr>
            <w:tcW w:w="1440" w:type="dxa"/>
          </w:tcPr>
          <w:p w14:paraId="2A5FC32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0.001</w:t>
            </w:r>
          </w:p>
        </w:tc>
        <w:tc>
          <w:tcPr>
            <w:tcW w:w="1440" w:type="dxa"/>
          </w:tcPr>
          <w:p w14:paraId="36CF71E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51108255" w14:textId="77777777">
        <w:trPr>
          <w:jc w:val="center"/>
        </w:trPr>
        <w:tc>
          <w:tcPr>
            <w:tcW w:w="1440" w:type="dxa"/>
          </w:tcPr>
          <w:p w14:paraId="6A802D9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H4</w:t>
            </w:r>
          </w:p>
        </w:tc>
        <w:tc>
          <w:tcPr>
            <w:tcW w:w="1440" w:type="dxa"/>
          </w:tcPr>
          <w:p w14:paraId="52632ED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ضعف الإنفاذ يزيد الاستغلال</w:t>
            </w:r>
          </w:p>
        </w:tc>
        <w:tc>
          <w:tcPr>
            <w:tcW w:w="1440" w:type="dxa"/>
          </w:tcPr>
          <w:p w14:paraId="4208AE2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w:t>
            </w:r>
          </w:p>
        </w:tc>
        <w:tc>
          <w:tcPr>
            <w:tcW w:w="1440" w:type="dxa"/>
          </w:tcPr>
          <w:p w14:paraId="620E8D12"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β</w:t>
            </w:r>
            <w:r w:rsidRPr="00802CE5">
              <w:rPr>
                <w:rFonts w:ascii="Sakkal Majalla" w:hAnsi="Sakkal Majalla" w:cs="Sakkal Majalla"/>
                <w:sz w:val="28"/>
                <w:szCs w:val="28"/>
              </w:rPr>
              <w:t xml:space="preserve"> = 0.418</w:t>
            </w:r>
          </w:p>
        </w:tc>
        <w:tc>
          <w:tcPr>
            <w:tcW w:w="1440" w:type="dxa"/>
          </w:tcPr>
          <w:p w14:paraId="6346E97E"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32786D9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3F0B5600" w14:textId="77777777">
        <w:trPr>
          <w:jc w:val="center"/>
        </w:trPr>
        <w:tc>
          <w:tcPr>
            <w:tcW w:w="1440" w:type="dxa"/>
          </w:tcPr>
          <w:p w14:paraId="0164E03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H5</w:t>
            </w:r>
          </w:p>
        </w:tc>
        <w:tc>
          <w:tcPr>
            <w:tcW w:w="1440" w:type="dxa"/>
          </w:tcPr>
          <w:p w14:paraId="15FAF9B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نقص الشفافية يزيد التحيز</w:t>
            </w:r>
          </w:p>
        </w:tc>
        <w:tc>
          <w:tcPr>
            <w:tcW w:w="1440" w:type="dxa"/>
          </w:tcPr>
          <w:p w14:paraId="584BE4B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مربع كاي</w:t>
            </w:r>
          </w:p>
        </w:tc>
        <w:tc>
          <w:tcPr>
            <w:tcW w:w="1440" w:type="dxa"/>
          </w:tcPr>
          <w:p w14:paraId="7291F4AA"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χ</w:t>
            </w:r>
            <w:r w:rsidRPr="00802CE5">
              <w:rPr>
                <w:rFonts w:ascii="Sakkal Majalla" w:hAnsi="Sakkal Majalla" w:cs="Sakkal Majalla"/>
                <w:sz w:val="28"/>
                <w:szCs w:val="28"/>
              </w:rPr>
              <w:t>² = 22.41</w:t>
            </w:r>
          </w:p>
        </w:tc>
        <w:tc>
          <w:tcPr>
            <w:tcW w:w="1440" w:type="dxa"/>
          </w:tcPr>
          <w:p w14:paraId="64641E7C"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6FF25748"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4EC2E92D" w14:textId="77777777">
        <w:trPr>
          <w:jc w:val="center"/>
        </w:trPr>
        <w:tc>
          <w:tcPr>
            <w:tcW w:w="1440" w:type="dxa"/>
          </w:tcPr>
          <w:p w14:paraId="30EF06C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H6</w:t>
            </w:r>
          </w:p>
        </w:tc>
        <w:tc>
          <w:tcPr>
            <w:tcW w:w="1440" w:type="dxa"/>
          </w:tcPr>
          <w:p w14:paraId="5CE3024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قرارات الذكاء الاصطناعي قد تكون غير عادلة</w:t>
            </w:r>
          </w:p>
        </w:tc>
        <w:tc>
          <w:tcPr>
            <w:tcW w:w="1440" w:type="dxa"/>
          </w:tcPr>
          <w:p w14:paraId="0BDAB09D"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مربع كاي</w:t>
            </w:r>
          </w:p>
        </w:tc>
        <w:tc>
          <w:tcPr>
            <w:tcW w:w="1440" w:type="dxa"/>
          </w:tcPr>
          <w:p w14:paraId="5FB63C91"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χ</w:t>
            </w:r>
            <w:r w:rsidRPr="00802CE5">
              <w:rPr>
                <w:rFonts w:ascii="Sakkal Majalla" w:hAnsi="Sakkal Majalla" w:cs="Sakkal Majalla"/>
                <w:sz w:val="28"/>
                <w:szCs w:val="28"/>
              </w:rPr>
              <w:t>² = 11.83</w:t>
            </w:r>
          </w:p>
        </w:tc>
        <w:tc>
          <w:tcPr>
            <w:tcW w:w="1440" w:type="dxa"/>
          </w:tcPr>
          <w:p w14:paraId="6D3E761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0.019</w:t>
            </w:r>
          </w:p>
        </w:tc>
        <w:tc>
          <w:tcPr>
            <w:tcW w:w="1440" w:type="dxa"/>
          </w:tcPr>
          <w:p w14:paraId="1045546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68F337F7" w14:textId="77777777">
        <w:trPr>
          <w:jc w:val="center"/>
        </w:trPr>
        <w:tc>
          <w:tcPr>
            <w:tcW w:w="1440" w:type="dxa"/>
          </w:tcPr>
          <w:p w14:paraId="26783851"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lastRenderedPageBreak/>
              <w:t>H7</w:t>
            </w:r>
          </w:p>
        </w:tc>
        <w:tc>
          <w:tcPr>
            <w:tcW w:w="1440" w:type="dxa"/>
          </w:tcPr>
          <w:p w14:paraId="6D15548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 xml:space="preserve">الوعي </w:t>
            </w:r>
            <w:r w:rsidRPr="00802CE5">
              <w:rPr>
                <w:rFonts w:ascii="Times New Roman" w:hAnsi="Times New Roman" w:cs="Times New Roman"/>
                <w:sz w:val="28"/>
                <w:szCs w:val="28"/>
              </w:rPr>
              <w:t>↔</w:t>
            </w:r>
            <w:r w:rsidRPr="00802CE5">
              <w:rPr>
                <w:rFonts w:ascii="Sakkal Majalla" w:hAnsi="Sakkal Majalla" w:cs="Sakkal Majalla"/>
                <w:sz w:val="28"/>
                <w:szCs w:val="28"/>
              </w:rPr>
              <w:t xml:space="preserve"> القدرة على حماية البيانات</w:t>
            </w:r>
          </w:p>
        </w:tc>
        <w:tc>
          <w:tcPr>
            <w:tcW w:w="1440" w:type="dxa"/>
          </w:tcPr>
          <w:p w14:paraId="665824A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بيرسون</w:t>
            </w:r>
          </w:p>
        </w:tc>
        <w:tc>
          <w:tcPr>
            <w:tcW w:w="1440" w:type="dxa"/>
          </w:tcPr>
          <w:p w14:paraId="5E83905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r = 0.148</w:t>
            </w:r>
          </w:p>
        </w:tc>
        <w:tc>
          <w:tcPr>
            <w:tcW w:w="1440" w:type="dxa"/>
          </w:tcPr>
          <w:p w14:paraId="7845E3E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0.071</w:t>
            </w:r>
          </w:p>
        </w:tc>
        <w:tc>
          <w:tcPr>
            <w:tcW w:w="1440" w:type="dxa"/>
          </w:tcPr>
          <w:p w14:paraId="2C44DD8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لا تُقبل</w:t>
            </w:r>
          </w:p>
        </w:tc>
      </w:tr>
      <w:tr w:rsidR="0076340C" w:rsidRPr="00802CE5" w14:paraId="442D1D9E" w14:textId="77777777">
        <w:trPr>
          <w:jc w:val="center"/>
        </w:trPr>
        <w:tc>
          <w:tcPr>
            <w:tcW w:w="1440" w:type="dxa"/>
          </w:tcPr>
          <w:p w14:paraId="55B6FA36"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H8</w:t>
            </w:r>
          </w:p>
        </w:tc>
        <w:tc>
          <w:tcPr>
            <w:tcW w:w="1440" w:type="dxa"/>
          </w:tcPr>
          <w:p w14:paraId="67A9D0A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ضعف الوعي يزيد الاستغلال</w:t>
            </w:r>
          </w:p>
        </w:tc>
        <w:tc>
          <w:tcPr>
            <w:tcW w:w="1440" w:type="dxa"/>
          </w:tcPr>
          <w:p w14:paraId="78B61A69"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w:t>
            </w:r>
          </w:p>
        </w:tc>
        <w:tc>
          <w:tcPr>
            <w:tcW w:w="1440" w:type="dxa"/>
          </w:tcPr>
          <w:p w14:paraId="7D20317E"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β</w:t>
            </w:r>
            <w:r w:rsidRPr="00802CE5">
              <w:rPr>
                <w:rFonts w:ascii="Sakkal Majalla" w:hAnsi="Sakkal Majalla" w:cs="Sakkal Majalla"/>
                <w:sz w:val="28"/>
                <w:szCs w:val="28"/>
              </w:rPr>
              <w:t xml:space="preserve"> = 0.372</w:t>
            </w:r>
          </w:p>
        </w:tc>
        <w:tc>
          <w:tcPr>
            <w:tcW w:w="1440" w:type="dxa"/>
          </w:tcPr>
          <w:p w14:paraId="571798A5"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3F47E51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09521506" w14:textId="77777777">
        <w:trPr>
          <w:jc w:val="center"/>
        </w:trPr>
        <w:tc>
          <w:tcPr>
            <w:tcW w:w="1440" w:type="dxa"/>
          </w:tcPr>
          <w:p w14:paraId="11D603F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H9</w:t>
            </w:r>
          </w:p>
        </w:tc>
        <w:tc>
          <w:tcPr>
            <w:tcW w:w="1440" w:type="dxa"/>
          </w:tcPr>
          <w:p w14:paraId="5A625B0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الممارسات الأخلاقية تقلل انتهاك الخصوصية</w:t>
            </w:r>
          </w:p>
        </w:tc>
        <w:tc>
          <w:tcPr>
            <w:tcW w:w="1440" w:type="dxa"/>
          </w:tcPr>
          <w:p w14:paraId="0A4B7FB4"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w:t>
            </w:r>
          </w:p>
        </w:tc>
        <w:tc>
          <w:tcPr>
            <w:tcW w:w="1440" w:type="dxa"/>
          </w:tcPr>
          <w:p w14:paraId="0D6ED38B"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β</w:t>
            </w:r>
            <w:r w:rsidRPr="00802CE5">
              <w:rPr>
                <w:rFonts w:ascii="Sakkal Majalla" w:hAnsi="Sakkal Majalla" w:cs="Sakkal Majalla"/>
                <w:sz w:val="28"/>
                <w:szCs w:val="28"/>
              </w:rPr>
              <w:t xml:space="preserve"> = −0.489</w:t>
            </w:r>
          </w:p>
        </w:tc>
        <w:tc>
          <w:tcPr>
            <w:tcW w:w="1440" w:type="dxa"/>
          </w:tcPr>
          <w:p w14:paraId="6FB622FB"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0.000</w:t>
            </w:r>
          </w:p>
        </w:tc>
        <w:tc>
          <w:tcPr>
            <w:tcW w:w="1440" w:type="dxa"/>
          </w:tcPr>
          <w:p w14:paraId="3968ECD2"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r w:rsidR="0076340C" w:rsidRPr="00802CE5" w14:paraId="44E2E639" w14:textId="77777777">
        <w:trPr>
          <w:jc w:val="center"/>
        </w:trPr>
        <w:tc>
          <w:tcPr>
            <w:tcW w:w="1440" w:type="dxa"/>
          </w:tcPr>
          <w:p w14:paraId="2CFD4DC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H10</w:t>
            </w:r>
          </w:p>
        </w:tc>
        <w:tc>
          <w:tcPr>
            <w:tcW w:w="1440" w:type="dxa"/>
          </w:tcPr>
          <w:p w14:paraId="0C9D0FBA"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سياسات الخصوصية الصارمة تقلل الاستغلال</w:t>
            </w:r>
          </w:p>
        </w:tc>
        <w:tc>
          <w:tcPr>
            <w:tcW w:w="1440" w:type="dxa"/>
          </w:tcPr>
          <w:p w14:paraId="00711CE7"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انحدار</w:t>
            </w:r>
          </w:p>
        </w:tc>
        <w:tc>
          <w:tcPr>
            <w:tcW w:w="1440" w:type="dxa"/>
          </w:tcPr>
          <w:p w14:paraId="0E6E8497" w14:textId="77777777" w:rsidR="0076340C" w:rsidRPr="00802CE5" w:rsidRDefault="00000000" w:rsidP="00802CE5">
            <w:pPr>
              <w:bidi/>
              <w:rPr>
                <w:rFonts w:ascii="Sakkal Majalla" w:hAnsi="Sakkal Majalla" w:cs="Sakkal Majalla"/>
                <w:sz w:val="32"/>
                <w:szCs w:val="28"/>
              </w:rPr>
            </w:pPr>
            <w:r w:rsidRPr="00802CE5">
              <w:rPr>
                <w:rFonts w:ascii="Cambria" w:hAnsi="Cambria" w:cs="Cambria"/>
                <w:sz w:val="28"/>
                <w:szCs w:val="28"/>
              </w:rPr>
              <w:t>β</w:t>
            </w:r>
            <w:r w:rsidRPr="00802CE5">
              <w:rPr>
                <w:rFonts w:ascii="Sakkal Majalla" w:hAnsi="Sakkal Majalla" w:cs="Sakkal Majalla"/>
                <w:sz w:val="28"/>
                <w:szCs w:val="28"/>
              </w:rPr>
              <w:t xml:space="preserve"> = −0.412</w:t>
            </w:r>
          </w:p>
        </w:tc>
        <w:tc>
          <w:tcPr>
            <w:tcW w:w="1440" w:type="dxa"/>
          </w:tcPr>
          <w:p w14:paraId="40E150F3"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0.001</w:t>
            </w:r>
          </w:p>
        </w:tc>
        <w:tc>
          <w:tcPr>
            <w:tcW w:w="1440" w:type="dxa"/>
          </w:tcPr>
          <w:p w14:paraId="1EEB532F" w14:textId="77777777" w:rsidR="0076340C" w:rsidRPr="00802CE5" w:rsidRDefault="00000000" w:rsidP="00802CE5">
            <w:pPr>
              <w:bidi/>
              <w:rPr>
                <w:rFonts w:ascii="Sakkal Majalla" w:hAnsi="Sakkal Majalla" w:cs="Sakkal Majalla"/>
                <w:sz w:val="32"/>
                <w:szCs w:val="28"/>
              </w:rPr>
            </w:pPr>
            <w:r w:rsidRPr="00802CE5">
              <w:rPr>
                <w:rFonts w:ascii="Sakkal Majalla" w:hAnsi="Sakkal Majalla" w:cs="Sakkal Majalla"/>
                <w:sz w:val="28"/>
                <w:szCs w:val="28"/>
              </w:rPr>
              <w:t>تُقبل</w:t>
            </w:r>
          </w:p>
        </w:tc>
      </w:tr>
    </w:tbl>
    <w:p w14:paraId="4FA702BB" w14:textId="77777777" w:rsidR="0076340C" w:rsidRPr="00802CE5" w:rsidRDefault="0076340C" w:rsidP="00802CE5">
      <w:pPr>
        <w:bidi/>
        <w:spacing w:after="40"/>
        <w:rPr>
          <w:rFonts w:ascii="Sakkal Majalla" w:hAnsi="Sakkal Majalla" w:cs="Sakkal Majalla"/>
          <w:sz w:val="32"/>
          <w:szCs w:val="28"/>
        </w:rPr>
      </w:pPr>
    </w:p>
    <w:p w14:paraId="55209A99" w14:textId="77777777" w:rsidR="0076340C" w:rsidRPr="00802CE5" w:rsidRDefault="00000000" w:rsidP="00802CE5">
      <w:pPr>
        <w:bidi/>
        <w:spacing w:after="120" w:line="360" w:lineRule="auto"/>
        <w:rPr>
          <w:rFonts w:ascii="Sakkal Majalla" w:hAnsi="Sakkal Majalla" w:cs="Sakkal Majalla"/>
          <w:sz w:val="32"/>
          <w:szCs w:val="28"/>
        </w:rPr>
      </w:pPr>
      <w:r w:rsidRPr="00802CE5">
        <w:rPr>
          <w:rFonts w:ascii="Sakkal Majalla" w:hAnsi="Sakkal Majalla" w:cs="Sakkal Majalla"/>
          <w:sz w:val="32"/>
          <w:szCs w:val="32"/>
        </w:rPr>
        <w:t>قُبِلت تسعٌ من فرضيات الدراسة العشر عند مستويي دلالة (0.01) و(0.05)، في حين لم تتحقق الفرضية (H7) المتعلقة بالعلاقة بين مستوى الوعي والقدرة الفعلية على حماية البيانات، وهو ما يعكس واقعية النتائج ويتّسق مع «مفارقة الخصوصية». ويؤكد هذا النمط تماسك الإطار النظري للدراسة واتساق أدلتها الكمية والتطبيقية والنوعية.</w:t>
      </w:r>
    </w:p>
    <w:sectPr w:rsidR="0076340C" w:rsidRPr="00802CE5" w:rsidSect="00034616">
      <w:headerReference w:type="default" r:id="rId9"/>
      <w:pgSz w:w="12240" w:h="15840"/>
      <w:pgMar w:top="1440" w:right="1800" w:bottom="1440" w:left="1800"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3B1E5" w14:textId="77777777" w:rsidR="00CB29D5" w:rsidRDefault="00CB29D5" w:rsidP="00141075">
      <w:pPr>
        <w:spacing w:after="0" w:line="240" w:lineRule="auto"/>
      </w:pPr>
      <w:r>
        <w:separator/>
      </w:r>
    </w:p>
  </w:endnote>
  <w:endnote w:type="continuationSeparator" w:id="0">
    <w:p w14:paraId="33412237" w14:textId="77777777" w:rsidR="00CB29D5" w:rsidRDefault="00CB29D5" w:rsidP="001410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51EC3" w14:textId="77777777" w:rsidR="00CB29D5" w:rsidRDefault="00CB29D5" w:rsidP="00141075">
      <w:pPr>
        <w:spacing w:after="0" w:line="240" w:lineRule="auto"/>
      </w:pPr>
      <w:r>
        <w:separator/>
      </w:r>
    </w:p>
  </w:footnote>
  <w:footnote w:type="continuationSeparator" w:id="0">
    <w:p w14:paraId="4867F48D" w14:textId="77777777" w:rsidR="00CB29D5" w:rsidRDefault="00CB29D5" w:rsidP="001410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4704" w14:textId="1868490B" w:rsidR="00141075"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8.25pt;margin-top:181.5pt;width:415.2pt;height:182.4pt;z-index:-251658752;mso-position-horizontal-relative:margin;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1F4CF4A8"/>
    <w:lvl w:ilvl="0">
      <w:start w:val="1"/>
      <w:numFmt w:val="bullet"/>
      <w:pStyle w:val="ListBullet"/>
      <w:lvlText w:val=""/>
      <w:lvlJc w:val="left"/>
      <w:pPr>
        <w:tabs>
          <w:tab w:val="num" w:pos="360"/>
        </w:tabs>
        <w:ind w:left="360" w:hanging="360"/>
      </w:pPr>
      <w:rPr>
        <w:rFonts w:ascii="Symbol" w:hAnsi="Symbol" w:hint="default"/>
      </w:rPr>
    </w:lvl>
  </w:abstractNum>
  <w:num w:numId="1" w16cid:durableId="1221793419">
    <w:abstractNumId w:val="8"/>
  </w:num>
  <w:num w:numId="2" w16cid:durableId="1360160720">
    <w:abstractNumId w:val="6"/>
  </w:num>
  <w:num w:numId="3" w16cid:durableId="1115947060">
    <w:abstractNumId w:val="5"/>
  </w:num>
  <w:num w:numId="4" w16cid:durableId="2033725931">
    <w:abstractNumId w:val="4"/>
  </w:num>
  <w:num w:numId="5" w16cid:durableId="1901479009">
    <w:abstractNumId w:val="7"/>
  </w:num>
  <w:num w:numId="6" w16cid:durableId="1828402317">
    <w:abstractNumId w:val="3"/>
  </w:num>
  <w:num w:numId="7" w16cid:durableId="73477230">
    <w:abstractNumId w:val="2"/>
  </w:num>
  <w:num w:numId="8" w16cid:durableId="1896548217">
    <w:abstractNumId w:val="1"/>
  </w:num>
  <w:num w:numId="9" w16cid:durableId="230628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41075"/>
    <w:rsid w:val="0015074B"/>
    <w:rsid w:val="0029639D"/>
    <w:rsid w:val="00326F90"/>
    <w:rsid w:val="00554E69"/>
    <w:rsid w:val="0076340C"/>
    <w:rsid w:val="00802CE5"/>
    <w:rsid w:val="00976173"/>
    <w:rsid w:val="00AA1D8D"/>
    <w:rsid w:val="00AC5EFE"/>
    <w:rsid w:val="00AE7BAE"/>
    <w:rsid w:val="00AF5E97"/>
    <w:rsid w:val="00B47730"/>
    <w:rsid w:val="00B774D8"/>
    <w:rsid w:val="00CB0664"/>
    <w:rsid w:val="00CB12F4"/>
    <w:rsid w:val="00CB29D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C3B994EA-ECB5-469E-8529-4F27F2D39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raditional Arabic" w:hAnsi="Traditional Arabic"/>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802CE5"/>
    <w:pPr>
      <w:spacing w:after="100"/>
    </w:pPr>
  </w:style>
  <w:style w:type="paragraph" w:styleId="TOC2">
    <w:name w:val="toc 2"/>
    <w:basedOn w:val="Normal"/>
    <w:next w:val="Normal"/>
    <w:autoRedefine/>
    <w:uiPriority w:val="39"/>
    <w:unhideWhenUsed/>
    <w:rsid w:val="00802CE5"/>
    <w:pPr>
      <w:spacing w:after="100"/>
      <w:ind w:left="240"/>
    </w:pPr>
  </w:style>
  <w:style w:type="character" w:styleId="Hyperlink">
    <w:name w:val="Hyperlink"/>
    <w:basedOn w:val="DefaultParagraphFont"/>
    <w:uiPriority w:val="99"/>
    <w:unhideWhenUsed/>
    <w:rsid w:val="00802C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73</Pages>
  <Words>11545</Words>
  <Characters>65811</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77202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Khalid Alsubaiei</cp:lastModifiedBy>
  <cp:revision>7</cp:revision>
  <dcterms:created xsi:type="dcterms:W3CDTF">2013-12-23T23:15:00Z</dcterms:created>
  <dcterms:modified xsi:type="dcterms:W3CDTF">2026-07-05T15:55:00Z</dcterms:modified>
  <cp:category/>
</cp:coreProperties>
</file>