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2A6DF" w14:textId="77777777" w:rsidR="00F14631" w:rsidRPr="00F91D93" w:rsidRDefault="00F14631" w:rsidP="00F14631">
      <w:pPr>
        <w:spacing w:after="0" w:line="240" w:lineRule="auto"/>
        <w:jc w:val="lowKashida"/>
        <w:rPr>
          <w:rFonts w:ascii="Simplified Arabic" w:hAnsi="Simplified Arabic" w:cs="Simplified Arabic"/>
          <w:b/>
          <w:bCs/>
          <w:sz w:val="28"/>
          <w:szCs w:val="28"/>
          <w:lang w:bidi="ar-EG"/>
        </w:rPr>
      </w:pPr>
      <w:r w:rsidRPr="00F91D93">
        <w:rPr>
          <w:rFonts w:ascii="Simplified Arabic" w:hAnsi="Simplified Arabic" w:cs="Simplified Arabic"/>
          <w:b/>
          <w:bCs/>
          <w:noProof/>
          <w:sz w:val="28"/>
          <w:szCs w:val="28"/>
        </w:rPr>
        <w:drawing>
          <wp:anchor distT="0" distB="0" distL="114300" distR="114300" simplePos="0" relativeHeight="251668480" behindDoc="0" locked="0" layoutInCell="1" allowOverlap="1" wp14:anchorId="386D7F47" wp14:editId="5BB8916C">
            <wp:simplePos x="0" y="0"/>
            <wp:positionH relativeFrom="margin">
              <wp:posOffset>-33959</wp:posOffset>
            </wp:positionH>
            <wp:positionV relativeFrom="margin">
              <wp:posOffset>153035</wp:posOffset>
            </wp:positionV>
            <wp:extent cx="1924050" cy="78676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1924050" cy="786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91D93">
        <w:rPr>
          <w:rFonts w:ascii="Simplified Arabic" w:hAnsi="Simplified Arabic" w:cs="Simplified Arabic"/>
          <w:b/>
          <w:bCs/>
          <w:sz w:val="28"/>
          <w:szCs w:val="28"/>
          <w:rtl/>
          <w:lang w:bidi="ar-EG"/>
        </w:rPr>
        <w:t xml:space="preserve">جامعة </w:t>
      </w:r>
      <w:proofErr w:type="spellStart"/>
      <w:r w:rsidRPr="00F91D93">
        <w:rPr>
          <w:rFonts w:ascii="Simplified Arabic" w:hAnsi="Simplified Arabic" w:cs="Simplified Arabic"/>
          <w:b/>
          <w:bCs/>
          <w:sz w:val="28"/>
          <w:szCs w:val="28"/>
          <w:rtl/>
          <w:lang w:bidi="ar-EG"/>
        </w:rPr>
        <w:t>ميدأوشن</w:t>
      </w:r>
      <w:proofErr w:type="spellEnd"/>
      <w:r w:rsidRPr="00F91D93">
        <w:rPr>
          <w:rFonts w:ascii="Simplified Arabic" w:hAnsi="Simplified Arabic" w:cs="Simplified Arabic"/>
          <w:b/>
          <w:bCs/>
          <w:sz w:val="28"/>
          <w:szCs w:val="28"/>
          <w:rtl/>
          <w:lang w:bidi="ar-EG"/>
        </w:rPr>
        <w:t xml:space="preserve"> </w:t>
      </w:r>
    </w:p>
    <w:p w14:paraId="3528AA4E" w14:textId="77777777" w:rsidR="00F14631" w:rsidRPr="00F91D93" w:rsidRDefault="00F14631" w:rsidP="00F14631">
      <w:pPr>
        <w:spacing w:after="0" w:line="240" w:lineRule="auto"/>
        <w:jc w:val="lowKashida"/>
        <w:rPr>
          <w:rFonts w:ascii="Simplified Arabic" w:hAnsi="Simplified Arabic" w:cs="Simplified Arabic"/>
          <w:b/>
          <w:bCs/>
          <w:sz w:val="28"/>
          <w:szCs w:val="28"/>
          <w:rtl/>
          <w:lang w:bidi="ar-EG"/>
        </w:rPr>
      </w:pPr>
      <w:r w:rsidRPr="008C4A9C">
        <w:rPr>
          <w:rFonts w:ascii="Simplified Arabic" w:hAnsi="Simplified Arabic" w:cs="Simplified Arabic"/>
          <w:b/>
          <w:bCs/>
          <w:sz w:val="28"/>
          <w:szCs w:val="28"/>
          <w:rtl/>
          <w:lang w:bidi="ar-EG"/>
        </w:rPr>
        <w:t xml:space="preserve">كلية </w:t>
      </w:r>
      <w:r>
        <w:rPr>
          <w:rFonts w:ascii="Simplified Arabic" w:hAnsi="Simplified Arabic" w:cs="Simplified Arabic" w:hint="cs"/>
          <w:b/>
          <w:bCs/>
          <w:sz w:val="28"/>
          <w:szCs w:val="28"/>
          <w:rtl/>
          <w:lang w:bidi="ar-EG"/>
        </w:rPr>
        <w:t>الإدارة</w:t>
      </w:r>
      <w:r w:rsidRPr="00F91D93">
        <w:rPr>
          <w:rFonts w:ascii="Simplified Arabic" w:hAnsi="Simplified Arabic" w:cs="Simplified Arabic"/>
          <w:b/>
          <w:bCs/>
          <w:sz w:val="28"/>
          <w:szCs w:val="28"/>
          <w:rtl/>
          <w:lang w:bidi="ar-EG"/>
        </w:rPr>
        <w:t xml:space="preserve"> </w:t>
      </w:r>
    </w:p>
    <w:p w14:paraId="741A3E63" w14:textId="77777777" w:rsidR="00F14631" w:rsidRPr="00F91D93" w:rsidRDefault="00F14631" w:rsidP="00F14631">
      <w:pPr>
        <w:spacing w:after="0" w:line="240" w:lineRule="auto"/>
        <w:jc w:val="lowKashida"/>
        <w:rPr>
          <w:rFonts w:ascii="Simplified Arabic" w:hAnsi="Simplified Arabic" w:cs="Simplified Arabic"/>
          <w:sz w:val="28"/>
          <w:szCs w:val="28"/>
          <w:rtl/>
        </w:rPr>
      </w:pPr>
      <w:r w:rsidRPr="00F91D93">
        <w:rPr>
          <w:rFonts w:ascii="Simplified Arabic" w:hAnsi="Simplified Arabic" w:cs="Simplified Arabic"/>
          <w:b/>
          <w:bCs/>
          <w:sz w:val="28"/>
          <w:szCs w:val="28"/>
          <w:rtl/>
          <w:lang w:bidi="ar-EG"/>
        </w:rPr>
        <w:t xml:space="preserve">تخصص </w:t>
      </w:r>
      <w:r>
        <w:rPr>
          <w:rFonts w:ascii="Simplified Arabic" w:hAnsi="Simplified Arabic" w:cs="Simplified Arabic" w:hint="cs"/>
          <w:b/>
          <w:bCs/>
          <w:sz w:val="28"/>
          <w:szCs w:val="28"/>
          <w:rtl/>
          <w:lang w:bidi="ar-EG"/>
        </w:rPr>
        <w:t>إدارة المشاريع</w:t>
      </w:r>
    </w:p>
    <w:p w14:paraId="2DD843D1" w14:textId="77777777" w:rsidR="00F14631" w:rsidRPr="00F91D93" w:rsidRDefault="00F14631" w:rsidP="00F14631">
      <w:pPr>
        <w:spacing w:after="0" w:line="240" w:lineRule="auto"/>
        <w:jc w:val="lowKashida"/>
        <w:rPr>
          <w:rFonts w:ascii="Simplified Arabic" w:hAnsi="Simplified Arabic" w:cs="Simplified Arabic"/>
          <w:sz w:val="28"/>
          <w:szCs w:val="28"/>
          <w:rtl/>
          <w:lang w:bidi="ar-EG"/>
        </w:rPr>
      </w:pPr>
    </w:p>
    <w:p w14:paraId="5CAE7979" w14:textId="77777777" w:rsidR="00F14631" w:rsidRPr="00F91D93" w:rsidRDefault="00F14631" w:rsidP="00F14631">
      <w:pPr>
        <w:spacing w:after="0" w:line="240" w:lineRule="auto"/>
        <w:jc w:val="lowKashida"/>
        <w:rPr>
          <w:rFonts w:ascii="Simplified Arabic" w:hAnsi="Simplified Arabic" w:cs="Simplified Arabic"/>
          <w:sz w:val="28"/>
          <w:szCs w:val="28"/>
          <w:rtl/>
          <w:lang w:bidi="ar-EG"/>
        </w:rPr>
      </w:pPr>
    </w:p>
    <w:p w14:paraId="2C76FAEA" w14:textId="77777777" w:rsidR="00F14631" w:rsidRDefault="00F14631" w:rsidP="00F14631">
      <w:pPr>
        <w:spacing w:after="0" w:line="240" w:lineRule="auto"/>
        <w:jc w:val="center"/>
        <w:rPr>
          <w:rFonts w:ascii="Simplified Arabic" w:hAnsi="Simplified Arabic" w:cs="Simplified Arabic"/>
          <w:b/>
          <w:bCs/>
          <w:color w:val="0070C0"/>
          <w:sz w:val="36"/>
          <w:szCs w:val="36"/>
          <w:rtl/>
          <w:lang w:bidi="ar-EG"/>
        </w:rPr>
      </w:pPr>
    </w:p>
    <w:p w14:paraId="6B84A252" w14:textId="77777777" w:rsidR="00F14631" w:rsidRDefault="00F14631" w:rsidP="00F14631">
      <w:pPr>
        <w:spacing w:after="0" w:line="240" w:lineRule="auto"/>
        <w:jc w:val="center"/>
        <w:rPr>
          <w:rFonts w:ascii="Simplified Arabic" w:hAnsi="Simplified Arabic" w:cs="Simplified Arabic"/>
          <w:b/>
          <w:bCs/>
          <w:color w:val="0070C0"/>
          <w:sz w:val="36"/>
          <w:szCs w:val="36"/>
          <w:rtl/>
          <w:lang w:bidi="ar-EG"/>
        </w:rPr>
      </w:pPr>
    </w:p>
    <w:p w14:paraId="5A541049" w14:textId="77777777" w:rsidR="00F14631" w:rsidRDefault="00F14631" w:rsidP="00F14631">
      <w:pPr>
        <w:spacing w:after="0" w:line="240" w:lineRule="auto"/>
        <w:jc w:val="center"/>
        <w:rPr>
          <w:rFonts w:ascii="Simplified Arabic" w:hAnsi="Simplified Arabic" w:cs="Simplified Arabic"/>
          <w:b/>
          <w:bCs/>
          <w:color w:val="0070C0"/>
          <w:sz w:val="36"/>
          <w:szCs w:val="36"/>
          <w:rtl/>
          <w:lang w:bidi="ar-EG"/>
        </w:rPr>
      </w:pPr>
    </w:p>
    <w:p w14:paraId="66019AF5" w14:textId="77777777" w:rsidR="00F14631" w:rsidRPr="00F91D93" w:rsidRDefault="00F14631" w:rsidP="00F14631">
      <w:pPr>
        <w:spacing w:after="0" w:line="240" w:lineRule="auto"/>
        <w:jc w:val="center"/>
        <w:rPr>
          <w:rFonts w:ascii="Simplified Arabic" w:hAnsi="Simplified Arabic" w:cs="Simplified Arabic"/>
          <w:b/>
          <w:bCs/>
          <w:color w:val="0070C0"/>
          <w:sz w:val="36"/>
          <w:szCs w:val="36"/>
          <w:rtl/>
          <w:lang w:bidi="ar-EG"/>
        </w:rPr>
      </w:pPr>
      <w:r w:rsidRPr="00501397">
        <w:rPr>
          <w:rFonts w:ascii="Simplified Arabic" w:hAnsi="Simplified Arabic" w:cs="Simplified Arabic"/>
          <w:b/>
          <w:bCs/>
          <w:color w:val="0070C0"/>
          <w:sz w:val="36"/>
          <w:szCs w:val="36"/>
          <w:rtl/>
          <w:lang w:bidi="ar-EG"/>
        </w:rPr>
        <w:t>تكامل ممارسات إدارة التغيير وإدارة المشاريع في مشاريع التحول الرقمي: مراجعة منهجية للأدبيات وبناء إطار عمل مقترح</w:t>
      </w:r>
    </w:p>
    <w:p w14:paraId="66A28C0F" w14:textId="77777777" w:rsidR="00F14631" w:rsidRPr="00F91D93" w:rsidRDefault="00F14631" w:rsidP="00F14631">
      <w:pPr>
        <w:spacing w:after="0" w:line="240" w:lineRule="auto"/>
        <w:jc w:val="lowKashida"/>
        <w:rPr>
          <w:rFonts w:ascii="Simplified Arabic" w:hAnsi="Simplified Arabic" w:cs="Simplified Arabic"/>
          <w:sz w:val="28"/>
          <w:szCs w:val="28"/>
          <w:rtl/>
          <w:lang w:bidi="ar-EG"/>
        </w:rPr>
      </w:pPr>
    </w:p>
    <w:p w14:paraId="04E3FA3D" w14:textId="77777777" w:rsidR="00F14631" w:rsidRDefault="00F14631" w:rsidP="00F14631">
      <w:pPr>
        <w:spacing w:after="0" w:line="240" w:lineRule="auto"/>
        <w:jc w:val="lowKashida"/>
        <w:rPr>
          <w:rFonts w:ascii="Simplified Arabic" w:hAnsi="Simplified Arabic" w:cs="Simplified Arabic"/>
          <w:b/>
          <w:bCs/>
          <w:sz w:val="28"/>
          <w:szCs w:val="28"/>
          <w:rtl/>
          <w:lang w:bidi="ar-EG"/>
        </w:rPr>
      </w:pPr>
    </w:p>
    <w:p w14:paraId="3903A105" w14:textId="77777777" w:rsidR="00F14631" w:rsidRPr="00F91D93" w:rsidRDefault="00F14631" w:rsidP="00F14631">
      <w:pPr>
        <w:spacing w:after="0" w:line="240" w:lineRule="auto"/>
        <w:jc w:val="lowKashida"/>
        <w:rPr>
          <w:rFonts w:ascii="Simplified Arabic" w:hAnsi="Simplified Arabic" w:cs="Simplified Arabic"/>
          <w:b/>
          <w:bCs/>
          <w:sz w:val="28"/>
          <w:szCs w:val="28"/>
          <w:rtl/>
          <w:lang w:bidi="ar-EG"/>
        </w:rPr>
      </w:pPr>
    </w:p>
    <w:p w14:paraId="5B4512C2" w14:textId="77777777" w:rsidR="00F14631" w:rsidRPr="00F91D93" w:rsidRDefault="00F14631" w:rsidP="00F14631">
      <w:pPr>
        <w:spacing w:after="0" w:line="240" w:lineRule="auto"/>
        <w:jc w:val="center"/>
        <w:rPr>
          <w:rFonts w:ascii="Simplified Arabic" w:hAnsi="Simplified Arabic" w:cs="Simplified Arabic"/>
          <w:b/>
          <w:bCs/>
          <w:sz w:val="28"/>
          <w:szCs w:val="28"/>
          <w:rtl/>
        </w:rPr>
      </w:pPr>
      <w:r w:rsidRPr="00F91D93">
        <w:rPr>
          <w:rFonts w:ascii="Simplified Arabic" w:hAnsi="Simplified Arabic" w:cs="Simplified Arabic"/>
          <w:b/>
          <w:bCs/>
          <w:sz w:val="28"/>
          <w:szCs w:val="28"/>
          <w:rtl/>
          <w:lang w:bidi="ar-EG"/>
        </w:rPr>
        <w:t>إعداد الطالب</w:t>
      </w:r>
    </w:p>
    <w:p w14:paraId="03ED836F" w14:textId="5AABF3D3" w:rsidR="00F14631" w:rsidRPr="00F91D93" w:rsidRDefault="00F14631" w:rsidP="00F14631">
      <w:pPr>
        <w:spacing w:after="0" w:line="240" w:lineRule="auto"/>
        <w:jc w:val="center"/>
        <w:rPr>
          <w:rFonts w:ascii="Simplified Arabic" w:hAnsi="Simplified Arabic" w:cs="Simplified Arabic"/>
          <w:b/>
          <w:bCs/>
          <w:sz w:val="28"/>
          <w:szCs w:val="28"/>
          <w:rtl/>
          <w:lang w:bidi="ar-EG"/>
        </w:rPr>
      </w:pPr>
      <w:r w:rsidRPr="00501397">
        <w:rPr>
          <w:rFonts w:ascii="Simplified Arabic" w:hAnsi="Simplified Arabic" w:cs="Simplified Arabic"/>
          <w:b/>
          <w:bCs/>
          <w:sz w:val="28"/>
          <w:szCs w:val="28"/>
          <w:rtl/>
          <w:lang w:bidi="ar-EG"/>
        </w:rPr>
        <w:t>محمد عبدالله ال علي</w:t>
      </w:r>
    </w:p>
    <w:p w14:paraId="49D7DC77" w14:textId="77777777" w:rsidR="00F14631" w:rsidRPr="00F91D93" w:rsidRDefault="00F14631" w:rsidP="00F14631">
      <w:pPr>
        <w:spacing w:after="0" w:line="240" w:lineRule="auto"/>
        <w:jc w:val="center"/>
        <w:rPr>
          <w:rFonts w:ascii="Simplified Arabic" w:hAnsi="Simplified Arabic" w:cs="Simplified Arabic"/>
          <w:b/>
          <w:bCs/>
          <w:sz w:val="28"/>
          <w:szCs w:val="28"/>
          <w:rtl/>
          <w:lang w:bidi="ar-EG"/>
        </w:rPr>
      </w:pPr>
    </w:p>
    <w:p w14:paraId="7931A256" w14:textId="77777777" w:rsidR="00F14631" w:rsidRDefault="00F14631" w:rsidP="00F14631">
      <w:pPr>
        <w:spacing w:after="0" w:line="240" w:lineRule="auto"/>
        <w:jc w:val="center"/>
        <w:rPr>
          <w:rFonts w:ascii="Simplified Arabic" w:hAnsi="Simplified Arabic" w:cs="Simplified Arabic"/>
          <w:b/>
          <w:bCs/>
          <w:sz w:val="28"/>
          <w:szCs w:val="28"/>
          <w:rtl/>
          <w:lang w:bidi="ar-EG"/>
        </w:rPr>
      </w:pPr>
    </w:p>
    <w:p w14:paraId="002DA6AC" w14:textId="77777777" w:rsidR="00F14631" w:rsidRDefault="00F14631" w:rsidP="00F14631">
      <w:pPr>
        <w:spacing w:after="0" w:line="240" w:lineRule="auto"/>
        <w:jc w:val="center"/>
        <w:rPr>
          <w:rFonts w:ascii="Simplified Arabic" w:hAnsi="Simplified Arabic" w:cs="Simplified Arabic"/>
          <w:b/>
          <w:bCs/>
          <w:sz w:val="28"/>
          <w:szCs w:val="28"/>
          <w:rtl/>
          <w:lang w:bidi="ar-EG"/>
        </w:rPr>
      </w:pPr>
    </w:p>
    <w:p w14:paraId="725FB779" w14:textId="77777777" w:rsidR="00F14631" w:rsidRPr="00F91D93" w:rsidRDefault="00F14631" w:rsidP="00F14631">
      <w:pPr>
        <w:spacing w:after="0" w:line="240" w:lineRule="auto"/>
        <w:jc w:val="center"/>
        <w:rPr>
          <w:rFonts w:ascii="Simplified Arabic" w:hAnsi="Simplified Arabic" w:cs="Simplified Arabic"/>
          <w:b/>
          <w:bCs/>
          <w:sz w:val="28"/>
          <w:szCs w:val="28"/>
          <w:rtl/>
          <w:lang w:bidi="ar-EG"/>
        </w:rPr>
      </w:pPr>
      <w:r w:rsidRPr="00F91D93">
        <w:rPr>
          <w:rFonts w:ascii="Simplified Arabic" w:hAnsi="Simplified Arabic" w:cs="Simplified Arabic"/>
          <w:b/>
          <w:bCs/>
          <w:sz w:val="28"/>
          <w:szCs w:val="28"/>
          <w:rtl/>
          <w:lang w:bidi="ar-EG"/>
        </w:rPr>
        <w:t>إشراف</w:t>
      </w:r>
    </w:p>
    <w:p w14:paraId="5D0E967E" w14:textId="77777777" w:rsidR="00F14631" w:rsidRPr="00F91D93" w:rsidRDefault="00F14631" w:rsidP="00F14631">
      <w:pPr>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w:t>
      </w:r>
      <w:r w:rsidRPr="00F91D93">
        <w:rPr>
          <w:rFonts w:ascii="Simplified Arabic" w:hAnsi="Simplified Arabic" w:cs="Simplified Arabic"/>
          <w:b/>
          <w:bCs/>
          <w:sz w:val="28"/>
          <w:szCs w:val="28"/>
          <w:rtl/>
          <w:lang w:bidi="ar-EG"/>
        </w:rPr>
        <w:t xml:space="preserve">الفيصل </w:t>
      </w:r>
      <w:proofErr w:type="gramStart"/>
      <w:r w:rsidRPr="00F91D93">
        <w:rPr>
          <w:rFonts w:ascii="Simplified Arabic" w:hAnsi="Simplified Arabic" w:cs="Simplified Arabic"/>
          <w:b/>
          <w:bCs/>
          <w:sz w:val="28"/>
          <w:szCs w:val="28"/>
          <w:rtl/>
          <w:lang w:bidi="ar-EG"/>
        </w:rPr>
        <w:t>عبدالحميد</w:t>
      </w:r>
      <w:proofErr w:type="gramEnd"/>
      <w:r>
        <w:rPr>
          <w:rFonts w:ascii="Simplified Arabic" w:hAnsi="Simplified Arabic" w:cs="Simplified Arabic" w:hint="cs"/>
          <w:b/>
          <w:bCs/>
          <w:sz w:val="28"/>
          <w:szCs w:val="28"/>
          <w:rtl/>
          <w:lang w:bidi="ar-EG"/>
        </w:rPr>
        <w:t xml:space="preserve"> محمد</w:t>
      </w:r>
    </w:p>
    <w:p w14:paraId="13B03977" w14:textId="77777777" w:rsidR="00F14631" w:rsidRPr="00F91D93" w:rsidRDefault="00F14631" w:rsidP="00F14631">
      <w:pPr>
        <w:spacing w:after="0" w:line="240" w:lineRule="auto"/>
        <w:jc w:val="center"/>
        <w:rPr>
          <w:rFonts w:ascii="Simplified Arabic" w:hAnsi="Simplified Arabic" w:cs="Simplified Arabic"/>
          <w:b/>
          <w:bCs/>
          <w:sz w:val="28"/>
          <w:szCs w:val="28"/>
          <w:rtl/>
          <w:lang w:bidi="ar-EG"/>
        </w:rPr>
      </w:pPr>
      <w:r w:rsidRPr="00F91D93">
        <w:rPr>
          <w:rFonts w:ascii="Simplified Arabic" w:hAnsi="Simplified Arabic" w:cs="Simplified Arabic"/>
          <w:b/>
          <w:bCs/>
          <w:sz w:val="28"/>
          <w:szCs w:val="28"/>
          <w:rtl/>
          <w:lang w:bidi="ar-EG"/>
        </w:rPr>
        <w:t xml:space="preserve">د. فايز </w:t>
      </w:r>
      <w:r>
        <w:rPr>
          <w:rFonts w:ascii="Simplified Arabic" w:hAnsi="Simplified Arabic" w:cs="Simplified Arabic" w:hint="cs"/>
          <w:b/>
          <w:bCs/>
          <w:sz w:val="28"/>
          <w:szCs w:val="28"/>
          <w:rtl/>
          <w:lang w:bidi="ar-EG"/>
        </w:rPr>
        <w:t xml:space="preserve">علي </w:t>
      </w:r>
      <w:r w:rsidRPr="00F91D93">
        <w:rPr>
          <w:rFonts w:ascii="Simplified Arabic" w:hAnsi="Simplified Arabic" w:cs="Simplified Arabic"/>
          <w:b/>
          <w:bCs/>
          <w:sz w:val="28"/>
          <w:szCs w:val="28"/>
          <w:rtl/>
          <w:lang w:bidi="ar-EG"/>
        </w:rPr>
        <w:t>جراد</w:t>
      </w:r>
    </w:p>
    <w:p w14:paraId="6A994DF7" w14:textId="77777777" w:rsidR="00F14631" w:rsidRPr="00F91D93" w:rsidRDefault="00F14631" w:rsidP="00F14631">
      <w:pPr>
        <w:spacing w:after="0" w:line="240" w:lineRule="auto"/>
        <w:jc w:val="center"/>
        <w:rPr>
          <w:rFonts w:ascii="Simplified Arabic" w:hAnsi="Simplified Arabic" w:cs="Simplified Arabic"/>
          <w:b/>
          <w:bCs/>
          <w:sz w:val="28"/>
          <w:szCs w:val="28"/>
          <w:rtl/>
          <w:lang w:bidi="ar-EG"/>
        </w:rPr>
      </w:pPr>
    </w:p>
    <w:p w14:paraId="1650DE5D" w14:textId="77777777" w:rsidR="00F14631" w:rsidRPr="00F91D93" w:rsidRDefault="00F14631" w:rsidP="00F14631">
      <w:pPr>
        <w:spacing w:after="0" w:line="240" w:lineRule="auto"/>
        <w:jc w:val="center"/>
        <w:rPr>
          <w:rFonts w:ascii="Simplified Arabic" w:hAnsi="Simplified Arabic" w:cs="Simplified Arabic"/>
          <w:b/>
          <w:bCs/>
          <w:sz w:val="28"/>
          <w:szCs w:val="28"/>
          <w:rtl/>
        </w:rPr>
      </w:pPr>
    </w:p>
    <w:p w14:paraId="376F6343" w14:textId="77777777" w:rsidR="00F14631" w:rsidRDefault="00F14631" w:rsidP="00F14631">
      <w:pPr>
        <w:spacing w:after="0" w:line="240" w:lineRule="auto"/>
        <w:jc w:val="center"/>
        <w:rPr>
          <w:rFonts w:ascii="Simplified Arabic" w:hAnsi="Simplified Arabic" w:cs="Simplified Arabic"/>
          <w:b/>
          <w:bCs/>
          <w:sz w:val="28"/>
          <w:szCs w:val="28"/>
          <w:rtl/>
        </w:rPr>
      </w:pPr>
    </w:p>
    <w:p w14:paraId="473FD423" w14:textId="77777777" w:rsidR="00F14631" w:rsidRDefault="00F14631" w:rsidP="00F14631">
      <w:pPr>
        <w:spacing w:after="0" w:line="240" w:lineRule="auto"/>
        <w:jc w:val="center"/>
        <w:rPr>
          <w:rFonts w:ascii="Simplified Arabic" w:hAnsi="Simplified Arabic" w:cs="Simplified Arabic"/>
          <w:b/>
          <w:bCs/>
          <w:sz w:val="28"/>
          <w:szCs w:val="28"/>
          <w:rtl/>
        </w:rPr>
      </w:pPr>
    </w:p>
    <w:p w14:paraId="76BA1189" w14:textId="77777777" w:rsidR="00F14631" w:rsidRDefault="00F14631" w:rsidP="00F14631">
      <w:pPr>
        <w:spacing w:after="0" w:line="240" w:lineRule="auto"/>
        <w:jc w:val="center"/>
        <w:rPr>
          <w:rFonts w:ascii="Simplified Arabic" w:hAnsi="Simplified Arabic" w:cs="Simplified Arabic"/>
          <w:b/>
          <w:bCs/>
          <w:sz w:val="28"/>
          <w:szCs w:val="28"/>
          <w:rtl/>
        </w:rPr>
      </w:pPr>
    </w:p>
    <w:p w14:paraId="5B3FB844" w14:textId="77777777" w:rsidR="00F14631" w:rsidRPr="00F91D93" w:rsidRDefault="00F14631" w:rsidP="00F14631">
      <w:pPr>
        <w:spacing w:after="0" w:line="240" w:lineRule="auto"/>
        <w:jc w:val="center"/>
        <w:rPr>
          <w:rFonts w:ascii="Simplified Arabic" w:hAnsi="Simplified Arabic" w:cs="Simplified Arabic"/>
          <w:b/>
          <w:bCs/>
          <w:sz w:val="28"/>
          <w:szCs w:val="28"/>
          <w:rtl/>
          <w:lang w:bidi="ar-EG"/>
        </w:rPr>
      </w:pPr>
      <w:r w:rsidRPr="00F91D93">
        <w:rPr>
          <w:rFonts w:ascii="Simplified Arabic" w:hAnsi="Simplified Arabic" w:cs="Simplified Arabic"/>
          <w:b/>
          <w:bCs/>
          <w:sz w:val="28"/>
          <w:szCs w:val="28"/>
          <w:rtl/>
          <w:lang w:bidi="ar-EG"/>
        </w:rPr>
        <w:t xml:space="preserve">حقوق الطباعة تمتلكها جامعة </w:t>
      </w:r>
      <w:proofErr w:type="spellStart"/>
      <w:r w:rsidRPr="00F91D93">
        <w:rPr>
          <w:rFonts w:ascii="Simplified Arabic" w:hAnsi="Simplified Arabic" w:cs="Simplified Arabic"/>
          <w:b/>
          <w:bCs/>
          <w:sz w:val="28"/>
          <w:szCs w:val="28"/>
          <w:rtl/>
          <w:lang w:bidi="ar-EG"/>
        </w:rPr>
        <w:t>ميدأوشن</w:t>
      </w:r>
      <w:proofErr w:type="spellEnd"/>
    </w:p>
    <w:p w14:paraId="368D0084" w14:textId="77777777" w:rsidR="00F14631" w:rsidRPr="00F91D93" w:rsidRDefault="00F14631" w:rsidP="00F14631">
      <w:pPr>
        <w:spacing w:after="0" w:line="240" w:lineRule="auto"/>
        <w:jc w:val="center"/>
        <w:rPr>
          <w:rFonts w:ascii="Simplified Arabic" w:hAnsi="Simplified Arabic" w:cs="Simplified Arabic"/>
          <w:b/>
          <w:bCs/>
          <w:sz w:val="28"/>
          <w:szCs w:val="28"/>
          <w:rtl/>
          <w:lang w:bidi="ar-EG"/>
        </w:rPr>
      </w:pPr>
      <w:r w:rsidRPr="00F91D93">
        <w:rPr>
          <w:rFonts w:ascii="Simplified Arabic" w:hAnsi="Simplified Arabic" w:cs="Simplified Arabic"/>
          <w:b/>
          <w:bCs/>
          <w:sz w:val="28"/>
          <w:szCs w:val="28"/>
          <w:rtl/>
          <w:lang w:bidi="ar-EG"/>
        </w:rPr>
        <w:t>العام الدراسي</w:t>
      </w:r>
    </w:p>
    <w:p w14:paraId="503C5E69" w14:textId="5A598C70" w:rsidR="002B5598" w:rsidRPr="00F91D93" w:rsidRDefault="00F14631" w:rsidP="00F14631">
      <w:pPr>
        <w:spacing w:after="0" w:line="240" w:lineRule="auto"/>
        <w:jc w:val="center"/>
        <w:rPr>
          <w:rFonts w:asciiTheme="majorHAnsi" w:hAnsiTheme="majorHAnsi" w:cstheme="majorHAnsi"/>
          <w:b/>
          <w:bCs/>
          <w:sz w:val="28"/>
          <w:szCs w:val="28"/>
          <w:rtl/>
        </w:rPr>
      </w:pPr>
      <w:r w:rsidRPr="00F91D93">
        <w:rPr>
          <w:rFonts w:asciiTheme="majorHAnsi" w:hAnsiTheme="majorHAnsi" w:cstheme="majorHAnsi"/>
          <w:b/>
          <w:bCs/>
          <w:sz w:val="28"/>
          <w:szCs w:val="28"/>
          <w:lang w:bidi="ar-EG"/>
        </w:rPr>
        <w:t>2026</w:t>
      </w:r>
      <w:r w:rsidR="002B5598" w:rsidRPr="00F91D93">
        <w:rPr>
          <w:rFonts w:asciiTheme="majorHAnsi" w:hAnsiTheme="majorHAnsi" w:cstheme="majorHAnsi"/>
          <w:b/>
          <w:bCs/>
          <w:sz w:val="28"/>
          <w:szCs w:val="28"/>
          <w:rtl/>
        </w:rPr>
        <w:br w:type="page"/>
      </w:r>
    </w:p>
    <w:p w14:paraId="03C2ADC4" w14:textId="77950B26" w:rsidR="00F15D95" w:rsidRPr="0025227E" w:rsidRDefault="00F15D95" w:rsidP="003E5B11">
      <w:pPr>
        <w:pStyle w:val="1"/>
        <w:spacing w:line="240" w:lineRule="auto"/>
      </w:pPr>
      <w:bookmarkStart w:id="0" w:name="_Toc234355538"/>
      <w:bookmarkStart w:id="1" w:name="_Toc235073598"/>
      <w:r w:rsidRPr="0025227E">
        <w:rPr>
          <w:rtl/>
        </w:rPr>
        <w:lastRenderedPageBreak/>
        <w:t>الفصل الأول:</w:t>
      </w:r>
      <w:r w:rsidRPr="0025227E">
        <w:rPr>
          <w:rFonts w:hint="cs"/>
          <w:rtl/>
        </w:rPr>
        <w:t xml:space="preserve"> </w:t>
      </w:r>
      <w:r w:rsidRPr="0025227E">
        <w:rPr>
          <w:rtl/>
        </w:rPr>
        <w:t>الإطار العام للدراسة</w:t>
      </w:r>
      <w:bookmarkEnd w:id="0"/>
      <w:bookmarkEnd w:id="1"/>
    </w:p>
    <w:p w14:paraId="035BF540" w14:textId="32CDC9C6" w:rsidR="009125CE" w:rsidRPr="001B20FA" w:rsidRDefault="001933A6" w:rsidP="003C5B11">
      <w:pPr>
        <w:pStyle w:val="2"/>
        <w:rPr>
          <w:rtl/>
        </w:rPr>
      </w:pPr>
      <w:bookmarkStart w:id="2" w:name="_Toc234355539"/>
      <w:bookmarkStart w:id="3" w:name="_Toc234356531"/>
      <w:bookmarkStart w:id="4" w:name="_Toc235073599"/>
      <w:r w:rsidRPr="001B20FA">
        <w:rPr>
          <w:rtl/>
        </w:rPr>
        <w:t>مقدمة</w:t>
      </w:r>
      <w:bookmarkEnd w:id="2"/>
      <w:bookmarkEnd w:id="3"/>
      <w:bookmarkEnd w:id="4"/>
    </w:p>
    <w:p w14:paraId="06435C25" w14:textId="77777777" w:rsidR="00A62CC3" w:rsidRPr="00A62CC3" w:rsidRDefault="00A62CC3" w:rsidP="00A62CC3">
      <w:pPr>
        <w:pStyle w:val="af5"/>
      </w:pPr>
      <w:r w:rsidRPr="00A62CC3">
        <w:rPr>
          <w:rFonts w:eastAsia="Noto Naskh Arabic"/>
          <w:rtl/>
        </w:rPr>
        <w:t>أصبح التحول الرقمي من أهم التحولات الاستراتيجية التي تعيد تشكيل المؤسسات العامة والخاصة؛ إذ يتجاوز تحويل البيانات والخدمات إلى صيغة رقمية ليشمل إعادة تصميم العمليات ونماذج العمل والقدرات والهياكل وعلاقات أصحاب المصلحة وطرق اتخاذ القرار. ولا تنتج القيمة التحويلية من التقنية وحدها، بل من قدرة المؤسسة على مواءمتها مع الاستراتيجية والعمل والإنسان والحوكمة والتعلم.</w:t>
      </w:r>
    </w:p>
    <w:p w14:paraId="6132A692" w14:textId="77777777" w:rsidR="00A62CC3" w:rsidRPr="00A62CC3" w:rsidRDefault="00A62CC3" w:rsidP="00A62CC3">
      <w:pPr>
        <w:pStyle w:val="af5"/>
      </w:pPr>
      <w:r w:rsidRPr="00A62CC3">
        <w:rPr>
          <w:rFonts w:eastAsia="Noto Naskh Arabic"/>
          <w:rtl/>
        </w:rPr>
        <w:t>وتنفذ المؤسسات جانبًا كبيرًا من التحول من خلال مشاريع وبرامج ومحافظ رقمية. غير أن هذه المشاريع تختلف عن المشاريع التي تنتهي بتسليم مخرج مستقل؛ فهي تغير الأدوار والعمليات والسلوكيات والثقافة، وتحتاج إلى تعاون مستمر بين الأعمال وتقنية المعلومات والتشغيل والمستفيدين. كما تتسم بعدم اليقين والتعقيد وتغير المتطلبات وتأخر المنافع، مما يفرض استخدام ممارسات مرنة وحوكمة واضحة وقدرات بشرية وتنظيمية.</w:t>
      </w:r>
    </w:p>
    <w:p w14:paraId="6F2D128B" w14:textId="77777777" w:rsidR="00A62CC3" w:rsidRPr="00A62CC3" w:rsidRDefault="00A62CC3" w:rsidP="00A62CC3">
      <w:pPr>
        <w:pStyle w:val="af5"/>
      </w:pPr>
      <w:r w:rsidRPr="00A62CC3">
        <w:rPr>
          <w:rFonts w:eastAsia="Noto Naskh Arabic"/>
          <w:rtl/>
        </w:rPr>
        <w:t>في هذا السياق، تؤدي إدارة المشاريع وظيفة تأسيس العمل المؤقت وتخطيطه وتنفيذه وضبطه وتسليم قيمته، بينما تؤدي إدارة التغيير وظيفة تهيئة الأفراد والمؤسسة لفهم الحالة المستهدفة وقبولها وتطبيقها واستدامتها. وعلى الرغم من أن المشروع أداة لإحداث تغيير مخطط، فقد تطور المجالان تاريخيًا في مسارين منفصلين نسبيًا، وهو ما أدى في بعض الحالات إلى نجاح تقني لا يصاحبه تبنٍ أو قيمة، أو إلى أنشطة تغيير منفصلة لا تؤثر في قرارات المشروع وموارده ومراحله.</w:t>
      </w:r>
    </w:p>
    <w:p w14:paraId="2F2D40BA" w14:textId="77777777" w:rsidR="00A62CC3" w:rsidRPr="00A62CC3" w:rsidRDefault="00A62CC3" w:rsidP="00A62CC3">
      <w:pPr>
        <w:pStyle w:val="af5"/>
      </w:pPr>
      <w:r w:rsidRPr="00A62CC3">
        <w:rPr>
          <w:rFonts w:eastAsia="Noto Naskh Arabic"/>
          <w:rtl/>
        </w:rPr>
        <w:t xml:space="preserve">تشير مراجعة </w:t>
      </w:r>
      <w:proofErr w:type="spellStart"/>
      <w:r w:rsidRPr="00A62CC3">
        <w:rPr>
          <w:rFonts w:eastAsia="Noto Naskh Arabic"/>
        </w:rPr>
        <w:t>Jääskä</w:t>
      </w:r>
      <w:proofErr w:type="spellEnd"/>
      <w:r w:rsidRPr="00A62CC3">
        <w:rPr>
          <w:rFonts w:eastAsia="Noto Naskh Arabic"/>
        </w:rPr>
        <w:t xml:space="preserve"> et al. (2025)</w:t>
      </w:r>
      <w:r w:rsidRPr="00A62CC3">
        <w:rPr>
          <w:rFonts w:eastAsia="Noto Naskh Arabic"/>
          <w:rtl/>
        </w:rPr>
        <w:t xml:space="preserve"> إلى تجزؤ الأدبيات المتعلقة بإدارة التغيير داخل دراسات المشاريع وغموض الأدوار وعدم مواءمة دورتي الحياة. كما تؤكد </w:t>
      </w:r>
      <w:r w:rsidRPr="00A62CC3">
        <w:rPr>
          <w:rFonts w:eastAsia="Noto Naskh Arabic"/>
        </w:rPr>
        <w:t>Chen et al. (2025)</w:t>
      </w:r>
      <w:r w:rsidRPr="00A62CC3">
        <w:rPr>
          <w:rFonts w:eastAsia="Noto Naskh Arabic"/>
          <w:rtl/>
        </w:rPr>
        <w:t xml:space="preserve"> أن التقاطع بين إدارة المشاريع والتحول الرقمي ما يزال بحاجة إلى تنظير يربط الأدوات والمنهجيات والواجهات الاجتماعية–التقنية والحوكمة والقيادة. وتوضح </w:t>
      </w:r>
      <w:proofErr w:type="spellStart"/>
      <w:r w:rsidRPr="00A62CC3">
        <w:rPr>
          <w:rFonts w:eastAsia="Noto Naskh Arabic"/>
        </w:rPr>
        <w:t>Hafseld</w:t>
      </w:r>
      <w:proofErr w:type="spellEnd"/>
      <w:r w:rsidRPr="00A62CC3">
        <w:rPr>
          <w:rFonts w:eastAsia="Noto Naskh Arabic"/>
        </w:rPr>
        <w:t xml:space="preserve"> et al. (2021)</w:t>
      </w:r>
      <w:r w:rsidRPr="00A62CC3">
        <w:rPr>
          <w:rFonts w:eastAsia="Noto Naskh Arabic"/>
          <w:rtl/>
        </w:rPr>
        <w:t xml:space="preserve"> أن التعقيد في المشاريع الرقمية الحكومية ينشأ من تفاعل التنظيم والتقنية والابتكار، بينما تقدم </w:t>
      </w:r>
      <w:r w:rsidRPr="00A62CC3">
        <w:rPr>
          <w:rFonts w:eastAsia="Noto Naskh Arabic"/>
        </w:rPr>
        <w:t xml:space="preserve">Al-Moaid and </w:t>
      </w:r>
      <w:proofErr w:type="spellStart"/>
      <w:r w:rsidRPr="00A62CC3">
        <w:rPr>
          <w:rFonts w:eastAsia="Noto Naskh Arabic"/>
        </w:rPr>
        <w:t>Almarhdi</w:t>
      </w:r>
      <w:proofErr w:type="spellEnd"/>
      <w:r w:rsidRPr="00A62CC3">
        <w:rPr>
          <w:rFonts w:eastAsia="Noto Naskh Arabic"/>
        </w:rPr>
        <w:t xml:space="preserve"> (2024)</w:t>
      </w:r>
      <w:r w:rsidRPr="00A62CC3">
        <w:rPr>
          <w:rFonts w:eastAsia="Noto Naskh Arabic"/>
          <w:rtl/>
        </w:rPr>
        <w:t xml:space="preserve"> دليلًا على أن إدارة التغيير آلية مركزية في انتقال القدرات التنظيمية إلى نتائج التحول.</w:t>
      </w:r>
    </w:p>
    <w:p w14:paraId="7618FE80" w14:textId="77777777" w:rsidR="00A62CC3" w:rsidRPr="00A62CC3" w:rsidRDefault="00A62CC3" w:rsidP="00A62CC3">
      <w:pPr>
        <w:pStyle w:val="af5"/>
      </w:pPr>
      <w:r w:rsidRPr="00A62CC3">
        <w:rPr>
          <w:rFonts w:eastAsia="Noto Naskh Arabic"/>
          <w:rtl/>
        </w:rPr>
        <w:t>ومن ثم، لا تقتصر الحاجة البحثية على تأكيد أهمية القيادة أو الثقافة أو الرشاقة أو إدارة المنافع، بل تتطلب تفسير كيفية جمع هذه الممارسات داخل بنية متكاملة توضح حقوق القرار والأدوار وتوقيت التدخلات والمخرجات المشتركة ومعايير النجاح. وانطلاقًا من ذلك، تتناول الدراسة تكامل ممارسات إدارة التغيير وإدارة المشاريع في مشاريع التحول الرقمي من خلال مراجعة منهجية للأدبيات وبناء إطار عمل مقترح. ويلخص الشكل رقم (</w:t>
      </w:r>
      <w:r w:rsidRPr="00A62CC3">
        <w:rPr>
          <w:rFonts w:eastAsia="Noto Naskh Arabic"/>
        </w:rPr>
        <w:t>‎1-1‎</w:t>
      </w:r>
      <w:r w:rsidRPr="00A62CC3">
        <w:rPr>
          <w:rFonts w:eastAsia="Noto Naskh Arabic"/>
          <w:rtl/>
        </w:rPr>
        <w:t>) منطق الدراسة وتسلسلها من المشكلة البحثية إلى المخرجات المتوقعة.</w:t>
      </w:r>
    </w:p>
    <w:p w14:paraId="6C9E0607" w14:textId="7B34E2DC" w:rsidR="00A62CC3" w:rsidRDefault="00A62CC3" w:rsidP="00E92072">
      <w:pPr>
        <w:jc w:val="center"/>
      </w:pPr>
      <w:r>
        <w:rPr>
          <w:noProof/>
        </w:rPr>
        <w:lastRenderedPageBreak/>
        <w:drawing>
          <wp:anchor distT="0" distB="0" distL="114300" distR="114300" simplePos="0" relativeHeight="251685888" behindDoc="0" locked="0" layoutInCell="1" allowOverlap="1" wp14:anchorId="055A302F" wp14:editId="55ECDF07">
            <wp:simplePos x="0" y="0"/>
            <wp:positionH relativeFrom="margin">
              <wp:align>center</wp:align>
            </wp:positionH>
            <wp:positionV relativeFrom="paragraph">
              <wp:posOffset>161</wp:posOffset>
            </wp:positionV>
            <wp:extent cx="6126480" cy="2540000"/>
            <wp:effectExtent l="0" t="0" r="7620" b="0"/>
            <wp:wrapTopAndBottom/>
            <wp:docPr id="14" name="Image2" descr="Image: 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Image: image2.p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26480" cy="2540000"/>
                    </a:xfrm>
                    <a:prstGeom prst="rect">
                      <a:avLst/>
                    </a:prstGeom>
                    <a:noFill/>
                  </pic:spPr>
                </pic:pic>
              </a:graphicData>
            </a:graphic>
            <wp14:sizeRelH relativeFrom="page">
              <wp14:pctWidth>0</wp14:pctWidth>
            </wp14:sizeRelH>
            <wp14:sizeRelV relativeFrom="page">
              <wp14:pctHeight>0</wp14:pctHeight>
            </wp14:sizeRelV>
          </wp:anchor>
        </w:drawing>
      </w:r>
      <w:bookmarkStart w:id="5" w:name="__RefHeading___Toc7439_1679588097"/>
      <w:bookmarkStart w:id="6" w:name="_Toc235073795"/>
      <w:bookmarkEnd w:id="5"/>
      <w:r w:rsidRPr="00A62CC3">
        <w:rPr>
          <w:rtl/>
        </w:rPr>
        <w:t>الشكل رقم (</w:t>
      </w:r>
      <w:r w:rsidRPr="00A62CC3">
        <w:rPr>
          <w:cs/>
        </w:rPr>
        <w:t>‎</w:t>
      </w:r>
      <w:r w:rsidRPr="00A62CC3">
        <w:t>1-1</w:t>
      </w:r>
      <w:r w:rsidRPr="00A62CC3">
        <w:rPr>
          <w:cs/>
        </w:rPr>
        <w:t>‎</w:t>
      </w:r>
      <w:r w:rsidRPr="00A62CC3">
        <w:rPr>
          <w:rtl/>
        </w:rPr>
        <w:t>): منطق الدراسة وتسلسلها من المشكلة إلى المخرجات</w:t>
      </w:r>
      <w:bookmarkEnd w:id="6"/>
    </w:p>
    <w:p w14:paraId="46D00525" w14:textId="717515E2" w:rsidR="00A85A42" w:rsidRDefault="00A85A42" w:rsidP="003C5B11">
      <w:pPr>
        <w:pStyle w:val="2"/>
      </w:pPr>
      <w:bookmarkStart w:id="7" w:name="_Toc235073600"/>
      <w:r>
        <w:rPr>
          <w:rtl/>
        </w:rPr>
        <w:t>مشكلة الدراسة</w:t>
      </w:r>
      <w:bookmarkEnd w:id="7"/>
    </w:p>
    <w:p w14:paraId="55C804C0" w14:textId="77777777" w:rsidR="00E71F08" w:rsidRPr="00E71F08" w:rsidRDefault="00E71F08" w:rsidP="00E71F08">
      <w:pPr>
        <w:pStyle w:val="af5"/>
      </w:pPr>
      <w:r w:rsidRPr="00E71F08">
        <w:rPr>
          <w:rFonts w:eastAsia="Noto Naskh Arabic"/>
          <w:rtl/>
        </w:rPr>
        <w:t>على الرغم من التوسع في مشاريع التحول الرقمي، فإن نجاحها لا يتحدد باختيار التقنية أو إنجاز نطاق المشروع وحدهما. فقد يكتمل النظام أو المنصة بينما تظل العمليات القديمة قائمة، أو لا يتبنى المستخدمون المخرج، أو لا تنتقل الملكية إلى التشغيل، أو لا تتحقق المنافع المتوقعة. ويكشف ذلك عن فجوة بين منطق تسليم المشروع ومنطق تحقق التغيير المؤسسي.</w:t>
      </w:r>
    </w:p>
    <w:p w14:paraId="756B2D5D" w14:textId="510F5822" w:rsidR="00E71F08" w:rsidRPr="00E71F08" w:rsidRDefault="00E71F08" w:rsidP="00E71F08">
      <w:pPr>
        <w:pStyle w:val="af5"/>
      </w:pPr>
      <w:r w:rsidRPr="00E71F08">
        <w:rPr>
          <w:rFonts w:eastAsia="Noto Naskh Arabic"/>
          <w:rtl/>
        </w:rPr>
        <w:t xml:space="preserve">تتمثل المشكلة العلمية في أن الأدبيات توزعت غالبًا بين </w:t>
      </w:r>
      <w:r w:rsidRPr="00E71F08">
        <w:rPr>
          <w:rFonts w:eastAsia="Noto Naskh Arabic" w:hint="cs"/>
          <w:rtl/>
        </w:rPr>
        <w:t>ثلاث</w:t>
      </w:r>
      <w:r w:rsidRPr="00E71F08">
        <w:rPr>
          <w:rFonts w:eastAsia="Noto Naskh Arabic"/>
          <w:rtl/>
        </w:rPr>
        <w:t xml:space="preserve"> مسارات: دراسات إدارة التغيير والتحول الرقمي، ودراسات إدارة المشاريع والتحول الرقمي، ودراسات إدارة التغيير داخل المشاريع بصورة عامة. وقد أنتج كل مسار معرفة مهمة، لكن العلاقة بين المجالين داخل مشروع التحول بقيت غير مكتملة من حيث الحوكمة والأدوار ودورة الحياة والتكيف والانتقال وإدارة المنافع.</w:t>
      </w:r>
    </w:p>
    <w:p w14:paraId="2BB82D0A" w14:textId="77777777" w:rsidR="00E71F08" w:rsidRPr="00E71F08" w:rsidRDefault="00E71F08" w:rsidP="00E71F08">
      <w:pPr>
        <w:pStyle w:val="af5"/>
      </w:pPr>
      <w:r w:rsidRPr="00E71F08">
        <w:rPr>
          <w:rFonts w:eastAsia="Noto Naskh Arabic"/>
          <w:rtl/>
        </w:rPr>
        <w:t xml:space="preserve">تؤكد المراجعات الحديثة هذا القصور. فقد بينت </w:t>
      </w:r>
      <w:proofErr w:type="spellStart"/>
      <w:r w:rsidRPr="00E71F08">
        <w:rPr>
          <w:rFonts w:eastAsia="Noto Naskh Arabic"/>
        </w:rPr>
        <w:t>Jääskä</w:t>
      </w:r>
      <w:proofErr w:type="spellEnd"/>
      <w:r w:rsidRPr="00E71F08">
        <w:rPr>
          <w:rFonts w:eastAsia="Noto Naskh Arabic"/>
        </w:rPr>
        <w:t xml:space="preserve"> et al. (2025)</w:t>
      </w:r>
      <w:r w:rsidRPr="00E71F08">
        <w:rPr>
          <w:rFonts w:eastAsia="Noto Naskh Arabic"/>
          <w:rtl/>
        </w:rPr>
        <w:t xml:space="preserve"> أن الممارسات تُدمج أحيانًا بصورة حدسية وأن الأدبيات تحتاج إلى بناء مفاهيمي وتجريبي، بينما أوضحت </w:t>
      </w:r>
      <w:r w:rsidRPr="00E71F08">
        <w:rPr>
          <w:rFonts w:eastAsia="Noto Naskh Arabic"/>
        </w:rPr>
        <w:t>Chen et al. (2025)</w:t>
      </w:r>
      <w:r w:rsidRPr="00E71F08">
        <w:rPr>
          <w:rFonts w:eastAsia="Noto Naskh Arabic"/>
          <w:rtl/>
        </w:rPr>
        <w:t xml:space="preserve"> أن إدارة المشاريع الرقمية تتطلب تفسيرًا اجتماعيًا–تقنيًا </w:t>
      </w:r>
      <w:proofErr w:type="spellStart"/>
      <w:r w:rsidRPr="00E71F08">
        <w:rPr>
          <w:rFonts w:eastAsia="Noto Naskh Arabic"/>
          <w:rtl/>
        </w:rPr>
        <w:t>وحوكميا</w:t>
      </w:r>
      <w:proofErr w:type="spellEnd"/>
      <w:r w:rsidRPr="00E71F08">
        <w:rPr>
          <w:rFonts w:eastAsia="Noto Naskh Arabic"/>
          <w:rtl/>
        </w:rPr>
        <w:t xml:space="preserve">. وتكشف دراسات الحالة، مثل </w:t>
      </w:r>
      <w:proofErr w:type="spellStart"/>
      <w:r w:rsidRPr="00E71F08">
        <w:rPr>
          <w:rFonts w:eastAsia="Noto Naskh Arabic"/>
        </w:rPr>
        <w:t>Perides</w:t>
      </w:r>
      <w:proofErr w:type="spellEnd"/>
      <w:r w:rsidRPr="00E71F08">
        <w:rPr>
          <w:rFonts w:eastAsia="Noto Naskh Arabic"/>
        </w:rPr>
        <w:t xml:space="preserve"> et al. (2020)</w:t>
      </w:r>
      <w:r w:rsidRPr="00E71F08">
        <w:rPr>
          <w:rFonts w:eastAsia="Noto Naskh Arabic"/>
          <w:rtl/>
        </w:rPr>
        <w:t xml:space="preserve"> و</w:t>
      </w:r>
      <w:r w:rsidRPr="00E71F08">
        <w:rPr>
          <w:rFonts w:eastAsia="Noto Naskh Arabic"/>
        </w:rPr>
        <w:t>Simard and Aubry (2025)</w:t>
      </w:r>
      <w:r w:rsidRPr="00E71F08">
        <w:rPr>
          <w:rFonts w:eastAsia="Noto Naskh Arabic"/>
          <w:rtl/>
        </w:rPr>
        <w:t>، أن التكامل يرتبط بالرعاية والملكية و</w:t>
      </w:r>
      <w:r w:rsidRPr="00E71F08">
        <w:rPr>
          <w:rFonts w:eastAsia="Noto Naskh Arabic"/>
        </w:rPr>
        <w:t>PMO</w:t>
      </w:r>
      <w:r w:rsidRPr="00E71F08">
        <w:rPr>
          <w:rFonts w:eastAsia="Noto Naskh Arabic"/>
          <w:rtl/>
        </w:rPr>
        <w:t xml:space="preserve"> والواجهات والقرار، في حين تظهر الدراسات العربية أهمية الثقافة والمقاومة والجاهزية من دون ربط متسق بهذه الآليات المشروعـية.</w:t>
      </w:r>
    </w:p>
    <w:p w14:paraId="53A4B3F8" w14:textId="77777777" w:rsidR="00E71F08" w:rsidRPr="00E71F08" w:rsidRDefault="00E71F08" w:rsidP="00E71F08">
      <w:pPr>
        <w:pStyle w:val="af5"/>
      </w:pPr>
      <w:r w:rsidRPr="00E71F08">
        <w:rPr>
          <w:rFonts w:eastAsia="Noto Naskh Arabic"/>
          <w:rtl/>
        </w:rPr>
        <w:t>وبذلك لا تكمن المشكلة في نقص الحديث عن عوامل النجاح منفردة، بل في غياب توليف منهجي يحدد: ما الممارسات الرئيسة في كل مجال؟ وما صور التكامل الفعلي بينها؟ وفي أي مراحل وقرارات وأدوار يتحقق؟ وكيف يرتبط التسليم بالتبني والقيمة؟ وما حدود الأدلة الحالية، وبخاصة في الأدبيات العربية؟</w:t>
      </w:r>
    </w:p>
    <w:p w14:paraId="3630864A" w14:textId="6E74A3C3" w:rsidR="00A85A42" w:rsidRPr="00E71F08" w:rsidRDefault="00E71F08" w:rsidP="00E71F08">
      <w:pPr>
        <w:pStyle w:val="af5"/>
      </w:pPr>
      <w:r w:rsidRPr="00E71F08">
        <w:rPr>
          <w:rFonts w:eastAsia="Noto Naskh Arabic"/>
          <w:rtl/>
        </w:rPr>
        <w:t>وتعالج الدراسة هذه المشكلة من خلال مراجعة منهجية وتحليل موضوعي للأدبيات العلمية المنشورة، وتصنيف قوة التكامل وآلياته، ومقارنة النتائج بحسب اللغة والجودة ونوع الدليل، ثم بناء إطار عمل مقترح يترجم التوليف العلمي إلى مكونات ومراحل وأدوار قابلة للاختبار والتكييف.</w:t>
      </w:r>
    </w:p>
    <w:p w14:paraId="7E9C9F05" w14:textId="0A5FA0D3" w:rsidR="00A85A42" w:rsidRDefault="00A85A42" w:rsidP="003C5B11">
      <w:pPr>
        <w:pStyle w:val="2"/>
      </w:pPr>
      <w:bookmarkStart w:id="8" w:name="_Toc235073601"/>
      <w:r>
        <w:rPr>
          <w:rtl/>
        </w:rPr>
        <w:lastRenderedPageBreak/>
        <w:t>تساؤلات الدراسة</w:t>
      </w:r>
      <w:bookmarkEnd w:id="8"/>
    </w:p>
    <w:p w14:paraId="598D705C" w14:textId="22D4DFED" w:rsidR="00A85A42" w:rsidRDefault="00A85A42" w:rsidP="00A85A42">
      <w:pPr>
        <w:pStyle w:val="3"/>
      </w:pPr>
      <w:bookmarkStart w:id="9" w:name="_Toc235073602"/>
      <w:r>
        <w:rPr>
          <w:rtl/>
        </w:rPr>
        <w:t>التساؤل الرئيس</w:t>
      </w:r>
      <w:bookmarkEnd w:id="9"/>
    </w:p>
    <w:p w14:paraId="221C68D8" w14:textId="6750FDE4" w:rsidR="00A85A42" w:rsidRPr="00A85A42" w:rsidRDefault="00E71F08" w:rsidP="00A85A42">
      <w:pPr>
        <w:pStyle w:val="af5"/>
      </w:pPr>
      <w:r w:rsidRPr="00E71F08">
        <w:rPr>
          <w:rFonts w:eastAsia="Noto Naskh Arabic"/>
          <w:rtl/>
        </w:rPr>
        <w:t>ما أبعاد وآليات ومتطلبات تكامل ممارسات إدارة التغيير وإدارة المشاريع في مشاريع التحول الرقمي في ضوء الأدبيات العلمية؟</w:t>
      </w:r>
    </w:p>
    <w:p w14:paraId="36EEDDC4" w14:textId="0915495F" w:rsidR="00A85A42" w:rsidRDefault="00A85A42" w:rsidP="00A85A42">
      <w:pPr>
        <w:pStyle w:val="3"/>
      </w:pPr>
      <w:bookmarkStart w:id="10" w:name="_Toc235073603"/>
      <w:r>
        <w:rPr>
          <w:rtl/>
        </w:rPr>
        <w:t>التساؤلات الفرعية</w:t>
      </w:r>
      <w:bookmarkEnd w:id="10"/>
    </w:p>
    <w:p w14:paraId="373B9084" w14:textId="77777777" w:rsidR="00E71F08" w:rsidRPr="00E71F08" w:rsidRDefault="00E71F08">
      <w:pPr>
        <w:pStyle w:val="af5"/>
        <w:numPr>
          <w:ilvl w:val="0"/>
          <w:numId w:val="10"/>
        </w:numPr>
        <w:spacing w:after="0"/>
        <w:rPr>
          <w:rFonts w:eastAsia="Noto Naskh Arabic"/>
          <w:rtl/>
        </w:rPr>
      </w:pPr>
      <w:r w:rsidRPr="00E71F08">
        <w:rPr>
          <w:rFonts w:eastAsia="Noto Naskh Arabic"/>
          <w:rtl/>
        </w:rPr>
        <w:t>ما المفاهيم والأبعاد الرئيسة المرتبطة بإدارة التغيير، وإدارة المشاريع، ومشاريع التحول الرقمي في الأدبيات العلمية؟</w:t>
      </w:r>
    </w:p>
    <w:p w14:paraId="0323F937" w14:textId="77777777" w:rsidR="00E71F08" w:rsidRPr="00E71F08" w:rsidRDefault="00E71F08">
      <w:pPr>
        <w:pStyle w:val="af5"/>
        <w:numPr>
          <w:ilvl w:val="0"/>
          <w:numId w:val="10"/>
        </w:numPr>
        <w:spacing w:after="0"/>
        <w:rPr>
          <w:rFonts w:eastAsia="Noto Naskh Arabic"/>
          <w:rtl/>
        </w:rPr>
      </w:pPr>
      <w:r w:rsidRPr="00E71F08">
        <w:rPr>
          <w:rFonts w:eastAsia="Noto Naskh Arabic"/>
          <w:rtl/>
        </w:rPr>
        <w:t>ما الاتجاهات البحثية الرئيسة في الدراسات التي تناولت تكامل ممارسات إدارة التغيير وإدارة المشاريع في سياق مشاريع التحول الرقمي؟</w:t>
      </w:r>
    </w:p>
    <w:p w14:paraId="161C5D9E" w14:textId="77777777" w:rsidR="00E71F08" w:rsidRPr="00E71F08" w:rsidRDefault="00E71F08">
      <w:pPr>
        <w:pStyle w:val="af5"/>
        <w:numPr>
          <w:ilvl w:val="0"/>
          <w:numId w:val="10"/>
        </w:numPr>
        <w:spacing w:after="0"/>
        <w:rPr>
          <w:rFonts w:eastAsia="Noto Naskh Arabic"/>
          <w:rtl/>
        </w:rPr>
      </w:pPr>
      <w:r w:rsidRPr="00E71F08">
        <w:rPr>
          <w:rFonts w:eastAsia="Noto Naskh Arabic"/>
          <w:rtl/>
        </w:rPr>
        <w:t>ما المحاور والعوامل الحاكمة التي تناولتها الأدبيات السابقة في تفسير نجاح أو تعثر مشاريع التحول الرقمي من منظور تكامل إدارة التغيير وإدارة المشاريع؟</w:t>
      </w:r>
    </w:p>
    <w:p w14:paraId="59403770" w14:textId="77777777" w:rsidR="00E71F08" w:rsidRPr="00E71F08" w:rsidRDefault="00E71F08">
      <w:pPr>
        <w:pStyle w:val="af5"/>
        <w:numPr>
          <w:ilvl w:val="0"/>
          <w:numId w:val="10"/>
        </w:numPr>
        <w:spacing w:after="0"/>
        <w:rPr>
          <w:rFonts w:eastAsia="Noto Naskh Arabic"/>
          <w:rtl/>
        </w:rPr>
      </w:pPr>
      <w:r w:rsidRPr="00E71F08">
        <w:rPr>
          <w:rFonts w:eastAsia="Noto Naskh Arabic"/>
          <w:rtl/>
        </w:rPr>
        <w:t>ما الممارسات والآليات الأكثر تكرارًا وحضورًا جوهريًا في تعزيز التكامل بين ممارسات إدارة التغيير وممارسات إدارة المشاريع داخل مشاريع التحول الرقمي؟</w:t>
      </w:r>
    </w:p>
    <w:p w14:paraId="0F9BA7A5" w14:textId="77777777" w:rsidR="00E71F08" w:rsidRPr="00E71F08" w:rsidRDefault="00E71F08" w:rsidP="00E71F08">
      <w:pPr>
        <w:pStyle w:val="af5"/>
        <w:rPr>
          <w:rtl/>
        </w:rPr>
      </w:pPr>
      <w:r w:rsidRPr="00E71F08">
        <w:rPr>
          <w:rtl/>
        </w:rPr>
        <w:t>ويقصد بالحضور الجوهري معالجة الممارسة أو الآلية معالجة مركزية موثقة في نتائج الدراسة أو نموذجها أو تفسيرها، ولا يُستخدم التكرار أو الحضور الجوهري بوصفه حجم أثر سببي أو دليلًا مباشرًا على الفاعلية في المؤسسات.</w:t>
      </w:r>
    </w:p>
    <w:p w14:paraId="617B2441" w14:textId="77777777" w:rsidR="00E71F08" w:rsidRPr="00E71F08" w:rsidRDefault="00E71F08">
      <w:pPr>
        <w:pStyle w:val="af5"/>
        <w:numPr>
          <w:ilvl w:val="0"/>
          <w:numId w:val="10"/>
        </w:numPr>
        <w:spacing w:after="0"/>
        <w:rPr>
          <w:rFonts w:eastAsia="Noto Naskh Arabic"/>
          <w:rtl/>
        </w:rPr>
      </w:pPr>
      <w:r w:rsidRPr="00E71F08">
        <w:rPr>
          <w:rFonts w:eastAsia="Noto Naskh Arabic"/>
          <w:rtl/>
        </w:rPr>
        <w:t>ما أوجه القصور والفجوات البحثية في الأدبيات المتعلقة بتكامل ممارسات إدارة التغيير وإدارة المشاريع في مشاريع التحول الرقمي؟</w:t>
      </w:r>
    </w:p>
    <w:p w14:paraId="321738C2" w14:textId="4C2ABE1C" w:rsidR="00A85A42" w:rsidRPr="00A85A42" w:rsidRDefault="00E71F08">
      <w:pPr>
        <w:pStyle w:val="af5"/>
        <w:numPr>
          <w:ilvl w:val="0"/>
          <w:numId w:val="10"/>
        </w:numPr>
        <w:spacing w:after="0"/>
      </w:pPr>
      <w:r w:rsidRPr="00E71F08">
        <w:rPr>
          <w:rFonts w:eastAsia="Noto Naskh Arabic"/>
          <w:rtl/>
        </w:rPr>
        <w:t>ما إطار العمل المقترح الذي يمكن بناؤه في ضوء نتائج المراجعة المنهجية لتوضيح أبعاد هذا التكامل وآلياته ومتطلباته؟</w:t>
      </w:r>
    </w:p>
    <w:p w14:paraId="3FE92F56" w14:textId="19305CE3" w:rsidR="0057064F" w:rsidRDefault="00E71F08" w:rsidP="00A85A42">
      <w:pPr>
        <w:pStyle w:val="af5"/>
      </w:pPr>
      <w:r w:rsidRPr="00E71F08">
        <w:rPr>
          <w:rFonts w:eastAsia="Noto Naskh Arabic"/>
          <w:rtl/>
        </w:rPr>
        <w:t>نظرًا إلى أن الدراسة مراجعة منهجية تحليلية لبيانات ثانوية متعددة التصاميم، فقد صيغت في صورة أسئلة بحثية ولم تتضمن فروضًا إحصائية؛ إذ لا توجد عينة بشرية موحدة أو مقاييس متجانسة تسمح باختبار فرضيات كمية أو إجراء تحليل تلوي.</w:t>
      </w:r>
    </w:p>
    <w:p w14:paraId="6F6842E2" w14:textId="77777777" w:rsidR="0057064F" w:rsidRDefault="0057064F">
      <w:pPr>
        <w:rPr>
          <w:rFonts w:ascii="Simplified Arabic" w:eastAsia="Times New Roman" w:hAnsi="Simplified Arabic" w:cs="Simplified Arabic"/>
          <w:sz w:val="28"/>
          <w:szCs w:val="28"/>
        </w:rPr>
      </w:pPr>
      <w:r>
        <w:br w:type="page"/>
      </w:r>
    </w:p>
    <w:p w14:paraId="6FC9CD4E" w14:textId="2C7128E8" w:rsidR="00A85A42" w:rsidRPr="00A85A42" w:rsidRDefault="00A85A42" w:rsidP="003C5B11">
      <w:pPr>
        <w:pStyle w:val="2"/>
      </w:pPr>
      <w:bookmarkStart w:id="11" w:name="_Toc235073604"/>
      <w:r w:rsidRPr="00A85A42">
        <w:rPr>
          <w:rtl/>
        </w:rPr>
        <w:lastRenderedPageBreak/>
        <w:t>أهداف الدراسة</w:t>
      </w:r>
      <w:bookmarkEnd w:id="11"/>
    </w:p>
    <w:p w14:paraId="2BD62C16" w14:textId="2F58E815" w:rsidR="00A85A42" w:rsidRDefault="00A85A42" w:rsidP="00A85A42">
      <w:pPr>
        <w:pStyle w:val="3"/>
      </w:pPr>
      <w:bookmarkStart w:id="12" w:name="_Toc235073605"/>
      <w:r>
        <w:rPr>
          <w:rtl/>
        </w:rPr>
        <w:t>الهدف الرئيس</w:t>
      </w:r>
      <w:bookmarkEnd w:id="12"/>
    </w:p>
    <w:p w14:paraId="5266207B" w14:textId="649FBF92" w:rsidR="00AA2D22" w:rsidRDefault="0057064F" w:rsidP="00A85A42">
      <w:pPr>
        <w:pStyle w:val="af5"/>
        <w:rPr>
          <w:rtl/>
        </w:rPr>
      </w:pPr>
      <w:r w:rsidRPr="0057064F">
        <w:rPr>
          <w:rFonts w:eastAsia="Noto Naskh Arabic"/>
          <w:rtl/>
        </w:rPr>
        <w:t>تحليل الأدبيات العلمية المتعلقة بتكامل ممارسات إدارة التغيير وإدارة المشاريع في مشاريع التحول الرقمي، وصولًا إلى بناء إطار عمل مقترح يوضح أبعاد هذا التكامل وآلياته ومتطلباته.</w:t>
      </w:r>
    </w:p>
    <w:p w14:paraId="32F8FC61" w14:textId="6C79660D" w:rsidR="00A85A42" w:rsidRDefault="00A85A42" w:rsidP="00A85A42">
      <w:pPr>
        <w:pStyle w:val="3"/>
      </w:pPr>
      <w:bookmarkStart w:id="13" w:name="_Toc235073606"/>
      <w:r>
        <w:rPr>
          <w:rtl/>
        </w:rPr>
        <w:t>الأهداف الفرعية</w:t>
      </w:r>
      <w:bookmarkEnd w:id="13"/>
    </w:p>
    <w:p w14:paraId="69501015" w14:textId="77777777" w:rsidR="0057064F" w:rsidRPr="0057064F" w:rsidRDefault="0057064F">
      <w:pPr>
        <w:pStyle w:val="af5"/>
        <w:numPr>
          <w:ilvl w:val="0"/>
          <w:numId w:val="11"/>
        </w:numPr>
        <w:spacing w:after="0"/>
        <w:rPr>
          <w:rFonts w:eastAsia="Noto Naskh Arabic"/>
          <w:rtl/>
        </w:rPr>
      </w:pPr>
      <w:r w:rsidRPr="0057064F">
        <w:rPr>
          <w:rFonts w:eastAsia="Noto Naskh Arabic"/>
          <w:rtl/>
        </w:rPr>
        <w:t>تحديد المفاهيم والأبعاد الرئيسة المرتبطة بإدارة التغيير، وإدارة المشاريع، ومشاريع التحول الرقمي، وبيان طبيعة العلاقة بينها في الأدبيات العلمية.</w:t>
      </w:r>
    </w:p>
    <w:p w14:paraId="3F85DAC8" w14:textId="77777777" w:rsidR="0057064F" w:rsidRPr="0057064F" w:rsidRDefault="0057064F">
      <w:pPr>
        <w:pStyle w:val="af5"/>
        <w:numPr>
          <w:ilvl w:val="0"/>
          <w:numId w:val="11"/>
        </w:numPr>
        <w:spacing w:after="0"/>
        <w:rPr>
          <w:rFonts w:eastAsia="Noto Naskh Arabic"/>
          <w:rtl/>
        </w:rPr>
      </w:pPr>
      <w:r w:rsidRPr="0057064F">
        <w:rPr>
          <w:rFonts w:eastAsia="Noto Naskh Arabic"/>
          <w:rtl/>
        </w:rPr>
        <w:t>تحليل الاتجاهات البحثية الرئيسة في الدراسات التي تناولت تكامل ممارسات إدارة التغيير وإدارة المشاريع في سياق مشاريع التحول الرقمي.</w:t>
      </w:r>
    </w:p>
    <w:p w14:paraId="0D270CBE" w14:textId="77777777" w:rsidR="0057064F" w:rsidRPr="0057064F" w:rsidRDefault="0057064F">
      <w:pPr>
        <w:pStyle w:val="af5"/>
        <w:numPr>
          <w:ilvl w:val="0"/>
          <w:numId w:val="11"/>
        </w:numPr>
        <w:spacing w:after="0"/>
        <w:rPr>
          <w:rFonts w:eastAsia="Noto Naskh Arabic"/>
          <w:rtl/>
        </w:rPr>
      </w:pPr>
      <w:r w:rsidRPr="0057064F">
        <w:rPr>
          <w:rFonts w:eastAsia="Noto Naskh Arabic"/>
          <w:rtl/>
        </w:rPr>
        <w:t>تصنيف المحاور والعوامل الحاكمة التي تناولتها الأدبيات السابقة في تفسير نجاح أو تعثر مشاريع التحول الرقمي من منظور تكامل إدارة التغيير وإدارة المشاريع.</w:t>
      </w:r>
    </w:p>
    <w:p w14:paraId="2E207F96" w14:textId="77777777" w:rsidR="0057064F" w:rsidRPr="0057064F" w:rsidRDefault="0057064F">
      <w:pPr>
        <w:pStyle w:val="af5"/>
        <w:numPr>
          <w:ilvl w:val="0"/>
          <w:numId w:val="11"/>
        </w:numPr>
        <w:spacing w:after="0"/>
        <w:rPr>
          <w:rFonts w:eastAsia="Noto Naskh Arabic"/>
          <w:rtl/>
        </w:rPr>
      </w:pPr>
      <w:r w:rsidRPr="0057064F">
        <w:rPr>
          <w:rFonts w:eastAsia="Noto Naskh Arabic"/>
          <w:rtl/>
        </w:rPr>
        <w:t>استخلاص الممارسات والآليات الأكثر تكرارًا وحضورًا جوهريًا في تعزيز التكامل بين ممارسات إدارة التغيير وممارسات إدارة المشاريع داخل مشاريع التحول الرقمي.</w:t>
      </w:r>
    </w:p>
    <w:p w14:paraId="2FCB5790" w14:textId="77777777" w:rsidR="0057064F" w:rsidRPr="0057064F" w:rsidRDefault="0057064F">
      <w:pPr>
        <w:pStyle w:val="af5"/>
        <w:numPr>
          <w:ilvl w:val="0"/>
          <w:numId w:val="11"/>
        </w:numPr>
        <w:spacing w:after="0"/>
        <w:rPr>
          <w:rFonts w:eastAsia="Noto Naskh Arabic"/>
          <w:rtl/>
        </w:rPr>
      </w:pPr>
      <w:r w:rsidRPr="0057064F">
        <w:rPr>
          <w:rFonts w:eastAsia="Noto Naskh Arabic"/>
          <w:rtl/>
        </w:rPr>
        <w:t>كشف أوجه القصور والفجوات البحثية في الأدبيات المتعلقة بهذا التقاطع المعرفي.</w:t>
      </w:r>
    </w:p>
    <w:p w14:paraId="61278643" w14:textId="26EB0063" w:rsidR="00A85A42" w:rsidRPr="00A85A42" w:rsidRDefault="0057064F">
      <w:pPr>
        <w:pStyle w:val="af5"/>
        <w:numPr>
          <w:ilvl w:val="0"/>
          <w:numId w:val="11"/>
        </w:numPr>
        <w:spacing w:after="0"/>
      </w:pPr>
      <w:r w:rsidRPr="0057064F">
        <w:rPr>
          <w:rFonts w:eastAsia="Noto Naskh Arabic"/>
          <w:rtl/>
        </w:rPr>
        <w:t>بناء إطار عمل مقترح يوضح أبعاد التكامل بين ممارسات إدارة التغيير وإدارة المشاريع، وآلياته، ومتطلباته في مشاريع التحول الرقمي.</w:t>
      </w:r>
    </w:p>
    <w:p w14:paraId="44569B05" w14:textId="4255C529" w:rsidR="00A85A42" w:rsidRDefault="00A85A42" w:rsidP="003C5B11">
      <w:pPr>
        <w:pStyle w:val="2"/>
      </w:pPr>
      <w:bookmarkStart w:id="14" w:name="_Toc235073607"/>
      <w:r>
        <w:rPr>
          <w:rtl/>
        </w:rPr>
        <w:t>أهمية الدراسة</w:t>
      </w:r>
      <w:bookmarkEnd w:id="14"/>
    </w:p>
    <w:p w14:paraId="4985F11F" w14:textId="25020EF0" w:rsidR="00A85A42" w:rsidRDefault="00A85A42" w:rsidP="00A85A42">
      <w:pPr>
        <w:pStyle w:val="3"/>
      </w:pPr>
      <w:bookmarkStart w:id="15" w:name="_Toc235073608"/>
      <w:r>
        <w:rPr>
          <w:rtl/>
        </w:rPr>
        <w:t>الأهمية العلمية</w:t>
      </w:r>
      <w:bookmarkEnd w:id="15"/>
    </w:p>
    <w:p w14:paraId="5F380A4A" w14:textId="77777777" w:rsidR="00812BE7" w:rsidRPr="00812BE7" w:rsidRDefault="00812BE7">
      <w:pPr>
        <w:pStyle w:val="af5"/>
        <w:numPr>
          <w:ilvl w:val="0"/>
          <w:numId w:val="11"/>
        </w:numPr>
        <w:spacing w:after="0"/>
        <w:rPr>
          <w:rFonts w:eastAsia="Noto Naskh Arabic"/>
          <w:rtl/>
        </w:rPr>
      </w:pPr>
      <w:r w:rsidRPr="00812BE7">
        <w:rPr>
          <w:rFonts w:eastAsia="Noto Naskh Arabic"/>
          <w:rtl/>
        </w:rPr>
        <w:t>معالجة التجزؤ المعرفي من خلال جمع أدبيات إدارة التغيير وإدارة المشاريع والتحول الرقمي في مراجعة واحدة ذات معايير واضحة.</w:t>
      </w:r>
    </w:p>
    <w:p w14:paraId="03EFAEAD" w14:textId="77777777" w:rsidR="00812BE7" w:rsidRPr="00812BE7" w:rsidRDefault="00812BE7">
      <w:pPr>
        <w:pStyle w:val="af5"/>
        <w:numPr>
          <w:ilvl w:val="0"/>
          <w:numId w:val="11"/>
        </w:numPr>
        <w:spacing w:after="0"/>
        <w:rPr>
          <w:rFonts w:eastAsia="Noto Naskh Arabic"/>
          <w:rtl/>
        </w:rPr>
      </w:pPr>
      <w:r w:rsidRPr="00812BE7">
        <w:rPr>
          <w:rFonts w:eastAsia="Noto Naskh Arabic"/>
          <w:rtl/>
        </w:rPr>
        <w:t>تقديم تمييز مفاهيمي بين حضور المجالين في الدراسة ووجود تكامل فعلي قائم على آليات موثقة.</w:t>
      </w:r>
    </w:p>
    <w:p w14:paraId="1D0CC4A5" w14:textId="77777777" w:rsidR="00812BE7" w:rsidRPr="00812BE7" w:rsidRDefault="00812BE7">
      <w:pPr>
        <w:pStyle w:val="af5"/>
        <w:numPr>
          <w:ilvl w:val="0"/>
          <w:numId w:val="11"/>
        </w:numPr>
        <w:spacing w:after="0"/>
        <w:rPr>
          <w:rFonts w:eastAsia="Noto Naskh Arabic"/>
          <w:rtl/>
        </w:rPr>
      </w:pPr>
      <w:r w:rsidRPr="00812BE7">
        <w:rPr>
          <w:rFonts w:eastAsia="Noto Naskh Arabic"/>
          <w:rtl/>
        </w:rPr>
        <w:t>تنظيم الممارسات والعلاقات في بنية تحليلية تربط الحوكمة والأدوار ودورة الحياة والجاهزية والتكيف والمنافع.</w:t>
      </w:r>
    </w:p>
    <w:p w14:paraId="0DE09E59" w14:textId="77777777" w:rsidR="00812BE7" w:rsidRPr="00812BE7" w:rsidRDefault="00812BE7">
      <w:pPr>
        <w:pStyle w:val="af5"/>
        <w:numPr>
          <w:ilvl w:val="0"/>
          <w:numId w:val="11"/>
        </w:numPr>
        <w:spacing w:after="0"/>
        <w:rPr>
          <w:rFonts w:eastAsia="Noto Naskh Arabic"/>
          <w:rtl/>
        </w:rPr>
      </w:pPr>
      <w:r w:rsidRPr="00812BE7">
        <w:rPr>
          <w:rFonts w:eastAsia="Noto Naskh Arabic"/>
          <w:rtl/>
        </w:rPr>
        <w:t>إبراز الفروق بين الأدبيات العربية والإنجليزية وبين الدراسات مرتفعة ومتوسطة الجودة، بما يمنع التعميم غير المنضبط.</w:t>
      </w:r>
    </w:p>
    <w:p w14:paraId="7D277CD8" w14:textId="77777777" w:rsidR="00812BE7" w:rsidRPr="00812BE7" w:rsidRDefault="00812BE7">
      <w:pPr>
        <w:pStyle w:val="af5"/>
        <w:numPr>
          <w:ilvl w:val="0"/>
          <w:numId w:val="11"/>
        </w:numPr>
        <w:spacing w:after="0"/>
        <w:rPr>
          <w:rFonts w:eastAsia="Noto Naskh Arabic"/>
          <w:rtl/>
        </w:rPr>
      </w:pPr>
      <w:r w:rsidRPr="00812BE7">
        <w:rPr>
          <w:rFonts w:eastAsia="Noto Naskh Arabic"/>
          <w:rtl/>
        </w:rPr>
        <w:t>تقديم إطار عمل مقترح وقضايا قابلة للاختبار يمكن أن تبنى عليها دراسات ميدانية وطولية لاحقة.</w:t>
      </w:r>
    </w:p>
    <w:p w14:paraId="28A95BDE" w14:textId="6EED535E" w:rsidR="00A85A42" w:rsidRPr="00A85A42" w:rsidRDefault="00812BE7">
      <w:pPr>
        <w:pStyle w:val="af5"/>
        <w:numPr>
          <w:ilvl w:val="0"/>
          <w:numId w:val="11"/>
        </w:numPr>
        <w:spacing w:after="0"/>
        <w:rPr>
          <w:rFonts w:eastAsia="Noto Naskh Arabic"/>
        </w:rPr>
      </w:pPr>
      <w:r w:rsidRPr="00812BE7">
        <w:rPr>
          <w:rFonts w:eastAsia="Noto Naskh Arabic"/>
          <w:rtl/>
        </w:rPr>
        <w:t>توفير تطبيق منهجي للمراجعة المنظمة والتحليل الموضوعي في موضوع إداري مركب ومتعدد التصاميم.</w:t>
      </w:r>
    </w:p>
    <w:p w14:paraId="04362998" w14:textId="31B34E30" w:rsidR="00A85A42" w:rsidRDefault="00A85A42" w:rsidP="00A85A42">
      <w:pPr>
        <w:pStyle w:val="3"/>
      </w:pPr>
      <w:bookmarkStart w:id="16" w:name="_Toc235073609"/>
      <w:r>
        <w:rPr>
          <w:rtl/>
        </w:rPr>
        <w:t>الأهمية العملية</w:t>
      </w:r>
      <w:bookmarkEnd w:id="16"/>
    </w:p>
    <w:p w14:paraId="013C0190" w14:textId="77777777" w:rsidR="00812BE7" w:rsidRPr="00812BE7" w:rsidRDefault="00812BE7">
      <w:pPr>
        <w:pStyle w:val="af5"/>
        <w:numPr>
          <w:ilvl w:val="0"/>
          <w:numId w:val="11"/>
        </w:numPr>
        <w:spacing w:after="0"/>
        <w:rPr>
          <w:rFonts w:eastAsia="Noto Naskh Arabic"/>
          <w:rtl/>
        </w:rPr>
      </w:pPr>
      <w:r w:rsidRPr="00812BE7">
        <w:rPr>
          <w:rFonts w:eastAsia="Noto Naskh Arabic"/>
          <w:rtl/>
        </w:rPr>
        <w:lastRenderedPageBreak/>
        <w:t>مساعدة القيادات على إدراك أن مشروع التحول يحتاج إلى حوكمة مشتركة تجمع قرارات التسليم والجاهزية والمنافع.</w:t>
      </w:r>
    </w:p>
    <w:p w14:paraId="7614B0B3" w14:textId="77777777" w:rsidR="00812BE7" w:rsidRPr="00812BE7" w:rsidRDefault="00812BE7">
      <w:pPr>
        <w:pStyle w:val="af5"/>
        <w:numPr>
          <w:ilvl w:val="0"/>
          <w:numId w:val="11"/>
        </w:numPr>
        <w:spacing w:after="0"/>
        <w:rPr>
          <w:rFonts w:eastAsia="Noto Naskh Arabic"/>
          <w:rtl/>
        </w:rPr>
      </w:pPr>
      <w:r w:rsidRPr="00812BE7">
        <w:rPr>
          <w:rFonts w:eastAsia="Noto Naskh Arabic"/>
          <w:rtl/>
        </w:rPr>
        <w:t>توضيح الأدوار المتوقعة من الراعي ومدير المشروع ومدير التغيير و</w:t>
      </w:r>
      <w:r w:rsidRPr="00812BE7">
        <w:rPr>
          <w:rFonts w:eastAsia="Noto Naskh Arabic"/>
        </w:rPr>
        <w:t>PMO</w:t>
      </w:r>
      <w:r w:rsidRPr="00812BE7">
        <w:rPr>
          <w:rFonts w:eastAsia="Noto Naskh Arabic"/>
          <w:rtl/>
        </w:rPr>
        <w:t xml:space="preserve"> ومالك الأعمال ومالك المنافع.</w:t>
      </w:r>
    </w:p>
    <w:p w14:paraId="12CBB67F" w14:textId="77777777" w:rsidR="00812BE7" w:rsidRPr="00812BE7" w:rsidRDefault="00812BE7">
      <w:pPr>
        <w:pStyle w:val="af5"/>
        <w:numPr>
          <w:ilvl w:val="0"/>
          <w:numId w:val="11"/>
        </w:numPr>
        <w:spacing w:after="0"/>
        <w:rPr>
          <w:rFonts w:eastAsia="Noto Naskh Arabic"/>
          <w:rtl/>
        </w:rPr>
      </w:pPr>
      <w:r w:rsidRPr="00812BE7">
        <w:rPr>
          <w:rFonts w:eastAsia="Noto Naskh Arabic"/>
          <w:rtl/>
        </w:rPr>
        <w:t>دعم إدخال إدارة التغيير منذ مرحلة التأسيس والجدوى بدل إضافتها بعد تثبيت التصميم والجدول والميزانية.</w:t>
      </w:r>
    </w:p>
    <w:p w14:paraId="2C24E1B5" w14:textId="77777777" w:rsidR="00812BE7" w:rsidRPr="00812BE7" w:rsidRDefault="00812BE7">
      <w:pPr>
        <w:pStyle w:val="af5"/>
        <w:numPr>
          <w:ilvl w:val="0"/>
          <w:numId w:val="11"/>
        </w:numPr>
        <w:spacing w:after="0"/>
        <w:rPr>
          <w:rFonts w:eastAsia="Noto Naskh Arabic"/>
          <w:rtl/>
        </w:rPr>
      </w:pPr>
      <w:r w:rsidRPr="00812BE7">
        <w:rPr>
          <w:rFonts w:eastAsia="Noto Naskh Arabic"/>
          <w:rtl/>
        </w:rPr>
        <w:t>توفير منطق يربط خطة المشروع بخطط الاتصال والمشاركة والتدريب والتبني والانتقال والتعزيز.</w:t>
      </w:r>
    </w:p>
    <w:p w14:paraId="1DF39FBE" w14:textId="77777777" w:rsidR="00812BE7" w:rsidRPr="00812BE7" w:rsidRDefault="00812BE7">
      <w:pPr>
        <w:pStyle w:val="af5"/>
        <w:numPr>
          <w:ilvl w:val="0"/>
          <w:numId w:val="11"/>
        </w:numPr>
        <w:spacing w:after="0"/>
        <w:rPr>
          <w:rFonts w:eastAsia="Noto Naskh Arabic"/>
          <w:rtl/>
        </w:rPr>
      </w:pPr>
      <w:r w:rsidRPr="00812BE7">
        <w:rPr>
          <w:rFonts w:eastAsia="Noto Naskh Arabic"/>
          <w:rtl/>
        </w:rPr>
        <w:t>توسيع معايير النجاح لتشمل الاستخدام والثقة والكفاءة التشغيلية والقيمة، إضافة إلى الوقت والتكلفة والجودة.</w:t>
      </w:r>
    </w:p>
    <w:p w14:paraId="57CFE14A" w14:textId="2643FE56" w:rsidR="00A85A42" w:rsidRPr="00A85A42" w:rsidRDefault="00812BE7">
      <w:pPr>
        <w:pStyle w:val="af5"/>
        <w:numPr>
          <w:ilvl w:val="0"/>
          <w:numId w:val="11"/>
        </w:numPr>
        <w:spacing w:after="0"/>
        <w:rPr>
          <w:rFonts w:eastAsia="Noto Naskh Arabic"/>
        </w:rPr>
      </w:pPr>
      <w:r w:rsidRPr="00812BE7">
        <w:rPr>
          <w:rFonts w:eastAsia="Noto Naskh Arabic"/>
          <w:rtl/>
        </w:rPr>
        <w:t>تقديم إطار قابل للتكييف مع المشاريع الحكومية والخاصة والقطاعات المختلفة وفق التعقيد والنضج وعدم اليقين.</w:t>
      </w:r>
    </w:p>
    <w:p w14:paraId="5D02C58D" w14:textId="5CC91931" w:rsidR="00A85A42" w:rsidRDefault="00A85A42" w:rsidP="003C5B11">
      <w:pPr>
        <w:pStyle w:val="2"/>
      </w:pPr>
      <w:bookmarkStart w:id="17" w:name="_Toc235073610"/>
      <w:r>
        <w:rPr>
          <w:rtl/>
        </w:rPr>
        <w:t>مبررات اختيار الموضوع وأصالته</w:t>
      </w:r>
      <w:bookmarkEnd w:id="17"/>
    </w:p>
    <w:p w14:paraId="77909047" w14:textId="77777777" w:rsidR="00812BE7" w:rsidRPr="00812BE7" w:rsidRDefault="00812BE7" w:rsidP="00812BE7">
      <w:pPr>
        <w:pStyle w:val="af5"/>
        <w:rPr>
          <w:rFonts w:eastAsia="Noto Naskh Arabic"/>
          <w:rtl/>
        </w:rPr>
      </w:pPr>
      <w:r w:rsidRPr="00812BE7">
        <w:rPr>
          <w:rFonts w:eastAsia="Noto Naskh Arabic"/>
          <w:rtl/>
        </w:rPr>
        <w:t>اختير الموضوع لأهميته المتزايدة في المؤسسات التي تستثمر في برامج تحول واسعة لكنها تواجه صعوبة في تحويل المخرجات التقنية إلى سلوك وقيمة مستدامة. كما يرتبط مباشرة بتخصص إدارة المشاريع؛ لأن التحول ينفذ من خلال مشاريع وبرامج ومحافظ، في حين تظل آليات الانتقال المؤسسي موضوعًا مشتركًا مع إدارة التغيير.</w:t>
      </w:r>
    </w:p>
    <w:p w14:paraId="0ED6F888" w14:textId="1BF5B359" w:rsidR="00A85A42" w:rsidRPr="00A85A42" w:rsidRDefault="00812BE7" w:rsidP="00812BE7">
      <w:pPr>
        <w:pStyle w:val="af5"/>
      </w:pPr>
      <w:r w:rsidRPr="00812BE7">
        <w:rPr>
          <w:rFonts w:eastAsia="Noto Naskh Arabic"/>
          <w:rtl/>
        </w:rPr>
        <w:t xml:space="preserve">تتمثل أصالة الدراسة في تركيزها على التكامل ذاته كوحدة للتحليل، لا على أثر كل مجال منفردًا. فهي تميز درجات قوة التكامل وأنماطه، وتربط أحكامها بسجل أدلة وتقييم جودة، وتضم الأدبيات العربية والإنجليزية، ثم تحول النتائج إلى إطار متعدد الطبقات والمراحل. كما تتجنب مساواة ورود مصطلح </w:t>
      </w:r>
      <w:r>
        <w:rPr>
          <w:rFonts w:eastAsia="Noto Naskh Arabic" w:hint="cs"/>
          <w:rtl/>
        </w:rPr>
        <w:t>"</w:t>
      </w:r>
      <w:r w:rsidRPr="00812BE7">
        <w:rPr>
          <w:rFonts w:eastAsia="Noto Naskh Arabic"/>
          <w:rtl/>
        </w:rPr>
        <w:t>مشروع</w:t>
      </w:r>
      <w:r>
        <w:rPr>
          <w:rFonts w:eastAsia="Noto Naskh Arabic" w:hint="cs"/>
          <w:rtl/>
        </w:rPr>
        <w:t>"</w:t>
      </w:r>
      <w:r w:rsidRPr="00812BE7">
        <w:rPr>
          <w:rFonts w:eastAsia="Noto Naskh Arabic"/>
          <w:rtl/>
        </w:rPr>
        <w:t xml:space="preserve"> أو </w:t>
      </w:r>
      <w:r>
        <w:rPr>
          <w:rFonts w:eastAsia="Noto Naskh Arabic" w:hint="cs"/>
          <w:rtl/>
        </w:rPr>
        <w:t>"</w:t>
      </w:r>
      <w:r w:rsidRPr="00812BE7">
        <w:rPr>
          <w:rFonts w:eastAsia="Noto Naskh Arabic"/>
          <w:rtl/>
        </w:rPr>
        <w:t>تغيير</w:t>
      </w:r>
      <w:r>
        <w:rPr>
          <w:rFonts w:eastAsia="Noto Naskh Arabic" w:hint="cs"/>
          <w:rtl/>
        </w:rPr>
        <w:t>"</w:t>
      </w:r>
      <w:r w:rsidRPr="00812BE7">
        <w:rPr>
          <w:rFonts w:eastAsia="Noto Naskh Arabic"/>
          <w:rtl/>
        </w:rPr>
        <w:t xml:space="preserve"> بوجود تكامل منهجي.</w:t>
      </w:r>
    </w:p>
    <w:p w14:paraId="680933B3" w14:textId="05C71834" w:rsidR="00A85A42" w:rsidRDefault="00A85A42" w:rsidP="003C5B11">
      <w:pPr>
        <w:pStyle w:val="2"/>
      </w:pPr>
      <w:bookmarkStart w:id="18" w:name="_Toc235073611"/>
      <w:r>
        <w:rPr>
          <w:rtl/>
        </w:rPr>
        <w:t>حدود الدراسة</w:t>
      </w:r>
      <w:bookmarkEnd w:id="18"/>
    </w:p>
    <w:p w14:paraId="44114001" w14:textId="77777777" w:rsidR="00A85A42" w:rsidRDefault="00A85A42" w:rsidP="00A85A42">
      <w:pPr>
        <w:pStyle w:val="af7"/>
      </w:pPr>
      <w:bookmarkStart w:id="19" w:name="_Toc235073749"/>
      <w:r>
        <w:rPr>
          <w:rtl/>
        </w:rPr>
        <w:t>الجدول رقم (1-1): حدود الدراسة النهائية</w:t>
      </w:r>
      <w:bookmarkEnd w:id="19"/>
    </w:p>
    <w:tbl>
      <w:tblPr>
        <w:bidiVisual/>
        <w:tblW w:w="0" w:type="auto"/>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130"/>
        <w:gridCol w:w="4536"/>
        <w:gridCol w:w="3395"/>
      </w:tblGrid>
      <w:tr w:rsidR="001650A2" w:rsidRPr="00A85A42" w14:paraId="0AC642B9" w14:textId="77777777" w:rsidTr="001650A2">
        <w:trPr>
          <w:tblHeader/>
          <w:jc w:val="center"/>
        </w:trPr>
        <w:tc>
          <w:tcPr>
            <w:tcW w:w="1130" w:type="dxa"/>
            <w:shd w:val="clear" w:color="auto" w:fill="0095D0"/>
            <w:vAlign w:val="center"/>
          </w:tcPr>
          <w:p w14:paraId="64D1485E" w14:textId="77777777" w:rsidR="00A85A42" w:rsidRPr="00A85A42" w:rsidRDefault="00A85A42" w:rsidP="00A85A42">
            <w:pPr>
              <w:spacing w:after="0"/>
              <w:jc w:val="center"/>
              <w:rPr>
                <w:rFonts w:asciiTheme="majorBidi" w:hAnsiTheme="majorBidi" w:cstheme="majorBidi"/>
                <w:bCs/>
                <w:color w:val="FFFFFF" w:themeColor="background1"/>
              </w:rPr>
            </w:pPr>
            <w:r w:rsidRPr="00A85A42">
              <w:rPr>
                <w:rFonts w:asciiTheme="majorBidi" w:eastAsia="Noto Naskh Arabic" w:hAnsiTheme="majorBidi" w:cstheme="majorBidi"/>
                <w:bCs/>
                <w:color w:val="FFFFFF" w:themeColor="background1"/>
                <w:sz w:val="20"/>
                <w:rtl/>
              </w:rPr>
              <w:t>نوع الحد</w:t>
            </w:r>
          </w:p>
        </w:tc>
        <w:tc>
          <w:tcPr>
            <w:tcW w:w="4536" w:type="dxa"/>
            <w:shd w:val="clear" w:color="auto" w:fill="0095D0"/>
            <w:vAlign w:val="center"/>
          </w:tcPr>
          <w:p w14:paraId="4BD22E77" w14:textId="77777777" w:rsidR="00A85A42" w:rsidRPr="00A85A42" w:rsidRDefault="00A85A42" w:rsidP="00A85A42">
            <w:pPr>
              <w:spacing w:after="0"/>
              <w:jc w:val="center"/>
              <w:rPr>
                <w:rFonts w:asciiTheme="majorBidi" w:hAnsiTheme="majorBidi" w:cstheme="majorBidi"/>
                <w:bCs/>
                <w:color w:val="FFFFFF" w:themeColor="background1"/>
              </w:rPr>
            </w:pPr>
            <w:r w:rsidRPr="00A85A42">
              <w:rPr>
                <w:rFonts w:asciiTheme="majorBidi" w:eastAsia="Noto Naskh Arabic" w:hAnsiTheme="majorBidi" w:cstheme="majorBidi"/>
                <w:bCs/>
                <w:color w:val="FFFFFF" w:themeColor="background1"/>
                <w:sz w:val="20"/>
                <w:rtl/>
              </w:rPr>
              <w:t>النطاق المعتمد</w:t>
            </w:r>
          </w:p>
        </w:tc>
        <w:tc>
          <w:tcPr>
            <w:tcW w:w="3395" w:type="dxa"/>
            <w:shd w:val="clear" w:color="auto" w:fill="0095D0"/>
            <w:vAlign w:val="center"/>
          </w:tcPr>
          <w:p w14:paraId="594D6FC8" w14:textId="77777777" w:rsidR="00A85A42" w:rsidRPr="00A85A42" w:rsidRDefault="00A85A42" w:rsidP="00A85A42">
            <w:pPr>
              <w:spacing w:after="0"/>
              <w:jc w:val="center"/>
              <w:rPr>
                <w:rFonts w:asciiTheme="majorBidi" w:hAnsiTheme="majorBidi" w:cstheme="majorBidi"/>
                <w:bCs/>
                <w:color w:val="FFFFFF" w:themeColor="background1"/>
              </w:rPr>
            </w:pPr>
            <w:r w:rsidRPr="00A85A42">
              <w:rPr>
                <w:rFonts w:asciiTheme="majorBidi" w:eastAsia="Noto Naskh Arabic" w:hAnsiTheme="majorBidi" w:cstheme="majorBidi"/>
                <w:bCs/>
                <w:color w:val="FFFFFF" w:themeColor="background1"/>
                <w:sz w:val="20"/>
                <w:rtl/>
              </w:rPr>
              <w:t>الدلالة</w:t>
            </w:r>
          </w:p>
        </w:tc>
      </w:tr>
      <w:tr w:rsidR="001650A2" w:rsidRPr="00A85A42" w14:paraId="1599FE2A" w14:textId="77777777" w:rsidTr="001650A2">
        <w:trPr>
          <w:jc w:val="center"/>
        </w:trPr>
        <w:tc>
          <w:tcPr>
            <w:tcW w:w="1130" w:type="dxa"/>
            <w:vAlign w:val="center"/>
          </w:tcPr>
          <w:p w14:paraId="72FA585E" w14:textId="1E9D7849"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موضوعي</w:t>
            </w:r>
          </w:p>
        </w:tc>
        <w:tc>
          <w:tcPr>
            <w:tcW w:w="4536" w:type="dxa"/>
            <w:vAlign w:val="center"/>
          </w:tcPr>
          <w:p w14:paraId="091D11F3" w14:textId="4C106AF3"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إدارة التغيير وإدارة المشاريع ومشاريع التحول الرقمي وآليات الربط بينها، مع استبعاد الدراسات التقنية البحتة</w:t>
            </w:r>
          </w:p>
        </w:tc>
        <w:tc>
          <w:tcPr>
            <w:tcW w:w="3395" w:type="dxa"/>
            <w:vAlign w:val="center"/>
          </w:tcPr>
          <w:p w14:paraId="3B465E3C" w14:textId="3A061521"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تركيز التحليل على البعد الإداري والتنظيمي المرتبط بالمشروع</w:t>
            </w:r>
          </w:p>
        </w:tc>
      </w:tr>
      <w:tr w:rsidR="001650A2" w:rsidRPr="00A85A42" w14:paraId="345ED96E" w14:textId="77777777" w:rsidTr="001650A2">
        <w:trPr>
          <w:jc w:val="center"/>
        </w:trPr>
        <w:tc>
          <w:tcPr>
            <w:tcW w:w="1130" w:type="dxa"/>
            <w:shd w:val="clear" w:color="auto" w:fill="F2F2F2"/>
            <w:vAlign w:val="center"/>
          </w:tcPr>
          <w:p w14:paraId="4FB846FB" w14:textId="4CE468FD"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زمني</w:t>
            </w:r>
          </w:p>
        </w:tc>
        <w:tc>
          <w:tcPr>
            <w:tcW w:w="4536" w:type="dxa"/>
            <w:shd w:val="clear" w:color="auto" w:fill="F2F2F2"/>
            <w:vAlign w:val="center"/>
          </w:tcPr>
          <w:p w14:paraId="6B87EE16" w14:textId="1D457AF3"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 xml:space="preserve">الدراسات الداخلة في عينة التحليل المنشورة بين </w:t>
            </w:r>
            <w:r w:rsidRPr="001650A2">
              <w:rPr>
                <w:rFonts w:asciiTheme="majorBidi" w:eastAsia="Noto Naskh Arabic" w:hAnsiTheme="majorBidi" w:cstheme="majorBidi"/>
              </w:rPr>
              <w:t>2015</w:t>
            </w:r>
            <w:r w:rsidRPr="001650A2">
              <w:rPr>
                <w:rFonts w:asciiTheme="majorBidi" w:eastAsia="Noto Naskh Arabic" w:hAnsiTheme="majorBidi" w:cstheme="majorBidi"/>
                <w:rtl/>
              </w:rPr>
              <w:t xml:space="preserve"> و</w:t>
            </w:r>
            <w:r w:rsidRPr="001650A2">
              <w:rPr>
                <w:rFonts w:asciiTheme="majorBidi" w:eastAsia="Noto Naskh Arabic" w:hAnsiTheme="majorBidi" w:cstheme="majorBidi"/>
              </w:rPr>
              <w:t>2026</w:t>
            </w:r>
          </w:p>
        </w:tc>
        <w:tc>
          <w:tcPr>
            <w:tcW w:w="3395" w:type="dxa"/>
            <w:shd w:val="clear" w:color="auto" w:fill="F2F2F2"/>
            <w:vAlign w:val="center"/>
          </w:tcPr>
          <w:p w14:paraId="58C5B934" w14:textId="173DDF20"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تمثيل الأدبيات الحديثة؛ ولا يسري الحد الزمني على المراجع النظرية والمنهجية المؤسسة</w:t>
            </w:r>
          </w:p>
        </w:tc>
      </w:tr>
      <w:tr w:rsidR="001650A2" w:rsidRPr="00A85A42" w14:paraId="0DBAEFE5" w14:textId="77777777" w:rsidTr="001650A2">
        <w:trPr>
          <w:jc w:val="center"/>
        </w:trPr>
        <w:tc>
          <w:tcPr>
            <w:tcW w:w="1130" w:type="dxa"/>
            <w:vAlign w:val="center"/>
          </w:tcPr>
          <w:p w14:paraId="35C82D20" w14:textId="5BBB803B"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لغوي</w:t>
            </w:r>
          </w:p>
        </w:tc>
        <w:tc>
          <w:tcPr>
            <w:tcW w:w="4536" w:type="dxa"/>
            <w:vAlign w:val="center"/>
          </w:tcPr>
          <w:p w14:paraId="5B77E822" w14:textId="202982C2"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العربية والإنجليزية</w:t>
            </w:r>
          </w:p>
        </w:tc>
        <w:tc>
          <w:tcPr>
            <w:tcW w:w="3395" w:type="dxa"/>
            <w:vAlign w:val="center"/>
          </w:tcPr>
          <w:p w14:paraId="22115372" w14:textId="0FCB49B6"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شمول السياق العربي والأدبيات العالمية مع استبعاد اللغات الأخرى</w:t>
            </w:r>
          </w:p>
        </w:tc>
      </w:tr>
      <w:tr w:rsidR="001650A2" w:rsidRPr="00A85A42" w14:paraId="5AF6E3D6" w14:textId="77777777" w:rsidTr="001650A2">
        <w:trPr>
          <w:jc w:val="center"/>
        </w:trPr>
        <w:tc>
          <w:tcPr>
            <w:tcW w:w="1130" w:type="dxa"/>
            <w:shd w:val="clear" w:color="auto" w:fill="F2F2F2"/>
            <w:vAlign w:val="center"/>
          </w:tcPr>
          <w:p w14:paraId="5791CF80" w14:textId="5DCF3478"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مصدري</w:t>
            </w:r>
          </w:p>
        </w:tc>
        <w:tc>
          <w:tcPr>
            <w:tcW w:w="4536" w:type="dxa"/>
            <w:shd w:val="clear" w:color="auto" w:fill="F2F2F2"/>
            <w:vAlign w:val="center"/>
          </w:tcPr>
          <w:p w14:paraId="0FD23AE5" w14:textId="7A583713"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المصادر العلمية المتاحة بالنص الكامل: مقالات ومراجعات ومؤتمرات ورسائل وأطروحات ذات قيمة علمية</w:t>
            </w:r>
          </w:p>
        </w:tc>
        <w:tc>
          <w:tcPr>
            <w:tcW w:w="3395" w:type="dxa"/>
            <w:shd w:val="clear" w:color="auto" w:fill="F2F2F2"/>
            <w:vAlign w:val="center"/>
          </w:tcPr>
          <w:p w14:paraId="0F2A0B0E" w14:textId="0029811D"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إمكان تقييم المنهج والنتائج والقيود وتوثيق الأدلة</w:t>
            </w:r>
          </w:p>
        </w:tc>
      </w:tr>
      <w:tr w:rsidR="001650A2" w:rsidRPr="00A85A42" w14:paraId="4D4802D0" w14:textId="77777777" w:rsidTr="001650A2">
        <w:trPr>
          <w:jc w:val="center"/>
        </w:trPr>
        <w:tc>
          <w:tcPr>
            <w:tcW w:w="1130" w:type="dxa"/>
            <w:vAlign w:val="center"/>
          </w:tcPr>
          <w:p w14:paraId="4C8F7B15" w14:textId="7E0A708B"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lastRenderedPageBreak/>
              <w:t>منهجي</w:t>
            </w:r>
          </w:p>
        </w:tc>
        <w:tc>
          <w:tcPr>
            <w:tcW w:w="4536" w:type="dxa"/>
            <w:vAlign w:val="center"/>
          </w:tcPr>
          <w:p w14:paraId="3771B583" w14:textId="33701F5E"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مراجعة منهجية وتحليل موضوعي نوعي؛ لا تحليل تلوي ولا بيانات ميدانية أولية</w:t>
            </w:r>
          </w:p>
        </w:tc>
        <w:tc>
          <w:tcPr>
            <w:tcW w:w="3395" w:type="dxa"/>
            <w:vAlign w:val="center"/>
          </w:tcPr>
          <w:p w14:paraId="204D371C" w14:textId="3F01DE57"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تفسير الآليات والأنماط في دراسات غير متجانسة</w:t>
            </w:r>
          </w:p>
        </w:tc>
      </w:tr>
      <w:tr w:rsidR="001650A2" w:rsidRPr="00A85A42" w14:paraId="69A5207B" w14:textId="77777777" w:rsidTr="001650A2">
        <w:trPr>
          <w:jc w:val="center"/>
        </w:trPr>
        <w:tc>
          <w:tcPr>
            <w:tcW w:w="1130" w:type="dxa"/>
            <w:shd w:val="clear" w:color="auto" w:fill="F2F2F2"/>
            <w:vAlign w:val="center"/>
          </w:tcPr>
          <w:p w14:paraId="5EA0D701" w14:textId="46722DA3"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العينة</w:t>
            </w:r>
          </w:p>
        </w:tc>
        <w:tc>
          <w:tcPr>
            <w:tcW w:w="4536" w:type="dxa"/>
            <w:shd w:val="clear" w:color="auto" w:fill="F2F2F2"/>
            <w:vAlign w:val="center"/>
          </w:tcPr>
          <w:p w14:paraId="5B651B5A" w14:textId="2F9A3865"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Pr>
              <w:t>32</w:t>
            </w:r>
            <w:r w:rsidRPr="001650A2">
              <w:rPr>
                <w:rFonts w:asciiTheme="majorBidi" w:eastAsia="Noto Naskh Arabic" w:hAnsiTheme="majorBidi" w:cstheme="majorBidi"/>
                <w:rtl/>
              </w:rPr>
              <w:t xml:space="preserve"> دراسة: </w:t>
            </w:r>
            <w:r w:rsidRPr="001650A2">
              <w:rPr>
                <w:rFonts w:asciiTheme="majorBidi" w:eastAsia="Noto Naskh Arabic" w:hAnsiTheme="majorBidi" w:cstheme="majorBidi"/>
              </w:rPr>
              <w:t>24</w:t>
            </w:r>
            <w:r w:rsidRPr="001650A2">
              <w:rPr>
                <w:rFonts w:asciiTheme="majorBidi" w:eastAsia="Noto Naskh Arabic" w:hAnsiTheme="majorBidi" w:cstheme="majorBidi"/>
                <w:rtl/>
              </w:rPr>
              <w:t xml:space="preserve"> إنجليزية و</w:t>
            </w:r>
            <w:r w:rsidRPr="001650A2">
              <w:rPr>
                <w:rFonts w:asciiTheme="majorBidi" w:eastAsia="Noto Naskh Arabic" w:hAnsiTheme="majorBidi" w:cstheme="majorBidi"/>
              </w:rPr>
              <w:t>8</w:t>
            </w:r>
            <w:r w:rsidRPr="001650A2">
              <w:rPr>
                <w:rFonts w:asciiTheme="majorBidi" w:eastAsia="Noto Naskh Arabic" w:hAnsiTheme="majorBidi" w:cstheme="majorBidi"/>
                <w:rtl/>
              </w:rPr>
              <w:t xml:space="preserve"> عربية؛ </w:t>
            </w:r>
            <w:r w:rsidRPr="001650A2">
              <w:rPr>
                <w:rFonts w:asciiTheme="majorBidi" w:eastAsia="Noto Naskh Arabic" w:hAnsiTheme="majorBidi" w:cstheme="majorBidi"/>
              </w:rPr>
              <w:t>23</w:t>
            </w:r>
            <w:r w:rsidRPr="001650A2">
              <w:rPr>
                <w:rFonts w:asciiTheme="majorBidi" w:eastAsia="Noto Naskh Arabic" w:hAnsiTheme="majorBidi" w:cstheme="majorBidi"/>
                <w:rtl/>
              </w:rPr>
              <w:t xml:space="preserve"> صُنفت مرتفعة و</w:t>
            </w:r>
            <w:r w:rsidRPr="001650A2">
              <w:rPr>
                <w:rFonts w:asciiTheme="majorBidi" w:eastAsia="Noto Naskh Arabic" w:hAnsiTheme="majorBidi" w:cstheme="majorBidi"/>
              </w:rPr>
              <w:t>9</w:t>
            </w:r>
            <w:r w:rsidRPr="001650A2">
              <w:rPr>
                <w:rFonts w:asciiTheme="majorBidi" w:eastAsia="Noto Naskh Arabic" w:hAnsiTheme="majorBidi" w:cstheme="majorBidi"/>
                <w:rtl/>
              </w:rPr>
              <w:t xml:space="preserve"> صُنفت متوسطة وفق بطاقة الجودة والملاءمة المعتمدة</w:t>
            </w:r>
          </w:p>
        </w:tc>
        <w:tc>
          <w:tcPr>
            <w:tcW w:w="3395" w:type="dxa"/>
            <w:shd w:val="clear" w:color="auto" w:fill="F2F2F2"/>
            <w:vAlign w:val="center"/>
          </w:tcPr>
          <w:p w14:paraId="50D72B4E" w14:textId="1D9AC8AB"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rtl/>
              </w:rPr>
              <w:t>تمثل العينة الحالية التي استوفت معايير الإدراج والجودة والملاءمة للاستخدام</w:t>
            </w:r>
          </w:p>
        </w:tc>
      </w:tr>
    </w:tbl>
    <w:p w14:paraId="59931EE3" w14:textId="2951EA6A" w:rsidR="00A85A42" w:rsidRDefault="00A85A42" w:rsidP="003C5B11">
      <w:pPr>
        <w:pStyle w:val="2"/>
      </w:pPr>
      <w:bookmarkStart w:id="20" w:name="_Toc235073612"/>
      <w:r>
        <w:rPr>
          <w:rtl/>
        </w:rPr>
        <w:t>مصطلحات الدراسة وتعريفاتها الإجرائية</w:t>
      </w:r>
      <w:bookmarkEnd w:id="20"/>
    </w:p>
    <w:p w14:paraId="7C14DA08" w14:textId="666DBC5F" w:rsidR="00A85A42" w:rsidRDefault="001650A2" w:rsidP="00A85A42">
      <w:pPr>
        <w:pStyle w:val="af7"/>
      </w:pPr>
      <w:bookmarkStart w:id="21" w:name="_Toc235073750"/>
      <w:r w:rsidRPr="001650A2">
        <w:rPr>
          <w:rFonts w:cs="Simplified Arabic"/>
          <w:rtl/>
        </w:rPr>
        <w:t>الجدول رقم (</w:t>
      </w:r>
      <w:r w:rsidRPr="001650A2">
        <w:rPr>
          <w:cs/>
        </w:rPr>
        <w:t>‎</w:t>
      </w:r>
      <w:r w:rsidRPr="001650A2">
        <w:t>1-2</w:t>
      </w:r>
      <w:r w:rsidRPr="001650A2">
        <w:rPr>
          <w:cs/>
        </w:rPr>
        <w:t>‎</w:t>
      </w:r>
      <w:r w:rsidRPr="001650A2">
        <w:rPr>
          <w:rFonts w:cs="Simplified Arabic"/>
          <w:rtl/>
        </w:rPr>
        <w:t>): التعريفات الإجرائية لمصطلحات الدراسة</w:t>
      </w:r>
      <w:bookmarkEnd w:id="21"/>
    </w:p>
    <w:tbl>
      <w:tblPr>
        <w:bidiVisual/>
        <w:tblW w:w="0" w:type="auto"/>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268"/>
        <w:gridCol w:w="6793"/>
      </w:tblGrid>
      <w:tr w:rsidR="00A85A42" w:rsidRPr="00A85A42" w14:paraId="2CAEDBED" w14:textId="77777777" w:rsidTr="00A85A42">
        <w:trPr>
          <w:tblHeader/>
          <w:jc w:val="center"/>
        </w:trPr>
        <w:tc>
          <w:tcPr>
            <w:tcW w:w="2268" w:type="dxa"/>
            <w:shd w:val="clear" w:color="auto" w:fill="0095D0"/>
            <w:vAlign w:val="center"/>
          </w:tcPr>
          <w:p w14:paraId="46FD5081" w14:textId="77777777" w:rsidR="00A85A42" w:rsidRPr="00A85A42" w:rsidRDefault="00A85A42" w:rsidP="00A85A42">
            <w:pPr>
              <w:spacing w:after="0"/>
              <w:jc w:val="center"/>
              <w:rPr>
                <w:rFonts w:asciiTheme="majorBidi" w:hAnsiTheme="majorBidi" w:cstheme="majorBidi"/>
                <w:bCs/>
                <w:color w:val="FFFFFF" w:themeColor="background1"/>
              </w:rPr>
            </w:pPr>
            <w:r w:rsidRPr="00A85A42">
              <w:rPr>
                <w:rFonts w:asciiTheme="majorBidi" w:eastAsia="Noto Naskh Arabic" w:hAnsiTheme="majorBidi" w:cstheme="majorBidi"/>
                <w:bCs/>
                <w:color w:val="FFFFFF" w:themeColor="background1"/>
                <w:sz w:val="20"/>
                <w:rtl/>
              </w:rPr>
              <w:t>المصطلح</w:t>
            </w:r>
          </w:p>
        </w:tc>
        <w:tc>
          <w:tcPr>
            <w:tcW w:w="6793" w:type="dxa"/>
            <w:shd w:val="clear" w:color="auto" w:fill="0095D0"/>
            <w:vAlign w:val="center"/>
          </w:tcPr>
          <w:p w14:paraId="7F063868" w14:textId="77777777" w:rsidR="00A85A42" w:rsidRPr="00A85A42" w:rsidRDefault="00A85A42" w:rsidP="00A85A42">
            <w:pPr>
              <w:spacing w:after="0"/>
              <w:jc w:val="center"/>
              <w:rPr>
                <w:rFonts w:asciiTheme="majorBidi" w:hAnsiTheme="majorBidi" w:cstheme="majorBidi"/>
                <w:bCs/>
                <w:color w:val="FFFFFF" w:themeColor="background1"/>
              </w:rPr>
            </w:pPr>
            <w:r w:rsidRPr="00A85A42">
              <w:rPr>
                <w:rFonts w:asciiTheme="majorBidi" w:eastAsia="Noto Naskh Arabic" w:hAnsiTheme="majorBidi" w:cstheme="majorBidi"/>
                <w:bCs/>
                <w:color w:val="FFFFFF" w:themeColor="background1"/>
                <w:sz w:val="20"/>
                <w:rtl/>
              </w:rPr>
              <w:t>التعريف الإجرائي في الدراسة</w:t>
            </w:r>
          </w:p>
        </w:tc>
      </w:tr>
      <w:tr w:rsidR="001650A2" w:rsidRPr="00A85A42" w14:paraId="17EE1470" w14:textId="77777777" w:rsidTr="00A85A42">
        <w:trPr>
          <w:jc w:val="center"/>
        </w:trPr>
        <w:tc>
          <w:tcPr>
            <w:tcW w:w="2268" w:type="dxa"/>
            <w:vAlign w:val="center"/>
          </w:tcPr>
          <w:p w14:paraId="4B37ED89" w14:textId="165AC57C"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sz w:val="20"/>
                <w:rtl/>
              </w:rPr>
              <w:t>التحول الرقمي</w:t>
            </w:r>
          </w:p>
        </w:tc>
        <w:tc>
          <w:tcPr>
            <w:tcW w:w="6793" w:type="dxa"/>
            <w:vAlign w:val="center"/>
          </w:tcPr>
          <w:p w14:paraId="3BA083D3" w14:textId="3356D3E7" w:rsidR="001650A2" w:rsidRPr="001650A2" w:rsidRDefault="001650A2" w:rsidP="00AE589A">
            <w:pPr>
              <w:spacing w:after="0"/>
              <w:jc w:val="lowKashida"/>
              <w:rPr>
                <w:rFonts w:asciiTheme="majorBidi" w:hAnsiTheme="majorBidi" w:cstheme="majorBidi"/>
              </w:rPr>
            </w:pPr>
            <w:r w:rsidRPr="001650A2">
              <w:rPr>
                <w:rFonts w:asciiTheme="majorBidi" w:eastAsia="Noto Naskh Arabic" w:hAnsiTheme="majorBidi" w:cstheme="majorBidi"/>
                <w:sz w:val="20"/>
                <w:rtl/>
              </w:rPr>
              <w:t xml:space="preserve">تغيير استراتيجي وتنظيمي مدفوع بالتقنيات الرقمية يعيد تصميم العمليات والخدمات والقدرات والهياكل وطرق خلق القيمة، ولا يقتصر على </w:t>
            </w:r>
            <w:proofErr w:type="spellStart"/>
            <w:r w:rsidRPr="001650A2">
              <w:rPr>
                <w:rFonts w:asciiTheme="majorBidi" w:eastAsia="Noto Naskh Arabic" w:hAnsiTheme="majorBidi" w:cstheme="majorBidi"/>
                <w:sz w:val="20"/>
                <w:rtl/>
              </w:rPr>
              <w:t>رقمنة</w:t>
            </w:r>
            <w:proofErr w:type="spellEnd"/>
            <w:r w:rsidRPr="001650A2">
              <w:rPr>
                <w:rFonts w:asciiTheme="majorBidi" w:eastAsia="Noto Naskh Arabic" w:hAnsiTheme="majorBidi" w:cstheme="majorBidi"/>
                <w:sz w:val="20"/>
                <w:rtl/>
              </w:rPr>
              <w:t xml:space="preserve"> السجلات أو أتمتة إجراء قائم.</w:t>
            </w:r>
          </w:p>
        </w:tc>
      </w:tr>
      <w:tr w:rsidR="001650A2" w:rsidRPr="00A85A42" w14:paraId="5074A671" w14:textId="77777777" w:rsidTr="00A85A42">
        <w:trPr>
          <w:jc w:val="center"/>
        </w:trPr>
        <w:tc>
          <w:tcPr>
            <w:tcW w:w="2268" w:type="dxa"/>
            <w:shd w:val="clear" w:color="auto" w:fill="F2F2F2"/>
            <w:vAlign w:val="center"/>
          </w:tcPr>
          <w:p w14:paraId="2392DDE9" w14:textId="250C250E"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sz w:val="20"/>
                <w:rtl/>
              </w:rPr>
              <w:t>مشاريع التحول الرقمي</w:t>
            </w:r>
          </w:p>
        </w:tc>
        <w:tc>
          <w:tcPr>
            <w:tcW w:w="6793" w:type="dxa"/>
            <w:shd w:val="clear" w:color="auto" w:fill="F2F2F2"/>
            <w:vAlign w:val="center"/>
          </w:tcPr>
          <w:p w14:paraId="54580996" w14:textId="5DF63F49" w:rsidR="001650A2" w:rsidRPr="001650A2" w:rsidRDefault="001650A2" w:rsidP="00AE589A">
            <w:pPr>
              <w:spacing w:after="0"/>
              <w:jc w:val="lowKashida"/>
              <w:rPr>
                <w:rFonts w:asciiTheme="majorBidi" w:hAnsiTheme="majorBidi" w:cstheme="majorBidi"/>
              </w:rPr>
            </w:pPr>
            <w:r w:rsidRPr="001650A2">
              <w:rPr>
                <w:rFonts w:asciiTheme="majorBidi" w:eastAsia="Noto Naskh Arabic" w:hAnsiTheme="majorBidi" w:cstheme="majorBidi"/>
                <w:sz w:val="20"/>
                <w:rtl/>
              </w:rPr>
              <w:t>مشاريع أو برامج مؤقتة تنفذ قدرات أو منتجات أو عمليات رقمية وتنتج آثارًا بشرية وتنظيمية وتشغيلية تتجاوز المخرج التقني.</w:t>
            </w:r>
          </w:p>
        </w:tc>
      </w:tr>
      <w:tr w:rsidR="001650A2" w:rsidRPr="00A85A42" w14:paraId="1E7875BF" w14:textId="77777777" w:rsidTr="00A85A42">
        <w:trPr>
          <w:jc w:val="center"/>
        </w:trPr>
        <w:tc>
          <w:tcPr>
            <w:tcW w:w="2268" w:type="dxa"/>
            <w:vAlign w:val="center"/>
          </w:tcPr>
          <w:p w14:paraId="26222CEC" w14:textId="4AE6AC02"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sz w:val="20"/>
                <w:rtl/>
              </w:rPr>
              <w:t>إدارة المشاريع</w:t>
            </w:r>
          </w:p>
        </w:tc>
        <w:tc>
          <w:tcPr>
            <w:tcW w:w="6793" w:type="dxa"/>
            <w:vAlign w:val="center"/>
          </w:tcPr>
          <w:p w14:paraId="0822147B" w14:textId="0E61B66D" w:rsidR="001650A2" w:rsidRPr="001650A2" w:rsidRDefault="001650A2" w:rsidP="00AE589A">
            <w:pPr>
              <w:spacing w:after="0"/>
              <w:jc w:val="lowKashida"/>
              <w:rPr>
                <w:rFonts w:asciiTheme="majorBidi" w:hAnsiTheme="majorBidi" w:cstheme="majorBidi"/>
              </w:rPr>
            </w:pPr>
            <w:r w:rsidRPr="001650A2">
              <w:rPr>
                <w:rFonts w:asciiTheme="majorBidi" w:eastAsia="Noto Naskh Arabic" w:hAnsiTheme="majorBidi" w:cstheme="majorBidi"/>
                <w:sz w:val="20"/>
                <w:rtl/>
              </w:rPr>
              <w:t>الممارسات التي توجه تأسيس المشروع وتخطيطه وتنفيذه وضبطه وحوكمته ومخاطره ومنافعه، بما يحقق المخرجات والقيمة المطلوبة.</w:t>
            </w:r>
          </w:p>
        </w:tc>
      </w:tr>
      <w:tr w:rsidR="001650A2" w:rsidRPr="00A85A42" w14:paraId="4C236C93" w14:textId="77777777" w:rsidTr="00A85A42">
        <w:trPr>
          <w:jc w:val="center"/>
        </w:trPr>
        <w:tc>
          <w:tcPr>
            <w:tcW w:w="2268" w:type="dxa"/>
            <w:shd w:val="clear" w:color="auto" w:fill="F2F2F2"/>
            <w:vAlign w:val="center"/>
          </w:tcPr>
          <w:p w14:paraId="0E49E9AC" w14:textId="55A02413"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sz w:val="20"/>
                <w:rtl/>
              </w:rPr>
              <w:t>إدارة التغيير</w:t>
            </w:r>
          </w:p>
        </w:tc>
        <w:tc>
          <w:tcPr>
            <w:tcW w:w="6793" w:type="dxa"/>
            <w:shd w:val="clear" w:color="auto" w:fill="F2F2F2"/>
            <w:vAlign w:val="center"/>
          </w:tcPr>
          <w:p w14:paraId="44961153" w14:textId="7B94DABE" w:rsidR="001650A2" w:rsidRPr="001650A2" w:rsidRDefault="001650A2" w:rsidP="00AE589A">
            <w:pPr>
              <w:spacing w:after="0"/>
              <w:jc w:val="lowKashida"/>
              <w:rPr>
                <w:rFonts w:asciiTheme="majorBidi" w:hAnsiTheme="majorBidi" w:cstheme="majorBidi"/>
              </w:rPr>
            </w:pPr>
            <w:r w:rsidRPr="001650A2">
              <w:rPr>
                <w:rFonts w:asciiTheme="majorBidi" w:eastAsia="Noto Naskh Arabic" w:hAnsiTheme="majorBidi" w:cstheme="majorBidi"/>
                <w:sz w:val="20"/>
                <w:rtl/>
              </w:rPr>
              <w:t>الممارسات المنظمة التي تهيئ الأفراد والجماعات والمؤسسة لفهم الحالة المستهدفة وقبولها وتطبيقها واستدامتها، وتشمل القيادة والثقافة والتواصل والمشاركة والجاهزية والقدرات والتعزيز.</w:t>
            </w:r>
          </w:p>
        </w:tc>
      </w:tr>
      <w:tr w:rsidR="001650A2" w:rsidRPr="00A85A42" w14:paraId="38BF7261" w14:textId="77777777" w:rsidTr="00A85A42">
        <w:trPr>
          <w:jc w:val="center"/>
        </w:trPr>
        <w:tc>
          <w:tcPr>
            <w:tcW w:w="2268" w:type="dxa"/>
            <w:vAlign w:val="center"/>
          </w:tcPr>
          <w:p w14:paraId="060931ED" w14:textId="1898B62B"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sz w:val="20"/>
                <w:rtl/>
              </w:rPr>
              <w:t>تكامل إدارة التغيير وإدارة المشاريع</w:t>
            </w:r>
          </w:p>
        </w:tc>
        <w:tc>
          <w:tcPr>
            <w:tcW w:w="6793" w:type="dxa"/>
            <w:vAlign w:val="center"/>
          </w:tcPr>
          <w:p w14:paraId="29CD0181" w14:textId="35914EF0" w:rsidR="001650A2" w:rsidRPr="001650A2" w:rsidRDefault="001650A2" w:rsidP="00AE589A">
            <w:pPr>
              <w:spacing w:after="0"/>
              <w:jc w:val="lowKashida"/>
              <w:rPr>
                <w:rFonts w:asciiTheme="majorBidi" w:hAnsiTheme="majorBidi" w:cstheme="majorBidi"/>
              </w:rPr>
            </w:pPr>
            <w:r w:rsidRPr="001650A2">
              <w:rPr>
                <w:rFonts w:asciiTheme="majorBidi" w:eastAsia="Noto Naskh Arabic" w:hAnsiTheme="majorBidi" w:cstheme="majorBidi"/>
                <w:sz w:val="20"/>
                <w:rtl/>
              </w:rPr>
              <w:t>ترتيب منظم ينسق الحوكمة والأدوار والعمليات والمخرجات والبيانات ومؤشرات النجاح بين المجالين عبر دورة المشروع، بحيث تؤثر اعتبارات التبني والمنافع في قرارات المشروع والعكس.</w:t>
            </w:r>
          </w:p>
        </w:tc>
      </w:tr>
      <w:tr w:rsidR="001650A2" w:rsidRPr="00A85A42" w14:paraId="51A9B194" w14:textId="77777777" w:rsidTr="00A85A42">
        <w:trPr>
          <w:jc w:val="center"/>
        </w:trPr>
        <w:tc>
          <w:tcPr>
            <w:tcW w:w="2268" w:type="dxa"/>
            <w:shd w:val="clear" w:color="auto" w:fill="F2F2F2"/>
            <w:vAlign w:val="center"/>
          </w:tcPr>
          <w:p w14:paraId="2393B5C7" w14:textId="228E1353"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sz w:val="20"/>
                <w:rtl/>
              </w:rPr>
              <w:t>المراجعة المنهجية للأدبيات</w:t>
            </w:r>
          </w:p>
        </w:tc>
        <w:tc>
          <w:tcPr>
            <w:tcW w:w="6793" w:type="dxa"/>
            <w:shd w:val="clear" w:color="auto" w:fill="F2F2F2"/>
            <w:vAlign w:val="center"/>
          </w:tcPr>
          <w:p w14:paraId="74B15228" w14:textId="3F880B3A" w:rsidR="001650A2" w:rsidRPr="001650A2" w:rsidRDefault="001650A2" w:rsidP="00AE589A">
            <w:pPr>
              <w:spacing w:after="0"/>
              <w:jc w:val="lowKashida"/>
              <w:rPr>
                <w:rFonts w:asciiTheme="majorBidi" w:hAnsiTheme="majorBidi" w:cstheme="majorBidi"/>
              </w:rPr>
            </w:pPr>
            <w:r w:rsidRPr="001650A2">
              <w:rPr>
                <w:rFonts w:asciiTheme="majorBidi" w:eastAsia="Noto Naskh Arabic" w:hAnsiTheme="majorBidi" w:cstheme="majorBidi"/>
                <w:sz w:val="20"/>
                <w:rtl/>
              </w:rPr>
              <w:t>عملية بحث وفرز وتقييم واستخراج وتحليل شفافة ومعلنة تهدف إلى توليف المعرفة المنشورة والإجابة عن أسئلة محددة.</w:t>
            </w:r>
          </w:p>
        </w:tc>
      </w:tr>
      <w:tr w:rsidR="001650A2" w:rsidRPr="00A85A42" w14:paraId="37B50C8D" w14:textId="77777777" w:rsidTr="00A85A42">
        <w:trPr>
          <w:jc w:val="center"/>
        </w:trPr>
        <w:tc>
          <w:tcPr>
            <w:tcW w:w="2268" w:type="dxa"/>
            <w:vAlign w:val="center"/>
          </w:tcPr>
          <w:p w14:paraId="760E6E14" w14:textId="61239320"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sz w:val="20"/>
                <w:rtl/>
              </w:rPr>
              <w:t>التحليل الموضوعي</w:t>
            </w:r>
          </w:p>
        </w:tc>
        <w:tc>
          <w:tcPr>
            <w:tcW w:w="6793" w:type="dxa"/>
            <w:vAlign w:val="center"/>
          </w:tcPr>
          <w:p w14:paraId="22A1E403" w14:textId="2CD01169" w:rsidR="001650A2" w:rsidRPr="001650A2" w:rsidRDefault="001650A2" w:rsidP="00AE589A">
            <w:pPr>
              <w:spacing w:after="0"/>
              <w:jc w:val="lowKashida"/>
              <w:rPr>
                <w:rFonts w:asciiTheme="majorBidi" w:hAnsiTheme="majorBidi" w:cstheme="majorBidi"/>
              </w:rPr>
            </w:pPr>
            <w:r w:rsidRPr="001650A2">
              <w:rPr>
                <w:rFonts w:asciiTheme="majorBidi" w:eastAsia="Noto Naskh Arabic" w:hAnsiTheme="majorBidi" w:cstheme="majorBidi"/>
                <w:sz w:val="20"/>
                <w:rtl/>
              </w:rPr>
              <w:t>إجراء يقارن وحدات المعنى والرموز عبر الدراسات ويجمعها في موضوعات تفسيرية أعلى مستوى مع مراعاة السياق والجودة ونوع الدليل.</w:t>
            </w:r>
          </w:p>
        </w:tc>
      </w:tr>
      <w:tr w:rsidR="001650A2" w:rsidRPr="00A85A42" w14:paraId="39859919" w14:textId="77777777" w:rsidTr="00A85A42">
        <w:trPr>
          <w:jc w:val="center"/>
        </w:trPr>
        <w:tc>
          <w:tcPr>
            <w:tcW w:w="2268" w:type="dxa"/>
            <w:shd w:val="clear" w:color="auto" w:fill="F2F2F2"/>
            <w:vAlign w:val="center"/>
          </w:tcPr>
          <w:p w14:paraId="37AF3F4F" w14:textId="4538BA5E" w:rsidR="001650A2" w:rsidRPr="001650A2" w:rsidRDefault="001650A2" w:rsidP="001650A2">
            <w:pPr>
              <w:spacing w:after="0"/>
              <w:jc w:val="center"/>
              <w:rPr>
                <w:rFonts w:asciiTheme="majorBidi" w:hAnsiTheme="majorBidi" w:cstheme="majorBidi"/>
              </w:rPr>
            </w:pPr>
            <w:r w:rsidRPr="001650A2">
              <w:rPr>
                <w:rFonts w:asciiTheme="majorBidi" w:eastAsia="Noto Naskh Arabic" w:hAnsiTheme="majorBidi" w:cstheme="majorBidi"/>
                <w:sz w:val="20"/>
                <w:rtl/>
              </w:rPr>
              <w:t>الإطار التكاملي المقترح</w:t>
            </w:r>
          </w:p>
        </w:tc>
        <w:tc>
          <w:tcPr>
            <w:tcW w:w="6793" w:type="dxa"/>
            <w:shd w:val="clear" w:color="auto" w:fill="F2F2F2"/>
            <w:vAlign w:val="center"/>
          </w:tcPr>
          <w:p w14:paraId="591C9B7B" w14:textId="2C527E18" w:rsidR="001650A2" w:rsidRPr="001650A2" w:rsidRDefault="001650A2" w:rsidP="00AE589A">
            <w:pPr>
              <w:spacing w:after="0"/>
              <w:jc w:val="lowKashida"/>
              <w:rPr>
                <w:rFonts w:asciiTheme="majorBidi" w:hAnsiTheme="majorBidi" w:cstheme="majorBidi"/>
              </w:rPr>
            </w:pPr>
            <w:r w:rsidRPr="001650A2">
              <w:rPr>
                <w:rFonts w:asciiTheme="majorBidi" w:eastAsia="Noto Naskh Arabic" w:hAnsiTheme="majorBidi" w:cstheme="majorBidi"/>
                <w:sz w:val="20"/>
                <w:rtl/>
              </w:rPr>
              <w:t>بنية مشتقة من نتائج المراجعة توضح المكونات والمراحل والأدوار والبوابات والمؤشرات التي تساعد على مزامنة إدارة المشروع والتغيير في التحول الرقمي، وتحتاج إلى اختبار ميداني لاحق.</w:t>
            </w:r>
          </w:p>
        </w:tc>
      </w:tr>
    </w:tbl>
    <w:p w14:paraId="575722CA" w14:textId="5E8611B0" w:rsidR="00A85A42" w:rsidRDefault="00A85A42" w:rsidP="003C5B11">
      <w:pPr>
        <w:pStyle w:val="2"/>
      </w:pPr>
      <w:bookmarkStart w:id="22" w:name="_Toc235073613"/>
      <w:r>
        <w:rPr>
          <w:rtl/>
        </w:rPr>
        <w:t>اتساق التساؤلات والأهداف مع مخرجات الدراسة</w:t>
      </w:r>
      <w:bookmarkEnd w:id="22"/>
    </w:p>
    <w:p w14:paraId="44DE757A" w14:textId="1106F93F" w:rsidR="00A85A42" w:rsidRDefault="00AE589A" w:rsidP="00A85A42">
      <w:pPr>
        <w:pStyle w:val="af7"/>
      </w:pPr>
      <w:bookmarkStart w:id="23" w:name="_Toc235073751"/>
      <w:r w:rsidRPr="00AE589A">
        <w:rPr>
          <w:rFonts w:cs="Simplified Arabic"/>
          <w:rtl/>
        </w:rPr>
        <w:t>الجدول رقم (</w:t>
      </w:r>
      <w:r w:rsidRPr="00AE589A">
        <w:rPr>
          <w:cs/>
        </w:rPr>
        <w:t>‎</w:t>
      </w:r>
      <w:r w:rsidRPr="00AE589A">
        <w:t>1-3</w:t>
      </w:r>
      <w:r w:rsidRPr="00AE589A">
        <w:rPr>
          <w:cs/>
        </w:rPr>
        <w:t>‎</w:t>
      </w:r>
      <w:r w:rsidRPr="00AE589A">
        <w:rPr>
          <w:rFonts w:cs="Simplified Arabic"/>
          <w:rtl/>
        </w:rPr>
        <w:t>): الربط بين التساؤلات والأهداف والمخرجات</w:t>
      </w:r>
      <w:bookmarkEnd w:id="23"/>
    </w:p>
    <w:tbl>
      <w:tblPr>
        <w:bidiVisual/>
        <w:tblW w:w="0" w:type="auto"/>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681"/>
        <w:gridCol w:w="3402"/>
        <w:gridCol w:w="1978"/>
      </w:tblGrid>
      <w:tr w:rsidR="00AE589A" w:rsidRPr="00A85A42" w14:paraId="2CF124C9" w14:textId="77777777" w:rsidTr="00AE589A">
        <w:trPr>
          <w:tblHeader/>
          <w:jc w:val="center"/>
        </w:trPr>
        <w:tc>
          <w:tcPr>
            <w:tcW w:w="3681" w:type="dxa"/>
            <w:shd w:val="clear" w:color="auto" w:fill="0095D0"/>
            <w:vAlign w:val="center"/>
          </w:tcPr>
          <w:p w14:paraId="254D97D9" w14:textId="77777777" w:rsidR="00A85A42" w:rsidRPr="00A85A42" w:rsidRDefault="00A85A42" w:rsidP="00A85A42">
            <w:pPr>
              <w:spacing w:after="0"/>
              <w:jc w:val="center"/>
              <w:rPr>
                <w:rFonts w:asciiTheme="majorBidi" w:hAnsiTheme="majorBidi" w:cstheme="majorBidi"/>
                <w:bCs/>
                <w:color w:val="FFFFFF" w:themeColor="background1"/>
              </w:rPr>
            </w:pPr>
            <w:r w:rsidRPr="00A85A42">
              <w:rPr>
                <w:rFonts w:asciiTheme="majorBidi" w:eastAsia="Noto Naskh Arabic" w:hAnsiTheme="majorBidi" w:cstheme="majorBidi"/>
                <w:bCs/>
                <w:color w:val="FFFFFF" w:themeColor="background1"/>
                <w:sz w:val="20"/>
                <w:rtl/>
              </w:rPr>
              <w:t>التساؤل/الهدف</w:t>
            </w:r>
          </w:p>
        </w:tc>
        <w:tc>
          <w:tcPr>
            <w:tcW w:w="3402" w:type="dxa"/>
            <w:shd w:val="clear" w:color="auto" w:fill="0095D0"/>
            <w:vAlign w:val="center"/>
          </w:tcPr>
          <w:p w14:paraId="2CC72119" w14:textId="77777777" w:rsidR="00A85A42" w:rsidRPr="00A85A42" w:rsidRDefault="00A85A42" w:rsidP="00A85A42">
            <w:pPr>
              <w:spacing w:after="0"/>
              <w:jc w:val="center"/>
              <w:rPr>
                <w:rFonts w:asciiTheme="majorBidi" w:hAnsiTheme="majorBidi" w:cstheme="majorBidi"/>
                <w:bCs/>
                <w:color w:val="FFFFFF" w:themeColor="background1"/>
              </w:rPr>
            </w:pPr>
            <w:r w:rsidRPr="00A85A42">
              <w:rPr>
                <w:rFonts w:asciiTheme="majorBidi" w:eastAsia="Noto Naskh Arabic" w:hAnsiTheme="majorBidi" w:cstheme="majorBidi"/>
                <w:bCs/>
                <w:color w:val="FFFFFF" w:themeColor="background1"/>
                <w:sz w:val="20"/>
                <w:rtl/>
              </w:rPr>
              <w:t>المخرج المتوقع</w:t>
            </w:r>
          </w:p>
        </w:tc>
        <w:tc>
          <w:tcPr>
            <w:tcW w:w="1978" w:type="dxa"/>
            <w:shd w:val="clear" w:color="auto" w:fill="0095D0"/>
            <w:vAlign w:val="center"/>
          </w:tcPr>
          <w:p w14:paraId="6E4D7793" w14:textId="77777777" w:rsidR="00A85A42" w:rsidRPr="00A85A42" w:rsidRDefault="00A85A42" w:rsidP="00A85A42">
            <w:pPr>
              <w:spacing w:after="0"/>
              <w:jc w:val="center"/>
              <w:rPr>
                <w:rFonts w:asciiTheme="majorBidi" w:hAnsiTheme="majorBidi" w:cstheme="majorBidi"/>
                <w:bCs/>
                <w:color w:val="FFFFFF" w:themeColor="background1"/>
              </w:rPr>
            </w:pPr>
            <w:r w:rsidRPr="00A85A42">
              <w:rPr>
                <w:rFonts w:asciiTheme="majorBidi" w:eastAsia="Noto Naskh Arabic" w:hAnsiTheme="majorBidi" w:cstheme="majorBidi"/>
                <w:bCs/>
                <w:color w:val="FFFFFF" w:themeColor="background1"/>
                <w:sz w:val="20"/>
                <w:rtl/>
              </w:rPr>
              <w:t>موضع المعالجة</w:t>
            </w:r>
          </w:p>
        </w:tc>
      </w:tr>
      <w:tr w:rsidR="00AE589A" w:rsidRPr="00A85A42" w14:paraId="41358795" w14:textId="77777777" w:rsidTr="00AE589A">
        <w:trPr>
          <w:jc w:val="center"/>
        </w:trPr>
        <w:tc>
          <w:tcPr>
            <w:tcW w:w="3681" w:type="dxa"/>
            <w:vAlign w:val="center"/>
          </w:tcPr>
          <w:p w14:paraId="3A1CF987" w14:textId="2010B916"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المفاهيم والأبعاد الرئيسة</w:t>
            </w:r>
          </w:p>
        </w:tc>
        <w:tc>
          <w:tcPr>
            <w:tcW w:w="3402" w:type="dxa"/>
            <w:vAlign w:val="center"/>
          </w:tcPr>
          <w:p w14:paraId="049D86F7" w14:textId="60E57E91"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إطار نظري وتعريفات ومجالات ممارسات</w:t>
            </w:r>
          </w:p>
        </w:tc>
        <w:tc>
          <w:tcPr>
            <w:tcW w:w="1978" w:type="dxa"/>
            <w:vAlign w:val="center"/>
          </w:tcPr>
          <w:p w14:paraId="2A4F59D2" w14:textId="21EBD16E"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 الثاني</w:t>
            </w:r>
          </w:p>
        </w:tc>
      </w:tr>
      <w:tr w:rsidR="00AE589A" w:rsidRPr="00A85A42" w14:paraId="197DD94B" w14:textId="77777777" w:rsidTr="00AE589A">
        <w:trPr>
          <w:jc w:val="center"/>
        </w:trPr>
        <w:tc>
          <w:tcPr>
            <w:tcW w:w="3681" w:type="dxa"/>
            <w:shd w:val="clear" w:color="auto" w:fill="F2F2F2"/>
            <w:vAlign w:val="center"/>
          </w:tcPr>
          <w:p w14:paraId="3D9F451B" w14:textId="77E01B6C"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الاتجاهات البحثية</w:t>
            </w:r>
          </w:p>
        </w:tc>
        <w:tc>
          <w:tcPr>
            <w:tcW w:w="3402" w:type="dxa"/>
            <w:shd w:val="clear" w:color="auto" w:fill="F2F2F2"/>
            <w:vAlign w:val="center"/>
          </w:tcPr>
          <w:p w14:paraId="222AFED1" w14:textId="7DB90CEB"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تصنيف مسارات الأدبيات وخصائص الدراسات</w:t>
            </w:r>
          </w:p>
        </w:tc>
        <w:tc>
          <w:tcPr>
            <w:tcW w:w="1978" w:type="dxa"/>
            <w:shd w:val="clear" w:color="auto" w:fill="F2F2F2"/>
            <w:vAlign w:val="center"/>
          </w:tcPr>
          <w:p w14:paraId="667E61E1" w14:textId="6CAF37DF"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الفصلان الثاني والرابع</w:t>
            </w:r>
          </w:p>
        </w:tc>
      </w:tr>
      <w:tr w:rsidR="00AE589A" w:rsidRPr="00A85A42" w14:paraId="3E7FCF4B" w14:textId="77777777" w:rsidTr="00AE589A">
        <w:trPr>
          <w:jc w:val="center"/>
        </w:trPr>
        <w:tc>
          <w:tcPr>
            <w:tcW w:w="3681" w:type="dxa"/>
            <w:vAlign w:val="center"/>
          </w:tcPr>
          <w:p w14:paraId="0C05E2F3" w14:textId="14F36C7E"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العوامل الحاكمة للنجاح أو التعثر</w:t>
            </w:r>
          </w:p>
        </w:tc>
        <w:tc>
          <w:tcPr>
            <w:tcW w:w="3402" w:type="dxa"/>
            <w:vAlign w:val="center"/>
          </w:tcPr>
          <w:p w14:paraId="58E02971" w14:textId="6449ED41"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رموز وموضوعات وممكنات ومعوقات</w:t>
            </w:r>
          </w:p>
        </w:tc>
        <w:tc>
          <w:tcPr>
            <w:tcW w:w="1978" w:type="dxa"/>
            <w:vAlign w:val="center"/>
          </w:tcPr>
          <w:p w14:paraId="2AA2B17D" w14:textId="764D4F6F"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 الرابع</w:t>
            </w:r>
          </w:p>
        </w:tc>
      </w:tr>
      <w:tr w:rsidR="00AE589A" w:rsidRPr="00A85A42" w14:paraId="75CEEC97" w14:textId="77777777" w:rsidTr="00AE589A">
        <w:trPr>
          <w:jc w:val="center"/>
        </w:trPr>
        <w:tc>
          <w:tcPr>
            <w:tcW w:w="3681" w:type="dxa"/>
            <w:shd w:val="clear" w:color="auto" w:fill="F2F2F2"/>
            <w:vAlign w:val="center"/>
          </w:tcPr>
          <w:p w14:paraId="484043A4" w14:textId="3EFD4711"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1"/>
                <w:rtl/>
              </w:rPr>
              <w:t>الممارسات والآليات الأكثر تكرارًا وحضورًا جوهريًا</w:t>
            </w:r>
          </w:p>
        </w:tc>
        <w:tc>
          <w:tcPr>
            <w:tcW w:w="3402" w:type="dxa"/>
            <w:shd w:val="clear" w:color="auto" w:fill="F2F2F2"/>
            <w:vAlign w:val="center"/>
          </w:tcPr>
          <w:p w14:paraId="646FCAC9" w14:textId="209EBFD5"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مصفوفة دراسة × رمز وتوليف موضوعي</w:t>
            </w:r>
          </w:p>
        </w:tc>
        <w:tc>
          <w:tcPr>
            <w:tcW w:w="1978" w:type="dxa"/>
            <w:shd w:val="clear" w:color="auto" w:fill="F2F2F2"/>
            <w:vAlign w:val="center"/>
          </w:tcPr>
          <w:p w14:paraId="2FC3638D" w14:textId="6A4D226D"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 الرابع</w:t>
            </w:r>
          </w:p>
        </w:tc>
      </w:tr>
      <w:tr w:rsidR="00AE589A" w:rsidRPr="00A85A42" w14:paraId="66155DB6" w14:textId="77777777" w:rsidTr="00AE589A">
        <w:trPr>
          <w:jc w:val="center"/>
        </w:trPr>
        <w:tc>
          <w:tcPr>
            <w:tcW w:w="3681" w:type="dxa"/>
            <w:vAlign w:val="center"/>
          </w:tcPr>
          <w:p w14:paraId="1E574AED" w14:textId="150A096F"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الفجوات البحثية</w:t>
            </w:r>
          </w:p>
        </w:tc>
        <w:tc>
          <w:tcPr>
            <w:tcW w:w="3402" w:type="dxa"/>
            <w:vAlign w:val="center"/>
          </w:tcPr>
          <w:p w14:paraId="15E2397F" w14:textId="75140F57"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فجوات مفاهيمية ومنهجية ولغوية وتطبيقية</w:t>
            </w:r>
          </w:p>
        </w:tc>
        <w:tc>
          <w:tcPr>
            <w:tcW w:w="1978" w:type="dxa"/>
            <w:vAlign w:val="center"/>
          </w:tcPr>
          <w:p w14:paraId="22C476FC" w14:textId="3A126DAE"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الفصلان الرابع والسادس</w:t>
            </w:r>
          </w:p>
        </w:tc>
      </w:tr>
      <w:tr w:rsidR="00AE589A" w:rsidRPr="00A85A42" w14:paraId="4195B966" w14:textId="77777777" w:rsidTr="00AE589A">
        <w:trPr>
          <w:jc w:val="center"/>
        </w:trPr>
        <w:tc>
          <w:tcPr>
            <w:tcW w:w="3681" w:type="dxa"/>
            <w:shd w:val="clear" w:color="auto" w:fill="F2F2F2"/>
            <w:vAlign w:val="center"/>
          </w:tcPr>
          <w:p w14:paraId="5CB909D9" w14:textId="42B3B087"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الإطار المقترح</w:t>
            </w:r>
          </w:p>
        </w:tc>
        <w:tc>
          <w:tcPr>
            <w:tcW w:w="3402" w:type="dxa"/>
            <w:shd w:val="clear" w:color="auto" w:fill="F2F2F2"/>
            <w:vAlign w:val="center"/>
          </w:tcPr>
          <w:p w14:paraId="41BBB7E7" w14:textId="374CE27B"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مكونات ومراحل وأدوار وبوابات ومؤشرات</w:t>
            </w:r>
          </w:p>
        </w:tc>
        <w:tc>
          <w:tcPr>
            <w:tcW w:w="1978" w:type="dxa"/>
            <w:shd w:val="clear" w:color="auto" w:fill="F2F2F2"/>
            <w:vAlign w:val="center"/>
          </w:tcPr>
          <w:p w14:paraId="598AEC3D" w14:textId="65E71D0B"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 الخامس</w:t>
            </w:r>
          </w:p>
        </w:tc>
      </w:tr>
    </w:tbl>
    <w:p w14:paraId="328247C0" w14:textId="0A1B65A5" w:rsidR="00A85A42" w:rsidRDefault="00A85A42" w:rsidP="003C5B11">
      <w:pPr>
        <w:pStyle w:val="2"/>
      </w:pPr>
      <w:bookmarkStart w:id="24" w:name="_Toc235073614"/>
      <w:r>
        <w:rPr>
          <w:rtl/>
        </w:rPr>
        <w:lastRenderedPageBreak/>
        <w:t>تنظيم فصول الدراسة</w:t>
      </w:r>
      <w:bookmarkEnd w:id="24"/>
    </w:p>
    <w:p w14:paraId="4B075BFA" w14:textId="425493C7" w:rsidR="00A85A42" w:rsidRDefault="00AE589A" w:rsidP="00A85A42">
      <w:pPr>
        <w:pStyle w:val="af7"/>
      </w:pPr>
      <w:bookmarkStart w:id="25" w:name="_Toc235073752"/>
      <w:r w:rsidRPr="00AE589A">
        <w:rPr>
          <w:rFonts w:cs="Simplified Arabic"/>
          <w:rtl/>
        </w:rPr>
        <w:t>الجدول رقم (</w:t>
      </w:r>
      <w:r w:rsidRPr="00AE589A">
        <w:rPr>
          <w:cs/>
        </w:rPr>
        <w:t>‎</w:t>
      </w:r>
      <w:r w:rsidRPr="00AE589A">
        <w:t>1-4</w:t>
      </w:r>
      <w:r w:rsidRPr="00AE589A">
        <w:rPr>
          <w:cs/>
        </w:rPr>
        <w:t>‎</w:t>
      </w:r>
      <w:r w:rsidRPr="00AE589A">
        <w:rPr>
          <w:rFonts w:cs="Simplified Arabic"/>
          <w:rtl/>
        </w:rPr>
        <w:t>): هيكل الدراسة ومضمون فصولها</w:t>
      </w:r>
      <w:bookmarkEnd w:id="25"/>
    </w:p>
    <w:tbl>
      <w:tblPr>
        <w:bidiVisual/>
        <w:tblW w:w="0" w:type="auto"/>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72"/>
        <w:gridCol w:w="7089"/>
      </w:tblGrid>
      <w:tr w:rsidR="00A85A42" w:rsidRPr="00A85A42" w14:paraId="03EC312A" w14:textId="77777777" w:rsidTr="00AE589A">
        <w:trPr>
          <w:tblHeader/>
          <w:jc w:val="center"/>
        </w:trPr>
        <w:tc>
          <w:tcPr>
            <w:tcW w:w="1972" w:type="dxa"/>
            <w:shd w:val="clear" w:color="auto" w:fill="0095D0"/>
            <w:vAlign w:val="center"/>
          </w:tcPr>
          <w:p w14:paraId="74606DBE" w14:textId="77777777" w:rsidR="00A85A42" w:rsidRPr="00A85A42" w:rsidRDefault="00A85A42" w:rsidP="00A85A42">
            <w:pPr>
              <w:spacing w:after="0"/>
              <w:jc w:val="center"/>
              <w:rPr>
                <w:rFonts w:asciiTheme="majorBidi" w:hAnsiTheme="majorBidi" w:cstheme="majorBidi"/>
                <w:bCs/>
                <w:color w:val="FFFFFF" w:themeColor="background1"/>
              </w:rPr>
            </w:pPr>
            <w:r w:rsidRPr="00A85A42">
              <w:rPr>
                <w:rFonts w:asciiTheme="majorBidi" w:eastAsia="Noto Naskh Arabic" w:hAnsiTheme="majorBidi" w:cstheme="majorBidi"/>
                <w:bCs/>
                <w:color w:val="FFFFFF" w:themeColor="background1"/>
                <w:sz w:val="20"/>
                <w:rtl/>
              </w:rPr>
              <w:t>الفصل</w:t>
            </w:r>
          </w:p>
        </w:tc>
        <w:tc>
          <w:tcPr>
            <w:tcW w:w="7089" w:type="dxa"/>
            <w:shd w:val="clear" w:color="auto" w:fill="0095D0"/>
            <w:vAlign w:val="center"/>
          </w:tcPr>
          <w:p w14:paraId="325F0FC1" w14:textId="77777777" w:rsidR="00A85A42" w:rsidRPr="00A85A42" w:rsidRDefault="00A85A42" w:rsidP="00A85A42">
            <w:pPr>
              <w:spacing w:after="0"/>
              <w:jc w:val="center"/>
              <w:rPr>
                <w:rFonts w:asciiTheme="majorBidi" w:hAnsiTheme="majorBidi" w:cstheme="majorBidi"/>
                <w:bCs/>
                <w:color w:val="FFFFFF" w:themeColor="background1"/>
              </w:rPr>
            </w:pPr>
            <w:r w:rsidRPr="00A85A42">
              <w:rPr>
                <w:rFonts w:asciiTheme="majorBidi" w:eastAsia="Noto Naskh Arabic" w:hAnsiTheme="majorBidi" w:cstheme="majorBidi"/>
                <w:bCs/>
                <w:color w:val="FFFFFF" w:themeColor="background1"/>
                <w:sz w:val="20"/>
                <w:rtl/>
              </w:rPr>
              <w:t>المضمون</w:t>
            </w:r>
          </w:p>
        </w:tc>
      </w:tr>
      <w:tr w:rsidR="00AE589A" w:rsidRPr="00A85A42" w14:paraId="00646348" w14:textId="77777777" w:rsidTr="00AE589A">
        <w:trPr>
          <w:jc w:val="center"/>
        </w:trPr>
        <w:tc>
          <w:tcPr>
            <w:tcW w:w="1972" w:type="dxa"/>
            <w:vAlign w:val="center"/>
          </w:tcPr>
          <w:p w14:paraId="1726C7C4" w14:textId="35703D12"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 الأول</w:t>
            </w:r>
          </w:p>
        </w:tc>
        <w:tc>
          <w:tcPr>
            <w:tcW w:w="7089" w:type="dxa"/>
            <w:vAlign w:val="center"/>
          </w:tcPr>
          <w:p w14:paraId="45CA63D3" w14:textId="13813E1D" w:rsidR="00AE589A" w:rsidRPr="00AE589A" w:rsidRDefault="00AE589A" w:rsidP="00AE589A">
            <w:pPr>
              <w:spacing w:after="0"/>
              <w:rPr>
                <w:rFonts w:asciiTheme="majorBidi" w:hAnsiTheme="majorBidi" w:cstheme="majorBidi"/>
              </w:rPr>
            </w:pPr>
            <w:r w:rsidRPr="00AE589A">
              <w:rPr>
                <w:rFonts w:asciiTheme="majorBidi" w:eastAsia="Noto Naskh Arabic" w:hAnsiTheme="majorBidi" w:cstheme="majorBidi"/>
                <w:sz w:val="20"/>
                <w:rtl/>
              </w:rPr>
              <w:t>الإطار العام: المقدمة والمشكلة والتساؤلات والأهداف والأهمية والحدود والمصطلحات.</w:t>
            </w:r>
          </w:p>
        </w:tc>
      </w:tr>
      <w:tr w:rsidR="00AE589A" w:rsidRPr="00A85A42" w14:paraId="0280D667" w14:textId="77777777" w:rsidTr="00AE589A">
        <w:trPr>
          <w:jc w:val="center"/>
        </w:trPr>
        <w:tc>
          <w:tcPr>
            <w:tcW w:w="1972" w:type="dxa"/>
            <w:shd w:val="clear" w:color="auto" w:fill="F2F2F2"/>
            <w:vAlign w:val="center"/>
          </w:tcPr>
          <w:p w14:paraId="26417B87" w14:textId="74353B0B"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 الثاني</w:t>
            </w:r>
          </w:p>
        </w:tc>
        <w:tc>
          <w:tcPr>
            <w:tcW w:w="7089" w:type="dxa"/>
            <w:shd w:val="clear" w:color="auto" w:fill="F2F2F2"/>
            <w:vAlign w:val="center"/>
          </w:tcPr>
          <w:p w14:paraId="392CB0A1" w14:textId="2C81AA8C" w:rsidR="00AE589A" w:rsidRPr="00AE589A" w:rsidRDefault="00AE589A" w:rsidP="00AE589A">
            <w:pPr>
              <w:spacing w:after="0"/>
              <w:rPr>
                <w:rFonts w:asciiTheme="majorBidi" w:hAnsiTheme="majorBidi" w:cstheme="majorBidi"/>
              </w:rPr>
            </w:pPr>
            <w:r w:rsidRPr="00AE589A">
              <w:rPr>
                <w:rFonts w:asciiTheme="majorBidi" w:eastAsia="Noto Naskh Arabic" w:hAnsiTheme="majorBidi" w:cstheme="majorBidi"/>
                <w:sz w:val="20"/>
                <w:rtl/>
              </w:rPr>
              <w:t>الدراسات السابقة والإطار النظري والمقارنة النقدية والفجوة البحثية.</w:t>
            </w:r>
          </w:p>
        </w:tc>
      </w:tr>
      <w:tr w:rsidR="00AE589A" w:rsidRPr="00A85A42" w14:paraId="3FB4304F" w14:textId="77777777" w:rsidTr="00AE589A">
        <w:trPr>
          <w:jc w:val="center"/>
        </w:trPr>
        <w:tc>
          <w:tcPr>
            <w:tcW w:w="1972" w:type="dxa"/>
            <w:vAlign w:val="center"/>
          </w:tcPr>
          <w:p w14:paraId="23ADCC97" w14:textId="7C995573"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 الثالث</w:t>
            </w:r>
          </w:p>
        </w:tc>
        <w:tc>
          <w:tcPr>
            <w:tcW w:w="7089" w:type="dxa"/>
            <w:vAlign w:val="center"/>
          </w:tcPr>
          <w:p w14:paraId="5D8E85E9" w14:textId="629397B1" w:rsidR="00AE589A" w:rsidRPr="00AE589A" w:rsidRDefault="00AE589A" w:rsidP="00AE589A">
            <w:pPr>
              <w:spacing w:after="0"/>
              <w:rPr>
                <w:rFonts w:asciiTheme="majorBidi" w:hAnsiTheme="majorBidi" w:cstheme="majorBidi"/>
              </w:rPr>
            </w:pPr>
            <w:r w:rsidRPr="00AE589A">
              <w:rPr>
                <w:rFonts w:asciiTheme="majorBidi" w:eastAsia="Noto Naskh Arabic" w:hAnsiTheme="majorBidi" w:cstheme="majorBidi"/>
                <w:sz w:val="21"/>
                <w:rtl/>
              </w:rPr>
              <w:t>منهجية المراجعة والبحث والفرز والجودة والملاءمة والاستخراج والترميز والتحليل.</w:t>
            </w:r>
          </w:p>
        </w:tc>
      </w:tr>
      <w:tr w:rsidR="00AE589A" w:rsidRPr="00A85A42" w14:paraId="6766AFAF" w14:textId="77777777" w:rsidTr="00AE589A">
        <w:trPr>
          <w:jc w:val="center"/>
        </w:trPr>
        <w:tc>
          <w:tcPr>
            <w:tcW w:w="1972" w:type="dxa"/>
            <w:shd w:val="clear" w:color="auto" w:fill="F2F2F2"/>
            <w:vAlign w:val="center"/>
          </w:tcPr>
          <w:p w14:paraId="7EAE196B" w14:textId="5B690749"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 الرابع</w:t>
            </w:r>
          </w:p>
        </w:tc>
        <w:tc>
          <w:tcPr>
            <w:tcW w:w="7089" w:type="dxa"/>
            <w:shd w:val="clear" w:color="auto" w:fill="F2F2F2"/>
            <w:vAlign w:val="center"/>
          </w:tcPr>
          <w:p w14:paraId="78120C16" w14:textId="03F4D53E" w:rsidR="00AE589A" w:rsidRPr="00AE589A" w:rsidRDefault="00AE589A" w:rsidP="00AE589A">
            <w:pPr>
              <w:spacing w:after="0"/>
              <w:rPr>
                <w:rFonts w:asciiTheme="majorBidi" w:hAnsiTheme="majorBidi" w:cstheme="majorBidi"/>
              </w:rPr>
            </w:pPr>
            <w:r w:rsidRPr="00AE589A">
              <w:rPr>
                <w:rFonts w:asciiTheme="majorBidi" w:eastAsia="Noto Naskh Arabic" w:hAnsiTheme="majorBidi" w:cstheme="majorBidi"/>
                <w:sz w:val="20"/>
                <w:rtl/>
              </w:rPr>
              <w:t>نتائج المراجعة المنهجية والمصفوفة والتكرارات والموضوعات الرئيسة والفرعية.</w:t>
            </w:r>
          </w:p>
        </w:tc>
      </w:tr>
      <w:tr w:rsidR="00AE589A" w:rsidRPr="00A85A42" w14:paraId="3FE152BF" w14:textId="77777777" w:rsidTr="00AE589A">
        <w:trPr>
          <w:jc w:val="center"/>
        </w:trPr>
        <w:tc>
          <w:tcPr>
            <w:tcW w:w="1972" w:type="dxa"/>
            <w:vAlign w:val="center"/>
          </w:tcPr>
          <w:p w14:paraId="696ECAFA" w14:textId="7EEC6124"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 الخامس</w:t>
            </w:r>
          </w:p>
        </w:tc>
        <w:tc>
          <w:tcPr>
            <w:tcW w:w="7089" w:type="dxa"/>
            <w:vAlign w:val="center"/>
          </w:tcPr>
          <w:p w14:paraId="5A6DC311" w14:textId="34A36538" w:rsidR="00AE589A" w:rsidRPr="00AE589A" w:rsidRDefault="00AE589A" w:rsidP="00AE589A">
            <w:pPr>
              <w:spacing w:after="0"/>
              <w:rPr>
                <w:rFonts w:asciiTheme="majorBidi" w:hAnsiTheme="majorBidi" w:cstheme="majorBidi"/>
              </w:rPr>
            </w:pPr>
            <w:r w:rsidRPr="00AE589A">
              <w:rPr>
                <w:rFonts w:asciiTheme="majorBidi" w:eastAsia="Noto Naskh Arabic" w:hAnsiTheme="majorBidi" w:cstheme="majorBidi"/>
                <w:sz w:val="20"/>
                <w:rtl/>
              </w:rPr>
              <w:t>الإطار التكاملي المقترح ومبادئه ومراحله وأدواره وآليات تشغيله وقياسه.</w:t>
            </w:r>
          </w:p>
        </w:tc>
      </w:tr>
      <w:tr w:rsidR="00AE589A" w:rsidRPr="00A85A42" w14:paraId="43FD677B" w14:textId="77777777" w:rsidTr="00AE589A">
        <w:trPr>
          <w:jc w:val="center"/>
        </w:trPr>
        <w:tc>
          <w:tcPr>
            <w:tcW w:w="1972" w:type="dxa"/>
            <w:shd w:val="clear" w:color="auto" w:fill="F2F2F2"/>
            <w:vAlign w:val="center"/>
          </w:tcPr>
          <w:p w14:paraId="42302E9F" w14:textId="688A5EE0" w:rsidR="00AE589A" w:rsidRPr="00AE589A" w:rsidRDefault="00AE589A" w:rsidP="00AE589A">
            <w:pPr>
              <w:spacing w:after="0"/>
              <w:jc w:val="center"/>
              <w:rPr>
                <w:rFonts w:asciiTheme="majorBidi" w:hAnsiTheme="majorBidi" w:cstheme="majorBidi"/>
              </w:rPr>
            </w:pPr>
            <w:r w:rsidRPr="00AE589A">
              <w:rPr>
                <w:rFonts w:asciiTheme="majorBidi" w:eastAsia="Noto Naskh Arabic" w:hAnsiTheme="majorBidi" w:cstheme="majorBidi"/>
                <w:sz w:val="20"/>
                <w:rtl/>
              </w:rPr>
              <w:t>الفصل السادس</w:t>
            </w:r>
          </w:p>
        </w:tc>
        <w:tc>
          <w:tcPr>
            <w:tcW w:w="7089" w:type="dxa"/>
            <w:shd w:val="clear" w:color="auto" w:fill="F2F2F2"/>
            <w:vAlign w:val="center"/>
          </w:tcPr>
          <w:p w14:paraId="4D795D4E" w14:textId="4013D7AA" w:rsidR="00AE589A" w:rsidRPr="00AE589A" w:rsidRDefault="00AE589A" w:rsidP="00AE589A">
            <w:pPr>
              <w:spacing w:after="0"/>
              <w:rPr>
                <w:rFonts w:asciiTheme="majorBidi" w:hAnsiTheme="majorBidi" w:cstheme="majorBidi"/>
              </w:rPr>
            </w:pPr>
            <w:r w:rsidRPr="00AE589A">
              <w:rPr>
                <w:rFonts w:asciiTheme="majorBidi" w:eastAsia="Noto Naskh Arabic" w:hAnsiTheme="majorBidi" w:cstheme="majorBidi"/>
                <w:sz w:val="20"/>
                <w:rtl/>
              </w:rPr>
              <w:t>مناقشة النتائج والاستنتاجات والتوصيات والحدود ومقترحات البحوث المستقبلية.</w:t>
            </w:r>
          </w:p>
        </w:tc>
      </w:tr>
    </w:tbl>
    <w:p w14:paraId="6A402C93" w14:textId="093FADA9" w:rsidR="00A85A42" w:rsidRDefault="00A85A42" w:rsidP="003C5B11">
      <w:pPr>
        <w:pStyle w:val="2"/>
      </w:pPr>
      <w:bookmarkStart w:id="26" w:name="_Toc235073615"/>
      <w:r>
        <w:rPr>
          <w:rtl/>
        </w:rPr>
        <w:t>خلاصة الفصل</w:t>
      </w:r>
      <w:bookmarkEnd w:id="26"/>
    </w:p>
    <w:p w14:paraId="2902997C" w14:textId="77777777" w:rsidR="00AE589A" w:rsidRPr="00AE589A" w:rsidRDefault="00AE589A" w:rsidP="00AE589A">
      <w:pPr>
        <w:pStyle w:val="af5"/>
        <w:rPr>
          <w:rFonts w:eastAsia="Noto Naskh Arabic"/>
          <w:rtl/>
        </w:rPr>
      </w:pPr>
      <w:r w:rsidRPr="00AE589A">
        <w:rPr>
          <w:rFonts w:eastAsia="Noto Naskh Arabic"/>
          <w:rtl/>
        </w:rPr>
        <w:t>حدد الفصل الإطار العام للدراسة من خلال عرض سياق التحول الرقمي ومشكلة التجزؤ بين إدارة التغيير وإدارة المشاريع، وصاغ تساؤلًا رئيسًا وستة تساؤلات فرعية وأهدافًا مناظرة لها. كما أوضح الأهمية العلمية والعملية وأصالة التركيز على التكامل، وحدد الحدود والتعريفات الإجرائية وتسلسل الفصول.</w:t>
      </w:r>
    </w:p>
    <w:p w14:paraId="47004E6F" w14:textId="63C6FA25" w:rsidR="00A85A42" w:rsidRPr="00A85A42" w:rsidRDefault="00AE589A" w:rsidP="00AE589A">
      <w:pPr>
        <w:pStyle w:val="af5"/>
      </w:pPr>
      <w:r w:rsidRPr="00AE589A">
        <w:rPr>
          <w:rFonts w:eastAsia="Noto Naskh Arabic"/>
          <w:rtl/>
        </w:rPr>
        <w:t>ويؤسس هذا البناء للفصل الثاني الذي يراجع المفاهيم والنظريات والدراسات السابقة بصورة نقدية، ثم للفصل الثالث الذي يبين كيف جُمعت الأدلة وحُللت بصورة منهجية.</w:t>
      </w:r>
    </w:p>
    <w:p w14:paraId="54749401" w14:textId="4FB618E5" w:rsidR="00783A24" w:rsidRPr="003833DF" w:rsidRDefault="00783A24" w:rsidP="003E5B11">
      <w:pPr>
        <w:pStyle w:val="af5"/>
      </w:pPr>
    </w:p>
    <w:p w14:paraId="4992ECAB" w14:textId="77777777" w:rsidR="0080524F" w:rsidRDefault="0080524F" w:rsidP="003E5B11">
      <w:pPr>
        <w:spacing w:line="240" w:lineRule="auto"/>
        <w:rPr>
          <w:rFonts w:ascii="Simplified Arabic" w:hAnsi="Simplified Arabic" w:cs="Simplified Arabic"/>
          <w:b/>
          <w:bCs/>
          <w:sz w:val="32"/>
          <w:szCs w:val="32"/>
          <w:u w:val="single"/>
          <w:rtl/>
        </w:rPr>
      </w:pPr>
      <w:r>
        <w:rPr>
          <w:rFonts w:ascii="Simplified Arabic" w:hAnsi="Simplified Arabic" w:cs="Simplified Arabic"/>
          <w:b/>
          <w:bCs/>
          <w:sz w:val="32"/>
          <w:szCs w:val="32"/>
          <w:u w:val="single"/>
          <w:rtl/>
        </w:rPr>
        <w:br w:type="page"/>
      </w:r>
    </w:p>
    <w:p w14:paraId="79ABE01F" w14:textId="446C5679" w:rsidR="00C2624F" w:rsidRPr="00A12C7D" w:rsidRDefault="00C2624F" w:rsidP="003E5B11">
      <w:pPr>
        <w:pStyle w:val="1"/>
        <w:spacing w:line="240" w:lineRule="auto"/>
      </w:pPr>
      <w:bookmarkStart w:id="27" w:name="_Toc234355549"/>
      <w:bookmarkStart w:id="28" w:name="_Toc235073616"/>
      <w:r w:rsidRPr="00A12C7D">
        <w:rPr>
          <w:rtl/>
        </w:rPr>
        <w:lastRenderedPageBreak/>
        <w:t>الفصل الثاني</w:t>
      </w:r>
      <w:r w:rsidRPr="00A12C7D">
        <w:rPr>
          <w:rFonts w:hint="cs"/>
          <w:rtl/>
        </w:rPr>
        <w:t xml:space="preserve">: </w:t>
      </w:r>
      <w:r w:rsidRPr="00A12C7D">
        <w:rPr>
          <w:rtl/>
        </w:rPr>
        <w:t>الدراسات السابقة والإطار النظري</w:t>
      </w:r>
      <w:bookmarkEnd w:id="27"/>
      <w:bookmarkEnd w:id="28"/>
    </w:p>
    <w:p w14:paraId="51C1F01C" w14:textId="1220B333" w:rsidR="00C2624F" w:rsidRPr="0025227E" w:rsidRDefault="00F32142">
      <w:pPr>
        <w:pStyle w:val="2"/>
        <w:numPr>
          <w:ilvl w:val="1"/>
          <w:numId w:val="3"/>
        </w:numPr>
      </w:pPr>
      <w:bookmarkStart w:id="29" w:name="_Toc235073617"/>
      <w:r w:rsidRPr="00F32142">
        <w:rPr>
          <w:rtl/>
        </w:rPr>
        <w:t>تمهيد</w:t>
      </w:r>
      <w:bookmarkEnd w:id="29"/>
    </w:p>
    <w:p w14:paraId="3D25CB3E" w14:textId="77777777" w:rsidR="008B042B" w:rsidRPr="008B042B" w:rsidRDefault="008B042B" w:rsidP="008B042B">
      <w:pPr>
        <w:pStyle w:val="af5"/>
        <w:rPr>
          <w:rFonts w:eastAsia="Noto Naskh Arabic"/>
          <w:rtl/>
        </w:rPr>
      </w:pPr>
      <w:r w:rsidRPr="008B042B">
        <w:rPr>
          <w:rFonts w:eastAsia="Noto Naskh Arabic"/>
          <w:rtl/>
        </w:rPr>
        <w:t>يتناول هذا الفصل الأسس النظرية والدراسات السابقة المرتبطة بتكامل ممارسات إدارة التغيير وإدارة المشاريع في مشاريع التحول الرقمي. ويهدف إلى بناء قاعدة مفاهيمية تفسر طبيعة التحول الرقمي بوصفه تغييرًا استراتيجيًا واجتماعيًا–تقنيًا يُنفذ من خلال المشاريع والبرامج والمحافظ، وإلى توضيح الوظائف المتمايزة والمتكاملة لكل من إدارة المشاريع وإدارة التغيير. كما يستعرض الأدبيات العربية والإنجليزية بصورة نقدية، ويحدد موضع الدراسة الحالية والفجوة التي تعالجها، من دون استباق النتائج التركيبية للمراجعة المنهجية التي يعرضها الفصل الرابع.</w:t>
      </w:r>
    </w:p>
    <w:p w14:paraId="45771271" w14:textId="6DF2EA67" w:rsidR="00F32142" w:rsidRPr="00F32142" w:rsidRDefault="008B042B" w:rsidP="008B042B">
      <w:pPr>
        <w:pStyle w:val="af5"/>
      </w:pPr>
      <w:r w:rsidRPr="008B042B">
        <w:rPr>
          <w:rFonts w:eastAsia="Noto Naskh Arabic"/>
          <w:rtl/>
        </w:rPr>
        <w:t>نُظم الفصل في محورين مترابطين. يعرض المحور الأول الإطار النظري، بدءًا من مفهوم التحول الرقمي وخصائص مشاريعه، ثم إدارة المشاريع وإدارة التغيير والمنظورات النظرية المفسرة للتكامل. أما المحور الثاني فيراجع الدراسات السابقة وفق مساراتها الموضوعية والمنهجية، ثم يقارن بينها ويستخلص الفجوة البحثية والبنية المفاهيمية التي وجهت الاستخراج والترميز.</w:t>
      </w:r>
    </w:p>
    <w:p w14:paraId="040B59A3" w14:textId="3FBC5B1D" w:rsidR="00F32142" w:rsidRPr="00F32142" w:rsidRDefault="00F32142">
      <w:pPr>
        <w:pStyle w:val="2"/>
        <w:numPr>
          <w:ilvl w:val="1"/>
          <w:numId w:val="8"/>
        </w:numPr>
      </w:pPr>
      <w:r w:rsidRPr="00F32142">
        <w:rPr>
          <w:rtl/>
        </w:rPr>
        <w:t xml:space="preserve"> </w:t>
      </w:r>
      <w:bookmarkStart w:id="30" w:name="_Toc235073618"/>
      <w:r w:rsidRPr="00F32142">
        <w:rPr>
          <w:rtl/>
        </w:rPr>
        <w:t>الإطار النظري للدراسة</w:t>
      </w:r>
      <w:bookmarkEnd w:id="30"/>
    </w:p>
    <w:p w14:paraId="427A7ADC" w14:textId="0337D239" w:rsidR="00F32142" w:rsidRPr="00F32142" w:rsidRDefault="00F32142" w:rsidP="00F32142">
      <w:pPr>
        <w:pStyle w:val="3"/>
      </w:pPr>
      <w:r w:rsidRPr="00F32142">
        <w:rPr>
          <w:rtl/>
        </w:rPr>
        <w:t xml:space="preserve"> </w:t>
      </w:r>
      <w:bookmarkStart w:id="31" w:name="_Toc235073619"/>
      <w:r w:rsidRPr="00F32142">
        <w:rPr>
          <w:rtl/>
        </w:rPr>
        <w:t>التحول الرقمي ومشاريع التحول الرقمي</w:t>
      </w:r>
      <w:bookmarkEnd w:id="31"/>
    </w:p>
    <w:p w14:paraId="6FC8300C" w14:textId="10BD7103" w:rsidR="00F32142" w:rsidRPr="00F32142" w:rsidRDefault="00F32142" w:rsidP="00F32142">
      <w:pPr>
        <w:pStyle w:val="4"/>
      </w:pPr>
      <w:r w:rsidRPr="00F32142">
        <w:rPr>
          <w:rtl/>
        </w:rPr>
        <w:t>مفهوم التحول الرقمي والتمييز المصطلحي</w:t>
      </w:r>
    </w:p>
    <w:p w14:paraId="6DE82C4D" w14:textId="373C0471" w:rsidR="00F32142" w:rsidRPr="00F32142" w:rsidRDefault="008B042B" w:rsidP="00F32142">
      <w:pPr>
        <w:pStyle w:val="af5"/>
      </w:pPr>
      <w:r w:rsidRPr="008B042B">
        <w:rPr>
          <w:rFonts w:eastAsia="Noto Naskh Arabic"/>
          <w:rtl/>
        </w:rPr>
        <w:t xml:space="preserve">يستخدم الخطاب الإداري والتقني عدة مصطلحات متقاربة ينبغي التمييز بينها. </w:t>
      </w:r>
      <w:proofErr w:type="spellStart"/>
      <w:r w:rsidRPr="008B042B">
        <w:rPr>
          <w:rFonts w:eastAsia="Noto Naskh Arabic"/>
          <w:rtl/>
        </w:rPr>
        <w:t>فالرقمنة</w:t>
      </w:r>
      <w:proofErr w:type="spellEnd"/>
      <w:r w:rsidRPr="008B042B">
        <w:rPr>
          <w:rFonts w:eastAsia="Noto Naskh Arabic"/>
          <w:rtl/>
        </w:rPr>
        <w:t xml:space="preserve"> (</w:t>
      </w:r>
      <w:r w:rsidRPr="008B042B">
        <w:rPr>
          <w:rFonts w:eastAsia="Noto Naskh Arabic"/>
        </w:rPr>
        <w:t>Digitization</w:t>
      </w:r>
      <w:r w:rsidRPr="008B042B">
        <w:rPr>
          <w:rFonts w:eastAsia="Noto Naskh Arabic"/>
          <w:rtl/>
        </w:rPr>
        <w:t xml:space="preserve">) تعني تحويل المعلومات أو السجلات من صيغة تناظرية إلى رقمية، بينما تشير الأتمتة أو </w:t>
      </w:r>
      <w:proofErr w:type="spellStart"/>
      <w:r w:rsidRPr="008B042B">
        <w:rPr>
          <w:rFonts w:eastAsia="Noto Naskh Arabic"/>
          <w:rtl/>
        </w:rPr>
        <w:t>الرقمنة</w:t>
      </w:r>
      <w:proofErr w:type="spellEnd"/>
      <w:r w:rsidRPr="008B042B">
        <w:rPr>
          <w:rFonts w:eastAsia="Noto Naskh Arabic"/>
          <w:rtl/>
        </w:rPr>
        <w:t xml:space="preserve"> التشغيلية (</w:t>
      </w:r>
      <w:r w:rsidRPr="008B042B">
        <w:rPr>
          <w:rFonts w:eastAsia="Noto Naskh Arabic"/>
        </w:rPr>
        <w:t>Digitalization</w:t>
      </w:r>
      <w:r w:rsidRPr="008B042B">
        <w:rPr>
          <w:rFonts w:eastAsia="Noto Naskh Arabic"/>
          <w:rtl/>
        </w:rPr>
        <w:t>) إلى استخدام التقنيات الرقمية لتحسين عملية أو خدمة قائمة. أما التحول الرقمي (</w:t>
      </w:r>
      <w:r w:rsidRPr="008B042B">
        <w:rPr>
          <w:rFonts w:eastAsia="Noto Naskh Arabic"/>
        </w:rPr>
        <w:t>Digital Transformation</w:t>
      </w:r>
      <w:r w:rsidRPr="008B042B">
        <w:rPr>
          <w:rFonts w:eastAsia="Noto Naskh Arabic"/>
          <w:rtl/>
        </w:rPr>
        <w:t>) فيتجاوز ذلك إلى تغيير استراتيجي يعيد تصميم نموذج العمل والعمليات والخدمات والقدرات والعلاقات والقرارات، بحيث تصبح التقنية جزءًا من منطق خلق القيمة لا مجرد أداة مساندة. ويتسق هذا التمييز مع التصور الذي يعرّف التحول الرقمي بوصفه تغييرًا تنظيميًا استراتيجيًا في مسارات خلق القيمة (</w:t>
      </w:r>
      <w:r w:rsidRPr="008B042B">
        <w:rPr>
          <w:rFonts w:eastAsia="Noto Naskh Arabic"/>
        </w:rPr>
        <w:t>Vial, 2019</w:t>
      </w:r>
      <w:r w:rsidRPr="008B042B">
        <w:rPr>
          <w:rFonts w:eastAsia="Noto Naskh Arabic"/>
          <w:rtl/>
        </w:rPr>
        <w:t>).</w:t>
      </w:r>
    </w:p>
    <w:p w14:paraId="7EF86E32" w14:textId="55FCA198" w:rsidR="00F32142" w:rsidRPr="00F32142" w:rsidRDefault="008B042B" w:rsidP="00F32142">
      <w:pPr>
        <w:pStyle w:val="af7"/>
      </w:pPr>
      <w:bookmarkStart w:id="32" w:name="_Toc235073753"/>
      <w:r w:rsidRPr="008B042B">
        <w:rPr>
          <w:rFonts w:cs="Simplified Arabic"/>
          <w:rtl/>
        </w:rPr>
        <w:t>الجدول رقم (</w:t>
      </w:r>
      <w:r w:rsidRPr="008B042B">
        <w:rPr>
          <w:cs/>
        </w:rPr>
        <w:t>‎</w:t>
      </w:r>
      <w:r w:rsidRPr="008B042B">
        <w:t>2-1</w:t>
      </w:r>
      <w:r w:rsidRPr="008B042B">
        <w:rPr>
          <w:cs/>
        </w:rPr>
        <w:t>‎</w:t>
      </w:r>
      <w:r w:rsidRPr="008B042B">
        <w:rPr>
          <w:rFonts w:cs="Simplified Arabic"/>
          <w:rtl/>
        </w:rPr>
        <w:t>): التمييز بين المفاهيم الرقمية الرئيسة</w:t>
      </w:r>
      <w:bookmarkEnd w:id="32"/>
    </w:p>
    <w:tbl>
      <w:tblPr>
        <w:bidiVisual/>
        <w:tblW w:w="0" w:type="auto"/>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77"/>
        <w:gridCol w:w="2835"/>
        <w:gridCol w:w="1418"/>
        <w:gridCol w:w="2831"/>
      </w:tblGrid>
      <w:tr w:rsidR="00F32142" w:rsidRPr="00F32142" w14:paraId="15A8BE41" w14:textId="77777777" w:rsidTr="00E92072">
        <w:trPr>
          <w:tblHeader/>
          <w:jc w:val="center"/>
        </w:trPr>
        <w:tc>
          <w:tcPr>
            <w:tcW w:w="1977" w:type="dxa"/>
            <w:shd w:val="clear" w:color="auto" w:fill="0095D0"/>
            <w:vAlign w:val="center"/>
          </w:tcPr>
          <w:p w14:paraId="1BA8677B" w14:textId="77777777" w:rsidR="00F32142" w:rsidRPr="00F32142" w:rsidRDefault="00F32142" w:rsidP="00E92072">
            <w:pPr>
              <w:spacing w:after="0" w:line="240" w:lineRule="auto"/>
              <w:jc w:val="center"/>
              <w:rPr>
                <w:rFonts w:asciiTheme="majorBidi" w:hAnsiTheme="majorBidi" w:cstheme="majorBidi"/>
                <w:bCs/>
                <w:color w:val="FFFFFF" w:themeColor="background1"/>
              </w:rPr>
            </w:pPr>
            <w:r w:rsidRPr="00F32142">
              <w:rPr>
                <w:rFonts w:asciiTheme="majorBidi" w:eastAsia="Noto Naskh Arabic" w:hAnsiTheme="majorBidi" w:cstheme="majorBidi"/>
                <w:bCs/>
                <w:color w:val="FFFFFF" w:themeColor="background1"/>
                <w:sz w:val="20"/>
                <w:rtl/>
              </w:rPr>
              <w:t>المفهوم</w:t>
            </w:r>
          </w:p>
        </w:tc>
        <w:tc>
          <w:tcPr>
            <w:tcW w:w="2835" w:type="dxa"/>
            <w:shd w:val="clear" w:color="auto" w:fill="0095D0"/>
            <w:vAlign w:val="center"/>
          </w:tcPr>
          <w:p w14:paraId="2696A224" w14:textId="77777777" w:rsidR="00F32142" w:rsidRPr="00F32142" w:rsidRDefault="00F32142" w:rsidP="00E92072">
            <w:pPr>
              <w:spacing w:after="0" w:line="240" w:lineRule="auto"/>
              <w:jc w:val="center"/>
              <w:rPr>
                <w:rFonts w:asciiTheme="majorBidi" w:hAnsiTheme="majorBidi" w:cstheme="majorBidi"/>
                <w:bCs/>
                <w:color w:val="FFFFFF" w:themeColor="background1"/>
              </w:rPr>
            </w:pPr>
            <w:r w:rsidRPr="00F32142">
              <w:rPr>
                <w:rFonts w:asciiTheme="majorBidi" w:eastAsia="Noto Naskh Arabic" w:hAnsiTheme="majorBidi" w:cstheme="majorBidi"/>
                <w:bCs/>
                <w:color w:val="FFFFFF" w:themeColor="background1"/>
                <w:sz w:val="20"/>
                <w:rtl/>
              </w:rPr>
              <w:t>المعنى</w:t>
            </w:r>
          </w:p>
        </w:tc>
        <w:tc>
          <w:tcPr>
            <w:tcW w:w="1418" w:type="dxa"/>
            <w:shd w:val="clear" w:color="auto" w:fill="0095D0"/>
            <w:vAlign w:val="center"/>
          </w:tcPr>
          <w:p w14:paraId="7BD70B5A" w14:textId="77777777" w:rsidR="00F32142" w:rsidRPr="00F32142" w:rsidRDefault="00F32142" w:rsidP="00E92072">
            <w:pPr>
              <w:spacing w:after="0" w:line="240" w:lineRule="auto"/>
              <w:jc w:val="center"/>
              <w:rPr>
                <w:rFonts w:asciiTheme="majorBidi" w:hAnsiTheme="majorBidi" w:cstheme="majorBidi"/>
                <w:bCs/>
                <w:color w:val="FFFFFF" w:themeColor="background1"/>
              </w:rPr>
            </w:pPr>
            <w:r w:rsidRPr="00F32142">
              <w:rPr>
                <w:rFonts w:asciiTheme="majorBidi" w:eastAsia="Noto Naskh Arabic" w:hAnsiTheme="majorBidi" w:cstheme="majorBidi"/>
                <w:bCs/>
                <w:color w:val="FFFFFF" w:themeColor="background1"/>
                <w:sz w:val="20"/>
                <w:rtl/>
              </w:rPr>
              <w:t>نطاق التغيير</w:t>
            </w:r>
          </w:p>
        </w:tc>
        <w:tc>
          <w:tcPr>
            <w:tcW w:w="2831" w:type="dxa"/>
            <w:shd w:val="clear" w:color="auto" w:fill="0095D0"/>
            <w:vAlign w:val="center"/>
          </w:tcPr>
          <w:p w14:paraId="03DB7874" w14:textId="77777777" w:rsidR="00F32142" w:rsidRPr="00F32142" w:rsidRDefault="00F32142" w:rsidP="00E92072">
            <w:pPr>
              <w:spacing w:after="0" w:line="240" w:lineRule="auto"/>
              <w:jc w:val="center"/>
              <w:rPr>
                <w:rFonts w:asciiTheme="majorBidi" w:hAnsiTheme="majorBidi" w:cstheme="majorBidi"/>
                <w:bCs/>
                <w:color w:val="FFFFFF" w:themeColor="background1"/>
              </w:rPr>
            </w:pPr>
            <w:r w:rsidRPr="00F32142">
              <w:rPr>
                <w:rFonts w:asciiTheme="majorBidi" w:eastAsia="Noto Naskh Arabic" w:hAnsiTheme="majorBidi" w:cstheme="majorBidi"/>
                <w:bCs/>
                <w:color w:val="FFFFFF" w:themeColor="background1"/>
                <w:sz w:val="20"/>
                <w:rtl/>
              </w:rPr>
              <w:t>مثال تطبيقي</w:t>
            </w:r>
          </w:p>
        </w:tc>
      </w:tr>
      <w:tr w:rsidR="008B042B" w:rsidRPr="00F32142" w14:paraId="3216BD82" w14:textId="77777777" w:rsidTr="00E92072">
        <w:trPr>
          <w:jc w:val="center"/>
        </w:trPr>
        <w:tc>
          <w:tcPr>
            <w:tcW w:w="1977" w:type="dxa"/>
            <w:vAlign w:val="center"/>
          </w:tcPr>
          <w:p w14:paraId="05977B5D" w14:textId="1EB7D97E" w:rsidR="008B042B" w:rsidRPr="008B042B" w:rsidRDefault="008B042B" w:rsidP="00E92072">
            <w:pPr>
              <w:spacing w:after="0" w:line="240" w:lineRule="auto"/>
              <w:jc w:val="center"/>
              <w:rPr>
                <w:rFonts w:asciiTheme="majorBidi" w:hAnsiTheme="majorBidi" w:cstheme="majorBidi"/>
              </w:rPr>
            </w:pPr>
            <w:proofErr w:type="spellStart"/>
            <w:r w:rsidRPr="008B042B">
              <w:rPr>
                <w:rFonts w:asciiTheme="majorBidi" w:eastAsia="Noto Naskh Arabic" w:hAnsiTheme="majorBidi" w:cstheme="majorBidi"/>
                <w:rtl/>
              </w:rPr>
              <w:t>الرقمنة</w:t>
            </w:r>
            <w:proofErr w:type="spellEnd"/>
            <w:r w:rsidRPr="008B042B">
              <w:rPr>
                <w:rFonts w:asciiTheme="majorBidi" w:eastAsia="Noto Naskh Arabic" w:hAnsiTheme="majorBidi" w:cstheme="majorBidi"/>
                <w:rtl/>
              </w:rPr>
              <w:t xml:space="preserve"> (</w:t>
            </w:r>
            <w:r w:rsidRPr="008B042B">
              <w:rPr>
                <w:rFonts w:asciiTheme="majorBidi" w:eastAsia="Noto Naskh Arabic" w:hAnsiTheme="majorBidi" w:cstheme="majorBidi"/>
              </w:rPr>
              <w:t>Digitization</w:t>
            </w:r>
            <w:r w:rsidRPr="008B042B">
              <w:rPr>
                <w:rFonts w:asciiTheme="majorBidi" w:eastAsia="Noto Naskh Arabic" w:hAnsiTheme="majorBidi" w:cstheme="majorBidi"/>
                <w:rtl/>
              </w:rPr>
              <w:t>)</w:t>
            </w:r>
          </w:p>
        </w:tc>
        <w:tc>
          <w:tcPr>
            <w:tcW w:w="2835" w:type="dxa"/>
            <w:vAlign w:val="center"/>
          </w:tcPr>
          <w:p w14:paraId="1F6457A8" w14:textId="674FDE81"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تحويل البيانات أو الوثائق إلى صيغة رقمية</w:t>
            </w:r>
          </w:p>
        </w:tc>
        <w:tc>
          <w:tcPr>
            <w:tcW w:w="1418" w:type="dxa"/>
            <w:vAlign w:val="center"/>
          </w:tcPr>
          <w:p w14:paraId="67839CB3" w14:textId="772A6250"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المعلومة أو السجل</w:t>
            </w:r>
          </w:p>
        </w:tc>
        <w:tc>
          <w:tcPr>
            <w:tcW w:w="2831" w:type="dxa"/>
            <w:vAlign w:val="center"/>
          </w:tcPr>
          <w:p w14:paraId="3F1F629C" w14:textId="2051695A"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تحويل ملفات ورقية إلى ملفات إلكترونية</w:t>
            </w:r>
          </w:p>
        </w:tc>
      </w:tr>
      <w:tr w:rsidR="008B042B" w:rsidRPr="00F32142" w14:paraId="61F6AA01" w14:textId="77777777" w:rsidTr="00E92072">
        <w:trPr>
          <w:jc w:val="center"/>
        </w:trPr>
        <w:tc>
          <w:tcPr>
            <w:tcW w:w="1977" w:type="dxa"/>
            <w:shd w:val="clear" w:color="auto" w:fill="F2F2F2"/>
            <w:vAlign w:val="center"/>
          </w:tcPr>
          <w:p w14:paraId="2D70FEF7" w14:textId="2874E72B" w:rsidR="008B042B" w:rsidRPr="008B042B" w:rsidRDefault="008B042B" w:rsidP="00E92072">
            <w:pPr>
              <w:spacing w:after="0" w:line="240" w:lineRule="auto"/>
              <w:jc w:val="center"/>
              <w:rPr>
                <w:rFonts w:asciiTheme="majorBidi" w:hAnsiTheme="majorBidi" w:cstheme="majorBidi"/>
              </w:rPr>
            </w:pPr>
            <w:proofErr w:type="spellStart"/>
            <w:r w:rsidRPr="008B042B">
              <w:rPr>
                <w:rFonts w:asciiTheme="majorBidi" w:eastAsia="Noto Naskh Arabic" w:hAnsiTheme="majorBidi" w:cstheme="majorBidi"/>
                <w:rtl/>
              </w:rPr>
              <w:t>الرقمنة</w:t>
            </w:r>
            <w:proofErr w:type="spellEnd"/>
            <w:r w:rsidRPr="008B042B">
              <w:rPr>
                <w:rFonts w:asciiTheme="majorBidi" w:eastAsia="Noto Naskh Arabic" w:hAnsiTheme="majorBidi" w:cstheme="majorBidi"/>
                <w:rtl/>
              </w:rPr>
              <w:t xml:space="preserve"> التشغيلية (</w:t>
            </w:r>
            <w:r w:rsidRPr="008B042B">
              <w:rPr>
                <w:rFonts w:asciiTheme="majorBidi" w:eastAsia="Noto Naskh Arabic" w:hAnsiTheme="majorBidi" w:cstheme="majorBidi"/>
              </w:rPr>
              <w:t>Digitalization</w:t>
            </w:r>
            <w:r w:rsidRPr="008B042B">
              <w:rPr>
                <w:rFonts w:asciiTheme="majorBidi" w:eastAsia="Noto Naskh Arabic" w:hAnsiTheme="majorBidi" w:cstheme="majorBidi"/>
                <w:rtl/>
              </w:rPr>
              <w:t>)</w:t>
            </w:r>
          </w:p>
        </w:tc>
        <w:tc>
          <w:tcPr>
            <w:tcW w:w="2835" w:type="dxa"/>
            <w:shd w:val="clear" w:color="auto" w:fill="F2F2F2"/>
            <w:vAlign w:val="center"/>
          </w:tcPr>
          <w:p w14:paraId="62F2224B" w14:textId="345B9ACE"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استخدام التقنية لتحسين إجراء قائم</w:t>
            </w:r>
          </w:p>
        </w:tc>
        <w:tc>
          <w:tcPr>
            <w:tcW w:w="1418" w:type="dxa"/>
            <w:shd w:val="clear" w:color="auto" w:fill="F2F2F2"/>
            <w:vAlign w:val="center"/>
          </w:tcPr>
          <w:p w14:paraId="7E1A8BE8" w14:textId="1A3B7D6B"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عملية أو خدمة</w:t>
            </w:r>
          </w:p>
        </w:tc>
        <w:tc>
          <w:tcPr>
            <w:tcW w:w="2831" w:type="dxa"/>
            <w:shd w:val="clear" w:color="auto" w:fill="F2F2F2"/>
            <w:vAlign w:val="center"/>
          </w:tcPr>
          <w:p w14:paraId="5B763C5D" w14:textId="01CC3DD9"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أتمتة اعتماد المعاملة أو تقديم خدمة إلكترونية</w:t>
            </w:r>
          </w:p>
        </w:tc>
      </w:tr>
      <w:tr w:rsidR="008B042B" w:rsidRPr="00F32142" w14:paraId="63ED10AE" w14:textId="77777777" w:rsidTr="00E92072">
        <w:trPr>
          <w:jc w:val="center"/>
        </w:trPr>
        <w:tc>
          <w:tcPr>
            <w:tcW w:w="1977" w:type="dxa"/>
            <w:vAlign w:val="center"/>
          </w:tcPr>
          <w:p w14:paraId="4EE4C99F" w14:textId="68B348EB"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lastRenderedPageBreak/>
              <w:t>التحول الرقمي (</w:t>
            </w:r>
            <w:r w:rsidRPr="008B042B">
              <w:rPr>
                <w:rFonts w:asciiTheme="majorBidi" w:eastAsia="Noto Naskh Arabic" w:hAnsiTheme="majorBidi" w:cstheme="majorBidi"/>
              </w:rPr>
              <w:t>Digital Transformation</w:t>
            </w:r>
            <w:r w:rsidRPr="008B042B">
              <w:rPr>
                <w:rFonts w:asciiTheme="majorBidi" w:eastAsia="Noto Naskh Arabic" w:hAnsiTheme="majorBidi" w:cstheme="majorBidi"/>
                <w:rtl/>
              </w:rPr>
              <w:t>)</w:t>
            </w:r>
          </w:p>
        </w:tc>
        <w:tc>
          <w:tcPr>
            <w:tcW w:w="2835" w:type="dxa"/>
            <w:vAlign w:val="center"/>
          </w:tcPr>
          <w:p w14:paraId="3A17A9C3" w14:textId="6C7A3F0C"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إعادة تشكيل الاستراتيجية والعمليات والقدرات ونموذج القيمة</w:t>
            </w:r>
          </w:p>
        </w:tc>
        <w:tc>
          <w:tcPr>
            <w:tcW w:w="1418" w:type="dxa"/>
            <w:vAlign w:val="center"/>
          </w:tcPr>
          <w:p w14:paraId="38D85EE1" w14:textId="0C2CBCF6"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المؤسسة أو النظام البيئي</w:t>
            </w:r>
          </w:p>
        </w:tc>
        <w:tc>
          <w:tcPr>
            <w:tcW w:w="2831" w:type="dxa"/>
            <w:vAlign w:val="center"/>
          </w:tcPr>
          <w:p w14:paraId="5FBCAAB0" w14:textId="32183507"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إعادة تصميم الخدمة والهيكل والأدوار والقرار اعتمادًا على البيانات والمنصات</w:t>
            </w:r>
          </w:p>
        </w:tc>
      </w:tr>
    </w:tbl>
    <w:p w14:paraId="2BFE8E9E" w14:textId="204D371C" w:rsidR="00F32142" w:rsidRPr="00F32142" w:rsidRDefault="008B042B" w:rsidP="00F32142">
      <w:pPr>
        <w:pStyle w:val="af5"/>
      </w:pPr>
      <w:r w:rsidRPr="008B042B">
        <w:rPr>
          <w:rFonts w:eastAsia="Noto Naskh Arabic"/>
          <w:rtl/>
        </w:rPr>
        <w:t xml:space="preserve">تؤكد الأدبيات الحديثة أن التحول الرقمي لا يتحقق بمجرد اقتناء الأنظمة أو إطلاق المنصات؛ إذ قد تنفذ المؤسسة مشروعًا تقنيًا ناجحًا من حيث التسليم، لكنها لا تحقق تحولًا إذا لم تتغير العمليات والأدوار والسلوكيات والقدرات وآليات القرار. ولهذا تصفه مراجعة </w:t>
      </w:r>
      <w:r w:rsidRPr="008B042B">
        <w:rPr>
          <w:rFonts w:eastAsia="Noto Naskh Arabic"/>
        </w:rPr>
        <w:t>Chen et al</w:t>
      </w:r>
      <w:r w:rsidRPr="008B042B">
        <w:rPr>
          <w:rFonts w:eastAsia="Noto Naskh Arabic"/>
          <w:rtl/>
        </w:rPr>
        <w:t xml:space="preserve">. (2025) بوصفه مجالًا تتفاعل فيه الأدوات والمنهجيات والبنية الاجتماعية–التقنية والحوكمة والقيادة، بينما تربطه مراجعة </w:t>
      </w:r>
      <w:r w:rsidRPr="008B042B">
        <w:rPr>
          <w:rFonts w:eastAsia="Noto Naskh Arabic"/>
        </w:rPr>
        <w:t>Gonçalves et al</w:t>
      </w:r>
      <w:r w:rsidRPr="008B042B">
        <w:rPr>
          <w:rFonts w:eastAsia="Noto Naskh Arabic"/>
          <w:rtl/>
        </w:rPr>
        <w:t>. (2023) بالاستراتيجية والكفاءات والتقنية والمحافظ والبرامج والمشاريع.</w:t>
      </w:r>
    </w:p>
    <w:p w14:paraId="5FB2070F" w14:textId="7A57DED3" w:rsidR="00F32142" w:rsidRPr="00F32142" w:rsidRDefault="00F32142" w:rsidP="00F32142">
      <w:pPr>
        <w:pStyle w:val="4"/>
      </w:pPr>
      <w:r w:rsidRPr="00F32142">
        <w:rPr>
          <w:rtl/>
        </w:rPr>
        <w:t>طبيعة مشاريع التحول الرقمي وخصائصها</w:t>
      </w:r>
    </w:p>
    <w:p w14:paraId="4116EBD0" w14:textId="77777777" w:rsidR="008B042B" w:rsidRPr="008B042B" w:rsidRDefault="008B042B" w:rsidP="008B042B">
      <w:pPr>
        <w:pStyle w:val="af5"/>
        <w:rPr>
          <w:rFonts w:eastAsia="Noto Naskh Arabic"/>
          <w:rtl/>
        </w:rPr>
      </w:pPr>
      <w:r w:rsidRPr="008B042B">
        <w:rPr>
          <w:rFonts w:eastAsia="Noto Naskh Arabic"/>
          <w:rtl/>
        </w:rPr>
        <w:t>تمثل مشاريع التحول الرقمي الآلية المؤقتة التي تُترجم الرؤية الرقمية إلى قدرات ومنتجات وخدمات وعمليات قابلة للتطبيق. لكنها تختلف عن كثير من المشاريع التقليدية؛ لأن مخرجاتها التقنية تتداخل مع إعادة تصميم العمل والهيكل والثقافة والمهارات وتجربة المستخدم. كما قد تتطور الأهداف والمتطلبات أثناء التنفيذ نتيجة التعلم والتجريب وتغير التقنية والسوق والتشريعات، مما يجعل الحدود بين المشروع والتشغيل والمنتج أقل حدة.</w:t>
      </w:r>
    </w:p>
    <w:p w14:paraId="785C1B21" w14:textId="27616BBF" w:rsidR="00F32142" w:rsidRPr="00F32142" w:rsidRDefault="008B042B" w:rsidP="008B042B">
      <w:pPr>
        <w:pStyle w:val="af5"/>
      </w:pPr>
      <w:r w:rsidRPr="008B042B">
        <w:rPr>
          <w:rFonts w:eastAsia="Noto Naskh Arabic"/>
          <w:rtl/>
        </w:rPr>
        <w:t xml:space="preserve">وتتسم هذه المشاريع بخمس خصائص مترابطة: ارتفاع عدم اليقين، والتعقيد الاجتماعي–التقني، وتعدد أصحاب المصلحة والمالكين، والحاجة إلى التعلم التكراري، وتأخر ظهور المنافع مقارنة بتسليم المخرجات. وتبين </w:t>
      </w:r>
      <w:proofErr w:type="spellStart"/>
      <w:r w:rsidRPr="008B042B">
        <w:rPr>
          <w:rFonts w:eastAsia="Noto Naskh Arabic"/>
        </w:rPr>
        <w:t>Hafseld</w:t>
      </w:r>
      <w:proofErr w:type="spellEnd"/>
      <w:r w:rsidRPr="008B042B">
        <w:rPr>
          <w:rFonts w:eastAsia="Noto Naskh Arabic"/>
        </w:rPr>
        <w:t xml:space="preserve"> et al</w:t>
      </w:r>
      <w:r w:rsidRPr="008B042B">
        <w:rPr>
          <w:rFonts w:eastAsia="Noto Naskh Arabic"/>
          <w:rtl/>
        </w:rPr>
        <w:t xml:space="preserve">. (2021) أن التعقيد في المشروع الحكومي الرقمي نشأ من التفاعل الديناميكي بين التنظيم والتقنية والابتكار، لا من عامل منفرد. كما توضح </w:t>
      </w:r>
      <w:r w:rsidRPr="008B042B">
        <w:rPr>
          <w:rFonts w:eastAsia="Noto Naskh Arabic"/>
        </w:rPr>
        <w:t>Albrecht et al</w:t>
      </w:r>
      <w:r w:rsidRPr="008B042B">
        <w:rPr>
          <w:rFonts w:eastAsia="Noto Naskh Arabic"/>
          <w:rtl/>
        </w:rPr>
        <w:t>. (2025) أن غموض تعريف التحول نفسه وعدم يقين المتطلبات والميزانية يبدأ منذ مرحلة تأسيس المشروع.</w:t>
      </w:r>
    </w:p>
    <w:p w14:paraId="0089B9C7" w14:textId="50CA0EDF" w:rsidR="00F32142" w:rsidRPr="00F32142" w:rsidRDefault="00F32142" w:rsidP="00F32142">
      <w:pPr>
        <w:pStyle w:val="4"/>
      </w:pPr>
      <w:r w:rsidRPr="00F32142">
        <w:rPr>
          <w:rtl/>
        </w:rPr>
        <w:t>المنظور الاجتماعي</w:t>
      </w:r>
      <w:r>
        <w:rPr>
          <w:rFonts w:hint="cs"/>
          <w:rtl/>
        </w:rPr>
        <w:t xml:space="preserve"> </w:t>
      </w:r>
      <w:r w:rsidRPr="00F32142">
        <w:rPr>
          <w:rtl/>
        </w:rPr>
        <w:t>–</w:t>
      </w:r>
      <w:r>
        <w:rPr>
          <w:rFonts w:hint="cs"/>
          <w:rtl/>
        </w:rPr>
        <w:t xml:space="preserve"> </w:t>
      </w:r>
      <w:r w:rsidRPr="00F32142">
        <w:rPr>
          <w:rtl/>
        </w:rPr>
        <w:t>التقني</w:t>
      </w:r>
    </w:p>
    <w:p w14:paraId="3EA8B347" w14:textId="78823944" w:rsidR="00E92072" w:rsidRDefault="008B042B" w:rsidP="00F32142">
      <w:pPr>
        <w:pStyle w:val="af5"/>
      </w:pPr>
      <w:r w:rsidRPr="008B042B">
        <w:rPr>
          <w:rFonts w:eastAsia="Noto Naskh Arabic"/>
          <w:rtl/>
        </w:rPr>
        <w:t xml:space="preserve">يفترض منظور النظم الاجتماعية–التقنية أن الأداء لا ينتج من تحسين النظام التقني بمعزل عن النظام الاجتماعي، بل من المواءمة المشتركة بين التقنية والمهام والأدوار والمهارات والقيم والهياكل. ويقدم هذا المنظور تفسيرًا ملائمًا لمشاريع التحول الرقمي؛ لأن اختلال الواجهة بين الأدوات والمنهجيات والعاملين قد يحول التقنية إلى مصدر للتعقيد أو المقاومة بدل أن تكون مصدرًا للقيمة. وقد استخدمته مراجعة </w:t>
      </w:r>
      <w:r w:rsidRPr="008B042B">
        <w:rPr>
          <w:rFonts w:eastAsia="Noto Naskh Arabic"/>
        </w:rPr>
        <w:t>Chen et al</w:t>
      </w:r>
      <w:r w:rsidRPr="008B042B">
        <w:rPr>
          <w:rFonts w:eastAsia="Noto Naskh Arabic"/>
          <w:rtl/>
        </w:rPr>
        <w:t xml:space="preserve">. (2025) لتفسير الحاجة إلى مواءمة الأدوات الرقمية مع المنهجيات والهياكل والقيادة، كما وسعته </w:t>
      </w:r>
      <w:r w:rsidRPr="008B042B">
        <w:rPr>
          <w:rFonts w:eastAsia="Noto Naskh Arabic"/>
        </w:rPr>
        <w:t>Shaba et al</w:t>
      </w:r>
      <w:r w:rsidRPr="008B042B">
        <w:rPr>
          <w:rFonts w:eastAsia="Noto Naskh Arabic"/>
          <w:rtl/>
        </w:rPr>
        <w:t>. (2023) إلى مستوى النظام البيئي بإدخال الموردين والعملاء والنقابات وأصحاب المصلحة الخارجيين في تصميم التغيير. ويعود الأساس النظري لهذا المنظور إلى أعمال النظم الاجتماعية–التقنية (</w:t>
      </w:r>
      <w:r w:rsidRPr="008B042B">
        <w:rPr>
          <w:rFonts w:eastAsia="Noto Naskh Arabic"/>
        </w:rPr>
        <w:t>Trist &amp; Bamforth, 1951</w:t>
      </w:r>
      <w:r w:rsidRPr="008B042B">
        <w:rPr>
          <w:rFonts w:eastAsia="Noto Naskh Arabic"/>
          <w:rtl/>
        </w:rPr>
        <w:t>).</w:t>
      </w:r>
    </w:p>
    <w:p w14:paraId="36DBE6F5" w14:textId="77777777" w:rsidR="00E92072" w:rsidRDefault="00E92072">
      <w:pPr>
        <w:rPr>
          <w:rFonts w:ascii="Simplified Arabic" w:eastAsia="Times New Roman" w:hAnsi="Simplified Arabic" w:cs="Simplified Arabic"/>
          <w:sz w:val="28"/>
          <w:szCs w:val="28"/>
        </w:rPr>
      </w:pPr>
      <w:r>
        <w:br w:type="page"/>
      </w:r>
    </w:p>
    <w:p w14:paraId="68F2762B" w14:textId="21994508" w:rsidR="00F32142" w:rsidRPr="00F32142" w:rsidRDefault="00F32142" w:rsidP="00F32142">
      <w:pPr>
        <w:pStyle w:val="3"/>
      </w:pPr>
      <w:bookmarkStart w:id="33" w:name="_Toc235073620"/>
      <w:r w:rsidRPr="00F32142">
        <w:rPr>
          <w:rtl/>
        </w:rPr>
        <w:lastRenderedPageBreak/>
        <w:t>إدارة المشاريع في سياق التحول الرقمي</w:t>
      </w:r>
      <w:bookmarkEnd w:id="33"/>
    </w:p>
    <w:p w14:paraId="38AC50F3" w14:textId="769B5596" w:rsidR="00F32142" w:rsidRPr="00F32142" w:rsidRDefault="00F32142" w:rsidP="00F32142">
      <w:pPr>
        <w:pStyle w:val="4"/>
      </w:pPr>
      <w:r w:rsidRPr="00F32142">
        <w:rPr>
          <w:rtl/>
        </w:rPr>
        <w:t>مفهوم إدارة المشاريع وتطور معيار النجاح</w:t>
      </w:r>
    </w:p>
    <w:p w14:paraId="6FFBE79C" w14:textId="77777777" w:rsidR="008B042B" w:rsidRPr="008B042B" w:rsidRDefault="008B042B" w:rsidP="008B042B">
      <w:pPr>
        <w:pStyle w:val="af5"/>
        <w:rPr>
          <w:rFonts w:eastAsia="Noto Naskh Arabic"/>
          <w:rtl/>
        </w:rPr>
      </w:pPr>
      <w:r w:rsidRPr="008B042B">
        <w:rPr>
          <w:rFonts w:eastAsia="Noto Naskh Arabic"/>
          <w:rtl/>
        </w:rPr>
        <w:t>تتمثل إدارة المشاريع في تطبيق المعارف والمهارات والممارسات والأدوات لتوجيه العمل المؤقت نحو نتائج وقيمة محددة. وقد ارتبطت الممارسة التقليدية بإدارة النطاق والوقت والتكلفة والجودة والمخاطر وأصحاب المصلحة. إلا أن البيئة الرقمية أعادت توسيع مفهوم النجاح؛ فلم يعد الالتزام بالخطة كافيًا إذا لم يستخدم المستفيدون الحل أو لم تتحقق الكفاءة أو الثقة أو المنافع المؤسسية. ويتفق ذلك مع التعريف المعاصر لإدارة المشاريع بوصفها نظامًا لتوجيه العمل نحو المخرجات والنتائج والقيمة (</w:t>
      </w:r>
      <w:r w:rsidRPr="008B042B">
        <w:rPr>
          <w:rFonts w:eastAsia="Noto Naskh Arabic"/>
        </w:rPr>
        <w:t>Project Management Institute, 2021</w:t>
      </w:r>
      <w:r w:rsidRPr="008B042B">
        <w:rPr>
          <w:rFonts w:eastAsia="Noto Naskh Arabic"/>
          <w:rtl/>
        </w:rPr>
        <w:t>).</w:t>
      </w:r>
    </w:p>
    <w:p w14:paraId="2F9B34E7" w14:textId="2DF14AE7" w:rsidR="00F32142" w:rsidRPr="00F32142" w:rsidRDefault="008B042B" w:rsidP="008B042B">
      <w:pPr>
        <w:pStyle w:val="af5"/>
      </w:pPr>
      <w:r w:rsidRPr="008B042B">
        <w:rPr>
          <w:rFonts w:eastAsia="Noto Naskh Arabic"/>
          <w:rtl/>
        </w:rPr>
        <w:t xml:space="preserve">يفرض هذا التطور فصلًا تحليليًا بين نجاح التسليم ونجاح التحول. يقيس الأول كفاءة التنفيذ وجودة المخرج، بينما يقيس الثاني التبني والتغير التشغيلي وتجربة المستخدم والمنافع والقيمة المستدامة. وتوضح </w:t>
      </w:r>
      <w:proofErr w:type="spellStart"/>
      <w:r w:rsidRPr="008B042B">
        <w:rPr>
          <w:rFonts w:eastAsia="Noto Naskh Arabic"/>
        </w:rPr>
        <w:t>Carujo</w:t>
      </w:r>
      <w:proofErr w:type="spellEnd"/>
      <w:r w:rsidRPr="008B042B">
        <w:rPr>
          <w:rFonts w:eastAsia="Noto Naskh Arabic"/>
        </w:rPr>
        <w:t xml:space="preserve"> et al</w:t>
      </w:r>
      <w:r w:rsidRPr="008B042B">
        <w:rPr>
          <w:rFonts w:eastAsia="Noto Naskh Arabic"/>
          <w:rtl/>
        </w:rPr>
        <w:t xml:space="preserve">. (2022) أن التقنية لا تولد القيمة بمفردها، وأن المنافع تحتاج إلى جدوى وإدارة مشروع وإدارة تغيير ومتابعة لاحقة. كما تكشف </w:t>
      </w:r>
      <w:r w:rsidRPr="008B042B">
        <w:rPr>
          <w:rFonts w:eastAsia="Noto Naskh Arabic"/>
        </w:rPr>
        <w:t>Cresswell et al</w:t>
      </w:r>
      <w:r w:rsidRPr="008B042B">
        <w:rPr>
          <w:rFonts w:eastAsia="Noto Naskh Arabic"/>
          <w:rtl/>
        </w:rPr>
        <w:t>. (2022) أن المنافع الرقمية قد تظهر ببطء ويصعب إسنادها إلى تدخل واحد، وهو ما يجعل إدارة المنافع وظيفة ممتدة بعد الإطلاق. ويؤكد منظور إدارة تحقيق المنافع أن نجاح المشروع يرتبط بقدرته على دعم تنفيذ الاستراتيجية وتحويل المخرجات إلى قيمة قابلة للتحقق (</w:t>
      </w:r>
      <w:r w:rsidRPr="008B042B">
        <w:rPr>
          <w:rFonts w:eastAsia="Noto Naskh Arabic"/>
        </w:rPr>
        <w:t>Serra &amp; Kunc, 2015</w:t>
      </w:r>
      <w:r w:rsidRPr="008B042B">
        <w:rPr>
          <w:rFonts w:eastAsia="Noto Naskh Arabic"/>
          <w:rtl/>
        </w:rPr>
        <w:t>).</w:t>
      </w:r>
    </w:p>
    <w:p w14:paraId="704955C3" w14:textId="3B25D055" w:rsidR="00F32142" w:rsidRDefault="00F32142" w:rsidP="00F32142">
      <w:pPr>
        <w:pStyle w:val="4"/>
      </w:pPr>
      <w:r>
        <w:rPr>
          <w:rFonts w:hint="cs"/>
          <w:rtl/>
        </w:rPr>
        <w:t>الحوكمة</w:t>
      </w:r>
      <w:r>
        <w:rPr>
          <w:rFonts w:ascii="Times New Roman" w:hAnsi="Times New Roman" w:cs="Noto Naskh Arabic"/>
          <w:rtl/>
        </w:rPr>
        <w:t xml:space="preserve"> </w:t>
      </w:r>
      <w:r>
        <w:rPr>
          <w:rFonts w:hint="cs"/>
          <w:rtl/>
        </w:rPr>
        <w:t>والمواءمة</w:t>
      </w:r>
      <w:r>
        <w:rPr>
          <w:rFonts w:ascii="Times New Roman" w:hAnsi="Times New Roman" w:cs="Noto Naskh Arabic"/>
          <w:rtl/>
        </w:rPr>
        <w:t xml:space="preserve"> </w:t>
      </w:r>
      <w:r>
        <w:rPr>
          <w:rFonts w:hint="cs"/>
          <w:rtl/>
        </w:rPr>
        <w:t>الاستراتيجية</w:t>
      </w:r>
      <w:r>
        <w:rPr>
          <w:rFonts w:ascii="Times New Roman" w:hAnsi="Times New Roman" w:cs="Noto Naskh Arabic"/>
          <w:rtl/>
        </w:rPr>
        <w:t xml:space="preserve"> </w:t>
      </w:r>
      <w:r>
        <w:rPr>
          <w:rFonts w:hint="cs"/>
          <w:rtl/>
        </w:rPr>
        <w:t>والمحفظة</w:t>
      </w:r>
      <w:r>
        <w:rPr>
          <w:rFonts w:ascii="Times New Roman" w:hAnsi="Times New Roman" w:cs="Noto Naskh Arabic"/>
          <w:rtl/>
        </w:rPr>
        <w:t xml:space="preserve"> </w:t>
      </w:r>
      <w:proofErr w:type="spellStart"/>
      <w:r>
        <w:rPr>
          <w:rFonts w:hint="cs"/>
          <w:rtl/>
        </w:rPr>
        <w:t>و</w:t>
      </w:r>
      <w:r>
        <w:rPr>
          <w:rFonts w:ascii="Times New Roman" w:hAnsi="Times New Roman" w:cs="Noto Naskh Arabic"/>
          <w:rtl/>
        </w:rPr>
        <w:t>PMO</w:t>
      </w:r>
      <w:proofErr w:type="spellEnd"/>
    </w:p>
    <w:p w14:paraId="72781803" w14:textId="77777777" w:rsidR="008B042B" w:rsidRPr="008B042B" w:rsidRDefault="008B042B" w:rsidP="008B042B">
      <w:pPr>
        <w:pStyle w:val="af5"/>
        <w:rPr>
          <w:rFonts w:eastAsia="Noto Naskh Arabic"/>
        </w:rPr>
      </w:pPr>
      <w:r w:rsidRPr="008B042B">
        <w:rPr>
          <w:rFonts w:eastAsia="Noto Naskh Arabic"/>
          <w:rtl/>
        </w:rPr>
        <w:t>توفر الحوكمة إطار حقوق القرار والمساءلة والرعاية والمواءمة بين المشروع والاستراتيجية. وتزداد أهميتها في التحول الرقمي بسبب تعدد المبادرات والجهات واعتماديات البيانات والعمليات والتقنية. ويؤدي مستوى المحفظة والبرنامج وظيفة اختيار المبادرات وترتيب أولوياتها وتنسيق الموارد والمنافع، بينما يمكن لمكتب إدارة المشاريع (</w:t>
      </w:r>
      <w:r w:rsidRPr="008B042B">
        <w:rPr>
          <w:rFonts w:eastAsia="Noto Naskh Arabic"/>
        </w:rPr>
        <w:t>Project Management Office: PMO</w:t>
      </w:r>
      <w:r w:rsidRPr="008B042B">
        <w:rPr>
          <w:rFonts w:eastAsia="Noto Naskh Arabic"/>
          <w:rtl/>
        </w:rPr>
        <w:t>) أن يوفر المعايير والمعرفة والربط بين المشاريع والقيادة. ومن هذا المنظور، تمثل حوكمة المشاريع نظامًا يربط السلطة والرقابة والمواءمة بين إدارة المشروع والحوكمة المؤسسية (</w:t>
      </w:r>
      <w:r w:rsidRPr="008B042B">
        <w:rPr>
          <w:rFonts w:eastAsia="Noto Naskh Arabic"/>
        </w:rPr>
        <w:t>Too &amp; Weaver, 2014</w:t>
      </w:r>
      <w:r w:rsidRPr="008B042B">
        <w:rPr>
          <w:rFonts w:eastAsia="Noto Naskh Arabic"/>
          <w:rtl/>
        </w:rPr>
        <w:t>).</w:t>
      </w:r>
    </w:p>
    <w:p w14:paraId="71E8BB17" w14:textId="474D80DE" w:rsidR="008B042B" w:rsidRDefault="008B042B" w:rsidP="008B042B">
      <w:pPr>
        <w:pStyle w:val="af5"/>
      </w:pPr>
      <w:r w:rsidRPr="008B042B">
        <w:rPr>
          <w:rFonts w:eastAsia="Noto Naskh Arabic"/>
          <w:rtl/>
        </w:rPr>
        <w:t xml:space="preserve">لكن قيمة </w:t>
      </w:r>
      <w:r w:rsidRPr="008B042B">
        <w:rPr>
          <w:rFonts w:eastAsia="Noto Naskh Arabic"/>
        </w:rPr>
        <w:t>PMO</w:t>
      </w:r>
      <w:r w:rsidRPr="008B042B">
        <w:rPr>
          <w:rFonts w:eastAsia="Noto Naskh Arabic"/>
          <w:rtl/>
        </w:rPr>
        <w:t xml:space="preserve"> لا تنشأ من المتابعة الإدارية وحدها. فقد أظهرت </w:t>
      </w:r>
      <w:r w:rsidRPr="008B042B">
        <w:rPr>
          <w:rFonts w:eastAsia="Noto Naskh Arabic"/>
        </w:rPr>
        <w:t>Vukadinovi</w:t>
      </w:r>
      <w:r w:rsidRPr="008B042B">
        <w:rPr>
          <w:rFonts w:ascii="Cambria" w:eastAsia="Noto Naskh Arabic" w:hAnsi="Cambria" w:cs="Cambria"/>
        </w:rPr>
        <w:t>ć</w:t>
      </w:r>
      <w:r w:rsidRPr="008B042B">
        <w:rPr>
          <w:rFonts w:eastAsia="Noto Naskh Arabic"/>
        </w:rPr>
        <w:t xml:space="preserve"> and </w:t>
      </w:r>
      <w:proofErr w:type="spellStart"/>
      <w:r w:rsidRPr="008B042B">
        <w:rPr>
          <w:rFonts w:eastAsia="Noto Naskh Arabic"/>
        </w:rPr>
        <w:t>Fabac</w:t>
      </w:r>
      <w:proofErr w:type="spellEnd"/>
      <w:r w:rsidRPr="008B042B">
        <w:rPr>
          <w:rFonts w:eastAsia="Noto Naskh Arabic"/>
          <w:rtl/>
        </w:rPr>
        <w:t xml:space="preserve"> (2022) أن مكتب إدارة المشاريع الرقمي يحتاج إلى توسيع دوره ليشمل الرشاقة والابتكار والمعرفة والتغيير. وقدمت </w:t>
      </w:r>
      <w:r w:rsidRPr="008B042B">
        <w:rPr>
          <w:rFonts w:eastAsia="Noto Naskh Arabic"/>
        </w:rPr>
        <w:t>Simard and Aubry</w:t>
      </w:r>
      <w:r w:rsidRPr="008B042B">
        <w:rPr>
          <w:rFonts w:eastAsia="Noto Naskh Arabic"/>
          <w:rtl/>
        </w:rPr>
        <w:t xml:space="preserve"> (2025) دليلًا طوليًا على أن </w:t>
      </w:r>
      <w:r w:rsidRPr="008B042B">
        <w:rPr>
          <w:rFonts w:eastAsia="Noto Naskh Arabic"/>
        </w:rPr>
        <w:t>PMO</w:t>
      </w:r>
      <w:r w:rsidRPr="008B042B">
        <w:rPr>
          <w:rFonts w:eastAsia="Noto Naskh Arabic"/>
          <w:rtl/>
        </w:rPr>
        <w:t xml:space="preserve"> يمكن أن يعمل عابرًا للحدود بين الأعمال وتقنية المعلومات، وأن يبني طبقات استقرار في الحوكمة والعمليات حتى عندما تتغير مكانته التنظيمية. وفي المقابل، توضح </w:t>
      </w:r>
      <w:r w:rsidRPr="008B042B">
        <w:rPr>
          <w:rFonts w:eastAsia="Noto Naskh Arabic"/>
        </w:rPr>
        <w:t>Cresswell et al</w:t>
      </w:r>
      <w:r w:rsidRPr="008B042B">
        <w:rPr>
          <w:rFonts w:eastAsia="Noto Naskh Arabic"/>
          <w:rtl/>
        </w:rPr>
        <w:t>. (2022) أن أدوات التقارير والحوكمة تصبح عبئًا إذا لم تتوافق أغراضها وأطرها الزمنية مع السياق المحلي.</w:t>
      </w:r>
    </w:p>
    <w:p w14:paraId="0355A5C2" w14:textId="77777777" w:rsidR="008B042B" w:rsidRDefault="008B042B">
      <w:pPr>
        <w:rPr>
          <w:rFonts w:ascii="Simplified Arabic" w:eastAsia="Times New Roman" w:hAnsi="Simplified Arabic" w:cs="Simplified Arabic"/>
          <w:sz w:val="28"/>
          <w:szCs w:val="28"/>
        </w:rPr>
      </w:pPr>
      <w:r>
        <w:br w:type="page"/>
      </w:r>
    </w:p>
    <w:p w14:paraId="085E45EA" w14:textId="2F39CEC2" w:rsidR="00F32142" w:rsidRDefault="00F32142" w:rsidP="00F32142">
      <w:pPr>
        <w:pStyle w:val="4"/>
      </w:pPr>
      <w:r>
        <w:rPr>
          <w:rFonts w:hint="cs"/>
          <w:rtl/>
        </w:rPr>
        <w:lastRenderedPageBreak/>
        <w:t>التخطيط</w:t>
      </w:r>
      <w:r>
        <w:rPr>
          <w:rFonts w:ascii="Times New Roman" w:hAnsi="Times New Roman" w:cs="Noto Naskh Arabic"/>
          <w:rtl/>
        </w:rPr>
        <w:t xml:space="preserve"> </w:t>
      </w:r>
      <w:r>
        <w:rPr>
          <w:rFonts w:hint="cs"/>
          <w:rtl/>
        </w:rPr>
        <w:t>التكيفي</w:t>
      </w:r>
      <w:r>
        <w:rPr>
          <w:rFonts w:ascii="Times New Roman" w:hAnsi="Times New Roman" w:cs="Noto Naskh Arabic"/>
          <w:rtl/>
        </w:rPr>
        <w:t xml:space="preserve"> </w:t>
      </w:r>
      <w:r>
        <w:rPr>
          <w:rFonts w:hint="cs"/>
          <w:rtl/>
        </w:rPr>
        <w:t>والمنهجيات</w:t>
      </w:r>
      <w:r>
        <w:rPr>
          <w:rFonts w:ascii="Times New Roman" w:hAnsi="Times New Roman" w:cs="Noto Naskh Arabic"/>
          <w:rtl/>
        </w:rPr>
        <w:t xml:space="preserve"> </w:t>
      </w:r>
      <w:r>
        <w:rPr>
          <w:rFonts w:hint="cs"/>
          <w:rtl/>
        </w:rPr>
        <w:t>الرشيقة</w:t>
      </w:r>
      <w:r>
        <w:rPr>
          <w:rFonts w:ascii="Times New Roman" w:hAnsi="Times New Roman" w:cs="Noto Naskh Arabic"/>
          <w:rtl/>
        </w:rPr>
        <w:t xml:space="preserve"> </w:t>
      </w:r>
      <w:r>
        <w:rPr>
          <w:rFonts w:hint="cs"/>
          <w:rtl/>
        </w:rPr>
        <w:t>والهجينة</w:t>
      </w:r>
    </w:p>
    <w:p w14:paraId="6B901243" w14:textId="77777777" w:rsidR="008B042B" w:rsidRPr="008B042B" w:rsidRDefault="008B042B" w:rsidP="008B042B">
      <w:pPr>
        <w:pStyle w:val="af5"/>
        <w:rPr>
          <w:rFonts w:eastAsia="Noto Naskh Arabic"/>
          <w:rtl/>
        </w:rPr>
      </w:pPr>
      <w:r w:rsidRPr="008B042B">
        <w:rPr>
          <w:rFonts w:eastAsia="Noto Naskh Arabic"/>
          <w:rtl/>
        </w:rPr>
        <w:t>تتطلب مشاريع التحول الرقمي موازنة بين الضبط والتكيف. فالمنهج التقليدي يوفر الوضوح والمساءلة، لكنه قد يصبح جامدًا عندما تتغير المتطلبات أو تحتاج المؤسسة إلى التعلم بالتجربة. وتسمح المنهجيات الرشيقة (</w:t>
      </w:r>
      <w:r w:rsidRPr="008B042B">
        <w:rPr>
          <w:rFonts w:eastAsia="Noto Naskh Arabic"/>
        </w:rPr>
        <w:t>Agile</w:t>
      </w:r>
      <w:r w:rsidRPr="008B042B">
        <w:rPr>
          <w:rFonts w:eastAsia="Noto Naskh Arabic"/>
          <w:rtl/>
        </w:rPr>
        <w:t xml:space="preserve">) بالتكرار والتغذية الراجعة والتسليم المرحلي، بينما تمزج المنهجيات الهجينة بين البوابات والضوابط المؤسسية وبين التكرارات والتجريب. كما يتسق اختيار المنهجية مع المنظور </w:t>
      </w:r>
      <w:proofErr w:type="spellStart"/>
      <w:r w:rsidRPr="008B042B">
        <w:rPr>
          <w:rFonts w:eastAsia="Noto Naskh Arabic"/>
          <w:rtl/>
        </w:rPr>
        <w:t>الاقتضائي</w:t>
      </w:r>
      <w:proofErr w:type="spellEnd"/>
      <w:r w:rsidRPr="008B042B">
        <w:rPr>
          <w:rFonts w:eastAsia="Noto Naskh Arabic"/>
          <w:rtl/>
        </w:rPr>
        <w:t xml:space="preserve"> الذي يفترض اختلاف أسلوب الإدارة باختلاف خصائص المشروع وعدم اليقين (</w:t>
      </w:r>
      <w:proofErr w:type="spellStart"/>
      <w:r w:rsidRPr="008B042B">
        <w:rPr>
          <w:rFonts w:eastAsia="Noto Naskh Arabic"/>
        </w:rPr>
        <w:t>Shenhar</w:t>
      </w:r>
      <w:proofErr w:type="spellEnd"/>
      <w:r w:rsidRPr="008B042B">
        <w:rPr>
          <w:rFonts w:eastAsia="Noto Naskh Arabic"/>
        </w:rPr>
        <w:t>, 2001</w:t>
      </w:r>
      <w:r w:rsidRPr="008B042B">
        <w:rPr>
          <w:rFonts w:eastAsia="Noto Naskh Arabic"/>
          <w:rtl/>
        </w:rPr>
        <w:t>).</w:t>
      </w:r>
    </w:p>
    <w:p w14:paraId="372DD73D" w14:textId="11197646" w:rsidR="00F32142" w:rsidRPr="00F32142" w:rsidRDefault="008B042B" w:rsidP="008B042B">
      <w:pPr>
        <w:pStyle w:val="af5"/>
      </w:pPr>
      <w:r w:rsidRPr="008B042B">
        <w:rPr>
          <w:rFonts w:eastAsia="Noto Naskh Arabic"/>
          <w:rtl/>
        </w:rPr>
        <w:t xml:space="preserve">لا تعني الرشاقة إلغاء التخطيط أو الحوكمة؛ بل تحويلهما إلى عمليات دورية قابلة للتحديث. وقد أظهرت </w:t>
      </w:r>
      <w:r w:rsidRPr="008B042B">
        <w:rPr>
          <w:rFonts w:eastAsia="Noto Naskh Arabic"/>
        </w:rPr>
        <w:t>Nerurkar and Das</w:t>
      </w:r>
      <w:r w:rsidRPr="008B042B">
        <w:rPr>
          <w:rFonts w:eastAsia="Noto Naskh Arabic"/>
          <w:rtl/>
        </w:rPr>
        <w:t xml:space="preserve"> (2017) أهمية تقسيم البرنامج الحكومي الكبير إلى عمليات أصغر والتعلم من المستخدمين والمسؤولين، وربطت </w:t>
      </w:r>
      <w:r w:rsidRPr="008B042B">
        <w:rPr>
          <w:rFonts w:eastAsia="Noto Naskh Arabic"/>
        </w:rPr>
        <w:t>Galvão Junior et al</w:t>
      </w:r>
      <w:r w:rsidRPr="008B042B">
        <w:rPr>
          <w:rFonts w:eastAsia="Noto Naskh Arabic"/>
          <w:rtl/>
        </w:rPr>
        <w:t xml:space="preserve">. (2024) الرشاقة بالفرق متعددة التخصصات والتسليم المستمر للقيمة. كما استخدمت </w:t>
      </w:r>
      <w:r w:rsidRPr="008B042B">
        <w:rPr>
          <w:rFonts w:eastAsia="Noto Naskh Arabic"/>
        </w:rPr>
        <w:t>Albrecht et al</w:t>
      </w:r>
      <w:r w:rsidRPr="008B042B">
        <w:rPr>
          <w:rFonts w:eastAsia="Noto Naskh Arabic"/>
          <w:rtl/>
        </w:rPr>
        <w:t>. (2025) التكرار والاستكشاف والتقدير المرحلي للتعامل مع عدم يقين التأسيس والميزانية.</w:t>
      </w:r>
    </w:p>
    <w:p w14:paraId="74A7145A" w14:textId="26D525D0" w:rsidR="00F32142" w:rsidRDefault="00F32142" w:rsidP="00F32142">
      <w:pPr>
        <w:pStyle w:val="4"/>
      </w:pPr>
      <w:r>
        <w:rPr>
          <w:rFonts w:hint="cs"/>
          <w:rtl/>
        </w:rPr>
        <w:t>إدارة</w:t>
      </w:r>
      <w:r>
        <w:rPr>
          <w:rFonts w:ascii="Times New Roman" w:hAnsi="Times New Roman" w:cs="Noto Naskh Arabic"/>
          <w:rtl/>
        </w:rPr>
        <w:t xml:space="preserve"> </w:t>
      </w:r>
      <w:r>
        <w:rPr>
          <w:rFonts w:hint="cs"/>
          <w:rtl/>
        </w:rPr>
        <w:t>المخاطر</w:t>
      </w:r>
      <w:r>
        <w:rPr>
          <w:rFonts w:ascii="Times New Roman" w:hAnsi="Times New Roman" w:cs="Noto Naskh Arabic"/>
          <w:rtl/>
        </w:rPr>
        <w:t xml:space="preserve"> </w:t>
      </w:r>
      <w:r>
        <w:rPr>
          <w:rFonts w:hint="cs"/>
          <w:rtl/>
        </w:rPr>
        <w:t>وعدم</w:t>
      </w:r>
      <w:r>
        <w:rPr>
          <w:rFonts w:ascii="Times New Roman" w:hAnsi="Times New Roman" w:cs="Noto Naskh Arabic"/>
          <w:rtl/>
        </w:rPr>
        <w:t xml:space="preserve"> </w:t>
      </w:r>
      <w:r>
        <w:rPr>
          <w:rFonts w:hint="cs"/>
          <w:rtl/>
        </w:rPr>
        <w:t>اليقين</w:t>
      </w:r>
      <w:r>
        <w:rPr>
          <w:rFonts w:ascii="Times New Roman" w:hAnsi="Times New Roman" w:cs="Noto Naskh Arabic"/>
          <w:rtl/>
        </w:rPr>
        <w:t xml:space="preserve"> </w:t>
      </w:r>
      <w:r>
        <w:rPr>
          <w:rFonts w:hint="cs"/>
          <w:rtl/>
        </w:rPr>
        <w:t>والتعقيد</w:t>
      </w:r>
    </w:p>
    <w:p w14:paraId="48C4AEB1" w14:textId="6FF73571" w:rsidR="00F32142" w:rsidRPr="00F32142" w:rsidRDefault="008B042B" w:rsidP="00F32142">
      <w:pPr>
        <w:pStyle w:val="af5"/>
      </w:pPr>
      <w:r w:rsidRPr="008B042B">
        <w:rPr>
          <w:rFonts w:eastAsia="Noto Naskh Arabic"/>
          <w:rtl/>
        </w:rPr>
        <w:t>تتسع المخاطر في التحول الرقمي لتشمل المخاطر التقنية والتنظيمية والسلوكية والثقافية والقانونية ومخاطر الاعتماديات. وقد يكون تغير النطاق أو نقص المهارات أو مقاومة المستخدمين أو تعارض الأهداف بين الوحدات أكثر تأثيرًا من الخلل التقني. لذلك ينبغي أن يدمج سجل المخاطر افتراضات التبني والجاهزية والعمليات والمنافع، وأن يبدأ تحليل الأثر منذ مرحلة الجدوى والميزانية.</w:t>
      </w:r>
    </w:p>
    <w:p w14:paraId="3C6E88A7" w14:textId="0FE2A983" w:rsidR="00F32142" w:rsidRDefault="00F32142" w:rsidP="00F32142">
      <w:pPr>
        <w:pStyle w:val="3"/>
      </w:pPr>
      <w:bookmarkStart w:id="34" w:name="_Toc235073621"/>
      <w:r>
        <w:rPr>
          <w:rFonts w:hint="cs"/>
          <w:rtl/>
        </w:rPr>
        <w:t>إدارة</w:t>
      </w:r>
      <w:r>
        <w:rPr>
          <w:rFonts w:ascii="Times New Roman" w:hAnsi="Times New Roman" w:cs="Noto Naskh Arabic"/>
          <w:rtl/>
        </w:rPr>
        <w:t xml:space="preserve"> </w:t>
      </w:r>
      <w:r>
        <w:rPr>
          <w:rFonts w:hint="cs"/>
          <w:rtl/>
        </w:rPr>
        <w:t>التغيير</w:t>
      </w:r>
      <w:r>
        <w:rPr>
          <w:rFonts w:ascii="Times New Roman" w:hAnsi="Times New Roman" w:cs="Noto Naskh Arabic"/>
          <w:rtl/>
        </w:rPr>
        <w:t xml:space="preserve"> </w:t>
      </w:r>
      <w:r>
        <w:rPr>
          <w:rFonts w:hint="cs"/>
          <w:rtl/>
        </w:rPr>
        <w:t>في</w:t>
      </w:r>
      <w:r>
        <w:rPr>
          <w:rFonts w:ascii="Times New Roman" w:hAnsi="Times New Roman" w:cs="Noto Naskh Arabic"/>
          <w:rtl/>
        </w:rPr>
        <w:t xml:space="preserve"> </w:t>
      </w:r>
      <w:r>
        <w:rPr>
          <w:rFonts w:hint="cs"/>
          <w:rtl/>
        </w:rPr>
        <w:t>مشاريع</w:t>
      </w:r>
      <w:r>
        <w:rPr>
          <w:rFonts w:ascii="Times New Roman" w:hAnsi="Times New Roman" w:cs="Noto Naskh Arabic"/>
          <w:rtl/>
        </w:rPr>
        <w:t xml:space="preserve"> </w:t>
      </w:r>
      <w:r>
        <w:rPr>
          <w:rFonts w:hint="cs"/>
          <w:rtl/>
        </w:rPr>
        <w:t>التحول</w:t>
      </w:r>
      <w:r>
        <w:rPr>
          <w:rFonts w:ascii="Times New Roman" w:hAnsi="Times New Roman" w:cs="Noto Naskh Arabic"/>
          <w:rtl/>
        </w:rPr>
        <w:t xml:space="preserve"> </w:t>
      </w:r>
      <w:r>
        <w:rPr>
          <w:rFonts w:hint="cs"/>
          <w:rtl/>
        </w:rPr>
        <w:t>الرقمي</w:t>
      </w:r>
      <w:bookmarkEnd w:id="34"/>
    </w:p>
    <w:p w14:paraId="777D4C07" w14:textId="4BD9DEB8" w:rsidR="00F32142" w:rsidRDefault="00F32142" w:rsidP="00F32142">
      <w:pPr>
        <w:pStyle w:val="4"/>
      </w:pPr>
      <w:r>
        <w:rPr>
          <w:rFonts w:hint="cs"/>
          <w:rtl/>
        </w:rPr>
        <w:t>مفهوم</w:t>
      </w:r>
      <w:r>
        <w:rPr>
          <w:rFonts w:ascii="Times New Roman" w:hAnsi="Times New Roman" w:cs="Noto Naskh Arabic"/>
          <w:rtl/>
        </w:rPr>
        <w:t xml:space="preserve"> </w:t>
      </w:r>
      <w:r>
        <w:rPr>
          <w:rFonts w:hint="cs"/>
          <w:rtl/>
        </w:rPr>
        <w:t>إدارة</w:t>
      </w:r>
      <w:r>
        <w:rPr>
          <w:rFonts w:ascii="Times New Roman" w:hAnsi="Times New Roman" w:cs="Noto Naskh Arabic"/>
          <w:rtl/>
        </w:rPr>
        <w:t xml:space="preserve"> </w:t>
      </w:r>
      <w:r>
        <w:rPr>
          <w:rFonts w:hint="cs"/>
          <w:rtl/>
        </w:rPr>
        <w:t>التغيير</w:t>
      </w:r>
      <w:r>
        <w:rPr>
          <w:rFonts w:ascii="Times New Roman" w:hAnsi="Times New Roman" w:cs="Noto Naskh Arabic"/>
          <w:rtl/>
        </w:rPr>
        <w:t xml:space="preserve"> </w:t>
      </w:r>
      <w:r>
        <w:rPr>
          <w:rFonts w:hint="cs"/>
          <w:rtl/>
        </w:rPr>
        <w:t>ومستوياتها</w:t>
      </w:r>
    </w:p>
    <w:p w14:paraId="2A1DFF27" w14:textId="77777777" w:rsidR="008B042B" w:rsidRPr="008B042B" w:rsidRDefault="008B042B" w:rsidP="008B042B">
      <w:pPr>
        <w:pStyle w:val="af5"/>
        <w:rPr>
          <w:rFonts w:eastAsia="Noto Naskh Arabic"/>
          <w:rtl/>
        </w:rPr>
      </w:pPr>
      <w:r w:rsidRPr="008B042B">
        <w:rPr>
          <w:rFonts w:eastAsia="Noto Naskh Arabic"/>
          <w:rtl/>
        </w:rPr>
        <w:t>إدارة التغيير هي العملية المنظمة التي تهيئ الأفراد والجماعات والمؤسسة للانتقال من حالة قائمة إلى حالة مستهدفة، وتدعم قبول السلوكيات والعمليات والأدوار الجديدة واستمرارها. وهي تختلف عن التغيير التنظيمي بوصفه الظاهرة أو الحالة؛ فإدارة التغيير تشير إلى الممارسات التي توجه هذه الظاهرة وتقلل فجوة الانتقال.</w:t>
      </w:r>
    </w:p>
    <w:p w14:paraId="07A5E5E2" w14:textId="0AA8B4B5" w:rsidR="00997E95" w:rsidRDefault="008B042B" w:rsidP="00997E95">
      <w:pPr>
        <w:pStyle w:val="af5"/>
      </w:pPr>
      <w:r w:rsidRPr="008B042B">
        <w:rPr>
          <w:rFonts w:eastAsia="Noto Naskh Arabic"/>
          <w:rtl/>
        </w:rPr>
        <w:t>يحدث التغيير الرقمي على مستويات مترابطة: مستوى فردي يتعلق بالوعي والرغبة والمعرفة والقدرة، ومستوى جماعي يتعلق بالفرق والهوية المهنية والتفاعل، ومستوى تنظيمي يتعلق بالهيكل والثقافة والحوافز والحوكمة، ومستوى نظامي يتعلق بالموردين والعملاء والجهات التنظيمية والمنصات. ويترتب على ذلك أن التدريب الفردي لا يعالج وحده خلل الحوكمة أو تعارض الحوافز أو ضعف ملكية العملية.</w:t>
      </w:r>
    </w:p>
    <w:p w14:paraId="0270CF8B" w14:textId="08E7907A" w:rsidR="00F32142" w:rsidRDefault="00F32142" w:rsidP="00F32142">
      <w:pPr>
        <w:pStyle w:val="4"/>
      </w:pPr>
      <w:r>
        <w:rPr>
          <w:rFonts w:hint="cs"/>
          <w:rtl/>
        </w:rPr>
        <w:t>القيادة</w:t>
      </w:r>
      <w:r>
        <w:rPr>
          <w:rFonts w:ascii="Times New Roman" w:hAnsi="Times New Roman" w:cs="Noto Naskh Arabic"/>
          <w:rtl/>
        </w:rPr>
        <w:t xml:space="preserve"> </w:t>
      </w:r>
      <w:r>
        <w:rPr>
          <w:rFonts w:hint="cs"/>
          <w:rtl/>
        </w:rPr>
        <w:t>والثقافة</w:t>
      </w:r>
      <w:r>
        <w:rPr>
          <w:rFonts w:ascii="Times New Roman" w:hAnsi="Times New Roman" w:cs="Noto Naskh Arabic"/>
          <w:rtl/>
        </w:rPr>
        <w:t xml:space="preserve"> </w:t>
      </w:r>
      <w:r>
        <w:rPr>
          <w:rFonts w:hint="cs"/>
          <w:rtl/>
        </w:rPr>
        <w:t>والمقاومة</w:t>
      </w:r>
    </w:p>
    <w:p w14:paraId="578F10AD" w14:textId="77777777" w:rsidR="008B042B" w:rsidRPr="008B042B" w:rsidRDefault="008B042B" w:rsidP="008B042B">
      <w:pPr>
        <w:pStyle w:val="af5"/>
        <w:rPr>
          <w:rFonts w:eastAsia="Noto Naskh Arabic"/>
          <w:rtl/>
        </w:rPr>
      </w:pPr>
      <w:r w:rsidRPr="008B042B">
        <w:rPr>
          <w:rFonts w:eastAsia="Noto Naskh Arabic"/>
          <w:rtl/>
        </w:rPr>
        <w:t xml:space="preserve">تؤدي القيادة دورًا في صياغة الرؤية وتخصيص الموارد وإزالة العوائق وإظهار السلوك المتوقع. لكن الرعاية التنفيذية لا تكون فعالة إذا بقيت رمزية أو لم تُترجم إلى حقوق قرار ومسؤوليات ومساءلة. وتشير </w:t>
      </w:r>
      <w:proofErr w:type="spellStart"/>
      <w:r w:rsidRPr="008B042B">
        <w:rPr>
          <w:rFonts w:eastAsia="Noto Naskh Arabic"/>
        </w:rPr>
        <w:t>Perides</w:t>
      </w:r>
      <w:proofErr w:type="spellEnd"/>
      <w:r w:rsidRPr="008B042B">
        <w:rPr>
          <w:rFonts w:eastAsia="Noto Naskh Arabic"/>
        </w:rPr>
        <w:t xml:space="preserve"> </w:t>
      </w:r>
      <w:r w:rsidRPr="008B042B">
        <w:rPr>
          <w:rFonts w:eastAsia="Noto Naskh Arabic"/>
        </w:rPr>
        <w:lastRenderedPageBreak/>
        <w:t>et al</w:t>
      </w:r>
      <w:r w:rsidRPr="008B042B">
        <w:rPr>
          <w:rFonts w:eastAsia="Noto Naskh Arabic"/>
          <w:rtl/>
        </w:rPr>
        <w:t>. (2020) و</w:t>
      </w:r>
      <w:proofErr w:type="spellStart"/>
      <w:r w:rsidRPr="008B042B">
        <w:rPr>
          <w:rFonts w:eastAsia="Noto Naskh Arabic"/>
        </w:rPr>
        <w:t>Tschebul</w:t>
      </w:r>
      <w:proofErr w:type="spellEnd"/>
      <w:r w:rsidRPr="008B042B">
        <w:rPr>
          <w:rFonts w:eastAsia="Noto Naskh Arabic"/>
          <w:rtl/>
        </w:rPr>
        <w:t xml:space="preserve"> (2023) إلى أهمية الجمع بين الدعم من أعلى والمشاركة من أسفل، وربط القيادة بملكية الأعمال لا بمجرد رعاية تقنية.</w:t>
      </w:r>
    </w:p>
    <w:p w14:paraId="1606262B" w14:textId="267FA60D" w:rsidR="00F32142" w:rsidRPr="00F32142" w:rsidRDefault="008B042B" w:rsidP="008B042B">
      <w:pPr>
        <w:pStyle w:val="af5"/>
      </w:pPr>
      <w:r w:rsidRPr="008B042B">
        <w:rPr>
          <w:rFonts w:eastAsia="Noto Naskh Arabic"/>
          <w:rtl/>
        </w:rPr>
        <w:t xml:space="preserve">أما الثقافة التنظيمية فتعبر عن القيم والمعايير والافتراضات التي توجه السلوك، ولا تساوي المقاومة. فالمقاومة أو القبول استجابة أفراد أو جماعات لتغيير محدد، وقد تنشأ من الخوف أو فقدان المعنى أو ضعف المشاركة أو نقص المهارات أو عدم الثقة. وتوضح </w:t>
      </w:r>
      <w:r w:rsidRPr="008B042B">
        <w:rPr>
          <w:rFonts w:eastAsia="Noto Naskh Arabic"/>
        </w:rPr>
        <w:t>Ullrich et al</w:t>
      </w:r>
      <w:r w:rsidRPr="008B042B">
        <w:rPr>
          <w:rFonts w:eastAsia="Noto Naskh Arabic"/>
          <w:rtl/>
        </w:rPr>
        <w:t xml:space="preserve">. (2023) أن المشاركة الشكلية قد تزيد المقاومة إذا لم يكن لها أثر حقيقي، بينما تبين </w:t>
      </w:r>
      <w:proofErr w:type="spellStart"/>
      <w:r w:rsidRPr="008B042B">
        <w:rPr>
          <w:rFonts w:eastAsia="Noto Naskh Arabic"/>
          <w:rtl/>
        </w:rPr>
        <w:t>أوصالح</w:t>
      </w:r>
      <w:proofErr w:type="spellEnd"/>
      <w:r w:rsidRPr="008B042B">
        <w:rPr>
          <w:rFonts w:eastAsia="Noto Naskh Arabic"/>
          <w:rtl/>
        </w:rPr>
        <w:t xml:space="preserve"> (2023) وبوشارب (2025) أن الاتصال والتدريب والدعم والتهيئة تقلل مقاومة التحول في السياقات العربية.</w:t>
      </w:r>
    </w:p>
    <w:p w14:paraId="04F2F294" w14:textId="304F1822" w:rsidR="00F32142" w:rsidRDefault="00F32142" w:rsidP="00F32142">
      <w:pPr>
        <w:pStyle w:val="4"/>
      </w:pPr>
      <w:r>
        <w:rPr>
          <w:rFonts w:hint="cs"/>
          <w:rtl/>
        </w:rPr>
        <w:t>التواصل</w:t>
      </w:r>
      <w:r>
        <w:rPr>
          <w:rFonts w:ascii="Times New Roman" w:hAnsi="Times New Roman" w:cs="Noto Naskh Arabic"/>
          <w:rtl/>
        </w:rPr>
        <w:t xml:space="preserve"> </w:t>
      </w:r>
      <w:r>
        <w:rPr>
          <w:rFonts w:hint="cs"/>
          <w:rtl/>
        </w:rPr>
        <w:t>والمشاركة</w:t>
      </w:r>
      <w:r>
        <w:rPr>
          <w:rFonts w:ascii="Times New Roman" w:hAnsi="Times New Roman" w:cs="Noto Naskh Arabic"/>
          <w:rtl/>
        </w:rPr>
        <w:t xml:space="preserve"> </w:t>
      </w:r>
      <w:r>
        <w:rPr>
          <w:rFonts w:hint="cs"/>
          <w:rtl/>
        </w:rPr>
        <w:t>وإشراك</w:t>
      </w:r>
      <w:r>
        <w:rPr>
          <w:rFonts w:ascii="Times New Roman" w:hAnsi="Times New Roman" w:cs="Noto Naskh Arabic"/>
          <w:rtl/>
        </w:rPr>
        <w:t xml:space="preserve"> </w:t>
      </w:r>
      <w:r>
        <w:rPr>
          <w:rFonts w:hint="cs"/>
          <w:rtl/>
        </w:rPr>
        <w:t>أصحاب</w:t>
      </w:r>
      <w:r>
        <w:rPr>
          <w:rFonts w:ascii="Times New Roman" w:hAnsi="Times New Roman" w:cs="Noto Naskh Arabic"/>
          <w:rtl/>
        </w:rPr>
        <w:t xml:space="preserve"> </w:t>
      </w:r>
      <w:r>
        <w:rPr>
          <w:rFonts w:hint="cs"/>
          <w:rtl/>
        </w:rPr>
        <w:t>المصلحة</w:t>
      </w:r>
    </w:p>
    <w:p w14:paraId="7750B8A8" w14:textId="71A067C5" w:rsidR="00F32142" w:rsidRPr="00F32142" w:rsidRDefault="008B042B" w:rsidP="00F32142">
      <w:pPr>
        <w:pStyle w:val="af5"/>
      </w:pPr>
      <w:r w:rsidRPr="008B042B">
        <w:rPr>
          <w:rFonts w:eastAsia="Noto Naskh Arabic"/>
          <w:rtl/>
        </w:rPr>
        <w:t xml:space="preserve">يؤدي التواصل وظيفة بناء المعنى وتوضيح الرؤية والأثر والتقدم والتوقعات، بينما تعني المشاركة إسهام أصحاب المصلحة في التشخيص أو التصميم أو القرار أو التحقق. ويمنع هذا التمييز مساواة الإبلاغ الأحادي بالمشاركة الفعلية. وتبين </w:t>
      </w:r>
      <w:r w:rsidRPr="008B042B">
        <w:rPr>
          <w:rFonts w:eastAsia="Noto Naskh Arabic"/>
        </w:rPr>
        <w:t>Ullrich et al</w:t>
      </w:r>
      <w:r w:rsidRPr="008B042B">
        <w:rPr>
          <w:rFonts w:eastAsia="Noto Naskh Arabic"/>
          <w:rtl/>
        </w:rPr>
        <w:t xml:space="preserve">. (2023) أن اختيار صيغة المشاركة يجب أن يرتبط بالهدف والسياق والوقت والموارد، كما تظهر </w:t>
      </w:r>
      <w:r w:rsidRPr="008B042B">
        <w:rPr>
          <w:rFonts w:eastAsia="Noto Naskh Arabic"/>
        </w:rPr>
        <w:t>Shaba et al</w:t>
      </w:r>
      <w:r w:rsidRPr="008B042B">
        <w:rPr>
          <w:rFonts w:eastAsia="Noto Naskh Arabic"/>
          <w:rtl/>
        </w:rPr>
        <w:t xml:space="preserve">. (2023) أهمية توسيع المشاركة إلى أصحاب المصلحة في النظام البيئي عندما تمتد آثار </w:t>
      </w:r>
      <w:proofErr w:type="spellStart"/>
      <w:r w:rsidRPr="008B042B">
        <w:rPr>
          <w:rFonts w:eastAsia="Noto Naskh Arabic"/>
          <w:rtl/>
        </w:rPr>
        <w:t>الرقمنة</w:t>
      </w:r>
      <w:proofErr w:type="spellEnd"/>
      <w:r w:rsidRPr="008B042B">
        <w:rPr>
          <w:rFonts w:eastAsia="Noto Naskh Arabic"/>
          <w:rtl/>
        </w:rPr>
        <w:t xml:space="preserve"> إلى ما وراء حدود المؤسسة.</w:t>
      </w:r>
    </w:p>
    <w:p w14:paraId="6EC8FB44" w14:textId="4A625C1F" w:rsidR="00F32142" w:rsidRDefault="00F32142" w:rsidP="00F32142">
      <w:pPr>
        <w:pStyle w:val="4"/>
      </w:pPr>
      <w:r>
        <w:rPr>
          <w:rFonts w:hint="cs"/>
          <w:rtl/>
        </w:rPr>
        <w:t>الجاهزية</w:t>
      </w:r>
      <w:r>
        <w:rPr>
          <w:rFonts w:ascii="Times New Roman" w:hAnsi="Times New Roman" w:cs="Noto Naskh Arabic"/>
          <w:rtl/>
        </w:rPr>
        <w:t xml:space="preserve"> </w:t>
      </w:r>
      <w:r>
        <w:rPr>
          <w:rFonts w:hint="cs"/>
          <w:rtl/>
        </w:rPr>
        <w:t>والتبني</w:t>
      </w:r>
      <w:r>
        <w:rPr>
          <w:rFonts w:ascii="Times New Roman" w:hAnsi="Times New Roman" w:cs="Noto Naskh Arabic"/>
          <w:rtl/>
        </w:rPr>
        <w:t xml:space="preserve"> </w:t>
      </w:r>
      <w:r>
        <w:rPr>
          <w:rFonts w:hint="cs"/>
          <w:rtl/>
        </w:rPr>
        <w:t>والتدريب</w:t>
      </w:r>
      <w:r>
        <w:rPr>
          <w:rFonts w:ascii="Times New Roman" w:hAnsi="Times New Roman" w:cs="Noto Naskh Arabic"/>
          <w:rtl/>
        </w:rPr>
        <w:t xml:space="preserve"> </w:t>
      </w:r>
      <w:r>
        <w:rPr>
          <w:rFonts w:hint="cs"/>
          <w:rtl/>
        </w:rPr>
        <w:t>والقدرات</w:t>
      </w:r>
    </w:p>
    <w:p w14:paraId="6387FCF9" w14:textId="77777777" w:rsidR="008B042B" w:rsidRPr="008B042B" w:rsidRDefault="008B042B" w:rsidP="008B042B">
      <w:pPr>
        <w:pStyle w:val="af5"/>
        <w:rPr>
          <w:rFonts w:eastAsia="Noto Naskh Arabic"/>
          <w:rtl/>
        </w:rPr>
      </w:pPr>
      <w:r w:rsidRPr="008B042B">
        <w:rPr>
          <w:rFonts w:eastAsia="Noto Naskh Arabic"/>
          <w:rtl/>
        </w:rPr>
        <w:t>تشير الجاهزية إلى استعداد المؤسسة والأفراد لفهم التغيير وقبوله وتنفيذه، بينما يعبر التبني عن الاستخدام الفعلي والاستمرار والتعزيز. أما التدريب والقدرات والتعلم فهي تدخلات تبني المعرفة والمهارة والقدرة التنظيمية. ويترتب على ذلك أن عدد الدورات التدريبية لا يمثل في حد ذاته مؤشرًا على التبني، ما لم يرتبط بالكفاءة في الدور الجديد والاستخدام الفعلي وتحسن العملية.</w:t>
      </w:r>
    </w:p>
    <w:p w14:paraId="03BBB158" w14:textId="7300D397" w:rsidR="00F32142" w:rsidRPr="00F32142" w:rsidRDefault="008B042B" w:rsidP="008B042B">
      <w:pPr>
        <w:pStyle w:val="af5"/>
      </w:pPr>
      <w:r w:rsidRPr="008B042B">
        <w:rPr>
          <w:rFonts w:eastAsia="Noto Naskh Arabic"/>
          <w:rtl/>
        </w:rPr>
        <w:t xml:space="preserve">تدعم </w:t>
      </w:r>
      <w:r w:rsidRPr="008B042B">
        <w:rPr>
          <w:rFonts w:eastAsia="Noto Naskh Arabic"/>
        </w:rPr>
        <w:t xml:space="preserve">Al-Moaid and </w:t>
      </w:r>
      <w:proofErr w:type="spellStart"/>
      <w:r w:rsidRPr="008B042B">
        <w:rPr>
          <w:rFonts w:eastAsia="Noto Naskh Arabic"/>
        </w:rPr>
        <w:t>Almarhdi</w:t>
      </w:r>
      <w:proofErr w:type="spellEnd"/>
      <w:r w:rsidRPr="008B042B">
        <w:rPr>
          <w:rFonts w:eastAsia="Noto Naskh Arabic"/>
          <w:rtl/>
        </w:rPr>
        <w:t xml:space="preserve"> (2024) دور القدرات الديناميكية وإدارة التغيير في نقل المؤسسة من الاستشعار إلى الاقتناص وإعادة التشكيل. كما تكشف الدراسات العربية، مثل بن أمينة </w:t>
      </w:r>
      <w:proofErr w:type="spellStart"/>
      <w:r w:rsidRPr="008B042B">
        <w:rPr>
          <w:rFonts w:eastAsia="Noto Naskh Arabic"/>
          <w:rtl/>
        </w:rPr>
        <w:t>ولقام</w:t>
      </w:r>
      <w:proofErr w:type="spellEnd"/>
      <w:r w:rsidRPr="008B042B">
        <w:rPr>
          <w:rFonts w:eastAsia="Noto Naskh Arabic"/>
          <w:rtl/>
        </w:rPr>
        <w:t xml:space="preserve"> (2025) وبلقاضي (2024)، أن الثقافة والمهارات والجاهزية متطلبات متداخلة، لكنها تحتاج إلى ربط أوضح بقرارات المشروع ومراحله ومؤشراته. ويستند تفسير ذلك إلى منظور القدرات الديناميكية (</w:t>
      </w:r>
      <w:r w:rsidRPr="008B042B">
        <w:rPr>
          <w:rFonts w:eastAsia="Noto Naskh Arabic"/>
        </w:rPr>
        <w:t>Teece et al., 1997</w:t>
      </w:r>
      <w:r w:rsidRPr="008B042B">
        <w:rPr>
          <w:rFonts w:eastAsia="Noto Naskh Arabic"/>
          <w:rtl/>
        </w:rPr>
        <w:t>).</w:t>
      </w:r>
    </w:p>
    <w:p w14:paraId="528F3E75" w14:textId="09FA4B85" w:rsidR="00F32142" w:rsidRDefault="00F32142" w:rsidP="00F32142">
      <w:pPr>
        <w:pStyle w:val="4"/>
      </w:pPr>
      <w:r>
        <w:rPr>
          <w:rFonts w:hint="cs"/>
          <w:rtl/>
        </w:rPr>
        <w:t>نماذج</w:t>
      </w:r>
      <w:r>
        <w:rPr>
          <w:rFonts w:ascii="Times New Roman" w:hAnsi="Times New Roman" w:cs="Noto Naskh Arabic"/>
          <w:rtl/>
        </w:rPr>
        <w:t xml:space="preserve"> </w:t>
      </w:r>
      <w:r>
        <w:rPr>
          <w:rFonts w:hint="cs"/>
          <w:rtl/>
        </w:rPr>
        <w:t>إدارة</w:t>
      </w:r>
      <w:r>
        <w:rPr>
          <w:rFonts w:ascii="Times New Roman" w:hAnsi="Times New Roman" w:cs="Noto Naskh Arabic"/>
          <w:rtl/>
        </w:rPr>
        <w:t xml:space="preserve"> </w:t>
      </w:r>
      <w:r>
        <w:rPr>
          <w:rFonts w:hint="cs"/>
          <w:rtl/>
        </w:rPr>
        <w:t>التغيير</w:t>
      </w:r>
      <w:r>
        <w:rPr>
          <w:rFonts w:ascii="Times New Roman" w:hAnsi="Times New Roman" w:cs="Noto Naskh Arabic"/>
          <w:rtl/>
        </w:rPr>
        <w:t xml:space="preserve"> </w:t>
      </w:r>
      <w:r>
        <w:rPr>
          <w:rFonts w:hint="cs"/>
          <w:rtl/>
        </w:rPr>
        <w:t>وإمكانات</w:t>
      </w:r>
      <w:r>
        <w:rPr>
          <w:rFonts w:ascii="Times New Roman" w:hAnsi="Times New Roman" w:cs="Noto Naskh Arabic"/>
          <w:rtl/>
        </w:rPr>
        <w:t xml:space="preserve"> </w:t>
      </w:r>
      <w:r>
        <w:rPr>
          <w:rFonts w:hint="cs"/>
          <w:rtl/>
        </w:rPr>
        <w:t>استخدامها</w:t>
      </w:r>
    </w:p>
    <w:p w14:paraId="00C1ABA7" w14:textId="77777777" w:rsidR="008B042B" w:rsidRPr="008B042B" w:rsidRDefault="008B042B" w:rsidP="008B042B">
      <w:pPr>
        <w:pStyle w:val="af5"/>
        <w:rPr>
          <w:rFonts w:eastAsia="Noto Naskh Arabic"/>
          <w:rtl/>
        </w:rPr>
      </w:pPr>
      <w:r w:rsidRPr="008B042B">
        <w:rPr>
          <w:rFonts w:eastAsia="Noto Naskh Arabic"/>
          <w:rtl/>
        </w:rPr>
        <w:t xml:space="preserve">يقدم نموذج لوين تصورًا مرحليًا للتغيير من خلال فك الجمود والتحريك وإعادة التجميد، بينما يركز نموذج كوتر على بناء الإلحاح والائتلاف والرؤية والتمكين وترسيخ التغيير. ويقدم نموذج </w:t>
      </w:r>
      <w:proofErr w:type="spellStart"/>
      <w:r w:rsidRPr="008B042B">
        <w:rPr>
          <w:rFonts w:eastAsia="Noto Naskh Arabic"/>
          <w:rtl/>
        </w:rPr>
        <w:t>أدكار</w:t>
      </w:r>
      <w:proofErr w:type="spellEnd"/>
      <w:r w:rsidRPr="008B042B">
        <w:rPr>
          <w:rFonts w:eastAsia="Noto Naskh Arabic"/>
          <w:rtl/>
        </w:rPr>
        <w:t xml:space="preserve"> تسلسلًا فرديًا يبدأ بالوعي والرغبة ويمر بالمعرفة والقدرة وينتهي بالتعزيز. وتُستخدم هذه النماذج هنا بوصفها مراجع نظرية مساندة خارج عينة التحليل الموضوعي، لا بوصفها دراسات داخلة في العينة (</w:t>
      </w:r>
      <w:r w:rsidRPr="008B042B">
        <w:rPr>
          <w:rFonts w:eastAsia="Noto Naskh Arabic"/>
        </w:rPr>
        <w:t>Lewin, 1947; Kotter, 1995; Hiatt, 2006</w:t>
      </w:r>
      <w:r w:rsidRPr="008B042B">
        <w:rPr>
          <w:rFonts w:eastAsia="Noto Naskh Arabic"/>
          <w:rtl/>
        </w:rPr>
        <w:t>).</w:t>
      </w:r>
    </w:p>
    <w:p w14:paraId="1C70D35F" w14:textId="2F3E9D41" w:rsidR="00BD1315" w:rsidRDefault="008B042B" w:rsidP="008B042B">
      <w:pPr>
        <w:pStyle w:val="af5"/>
        <w:rPr>
          <w:rtl/>
        </w:rPr>
      </w:pPr>
      <w:r w:rsidRPr="008B042B">
        <w:rPr>
          <w:rFonts w:eastAsia="Noto Naskh Arabic"/>
          <w:rtl/>
        </w:rPr>
        <w:lastRenderedPageBreak/>
        <w:t>تساعد هذه النماذج على تشخيص جوانب القيادة والاتصال والقبول والقدرات والاستدامة، لكنها لا توفر وحدها منطق إدارة النطاق والميزانية والمخاطر والاعتماديات والمحفظة. كما أن الطبيعة الخطية لبعضها لا تستوعب دائمًا التحول الرقمي المستمر والمتكرر. ولذلك تتطلب الاستفادة منها مواءمتها مع دورة حياة المشروع والمنهجية التكيفية والحوكمة وإدارة المنافع، بدل تطبيقها كقائمة خطوات منفصلة.</w:t>
      </w:r>
    </w:p>
    <w:p w14:paraId="7F86D3BE" w14:textId="216A8687" w:rsidR="00F32142" w:rsidRDefault="00F32142" w:rsidP="00F32142">
      <w:pPr>
        <w:pStyle w:val="3"/>
      </w:pPr>
      <w:bookmarkStart w:id="35" w:name="_Toc235073622"/>
      <w:r>
        <w:rPr>
          <w:rFonts w:hint="cs"/>
          <w:rtl/>
        </w:rPr>
        <w:t>المنظورات</w:t>
      </w:r>
      <w:r>
        <w:rPr>
          <w:rFonts w:ascii="Times New Roman" w:hAnsi="Times New Roman" w:cs="Noto Naskh Arabic"/>
          <w:rtl/>
        </w:rPr>
        <w:t xml:space="preserve"> </w:t>
      </w:r>
      <w:r>
        <w:rPr>
          <w:rFonts w:hint="cs"/>
          <w:rtl/>
        </w:rPr>
        <w:t>النظرية</w:t>
      </w:r>
      <w:r>
        <w:rPr>
          <w:rFonts w:ascii="Times New Roman" w:hAnsi="Times New Roman" w:cs="Noto Naskh Arabic"/>
          <w:rtl/>
        </w:rPr>
        <w:t xml:space="preserve"> </w:t>
      </w:r>
      <w:r>
        <w:rPr>
          <w:rFonts w:hint="cs"/>
          <w:rtl/>
        </w:rPr>
        <w:t>المفسرة</w:t>
      </w:r>
      <w:r>
        <w:rPr>
          <w:rFonts w:ascii="Times New Roman" w:hAnsi="Times New Roman" w:cs="Noto Naskh Arabic"/>
          <w:rtl/>
        </w:rPr>
        <w:t xml:space="preserve"> </w:t>
      </w:r>
      <w:r>
        <w:rPr>
          <w:rFonts w:hint="cs"/>
          <w:rtl/>
        </w:rPr>
        <w:t>للتكامل</w:t>
      </w:r>
      <w:bookmarkEnd w:id="35"/>
    </w:p>
    <w:p w14:paraId="72760BC5" w14:textId="1494261F" w:rsidR="00F32142" w:rsidRPr="00F32142" w:rsidRDefault="008B042B" w:rsidP="00F32142">
      <w:pPr>
        <w:pStyle w:val="af7"/>
      </w:pPr>
      <w:bookmarkStart w:id="36" w:name="_Toc235073754"/>
      <w:r w:rsidRPr="008B042B">
        <w:rPr>
          <w:rFonts w:cs="Simplified Arabic"/>
          <w:rtl/>
        </w:rPr>
        <w:t>الجدول رقم (</w:t>
      </w:r>
      <w:r w:rsidRPr="008B042B">
        <w:rPr>
          <w:cs/>
        </w:rPr>
        <w:t>‎</w:t>
      </w:r>
      <w:r w:rsidRPr="008B042B">
        <w:t>2-2</w:t>
      </w:r>
      <w:r w:rsidRPr="008B042B">
        <w:rPr>
          <w:cs/>
        </w:rPr>
        <w:t>‎</w:t>
      </w:r>
      <w:r w:rsidRPr="008B042B">
        <w:rPr>
          <w:rFonts w:cs="Simplified Arabic"/>
          <w:rtl/>
        </w:rPr>
        <w:t>): المنظورات النظرية ووظيفتها في تفسير موضوع الدراسة</w:t>
      </w:r>
      <w:bookmarkEnd w:id="36"/>
    </w:p>
    <w:tbl>
      <w:tblPr>
        <w:bidiVisual/>
        <w:tblW w:w="0" w:type="auto"/>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873"/>
        <w:gridCol w:w="2346"/>
        <w:gridCol w:w="2391"/>
        <w:gridCol w:w="2451"/>
      </w:tblGrid>
      <w:tr w:rsidR="008B042B" w:rsidRPr="00F32142" w14:paraId="1154C800" w14:textId="77777777" w:rsidTr="008B042B">
        <w:trPr>
          <w:tblHeader/>
          <w:jc w:val="center"/>
        </w:trPr>
        <w:tc>
          <w:tcPr>
            <w:tcW w:w="1873" w:type="dxa"/>
            <w:shd w:val="clear" w:color="auto" w:fill="0095D0"/>
            <w:vAlign w:val="center"/>
          </w:tcPr>
          <w:p w14:paraId="35AE6633" w14:textId="77777777" w:rsidR="00F32142" w:rsidRPr="00F32142" w:rsidRDefault="00F32142" w:rsidP="00E92072">
            <w:pPr>
              <w:spacing w:after="0" w:line="240" w:lineRule="auto"/>
              <w:jc w:val="center"/>
              <w:rPr>
                <w:rFonts w:asciiTheme="majorBidi" w:hAnsiTheme="majorBidi" w:cstheme="majorBidi"/>
                <w:bCs/>
                <w:color w:val="FFFFFF" w:themeColor="background1"/>
              </w:rPr>
            </w:pPr>
            <w:r w:rsidRPr="00F32142">
              <w:rPr>
                <w:rFonts w:asciiTheme="majorBidi" w:eastAsia="Noto Naskh Arabic" w:hAnsiTheme="majorBidi" w:cstheme="majorBidi"/>
                <w:bCs/>
                <w:color w:val="FFFFFF" w:themeColor="background1"/>
                <w:sz w:val="19"/>
                <w:rtl/>
              </w:rPr>
              <w:t>المنظور</w:t>
            </w:r>
          </w:p>
        </w:tc>
        <w:tc>
          <w:tcPr>
            <w:tcW w:w="2346" w:type="dxa"/>
            <w:shd w:val="clear" w:color="auto" w:fill="0095D0"/>
            <w:vAlign w:val="center"/>
          </w:tcPr>
          <w:p w14:paraId="7E938013" w14:textId="77777777" w:rsidR="00F32142" w:rsidRPr="00F32142" w:rsidRDefault="00F32142" w:rsidP="00E92072">
            <w:pPr>
              <w:spacing w:after="0" w:line="240" w:lineRule="auto"/>
              <w:jc w:val="center"/>
              <w:rPr>
                <w:rFonts w:asciiTheme="majorBidi" w:hAnsiTheme="majorBidi" w:cstheme="majorBidi"/>
                <w:bCs/>
                <w:color w:val="FFFFFF" w:themeColor="background1"/>
              </w:rPr>
            </w:pPr>
            <w:r w:rsidRPr="00F32142">
              <w:rPr>
                <w:rFonts w:asciiTheme="majorBidi" w:eastAsia="Noto Naskh Arabic" w:hAnsiTheme="majorBidi" w:cstheme="majorBidi"/>
                <w:bCs/>
                <w:color w:val="FFFFFF" w:themeColor="background1"/>
                <w:sz w:val="19"/>
                <w:rtl/>
              </w:rPr>
              <w:t>الفكرة المركزية</w:t>
            </w:r>
          </w:p>
        </w:tc>
        <w:tc>
          <w:tcPr>
            <w:tcW w:w="2391" w:type="dxa"/>
            <w:shd w:val="clear" w:color="auto" w:fill="0095D0"/>
            <w:vAlign w:val="center"/>
          </w:tcPr>
          <w:p w14:paraId="7BA55907" w14:textId="77777777" w:rsidR="00F32142" w:rsidRPr="00F32142" w:rsidRDefault="00F32142" w:rsidP="00E92072">
            <w:pPr>
              <w:spacing w:after="0" w:line="240" w:lineRule="auto"/>
              <w:jc w:val="center"/>
              <w:rPr>
                <w:rFonts w:asciiTheme="majorBidi" w:hAnsiTheme="majorBidi" w:cstheme="majorBidi"/>
                <w:bCs/>
                <w:color w:val="FFFFFF" w:themeColor="background1"/>
              </w:rPr>
            </w:pPr>
            <w:r w:rsidRPr="00F32142">
              <w:rPr>
                <w:rFonts w:asciiTheme="majorBidi" w:eastAsia="Noto Naskh Arabic" w:hAnsiTheme="majorBidi" w:cstheme="majorBidi"/>
                <w:bCs/>
                <w:color w:val="FFFFFF" w:themeColor="background1"/>
                <w:sz w:val="19"/>
                <w:rtl/>
              </w:rPr>
              <w:t>ما يفسره في الدراسة</w:t>
            </w:r>
          </w:p>
        </w:tc>
        <w:tc>
          <w:tcPr>
            <w:tcW w:w="2451" w:type="dxa"/>
            <w:shd w:val="clear" w:color="auto" w:fill="0095D0"/>
            <w:vAlign w:val="center"/>
          </w:tcPr>
          <w:p w14:paraId="115552C3" w14:textId="77777777" w:rsidR="00F32142" w:rsidRPr="00F32142" w:rsidRDefault="00F32142" w:rsidP="00E92072">
            <w:pPr>
              <w:spacing w:after="0" w:line="240" w:lineRule="auto"/>
              <w:jc w:val="center"/>
              <w:rPr>
                <w:rFonts w:asciiTheme="majorBidi" w:hAnsiTheme="majorBidi" w:cstheme="majorBidi"/>
                <w:bCs/>
                <w:color w:val="FFFFFF" w:themeColor="background1"/>
              </w:rPr>
            </w:pPr>
            <w:r w:rsidRPr="00F32142">
              <w:rPr>
                <w:rFonts w:asciiTheme="majorBidi" w:eastAsia="Noto Naskh Arabic" w:hAnsiTheme="majorBidi" w:cstheme="majorBidi"/>
                <w:bCs/>
                <w:color w:val="FFFFFF" w:themeColor="background1"/>
                <w:sz w:val="19"/>
                <w:rtl/>
              </w:rPr>
              <w:t>مصادر تطبيقية في الأدبيات</w:t>
            </w:r>
          </w:p>
        </w:tc>
      </w:tr>
      <w:tr w:rsidR="008B042B" w:rsidRPr="00F32142" w14:paraId="474651CE" w14:textId="77777777" w:rsidTr="008B042B">
        <w:trPr>
          <w:jc w:val="center"/>
        </w:trPr>
        <w:tc>
          <w:tcPr>
            <w:tcW w:w="1873" w:type="dxa"/>
            <w:vAlign w:val="center"/>
          </w:tcPr>
          <w:p w14:paraId="7C897493" w14:textId="143D2163"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النظم الاجتماعية–التقنية</w:t>
            </w:r>
          </w:p>
        </w:tc>
        <w:tc>
          <w:tcPr>
            <w:tcW w:w="2346" w:type="dxa"/>
            <w:vAlign w:val="center"/>
          </w:tcPr>
          <w:p w14:paraId="404A1DAB" w14:textId="31BBCD19"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التحسين المشترك للتقنية والعمل والأدوار والمهارات والهياكل</w:t>
            </w:r>
          </w:p>
        </w:tc>
        <w:tc>
          <w:tcPr>
            <w:tcW w:w="2391" w:type="dxa"/>
            <w:vAlign w:val="center"/>
          </w:tcPr>
          <w:p w14:paraId="7661031B" w14:textId="0CEA9888"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التعقيد والمواءمة بين الحل والعملية والمستخدم والحوكمة</w:t>
            </w:r>
          </w:p>
        </w:tc>
        <w:tc>
          <w:tcPr>
            <w:tcW w:w="2451" w:type="dxa"/>
            <w:vAlign w:val="center"/>
          </w:tcPr>
          <w:p w14:paraId="02C128C9" w14:textId="1C3B5B4C" w:rsidR="008B042B" w:rsidRPr="008B042B" w:rsidRDefault="008B042B" w:rsidP="00E92072">
            <w:pPr>
              <w:spacing w:after="0" w:line="240" w:lineRule="auto"/>
              <w:jc w:val="center"/>
              <w:rPr>
                <w:rFonts w:asciiTheme="majorHAnsi" w:hAnsiTheme="majorHAnsi" w:cstheme="majorHAnsi"/>
              </w:rPr>
            </w:pPr>
            <w:r w:rsidRPr="008B042B">
              <w:rPr>
                <w:rFonts w:asciiTheme="majorHAnsi" w:eastAsia="Noto Naskh Arabic" w:hAnsiTheme="majorHAnsi" w:cstheme="majorHAnsi"/>
              </w:rPr>
              <w:t xml:space="preserve">Chen et al. (2025); </w:t>
            </w:r>
            <w:proofErr w:type="spellStart"/>
            <w:r w:rsidRPr="008B042B">
              <w:rPr>
                <w:rFonts w:asciiTheme="majorHAnsi" w:eastAsia="Noto Naskh Arabic" w:hAnsiTheme="majorHAnsi" w:cstheme="majorHAnsi"/>
              </w:rPr>
              <w:t>Hafseld</w:t>
            </w:r>
            <w:proofErr w:type="spellEnd"/>
            <w:r w:rsidRPr="008B042B">
              <w:rPr>
                <w:rFonts w:asciiTheme="majorHAnsi" w:eastAsia="Noto Naskh Arabic" w:hAnsiTheme="majorHAnsi" w:cstheme="majorHAnsi"/>
              </w:rPr>
              <w:t xml:space="preserve"> et al. (2021); Shaba et al. (2023)</w:t>
            </w:r>
          </w:p>
        </w:tc>
      </w:tr>
      <w:tr w:rsidR="008B042B" w:rsidRPr="00F32142" w14:paraId="6B72DDAE" w14:textId="77777777" w:rsidTr="008B042B">
        <w:trPr>
          <w:jc w:val="center"/>
        </w:trPr>
        <w:tc>
          <w:tcPr>
            <w:tcW w:w="1873" w:type="dxa"/>
            <w:shd w:val="clear" w:color="auto" w:fill="F2F2F2"/>
            <w:vAlign w:val="center"/>
          </w:tcPr>
          <w:p w14:paraId="6FBD1ACF" w14:textId="6751B3AE"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القدرات الديناميكية</w:t>
            </w:r>
          </w:p>
        </w:tc>
        <w:tc>
          <w:tcPr>
            <w:tcW w:w="2346" w:type="dxa"/>
            <w:shd w:val="clear" w:color="auto" w:fill="F2F2F2"/>
            <w:vAlign w:val="center"/>
          </w:tcPr>
          <w:p w14:paraId="44BA7946" w14:textId="4067BD75"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الاستشعار والاقتناص وإعادة تشكيل الموارد والروتين</w:t>
            </w:r>
          </w:p>
        </w:tc>
        <w:tc>
          <w:tcPr>
            <w:tcW w:w="2391" w:type="dxa"/>
            <w:shd w:val="clear" w:color="auto" w:fill="F2F2F2"/>
            <w:vAlign w:val="center"/>
          </w:tcPr>
          <w:p w14:paraId="40CB58DB" w14:textId="24892B2D"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الجاهزية والتعلم والقدرة على التكيف مع البيئة الرقمية</w:t>
            </w:r>
          </w:p>
        </w:tc>
        <w:tc>
          <w:tcPr>
            <w:tcW w:w="2451" w:type="dxa"/>
            <w:shd w:val="clear" w:color="auto" w:fill="F2F2F2"/>
            <w:vAlign w:val="center"/>
          </w:tcPr>
          <w:p w14:paraId="541CAF03" w14:textId="5E5A35FA" w:rsidR="008B042B" w:rsidRPr="008B042B" w:rsidRDefault="008B042B" w:rsidP="00E92072">
            <w:pPr>
              <w:spacing w:after="0" w:line="240" w:lineRule="auto"/>
              <w:jc w:val="center"/>
              <w:rPr>
                <w:rFonts w:asciiTheme="majorHAnsi" w:hAnsiTheme="majorHAnsi" w:cstheme="majorHAnsi"/>
                <w:rtl/>
              </w:rPr>
            </w:pPr>
            <w:r w:rsidRPr="008B042B">
              <w:rPr>
                <w:rFonts w:asciiTheme="majorHAnsi" w:eastAsia="Noto Naskh Arabic" w:hAnsiTheme="majorHAnsi" w:cstheme="majorHAnsi"/>
              </w:rPr>
              <w:t xml:space="preserve">Al-Moaid &amp; </w:t>
            </w:r>
            <w:proofErr w:type="spellStart"/>
            <w:r w:rsidRPr="008B042B">
              <w:rPr>
                <w:rFonts w:asciiTheme="majorHAnsi" w:eastAsia="Noto Naskh Arabic" w:hAnsiTheme="majorHAnsi" w:cstheme="majorHAnsi"/>
              </w:rPr>
              <w:t>Almarhdi</w:t>
            </w:r>
            <w:proofErr w:type="spellEnd"/>
            <w:r w:rsidRPr="008B042B">
              <w:rPr>
                <w:rFonts w:asciiTheme="majorHAnsi" w:eastAsia="Noto Naskh Arabic" w:hAnsiTheme="majorHAnsi" w:cstheme="majorHAnsi"/>
              </w:rPr>
              <w:t xml:space="preserve"> (2024)</w:t>
            </w:r>
          </w:p>
        </w:tc>
      </w:tr>
      <w:tr w:rsidR="008B042B" w:rsidRPr="00F32142" w14:paraId="58F03525" w14:textId="77777777" w:rsidTr="008B042B">
        <w:trPr>
          <w:jc w:val="center"/>
        </w:trPr>
        <w:tc>
          <w:tcPr>
            <w:tcW w:w="1873" w:type="dxa"/>
            <w:vAlign w:val="center"/>
          </w:tcPr>
          <w:p w14:paraId="30AF4304" w14:textId="2F8677F2"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المنظمة المؤقتة والدائمة وحوكمة المشاريع</w:t>
            </w:r>
          </w:p>
        </w:tc>
        <w:tc>
          <w:tcPr>
            <w:tcW w:w="2346" w:type="dxa"/>
            <w:vAlign w:val="center"/>
          </w:tcPr>
          <w:p w14:paraId="4EAAAC05" w14:textId="21A764DD"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المشروع كتنظيم مؤقت يجب أن يتصل بالمنظمة الدائمة وحقوق القرار</w:t>
            </w:r>
          </w:p>
        </w:tc>
        <w:tc>
          <w:tcPr>
            <w:tcW w:w="2391" w:type="dxa"/>
            <w:vAlign w:val="center"/>
          </w:tcPr>
          <w:p w14:paraId="0496252B" w14:textId="659AB590"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الأدوار والملكية و</w:t>
            </w:r>
            <w:r w:rsidRPr="008B042B">
              <w:rPr>
                <w:rFonts w:asciiTheme="majorBidi" w:eastAsia="Noto Naskh Arabic" w:hAnsiTheme="majorBidi" w:cstheme="majorBidi"/>
              </w:rPr>
              <w:t>PMO</w:t>
            </w:r>
            <w:r w:rsidRPr="008B042B">
              <w:rPr>
                <w:rFonts w:asciiTheme="majorBidi" w:eastAsia="Noto Naskh Arabic" w:hAnsiTheme="majorBidi" w:cstheme="majorBidi"/>
                <w:rtl/>
              </w:rPr>
              <w:t xml:space="preserve"> والانتقال إلى التشغيل</w:t>
            </w:r>
          </w:p>
        </w:tc>
        <w:tc>
          <w:tcPr>
            <w:tcW w:w="2451" w:type="dxa"/>
            <w:vAlign w:val="center"/>
          </w:tcPr>
          <w:p w14:paraId="0F1CA4F0" w14:textId="1C46B9BD" w:rsidR="008B042B" w:rsidRPr="008B042B" w:rsidRDefault="008B042B" w:rsidP="00E92072">
            <w:pPr>
              <w:spacing w:after="0" w:line="240" w:lineRule="auto"/>
              <w:jc w:val="center"/>
              <w:rPr>
                <w:rFonts w:asciiTheme="majorHAnsi" w:hAnsiTheme="majorHAnsi" w:cstheme="majorHAnsi"/>
              </w:rPr>
            </w:pPr>
            <w:proofErr w:type="spellStart"/>
            <w:r w:rsidRPr="008B042B">
              <w:rPr>
                <w:rFonts w:asciiTheme="majorHAnsi" w:eastAsia="Noto Naskh Arabic" w:hAnsiTheme="majorHAnsi" w:cstheme="majorHAnsi"/>
              </w:rPr>
              <w:t>Jääskä</w:t>
            </w:r>
            <w:proofErr w:type="spellEnd"/>
            <w:r w:rsidRPr="008B042B">
              <w:rPr>
                <w:rFonts w:asciiTheme="majorHAnsi" w:eastAsia="Noto Naskh Arabic" w:hAnsiTheme="majorHAnsi" w:cstheme="majorHAnsi"/>
              </w:rPr>
              <w:t xml:space="preserve"> et al. (2025); Simard &amp; Aubry (2025)</w:t>
            </w:r>
          </w:p>
        </w:tc>
      </w:tr>
      <w:tr w:rsidR="008B042B" w:rsidRPr="00F32142" w14:paraId="789B9F44" w14:textId="77777777" w:rsidTr="008B042B">
        <w:trPr>
          <w:jc w:val="center"/>
        </w:trPr>
        <w:tc>
          <w:tcPr>
            <w:tcW w:w="1873" w:type="dxa"/>
            <w:shd w:val="clear" w:color="auto" w:fill="F2F2F2"/>
            <w:vAlign w:val="center"/>
          </w:tcPr>
          <w:p w14:paraId="1233C1DB" w14:textId="035AE3F9"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إدارة تحقيق المنافع</w:t>
            </w:r>
          </w:p>
        </w:tc>
        <w:tc>
          <w:tcPr>
            <w:tcW w:w="2346" w:type="dxa"/>
            <w:shd w:val="clear" w:color="auto" w:fill="F2F2F2"/>
            <w:vAlign w:val="center"/>
          </w:tcPr>
          <w:p w14:paraId="66A0BA3C" w14:textId="02FD2646"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الانتقال من المخرجات إلى النتائج والقيمة مع استمرار القياس</w:t>
            </w:r>
          </w:p>
        </w:tc>
        <w:tc>
          <w:tcPr>
            <w:tcW w:w="2391" w:type="dxa"/>
            <w:shd w:val="clear" w:color="auto" w:fill="F2F2F2"/>
            <w:vAlign w:val="center"/>
          </w:tcPr>
          <w:p w14:paraId="3F157B2B" w14:textId="7C89D092"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ملكية المنافع والتبني والقيمة بعد التسليم</w:t>
            </w:r>
          </w:p>
        </w:tc>
        <w:tc>
          <w:tcPr>
            <w:tcW w:w="2451" w:type="dxa"/>
            <w:shd w:val="clear" w:color="auto" w:fill="F2F2F2"/>
            <w:vAlign w:val="center"/>
          </w:tcPr>
          <w:p w14:paraId="362305A0" w14:textId="5BB28045" w:rsidR="008B042B" w:rsidRPr="008B042B" w:rsidRDefault="008B042B" w:rsidP="00E92072">
            <w:pPr>
              <w:spacing w:after="0" w:line="240" w:lineRule="auto"/>
              <w:jc w:val="center"/>
              <w:rPr>
                <w:rFonts w:asciiTheme="majorHAnsi" w:hAnsiTheme="majorHAnsi" w:cstheme="majorHAnsi"/>
              </w:rPr>
            </w:pPr>
            <w:r w:rsidRPr="008B042B">
              <w:rPr>
                <w:rFonts w:asciiTheme="majorHAnsi" w:eastAsia="Noto Naskh Arabic" w:hAnsiTheme="majorHAnsi" w:cstheme="majorHAnsi"/>
              </w:rPr>
              <w:t xml:space="preserve">Cresswell et al. (2022); </w:t>
            </w:r>
            <w:proofErr w:type="spellStart"/>
            <w:r w:rsidRPr="008B042B">
              <w:rPr>
                <w:rFonts w:asciiTheme="majorHAnsi" w:eastAsia="Noto Naskh Arabic" w:hAnsiTheme="majorHAnsi" w:cstheme="majorHAnsi"/>
              </w:rPr>
              <w:t>Carujo</w:t>
            </w:r>
            <w:proofErr w:type="spellEnd"/>
            <w:r w:rsidRPr="008B042B">
              <w:rPr>
                <w:rFonts w:asciiTheme="majorHAnsi" w:eastAsia="Noto Naskh Arabic" w:hAnsiTheme="majorHAnsi" w:cstheme="majorHAnsi"/>
              </w:rPr>
              <w:t xml:space="preserve"> et al. (2022); Gertzen et al. (2022)</w:t>
            </w:r>
          </w:p>
        </w:tc>
      </w:tr>
      <w:tr w:rsidR="008B042B" w:rsidRPr="00F32142" w14:paraId="31B7D531" w14:textId="77777777" w:rsidTr="008B042B">
        <w:trPr>
          <w:jc w:val="center"/>
        </w:trPr>
        <w:tc>
          <w:tcPr>
            <w:tcW w:w="1873" w:type="dxa"/>
            <w:vAlign w:val="center"/>
          </w:tcPr>
          <w:p w14:paraId="0539F33C" w14:textId="2EB27FCE"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 xml:space="preserve">المنظور </w:t>
            </w:r>
            <w:proofErr w:type="spellStart"/>
            <w:r w:rsidRPr="008B042B">
              <w:rPr>
                <w:rFonts w:asciiTheme="majorBidi" w:eastAsia="Noto Naskh Arabic" w:hAnsiTheme="majorBidi" w:cstheme="majorBidi"/>
                <w:rtl/>
              </w:rPr>
              <w:t>الاقتضائي</w:t>
            </w:r>
            <w:proofErr w:type="spellEnd"/>
            <w:r w:rsidRPr="008B042B">
              <w:rPr>
                <w:rFonts w:asciiTheme="majorBidi" w:eastAsia="Noto Naskh Arabic" w:hAnsiTheme="majorBidi" w:cstheme="majorBidi"/>
                <w:rtl/>
              </w:rPr>
              <w:t xml:space="preserve"> والتكيفي</w:t>
            </w:r>
          </w:p>
        </w:tc>
        <w:tc>
          <w:tcPr>
            <w:tcW w:w="2346" w:type="dxa"/>
            <w:vAlign w:val="center"/>
          </w:tcPr>
          <w:p w14:paraId="1B34FE45" w14:textId="26395BF3"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اختيار الهيكل والمنهج والممارسات وفق السياق وعدم اليقين والنضج</w:t>
            </w:r>
          </w:p>
        </w:tc>
        <w:tc>
          <w:tcPr>
            <w:tcW w:w="2391" w:type="dxa"/>
            <w:vAlign w:val="center"/>
          </w:tcPr>
          <w:p w14:paraId="5B0B5CC1" w14:textId="09B43531"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rtl/>
              </w:rPr>
              <w:t>الرشاقة والهجين واختلاف الأشكال التنظيمية</w:t>
            </w:r>
          </w:p>
        </w:tc>
        <w:tc>
          <w:tcPr>
            <w:tcW w:w="2451" w:type="dxa"/>
            <w:vAlign w:val="center"/>
          </w:tcPr>
          <w:p w14:paraId="5DF24116" w14:textId="1D419842" w:rsidR="008B042B" w:rsidRPr="008B042B" w:rsidRDefault="008B042B" w:rsidP="00E92072">
            <w:pPr>
              <w:spacing w:after="0" w:line="240" w:lineRule="auto"/>
              <w:jc w:val="center"/>
              <w:rPr>
                <w:rFonts w:asciiTheme="majorHAnsi" w:hAnsiTheme="majorHAnsi" w:cstheme="majorHAnsi"/>
              </w:rPr>
            </w:pPr>
            <w:r w:rsidRPr="008B042B">
              <w:rPr>
                <w:rFonts w:asciiTheme="majorHAnsi" w:eastAsia="Noto Naskh Arabic" w:hAnsiTheme="majorHAnsi" w:cstheme="majorHAnsi"/>
              </w:rPr>
              <w:t>Erjavec et al. (2024); Albrecht et al. (2025)</w:t>
            </w:r>
          </w:p>
        </w:tc>
      </w:tr>
    </w:tbl>
    <w:p w14:paraId="6DCD1494" w14:textId="77777777" w:rsidR="008B042B" w:rsidRPr="008B042B" w:rsidRDefault="008B042B" w:rsidP="008B042B">
      <w:pPr>
        <w:pStyle w:val="af5"/>
        <w:rPr>
          <w:rFonts w:eastAsia="Noto Naskh Arabic"/>
          <w:rtl/>
        </w:rPr>
      </w:pPr>
      <w:r w:rsidRPr="008B042B">
        <w:rPr>
          <w:rFonts w:eastAsia="Noto Naskh Arabic"/>
          <w:rtl/>
        </w:rPr>
        <w:t xml:space="preserve">تتكامل هذه المنظورات بدل أن تتنافس. فالمنظور الاجتماعي–التقني يفسر طبيعة المشكلة، والقدرات الديناميكية تفسر قدرة المؤسسة على التكيف، وحوكمة المشاريع تفسر السلطة والأدوار، وإدارة المنافع تفسر العلاقة بين التسليم والقيمة، بينما يحدد المنظور </w:t>
      </w:r>
      <w:proofErr w:type="spellStart"/>
      <w:r w:rsidRPr="008B042B">
        <w:rPr>
          <w:rFonts w:eastAsia="Noto Naskh Arabic"/>
          <w:rtl/>
        </w:rPr>
        <w:t>الاقتضائي</w:t>
      </w:r>
      <w:proofErr w:type="spellEnd"/>
      <w:r w:rsidRPr="008B042B">
        <w:rPr>
          <w:rFonts w:eastAsia="Noto Naskh Arabic"/>
          <w:rtl/>
        </w:rPr>
        <w:t xml:space="preserve"> سبب اختلاف الممارسات المناسبة بين السياقات.</w:t>
      </w:r>
    </w:p>
    <w:p w14:paraId="19421E54" w14:textId="16EF2ADB" w:rsidR="008B042B" w:rsidRDefault="008B042B" w:rsidP="008B042B">
      <w:pPr>
        <w:pStyle w:val="af5"/>
      </w:pPr>
      <w:r w:rsidRPr="008B042B">
        <w:rPr>
          <w:rFonts w:eastAsia="Noto Naskh Arabic"/>
          <w:rtl/>
        </w:rPr>
        <w:t xml:space="preserve">تشمل المراجع النظرية المؤسسة المستخدمة في هذا الفصل أعمال التحول الرقمي وإدارة المشاريع وإدارة المنافع والحوكمة والنظم الاجتماعية–التقنية والقدرات الديناميكية والمنظور </w:t>
      </w:r>
      <w:proofErr w:type="spellStart"/>
      <w:r w:rsidRPr="008B042B">
        <w:rPr>
          <w:rFonts w:eastAsia="Noto Naskh Arabic"/>
          <w:rtl/>
        </w:rPr>
        <w:t>الاقتضائي</w:t>
      </w:r>
      <w:proofErr w:type="spellEnd"/>
      <w:r w:rsidRPr="008B042B">
        <w:rPr>
          <w:rFonts w:eastAsia="Noto Naskh Arabic"/>
          <w:rtl/>
        </w:rPr>
        <w:t xml:space="preserve"> ونماذج التغيير. ولا تخضع هذه المراجع لحد 2015–2026؛ لأن هذا الحد يخص عينة التحليل الموضوعي فقط، كما أنها لا تدخل في حساب التكرارات أو مصفوفة دراسة × رمز.</w:t>
      </w:r>
    </w:p>
    <w:p w14:paraId="18923397" w14:textId="4FFAD831" w:rsidR="00F32142" w:rsidRDefault="00F32142" w:rsidP="00F32142">
      <w:pPr>
        <w:pStyle w:val="3"/>
      </w:pPr>
      <w:bookmarkStart w:id="37" w:name="_Toc235073623"/>
      <w:r>
        <w:rPr>
          <w:rFonts w:hint="cs"/>
          <w:rtl/>
        </w:rPr>
        <w:t>مفهوم</w:t>
      </w:r>
      <w:r>
        <w:rPr>
          <w:rFonts w:ascii="Times New Roman" w:hAnsi="Times New Roman" w:cs="Noto Naskh Arabic"/>
          <w:rtl/>
        </w:rPr>
        <w:t xml:space="preserve"> </w:t>
      </w:r>
      <w:r>
        <w:rPr>
          <w:rFonts w:hint="cs"/>
          <w:rtl/>
        </w:rPr>
        <w:t>التكامل</w:t>
      </w:r>
      <w:r>
        <w:rPr>
          <w:rFonts w:ascii="Times New Roman" w:hAnsi="Times New Roman" w:cs="Noto Naskh Arabic"/>
          <w:rtl/>
        </w:rPr>
        <w:t xml:space="preserve"> </w:t>
      </w:r>
      <w:r>
        <w:rPr>
          <w:rFonts w:hint="cs"/>
          <w:rtl/>
        </w:rPr>
        <w:t>بين</w:t>
      </w:r>
      <w:r>
        <w:rPr>
          <w:rFonts w:ascii="Times New Roman" w:hAnsi="Times New Roman" w:cs="Noto Naskh Arabic"/>
          <w:rtl/>
        </w:rPr>
        <w:t xml:space="preserve"> </w:t>
      </w:r>
      <w:r>
        <w:rPr>
          <w:rFonts w:hint="cs"/>
          <w:rtl/>
        </w:rPr>
        <w:t>إدارة</w:t>
      </w:r>
      <w:r>
        <w:rPr>
          <w:rFonts w:ascii="Times New Roman" w:hAnsi="Times New Roman" w:cs="Noto Naskh Arabic"/>
          <w:rtl/>
        </w:rPr>
        <w:t xml:space="preserve"> </w:t>
      </w:r>
      <w:r>
        <w:rPr>
          <w:rFonts w:hint="cs"/>
          <w:rtl/>
        </w:rPr>
        <w:t>التغيير</w:t>
      </w:r>
      <w:r>
        <w:rPr>
          <w:rFonts w:ascii="Times New Roman" w:hAnsi="Times New Roman" w:cs="Noto Naskh Arabic"/>
          <w:rtl/>
        </w:rPr>
        <w:t xml:space="preserve"> </w:t>
      </w:r>
      <w:r>
        <w:rPr>
          <w:rFonts w:hint="cs"/>
          <w:rtl/>
        </w:rPr>
        <w:t>وإدارة</w:t>
      </w:r>
      <w:r>
        <w:rPr>
          <w:rFonts w:ascii="Times New Roman" w:hAnsi="Times New Roman" w:cs="Noto Naskh Arabic"/>
          <w:rtl/>
        </w:rPr>
        <w:t xml:space="preserve"> </w:t>
      </w:r>
      <w:r>
        <w:rPr>
          <w:rFonts w:hint="cs"/>
          <w:rtl/>
        </w:rPr>
        <w:t>المشاريع</w:t>
      </w:r>
      <w:bookmarkEnd w:id="37"/>
    </w:p>
    <w:p w14:paraId="3BD1EEBD" w14:textId="3BA59E6D" w:rsidR="00F32142" w:rsidRDefault="00F32142" w:rsidP="00F32142">
      <w:pPr>
        <w:pStyle w:val="4"/>
      </w:pPr>
      <w:r>
        <w:rPr>
          <w:rFonts w:hint="cs"/>
          <w:rtl/>
        </w:rPr>
        <w:t>مبررات</w:t>
      </w:r>
      <w:r>
        <w:rPr>
          <w:rFonts w:ascii="Times New Roman" w:hAnsi="Times New Roman" w:cs="Noto Naskh Arabic"/>
          <w:rtl/>
        </w:rPr>
        <w:t xml:space="preserve"> </w:t>
      </w:r>
      <w:r>
        <w:rPr>
          <w:rFonts w:hint="cs"/>
          <w:rtl/>
        </w:rPr>
        <w:t>التكامل</w:t>
      </w:r>
    </w:p>
    <w:p w14:paraId="7139E04B" w14:textId="77777777" w:rsidR="008B042B" w:rsidRPr="008B042B" w:rsidRDefault="008B042B" w:rsidP="008B042B">
      <w:pPr>
        <w:pStyle w:val="af5"/>
        <w:rPr>
          <w:rFonts w:eastAsia="Noto Naskh Arabic"/>
          <w:rtl/>
        </w:rPr>
      </w:pPr>
      <w:r w:rsidRPr="008B042B">
        <w:rPr>
          <w:rFonts w:eastAsia="Noto Naskh Arabic"/>
          <w:rtl/>
        </w:rPr>
        <w:t xml:space="preserve">تطورت إدارة المشاريع وإدارة التغيير في مسارين مهنيين وأكاديميين متمايزين. تركز الأولى تقليديًا على تعريف المشروع وتخطيطه وتنفيذه وضبطه وتسليمه، بينما تركز الثانية على انتقال الأفراد والمؤسسة إلى الحالة المستهدفة. غير أن مشروع التحول الرقمي يجمع المهمتين؛ فالتسليم يغير العمل، والتغيير يعتمد على توقيت </w:t>
      </w:r>
      <w:r w:rsidRPr="008B042B">
        <w:rPr>
          <w:rFonts w:eastAsia="Noto Naskh Arabic"/>
          <w:rtl/>
        </w:rPr>
        <w:lastRenderedPageBreak/>
        <w:t xml:space="preserve">المشروع وموارده وقراراته ومخرجاته. ولهذا تؤكد </w:t>
      </w:r>
      <w:proofErr w:type="spellStart"/>
      <w:r w:rsidRPr="008B042B">
        <w:rPr>
          <w:rFonts w:eastAsia="Noto Naskh Arabic"/>
        </w:rPr>
        <w:t>Jääskä</w:t>
      </w:r>
      <w:proofErr w:type="spellEnd"/>
      <w:r w:rsidRPr="008B042B">
        <w:rPr>
          <w:rFonts w:eastAsia="Noto Naskh Arabic"/>
        </w:rPr>
        <w:t xml:space="preserve"> et al</w:t>
      </w:r>
      <w:r w:rsidRPr="008B042B">
        <w:rPr>
          <w:rFonts w:eastAsia="Noto Naskh Arabic"/>
          <w:rtl/>
        </w:rPr>
        <w:t>. (2025) أن فصل المجالين يخلق فجوة بين المخرج المنفذ والحالة المستقبلية المتحققة.</w:t>
      </w:r>
    </w:p>
    <w:p w14:paraId="1B2FA54C" w14:textId="545E8F70" w:rsidR="00BD1315" w:rsidRDefault="008B042B" w:rsidP="008B042B">
      <w:pPr>
        <w:pStyle w:val="af5"/>
      </w:pPr>
      <w:r w:rsidRPr="008B042B">
        <w:rPr>
          <w:rFonts w:eastAsia="Noto Naskh Arabic"/>
          <w:rtl/>
        </w:rPr>
        <w:t>لا يعني التكامل دمج التخصصين في وظيفة واحدة أو تطبيق جميع أدواتهما في كل مشروع. بل يعني تنسيق الحوكمة والأدوار والعمليات والمخرجات والبيانات ومؤشرات النجاح، بحيث تؤثر اعتبارات الجاهزية والتبني والمنافع في قرارات المشروع، وتؤثر قرارات النطاق والجدول والميزانية والتصميم في خطط التغيير.</w:t>
      </w:r>
    </w:p>
    <w:p w14:paraId="0DE510C8" w14:textId="4BF8C020" w:rsidR="00F32142" w:rsidRDefault="00F32142" w:rsidP="00F32142">
      <w:pPr>
        <w:pStyle w:val="4"/>
      </w:pPr>
      <w:r>
        <w:rPr>
          <w:rFonts w:hint="cs"/>
          <w:rtl/>
        </w:rPr>
        <w:t>واجهات</w:t>
      </w:r>
      <w:r>
        <w:rPr>
          <w:rFonts w:ascii="Times New Roman" w:hAnsi="Times New Roman" w:cs="Noto Naskh Arabic"/>
          <w:rtl/>
        </w:rPr>
        <w:t xml:space="preserve"> </w:t>
      </w:r>
      <w:r>
        <w:rPr>
          <w:rFonts w:hint="cs"/>
          <w:rtl/>
        </w:rPr>
        <w:t>التكامل</w:t>
      </w:r>
      <w:r>
        <w:rPr>
          <w:rFonts w:ascii="Times New Roman" w:hAnsi="Times New Roman" w:cs="Noto Naskh Arabic"/>
          <w:rtl/>
        </w:rPr>
        <w:t xml:space="preserve"> </w:t>
      </w:r>
      <w:r>
        <w:rPr>
          <w:rFonts w:hint="cs"/>
          <w:rtl/>
        </w:rPr>
        <w:t>الرئيسة</w:t>
      </w:r>
    </w:p>
    <w:p w14:paraId="27C176AA" w14:textId="0D81B993" w:rsidR="00F32142" w:rsidRPr="00F32142" w:rsidRDefault="008B042B" w:rsidP="00F32142">
      <w:pPr>
        <w:pStyle w:val="af7"/>
      </w:pPr>
      <w:bookmarkStart w:id="38" w:name="_Toc235073755"/>
      <w:r w:rsidRPr="008B042B">
        <w:rPr>
          <w:rFonts w:cs="Simplified Arabic"/>
          <w:rtl/>
        </w:rPr>
        <w:t>الجدول رقم (</w:t>
      </w:r>
      <w:r w:rsidRPr="008B042B">
        <w:rPr>
          <w:cs/>
        </w:rPr>
        <w:t>‎</w:t>
      </w:r>
      <w:r w:rsidRPr="008B042B">
        <w:t>2-3</w:t>
      </w:r>
      <w:r w:rsidRPr="008B042B">
        <w:rPr>
          <w:cs/>
        </w:rPr>
        <w:t>‎</w:t>
      </w:r>
      <w:r w:rsidRPr="008B042B">
        <w:rPr>
          <w:rFonts w:cs="Simplified Arabic"/>
          <w:rtl/>
        </w:rPr>
        <w:t>): مقارنة وظائف المجالين وواجهات التكامل</w:t>
      </w:r>
      <w:bookmarkEnd w:id="38"/>
    </w:p>
    <w:tbl>
      <w:tblPr>
        <w:bidiVisual/>
        <w:tblW w:w="9174"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069"/>
        <w:gridCol w:w="2403"/>
        <w:gridCol w:w="2851"/>
        <w:gridCol w:w="2851"/>
      </w:tblGrid>
      <w:tr w:rsidR="00F32142" w:rsidRPr="00C73F4D" w14:paraId="1E97C450" w14:textId="77777777" w:rsidTr="00C73F4D">
        <w:trPr>
          <w:tblHeader/>
          <w:jc w:val="center"/>
        </w:trPr>
        <w:tc>
          <w:tcPr>
            <w:tcW w:w="1069" w:type="dxa"/>
            <w:shd w:val="clear" w:color="auto" w:fill="0095D0"/>
            <w:vAlign w:val="center"/>
          </w:tcPr>
          <w:p w14:paraId="43F21F77" w14:textId="77777777" w:rsidR="00F32142" w:rsidRPr="00C73F4D" w:rsidRDefault="00F32142" w:rsidP="00E92072">
            <w:pPr>
              <w:spacing w:after="0" w:line="240" w:lineRule="auto"/>
              <w:jc w:val="center"/>
              <w:rPr>
                <w:rFonts w:asciiTheme="majorBidi" w:hAnsiTheme="majorBidi" w:cstheme="majorBidi"/>
                <w:bCs/>
                <w:color w:val="FFFFFF" w:themeColor="background1"/>
              </w:rPr>
            </w:pPr>
            <w:r w:rsidRPr="00C73F4D">
              <w:rPr>
                <w:rFonts w:asciiTheme="majorBidi" w:eastAsia="Noto Naskh Arabic" w:hAnsiTheme="majorBidi" w:cstheme="majorBidi"/>
                <w:bCs/>
                <w:color w:val="FFFFFF" w:themeColor="background1"/>
                <w:sz w:val="19"/>
                <w:rtl/>
              </w:rPr>
              <w:t>المجال</w:t>
            </w:r>
          </w:p>
        </w:tc>
        <w:tc>
          <w:tcPr>
            <w:tcW w:w="2403" w:type="dxa"/>
            <w:shd w:val="clear" w:color="auto" w:fill="0095D0"/>
            <w:vAlign w:val="center"/>
          </w:tcPr>
          <w:p w14:paraId="3AADEB8D" w14:textId="77777777" w:rsidR="00F32142" w:rsidRPr="00C73F4D" w:rsidRDefault="00F32142" w:rsidP="00E92072">
            <w:pPr>
              <w:spacing w:after="0" w:line="240" w:lineRule="auto"/>
              <w:jc w:val="center"/>
              <w:rPr>
                <w:rFonts w:asciiTheme="majorBidi" w:hAnsiTheme="majorBidi" w:cstheme="majorBidi"/>
                <w:bCs/>
                <w:color w:val="FFFFFF" w:themeColor="background1"/>
              </w:rPr>
            </w:pPr>
            <w:r w:rsidRPr="00C73F4D">
              <w:rPr>
                <w:rFonts w:asciiTheme="majorBidi" w:eastAsia="Noto Naskh Arabic" w:hAnsiTheme="majorBidi" w:cstheme="majorBidi"/>
                <w:bCs/>
                <w:color w:val="FFFFFF" w:themeColor="background1"/>
                <w:sz w:val="19"/>
                <w:rtl/>
              </w:rPr>
              <w:t>التركيز الرئيس</w:t>
            </w:r>
          </w:p>
        </w:tc>
        <w:tc>
          <w:tcPr>
            <w:tcW w:w="2851" w:type="dxa"/>
            <w:shd w:val="clear" w:color="auto" w:fill="0095D0"/>
            <w:vAlign w:val="center"/>
          </w:tcPr>
          <w:p w14:paraId="3D325976" w14:textId="77777777" w:rsidR="00F32142" w:rsidRPr="00C73F4D" w:rsidRDefault="00F32142" w:rsidP="00E92072">
            <w:pPr>
              <w:spacing w:after="0" w:line="240" w:lineRule="auto"/>
              <w:jc w:val="center"/>
              <w:rPr>
                <w:rFonts w:asciiTheme="majorBidi" w:hAnsiTheme="majorBidi" w:cstheme="majorBidi"/>
                <w:bCs/>
                <w:color w:val="FFFFFF" w:themeColor="background1"/>
              </w:rPr>
            </w:pPr>
            <w:r w:rsidRPr="00C73F4D">
              <w:rPr>
                <w:rFonts w:asciiTheme="majorBidi" w:eastAsia="Noto Naskh Arabic" w:hAnsiTheme="majorBidi" w:cstheme="majorBidi"/>
                <w:bCs/>
                <w:color w:val="FFFFFF" w:themeColor="background1"/>
                <w:sz w:val="19"/>
                <w:rtl/>
              </w:rPr>
              <w:t>ممارسات نموذجية</w:t>
            </w:r>
          </w:p>
        </w:tc>
        <w:tc>
          <w:tcPr>
            <w:tcW w:w="2851" w:type="dxa"/>
            <w:shd w:val="clear" w:color="auto" w:fill="0095D0"/>
            <w:vAlign w:val="center"/>
          </w:tcPr>
          <w:p w14:paraId="4F9EEA85" w14:textId="77777777" w:rsidR="00F32142" w:rsidRPr="00C73F4D" w:rsidRDefault="00F32142" w:rsidP="00E92072">
            <w:pPr>
              <w:spacing w:after="0" w:line="240" w:lineRule="auto"/>
              <w:jc w:val="center"/>
              <w:rPr>
                <w:rFonts w:asciiTheme="majorBidi" w:hAnsiTheme="majorBidi" w:cstheme="majorBidi"/>
                <w:bCs/>
                <w:color w:val="FFFFFF" w:themeColor="background1"/>
              </w:rPr>
            </w:pPr>
            <w:r w:rsidRPr="00C73F4D">
              <w:rPr>
                <w:rFonts w:asciiTheme="majorBidi" w:eastAsia="Noto Naskh Arabic" w:hAnsiTheme="majorBidi" w:cstheme="majorBidi"/>
                <w:bCs/>
                <w:color w:val="FFFFFF" w:themeColor="background1"/>
                <w:sz w:val="19"/>
                <w:rtl/>
              </w:rPr>
              <w:t>واجهة التكامل في مشروع التحول</w:t>
            </w:r>
          </w:p>
        </w:tc>
      </w:tr>
      <w:tr w:rsidR="008B042B" w:rsidRPr="00C73F4D" w14:paraId="2864D914" w14:textId="77777777" w:rsidTr="00C73F4D">
        <w:trPr>
          <w:jc w:val="center"/>
        </w:trPr>
        <w:tc>
          <w:tcPr>
            <w:tcW w:w="1069" w:type="dxa"/>
            <w:vAlign w:val="center"/>
          </w:tcPr>
          <w:p w14:paraId="3F52FC4A" w14:textId="69D8F1CA"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إدارة المشاريع</w:t>
            </w:r>
          </w:p>
        </w:tc>
        <w:tc>
          <w:tcPr>
            <w:tcW w:w="2403" w:type="dxa"/>
            <w:vAlign w:val="center"/>
          </w:tcPr>
          <w:p w14:paraId="6DA58ACE" w14:textId="7A2D983B"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توجيه العمل المؤقت وتسليم المخرجات والقيمة</w:t>
            </w:r>
          </w:p>
        </w:tc>
        <w:tc>
          <w:tcPr>
            <w:tcW w:w="2851" w:type="dxa"/>
            <w:vAlign w:val="center"/>
          </w:tcPr>
          <w:p w14:paraId="02CAFE92" w14:textId="2D53855D"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الحوكمة، النطاق، الوقت، التكلفة، المخاطر، المنهجية، المنافع</w:t>
            </w:r>
          </w:p>
        </w:tc>
        <w:tc>
          <w:tcPr>
            <w:tcW w:w="2851" w:type="dxa"/>
            <w:vAlign w:val="center"/>
          </w:tcPr>
          <w:p w14:paraId="4094D2B9" w14:textId="645B4D42"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إدخال أثر التغيير والجاهزية والتبني في التأسيس والخطة والبوابات والمخاطر</w:t>
            </w:r>
          </w:p>
        </w:tc>
      </w:tr>
      <w:tr w:rsidR="008B042B" w:rsidRPr="00C73F4D" w14:paraId="14EFD55B" w14:textId="77777777" w:rsidTr="00C73F4D">
        <w:trPr>
          <w:jc w:val="center"/>
        </w:trPr>
        <w:tc>
          <w:tcPr>
            <w:tcW w:w="1069" w:type="dxa"/>
            <w:shd w:val="clear" w:color="auto" w:fill="F2F2F2"/>
            <w:vAlign w:val="center"/>
          </w:tcPr>
          <w:p w14:paraId="3FE8A4E4" w14:textId="7B66A62D"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إدارة التغيير</w:t>
            </w:r>
          </w:p>
        </w:tc>
        <w:tc>
          <w:tcPr>
            <w:tcW w:w="2403" w:type="dxa"/>
            <w:shd w:val="clear" w:color="auto" w:fill="F2F2F2"/>
            <w:vAlign w:val="center"/>
          </w:tcPr>
          <w:p w14:paraId="5B0A8363" w14:textId="66E480BE"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تهيئة الأفراد والمؤسسة للانتقال واعتماد الحالة الجديدة</w:t>
            </w:r>
          </w:p>
        </w:tc>
        <w:tc>
          <w:tcPr>
            <w:tcW w:w="2851" w:type="dxa"/>
            <w:shd w:val="clear" w:color="auto" w:fill="F2F2F2"/>
            <w:vAlign w:val="center"/>
          </w:tcPr>
          <w:p w14:paraId="3D5F4E86" w14:textId="194D828D"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القيادة، الثقافة، الاتصال، المشاركة، الجاهزية، التدريب، التعزيز</w:t>
            </w:r>
          </w:p>
        </w:tc>
        <w:tc>
          <w:tcPr>
            <w:tcW w:w="2851" w:type="dxa"/>
            <w:shd w:val="clear" w:color="auto" w:fill="F2F2F2"/>
            <w:vAlign w:val="center"/>
          </w:tcPr>
          <w:p w14:paraId="0C543131" w14:textId="13E0B69F"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ربط التدخلات بمراحل المشروع وإصداراته وقراراته وموارده ومنافعه</w:t>
            </w:r>
          </w:p>
        </w:tc>
      </w:tr>
      <w:tr w:rsidR="008B042B" w:rsidRPr="00C73F4D" w14:paraId="61E92162" w14:textId="77777777" w:rsidTr="00C73F4D">
        <w:trPr>
          <w:jc w:val="center"/>
        </w:trPr>
        <w:tc>
          <w:tcPr>
            <w:tcW w:w="1069" w:type="dxa"/>
            <w:vAlign w:val="center"/>
          </w:tcPr>
          <w:p w14:paraId="4FD8D282" w14:textId="2F4BC5AB"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التكامل</w:t>
            </w:r>
          </w:p>
        </w:tc>
        <w:tc>
          <w:tcPr>
            <w:tcW w:w="2403" w:type="dxa"/>
            <w:vAlign w:val="center"/>
          </w:tcPr>
          <w:p w14:paraId="4C10A5E2" w14:textId="3C2FEF9E"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مواءمة المجالين عبر دورة التحول</w:t>
            </w:r>
          </w:p>
        </w:tc>
        <w:tc>
          <w:tcPr>
            <w:tcW w:w="2851" w:type="dxa"/>
            <w:vAlign w:val="center"/>
          </w:tcPr>
          <w:p w14:paraId="35B8B514" w14:textId="585E14A2"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أدوار مشتركة، بوابات موحدة، خريطة طريق واحدة، بيانات ومؤشرات مترابطة</w:t>
            </w:r>
          </w:p>
        </w:tc>
        <w:tc>
          <w:tcPr>
            <w:tcW w:w="2851" w:type="dxa"/>
            <w:vAlign w:val="center"/>
          </w:tcPr>
          <w:p w14:paraId="0A07A247" w14:textId="409AA2B8" w:rsidR="008B042B" w:rsidRPr="008B042B" w:rsidRDefault="008B042B" w:rsidP="00E92072">
            <w:pPr>
              <w:spacing w:after="0" w:line="240" w:lineRule="auto"/>
              <w:jc w:val="center"/>
              <w:rPr>
                <w:rFonts w:asciiTheme="majorBidi" w:hAnsiTheme="majorBidi" w:cstheme="majorBidi"/>
              </w:rPr>
            </w:pPr>
            <w:r w:rsidRPr="008B042B">
              <w:rPr>
                <w:rFonts w:asciiTheme="majorBidi" w:eastAsia="Noto Naskh Arabic" w:hAnsiTheme="majorBidi" w:cstheme="majorBidi"/>
                <w:sz w:val="19"/>
                <w:rtl/>
              </w:rPr>
              <w:t>تحويل التسليم التقني إلى استخدام وقيمة مستدامة مع الحفاظ على الضبط والتكيف</w:t>
            </w:r>
          </w:p>
        </w:tc>
      </w:tr>
    </w:tbl>
    <w:p w14:paraId="28777C3B" w14:textId="60CBC233" w:rsidR="00F32142" w:rsidRDefault="00F32142" w:rsidP="00C73F4D">
      <w:pPr>
        <w:pStyle w:val="4"/>
      </w:pPr>
      <w:r>
        <w:rPr>
          <w:rFonts w:hint="cs"/>
          <w:rtl/>
        </w:rPr>
        <w:t>مستويات</w:t>
      </w:r>
      <w:r>
        <w:rPr>
          <w:rFonts w:ascii="Times New Roman" w:hAnsi="Times New Roman" w:cs="Noto Naskh Arabic"/>
          <w:rtl/>
        </w:rPr>
        <w:t xml:space="preserve"> </w:t>
      </w:r>
      <w:r>
        <w:rPr>
          <w:rFonts w:hint="cs"/>
          <w:rtl/>
        </w:rPr>
        <w:t>وصور</w:t>
      </w:r>
      <w:r>
        <w:rPr>
          <w:rFonts w:ascii="Times New Roman" w:hAnsi="Times New Roman" w:cs="Noto Naskh Arabic"/>
          <w:rtl/>
        </w:rPr>
        <w:t xml:space="preserve"> </w:t>
      </w:r>
      <w:r>
        <w:rPr>
          <w:rFonts w:hint="cs"/>
          <w:rtl/>
        </w:rPr>
        <w:t>التكامل</w:t>
      </w:r>
    </w:p>
    <w:p w14:paraId="0AE5AEF7" w14:textId="736A9295" w:rsidR="00F32142" w:rsidRPr="00C73F4D" w:rsidRDefault="004B4104" w:rsidP="00C73F4D">
      <w:pPr>
        <w:pStyle w:val="af5"/>
      </w:pPr>
      <w:r w:rsidRPr="004B4104">
        <w:rPr>
          <w:rFonts w:eastAsia="Noto Naskh Arabic"/>
          <w:rtl/>
        </w:rPr>
        <w:t xml:space="preserve">يمكن تصور التكامل على متصل يبدأ بالفصل، حيث تعمل إدارة المشروع والتغيير في مسارين مستقلين أو يغيب أحدهما، ثم التكامل </w:t>
      </w:r>
      <w:proofErr w:type="spellStart"/>
      <w:r w:rsidRPr="004B4104">
        <w:rPr>
          <w:rFonts w:eastAsia="Noto Naskh Arabic"/>
          <w:rtl/>
        </w:rPr>
        <w:t>السياقي</w:t>
      </w:r>
      <w:proofErr w:type="spellEnd"/>
      <w:r w:rsidRPr="004B4104">
        <w:rPr>
          <w:rFonts w:eastAsia="Noto Naskh Arabic"/>
          <w:rtl/>
        </w:rPr>
        <w:t xml:space="preserve"> الذي يضيف بعض ممارسات الاتصال أو التدريب دون آلية رسمية، ثم التكامل الصريح الذي يحدد أدوارًا ومراحل ومخرجات مشتركة، وأخيرًا التكامل متعدد الآليات الذي يجمع الحوكمة ودورة الحياة والبيانات والمنافع والتعلم. ويُستخدم هذا التصور لتوجيه التحليل، لا بوصفه مقياسًا معياريًا جاهزًا قبل فحص الأدلة.</w:t>
      </w:r>
    </w:p>
    <w:p w14:paraId="2875F0CE" w14:textId="1DAAC6EC" w:rsidR="00F32142" w:rsidRDefault="00F32142" w:rsidP="00C73F4D">
      <w:pPr>
        <w:pStyle w:val="4"/>
      </w:pPr>
      <w:r>
        <w:rPr>
          <w:rFonts w:hint="cs"/>
          <w:rtl/>
        </w:rPr>
        <w:t>معوقات</w:t>
      </w:r>
      <w:r>
        <w:rPr>
          <w:rFonts w:ascii="Times New Roman" w:hAnsi="Times New Roman" w:cs="Noto Naskh Arabic"/>
          <w:rtl/>
        </w:rPr>
        <w:t xml:space="preserve"> </w:t>
      </w:r>
      <w:r>
        <w:rPr>
          <w:rFonts w:hint="cs"/>
          <w:rtl/>
        </w:rPr>
        <w:t>التكامل</w:t>
      </w:r>
    </w:p>
    <w:p w14:paraId="304F1822" w14:textId="77777777" w:rsidR="004B4104" w:rsidRPr="004B4104" w:rsidRDefault="004B4104">
      <w:pPr>
        <w:pStyle w:val="af5"/>
        <w:numPr>
          <w:ilvl w:val="0"/>
          <w:numId w:val="9"/>
        </w:numPr>
        <w:rPr>
          <w:rFonts w:eastAsia="Noto Naskh Arabic"/>
          <w:rtl/>
        </w:rPr>
      </w:pPr>
      <w:r w:rsidRPr="004B4104">
        <w:rPr>
          <w:rFonts w:eastAsia="Noto Naskh Arabic"/>
          <w:rtl/>
        </w:rPr>
        <w:t>اختلاف اللغة المهنية ووحدة التحليل؛ فإدارة التغيير تميل إلى مستوى الفرد والمنظمة، بينما تركز إدارة المشاريع على المشروع والبرنامج والمحفظة.</w:t>
      </w:r>
    </w:p>
    <w:p w14:paraId="655D9150" w14:textId="77777777" w:rsidR="004B4104" w:rsidRPr="004B4104" w:rsidRDefault="004B4104">
      <w:pPr>
        <w:pStyle w:val="af5"/>
        <w:numPr>
          <w:ilvl w:val="0"/>
          <w:numId w:val="9"/>
        </w:numPr>
        <w:rPr>
          <w:rFonts w:eastAsia="Noto Naskh Arabic"/>
          <w:rtl/>
        </w:rPr>
      </w:pPr>
      <w:r w:rsidRPr="004B4104">
        <w:rPr>
          <w:rFonts w:eastAsia="Noto Naskh Arabic"/>
          <w:rtl/>
        </w:rPr>
        <w:t>إدخال إدارة التغيير في مرحلة متأخرة بعد تثبيت النطاق والتصميم والميزانية، بما يحولها إلى اتصال أو تدريب علاجي.</w:t>
      </w:r>
    </w:p>
    <w:p w14:paraId="519C9668" w14:textId="77777777" w:rsidR="004B4104" w:rsidRPr="004B4104" w:rsidRDefault="004B4104">
      <w:pPr>
        <w:pStyle w:val="af5"/>
        <w:numPr>
          <w:ilvl w:val="0"/>
          <w:numId w:val="9"/>
        </w:numPr>
        <w:rPr>
          <w:rFonts w:eastAsia="Noto Naskh Arabic"/>
          <w:rtl/>
        </w:rPr>
      </w:pPr>
      <w:r w:rsidRPr="004B4104">
        <w:rPr>
          <w:rFonts w:eastAsia="Noto Naskh Arabic"/>
          <w:rtl/>
        </w:rPr>
        <w:t>غموض الأدوار وازدواجية الملكية بين مدير المشروع ومدير التغيير و</w:t>
      </w:r>
      <w:r w:rsidRPr="004B4104">
        <w:rPr>
          <w:rFonts w:eastAsia="Noto Naskh Arabic"/>
        </w:rPr>
        <w:t>PMO</w:t>
      </w:r>
      <w:r w:rsidRPr="004B4104">
        <w:rPr>
          <w:rFonts w:eastAsia="Noto Naskh Arabic"/>
          <w:rtl/>
        </w:rPr>
        <w:t xml:space="preserve"> ومالك الأعمال والتشغيل.</w:t>
      </w:r>
    </w:p>
    <w:p w14:paraId="7F4306A5" w14:textId="77777777" w:rsidR="004B4104" w:rsidRPr="004B4104" w:rsidRDefault="004B4104">
      <w:pPr>
        <w:pStyle w:val="af5"/>
        <w:numPr>
          <w:ilvl w:val="0"/>
          <w:numId w:val="9"/>
        </w:numPr>
        <w:rPr>
          <w:rFonts w:eastAsia="Noto Naskh Arabic"/>
          <w:rtl/>
        </w:rPr>
      </w:pPr>
      <w:r w:rsidRPr="004B4104">
        <w:rPr>
          <w:rFonts w:eastAsia="Noto Naskh Arabic"/>
          <w:rtl/>
        </w:rPr>
        <w:t>فصل مؤشرات التسليم عن مؤشرات التبني والمنافع، مما يسمح بإغلاق المشروع قبل تحقق القيمة.</w:t>
      </w:r>
    </w:p>
    <w:p w14:paraId="4962D33D" w14:textId="77777777" w:rsidR="004B4104" w:rsidRPr="004B4104" w:rsidRDefault="004B4104">
      <w:pPr>
        <w:pStyle w:val="af5"/>
        <w:numPr>
          <w:ilvl w:val="0"/>
          <w:numId w:val="9"/>
        </w:numPr>
        <w:rPr>
          <w:rFonts w:eastAsia="Noto Naskh Arabic"/>
          <w:rtl/>
        </w:rPr>
      </w:pPr>
      <w:r w:rsidRPr="004B4104">
        <w:rPr>
          <w:rFonts w:eastAsia="Noto Naskh Arabic"/>
          <w:rtl/>
        </w:rPr>
        <w:t>تطبيق نماذج خطية أو قوالب موحدة في سياقات متفاوتة من حيث النضج والتعقيد وعدم اليقين.</w:t>
      </w:r>
    </w:p>
    <w:p w14:paraId="08A5800B" w14:textId="6D07EB7C" w:rsidR="004B4104" w:rsidRPr="004B4104" w:rsidRDefault="004B4104">
      <w:pPr>
        <w:pStyle w:val="af5"/>
        <w:numPr>
          <w:ilvl w:val="0"/>
          <w:numId w:val="9"/>
        </w:numPr>
        <w:rPr>
          <w:rFonts w:eastAsia="Noto Naskh Arabic"/>
        </w:rPr>
      </w:pPr>
      <w:r>
        <w:rPr>
          <w:noProof/>
        </w:rPr>
        <w:lastRenderedPageBreak/>
        <w:drawing>
          <wp:anchor distT="0" distB="0" distL="114300" distR="114300" simplePos="0" relativeHeight="251676672" behindDoc="0" locked="0" layoutInCell="1" allowOverlap="1" wp14:anchorId="59370149" wp14:editId="1C0FAFDE">
            <wp:simplePos x="0" y="0"/>
            <wp:positionH relativeFrom="page">
              <wp:align>center</wp:align>
            </wp:positionH>
            <wp:positionV relativeFrom="paragraph">
              <wp:posOffset>687458</wp:posOffset>
            </wp:positionV>
            <wp:extent cx="5320665" cy="3167380"/>
            <wp:effectExtent l="0" t="0" r="0" b="0"/>
            <wp:wrapTopAndBottom/>
            <wp:docPr id="15" name="Image3" descr="Image: 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Image: image2.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320665" cy="3167380"/>
                    </a:xfrm>
                    <a:prstGeom prst="rect">
                      <a:avLst/>
                    </a:prstGeom>
                    <a:noFill/>
                  </pic:spPr>
                </pic:pic>
              </a:graphicData>
            </a:graphic>
            <wp14:sizeRelH relativeFrom="page">
              <wp14:pctWidth>0</wp14:pctWidth>
            </wp14:sizeRelH>
            <wp14:sizeRelV relativeFrom="page">
              <wp14:pctHeight>0</wp14:pctHeight>
            </wp14:sizeRelV>
          </wp:anchor>
        </w:drawing>
      </w:r>
      <w:r w:rsidRPr="004B4104">
        <w:rPr>
          <w:rFonts w:eastAsia="Noto Naskh Arabic"/>
          <w:rtl/>
        </w:rPr>
        <w:t>ضعف الأدلة الطولية والاختبارات الميدانية للأطر التكاملية، خاصة في السياقات العربية. ويلخص الشكل رقم (</w:t>
      </w:r>
      <w:r w:rsidRPr="004B4104">
        <w:rPr>
          <w:rFonts w:eastAsia="Noto Naskh Arabic"/>
          <w:cs/>
        </w:rPr>
        <w:t>‎</w:t>
      </w:r>
      <w:r w:rsidRPr="004B4104">
        <w:rPr>
          <w:rFonts w:eastAsia="Noto Naskh Arabic"/>
        </w:rPr>
        <w:t>2-1</w:t>
      </w:r>
      <w:r w:rsidRPr="004B4104">
        <w:rPr>
          <w:rFonts w:eastAsia="Noto Naskh Arabic"/>
          <w:cs/>
        </w:rPr>
        <w:t>‎</w:t>
      </w:r>
      <w:r w:rsidRPr="004B4104">
        <w:rPr>
          <w:rFonts w:eastAsia="Noto Naskh Arabic"/>
          <w:rtl/>
        </w:rPr>
        <w:t>) البنية النظرية التي تربط هذه المستويات والمفاهيم.</w:t>
      </w:r>
    </w:p>
    <w:p w14:paraId="5431C10D" w14:textId="1E64A630" w:rsidR="00F32142" w:rsidRPr="00C73F4D" w:rsidRDefault="004B4104" w:rsidP="004B4104">
      <w:pPr>
        <w:pStyle w:val="afa"/>
        <w:rPr>
          <w:rFonts w:asciiTheme="majorBidi" w:hAnsiTheme="majorBidi" w:cstheme="majorBidi"/>
        </w:rPr>
      </w:pPr>
      <w:bookmarkStart w:id="39" w:name="__RefHeading___Toc7457_1679588097"/>
      <w:bookmarkStart w:id="40" w:name="_Toc235073796"/>
      <w:bookmarkEnd w:id="39"/>
      <w:r w:rsidRPr="004B4104">
        <w:rPr>
          <w:rtl/>
        </w:rPr>
        <w:t>الشكل رقم (</w:t>
      </w:r>
      <w:r w:rsidRPr="004B4104">
        <w:rPr>
          <w:cs/>
        </w:rPr>
        <w:t>‎</w:t>
      </w:r>
      <w:r w:rsidRPr="004B4104">
        <w:t>2-1</w:t>
      </w:r>
      <w:r w:rsidRPr="004B4104">
        <w:rPr>
          <w:cs/>
        </w:rPr>
        <w:t>‎</w:t>
      </w:r>
      <w:r w:rsidRPr="004B4104">
        <w:rPr>
          <w:rtl/>
        </w:rPr>
        <w:t>): البنية النظرية للعلاقة بين إدارة التغيير وإدارة المشاريع في التحول الرقمي</w:t>
      </w:r>
      <w:bookmarkEnd w:id="40"/>
    </w:p>
    <w:p w14:paraId="13C7F661" w14:textId="26268D8E" w:rsidR="00F32142" w:rsidRDefault="00F32142" w:rsidP="003C5B11">
      <w:pPr>
        <w:pStyle w:val="2"/>
      </w:pPr>
      <w:bookmarkStart w:id="41" w:name="_Toc235073624"/>
      <w:r>
        <w:rPr>
          <w:rFonts w:hint="cs"/>
          <w:rtl/>
        </w:rPr>
        <w:t>الدراسات</w:t>
      </w:r>
      <w:r>
        <w:rPr>
          <w:rFonts w:ascii="Times New Roman" w:hAnsi="Times New Roman" w:cs="Noto Naskh Arabic"/>
          <w:rtl/>
        </w:rPr>
        <w:t xml:space="preserve"> </w:t>
      </w:r>
      <w:r>
        <w:rPr>
          <w:rFonts w:hint="cs"/>
          <w:rtl/>
        </w:rPr>
        <w:t>السابقة</w:t>
      </w:r>
      <w:bookmarkEnd w:id="41"/>
    </w:p>
    <w:p w14:paraId="794394DE" w14:textId="2108F28B" w:rsidR="00F32142" w:rsidRDefault="00F32142" w:rsidP="00C73F4D">
      <w:pPr>
        <w:pStyle w:val="3"/>
      </w:pPr>
      <w:bookmarkStart w:id="42" w:name="_Toc235073625"/>
      <w:r>
        <w:rPr>
          <w:rFonts w:hint="cs"/>
          <w:rtl/>
        </w:rPr>
        <w:t>المراجعات</w:t>
      </w:r>
      <w:r>
        <w:rPr>
          <w:rFonts w:ascii="Times New Roman" w:hAnsi="Times New Roman" w:cs="Noto Naskh Arabic"/>
          <w:rtl/>
        </w:rPr>
        <w:t xml:space="preserve"> </w:t>
      </w:r>
      <w:r>
        <w:rPr>
          <w:rFonts w:hint="cs"/>
          <w:rtl/>
        </w:rPr>
        <w:t>المنهجية</w:t>
      </w:r>
      <w:r>
        <w:rPr>
          <w:rFonts w:ascii="Times New Roman" w:hAnsi="Times New Roman" w:cs="Noto Naskh Arabic"/>
          <w:rtl/>
        </w:rPr>
        <w:t xml:space="preserve"> </w:t>
      </w:r>
      <w:r>
        <w:rPr>
          <w:rFonts w:hint="cs"/>
          <w:rtl/>
        </w:rPr>
        <w:t>والدراسات</w:t>
      </w:r>
      <w:r>
        <w:rPr>
          <w:rFonts w:ascii="Times New Roman" w:hAnsi="Times New Roman" w:cs="Noto Naskh Arabic"/>
          <w:rtl/>
        </w:rPr>
        <w:t xml:space="preserve"> </w:t>
      </w:r>
      <w:r>
        <w:rPr>
          <w:rFonts w:hint="cs"/>
          <w:rtl/>
        </w:rPr>
        <w:t>المؤسسة</w:t>
      </w:r>
      <w:r>
        <w:rPr>
          <w:rFonts w:ascii="Times New Roman" w:hAnsi="Times New Roman" w:cs="Noto Naskh Arabic"/>
          <w:rtl/>
        </w:rPr>
        <w:t xml:space="preserve"> </w:t>
      </w:r>
      <w:r>
        <w:rPr>
          <w:rFonts w:hint="cs"/>
          <w:rtl/>
        </w:rPr>
        <w:t>للحقل</w:t>
      </w:r>
      <w:bookmarkEnd w:id="42"/>
    </w:p>
    <w:p w14:paraId="791CDB20" w14:textId="77777777" w:rsidR="005A10E6" w:rsidRPr="005A10E6" w:rsidRDefault="005A10E6" w:rsidP="005A10E6">
      <w:pPr>
        <w:pStyle w:val="af5"/>
        <w:rPr>
          <w:rFonts w:eastAsia="Noto Naskh Arabic"/>
          <w:rtl/>
        </w:rPr>
      </w:pPr>
      <w:r w:rsidRPr="005A10E6">
        <w:rPr>
          <w:rFonts w:eastAsia="Noto Naskh Arabic"/>
          <w:rtl/>
        </w:rPr>
        <w:t xml:space="preserve">تُعد مراجعة </w:t>
      </w:r>
      <w:proofErr w:type="spellStart"/>
      <w:r w:rsidRPr="005A10E6">
        <w:rPr>
          <w:rFonts w:eastAsia="Noto Naskh Arabic"/>
        </w:rPr>
        <w:t>Jääskä</w:t>
      </w:r>
      <w:proofErr w:type="spellEnd"/>
      <w:r w:rsidRPr="005A10E6">
        <w:rPr>
          <w:rFonts w:eastAsia="Noto Naskh Arabic"/>
        </w:rPr>
        <w:t xml:space="preserve"> et al</w:t>
      </w:r>
      <w:r w:rsidRPr="005A10E6">
        <w:rPr>
          <w:rFonts w:eastAsia="Noto Naskh Arabic"/>
          <w:rtl/>
        </w:rPr>
        <w:t>. (2025) الأكثر مباشرة في بحث إدارة التغيير داخل حقل إدارة المشاريع؛ إذ خلصت إلى أن الأدبيات ما تزال مجزأة وأن الأدوار ودورتي الحياة والواجهة مع التنظيم الدائم تحتاج إلى بناء أوضح. وتكمن أهميتها في نقل السؤال من إثبات أهمية التغيير إلى تفسير كيفية دمجه في ممارسات المشروع.</w:t>
      </w:r>
    </w:p>
    <w:p w14:paraId="5D36DE16" w14:textId="4BAEACD8" w:rsidR="00E92072" w:rsidRDefault="005A10E6" w:rsidP="005A10E6">
      <w:pPr>
        <w:pStyle w:val="af5"/>
      </w:pPr>
      <w:r w:rsidRPr="005A10E6">
        <w:rPr>
          <w:rFonts w:eastAsia="Noto Naskh Arabic"/>
          <w:rtl/>
        </w:rPr>
        <w:t xml:space="preserve">وفي مسار إدارة المشاريع والتحول الرقمي، قدمت </w:t>
      </w:r>
      <w:r w:rsidRPr="005A10E6">
        <w:rPr>
          <w:rFonts w:eastAsia="Noto Naskh Arabic"/>
        </w:rPr>
        <w:t>Chen et al</w:t>
      </w:r>
      <w:r w:rsidRPr="005A10E6">
        <w:rPr>
          <w:rFonts w:eastAsia="Noto Naskh Arabic"/>
          <w:rtl/>
        </w:rPr>
        <w:t>. (2025) مراجعة اجتماعية–تقنية لـ</w:t>
      </w:r>
      <w:r>
        <w:rPr>
          <w:rFonts w:eastAsia="Noto Naskh Arabic" w:hint="cs"/>
          <w:rtl/>
        </w:rPr>
        <w:t xml:space="preserve"> </w:t>
      </w:r>
      <w:r w:rsidRPr="005A10E6">
        <w:rPr>
          <w:rFonts w:eastAsia="Noto Naskh Arabic"/>
          <w:rtl/>
        </w:rPr>
        <w:t xml:space="preserve">66 دراسة، وحددت قضايا المواءمة والاختلال والحوكمة والسياق. كما جمعت </w:t>
      </w:r>
      <w:r w:rsidRPr="005A10E6">
        <w:rPr>
          <w:rFonts w:eastAsia="Noto Naskh Arabic"/>
        </w:rPr>
        <w:t>Gonçalves et al. (2023) 104</w:t>
      </w:r>
      <w:r w:rsidRPr="005A10E6">
        <w:rPr>
          <w:rFonts w:eastAsia="Noto Naskh Arabic"/>
          <w:rtl/>
        </w:rPr>
        <w:t xml:space="preserve"> دراسات واقترحت علاقة متعددة المستويات بين الاستراتيجية والكفاءات والتقنيات والمحافظ والبرامج والمشاريع. وتؤكد هاتان المراجعتان اتساع حقل إدارة المشاريع الرقمية، لكنهما لا تقدمان بمفردهما نموذجًا مكتملًا يربط ممارسات إدارة التغيير بدورة المشروع.</w:t>
      </w:r>
    </w:p>
    <w:p w14:paraId="0729C0F9" w14:textId="77777777" w:rsidR="00E92072" w:rsidRDefault="00E92072">
      <w:pPr>
        <w:rPr>
          <w:rFonts w:ascii="Simplified Arabic" w:eastAsia="Times New Roman" w:hAnsi="Simplified Arabic" w:cs="Simplified Arabic"/>
          <w:sz w:val="28"/>
          <w:szCs w:val="28"/>
        </w:rPr>
      </w:pPr>
      <w:r>
        <w:br w:type="page"/>
      </w:r>
    </w:p>
    <w:p w14:paraId="1CF2C95C" w14:textId="32428ABE" w:rsidR="00F32142" w:rsidRDefault="00F32142" w:rsidP="00C73F4D">
      <w:pPr>
        <w:pStyle w:val="3"/>
      </w:pPr>
      <w:bookmarkStart w:id="43" w:name="_Toc235073626"/>
      <w:r>
        <w:rPr>
          <w:rFonts w:hint="cs"/>
          <w:rtl/>
        </w:rPr>
        <w:lastRenderedPageBreak/>
        <w:t>الدراسات</w:t>
      </w:r>
      <w:r>
        <w:rPr>
          <w:rFonts w:ascii="Times New Roman" w:hAnsi="Times New Roman" w:cs="Noto Naskh Arabic"/>
          <w:rtl/>
        </w:rPr>
        <w:t xml:space="preserve"> </w:t>
      </w:r>
      <w:r>
        <w:rPr>
          <w:rFonts w:hint="cs"/>
          <w:rtl/>
        </w:rPr>
        <w:t>المباشرة</w:t>
      </w:r>
      <w:r>
        <w:rPr>
          <w:rFonts w:ascii="Times New Roman" w:hAnsi="Times New Roman" w:cs="Noto Naskh Arabic"/>
          <w:rtl/>
        </w:rPr>
        <w:t xml:space="preserve"> </w:t>
      </w:r>
      <w:r>
        <w:rPr>
          <w:rFonts w:hint="cs"/>
          <w:rtl/>
        </w:rPr>
        <w:t>في</w:t>
      </w:r>
      <w:r>
        <w:rPr>
          <w:rFonts w:ascii="Times New Roman" w:hAnsi="Times New Roman" w:cs="Noto Naskh Arabic"/>
          <w:rtl/>
        </w:rPr>
        <w:t xml:space="preserve"> </w:t>
      </w:r>
      <w:r>
        <w:rPr>
          <w:rFonts w:hint="cs"/>
          <w:rtl/>
        </w:rPr>
        <w:t>تكامل</w:t>
      </w:r>
      <w:r>
        <w:rPr>
          <w:rFonts w:ascii="Times New Roman" w:hAnsi="Times New Roman" w:cs="Noto Naskh Arabic"/>
          <w:rtl/>
        </w:rPr>
        <w:t xml:space="preserve"> </w:t>
      </w:r>
      <w:r>
        <w:rPr>
          <w:rFonts w:hint="cs"/>
          <w:rtl/>
        </w:rPr>
        <w:t>إدارة</w:t>
      </w:r>
      <w:r>
        <w:rPr>
          <w:rFonts w:ascii="Times New Roman" w:hAnsi="Times New Roman" w:cs="Noto Naskh Arabic"/>
          <w:rtl/>
        </w:rPr>
        <w:t xml:space="preserve"> </w:t>
      </w:r>
      <w:r>
        <w:rPr>
          <w:rFonts w:hint="cs"/>
          <w:rtl/>
        </w:rPr>
        <w:t>التغيير</w:t>
      </w:r>
      <w:r>
        <w:rPr>
          <w:rFonts w:ascii="Times New Roman" w:hAnsi="Times New Roman" w:cs="Noto Naskh Arabic"/>
          <w:rtl/>
        </w:rPr>
        <w:t xml:space="preserve"> </w:t>
      </w:r>
      <w:r>
        <w:rPr>
          <w:rFonts w:hint="cs"/>
          <w:rtl/>
        </w:rPr>
        <w:t>وإدارة</w:t>
      </w:r>
      <w:r>
        <w:rPr>
          <w:rFonts w:ascii="Times New Roman" w:hAnsi="Times New Roman" w:cs="Noto Naskh Arabic"/>
          <w:rtl/>
        </w:rPr>
        <w:t xml:space="preserve"> </w:t>
      </w:r>
      <w:r>
        <w:rPr>
          <w:rFonts w:hint="cs"/>
          <w:rtl/>
        </w:rPr>
        <w:t>المشاريع</w:t>
      </w:r>
      <w:bookmarkEnd w:id="43"/>
    </w:p>
    <w:p w14:paraId="7B617C76" w14:textId="77777777" w:rsidR="005A10E6" w:rsidRPr="005A10E6" w:rsidRDefault="005A10E6" w:rsidP="005A10E6">
      <w:pPr>
        <w:pStyle w:val="af5"/>
        <w:rPr>
          <w:rFonts w:eastAsia="Noto Naskh Arabic"/>
          <w:rtl/>
        </w:rPr>
      </w:pPr>
      <w:r w:rsidRPr="005A10E6">
        <w:rPr>
          <w:rFonts w:eastAsia="Noto Naskh Arabic"/>
          <w:rtl/>
        </w:rPr>
        <w:t xml:space="preserve">قدمت </w:t>
      </w:r>
      <w:proofErr w:type="spellStart"/>
      <w:r w:rsidRPr="005A10E6">
        <w:rPr>
          <w:rFonts w:eastAsia="Noto Naskh Arabic"/>
        </w:rPr>
        <w:t>Perides</w:t>
      </w:r>
      <w:proofErr w:type="spellEnd"/>
      <w:r w:rsidRPr="005A10E6">
        <w:rPr>
          <w:rFonts w:eastAsia="Noto Naskh Arabic"/>
        </w:rPr>
        <w:t xml:space="preserve"> et al</w:t>
      </w:r>
      <w:r w:rsidRPr="005A10E6">
        <w:rPr>
          <w:rFonts w:eastAsia="Noto Naskh Arabic"/>
          <w:rtl/>
        </w:rPr>
        <w:t xml:space="preserve">. (2020) حالة تطبيقية في مؤسسة مالية أوضحت دور الرعاية التنفيذية واللجنة متعددة الوظائف والملكية اللامركزية والاتصال والثقافة في مشاريع التحول. واختبرت </w:t>
      </w:r>
      <w:proofErr w:type="spellStart"/>
      <w:r w:rsidRPr="005A10E6">
        <w:rPr>
          <w:rFonts w:eastAsia="Noto Naskh Arabic"/>
        </w:rPr>
        <w:t>Elabshihy</w:t>
      </w:r>
      <w:proofErr w:type="spellEnd"/>
      <w:r w:rsidRPr="005A10E6">
        <w:rPr>
          <w:rFonts w:eastAsia="Noto Naskh Arabic"/>
        </w:rPr>
        <w:t xml:space="preserve"> and Saad</w:t>
      </w:r>
      <w:r w:rsidRPr="005A10E6">
        <w:rPr>
          <w:rFonts w:eastAsia="Noto Naskh Arabic"/>
          <w:rtl/>
        </w:rPr>
        <w:t xml:space="preserve"> (2023) نموذجًا سببيًا يجعل إدارة التغيير وفق </w:t>
      </w:r>
      <w:proofErr w:type="spellStart"/>
      <w:r w:rsidRPr="005A10E6">
        <w:rPr>
          <w:rFonts w:eastAsia="Noto Naskh Arabic"/>
          <w:rtl/>
        </w:rPr>
        <w:t>أدكار</w:t>
      </w:r>
      <w:proofErr w:type="spellEnd"/>
      <w:r w:rsidRPr="005A10E6">
        <w:rPr>
          <w:rFonts w:eastAsia="Noto Naskh Arabic"/>
          <w:rtl/>
        </w:rPr>
        <w:t xml:space="preserve"> وسيطًا بين التحول الرقمي وكفاءة إدارة المشاريع، ويُعد من النماذج الكمية المباشرة التي تقدم دليلًا على العلاقة بين المجالين.</w:t>
      </w:r>
    </w:p>
    <w:p w14:paraId="56CA31B8" w14:textId="65F0B79F" w:rsidR="00F32142" w:rsidRPr="00C73F4D" w:rsidRDefault="005A10E6" w:rsidP="005A10E6">
      <w:pPr>
        <w:pStyle w:val="af5"/>
      </w:pPr>
      <w:r w:rsidRPr="005A10E6">
        <w:rPr>
          <w:rFonts w:eastAsia="Noto Naskh Arabic"/>
          <w:rtl/>
        </w:rPr>
        <w:t xml:space="preserve">كما كشفت </w:t>
      </w:r>
      <w:r w:rsidRPr="005A10E6">
        <w:rPr>
          <w:rFonts w:eastAsia="Noto Naskh Arabic"/>
        </w:rPr>
        <w:t>Ivars and Sandvik</w:t>
      </w:r>
      <w:r w:rsidRPr="005A10E6">
        <w:rPr>
          <w:rFonts w:eastAsia="Noto Naskh Arabic"/>
          <w:rtl/>
        </w:rPr>
        <w:t xml:space="preserve"> (2023) أن تطبيق بعض عناصر إدارة التغيير بصورة جزئية لا يساوي تكاملًا منهجيًا، واقترحت إجراءات لربط تحليل السياق والمقاومة والقيادة والنطاق والنموذجين الإداريين. وقدمت </w:t>
      </w:r>
      <w:proofErr w:type="spellStart"/>
      <w:r w:rsidRPr="005A10E6">
        <w:rPr>
          <w:rFonts w:eastAsia="Noto Naskh Arabic"/>
        </w:rPr>
        <w:t>Chepkasova</w:t>
      </w:r>
      <w:proofErr w:type="spellEnd"/>
      <w:r w:rsidRPr="005A10E6">
        <w:rPr>
          <w:rFonts w:eastAsia="Noto Naskh Arabic"/>
        </w:rPr>
        <w:t xml:space="preserve"> and Macalintal</w:t>
      </w:r>
      <w:r w:rsidRPr="005A10E6">
        <w:rPr>
          <w:rFonts w:eastAsia="Noto Naskh Arabic"/>
          <w:rtl/>
        </w:rPr>
        <w:t xml:space="preserve"> (2017) عجلة تكاملية تمتد من التأسيس إلى التشغيل، بينما ربطت </w:t>
      </w:r>
      <w:proofErr w:type="spellStart"/>
      <w:r w:rsidRPr="005A10E6">
        <w:rPr>
          <w:rFonts w:eastAsia="Noto Naskh Arabic"/>
        </w:rPr>
        <w:t>Carujo</w:t>
      </w:r>
      <w:proofErr w:type="spellEnd"/>
      <w:r w:rsidRPr="005A10E6">
        <w:rPr>
          <w:rFonts w:eastAsia="Noto Naskh Arabic"/>
        </w:rPr>
        <w:t xml:space="preserve"> et al</w:t>
      </w:r>
      <w:r w:rsidRPr="005A10E6">
        <w:rPr>
          <w:rFonts w:eastAsia="Noto Naskh Arabic"/>
          <w:rtl/>
        </w:rPr>
        <w:t xml:space="preserve">. (2022) بين الجدوى وإدارة المشروع وإدارة التغيير وتحقيق المنافع. وتضيف </w:t>
      </w:r>
      <w:r w:rsidRPr="005A10E6">
        <w:rPr>
          <w:rFonts w:eastAsia="Noto Naskh Arabic"/>
        </w:rPr>
        <w:t>Simard and Aubry</w:t>
      </w:r>
      <w:r w:rsidRPr="005A10E6">
        <w:rPr>
          <w:rFonts w:eastAsia="Noto Naskh Arabic"/>
          <w:rtl/>
        </w:rPr>
        <w:t xml:space="preserve"> (2025) بعدًا طوليًا يوضح كيف تتغير مساهمة </w:t>
      </w:r>
      <w:r w:rsidRPr="005A10E6">
        <w:rPr>
          <w:rFonts w:eastAsia="Noto Naskh Arabic"/>
        </w:rPr>
        <w:t>PMO</w:t>
      </w:r>
      <w:r w:rsidRPr="005A10E6">
        <w:rPr>
          <w:rFonts w:eastAsia="Noto Naskh Arabic"/>
          <w:rtl/>
        </w:rPr>
        <w:t xml:space="preserve"> ومكانته مع تطور التحول.</w:t>
      </w:r>
    </w:p>
    <w:p w14:paraId="25E24812" w14:textId="2CD01169" w:rsidR="00F32142" w:rsidRPr="00074EDE" w:rsidRDefault="00F32142" w:rsidP="00074EDE">
      <w:pPr>
        <w:pStyle w:val="3"/>
      </w:pPr>
      <w:bookmarkStart w:id="44" w:name="_Toc235073627"/>
      <w:r w:rsidRPr="00074EDE">
        <w:rPr>
          <w:rtl/>
        </w:rPr>
        <w:t xml:space="preserve">الحوكمة والمحفظة </w:t>
      </w:r>
      <w:proofErr w:type="spellStart"/>
      <w:r w:rsidRPr="00074EDE">
        <w:rPr>
          <w:rtl/>
        </w:rPr>
        <w:t>وPMO</w:t>
      </w:r>
      <w:proofErr w:type="spellEnd"/>
      <w:r w:rsidRPr="00074EDE">
        <w:rPr>
          <w:rtl/>
        </w:rPr>
        <w:t xml:space="preserve"> والأشكال التنظيمية</w:t>
      </w:r>
      <w:bookmarkEnd w:id="44"/>
    </w:p>
    <w:p w14:paraId="03456FB0" w14:textId="77777777" w:rsidR="005A10E6" w:rsidRPr="005A10E6" w:rsidRDefault="005A10E6" w:rsidP="005A10E6">
      <w:pPr>
        <w:pStyle w:val="af5"/>
        <w:rPr>
          <w:rFonts w:eastAsia="Noto Naskh Arabic"/>
          <w:rtl/>
        </w:rPr>
      </w:pPr>
      <w:r w:rsidRPr="005A10E6">
        <w:rPr>
          <w:rFonts w:eastAsia="Noto Naskh Arabic"/>
          <w:rtl/>
        </w:rPr>
        <w:t xml:space="preserve">تناولت </w:t>
      </w:r>
      <w:r w:rsidRPr="005A10E6">
        <w:rPr>
          <w:rFonts w:eastAsia="Noto Naskh Arabic"/>
        </w:rPr>
        <w:t>Vukadinovi</w:t>
      </w:r>
      <w:r w:rsidRPr="005A10E6">
        <w:rPr>
          <w:rFonts w:ascii="Cambria" w:eastAsia="Noto Naskh Arabic" w:hAnsi="Cambria" w:cs="Cambria"/>
        </w:rPr>
        <w:t>ć</w:t>
      </w:r>
      <w:r w:rsidRPr="005A10E6">
        <w:rPr>
          <w:rFonts w:eastAsia="Noto Naskh Arabic"/>
        </w:rPr>
        <w:t xml:space="preserve"> and </w:t>
      </w:r>
      <w:proofErr w:type="spellStart"/>
      <w:r w:rsidRPr="005A10E6">
        <w:rPr>
          <w:rFonts w:eastAsia="Noto Naskh Arabic"/>
        </w:rPr>
        <w:t>Fabac</w:t>
      </w:r>
      <w:proofErr w:type="spellEnd"/>
      <w:r w:rsidRPr="005A10E6">
        <w:rPr>
          <w:rFonts w:eastAsia="Noto Naskh Arabic"/>
          <w:rtl/>
        </w:rPr>
        <w:t xml:space="preserve"> (2022) ظهور مكتب إدارة المشاريع الرقمي بوصفه بنية توسع وظائف </w:t>
      </w:r>
      <w:r w:rsidRPr="005A10E6">
        <w:rPr>
          <w:rFonts w:eastAsia="Noto Naskh Arabic"/>
        </w:rPr>
        <w:t>PMO</w:t>
      </w:r>
      <w:r w:rsidRPr="005A10E6">
        <w:rPr>
          <w:rFonts w:eastAsia="Noto Naskh Arabic"/>
          <w:rtl/>
        </w:rPr>
        <w:t xml:space="preserve"> نحو الرشاقة والابتكار والمعرفة والتغيير. واقترحت </w:t>
      </w:r>
      <w:r w:rsidRPr="005A10E6">
        <w:rPr>
          <w:rFonts w:eastAsia="Noto Naskh Arabic"/>
        </w:rPr>
        <w:t>Echternach-Jaubert et al</w:t>
      </w:r>
      <w:r w:rsidRPr="005A10E6">
        <w:rPr>
          <w:rFonts w:eastAsia="Noto Naskh Arabic"/>
          <w:rtl/>
        </w:rPr>
        <w:t xml:space="preserve">. (2025) نموذجًا لإدارة محفظة مشاريع التحول في التعدين يربط الاستراتيجية بالمحفظة والبرنامج والمشروع والجاهزية، لكنه بقي مفاهيميًا وغير مختبر. أما </w:t>
      </w:r>
      <w:r w:rsidRPr="005A10E6">
        <w:rPr>
          <w:rFonts w:eastAsia="Noto Naskh Arabic"/>
        </w:rPr>
        <w:t>Erjavec et al</w:t>
      </w:r>
      <w:r w:rsidRPr="005A10E6">
        <w:rPr>
          <w:rFonts w:eastAsia="Noto Naskh Arabic"/>
          <w:rtl/>
        </w:rPr>
        <w:t>. (2024) فأظهرت أن الشكل التنظيمي المناسب يعتمد على الثقافة الرقمية ودور تقنية المعلومات وأهداف التحول، ولا يوجد تصميم واحد صالح لجميع المؤسسات.</w:t>
      </w:r>
    </w:p>
    <w:p w14:paraId="426A7549" w14:textId="194969B8" w:rsidR="005A10E6" w:rsidRDefault="005A10E6" w:rsidP="005A10E6">
      <w:pPr>
        <w:pStyle w:val="af5"/>
      </w:pPr>
      <w:r w:rsidRPr="005A10E6">
        <w:rPr>
          <w:rFonts w:eastAsia="Noto Naskh Arabic"/>
          <w:rtl/>
        </w:rPr>
        <w:t xml:space="preserve">وتدعم </w:t>
      </w:r>
      <w:r w:rsidRPr="005A10E6">
        <w:rPr>
          <w:rFonts w:eastAsia="Noto Naskh Arabic"/>
        </w:rPr>
        <w:t>Gertzen et al</w:t>
      </w:r>
      <w:r w:rsidRPr="005A10E6">
        <w:rPr>
          <w:rFonts w:eastAsia="Noto Naskh Arabic"/>
          <w:rtl/>
        </w:rPr>
        <w:t xml:space="preserve">. (2022) توسيع معايير اختيار المحفظة لتشمل الكفاءة وتجربة العميل والثقافة إلى جانب المؤشرات المالية. كما تبرز </w:t>
      </w:r>
      <w:proofErr w:type="spellStart"/>
      <w:r w:rsidRPr="005A10E6">
        <w:rPr>
          <w:rFonts w:eastAsia="Noto Naskh Arabic"/>
        </w:rPr>
        <w:t>Tschebul</w:t>
      </w:r>
      <w:proofErr w:type="spellEnd"/>
      <w:r w:rsidRPr="005A10E6">
        <w:rPr>
          <w:rFonts w:eastAsia="Noto Naskh Arabic"/>
          <w:rtl/>
        </w:rPr>
        <w:t xml:space="preserve"> (2023) أهمية مزيج الحوكمة من أعلى والمشاركة من أسفل والفرق متعددة الوظائف، بينما تكشف </w:t>
      </w:r>
      <w:r w:rsidRPr="005A10E6">
        <w:rPr>
          <w:rFonts w:eastAsia="Noto Naskh Arabic"/>
        </w:rPr>
        <w:t>Cresswell et al</w:t>
      </w:r>
      <w:r w:rsidRPr="005A10E6">
        <w:rPr>
          <w:rFonts w:eastAsia="Noto Naskh Arabic"/>
          <w:rtl/>
        </w:rPr>
        <w:t>. (2022) التوتر بين متطلبات الحوكمة الوطنية والقيمة المحلية في برامج التحول واسعة النطاق.</w:t>
      </w:r>
    </w:p>
    <w:p w14:paraId="09223B07" w14:textId="74BF286C" w:rsidR="00F32142" w:rsidRDefault="00F32142" w:rsidP="00074EDE">
      <w:pPr>
        <w:pStyle w:val="3"/>
      </w:pPr>
      <w:bookmarkStart w:id="45" w:name="_Toc235073628"/>
      <w:r>
        <w:rPr>
          <w:rFonts w:hint="cs"/>
          <w:rtl/>
        </w:rPr>
        <w:t>التعقيد</w:t>
      </w:r>
      <w:r>
        <w:rPr>
          <w:rFonts w:ascii="Times New Roman" w:hAnsi="Times New Roman" w:cs="Noto Naskh Arabic"/>
          <w:rtl/>
        </w:rPr>
        <w:t xml:space="preserve"> </w:t>
      </w:r>
      <w:r>
        <w:rPr>
          <w:rFonts w:hint="cs"/>
          <w:rtl/>
        </w:rPr>
        <w:t>وعدم</w:t>
      </w:r>
      <w:r>
        <w:rPr>
          <w:rFonts w:ascii="Times New Roman" w:hAnsi="Times New Roman" w:cs="Noto Naskh Arabic"/>
          <w:rtl/>
        </w:rPr>
        <w:t xml:space="preserve"> </w:t>
      </w:r>
      <w:r>
        <w:rPr>
          <w:rFonts w:hint="cs"/>
          <w:rtl/>
        </w:rPr>
        <w:t>اليقين</w:t>
      </w:r>
      <w:r>
        <w:rPr>
          <w:rFonts w:ascii="Times New Roman" w:hAnsi="Times New Roman" w:cs="Noto Naskh Arabic"/>
          <w:rtl/>
        </w:rPr>
        <w:t xml:space="preserve"> </w:t>
      </w:r>
      <w:r>
        <w:rPr>
          <w:rFonts w:hint="cs"/>
          <w:rtl/>
        </w:rPr>
        <w:t>والمنهجيات</w:t>
      </w:r>
      <w:r>
        <w:rPr>
          <w:rFonts w:ascii="Times New Roman" w:hAnsi="Times New Roman" w:cs="Noto Naskh Arabic"/>
          <w:rtl/>
        </w:rPr>
        <w:t xml:space="preserve"> </w:t>
      </w:r>
      <w:r>
        <w:rPr>
          <w:rFonts w:hint="cs"/>
          <w:rtl/>
        </w:rPr>
        <w:t>التكيفية</w:t>
      </w:r>
      <w:bookmarkEnd w:id="45"/>
    </w:p>
    <w:p w14:paraId="7E094694" w14:textId="77777777" w:rsidR="005A10E6" w:rsidRPr="005A10E6" w:rsidRDefault="005A10E6" w:rsidP="005A10E6">
      <w:pPr>
        <w:pStyle w:val="af5"/>
        <w:rPr>
          <w:rFonts w:eastAsia="Noto Naskh Arabic"/>
          <w:rtl/>
        </w:rPr>
      </w:pPr>
      <w:r w:rsidRPr="005A10E6">
        <w:rPr>
          <w:rFonts w:eastAsia="Noto Naskh Arabic"/>
          <w:rtl/>
        </w:rPr>
        <w:t xml:space="preserve">توضح </w:t>
      </w:r>
      <w:proofErr w:type="spellStart"/>
      <w:r w:rsidRPr="005A10E6">
        <w:rPr>
          <w:rFonts w:eastAsia="Noto Naskh Arabic"/>
        </w:rPr>
        <w:t>Hafseld</w:t>
      </w:r>
      <w:proofErr w:type="spellEnd"/>
      <w:r w:rsidRPr="005A10E6">
        <w:rPr>
          <w:rFonts w:eastAsia="Noto Naskh Arabic"/>
        </w:rPr>
        <w:t xml:space="preserve"> et al</w:t>
      </w:r>
      <w:r w:rsidRPr="005A10E6">
        <w:rPr>
          <w:rFonts w:eastAsia="Noto Naskh Arabic"/>
          <w:rtl/>
        </w:rPr>
        <w:t xml:space="preserve">. (2021) أن التعقيد في التحول الحكومي ينشأ من الاعتماديات والواجهات والتفاعل بين التنظيم والتقنية والابتكار. وتفصل </w:t>
      </w:r>
      <w:r w:rsidRPr="005A10E6">
        <w:rPr>
          <w:rFonts w:eastAsia="Noto Naskh Arabic"/>
        </w:rPr>
        <w:t>Albrecht et al</w:t>
      </w:r>
      <w:r w:rsidRPr="005A10E6">
        <w:rPr>
          <w:rFonts w:eastAsia="Noto Naskh Arabic"/>
          <w:rtl/>
        </w:rPr>
        <w:t xml:space="preserve">. (2025) عدم اليقين المتعلق بتعريف التحول والمشروع والميزانية، وتقترح التقدير المرحلي والتجريب والشراكة بين الأعمال وتقنية المعلومات. وتبين </w:t>
      </w:r>
      <w:r w:rsidRPr="005A10E6">
        <w:rPr>
          <w:rFonts w:eastAsia="Noto Naskh Arabic"/>
        </w:rPr>
        <w:t>Nerurkar and Das</w:t>
      </w:r>
      <w:r w:rsidRPr="005A10E6">
        <w:rPr>
          <w:rFonts w:eastAsia="Noto Naskh Arabic"/>
          <w:rtl/>
        </w:rPr>
        <w:t xml:space="preserve"> (2017) ملاءمة التقسيم المرحلي والتغذية الراجعة في مشروع حكومي رقمي، بينما تربط </w:t>
      </w:r>
      <w:r w:rsidRPr="005A10E6">
        <w:rPr>
          <w:rFonts w:eastAsia="Noto Naskh Arabic"/>
        </w:rPr>
        <w:t>Galvão Junior et al</w:t>
      </w:r>
      <w:r w:rsidRPr="005A10E6">
        <w:rPr>
          <w:rFonts w:eastAsia="Noto Naskh Arabic"/>
          <w:rtl/>
        </w:rPr>
        <w:t>. (2024) المنهجيات الرشيقة بالفرق متعددة التخصصات والقيمة المستمرة.</w:t>
      </w:r>
    </w:p>
    <w:p w14:paraId="711277F1" w14:textId="44E5A137" w:rsidR="004B4587" w:rsidRDefault="005A10E6" w:rsidP="005A10E6">
      <w:pPr>
        <w:pStyle w:val="af5"/>
      </w:pPr>
      <w:r w:rsidRPr="005A10E6">
        <w:rPr>
          <w:rFonts w:eastAsia="Noto Naskh Arabic"/>
          <w:rtl/>
        </w:rPr>
        <w:t>وتكشف هذه الدراسات أن الرشاقة ليست هدفًا في ذاتها، بل استجابة لعدم اليقين والحاجة إلى التعلم. كما أنها لا تلغي الحاجة إلى الحوكمة أو الملكية أو المنافع؛ فالتحول يحتاج إلى ضبط تكيفي يوازن بين سرعة التجربة ومسؤولية القرار.</w:t>
      </w:r>
    </w:p>
    <w:p w14:paraId="6C904831" w14:textId="78B41255" w:rsidR="00F32142" w:rsidRDefault="00F32142" w:rsidP="004B4587">
      <w:pPr>
        <w:pStyle w:val="3"/>
      </w:pPr>
      <w:bookmarkStart w:id="46" w:name="_Toc235073629"/>
      <w:r>
        <w:rPr>
          <w:rFonts w:hint="cs"/>
          <w:rtl/>
        </w:rPr>
        <w:lastRenderedPageBreak/>
        <w:t>البعد</w:t>
      </w:r>
      <w:r>
        <w:rPr>
          <w:rFonts w:ascii="Times New Roman" w:hAnsi="Times New Roman" w:cs="Noto Naskh Arabic"/>
          <w:rtl/>
        </w:rPr>
        <w:t xml:space="preserve"> </w:t>
      </w:r>
      <w:r>
        <w:rPr>
          <w:rFonts w:hint="cs"/>
          <w:rtl/>
        </w:rPr>
        <w:t>البشري</w:t>
      </w:r>
      <w:r>
        <w:rPr>
          <w:rFonts w:ascii="Times New Roman" w:hAnsi="Times New Roman" w:cs="Noto Naskh Arabic"/>
          <w:rtl/>
        </w:rPr>
        <w:t xml:space="preserve"> </w:t>
      </w:r>
      <w:r>
        <w:rPr>
          <w:rFonts w:hint="cs"/>
          <w:rtl/>
        </w:rPr>
        <w:t>والثقافي</w:t>
      </w:r>
      <w:r>
        <w:rPr>
          <w:rFonts w:ascii="Times New Roman" w:hAnsi="Times New Roman" w:cs="Noto Naskh Arabic"/>
          <w:rtl/>
        </w:rPr>
        <w:t xml:space="preserve"> </w:t>
      </w:r>
      <w:r>
        <w:rPr>
          <w:rFonts w:hint="cs"/>
          <w:rtl/>
        </w:rPr>
        <w:t>والمشاركة</w:t>
      </w:r>
      <w:r>
        <w:rPr>
          <w:rFonts w:ascii="Times New Roman" w:hAnsi="Times New Roman" w:cs="Noto Naskh Arabic"/>
          <w:rtl/>
        </w:rPr>
        <w:t xml:space="preserve"> </w:t>
      </w:r>
      <w:r>
        <w:rPr>
          <w:rFonts w:hint="cs"/>
          <w:rtl/>
        </w:rPr>
        <w:t>والقدرات</w:t>
      </w:r>
      <w:bookmarkEnd w:id="46"/>
    </w:p>
    <w:p w14:paraId="762E7DE7" w14:textId="19CE99E0" w:rsidR="00F32142" w:rsidRPr="004B4587" w:rsidRDefault="005A10E6" w:rsidP="004B4587">
      <w:pPr>
        <w:pStyle w:val="af5"/>
      </w:pPr>
      <w:r w:rsidRPr="005A10E6">
        <w:rPr>
          <w:rFonts w:eastAsia="Noto Naskh Arabic"/>
          <w:rtl/>
        </w:rPr>
        <w:t xml:space="preserve">تقدم </w:t>
      </w:r>
      <w:r w:rsidRPr="005A10E6">
        <w:rPr>
          <w:rFonts w:eastAsia="Noto Naskh Arabic"/>
        </w:rPr>
        <w:t xml:space="preserve">Al-Moaid and </w:t>
      </w:r>
      <w:proofErr w:type="spellStart"/>
      <w:r w:rsidRPr="005A10E6">
        <w:rPr>
          <w:rFonts w:eastAsia="Noto Naskh Arabic"/>
        </w:rPr>
        <w:t>Almarhdi</w:t>
      </w:r>
      <w:proofErr w:type="spellEnd"/>
      <w:r w:rsidRPr="005A10E6">
        <w:rPr>
          <w:rFonts w:eastAsia="Noto Naskh Arabic"/>
          <w:rtl/>
        </w:rPr>
        <w:t xml:space="preserve"> (2024) دليلًا كميًا على دور إدارة التغيير والقدرات الديناميكية في نجاح التحول. وتوضح </w:t>
      </w:r>
      <w:r w:rsidRPr="005A10E6">
        <w:rPr>
          <w:rFonts w:eastAsia="Noto Naskh Arabic"/>
        </w:rPr>
        <w:t>Ullrich et al</w:t>
      </w:r>
      <w:r w:rsidRPr="005A10E6">
        <w:rPr>
          <w:rFonts w:eastAsia="Noto Naskh Arabic"/>
          <w:rtl/>
        </w:rPr>
        <w:t xml:space="preserve">. (2023) أن المشاركة الفعلية تختلف عن الاتصال وأن تصميمها السيئ قد يزيد المقاومة. أما </w:t>
      </w:r>
      <w:r w:rsidRPr="005A10E6">
        <w:rPr>
          <w:rFonts w:eastAsia="Noto Naskh Arabic"/>
        </w:rPr>
        <w:t>Shaba et al</w:t>
      </w:r>
      <w:r w:rsidRPr="005A10E6">
        <w:rPr>
          <w:rFonts w:eastAsia="Noto Naskh Arabic"/>
          <w:rtl/>
        </w:rPr>
        <w:t xml:space="preserve">. (2023) فتوسع المشاركة إلى مستوى النظام البيئي وتربطها بالتصميم المستمر والجمع بين الجوانب التقنية والتنظيمية. كما تبين </w:t>
      </w:r>
      <w:r w:rsidRPr="005A10E6">
        <w:rPr>
          <w:rFonts w:eastAsia="Noto Naskh Arabic"/>
        </w:rPr>
        <w:t>Roy</w:t>
      </w:r>
      <w:r w:rsidRPr="005A10E6">
        <w:rPr>
          <w:rFonts w:eastAsia="Noto Naskh Arabic"/>
          <w:rtl/>
        </w:rPr>
        <w:t xml:space="preserve"> (2025) أهمية القيادة والاتصال والحوكمة والتدريب في مشاريع هندسية عابرة للحدود، مع ضرورة التعامل بحذر مع قوة الاستنتاج بسبب قيود القياس والتقرير.</w:t>
      </w:r>
    </w:p>
    <w:p w14:paraId="70A0FBBB" w14:textId="5C9D3847" w:rsidR="00F32142" w:rsidRDefault="005A10E6" w:rsidP="004B4587">
      <w:pPr>
        <w:pStyle w:val="3"/>
      </w:pPr>
      <w:bookmarkStart w:id="47" w:name="_Toc235073630"/>
      <w:r w:rsidRPr="005A10E6">
        <w:rPr>
          <w:rFonts w:cs="Simplified Arabic"/>
          <w:rtl/>
        </w:rPr>
        <w:t>الدراسات العربية والدراسات ذات السياق العربي</w:t>
      </w:r>
      <w:bookmarkEnd w:id="47"/>
    </w:p>
    <w:p w14:paraId="0069EB19" w14:textId="7F1D2DFF" w:rsidR="005A10E6" w:rsidRPr="005A10E6" w:rsidRDefault="005A10E6" w:rsidP="005A10E6">
      <w:pPr>
        <w:pStyle w:val="af5"/>
        <w:rPr>
          <w:rFonts w:eastAsia="Noto Naskh Arabic"/>
          <w:rtl/>
        </w:rPr>
      </w:pPr>
      <w:r w:rsidRPr="005A10E6">
        <w:rPr>
          <w:rFonts w:eastAsia="Noto Naskh Arabic"/>
          <w:rtl/>
        </w:rPr>
        <w:t xml:space="preserve">تركز الدراسات العربية في العينة على </w:t>
      </w:r>
      <w:r w:rsidR="00E92072" w:rsidRPr="005A10E6">
        <w:rPr>
          <w:rFonts w:eastAsia="Noto Naskh Arabic" w:hint="cs"/>
          <w:rtl/>
        </w:rPr>
        <w:t>ثلاث</w:t>
      </w:r>
      <w:r w:rsidRPr="005A10E6">
        <w:rPr>
          <w:rFonts w:eastAsia="Noto Naskh Arabic"/>
          <w:rtl/>
        </w:rPr>
        <w:t xml:space="preserve"> اتجاهات. يتناول الاتجاه الأول الثقافة والجاهزية والمتطلبات المؤسسية، كما في بن أمينة </w:t>
      </w:r>
      <w:proofErr w:type="spellStart"/>
      <w:r w:rsidRPr="005A10E6">
        <w:rPr>
          <w:rFonts w:eastAsia="Noto Naskh Arabic"/>
          <w:rtl/>
        </w:rPr>
        <w:t>ولقام</w:t>
      </w:r>
      <w:proofErr w:type="spellEnd"/>
      <w:r w:rsidRPr="005A10E6">
        <w:rPr>
          <w:rFonts w:eastAsia="Noto Naskh Arabic"/>
          <w:rtl/>
        </w:rPr>
        <w:t xml:space="preserve"> (2025) وبلقاضي (2024) وأحمد (2022). ويتناول الاتجاه الثاني إدارة المقاومة وإدارة التغيير ونجاح التحول، كما في </w:t>
      </w:r>
      <w:proofErr w:type="spellStart"/>
      <w:r w:rsidRPr="005A10E6">
        <w:rPr>
          <w:rFonts w:eastAsia="Noto Naskh Arabic"/>
          <w:rtl/>
        </w:rPr>
        <w:t>أوصالح</w:t>
      </w:r>
      <w:proofErr w:type="spellEnd"/>
      <w:r w:rsidRPr="005A10E6">
        <w:rPr>
          <w:rFonts w:eastAsia="Noto Naskh Arabic"/>
          <w:rtl/>
        </w:rPr>
        <w:t xml:space="preserve"> (2023) وبوشارب (2025) ورابحي (2024). أما الاتجاه الثالث فيقترب من المشروع، كما في قنديل (2025) التي قاست الثقة وخبرة المستخدم بوصفهما نتائج لمشاريع التحول، </w:t>
      </w:r>
      <w:proofErr w:type="spellStart"/>
      <w:r w:rsidRPr="005A10E6">
        <w:rPr>
          <w:rFonts w:eastAsia="Noto Naskh Arabic"/>
          <w:rtl/>
        </w:rPr>
        <w:t>وحربوش</w:t>
      </w:r>
      <w:proofErr w:type="spellEnd"/>
      <w:r w:rsidRPr="005A10E6">
        <w:rPr>
          <w:rFonts w:eastAsia="Noto Naskh Arabic"/>
          <w:rtl/>
        </w:rPr>
        <w:t xml:space="preserve"> (2025) التي تناولت متطلبات إدارة المشاريع الرقمية، و</w:t>
      </w:r>
      <w:proofErr w:type="spellStart"/>
      <w:r w:rsidRPr="005A10E6">
        <w:rPr>
          <w:rFonts w:eastAsia="Noto Naskh Arabic"/>
        </w:rPr>
        <w:t>Althobiti</w:t>
      </w:r>
      <w:proofErr w:type="spellEnd"/>
      <w:r w:rsidRPr="005A10E6">
        <w:rPr>
          <w:rFonts w:eastAsia="Noto Naskh Arabic"/>
        </w:rPr>
        <w:t xml:space="preserve"> and </w:t>
      </w:r>
      <w:proofErr w:type="spellStart"/>
      <w:r w:rsidRPr="005A10E6">
        <w:rPr>
          <w:rFonts w:eastAsia="Noto Naskh Arabic"/>
        </w:rPr>
        <w:t>Alzamil</w:t>
      </w:r>
      <w:proofErr w:type="spellEnd"/>
      <w:r w:rsidRPr="005A10E6">
        <w:rPr>
          <w:rFonts w:eastAsia="Noto Naskh Arabic"/>
          <w:rtl/>
        </w:rPr>
        <w:t xml:space="preserve"> (2026) التي درست أثر الأدوات الرقمية في كفاءة المشاريع العقارية بالرياض.</w:t>
      </w:r>
    </w:p>
    <w:p w14:paraId="17DA07C8" w14:textId="7A6CDB13" w:rsidR="00F32142" w:rsidRPr="004B4587" w:rsidRDefault="005A10E6" w:rsidP="005A10E6">
      <w:pPr>
        <w:pStyle w:val="af5"/>
      </w:pPr>
      <w:r w:rsidRPr="005A10E6">
        <w:rPr>
          <w:rFonts w:eastAsia="Noto Naskh Arabic"/>
          <w:rtl/>
        </w:rPr>
        <w:t>تقدم هذه الدراسات قيمة سياقية مهمة في البيئات الحكومية والتعليمية والخدمية والعقارية، وتؤكد مركزية الثقافة والمهارات والمقاومة والدعم والشفافية. غير أنها غالبًا لا تقيس حوكمة المشروع وأدواره ودورة حياته بالتوازي مع ممارسات إدارة التغيير، ولذلك تبقى العلاقة بين المجالين ضمنية أو سياقية. ويعرض الشكل رقم (</w:t>
      </w:r>
      <w:r w:rsidRPr="005A10E6">
        <w:rPr>
          <w:rFonts w:eastAsia="Noto Naskh Arabic"/>
          <w:cs/>
        </w:rPr>
        <w:t>‎</w:t>
      </w:r>
      <w:r w:rsidRPr="005A10E6">
        <w:rPr>
          <w:rFonts w:eastAsia="Noto Naskh Arabic"/>
        </w:rPr>
        <w:t>2-2</w:t>
      </w:r>
      <w:r w:rsidRPr="005A10E6">
        <w:rPr>
          <w:rFonts w:eastAsia="Noto Naskh Arabic"/>
          <w:cs/>
        </w:rPr>
        <w:t>‎</w:t>
      </w:r>
      <w:r w:rsidRPr="005A10E6">
        <w:rPr>
          <w:rFonts w:eastAsia="Noto Naskh Arabic"/>
          <w:rtl/>
        </w:rPr>
        <w:t>) مسارات الأدبيات والفجوة التي تتموضع فيها الدراسة الحالية.</w:t>
      </w:r>
    </w:p>
    <w:p w14:paraId="6E10CF85" w14:textId="77777777" w:rsidR="005A10E6" w:rsidRDefault="005A10E6" w:rsidP="005A10E6">
      <w:pPr>
        <w:pStyle w:val="afa"/>
      </w:pPr>
      <w:bookmarkStart w:id="48" w:name="_Toc235073797"/>
      <w:r>
        <w:rPr>
          <w:noProof/>
        </w:rPr>
        <w:drawing>
          <wp:anchor distT="0" distB="0" distL="114300" distR="114300" simplePos="0" relativeHeight="251677696" behindDoc="0" locked="0" layoutInCell="1" allowOverlap="1" wp14:anchorId="2BB88581" wp14:editId="386230B1">
            <wp:simplePos x="0" y="0"/>
            <wp:positionH relativeFrom="page">
              <wp:align>center</wp:align>
            </wp:positionH>
            <wp:positionV relativeFrom="paragraph">
              <wp:posOffset>3810</wp:posOffset>
            </wp:positionV>
            <wp:extent cx="4483735" cy="2477135"/>
            <wp:effectExtent l="0" t="0" r="0" b="0"/>
            <wp:wrapTopAndBottom/>
            <wp:docPr id="18" name="Picture 2" descr="Image: 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Image: image3.pn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483735" cy="2477135"/>
                    </a:xfrm>
                    <a:prstGeom prst="rect">
                      <a:avLst/>
                    </a:prstGeom>
                    <a:noFill/>
                  </pic:spPr>
                </pic:pic>
              </a:graphicData>
            </a:graphic>
            <wp14:sizeRelH relativeFrom="page">
              <wp14:pctWidth>0</wp14:pctWidth>
            </wp14:sizeRelH>
            <wp14:sizeRelV relativeFrom="page">
              <wp14:pctHeight>0</wp14:pctHeight>
            </wp14:sizeRelV>
          </wp:anchor>
        </w:drawing>
      </w:r>
      <w:r w:rsidRPr="005A10E6">
        <w:rPr>
          <w:rtl/>
        </w:rPr>
        <w:t xml:space="preserve"> </w:t>
      </w:r>
      <w:r w:rsidRPr="005A10E6">
        <w:rPr>
          <w:noProof/>
          <w:rtl/>
        </w:rPr>
        <w:t>الشكل رقم (</w:t>
      </w:r>
      <w:r w:rsidRPr="005A10E6">
        <w:rPr>
          <w:noProof/>
          <w:cs/>
        </w:rPr>
        <w:t>‎</w:t>
      </w:r>
      <w:r w:rsidRPr="005A10E6">
        <w:rPr>
          <w:noProof/>
        </w:rPr>
        <w:t>2-2</w:t>
      </w:r>
      <w:r w:rsidRPr="005A10E6">
        <w:rPr>
          <w:noProof/>
          <w:cs/>
        </w:rPr>
        <w:t>‎</w:t>
      </w:r>
      <w:r w:rsidRPr="005A10E6">
        <w:rPr>
          <w:noProof/>
          <w:rtl/>
        </w:rPr>
        <w:t>): مسارات الأدبيات والفجوة التي تعالجها الدراسة الحالية</w:t>
      </w:r>
      <w:bookmarkEnd w:id="48"/>
    </w:p>
    <w:p w14:paraId="23E19E65" w14:textId="2813DA71" w:rsidR="0086030F" w:rsidRDefault="005A10E6" w:rsidP="005A10E6">
      <w:pPr>
        <w:pStyle w:val="af7"/>
      </w:pPr>
      <w:bookmarkStart w:id="49" w:name="_Toc235073756"/>
      <w:r w:rsidRPr="005A10E6">
        <w:rPr>
          <w:rFonts w:cs="Simplified Arabic"/>
          <w:rtl/>
        </w:rPr>
        <w:lastRenderedPageBreak/>
        <w:t>الجدول رقم (</w:t>
      </w:r>
      <w:r w:rsidRPr="005A10E6">
        <w:rPr>
          <w:cs/>
        </w:rPr>
        <w:t>‎</w:t>
      </w:r>
      <w:r w:rsidRPr="005A10E6">
        <w:t>2-4</w:t>
      </w:r>
      <w:r w:rsidRPr="005A10E6">
        <w:rPr>
          <w:cs/>
        </w:rPr>
        <w:t>‎</w:t>
      </w:r>
      <w:r w:rsidRPr="005A10E6">
        <w:rPr>
          <w:rFonts w:cs="Simplified Arabic"/>
          <w:rtl/>
        </w:rPr>
        <w:t>): ملخص الدراسات الداخلة في عينة المراجعة المنهجية</w:t>
      </w:r>
      <w:bookmarkEnd w:id="49"/>
    </w:p>
    <w:tbl>
      <w:tblPr>
        <w:bidiVisual/>
        <w:tblW w:w="9175"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70"/>
        <w:gridCol w:w="1725"/>
        <w:gridCol w:w="1575"/>
        <w:gridCol w:w="1537"/>
        <w:gridCol w:w="1972"/>
        <w:gridCol w:w="1796"/>
      </w:tblGrid>
      <w:tr w:rsidR="0086030F" w14:paraId="18FDC025" w14:textId="77777777" w:rsidTr="00E92072">
        <w:trPr>
          <w:tblHeader/>
          <w:jc w:val="center"/>
        </w:trPr>
        <w:tc>
          <w:tcPr>
            <w:tcW w:w="570" w:type="dxa"/>
            <w:shd w:val="clear" w:color="auto" w:fill="0095D0"/>
            <w:vAlign w:val="center"/>
          </w:tcPr>
          <w:p w14:paraId="21864F6D" w14:textId="77777777" w:rsidR="0086030F" w:rsidRPr="0086030F" w:rsidRDefault="0086030F" w:rsidP="00E92072">
            <w:pPr>
              <w:spacing w:after="0" w:line="240" w:lineRule="auto"/>
              <w:jc w:val="center"/>
              <w:rPr>
                <w:rFonts w:asciiTheme="majorBidi" w:hAnsiTheme="majorBidi" w:cstheme="majorBidi"/>
                <w:bCs/>
                <w:color w:val="FFFFFF" w:themeColor="background1"/>
              </w:rPr>
            </w:pPr>
            <w:r w:rsidRPr="0086030F">
              <w:rPr>
                <w:rFonts w:asciiTheme="majorBidi" w:eastAsia="Noto Naskh Arabic" w:hAnsiTheme="majorBidi" w:cstheme="majorBidi"/>
                <w:bCs/>
                <w:color w:val="FFFFFF" w:themeColor="background1"/>
                <w:sz w:val="16"/>
                <w:rtl/>
              </w:rPr>
              <w:t>م</w:t>
            </w:r>
          </w:p>
        </w:tc>
        <w:tc>
          <w:tcPr>
            <w:tcW w:w="1725" w:type="dxa"/>
            <w:shd w:val="clear" w:color="auto" w:fill="0095D0"/>
            <w:vAlign w:val="center"/>
          </w:tcPr>
          <w:p w14:paraId="38A1CE0F" w14:textId="77777777" w:rsidR="0086030F" w:rsidRPr="0086030F" w:rsidRDefault="0086030F" w:rsidP="00E92072">
            <w:pPr>
              <w:spacing w:after="0" w:line="240" w:lineRule="auto"/>
              <w:jc w:val="center"/>
              <w:rPr>
                <w:rFonts w:asciiTheme="majorBidi" w:hAnsiTheme="majorBidi" w:cstheme="majorBidi"/>
                <w:bCs/>
                <w:color w:val="FFFFFF" w:themeColor="background1"/>
              </w:rPr>
            </w:pPr>
            <w:r w:rsidRPr="0086030F">
              <w:rPr>
                <w:rFonts w:asciiTheme="majorBidi" w:eastAsia="Noto Naskh Arabic" w:hAnsiTheme="majorBidi" w:cstheme="majorBidi"/>
                <w:bCs/>
                <w:color w:val="FFFFFF" w:themeColor="background1"/>
                <w:sz w:val="16"/>
                <w:rtl/>
              </w:rPr>
              <w:t>الدراسة</w:t>
            </w:r>
          </w:p>
        </w:tc>
        <w:tc>
          <w:tcPr>
            <w:tcW w:w="1575" w:type="dxa"/>
            <w:shd w:val="clear" w:color="auto" w:fill="0095D0"/>
            <w:vAlign w:val="center"/>
          </w:tcPr>
          <w:p w14:paraId="326AD78A" w14:textId="77777777" w:rsidR="0086030F" w:rsidRPr="0086030F" w:rsidRDefault="0086030F" w:rsidP="00E92072">
            <w:pPr>
              <w:spacing w:after="0" w:line="240" w:lineRule="auto"/>
              <w:jc w:val="center"/>
              <w:rPr>
                <w:rFonts w:asciiTheme="majorBidi" w:hAnsiTheme="majorBidi" w:cstheme="majorBidi"/>
                <w:bCs/>
                <w:color w:val="FFFFFF" w:themeColor="background1"/>
              </w:rPr>
            </w:pPr>
            <w:r w:rsidRPr="0086030F">
              <w:rPr>
                <w:rFonts w:asciiTheme="majorBidi" w:eastAsia="Noto Naskh Arabic" w:hAnsiTheme="majorBidi" w:cstheme="majorBidi"/>
                <w:bCs/>
                <w:color w:val="FFFFFF" w:themeColor="background1"/>
                <w:sz w:val="16"/>
                <w:rtl/>
              </w:rPr>
              <w:t>التصميم والسياق</w:t>
            </w:r>
          </w:p>
        </w:tc>
        <w:tc>
          <w:tcPr>
            <w:tcW w:w="1537" w:type="dxa"/>
            <w:shd w:val="clear" w:color="auto" w:fill="0095D0"/>
            <w:vAlign w:val="center"/>
          </w:tcPr>
          <w:p w14:paraId="47DB848D" w14:textId="77777777" w:rsidR="0086030F" w:rsidRPr="0086030F" w:rsidRDefault="0086030F" w:rsidP="00E92072">
            <w:pPr>
              <w:spacing w:after="0" w:line="240" w:lineRule="auto"/>
              <w:jc w:val="center"/>
              <w:rPr>
                <w:rFonts w:asciiTheme="majorBidi" w:hAnsiTheme="majorBidi" w:cstheme="majorBidi"/>
                <w:bCs/>
                <w:color w:val="FFFFFF" w:themeColor="background1"/>
              </w:rPr>
            </w:pPr>
            <w:r w:rsidRPr="0086030F">
              <w:rPr>
                <w:rFonts w:asciiTheme="majorBidi" w:eastAsia="Noto Naskh Arabic" w:hAnsiTheme="majorBidi" w:cstheme="majorBidi"/>
                <w:bCs/>
                <w:color w:val="FFFFFF" w:themeColor="background1"/>
                <w:sz w:val="16"/>
                <w:rtl/>
              </w:rPr>
              <w:t>محور الدراسة</w:t>
            </w:r>
          </w:p>
        </w:tc>
        <w:tc>
          <w:tcPr>
            <w:tcW w:w="1972" w:type="dxa"/>
            <w:shd w:val="clear" w:color="auto" w:fill="0095D0"/>
            <w:vAlign w:val="center"/>
          </w:tcPr>
          <w:p w14:paraId="4B78F0A3" w14:textId="77777777" w:rsidR="0086030F" w:rsidRPr="0086030F" w:rsidRDefault="0086030F" w:rsidP="00E92072">
            <w:pPr>
              <w:spacing w:after="0" w:line="240" w:lineRule="auto"/>
              <w:jc w:val="center"/>
              <w:rPr>
                <w:rFonts w:asciiTheme="majorBidi" w:hAnsiTheme="majorBidi" w:cstheme="majorBidi"/>
                <w:bCs/>
                <w:color w:val="FFFFFF" w:themeColor="background1"/>
              </w:rPr>
            </w:pPr>
            <w:r w:rsidRPr="0086030F">
              <w:rPr>
                <w:rFonts w:asciiTheme="majorBidi" w:eastAsia="Noto Naskh Arabic" w:hAnsiTheme="majorBidi" w:cstheme="majorBidi"/>
                <w:bCs/>
                <w:color w:val="FFFFFF" w:themeColor="background1"/>
                <w:sz w:val="16"/>
                <w:rtl/>
              </w:rPr>
              <w:t>أبرز النتائج</w:t>
            </w:r>
          </w:p>
        </w:tc>
        <w:tc>
          <w:tcPr>
            <w:tcW w:w="1796" w:type="dxa"/>
            <w:shd w:val="clear" w:color="auto" w:fill="0095D0"/>
            <w:vAlign w:val="center"/>
          </w:tcPr>
          <w:p w14:paraId="79B467C4" w14:textId="77777777" w:rsidR="0086030F" w:rsidRPr="0086030F" w:rsidRDefault="0086030F" w:rsidP="00E92072">
            <w:pPr>
              <w:spacing w:after="0" w:line="240" w:lineRule="auto"/>
              <w:jc w:val="center"/>
              <w:rPr>
                <w:rFonts w:asciiTheme="majorBidi" w:hAnsiTheme="majorBidi" w:cstheme="majorBidi"/>
                <w:bCs/>
                <w:color w:val="FFFFFF" w:themeColor="background1"/>
              </w:rPr>
            </w:pPr>
            <w:r w:rsidRPr="0086030F">
              <w:rPr>
                <w:rFonts w:asciiTheme="majorBidi" w:eastAsia="Noto Naskh Arabic" w:hAnsiTheme="majorBidi" w:cstheme="majorBidi"/>
                <w:bCs/>
                <w:color w:val="FFFFFF" w:themeColor="background1"/>
                <w:sz w:val="16"/>
                <w:rtl/>
              </w:rPr>
              <w:t>دلالتها للبحث الحالي</w:t>
            </w:r>
          </w:p>
        </w:tc>
      </w:tr>
      <w:tr w:rsidR="005A10E6" w14:paraId="5EFDD5C7" w14:textId="77777777" w:rsidTr="00E92072">
        <w:trPr>
          <w:jc w:val="center"/>
        </w:trPr>
        <w:tc>
          <w:tcPr>
            <w:tcW w:w="570" w:type="dxa"/>
            <w:vAlign w:val="center"/>
          </w:tcPr>
          <w:p w14:paraId="59C0FB52"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1</w:t>
            </w:r>
          </w:p>
        </w:tc>
        <w:tc>
          <w:tcPr>
            <w:tcW w:w="1725" w:type="dxa"/>
            <w:vAlign w:val="center"/>
          </w:tcPr>
          <w:p w14:paraId="5B765540" w14:textId="4BC548BB" w:rsidR="005A10E6" w:rsidRPr="005A10E6" w:rsidRDefault="005A10E6" w:rsidP="00E92072">
            <w:pPr>
              <w:spacing w:after="0" w:line="240" w:lineRule="auto"/>
              <w:jc w:val="center"/>
              <w:rPr>
                <w:rFonts w:asciiTheme="majorHAnsi" w:hAnsiTheme="majorHAnsi" w:cstheme="majorHAnsi"/>
              </w:rPr>
            </w:pPr>
            <w:proofErr w:type="spellStart"/>
            <w:r w:rsidRPr="005A10E6">
              <w:rPr>
                <w:rFonts w:asciiTheme="majorHAnsi" w:eastAsia="Noto Naskh Arabic" w:hAnsiTheme="majorHAnsi" w:cstheme="majorHAnsi"/>
              </w:rPr>
              <w:t>Jääskä</w:t>
            </w:r>
            <w:proofErr w:type="spellEnd"/>
            <w:r w:rsidRPr="005A10E6">
              <w:rPr>
                <w:rFonts w:asciiTheme="majorHAnsi" w:eastAsia="Noto Naskh Arabic" w:hAnsiTheme="majorHAnsi" w:cstheme="majorHAnsi"/>
              </w:rPr>
              <w:t xml:space="preserve"> et al. (2025)</w:t>
            </w:r>
          </w:p>
        </w:tc>
        <w:tc>
          <w:tcPr>
            <w:tcW w:w="1575" w:type="dxa"/>
            <w:vAlign w:val="center"/>
          </w:tcPr>
          <w:p w14:paraId="65B157A2" w14:textId="6659068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مراجعة منهجية </w:t>
            </w:r>
            <w:proofErr w:type="gramStart"/>
            <w:r w:rsidRPr="005A10E6">
              <w:rPr>
                <w:rFonts w:asciiTheme="majorBidi" w:eastAsia="Noto Naskh Arabic" w:hAnsiTheme="majorBidi" w:cstheme="majorBidi"/>
                <w:rtl/>
              </w:rPr>
              <w:t>لـ</w:t>
            </w:r>
            <w:r w:rsidRPr="005A10E6">
              <w:rPr>
                <w:rFonts w:asciiTheme="majorBidi" w:eastAsia="Noto Naskh Arabic" w:hAnsiTheme="majorBidi" w:cstheme="majorBidi"/>
              </w:rPr>
              <w:t>43</w:t>
            </w:r>
            <w:proofErr w:type="gramEnd"/>
            <w:r w:rsidRPr="005A10E6">
              <w:rPr>
                <w:rFonts w:asciiTheme="majorBidi" w:eastAsia="Noto Naskh Arabic" w:hAnsiTheme="majorBidi" w:cstheme="majorBidi"/>
                <w:rtl/>
              </w:rPr>
              <w:t xml:space="preserve"> دراسة في حقل إدارة المشاريع</w:t>
            </w:r>
          </w:p>
        </w:tc>
        <w:tc>
          <w:tcPr>
            <w:tcW w:w="1537" w:type="dxa"/>
            <w:vAlign w:val="center"/>
          </w:tcPr>
          <w:p w14:paraId="5F7BC475" w14:textId="75CB15B5"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كيفية معالجة إدارة التغيير داخل دراسات المشاريع</w:t>
            </w:r>
          </w:p>
        </w:tc>
        <w:tc>
          <w:tcPr>
            <w:tcW w:w="1972" w:type="dxa"/>
            <w:vAlign w:val="center"/>
          </w:tcPr>
          <w:p w14:paraId="2A2C97D8" w14:textId="0444CC47"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الأدبيات مجزأة، والأدوار ودورتا الحياة غير متوائمتين، والدمج غالبًا حدسي</w:t>
            </w:r>
          </w:p>
        </w:tc>
        <w:tc>
          <w:tcPr>
            <w:tcW w:w="1796" w:type="dxa"/>
            <w:vAlign w:val="center"/>
          </w:tcPr>
          <w:p w14:paraId="0BC9FD0F" w14:textId="423B8E51"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مرجع تأسيسي لتعريف فجوة التكامل والواجهات</w:t>
            </w:r>
          </w:p>
        </w:tc>
      </w:tr>
      <w:tr w:rsidR="005A10E6" w14:paraId="5C1BF727" w14:textId="77777777" w:rsidTr="00E92072">
        <w:trPr>
          <w:jc w:val="center"/>
        </w:trPr>
        <w:tc>
          <w:tcPr>
            <w:tcW w:w="570" w:type="dxa"/>
            <w:shd w:val="clear" w:color="auto" w:fill="F2F2F2"/>
            <w:vAlign w:val="center"/>
          </w:tcPr>
          <w:p w14:paraId="4AFF2F60"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2</w:t>
            </w:r>
          </w:p>
        </w:tc>
        <w:tc>
          <w:tcPr>
            <w:tcW w:w="1725" w:type="dxa"/>
            <w:shd w:val="clear" w:color="auto" w:fill="F2F2F2"/>
            <w:vAlign w:val="center"/>
          </w:tcPr>
          <w:p w14:paraId="3AC947EC" w14:textId="1234D62E" w:rsidR="005A10E6" w:rsidRPr="005A10E6" w:rsidRDefault="005A10E6" w:rsidP="00E92072">
            <w:pPr>
              <w:spacing w:after="0" w:line="240" w:lineRule="auto"/>
              <w:jc w:val="center"/>
              <w:rPr>
                <w:rFonts w:asciiTheme="majorHAnsi" w:hAnsiTheme="majorHAnsi" w:cstheme="majorHAnsi"/>
              </w:rPr>
            </w:pPr>
            <w:proofErr w:type="spellStart"/>
            <w:r w:rsidRPr="005A10E6">
              <w:rPr>
                <w:rFonts w:asciiTheme="majorHAnsi" w:eastAsia="Noto Naskh Arabic" w:hAnsiTheme="majorHAnsi" w:cstheme="majorHAnsi"/>
              </w:rPr>
              <w:t>Hafseld</w:t>
            </w:r>
            <w:proofErr w:type="spellEnd"/>
            <w:r w:rsidRPr="005A10E6">
              <w:rPr>
                <w:rFonts w:asciiTheme="majorHAnsi" w:eastAsia="Noto Naskh Arabic" w:hAnsiTheme="majorHAnsi" w:cstheme="majorHAnsi"/>
              </w:rPr>
              <w:t xml:space="preserve"> et al. (2021)</w:t>
            </w:r>
          </w:p>
        </w:tc>
        <w:tc>
          <w:tcPr>
            <w:tcW w:w="1575" w:type="dxa"/>
            <w:shd w:val="clear" w:color="auto" w:fill="F2F2F2"/>
            <w:vAlign w:val="center"/>
          </w:tcPr>
          <w:p w14:paraId="56D8FE9A" w14:textId="54D14EDB"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حالة حكومية نرويجية؛ مقابلات وملاحظة ووثائق</w:t>
            </w:r>
          </w:p>
        </w:tc>
        <w:tc>
          <w:tcPr>
            <w:tcW w:w="1537" w:type="dxa"/>
            <w:shd w:val="clear" w:color="auto" w:fill="F2F2F2"/>
            <w:vAlign w:val="center"/>
          </w:tcPr>
          <w:p w14:paraId="5DAC39ED" w14:textId="15CA57A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مصادر التعقيد في مشروع تحول رقمي متعدد الجهات</w:t>
            </w:r>
          </w:p>
        </w:tc>
        <w:tc>
          <w:tcPr>
            <w:tcW w:w="1972" w:type="dxa"/>
            <w:shd w:val="clear" w:color="auto" w:fill="F2F2F2"/>
            <w:vAlign w:val="center"/>
          </w:tcPr>
          <w:p w14:paraId="33372D16" w14:textId="004164A0"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التعقيد ينشأ من تفاعل التنظيم والتقنية والابتكار والاعتماديات</w:t>
            </w:r>
          </w:p>
        </w:tc>
        <w:tc>
          <w:tcPr>
            <w:tcW w:w="1796" w:type="dxa"/>
            <w:shd w:val="clear" w:color="auto" w:fill="F2F2F2"/>
            <w:vAlign w:val="center"/>
          </w:tcPr>
          <w:p w14:paraId="66C985B9" w14:textId="7D5099A3"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يوضح ضرورة إدارة الواجهات والحوكمة والكفاءات</w:t>
            </w:r>
          </w:p>
        </w:tc>
      </w:tr>
      <w:tr w:rsidR="005A10E6" w14:paraId="3D8325FC" w14:textId="77777777" w:rsidTr="00E92072">
        <w:trPr>
          <w:jc w:val="center"/>
        </w:trPr>
        <w:tc>
          <w:tcPr>
            <w:tcW w:w="570" w:type="dxa"/>
            <w:vAlign w:val="center"/>
          </w:tcPr>
          <w:p w14:paraId="37E5710E"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3</w:t>
            </w:r>
          </w:p>
        </w:tc>
        <w:tc>
          <w:tcPr>
            <w:tcW w:w="1725" w:type="dxa"/>
            <w:vAlign w:val="center"/>
          </w:tcPr>
          <w:p w14:paraId="782EF069" w14:textId="0F29B6C3"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 xml:space="preserve">Al-Moaid &amp; </w:t>
            </w:r>
            <w:proofErr w:type="spellStart"/>
            <w:r w:rsidRPr="005A10E6">
              <w:rPr>
                <w:rFonts w:asciiTheme="majorHAnsi" w:eastAsia="Noto Naskh Arabic" w:hAnsiTheme="majorHAnsi" w:cstheme="majorHAnsi"/>
              </w:rPr>
              <w:t>Almarhdi</w:t>
            </w:r>
            <w:proofErr w:type="spellEnd"/>
            <w:r w:rsidRPr="005A10E6">
              <w:rPr>
                <w:rFonts w:asciiTheme="majorHAnsi" w:eastAsia="Noto Naskh Arabic" w:hAnsiTheme="majorHAnsi" w:cstheme="majorHAnsi"/>
              </w:rPr>
              <w:t xml:space="preserve"> (2024)</w:t>
            </w:r>
          </w:p>
        </w:tc>
        <w:tc>
          <w:tcPr>
            <w:tcW w:w="1575" w:type="dxa"/>
            <w:vAlign w:val="center"/>
          </w:tcPr>
          <w:p w14:paraId="3BC9F38A" w14:textId="3284940D"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دراسة كمية في الاتصالات اليمنية؛ </w:t>
            </w:r>
            <w:r w:rsidRPr="005A10E6">
              <w:rPr>
                <w:rFonts w:asciiTheme="majorBidi" w:eastAsia="Noto Naskh Arabic" w:hAnsiTheme="majorBidi" w:cstheme="majorBidi"/>
              </w:rPr>
              <w:t>335</w:t>
            </w:r>
            <w:r w:rsidRPr="005A10E6">
              <w:rPr>
                <w:rFonts w:asciiTheme="majorBidi" w:eastAsia="Noto Naskh Arabic" w:hAnsiTheme="majorBidi" w:cstheme="majorBidi"/>
                <w:rtl/>
              </w:rPr>
              <w:t xml:space="preserve"> حالة</w:t>
            </w:r>
          </w:p>
        </w:tc>
        <w:tc>
          <w:tcPr>
            <w:tcW w:w="1537" w:type="dxa"/>
            <w:vAlign w:val="center"/>
          </w:tcPr>
          <w:p w14:paraId="4D90D7AA" w14:textId="18719E22"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القدرات الديناميكية ووساطة إدارة التغيير</w:t>
            </w:r>
          </w:p>
        </w:tc>
        <w:tc>
          <w:tcPr>
            <w:tcW w:w="1972" w:type="dxa"/>
            <w:vAlign w:val="center"/>
          </w:tcPr>
          <w:p w14:paraId="48AE6920" w14:textId="0DF8D1A4"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إدارة التغيير وسيط دال في نجاح التحول، مع أهمية القيادة والقدرات والاستدامة</w:t>
            </w:r>
          </w:p>
        </w:tc>
        <w:tc>
          <w:tcPr>
            <w:tcW w:w="1796" w:type="dxa"/>
            <w:vAlign w:val="center"/>
          </w:tcPr>
          <w:p w14:paraId="6603DEB1" w14:textId="1C311337"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دليل كمي قوي على مركزية التغيير، لا على تكامل </w:t>
            </w:r>
            <w:r w:rsidRPr="005A10E6">
              <w:rPr>
                <w:rFonts w:asciiTheme="majorBidi" w:eastAsia="Noto Naskh Arabic" w:hAnsiTheme="majorBidi" w:cstheme="majorBidi"/>
              </w:rPr>
              <w:t>PM</w:t>
            </w:r>
            <w:r w:rsidRPr="005A10E6">
              <w:rPr>
                <w:rFonts w:asciiTheme="majorBidi" w:eastAsia="Noto Naskh Arabic" w:hAnsiTheme="majorBidi" w:cstheme="majorBidi"/>
                <w:rtl/>
              </w:rPr>
              <w:t xml:space="preserve"> المباشر</w:t>
            </w:r>
          </w:p>
        </w:tc>
      </w:tr>
      <w:tr w:rsidR="005A10E6" w14:paraId="54DC8D6A" w14:textId="77777777" w:rsidTr="00E92072">
        <w:trPr>
          <w:jc w:val="center"/>
        </w:trPr>
        <w:tc>
          <w:tcPr>
            <w:tcW w:w="570" w:type="dxa"/>
            <w:shd w:val="clear" w:color="auto" w:fill="F2F2F2"/>
            <w:vAlign w:val="center"/>
          </w:tcPr>
          <w:p w14:paraId="6B550DC9"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4</w:t>
            </w:r>
          </w:p>
        </w:tc>
        <w:tc>
          <w:tcPr>
            <w:tcW w:w="1725" w:type="dxa"/>
            <w:shd w:val="clear" w:color="auto" w:fill="F2F2F2"/>
            <w:vAlign w:val="center"/>
          </w:tcPr>
          <w:p w14:paraId="38FEBEAC" w14:textId="18ACEB11"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Chen et al. (2025)</w:t>
            </w:r>
          </w:p>
        </w:tc>
        <w:tc>
          <w:tcPr>
            <w:tcW w:w="1575" w:type="dxa"/>
            <w:shd w:val="clear" w:color="auto" w:fill="F2F2F2"/>
            <w:vAlign w:val="center"/>
          </w:tcPr>
          <w:p w14:paraId="1FE5A0A2" w14:textId="11C3190A"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مراجعة منهجية </w:t>
            </w:r>
            <w:proofErr w:type="gramStart"/>
            <w:r w:rsidRPr="005A10E6">
              <w:rPr>
                <w:rFonts w:asciiTheme="majorBidi" w:eastAsia="Noto Naskh Arabic" w:hAnsiTheme="majorBidi" w:cstheme="majorBidi"/>
                <w:rtl/>
              </w:rPr>
              <w:t>لـ</w:t>
            </w:r>
            <w:r w:rsidRPr="005A10E6">
              <w:rPr>
                <w:rFonts w:asciiTheme="majorBidi" w:eastAsia="Noto Naskh Arabic" w:hAnsiTheme="majorBidi" w:cstheme="majorBidi"/>
              </w:rPr>
              <w:t>66</w:t>
            </w:r>
            <w:proofErr w:type="gramEnd"/>
            <w:r w:rsidRPr="005A10E6">
              <w:rPr>
                <w:rFonts w:asciiTheme="majorBidi" w:eastAsia="Noto Naskh Arabic" w:hAnsiTheme="majorBidi" w:cstheme="majorBidi"/>
                <w:rtl/>
              </w:rPr>
              <w:t xml:space="preserve"> دراسة</w:t>
            </w:r>
          </w:p>
        </w:tc>
        <w:tc>
          <w:tcPr>
            <w:tcW w:w="1537" w:type="dxa"/>
            <w:shd w:val="clear" w:color="auto" w:fill="F2F2F2"/>
            <w:vAlign w:val="center"/>
          </w:tcPr>
          <w:p w14:paraId="475019A7" w14:textId="30CAA52D"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التحول الرقمي في إدارة المشاريع</w:t>
            </w:r>
          </w:p>
        </w:tc>
        <w:tc>
          <w:tcPr>
            <w:tcW w:w="1972" w:type="dxa"/>
            <w:shd w:val="clear" w:color="auto" w:fill="F2F2F2"/>
            <w:vAlign w:val="center"/>
          </w:tcPr>
          <w:p w14:paraId="66F4FB59" w14:textId="5EEE30C6"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أربعة محاور: التكامل الاجتماعي–التقني، الاختلالات، الحوكمة، والمسارات السياقية</w:t>
            </w:r>
          </w:p>
        </w:tc>
        <w:tc>
          <w:tcPr>
            <w:tcW w:w="1796" w:type="dxa"/>
            <w:shd w:val="clear" w:color="auto" w:fill="F2F2F2"/>
            <w:vAlign w:val="center"/>
          </w:tcPr>
          <w:p w14:paraId="5F5B83CF" w14:textId="7CDF6BF3"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يؤصل للطبيعة الاجتماعية–التقنية والحاجة إلى المواءمة</w:t>
            </w:r>
          </w:p>
        </w:tc>
      </w:tr>
      <w:tr w:rsidR="005A10E6" w14:paraId="76002A87" w14:textId="77777777" w:rsidTr="00E92072">
        <w:trPr>
          <w:jc w:val="center"/>
        </w:trPr>
        <w:tc>
          <w:tcPr>
            <w:tcW w:w="570" w:type="dxa"/>
            <w:vAlign w:val="center"/>
          </w:tcPr>
          <w:p w14:paraId="2C2A06F5"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5</w:t>
            </w:r>
          </w:p>
        </w:tc>
        <w:tc>
          <w:tcPr>
            <w:tcW w:w="1725" w:type="dxa"/>
            <w:vAlign w:val="center"/>
          </w:tcPr>
          <w:p w14:paraId="6359AA9C" w14:textId="22FC93A9"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Gonçalves et al. (2023)</w:t>
            </w:r>
          </w:p>
        </w:tc>
        <w:tc>
          <w:tcPr>
            <w:tcW w:w="1575" w:type="dxa"/>
            <w:vAlign w:val="center"/>
          </w:tcPr>
          <w:p w14:paraId="01F31910" w14:textId="3AA4B697"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مراجعة منهجية </w:t>
            </w:r>
            <w:proofErr w:type="gramStart"/>
            <w:r w:rsidRPr="005A10E6">
              <w:rPr>
                <w:rFonts w:asciiTheme="majorBidi" w:eastAsia="Noto Naskh Arabic" w:hAnsiTheme="majorBidi" w:cstheme="majorBidi"/>
                <w:rtl/>
              </w:rPr>
              <w:t>لـ</w:t>
            </w:r>
            <w:r w:rsidRPr="005A10E6">
              <w:rPr>
                <w:rFonts w:asciiTheme="majorBidi" w:eastAsia="Noto Naskh Arabic" w:hAnsiTheme="majorBidi" w:cstheme="majorBidi"/>
              </w:rPr>
              <w:t>104</w:t>
            </w:r>
            <w:proofErr w:type="gramEnd"/>
            <w:r w:rsidRPr="005A10E6">
              <w:rPr>
                <w:rFonts w:asciiTheme="majorBidi" w:eastAsia="Noto Naskh Arabic" w:hAnsiTheme="majorBidi" w:cstheme="majorBidi"/>
                <w:rtl/>
              </w:rPr>
              <w:t xml:space="preserve"> دراسات</w:t>
            </w:r>
          </w:p>
        </w:tc>
        <w:tc>
          <w:tcPr>
            <w:tcW w:w="1537" w:type="dxa"/>
            <w:vAlign w:val="center"/>
          </w:tcPr>
          <w:p w14:paraId="66152DFD" w14:textId="2959678A"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العلاقة بين إدارة المشاريع والتحول الرقمي</w:t>
            </w:r>
          </w:p>
        </w:tc>
        <w:tc>
          <w:tcPr>
            <w:tcW w:w="1972" w:type="dxa"/>
            <w:vAlign w:val="center"/>
          </w:tcPr>
          <w:p w14:paraId="55921F13" w14:textId="3D7C9C1C"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ترابط الاستراتيجية والكفاءات والتقنية والمحفظة والبرامج والمشاريع</w:t>
            </w:r>
          </w:p>
        </w:tc>
        <w:tc>
          <w:tcPr>
            <w:tcW w:w="1796" w:type="dxa"/>
            <w:vAlign w:val="center"/>
          </w:tcPr>
          <w:p w14:paraId="61BEF66A" w14:textId="2120473D"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يدعم المستوى الاستراتيجي </w:t>
            </w:r>
            <w:proofErr w:type="spellStart"/>
            <w:r w:rsidRPr="005A10E6">
              <w:rPr>
                <w:rFonts w:asciiTheme="majorBidi" w:eastAsia="Noto Naskh Arabic" w:hAnsiTheme="majorBidi" w:cstheme="majorBidi"/>
                <w:rtl/>
              </w:rPr>
              <w:t>والمحفظي</w:t>
            </w:r>
            <w:proofErr w:type="spellEnd"/>
            <w:r w:rsidRPr="005A10E6">
              <w:rPr>
                <w:rFonts w:asciiTheme="majorBidi" w:eastAsia="Noto Naskh Arabic" w:hAnsiTheme="majorBidi" w:cstheme="majorBidi"/>
                <w:rtl/>
              </w:rPr>
              <w:t>، مع بقاء إدارة التغيير ضمنية</w:t>
            </w:r>
          </w:p>
        </w:tc>
      </w:tr>
      <w:tr w:rsidR="005A10E6" w14:paraId="1F0A7D4A" w14:textId="77777777" w:rsidTr="00E92072">
        <w:trPr>
          <w:jc w:val="center"/>
        </w:trPr>
        <w:tc>
          <w:tcPr>
            <w:tcW w:w="570" w:type="dxa"/>
            <w:shd w:val="clear" w:color="auto" w:fill="F2F2F2"/>
            <w:vAlign w:val="center"/>
          </w:tcPr>
          <w:p w14:paraId="7F6C7E11"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6</w:t>
            </w:r>
          </w:p>
        </w:tc>
        <w:tc>
          <w:tcPr>
            <w:tcW w:w="1725" w:type="dxa"/>
            <w:shd w:val="clear" w:color="auto" w:fill="F2F2F2"/>
            <w:vAlign w:val="center"/>
          </w:tcPr>
          <w:p w14:paraId="002D4A4A" w14:textId="03BAAB1C"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بن أمينة </w:t>
            </w:r>
            <w:proofErr w:type="spellStart"/>
            <w:r w:rsidRPr="005A10E6">
              <w:rPr>
                <w:rFonts w:asciiTheme="majorBidi" w:eastAsia="Noto Naskh Arabic" w:hAnsiTheme="majorBidi" w:cstheme="majorBidi"/>
                <w:rtl/>
              </w:rPr>
              <w:t>ولقام</w:t>
            </w:r>
            <w:proofErr w:type="spellEnd"/>
            <w:r w:rsidRPr="005A10E6">
              <w:rPr>
                <w:rFonts w:asciiTheme="majorBidi" w:eastAsia="Noto Naskh Arabic" w:hAnsiTheme="majorBidi" w:cstheme="majorBidi"/>
                <w:rtl/>
              </w:rPr>
              <w:t xml:space="preserve"> (</w:t>
            </w:r>
            <w:r w:rsidRPr="005A10E6">
              <w:rPr>
                <w:rFonts w:asciiTheme="majorBidi" w:eastAsia="Noto Naskh Arabic" w:hAnsiTheme="majorBidi" w:cstheme="majorBidi"/>
              </w:rPr>
              <w:t>2025</w:t>
            </w:r>
            <w:r w:rsidRPr="005A10E6">
              <w:rPr>
                <w:rFonts w:asciiTheme="majorBidi" w:eastAsia="Noto Naskh Arabic" w:hAnsiTheme="majorBidi" w:cstheme="majorBidi"/>
                <w:rtl/>
              </w:rPr>
              <w:t>)</w:t>
            </w:r>
          </w:p>
        </w:tc>
        <w:tc>
          <w:tcPr>
            <w:tcW w:w="1575" w:type="dxa"/>
            <w:shd w:val="clear" w:color="auto" w:fill="F2F2F2"/>
            <w:vAlign w:val="center"/>
          </w:tcPr>
          <w:p w14:paraId="6487B2F3" w14:textId="44DCA890"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استبانة على </w:t>
            </w:r>
            <w:r w:rsidRPr="005A10E6">
              <w:rPr>
                <w:rFonts w:asciiTheme="majorBidi" w:eastAsia="Noto Naskh Arabic" w:hAnsiTheme="majorBidi" w:cstheme="majorBidi"/>
              </w:rPr>
              <w:t>100</w:t>
            </w:r>
            <w:r w:rsidRPr="005A10E6">
              <w:rPr>
                <w:rFonts w:asciiTheme="majorBidi" w:eastAsia="Noto Naskh Arabic" w:hAnsiTheme="majorBidi" w:cstheme="majorBidi"/>
                <w:rtl/>
              </w:rPr>
              <w:t xml:space="preserve"> أستاذ في جامعة جزائرية</w:t>
            </w:r>
          </w:p>
        </w:tc>
        <w:tc>
          <w:tcPr>
            <w:tcW w:w="1537" w:type="dxa"/>
            <w:shd w:val="clear" w:color="auto" w:fill="F2F2F2"/>
            <w:vAlign w:val="center"/>
          </w:tcPr>
          <w:p w14:paraId="44E90BB7" w14:textId="64F9BEC9"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الثقافة التنظيمية والتحول الرقمي</w:t>
            </w:r>
          </w:p>
        </w:tc>
        <w:tc>
          <w:tcPr>
            <w:tcW w:w="1972" w:type="dxa"/>
            <w:shd w:val="clear" w:color="auto" w:fill="F2F2F2"/>
            <w:vAlign w:val="center"/>
          </w:tcPr>
          <w:p w14:paraId="3B7341E0" w14:textId="48A7F08E"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الثقافة الداعمة مرتبطة بالجاهزية والقبول والمهارات الرقمية</w:t>
            </w:r>
          </w:p>
        </w:tc>
        <w:tc>
          <w:tcPr>
            <w:tcW w:w="1796" w:type="dxa"/>
            <w:shd w:val="clear" w:color="auto" w:fill="F2F2F2"/>
            <w:vAlign w:val="center"/>
          </w:tcPr>
          <w:p w14:paraId="4FB2F269" w14:textId="20A54690"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يدعم البعد الثقافي والبشري دون معالجة إدارة المشاريع</w:t>
            </w:r>
          </w:p>
        </w:tc>
      </w:tr>
      <w:tr w:rsidR="005A10E6" w14:paraId="75B7F736" w14:textId="77777777" w:rsidTr="00E92072">
        <w:trPr>
          <w:jc w:val="center"/>
        </w:trPr>
        <w:tc>
          <w:tcPr>
            <w:tcW w:w="570" w:type="dxa"/>
            <w:vAlign w:val="center"/>
          </w:tcPr>
          <w:p w14:paraId="70753CDF"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7</w:t>
            </w:r>
          </w:p>
        </w:tc>
        <w:tc>
          <w:tcPr>
            <w:tcW w:w="1725" w:type="dxa"/>
            <w:vAlign w:val="center"/>
          </w:tcPr>
          <w:p w14:paraId="5CAD31AB" w14:textId="7110303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بلقاضي (</w:t>
            </w:r>
            <w:r w:rsidRPr="005A10E6">
              <w:rPr>
                <w:rFonts w:asciiTheme="majorBidi" w:eastAsia="Noto Naskh Arabic" w:hAnsiTheme="majorBidi" w:cstheme="majorBidi"/>
              </w:rPr>
              <w:t>2024</w:t>
            </w:r>
            <w:r w:rsidRPr="005A10E6">
              <w:rPr>
                <w:rFonts w:asciiTheme="majorBidi" w:eastAsia="Noto Naskh Arabic" w:hAnsiTheme="majorBidi" w:cstheme="majorBidi"/>
                <w:rtl/>
              </w:rPr>
              <w:t>)</w:t>
            </w:r>
          </w:p>
        </w:tc>
        <w:tc>
          <w:tcPr>
            <w:tcW w:w="1575" w:type="dxa"/>
            <w:vAlign w:val="center"/>
          </w:tcPr>
          <w:p w14:paraId="7B57544B" w14:textId="275AD6D1"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استبانة على </w:t>
            </w:r>
            <w:r w:rsidRPr="005A10E6">
              <w:rPr>
                <w:rFonts w:asciiTheme="majorBidi" w:eastAsia="Noto Naskh Arabic" w:hAnsiTheme="majorBidi" w:cstheme="majorBidi"/>
              </w:rPr>
              <w:t>50</w:t>
            </w:r>
            <w:r w:rsidRPr="005A10E6">
              <w:rPr>
                <w:rFonts w:asciiTheme="majorBidi" w:eastAsia="Noto Naskh Arabic" w:hAnsiTheme="majorBidi" w:cstheme="majorBidi"/>
                <w:rtl/>
              </w:rPr>
              <w:t xml:space="preserve"> موظفًا في اتصالات الجزائر</w:t>
            </w:r>
          </w:p>
        </w:tc>
        <w:tc>
          <w:tcPr>
            <w:tcW w:w="1537" w:type="dxa"/>
            <w:vAlign w:val="center"/>
          </w:tcPr>
          <w:p w14:paraId="6049C604" w14:textId="2508227F"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متطلبات التحول الرقمي وجودة الخدمة</w:t>
            </w:r>
          </w:p>
        </w:tc>
        <w:tc>
          <w:tcPr>
            <w:tcW w:w="1972" w:type="dxa"/>
            <w:vAlign w:val="center"/>
          </w:tcPr>
          <w:p w14:paraId="093E8290" w14:textId="1E31D67A"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الاستراتيجية والمتطلبات التقنية والبشرية والثقافية تؤثر في جودة الخدمة</w:t>
            </w:r>
          </w:p>
        </w:tc>
        <w:tc>
          <w:tcPr>
            <w:tcW w:w="1796" w:type="dxa"/>
            <w:vAlign w:val="center"/>
          </w:tcPr>
          <w:p w14:paraId="3E23927F" w14:textId="3A8B24BD"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يدعم مفهوم الجاهزية المؤسسية متعددة الأبعاد</w:t>
            </w:r>
          </w:p>
        </w:tc>
      </w:tr>
      <w:tr w:rsidR="005A10E6" w14:paraId="344E6B45" w14:textId="77777777" w:rsidTr="00E92072">
        <w:trPr>
          <w:jc w:val="center"/>
        </w:trPr>
        <w:tc>
          <w:tcPr>
            <w:tcW w:w="570" w:type="dxa"/>
            <w:shd w:val="clear" w:color="auto" w:fill="F2F2F2"/>
            <w:vAlign w:val="center"/>
          </w:tcPr>
          <w:p w14:paraId="2D93D418"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8</w:t>
            </w:r>
          </w:p>
        </w:tc>
        <w:tc>
          <w:tcPr>
            <w:tcW w:w="1725" w:type="dxa"/>
            <w:shd w:val="clear" w:color="auto" w:fill="F2F2F2"/>
            <w:vAlign w:val="center"/>
          </w:tcPr>
          <w:p w14:paraId="1B3C71C4" w14:textId="1EA4ABE3" w:rsidR="005A10E6" w:rsidRPr="005A10E6" w:rsidRDefault="005A10E6" w:rsidP="00E92072">
            <w:pPr>
              <w:spacing w:after="0" w:line="240" w:lineRule="auto"/>
              <w:jc w:val="center"/>
              <w:rPr>
                <w:rFonts w:asciiTheme="majorBidi" w:hAnsiTheme="majorBidi" w:cstheme="majorBidi"/>
              </w:rPr>
            </w:pPr>
            <w:proofErr w:type="spellStart"/>
            <w:r w:rsidRPr="005A10E6">
              <w:rPr>
                <w:rFonts w:asciiTheme="majorBidi" w:eastAsia="Noto Naskh Arabic" w:hAnsiTheme="majorBidi" w:cstheme="majorBidi"/>
                <w:rtl/>
              </w:rPr>
              <w:t>أوصالح</w:t>
            </w:r>
            <w:proofErr w:type="spellEnd"/>
            <w:r w:rsidRPr="005A10E6">
              <w:rPr>
                <w:rFonts w:asciiTheme="majorBidi" w:eastAsia="Noto Naskh Arabic" w:hAnsiTheme="majorBidi" w:cstheme="majorBidi"/>
                <w:rtl/>
              </w:rPr>
              <w:t xml:space="preserve"> (</w:t>
            </w:r>
            <w:r w:rsidRPr="005A10E6">
              <w:rPr>
                <w:rFonts w:asciiTheme="majorBidi" w:eastAsia="Noto Naskh Arabic" w:hAnsiTheme="majorBidi" w:cstheme="majorBidi"/>
              </w:rPr>
              <w:t>2023</w:t>
            </w:r>
            <w:r w:rsidRPr="005A10E6">
              <w:rPr>
                <w:rFonts w:asciiTheme="majorBidi" w:eastAsia="Noto Naskh Arabic" w:hAnsiTheme="majorBidi" w:cstheme="majorBidi"/>
                <w:rtl/>
              </w:rPr>
              <w:t>)</w:t>
            </w:r>
          </w:p>
        </w:tc>
        <w:tc>
          <w:tcPr>
            <w:tcW w:w="1575" w:type="dxa"/>
            <w:shd w:val="clear" w:color="auto" w:fill="F2F2F2"/>
            <w:vAlign w:val="center"/>
          </w:tcPr>
          <w:p w14:paraId="78E525E5" w14:textId="22919991"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دراسة حالة للصندوق الوطني للتقاعد في الجزائر</w:t>
            </w:r>
          </w:p>
        </w:tc>
        <w:tc>
          <w:tcPr>
            <w:tcW w:w="1537" w:type="dxa"/>
            <w:shd w:val="clear" w:color="auto" w:fill="F2F2F2"/>
            <w:vAlign w:val="center"/>
          </w:tcPr>
          <w:p w14:paraId="09EBBD27" w14:textId="5FFA5520"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مقاومة التغيير ونجاح التحول الرقمي</w:t>
            </w:r>
          </w:p>
        </w:tc>
        <w:tc>
          <w:tcPr>
            <w:tcW w:w="1972" w:type="dxa"/>
            <w:shd w:val="clear" w:color="auto" w:fill="F2F2F2"/>
            <w:vAlign w:val="center"/>
          </w:tcPr>
          <w:p w14:paraId="33C4377E" w14:textId="2A3BA7E6"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الخوف ونقص المهارات وضعف الاتصال تعوق الانتقال الرقمي</w:t>
            </w:r>
          </w:p>
        </w:tc>
        <w:tc>
          <w:tcPr>
            <w:tcW w:w="1796" w:type="dxa"/>
            <w:shd w:val="clear" w:color="auto" w:fill="F2F2F2"/>
            <w:vAlign w:val="center"/>
          </w:tcPr>
          <w:p w14:paraId="0991AAB4" w14:textId="4B2EDA7D"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مرجع مباشر للمقاومة والقبول والتدريب</w:t>
            </w:r>
          </w:p>
        </w:tc>
      </w:tr>
      <w:tr w:rsidR="005A10E6" w14:paraId="42A55B4F" w14:textId="77777777" w:rsidTr="00E92072">
        <w:trPr>
          <w:jc w:val="center"/>
        </w:trPr>
        <w:tc>
          <w:tcPr>
            <w:tcW w:w="570" w:type="dxa"/>
            <w:vAlign w:val="center"/>
          </w:tcPr>
          <w:p w14:paraId="3F761287"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9</w:t>
            </w:r>
          </w:p>
        </w:tc>
        <w:tc>
          <w:tcPr>
            <w:tcW w:w="1725" w:type="dxa"/>
            <w:vAlign w:val="center"/>
          </w:tcPr>
          <w:p w14:paraId="2FB1A46E" w14:textId="689CC89D"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أحمد (</w:t>
            </w:r>
            <w:r w:rsidRPr="005A10E6">
              <w:rPr>
                <w:rFonts w:asciiTheme="majorBidi" w:eastAsia="Noto Naskh Arabic" w:hAnsiTheme="majorBidi" w:cstheme="majorBidi"/>
              </w:rPr>
              <w:t>2022</w:t>
            </w:r>
            <w:r w:rsidRPr="005A10E6">
              <w:rPr>
                <w:rFonts w:asciiTheme="majorBidi" w:eastAsia="Noto Naskh Arabic" w:hAnsiTheme="majorBidi" w:cstheme="majorBidi"/>
                <w:rtl/>
              </w:rPr>
              <w:t>)</w:t>
            </w:r>
          </w:p>
        </w:tc>
        <w:tc>
          <w:tcPr>
            <w:tcW w:w="1575" w:type="dxa"/>
            <w:vAlign w:val="center"/>
          </w:tcPr>
          <w:p w14:paraId="4CFDCC34" w14:textId="7968FF6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دراسة كمية في جامعة الإسكندرية؛ </w:t>
            </w:r>
            <w:r w:rsidRPr="005A10E6">
              <w:rPr>
                <w:rFonts w:asciiTheme="majorBidi" w:eastAsia="Noto Naskh Arabic" w:hAnsiTheme="majorBidi" w:cstheme="majorBidi"/>
              </w:rPr>
              <w:t>84</w:t>
            </w:r>
            <w:r w:rsidRPr="005A10E6">
              <w:rPr>
                <w:rFonts w:asciiTheme="majorBidi" w:eastAsia="Noto Naskh Arabic" w:hAnsiTheme="majorBidi" w:cstheme="majorBidi"/>
                <w:rtl/>
              </w:rPr>
              <w:t xml:space="preserve"> استجابة</w:t>
            </w:r>
          </w:p>
        </w:tc>
        <w:tc>
          <w:tcPr>
            <w:tcW w:w="1537" w:type="dxa"/>
            <w:vAlign w:val="center"/>
          </w:tcPr>
          <w:p w14:paraId="3F8FC23B" w14:textId="477D9A4D"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التغير التنظيمي ومتطلبات التحول والميزة التنافسية</w:t>
            </w:r>
          </w:p>
        </w:tc>
        <w:tc>
          <w:tcPr>
            <w:tcW w:w="1972" w:type="dxa"/>
            <w:vAlign w:val="center"/>
          </w:tcPr>
          <w:p w14:paraId="091B1506" w14:textId="51779BD9"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الرؤية والثقافة والمهارات والخطة والموارد ترتبط بالتحول والميزة</w:t>
            </w:r>
          </w:p>
        </w:tc>
        <w:tc>
          <w:tcPr>
            <w:tcW w:w="1796" w:type="dxa"/>
            <w:vAlign w:val="center"/>
          </w:tcPr>
          <w:p w14:paraId="6F023482" w14:textId="234EAA3B"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يدعم القيادة والثقافة والقدرات، دون وحدة مشروع</w:t>
            </w:r>
          </w:p>
        </w:tc>
      </w:tr>
      <w:tr w:rsidR="005A10E6" w14:paraId="0E95CCA9" w14:textId="77777777" w:rsidTr="00E92072">
        <w:trPr>
          <w:jc w:val="center"/>
        </w:trPr>
        <w:tc>
          <w:tcPr>
            <w:tcW w:w="570" w:type="dxa"/>
            <w:shd w:val="clear" w:color="auto" w:fill="F2F2F2"/>
            <w:vAlign w:val="center"/>
          </w:tcPr>
          <w:p w14:paraId="5CACB7BF"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10</w:t>
            </w:r>
          </w:p>
        </w:tc>
        <w:tc>
          <w:tcPr>
            <w:tcW w:w="1725" w:type="dxa"/>
            <w:shd w:val="clear" w:color="auto" w:fill="F2F2F2"/>
            <w:vAlign w:val="center"/>
          </w:tcPr>
          <w:p w14:paraId="6911F041" w14:textId="4A8A2CDD"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بوشارب (</w:t>
            </w:r>
            <w:r w:rsidRPr="005A10E6">
              <w:rPr>
                <w:rFonts w:asciiTheme="majorBidi" w:eastAsia="Noto Naskh Arabic" w:hAnsiTheme="majorBidi" w:cstheme="majorBidi"/>
              </w:rPr>
              <w:t>2025</w:t>
            </w:r>
            <w:r w:rsidRPr="005A10E6">
              <w:rPr>
                <w:rFonts w:asciiTheme="majorBidi" w:eastAsia="Noto Naskh Arabic" w:hAnsiTheme="majorBidi" w:cstheme="majorBidi"/>
                <w:rtl/>
              </w:rPr>
              <w:t>)</w:t>
            </w:r>
          </w:p>
        </w:tc>
        <w:tc>
          <w:tcPr>
            <w:tcW w:w="1575" w:type="dxa"/>
            <w:shd w:val="clear" w:color="auto" w:fill="F2F2F2"/>
            <w:vAlign w:val="center"/>
          </w:tcPr>
          <w:p w14:paraId="703ACD98" w14:textId="29F2084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رسالة ماجستير؛ </w:t>
            </w:r>
            <w:r w:rsidRPr="005A10E6">
              <w:rPr>
                <w:rFonts w:asciiTheme="majorBidi" w:eastAsia="Noto Naskh Arabic" w:hAnsiTheme="majorBidi" w:cstheme="majorBidi"/>
              </w:rPr>
              <w:t>31</w:t>
            </w:r>
            <w:r w:rsidRPr="005A10E6">
              <w:rPr>
                <w:rFonts w:asciiTheme="majorBidi" w:eastAsia="Noto Naskh Arabic" w:hAnsiTheme="majorBidi" w:cstheme="majorBidi"/>
                <w:rtl/>
              </w:rPr>
              <w:t xml:space="preserve"> استبانة في مركز ضرائب جزائري</w:t>
            </w:r>
          </w:p>
        </w:tc>
        <w:tc>
          <w:tcPr>
            <w:tcW w:w="1537" w:type="dxa"/>
            <w:shd w:val="clear" w:color="auto" w:fill="F2F2F2"/>
            <w:vAlign w:val="center"/>
          </w:tcPr>
          <w:p w14:paraId="1AEE3436" w14:textId="0AB5154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أثر إدارة التغيير في نجاح التحول</w:t>
            </w:r>
          </w:p>
        </w:tc>
        <w:tc>
          <w:tcPr>
            <w:tcW w:w="1972" w:type="dxa"/>
            <w:shd w:val="clear" w:color="auto" w:fill="F2F2F2"/>
            <w:vAlign w:val="center"/>
          </w:tcPr>
          <w:p w14:paraId="3F55B5FD" w14:textId="308E59AF"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إدارة التغيير فسرت نسبة معتبرة من نجاح التحول، مع أثر للهيكل والتقنية والمقاومة</w:t>
            </w:r>
          </w:p>
        </w:tc>
        <w:tc>
          <w:tcPr>
            <w:tcW w:w="1796" w:type="dxa"/>
            <w:shd w:val="clear" w:color="auto" w:fill="F2F2F2"/>
            <w:vAlign w:val="center"/>
          </w:tcPr>
          <w:p w14:paraId="5633717E" w14:textId="60FE9A2E"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دليل عربي كمي قوي على إدارة التغيير دون </w:t>
            </w:r>
            <w:r w:rsidRPr="005A10E6">
              <w:rPr>
                <w:rFonts w:asciiTheme="majorBidi" w:eastAsia="Noto Naskh Arabic" w:hAnsiTheme="majorBidi" w:cstheme="majorBidi"/>
              </w:rPr>
              <w:t>PM</w:t>
            </w:r>
          </w:p>
        </w:tc>
      </w:tr>
      <w:tr w:rsidR="005A10E6" w14:paraId="0DF08F23" w14:textId="77777777" w:rsidTr="00E92072">
        <w:trPr>
          <w:jc w:val="center"/>
        </w:trPr>
        <w:tc>
          <w:tcPr>
            <w:tcW w:w="570" w:type="dxa"/>
            <w:vAlign w:val="center"/>
          </w:tcPr>
          <w:p w14:paraId="23D939BA"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lastRenderedPageBreak/>
              <w:t>11</w:t>
            </w:r>
          </w:p>
        </w:tc>
        <w:tc>
          <w:tcPr>
            <w:tcW w:w="1725" w:type="dxa"/>
            <w:vAlign w:val="center"/>
          </w:tcPr>
          <w:p w14:paraId="5F884F3D" w14:textId="6A5666A0"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قنديل (</w:t>
            </w:r>
            <w:r w:rsidRPr="005A10E6">
              <w:rPr>
                <w:rFonts w:asciiTheme="majorBidi" w:eastAsia="Noto Naskh Arabic" w:hAnsiTheme="majorBidi" w:cstheme="majorBidi"/>
              </w:rPr>
              <w:t>2025</w:t>
            </w:r>
            <w:r w:rsidRPr="005A10E6">
              <w:rPr>
                <w:rFonts w:asciiTheme="majorBidi" w:eastAsia="Noto Naskh Arabic" w:hAnsiTheme="majorBidi" w:cstheme="majorBidi"/>
                <w:rtl/>
              </w:rPr>
              <w:t>)</w:t>
            </w:r>
          </w:p>
        </w:tc>
        <w:tc>
          <w:tcPr>
            <w:tcW w:w="1575" w:type="dxa"/>
            <w:vAlign w:val="center"/>
          </w:tcPr>
          <w:p w14:paraId="0B54B99F" w14:textId="5560D4D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دراسة كمية؛ </w:t>
            </w:r>
            <w:r w:rsidRPr="005A10E6">
              <w:rPr>
                <w:rFonts w:asciiTheme="majorBidi" w:eastAsia="Noto Naskh Arabic" w:hAnsiTheme="majorBidi" w:cstheme="majorBidi"/>
              </w:rPr>
              <w:t>105</w:t>
            </w:r>
            <w:r w:rsidRPr="005A10E6">
              <w:rPr>
                <w:rFonts w:asciiTheme="majorBidi" w:eastAsia="Noto Naskh Arabic" w:hAnsiTheme="majorBidi" w:cstheme="majorBidi"/>
                <w:rtl/>
              </w:rPr>
              <w:t xml:space="preserve"> مشاركين في التعليم المصري</w:t>
            </w:r>
          </w:p>
        </w:tc>
        <w:tc>
          <w:tcPr>
            <w:tcW w:w="1537" w:type="dxa"/>
            <w:vAlign w:val="center"/>
          </w:tcPr>
          <w:p w14:paraId="4C61AFCD" w14:textId="618BBDF0"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مشاريع التحول والثقة الرقمية</w:t>
            </w:r>
          </w:p>
        </w:tc>
        <w:tc>
          <w:tcPr>
            <w:tcW w:w="1972" w:type="dxa"/>
            <w:vAlign w:val="center"/>
          </w:tcPr>
          <w:p w14:paraId="5AA2174C" w14:textId="0473F224"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تحسن البيئة والخبرة والاتجاهات والمشاركة مع مشاريع التحول</w:t>
            </w:r>
          </w:p>
        </w:tc>
        <w:tc>
          <w:tcPr>
            <w:tcW w:w="1796" w:type="dxa"/>
            <w:vAlign w:val="center"/>
          </w:tcPr>
          <w:p w14:paraId="1764B7EC" w14:textId="496A7711"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يوسع النجاح ليشمل الثقة وتجربة المستخدم</w:t>
            </w:r>
          </w:p>
        </w:tc>
      </w:tr>
      <w:tr w:rsidR="005A10E6" w14:paraId="6A568FC8" w14:textId="77777777" w:rsidTr="00E92072">
        <w:trPr>
          <w:jc w:val="center"/>
        </w:trPr>
        <w:tc>
          <w:tcPr>
            <w:tcW w:w="570" w:type="dxa"/>
            <w:shd w:val="clear" w:color="auto" w:fill="F2F2F2"/>
            <w:vAlign w:val="center"/>
          </w:tcPr>
          <w:p w14:paraId="60AFE03E"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12</w:t>
            </w:r>
          </w:p>
        </w:tc>
        <w:tc>
          <w:tcPr>
            <w:tcW w:w="1725" w:type="dxa"/>
            <w:shd w:val="clear" w:color="auto" w:fill="F2F2F2"/>
            <w:vAlign w:val="center"/>
          </w:tcPr>
          <w:p w14:paraId="563AA302" w14:textId="3DC38494" w:rsidR="005A10E6" w:rsidRPr="005A10E6" w:rsidRDefault="005A10E6" w:rsidP="00E92072">
            <w:pPr>
              <w:spacing w:after="0" w:line="240" w:lineRule="auto"/>
              <w:jc w:val="center"/>
              <w:rPr>
                <w:rFonts w:asciiTheme="majorBidi" w:hAnsiTheme="majorBidi" w:cstheme="majorBidi"/>
              </w:rPr>
            </w:pPr>
            <w:proofErr w:type="spellStart"/>
            <w:r w:rsidRPr="005A10E6">
              <w:rPr>
                <w:rFonts w:asciiTheme="majorBidi" w:eastAsia="Noto Naskh Arabic" w:hAnsiTheme="majorBidi" w:cstheme="majorBidi"/>
                <w:rtl/>
              </w:rPr>
              <w:t>حربوش</w:t>
            </w:r>
            <w:proofErr w:type="spellEnd"/>
            <w:r w:rsidRPr="005A10E6">
              <w:rPr>
                <w:rFonts w:asciiTheme="majorBidi" w:eastAsia="Noto Naskh Arabic" w:hAnsiTheme="majorBidi" w:cstheme="majorBidi"/>
                <w:rtl/>
              </w:rPr>
              <w:t xml:space="preserve"> (</w:t>
            </w:r>
            <w:r w:rsidRPr="005A10E6">
              <w:rPr>
                <w:rFonts w:asciiTheme="majorBidi" w:eastAsia="Noto Naskh Arabic" w:hAnsiTheme="majorBidi" w:cstheme="majorBidi"/>
              </w:rPr>
              <w:t>2025</w:t>
            </w:r>
            <w:r w:rsidRPr="005A10E6">
              <w:rPr>
                <w:rFonts w:asciiTheme="majorBidi" w:eastAsia="Noto Naskh Arabic" w:hAnsiTheme="majorBidi" w:cstheme="majorBidi"/>
                <w:rtl/>
              </w:rPr>
              <w:t>)</w:t>
            </w:r>
          </w:p>
        </w:tc>
        <w:tc>
          <w:tcPr>
            <w:tcW w:w="1575" w:type="dxa"/>
            <w:shd w:val="clear" w:color="auto" w:fill="F2F2F2"/>
            <w:vAlign w:val="center"/>
          </w:tcPr>
          <w:p w14:paraId="228C6091" w14:textId="7AB09411"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أطروحة ميدانية في مؤسسة أرشيفية عمومية جزائرية</w:t>
            </w:r>
          </w:p>
        </w:tc>
        <w:tc>
          <w:tcPr>
            <w:tcW w:w="1537" w:type="dxa"/>
            <w:shd w:val="clear" w:color="auto" w:fill="F2F2F2"/>
            <w:vAlign w:val="center"/>
          </w:tcPr>
          <w:p w14:paraId="7E61502C" w14:textId="5B74765D"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متطلبات إدارة المشاريع الرقمية</w:t>
            </w:r>
          </w:p>
        </w:tc>
        <w:tc>
          <w:tcPr>
            <w:tcW w:w="1972" w:type="dxa"/>
            <w:shd w:val="clear" w:color="auto" w:fill="F2F2F2"/>
            <w:vAlign w:val="center"/>
          </w:tcPr>
          <w:p w14:paraId="764D9C58" w14:textId="44D96D8B"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النجاح يحتاج متطلبات مادية وتقنية وبشرية وتنظيمية وإدارية متزامنة</w:t>
            </w:r>
          </w:p>
        </w:tc>
        <w:tc>
          <w:tcPr>
            <w:tcW w:w="1796" w:type="dxa"/>
            <w:shd w:val="clear" w:color="auto" w:fill="F2F2F2"/>
            <w:vAlign w:val="center"/>
          </w:tcPr>
          <w:p w14:paraId="1A73DF9F" w14:textId="5BBE726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مصدر عربي مباشر يركز على إدارة المشروع الرقمي والجاهزية</w:t>
            </w:r>
          </w:p>
        </w:tc>
      </w:tr>
      <w:tr w:rsidR="005A10E6" w14:paraId="6452F41F" w14:textId="77777777" w:rsidTr="00E92072">
        <w:trPr>
          <w:jc w:val="center"/>
        </w:trPr>
        <w:tc>
          <w:tcPr>
            <w:tcW w:w="570" w:type="dxa"/>
            <w:vAlign w:val="center"/>
          </w:tcPr>
          <w:p w14:paraId="15D6CE44"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13</w:t>
            </w:r>
          </w:p>
        </w:tc>
        <w:tc>
          <w:tcPr>
            <w:tcW w:w="1725" w:type="dxa"/>
            <w:vAlign w:val="center"/>
          </w:tcPr>
          <w:p w14:paraId="6CB3BBAD" w14:textId="5FA7034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رابحي (</w:t>
            </w:r>
            <w:r w:rsidRPr="005A10E6">
              <w:rPr>
                <w:rFonts w:asciiTheme="majorBidi" w:eastAsia="Noto Naskh Arabic" w:hAnsiTheme="majorBidi" w:cstheme="majorBidi"/>
              </w:rPr>
              <w:t>2024</w:t>
            </w:r>
            <w:r w:rsidRPr="005A10E6">
              <w:rPr>
                <w:rFonts w:asciiTheme="majorBidi" w:eastAsia="Noto Naskh Arabic" w:hAnsiTheme="majorBidi" w:cstheme="majorBidi"/>
                <w:rtl/>
              </w:rPr>
              <w:t>)</w:t>
            </w:r>
          </w:p>
        </w:tc>
        <w:tc>
          <w:tcPr>
            <w:tcW w:w="1575" w:type="dxa"/>
            <w:vAlign w:val="center"/>
          </w:tcPr>
          <w:p w14:paraId="4633C5CC" w14:textId="1DB1C801"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دراسة كمية في وزارة التجارة؛ </w:t>
            </w:r>
            <w:r w:rsidRPr="005A10E6">
              <w:rPr>
                <w:rFonts w:asciiTheme="majorBidi" w:eastAsia="Noto Naskh Arabic" w:hAnsiTheme="majorBidi" w:cstheme="majorBidi"/>
              </w:rPr>
              <w:t>216</w:t>
            </w:r>
            <w:r w:rsidRPr="005A10E6">
              <w:rPr>
                <w:rFonts w:asciiTheme="majorBidi" w:eastAsia="Noto Naskh Arabic" w:hAnsiTheme="majorBidi" w:cstheme="majorBidi"/>
                <w:rtl/>
              </w:rPr>
              <w:t xml:space="preserve"> استجابة</w:t>
            </w:r>
          </w:p>
        </w:tc>
        <w:tc>
          <w:tcPr>
            <w:tcW w:w="1537" w:type="dxa"/>
            <w:vAlign w:val="center"/>
          </w:tcPr>
          <w:p w14:paraId="4B37F6F4" w14:textId="2173F975"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التغيير الثقافي ونجاح مشاريع التحول</w:t>
            </w:r>
          </w:p>
        </w:tc>
        <w:tc>
          <w:tcPr>
            <w:tcW w:w="1972" w:type="dxa"/>
            <w:vAlign w:val="center"/>
          </w:tcPr>
          <w:p w14:paraId="3D09D24C" w14:textId="212301B0"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ظهر أثر للتغيير الفني والسلوكي والبيئي دون أثر مماثل لبعض التغييرات الهيكلية</w:t>
            </w:r>
          </w:p>
        </w:tc>
        <w:tc>
          <w:tcPr>
            <w:tcW w:w="1796" w:type="dxa"/>
            <w:vAlign w:val="center"/>
          </w:tcPr>
          <w:p w14:paraId="3CD5776A" w14:textId="6161D84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يدعم اختلاف فاعلية أبعاد التغيير في تفسير نجاح المشروع</w:t>
            </w:r>
          </w:p>
        </w:tc>
      </w:tr>
      <w:tr w:rsidR="005A10E6" w14:paraId="00F0E304" w14:textId="77777777" w:rsidTr="00E92072">
        <w:trPr>
          <w:jc w:val="center"/>
        </w:trPr>
        <w:tc>
          <w:tcPr>
            <w:tcW w:w="570" w:type="dxa"/>
            <w:shd w:val="clear" w:color="auto" w:fill="F2F2F2"/>
            <w:vAlign w:val="center"/>
          </w:tcPr>
          <w:p w14:paraId="5D6C4890"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14</w:t>
            </w:r>
          </w:p>
        </w:tc>
        <w:tc>
          <w:tcPr>
            <w:tcW w:w="1725" w:type="dxa"/>
            <w:shd w:val="clear" w:color="auto" w:fill="F2F2F2"/>
            <w:vAlign w:val="center"/>
          </w:tcPr>
          <w:p w14:paraId="1E28AD75" w14:textId="4FE11053" w:rsidR="005A10E6" w:rsidRPr="005A10E6" w:rsidRDefault="005A10E6" w:rsidP="00E92072">
            <w:pPr>
              <w:spacing w:after="0" w:line="240" w:lineRule="auto"/>
              <w:jc w:val="center"/>
              <w:rPr>
                <w:rFonts w:asciiTheme="majorHAnsi" w:hAnsiTheme="majorHAnsi" w:cstheme="majorHAnsi"/>
              </w:rPr>
            </w:pPr>
            <w:proofErr w:type="spellStart"/>
            <w:r w:rsidRPr="005A10E6">
              <w:rPr>
                <w:rFonts w:asciiTheme="majorHAnsi" w:eastAsia="Noto Naskh Arabic" w:hAnsiTheme="majorHAnsi" w:cstheme="majorHAnsi"/>
              </w:rPr>
              <w:t>Althobiti</w:t>
            </w:r>
            <w:proofErr w:type="spellEnd"/>
            <w:r w:rsidRPr="005A10E6">
              <w:rPr>
                <w:rFonts w:asciiTheme="majorHAnsi" w:eastAsia="Noto Naskh Arabic" w:hAnsiTheme="majorHAnsi" w:cstheme="majorHAnsi"/>
              </w:rPr>
              <w:t xml:space="preserve"> &amp; </w:t>
            </w:r>
            <w:proofErr w:type="spellStart"/>
            <w:r w:rsidRPr="005A10E6">
              <w:rPr>
                <w:rFonts w:asciiTheme="majorHAnsi" w:eastAsia="Noto Naskh Arabic" w:hAnsiTheme="majorHAnsi" w:cstheme="majorHAnsi"/>
              </w:rPr>
              <w:t>Alzamil</w:t>
            </w:r>
            <w:proofErr w:type="spellEnd"/>
            <w:r w:rsidRPr="005A10E6">
              <w:rPr>
                <w:rFonts w:asciiTheme="majorHAnsi" w:eastAsia="Noto Naskh Arabic" w:hAnsiTheme="majorHAnsi" w:cstheme="majorHAnsi"/>
              </w:rPr>
              <w:t xml:space="preserve"> (2026)</w:t>
            </w:r>
          </w:p>
        </w:tc>
        <w:tc>
          <w:tcPr>
            <w:tcW w:w="1575" w:type="dxa"/>
            <w:shd w:val="clear" w:color="auto" w:fill="F2F2F2"/>
            <w:vAlign w:val="center"/>
          </w:tcPr>
          <w:p w14:paraId="19931F9F" w14:textId="05D20189"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دراسة وصفية في مشاريع عقارية بالرياض</w:t>
            </w:r>
          </w:p>
        </w:tc>
        <w:tc>
          <w:tcPr>
            <w:tcW w:w="1537" w:type="dxa"/>
            <w:shd w:val="clear" w:color="auto" w:fill="F2F2F2"/>
            <w:vAlign w:val="center"/>
          </w:tcPr>
          <w:p w14:paraId="3C30E07E" w14:textId="43113D76"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الأدوات الرقمية وكفاءة إدارة المشاريع</w:t>
            </w:r>
          </w:p>
        </w:tc>
        <w:tc>
          <w:tcPr>
            <w:tcW w:w="1972" w:type="dxa"/>
            <w:shd w:val="clear" w:color="auto" w:fill="F2F2F2"/>
            <w:vAlign w:val="center"/>
          </w:tcPr>
          <w:p w14:paraId="3A21116C" w14:textId="61F5EA74"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Pr>
              <w:t>PMIS</w:t>
            </w:r>
            <w:r w:rsidRPr="005A10E6">
              <w:rPr>
                <w:rFonts w:asciiTheme="majorBidi" w:eastAsia="Noto Naskh Arabic" w:hAnsiTheme="majorBidi" w:cstheme="majorBidi"/>
                <w:rtl/>
              </w:rPr>
              <w:t xml:space="preserve"> و</w:t>
            </w:r>
            <w:r w:rsidRPr="005A10E6">
              <w:rPr>
                <w:rFonts w:asciiTheme="majorBidi" w:eastAsia="Noto Naskh Arabic" w:hAnsiTheme="majorBidi" w:cstheme="majorBidi"/>
              </w:rPr>
              <w:t>BIM</w:t>
            </w:r>
            <w:r w:rsidRPr="005A10E6">
              <w:rPr>
                <w:rFonts w:asciiTheme="majorBidi" w:eastAsia="Noto Naskh Arabic" w:hAnsiTheme="majorBidi" w:cstheme="majorBidi"/>
                <w:rtl/>
              </w:rPr>
              <w:t xml:space="preserve"> والمنصات حسنت الوقت والتخطيط والتكلفة والشفافية</w:t>
            </w:r>
          </w:p>
        </w:tc>
        <w:tc>
          <w:tcPr>
            <w:tcW w:w="1796" w:type="dxa"/>
            <w:shd w:val="clear" w:color="auto" w:fill="F2F2F2"/>
            <w:vAlign w:val="center"/>
          </w:tcPr>
          <w:p w14:paraId="21A6394C" w14:textId="7FA6F946"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دليل سعودي على الأداء </w:t>
            </w:r>
            <w:proofErr w:type="spellStart"/>
            <w:r w:rsidRPr="005A10E6">
              <w:rPr>
                <w:rFonts w:asciiTheme="majorBidi" w:eastAsia="Noto Naskh Arabic" w:hAnsiTheme="majorBidi" w:cstheme="majorBidi"/>
                <w:rtl/>
              </w:rPr>
              <w:t>المشروعـي</w:t>
            </w:r>
            <w:proofErr w:type="spellEnd"/>
            <w:r w:rsidRPr="005A10E6">
              <w:rPr>
                <w:rFonts w:asciiTheme="majorBidi" w:eastAsia="Noto Naskh Arabic" w:hAnsiTheme="majorBidi" w:cstheme="majorBidi"/>
                <w:rtl/>
              </w:rPr>
              <w:t>، مع غياب إدارة التغيير</w:t>
            </w:r>
          </w:p>
        </w:tc>
      </w:tr>
      <w:tr w:rsidR="005A10E6" w14:paraId="3E3362B8" w14:textId="77777777" w:rsidTr="00E92072">
        <w:trPr>
          <w:jc w:val="center"/>
        </w:trPr>
        <w:tc>
          <w:tcPr>
            <w:tcW w:w="570" w:type="dxa"/>
            <w:vAlign w:val="center"/>
          </w:tcPr>
          <w:p w14:paraId="3441D217"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15</w:t>
            </w:r>
          </w:p>
        </w:tc>
        <w:tc>
          <w:tcPr>
            <w:tcW w:w="1725" w:type="dxa"/>
            <w:vAlign w:val="center"/>
          </w:tcPr>
          <w:p w14:paraId="5C259AB1" w14:textId="3724176C" w:rsidR="005A10E6" w:rsidRPr="005A10E6" w:rsidRDefault="005A10E6" w:rsidP="00E92072">
            <w:pPr>
              <w:spacing w:after="0" w:line="240" w:lineRule="auto"/>
              <w:jc w:val="center"/>
              <w:rPr>
                <w:rFonts w:asciiTheme="majorHAnsi" w:hAnsiTheme="majorHAnsi" w:cstheme="majorHAnsi"/>
              </w:rPr>
            </w:pPr>
            <w:proofErr w:type="spellStart"/>
            <w:r w:rsidRPr="005A10E6">
              <w:rPr>
                <w:rFonts w:asciiTheme="majorHAnsi" w:eastAsia="Noto Naskh Arabic" w:hAnsiTheme="majorHAnsi" w:cstheme="majorHAnsi"/>
              </w:rPr>
              <w:t>Perides</w:t>
            </w:r>
            <w:proofErr w:type="spellEnd"/>
            <w:r w:rsidRPr="005A10E6">
              <w:rPr>
                <w:rFonts w:asciiTheme="majorHAnsi" w:eastAsia="Noto Naskh Arabic" w:hAnsiTheme="majorHAnsi" w:cstheme="majorHAnsi"/>
              </w:rPr>
              <w:t xml:space="preserve"> et al. (2020)</w:t>
            </w:r>
          </w:p>
        </w:tc>
        <w:tc>
          <w:tcPr>
            <w:tcW w:w="1575" w:type="dxa"/>
            <w:vAlign w:val="center"/>
          </w:tcPr>
          <w:p w14:paraId="29AC5194" w14:textId="5D4B9E2F"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دراسة حالة في مؤسسة مالية</w:t>
            </w:r>
          </w:p>
        </w:tc>
        <w:tc>
          <w:tcPr>
            <w:tcW w:w="1537" w:type="dxa"/>
            <w:vAlign w:val="center"/>
          </w:tcPr>
          <w:p w14:paraId="52C271AE" w14:textId="5F1DD873"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إدارة التغيير في مشاريع التحول</w:t>
            </w:r>
          </w:p>
        </w:tc>
        <w:tc>
          <w:tcPr>
            <w:tcW w:w="1972" w:type="dxa"/>
            <w:vAlign w:val="center"/>
          </w:tcPr>
          <w:p w14:paraId="08901507" w14:textId="4C86A784"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الرعاية واللجنة متعددة الوظائف والملكية اللامركزية والاتصال رفعت القبول</w:t>
            </w:r>
          </w:p>
        </w:tc>
        <w:tc>
          <w:tcPr>
            <w:tcW w:w="1796" w:type="dxa"/>
            <w:vAlign w:val="center"/>
          </w:tcPr>
          <w:p w14:paraId="1A8367D7" w14:textId="674E89A3"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دليل تطبيقي على التكامل الهيكلي </w:t>
            </w:r>
            <w:proofErr w:type="spellStart"/>
            <w:r w:rsidRPr="005A10E6">
              <w:rPr>
                <w:rFonts w:asciiTheme="majorBidi" w:eastAsia="Noto Naskh Arabic" w:hAnsiTheme="majorBidi" w:cstheme="majorBidi"/>
                <w:rtl/>
              </w:rPr>
              <w:t>والحوكمي</w:t>
            </w:r>
            <w:proofErr w:type="spellEnd"/>
          </w:p>
        </w:tc>
      </w:tr>
      <w:tr w:rsidR="005A10E6" w14:paraId="7349B02B" w14:textId="77777777" w:rsidTr="00E92072">
        <w:trPr>
          <w:jc w:val="center"/>
        </w:trPr>
        <w:tc>
          <w:tcPr>
            <w:tcW w:w="570" w:type="dxa"/>
            <w:shd w:val="clear" w:color="auto" w:fill="F2F2F2"/>
            <w:vAlign w:val="center"/>
          </w:tcPr>
          <w:p w14:paraId="545F0ED9"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16</w:t>
            </w:r>
          </w:p>
        </w:tc>
        <w:tc>
          <w:tcPr>
            <w:tcW w:w="1725" w:type="dxa"/>
            <w:shd w:val="clear" w:color="auto" w:fill="F2F2F2"/>
            <w:vAlign w:val="center"/>
          </w:tcPr>
          <w:p w14:paraId="5DC98B26" w14:textId="54058C4D" w:rsidR="005A10E6" w:rsidRPr="005A10E6" w:rsidRDefault="005A10E6" w:rsidP="00E92072">
            <w:pPr>
              <w:spacing w:after="0" w:line="240" w:lineRule="auto"/>
              <w:jc w:val="center"/>
              <w:rPr>
                <w:rFonts w:asciiTheme="majorHAnsi" w:hAnsiTheme="majorHAnsi" w:cstheme="majorHAnsi"/>
              </w:rPr>
            </w:pPr>
            <w:proofErr w:type="spellStart"/>
            <w:r w:rsidRPr="005A10E6">
              <w:rPr>
                <w:rFonts w:asciiTheme="majorHAnsi" w:eastAsia="Noto Naskh Arabic" w:hAnsiTheme="majorHAnsi" w:cstheme="majorHAnsi"/>
              </w:rPr>
              <w:t>Elabshihy</w:t>
            </w:r>
            <w:proofErr w:type="spellEnd"/>
            <w:r w:rsidRPr="005A10E6">
              <w:rPr>
                <w:rFonts w:asciiTheme="majorHAnsi" w:eastAsia="Noto Naskh Arabic" w:hAnsiTheme="majorHAnsi" w:cstheme="majorHAnsi"/>
              </w:rPr>
              <w:t xml:space="preserve"> &amp; Saad (2023)</w:t>
            </w:r>
          </w:p>
        </w:tc>
        <w:tc>
          <w:tcPr>
            <w:tcW w:w="1575" w:type="dxa"/>
            <w:shd w:val="clear" w:color="auto" w:fill="F2F2F2"/>
            <w:vAlign w:val="center"/>
          </w:tcPr>
          <w:p w14:paraId="17EC155C" w14:textId="18EF0387"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دراسة كمية مقطعية</w:t>
            </w:r>
          </w:p>
        </w:tc>
        <w:tc>
          <w:tcPr>
            <w:tcW w:w="1537" w:type="dxa"/>
            <w:shd w:val="clear" w:color="auto" w:fill="F2F2F2"/>
            <w:vAlign w:val="center"/>
          </w:tcPr>
          <w:p w14:paraId="56FC3B1E" w14:textId="201A87AE"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وساطة إدارة التغيير بين التحول وكفاءة إدارة المشاريع</w:t>
            </w:r>
          </w:p>
        </w:tc>
        <w:tc>
          <w:tcPr>
            <w:tcW w:w="1972" w:type="dxa"/>
            <w:shd w:val="clear" w:color="auto" w:fill="F2F2F2"/>
            <w:vAlign w:val="center"/>
          </w:tcPr>
          <w:p w14:paraId="2574DFCB" w14:textId="3E95CDCC"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نموذج </w:t>
            </w:r>
            <w:r w:rsidRPr="005A10E6">
              <w:rPr>
                <w:rFonts w:asciiTheme="majorBidi" w:eastAsia="Noto Naskh Arabic" w:hAnsiTheme="majorBidi" w:cstheme="majorBidi"/>
              </w:rPr>
              <w:t>ADKAR</w:t>
            </w:r>
            <w:r w:rsidRPr="005A10E6">
              <w:rPr>
                <w:rFonts w:asciiTheme="majorBidi" w:eastAsia="Noto Naskh Arabic" w:hAnsiTheme="majorBidi" w:cstheme="majorBidi"/>
                <w:rtl/>
              </w:rPr>
              <w:t xml:space="preserve"> توسط العلاقة مع أداء المشروع والبرنامج والمحفظة</w:t>
            </w:r>
          </w:p>
        </w:tc>
        <w:tc>
          <w:tcPr>
            <w:tcW w:w="1796" w:type="dxa"/>
            <w:shd w:val="clear" w:color="auto" w:fill="F2F2F2"/>
            <w:vAlign w:val="center"/>
          </w:tcPr>
          <w:p w14:paraId="0FBA25D2" w14:textId="1AF28E66"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دليل تجريبي مباشر على آلية تكاملية</w:t>
            </w:r>
          </w:p>
        </w:tc>
      </w:tr>
      <w:tr w:rsidR="005A10E6" w14:paraId="0C3D92D9" w14:textId="77777777" w:rsidTr="00E92072">
        <w:trPr>
          <w:jc w:val="center"/>
        </w:trPr>
        <w:tc>
          <w:tcPr>
            <w:tcW w:w="570" w:type="dxa"/>
            <w:vAlign w:val="center"/>
          </w:tcPr>
          <w:p w14:paraId="6CF85B61"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17</w:t>
            </w:r>
          </w:p>
        </w:tc>
        <w:tc>
          <w:tcPr>
            <w:tcW w:w="1725" w:type="dxa"/>
            <w:vAlign w:val="center"/>
          </w:tcPr>
          <w:p w14:paraId="0ED67886" w14:textId="4D004EC7"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Ullrich et al. (2023)</w:t>
            </w:r>
          </w:p>
        </w:tc>
        <w:tc>
          <w:tcPr>
            <w:tcW w:w="1575" w:type="dxa"/>
            <w:vAlign w:val="center"/>
          </w:tcPr>
          <w:p w14:paraId="54DA6FE4" w14:textId="32FB80D9"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مراجعة </w:t>
            </w:r>
            <w:r w:rsidRPr="005A10E6">
              <w:rPr>
                <w:rFonts w:asciiTheme="majorBidi" w:eastAsia="Noto Naskh Arabic" w:hAnsiTheme="majorBidi" w:cstheme="majorBidi"/>
              </w:rPr>
              <w:t>179</w:t>
            </w:r>
            <w:r w:rsidRPr="005A10E6">
              <w:rPr>
                <w:rFonts w:asciiTheme="majorBidi" w:eastAsia="Noto Naskh Arabic" w:hAnsiTheme="majorBidi" w:cstheme="majorBidi"/>
                <w:rtl/>
              </w:rPr>
              <w:t xml:space="preserve"> دراسة وورشة </w:t>
            </w:r>
            <w:r w:rsidRPr="005A10E6">
              <w:rPr>
                <w:rFonts w:asciiTheme="majorBidi" w:eastAsia="Noto Naskh Arabic" w:hAnsiTheme="majorBidi" w:cstheme="majorBidi"/>
              </w:rPr>
              <w:t>9</w:t>
            </w:r>
            <w:r w:rsidRPr="005A10E6">
              <w:rPr>
                <w:rFonts w:asciiTheme="majorBidi" w:eastAsia="Noto Naskh Arabic" w:hAnsiTheme="majorBidi" w:cstheme="majorBidi"/>
                <w:rtl/>
              </w:rPr>
              <w:t xml:space="preserve"> خبراء</w:t>
            </w:r>
          </w:p>
        </w:tc>
        <w:tc>
          <w:tcPr>
            <w:tcW w:w="1537" w:type="dxa"/>
            <w:vAlign w:val="center"/>
          </w:tcPr>
          <w:p w14:paraId="5B03550B" w14:textId="6A3A0D6A"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مشاركة العاملين في التحول الرقمي</w:t>
            </w:r>
          </w:p>
        </w:tc>
        <w:tc>
          <w:tcPr>
            <w:tcW w:w="1972" w:type="dxa"/>
            <w:vAlign w:val="center"/>
          </w:tcPr>
          <w:p w14:paraId="29E27152" w14:textId="3270FD09"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جودة المشاركة وصدقها أهم من درجتها، والمشاركة الشكلية قد تزيد المقاومة</w:t>
            </w:r>
          </w:p>
        </w:tc>
        <w:tc>
          <w:tcPr>
            <w:tcW w:w="1796" w:type="dxa"/>
            <w:vAlign w:val="center"/>
          </w:tcPr>
          <w:p w14:paraId="6F2226F6" w14:textId="50379347"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يؤسس للفصل بين الاتصال والمشاركة والتأثير في القرار</w:t>
            </w:r>
          </w:p>
        </w:tc>
      </w:tr>
      <w:tr w:rsidR="005A10E6" w14:paraId="46D125EA" w14:textId="77777777" w:rsidTr="00E92072">
        <w:trPr>
          <w:jc w:val="center"/>
        </w:trPr>
        <w:tc>
          <w:tcPr>
            <w:tcW w:w="570" w:type="dxa"/>
            <w:shd w:val="clear" w:color="auto" w:fill="F2F2F2"/>
            <w:vAlign w:val="center"/>
          </w:tcPr>
          <w:p w14:paraId="31373C77"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18</w:t>
            </w:r>
          </w:p>
        </w:tc>
        <w:tc>
          <w:tcPr>
            <w:tcW w:w="1725" w:type="dxa"/>
            <w:shd w:val="clear" w:color="auto" w:fill="F2F2F2"/>
            <w:vAlign w:val="center"/>
          </w:tcPr>
          <w:p w14:paraId="2F176C76" w14:textId="21D1D097"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Shaba et al. (2023)</w:t>
            </w:r>
          </w:p>
        </w:tc>
        <w:tc>
          <w:tcPr>
            <w:tcW w:w="1575" w:type="dxa"/>
            <w:shd w:val="clear" w:color="auto" w:fill="F2F2F2"/>
            <w:vAlign w:val="center"/>
          </w:tcPr>
          <w:p w14:paraId="30A8AC6E" w14:textId="5E3CAE4D"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ثلاث حالات صناعية؛ </w:t>
            </w:r>
            <w:r w:rsidRPr="005A10E6">
              <w:rPr>
                <w:rFonts w:asciiTheme="majorBidi" w:eastAsia="Noto Naskh Arabic" w:hAnsiTheme="majorBidi" w:cstheme="majorBidi"/>
              </w:rPr>
              <w:t>14</w:t>
            </w:r>
            <w:r w:rsidRPr="005A10E6">
              <w:rPr>
                <w:rFonts w:asciiTheme="majorBidi" w:eastAsia="Noto Naskh Arabic" w:hAnsiTheme="majorBidi" w:cstheme="majorBidi"/>
                <w:rtl/>
              </w:rPr>
              <w:t xml:space="preserve"> مقابلة ووثائق وورشة</w:t>
            </w:r>
          </w:p>
        </w:tc>
        <w:tc>
          <w:tcPr>
            <w:tcW w:w="1537" w:type="dxa"/>
            <w:shd w:val="clear" w:color="auto" w:fill="F2F2F2"/>
            <w:vAlign w:val="center"/>
          </w:tcPr>
          <w:p w14:paraId="51EBCF54" w14:textId="3138AB2E"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التغيير التنظيمي المدفوع </w:t>
            </w:r>
            <w:proofErr w:type="spellStart"/>
            <w:r w:rsidRPr="005A10E6">
              <w:rPr>
                <w:rFonts w:asciiTheme="majorBidi" w:eastAsia="Noto Naskh Arabic" w:hAnsiTheme="majorBidi" w:cstheme="majorBidi"/>
                <w:rtl/>
              </w:rPr>
              <w:t>بالرقمنة</w:t>
            </w:r>
            <w:proofErr w:type="spellEnd"/>
            <w:r w:rsidRPr="005A10E6">
              <w:rPr>
                <w:rFonts w:asciiTheme="majorBidi" w:eastAsia="Noto Naskh Arabic" w:hAnsiTheme="majorBidi" w:cstheme="majorBidi"/>
                <w:rtl/>
              </w:rPr>
              <w:t xml:space="preserve"> من منظور النظام البيئي</w:t>
            </w:r>
          </w:p>
        </w:tc>
        <w:tc>
          <w:tcPr>
            <w:tcW w:w="1972" w:type="dxa"/>
            <w:shd w:val="clear" w:color="auto" w:fill="F2F2F2"/>
            <w:vAlign w:val="center"/>
          </w:tcPr>
          <w:p w14:paraId="5E7D9B69" w14:textId="6DA459E5"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التكامل والمشاركة الموسعة والتصميم المستمر مبادئ حاكمة</w:t>
            </w:r>
          </w:p>
        </w:tc>
        <w:tc>
          <w:tcPr>
            <w:tcW w:w="1796" w:type="dxa"/>
            <w:shd w:val="clear" w:color="auto" w:fill="F2F2F2"/>
            <w:vAlign w:val="center"/>
          </w:tcPr>
          <w:p w14:paraId="13BFF971" w14:textId="538D0863"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دليل قوي على الجمع بين التصميم التقني والتنظيمي في دورات مشتركة</w:t>
            </w:r>
          </w:p>
        </w:tc>
      </w:tr>
      <w:tr w:rsidR="005A10E6" w14:paraId="5D9B75B7" w14:textId="77777777" w:rsidTr="00E92072">
        <w:trPr>
          <w:jc w:val="center"/>
        </w:trPr>
        <w:tc>
          <w:tcPr>
            <w:tcW w:w="570" w:type="dxa"/>
            <w:vAlign w:val="center"/>
          </w:tcPr>
          <w:p w14:paraId="60A84EE2"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19</w:t>
            </w:r>
          </w:p>
        </w:tc>
        <w:tc>
          <w:tcPr>
            <w:tcW w:w="1725" w:type="dxa"/>
            <w:vAlign w:val="center"/>
          </w:tcPr>
          <w:p w14:paraId="33E71BE1" w14:textId="417B6423"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Ivars &amp; Sandvik (2023)</w:t>
            </w:r>
          </w:p>
        </w:tc>
        <w:tc>
          <w:tcPr>
            <w:tcW w:w="1575" w:type="dxa"/>
            <w:vAlign w:val="center"/>
          </w:tcPr>
          <w:p w14:paraId="4425502B" w14:textId="3E33FE2F"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رسالة ماجستير؛ دراسة حالة</w:t>
            </w:r>
          </w:p>
        </w:tc>
        <w:tc>
          <w:tcPr>
            <w:tcW w:w="1537" w:type="dxa"/>
            <w:vAlign w:val="center"/>
          </w:tcPr>
          <w:p w14:paraId="66815BC2" w14:textId="1D27AC63"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دمج إدارة التغيير داخل تحول رقمي</w:t>
            </w:r>
          </w:p>
        </w:tc>
        <w:tc>
          <w:tcPr>
            <w:tcW w:w="1972" w:type="dxa"/>
            <w:vAlign w:val="center"/>
          </w:tcPr>
          <w:p w14:paraId="0BAA0F06" w14:textId="0C6893CC"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غياب نموذج رسمي أدى إلى تطبيق جزئي، واقترحت الدراسة إجراءات لربط المجالين</w:t>
            </w:r>
          </w:p>
        </w:tc>
        <w:tc>
          <w:tcPr>
            <w:tcW w:w="1796" w:type="dxa"/>
            <w:vAlign w:val="center"/>
          </w:tcPr>
          <w:p w14:paraId="160F2216" w14:textId="040C9B91"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يدعم مواءمة العمليات ودورة الحياة والنماذج المشتركة</w:t>
            </w:r>
          </w:p>
        </w:tc>
      </w:tr>
      <w:tr w:rsidR="005A10E6" w14:paraId="76631421" w14:textId="77777777" w:rsidTr="00E92072">
        <w:trPr>
          <w:jc w:val="center"/>
        </w:trPr>
        <w:tc>
          <w:tcPr>
            <w:tcW w:w="570" w:type="dxa"/>
            <w:shd w:val="clear" w:color="auto" w:fill="F2F2F2"/>
            <w:vAlign w:val="center"/>
          </w:tcPr>
          <w:p w14:paraId="2FFFD183"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20</w:t>
            </w:r>
          </w:p>
        </w:tc>
        <w:tc>
          <w:tcPr>
            <w:tcW w:w="1725" w:type="dxa"/>
            <w:shd w:val="clear" w:color="auto" w:fill="F2F2F2"/>
            <w:vAlign w:val="center"/>
          </w:tcPr>
          <w:p w14:paraId="041554E0" w14:textId="34D2CC1E" w:rsidR="005A10E6" w:rsidRPr="005A10E6" w:rsidRDefault="005A10E6" w:rsidP="00E92072">
            <w:pPr>
              <w:spacing w:after="0" w:line="240" w:lineRule="auto"/>
              <w:jc w:val="center"/>
              <w:rPr>
                <w:rFonts w:asciiTheme="majorHAnsi" w:hAnsiTheme="majorHAnsi" w:cstheme="majorHAnsi"/>
              </w:rPr>
            </w:pPr>
            <w:proofErr w:type="spellStart"/>
            <w:r w:rsidRPr="005A10E6">
              <w:rPr>
                <w:rFonts w:asciiTheme="majorHAnsi" w:eastAsia="Noto Naskh Arabic" w:hAnsiTheme="majorHAnsi" w:cstheme="majorHAnsi"/>
              </w:rPr>
              <w:t>Chepkasova</w:t>
            </w:r>
            <w:proofErr w:type="spellEnd"/>
            <w:r w:rsidRPr="005A10E6">
              <w:rPr>
                <w:rFonts w:asciiTheme="majorHAnsi" w:eastAsia="Noto Naskh Arabic" w:hAnsiTheme="majorHAnsi" w:cstheme="majorHAnsi"/>
              </w:rPr>
              <w:t xml:space="preserve"> &amp; Macalintal (2017)</w:t>
            </w:r>
          </w:p>
        </w:tc>
        <w:tc>
          <w:tcPr>
            <w:tcW w:w="1575" w:type="dxa"/>
            <w:shd w:val="clear" w:color="auto" w:fill="F2F2F2"/>
            <w:vAlign w:val="center"/>
          </w:tcPr>
          <w:p w14:paraId="4165D763" w14:textId="4E3A6FA6"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رسالة ماجستير؛ حالات متعددة</w:t>
            </w:r>
          </w:p>
        </w:tc>
        <w:tc>
          <w:tcPr>
            <w:tcW w:w="1537" w:type="dxa"/>
            <w:shd w:val="clear" w:color="auto" w:fill="F2F2F2"/>
            <w:vAlign w:val="center"/>
          </w:tcPr>
          <w:p w14:paraId="7B04CBC6" w14:textId="702BEDA6"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التحول في عصر </w:t>
            </w:r>
            <w:proofErr w:type="spellStart"/>
            <w:r w:rsidRPr="005A10E6">
              <w:rPr>
                <w:rFonts w:asciiTheme="majorBidi" w:eastAsia="Noto Naskh Arabic" w:hAnsiTheme="majorBidi" w:cstheme="majorBidi"/>
                <w:rtl/>
              </w:rPr>
              <w:t>الرقمنة</w:t>
            </w:r>
            <w:proofErr w:type="spellEnd"/>
          </w:p>
        </w:tc>
        <w:tc>
          <w:tcPr>
            <w:tcW w:w="1972" w:type="dxa"/>
            <w:shd w:val="clear" w:color="auto" w:fill="F2F2F2"/>
            <w:vAlign w:val="center"/>
          </w:tcPr>
          <w:p w14:paraId="020A70D5" w14:textId="67F2607E"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طورت عجلة تربط إدارة المشروع والتغيير من التأسيس إلى التشغيل</w:t>
            </w:r>
          </w:p>
        </w:tc>
        <w:tc>
          <w:tcPr>
            <w:tcW w:w="1796" w:type="dxa"/>
            <w:shd w:val="clear" w:color="auto" w:fill="F2F2F2"/>
            <w:vAlign w:val="center"/>
          </w:tcPr>
          <w:p w14:paraId="65973F45" w14:textId="5C9A252D"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مصدر مبكر لإطار تكاملي ممتد عبر دورة الحياة</w:t>
            </w:r>
          </w:p>
        </w:tc>
      </w:tr>
      <w:tr w:rsidR="005A10E6" w14:paraId="3A46DDB3" w14:textId="77777777" w:rsidTr="00E92072">
        <w:trPr>
          <w:jc w:val="center"/>
        </w:trPr>
        <w:tc>
          <w:tcPr>
            <w:tcW w:w="570" w:type="dxa"/>
            <w:vAlign w:val="center"/>
          </w:tcPr>
          <w:p w14:paraId="52083391"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lastRenderedPageBreak/>
              <w:t>21</w:t>
            </w:r>
          </w:p>
        </w:tc>
        <w:tc>
          <w:tcPr>
            <w:tcW w:w="1725" w:type="dxa"/>
            <w:vAlign w:val="center"/>
          </w:tcPr>
          <w:p w14:paraId="1FAF2C00" w14:textId="78DD93CD"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Galvão Junior et al. (2024)</w:t>
            </w:r>
          </w:p>
        </w:tc>
        <w:tc>
          <w:tcPr>
            <w:tcW w:w="1575" w:type="dxa"/>
            <w:vAlign w:val="center"/>
          </w:tcPr>
          <w:p w14:paraId="1E37CC2D" w14:textId="208D1986"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Pr>
              <w:t>10</w:t>
            </w:r>
            <w:r w:rsidRPr="005A10E6">
              <w:rPr>
                <w:rFonts w:asciiTheme="majorBidi" w:eastAsia="Noto Naskh Arabic" w:hAnsiTheme="majorBidi" w:cstheme="majorBidi"/>
                <w:rtl/>
              </w:rPr>
              <w:t xml:space="preserve"> مقابلات وبناء نموذج مفاهيمي</w:t>
            </w:r>
          </w:p>
        </w:tc>
        <w:tc>
          <w:tcPr>
            <w:tcW w:w="1537" w:type="dxa"/>
            <w:vAlign w:val="center"/>
          </w:tcPr>
          <w:p w14:paraId="5DA09B75" w14:textId="38449289"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ممارسات إدارة مشاريع التحول ودعم رشاقة الأعمال</w:t>
            </w:r>
          </w:p>
        </w:tc>
        <w:tc>
          <w:tcPr>
            <w:tcW w:w="1972" w:type="dxa"/>
            <w:vAlign w:val="center"/>
          </w:tcPr>
          <w:p w14:paraId="7578D1C9" w14:textId="258A7A03"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دمج الرشاقة والحوكمة والقيمة والعوامل البشرية والفرق متعددة التخصصات</w:t>
            </w:r>
          </w:p>
        </w:tc>
        <w:tc>
          <w:tcPr>
            <w:tcW w:w="1796" w:type="dxa"/>
            <w:vAlign w:val="center"/>
          </w:tcPr>
          <w:p w14:paraId="3714F6A5" w14:textId="1F6A3810"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يدعم التكامل الإجرائي والتسليم المستمر للقيمة</w:t>
            </w:r>
          </w:p>
        </w:tc>
      </w:tr>
      <w:tr w:rsidR="005A10E6" w14:paraId="5DF5B36B" w14:textId="77777777" w:rsidTr="00E92072">
        <w:trPr>
          <w:jc w:val="center"/>
        </w:trPr>
        <w:tc>
          <w:tcPr>
            <w:tcW w:w="570" w:type="dxa"/>
            <w:shd w:val="clear" w:color="auto" w:fill="F2F2F2"/>
            <w:vAlign w:val="center"/>
          </w:tcPr>
          <w:p w14:paraId="4BB3F9FD"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22</w:t>
            </w:r>
          </w:p>
        </w:tc>
        <w:tc>
          <w:tcPr>
            <w:tcW w:w="1725" w:type="dxa"/>
            <w:shd w:val="clear" w:color="auto" w:fill="F2F2F2"/>
            <w:vAlign w:val="center"/>
          </w:tcPr>
          <w:p w14:paraId="528A3035" w14:textId="0F88A1B3"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 xml:space="preserve">Vukadinović &amp; </w:t>
            </w:r>
            <w:proofErr w:type="spellStart"/>
            <w:r w:rsidRPr="005A10E6">
              <w:rPr>
                <w:rFonts w:asciiTheme="majorHAnsi" w:eastAsia="Noto Naskh Arabic" w:hAnsiTheme="majorHAnsi" w:cstheme="majorHAnsi"/>
              </w:rPr>
              <w:t>Fabac</w:t>
            </w:r>
            <w:proofErr w:type="spellEnd"/>
            <w:r w:rsidRPr="005A10E6">
              <w:rPr>
                <w:rFonts w:asciiTheme="majorHAnsi" w:eastAsia="Noto Naskh Arabic" w:hAnsiTheme="majorHAnsi" w:cstheme="majorHAnsi"/>
              </w:rPr>
              <w:t xml:space="preserve"> (2022)</w:t>
            </w:r>
          </w:p>
        </w:tc>
        <w:tc>
          <w:tcPr>
            <w:tcW w:w="1575" w:type="dxa"/>
            <w:shd w:val="clear" w:color="auto" w:fill="F2F2F2"/>
            <w:vAlign w:val="center"/>
          </w:tcPr>
          <w:p w14:paraId="1A683E2B" w14:textId="0601E35C"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أربع حالات في البنوك والاتصالات وتقنية المعلومات</w:t>
            </w:r>
          </w:p>
        </w:tc>
        <w:tc>
          <w:tcPr>
            <w:tcW w:w="1537" w:type="dxa"/>
            <w:shd w:val="clear" w:color="auto" w:fill="F2F2F2"/>
            <w:vAlign w:val="center"/>
          </w:tcPr>
          <w:p w14:paraId="2C25B417" w14:textId="5A42FBFE"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ظهور مكتب إدارة المشاريع الرقمي</w:t>
            </w:r>
          </w:p>
        </w:tc>
        <w:tc>
          <w:tcPr>
            <w:tcW w:w="1972" w:type="dxa"/>
            <w:shd w:val="clear" w:color="auto" w:fill="F2F2F2"/>
            <w:vAlign w:val="center"/>
          </w:tcPr>
          <w:p w14:paraId="3D7AA03C" w14:textId="26962CA4"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توسيع </w:t>
            </w:r>
            <w:r w:rsidRPr="005A10E6">
              <w:rPr>
                <w:rFonts w:asciiTheme="majorBidi" w:eastAsia="Noto Naskh Arabic" w:hAnsiTheme="majorBidi" w:cstheme="majorBidi"/>
              </w:rPr>
              <w:t>PMO</w:t>
            </w:r>
            <w:r w:rsidRPr="005A10E6">
              <w:rPr>
                <w:rFonts w:asciiTheme="majorBidi" w:eastAsia="Noto Naskh Arabic" w:hAnsiTheme="majorBidi" w:cstheme="majorBidi"/>
                <w:rtl/>
              </w:rPr>
              <w:t xml:space="preserve"> ليشمل الرشاقة والابتكار والمعرفة والتغيير</w:t>
            </w:r>
          </w:p>
        </w:tc>
        <w:tc>
          <w:tcPr>
            <w:tcW w:w="1796" w:type="dxa"/>
            <w:shd w:val="clear" w:color="auto" w:fill="F2F2F2"/>
            <w:vAlign w:val="center"/>
          </w:tcPr>
          <w:p w14:paraId="2461FB62" w14:textId="0433E074"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يدعم </w:t>
            </w:r>
            <w:r w:rsidRPr="005A10E6">
              <w:rPr>
                <w:rFonts w:asciiTheme="majorBidi" w:eastAsia="Noto Naskh Arabic" w:hAnsiTheme="majorBidi" w:cstheme="majorBidi"/>
              </w:rPr>
              <w:t>PMO</w:t>
            </w:r>
            <w:r w:rsidRPr="005A10E6">
              <w:rPr>
                <w:rFonts w:asciiTheme="majorBidi" w:eastAsia="Noto Naskh Arabic" w:hAnsiTheme="majorBidi" w:cstheme="majorBidi"/>
                <w:rtl/>
              </w:rPr>
              <w:t xml:space="preserve"> بوصفه بنية تنسيق وقدرة تنظيمية</w:t>
            </w:r>
          </w:p>
        </w:tc>
      </w:tr>
      <w:tr w:rsidR="005A10E6" w14:paraId="12B53C09" w14:textId="77777777" w:rsidTr="00E92072">
        <w:trPr>
          <w:jc w:val="center"/>
        </w:trPr>
        <w:tc>
          <w:tcPr>
            <w:tcW w:w="570" w:type="dxa"/>
            <w:vAlign w:val="center"/>
          </w:tcPr>
          <w:p w14:paraId="35F10163"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23</w:t>
            </w:r>
          </w:p>
        </w:tc>
        <w:tc>
          <w:tcPr>
            <w:tcW w:w="1725" w:type="dxa"/>
            <w:vAlign w:val="center"/>
          </w:tcPr>
          <w:p w14:paraId="79CF13EB" w14:textId="23CCB146"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Erjavec et al. (2024)</w:t>
            </w:r>
          </w:p>
        </w:tc>
        <w:tc>
          <w:tcPr>
            <w:tcW w:w="1575" w:type="dxa"/>
            <w:vAlign w:val="center"/>
          </w:tcPr>
          <w:p w14:paraId="183C2039" w14:textId="2EB54CB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حالتان في التأمين والتصنيع</w:t>
            </w:r>
          </w:p>
        </w:tc>
        <w:tc>
          <w:tcPr>
            <w:tcW w:w="1537" w:type="dxa"/>
            <w:vAlign w:val="center"/>
          </w:tcPr>
          <w:p w14:paraId="55ACFC4E" w14:textId="316CFD9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الأشكال التنظيمية المناسبة للتحول</w:t>
            </w:r>
          </w:p>
        </w:tc>
        <w:tc>
          <w:tcPr>
            <w:tcW w:w="1972" w:type="dxa"/>
            <w:vAlign w:val="center"/>
          </w:tcPr>
          <w:p w14:paraId="68580EC1" w14:textId="46E0CE8A"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لا يوجد شكل واحد صالح للجميع؛ النجاح يعتمد على القيادة والثقافة ودور </w:t>
            </w:r>
            <w:r w:rsidRPr="005A10E6">
              <w:rPr>
                <w:rFonts w:asciiTheme="majorBidi" w:eastAsia="Noto Naskh Arabic" w:hAnsiTheme="majorBidi" w:cstheme="majorBidi"/>
              </w:rPr>
              <w:t>IT</w:t>
            </w:r>
            <w:r w:rsidRPr="005A10E6">
              <w:rPr>
                <w:rFonts w:asciiTheme="majorBidi" w:eastAsia="Noto Naskh Arabic" w:hAnsiTheme="majorBidi" w:cstheme="majorBidi"/>
                <w:rtl/>
              </w:rPr>
              <w:t xml:space="preserve"> والفرق</w:t>
            </w:r>
          </w:p>
        </w:tc>
        <w:tc>
          <w:tcPr>
            <w:tcW w:w="1796" w:type="dxa"/>
            <w:vAlign w:val="center"/>
          </w:tcPr>
          <w:p w14:paraId="153AFAD3" w14:textId="3FA33AE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يدعم تصميمًا </w:t>
            </w:r>
            <w:proofErr w:type="spellStart"/>
            <w:r w:rsidRPr="005A10E6">
              <w:rPr>
                <w:rFonts w:asciiTheme="majorBidi" w:eastAsia="Noto Naskh Arabic" w:hAnsiTheme="majorBidi" w:cstheme="majorBidi"/>
                <w:rtl/>
              </w:rPr>
              <w:t>اقتضائيًا</w:t>
            </w:r>
            <w:proofErr w:type="spellEnd"/>
            <w:r w:rsidRPr="005A10E6">
              <w:rPr>
                <w:rFonts w:asciiTheme="majorBidi" w:eastAsia="Noto Naskh Arabic" w:hAnsiTheme="majorBidi" w:cstheme="majorBidi"/>
                <w:rtl/>
              </w:rPr>
              <w:t xml:space="preserve"> للأدوار والحوكمة</w:t>
            </w:r>
          </w:p>
        </w:tc>
      </w:tr>
      <w:tr w:rsidR="005A10E6" w14:paraId="2AFACD96" w14:textId="77777777" w:rsidTr="00E92072">
        <w:trPr>
          <w:jc w:val="center"/>
        </w:trPr>
        <w:tc>
          <w:tcPr>
            <w:tcW w:w="570" w:type="dxa"/>
            <w:shd w:val="clear" w:color="auto" w:fill="F2F2F2"/>
            <w:vAlign w:val="center"/>
          </w:tcPr>
          <w:p w14:paraId="4DCCCE68"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24</w:t>
            </w:r>
          </w:p>
        </w:tc>
        <w:tc>
          <w:tcPr>
            <w:tcW w:w="1725" w:type="dxa"/>
            <w:shd w:val="clear" w:color="auto" w:fill="F2F2F2"/>
            <w:vAlign w:val="center"/>
          </w:tcPr>
          <w:p w14:paraId="45173AE8" w14:textId="4C5660BA"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Echternach-Jaubert et al. (2025)</w:t>
            </w:r>
          </w:p>
        </w:tc>
        <w:tc>
          <w:tcPr>
            <w:tcW w:w="1575" w:type="dxa"/>
            <w:shd w:val="clear" w:color="auto" w:fill="F2F2F2"/>
            <w:vAlign w:val="center"/>
          </w:tcPr>
          <w:p w14:paraId="273BA8EE" w14:textId="581DADAE"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نموذج مفاهيمي لقطاع التعدين</w:t>
            </w:r>
          </w:p>
        </w:tc>
        <w:tc>
          <w:tcPr>
            <w:tcW w:w="1537" w:type="dxa"/>
            <w:shd w:val="clear" w:color="auto" w:fill="F2F2F2"/>
            <w:vAlign w:val="center"/>
          </w:tcPr>
          <w:p w14:paraId="36CC735A" w14:textId="6A77F19E"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إدارة محفظة مشاريع التحول</w:t>
            </w:r>
          </w:p>
        </w:tc>
        <w:tc>
          <w:tcPr>
            <w:tcW w:w="1972" w:type="dxa"/>
            <w:shd w:val="clear" w:color="auto" w:fill="F2F2F2"/>
            <w:vAlign w:val="center"/>
          </w:tcPr>
          <w:p w14:paraId="5C7202B5" w14:textId="59782312"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نموذج من ست خطوات يربط الاستراتيجية بالمحفظة والبرنامج والمشروع والجاهزية</w:t>
            </w:r>
          </w:p>
        </w:tc>
        <w:tc>
          <w:tcPr>
            <w:tcW w:w="1796" w:type="dxa"/>
            <w:shd w:val="clear" w:color="auto" w:fill="F2F2F2"/>
            <w:vAlign w:val="center"/>
          </w:tcPr>
          <w:p w14:paraId="1CDED0BE" w14:textId="4D2C6C7A"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يدعم الطبقة </w:t>
            </w:r>
            <w:proofErr w:type="spellStart"/>
            <w:r w:rsidRPr="005A10E6">
              <w:rPr>
                <w:rFonts w:asciiTheme="majorBidi" w:eastAsia="Noto Naskh Arabic" w:hAnsiTheme="majorBidi" w:cstheme="majorBidi"/>
                <w:rtl/>
              </w:rPr>
              <w:t>المحفظية</w:t>
            </w:r>
            <w:proofErr w:type="spellEnd"/>
            <w:r w:rsidRPr="005A10E6">
              <w:rPr>
                <w:rFonts w:asciiTheme="majorBidi" w:eastAsia="Noto Naskh Arabic" w:hAnsiTheme="majorBidi" w:cstheme="majorBidi"/>
                <w:rtl/>
              </w:rPr>
              <w:t xml:space="preserve"> والحوكمة المبكرة، لكنه غير مختبر</w:t>
            </w:r>
          </w:p>
        </w:tc>
      </w:tr>
      <w:tr w:rsidR="005A10E6" w14:paraId="6143FDBE" w14:textId="77777777" w:rsidTr="00E92072">
        <w:trPr>
          <w:jc w:val="center"/>
        </w:trPr>
        <w:tc>
          <w:tcPr>
            <w:tcW w:w="570" w:type="dxa"/>
            <w:vAlign w:val="center"/>
          </w:tcPr>
          <w:p w14:paraId="72ADAEAF"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25</w:t>
            </w:r>
          </w:p>
        </w:tc>
        <w:tc>
          <w:tcPr>
            <w:tcW w:w="1725" w:type="dxa"/>
            <w:vAlign w:val="center"/>
          </w:tcPr>
          <w:p w14:paraId="0C135C73" w14:textId="0EC87D04"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Gertzen et al. (2022)</w:t>
            </w:r>
          </w:p>
        </w:tc>
        <w:tc>
          <w:tcPr>
            <w:tcW w:w="1575" w:type="dxa"/>
            <w:vAlign w:val="center"/>
          </w:tcPr>
          <w:p w14:paraId="5DCE5868" w14:textId="49B88BE0"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Pr>
              <w:t>11</w:t>
            </w:r>
            <w:r w:rsidRPr="005A10E6">
              <w:rPr>
                <w:rFonts w:asciiTheme="majorBidi" w:eastAsia="Noto Naskh Arabic" w:hAnsiTheme="majorBidi" w:cstheme="majorBidi"/>
                <w:rtl/>
              </w:rPr>
              <w:t xml:space="preserve"> مقابلة مع قيادات في جنوب أفريقيا</w:t>
            </w:r>
          </w:p>
        </w:tc>
        <w:tc>
          <w:tcPr>
            <w:tcW w:w="1537" w:type="dxa"/>
            <w:vAlign w:val="center"/>
          </w:tcPr>
          <w:p w14:paraId="50226333" w14:textId="35B10222"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أهداف ومنافع مشاريع التحول واختيار المحفظة</w:t>
            </w:r>
          </w:p>
        </w:tc>
        <w:tc>
          <w:tcPr>
            <w:tcW w:w="1972" w:type="dxa"/>
            <w:vAlign w:val="center"/>
          </w:tcPr>
          <w:p w14:paraId="52447810" w14:textId="6F895F01"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المنافع تشمل الكفاءة وتجربة العميل والثقافة والمعايير المالية</w:t>
            </w:r>
          </w:p>
        </w:tc>
        <w:tc>
          <w:tcPr>
            <w:tcW w:w="1796" w:type="dxa"/>
            <w:vAlign w:val="center"/>
          </w:tcPr>
          <w:p w14:paraId="27BEE42B" w14:textId="3F588AC5"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يدعم توسيع معايير القيمة والاختيار</w:t>
            </w:r>
          </w:p>
        </w:tc>
      </w:tr>
      <w:tr w:rsidR="005A10E6" w14:paraId="1046D519" w14:textId="77777777" w:rsidTr="00E92072">
        <w:trPr>
          <w:jc w:val="center"/>
        </w:trPr>
        <w:tc>
          <w:tcPr>
            <w:tcW w:w="570" w:type="dxa"/>
            <w:shd w:val="clear" w:color="auto" w:fill="F2F2F2"/>
            <w:vAlign w:val="center"/>
          </w:tcPr>
          <w:p w14:paraId="086A3DBD"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26</w:t>
            </w:r>
          </w:p>
        </w:tc>
        <w:tc>
          <w:tcPr>
            <w:tcW w:w="1725" w:type="dxa"/>
            <w:shd w:val="clear" w:color="auto" w:fill="F2F2F2"/>
            <w:vAlign w:val="center"/>
          </w:tcPr>
          <w:p w14:paraId="6ECF3BB9" w14:textId="554BD594" w:rsidR="005A10E6" w:rsidRPr="005A10E6" w:rsidRDefault="005A10E6" w:rsidP="00E92072">
            <w:pPr>
              <w:spacing w:after="0" w:line="240" w:lineRule="auto"/>
              <w:jc w:val="center"/>
              <w:rPr>
                <w:rFonts w:asciiTheme="majorHAnsi" w:hAnsiTheme="majorHAnsi" w:cstheme="majorHAnsi"/>
              </w:rPr>
            </w:pPr>
            <w:proofErr w:type="spellStart"/>
            <w:r w:rsidRPr="005A10E6">
              <w:rPr>
                <w:rFonts w:asciiTheme="majorHAnsi" w:eastAsia="Noto Naskh Arabic" w:hAnsiTheme="majorHAnsi" w:cstheme="majorHAnsi"/>
              </w:rPr>
              <w:t>Tschebul</w:t>
            </w:r>
            <w:proofErr w:type="spellEnd"/>
            <w:r w:rsidRPr="005A10E6">
              <w:rPr>
                <w:rFonts w:asciiTheme="majorHAnsi" w:eastAsia="Noto Naskh Arabic" w:hAnsiTheme="majorHAnsi" w:cstheme="majorHAnsi"/>
              </w:rPr>
              <w:t xml:space="preserve"> (2023)</w:t>
            </w:r>
          </w:p>
        </w:tc>
        <w:tc>
          <w:tcPr>
            <w:tcW w:w="1575" w:type="dxa"/>
            <w:shd w:val="clear" w:color="auto" w:fill="F2F2F2"/>
            <w:vAlign w:val="center"/>
          </w:tcPr>
          <w:p w14:paraId="1F330DAA" w14:textId="0D5909F4"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أطروحة؛ </w:t>
            </w:r>
            <w:r w:rsidRPr="005A10E6">
              <w:rPr>
                <w:rFonts w:asciiTheme="majorBidi" w:eastAsia="Noto Naskh Arabic" w:hAnsiTheme="majorBidi" w:cstheme="majorBidi"/>
              </w:rPr>
              <w:t>17</w:t>
            </w:r>
            <w:r w:rsidRPr="005A10E6">
              <w:rPr>
                <w:rFonts w:asciiTheme="majorBidi" w:eastAsia="Noto Naskh Arabic" w:hAnsiTheme="majorBidi" w:cstheme="majorBidi"/>
                <w:rtl/>
              </w:rPr>
              <w:t xml:space="preserve"> مقابلة وخمسة مشاريع صناعية</w:t>
            </w:r>
          </w:p>
        </w:tc>
        <w:tc>
          <w:tcPr>
            <w:tcW w:w="1537" w:type="dxa"/>
            <w:shd w:val="clear" w:color="auto" w:fill="F2F2F2"/>
            <w:vAlign w:val="center"/>
          </w:tcPr>
          <w:p w14:paraId="049FE424" w14:textId="3A0C3087"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التغيير الاستراتيجي عبر التحول الرقمي</w:t>
            </w:r>
          </w:p>
        </w:tc>
        <w:tc>
          <w:tcPr>
            <w:tcW w:w="1972" w:type="dxa"/>
            <w:shd w:val="clear" w:color="auto" w:fill="F2F2F2"/>
            <w:vAlign w:val="center"/>
          </w:tcPr>
          <w:p w14:paraId="04FFE118" w14:textId="41049118"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المشاركة المبكرة والفرق متعددة الوظائف ومزيج الحوكمة من أعلى وأسفل عوامل نجاح</w:t>
            </w:r>
          </w:p>
        </w:tc>
        <w:tc>
          <w:tcPr>
            <w:tcW w:w="1796" w:type="dxa"/>
            <w:shd w:val="clear" w:color="auto" w:fill="F2F2F2"/>
            <w:vAlign w:val="center"/>
          </w:tcPr>
          <w:p w14:paraId="676B090B" w14:textId="7BF82A97"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يربط ممارسات التغيير والحوكمة بنتائج المشاريع</w:t>
            </w:r>
          </w:p>
        </w:tc>
      </w:tr>
      <w:tr w:rsidR="005A10E6" w14:paraId="597F2D62" w14:textId="77777777" w:rsidTr="00E92072">
        <w:trPr>
          <w:jc w:val="center"/>
        </w:trPr>
        <w:tc>
          <w:tcPr>
            <w:tcW w:w="570" w:type="dxa"/>
            <w:vAlign w:val="center"/>
          </w:tcPr>
          <w:p w14:paraId="0869DB5B"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27</w:t>
            </w:r>
          </w:p>
        </w:tc>
        <w:tc>
          <w:tcPr>
            <w:tcW w:w="1725" w:type="dxa"/>
            <w:vAlign w:val="center"/>
          </w:tcPr>
          <w:p w14:paraId="6010D92B" w14:textId="230F5037"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Albrecht et al. (2025)</w:t>
            </w:r>
          </w:p>
        </w:tc>
        <w:tc>
          <w:tcPr>
            <w:tcW w:w="1575" w:type="dxa"/>
            <w:vAlign w:val="center"/>
          </w:tcPr>
          <w:p w14:paraId="01683FC9" w14:textId="175E4016"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سبع مقابلات في شركة تصنيع ألمانية</w:t>
            </w:r>
          </w:p>
        </w:tc>
        <w:tc>
          <w:tcPr>
            <w:tcW w:w="1537" w:type="dxa"/>
            <w:vAlign w:val="center"/>
          </w:tcPr>
          <w:p w14:paraId="1763AA7C" w14:textId="7F562143"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عدم اليقين في تأسيس وميزانية مشاريع التحول</w:t>
            </w:r>
          </w:p>
        </w:tc>
        <w:tc>
          <w:tcPr>
            <w:tcW w:w="1972" w:type="dxa"/>
            <w:vAlign w:val="center"/>
          </w:tcPr>
          <w:p w14:paraId="65900DD2" w14:textId="0B41908B"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التكرار والاستكشاف والشراكة بين الأعمال و</w:t>
            </w:r>
            <w:r w:rsidRPr="005A10E6">
              <w:rPr>
                <w:rFonts w:asciiTheme="majorBidi" w:eastAsia="Noto Naskh Arabic" w:hAnsiTheme="majorBidi" w:cstheme="majorBidi"/>
              </w:rPr>
              <w:t>IT</w:t>
            </w:r>
            <w:r w:rsidRPr="005A10E6">
              <w:rPr>
                <w:rFonts w:asciiTheme="majorBidi" w:eastAsia="Noto Naskh Arabic" w:hAnsiTheme="majorBidi" w:cstheme="majorBidi"/>
                <w:rtl/>
              </w:rPr>
              <w:t xml:space="preserve"> تخفف عدم اليقين</w:t>
            </w:r>
          </w:p>
        </w:tc>
        <w:tc>
          <w:tcPr>
            <w:tcW w:w="1796" w:type="dxa"/>
            <w:vAlign w:val="center"/>
          </w:tcPr>
          <w:p w14:paraId="626F0E29" w14:textId="1F289223"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يبين أن إدارة التغيير تبدأ عند التأسيس والميزانية</w:t>
            </w:r>
          </w:p>
        </w:tc>
      </w:tr>
      <w:tr w:rsidR="005A10E6" w14:paraId="6A9C4790" w14:textId="77777777" w:rsidTr="00E92072">
        <w:trPr>
          <w:jc w:val="center"/>
        </w:trPr>
        <w:tc>
          <w:tcPr>
            <w:tcW w:w="570" w:type="dxa"/>
            <w:shd w:val="clear" w:color="auto" w:fill="F2F2F2"/>
            <w:vAlign w:val="center"/>
          </w:tcPr>
          <w:p w14:paraId="7EFCF76B"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28</w:t>
            </w:r>
          </w:p>
        </w:tc>
        <w:tc>
          <w:tcPr>
            <w:tcW w:w="1725" w:type="dxa"/>
            <w:shd w:val="clear" w:color="auto" w:fill="F2F2F2"/>
            <w:vAlign w:val="center"/>
          </w:tcPr>
          <w:p w14:paraId="49ACB683" w14:textId="781A7C91"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Cresswell et al. (2022)</w:t>
            </w:r>
          </w:p>
        </w:tc>
        <w:tc>
          <w:tcPr>
            <w:tcW w:w="1575" w:type="dxa"/>
            <w:shd w:val="clear" w:color="auto" w:fill="F2F2F2"/>
            <w:vAlign w:val="center"/>
          </w:tcPr>
          <w:p w14:paraId="01E29623" w14:textId="7B2D0996"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تقييم طولي وطني؛ </w:t>
            </w:r>
            <w:r w:rsidRPr="005A10E6">
              <w:rPr>
                <w:rFonts w:asciiTheme="majorBidi" w:eastAsia="Noto Naskh Arabic" w:hAnsiTheme="majorBidi" w:cstheme="majorBidi"/>
              </w:rPr>
              <w:t>36</w:t>
            </w:r>
            <w:r w:rsidRPr="005A10E6">
              <w:rPr>
                <w:rFonts w:asciiTheme="majorBidi" w:eastAsia="Noto Naskh Arabic" w:hAnsiTheme="majorBidi" w:cstheme="majorBidi"/>
                <w:rtl/>
              </w:rPr>
              <w:t xml:space="preserve"> حالة و</w:t>
            </w:r>
            <w:r w:rsidRPr="005A10E6">
              <w:rPr>
                <w:rFonts w:asciiTheme="majorBidi" w:eastAsia="Noto Naskh Arabic" w:hAnsiTheme="majorBidi" w:cstheme="majorBidi"/>
              </w:rPr>
              <w:t>12</w:t>
            </w:r>
            <w:r w:rsidRPr="005A10E6">
              <w:rPr>
                <w:rFonts w:asciiTheme="majorBidi" w:eastAsia="Noto Naskh Arabic" w:hAnsiTheme="majorBidi" w:cstheme="majorBidi"/>
                <w:rtl/>
              </w:rPr>
              <w:t xml:space="preserve"> حالة معمقة</w:t>
            </w:r>
          </w:p>
        </w:tc>
        <w:tc>
          <w:tcPr>
            <w:tcW w:w="1537" w:type="dxa"/>
            <w:shd w:val="clear" w:color="auto" w:fill="F2F2F2"/>
            <w:vAlign w:val="center"/>
          </w:tcPr>
          <w:p w14:paraId="6CA66852" w14:textId="695B73A5"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إدارة تحقيق المنافع في تحول صحي رقمي</w:t>
            </w:r>
          </w:p>
        </w:tc>
        <w:tc>
          <w:tcPr>
            <w:tcW w:w="1972" w:type="dxa"/>
            <w:shd w:val="clear" w:color="auto" w:fill="F2F2F2"/>
            <w:vAlign w:val="center"/>
          </w:tcPr>
          <w:p w14:paraId="46FD070E" w14:textId="1A45638F"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توتر بين التقارير الوطنية والقيمة المحلية؛ المنافع بطيئة وصعبة الإسناد</w:t>
            </w:r>
          </w:p>
        </w:tc>
        <w:tc>
          <w:tcPr>
            <w:tcW w:w="1796" w:type="dxa"/>
            <w:shd w:val="clear" w:color="auto" w:fill="F2F2F2"/>
            <w:vAlign w:val="center"/>
          </w:tcPr>
          <w:p w14:paraId="740478D4" w14:textId="3E03AA64"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دليل طولي على الحوكمة متعددة المستويات واستدامة المنافع</w:t>
            </w:r>
          </w:p>
        </w:tc>
      </w:tr>
      <w:tr w:rsidR="005A10E6" w14:paraId="26FF6489" w14:textId="77777777" w:rsidTr="00E92072">
        <w:trPr>
          <w:jc w:val="center"/>
        </w:trPr>
        <w:tc>
          <w:tcPr>
            <w:tcW w:w="570" w:type="dxa"/>
            <w:vAlign w:val="center"/>
          </w:tcPr>
          <w:p w14:paraId="0872448B"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29</w:t>
            </w:r>
          </w:p>
        </w:tc>
        <w:tc>
          <w:tcPr>
            <w:tcW w:w="1725" w:type="dxa"/>
            <w:vAlign w:val="center"/>
          </w:tcPr>
          <w:p w14:paraId="22BC4B2F" w14:textId="52A3EC4A" w:rsidR="005A10E6" w:rsidRPr="005A10E6" w:rsidRDefault="005A10E6" w:rsidP="00E92072">
            <w:pPr>
              <w:spacing w:after="0" w:line="240" w:lineRule="auto"/>
              <w:jc w:val="center"/>
              <w:rPr>
                <w:rFonts w:asciiTheme="majorHAnsi" w:hAnsiTheme="majorHAnsi" w:cstheme="majorHAnsi"/>
              </w:rPr>
            </w:pPr>
            <w:proofErr w:type="spellStart"/>
            <w:r w:rsidRPr="005A10E6">
              <w:rPr>
                <w:rFonts w:asciiTheme="majorHAnsi" w:eastAsia="Noto Naskh Arabic" w:hAnsiTheme="majorHAnsi" w:cstheme="majorHAnsi"/>
              </w:rPr>
              <w:t>Carujo</w:t>
            </w:r>
            <w:proofErr w:type="spellEnd"/>
            <w:r w:rsidRPr="005A10E6">
              <w:rPr>
                <w:rFonts w:asciiTheme="majorHAnsi" w:eastAsia="Noto Naskh Arabic" w:hAnsiTheme="majorHAnsi" w:cstheme="majorHAnsi"/>
              </w:rPr>
              <w:t xml:space="preserve"> et al. (2022)</w:t>
            </w:r>
          </w:p>
        </w:tc>
        <w:tc>
          <w:tcPr>
            <w:tcW w:w="1575" w:type="dxa"/>
            <w:vAlign w:val="center"/>
          </w:tcPr>
          <w:p w14:paraId="2C9D16E1" w14:textId="7F7323F5"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دراسة حالة ومجموعة تركيز</w:t>
            </w:r>
          </w:p>
        </w:tc>
        <w:tc>
          <w:tcPr>
            <w:tcW w:w="1537" w:type="dxa"/>
            <w:vAlign w:val="center"/>
          </w:tcPr>
          <w:p w14:paraId="2183702F" w14:textId="0C74BA0A"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نهج إدارة المشروع كعامل نجاح في التحول</w:t>
            </w:r>
          </w:p>
        </w:tc>
        <w:tc>
          <w:tcPr>
            <w:tcW w:w="1972" w:type="dxa"/>
            <w:vAlign w:val="center"/>
          </w:tcPr>
          <w:p w14:paraId="4A7388A0" w14:textId="45F192C6"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التقنية لا تولد القيمة وحدها؛ يلزم ربط الجدوى والمشروع والتغيير والمنافع</w:t>
            </w:r>
          </w:p>
        </w:tc>
        <w:tc>
          <w:tcPr>
            <w:tcW w:w="1796" w:type="dxa"/>
            <w:vAlign w:val="center"/>
          </w:tcPr>
          <w:p w14:paraId="4D4D3BE3" w14:textId="7C62B821"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يدعم دمج إدارة المنافع والانتقال إلى طريقة العمل الجديدة</w:t>
            </w:r>
          </w:p>
        </w:tc>
      </w:tr>
      <w:tr w:rsidR="005A10E6" w14:paraId="4DFE66DB" w14:textId="77777777" w:rsidTr="00E92072">
        <w:trPr>
          <w:jc w:val="center"/>
        </w:trPr>
        <w:tc>
          <w:tcPr>
            <w:tcW w:w="570" w:type="dxa"/>
            <w:shd w:val="clear" w:color="auto" w:fill="F2F2F2"/>
            <w:vAlign w:val="center"/>
          </w:tcPr>
          <w:p w14:paraId="2EC092EB"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30</w:t>
            </w:r>
          </w:p>
        </w:tc>
        <w:tc>
          <w:tcPr>
            <w:tcW w:w="1725" w:type="dxa"/>
            <w:shd w:val="clear" w:color="auto" w:fill="F2F2F2"/>
            <w:vAlign w:val="center"/>
          </w:tcPr>
          <w:p w14:paraId="2CD10F39" w14:textId="6D94CEE8"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Nerurkar &amp; Das (2017)</w:t>
            </w:r>
          </w:p>
        </w:tc>
        <w:tc>
          <w:tcPr>
            <w:tcW w:w="1575" w:type="dxa"/>
            <w:shd w:val="clear" w:color="auto" w:fill="F2F2F2"/>
            <w:vAlign w:val="center"/>
          </w:tcPr>
          <w:p w14:paraId="6B41CCFB" w14:textId="2A499B20"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ورقة مؤتمر؛ حالة حكومية هندية</w:t>
            </w:r>
          </w:p>
        </w:tc>
        <w:tc>
          <w:tcPr>
            <w:tcW w:w="1537" w:type="dxa"/>
            <w:shd w:val="clear" w:color="auto" w:fill="F2F2F2"/>
            <w:vAlign w:val="center"/>
          </w:tcPr>
          <w:p w14:paraId="566199C4" w14:textId="3A17F1C4"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ملاءمة الإدارة الرشيقة للتحول الحكومي</w:t>
            </w:r>
          </w:p>
        </w:tc>
        <w:tc>
          <w:tcPr>
            <w:tcW w:w="1972" w:type="dxa"/>
            <w:shd w:val="clear" w:color="auto" w:fill="F2F2F2"/>
            <w:vAlign w:val="center"/>
          </w:tcPr>
          <w:p w14:paraId="7954D349" w14:textId="54BA1B01"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تقسيم البرنامج والتغذية الراجعة والمشاركة يعززان التعلم والتكيف</w:t>
            </w:r>
          </w:p>
        </w:tc>
        <w:tc>
          <w:tcPr>
            <w:tcW w:w="1796" w:type="dxa"/>
            <w:shd w:val="clear" w:color="auto" w:fill="F2F2F2"/>
            <w:vAlign w:val="center"/>
          </w:tcPr>
          <w:p w14:paraId="463A849D" w14:textId="71F5005B"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يدعم التكامل الإجرائي والرشاقة والمشاركة، مع قيود منهجية</w:t>
            </w:r>
          </w:p>
        </w:tc>
      </w:tr>
      <w:tr w:rsidR="005A10E6" w14:paraId="6AB06153" w14:textId="77777777" w:rsidTr="00E92072">
        <w:trPr>
          <w:jc w:val="center"/>
        </w:trPr>
        <w:tc>
          <w:tcPr>
            <w:tcW w:w="570" w:type="dxa"/>
            <w:vAlign w:val="center"/>
          </w:tcPr>
          <w:p w14:paraId="33BCC802"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lastRenderedPageBreak/>
              <w:t>31</w:t>
            </w:r>
          </w:p>
        </w:tc>
        <w:tc>
          <w:tcPr>
            <w:tcW w:w="1725" w:type="dxa"/>
            <w:vAlign w:val="center"/>
          </w:tcPr>
          <w:p w14:paraId="6C51D681" w14:textId="410E58B4"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Simard &amp; Aubry (2025)</w:t>
            </w:r>
          </w:p>
        </w:tc>
        <w:tc>
          <w:tcPr>
            <w:tcW w:w="1575" w:type="dxa"/>
            <w:vAlign w:val="center"/>
          </w:tcPr>
          <w:p w14:paraId="1A9F14A4" w14:textId="3584C352"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حالة مصرفية طولية؛ </w:t>
            </w:r>
            <w:r w:rsidRPr="005A10E6">
              <w:rPr>
                <w:rFonts w:asciiTheme="majorBidi" w:eastAsia="Noto Naskh Arabic" w:hAnsiTheme="majorBidi" w:cstheme="majorBidi"/>
              </w:rPr>
              <w:t>33</w:t>
            </w:r>
            <w:r w:rsidRPr="005A10E6">
              <w:rPr>
                <w:rFonts w:asciiTheme="majorBidi" w:eastAsia="Noto Naskh Arabic" w:hAnsiTheme="majorBidi" w:cstheme="majorBidi"/>
                <w:rtl/>
              </w:rPr>
              <w:t xml:space="preserve"> مقابلة وملاحظات ووثائق</w:t>
            </w:r>
          </w:p>
        </w:tc>
        <w:tc>
          <w:tcPr>
            <w:tcW w:w="1537" w:type="dxa"/>
            <w:vAlign w:val="center"/>
          </w:tcPr>
          <w:p w14:paraId="63E7A221" w14:textId="34C0E341"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مشاركة </w:t>
            </w:r>
            <w:r w:rsidRPr="005A10E6">
              <w:rPr>
                <w:rFonts w:asciiTheme="majorBidi" w:eastAsia="Noto Naskh Arabic" w:hAnsiTheme="majorBidi" w:cstheme="majorBidi"/>
              </w:rPr>
              <w:t>PMO</w:t>
            </w:r>
            <w:r w:rsidRPr="005A10E6">
              <w:rPr>
                <w:rFonts w:asciiTheme="majorBidi" w:eastAsia="Noto Naskh Arabic" w:hAnsiTheme="majorBidi" w:cstheme="majorBidi"/>
                <w:rtl/>
              </w:rPr>
              <w:t xml:space="preserve"> في التحول الرقمي</w:t>
            </w:r>
          </w:p>
        </w:tc>
        <w:tc>
          <w:tcPr>
            <w:tcW w:w="1972" w:type="dxa"/>
            <w:vAlign w:val="center"/>
          </w:tcPr>
          <w:p w14:paraId="4843C1ED" w14:textId="7E221A29"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عمل </w:t>
            </w:r>
            <w:r w:rsidRPr="005A10E6">
              <w:rPr>
                <w:rFonts w:asciiTheme="majorBidi" w:eastAsia="Noto Naskh Arabic" w:hAnsiTheme="majorBidi" w:cstheme="majorBidi"/>
              </w:rPr>
              <w:t>PMO</w:t>
            </w:r>
            <w:r w:rsidRPr="005A10E6">
              <w:rPr>
                <w:rFonts w:asciiTheme="majorBidi" w:eastAsia="Noto Naskh Arabic" w:hAnsiTheme="majorBidi" w:cstheme="majorBidi"/>
                <w:rtl/>
              </w:rPr>
              <w:t xml:space="preserve"> عابرًا للحدود وبنى طبقات استقرار مع تغير دوره بمرور الزمن</w:t>
            </w:r>
          </w:p>
        </w:tc>
        <w:tc>
          <w:tcPr>
            <w:tcW w:w="1796" w:type="dxa"/>
            <w:vAlign w:val="center"/>
          </w:tcPr>
          <w:p w14:paraId="6A737730" w14:textId="646D0C8C"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دليل طولي مهم على التكامل الهيكلي </w:t>
            </w:r>
            <w:proofErr w:type="spellStart"/>
            <w:r w:rsidRPr="005A10E6">
              <w:rPr>
                <w:rFonts w:asciiTheme="majorBidi" w:eastAsia="Noto Naskh Arabic" w:hAnsiTheme="majorBidi" w:cstheme="majorBidi"/>
                <w:rtl/>
              </w:rPr>
              <w:t>والحوكمي</w:t>
            </w:r>
            <w:proofErr w:type="spellEnd"/>
            <w:r w:rsidRPr="005A10E6">
              <w:rPr>
                <w:rFonts w:asciiTheme="majorBidi" w:eastAsia="Noto Naskh Arabic" w:hAnsiTheme="majorBidi" w:cstheme="majorBidi"/>
                <w:rtl/>
              </w:rPr>
              <w:t xml:space="preserve"> والزمني</w:t>
            </w:r>
          </w:p>
        </w:tc>
      </w:tr>
      <w:tr w:rsidR="005A10E6" w14:paraId="5BB0B39E" w14:textId="77777777" w:rsidTr="00E92072">
        <w:trPr>
          <w:jc w:val="center"/>
        </w:trPr>
        <w:tc>
          <w:tcPr>
            <w:tcW w:w="570" w:type="dxa"/>
            <w:shd w:val="clear" w:color="auto" w:fill="F2F2F2"/>
            <w:vAlign w:val="center"/>
          </w:tcPr>
          <w:p w14:paraId="0B9294C8" w14:textId="77777777" w:rsidR="005A10E6" w:rsidRPr="0086030F" w:rsidRDefault="005A10E6" w:rsidP="00E92072">
            <w:pPr>
              <w:spacing w:after="0" w:line="240" w:lineRule="auto"/>
              <w:jc w:val="center"/>
              <w:rPr>
                <w:rFonts w:asciiTheme="majorBidi" w:hAnsiTheme="majorBidi" w:cstheme="majorBidi"/>
              </w:rPr>
            </w:pPr>
            <w:r w:rsidRPr="0086030F">
              <w:rPr>
                <w:rFonts w:asciiTheme="majorBidi" w:eastAsia="Noto Naskh Arabic" w:hAnsiTheme="majorBidi" w:cstheme="majorBidi"/>
                <w:sz w:val="16"/>
                <w:rtl/>
              </w:rPr>
              <w:t>32</w:t>
            </w:r>
          </w:p>
        </w:tc>
        <w:tc>
          <w:tcPr>
            <w:tcW w:w="1725" w:type="dxa"/>
            <w:shd w:val="clear" w:color="auto" w:fill="F2F2F2"/>
            <w:vAlign w:val="center"/>
          </w:tcPr>
          <w:p w14:paraId="11627827" w14:textId="5082D9BA" w:rsidR="005A10E6" w:rsidRPr="005A10E6" w:rsidRDefault="005A10E6" w:rsidP="00E92072">
            <w:pPr>
              <w:spacing w:after="0" w:line="240" w:lineRule="auto"/>
              <w:jc w:val="center"/>
              <w:rPr>
                <w:rFonts w:asciiTheme="majorHAnsi" w:hAnsiTheme="majorHAnsi" w:cstheme="majorHAnsi"/>
              </w:rPr>
            </w:pPr>
            <w:r w:rsidRPr="005A10E6">
              <w:rPr>
                <w:rFonts w:asciiTheme="majorHAnsi" w:eastAsia="Noto Naskh Arabic" w:hAnsiTheme="majorHAnsi" w:cstheme="majorHAnsi"/>
              </w:rPr>
              <w:t>Roy (2025)</w:t>
            </w:r>
          </w:p>
        </w:tc>
        <w:tc>
          <w:tcPr>
            <w:tcW w:w="1575" w:type="dxa"/>
            <w:shd w:val="clear" w:color="auto" w:fill="F2F2F2"/>
            <w:vAlign w:val="center"/>
          </w:tcPr>
          <w:p w14:paraId="09A82C30" w14:textId="3C54E38F"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 xml:space="preserve">رسالة ماجستير؛ </w:t>
            </w:r>
            <w:r w:rsidRPr="005A10E6">
              <w:rPr>
                <w:rFonts w:asciiTheme="majorBidi" w:eastAsia="Noto Naskh Arabic" w:hAnsiTheme="majorBidi" w:cstheme="majorBidi"/>
              </w:rPr>
              <w:t>10</w:t>
            </w:r>
            <w:r w:rsidRPr="005A10E6">
              <w:rPr>
                <w:rFonts w:asciiTheme="majorBidi" w:eastAsia="Noto Naskh Arabic" w:hAnsiTheme="majorBidi" w:cstheme="majorBidi"/>
                <w:rtl/>
              </w:rPr>
              <w:t xml:space="preserve"> مقابلات واستبانة </w:t>
            </w:r>
            <w:r w:rsidRPr="005A10E6">
              <w:rPr>
                <w:rFonts w:asciiTheme="majorBidi" w:eastAsia="Noto Naskh Arabic" w:hAnsiTheme="majorBidi" w:cstheme="majorBidi"/>
              </w:rPr>
              <w:t>47</w:t>
            </w:r>
            <w:r w:rsidRPr="005A10E6">
              <w:rPr>
                <w:rFonts w:asciiTheme="majorBidi" w:eastAsia="Noto Naskh Arabic" w:hAnsiTheme="majorBidi" w:cstheme="majorBidi"/>
                <w:rtl/>
              </w:rPr>
              <w:t xml:space="preserve"> حالة في </w:t>
            </w:r>
            <w:r w:rsidRPr="005A10E6">
              <w:rPr>
                <w:rFonts w:asciiTheme="majorBidi" w:eastAsia="Noto Naskh Arabic" w:hAnsiTheme="majorBidi" w:cstheme="majorBidi"/>
              </w:rPr>
              <w:t>EPC</w:t>
            </w:r>
          </w:p>
        </w:tc>
        <w:tc>
          <w:tcPr>
            <w:tcW w:w="1537" w:type="dxa"/>
            <w:shd w:val="clear" w:color="auto" w:fill="F2F2F2"/>
            <w:vAlign w:val="center"/>
          </w:tcPr>
          <w:p w14:paraId="13B3F3E0" w14:textId="7318AC0E"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التحول الرقمي في الإدارة الاستراتيجية للمشاريع الهندسية</w:t>
            </w:r>
          </w:p>
        </w:tc>
        <w:tc>
          <w:tcPr>
            <w:tcW w:w="1972" w:type="dxa"/>
            <w:shd w:val="clear" w:color="auto" w:fill="F2F2F2"/>
            <w:vAlign w:val="center"/>
          </w:tcPr>
          <w:p w14:paraId="799F81F5" w14:textId="137A6E1A"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القيادة والاتصال والحوكمة والتدريب تحول التقنية إلى كفاءة ومرونة</w:t>
            </w:r>
          </w:p>
        </w:tc>
        <w:tc>
          <w:tcPr>
            <w:tcW w:w="1796" w:type="dxa"/>
            <w:shd w:val="clear" w:color="auto" w:fill="F2F2F2"/>
            <w:vAlign w:val="center"/>
          </w:tcPr>
          <w:p w14:paraId="77498CEF" w14:textId="29C706C2" w:rsidR="005A10E6" w:rsidRPr="005A10E6" w:rsidRDefault="005A10E6" w:rsidP="00E92072">
            <w:pPr>
              <w:spacing w:after="0" w:line="240" w:lineRule="auto"/>
              <w:jc w:val="center"/>
              <w:rPr>
                <w:rFonts w:asciiTheme="majorBidi" w:hAnsiTheme="majorBidi" w:cstheme="majorBidi"/>
              </w:rPr>
            </w:pPr>
            <w:r w:rsidRPr="005A10E6">
              <w:rPr>
                <w:rFonts w:asciiTheme="majorBidi" w:eastAsia="Noto Naskh Arabic" w:hAnsiTheme="majorBidi" w:cstheme="majorBidi"/>
                <w:rtl/>
              </w:rPr>
              <w:t>إطار نظمي غني، لكن الثقة متوسطة بسبب قيود التقرير والتحليل</w:t>
            </w:r>
          </w:p>
        </w:tc>
      </w:tr>
    </w:tbl>
    <w:p w14:paraId="13F2661D" w14:textId="3CF9762F" w:rsidR="0086030F" w:rsidRDefault="0086030F" w:rsidP="003C5B11">
      <w:pPr>
        <w:pStyle w:val="2"/>
      </w:pPr>
      <w:bookmarkStart w:id="50" w:name="_Toc235073631"/>
      <w:r>
        <w:rPr>
          <w:rtl/>
        </w:rPr>
        <w:t>المقارنة النقدية بين الدراسات</w:t>
      </w:r>
      <w:bookmarkEnd w:id="50"/>
    </w:p>
    <w:p w14:paraId="55441CEF" w14:textId="62FF6437" w:rsidR="0086030F" w:rsidRDefault="0086030F" w:rsidP="0086030F">
      <w:pPr>
        <w:pStyle w:val="3"/>
      </w:pPr>
      <w:bookmarkStart w:id="51" w:name="_Toc235073632"/>
      <w:r>
        <w:rPr>
          <w:rtl/>
        </w:rPr>
        <w:t>أوجه الاتفاق</w:t>
      </w:r>
      <w:bookmarkEnd w:id="51"/>
    </w:p>
    <w:p w14:paraId="3116D1B8" w14:textId="66C7CB0F" w:rsidR="0086030F" w:rsidRPr="0086030F" w:rsidRDefault="00B73309" w:rsidP="0086030F">
      <w:pPr>
        <w:pStyle w:val="af5"/>
      </w:pPr>
      <w:r w:rsidRPr="00B73309">
        <w:rPr>
          <w:rFonts w:eastAsia="Noto Naskh Arabic"/>
          <w:rtl/>
        </w:rPr>
        <w:t>تتفق الدراسات على أن التحول الرقمي ليس مشروعًا تقنيًا محضًا، وأن نجاحه يتطلب قيادة وقدرات وثقافة وتنسيقًا بين الأعمال وتقنية المعلومات وأصحاب المصلحة. كما تتفق على أن التسليم الفني لا يكفي، وأن التبني والقيمة والمنافع تمثل نتائج مستقلة ينبغي إدارتها وقياسها. ويظهر اتفاق إضافي على الحاجة إلى المرونة والتعلم عندما تكون المتطلبات والتقنية والسياق غير مستقرة.</w:t>
      </w:r>
    </w:p>
    <w:p w14:paraId="537851F7" w14:textId="3D4C188A" w:rsidR="0086030F" w:rsidRDefault="0086030F" w:rsidP="0086030F">
      <w:pPr>
        <w:pStyle w:val="3"/>
      </w:pPr>
      <w:bookmarkStart w:id="52" w:name="_Toc235073633"/>
      <w:r>
        <w:rPr>
          <w:rtl/>
        </w:rPr>
        <w:t>أوجه الاختلاف</w:t>
      </w:r>
      <w:bookmarkEnd w:id="52"/>
    </w:p>
    <w:p w14:paraId="4FAD8B7A" w14:textId="77777777" w:rsidR="00B73309" w:rsidRPr="00B73309" w:rsidRDefault="00B73309" w:rsidP="00B73309">
      <w:pPr>
        <w:pStyle w:val="af5"/>
        <w:rPr>
          <w:rFonts w:eastAsia="Noto Naskh Arabic"/>
          <w:rtl/>
        </w:rPr>
      </w:pPr>
      <w:r w:rsidRPr="00B73309">
        <w:rPr>
          <w:rFonts w:eastAsia="Noto Naskh Arabic"/>
          <w:rtl/>
        </w:rPr>
        <w:t>تختلف الدراسات في موقع إدارة التغيير؛ فبعضها يجعلها متغيرًا مستقلًا أو وسيطًا، وبعضها يدمج ممارساتها ضمن الثقافة أو القيادة أو الجاهزية، وبعضها لا يستخدم المصطلح رغم تناوله الأدوار والمشاركة والتدريب والتبني. كما تختلف في وحدة التحليل بين الفرد والمنظمة والمشروع والبرنامج والمحفظة والنظام البيئي، وهو ما يفسر اختلاف المتغيرات والنتائج والأطر المقترحة.</w:t>
      </w:r>
    </w:p>
    <w:p w14:paraId="2FC58F8A" w14:textId="4FCC9A31" w:rsidR="0086030F" w:rsidRPr="0086030F" w:rsidRDefault="00B73309" w:rsidP="00B73309">
      <w:pPr>
        <w:pStyle w:val="af5"/>
      </w:pPr>
      <w:r w:rsidRPr="00B73309">
        <w:rPr>
          <w:rFonts w:eastAsia="Noto Naskh Arabic"/>
          <w:rtl/>
        </w:rPr>
        <w:t>وتختلف كذلك في معيار النجاح. فبعض الدراسات يركز على الوقت والتكلفة والجودة، وبعضها على كفاءة المشروع أو المحفظة، وبعضها على الثقة والتبني وتجربة المستخدم أو المنافع الاستراتيجية. ويعني ذلك أن المقارنة المباشرة بين النتائج تحتاج إلى فصل مستوى المخرج عن النتيجة والمصلحة طويلة الأجل.</w:t>
      </w:r>
    </w:p>
    <w:p w14:paraId="49206F22" w14:textId="12B8A04E" w:rsidR="0086030F" w:rsidRDefault="0086030F" w:rsidP="0086030F">
      <w:pPr>
        <w:pStyle w:val="3"/>
      </w:pPr>
      <w:bookmarkStart w:id="53" w:name="_Toc235073634"/>
      <w:r>
        <w:rPr>
          <w:rtl/>
        </w:rPr>
        <w:t>الاتجاهات المنهجية وحدود الأدلة</w:t>
      </w:r>
      <w:bookmarkEnd w:id="53"/>
    </w:p>
    <w:p w14:paraId="7C2895DE" w14:textId="77777777" w:rsidR="00B73309" w:rsidRPr="00B73309" w:rsidRDefault="00B73309" w:rsidP="00B73309">
      <w:pPr>
        <w:pStyle w:val="af5"/>
        <w:rPr>
          <w:rFonts w:eastAsia="Noto Naskh Arabic"/>
          <w:rtl/>
        </w:rPr>
      </w:pPr>
      <w:r w:rsidRPr="00B73309">
        <w:rPr>
          <w:rFonts w:eastAsia="Noto Naskh Arabic"/>
          <w:rtl/>
        </w:rPr>
        <w:t>اتسمت الدراسات بتنوع منهجي واسع شمل المراجعات المنهجية، والاستبانات المقطعية، ودراسات الحالة، والتقييمات الطولية، والنماذج المفاهيمية والرسائل الجامعية. وفّر هذا التنوع إمكان تفسير العلاقات والآليات والسياقات، لكنه منع إجراء تجميع إحصائي موحد. كما أن عددًا من الدراسات الكمية اعتمد على التقرير الذاتي وحالة مؤسسة أو قطاع واحد، في حين بقيت بعض الأطر دون اختبار مستقل.</w:t>
      </w:r>
    </w:p>
    <w:p w14:paraId="487094A7" w14:textId="3C0A4D33" w:rsidR="0086030F" w:rsidRPr="0086030F" w:rsidRDefault="00B73309" w:rsidP="00B73309">
      <w:pPr>
        <w:pStyle w:val="af5"/>
      </w:pPr>
      <w:r w:rsidRPr="00B73309">
        <w:rPr>
          <w:rFonts w:eastAsia="Noto Naskh Arabic"/>
          <w:rtl/>
        </w:rPr>
        <w:t>تعد الدراسات الطولية ومتعددة الحالات أكثر قدرة على تفسير تغير الحوكمة والأدوار والمنافع عبر الزمن، لكنها أقل عددًا. أما المراجعات فتقدم صورة واسعة واتجاهات، إلا أنها قد تتداخل مع الدراسات الأصلية، ولذلك ينبغي عدم مساواة التكرار في المراجعة بدليل سببي مستقل.</w:t>
      </w:r>
    </w:p>
    <w:p w14:paraId="2203AA81" w14:textId="28FB58A5" w:rsidR="0086030F" w:rsidRDefault="0086030F" w:rsidP="0086030F">
      <w:pPr>
        <w:pStyle w:val="3"/>
      </w:pPr>
      <w:bookmarkStart w:id="54" w:name="_Toc235073635"/>
      <w:r>
        <w:rPr>
          <w:rtl/>
        </w:rPr>
        <w:lastRenderedPageBreak/>
        <w:t>المقارنة بين الأدبيات العربية والإنجليزية</w:t>
      </w:r>
      <w:bookmarkEnd w:id="54"/>
    </w:p>
    <w:p w14:paraId="01B0D68E" w14:textId="1266ACED" w:rsidR="0086030F" w:rsidRPr="00717CBF" w:rsidRDefault="00B73309" w:rsidP="00717CBF">
      <w:pPr>
        <w:pStyle w:val="af7"/>
      </w:pPr>
      <w:bookmarkStart w:id="55" w:name="_Toc235073757"/>
      <w:r w:rsidRPr="00B73309">
        <w:rPr>
          <w:rFonts w:cs="Simplified Arabic"/>
          <w:rtl/>
        </w:rPr>
        <w:t>الجدول رقم (</w:t>
      </w:r>
      <w:r w:rsidRPr="00B73309">
        <w:rPr>
          <w:cs/>
        </w:rPr>
        <w:t>‎</w:t>
      </w:r>
      <w:r w:rsidRPr="00B73309">
        <w:t>2-5</w:t>
      </w:r>
      <w:r w:rsidRPr="00B73309">
        <w:rPr>
          <w:cs/>
        </w:rPr>
        <w:t>‎</w:t>
      </w:r>
      <w:r w:rsidRPr="00B73309">
        <w:rPr>
          <w:rFonts w:cs="Simplified Arabic"/>
          <w:rtl/>
        </w:rPr>
        <w:t>): مقارنة عامة بين اتجاهات الأدبيات العربية والإنجليزية</w:t>
      </w:r>
      <w:bookmarkEnd w:id="55"/>
    </w:p>
    <w:tbl>
      <w:tblPr>
        <w:bidiVisual/>
        <w:tblW w:w="9070"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1286"/>
        <w:gridCol w:w="2835"/>
        <w:gridCol w:w="2593"/>
        <w:gridCol w:w="2356"/>
      </w:tblGrid>
      <w:tr w:rsidR="002324C7" w:rsidRPr="00717CBF" w14:paraId="26952BC6" w14:textId="77777777" w:rsidTr="002324C7">
        <w:trPr>
          <w:tblHeader/>
          <w:jc w:val="center"/>
        </w:trPr>
        <w:tc>
          <w:tcPr>
            <w:tcW w:w="1286" w:type="dxa"/>
            <w:shd w:val="clear" w:color="auto" w:fill="0095D0"/>
            <w:vAlign w:val="center"/>
          </w:tcPr>
          <w:p w14:paraId="7823C832" w14:textId="77777777" w:rsidR="0086030F" w:rsidRPr="00717CBF" w:rsidRDefault="0086030F" w:rsidP="00E92072">
            <w:pPr>
              <w:spacing w:after="0" w:line="240" w:lineRule="auto"/>
              <w:jc w:val="center"/>
              <w:rPr>
                <w:rFonts w:asciiTheme="majorBidi" w:hAnsiTheme="majorBidi" w:cstheme="majorBidi"/>
                <w:bCs/>
                <w:color w:val="FFFFFF" w:themeColor="background1"/>
              </w:rPr>
            </w:pPr>
            <w:r w:rsidRPr="00717CBF">
              <w:rPr>
                <w:rFonts w:asciiTheme="majorBidi" w:eastAsia="Noto Naskh Arabic" w:hAnsiTheme="majorBidi" w:cstheme="majorBidi"/>
                <w:bCs/>
                <w:color w:val="FFFFFF" w:themeColor="background1"/>
                <w:sz w:val="19"/>
                <w:rtl/>
              </w:rPr>
              <w:t>البعد</w:t>
            </w:r>
          </w:p>
        </w:tc>
        <w:tc>
          <w:tcPr>
            <w:tcW w:w="2835" w:type="dxa"/>
            <w:shd w:val="clear" w:color="auto" w:fill="0095D0"/>
            <w:vAlign w:val="center"/>
          </w:tcPr>
          <w:p w14:paraId="0FC4125E" w14:textId="77777777" w:rsidR="0086030F" w:rsidRPr="00717CBF" w:rsidRDefault="0086030F" w:rsidP="00E92072">
            <w:pPr>
              <w:spacing w:after="0" w:line="240" w:lineRule="auto"/>
              <w:jc w:val="center"/>
              <w:rPr>
                <w:rFonts w:asciiTheme="majorBidi" w:hAnsiTheme="majorBidi" w:cstheme="majorBidi"/>
                <w:bCs/>
                <w:color w:val="FFFFFF" w:themeColor="background1"/>
              </w:rPr>
            </w:pPr>
            <w:r w:rsidRPr="00717CBF">
              <w:rPr>
                <w:rFonts w:asciiTheme="majorBidi" w:eastAsia="Noto Naskh Arabic" w:hAnsiTheme="majorBidi" w:cstheme="majorBidi"/>
                <w:bCs/>
                <w:color w:val="FFFFFF" w:themeColor="background1"/>
                <w:sz w:val="19"/>
                <w:rtl/>
              </w:rPr>
              <w:t>الأدبيات الإنجليزية في العينة</w:t>
            </w:r>
          </w:p>
        </w:tc>
        <w:tc>
          <w:tcPr>
            <w:tcW w:w="2593" w:type="dxa"/>
            <w:shd w:val="clear" w:color="auto" w:fill="0095D0"/>
            <w:vAlign w:val="center"/>
          </w:tcPr>
          <w:p w14:paraId="70014F6D" w14:textId="77777777" w:rsidR="0086030F" w:rsidRPr="00717CBF" w:rsidRDefault="0086030F" w:rsidP="00E92072">
            <w:pPr>
              <w:spacing w:after="0" w:line="240" w:lineRule="auto"/>
              <w:jc w:val="center"/>
              <w:rPr>
                <w:rFonts w:asciiTheme="majorBidi" w:hAnsiTheme="majorBidi" w:cstheme="majorBidi"/>
                <w:bCs/>
                <w:color w:val="FFFFFF" w:themeColor="background1"/>
              </w:rPr>
            </w:pPr>
            <w:r w:rsidRPr="00717CBF">
              <w:rPr>
                <w:rFonts w:asciiTheme="majorBidi" w:eastAsia="Noto Naskh Arabic" w:hAnsiTheme="majorBidi" w:cstheme="majorBidi"/>
                <w:bCs/>
                <w:color w:val="FFFFFF" w:themeColor="background1"/>
                <w:sz w:val="19"/>
                <w:rtl/>
              </w:rPr>
              <w:t>الأدبيات العربية في العينة</w:t>
            </w:r>
          </w:p>
        </w:tc>
        <w:tc>
          <w:tcPr>
            <w:tcW w:w="2356" w:type="dxa"/>
            <w:shd w:val="clear" w:color="auto" w:fill="0095D0"/>
            <w:vAlign w:val="center"/>
          </w:tcPr>
          <w:p w14:paraId="7D50FA09" w14:textId="77777777" w:rsidR="0086030F" w:rsidRPr="00717CBF" w:rsidRDefault="0086030F" w:rsidP="00E92072">
            <w:pPr>
              <w:spacing w:after="0" w:line="240" w:lineRule="auto"/>
              <w:jc w:val="center"/>
              <w:rPr>
                <w:rFonts w:asciiTheme="majorBidi" w:hAnsiTheme="majorBidi" w:cstheme="majorBidi"/>
                <w:bCs/>
                <w:color w:val="FFFFFF" w:themeColor="background1"/>
              </w:rPr>
            </w:pPr>
            <w:r w:rsidRPr="00717CBF">
              <w:rPr>
                <w:rFonts w:asciiTheme="majorBidi" w:eastAsia="Noto Naskh Arabic" w:hAnsiTheme="majorBidi" w:cstheme="majorBidi"/>
                <w:bCs/>
                <w:color w:val="FFFFFF" w:themeColor="background1"/>
                <w:sz w:val="19"/>
                <w:rtl/>
              </w:rPr>
              <w:t>الدلالة</w:t>
            </w:r>
          </w:p>
        </w:tc>
      </w:tr>
      <w:tr w:rsidR="0086030F" w:rsidRPr="00717CBF" w14:paraId="0ED9F306" w14:textId="77777777" w:rsidTr="002324C7">
        <w:trPr>
          <w:jc w:val="center"/>
        </w:trPr>
        <w:tc>
          <w:tcPr>
            <w:tcW w:w="1286" w:type="dxa"/>
            <w:vAlign w:val="center"/>
          </w:tcPr>
          <w:p w14:paraId="43BD1230"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الموضوع الغالب</w:t>
            </w:r>
          </w:p>
        </w:tc>
        <w:tc>
          <w:tcPr>
            <w:tcW w:w="2835" w:type="dxa"/>
            <w:vAlign w:val="center"/>
          </w:tcPr>
          <w:p w14:paraId="476F8B50"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الحوكمة، PMO، المحفظة، الأدوار، دورة الحياة، الرشاقة، المنافع</w:t>
            </w:r>
          </w:p>
        </w:tc>
        <w:tc>
          <w:tcPr>
            <w:tcW w:w="2593" w:type="dxa"/>
            <w:vAlign w:val="center"/>
          </w:tcPr>
          <w:p w14:paraId="1D4047AB"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الثقافة، المقاومة، الجاهزية، التدريب، جودة الخدمة ونجاح التحول</w:t>
            </w:r>
          </w:p>
        </w:tc>
        <w:tc>
          <w:tcPr>
            <w:tcW w:w="2356" w:type="dxa"/>
            <w:vAlign w:val="center"/>
          </w:tcPr>
          <w:p w14:paraId="460A2929"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تكامل نقاط القوة ضروري لبناء تصور شامل</w:t>
            </w:r>
          </w:p>
        </w:tc>
      </w:tr>
      <w:tr w:rsidR="0086030F" w:rsidRPr="00717CBF" w14:paraId="57972B0A" w14:textId="77777777" w:rsidTr="002324C7">
        <w:trPr>
          <w:jc w:val="center"/>
        </w:trPr>
        <w:tc>
          <w:tcPr>
            <w:tcW w:w="1286" w:type="dxa"/>
            <w:shd w:val="clear" w:color="auto" w:fill="F2F2F2"/>
            <w:vAlign w:val="center"/>
          </w:tcPr>
          <w:p w14:paraId="5A4CDA96"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وحدة التحليل</w:t>
            </w:r>
          </w:p>
        </w:tc>
        <w:tc>
          <w:tcPr>
            <w:tcW w:w="2835" w:type="dxa"/>
            <w:shd w:val="clear" w:color="auto" w:fill="F2F2F2"/>
            <w:vAlign w:val="center"/>
          </w:tcPr>
          <w:p w14:paraId="516A892E"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المشروع والبرنامج والمحفظة والمنظمة والنظام البيئي</w:t>
            </w:r>
          </w:p>
        </w:tc>
        <w:tc>
          <w:tcPr>
            <w:tcW w:w="2593" w:type="dxa"/>
            <w:shd w:val="clear" w:color="auto" w:fill="F2F2F2"/>
            <w:vAlign w:val="center"/>
          </w:tcPr>
          <w:p w14:paraId="7F1D77A2"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المؤسسة أو العاملون، مع حضور أقل لوحدة المشروع</w:t>
            </w:r>
          </w:p>
        </w:tc>
        <w:tc>
          <w:tcPr>
            <w:tcW w:w="2356" w:type="dxa"/>
            <w:shd w:val="clear" w:color="auto" w:fill="F2F2F2"/>
            <w:vAlign w:val="center"/>
          </w:tcPr>
          <w:p w14:paraId="28837E76"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الحاجة إلى بحوث عربية على مستوى المشروع والبرنامج</w:t>
            </w:r>
          </w:p>
        </w:tc>
      </w:tr>
      <w:tr w:rsidR="0086030F" w:rsidRPr="00717CBF" w14:paraId="681E572E" w14:textId="77777777" w:rsidTr="002324C7">
        <w:trPr>
          <w:jc w:val="center"/>
        </w:trPr>
        <w:tc>
          <w:tcPr>
            <w:tcW w:w="1286" w:type="dxa"/>
            <w:vAlign w:val="center"/>
          </w:tcPr>
          <w:p w14:paraId="5D5B04FC"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التصميم</w:t>
            </w:r>
          </w:p>
        </w:tc>
        <w:tc>
          <w:tcPr>
            <w:tcW w:w="2835" w:type="dxa"/>
            <w:vAlign w:val="center"/>
          </w:tcPr>
          <w:p w14:paraId="07DB1609"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مراجعات وحالات طولية ومتعددة وتصاميم كمية ونماذج</w:t>
            </w:r>
          </w:p>
        </w:tc>
        <w:tc>
          <w:tcPr>
            <w:tcW w:w="2593" w:type="dxa"/>
            <w:vAlign w:val="center"/>
          </w:tcPr>
          <w:p w14:paraId="7AE90C9D"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استبانات مقطعية وحالات قطاعية ورسائل جامعية</w:t>
            </w:r>
          </w:p>
        </w:tc>
        <w:tc>
          <w:tcPr>
            <w:tcW w:w="2356" w:type="dxa"/>
            <w:vAlign w:val="center"/>
          </w:tcPr>
          <w:p w14:paraId="5995EFD3"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الحاجة إلى حالات متعددة وقياسات طولية عربية</w:t>
            </w:r>
          </w:p>
        </w:tc>
      </w:tr>
      <w:tr w:rsidR="0086030F" w:rsidRPr="00717CBF" w14:paraId="5B166FD1" w14:textId="77777777" w:rsidTr="002324C7">
        <w:trPr>
          <w:jc w:val="center"/>
        </w:trPr>
        <w:tc>
          <w:tcPr>
            <w:tcW w:w="1286" w:type="dxa"/>
            <w:shd w:val="clear" w:color="auto" w:fill="F2F2F2"/>
            <w:vAlign w:val="center"/>
          </w:tcPr>
          <w:p w14:paraId="6F035E45"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التكامل بين المجالين</w:t>
            </w:r>
          </w:p>
        </w:tc>
        <w:tc>
          <w:tcPr>
            <w:tcW w:w="2835" w:type="dxa"/>
            <w:shd w:val="clear" w:color="auto" w:fill="F2F2F2"/>
            <w:vAlign w:val="center"/>
          </w:tcPr>
          <w:p w14:paraId="6F445FBF"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وجود حالات وأطر وآليات مباشرة</w:t>
            </w:r>
          </w:p>
        </w:tc>
        <w:tc>
          <w:tcPr>
            <w:tcW w:w="2593" w:type="dxa"/>
            <w:shd w:val="clear" w:color="auto" w:fill="F2F2F2"/>
            <w:vAlign w:val="center"/>
          </w:tcPr>
          <w:p w14:paraId="2D1A04C5"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العلاقة غالبًا ضمنية أو ثنائية</w:t>
            </w:r>
          </w:p>
        </w:tc>
        <w:tc>
          <w:tcPr>
            <w:tcW w:w="2356" w:type="dxa"/>
            <w:shd w:val="clear" w:color="auto" w:fill="F2F2F2"/>
            <w:vAlign w:val="center"/>
          </w:tcPr>
          <w:p w14:paraId="5A35C013"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فجوة في الأدوار والحوكمة ودورة الحياة والمنافع</w:t>
            </w:r>
          </w:p>
        </w:tc>
      </w:tr>
      <w:tr w:rsidR="0086030F" w:rsidRPr="00717CBF" w14:paraId="60FA656C" w14:textId="77777777" w:rsidTr="002324C7">
        <w:trPr>
          <w:jc w:val="center"/>
        </w:trPr>
        <w:tc>
          <w:tcPr>
            <w:tcW w:w="1286" w:type="dxa"/>
            <w:vAlign w:val="center"/>
          </w:tcPr>
          <w:p w14:paraId="06CC99BE"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القيمة التطبيقية</w:t>
            </w:r>
          </w:p>
        </w:tc>
        <w:tc>
          <w:tcPr>
            <w:tcW w:w="2835" w:type="dxa"/>
            <w:vAlign w:val="center"/>
          </w:tcPr>
          <w:p w14:paraId="7232C851"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تفصيل آليات الحوكمة والتكيف والواجهات</w:t>
            </w:r>
          </w:p>
        </w:tc>
        <w:tc>
          <w:tcPr>
            <w:tcW w:w="2593" w:type="dxa"/>
            <w:vAlign w:val="center"/>
          </w:tcPr>
          <w:p w14:paraId="213BB168"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تفسير الثقافة والقبول والقدرات في سياقات عربية</w:t>
            </w:r>
          </w:p>
        </w:tc>
        <w:tc>
          <w:tcPr>
            <w:tcW w:w="2356" w:type="dxa"/>
            <w:vAlign w:val="center"/>
          </w:tcPr>
          <w:p w14:paraId="0A119E81" w14:textId="77777777" w:rsidR="0086030F" w:rsidRPr="00717CBF" w:rsidRDefault="0086030F" w:rsidP="00E92072">
            <w:pPr>
              <w:spacing w:after="0" w:line="240" w:lineRule="auto"/>
              <w:jc w:val="center"/>
              <w:rPr>
                <w:rFonts w:asciiTheme="majorBidi" w:hAnsiTheme="majorBidi" w:cstheme="majorBidi"/>
              </w:rPr>
            </w:pPr>
            <w:r w:rsidRPr="00717CBF">
              <w:rPr>
                <w:rFonts w:asciiTheme="majorBidi" w:eastAsia="Noto Naskh Arabic" w:hAnsiTheme="majorBidi" w:cstheme="majorBidi"/>
                <w:sz w:val="19"/>
                <w:rtl/>
              </w:rPr>
              <w:t>الإطار المقترح يجب أن يجمع البعدين</w:t>
            </w:r>
          </w:p>
        </w:tc>
      </w:tr>
    </w:tbl>
    <w:p w14:paraId="21193132" w14:textId="641C426B" w:rsidR="0086030F" w:rsidRDefault="0086030F" w:rsidP="003C5B11">
      <w:pPr>
        <w:pStyle w:val="2"/>
      </w:pPr>
      <w:bookmarkStart w:id="56" w:name="_Toc235073636"/>
      <w:r>
        <w:rPr>
          <w:rtl/>
        </w:rPr>
        <w:t>الفجوة البحثية وموضع الدراسة الحالية</w:t>
      </w:r>
      <w:bookmarkEnd w:id="56"/>
    </w:p>
    <w:p w14:paraId="5E81132B" w14:textId="7F402FCD" w:rsidR="0086030F" w:rsidRPr="00717CBF" w:rsidRDefault="002324C7" w:rsidP="00717CBF">
      <w:pPr>
        <w:pStyle w:val="af5"/>
      </w:pPr>
      <w:r w:rsidRPr="002324C7">
        <w:rPr>
          <w:rFonts w:eastAsia="Noto Naskh Arabic"/>
          <w:rtl/>
        </w:rPr>
        <w:t>لا تتمثل الفجوة في غياب الدراسات عن إدارة التغيير أو إدارة المشاريع أو التحول الرقمي كل على حدة، بل في ضعف البناء الذي يربطها داخل مشروع التحول عبر دورة حياته. فالأدبيات تشير إلى أهمية القيادة والثقافة والجاهزية والمشاركة والرشاقة والحوكمة والمنافع، لكنها لا تتفق على كيفية توزيع الأدوار أو توقيت الممارسات أو دمج القرارات والبيانات والمؤشرات.</w:t>
      </w:r>
    </w:p>
    <w:p w14:paraId="18C95352" w14:textId="0F8969E1" w:rsidR="0086030F" w:rsidRDefault="002324C7" w:rsidP="00717CBF">
      <w:pPr>
        <w:pStyle w:val="af7"/>
      </w:pPr>
      <w:bookmarkStart w:id="57" w:name="_Toc235073758"/>
      <w:r w:rsidRPr="002324C7">
        <w:rPr>
          <w:rFonts w:cs="Simplified Arabic"/>
          <w:rtl/>
        </w:rPr>
        <w:t>الجدول رقم (</w:t>
      </w:r>
      <w:r w:rsidRPr="002324C7">
        <w:rPr>
          <w:cs/>
        </w:rPr>
        <w:t>‎</w:t>
      </w:r>
      <w:r w:rsidRPr="002324C7">
        <w:t>2-6</w:t>
      </w:r>
      <w:r w:rsidRPr="002324C7">
        <w:rPr>
          <w:cs/>
        </w:rPr>
        <w:t>‎</w:t>
      </w:r>
      <w:r w:rsidRPr="002324C7">
        <w:rPr>
          <w:rFonts w:cs="Simplified Arabic"/>
          <w:rtl/>
        </w:rPr>
        <w:t>): الفجوات التي تعالجها الدراسة وإضافتها المتوقعة</w:t>
      </w:r>
      <w:bookmarkEnd w:id="57"/>
    </w:p>
    <w:tbl>
      <w:tblPr>
        <w:bidiVisual/>
        <w:tblW w:w="0" w:type="auto"/>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032"/>
        <w:gridCol w:w="3338"/>
        <w:gridCol w:w="3691"/>
      </w:tblGrid>
      <w:tr w:rsidR="0086030F" w:rsidRPr="00717CBF" w14:paraId="02819A1D" w14:textId="77777777" w:rsidTr="002324C7">
        <w:trPr>
          <w:tblHeader/>
          <w:jc w:val="center"/>
        </w:trPr>
        <w:tc>
          <w:tcPr>
            <w:tcW w:w="2032" w:type="dxa"/>
            <w:shd w:val="clear" w:color="auto" w:fill="0095D0"/>
            <w:vAlign w:val="center"/>
          </w:tcPr>
          <w:p w14:paraId="7E8E21CA" w14:textId="77777777" w:rsidR="0086030F" w:rsidRPr="00717CBF" w:rsidRDefault="0086030F" w:rsidP="00E92072">
            <w:pPr>
              <w:spacing w:after="0" w:line="240" w:lineRule="auto"/>
              <w:jc w:val="center"/>
              <w:rPr>
                <w:rFonts w:asciiTheme="majorBidi" w:hAnsiTheme="majorBidi" w:cstheme="majorBidi"/>
                <w:bCs/>
                <w:color w:val="FFFFFF" w:themeColor="background1"/>
              </w:rPr>
            </w:pPr>
            <w:r w:rsidRPr="00717CBF">
              <w:rPr>
                <w:rFonts w:asciiTheme="majorBidi" w:eastAsia="Noto Naskh Arabic" w:hAnsiTheme="majorBidi" w:cstheme="majorBidi"/>
                <w:bCs/>
                <w:color w:val="FFFFFF" w:themeColor="background1"/>
                <w:sz w:val="19"/>
                <w:rtl/>
              </w:rPr>
              <w:t>الفجوة</w:t>
            </w:r>
          </w:p>
        </w:tc>
        <w:tc>
          <w:tcPr>
            <w:tcW w:w="3338" w:type="dxa"/>
            <w:shd w:val="clear" w:color="auto" w:fill="0095D0"/>
            <w:vAlign w:val="center"/>
          </w:tcPr>
          <w:p w14:paraId="2DB33AA5" w14:textId="77777777" w:rsidR="0086030F" w:rsidRPr="00717CBF" w:rsidRDefault="0086030F" w:rsidP="00E92072">
            <w:pPr>
              <w:spacing w:after="0" w:line="240" w:lineRule="auto"/>
              <w:jc w:val="center"/>
              <w:rPr>
                <w:rFonts w:asciiTheme="majorBidi" w:hAnsiTheme="majorBidi" w:cstheme="majorBidi"/>
                <w:bCs/>
                <w:color w:val="FFFFFF" w:themeColor="background1"/>
              </w:rPr>
            </w:pPr>
            <w:r w:rsidRPr="00717CBF">
              <w:rPr>
                <w:rFonts w:asciiTheme="majorBidi" w:eastAsia="Noto Naskh Arabic" w:hAnsiTheme="majorBidi" w:cstheme="majorBidi"/>
                <w:bCs/>
                <w:color w:val="FFFFFF" w:themeColor="background1"/>
                <w:sz w:val="19"/>
                <w:rtl/>
              </w:rPr>
              <w:t>مظهرها في الأدبيات</w:t>
            </w:r>
          </w:p>
        </w:tc>
        <w:tc>
          <w:tcPr>
            <w:tcW w:w="3691" w:type="dxa"/>
            <w:shd w:val="clear" w:color="auto" w:fill="0095D0"/>
            <w:vAlign w:val="center"/>
          </w:tcPr>
          <w:p w14:paraId="4FDD93F2" w14:textId="77777777" w:rsidR="0086030F" w:rsidRPr="00717CBF" w:rsidRDefault="0086030F" w:rsidP="00E92072">
            <w:pPr>
              <w:spacing w:after="0" w:line="240" w:lineRule="auto"/>
              <w:jc w:val="center"/>
              <w:rPr>
                <w:rFonts w:asciiTheme="majorBidi" w:hAnsiTheme="majorBidi" w:cstheme="majorBidi"/>
                <w:bCs/>
                <w:color w:val="FFFFFF" w:themeColor="background1"/>
              </w:rPr>
            </w:pPr>
            <w:r w:rsidRPr="00717CBF">
              <w:rPr>
                <w:rFonts w:asciiTheme="majorBidi" w:eastAsia="Noto Naskh Arabic" w:hAnsiTheme="majorBidi" w:cstheme="majorBidi"/>
                <w:bCs/>
                <w:color w:val="FFFFFF" w:themeColor="background1"/>
                <w:sz w:val="19"/>
                <w:rtl/>
              </w:rPr>
              <w:t>معالجة الدراسة الحالية</w:t>
            </w:r>
          </w:p>
        </w:tc>
      </w:tr>
      <w:tr w:rsidR="002324C7" w:rsidRPr="00717CBF" w14:paraId="3D9D93BA" w14:textId="77777777" w:rsidTr="002324C7">
        <w:trPr>
          <w:jc w:val="center"/>
        </w:trPr>
        <w:tc>
          <w:tcPr>
            <w:tcW w:w="2032" w:type="dxa"/>
            <w:vAlign w:val="center"/>
          </w:tcPr>
          <w:p w14:paraId="4101ECED" w14:textId="11AE9C49"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التجزؤ المفاهيمي</w:t>
            </w:r>
          </w:p>
        </w:tc>
        <w:tc>
          <w:tcPr>
            <w:tcW w:w="3338" w:type="dxa"/>
            <w:vAlign w:val="center"/>
          </w:tcPr>
          <w:p w14:paraId="01EB2841" w14:textId="2439FB92"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مسارات منفصلة لإدارة التغيير وإدارة المشاريع والتحول الرقمي</w:t>
            </w:r>
          </w:p>
        </w:tc>
        <w:tc>
          <w:tcPr>
            <w:tcW w:w="3691" w:type="dxa"/>
            <w:vAlign w:val="center"/>
          </w:tcPr>
          <w:p w14:paraId="3573FC29" w14:textId="1EA8632D"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مراجعة منهجية موحدة تربط المجالات الثلاثة</w:t>
            </w:r>
          </w:p>
        </w:tc>
      </w:tr>
      <w:tr w:rsidR="002324C7" w:rsidRPr="00717CBF" w14:paraId="362D58B6" w14:textId="77777777" w:rsidTr="002324C7">
        <w:trPr>
          <w:jc w:val="center"/>
        </w:trPr>
        <w:tc>
          <w:tcPr>
            <w:tcW w:w="2032" w:type="dxa"/>
            <w:shd w:val="clear" w:color="auto" w:fill="F2F2F2"/>
            <w:vAlign w:val="center"/>
          </w:tcPr>
          <w:p w14:paraId="61392773" w14:textId="1900C245"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غموض التكامل</w:t>
            </w:r>
          </w:p>
        </w:tc>
        <w:tc>
          <w:tcPr>
            <w:tcW w:w="3338" w:type="dxa"/>
            <w:shd w:val="clear" w:color="auto" w:fill="F2F2F2"/>
            <w:vAlign w:val="center"/>
          </w:tcPr>
          <w:p w14:paraId="68AB61A8" w14:textId="4D4D147A"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استخدام مصطلح التكامل دون تحديد آلياته أو قوته</w:t>
            </w:r>
          </w:p>
        </w:tc>
        <w:tc>
          <w:tcPr>
            <w:tcW w:w="3691" w:type="dxa"/>
            <w:shd w:val="clear" w:color="auto" w:fill="F2F2F2"/>
            <w:vAlign w:val="center"/>
          </w:tcPr>
          <w:p w14:paraId="11CE660A" w14:textId="1B38333D"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 xml:space="preserve">دليل ترميز يميز الحضور </w:t>
            </w:r>
            <w:proofErr w:type="spellStart"/>
            <w:r w:rsidRPr="002324C7">
              <w:rPr>
                <w:rFonts w:asciiTheme="majorBidi" w:eastAsia="Noto Naskh Arabic" w:hAnsiTheme="majorBidi" w:cstheme="majorBidi"/>
                <w:rtl/>
              </w:rPr>
              <w:t>السياقي</w:t>
            </w:r>
            <w:proofErr w:type="spellEnd"/>
            <w:r w:rsidRPr="002324C7">
              <w:rPr>
                <w:rFonts w:asciiTheme="majorBidi" w:eastAsia="Noto Naskh Arabic" w:hAnsiTheme="majorBidi" w:cstheme="majorBidi"/>
                <w:rtl/>
              </w:rPr>
              <w:t xml:space="preserve"> والتكامل الصريح والمتعدد</w:t>
            </w:r>
          </w:p>
        </w:tc>
      </w:tr>
      <w:tr w:rsidR="002324C7" w:rsidRPr="00717CBF" w14:paraId="09E1BBCB" w14:textId="77777777" w:rsidTr="002324C7">
        <w:trPr>
          <w:jc w:val="center"/>
        </w:trPr>
        <w:tc>
          <w:tcPr>
            <w:tcW w:w="2032" w:type="dxa"/>
            <w:vAlign w:val="center"/>
          </w:tcPr>
          <w:p w14:paraId="04B1181C" w14:textId="1D2F3D93"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تشتت الأدوار ودورة الحياة</w:t>
            </w:r>
          </w:p>
        </w:tc>
        <w:tc>
          <w:tcPr>
            <w:tcW w:w="3338" w:type="dxa"/>
            <w:vAlign w:val="center"/>
          </w:tcPr>
          <w:p w14:paraId="18F6A36B" w14:textId="6D70AA6C"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قلة تحديد مسؤوليات مدير المشروع ومدير التغيير و</w:t>
            </w:r>
            <w:r w:rsidRPr="002324C7">
              <w:rPr>
                <w:rFonts w:asciiTheme="majorBidi" w:eastAsia="Noto Naskh Arabic" w:hAnsiTheme="majorBidi" w:cstheme="majorBidi"/>
              </w:rPr>
              <w:t>PMO</w:t>
            </w:r>
            <w:r w:rsidRPr="002324C7">
              <w:rPr>
                <w:rFonts w:asciiTheme="majorBidi" w:eastAsia="Noto Naskh Arabic" w:hAnsiTheme="majorBidi" w:cstheme="majorBidi"/>
                <w:rtl/>
              </w:rPr>
              <w:t xml:space="preserve"> ومالك الأعمال</w:t>
            </w:r>
          </w:p>
        </w:tc>
        <w:tc>
          <w:tcPr>
            <w:tcW w:w="3691" w:type="dxa"/>
            <w:vAlign w:val="center"/>
          </w:tcPr>
          <w:p w14:paraId="48E81105" w14:textId="3916B98A"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تحليل الأدوار والواجهات والمواءمة الزمنية والانتقال إلى التشغيل</w:t>
            </w:r>
          </w:p>
        </w:tc>
      </w:tr>
      <w:tr w:rsidR="002324C7" w:rsidRPr="00717CBF" w14:paraId="307B195A" w14:textId="77777777" w:rsidTr="002324C7">
        <w:trPr>
          <w:jc w:val="center"/>
        </w:trPr>
        <w:tc>
          <w:tcPr>
            <w:tcW w:w="2032" w:type="dxa"/>
            <w:shd w:val="clear" w:color="auto" w:fill="F2F2F2"/>
            <w:vAlign w:val="center"/>
          </w:tcPr>
          <w:p w14:paraId="33EE1F75" w14:textId="120A004B"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فصل التسليم عن القيمة</w:t>
            </w:r>
          </w:p>
        </w:tc>
        <w:tc>
          <w:tcPr>
            <w:tcW w:w="3338" w:type="dxa"/>
            <w:shd w:val="clear" w:color="auto" w:fill="F2F2F2"/>
            <w:vAlign w:val="center"/>
          </w:tcPr>
          <w:p w14:paraId="513994A2" w14:textId="0F2BFA2A"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قياس النجاح فنيًا أو مقطعيًا</w:t>
            </w:r>
          </w:p>
        </w:tc>
        <w:tc>
          <w:tcPr>
            <w:tcW w:w="3691" w:type="dxa"/>
            <w:shd w:val="clear" w:color="auto" w:fill="F2F2F2"/>
            <w:vAlign w:val="center"/>
          </w:tcPr>
          <w:p w14:paraId="2907EF7B" w14:textId="28C5BA84"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ربط أداء المشروع بالتبني والمنافع والاستدامة</w:t>
            </w:r>
          </w:p>
        </w:tc>
      </w:tr>
      <w:tr w:rsidR="002324C7" w:rsidRPr="00717CBF" w14:paraId="40704B78" w14:textId="77777777" w:rsidTr="002324C7">
        <w:trPr>
          <w:jc w:val="center"/>
        </w:trPr>
        <w:tc>
          <w:tcPr>
            <w:tcW w:w="2032" w:type="dxa"/>
            <w:vAlign w:val="center"/>
          </w:tcPr>
          <w:p w14:paraId="7D885919" w14:textId="0E15CB9B"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فجوة الأدبيات العربية</w:t>
            </w:r>
          </w:p>
        </w:tc>
        <w:tc>
          <w:tcPr>
            <w:tcW w:w="3338" w:type="dxa"/>
            <w:vAlign w:val="center"/>
          </w:tcPr>
          <w:p w14:paraId="72CF1841" w14:textId="6A77E920"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تركيز على العوامل البشرية دون حوكمة مشروع متكاملة</w:t>
            </w:r>
          </w:p>
        </w:tc>
        <w:tc>
          <w:tcPr>
            <w:tcW w:w="3691" w:type="dxa"/>
            <w:vAlign w:val="center"/>
          </w:tcPr>
          <w:p w14:paraId="0DE25F57" w14:textId="07C5AB29"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مقارنة لغوية ونقدية وبناء إطار قابل للتكييف مع السياق العربي</w:t>
            </w:r>
          </w:p>
        </w:tc>
      </w:tr>
      <w:tr w:rsidR="002324C7" w:rsidRPr="00717CBF" w14:paraId="5A60F2EE" w14:textId="77777777" w:rsidTr="002324C7">
        <w:trPr>
          <w:jc w:val="center"/>
        </w:trPr>
        <w:tc>
          <w:tcPr>
            <w:tcW w:w="2032" w:type="dxa"/>
            <w:shd w:val="clear" w:color="auto" w:fill="F2F2F2"/>
            <w:vAlign w:val="center"/>
          </w:tcPr>
          <w:p w14:paraId="2F0C23A5" w14:textId="5D13B68F"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ضعف اختبار الأطر</w:t>
            </w:r>
          </w:p>
        </w:tc>
        <w:tc>
          <w:tcPr>
            <w:tcW w:w="3338" w:type="dxa"/>
            <w:shd w:val="clear" w:color="auto" w:fill="F2F2F2"/>
            <w:vAlign w:val="center"/>
          </w:tcPr>
          <w:p w14:paraId="7FC03DBD" w14:textId="7BFD65A7"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نماذج مفاهيمية محدودة التحقق</w:t>
            </w:r>
          </w:p>
        </w:tc>
        <w:tc>
          <w:tcPr>
            <w:tcW w:w="3691" w:type="dxa"/>
            <w:shd w:val="clear" w:color="auto" w:fill="F2F2F2"/>
            <w:vAlign w:val="center"/>
          </w:tcPr>
          <w:p w14:paraId="0D0D82D6" w14:textId="62095E8E" w:rsidR="002324C7" w:rsidRPr="002324C7" w:rsidRDefault="002324C7" w:rsidP="00E92072">
            <w:pPr>
              <w:spacing w:after="0" w:line="240" w:lineRule="auto"/>
              <w:jc w:val="center"/>
              <w:rPr>
                <w:rFonts w:asciiTheme="majorBidi" w:hAnsiTheme="majorBidi" w:cstheme="majorBidi"/>
              </w:rPr>
            </w:pPr>
            <w:r w:rsidRPr="002324C7">
              <w:rPr>
                <w:rFonts w:asciiTheme="majorBidi" w:eastAsia="Noto Naskh Arabic" w:hAnsiTheme="majorBidi" w:cstheme="majorBidi"/>
                <w:rtl/>
              </w:rPr>
              <w:t>تقديم إطار مستند إلى توليف الأدلة مع بيان الحاجة إلى اختبار ميداني لاحق</w:t>
            </w:r>
          </w:p>
        </w:tc>
      </w:tr>
    </w:tbl>
    <w:p w14:paraId="461571C6" w14:textId="76D57D80" w:rsidR="0086030F" w:rsidRPr="00717CBF" w:rsidRDefault="002324C7" w:rsidP="00717CBF">
      <w:pPr>
        <w:pStyle w:val="af5"/>
      </w:pPr>
      <w:r w:rsidRPr="002324C7">
        <w:rPr>
          <w:rFonts w:eastAsia="Noto Naskh Arabic"/>
          <w:rtl/>
        </w:rPr>
        <w:t>تتميز الدراسة الحالية بأنها لا تعامل وجود إدارة التغيير وإدارة المشاريع في الدراسة نفسها بوصفه تكاملًا تلقائيًا، بل تبحث عن آلية ربط موثقة. كما تفصل بين انتشار الموضوع وقوة الدليل، وتراعي اللغة والجودة ونوع التصميم، وتستخدم نتائج التحليل لبناء إطار متعدد الطبقات والمراحل بدل تقديم قائمة عامة لعوامل النجاح.</w:t>
      </w:r>
    </w:p>
    <w:p w14:paraId="3FBA9671" w14:textId="3F65305B" w:rsidR="0086030F" w:rsidRDefault="0086030F" w:rsidP="003C5B11">
      <w:pPr>
        <w:pStyle w:val="2"/>
      </w:pPr>
      <w:bookmarkStart w:id="58" w:name="_Toc235073637"/>
      <w:r>
        <w:rPr>
          <w:rtl/>
        </w:rPr>
        <w:lastRenderedPageBreak/>
        <w:t>البنية المفاهيمية الموجهة للتحليل</w:t>
      </w:r>
      <w:bookmarkEnd w:id="58"/>
    </w:p>
    <w:p w14:paraId="0DD0AA9F" w14:textId="2868A95E" w:rsidR="002324C7" w:rsidRPr="002324C7" w:rsidRDefault="002324C7" w:rsidP="002324C7">
      <w:pPr>
        <w:pStyle w:val="af5"/>
        <w:rPr>
          <w:rFonts w:eastAsia="Noto Naskh Arabic"/>
          <w:rtl/>
        </w:rPr>
      </w:pPr>
      <w:r w:rsidRPr="002324C7">
        <w:rPr>
          <w:rFonts w:eastAsia="Noto Naskh Arabic"/>
          <w:rtl/>
        </w:rPr>
        <w:t xml:space="preserve">في ضوء الإطار النظري والدراسات السابقة، وُجه التحليل نحو </w:t>
      </w:r>
      <w:r w:rsidRPr="002324C7">
        <w:rPr>
          <w:rFonts w:eastAsia="Noto Naskh Arabic" w:hint="cs"/>
          <w:rtl/>
        </w:rPr>
        <w:t>ثلاث</w:t>
      </w:r>
      <w:r w:rsidRPr="002324C7">
        <w:rPr>
          <w:rFonts w:eastAsia="Noto Naskh Arabic"/>
          <w:rtl/>
        </w:rPr>
        <w:t xml:space="preserve"> مجالات: ممارسات إدارة التغيير، وممارسات إدارة المشاريع، وآليات الواجهة بينهما. وشملت إدارة التغيير القيادة والثقافة والمقاومة والتواصل والمشاركة والجاهزية والقدرات. وشملت إدارة المشاريع الحوكمة والمحفظة والتخطيط والمنهجيات التكيفية والمخاطر والمنافع والأداء. أما الواجهة فشملت الأدوار ودورة الحياة والقرارات المشتركة والأطر والأدوات والانتقال إلى التشغيل.</w:t>
      </w:r>
    </w:p>
    <w:p w14:paraId="13227F32" w14:textId="192E4FAF" w:rsidR="0086030F" w:rsidRPr="00717CBF" w:rsidRDefault="002324C7" w:rsidP="002324C7">
      <w:pPr>
        <w:pStyle w:val="af5"/>
      </w:pPr>
      <w:r w:rsidRPr="002324C7">
        <w:rPr>
          <w:rFonts w:eastAsia="Noto Naskh Arabic"/>
          <w:rtl/>
        </w:rPr>
        <w:t>تمثل هذه البنية مفاهيم حساسة توجه قراءة الدراسات، وليست نتائج مفروضة مسبقًا أو الإطار النهائي للدراسة. فقد سمحت المنهجية بتعديل الرموز وفصل المفاهيم وإضافة ما يظهر من الأدلة، ثم جرى تقديم الموضوعات النهائية والإطار المقترح في الفصول اللاحقة.</w:t>
      </w:r>
    </w:p>
    <w:p w14:paraId="2D765B89" w14:textId="513145D4" w:rsidR="0086030F" w:rsidRDefault="0086030F" w:rsidP="003C5B11">
      <w:pPr>
        <w:pStyle w:val="2"/>
      </w:pPr>
      <w:bookmarkStart w:id="59" w:name="_Toc235073638"/>
      <w:r>
        <w:rPr>
          <w:rtl/>
        </w:rPr>
        <w:t>خلاصة الفصل</w:t>
      </w:r>
      <w:bookmarkEnd w:id="59"/>
    </w:p>
    <w:p w14:paraId="73D025C9" w14:textId="77777777" w:rsidR="002324C7" w:rsidRPr="002324C7" w:rsidRDefault="002324C7" w:rsidP="002324C7">
      <w:pPr>
        <w:pStyle w:val="af5"/>
        <w:rPr>
          <w:rFonts w:eastAsia="Noto Naskh Arabic"/>
          <w:rtl/>
        </w:rPr>
      </w:pPr>
      <w:r w:rsidRPr="002324C7">
        <w:rPr>
          <w:rFonts w:eastAsia="Noto Naskh Arabic"/>
          <w:rtl/>
        </w:rPr>
        <w:t>خلص الفصل إلى أن مشاريع التحول الرقمي تجمع بين طبيعة المشروع المؤقتة وطبيعة التغيير التنظيمي المستمرة. وتوفر إدارة المشاريع الحوكمة والتخطيط والمخاطر والتكيف وإدارة القيمة، بينما توفر إدارة التغيير القيادة الثقافية والمشاركة والجاهزية والقدرات والتبني. ويصبح التكامل ضروريًا عند نقاط الأدوار والقرار ودورة الحياة والانتقال والمنافع.</w:t>
      </w:r>
    </w:p>
    <w:p w14:paraId="5FE42394" w14:textId="1346929F" w:rsidR="0086030F" w:rsidRPr="00717CBF" w:rsidRDefault="002324C7" w:rsidP="002324C7">
      <w:pPr>
        <w:pStyle w:val="af5"/>
      </w:pPr>
      <w:r w:rsidRPr="002324C7">
        <w:rPr>
          <w:rFonts w:eastAsia="Noto Naskh Arabic"/>
          <w:rtl/>
        </w:rPr>
        <w:t>كما أظهرت مراجعة الدراسات السابقة وجود تراكم مهم لكنه متجزئ، وتفاوتًا في وحدات التحليل والتصميمات ومعايير النجاح، وفجوة أوضح في الأدبيات العربية المتعلقة بالحوكمة والأدوار ودورة الحياة. ومهدت هذه الخلاصة للفصل الثالث الذي يعرض إجراءات المراجعة المنهجية واستخراج البيانات والترميز والتحليل.</w:t>
      </w:r>
    </w:p>
    <w:p w14:paraId="24E7ABE9" w14:textId="77777777" w:rsidR="0086030F" w:rsidRPr="0086030F" w:rsidRDefault="0086030F" w:rsidP="0086030F"/>
    <w:p w14:paraId="034CD5BF" w14:textId="77777777" w:rsidR="0031620B" w:rsidRPr="0031620B" w:rsidRDefault="0031620B" w:rsidP="0031620B">
      <w:pPr>
        <w:bidi w:val="0"/>
        <w:jc w:val="center"/>
        <w:rPr>
          <w:rFonts w:asciiTheme="majorHAnsi" w:hAnsiTheme="majorHAnsi" w:cstheme="majorHAnsi"/>
          <w:sz w:val="28"/>
          <w:szCs w:val="28"/>
        </w:rPr>
      </w:pPr>
    </w:p>
    <w:sectPr w:rsidR="0031620B" w:rsidRPr="0031620B" w:rsidSect="00BD1315">
      <w:footerReference w:type="default" r:id="rId11"/>
      <w:pgSz w:w="11906" w:h="16838"/>
      <w:pgMar w:top="1134" w:right="1418"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A13AD" w14:textId="77777777" w:rsidR="002E27A6" w:rsidRDefault="002E27A6" w:rsidP="009125CE">
      <w:pPr>
        <w:spacing w:after="0" w:line="240" w:lineRule="auto"/>
      </w:pPr>
      <w:r>
        <w:separator/>
      </w:r>
    </w:p>
  </w:endnote>
  <w:endnote w:type="continuationSeparator" w:id="0">
    <w:p w14:paraId="6298B176" w14:textId="77777777" w:rsidR="002E27A6" w:rsidRDefault="002E27A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Naskh Arabic">
    <w:altName w:val="Cambria"/>
    <w:charset w:val="00"/>
    <w:family w:val="roman"/>
    <w:pitch w:val="variable"/>
  </w:font>
  <w:font w:name="Courier New">
    <w:panose1 w:val="02070309020205020404"/>
    <w:charset w:val="00"/>
    <w:family w:val="modern"/>
    <w:pitch w:val="fixed"/>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7D835" w14:textId="2B924FD3" w:rsidR="0031620B" w:rsidRDefault="0031620B">
    <w:pPr>
      <w:pStyle w:val="a5"/>
      <w:jc w:val="center"/>
    </w:pPr>
  </w:p>
  <w:p w14:paraId="1CDE2161" w14:textId="77777777" w:rsidR="0031620B" w:rsidRPr="00997E95" w:rsidRDefault="0031620B" w:rsidP="00997E9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EA8C8" w14:textId="77777777" w:rsidR="002E27A6" w:rsidRDefault="002E27A6" w:rsidP="009125CE">
      <w:pPr>
        <w:spacing w:after="0" w:line="240" w:lineRule="auto"/>
      </w:pPr>
      <w:r>
        <w:separator/>
      </w:r>
    </w:p>
  </w:footnote>
  <w:footnote w:type="continuationSeparator" w:id="0">
    <w:p w14:paraId="11AE1002" w14:textId="77777777" w:rsidR="002E27A6" w:rsidRDefault="002E27A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AA22B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AE33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EC429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3DA68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080142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C28F72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A684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01C00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E0EE1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0B6E96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CB170D"/>
    <w:multiLevelType w:val="hybridMultilevel"/>
    <w:tmpl w:val="B8621862"/>
    <w:lvl w:ilvl="0" w:tplc="04090005">
      <w:start w:val="1"/>
      <w:numFmt w:val="bullet"/>
      <w:lvlText w:val=""/>
      <w:lvlJc w:val="left"/>
      <w:pPr>
        <w:ind w:left="644" w:hanging="360"/>
      </w:pPr>
      <w:rPr>
        <w:rFonts w:ascii="Wingdings" w:hAnsi="Wingdings" w:hint="default"/>
      </w:rPr>
    </w:lvl>
    <w:lvl w:ilvl="1" w:tplc="C700EEE4">
      <w:numFmt w:val="bullet"/>
      <w:lvlText w:val="•"/>
      <w:lvlJc w:val="left"/>
      <w:pPr>
        <w:ind w:left="1364" w:hanging="360"/>
      </w:pPr>
      <w:rPr>
        <w:rFonts w:ascii="Noto Naskh Arabic" w:eastAsia="Noto Naskh Arabic" w:hAnsi="Noto Naskh Arabic" w:cs="Noto Naskh Arabic"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1" w15:restartNumberingAfterBreak="0">
    <w:nsid w:val="0C2A699C"/>
    <w:multiLevelType w:val="multilevel"/>
    <w:tmpl w:val="213C6728"/>
    <w:lvl w:ilvl="0">
      <w:start w:val="1"/>
      <w:numFmt w:val="decimal"/>
      <w:pStyle w:val="1"/>
      <w:lvlText w:val="%1"/>
      <w:lvlJc w:val="left"/>
      <w:pPr>
        <w:ind w:left="432" w:hanging="432"/>
      </w:pPr>
      <w:rPr>
        <w:rFonts w:hint="default"/>
        <w:color w:val="FFFFFF" w:themeColor="background1"/>
      </w:rPr>
    </w:lvl>
    <w:lvl w:ilvl="1">
      <w:start w:val="1"/>
      <w:numFmt w:val="decimal"/>
      <w:pStyle w:val="2"/>
      <w:suff w:val="space"/>
      <w:lvlText w:val="%1.%2"/>
      <w:lvlJc w:val="left"/>
      <w:pPr>
        <w:ind w:left="576" w:hanging="576"/>
      </w:pPr>
      <w:rPr>
        <w:rFonts w:hint="default"/>
      </w:rPr>
    </w:lvl>
    <w:lvl w:ilvl="2">
      <w:start w:val="1"/>
      <w:numFmt w:val="decimal"/>
      <w:pStyle w:val="3"/>
      <w:suff w:val="space"/>
      <w:lvlText w:val="%1.%2.%3"/>
      <w:lvlJc w:val="left"/>
      <w:pPr>
        <w:ind w:left="720" w:hanging="720"/>
      </w:pPr>
      <w:rPr>
        <w:rFonts w:hint="default"/>
      </w:rPr>
    </w:lvl>
    <w:lvl w:ilvl="3">
      <w:start w:val="1"/>
      <w:numFmt w:val="decimal"/>
      <w:pStyle w:val="4"/>
      <w:suff w:val="space"/>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12" w15:restartNumberingAfterBreak="0">
    <w:nsid w:val="18094E8B"/>
    <w:multiLevelType w:val="hybridMultilevel"/>
    <w:tmpl w:val="34DA13C8"/>
    <w:lvl w:ilvl="0" w:tplc="2EB2B1EA">
      <w:start w:val="1"/>
      <w:numFmt w:val="decimal"/>
      <w:pStyle w:val="-16"/>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B149EE"/>
    <w:multiLevelType w:val="multilevel"/>
    <w:tmpl w:val="4226310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6"/>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464672"/>
    <w:multiLevelType w:val="multilevel"/>
    <w:tmpl w:val="5C827828"/>
    <w:lvl w:ilvl="0">
      <w:start w:val="2"/>
      <w:numFmt w:val="decimal"/>
      <w:lvlText w:val="%1"/>
      <w:lvlJc w:val="left"/>
      <w:pPr>
        <w:ind w:left="432" w:hanging="432"/>
      </w:pPr>
      <w:rPr>
        <w:rFonts w:hint="default"/>
        <w:color w:val="FFFFFF" w:themeColor="background1"/>
      </w:rPr>
    </w:lvl>
    <w:lvl w:ilvl="1">
      <w:start w:val="1"/>
      <w:numFmt w:val="decimal"/>
      <w:lvlText w:val="%1.%2"/>
      <w:lvlJc w:val="left"/>
      <w:pPr>
        <w:ind w:left="576" w:hanging="576"/>
      </w:pPr>
      <w:rPr>
        <w:rFonts w:hint="default"/>
        <w:lang w:val="en-US"/>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27657A34"/>
    <w:multiLevelType w:val="hybridMultilevel"/>
    <w:tmpl w:val="CAFCA4CA"/>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6" w15:restartNumberingAfterBreak="0">
    <w:nsid w:val="31350A18"/>
    <w:multiLevelType w:val="hybridMultilevel"/>
    <w:tmpl w:val="D030698C"/>
    <w:lvl w:ilvl="0" w:tplc="04090005">
      <w:start w:val="1"/>
      <w:numFmt w:val="bullet"/>
      <w:lvlText w:val=""/>
      <w:lvlJc w:val="left"/>
      <w:pPr>
        <w:ind w:left="644" w:hanging="360"/>
      </w:pPr>
      <w:rPr>
        <w:rFonts w:ascii="Wingdings" w:hAnsi="Wingding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num w:numId="1" w16cid:durableId="1323579552">
    <w:abstractNumId w:val="13"/>
  </w:num>
  <w:num w:numId="2" w16cid:durableId="1219122769">
    <w:abstractNumId w:val="14"/>
  </w:num>
  <w:num w:numId="3" w16cid:durableId="133656681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0604362">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7353947">
    <w:abstractNumId w:val="11"/>
  </w:num>
  <w:num w:numId="6" w16cid:durableId="1865241857">
    <w:abstractNumId w:val="1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6158598">
    <w:abstractNumId w:val="12"/>
  </w:num>
  <w:num w:numId="8" w16cid:durableId="483279424">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71842083">
    <w:abstractNumId w:val="16"/>
  </w:num>
  <w:num w:numId="10" w16cid:durableId="1657566862">
    <w:abstractNumId w:val="15"/>
  </w:num>
  <w:num w:numId="11" w16cid:durableId="38167994">
    <w:abstractNumId w:val="10"/>
  </w:num>
  <w:num w:numId="12" w16cid:durableId="1914122589">
    <w:abstractNumId w:val="8"/>
  </w:num>
  <w:num w:numId="13" w16cid:durableId="935988214">
    <w:abstractNumId w:val="3"/>
  </w:num>
  <w:num w:numId="14" w16cid:durableId="1100950308">
    <w:abstractNumId w:val="2"/>
  </w:num>
  <w:num w:numId="15" w16cid:durableId="811560697">
    <w:abstractNumId w:val="1"/>
  </w:num>
  <w:num w:numId="16" w16cid:durableId="2003465411">
    <w:abstractNumId w:val="0"/>
  </w:num>
  <w:num w:numId="17" w16cid:durableId="697585080">
    <w:abstractNumId w:val="9"/>
  </w:num>
  <w:num w:numId="18" w16cid:durableId="495075939">
    <w:abstractNumId w:val="7"/>
  </w:num>
  <w:num w:numId="19" w16cid:durableId="1224634896">
    <w:abstractNumId w:val="6"/>
  </w:num>
  <w:num w:numId="20" w16cid:durableId="2118282028">
    <w:abstractNumId w:val="5"/>
  </w:num>
  <w:num w:numId="21" w16cid:durableId="883909425">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DFB"/>
    <w:rsid w:val="00004D36"/>
    <w:rsid w:val="00032711"/>
    <w:rsid w:val="0004712B"/>
    <w:rsid w:val="0005233B"/>
    <w:rsid w:val="00071647"/>
    <w:rsid w:val="00074EDE"/>
    <w:rsid w:val="00077169"/>
    <w:rsid w:val="00082D9D"/>
    <w:rsid w:val="0009288E"/>
    <w:rsid w:val="000A59A9"/>
    <w:rsid w:val="000A59AB"/>
    <w:rsid w:val="000A6D5F"/>
    <w:rsid w:val="000B1AC8"/>
    <w:rsid w:val="000C3F22"/>
    <w:rsid w:val="000D44FD"/>
    <w:rsid w:val="000E5A4C"/>
    <w:rsid w:val="000E5AD5"/>
    <w:rsid w:val="000F44B4"/>
    <w:rsid w:val="001031AC"/>
    <w:rsid w:val="00113EFF"/>
    <w:rsid w:val="001218A6"/>
    <w:rsid w:val="001300A5"/>
    <w:rsid w:val="001353E4"/>
    <w:rsid w:val="001377D8"/>
    <w:rsid w:val="00140153"/>
    <w:rsid w:val="00140399"/>
    <w:rsid w:val="00144A05"/>
    <w:rsid w:val="00147924"/>
    <w:rsid w:val="00156CE4"/>
    <w:rsid w:val="001631AC"/>
    <w:rsid w:val="001650A2"/>
    <w:rsid w:val="00173105"/>
    <w:rsid w:val="0017673F"/>
    <w:rsid w:val="0018056C"/>
    <w:rsid w:val="001811F5"/>
    <w:rsid w:val="00181FFB"/>
    <w:rsid w:val="001902DB"/>
    <w:rsid w:val="00191923"/>
    <w:rsid w:val="001933A6"/>
    <w:rsid w:val="001942CC"/>
    <w:rsid w:val="001A7362"/>
    <w:rsid w:val="001B036D"/>
    <w:rsid w:val="001B20FA"/>
    <w:rsid w:val="001C10A6"/>
    <w:rsid w:val="001C1324"/>
    <w:rsid w:val="001C2162"/>
    <w:rsid w:val="001C5311"/>
    <w:rsid w:val="001D1705"/>
    <w:rsid w:val="001D66B9"/>
    <w:rsid w:val="001D7BFC"/>
    <w:rsid w:val="001E6491"/>
    <w:rsid w:val="001F4BCC"/>
    <w:rsid w:val="00206037"/>
    <w:rsid w:val="0021120C"/>
    <w:rsid w:val="0021550F"/>
    <w:rsid w:val="00222D77"/>
    <w:rsid w:val="002324C7"/>
    <w:rsid w:val="00234711"/>
    <w:rsid w:val="00235CE0"/>
    <w:rsid w:val="002405E9"/>
    <w:rsid w:val="00243478"/>
    <w:rsid w:val="0025227E"/>
    <w:rsid w:val="00264A40"/>
    <w:rsid w:val="00272E28"/>
    <w:rsid w:val="00274087"/>
    <w:rsid w:val="0027456F"/>
    <w:rsid w:val="0029033B"/>
    <w:rsid w:val="002935E6"/>
    <w:rsid w:val="002939FC"/>
    <w:rsid w:val="002A05B8"/>
    <w:rsid w:val="002A1485"/>
    <w:rsid w:val="002A20D3"/>
    <w:rsid w:val="002A3989"/>
    <w:rsid w:val="002B3521"/>
    <w:rsid w:val="002B5598"/>
    <w:rsid w:val="002B67D8"/>
    <w:rsid w:val="002B7F3F"/>
    <w:rsid w:val="002C0ACE"/>
    <w:rsid w:val="002C7482"/>
    <w:rsid w:val="002D1C72"/>
    <w:rsid w:val="002D6FD8"/>
    <w:rsid w:val="002E27A6"/>
    <w:rsid w:val="002E3282"/>
    <w:rsid w:val="002F165E"/>
    <w:rsid w:val="00304414"/>
    <w:rsid w:val="00310E6E"/>
    <w:rsid w:val="0031620B"/>
    <w:rsid w:val="00331F23"/>
    <w:rsid w:val="00333299"/>
    <w:rsid w:val="003336E3"/>
    <w:rsid w:val="003423C0"/>
    <w:rsid w:val="00345323"/>
    <w:rsid w:val="00352C40"/>
    <w:rsid w:val="00357CA2"/>
    <w:rsid w:val="00361C32"/>
    <w:rsid w:val="00362A81"/>
    <w:rsid w:val="00375139"/>
    <w:rsid w:val="00383389"/>
    <w:rsid w:val="003833DF"/>
    <w:rsid w:val="00384F79"/>
    <w:rsid w:val="00386BB2"/>
    <w:rsid w:val="00392890"/>
    <w:rsid w:val="003936EC"/>
    <w:rsid w:val="003A1BD5"/>
    <w:rsid w:val="003A1F0D"/>
    <w:rsid w:val="003A3ED5"/>
    <w:rsid w:val="003B39E4"/>
    <w:rsid w:val="003B63F9"/>
    <w:rsid w:val="003C02EF"/>
    <w:rsid w:val="003C0F84"/>
    <w:rsid w:val="003C4268"/>
    <w:rsid w:val="003C5B11"/>
    <w:rsid w:val="003D7F27"/>
    <w:rsid w:val="003E151C"/>
    <w:rsid w:val="003E5B11"/>
    <w:rsid w:val="003E651E"/>
    <w:rsid w:val="003F1171"/>
    <w:rsid w:val="00410BBC"/>
    <w:rsid w:val="00412346"/>
    <w:rsid w:val="0041309B"/>
    <w:rsid w:val="00420A85"/>
    <w:rsid w:val="00420DA4"/>
    <w:rsid w:val="00426CB3"/>
    <w:rsid w:val="00452488"/>
    <w:rsid w:val="0045538E"/>
    <w:rsid w:val="00460758"/>
    <w:rsid w:val="00470026"/>
    <w:rsid w:val="004704D9"/>
    <w:rsid w:val="00470942"/>
    <w:rsid w:val="004746F6"/>
    <w:rsid w:val="004829DE"/>
    <w:rsid w:val="004A3810"/>
    <w:rsid w:val="004A53D6"/>
    <w:rsid w:val="004B4104"/>
    <w:rsid w:val="004B4587"/>
    <w:rsid w:val="004B66F6"/>
    <w:rsid w:val="004D060C"/>
    <w:rsid w:val="004D25DD"/>
    <w:rsid w:val="004E11EA"/>
    <w:rsid w:val="004E3279"/>
    <w:rsid w:val="004E3C5A"/>
    <w:rsid w:val="004E7F7A"/>
    <w:rsid w:val="004F412D"/>
    <w:rsid w:val="004F6C3B"/>
    <w:rsid w:val="00510874"/>
    <w:rsid w:val="00512F12"/>
    <w:rsid w:val="005141F7"/>
    <w:rsid w:val="00516098"/>
    <w:rsid w:val="0054380D"/>
    <w:rsid w:val="0054578C"/>
    <w:rsid w:val="00556A8F"/>
    <w:rsid w:val="00562E74"/>
    <w:rsid w:val="00566763"/>
    <w:rsid w:val="00567121"/>
    <w:rsid w:val="0057064F"/>
    <w:rsid w:val="00583162"/>
    <w:rsid w:val="00586C3C"/>
    <w:rsid w:val="00590B27"/>
    <w:rsid w:val="0059632A"/>
    <w:rsid w:val="005A10E6"/>
    <w:rsid w:val="005A172F"/>
    <w:rsid w:val="005B7A8D"/>
    <w:rsid w:val="005C2202"/>
    <w:rsid w:val="005C2648"/>
    <w:rsid w:val="005C3206"/>
    <w:rsid w:val="005E1C7F"/>
    <w:rsid w:val="005E22D0"/>
    <w:rsid w:val="00603B41"/>
    <w:rsid w:val="00610BCE"/>
    <w:rsid w:val="00614C06"/>
    <w:rsid w:val="006178A3"/>
    <w:rsid w:val="00620EA4"/>
    <w:rsid w:val="00622662"/>
    <w:rsid w:val="006266E6"/>
    <w:rsid w:val="0062761F"/>
    <w:rsid w:val="00627BC3"/>
    <w:rsid w:val="0063207A"/>
    <w:rsid w:val="0063569F"/>
    <w:rsid w:val="00646B9A"/>
    <w:rsid w:val="00664ECA"/>
    <w:rsid w:val="006671BE"/>
    <w:rsid w:val="006702E8"/>
    <w:rsid w:val="006768AB"/>
    <w:rsid w:val="006873DD"/>
    <w:rsid w:val="006948DE"/>
    <w:rsid w:val="0069607A"/>
    <w:rsid w:val="006A1324"/>
    <w:rsid w:val="006A2604"/>
    <w:rsid w:val="006C4090"/>
    <w:rsid w:val="006C6C94"/>
    <w:rsid w:val="006D63EB"/>
    <w:rsid w:val="006E296A"/>
    <w:rsid w:val="00703702"/>
    <w:rsid w:val="00706024"/>
    <w:rsid w:val="00710B07"/>
    <w:rsid w:val="00717CBF"/>
    <w:rsid w:val="00720CE7"/>
    <w:rsid w:val="007265AB"/>
    <w:rsid w:val="007304DC"/>
    <w:rsid w:val="00731B89"/>
    <w:rsid w:val="00731C19"/>
    <w:rsid w:val="0073699B"/>
    <w:rsid w:val="00740EC5"/>
    <w:rsid w:val="00743EC9"/>
    <w:rsid w:val="0075157D"/>
    <w:rsid w:val="0076032D"/>
    <w:rsid w:val="00761227"/>
    <w:rsid w:val="00763FCB"/>
    <w:rsid w:val="007665D4"/>
    <w:rsid w:val="00773913"/>
    <w:rsid w:val="00774351"/>
    <w:rsid w:val="00780ABE"/>
    <w:rsid w:val="00783A24"/>
    <w:rsid w:val="007A2594"/>
    <w:rsid w:val="007A4B9E"/>
    <w:rsid w:val="007B0CA5"/>
    <w:rsid w:val="007B0E54"/>
    <w:rsid w:val="007C0097"/>
    <w:rsid w:val="007C11F7"/>
    <w:rsid w:val="007C260C"/>
    <w:rsid w:val="007D742C"/>
    <w:rsid w:val="007E18B9"/>
    <w:rsid w:val="007E3A20"/>
    <w:rsid w:val="007F54D0"/>
    <w:rsid w:val="007F5DD3"/>
    <w:rsid w:val="0080266C"/>
    <w:rsid w:val="008032DE"/>
    <w:rsid w:val="0080524F"/>
    <w:rsid w:val="00812A73"/>
    <w:rsid w:val="00812BE7"/>
    <w:rsid w:val="00814CF6"/>
    <w:rsid w:val="00821379"/>
    <w:rsid w:val="00826AFC"/>
    <w:rsid w:val="008274E7"/>
    <w:rsid w:val="0085187B"/>
    <w:rsid w:val="00854C70"/>
    <w:rsid w:val="0086030F"/>
    <w:rsid w:val="00865BD7"/>
    <w:rsid w:val="0087751C"/>
    <w:rsid w:val="00877AAC"/>
    <w:rsid w:val="008815E7"/>
    <w:rsid w:val="00881BDA"/>
    <w:rsid w:val="00882504"/>
    <w:rsid w:val="00884E4E"/>
    <w:rsid w:val="00890585"/>
    <w:rsid w:val="00895900"/>
    <w:rsid w:val="008A0EFD"/>
    <w:rsid w:val="008A4214"/>
    <w:rsid w:val="008B042B"/>
    <w:rsid w:val="008B119B"/>
    <w:rsid w:val="008B51C9"/>
    <w:rsid w:val="008B77CD"/>
    <w:rsid w:val="008C2088"/>
    <w:rsid w:val="008D4E6D"/>
    <w:rsid w:val="008E1D2C"/>
    <w:rsid w:val="008E5445"/>
    <w:rsid w:val="008E7D3F"/>
    <w:rsid w:val="008F1EAE"/>
    <w:rsid w:val="008F1F45"/>
    <w:rsid w:val="00911B79"/>
    <w:rsid w:val="009125CE"/>
    <w:rsid w:val="00923DE5"/>
    <w:rsid w:val="009255D9"/>
    <w:rsid w:val="009266FA"/>
    <w:rsid w:val="00932568"/>
    <w:rsid w:val="00943590"/>
    <w:rsid w:val="0095214A"/>
    <w:rsid w:val="00955738"/>
    <w:rsid w:val="00964535"/>
    <w:rsid w:val="00971C79"/>
    <w:rsid w:val="00980F83"/>
    <w:rsid w:val="00984113"/>
    <w:rsid w:val="00994645"/>
    <w:rsid w:val="00996B4A"/>
    <w:rsid w:val="00997E95"/>
    <w:rsid w:val="009A0F33"/>
    <w:rsid w:val="009A29E5"/>
    <w:rsid w:val="009A2C7F"/>
    <w:rsid w:val="009A7718"/>
    <w:rsid w:val="009B16B6"/>
    <w:rsid w:val="009B2729"/>
    <w:rsid w:val="009B6888"/>
    <w:rsid w:val="009B7625"/>
    <w:rsid w:val="009B7ACC"/>
    <w:rsid w:val="009C0161"/>
    <w:rsid w:val="009C1869"/>
    <w:rsid w:val="009C32B6"/>
    <w:rsid w:val="009C772C"/>
    <w:rsid w:val="009D108D"/>
    <w:rsid w:val="009D6652"/>
    <w:rsid w:val="009D7793"/>
    <w:rsid w:val="009E1436"/>
    <w:rsid w:val="009E5668"/>
    <w:rsid w:val="00A01946"/>
    <w:rsid w:val="00A118E4"/>
    <w:rsid w:val="00A122F3"/>
    <w:rsid w:val="00A12C7D"/>
    <w:rsid w:val="00A204D7"/>
    <w:rsid w:val="00A30D59"/>
    <w:rsid w:val="00A3159D"/>
    <w:rsid w:val="00A3338B"/>
    <w:rsid w:val="00A338BB"/>
    <w:rsid w:val="00A404AA"/>
    <w:rsid w:val="00A44615"/>
    <w:rsid w:val="00A44D70"/>
    <w:rsid w:val="00A62CC3"/>
    <w:rsid w:val="00A67CEA"/>
    <w:rsid w:val="00A71407"/>
    <w:rsid w:val="00A747BE"/>
    <w:rsid w:val="00A74F76"/>
    <w:rsid w:val="00A81850"/>
    <w:rsid w:val="00A82462"/>
    <w:rsid w:val="00A85A42"/>
    <w:rsid w:val="00A86629"/>
    <w:rsid w:val="00AA2D22"/>
    <w:rsid w:val="00AA54A3"/>
    <w:rsid w:val="00AA74E9"/>
    <w:rsid w:val="00AA79E9"/>
    <w:rsid w:val="00AB0A70"/>
    <w:rsid w:val="00AB407B"/>
    <w:rsid w:val="00AB5E34"/>
    <w:rsid w:val="00AC49EA"/>
    <w:rsid w:val="00AD5702"/>
    <w:rsid w:val="00AE277A"/>
    <w:rsid w:val="00AE589A"/>
    <w:rsid w:val="00AE732A"/>
    <w:rsid w:val="00AF0A59"/>
    <w:rsid w:val="00AF2F08"/>
    <w:rsid w:val="00B028B5"/>
    <w:rsid w:val="00B11733"/>
    <w:rsid w:val="00B11F98"/>
    <w:rsid w:val="00B11FF1"/>
    <w:rsid w:val="00B15C83"/>
    <w:rsid w:val="00B21CA4"/>
    <w:rsid w:val="00B24E19"/>
    <w:rsid w:val="00B37CFE"/>
    <w:rsid w:val="00B53A39"/>
    <w:rsid w:val="00B55620"/>
    <w:rsid w:val="00B56BA3"/>
    <w:rsid w:val="00B63B0F"/>
    <w:rsid w:val="00B66A40"/>
    <w:rsid w:val="00B67637"/>
    <w:rsid w:val="00B73309"/>
    <w:rsid w:val="00B7678A"/>
    <w:rsid w:val="00B859DF"/>
    <w:rsid w:val="00B863F5"/>
    <w:rsid w:val="00B87CEC"/>
    <w:rsid w:val="00B95636"/>
    <w:rsid w:val="00B97084"/>
    <w:rsid w:val="00BA1347"/>
    <w:rsid w:val="00BB3FB2"/>
    <w:rsid w:val="00BB6C1D"/>
    <w:rsid w:val="00BC08D6"/>
    <w:rsid w:val="00BD1315"/>
    <w:rsid w:val="00BE32EA"/>
    <w:rsid w:val="00BE3C4F"/>
    <w:rsid w:val="00BE61D1"/>
    <w:rsid w:val="00BF0576"/>
    <w:rsid w:val="00BF5CD5"/>
    <w:rsid w:val="00C004D7"/>
    <w:rsid w:val="00C00EB6"/>
    <w:rsid w:val="00C02759"/>
    <w:rsid w:val="00C0294D"/>
    <w:rsid w:val="00C04D0B"/>
    <w:rsid w:val="00C063FD"/>
    <w:rsid w:val="00C2624F"/>
    <w:rsid w:val="00C2653F"/>
    <w:rsid w:val="00C32C95"/>
    <w:rsid w:val="00C360A0"/>
    <w:rsid w:val="00C36521"/>
    <w:rsid w:val="00C3775F"/>
    <w:rsid w:val="00C45573"/>
    <w:rsid w:val="00C52655"/>
    <w:rsid w:val="00C53C67"/>
    <w:rsid w:val="00C6790B"/>
    <w:rsid w:val="00C71E18"/>
    <w:rsid w:val="00C73F4D"/>
    <w:rsid w:val="00C7504F"/>
    <w:rsid w:val="00C77518"/>
    <w:rsid w:val="00C92836"/>
    <w:rsid w:val="00C93D76"/>
    <w:rsid w:val="00C944AA"/>
    <w:rsid w:val="00C96BF7"/>
    <w:rsid w:val="00CA50F4"/>
    <w:rsid w:val="00CA57FD"/>
    <w:rsid w:val="00CA6AAB"/>
    <w:rsid w:val="00CC1782"/>
    <w:rsid w:val="00CC2B8A"/>
    <w:rsid w:val="00CD2CB6"/>
    <w:rsid w:val="00CE094F"/>
    <w:rsid w:val="00CE660C"/>
    <w:rsid w:val="00CF09C3"/>
    <w:rsid w:val="00CF6E69"/>
    <w:rsid w:val="00D01D41"/>
    <w:rsid w:val="00D033F2"/>
    <w:rsid w:val="00D062D5"/>
    <w:rsid w:val="00D10AB3"/>
    <w:rsid w:val="00D11B18"/>
    <w:rsid w:val="00D2167E"/>
    <w:rsid w:val="00D21A4A"/>
    <w:rsid w:val="00D21C01"/>
    <w:rsid w:val="00D22171"/>
    <w:rsid w:val="00D34A6A"/>
    <w:rsid w:val="00D35ED4"/>
    <w:rsid w:val="00D371B3"/>
    <w:rsid w:val="00D37964"/>
    <w:rsid w:val="00D4129D"/>
    <w:rsid w:val="00D413BD"/>
    <w:rsid w:val="00D42FAF"/>
    <w:rsid w:val="00D4492E"/>
    <w:rsid w:val="00D44DC2"/>
    <w:rsid w:val="00D45700"/>
    <w:rsid w:val="00D461B1"/>
    <w:rsid w:val="00D5504D"/>
    <w:rsid w:val="00D61B54"/>
    <w:rsid w:val="00D65BF7"/>
    <w:rsid w:val="00D767E4"/>
    <w:rsid w:val="00D77BAE"/>
    <w:rsid w:val="00D96A6F"/>
    <w:rsid w:val="00DA3C9F"/>
    <w:rsid w:val="00DA60D1"/>
    <w:rsid w:val="00DC54C5"/>
    <w:rsid w:val="00DC78EE"/>
    <w:rsid w:val="00E1118B"/>
    <w:rsid w:val="00E12B83"/>
    <w:rsid w:val="00E13D65"/>
    <w:rsid w:val="00E15AF0"/>
    <w:rsid w:val="00E25817"/>
    <w:rsid w:val="00E318AE"/>
    <w:rsid w:val="00E34905"/>
    <w:rsid w:val="00E35D48"/>
    <w:rsid w:val="00E40873"/>
    <w:rsid w:val="00E46B6E"/>
    <w:rsid w:val="00E50C3F"/>
    <w:rsid w:val="00E556E1"/>
    <w:rsid w:val="00E7163D"/>
    <w:rsid w:val="00E71C79"/>
    <w:rsid w:val="00E71F08"/>
    <w:rsid w:val="00E80FD9"/>
    <w:rsid w:val="00E92072"/>
    <w:rsid w:val="00EA364D"/>
    <w:rsid w:val="00EA381E"/>
    <w:rsid w:val="00EA6B5D"/>
    <w:rsid w:val="00EA7CC5"/>
    <w:rsid w:val="00EB2419"/>
    <w:rsid w:val="00EB2644"/>
    <w:rsid w:val="00EB2D4F"/>
    <w:rsid w:val="00EB38EE"/>
    <w:rsid w:val="00EC09E7"/>
    <w:rsid w:val="00EC4F55"/>
    <w:rsid w:val="00EC6984"/>
    <w:rsid w:val="00ED1307"/>
    <w:rsid w:val="00ED44C8"/>
    <w:rsid w:val="00ED6A65"/>
    <w:rsid w:val="00EF1A6E"/>
    <w:rsid w:val="00EF2815"/>
    <w:rsid w:val="00EF7212"/>
    <w:rsid w:val="00F02FC0"/>
    <w:rsid w:val="00F06116"/>
    <w:rsid w:val="00F1080D"/>
    <w:rsid w:val="00F14631"/>
    <w:rsid w:val="00F15D95"/>
    <w:rsid w:val="00F212AB"/>
    <w:rsid w:val="00F21B17"/>
    <w:rsid w:val="00F23CC9"/>
    <w:rsid w:val="00F25A89"/>
    <w:rsid w:val="00F32142"/>
    <w:rsid w:val="00F373FC"/>
    <w:rsid w:val="00F42214"/>
    <w:rsid w:val="00F5317D"/>
    <w:rsid w:val="00F546CE"/>
    <w:rsid w:val="00F63B15"/>
    <w:rsid w:val="00F65BAB"/>
    <w:rsid w:val="00F76A97"/>
    <w:rsid w:val="00F77062"/>
    <w:rsid w:val="00F903B3"/>
    <w:rsid w:val="00F91D93"/>
    <w:rsid w:val="00FA02F4"/>
    <w:rsid w:val="00FA5785"/>
    <w:rsid w:val="00FC3E78"/>
    <w:rsid w:val="00FC5C85"/>
    <w:rsid w:val="00FD3548"/>
    <w:rsid w:val="00FF3A58"/>
    <w:rsid w:val="00FF49B3"/>
    <w:rsid w:val="00FF5460"/>
    <w:rsid w:val="00FF6FCB"/>
    <w:rsid w:val="00FF7C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1923"/>
  </w:style>
  <w:style w:type="paragraph" w:styleId="1">
    <w:name w:val="heading 1"/>
    <w:basedOn w:val="a0"/>
    <w:next w:val="a"/>
    <w:link w:val="1Char"/>
    <w:uiPriority w:val="9"/>
    <w:qFormat/>
    <w:rsid w:val="0025227E"/>
    <w:pPr>
      <w:numPr>
        <w:numId w:val="5"/>
      </w:numPr>
      <w:spacing w:after="360"/>
      <w:outlineLvl w:val="0"/>
    </w:pPr>
    <w:rPr>
      <w:sz w:val="40"/>
      <w:szCs w:val="40"/>
    </w:rPr>
  </w:style>
  <w:style w:type="paragraph" w:styleId="2">
    <w:name w:val="heading 2"/>
    <w:basedOn w:val="18"/>
    <w:next w:val="a"/>
    <w:link w:val="2Char"/>
    <w:uiPriority w:val="9"/>
    <w:unhideWhenUsed/>
    <w:qFormat/>
    <w:rsid w:val="003C5B11"/>
    <w:pPr>
      <w:numPr>
        <w:ilvl w:val="1"/>
        <w:numId w:val="5"/>
      </w:numPr>
      <w:spacing w:before="120" w:after="0"/>
      <w:outlineLvl w:val="1"/>
    </w:pPr>
    <w:rPr>
      <w:rFonts w:eastAsia="Noto Naskh Arabic"/>
      <w:color w:val="0083B8"/>
      <w:sz w:val="36"/>
      <w:szCs w:val="36"/>
    </w:rPr>
  </w:style>
  <w:style w:type="paragraph" w:styleId="3">
    <w:name w:val="heading 3"/>
    <w:basedOn w:val="16"/>
    <w:next w:val="a"/>
    <w:link w:val="3Char"/>
    <w:uiPriority w:val="9"/>
    <w:unhideWhenUsed/>
    <w:qFormat/>
    <w:rsid w:val="00F32142"/>
    <w:pPr>
      <w:numPr>
        <w:numId w:val="5"/>
      </w:numPr>
      <w:spacing w:before="120" w:after="0"/>
      <w:outlineLvl w:val="2"/>
    </w:pPr>
    <w:rPr>
      <w:rFonts w:asciiTheme="majorBidi" w:eastAsia="Noto Naskh Arabic" w:hAnsiTheme="majorBidi" w:cstheme="majorBidi"/>
      <w:sz w:val="32"/>
      <w:szCs w:val="32"/>
    </w:rPr>
  </w:style>
  <w:style w:type="paragraph" w:styleId="4">
    <w:name w:val="heading 4"/>
    <w:basedOn w:val="a"/>
    <w:next w:val="a"/>
    <w:link w:val="4Char"/>
    <w:uiPriority w:val="9"/>
    <w:unhideWhenUsed/>
    <w:qFormat/>
    <w:rsid w:val="00F32142"/>
    <w:pPr>
      <w:numPr>
        <w:ilvl w:val="3"/>
        <w:numId w:val="5"/>
      </w:numPr>
      <w:spacing w:before="100" w:beforeAutospacing="1" w:after="0" w:line="240" w:lineRule="auto"/>
      <w:outlineLvl w:val="3"/>
    </w:pPr>
    <w:rPr>
      <w:rFonts w:asciiTheme="majorBidi" w:eastAsia="Noto Naskh Arabic" w:hAnsiTheme="majorBidi" w:cstheme="majorBidi"/>
      <w:b/>
      <w:bCs/>
      <w:sz w:val="28"/>
      <w:szCs w:val="28"/>
    </w:rPr>
  </w:style>
  <w:style w:type="paragraph" w:styleId="5">
    <w:name w:val="heading 5"/>
    <w:basedOn w:val="a"/>
    <w:next w:val="a"/>
    <w:link w:val="5Char"/>
    <w:uiPriority w:val="9"/>
    <w:semiHidden/>
    <w:unhideWhenUsed/>
    <w:qFormat/>
    <w:rsid w:val="00F91D93"/>
    <w:pPr>
      <w:keepNext/>
      <w:keepLines/>
      <w:numPr>
        <w:ilvl w:val="4"/>
        <w:numId w:val="5"/>
      </w:numPr>
      <w:spacing w:before="40" w:after="0"/>
      <w:outlineLvl w:val="4"/>
    </w:pPr>
    <w:rPr>
      <w:color w:val="2F5496" w:themeColor="accent1" w:themeShade="BF"/>
    </w:rPr>
  </w:style>
  <w:style w:type="paragraph" w:styleId="6">
    <w:name w:val="heading 6"/>
    <w:basedOn w:val="a"/>
    <w:next w:val="a"/>
    <w:link w:val="6Char"/>
    <w:uiPriority w:val="9"/>
    <w:semiHidden/>
    <w:unhideWhenUsed/>
    <w:qFormat/>
    <w:rsid w:val="00F91D93"/>
    <w:pPr>
      <w:keepNext/>
      <w:keepLines/>
      <w:numPr>
        <w:ilvl w:val="5"/>
        <w:numId w:val="5"/>
      </w:numPr>
      <w:spacing w:before="40" w:after="0"/>
      <w:outlineLvl w:val="5"/>
    </w:pPr>
    <w:rPr>
      <w:color w:val="1F3864" w:themeColor="accent1" w:themeShade="80"/>
    </w:rPr>
  </w:style>
  <w:style w:type="paragraph" w:styleId="7">
    <w:name w:val="heading 7"/>
    <w:basedOn w:val="a"/>
    <w:next w:val="a"/>
    <w:link w:val="7Char"/>
    <w:uiPriority w:val="9"/>
    <w:semiHidden/>
    <w:unhideWhenUsed/>
    <w:qFormat/>
    <w:rsid w:val="00F91D93"/>
    <w:pPr>
      <w:keepNext/>
      <w:keepLines/>
      <w:numPr>
        <w:ilvl w:val="6"/>
        <w:numId w:val="5"/>
      </w:numPr>
      <w:spacing w:before="40" w:after="0"/>
      <w:outlineLvl w:val="6"/>
    </w:pPr>
    <w:rPr>
      <w:rFonts w:asciiTheme="majorHAnsi" w:eastAsiaTheme="majorEastAsia" w:hAnsiTheme="majorHAnsi" w:cstheme="majorBidi"/>
      <w:i/>
      <w:iCs/>
      <w:color w:val="1F3864" w:themeColor="accent1" w:themeShade="80"/>
    </w:rPr>
  </w:style>
  <w:style w:type="paragraph" w:styleId="8">
    <w:name w:val="heading 8"/>
    <w:basedOn w:val="a"/>
    <w:next w:val="a"/>
    <w:link w:val="8Char"/>
    <w:uiPriority w:val="9"/>
    <w:semiHidden/>
    <w:unhideWhenUsed/>
    <w:qFormat/>
    <w:rsid w:val="00F91D93"/>
    <w:pPr>
      <w:keepNext/>
      <w:keepLines/>
      <w:numPr>
        <w:ilvl w:val="7"/>
        <w:numId w:val="5"/>
      </w:numPr>
      <w:spacing w:before="40" w:after="0"/>
      <w:outlineLvl w:val="7"/>
    </w:pPr>
    <w:rPr>
      <w:color w:val="262626" w:themeColor="text1" w:themeTint="D9"/>
      <w:sz w:val="21"/>
      <w:szCs w:val="21"/>
    </w:rPr>
  </w:style>
  <w:style w:type="paragraph" w:styleId="9">
    <w:name w:val="heading 9"/>
    <w:basedOn w:val="a"/>
    <w:next w:val="a"/>
    <w:link w:val="9Char"/>
    <w:uiPriority w:val="9"/>
    <w:semiHidden/>
    <w:unhideWhenUsed/>
    <w:qFormat/>
    <w:rsid w:val="00F91D93"/>
    <w:pPr>
      <w:keepNext/>
      <w:keepLines/>
      <w:numPr>
        <w:ilvl w:val="8"/>
        <w:numId w:val="5"/>
      </w:numPr>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qFormat/>
    <w:rsid w:val="009125CE"/>
  </w:style>
  <w:style w:type="paragraph" w:styleId="a6">
    <w:name w:val="Normal (Web)"/>
    <w:basedOn w:val="a"/>
    <w:uiPriority w:val="99"/>
    <w:unhideWhenUsed/>
    <w:rsid w:val="008E7D3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1"/>
    <w:uiPriority w:val="22"/>
    <w:qFormat/>
    <w:rsid w:val="00F91D93"/>
    <w:rPr>
      <w:b/>
      <w:bCs/>
      <w:color w:val="auto"/>
    </w:rPr>
  </w:style>
  <w:style w:type="character" w:customStyle="1" w:styleId="1Char">
    <w:name w:val="العنوان 1 Char"/>
    <w:basedOn w:val="a1"/>
    <w:link w:val="1"/>
    <w:uiPriority w:val="9"/>
    <w:rsid w:val="0025227E"/>
    <w:rPr>
      <w:rFonts w:asciiTheme="majorBidi" w:hAnsiTheme="majorBidi" w:cstheme="majorBidi"/>
      <w:b/>
      <w:bCs/>
      <w:sz w:val="40"/>
      <w:szCs w:val="40"/>
    </w:rPr>
  </w:style>
  <w:style w:type="character" w:customStyle="1" w:styleId="3Char">
    <w:name w:val="عنوان 3 Char"/>
    <w:basedOn w:val="a1"/>
    <w:link w:val="3"/>
    <w:uiPriority w:val="9"/>
    <w:rsid w:val="00F32142"/>
    <w:rPr>
      <w:rFonts w:asciiTheme="majorBidi" w:eastAsia="Noto Naskh Arabic" w:hAnsiTheme="majorBidi" w:cstheme="majorBidi"/>
      <w:b/>
      <w:bCs/>
      <w:spacing w:val="-10"/>
      <w:sz w:val="32"/>
      <w:szCs w:val="32"/>
    </w:rPr>
  </w:style>
  <w:style w:type="character" w:customStyle="1" w:styleId="2Char">
    <w:name w:val="عنوان 2 Char"/>
    <w:basedOn w:val="a1"/>
    <w:link w:val="2"/>
    <w:uiPriority w:val="9"/>
    <w:rsid w:val="003C5B11"/>
    <w:rPr>
      <w:rFonts w:ascii="Simplified Arabic" w:eastAsia="Noto Naskh Arabic" w:hAnsi="Simplified Arabic" w:cs="Simplified Arabic"/>
      <w:b/>
      <w:bCs/>
      <w:color w:val="0083B8"/>
      <w:spacing w:val="-10"/>
      <w:sz w:val="36"/>
      <w:szCs w:val="36"/>
    </w:rPr>
  </w:style>
  <w:style w:type="character" w:styleId="HTMLCode">
    <w:name w:val="HTML Code"/>
    <w:basedOn w:val="a1"/>
    <w:uiPriority w:val="99"/>
    <w:semiHidden/>
    <w:unhideWhenUsed/>
    <w:rsid w:val="00412346"/>
    <w:rPr>
      <w:rFonts w:ascii="Courier New" w:eastAsia="Times New Roman" w:hAnsi="Courier New" w:cs="Courier New" w:hint="default"/>
      <w:sz w:val="20"/>
      <w:szCs w:val="20"/>
    </w:rPr>
  </w:style>
  <w:style w:type="paragraph" w:styleId="HTML">
    <w:name w:val="HTML Preformatted"/>
    <w:basedOn w:val="a"/>
    <w:link w:val="HTMLChar"/>
    <w:uiPriority w:val="99"/>
    <w:semiHidden/>
    <w:unhideWhenUsed/>
    <w:rsid w:val="00412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1"/>
    <w:link w:val="HTML"/>
    <w:uiPriority w:val="99"/>
    <w:semiHidden/>
    <w:rsid w:val="00412346"/>
    <w:rPr>
      <w:rFonts w:ascii="Courier New" w:eastAsia="Times New Roman" w:hAnsi="Courier New" w:cs="Courier New"/>
      <w:kern w:val="0"/>
      <w:sz w:val="20"/>
      <w:szCs w:val="20"/>
      <w14:ligatures w14:val="none"/>
    </w:rPr>
  </w:style>
  <w:style w:type="character" w:customStyle="1" w:styleId="4Char">
    <w:name w:val="عنوان 4 Char"/>
    <w:basedOn w:val="a1"/>
    <w:link w:val="4"/>
    <w:uiPriority w:val="9"/>
    <w:rsid w:val="00F32142"/>
    <w:rPr>
      <w:rFonts w:asciiTheme="majorBidi" w:eastAsia="Noto Naskh Arabic" w:hAnsiTheme="majorBidi" w:cstheme="majorBidi"/>
      <w:b/>
      <w:bCs/>
      <w:sz w:val="28"/>
      <w:szCs w:val="28"/>
    </w:rPr>
  </w:style>
  <w:style w:type="character" w:customStyle="1" w:styleId="5Char">
    <w:name w:val="عنوان 5 Char"/>
    <w:basedOn w:val="a1"/>
    <w:link w:val="5"/>
    <w:uiPriority w:val="9"/>
    <w:semiHidden/>
    <w:rsid w:val="00F91D93"/>
    <w:rPr>
      <w:color w:val="2F5496" w:themeColor="accent1" w:themeShade="BF"/>
    </w:rPr>
  </w:style>
  <w:style w:type="character" w:customStyle="1" w:styleId="6Char">
    <w:name w:val="عنوان 6 Char"/>
    <w:basedOn w:val="a1"/>
    <w:link w:val="6"/>
    <w:uiPriority w:val="9"/>
    <w:semiHidden/>
    <w:rsid w:val="00F91D93"/>
    <w:rPr>
      <w:color w:val="1F3864" w:themeColor="accent1" w:themeShade="80"/>
    </w:rPr>
  </w:style>
  <w:style w:type="character" w:customStyle="1" w:styleId="7Char">
    <w:name w:val="عنوان 7 Char"/>
    <w:basedOn w:val="a1"/>
    <w:link w:val="7"/>
    <w:uiPriority w:val="9"/>
    <w:semiHidden/>
    <w:rsid w:val="00F91D93"/>
    <w:rPr>
      <w:rFonts w:asciiTheme="majorHAnsi" w:eastAsiaTheme="majorEastAsia" w:hAnsiTheme="majorHAnsi" w:cstheme="majorBidi"/>
      <w:i/>
      <w:iCs/>
      <w:color w:val="1F3864" w:themeColor="accent1" w:themeShade="80"/>
    </w:rPr>
  </w:style>
  <w:style w:type="character" w:customStyle="1" w:styleId="8Char">
    <w:name w:val="عنوان 8 Char"/>
    <w:basedOn w:val="a1"/>
    <w:link w:val="8"/>
    <w:uiPriority w:val="9"/>
    <w:semiHidden/>
    <w:rsid w:val="00F91D93"/>
    <w:rPr>
      <w:color w:val="262626" w:themeColor="text1" w:themeTint="D9"/>
      <w:sz w:val="21"/>
      <w:szCs w:val="21"/>
    </w:rPr>
  </w:style>
  <w:style w:type="character" w:customStyle="1" w:styleId="9Char">
    <w:name w:val="عنوان 9 Char"/>
    <w:basedOn w:val="a1"/>
    <w:link w:val="9"/>
    <w:uiPriority w:val="9"/>
    <w:semiHidden/>
    <w:rsid w:val="00F91D93"/>
    <w:rPr>
      <w:rFonts w:asciiTheme="majorHAnsi" w:eastAsiaTheme="majorEastAsia" w:hAnsiTheme="majorHAnsi" w:cstheme="majorBidi"/>
      <w:i/>
      <w:iCs/>
      <w:color w:val="262626" w:themeColor="text1" w:themeTint="D9"/>
      <w:sz w:val="21"/>
      <w:szCs w:val="21"/>
    </w:rPr>
  </w:style>
  <w:style w:type="paragraph" w:styleId="a8">
    <w:name w:val="caption"/>
    <w:basedOn w:val="a"/>
    <w:next w:val="a"/>
    <w:uiPriority w:val="35"/>
    <w:unhideWhenUsed/>
    <w:qFormat/>
    <w:rsid w:val="00620EA4"/>
    <w:pPr>
      <w:keepNext/>
      <w:spacing w:after="0" w:line="240" w:lineRule="auto"/>
    </w:pPr>
    <w:rPr>
      <w:rFonts w:ascii="Sakkal Majalla" w:eastAsia="Times New Roman" w:hAnsi="Sakkal Majalla" w:cs="Sakkal Majalla"/>
      <w:b/>
      <w:bCs/>
      <w:sz w:val="32"/>
      <w:szCs w:val="32"/>
    </w:rPr>
  </w:style>
  <w:style w:type="paragraph" w:styleId="a9">
    <w:name w:val="Title"/>
    <w:basedOn w:val="a"/>
    <w:next w:val="a"/>
    <w:link w:val="Char1"/>
    <w:uiPriority w:val="10"/>
    <w:qFormat/>
    <w:rsid w:val="00710B07"/>
    <w:pPr>
      <w:spacing w:after="120" w:line="240" w:lineRule="auto"/>
      <w:contextualSpacing/>
    </w:pPr>
    <w:rPr>
      <w:rFonts w:ascii="Simplified Arabic" w:eastAsiaTheme="majorEastAsia" w:hAnsi="Simplified Arabic" w:cs="Simplified Arabic"/>
      <w:b/>
      <w:bCs/>
      <w:spacing w:val="-10"/>
      <w:sz w:val="36"/>
      <w:szCs w:val="36"/>
    </w:rPr>
  </w:style>
  <w:style w:type="character" w:customStyle="1" w:styleId="Char1">
    <w:name w:val="العنوان Char"/>
    <w:basedOn w:val="a1"/>
    <w:link w:val="a9"/>
    <w:uiPriority w:val="10"/>
    <w:rsid w:val="00710B07"/>
    <w:rPr>
      <w:rFonts w:ascii="Simplified Arabic" w:eastAsiaTheme="majorEastAsia" w:hAnsi="Simplified Arabic" w:cs="Simplified Arabic"/>
      <w:b/>
      <w:bCs/>
      <w:spacing w:val="-10"/>
      <w:sz w:val="36"/>
      <w:szCs w:val="36"/>
    </w:rPr>
  </w:style>
  <w:style w:type="paragraph" w:styleId="aa">
    <w:name w:val="Subtitle"/>
    <w:basedOn w:val="a"/>
    <w:next w:val="a"/>
    <w:link w:val="Char2"/>
    <w:uiPriority w:val="11"/>
    <w:qFormat/>
    <w:rsid w:val="00EA7CC5"/>
    <w:pPr>
      <w:numPr>
        <w:ilvl w:val="1"/>
      </w:numPr>
    </w:pPr>
    <w:rPr>
      <w:b/>
      <w:bCs/>
      <w:spacing w:val="15"/>
      <w:sz w:val="28"/>
      <w:szCs w:val="28"/>
    </w:rPr>
  </w:style>
  <w:style w:type="character" w:customStyle="1" w:styleId="Char2">
    <w:name w:val="عنوان فرعي Char"/>
    <w:basedOn w:val="a1"/>
    <w:link w:val="aa"/>
    <w:uiPriority w:val="11"/>
    <w:rsid w:val="00EA7CC5"/>
    <w:rPr>
      <w:b/>
      <w:bCs/>
      <w:spacing w:val="15"/>
      <w:sz w:val="28"/>
      <w:szCs w:val="28"/>
    </w:rPr>
  </w:style>
  <w:style w:type="character" w:styleId="ab">
    <w:name w:val="Emphasis"/>
    <w:basedOn w:val="a1"/>
    <w:uiPriority w:val="20"/>
    <w:qFormat/>
    <w:rsid w:val="00F91D93"/>
    <w:rPr>
      <w:i/>
      <w:iCs/>
      <w:color w:val="auto"/>
    </w:rPr>
  </w:style>
  <w:style w:type="paragraph" w:styleId="ac">
    <w:name w:val="No Spacing"/>
    <w:uiPriority w:val="1"/>
    <w:qFormat/>
    <w:rsid w:val="00F91D93"/>
    <w:pPr>
      <w:spacing w:after="0" w:line="240" w:lineRule="auto"/>
    </w:pPr>
  </w:style>
  <w:style w:type="paragraph" w:styleId="ad">
    <w:name w:val="Quote"/>
    <w:basedOn w:val="a"/>
    <w:next w:val="a"/>
    <w:link w:val="Char3"/>
    <w:uiPriority w:val="29"/>
    <w:qFormat/>
    <w:rsid w:val="00F91D93"/>
    <w:pPr>
      <w:spacing w:before="200"/>
      <w:ind w:left="864" w:right="864"/>
    </w:pPr>
    <w:rPr>
      <w:i/>
      <w:iCs/>
      <w:color w:val="404040" w:themeColor="text1" w:themeTint="BF"/>
    </w:rPr>
  </w:style>
  <w:style w:type="character" w:customStyle="1" w:styleId="Char3">
    <w:name w:val="اقتباس Char"/>
    <w:basedOn w:val="a1"/>
    <w:link w:val="ad"/>
    <w:uiPriority w:val="29"/>
    <w:rsid w:val="00F91D93"/>
    <w:rPr>
      <w:i/>
      <w:iCs/>
      <w:color w:val="404040" w:themeColor="text1" w:themeTint="BF"/>
    </w:rPr>
  </w:style>
  <w:style w:type="paragraph" w:styleId="ae">
    <w:name w:val="Intense Quote"/>
    <w:basedOn w:val="a"/>
    <w:next w:val="a"/>
    <w:link w:val="Char4"/>
    <w:uiPriority w:val="30"/>
    <w:qFormat/>
    <w:rsid w:val="00F91D9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4">
    <w:name w:val="اقتباس مكثف Char"/>
    <w:basedOn w:val="a1"/>
    <w:link w:val="ae"/>
    <w:uiPriority w:val="30"/>
    <w:rsid w:val="00F91D93"/>
    <w:rPr>
      <w:i/>
      <w:iCs/>
      <w:color w:val="4472C4" w:themeColor="accent1"/>
    </w:rPr>
  </w:style>
  <w:style w:type="character" w:styleId="af">
    <w:name w:val="Subtle Emphasis"/>
    <w:basedOn w:val="a1"/>
    <w:uiPriority w:val="19"/>
    <w:qFormat/>
    <w:rsid w:val="00F91D93"/>
    <w:rPr>
      <w:i/>
      <w:iCs/>
      <w:color w:val="404040" w:themeColor="text1" w:themeTint="BF"/>
    </w:rPr>
  </w:style>
  <w:style w:type="character" w:styleId="af0">
    <w:name w:val="Intense Emphasis"/>
    <w:basedOn w:val="a1"/>
    <w:uiPriority w:val="21"/>
    <w:qFormat/>
    <w:rsid w:val="00F91D93"/>
    <w:rPr>
      <w:i/>
      <w:iCs/>
      <w:color w:val="4472C4" w:themeColor="accent1"/>
    </w:rPr>
  </w:style>
  <w:style w:type="character" w:styleId="af1">
    <w:name w:val="Subtle Reference"/>
    <w:basedOn w:val="a1"/>
    <w:uiPriority w:val="31"/>
    <w:qFormat/>
    <w:rsid w:val="00F91D93"/>
    <w:rPr>
      <w:smallCaps/>
      <w:color w:val="404040" w:themeColor="text1" w:themeTint="BF"/>
    </w:rPr>
  </w:style>
  <w:style w:type="character" w:styleId="af2">
    <w:name w:val="Intense Reference"/>
    <w:basedOn w:val="a1"/>
    <w:uiPriority w:val="32"/>
    <w:qFormat/>
    <w:rsid w:val="00F91D93"/>
    <w:rPr>
      <w:b/>
      <w:bCs/>
      <w:smallCaps/>
      <w:color w:val="4472C4" w:themeColor="accent1"/>
      <w:spacing w:val="5"/>
    </w:rPr>
  </w:style>
  <w:style w:type="character" w:styleId="af3">
    <w:name w:val="Book Title"/>
    <w:basedOn w:val="a1"/>
    <w:uiPriority w:val="33"/>
    <w:qFormat/>
    <w:rsid w:val="00F91D93"/>
    <w:rPr>
      <w:b/>
      <w:bCs/>
      <w:i/>
      <w:iCs/>
      <w:spacing w:val="5"/>
    </w:rPr>
  </w:style>
  <w:style w:type="paragraph" w:styleId="af4">
    <w:name w:val="TOC Heading"/>
    <w:basedOn w:val="1"/>
    <w:next w:val="a"/>
    <w:uiPriority w:val="39"/>
    <w:unhideWhenUsed/>
    <w:qFormat/>
    <w:rsid w:val="00F91D93"/>
    <w:pPr>
      <w:outlineLvl w:val="9"/>
    </w:pPr>
  </w:style>
  <w:style w:type="paragraph" w:customStyle="1" w:styleId="af5">
    <w:name w:val="نص الفقرة"/>
    <w:basedOn w:val="a"/>
    <w:link w:val="Char5"/>
    <w:qFormat/>
    <w:rsid w:val="00264A40"/>
    <w:pPr>
      <w:spacing w:after="120" w:line="240" w:lineRule="auto"/>
      <w:ind w:firstLine="284"/>
      <w:jc w:val="both"/>
    </w:pPr>
    <w:rPr>
      <w:rFonts w:ascii="Simplified Arabic" w:eastAsia="Times New Roman" w:hAnsi="Simplified Arabic" w:cs="Simplified Arabic"/>
      <w:sz w:val="28"/>
      <w:szCs w:val="28"/>
    </w:rPr>
  </w:style>
  <w:style w:type="paragraph" w:customStyle="1" w:styleId="16">
    <w:name w:val="عنوان 16"/>
    <w:basedOn w:val="18"/>
    <w:link w:val="16Char"/>
    <w:qFormat/>
    <w:rsid w:val="00C92836"/>
    <w:pPr>
      <w:numPr>
        <w:ilvl w:val="2"/>
        <w:numId w:val="1"/>
      </w:numPr>
    </w:pPr>
  </w:style>
  <w:style w:type="character" w:customStyle="1" w:styleId="Char5">
    <w:name w:val="نص الفقرة Char"/>
    <w:basedOn w:val="a1"/>
    <w:link w:val="af5"/>
    <w:qFormat/>
    <w:rsid w:val="00264A40"/>
    <w:rPr>
      <w:rFonts w:ascii="Simplified Arabic" w:eastAsia="Times New Roman" w:hAnsi="Simplified Arabic" w:cs="Simplified Arabic"/>
      <w:sz w:val="28"/>
      <w:szCs w:val="28"/>
    </w:rPr>
  </w:style>
  <w:style w:type="paragraph" w:customStyle="1" w:styleId="18">
    <w:name w:val="عنوان 18"/>
    <w:basedOn w:val="a9"/>
    <w:link w:val="18Char"/>
    <w:qFormat/>
    <w:rsid w:val="00D34A6A"/>
    <w:pPr>
      <w:ind w:left="282" w:hanging="226"/>
    </w:pPr>
    <w:rPr>
      <w:sz w:val="28"/>
      <w:szCs w:val="28"/>
    </w:rPr>
  </w:style>
  <w:style w:type="character" w:customStyle="1" w:styleId="16Char">
    <w:name w:val="عنوان 16 Char"/>
    <w:basedOn w:val="a1"/>
    <w:link w:val="16"/>
    <w:qFormat/>
    <w:rsid w:val="00C92836"/>
    <w:rPr>
      <w:rFonts w:ascii="Simplified Arabic" w:eastAsiaTheme="majorEastAsia" w:hAnsi="Simplified Arabic" w:cs="Simplified Arabic"/>
      <w:b/>
      <w:bCs/>
      <w:spacing w:val="-10"/>
      <w:sz w:val="28"/>
      <w:szCs w:val="28"/>
    </w:rPr>
  </w:style>
  <w:style w:type="paragraph" w:customStyle="1" w:styleId="14">
    <w:name w:val="عنوان 14"/>
    <w:basedOn w:val="2"/>
    <w:link w:val="14Char"/>
    <w:qFormat/>
    <w:rsid w:val="00264A40"/>
    <w:rPr>
      <w:b w:val="0"/>
      <w:bCs w:val="0"/>
      <w:color w:val="auto"/>
    </w:rPr>
  </w:style>
  <w:style w:type="character" w:customStyle="1" w:styleId="18Char">
    <w:name w:val="عنوان 18 Char"/>
    <w:basedOn w:val="Char1"/>
    <w:link w:val="18"/>
    <w:rsid w:val="00D34A6A"/>
    <w:rPr>
      <w:rFonts w:ascii="Simplified Arabic" w:eastAsiaTheme="majorEastAsia" w:hAnsi="Simplified Arabic" w:cs="Simplified Arabic"/>
      <w:b/>
      <w:bCs/>
      <w:spacing w:val="-10"/>
      <w:sz w:val="28"/>
      <w:szCs w:val="28"/>
    </w:rPr>
  </w:style>
  <w:style w:type="character" w:customStyle="1" w:styleId="14Char">
    <w:name w:val="عنوان 14 Char"/>
    <w:basedOn w:val="2Char"/>
    <w:link w:val="14"/>
    <w:rsid w:val="00264A40"/>
    <w:rPr>
      <w:rFonts w:ascii="Simplified Arabic" w:eastAsia="Noto Naskh Arabic" w:hAnsi="Simplified Arabic" w:cs="Simplified Arabic"/>
      <w:b w:val="0"/>
      <w:bCs w:val="0"/>
      <w:color w:val="0083B8"/>
      <w:spacing w:val="-10"/>
      <w:sz w:val="36"/>
      <w:szCs w:val="36"/>
    </w:rPr>
  </w:style>
  <w:style w:type="paragraph" w:customStyle="1" w:styleId="a0">
    <w:name w:val="الفصول"/>
    <w:basedOn w:val="a"/>
    <w:link w:val="Char6"/>
    <w:qFormat/>
    <w:rsid w:val="001933A6"/>
    <w:pPr>
      <w:jc w:val="center"/>
    </w:pPr>
    <w:rPr>
      <w:rFonts w:asciiTheme="majorBidi" w:hAnsiTheme="majorBidi" w:cstheme="majorBidi"/>
      <w:b/>
      <w:bCs/>
      <w:sz w:val="56"/>
      <w:szCs w:val="56"/>
    </w:rPr>
  </w:style>
  <w:style w:type="paragraph" w:styleId="af6">
    <w:name w:val="List Paragraph"/>
    <w:basedOn w:val="a"/>
    <w:uiPriority w:val="34"/>
    <w:qFormat/>
    <w:rsid w:val="00B53A39"/>
    <w:pPr>
      <w:ind w:left="720"/>
      <w:contextualSpacing/>
    </w:pPr>
  </w:style>
  <w:style w:type="character" w:customStyle="1" w:styleId="Char6">
    <w:name w:val="الفصول Char"/>
    <w:basedOn w:val="a1"/>
    <w:link w:val="a0"/>
    <w:rsid w:val="001933A6"/>
    <w:rPr>
      <w:rFonts w:asciiTheme="majorBidi" w:hAnsiTheme="majorBidi" w:cstheme="majorBidi"/>
      <w:b/>
      <w:bCs/>
      <w:sz w:val="56"/>
      <w:szCs w:val="56"/>
    </w:rPr>
  </w:style>
  <w:style w:type="paragraph" w:styleId="20">
    <w:name w:val="toc 2"/>
    <w:basedOn w:val="a"/>
    <w:next w:val="a"/>
    <w:autoRedefine/>
    <w:uiPriority w:val="39"/>
    <w:unhideWhenUsed/>
    <w:rsid w:val="00F65BAB"/>
    <w:pPr>
      <w:spacing w:after="100"/>
      <w:ind w:left="220"/>
    </w:pPr>
    <w:rPr>
      <w:rFonts w:cs="Times New Roman"/>
      <w:rtl/>
    </w:rPr>
  </w:style>
  <w:style w:type="paragraph" w:styleId="10">
    <w:name w:val="toc 1"/>
    <w:basedOn w:val="a"/>
    <w:next w:val="a"/>
    <w:link w:val="1Char0"/>
    <w:autoRedefine/>
    <w:uiPriority w:val="39"/>
    <w:unhideWhenUsed/>
    <w:rsid w:val="00710B07"/>
    <w:pPr>
      <w:tabs>
        <w:tab w:val="right" w:leader="dot" w:pos="9344"/>
      </w:tabs>
      <w:spacing w:after="0" w:line="240" w:lineRule="auto"/>
    </w:pPr>
    <w:rPr>
      <w:rFonts w:asciiTheme="majorBidi" w:hAnsiTheme="majorBidi" w:cstheme="majorBidi"/>
      <w:b/>
      <w:bCs/>
      <w:noProof/>
      <w:sz w:val="24"/>
      <w:szCs w:val="24"/>
    </w:rPr>
  </w:style>
  <w:style w:type="paragraph" w:styleId="30">
    <w:name w:val="toc 3"/>
    <w:basedOn w:val="a"/>
    <w:next w:val="a"/>
    <w:autoRedefine/>
    <w:uiPriority w:val="39"/>
    <w:unhideWhenUsed/>
    <w:rsid w:val="00F65BAB"/>
    <w:pPr>
      <w:spacing w:after="100"/>
      <w:ind w:left="440"/>
    </w:pPr>
    <w:rPr>
      <w:rFonts w:cs="Times New Roman"/>
      <w:rtl/>
    </w:rPr>
  </w:style>
  <w:style w:type="character" w:styleId="Hyperlink">
    <w:name w:val="Hyperlink"/>
    <w:basedOn w:val="a1"/>
    <w:uiPriority w:val="99"/>
    <w:unhideWhenUsed/>
    <w:rsid w:val="00F65BAB"/>
    <w:rPr>
      <w:color w:val="0563C1" w:themeColor="hyperlink"/>
      <w:u w:val="single"/>
    </w:rPr>
  </w:style>
  <w:style w:type="paragraph" w:customStyle="1" w:styleId="af7">
    <w:name w:val="الجداول"/>
    <w:basedOn w:val="a8"/>
    <w:next w:val="af4"/>
    <w:link w:val="Char7"/>
    <w:qFormat/>
    <w:rsid w:val="0045538E"/>
    <w:rPr>
      <w:rFonts w:asciiTheme="majorBidi" w:eastAsia="Noto Naskh Arabic" w:hAnsiTheme="majorBidi" w:cstheme="majorBidi"/>
      <w:b w:val="0"/>
      <w:bCs w:val="0"/>
      <w:sz w:val="24"/>
      <w:szCs w:val="24"/>
    </w:rPr>
  </w:style>
  <w:style w:type="paragraph" w:styleId="40">
    <w:name w:val="toc 4"/>
    <w:basedOn w:val="a"/>
    <w:next w:val="a"/>
    <w:autoRedefine/>
    <w:uiPriority w:val="39"/>
    <w:unhideWhenUsed/>
    <w:rsid w:val="00B56BA3"/>
    <w:pPr>
      <w:spacing w:after="100"/>
      <w:ind w:left="660"/>
    </w:pPr>
  </w:style>
  <w:style w:type="character" w:customStyle="1" w:styleId="1Char0">
    <w:name w:val="جدول محتويات 1 Char"/>
    <w:basedOn w:val="a1"/>
    <w:link w:val="10"/>
    <w:uiPriority w:val="39"/>
    <w:rsid w:val="00710B07"/>
    <w:rPr>
      <w:rFonts w:asciiTheme="majorBidi" w:hAnsiTheme="majorBidi" w:cstheme="majorBidi"/>
      <w:b/>
      <w:bCs/>
      <w:noProof/>
      <w:sz w:val="24"/>
      <w:szCs w:val="24"/>
    </w:rPr>
  </w:style>
  <w:style w:type="character" w:customStyle="1" w:styleId="Char7">
    <w:name w:val="الجداول Char"/>
    <w:basedOn w:val="1Char0"/>
    <w:link w:val="af7"/>
    <w:rsid w:val="0045538E"/>
    <w:rPr>
      <w:rFonts w:asciiTheme="majorBidi" w:eastAsia="Noto Naskh Arabic" w:hAnsiTheme="majorBidi" w:cstheme="majorBidi"/>
      <w:b w:val="0"/>
      <w:bCs w:val="0"/>
      <w:noProof/>
      <w:sz w:val="24"/>
      <w:szCs w:val="24"/>
    </w:rPr>
  </w:style>
  <w:style w:type="paragraph" w:styleId="50">
    <w:name w:val="toc 5"/>
    <w:basedOn w:val="a"/>
    <w:next w:val="a"/>
    <w:autoRedefine/>
    <w:uiPriority w:val="39"/>
    <w:unhideWhenUsed/>
    <w:rsid w:val="00B56BA3"/>
    <w:pPr>
      <w:spacing w:after="100"/>
      <w:ind w:left="880"/>
    </w:pPr>
  </w:style>
  <w:style w:type="paragraph" w:styleId="60">
    <w:name w:val="toc 6"/>
    <w:basedOn w:val="a"/>
    <w:next w:val="a"/>
    <w:autoRedefine/>
    <w:uiPriority w:val="39"/>
    <w:unhideWhenUsed/>
    <w:rsid w:val="00B56BA3"/>
    <w:pPr>
      <w:spacing w:after="100"/>
      <w:ind w:left="1100"/>
    </w:pPr>
  </w:style>
  <w:style w:type="paragraph" w:styleId="70">
    <w:name w:val="toc 7"/>
    <w:basedOn w:val="a"/>
    <w:next w:val="a"/>
    <w:autoRedefine/>
    <w:uiPriority w:val="39"/>
    <w:unhideWhenUsed/>
    <w:rsid w:val="00B56BA3"/>
    <w:pPr>
      <w:spacing w:after="100"/>
      <w:ind w:left="1320"/>
    </w:pPr>
  </w:style>
  <w:style w:type="paragraph" w:styleId="80">
    <w:name w:val="toc 8"/>
    <w:basedOn w:val="a"/>
    <w:next w:val="a"/>
    <w:autoRedefine/>
    <w:uiPriority w:val="39"/>
    <w:unhideWhenUsed/>
    <w:rsid w:val="00B56BA3"/>
    <w:pPr>
      <w:spacing w:after="100"/>
      <w:ind w:left="1540"/>
    </w:pPr>
  </w:style>
  <w:style w:type="paragraph" w:styleId="90">
    <w:name w:val="toc 9"/>
    <w:basedOn w:val="a"/>
    <w:next w:val="a"/>
    <w:autoRedefine/>
    <w:uiPriority w:val="39"/>
    <w:unhideWhenUsed/>
    <w:rsid w:val="00B56BA3"/>
    <w:pPr>
      <w:spacing w:after="100"/>
      <w:ind w:left="1760"/>
    </w:pPr>
  </w:style>
  <w:style w:type="character" w:styleId="af8">
    <w:name w:val="Unresolved Mention"/>
    <w:basedOn w:val="a1"/>
    <w:uiPriority w:val="99"/>
    <w:semiHidden/>
    <w:unhideWhenUsed/>
    <w:rsid w:val="00B56BA3"/>
    <w:rPr>
      <w:color w:val="605E5C"/>
      <w:shd w:val="clear" w:color="auto" w:fill="E1DFDD"/>
    </w:rPr>
  </w:style>
  <w:style w:type="paragraph" w:styleId="af9">
    <w:name w:val="table of figures"/>
    <w:basedOn w:val="a"/>
    <w:next w:val="a"/>
    <w:uiPriority w:val="99"/>
    <w:unhideWhenUsed/>
    <w:rsid w:val="00191923"/>
    <w:pPr>
      <w:spacing w:after="0"/>
    </w:pPr>
  </w:style>
  <w:style w:type="paragraph" w:customStyle="1" w:styleId="pdq2pgselectionanchorcontainer">
    <w:name w:val="pdq2pg_selectionanchorcontainer"/>
    <w:basedOn w:val="a"/>
    <w:rsid w:val="009D6652"/>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a">
    <w:name w:val="الأشكال"/>
    <w:basedOn w:val="a"/>
    <w:link w:val="Char8"/>
    <w:qFormat/>
    <w:rsid w:val="008F1F45"/>
    <w:pPr>
      <w:spacing w:after="0" w:line="240" w:lineRule="auto"/>
      <w:jc w:val="center"/>
    </w:pPr>
    <w:rPr>
      <w:rFonts w:ascii="Simplified Arabic" w:eastAsia="Noto Naskh Arabic" w:hAnsi="Simplified Arabic" w:cs="Simplified Arabic"/>
      <w:sz w:val="24"/>
      <w:szCs w:val="24"/>
    </w:rPr>
  </w:style>
  <w:style w:type="table" w:styleId="afb">
    <w:name w:val="Table Grid"/>
    <w:basedOn w:val="a2"/>
    <w:uiPriority w:val="39"/>
    <w:rsid w:val="00B21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8">
    <w:name w:val="الأشكال Char"/>
    <w:basedOn w:val="a1"/>
    <w:link w:val="afa"/>
    <w:rsid w:val="008F1F45"/>
    <w:rPr>
      <w:rFonts w:ascii="Simplified Arabic" w:eastAsia="Noto Naskh Arabic" w:hAnsi="Simplified Arabic" w:cs="Simplified Arabic"/>
      <w:sz w:val="24"/>
      <w:szCs w:val="24"/>
    </w:rPr>
  </w:style>
  <w:style w:type="paragraph" w:customStyle="1" w:styleId="-16">
    <w:name w:val="ترقيم-16"/>
    <w:basedOn w:val="a"/>
    <w:autoRedefine/>
    <w:qFormat/>
    <w:rsid w:val="00BE32EA"/>
    <w:pPr>
      <w:numPr>
        <w:numId w:val="7"/>
      </w:numPr>
      <w:spacing w:after="0"/>
      <w:ind w:hanging="438"/>
      <w:jc w:val="lowKashida"/>
    </w:pPr>
    <w:rPr>
      <w:b/>
      <w:bCs/>
      <w:sz w:val="28"/>
      <w:szCs w:val="28"/>
    </w:rPr>
  </w:style>
  <w:style w:type="paragraph" w:customStyle="1" w:styleId="afc">
    <w:name w:val="عنوان جدول"/>
    <w:qFormat/>
    <w:rsid w:val="00274087"/>
    <w:pPr>
      <w:spacing w:before="120" w:after="60" w:line="240" w:lineRule="auto"/>
      <w:jc w:val="right"/>
    </w:pPr>
    <w:rPr>
      <w:rFonts w:ascii="Noto Naskh Arabic" w:hAnsi="Noto Naskh Arabic"/>
      <w:b/>
      <w:sz w:val="24"/>
    </w:rPr>
  </w:style>
  <w:style w:type="paragraph" w:customStyle="1" w:styleId="afd">
    <w:name w:val="تعليق شكل"/>
    <w:qFormat/>
    <w:rsid w:val="008F1F45"/>
    <w:pPr>
      <w:spacing w:before="60" w:after="180" w:line="240" w:lineRule="auto"/>
      <w:jc w:val="center"/>
    </w:pPr>
    <w:rPr>
      <w:rFonts w:ascii="Noto Naskh Arabic" w:hAnsi="Noto Naskh Arabic"/>
      <w:sz w:val="24"/>
    </w:rPr>
  </w:style>
  <w:style w:type="paragraph" w:customStyle="1" w:styleId="afe">
    <w:name w:val="عنوان الفصل"/>
    <w:qFormat/>
    <w:rsid w:val="003C5B11"/>
    <w:pPr>
      <w:spacing w:before="360" w:after="360" w:line="240" w:lineRule="auto"/>
      <w:jc w:val="center"/>
    </w:pPr>
    <w:rPr>
      <w:rFonts w:ascii="Noto Naskh Arabic" w:hAnsi="Noto Naskh Arabic"/>
      <w:b/>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2968">
      <w:bodyDiv w:val="1"/>
      <w:marLeft w:val="0"/>
      <w:marRight w:val="0"/>
      <w:marTop w:val="0"/>
      <w:marBottom w:val="0"/>
      <w:divBdr>
        <w:top w:val="none" w:sz="0" w:space="0" w:color="auto"/>
        <w:left w:val="none" w:sz="0" w:space="0" w:color="auto"/>
        <w:bottom w:val="none" w:sz="0" w:space="0" w:color="auto"/>
        <w:right w:val="none" w:sz="0" w:space="0" w:color="auto"/>
      </w:divBdr>
    </w:div>
    <w:div w:id="68769768">
      <w:bodyDiv w:val="1"/>
      <w:marLeft w:val="0"/>
      <w:marRight w:val="0"/>
      <w:marTop w:val="0"/>
      <w:marBottom w:val="0"/>
      <w:divBdr>
        <w:top w:val="none" w:sz="0" w:space="0" w:color="auto"/>
        <w:left w:val="none" w:sz="0" w:space="0" w:color="auto"/>
        <w:bottom w:val="none" w:sz="0" w:space="0" w:color="auto"/>
        <w:right w:val="none" w:sz="0" w:space="0" w:color="auto"/>
      </w:divBdr>
    </w:div>
    <w:div w:id="70078635">
      <w:bodyDiv w:val="1"/>
      <w:marLeft w:val="0"/>
      <w:marRight w:val="0"/>
      <w:marTop w:val="0"/>
      <w:marBottom w:val="0"/>
      <w:divBdr>
        <w:top w:val="none" w:sz="0" w:space="0" w:color="auto"/>
        <w:left w:val="none" w:sz="0" w:space="0" w:color="auto"/>
        <w:bottom w:val="none" w:sz="0" w:space="0" w:color="auto"/>
        <w:right w:val="none" w:sz="0" w:space="0" w:color="auto"/>
      </w:divBdr>
    </w:div>
    <w:div w:id="78990056">
      <w:bodyDiv w:val="1"/>
      <w:marLeft w:val="0"/>
      <w:marRight w:val="0"/>
      <w:marTop w:val="0"/>
      <w:marBottom w:val="0"/>
      <w:divBdr>
        <w:top w:val="none" w:sz="0" w:space="0" w:color="auto"/>
        <w:left w:val="none" w:sz="0" w:space="0" w:color="auto"/>
        <w:bottom w:val="none" w:sz="0" w:space="0" w:color="auto"/>
        <w:right w:val="none" w:sz="0" w:space="0" w:color="auto"/>
      </w:divBdr>
    </w:div>
    <w:div w:id="270405727">
      <w:bodyDiv w:val="1"/>
      <w:marLeft w:val="0"/>
      <w:marRight w:val="0"/>
      <w:marTop w:val="0"/>
      <w:marBottom w:val="0"/>
      <w:divBdr>
        <w:top w:val="none" w:sz="0" w:space="0" w:color="auto"/>
        <w:left w:val="none" w:sz="0" w:space="0" w:color="auto"/>
        <w:bottom w:val="none" w:sz="0" w:space="0" w:color="auto"/>
        <w:right w:val="none" w:sz="0" w:space="0" w:color="auto"/>
      </w:divBdr>
    </w:div>
    <w:div w:id="350495677">
      <w:bodyDiv w:val="1"/>
      <w:marLeft w:val="0"/>
      <w:marRight w:val="0"/>
      <w:marTop w:val="0"/>
      <w:marBottom w:val="0"/>
      <w:divBdr>
        <w:top w:val="none" w:sz="0" w:space="0" w:color="auto"/>
        <w:left w:val="none" w:sz="0" w:space="0" w:color="auto"/>
        <w:bottom w:val="none" w:sz="0" w:space="0" w:color="auto"/>
        <w:right w:val="none" w:sz="0" w:space="0" w:color="auto"/>
      </w:divBdr>
    </w:div>
    <w:div w:id="375856522">
      <w:bodyDiv w:val="1"/>
      <w:marLeft w:val="0"/>
      <w:marRight w:val="0"/>
      <w:marTop w:val="0"/>
      <w:marBottom w:val="0"/>
      <w:divBdr>
        <w:top w:val="none" w:sz="0" w:space="0" w:color="auto"/>
        <w:left w:val="none" w:sz="0" w:space="0" w:color="auto"/>
        <w:bottom w:val="none" w:sz="0" w:space="0" w:color="auto"/>
        <w:right w:val="none" w:sz="0" w:space="0" w:color="auto"/>
      </w:divBdr>
    </w:div>
    <w:div w:id="454249824">
      <w:bodyDiv w:val="1"/>
      <w:marLeft w:val="0"/>
      <w:marRight w:val="0"/>
      <w:marTop w:val="0"/>
      <w:marBottom w:val="0"/>
      <w:divBdr>
        <w:top w:val="none" w:sz="0" w:space="0" w:color="auto"/>
        <w:left w:val="none" w:sz="0" w:space="0" w:color="auto"/>
        <w:bottom w:val="none" w:sz="0" w:space="0" w:color="auto"/>
        <w:right w:val="none" w:sz="0" w:space="0" w:color="auto"/>
      </w:divBdr>
    </w:div>
    <w:div w:id="575633730">
      <w:bodyDiv w:val="1"/>
      <w:marLeft w:val="0"/>
      <w:marRight w:val="0"/>
      <w:marTop w:val="0"/>
      <w:marBottom w:val="0"/>
      <w:divBdr>
        <w:top w:val="none" w:sz="0" w:space="0" w:color="auto"/>
        <w:left w:val="none" w:sz="0" w:space="0" w:color="auto"/>
        <w:bottom w:val="none" w:sz="0" w:space="0" w:color="auto"/>
        <w:right w:val="none" w:sz="0" w:space="0" w:color="auto"/>
      </w:divBdr>
    </w:div>
    <w:div w:id="667950371">
      <w:bodyDiv w:val="1"/>
      <w:marLeft w:val="0"/>
      <w:marRight w:val="0"/>
      <w:marTop w:val="0"/>
      <w:marBottom w:val="0"/>
      <w:divBdr>
        <w:top w:val="none" w:sz="0" w:space="0" w:color="auto"/>
        <w:left w:val="none" w:sz="0" w:space="0" w:color="auto"/>
        <w:bottom w:val="none" w:sz="0" w:space="0" w:color="auto"/>
        <w:right w:val="none" w:sz="0" w:space="0" w:color="auto"/>
      </w:divBdr>
    </w:div>
    <w:div w:id="719785808">
      <w:bodyDiv w:val="1"/>
      <w:marLeft w:val="0"/>
      <w:marRight w:val="0"/>
      <w:marTop w:val="0"/>
      <w:marBottom w:val="0"/>
      <w:divBdr>
        <w:top w:val="none" w:sz="0" w:space="0" w:color="auto"/>
        <w:left w:val="none" w:sz="0" w:space="0" w:color="auto"/>
        <w:bottom w:val="none" w:sz="0" w:space="0" w:color="auto"/>
        <w:right w:val="none" w:sz="0" w:space="0" w:color="auto"/>
      </w:divBdr>
    </w:div>
    <w:div w:id="777607323">
      <w:bodyDiv w:val="1"/>
      <w:marLeft w:val="0"/>
      <w:marRight w:val="0"/>
      <w:marTop w:val="0"/>
      <w:marBottom w:val="0"/>
      <w:divBdr>
        <w:top w:val="none" w:sz="0" w:space="0" w:color="auto"/>
        <w:left w:val="none" w:sz="0" w:space="0" w:color="auto"/>
        <w:bottom w:val="none" w:sz="0" w:space="0" w:color="auto"/>
        <w:right w:val="none" w:sz="0" w:space="0" w:color="auto"/>
      </w:divBdr>
    </w:div>
    <w:div w:id="881673126">
      <w:bodyDiv w:val="1"/>
      <w:marLeft w:val="0"/>
      <w:marRight w:val="0"/>
      <w:marTop w:val="0"/>
      <w:marBottom w:val="0"/>
      <w:divBdr>
        <w:top w:val="none" w:sz="0" w:space="0" w:color="auto"/>
        <w:left w:val="none" w:sz="0" w:space="0" w:color="auto"/>
        <w:bottom w:val="none" w:sz="0" w:space="0" w:color="auto"/>
        <w:right w:val="none" w:sz="0" w:space="0" w:color="auto"/>
      </w:divBdr>
    </w:div>
    <w:div w:id="963266495">
      <w:bodyDiv w:val="1"/>
      <w:marLeft w:val="0"/>
      <w:marRight w:val="0"/>
      <w:marTop w:val="0"/>
      <w:marBottom w:val="0"/>
      <w:divBdr>
        <w:top w:val="none" w:sz="0" w:space="0" w:color="auto"/>
        <w:left w:val="none" w:sz="0" w:space="0" w:color="auto"/>
        <w:bottom w:val="none" w:sz="0" w:space="0" w:color="auto"/>
        <w:right w:val="none" w:sz="0" w:space="0" w:color="auto"/>
      </w:divBdr>
    </w:div>
    <w:div w:id="1218542050">
      <w:bodyDiv w:val="1"/>
      <w:marLeft w:val="0"/>
      <w:marRight w:val="0"/>
      <w:marTop w:val="0"/>
      <w:marBottom w:val="0"/>
      <w:divBdr>
        <w:top w:val="none" w:sz="0" w:space="0" w:color="auto"/>
        <w:left w:val="none" w:sz="0" w:space="0" w:color="auto"/>
        <w:bottom w:val="none" w:sz="0" w:space="0" w:color="auto"/>
        <w:right w:val="none" w:sz="0" w:space="0" w:color="auto"/>
      </w:divBdr>
    </w:div>
    <w:div w:id="1226183231">
      <w:bodyDiv w:val="1"/>
      <w:marLeft w:val="0"/>
      <w:marRight w:val="0"/>
      <w:marTop w:val="0"/>
      <w:marBottom w:val="0"/>
      <w:divBdr>
        <w:top w:val="none" w:sz="0" w:space="0" w:color="auto"/>
        <w:left w:val="none" w:sz="0" w:space="0" w:color="auto"/>
        <w:bottom w:val="none" w:sz="0" w:space="0" w:color="auto"/>
        <w:right w:val="none" w:sz="0" w:space="0" w:color="auto"/>
      </w:divBdr>
    </w:div>
    <w:div w:id="1390224776">
      <w:bodyDiv w:val="1"/>
      <w:marLeft w:val="0"/>
      <w:marRight w:val="0"/>
      <w:marTop w:val="0"/>
      <w:marBottom w:val="0"/>
      <w:divBdr>
        <w:top w:val="none" w:sz="0" w:space="0" w:color="auto"/>
        <w:left w:val="none" w:sz="0" w:space="0" w:color="auto"/>
        <w:bottom w:val="none" w:sz="0" w:space="0" w:color="auto"/>
        <w:right w:val="none" w:sz="0" w:space="0" w:color="auto"/>
      </w:divBdr>
    </w:div>
    <w:div w:id="1449396027">
      <w:bodyDiv w:val="1"/>
      <w:marLeft w:val="0"/>
      <w:marRight w:val="0"/>
      <w:marTop w:val="0"/>
      <w:marBottom w:val="0"/>
      <w:divBdr>
        <w:top w:val="none" w:sz="0" w:space="0" w:color="auto"/>
        <w:left w:val="none" w:sz="0" w:space="0" w:color="auto"/>
        <w:bottom w:val="none" w:sz="0" w:space="0" w:color="auto"/>
        <w:right w:val="none" w:sz="0" w:space="0" w:color="auto"/>
      </w:divBdr>
    </w:div>
    <w:div w:id="1485655962">
      <w:bodyDiv w:val="1"/>
      <w:marLeft w:val="0"/>
      <w:marRight w:val="0"/>
      <w:marTop w:val="0"/>
      <w:marBottom w:val="0"/>
      <w:divBdr>
        <w:top w:val="none" w:sz="0" w:space="0" w:color="auto"/>
        <w:left w:val="none" w:sz="0" w:space="0" w:color="auto"/>
        <w:bottom w:val="none" w:sz="0" w:space="0" w:color="auto"/>
        <w:right w:val="none" w:sz="0" w:space="0" w:color="auto"/>
      </w:divBdr>
    </w:div>
    <w:div w:id="1519662155">
      <w:bodyDiv w:val="1"/>
      <w:marLeft w:val="0"/>
      <w:marRight w:val="0"/>
      <w:marTop w:val="0"/>
      <w:marBottom w:val="0"/>
      <w:divBdr>
        <w:top w:val="none" w:sz="0" w:space="0" w:color="auto"/>
        <w:left w:val="none" w:sz="0" w:space="0" w:color="auto"/>
        <w:bottom w:val="none" w:sz="0" w:space="0" w:color="auto"/>
        <w:right w:val="none" w:sz="0" w:space="0" w:color="auto"/>
      </w:divBdr>
    </w:div>
    <w:div w:id="1530266114">
      <w:bodyDiv w:val="1"/>
      <w:marLeft w:val="0"/>
      <w:marRight w:val="0"/>
      <w:marTop w:val="0"/>
      <w:marBottom w:val="0"/>
      <w:divBdr>
        <w:top w:val="none" w:sz="0" w:space="0" w:color="auto"/>
        <w:left w:val="none" w:sz="0" w:space="0" w:color="auto"/>
        <w:bottom w:val="none" w:sz="0" w:space="0" w:color="auto"/>
        <w:right w:val="none" w:sz="0" w:space="0" w:color="auto"/>
      </w:divBdr>
    </w:div>
    <w:div w:id="1541822176">
      <w:bodyDiv w:val="1"/>
      <w:marLeft w:val="0"/>
      <w:marRight w:val="0"/>
      <w:marTop w:val="0"/>
      <w:marBottom w:val="0"/>
      <w:divBdr>
        <w:top w:val="none" w:sz="0" w:space="0" w:color="auto"/>
        <w:left w:val="none" w:sz="0" w:space="0" w:color="auto"/>
        <w:bottom w:val="none" w:sz="0" w:space="0" w:color="auto"/>
        <w:right w:val="none" w:sz="0" w:space="0" w:color="auto"/>
      </w:divBdr>
    </w:div>
    <w:div w:id="1546213112">
      <w:bodyDiv w:val="1"/>
      <w:marLeft w:val="0"/>
      <w:marRight w:val="0"/>
      <w:marTop w:val="0"/>
      <w:marBottom w:val="0"/>
      <w:divBdr>
        <w:top w:val="none" w:sz="0" w:space="0" w:color="auto"/>
        <w:left w:val="none" w:sz="0" w:space="0" w:color="auto"/>
        <w:bottom w:val="none" w:sz="0" w:space="0" w:color="auto"/>
        <w:right w:val="none" w:sz="0" w:space="0" w:color="auto"/>
      </w:divBdr>
    </w:div>
    <w:div w:id="1728072213">
      <w:bodyDiv w:val="1"/>
      <w:marLeft w:val="0"/>
      <w:marRight w:val="0"/>
      <w:marTop w:val="0"/>
      <w:marBottom w:val="0"/>
      <w:divBdr>
        <w:top w:val="none" w:sz="0" w:space="0" w:color="auto"/>
        <w:left w:val="none" w:sz="0" w:space="0" w:color="auto"/>
        <w:bottom w:val="none" w:sz="0" w:space="0" w:color="auto"/>
        <w:right w:val="none" w:sz="0" w:space="0" w:color="auto"/>
      </w:divBdr>
      <w:divsChild>
        <w:div w:id="1496915750">
          <w:marLeft w:val="0"/>
          <w:marRight w:val="0"/>
          <w:marTop w:val="0"/>
          <w:marBottom w:val="0"/>
          <w:divBdr>
            <w:top w:val="none" w:sz="0" w:space="0" w:color="auto"/>
            <w:left w:val="none" w:sz="0" w:space="0" w:color="auto"/>
            <w:bottom w:val="none" w:sz="0" w:space="0" w:color="auto"/>
            <w:right w:val="none" w:sz="0" w:space="0" w:color="auto"/>
          </w:divBdr>
          <w:divsChild>
            <w:div w:id="1419134893">
              <w:marLeft w:val="0"/>
              <w:marRight w:val="0"/>
              <w:marTop w:val="0"/>
              <w:marBottom w:val="0"/>
              <w:divBdr>
                <w:top w:val="none" w:sz="0" w:space="0" w:color="auto"/>
                <w:left w:val="none" w:sz="0" w:space="0" w:color="auto"/>
                <w:bottom w:val="none" w:sz="0" w:space="0" w:color="auto"/>
                <w:right w:val="none" w:sz="0" w:space="0" w:color="auto"/>
              </w:divBdr>
            </w:div>
          </w:divsChild>
        </w:div>
        <w:div w:id="19205363">
          <w:marLeft w:val="0"/>
          <w:marRight w:val="0"/>
          <w:marTop w:val="0"/>
          <w:marBottom w:val="0"/>
          <w:divBdr>
            <w:top w:val="none" w:sz="0" w:space="0" w:color="auto"/>
            <w:left w:val="none" w:sz="0" w:space="0" w:color="auto"/>
            <w:bottom w:val="none" w:sz="0" w:space="0" w:color="auto"/>
            <w:right w:val="none" w:sz="0" w:space="0" w:color="auto"/>
          </w:divBdr>
          <w:divsChild>
            <w:div w:id="2032946762">
              <w:marLeft w:val="0"/>
              <w:marRight w:val="0"/>
              <w:marTop w:val="0"/>
              <w:marBottom w:val="0"/>
              <w:divBdr>
                <w:top w:val="none" w:sz="0" w:space="0" w:color="auto"/>
                <w:left w:val="none" w:sz="0" w:space="0" w:color="auto"/>
                <w:bottom w:val="none" w:sz="0" w:space="0" w:color="auto"/>
                <w:right w:val="none" w:sz="0" w:space="0" w:color="auto"/>
              </w:divBdr>
            </w:div>
          </w:divsChild>
        </w:div>
        <w:div w:id="1020664740">
          <w:marLeft w:val="0"/>
          <w:marRight w:val="0"/>
          <w:marTop w:val="0"/>
          <w:marBottom w:val="0"/>
          <w:divBdr>
            <w:top w:val="none" w:sz="0" w:space="0" w:color="auto"/>
            <w:left w:val="none" w:sz="0" w:space="0" w:color="auto"/>
            <w:bottom w:val="none" w:sz="0" w:space="0" w:color="auto"/>
            <w:right w:val="none" w:sz="0" w:space="0" w:color="auto"/>
          </w:divBdr>
          <w:divsChild>
            <w:div w:id="827287187">
              <w:marLeft w:val="0"/>
              <w:marRight w:val="0"/>
              <w:marTop w:val="0"/>
              <w:marBottom w:val="0"/>
              <w:divBdr>
                <w:top w:val="none" w:sz="0" w:space="0" w:color="auto"/>
                <w:left w:val="none" w:sz="0" w:space="0" w:color="auto"/>
                <w:bottom w:val="none" w:sz="0" w:space="0" w:color="auto"/>
                <w:right w:val="none" w:sz="0" w:space="0" w:color="auto"/>
              </w:divBdr>
            </w:div>
          </w:divsChild>
        </w:div>
        <w:div w:id="283464928">
          <w:marLeft w:val="0"/>
          <w:marRight w:val="0"/>
          <w:marTop w:val="0"/>
          <w:marBottom w:val="0"/>
          <w:divBdr>
            <w:top w:val="none" w:sz="0" w:space="0" w:color="auto"/>
            <w:left w:val="none" w:sz="0" w:space="0" w:color="auto"/>
            <w:bottom w:val="none" w:sz="0" w:space="0" w:color="auto"/>
            <w:right w:val="none" w:sz="0" w:space="0" w:color="auto"/>
          </w:divBdr>
          <w:divsChild>
            <w:div w:id="491920126">
              <w:marLeft w:val="0"/>
              <w:marRight w:val="0"/>
              <w:marTop w:val="0"/>
              <w:marBottom w:val="0"/>
              <w:divBdr>
                <w:top w:val="none" w:sz="0" w:space="0" w:color="auto"/>
                <w:left w:val="none" w:sz="0" w:space="0" w:color="auto"/>
                <w:bottom w:val="none" w:sz="0" w:space="0" w:color="auto"/>
                <w:right w:val="none" w:sz="0" w:space="0" w:color="auto"/>
              </w:divBdr>
            </w:div>
          </w:divsChild>
        </w:div>
        <w:div w:id="1682857726">
          <w:marLeft w:val="0"/>
          <w:marRight w:val="0"/>
          <w:marTop w:val="0"/>
          <w:marBottom w:val="0"/>
          <w:divBdr>
            <w:top w:val="none" w:sz="0" w:space="0" w:color="auto"/>
            <w:left w:val="none" w:sz="0" w:space="0" w:color="auto"/>
            <w:bottom w:val="none" w:sz="0" w:space="0" w:color="auto"/>
            <w:right w:val="none" w:sz="0" w:space="0" w:color="auto"/>
          </w:divBdr>
          <w:divsChild>
            <w:div w:id="285699996">
              <w:marLeft w:val="0"/>
              <w:marRight w:val="0"/>
              <w:marTop w:val="0"/>
              <w:marBottom w:val="0"/>
              <w:divBdr>
                <w:top w:val="none" w:sz="0" w:space="0" w:color="auto"/>
                <w:left w:val="none" w:sz="0" w:space="0" w:color="auto"/>
                <w:bottom w:val="none" w:sz="0" w:space="0" w:color="auto"/>
                <w:right w:val="none" w:sz="0" w:space="0" w:color="auto"/>
              </w:divBdr>
            </w:div>
          </w:divsChild>
        </w:div>
        <w:div w:id="702823081">
          <w:marLeft w:val="0"/>
          <w:marRight w:val="0"/>
          <w:marTop w:val="0"/>
          <w:marBottom w:val="0"/>
          <w:divBdr>
            <w:top w:val="none" w:sz="0" w:space="0" w:color="auto"/>
            <w:left w:val="none" w:sz="0" w:space="0" w:color="auto"/>
            <w:bottom w:val="none" w:sz="0" w:space="0" w:color="auto"/>
            <w:right w:val="none" w:sz="0" w:space="0" w:color="auto"/>
          </w:divBdr>
          <w:divsChild>
            <w:div w:id="1704135835">
              <w:marLeft w:val="0"/>
              <w:marRight w:val="0"/>
              <w:marTop w:val="0"/>
              <w:marBottom w:val="0"/>
              <w:divBdr>
                <w:top w:val="none" w:sz="0" w:space="0" w:color="auto"/>
                <w:left w:val="none" w:sz="0" w:space="0" w:color="auto"/>
                <w:bottom w:val="none" w:sz="0" w:space="0" w:color="auto"/>
                <w:right w:val="none" w:sz="0" w:space="0" w:color="auto"/>
              </w:divBdr>
            </w:div>
          </w:divsChild>
        </w:div>
        <w:div w:id="788672006">
          <w:marLeft w:val="0"/>
          <w:marRight w:val="0"/>
          <w:marTop w:val="0"/>
          <w:marBottom w:val="0"/>
          <w:divBdr>
            <w:top w:val="none" w:sz="0" w:space="0" w:color="auto"/>
            <w:left w:val="none" w:sz="0" w:space="0" w:color="auto"/>
            <w:bottom w:val="none" w:sz="0" w:space="0" w:color="auto"/>
            <w:right w:val="none" w:sz="0" w:space="0" w:color="auto"/>
          </w:divBdr>
          <w:divsChild>
            <w:div w:id="162812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339880">
      <w:bodyDiv w:val="1"/>
      <w:marLeft w:val="0"/>
      <w:marRight w:val="0"/>
      <w:marTop w:val="0"/>
      <w:marBottom w:val="0"/>
      <w:divBdr>
        <w:top w:val="none" w:sz="0" w:space="0" w:color="auto"/>
        <w:left w:val="none" w:sz="0" w:space="0" w:color="auto"/>
        <w:bottom w:val="none" w:sz="0" w:space="0" w:color="auto"/>
        <w:right w:val="none" w:sz="0" w:space="0" w:color="auto"/>
      </w:divBdr>
    </w:div>
    <w:div w:id="1783919323">
      <w:bodyDiv w:val="1"/>
      <w:marLeft w:val="0"/>
      <w:marRight w:val="0"/>
      <w:marTop w:val="0"/>
      <w:marBottom w:val="0"/>
      <w:divBdr>
        <w:top w:val="none" w:sz="0" w:space="0" w:color="auto"/>
        <w:left w:val="none" w:sz="0" w:space="0" w:color="auto"/>
        <w:bottom w:val="none" w:sz="0" w:space="0" w:color="auto"/>
        <w:right w:val="none" w:sz="0" w:space="0" w:color="auto"/>
      </w:divBdr>
      <w:divsChild>
        <w:div w:id="754791248">
          <w:marLeft w:val="0"/>
          <w:marRight w:val="0"/>
          <w:marTop w:val="0"/>
          <w:marBottom w:val="160"/>
          <w:divBdr>
            <w:top w:val="none" w:sz="0" w:space="0" w:color="auto"/>
            <w:left w:val="none" w:sz="0" w:space="0" w:color="auto"/>
            <w:bottom w:val="none" w:sz="0" w:space="0" w:color="auto"/>
            <w:right w:val="none" w:sz="0" w:space="0" w:color="auto"/>
          </w:divBdr>
        </w:div>
      </w:divsChild>
    </w:div>
    <w:div w:id="2001494970">
      <w:bodyDiv w:val="1"/>
      <w:marLeft w:val="0"/>
      <w:marRight w:val="0"/>
      <w:marTop w:val="0"/>
      <w:marBottom w:val="0"/>
      <w:divBdr>
        <w:top w:val="none" w:sz="0" w:space="0" w:color="auto"/>
        <w:left w:val="none" w:sz="0" w:space="0" w:color="auto"/>
        <w:bottom w:val="none" w:sz="0" w:space="0" w:color="auto"/>
        <w:right w:val="none" w:sz="0" w:space="0" w:color="auto"/>
      </w:divBdr>
    </w:div>
    <w:div w:id="2015836734">
      <w:bodyDiv w:val="1"/>
      <w:marLeft w:val="0"/>
      <w:marRight w:val="0"/>
      <w:marTop w:val="0"/>
      <w:marBottom w:val="0"/>
      <w:divBdr>
        <w:top w:val="none" w:sz="0" w:space="0" w:color="auto"/>
        <w:left w:val="none" w:sz="0" w:space="0" w:color="auto"/>
        <w:bottom w:val="none" w:sz="0" w:space="0" w:color="auto"/>
        <w:right w:val="none" w:sz="0" w:space="0" w:color="auto"/>
      </w:divBdr>
    </w:div>
    <w:div w:id="2024285152">
      <w:bodyDiv w:val="1"/>
      <w:marLeft w:val="0"/>
      <w:marRight w:val="0"/>
      <w:marTop w:val="0"/>
      <w:marBottom w:val="0"/>
      <w:divBdr>
        <w:top w:val="none" w:sz="0" w:space="0" w:color="auto"/>
        <w:left w:val="none" w:sz="0" w:space="0" w:color="auto"/>
        <w:bottom w:val="none" w:sz="0" w:space="0" w:color="auto"/>
        <w:right w:val="none" w:sz="0" w:space="0" w:color="auto"/>
      </w:divBdr>
    </w:div>
    <w:div w:id="20633657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مخصص 1">
      <a:majorFont>
        <a:latin typeface="Times New Roman"/>
        <a:ea typeface=""/>
        <a:cs typeface="Simplified Arabic"/>
      </a:majorFont>
      <a:minorFont>
        <a:latin typeface="Times New Roman"/>
        <a:ea typeface=""/>
        <a:cs typeface="Simplified Arabic"/>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6860</Words>
  <Characters>39107</Characters>
  <Application>Microsoft Office Word</Application>
  <DocSecurity>0</DocSecurity>
  <Lines>325</Lines>
  <Paragraphs>91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2026-07-18T00:07:00Z</dcterms:created>
  <dcterms:modified xsi:type="dcterms:W3CDTF">2026-07-18T00:07:00Z</dcterms:modified>
</cp:coreProperties>
</file>