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26C7F1" w14:textId="77777777" w:rsidR="006459A5" w:rsidRDefault="004512D4">
      <w:pPr>
        <w:pStyle w:val="Heading1"/>
      </w:pPr>
      <w:r>
        <w:rPr>
          <w:rFonts w:ascii="Times New Roman" w:eastAsia="Times New Roman" w:hAnsi="Times New Roman"/>
        </w:rPr>
        <w:t>Chapter 2: Background</w:t>
      </w:r>
    </w:p>
    <w:p w14:paraId="69D10F83" w14:textId="77777777" w:rsidR="006459A5" w:rsidRDefault="004512D4">
      <w:pPr>
        <w:pStyle w:val="Heading2"/>
      </w:pPr>
      <w:r>
        <w:rPr>
          <w:rFonts w:ascii="Times New Roman" w:eastAsia="Times New Roman" w:hAnsi="Times New Roman"/>
        </w:rPr>
        <w:t>2.1 Introduction</w:t>
      </w:r>
    </w:p>
    <w:p w14:paraId="144CFFD1" w14:textId="77777777" w:rsidR="006459A5" w:rsidRDefault="004512D4">
      <w:r>
        <w:rPr>
          <w:rFonts w:eastAsia="Times New Roman"/>
        </w:rPr>
        <w:t xml:space="preserve">This chapter reviews the theoretical and empirical foundations for forecasting gold prices using a hybrid learning approach. We position the thesis model as a feature-level hybrid that couples a temporal deep </w:t>
      </w:r>
      <w:r>
        <w:rPr>
          <w:rFonts w:eastAsia="Times New Roman"/>
        </w:rPr>
        <w:t>learner (LSTM) with a strong tabular learner (XGBoost) to integrate heterogeneous drivers: price dynamics, macroeconomic and market indicators, and daily sentiment extracted from financial news via FinBERT. Recent literature indicates the value of decompos</w:t>
      </w:r>
      <w:r>
        <w:rPr>
          <w:rFonts w:eastAsia="Times New Roman"/>
        </w:rPr>
        <w:t>ition-enhanced deep models for commodity futures and of hybrid architectures that blend sequence models with attention mechanisms, particularly for gold futures (Zhao, Guo, &amp; Wang, 2025; Song, Huang, Xu, Ruan, &amp; Zhu, 2024; Li et al., 2025).</w:t>
      </w:r>
    </w:p>
    <w:p w14:paraId="68FEA5A1" w14:textId="77777777" w:rsidR="006459A5" w:rsidRDefault="004512D4">
      <w:pPr>
        <w:pStyle w:val="Heading2"/>
      </w:pPr>
      <w:r>
        <w:rPr>
          <w:rFonts w:ascii="Times New Roman" w:eastAsia="Times New Roman" w:hAnsi="Times New Roman"/>
        </w:rPr>
        <w:t>2.2 AI in finan</w:t>
      </w:r>
      <w:r>
        <w:rPr>
          <w:rFonts w:ascii="Times New Roman" w:eastAsia="Times New Roman" w:hAnsi="Times New Roman"/>
        </w:rPr>
        <w:t>cial forecasting</w:t>
      </w:r>
    </w:p>
    <w:p w14:paraId="0C24EDE1" w14:textId="77777777" w:rsidR="006459A5" w:rsidRDefault="004512D4">
      <w:r>
        <w:rPr>
          <w:rFonts w:eastAsia="Times New Roman"/>
        </w:rPr>
        <w:t>AI methods enable modeling non-linear relations and regime shifts while fusing diverse modalities (time series, structured factors, and text). For gold, representative exogenous variables include the U.S. dollar index (DXY), inflation (e.g</w:t>
      </w:r>
      <w:r>
        <w:rPr>
          <w:rFonts w:eastAsia="Times New Roman"/>
        </w:rPr>
        <w:t>., CPI), term-structure proxies (e.g., UST10Y), and technical indicators; in parallel, news-derived sentiment signals (FinBERT positive/negative/neutral shares, counts, and rolling aggregates) can capture risk-on/off tones that often precede directional mo</w:t>
      </w:r>
      <w:r>
        <w:rPr>
          <w:rFonts w:eastAsia="Times New Roman"/>
        </w:rPr>
        <w:t>ves. Recent work shows that hybrid deep architectures significantly improve gold-futures forecasting, while adjacent markets (e.g., carbon prices) also benefit from pipelines that combine signal decomposition with deep learners—evidence that supports the t</w:t>
      </w:r>
      <w:r>
        <w:rPr>
          <w:rFonts w:eastAsia="Times New Roman"/>
        </w:rPr>
        <w:t>hesis’ hybrid design choice (Zhao et al., 2025; Li et al., 2025; Song et al., 2024).</w:t>
      </w:r>
    </w:p>
    <w:p w14:paraId="7FC682C9" w14:textId="77777777" w:rsidR="006459A5" w:rsidRDefault="004512D4">
      <w:pPr>
        <w:pStyle w:val="Heading2"/>
      </w:pPr>
      <w:r>
        <w:rPr>
          <w:rFonts w:ascii="Times New Roman" w:eastAsia="Times New Roman" w:hAnsi="Times New Roman"/>
        </w:rPr>
        <w:t>2.3 Gold price prediction techniques</w:t>
      </w:r>
    </w:p>
    <w:p w14:paraId="7D94661B" w14:textId="77777777" w:rsidR="006459A5" w:rsidRDefault="004512D4">
      <w:pPr>
        <w:pStyle w:val="Heading3"/>
      </w:pPr>
      <w:r>
        <w:rPr>
          <w:rFonts w:ascii="Times New Roman" w:eastAsia="Times New Roman" w:hAnsi="Times New Roman"/>
        </w:rPr>
        <w:t>2.3.1 Classical econometric models</w:t>
      </w:r>
    </w:p>
    <w:p w14:paraId="411E1B36" w14:textId="77777777" w:rsidR="006459A5" w:rsidRDefault="004512D4">
      <w:r>
        <w:rPr>
          <w:rFonts w:eastAsia="Times New Roman"/>
        </w:rPr>
        <w:t>ARIMA/SARIMA capture autocorrelation and seasonality; (G)ARCH focuses on volatility; and VAR/VECM m</w:t>
      </w:r>
      <w:r>
        <w:rPr>
          <w:rFonts w:eastAsia="Times New Roman"/>
        </w:rPr>
        <w:t>odel interactions across series (e.g., gold, USD, oil). While effective under relatively stable dynamics, linearity and stationarity assumptions can limit performance during structural breaks and high non-linearity—motivating modern and hybrid alternatives</w:t>
      </w:r>
      <w:r>
        <w:rPr>
          <w:rFonts w:eastAsia="Times New Roman"/>
        </w:rPr>
        <w:t>. (Overview synthesized; see Sections 2.3.2–2.3.3 for modern/hybrid evidence.)</w:t>
      </w:r>
    </w:p>
    <w:p w14:paraId="3B06B4C5" w14:textId="77777777" w:rsidR="006459A5" w:rsidRDefault="004512D4">
      <w:pPr>
        <w:pStyle w:val="Heading3"/>
      </w:pPr>
      <w:r>
        <w:rPr>
          <w:rFonts w:ascii="Times New Roman" w:eastAsia="Times New Roman" w:hAnsi="Times New Roman"/>
        </w:rPr>
        <w:t>2.3.2 Modern ML/DL and hybrid models</w:t>
      </w:r>
    </w:p>
    <w:p w14:paraId="0B51AE5B" w14:textId="77777777" w:rsidR="006459A5" w:rsidRDefault="004512D4">
      <w:r>
        <w:rPr>
          <w:rFonts w:eastAsia="Times New Roman"/>
        </w:rPr>
        <w:t>Modern machine learning (e.g., regularized linear models, Random Forest, XGBoost) captures complex interactions among tabular exogenous feat</w:t>
      </w:r>
      <w:r>
        <w:rPr>
          <w:rFonts w:eastAsia="Times New Roman"/>
        </w:rPr>
        <w:t>ures and supports feature-importance diagnostics. Deep sequence models (e.g., LSTM/GRU; optionally 1D-CNN for local patterns) learn long-range temporal dependencies. The literature indicates:</w:t>
      </w:r>
    </w:p>
    <w:p w14:paraId="579A82CB" w14:textId="77777777" w:rsidR="006459A5" w:rsidRDefault="004512D4">
      <w:pPr>
        <w:pStyle w:val="ListBullet"/>
      </w:pPr>
      <w:r>
        <w:rPr>
          <w:rFonts w:eastAsia="Times New Roman"/>
        </w:rPr>
        <w:lastRenderedPageBreak/>
        <w:t>Decomposition-enhanced deep models (multi-decomposition before D</w:t>
      </w:r>
      <w:r>
        <w:rPr>
          <w:rFonts w:eastAsia="Times New Roman"/>
        </w:rPr>
        <w:t>L) increase futures-prediction accuracy by stabilizing non-stationary inputs (Song et al., 2024).</w:t>
      </w:r>
    </w:p>
    <w:p w14:paraId="5D988641" w14:textId="77777777" w:rsidR="006459A5" w:rsidRDefault="004512D4">
      <w:pPr>
        <w:pStyle w:val="ListBullet"/>
      </w:pPr>
      <w:r>
        <w:rPr>
          <w:rFonts w:eastAsia="Times New Roman"/>
        </w:rPr>
        <w:t>Hybrid attention architectures (e.g., LSTM–Transformer with multi-scale feature fusion) achieve high accuracy in gold-futures forecasting (Zhao et al., 2025).</w:t>
      </w:r>
    </w:p>
    <w:p w14:paraId="3F6343A8" w14:textId="77777777" w:rsidR="006459A5" w:rsidRDefault="004512D4">
      <w:pPr>
        <w:pStyle w:val="ListBullet"/>
      </w:pPr>
      <w:r>
        <w:rPr>
          <w:rFonts w:eastAsia="Times New Roman"/>
        </w:rPr>
        <w:t>Meta-learning under resource constraints can improve forecasting accuracy/efficiency in financial markets, informing practical deployment choices for limited-compute settings (Batool, Baig, &amp; Fatima, 2025).</w:t>
      </w:r>
    </w:p>
    <w:p w14:paraId="5E2747EA" w14:textId="77777777" w:rsidR="006459A5" w:rsidRDefault="004512D4">
      <w:pPr>
        <w:pStyle w:val="ListBullet"/>
      </w:pPr>
      <w:r>
        <w:rPr>
          <w:rFonts w:eastAsia="Times New Roman"/>
        </w:rPr>
        <w:t>ML-driven multi-objective optimization (MOO) sup</w:t>
      </w:r>
      <w:r>
        <w:rPr>
          <w:rFonts w:eastAsia="Times New Roman"/>
        </w:rPr>
        <w:t>ports sustainability and cost/risk trade-offs in gold-mining decisions, highlighting the broader role of data-driven methods around gold markets (Qiu, Yang, Tang, &amp; Fan, 2025).</w:t>
      </w:r>
    </w:p>
    <w:p w14:paraId="23FECB94" w14:textId="77777777" w:rsidR="006459A5" w:rsidRDefault="004512D4">
      <w:pPr>
        <w:pStyle w:val="ListBullet"/>
      </w:pPr>
      <w:r>
        <w:rPr>
          <w:rFonts w:eastAsia="Times New Roman"/>
        </w:rPr>
        <w:t>Hybrid deep learning in adjacent markets (e.g., carbon pricing) shows that dual</w:t>
      </w:r>
      <w:r>
        <w:rPr>
          <w:rFonts w:eastAsia="Times New Roman"/>
        </w:rPr>
        <w:t>-mode decomposition plus sequence mixers (e.g., BiGRU with attention/TKMixer) can boost performance—evidence transferable to precious-metal forecasting when thoughtfully adapted (Li et al., 2025).</w:t>
      </w:r>
    </w:p>
    <w:p w14:paraId="00D4B201" w14:textId="77777777" w:rsidR="006459A5" w:rsidRDefault="004512D4">
      <w:pPr>
        <w:pStyle w:val="Heading3"/>
      </w:pPr>
      <w:r>
        <w:rPr>
          <w:rFonts w:ascii="Times New Roman" w:eastAsia="Times New Roman" w:hAnsi="Times New Roman"/>
        </w:rPr>
        <w:t>2.3.3 Model choice in this thesis</w:t>
      </w:r>
    </w:p>
    <w:p w14:paraId="7ABD7D8B" w14:textId="77777777" w:rsidR="006459A5" w:rsidRDefault="004512D4">
      <w:r>
        <w:rPr>
          <w:rFonts w:eastAsia="Times New Roman"/>
        </w:rPr>
        <w:t>The thesis adopts a featu</w:t>
      </w:r>
      <w:r>
        <w:rPr>
          <w:rFonts w:eastAsia="Times New Roman"/>
        </w:rPr>
        <w:t>re-level hybrid: an LSTM encodes price-window dynamics into a compact representation, which is concatenated with macro/market/technical and FinBERT sentiment features and then learned by XGBoost. This design is (i) simpler to train and deploy than full att</w:t>
      </w:r>
      <w:r>
        <w:rPr>
          <w:rFonts w:eastAsia="Times New Roman"/>
        </w:rPr>
        <w:t>ention stacks, (ii) robust with tabular feature sets, and (iii) aligned with evidence that hybrid and decomposition-assisted deep models outperform single-family baselines in commodity-futures settings (Zhao et al., 2025; Song et al., 2024; Li et al., 2025</w:t>
      </w:r>
      <w:r>
        <w:rPr>
          <w:rFonts w:eastAsia="Times New Roman"/>
        </w:rPr>
        <w:t>). For benchmarking and statistical validation, we will compare against ARIMA/SARIMA, (G)ARCH, pure LSTM/GRU, pure XGBoost, and 1D-CNN using consistent splits and a walk-forward protocol with Diebold–Mariano tests and prediction-interval assessment.</w:t>
      </w:r>
    </w:p>
    <w:p w14:paraId="52862BA4" w14:textId="77777777" w:rsidR="006459A5" w:rsidRDefault="004512D4">
      <w:pPr>
        <w:pStyle w:val="Heading2"/>
      </w:pPr>
      <w:r>
        <w:rPr>
          <w:rFonts w:ascii="Times New Roman" w:eastAsia="Times New Roman" w:hAnsi="Times New Roman"/>
        </w:rPr>
        <w:t>2.4 Al</w:t>
      </w:r>
      <w:r>
        <w:rPr>
          <w:rFonts w:ascii="Times New Roman" w:eastAsia="Times New Roman" w:hAnsi="Times New Roman"/>
        </w:rPr>
        <w:t>ignment with supervisor-provided studies (quick map)</w:t>
      </w:r>
    </w:p>
    <w:p w14:paraId="00451869" w14:textId="77777777" w:rsidR="006459A5" w:rsidRDefault="004512D4">
      <w:pPr>
        <w:pStyle w:val="ListBullet"/>
      </w:pPr>
      <w:r>
        <w:rPr>
          <w:rFonts w:eastAsia="Times New Roman"/>
        </w:rPr>
        <w:t>Decomposition → DL: We will optionally evaluate VMD/EWT before LSTM encoding, reflecting the multi-decomposition advantage in futures prediction (Song et al., 2024).</w:t>
      </w:r>
    </w:p>
    <w:p w14:paraId="75C621D9" w14:textId="77777777" w:rsidR="006459A5" w:rsidRDefault="004512D4">
      <w:pPr>
        <w:pStyle w:val="ListBullet"/>
      </w:pPr>
      <w:r>
        <w:rPr>
          <w:rFonts w:eastAsia="Times New Roman"/>
        </w:rPr>
        <w:t>Hybrid/Attention: Although our primar</w:t>
      </w:r>
      <w:r>
        <w:rPr>
          <w:rFonts w:eastAsia="Times New Roman"/>
        </w:rPr>
        <w:t>y design is feature-level (LSTM→XGBoost), we will include LSTM–Transformer as a strong ablation for gold futures (Zhao et al., 2025).</w:t>
      </w:r>
    </w:p>
    <w:p w14:paraId="4D0D7A65" w14:textId="77777777" w:rsidR="006459A5" w:rsidRDefault="004512D4">
      <w:pPr>
        <w:pStyle w:val="ListBullet"/>
      </w:pPr>
      <w:r>
        <w:rPr>
          <w:rFonts w:eastAsia="Times New Roman"/>
        </w:rPr>
        <w:t>Cross-market evidence: Results from carbon price forecasting with dual-mode decomposition + TKMixer/BiGRU support the port</w:t>
      </w:r>
      <w:r>
        <w:rPr>
          <w:rFonts w:eastAsia="Times New Roman"/>
        </w:rPr>
        <w:t>ability of hybrid pipelines (Li et al., 2025).</w:t>
      </w:r>
    </w:p>
    <w:p w14:paraId="191D4099" w14:textId="77777777" w:rsidR="006459A5" w:rsidRDefault="004512D4">
      <w:pPr>
        <w:pStyle w:val="ListBullet"/>
      </w:pPr>
      <w:r>
        <w:rPr>
          <w:rFonts w:eastAsia="Times New Roman"/>
        </w:rPr>
        <w:t>Meta-learning (deployment under constraints): We will discuss meta-learning as a deployment pathway when compute/latency is constrained (Batool et al., 2025).</w:t>
      </w:r>
    </w:p>
    <w:p w14:paraId="1243E123" w14:textId="77777777" w:rsidR="006459A5" w:rsidRDefault="004512D4">
      <w:pPr>
        <w:pStyle w:val="ListBullet"/>
      </w:pPr>
      <w:r>
        <w:rPr>
          <w:rFonts w:eastAsia="Times New Roman"/>
        </w:rPr>
        <w:t>From prediction to decision: We will outline how f</w:t>
      </w:r>
      <w:r>
        <w:rPr>
          <w:rFonts w:eastAsia="Times New Roman"/>
        </w:rPr>
        <w:t>orecasts could feed multi-objective decision support (cost/emissions) in gold operations (Qiu et al., 2025).</w:t>
      </w:r>
    </w:p>
    <w:p w14:paraId="5120ADFE" w14:textId="77777777" w:rsidR="006459A5" w:rsidRDefault="004512D4">
      <w:pPr>
        <w:pStyle w:val="Heading3"/>
      </w:pPr>
      <w:r>
        <w:rPr>
          <w:rFonts w:ascii="Times New Roman" w:eastAsia="Times New Roman" w:hAnsi="Times New Roman"/>
        </w:rPr>
        <w:lastRenderedPageBreak/>
        <w:t>Table 2.3. Summary of representative studies (compact)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4"/>
        <w:gridCol w:w="630"/>
        <w:gridCol w:w="1526"/>
        <w:gridCol w:w="1894"/>
        <w:gridCol w:w="1687"/>
        <w:gridCol w:w="1435"/>
        <w:gridCol w:w="1170"/>
      </w:tblGrid>
      <w:tr w:rsidR="006459A5" w14:paraId="2AF85808" w14:textId="77777777" w:rsidTr="004512D4">
        <w:tc>
          <w:tcPr>
            <w:tcW w:w="1234" w:type="dxa"/>
          </w:tcPr>
          <w:p w14:paraId="6DBFBE8A" w14:textId="77777777" w:rsidR="006459A5" w:rsidRDefault="004512D4">
            <w:r>
              <w:t>Ref</w:t>
            </w:r>
          </w:p>
        </w:tc>
        <w:tc>
          <w:tcPr>
            <w:tcW w:w="1234" w:type="dxa"/>
          </w:tcPr>
          <w:p w14:paraId="6FFDA918" w14:textId="77777777" w:rsidR="006459A5" w:rsidRDefault="004512D4">
            <w:r>
              <w:t>Year</w:t>
            </w:r>
          </w:p>
        </w:tc>
        <w:tc>
          <w:tcPr>
            <w:tcW w:w="1234" w:type="dxa"/>
          </w:tcPr>
          <w:p w14:paraId="714CEC63" w14:textId="77777777" w:rsidR="006459A5" w:rsidRDefault="004512D4">
            <w:r>
              <w:t>Dataset</w:t>
            </w:r>
          </w:p>
        </w:tc>
        <w:tc>
          <w:tcPr>
            <w:tcW w:w="1234" w:type="dxa"/>
          </w:tcPr>
          <w:p w14:paraId="2F1576BF" w14:textId="77777777" w:rsidR="006459A5" w:rsidRDefault="004512D4">
            <w:r>
              <w:t>Models</w:t>
            </w:r>
          </w:p>
        </w:tc>
        <w:tc>
          <w:tcPr>
            <w:tcW w:w="1234" w:type="dxa"/>
          </w:tcPr>
          <w:p w14:paraId="65793CB3" w14:textId="77777777" w:rsidR="006459A5" w:rsidRDefault="004512D4">
            <w:r>
              <w:t>Results</w:t>
            </w:r>
          </w:p>
        </w:tc>
        <w:tc>
          <w:tcPr>
            <w:tcW w:w="1234" w:type="dxa"/>
          </w:tcPr>
          <w:p w14:paraId="771A8B85" w14:textId="77777777" w:rsidR="006459A5" w:rsidRDefault="004512D4">
            <w:r>
              <w:t>Advantages</w:t>
            </w:r>
          </w:p>
        </w:tc>
        <w:tc>
          <w:tcPr>
            <w:tcW w:w="1234" w:type="dxa"/>
          </w:tcPr>
          <w:p w14:paraId="50676E1E" w14:textId="77777777" w:rsidR="006459A5" w:rsidRDefault="004512D4">
            <w:r>
              <w:t>Limitations</w:t>
            </w:r>
          </w:p>
        </w:tc>
      </w:tr>
      <w:tr w:rsidR="006459A5" w14:paraId="06581039" w14:textId="77777777" w:rsidTr="004512D4">
        <w:tc>
          <w:tcPr>
            <w:tcW w:w="1234" w:type="dxa"/>
          </w:tcPr>
          <w:p w14:paraId="1455EA4C" w14:textId="77777777" w:rsidR="006459A5" w:rsidRDefault="004512D4">
            <w:r>
              <w:t>[1]</w:t>
            </w:r>
          </w:p>
        </w:tc>
        <w:tc>
          <w:tcPr>
            <w:tcW w:w="1234" w:type="dxa"/>
          </w:tcPr>
          <w:p w14:paraId="3F0A32B6" w14:textId="77777777" w:rsidR="006459A5" w:rsidRDefault="004512D4">
            <w:r>
              <w:t>2024</w:t>
            </w:r>
          </w:p>
        </w:tc>
        <w:tc>
          <w:tcPr>
            <w:tcW w:w="1234" w:type="dxa"/>
          </w:tcPr>
          <w:p w14:paraId="05484670" w14:textId="77777777" w:rsidR="006459A5" w:rsidRDefault="004512D4">
            <w:r>
              <w:t>Futures (generic)</w:t>
            </w:r>
          </w:p>
        </w:tc>
        <w:tc>
          <w:tcPr>
            <w:tcW w:w="1234" w:type="dxa"/>
          </w:tcPr>
          <w:p w14:paraId="40C2F3C1" w14:textId="77777777" w:rsidR="006459A5" w:rsidRDefault="004512D4">
            <w:r>
              <w:t>Multi-decomposition + DL (reg/tree/NN families)</w:t>
            </w:r>
          </w:p>
        </w:tc>
        <w:tc>
          <w:tcPr>
            <w:tcW w:w="1234" w:type="dxa"/>
          </w:tcPr>
          <w:p w14:paraId="120E0E61" w14:textId="77777777" w:rsidR="006459A5" w:rsidRDefault="004512D4">
            <w:r>
              <w:t>Decomposition improves accuracy vs baselines</w:t>
            </w:r>
          </w:p>
        </w:tc>
        <w:tc>
          <w:tcPr>
            <w:tcW w:w="1234" w:type="dxa"/>
          </w:tcPr>
          <w:p w14:paraId="404A5BDB" w14:textId="77777777" w:rsidR="006459A5" w:rsidRDefault="004512D4">
            <w:r>
              <w:t>Stabilizes non-stationarity; model-agnostic</w:t>
            </w:r>
          </w:p>
        </w:tc>
        <w:tc>
          <w:tcPr>
            <w:tcW w:w="1234" w:type="dxa"/>
          </w:tcPr>
          <w:p w14:paraId="7FB2B85F" w14:textId="77777777" w:rsidR="006459A5" w:rsidRDefault="004512D4">
            <w:r>
              <w:t>Not gold-specific; metrics vary</w:t>
            </w:r>
          </w:p>
        </w:tc>
      </w:tr>
      <w:tr w:rsidR="006459A5" w14:paraId="3F9F8A61" w14:textId="77777777" w:rsidTr="004512D4">
        <w:tc>
          <w:tcPr>
            <w:tcW w:w="1234" w:type="dxa"/>
          </w:tcPr>
          <w:p w14:paraId="7B7309FC" w14:textId="77777777" w:rsidR="006459A5" w:rsidRDefault="004512D4">
            <w:r>
              <w:t>[2]</w:t>
            </w:r>
          </w:p>
        </w:tc>
        <w:tc>
          <w:tcPr>
            <w:tcW w:w="1234" w:type="dxa"/>
          </w:tcPr>
          <w:p w14:paraId="0752F9FE" w14:textId="77777777" w:rsidR="006459A5" w:rsidRDefault="004512D4">
            <w:r>
              <w:t>2025</w:t>
            </w:r>
          </w:p>
        </w:tc>
        <w:tc>
          <w:tcPr>
            <w:tcW w:w="1234" w:type="dxa"/>
          </w:tcPr>
          <w:p w14:paraId="154D390D" w14:textId="77777777" w:rsidR="006459A5" w:rsidRDefault="004512D4">
            <w:r>
              <w:t>Gold futures</w:t>
            </w:r>
          </w:p>
        </w:tc>
        <w:tc>
          <w:tcPr>
            <w:tcW w:w="1234" w:type="dxa"/>
          </w:tcPr>
          <w:p w14:paraId="4E926EE7" w14:textId="77777777" w:rsidR="006459A5" w:rsidRDefault="004512D4">
            <w:r>
              <w:t>LSTM–Transformer (multi-scale fusion)</w:t>
            </w:r>
          </w:p>
        </w:tc>
        <w:tc>
          <w:tcPr>
            <w:tcW w:w="1234" w:type="dxa"/>
          </w:tcPr>
          <w:p w14:paraId="62B5832F" w14:textId="77777777" w:rsidR="006459A5" w:rsidRDefault="004512D4">
            <w:r>
              <w:t>&gt; baselines; strong direct</w:t>
            </w:r>
            <w:r>
              <w:t>ional accuracy</w:t>
            </w:r>
          </w:p>
        </w:tc>
        <w:tc>
          <w:tcPr>
            <w:tcW w:w="1234" w:type="dxa"/>
          </w:tcPr>
          <w:p w14:paraId="68769829" w14:textId="77777777" w:rsidR="006459A5" w:rsidRDefault="004512D4">
            <w:r>
              <w:t>Captures multi-scale temporal patterns</w:t>
            </w:r>
          </w:p>
        </w:tc>
        <w:tc>
          <w:tcPr>
            <w:tcW w:w="1234" w:type="dxa"/>
          </w:tcPr>
          <w:p w14:paraId="28B840ED" w14:textId="77777777" w:rsidR="006459A5" w:rsidRDefault="004512D4">
            <w:r>
              <w:t>More compute; tuning needed</w:t>
            </w:r>
          </w:p>
        </w:tc>
      </w:tr>
      <w:tr w:rsidR="006459A5" w14:paraId="40694F21" w14:textId="77777777" w:rsidTr="004512D4">
        <w:tc>
          <w:tcPr>
            <w:tcW w:w="1234" w:type="dxa"/>
          </w:tcPr>
          <w:p w14:paraId="668C939D" w14:textId="77777777" w:rsidR="006459A5" w:rsidRDefault="004512D4">
            <w:r>
              <w:t>[3]</w:t>
            </w:r>
          </w:p>
        </w:tc>
        <w:tc>
          <w:tcPr>
            <w:tcW w:w="1234" w:type="dxa"/>
          </w:tcPr>
          <w:p w14:paraId="3A07C8D9" w14:textId="77777777" w:rsidR="006459A5" w:rsidRDefault="004512D4">
            <w:r>
              <w:t>2025</w:t>
            </w:r>
          </w:p>
        </w:tc>
        <w:tc>
          <w:tcPr>
            <w:tcW w:w="1234" w:type="dxa"/>
          </w:tcPr>
          <w:p w14:paraId="57B10C5D" w14:textId="77777777" w:rsidR="006459A5" w:rsidRDefault="004512D4">
            <w:r>
              <w:t>Carbon prices</w:t>
            </w:r>
          </w:p>
        </w:tc>
        <w:tc>
          <w:tcPr>
            <w:tcW w:w="1234" w:type="dxa"/>
          </w:tcPr>
          <w:p w14:paraId="3E343C54" w14:textId="77777777" w:rsidR="006459A5" w:rsidRDefault="004512D4">
            <w:r>
              <w:t>Dual-mode decomposition + TKMixer–BiGRU–SA</w:t>
            </w:r>
          </w:p>
        </w:tc>
        <w:tc>
          <w:tcPr>
            <w:tcW w:w="1234" w:type="dxa"/>
          </w:tcPr>
          <w:p w14:paraId="74FB359C" w14:textId="77777777" w:rsidR="006459A5" w:rsidRDefault="004512D4">
            <w:r>
              <w:t>Significant gains post-decomposition</w:t>
            </w:r>
          </w:p>
        </w:tc>
        <w:tc>
          <w:tcPr>
            <w:tcW w:w="1234" w:type="dxa"/>
          </w:tcPr>
          <w:p w14:paraId="64448C5E" w14:textId="77777777" w:rsidR="006459A5" w:rsidRDefault="004512D4">
            <w:r>
              <w:t>Hybrid + decomposition helpful</w:t>
            </w:r>
          </w:p>
        </w:tc>
        <w:tc>
          <w:tcPr>
            <w:tcW w:w="1234" w:type="dxa"/>
          </w:tcPr>
          <w:p w14:paraId="34C9E52A" w14:textId="77777777" w:rsidR="006459A5" w:rsidRDefault="004512D4">
            <w:r>
              <w:t>Different asset; adapt needed</w:t>
            </w:r>
          </w:p>
        </w:tc>
      </w:tr>
      <w:tr w:rsidR="006459A5" w14:paraId="6CE08705" w14:textId="77777777" w:rsidTr="004512D4">
        <w:tc>
          <w:tcPr>
            <w:tcW w:w="1234" w:type="dxa"/>
          </w:tcPr>
          <w:p w14:paraId="230D7AC9" w14:textId="77777777" w:rsidR="006459A5" w:rsidRDefault="004512D4">
            <w:r>
              <w:t>[4]</w:t>
            </w:r>
          </w:p>
        </w:tc>
        <w:tc>
          <w:tcPr>
            <w:tcW w:w="1234" w:type="dxa"/>
          </w:tcPr>
          <w:p w14:paraId="572C23AC" w14:textId="77777777" w:rsidR="006459A5" w:rsidRDefault="004512D4">
            <w:r>
              <w:t>2025</w:t>
            </w:r>
          </w:p>
        </w:tc>
        <w:tc>
          <w:tcPr>
            <w:tcW w:w="1234" w:type="dxa"/>
          </w:tcPr>
          <w:p w14:paraId="53614F3B" w14:textId="77777777" w:rsidR="006459A5" w:rsidRDefault="004512D4">
            <w:r>
              <w:t>Equities/Crypto</w:t>
            </w:r>
          </w:p>
        </w:tc>
        <w:tc>
          <w:tcPr>
            <w:tcW w:w="1234" w:type="dxa"/>
          </w:tcPr>
          <w:p w14:paraId="57296ACA" w14:textId="77777777" w:rsidR="006459A5" w:rsidRDefault="004512D4">
            <w:r>
              <w:t>Meta-learning vs DL (LSTM/GRU/CNN)</w:t>
            </w:r>
          </w:p>
        </w:tc>
        <w:tc>
          <w:tcPr>
            <w:tcW w:w="1234" w:type="dxa"/>
          </w:tcPr>
          <w:p w14:paraId="6AF2B7D9" w14:textId="77777777" w:rsidR="006459A5" w:rsidRDefault="004512D4">
            <w:r>
              <w:t>Best acc/eff under constraints</w:t>
            </w:r>
          </w:p>
        </w:tc>
        <w:tc>
          <w:tcPr>
            <w:tcW w:w="1234" w:type="dxa"/>
          </w:tcPr>
          <w:p w14:paraId="7C83F252" w14:textId="77777777" w:rsidR="006459A5" w:rsidRDefault="004512D4">
            <w:r>
              <w:t>Resource-efficient</w:t>
            </w:r>
          </w:p>
        </w:tc>
        <w:tc>
          <w:tcPr>
            <w:tcW w:w="1234" w:type="dxa"/>
          </w:tcPr>
          <w:p w14:paraId="6CF4229B" w14:textId="77777777" w:rsidR="006459A5" w:rsidRDefault="004512D4">
            <w:r>
              <w:t>Not gold-focused</w:t>
            </w:r>
          </w:p>
        </w:tc>
      </w:tr>
      <w:tr w:rsidR="006459A5" w14:paraId="56FBA68E" w14:textId="77777777" w:rsidTr="004512D4">
        <w:tc>
          <w:tcPr>
            <w:tcW w:w="1234" w:type="dxa"/>
          </w:tcPr>
          <w:p w14:paraId="7CA8CE9D" w14:textId="77777777" w:rsidR="006459A5" w:rsidRDefault="004512D4">
            <w:r>
              <w:t>[5]</w:t>
            </w:r>
          </w:p>
        </w:tc>
        <w:tc>
          <w:tcPr>
            <w:tcW w:w="1234" w:type="dxa"/>
          </w:tcPr>
          <w:p w14:paraId="730B4A5A" w14:textId="77777777" w:rsidR="006459A5" w:rsidRDefault="004512D4">
            <w:r>
              <w:t>2025</w:t>
            </w:r>
          </w:p>
        </w:tc>
        <w:tc>
          <w:tcPr>
            <w:tcW w:w="1234" w:type="dxa"/>
          </w:tcPr>
          <w:p w14:paraId="13305F80" w14:textId="77777777" w:rsidR="006459A5" w:rsidRDefault="004512D4">
            <w:r>
              <w:t>Gold-mining ops</w:t>
            </w:r>
          </w:p>
        </w:tc>
        <w:tc>
          <w:tcPr>
            <w:tcW w:w="1234" w:type="dxa"/>
          </w:tcPr>
          <w:p w14:paraId="41CC6E44" w14:textId="77777777" w:rsidR="006459A5" w:rsidRDefault="004512D4">
            <w:r>
              <w:t>ML + Multi-Objective Optimization (MOO)</w:t>
            </w:r>
          </w:p>
        </w:tc>
        <w:tc>
          <w:tcPr>
            <w:tcW w:w="1234" w:type="dxa"/>
          </w:tcPr>
          <w:p w14:paraId="5AAF0C74" w14:textId="77777777" w:rsidR="006459A5" w:rsidRDefault="004512D4">
            <w:r>
              <w:t>Better trade-offs (sustain/cost/risk)</w:t>
            </w:r>
          </w:p>
        </w:tc>
        <w:tc>
          <w:tcPr>
            <w:tcW w:w="1234" w:type="dxa"/>
          </w:tcPr>
          <w:p w14:paraId="087DB19C" w14:textId="77777777" w:rsidR="006459A5" w:rsidRDefault="004512D4">
            <w:r>
              <w:t>Sector relevance beyond price</w:t>
            </w:r>
            <w:r>
              <w:t xml:space="preserve"> forecasting</w:t>
            </w:r>
          </w:p>
        </w:tc>
        <w:tc>
          <w:tcPr>
            <w:tcW w:w="1234" w:type="dxa"/>
          </w:tcPr>
          <w:p w14:paraId="59135DA0" w14:textId="77777777" w:rsidR="006459A5" w:rsidRDefault="004512D4">
            <w:r>
              <w:t>Not a pricing task</w:t>
            </w:r>
          </w:p>
        </w:tc>
      </w:tr>
    </w:tbl>
    <w:p w14:paraId="0F3170DA" w14:textId="77777777" w:rsidR="006459A5" w:rsidRDefault="004512D4">
      <w:r>
        <w:rPr>
          <w:rFonts w:eastAsia="Times New Roman"/>
        </w:rPr>
        <w:t>Ref map: [1] Song 2024; [2] Zhao 2025; [3] Li 2025; [4] Batool 2025; [5] Qiu 2025.</w:t>
      </w:r>
    </w:p>
    <w:p w14:paraId="76C317CF" w14:textId="77777777" w:rsidR="006459A5" w:rsidRDefault="004512D4">
      <w:pPr>
        <w:pStyle w:val="Heading2"/>
      </w:pPr>
      <w:r>
        <w:rPr>
          <w:rFonts w:ascii="Times New Roman" w:eastAsia="Times New Roman" w:hAnsi="Times New Roman"/>
        </w:rPr>
        <w:t>References (APA 7)</w:t>
      </w:r>
    </w:p>
    <w:p w14:paraId="35755E61" w14:textId="77777777" w:rsidR="006459A5" w:rsidRDefault="004512D4">
      <w:r>
        <w:rPr>
          <w:rFonts w:eastAsia="Times New Roman"/>
        </w:rPr>
        <w:t>Batool, K., Baig, M. M., &amp; Fatima, U. (2025). Accuracy and efficiency in financial markets forecasting using meta-learnin</w:t>
      </w:r>
      <w:r>
        <w:rPr>
          <w:rFonts w:eastAsia="Times New Roman"/>
        </w:rPr>
        <w:t>g under resource constraints. Machine Learning with Applications, 21, 100681. https://doi.org/10.1016/j.mlwa.2025.100681</w:t>
      </w:r>
    </w:p>
    <w:p w14:paraId="72B28494" w14:textId="77777777" w:rsidR="006459A5" w:rsidRDefault="004512D4">
      <w:r>
        <w:rPr>
          <w:rFonts w:eastAsia="Times New Roman"/>
        </w:rPr>
        <w:t xml:space="preserve">Li, Y., Yang, N., Bi, G., Chen, S., Luo, Z., &amp; Shen, X. (2025). Carbon price forecasting using a hybrid deep learning model: </w:t>
      </w:r>
      <w:r>
        <w:rPr>
          <w:rFonts w:eastAsia="Times New Roman"/>
        </w:rPr>
        <w:t>TKMixer-BiGRU-SA. Symmetry, 17(6), 962. https://doi.org/10.3390/sym17060962</w:t>
      </w:r>
    </w:p>
    <w:p w14:paraId="45951DB2" w14:textId="77777777" w:rsidR="006459A5" w:rsidRDefault="004512D4">
      <w:r>
        <w:rPr>
          <w:rFonts w:eastAsia="Times New Roman"/>
        </w:rPr>
        <w:lastRenderedPageBreak/>
        <w:t>Qiu, L., Yang, X., Tang, J., &amp; Fan, L. (2025). Machine learning-driven multi-objective optimization for sustainable, cost-effective, and low-emission gold mining. Journal of Cleane</w:t>
      </w:r>
      <w:r>
        <w:rPr>
          <w:rFonts w:eastAsia="Times New Roman"/>
        </w:rPr>
        <w:t>r Production, 511, 145621. https://doi.org/10.1016/j.jclepro.2025.145621</w:t>
      </w:r>
    </w:p>
    <w:p w14:paraId="04A1204A" w14:textId="77777777" w:rsidR="006459A5" w:rsidRDefault="004512D4">
      <w:r>
        <w:rPr>
          <w:rFonts w:eastAsia="Times New Roman"/>
        </w:rPr>
        <w:t>Song, Y., Huang, J., Xu, Y., Ruan, J., &amp; Zhu, M. (2024). Multi-decomposition in deep learning models for futures price prediction. Expert Systems with Applications, 246, 123171. https</w:t>
      </w:r>
      <w:r>
        <w:rPr>
          <w:rFonts w:eastAsia="Times New Roman"/>
        </w:rPr>
        <w:t>://doi.org/10.1016/j.eswa.2024.123171</w:t>
      </w:r>
    </w:p>
    <w:p w14:paraId="34607C91" w14:textId="77777777" w:rsidR="006459A5" w:rsidRDefault="004512D4">
      <w:r>
        <w:rPr>
          <w:rFonts w:eastAsia="Times New Roman"/>
        </w:rPr>
        <w:t>Zhao, Y., Guo, Y., &amp; Wang, X. (2025). Hybrid LSTM–Transformer architecture with multi-scale feature fusion for high-accuracy gold futures price forecasting. Mathematics, 13(10), 1551. https://doi.org/10.3390/math131015</w:t>
      </w:r>
      <w:r>
        <w:rPr>
          <w:rFonts w:eastAsia="Times New Roman"/>
        </w:rPr>
        <w:t>51</w:t>
      </w:r>
    </w:p>
    <w:sectPr w:rsidR="006459A5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4512D4"/>
    <w:rsid w:val="006459A5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7887E89"/>
  <w14:defaultImageDpi w14:val="300"/>
  <w15:docId w15:val="{EBE5D992-17B5-40AA-8370-81F29EACD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1103</Words>
  <Characters>6293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7382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Raead Altatan</cp:lastModifiedBy>
  <cp:revision>2</cp:revision>
  <dcterms:created xsi:type="dcterms:W3CDTF">2013-12-23T23:15:00Z</dcterms:created>
  <dcterms:modified xsi:type="dcterms:W3CDTF">2025-11-09T11:21:00Z</dcterms:modified>
  <cp:category/>
</cp:coreProperties>
</file>