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241DAC43"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21663A6B" w14:textId="67FD264D" w:rsidR="00A32A67" w:rsidRPr="00A32A67" w:rsidRDefault="00A32A67" w:rsidP="00A32A67">
      <w:pPr>
        <w:spacing w:after="200" w:line="276" w:lineRule="auto"/>
        <w:jc w:val="center"/>
        <w:rPr>
          <w:rFonts w:ascii="Sakkal Majalla" w:eastAsia="Times New Roman" w:hAnsi="Sakkal Majalla" w:cs="Sakkal Majalla"/>
          <w:b/>
          <w:bCs/>
          <w:kern w:val="0"/>
          <w:sz w:val="28"/>
          <w:szCs w:val="32"/>
          <w:rtl/>
          <w14:ligatures w14:val="none"/>
        </w:rPr>
      </w:pPr>
      <w:r w:rsidRPr="00277513">
        <w:rPr>
          <w:rFonts w:ascii="Sakkal Majalla" w:eastAsia="Times New Roman" w:hAnsi="Sakkal Majalla" w:cs="Sakkal Majalla"/>
          <w:b/>
          <w:bCs/>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51620BCE" w14:textId="77777777" w:rsidR="00A32A67" w:rsidRPr="00277513" w:rsidRDefault="00A32A67" w:rsidP="00A32A67">
      <w:pPr>
        <w:spacing w:after="0" w:line="240" w:lineRule="auto"/>
        <w:ind w:right="-270"/>
        <w:jc w:val="center"/>
        <w:rPr>
          <w:rFonts w:ascii="Sakkal Majalla" w:eastAsia="Times New Roman" w:hAnsi="Sakkal Majalla" w:cs="Sakkal Majalla"/>
          <w:b/>
          <w:bCs/>
          <w:kern w:val="0"/>
          <w:sz w:val="32"/>
          <w:szCs w:val="36"/>
          <w:rtl/>
          <w14:ligatures w14:val="none"/>
        </w:rPr>
      </w:pPr>
      <w:r w:rsidRPr="00277513">
        <w:rPr>
          <w:rFonts w:ascii="Sakkal Majalla" w:eastAsia="Times New Roman" w:hAnsi="Sakkal Majalla" w:cs="Sakkal Majalla"/>
          <w:b/>
          <w:bCs/>
          <w:kern w:val="0"/>
          <w:sz w:val="32"/>
          <w:szCs w:val="36"/>
          <w14:ligatures w14:val="none"/>
        </w:rPr>
        <w:t>The Impact of Applying Sustainability Practices on Crowd Management Efficiency: The Mediating Role of Smart Technology:</w:t>
      </w:r>
    </w:p>
    <w:p w14:paraId="396BD1E7" w14:textId="77777777" w:rsidR="00A32A67" w:rsidRPr="00277513" w:rsidRDefault="00A32A67" w:rsidP="00A32A67">
      <w:pPr>
        <w:spacing w:after="0" w:line="240" w:lineRule="auto"/>
        <w:ind w:right="-270"/>
        <w:jc w:val="center"/>
        <w:rPr>
          <w:rFonts w:ascii="Sakkal Majalla" w:eastAsia="Times New Roman" w:hAnsi="Sakkal Majalla" w:cs="Sakkal Majalla"/>
          <w:b/>
          <w:bCs/>
          <w:kern w:val="0"/>
          <w:sz w:val="44"/>
          <w:szCs w:val="44"/>
          <w:rtl/>
          <w14:ligatures w14:val="none"/>
        </w:rPr>
      </w:pPr>
      <w:r w:rsidRPr="00277513">
        <w:rPr>
          <w:rFonts w:ascii="Sakkal Majalla" w:eastAsia="Times New Roman" w:hAnsi="Sakkal Majalla" w:cs="Sakkal Majalla"/>
          <w:b/>
          <w:bCs/>
          <w:kern w:val="0"/>
          <w:sz w:val="32"/>
          <w:szCs w:val="36"/>
          <w14:ligatures w14:val="none"/>
        </w:rPr>
        <w:t>A Field Study of the Hajj and Umrah Seasons in Makkah and Madinah</w:t>
      </w:r>
    </w:p>
    <w:p w14:paraId="5D2EB9EC" w14:textId="77777777" w:rsidR="003D7155"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7DAD2EF8" w:rsidR="003D7155" w:rsidRDefault="003D7155" w:rsidP="00B83F8D">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w:t>
      </w:r>
      <w:bookmarkStart w:id="0" w:name="_GoBack"/>
      <w:bookmarkEnd w:id="0"/>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362705" w:rsidRPr="00A32A67">
        <w:rPr>
          <w:rFonts w:ascii="Sakkal Majalla" w:eastAsiaTheme="majorEastAsia" w:hAnsi="Sakkal Majalla" w:cs="Sakkal Majalla"/>
          <w:b/>
          <w:bCs/>
          <w:color w:val="000000" w:themeColor="text1"/>
          <w:kern w:val="0"/>
          <w:sz w:val="36"/>
          <w:szCs w:val="36"/>
          <w:rtl/>
          <w14:ligatures w14:val="none"/>
        </w:rPr>
        <w:t>حامد سليمان البحاري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A32A67">
        <w:rPr>
          <w:rFonts w:ascii="Sakkal Majalla" w:eastAsiaTheme="majorEastAsia" w:hAnsi="Sakkal Majalla" w:cs="Sakkal Majalla" w:hint="cs"/>
          <w:b/>
          <w:bCs/>
          <w:color w:val="000000" w:themeColor="text1"/>
          <w:kern w:val="0"/>
          <w:sz w:val="36"/>
          <w:szCs w:val="36"/>
          <w:rtl/>
          <w14:ligatures w14:val="none"/>
        </w:rPr>
        <w:t>-</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0DD3EEEB" w:rsidR="003D7155" w:rsidRDefault="003D7155"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E6386E">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2A4F9CD4" w14:textId="72A985B1" w:rsidR="00E6386E" w:rsidRPr="00E6386E" w:rsidRDefault="00E6386E" w:rsidP="0036270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بدايةً، يتضح أن الباحث بذل جهدًا ملحوظًا في جمع الأدبيات العلمية المرتبطة بموضوع الدراسة، وتنظيمها بما يتناسب مع طبيعة الرسالة التي تتناول أثر ممارسات الاستدامة على كفاءة إدارة الحشود والدور الوسيط للتكنولوجيا الذكية في سياق الحج والعمرة. الفصل منظم بشكل جيد إلى حد كبير، والعناوين الفرعية متسلسلة، كما يظهر اهتمام بربط المفاهيم النظرية بالسياق التطبيقي للمملكة العربية السعودية، وهو أمر مهم نظرًا لخصوصية إدارة الحشود في مواسم الحج والعمرة</w:t>
      </w:r>
      <w:r w:rsidRPr="00E6386E">
        <w:rPr>
          <w:rFonts w:ascii="Times New Roman" w:eastAsia="Times New Roman" w:hAnsi="Times New Roman" w:cs="Times New Roman"/>
          <w:kern w:val="0"/>
          <w:sz w:val="24"/>
          <w:szCs w:val="24"/>
          <w14:ligatures w14:val="none"/>
        </w:rPr>
        <w:t>.</w:t>
      </w:r>
    </w:p>
    <w:p w14:paraId="4B404443" w14:textId="443D0217" w:rsidR="00E6386E" w:rsidRPr="00E6386E" w:rsidRDefault="00E6386E" w:rsidP="00E6386E">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الإطار النظري</w:t>
      </w:r>
      <w:r w:rsidRPr="00E6386E">
        <w:rPr>
          <w:rFonts w:ascii="Times New Roman" w:eastAsia="Times New Roman" w:hAnsi="Times New Roman" w:cs="Times New Roman"/>
          <w:kern w:val="0"/>
          <w:sz w:val="24"/>
          <w:szCs w:val="24"/>
          <w14:ligatures w14:val="none"/>
        </w:rPr>
        <w:br/>
      </w:r>
      <w:r w:rsidRPr="00E6386E">
        <w:rPr>
          <w:rFonts w:ascii="Times New Roman" w:eastAsia="Times New Roman" w:hAnsi="Times New Roman" w:cs="Times New Roman"/>
          <w:kern w:val="0"/>
          <w:sz w:val="24"/>
          <w:szCs w:val="24"/>
          <w:rtl/>
          <w14:ligatures w14:val="none"/>
        </w:rPr>
        <w:t>الجزء النظري مكتوب بصورة واضحة ومنظمة، ويظهر فيه تسلسل منطقي في عرض المفاهيم بدءًا من ممارسات الاستدامة</w:t>
      </w:r>
      <w:r w:rsidRPr="00E6386E">
        <w:rPr>
          <w:rFonts w:ascii="Times New Roman" w:eastAsia="Times New Roman" w:hAnsi="Times New Roman" w:cs="Times New Roman"/>
          <w:kern w:val="0"/>
          <w:sz w:val="24"/>
          <w:szCs w:val="24"/>
          <w14:ligatures w14:val="none"/>
        </w:rPr>
        <w:t>.</w:t>
      </w:r>
    </w:p>
    <w:p w14:paraId="7B87909C" w14:textId="767B0444" w:rsidR="00E6386E" w:rsidRPr="00E6386E" w:rsidRDefault="00E6386E" w:rsidP="0036270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ومع ذلك، وعلى مستوى أطروحات الدكتوراه، يُفضل أن يتجاوز العرض حدود التعريف والوصف إلى قدر أكبر من التحليل النقدي للأدبيات. ففي بعض المواضع يبدو الطرح أقرب إلى تلخيص المفاهيم دون التعمق في مناقشة الاتجاهات النظرية المختلفة المرتبطة بها. وكان من الممكن تعزيز الإطار النظري من خلال</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المقارنة بين الاتجاهات النظرية المختلفة في دراسات الاستدامة وإدارة الحشود</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مناقشة الأطر النظرية التي تناولت دور التكنولوجيا في تحسين الكفاءة التشغيلية في البيئات المعقدة</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توضيح الأساس النظري الذي يستند إلي</w:t>
      </w:r>
      <w:r w:rsidR="00362705">
        <w:rPr>
          <w:rFonts w:ascii="Times New Roman" w:eastAsia="Times New Roman" w:hAnsi="Times New Roman" w:cs="Times New Roman"/>
          <w:kern w:val="0"/>
          <w:sz w:val="24"/>
          <w:szCs w:val="24"/>
          <w:rtl/>
          <w14:ligatures w14:val="none"/>
        </w:rPr>
        <w:t>ه نموذج الدراسة بشكل أكثر صراحة</w:t>
      </w:r>
      <w:r w:rsidRPr="00E6386E">
        <w:rPr>
          <w:rFonts w:ascii="Times New Roman" w:eastAsia="Times New Roman" w:hAnsi="Times New Roman" w:cs="Times New Roman"/>
          <w:kern w:val="0"/>
          <w:sz w:val="24"/>
          <w:szCs w:val="24"/>
          <w14:ligatures w14:val="none"/>
        </w:rPr>
        <w:t>.</w:t>
      </w:r>
    </w:p>
    <w:p w14:paraId="1AC39B73" w14:textId="77777777" w:rsidR="00E6386E" w:rsidRPr="00E6386E" w:rsidRDefault="00E6386E" w:rsidP="00E6386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كما يُفضل تعزيز الربط بين المفاهيم النظرية والمتغيرات التي يتضمنها نموذج الدراسة، بحيث يظهر للقارئ أن النموذج البحثي ناتج بصورة مباشرة عن التحليل النظري المعروض في هذا الفصل</w:t>
      </w:r>
      <w:r w:rsidRPr="00E6386E">
        <w:rPr>
          <w:rFonts w:ascii="Times New Roman" w:eastAsia="Times New Roman" w:hAnsi="Times New Roman" w:cs="Times New Roman"/>
          <w:kern w:val="0"/>
          <w:sz w:val="24"/>
          <w:szCs w:val="24"/>
          <w14:ligatures w14:val="none"/>
        </w:rPr>
        <w:t>.</w:t>
      </w:r>
    </w:p>
    <w:p w14:paraId="5D2F381C" w14:textId="1C8AD86C" w:rsidR="00E6386E" w:rsidRPr="00E6386E" w:rsidRDefault="00E6386E" w:rsidP="00362705">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الدراسات السابقة</w:t>
      </w:r>
      <w:r w:rsidRPr="00E6386E">
        <w:rPr>
          <w:rFonts w:ascii="Times New Roman" w:eastAsia="Times New Roman" w:hAnsi="Times New Roman" w:cs="Times New Roman"/>
          <w:kern w:val="0"/>
          <w:sz w:val="24"/>
          <w:szCs w:val="24"/>
          <w14:ligatures w14:val="none"/>
        </w:rPr>
        <w:br/>
      </w:r>
      <w:r w:rsidRPr="00E6386E">
        <w:rPr>
          <w:rFonts w:ascii="Times New Roman" w:eastAsia="Times New Roman" w:hAnsi="Times New Roman" w:cs="Times New Roman"/>
          <w:kern w:val="0"/>
          <w:sz w:val="24"/>
          <w:szCs w:val="24"/>
          <w:rtl/>
          <w14:ligatures w14:val="none"/>
        </w:rPr>
        <w:t xml:space="preserve">يتضح أن الباحث اطلع على عدد مناسب من الدراسات العربية </w:t>
      </w:r>
      <w:r w:rsidR="00362705">
        <w:rPr>
          <w:rFonts w:ascii="Times New Roman" w:eastAsia="Times New Roman" w:hAnsi="Times New Roman" w:cs="Times New Roman"/>
          <w:kern w:val="0"/>
          <w:sz w:val="24"/>
          <w:szCs w:val="24"/>
          <w:rtl/>
          <w14:ligatures w14:val="none"/>
        </w:rPr>
        <w:t>والأجنبية المرتبطة بموضوع البحث</w:t>
      </w:r>
      <w:r w:rsidRPr="00E6386E">
        <w:rPr>
          <w:rFonts w:ascii="Times New Roman" w:eastAsia="Times New Roman" w:hAnsi="Times New Roman" w:cs="Times New Roman"/>
          <w:kern w:val="0"/>
          <w:sz w:val="24"/>
          <w:szCs w:val="24"/>
          <w14:ligatures w14:val="none"/>
        </w:rPr>
        <w:t>.</w:t>
      </w:r>
    </w:p>
    <w:p w14:paraId="77885FE3" w14:textId="77777777" w:rsidR="00E6386E" w:rsidRPr="00E6386E" w:rsidRDefault="00E6386E" w:rsidP="00E6386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لكن طريقة عرض الدراسات جاءت في الغالب في شكل تسلسلي (دراسة تلو الأخرى)، وهو ما يجعل الفصل أقرب إلى السرد منه إلى التحليل المقارن. وكان من الأفضل تصنيف الدراسات ضمن محاور موضوعية مرتبطة بمتغيرات الدراسة، مثل</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دراسات الاستدامة في الإدارة التشغيلية</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دراسات إدارة الحشود في الفعاليات الكبرى</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t xml:space="preserve">• </w:t>
      </w:r>
      <w:r w:rsidRPr="00E6386E">
        <w:rPr>
          <w:rFonts w:ascii="Times New Roman" w:eastAsia="Times New Roman" w:hAnsi="Times New Roman" w:cs="Times New Roman"/>
          <w:kern w:val="0"/>
          <w:sz w:val="24"/>
          <w:szCs w:val="24"/>
          <w:rtl/>
          <w14:ligatures w14:val="none"/>
        </w:rPr>
        <w:t>دراسات استخدام التكنولوجيا الذكية في إدارة الحشود</w:t>
      </w:r>
      <w:r w:rsidRPr="00E6386E">
        <w:rPr>
          <w:rFonts w:ascii="Times New Roman" w:eastAsia="Times New Roman" w:hAnsi="Times New Roman" w:cs="Times New Roman"/>
          <w:kern w:val="0"/>
          <w:sz w:val="24"/>
          <w:szCs w:val="24"/>
          <w14:ligatures w14:val="none"/>
        </w:rPr>
        <w:t>.</w:t>
      </w:r>
    </w:p>
    <w:p w14:paraId="5DDD8A51" w14:textId="4180FAA7" w:rsidR="00E6386E" w:rsidRPr="00362705" w:rsidRDefault="00E6386E" w:rsidP="00362705">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2705">
        <w:rPr>
          <w:rFonts w:ascii="Times New Roman" w:eastAsia="Times New Roman" w:hAnsi="Times New Roman" w:cs="Times New Roman"/>
          <w:kern w:val="0"/>
          <w:sz w:val="24"/>
          <w:szCs w:val="24"/>
          <w:rtl/>
          <w14:ligatures w14:val="none"/>
        </w:rPr>
        <w:t>الفجوة البحثية</w:t>
      </w:r>
      <w:r w:rsidRPr="00362705">
        <w:rPr>
          <w:rFonts w:ascii="Times New Roman" w:eastAsia="Times New Roman" w:hAnsi="Times New Roman" w:cs="Times New Roman"/>
          <w:kern w:val="0"/>
          <w:sz w:val="24"/>
          <w:szCs w:val="24"/>
          <w14:ligatures w14:val="none"/>
        </w:rPr>
        <w:br/>
      </w:r>
      <w:r w:rsidRPr="00362705">
        <w:rPr>
          <w:rFonts w:ascii="Times New Roman" w:eastAsia="Times New Roman" w:hAnsi="Times New Roman" w:cs="Times New Roman"/>
          <w:kern w:val="0"/>
          <w:sz w:val="24"/>
          <w:szCs w:val="24"/>
          <w:rtl/>
          <w14:ligatures w14:val="none"/>
        </w:rPr>
        <w:t>تظهر الفجوة البحثية بصورة عامة من خلال عرض الدراسات السابقة، حيث يلاحظ أن معظم الدراسات تناولت موضوعات الاستدامة أو التكنولوجيا أو إدارة الحشود بشكل منفصل، بينما تقل الدراسات التي تجمع بين هذه المتغيرات في نموذج تحليلي واحد، خاصة في سياق إدارة الحشود في مواسم الحج والعمرة</w:t>
      </w:r>
      <w:r w:rsidRPr="00362705">
        <w:rPr>
          <w:rFonts w:ascii="Times New Roman" w:eastAsia="Times New Roman" w:hAnsi="Times New Roman" w:cs="Times New Roman"/>
          <w:kern w:val="0"/>
          <w:sz w:val="24"/>
          <w:szCs w:val="24"/>
          <w14:ligatures w14:val="none"/>
        </w:rPr>
        <w:t>.</w:t>
      </w:r>
    </w:p>
    <w:p w14:paraId="17102C61" w14:textId="453248CD" w:rsidR="00E6386E" w:rsidRPr="00E6386E" w:rsidRDefault="00362705" w:rsidP="00E6386E">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ل</w:t>
      </w:r>
      <w:r w:rsidR="00E6386E" w:rsidRPr="00E6386E">
        <w:rPr>
          <w:rFonts w:ascii="Times New Roman" w:eastAsia="Times New Roman" w:hAnsi="Times New Roman" w:cs="Times New Roman"/>
          <w:kern w:val="0"/>
          <w:sz w:val="24"/>
          <w:szCs w:val="24"/>
          <w:rtl/>
          <w14:ligatures w14:val="none"/>
        </w:rPr>
        <w:t>ذلك، يُفضل صياغة الفجوة البحثية بشكل أكثر تحديدًا في نهاية الفصل، مع ربطها بصورة مباشرة بمتغيرات الدراسة ونموذجها البحثي، بحيث تتضح مساهمة الدراسة العلمية بشكل أدق</w:t>
      </w:r>
      <w:r w:rsidR="00E6386E" w:rsidRPr="00E6386E">
        <w:rPr>
          <w:rFonts w:ascii="Times New Roman" w:eastAsia="Times New Roman" w:hAnsi="Times New Roman" w:cs="Times New Roman"/>
          <w:kern w:val="0"/>
          <w:sz w:val="24"/>
          <w:szCs w:val="24"/>
          <w14:ligatures w14:val="none"/>
        </w:rPr>
        <w:t>.</w:t>
      </w:r>
    </w:p>
    <w:p w14:paraId="62834EBE" w14:textId="6F2ED4E0" w:rsidR="00E6386E" w:rsidRPr="00362705" w:rsidRDefault="00E6386E" w:rsidP="00362705">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2705">
        <w:rPr>
          <w:rFonts w:ascii="Times New Roman" w:eastAsia="Times New Roman" w:hAnsi="Times New Roman" w:cs="Times New Roman"/>
          <w:kern w:val="0"/>
          <w:sz w:val="24"/>
          <w:szCs w:val="24"/>
          <w:rtl/>
          <w14:ligatures w14:val="none"/>
        </w:rPr>
        <w:t>التقييم العام</w:t>
      </w:r>
      <w:r w:rsidRPr="00362705">
        <w:rPr>
          <w:rFonts w:ascii="Times New Roman" w:eastAsia="Times New Roman" w:hAnsi="Times New Roman" w:cs="Times New Roman"/>
          <w:kern w:val="0"/>
          <w:sz w:val="24"/>
          <w:szCs w:val="24"/>
          <w14:ligatures w14:val="none"/>
        </w:rPr>
        <w:br/>
      </w:r>
      <w:r w:rsidRPr="00362705">
        <w:rPr>
          <w:rFonts w:ascii="Times New Roman" w:eastAsia="Times New Roman" w:hAnsi="Times New Roman" w:cs="Times New Roman"/>
          <w:kern w:val="0"/>
          <w:sz w:val="24"/>
          <w:szCs w:val="24"/>
          <w:rtl/>
          <w14:ligatures w14:val="none"/>
        </w:rPr>
        <w:t>بشكل عام، يُعد الفصل الثاني جيدًا من حيث تنظيم المادة العلمية ووضوح العرض وتسلسل الأفكار</w:t>
      </w:r>
      <w:r w:rsidRPr="00362705">
        <w:rPr>
          <w:rFonts w:ascii="Times New Roman" w:eastAsia="Times New Roman" w:hAnsi="Times New Roman" w:cs="Times New Roman"/>
          <w:kern w:val="0"/>
          <w:sz w:val="24"/>
          <w:szCs w:val="24"/>
          <w14:ligatures w14:val="none"/>
        </w:rPr>
        <w:t>.</w:t>
      </w:r>
    </w:p>
    <w:p w14:paraId="6270B021" w14:textId="77777777" w:rsidR="00E6386E" w:rsidRPr="00E6386E" w:rsidRDefault="00E6386E" w:rsidP="00E6386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ومع ذلك، فإن الفصل يحتاج إلى قدر أكبر من التحليل النقدي للأدبيات، وتنظيم الدراسات السابقة في محاور تحليلية، وتعزيز الربط بين الإطار النظري ونموذج الدراسة. هذه الملاحظات تطويرية بطبيعتها، ويمكن معالجتها بسهولة بما يسهم في رفع المستوى العلمي للفصل</w:t>
      </w:r>
      <w:r w:rsidRPr="00E6386E">
        <w:rPr>
          <w:rFonts w:ascii="Times New Roman" w:eastAsia="Times New Roman" w:hAnsi="Times New Roman" w:cs="Times New Roman"/>
          <w:kern w:val="0"/>
          <w:sz w:val="24"/>
          <w:szCs w:val="24"/>
          <w14:ligatures w14:val="none"/>
        </w:rPr>
        <w:t>.</w:t>
      </w:r>
    </w:p>
    <w:p w14:paraId="1821CB6A" w14:textId="77777777" w:rsidR="00E6386E" w:rsidRPr="00E6386E" w:rsidRDefault="00E6386E" w:rsidP="00E6386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6386E">
        <w:rPr>
          <w:rFonts w:ascii="Times New Roman" w:eastAsia="Times New Roman" w:hAnsi="Times New Roman" w:cs="Times New Roman"/>
          <w:kern w:val="0"/>
          <w:sz w:val="24"/>
          <w:szCs w:val="24"/>
          <w:rtl/>
          <w14:ligatures w14:val="none"/>
        </w:rPr>
        <w:t>التقدير العام</w:t>
      </w:r>
      <w:r w:rsidRPr="00E6386E">
        <w:rPr>
          <w:rFonts w:ascii="Times New Roman" w:eastAsia="Times New Roman" w:hAnsi="Times New Roman" w:cs="Times New Roman"/>
          <w:kern w:val="0"/>
          <w:sz w:val="24"/>
          <w:szCs w:val="24"/>
          <w14:ligatures w14:val="none"/>
        </w:rPr>
        <w:t>:</w:t>
      </w:r>
      <w:r w:rsidRPr="00E6386E">
        <w:rPr>
          <w:rFonts w:ascii="Times New Roman" w:eastAsia="Times New Roman" w:hAnsi="Times New Roman" w:cs="Times New Roman"/>
          <w:kern w:val="0"/>
          <w:sz w:val="24"/>
          <w:szCs w:val="24"/>
          <w14:ligatures w14:val="none"/>
        </w:rPr>
        <w:br/>
      </w:r>
      <w:r w:rsidRPr="00E6386E">
        <w:rPr>
          <w:rFonts w:ascii="Times New Roman" w:eastAsia="Times New Roman" w:hAnsi="Times New Roman" w:cs="Times New Roman"/>
          <w:kern w:val="0"/>
          <w:sz w:val="24"/>
          <w:szCs w:val="24"/>
          <w:rtl/>
          <w14:ligatures w14:val="none"/>
        </w:rPr>
        <w:t>جيد جدًا مع بعض التوصيات التطويرية</w:t>
      </w:r>
      <w:r w:rsidRPr="00E6386E">
        <w:rPr>
          <w:rFonts w:ascii="Times New Roman" w:eastAsia="Times New Roman" w:hAnsi="Times New Roman" w:cs="Times New Roman"/>
          <w:kern w:val="0"/>
          <w:sz w:val="24"/>
          <w:szCs w:val="24"/>
          <w14:ligatures w14:val="none"/>
        </w:rPr>
        <w:t>.</w:t>
      </w:r>
    </w:p>
    <w:p w14:paraId="12704387" w14:textId="77777777" w:rsidR="003D7155" w:rsidRPr="00E6386E" w:rsidRDefault="003D7155" w:rsidP="00E6386E">
      <w:pPr>
        <w:pStyle w:val="NormalWeb"/>
        <w:bidi/>
        <w:rPr>
          <w:rFonts w:ascii="Traditional Arabic" w:hAnsi="Traditional Arabic" w:cs="Traditional Arabic"/>
          <w:b/>
          <w:bCs/>
          <w:sz w:val="32"/>
          <w:szCs w:val="32"/>
        </w:rPr>
      </w:pPr>
    </w:p>
    <w:sectPr w:rsidR="003D7155" w:rsidRPr="00E6386E"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2407A" w14:textId="77777777" w:rsidR="00966583" w:rsidRDefault="00966583" w:rsidP="00FD5B03">
      <w:pPr>
        <w:spacing w:after="0" w:line="240" w:lineRule="auto"/>
      </w:pPr>
      <w:r>
        <w:separator/>
      </w:r>
    </w:p>
  </w:endnote>
  <w:endnote w:type="continuationSeparator" w:id="0">
    <w:p w14:paraId="37011548" w14:textId="77777777" w:rsidR="00966583" w:rsidRDefault="00966583"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8CEE3" w14:textId="77777777" w:rsidR="00966583" w:rsidRDefault="00966583" w:rsidP="00FD5B03">
      <w:pPr>
        <w:spacing w:after="0" w:line="240" w:lineRule="auto"/>
      </w:pPr>
      <w:r>
        <w:separator/>
      </w:r>
    </w:p>
  </w:footnote>
  <w:footnote w:type="continuationSeparator" w:id="0">
    <w:p w14:paraId="41541AD4" w14:textId="77777777" w:rsidR="00966583" w:rsidRDefault="00966583"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BB4"/>
    <w:multiLevelType w:val="hybridMultilevel"/>
    <w:tmpl w:val="66B6CDF6"/>
    <w:lvl w:ilvl="0" w:tplc="ABD48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5"/>
  </w:num>
  <w:num w:numId="4">
    <w:abstractNumId w:val="19"/>
  </w:num>
  <w:num w:numId="5">
    <w:abstractNumId w:val="9"/>
  </w:num>
  <w:num w:numId="6">
    <w:abstractNumId w:val="13"/>
  </w:num>
  <w:num w:numId="7">
    <w:abstractNumId w:val="0"/>
  </w:num>
  <w:num w:numId="8">
    <w:abstractNumId w:val="23"/>
  </w:num>
  <w:num w:numId="9">
    <w:abstractNumId w:val="28"/>
  </w:num>
  <w:num w:numId="10">
    <w:abstractNumId w:val="26"/>
  </w:num>
  <w:num w:numId="11">
    <w:abstractNumId w:val="1"/>
  </w:num>
  <w:num w:numId="12">
    <w:abstractNumId w:val="17"/>
  </w:num>
  <w:num w:numId="13">
    <w:abstractNumId w:val="22"/>
  </w:num>
  <w:num w:numId="14">
    <w:abstractNumId w:val="4"/>
  </w:num>
  <w:num w:numId="15">
    <w:abstractNumId w:val="10"/>
  </w:num>
  <w:num w:numId="16">
    <w:abstractNumId w:val="27"/>
  </w:num>
  <w:num w:numId="17">
    <w:abstractNumId w:val="21"/>
  </w:num>
  <w:num w:numId="18">
    <w:abstractNumId w:val="2"/>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6"/>
  </w:num>
  <w:num w:numId="29">
    <w:abstractNumId w:val="20"/>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261E5B"/>
    <w:rsid w:val="00362705"/>
    <w:rsid w:val="003A6FD5"/>
    <w:rsid w:val="003C24D7"/>
    <w:rsid w:val="003D7155"/>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66583"/>
    <w:rsid w:val="0097081F"/>
    <w:rsid w:val="00971320"/>
    <w:rsid w:val="00974901"/>
    <w:rsid w:val="009961D5"/>
    <w:rsid w:val="00A32A67"/>
    <w:rsid w:val="00A450E0"/>
    <w:rsid w:val="00A6691C"/>
    <w:rsid w:val="00B170F5"/>
    <w:rsid w:val="00B42C73"/>
    <w:rsid w:val="00B80DDB"/>
    <w:rsid w:val="00B83F8D"/>
    <w:rsid w:val="00BC1B25"/>
    <w:rsid w:val="00BD1469"/>
    <w:rsid w:val="00C173B2"/>
    <w:rsid w:val="00CB2307"/>
    <w:rsid w:val="00D46659"/>
    <w:rsid w:val="00E30D73"/>
    <w:rsid w:val="00E35F6A"/>
    <w:rsid w:val="00E6386E"/>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45253458">
      <w:bodyDiv w:val="1"/>
      <w:marLeft w:val="0"/>
      <w:marRight w:val="0"/>
      <w:marTop w:val="0"/>
      <w:marBottom w:val="0"/>
      <w:divBdr>
        <w:top w:val="none" w:sz="0" w:space="0" w:color="auto"/>
        <w:left w:val="none" w:sz="0" w:space="0" w:color="auto"/>
        <w:bottom w:val="none" w:sz="0" w:space="0" w:color="auto"/>
        <w:right w:val="none" w:sz="0" w:space="0" w:color="auto"/>
      </w:divBdr>
      <w:divsChild>
        <w:div w:id="221258568">
          <w:marLeft w:val="0"/>
          <w:marRight w:val="0"/>
          <w:marTop w:val="0"/>
          <w:marBottom w:val="0"/>
          <w:divBdr>
            <w:top w:val="none" w:sz="0" w:space="0" w:color="auto"/>
            <w:left w:val="none" w:sz="0" w:space="0" w:color="auto"/>
            <w:bottom w:val="none" w:sz="0" w:space="0" w:color="auto"/>
            <w:right w:val="none" w:sz="0" w:space="0" w:color="auto"/>
          </w:divBdr>
          <w:divsChild>
            <w:div w:id="938412530">
              <w:marLeft w:val="0"/>
              <w:marRight w:val="0"/>
              <w:marTop w:val="0"/>
              <w:marBottom w:val="0"/>
              <w:divBdr>
                <w:top w:val="none" w:sz="0" w:space="0" w:color="auto"/>
                <w:left w:val="none" w:sz="0" w:space="0" w:color="auto"/>
                <w:bottom w:val="none" w:sz="0" w:space="0" w:color="auto"/>
                <w:right w:val="none" w:sz="0" w:space="0" w:color="auto"/>
              </w:divBdr>
              <w:divsChild>
                <w:div w:id="1910841775">
                  <w:marLeft w:val="0"/>
                  <w:marRight w:val="0"/>
                  <w:marTop w:val="0"/>
                  <w:marBottom w:val="0"/>
                  <w:divBdr>
                    <w:top w:val="none" w:sz="0" w:space="0" w:color="auto"/>
                    <w:left w:val="none" w:sz="0" w:space="0" w:color="auto"/>
                    <w:bottom w:val="none" w:sz="0" w:space="0" w:color="auto"/>
                    <w:right w:val="none" w:sz="0" w:space="0" w:color="auto"/>
                  </w:divBdr>
                  <w:divsChild>
                    <w:div w:id="1206067348">
                      <w:marLeft w:val="0"/>
                      <w:marRight w:val="0"/>
                      <w:marTop w:val="0"/>
                      <w:marBottom w:val="0"/>
                      <w:divBdr>
                        <w:top w:val="none" w:sz="0" w:space="0" w:color="auto"/>
                        <w:left w:val="none" w:sz="0" w:space="0" w:color="auto"/>
                        <w:bottom w:val="none" w:sz="0" w:space="0" w:color="auto"/>
                        <w:right w:val="none" w:sz="0" w:space="0" w:color="auto"/>
                      </w:divBdr>
                      <w:divsChild>
                        <w:div w:id="2007048726">
                          <w:marLeft w:val="0"/>
                          <w:marRight w:val="0"/>
                          <w:marTop w:val="0"/>
                          <w:marBottom w:val="0"/>
                          <w:divBdr>
                            <w:top w:val="none" w:sz="0" w:space="0" w:color="auto"/>
                            <w:left w:val="none" w:sz="0" w:space="0" w:color="auto"/>
                            <w:bottom w:val="none" w:sz="0" w:space="0" w:color="auto"/>
                            <w:right w:val="none" w:sz="0" w:space="0" w:color="auto"/>
                          </w:divBdr>
                          <w:divsChild>
                            <w:div w:id="1745375978">
                              <w:marLeft w:val="0"/>
                              <w:marRight w:val="0"/>
                              <w:marTop w:val="0"/>
                              <w:marBottom w:val="0"/>
                              <w:divBdr>
                                <w:top w:val="none" w:sz="0" w:space="0" w:color="auto"/>
                                <w:left w:val="none" w:sz="0" w:space="0" w:color="auto"/>
                                <w:bottom w:val="none" w:sz="0" w:space="0" w:color="auto"/>
                                <w:right w:val="none" w:sz="0" w:space="0" w:color="auto"/>
                              </w:divBdr>
                              <w:divsChild>
                                <w:div w:id="58426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454</Words>
  <Characters>2592</Characters>
  <Application>Microsoft Office Word</Application>
  <DocSecurity>0</DocSecurity>
  <Lines>21</Lines>
  <Paragraphs>6</Paragraphs>
  <ScaleCrop>false</ScaleCrop>
  <HeadingPairs>
    <vt:vector size="6" baseType="variant">
      <vt:variant>
        <vt:lpstr>Title</vt:lpstr>
      </vt:variant>
      <vt:variant>
        <vt:i4>1</vt:i4>
      </vt:variant>
      <vt:variant>
        <vt:lpstr>Headings</vt:lpstr>
      </vt:variant>
      <vt:variant>
        <vt:i4>3</vt:i4>
      </vt:variant>
      <vt:variant>
        <vt:lpstr>العنوان</vt:lpstr>
      </vt:variant>
      <vt:variant>
        <vt:i4>1</vt:i4>
      </vt:variant>
    </vt:vector>
  </HeadingPairs>
  <TitlesOfParts>
    <vt:vector size="5" baseType="lpstr">
      <vt:lpstr/>
      <vt:lpstr>/جامعــــــة ميداوشن - كليــــة الإدارة</vt:lpstr>
      <vt:lpstr>عنوان الدراسة</vt:lpstr>
      <vt:lpstr>الإدارة الذكية للموارد في مدينة الرياض: نحو استدامة حضرية ورفاهية مجتمعية دراسة </vt: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4</cp:revision>
  <dcterms:created xsi:type="dcterms:W3CDTF">2026-03-08T12:43:00Z</dcterms:created>
  <dcterms:modified xsi:type="dcterms:W3CDTF">2026-03-08T12:54:00Z</dcterms:modified>
</cp:coreProperties>
</file>