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A461E9" w:rsidR="009125CE" w:rsidRPr="004B2CD4" w:rsidRDefault="001A6AF0" w:rsidP="004B2CD4">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4B2CD4">
        <w:rPr>
          <w:rFonts w:ascii="Simplified Arabic" w:hAnsi="Simplified Arabic" w:cs="Simplified Arabic"/>
          <w:b/>
          <w:bCs/>
          <w:noProof/>
          <w:color w:val="000000" w:themeColor="text1"/>
          <w:sz w:val="28"/>
          <w:szCs w:val="28"/>
        </w:rPr>
        <w:drawing>
          <wp:anchor distT="0" distB="0" distL="114300" distR="114300" simplePos="0" relativeHeight="251656192" behindDoc="0" locked="0" layoutInCell="1" allowOverlap="1" wp14:anchorId="4117FFF0" wp14:editId="19AE9492">
            <wp:simplePos x="0" y="0"/>
            <wp:positionH relativeFrom="margin">
              <wp:posOffset>438150</wp:posOffset>
            </wp:positionH>
            <wp:positionV relativeFrom="margin">
              <wp:posOffset>-41910</wp:posOffset>
            </wp:positionV>
            <wp:extent cx="1641475" cy="1523365"/>
            <wp:effectExtent l="0" t="0" r="0" b="63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1475" cy="1523365"/>
                    </a:xfrm>
                    <a:prstGeom prst="rect">
                      <a:avLst/>
                    </a:prstGeom>
                  </pic:spPr>
                </pic:pic>
              </a:graphicData>
            </a:graphic>
            <wp14:sizeRelH relativeFrom="margin">
              <wp14:pctWidth>0</wp14:pctWidth>
            </wp14:sizeRelH>
            <wp14:sizeRelV relativeFrom="margin">
              <wp14:pctHeight>0</wp14:pctHeight>
            </wp14:sizeRelV>
          </wp:anchor>
        </w:drawing>
      </w:r>
      <w:r w:rsidR="009125CE" w:rsidRPr="004B2CD4">
        <w:rPr>
          <w:rFonts w:ascii="Simplified Arabic" w:hAnsi="Simplified Arabic" w:cs="Simplified Arabic"/>
          <w:b/>
          <w:bCs/>
          <w:color w:val="000000" w:themeColor="text1"/>
          <w:sz w:val="28"/>
          <w:szCs w:val="28"/>
          <w:rtl/>
          <w:lang w:bidi="ar-EG"/>
        </w:rPr>
        <w:t xml:space="preserve">جامعة </w:t>
      </w:r>
      <w:proofErr w:type="spellStart"/>
      <w:r w:rsidR="009125CE" w:rsidRPr="004B2CD4">
        <w:rPr>
          <w:rFonts w:ascii="Simplified Arabic" w:hAnsi="Simplified Arabic" w:cs="Simplified Arabic"/>
          <w:b/>
          <w:bCs/>
          <w:color w:val="000000" w:themeColor="text1"/>
          <w:sz w:val="28"/>
          <w:szCs w:val="28"/>
          <w:rtl/>
          <w:lang w:bidi="ar-EG"/>
        </w:rPr>
        <w:t>ميدأوشن</w:t>
      </w:r>
      <w:proofErr w:type="spellEnd"/>
      <w:r w:rsidR="009125CE" w:rsidRPr="004B2CD4">
        <w:rPr>
          <w:rFonts w:ascii="Simplified Arabic" w:hAnsi="Simplified Arabic" w:cs="Simplified Arabic"/>
          <w:b/>
          <w:bCs/>
          <w:color w:val="000000" w:themeColor="text1"/>
          <w:sz w:val="28"/>
          <w:szCs w:val="28"/>
          <w:rtl/>
          <w:lang w:bidi="ar-EG"/>
        </w:rPr>
        <w:t xml:space="preserve"> </w:t>
      </w:r>
    </w:p>
    <w:p w14:paraId="1E957002" w14:textId="26E6A067" w:rsidR="00F546CE" w:rsidRPr="004B2CD4" w:rsidRDefault="009125CE" w:rsidP="004B2CD4">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4B2CD4">
        <w:rPr>
          <w:rFonts w:ascii="Simplified Arabic" w:hAnsi="Simplified Arabic" w:cs="Simplified Arabic"/>
          <w:b/>
          <w:bCs/>
          <w:color w:val="000000" w:themeColor="text1"/>
          <w:sz w:val="28"/>
          <w:szCs w:val="28"/>
          <w:lang w:bidi="ar-EG"/>
        </w:rPr>
        <w:t xml:space="preserve"> </w:t>
      </w:r>
      <w:r w:rsidRPr="004B2CD4">
        <w:rPr>
          <w:rFonts w:ascii="Simplified Arabic" w:hAnsi="Simplified Arabic" w:cs="Simplified Arabic"/>
          <w:b/>
          <w:bCs/>
          <w:color w:val="000000" w:themeColor="text1"/>
          <w:sz w:val="28"/>
          <w:szCs w:val="28"/>
          <w:rtl/>
          <w:lang w:bidi="ar-EG"/>
        </w:rPr>
        <w:t xml:space="preserve">كلية </w:t>
      </w:r>
      <w:r w:rsidR="008C42C1" w:rsidRPr="004B2CD4">
        <w:rPr>
          <w:rFonts w:ascii="Simplified Arabic" w:hAnsi="Simplified Arabic" w:cs="Simplified Arabic"/>
          <w:b/>
          <w:bCs/>
          <w:color w:val="000000" w:themeColor="text1"/>
          <w:sz w:val="28"/>
          <w:szCs w:val="28"/>
          <w:rtl/>
          <w:lang w:bidi="ar-EG"/>
        </w:rPr>
        <w:t>الإدارة</w:t>
      </w:r>
      <w:r w:rsidRPr="004B2CD4">
        <w:rPr>
          <w:rFonts w:ascii="Simplified Arabic" w:hAnsi="Simplified Arabic" w:cs="Simplified Arabic"/>
          <w:b/>
          <w:bCs/>
          <w:color w:val="000000" w:themeColor="text1"/>
          <w:sz w:val="28"/>
          <w:szCs w:val="28"/>
          <w:rtl/>
          <w:lang w:bidi="ar-EG"/>
        </w:rPr>
        <w:t xml:space="preserve"> </w:t>
      </w:r>
    </w:p>
    <w:p w14:paraId="0A25F43C" w14:textId="7F321ED0" w:rsidR="008C7BB4" w:rsidRPr="004B2CD4" w:rsidRDefault="00A23F0B" w:rsidP="004B2CD4">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4B2CD4">
        <w:rPr>
          <w:rFonts w:ascii="Simplified Arabic" w:hAnsi="Simplified Arabic" w:cs="Simplified Arabic"/>
          <w:b/>
          <w:bCs/>
          <w:color w:val="000000" w:themeColor="text1"/>
          <w:sz w:val="28"/>
          <w:szCs w:val="28"/>
          <w:rtl/>
          <w:lang w:bidi="ar-EG"/>
        </w:rPr>
        <w:t xml:space="preserve">ماجستير </w:t>
      </w:r>
      <w:r w:rsidR="00295BBE" w:rsidRPr="004B2CD4">
        <w:rPr>
          <w:rFonts w:ascii="Simplified Arabic" w:hAnsi="Simplified Arabic" w:cs="Simplified Arabic"/>
          <w:b/>
          <w:bCs/>
          <w:color w:val="000000" w:themeColor="text1"/>
          <w:sz w:val="28"/>
          <w:szCs w:val="28"/>
          <w:rtl/>
          <w:lang w:bidi="ar-EG"/>
        </w:rPr>
        <w:t>إدارة</w:t>
      </w:r>
      <w:r w:rsidR="003A5136" w:rsidRPr="004B2CD4">
        <w:rPr>
          <w:rFonts w:ascii="Simplified Arabic" w:hAnsi="Simplified Arabic" w:cs="Simplified Arabic"/>
          <w:b/>
          <w:bCs/>
          <w:color w:val="000000" w:themeColor="text1"/>
          <w:sz w:val="28"/>
          <w:szCs w:val="28"/>
          <w:rtl/>
          <w:lang w:bidi="ar-EG"/>
        </w:rPr>
        <w:t xml:space="preserve"> </w:t>
      </w:r>
      <w:r w:rsidR="00BD2251" w:rsidRPr="004B2CD4">
        <w:rPr>
          <w:rFonts w:ascii="Simplified Arabic" w:hAnsi="Simplified Arabic" w:cs="Simplified Arabic"/>
          <w:b/>
          <w:bCs/>
          <w:color w:val="000000" w:themeColor="text1"/>
          <w:sz w:val="28"/>
          <w:szCs w:val="28"/>
          <w:rtl/>
          <w:lang w:bidi="ar-EG"/>
        </w:rPr>
        <w:t>الاعمال</w:t>
      </w:r>
      <w:r w:rsidR="003A5136" w:rsidRPr="004B2CD4">
        <w:rPr>
          <w:rFonts w:ascii="Simplified Arabic" w:hAnsi="Simplified Arabic" w:cs="Simplified Arabic"/>
          <w:b/>
          <w:bCs/>
          <w:color w:val="000000" w:themeColor="text1"/>
          <w:sz w:val="28"/>
          <w:szCs w:val="28"/>
          <w:rtl/>
          <w:lang w:bidi="ar-EG"/>
        </w:rPr>
        <w:t xml:space="preserve"> </w:t>
      </w:r>
      <w:r w:rsidR="00566BCE" w:rsidRPr="004B2CD4">
        <w:rPr>
          <w:rFonts w:ascii="Simplified Arabic" w:hAnsi="Simplified Arabic" w:cs="Simplified Arabic"/>
          <w:b/>
          <w:bCs/>
          <w:color w:val="000000" w:themeColor="text1"/>
          <w:sz w:val="28"/>
          <w:szCs w:val="28"/>
          <w:rtl/>
          <w:lang w:bidi="ar-EG"/>
        </w:rPr>
        <w:t xml:space="preserve"> </w:t>
      </w:r>
    </w:p>
    <w:p w14:paraId="38C3161C" w14:textId="77777777" w:rsidR="001A6AF0" w:rsidRPr="004B2CD4" w:rsidRDefault="001A6AF0" w:rsidP="004B2CD4">
      <w:pPr>
        <w:spacing w:before="100" w:beforeAutospacing="1" w:after="100" w:afterAutospacing="1" w:line="276" w:lineRule="auto"/>
        <w:jc w:val="center"/>
        <w:rPr>
          <w:rFonts w:ascii="Simplified Arabic" w:hAnsi="Simplified Arabic" w:cs="Simplified Arabic"/>
          <w:b/>
          <w:bCs/>
          <w:color w:val="000000" w:themeColor="text1"/>
          <w:sz w:val="40"/>
          <w:szCs w:val="40"/>
        </w:rPr>
      </w:pPr>
    </w:p>
    <w:p w14:paraId="4301E3FD" w14:textId="77777777" w:rsidR="00BD2251" w:rsidRPr="004B2CD4" w:rsidRDefault="00BD2251" w:rsidP="004B2CD4">
      <w:pPr>
        <w:spacing w:before="100" w:beforeAutospacing="1" w:after="100" w:afterAutospacing="1" w:line="276" w:lineRule="auto"/>
        <w:jc w:val="center"/>
        <w:rPr>
          <w:rFonts w:ascii="Simplified Arabic" w:hAnsi="Simplified Arabic" w:cs="Simplified Arabic"/>
          <w:b/>
          <w:bCs/>
          <w:color w:val="000000" w:themeColor="text1"/>
          <w:sz w:val="40"/>
          <w:szCs w:val="40"/>
          <w:lang w:bidi="ar-EG"/>
        </w:rPr>
      </w:pPr>
      <w:r w:rsidRPr="004B2CD4">
        <w:rPr>
          <w:rFonts w:ascii="Simplified Arabic" w:hAnsi="Simplified Arabic" w:cs="Simplified Arabic"/>
          <w:b/>
          <w:bCs/>
          <w:color w:val="000000" w:themeColor="text1"/>
          <w:sz w:val="40"/>
          <w:szCs w:val="40"/>
          <w:rtl/>
        </w:rPr>
        <w:t xml:space="preserve">دور الحوكمة والشفافية في تحسين كفاءة اتخاذ </w:t>
      </w:r>
      <w:proofErr w:type="gramStart"/>
      <w:r w:rsidRPr="004B2CD4">
        <w:rPr>
          <w:rFonts w:ascii="Simplified Arabic" w:hAnsi="Simplified Arabic" w:cs="Simplified Arabic"/>
          <w:b/>
          <w:bCs/>
          <w:color w:val="000000" w:themeColor="text1"/>
          <w:sz w:val="40"/>
          <w:szCs w:val="40"/>
          <w:rtl/>
        </w:rPr>
        <w:t>القرار :</w:t>
      </w:r>
      <w:proofErr w:type="gramEnd"/>
      <w:r w:rsidRPr="004B2CD4">
        <w:rPr>
          <w:rFonts w:ascii="Simplified Arabic" w:hAnsi="Simplified Arabic" w:cs="Simplified Arabic"/>
          <w:b/>
          <w:bCs/>
          <w:color w:val="000000" w:themeColor="text1"/>
          <w:sz w:val="40"/>
          <w:szCs w:val="40"/>
          <w:rtl/>
        </w:rPr>
        <w:t xml:space="preserve"> دراسة ميدانية على الجهات الحكومية بالمملكة العربية السعودية</w:t>
      </w:r>
    </w:p>
    <w:p w14:paraId="751A7E65" w14:textId="450C5EF2" w:rsidR="009125CE" w:rsidRDefault="009125CE"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4B2CD4">
        <w:rPr>
          <w:rFonts w:ascii="Simplified Arabic" w:hAnsi="Simplified Arabic" w:cs="Simplified Arabic"/>
          <w:b/>
          <w:bCs/>
          <w:color w:val="000000" w:themeColor="text1"/>
          <w:sz w:val="36"/>
          <w:szCs w:val="36"/>
          <w:rtl/>
          <w:lang w:bidi="ar-EG"/>
        </w:rPr>
        <w:t>إعداد الطالب/</w:t>
      </w:r>
      <w:r w:rsidR="00393AA1">
        <w:rPr>
          <w:rFonts w:ascii="Simplified Arabic" w:hAnsi="Simplified Arabic" w:cs="Simplified Arabic" w:hint="cs"/>
          <w:b/>
          <w:bCs/>
          <w:color w:val="000000" w:themeColor="text1"/>
          <w:sz w:val="36"/>
          <w:szCs w:val="36"/>
          <w:rtl/>
        </w:rPr>
        <w:t xml:space="preserve"> إبراهيم صالح الحربي </w:t>
      </w:r>
    </w:p>
    <w:p w14:paraId="408D933C" w14:textId="297A7C86" w:rsidR="00393AA1" w:rsidRPr="004B2CD4" w:rsidRDefault="00393AA1" w:rsidP="004B2CD4">
      <w:pPr>
        <w:spacing w:before="100" w:beforeAutospacing="1" w:after="100" w:afterAutospacing="1" w:line="276" w:lineRule="auto"/>
        <w:jc w:val="center"/>
        <w:rPr>
          <w:rFonts w:ascii="Simplified Arabic" w:hAnsi="Simplified Arabic" w:cs="Simplified Arabic" w:hint="cs"/>
          <w:b/>
          <w:bCs/>
          <w:color w:val="000000" w:themeColor="text1"/>
          <w:sz w:val="36"/>
          <w:szCs w:val="36"/>
          <w:rtl/>
        </w:rPr>
      </w:pPr>
      <w:r>
        <w:rPr>
          <w:rFonts w:ascii="Simplified Arabic" w:hAnsi="Simplified Arabic" w:cs="Simplified Arabic" w:hint="cs"/>
          <w:b/>
          <w:bCs/>
          <w:color w:val="000000" w:themeColor="text1"/>
          <w:sz w:val="36"/>
          <w:szCs w:val="36"/>
          <w:rtl/>
        </w:rPr>
        <w:t>الرقم الجامعي / 253000713</w:t>
      </w:r>
    </w:p>
    <w:p w14:paraId="46993AA9" w14:textId="77777777" w:rsidR="00BD2251" w:rsidRPr="004B2CD4" w:rsidRDefault="00BD2251" w:rsidP="004B2CD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6DC914D" w14:textId="77777777" w:rsidR="00BD2251" w:rsidRPr="004B2CD4" w:rsidRDefault="00BD2251" w:rsidP="004B2CD4">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5F4EE2DE" w14:textId="7F6C3FE8" w:rsidR="009125CE" w:rsidRDefault="009125CE"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B2CD4">
        <w:rPr>
          <w:rFonts w:ascii="Simplified Arabic" w:hAnsi="Simplified Arabic" w:cs="Simplified Arabic"/>
          <w:b/>
          <w:bCs/>
          <w:color w:val="000000" w:themeColor="text1"/>
          <w:sz w:val="36"/>
          <w:szCs w:val="36"/>
          <w:rtl/>
          <w:lang w:bidi="ar-EG"/>
        </w:rPr>
        <w:t>إشراف/</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42A58" w14:paraId="20098A3E" w14:textId="77777777" w:rsidTr="00142A58">
        <w:tc>
          <w:tcPr>
            <w:tcW w:w="4530" w:type="dxa"/>
          </w:tcPr>
          <w:p w14:paraId="740F1D26" w14:textId="4D3285FD" w:rsidR="00142A58" w:rsidRDefault="00142A58"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المشرف الرئيسي/</w:t>
            </w:r>
          </w:p>
        </w:tc>
        <w:tc>
          <w:tcPr>
            <w:tcW w:w="4531" w:type="dxa"/>
          </w:tcPr>
          <w:p w14:paraId="02DE2A4D" w14:textId="5DEBA5C3" w:rsidR="00142A58" w:rsidRDefault="00142A58"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المشرف الثاني/</w:t>
            </w:r>
          </w:p>
        </w:tc>
      </w:tr>
      <w:tr w:rsidR="00142A58" w14:paraId="4A62CBA5" w14:textId="77777777" w:rsidTr="00142A58">
        <w:tc>
          <w:tcPr>
            <w:tcW w:w="4530" w:type="dxa"/>
          </w:tcPr>
          <w:p w14:paraId="3228A8D2" w14:textId="0C948A9D" w:rsidR="00142A58" w:rsidRDefault="00142A58"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B2CD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CE14D64" w14:textId="25674067" w:rsidR="00142A58" w:rsidRDefault="00142A58" w:rsidP="004B2CD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4B2CD4">
              <w:rPr>
                <w:rFonts w:ascii="Simplified Arabic" w:eastAsia="Calibri" w:hAnsi="Simplified Arabic" w:cs="Simplified Arabic"/>
                <w:color w:val="000000" w:themeColor="text1"/>
                <w:kern w:val="0"/>
                <w:sz w:val="36"/>
                <w:szCs w:val="36"/>
                <w:rtl/>
                <w:lang w:bidi="ar-EG"/>
                <w14:ligatures w14:val="none"/>
              </w:rPr>
              <w:t>د.فايز</w:t>
            </w:r>
            <w:proofErr w:type="spellEnd"/>
            <w:proofErr w:type="gramEnd"/>
            <w:r w:rsidRPr="004B2CD4">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425D9CC5" w14:textId="3C690EBD" w:rsidR="000A06E6" w:rsidRPr="004B2CD4" w:rsidRDefault="00995162" w:rsidP="00142A58">
      <w:pPr>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Pr>
          <w:rFonts w:ascii="Simplified Arabic" w:eastAsia="Calibri" w:hAnsi="Simplified Arabic" w:cs="Simplified Arabic"/>
          <w:color w:val="000000" w:themeColor="text1"/>
          <w:kern w:val="0"/>
          <w:sz w:val="36"/>
          <w:szCs w:val="36"/>
          <w:rtl/>
          <w:lang w:bidi="ar-EG"/>
          <w14:ligatures w14:val="none"/>
        </w:rPr>
        <w:tab/>
      </w:r>
      <w:r>
        <w:rPr>
          <w:rFonts w:ascii="Simplified Arabic" w:eastAsia="Calibri" w:hAnsi="Simplified Arabic" w:cs="Simplified Arabic"/>
          <w:color w:val="000000" w:themeColor="text1"/>
          <w:kern w:val="0"/>
          <w:sz w:val="36"/>
          <w:szCs w:val="36"/>
          <w:rtl/>
          <w:lang w:bidi="ar-EG"/>
          <w14:ligatures w14:val="none"/>
        </w:rPr>
        <w:tab/>
      </w:r>
      <w:r>
        <w:rPr>
          <w:rFonts w:ascii="Simplified Arabic" w:eastAsia="Calibri" w:hAnsi="Simplified Arabic" w:cs="Simplified Arabic"/>
          <w:color w:val="000000" w:themeColor="text1"/>
          <w:kern w:val="0"/>
          <w:sz w:val="36"/>
          <w:szCs w:val="36"/>
          <w:rtl/>
          <w:lang w:bidi="ar-EG"/>
          <w14:ligatures w14:val="none"/>
        </w:rPr>
        <w:tab/>
      </w:r>
      <w:r>
        <w:rPr>
          <w:rFonts w:ascii="Simplified Arabic" w:eastAsia="Calibri" w:hAnsi="Simplified Arabic" w:cs="Simplified Arabic"/>
          <w:color w:val="000000" w:themeColor="text1"/>
          <w:kern w:val="0"/>
          <w:sz w:val="36"/>
          <w:szCs w:val="36"/>
          <w:rtl/>
          <w:lang w:bidi="ar-EG"/>
          <w14:ligatures w14:val="none"/>
        </w:rPr>
        <w:tab/>
      </w:r>
    </w:p>
    <w:p w14:paraId="05DD91B1" w14:textId="2F340EA8" w:rsidR="00377D51" w:rsidRPr="004B2CD4" w:rsidRDefault="009125CE" w:rsidP="004B2CD4">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4B2CD4">
        <w:rPr>
          <w:rFonts w:ascii="Simplified Arabic" w:hAnsi="Simplified Arabic" w:cs="Simplified Arabic"/>
          <w:b/>
          <w:bCs/>
          <w:color w:val="000000" w:themeColor="text1"/>
          <w:sz w:val="36"/>
          <w:szCs w:val="36"/>
          <w:rtl/>
          <w:lang w:bidi="ar-EG"/>
        </w:rPr>
        <w:t>العام الدراسي:</w:t>
      </w:r>
    </w:p>
    <w:p w14:paraId="75D94229" w14:textId="77777777" w:rsidR="001A6AF0" w:rsidRPr="004B2CD4" w:rsidRDefault="001A6AF0" w:rsidP="004B2CD4">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1A6AF0" w:rsidRPr="004B2CD4" w:rsidSect="001A6AF0">
          <w:type w:val="continuous"/>
          <w:pgSz w:w="11906" w:h="16838" w:code="9"/>
          <w:pgMar w:top="1134" w:right="1701" w:bottom="1134" w:left="1134" w:header="720" w:footer="720" w:gutter="0"/>
          <w:pgNumType w:fmt="arabicAbjad" w:start="1"/>
          <w:cols w:space="708"/>
          <w:bidi/>
          <w:rtlGutter/>
          <w:docGrid w:linePitch="360"/>
        </w:sectPr>
      </w:pPr>
      <w:r w:rsidRPr="004B2CD4">
        <w:rPr>
          <w:rFonts w:ascii="Simplified Arabic" w:hAnsi="Simplified Arabic" w:cs="Simplified Arabic"/>
          <w:color w:val="000000" w:themeColor="text1"/>
          <w:sz w:val="36"/>
          <w:szCs w:val="36"/>
          <w:lang w:bidi="ar-EG"/>
        </w:rPr>
        <w:t>1448 – 2026</w:t>
      </w:r>
    </w:p>
    <w:p w14:paraId="68412CDA" w14:textId="7546D617" w:rsidR="001A6AF0" w:rsidRPr="004B2CD4" w:rsidRDefault="001A6AF0" w:rsidP="004B2CD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025074"/>
      <w:r w:rsidRPr="004B2CD4">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399033C8" w14:textId="57A96B45" w:rsidR="001A6AF0" w:rsidRPr="004B2CD4" w:rsidRDefault="001A6AF0" w:rsidP="004B2CD4">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1" w:name="_Toc233025075"/>
      <w:r w:rsidRPr="004B2CD4">
        <w:rPr>
          <w:rFonts w:ascii="Simplified Arabic" w:hAnsi="Simplified Arabic" w:cs="Simplified Arabic" w:hint="cs"/>
          <w:b/>
          <w:bCs/>
          <w:color w:val="000000" w:themeColor="text1"/>
          <w:sz w:val="36"/>
          <w:szCs w:val="36"/>
          <w:rtl/>
          <w:lang w:bidi="ar-EG"/>
        </w:rPr>
        <w:t>1.1 المقدمة</w:t>
      </w:r>
      <w:bookmarkEnd w:id="1"/>
    </w:p>
    <w:p w14:paraId="1B090E7D" w14:textId="18514B4B"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4B2CD4">
        <w:rPr>
          <w:rFonts w:ascii="Simplified Arabic" w:hAnsi="Simplified Arabic" w:cs="Simplified Arabic"/>
          <w:color w:val="000000" w:themeColor="text1"/>
          <w:sz w:val="28"/>
          <w:szCs w:val="28"/>
          <w:rtl/>
        </w:rPr>
        <w:t>شهد العالم خلال العقدين الأخيرين تحوّلات جذرية في فلسفة الإدارة العامة وأساليبها، إذ لم يعد يُنظر إلى المؤسسات الحكومية بوصفها أجهزة بيروقراطية تقليدية تقتصر مهمّتها على تنفيذ السياسات، بل أصبحت مطالبة بتبنّي أطر مؤسسية حديثة تقوم على الرشادة والكفاءة والمساءلة. وفي هذا السياق، برزت الحوكمة المؤسسية بوصفها إحدى أهمّ المقاربات المعاصرة التي تسعى إلى إعادة هيكلة العلاقة بين السلطة والمسؤولية داخل المنظمات الحكومية، بما يضمن توجيه الموارد وتوظيفها على النحو الأمثل لخدمة المصلحة العامة</w:t>
      </w:r>
      <w:r w:rsidRPr="004B2CD4">
        <w:rPr>
          <w:rFonts w:ascii="Simplified Arabic" w:hAnsi="Simplified Arabic" w:cs="Simplified Arabic"/>
          <w:color w:val="000000" w:themeColor="text1"/>
          <w:sz w:val="28"/>
          <w:szCs w:val="28"/>
        </w:rPr>
        <w:t xml:space="preserve"> (Negri &amp; </w:t>
      </w:r>
      <w:proofErr w:type="spellStart"/>
      <w:r w:rsidRPr="004B2CD4">
        <w:rPr>
          <w:rFonts w:ascii="Simplified Arabic" w:hAnsi="Simplified Arabic" w:cs="Simplified Arabic"/>
          <w:color w:val="000000" w:themeColor="text1"/>
          <w:sz w:val="28"/>
          <w:szCs w:val="28"/>
        </w:rPr>
        <w:t>Dinc</w:t>
      </w:r>
      <w:proofErr w:type="spellEnd"/>
      <w:r w:rsidRPr="004B2CD4">
        <w:rPr>
          <w:rFonts w:ascii="Simplified Arabic" w:hAnsi="Simplified Arabic" w:cs="Simplified Arabic"/>
          <w:color w:val="000000" w:themeColor="text1"/>
          <w:sz w:val="28"/>
          <w:szCs w:val="28"/>
        </w:rPr>
        <w:t>, 2023).</w:t>
      </w:r>
    </w:p>
    <w:p w14:paraId="457D8423"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وتستند الحوكمة المؤسسية في القطاع الحكومي إلى مجموعة من الأبعاد المترابطة التي تُشكّل في مجملها منظومة متكاملة لضبط الأداء المؤسسي، ويأتي في مقدّمتها الشفافية التي تكفل إتاحة المعلومات وتدفّقها بين المستويات الإدارية وأصحاب المصلحة، والمساءلة التي تُرسي مبدأ ربط السلطة بالمسؤولية ومحاسبة صانعي القرار على نتائج أعمالهم، والمشاركة في صنع القرار التي تُوسّع قاعدة الفاعلين في العملية الإدارية وتُعزّز الالتزام التنظيمي، وسيادة القانون التي تضمن خضوع جميع الممارسات لأطر تنظيمية واضحة وعادلة. وقد أشار المنصوري (2024) إلى أنّ هذه الأبعاد مجتمعةً تُمثّل الأساس الذي تقوم عليه عمليات التحديث والإصلاح الإداري في الدول التي تسعى إلى تطوير أجهزتها الحكومية</w:t>
      </w:r>
      <w:r w:rsidRPr="004B2CD4">
        <w:rPr>
          <w:rFonts w:ascii="Simplified Arabic" w:hAnsi="Simplified Arabic" w:cs="Simplified Arabic"/>
          <w:color w:val="000000" w:themeColor="text1"/>
          <w:sz w:val="28"/>
          <w:szCs w:val="28"/>
        </w:rPr>
        <w:t>.</w:t>
      </w:r>
    </w:p>
    <w:p w14:paraId="7B430B6D" w14:textId="5BA26D26"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وعلى صعيد آخر، يُعدّ اتخاذ القرار الإداري جوهر العملية الإدارية ومحرّكها الأساسي، إذ تتوقّف فاعلية المنظمات وقدرتها على تحقيق أهدافها على مدى كفاءة القرارات التي تُتّخذ فيها من حيث الجودة والتوقيت والرشد والقبول لدى المعنيّين بتنفيذها. والقرار الإداري الكفء لا ينشأ في فراغ، بل يرتبط ارتباطاً عضوياً بالبيئة المؤسسية التي يُصنع فيها ومدى توفّر المعلومات الدقيقة والآليات التنظيمية الداعمة (أبو حمور وأبو حمدة، 2022)</w:t>
      </w:r>
    </w:p>
    <w:p w14:paraId="561A5732" w14:textId="1B812B8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 xml:space="preserve">وقد تزايد الاهتمام البحثي بكفاءة اتخاذ القرارات في القطاع الحكومي تحديداً، نظراً لما تنطوي عليه القرارات الحكومية من أثر واسع يمتدّ ليشمل شرائح مجتمعية كبيرة وموارد مالية ضخمة وسياسات عامة حسّاسة، ممّا يجعل تحسين كفاءة هذه القرارات أولوية استراتيجية وليس مجرّد خيار إداري. وأكّدت ورقة </w:t>
      </w:r>
      <w:r w:rsidRPr="004B2CD4">
        <w:rPr>
          <w:rFonts w:ascii="Simplified Arabic" w:hAnsi="Simplified Arabic" w:cs="Simplified Arabic"/>
          <w:color w:val="000000" w:themeColor="text1"/>
          <w:sz w:val="28"/>
          <w:szCs w:val="28"/>
          <w:rtl/>
        </w:rPr>
        <w:lastRenderedPageBreak/>
        <w:t>العمل الصادرة عن البنك الدولي أنّ الاستثمار في تحسين آليات صنع القرار الحكومي يُعدّ من أعلى أشكال الاستثمار عائداً على المستوى المؤسسي والمجتمعي</w:t>
      </w:r>
      <w:r w:rsidRPr="004B2CD4">
        <w:rPr>
          <w:rFonts w:ascii="Simplified Arabic" w:hAnsi="Simplified Arabic" w:cs="Simplified Arabic"/>
          <w:color w:val="000000" w:themeColor="text1"/>
          <w:sz w:val="28"/>
          <w:szCs w:val="28"/>
        </w:rPr>
        <w:t xml:space="preserve"> (Lourenço </w:t>
      </w:r>
      <w:proofErr w:type="spellStart"/>
      <w:r w:rsidRPr="004B2CD4">
        <w:rPr>
          <w:rFonts w:ascii="Simplified Arabic" w:hAnsi="Simplified Arabic" w:cs="Simplified Arabic"/>
          <w:color w:val="000000" w:themeColor="text1"/>
          <w:sz w:val="28"/>
          <w:szCs w:val="28"/>
        </w:rPr>
        <w:t>etal</w:t>
      </w:r>
      <w:proofErr w:type="spellEnd"/>
      <w:r w:rsidRPr="004B2CD4">
        <w:rPr>
          <w:rFonts w:ascii="Simplified Arabic" w:hAnsi="Simplified Arabic" w:cs="Simplified Arabic"/>
          <w:color w:val="000000" w:themeColor="text1"/>
          <w:sz w:val="28"/>
          <w:szCs w:val="28"/>
        </w:rPr>
        <w:t>., 2022).</w:t>
      </w:r>
    </w:p>
    <w:p w14:paraId="4B900A15"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وتتقاطع الحوكمة المؤسسية مع كفاءة اتخاذ القرارات الإدارية في نقاط جوهرية عديدة، فالشفافية تُوفّر لصانع القرار البيانات التي يحتاجها، والمساءلة تدفعه نحو الموضوعية والحرص، والمشاركة تُثري القرار بتعدّد وجهات النظر، وسيادة القانون تحميه من الأهواء والتحيّزات. وهذا التداخل البنيوي بين المتغيرين يجعل دراسة العلاقة بينهما ضرورة علمية ملحّة، لا سيّما في ضوء ما أكّدته الأدبيات من أنّ الحوكمة الرشيدة تنعكس إيجاباً على جودة القرارات العامة</w:t>
      </w:r>
      <w:r w:rsidRPr="004B2CD4">
        <w:rPr>
          <w:rFonts w:ascii="Simplified Arabic" w:hAnsi="Simplified Arabic" w:cs="Simplified Arabic"/>
          <w:color w:val="000000" w:themeColor="text1"/>
          <w:sz w:val="28"/>
          <w:szCs w:val="28"/>
        </w:rPr>
        <w:t xml:space="preserve"> (Sari, 2023).</w:t>
      </w:r>
    </w:p>
    <w:p w14:paraId="6FDF9733" w14:textId="3CEB3F1E"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tl/>
        </w:rPr>
      </w:pPr>
      <w:r w:rsidRPr="004B2CD4">
        <w:rPr>
          <w:rFonts w:ascii="Simplified Arabic" w:hAnsi="Simplified Arabic" w:cs="Simplified Arabic"/>
          <w:color w:val="000000" w:themeColor="text1"/>
          <w:sz w:val="28"/>
          <w:szCs w:val="28"/>
          <w:rtl/>
        </w:rPr>
        <w:t>وفي السياق السعودي، تأتي هذه الدراسة في مرحلة تحوّل مؤسسي غير مسبوقة تقودها رؤية المملكة 2030 التي وضعت الحوكمة والشفافية في صميم أولوياتها الإصلاحية، ممّا يمنح الدراسة الحالية أهمية مضاعفة كونها تسعى إلى الكشف عن أثر الحوكمة المؤسسية بأبعادها الأربعة على كفاءة اتخاذ القرارات الإدارية في الجهات الحكومية السعودية.</w:t>
      </w:r>
    </w:p>
    <w:p w14:paraId="3EBC8A23" w14:textId="4112945B" w:rsidR="001A6AF0" w:rsidRPr="004B2CD4" w:rsidRDefault="001A6AF0" w:rsidP="004B2CD4">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025076"/>
      <w:bookmarkStart w:id="5" w:name="_Toc169790499"/>
      <w:bookmarkEnd w:id="2"/>
      <w:bookmarkEnd w:id="3"/>
      <w:r w:rsidRPr="004B2CD4">
        <w:rPr>
          <w:rFonts w:ascii="Simplified Arabic" w:hAnsi="Simplified Arabic" w:cs="Simplified Arabic"/>
          <w:b/>
          <w:bCs/>
          <w:color w:val="000000" w:themeColor="text1"/>
          <w:sz w:val="36"/>
          <w:szCs w:val="36"/>
          <w:rtl/>
        </w:rPr>
        <w:t>2.1 مشكلة الدراسة</w:t>
      </w:r>
      <w:bookmarkEnd w:id="4"/>
    </w:p>
    <w:p w14:paraId="537EAAE9" w14:textId="28794E46"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تُعدّ الحوكمة المؤسسية من أبرز الركائز التي تقوم عليها الإدارة العامة المعاصرة، إذ تُمثّل منظومة متكاملة من المبادئ والآليات والممارسات التي تضبط العلاقة بين الأطراف الفاعلة داخل المؤسسات وتُرسي قواعد الشفافية والمساءلة وسيادة القانون والمشاركة في صنع القرار، بما يكفل تحقيق الكفاءة والفاعلية في الأداء المؤسسي. وقد تصاعد الاهتمام الدولي بالحوكمة في القطاع الحكومي منذ مطلع الألفية الثالثة، حين أكّدت المنظمات الدولية كالبنك الدولي ومنظمة التعاون الاقتصادي والتنمية وبرنامج الأمم المتحدة الإنمائي أنّ ضعف الحوكمة يُعدّ من أخطر التحديات التي تُقوّض قدرة الحكومات على اتخاذ قرارات رشيدة وتوظيف مواردها بكفاءة، وهو ما أكّدته دراسة</w:t>
      </w:r>
      <w:r w:rsidRPr="004B2CD4">
        <w:rPr>
          <w:rFonts w:ascii="Simplified Arabic" w:hAnsi="Simplified Arabic" w:cs="Simplified Arabic"/>
          <w:color w:val="000000" w:themeColor="text1"/>
          <w:sz w:val="28"/>
          <w:szCs w:val="28"/>
        </w:rPr>
        <w:t xml:space="preserve"> Negri &amp; </w:t>
      </w:r>
      <w:proofErr w:type="spellStart"/>
      <w:r w:rsidRPr="004B2CD4">
        <w:rPr>
          <w:rFonts w:ascii="Simplified Arabic" w:hAnsi="Simplified Arabic" w:cs="Simplified Arabic"/>
          <w:color w:val="000000" w:themeColor="text1"/>
          <w:sz w:val="28"/>
          <w:szCs w:val="28"/>
        </w:rPr>
        <w:t>Dinc</w:t>
      </w:r>
      <w:proofErr w:type="spellEnd"/>
      <w:r w:rsidRPr="004B2CD4">
        <w:rPr>
          <w:rFonts w:ascii="Simplified Arabic" w:hAnsi="Simplified Arabic" w:cs="Simplified Arabic"/>
          <w:color w:val="000000" w:themeColor="text1"/>
          <w:sz w:val="28"/>
          <w:szCs w:val="28"/>
        </w:rPr>
        <w:t xml:space="preserve"> (2023) </w:t>
      </w:r>
      <w:r w:rsidRPr="004B2CD4">
        <w:rPr>
          <w:rFonts w:ascii="Simplified Arabic" w:hAnsi="Simplified Arabic" w:cs="Simplified Arabic"/>
          <w:color w:val="000000" w:themeColor="text1"/>
          <w:sz w:val="28"/>
          <w:szCs w:val="28"/>
          <w:rtl/>
        </w:rPr>
        <w:t>التي خلصت إلى أنّ جودة الحوكمة تُشكّل المحدّد الرئيسي لكفاءة القطاع العام في دول الاتحاد الأوروبي، ودراسة</w:t>
      </w:r>
      <w:r w:rsidRPr="004B2CD4">
        <w:rPr>
          <w:rFonts w:ascii="Simplified Arabic" w:hAnsi="Simplified Arabic" w:cs="Simplified Arabic"/>
          <w:color w:val="000000" w:themeColor="text1"/>
          <w:sz w:val="28"/>
          <w:szCs w:val="28"/>
        </w:rPr>
        <w:t xml:space="preserve"> Mansoor (2021) </w:t>
      </w:r>
      <w:r w:rsidRPr="004B2CD4">
        <w:rPr>
          <w:rFonts w:ascii="Simplified Arabic" w:hAnsi="Simplified Arabic" w:cs="Simplified Arabic"/>
          <w:color w:val="000000" w:themeColor="text1"/>
          <w:sz w:val="28"/>
          <w:szCs w:val="28"/>
          <w:rtl/>
        </w:rPr>
        <w:t>التي كشفت عن الدور المحوري للشفافية والمساءلة في بناء ثقة المواطنين بالمؤسسات الحكومية</w:t>
      </w:r>
      <w:r w:rsidRPr="004B2CD4">
        <w:rPr>
          <w:rFonts w:ascii="Simplified Arabic" w:hAnsi="Simplified Arabic" w:cs="Simplified Arabic"/>
          <w:color w:val="000000" w:themeColor="text1"/>
          <w:sz w:val="28"/>
          <w:szCs w:val="28"/>
        </w:rPr>
        <w:t>.</w:t>
      </w:r>
    </w:p>
    <w:p w14:paraId="3D6F93BF"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 xml:space="preserve">وفي السياق السعودي، أولت المملكة العربية السعودية اهتماماً استثنائياً بتعزيز الحوكمة في إطار رؤية 2030 التي جعلت من الشفافية والمساءلة وكفاءة الإنفاق ركائز جوهرية لتحقيق التحوّل المؤسسي المنشود، وتجلّى ذلك في إنشاء هيئة الرقابة ومكافحة الفساد "نزاهة" وهيئة كفاءة الإنفاق والمشروعات الحكومية </w:t>
      </w:r>
      <w:r w:rsidRPr="004B2CD4">
        <w:rPr>
          <w:rFonts w:ascii="Simplified Arabic" w:hAnsi="Simplified Arabic" w:cs="Simplified Arabic"/>
          <w:color w:val="000000" w:themeColor="text1"/>
          <w:sz w:val="28"/>
          <w:szCs w:val="28"/>
          <w:rtl/>
        </w:rPr>
        <w:lastRenderedPageBreak/>
        <w:t>"</w:t>
      </w:r>
      <w:proofErr w:type="spellStart"/>
      <w:r w:rsidRPr="004B2CD4">
        <w:rPr>
          <w:rFonts w:ascii="Simplified Arabic" w:hAnsi="Simplified Arabic" w:cs="Simplified Arabic"/>
          <w:color w:val="000000" w:themeColor="text1"/>
          <w:sz w:val="28"/>
          <w:szCs w:val="28"/>
          <w:rtl/>
        </w:rPr>
        <w:t>إكسبرو</w:t>
      </w:r>
      <w:proofErr w:type="spellEnd"/>
      <w:r w:rsidRPr="004B2CD4">
        <w:rPr>
          <w:rFonts w:ascii="Simplified Arabic" w:hAnsi="Simplified Arabic" w:cs="Simplified Arabic"/>
          <w:color w:val="000000" w:themeColor="text1"/>
          <w:sz w:val="28"/>
          <w:szCs w:val="28"/>
          <w:rtl/>
        </w:rPr>
        <w:t>"، فضلاً عن إصدار حزمة من الأنظمة واللوائح الرقابية. غير أنّ الواقع التطبيقي يكشف عن وجود فجوة ملموسة بين التوجّهات الاستراتيجية والممارسة الفعلية، إذ أشارت دراسة الحربي (2022) إلى أنّ تطبيق الحوكمة في المؤسسات الحكومية السعودية لا يزال يواجه تحديات جوهرية تتعلق بمحدودية الشفافية في تدفّق المعلومات وضعف آليات المساءلة الفعلية وقصور المشاركة في صنع القرار، وهو ما أيّدته دراسة</w:t>
      </w:r>
      <w:r w:rsidRPr="004B2CD4">
        <w:rPr>
          <w:rFonts w:ascii="Simplified Arabic" w:hAnsi="Simplified Arabic" w:cs="Simplified Arabic"/>
          <w:color w:val="000000" w:themeColor="text1"/>
          <w:sz w:val="28"/>
          <w:szCs w:val="28"/>
        </w:rPr>
        <w:t xml:space="preserve"> </w:t>
      </w:r>
      <w:proofErr w:type="spellStart"/>
      <w:r w:rsidRPr="004B2CD4">
        <w:rPr>
          <w:rFonts w:ascii="Simplified Arabic" w:hAnsi="Simplified Arabic" w:cs="Simplified Arabic"/>
          <w:color w:val="000000" w:themeColor="text1"/>
          <w:sz w:val="28"/>
          <w:szCs w:val="28"/>
        </w:rPr>
        <w:t>Almajri</w:t>
      </w:r>
      <w:proofErr w:type="spellEnd"/>
      <w:r w:rsidRPr="004B2CD4">
        <w:rPr>
          <w:rFonts w:ascii="Simplified Arabic" w:hAnsi="Simplified Arabic" w:cs="Simplified Arabic"/>
          <w:color w:val="000000" w:themeColor="text1"/>
          <w:sz w:val="28"/>
          <w:szCs w:val="28"/>
        </w:rPr>
        <w:t xml:space="preserve"> (2024) </w:t>
      </w:r>
      <w:r w:rsidRPr="004B2CD4">
        <w:rPr>
          <w:rFonts w:ascii="Simplified Arabic" w:hAnsi="Simplified Arabic" w:cs="Simplified Arabic"/>
          <w:color w:val="000000" w:themeColor="text1"/>
          <w:sz w:val="28"/>
          <w:szCs w:val="28"/>
          <w:rtl/>
        </w:rPr>
        <w:t>التي رصدت فجوات تطبيقية واضحة في منظومة الحوكمة السعودية رغم التطوّرات التشريعية المتسارعة</w:t>
      </w:r>
      <w:r w:rsidRPr="004B2CD4">
        <w:rPr>
          <w:rFonts w:ascii="Simplified Arabic" w:hAnsi="Simplified Arabic" w:cs="Simplified Arabic"/>
          <w:color w:val="000000" w:themeColor="text1"/>
          <w:sz w:val="28"/>
          <w:szCs w:val="28"/>
        </w:rPr>
        <w:t>.</w:t>
      </w:r>
    </w:p>
    <w:p w14:paraId="7C83DDD3"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وتتّصل هذه الإشكالية اتصالاً وثيقاً بكفاءة اتخاذ القرارات الإدارية التي تُعدّ جوهر العملية الإدارية ومحورها، فالقرار الإداري الرشيد يتطلّب بيئة مؤسسية تتّسم بوضوح المعلومات وإتاحتها ووجود رقابة فاعلة وإطار قانوني حاكم يضمن الموضوعية والعدالة. وقد أثبتت دراسة أبو حمور وأبو حمدة (2022) أنّ جودة المعلومات — وهي إحدى مخرجات الشفافية — تُفسّر ما يزيد عن 70% من التباين في فاعلية القرارات الإدارية، كما أكّدت دراسة</w:t>
      </w:r>
      <w:r w:rsidRPr="004B2CD4">
        <w:rPr>
          <w:rFonts w:ascii="Simplified Arabic" w:hAnsi="Simplified Arabic" w:cs="Simplified Arabic"/>
          <w:color w:val="000000" w:themeColor="text1"/>
          <w:sz w:val="28"/>
          <w:szCs w:val="28"/>
        </w:rPr>
        <w:t xml:space="preserve"> Thanaraj et al. (2025) </w:t>
      </w:r>
      <w:r w:rsidRPr="004B2CD4">
        <w:rPr>
          <w:rFonts w:ascii="Simplified Arabic" w:hAnsi="Simplified Arabic" w:cs="Simplified Arabic"/>
          <w:color w:val="000000" w:themeColor="text1"/>
          <w:sz w:val="28"/>
          <w:szCs w:val="28"/>
          <w:rtl/>
        </w:rPr>
        <w:t>أنّ القيادة الأخلاقية والإدارة التشاركية تؤثّران بشكل غير مباشر في فاعلية الأداء الحكومي عبر تعزيز الثقافة التنظيمية. إلا أنّ الدراسات التي تناولت الأثر المباشر والمتكامل لأبعاد الحوكمة الأربعة مجتمعةً على كفاءة اتخاذ القرارات في البيئة الحكومية السعودية تحديداً لا تزال نادرة، ممّا يُشكّل فجوة بحثية واضحة تسعى هذه الدراسة إلى سدّها</w:t>
      </w:r>
      <w:r w:rsidRPr="004B2CD4">
        <w:rPr>
          <w:rFonts w:ascii="Simplified Arabic" w:hAnsi="Simplified Arabic" w:cs="Simplified Arabic"/>
          <w:color w:val="000000" w:themeColor="text1"/>
          <w:sz w:val="28"/>
          <w:szCs w:val="28"/>
        </w:rPr>
        <w:t>.</w:t>
      </w:r>
    </w:p>
    <w:p w14:paraId="69E1E6E1" w14:textId="50BCA8D9"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وعليه، تتبلور مشكلة الدراسة في التساؤل الجوهري التالي</w:t>
      </w:r>
      <w:r w:rsidRPr="004B2CD4">
        <w:rPr>
          <w:rFonts w:ascii="Simplified Arabic" w:hAnsi="Simplified Arabic" w:cs="Simplified Arabic"/>
          <w:b/>
          <w:bCs/>
          <w:color w:val="000000" w:themeColor="text1"/>
          <w:sz w:val="28"/>
          <w:szCs w:val="28"/>
        </w:rPr>
        <w:t xml:space="preserve">: </w:t>
      </w:r>
      <w:r w:rsidRPr="004B2CD4">
        <w:rPr>
          <w:rStyle w:val="a9"/>
          <w:rFonts w:ascii="Simplified Arabic" w:hAnsi="Simplified Arabic" w:cs="Simplified Arabic"/>
          <w:b w:val="0"/>
          <w:bCs w:val="0"/>
          <w:color w:val="000000" w:themeColor="text1"/>
          <w:sz w:val="28"/>
          <w:szCs w:val="28"/>
          <w:rtl/>
        </w:rPr>
        <w:t>ما أثر الحوكمة المؤسسية بأبعادها (الشفافية، المساءلة، المشاركة في صنع القرار، سيادة القانون) على كفاءة اتخاذ القرارات الإدارية في الجهات الحكومية السعودية؟</w:t>
      </w:r>
      <w:r w:rsidRPr="004B2CD4">
        <w:rPr>
          <w:rFonts w:ascii="Simplified Arabic" w:hAnsi="Simplified Arabic" w:cs="Simplified Arabic"/>
          <w:b/>
          <w:bCs/>
          <w:color w:val="000000" w:themeColor="text1"/>
          <w:sz w:val="28"/>
          <w:szCs w:val="28"/>
          <w:rtl/>
        </w:rPr>
        <w:t xml:space="preserve"> </w:t>
      </w:r>
    </w:p>
    <w:p w14:paraId="2E5F226D" w14:textId="77777777" w:rsidR="001A6AF0" w:rsidRPr="004B2CD4" w:rsidRDefault="001A6AF0" w:rsidP="004B2C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025077"/>
      <w:proofErr w:type="gramStart"/>
      <w:r w:rsidRPr="004B2CD4">
        <w:rPr>
          <w:rFonts w:ascii="Simplified Arabic" w:eastAsia="Times New Roman" w:hAnsi="Simplified Arabic" w:cs="Simplified Arabic"/>
          <w:b/>
          <w:bCs/>
          <w:color w:val="000000" w:themeColor="text1"/>
          <w:kern w:val="0"/>
          <w:sz w:val="36"/>
          <w:szCs w:val="36"/>
          <w:rtl/>
          <w14:ligatures w14:val="none"/>
        </w:rPr>
        <w:t>3.1  هدف</w:t>
      </w:r>
      <w:proofErr w:type="gramEnd"/>
      <w:r w:rsidRPr="004B2CD4">
        <w:rPr>
          <w:rFonts w:ascii="Simplified Arabic" w:eastAsia="Times New Roman" w:hAnsi="Simplified Arabic" w:cs="Simplified Arabic"/>
          <w:b/>
          <w:bCs/>
          <w:color w:val="000000" w:themeColor="text1"/>
          <w:kern w:val="0"/>
          <w:sz w:val="36"/>
          <w:szCs w:val="36"/>
          <w:rtl/>
          <w14:ligatures w14:val="none"/>
        </w:rPr>
        <w:t xml:space="preserve"> الدراسة</w:t>
      </w:r>
      <w:bookmarkEnd w:id="6"/>
    </w:p>
    <w:p w14:paraId="5E390A8A" w14:textId="12B8749C" w:rsidR="001A6AF0" w:rsidRPr="004B2CD4" w:rsidRDefault="001A6AF0"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B2CD4">
        <w:rPr>
          <w:rFonts w:ascii="Simplified Arabic" w:eastAsia="Times New Roman" w:hAnsi="Simplified Arabic" w:cs="Simplified Arabic"/>
          <w:b/>
          <w:bCs/>
          <w:color w:val="000000" w:themeColor="text1"/>
          <w:kern w:val="0"/>
          <w:sz w:val="32"/>
          <w:szCs w:val="32"/>
          <w:rtl/>
          <w14:ligatures w14:val="none"/>
        </w:rPr>
        <w:t>الهدف الرئيسي</w:t>
      </w:r>
    </w:p>
    <w:p w14:paraId="06FFFE8D" w14:textId="3B252180"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الحوكمة المؤسسية بأبعادها الأربعة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الشفافية، المساءلة، المشاركة في صنع القرار، سيادة القانون</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7C87CA06"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4B2CD4">
        <w:rPr>
          <w:rFonts w:ascii="Simplified Arabic" w:eastAsia="Times New Roman" w:hAnsi="Simplified Arabic" w:cs="Simplified Arabic"/>
          <w:b/>
          <w:bCs/>
          <w:color w:val="000000" w:themeColor="text1"/>
          <w:kern w:val="0"/>
          <w:sz w:val="28"/>
          <w:szCs w:val="28"/>
          <w14:ligatures w14:val="none"/>
        </w:rPr>
        <w:t>:</w:t>
      </w:r>
    </w:p>
    <w:p w14:paraId="428271DE" w14:textId="77777777"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الكشف عن أثر الشفافية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215735D4" w14:textId="77777777"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بيان أثر المساءلة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29B8DA3D" w14:textId="77777777"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استقصاء أثر المشاركة في صنع القرار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33990FEE" w14:textId="77777777"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تحديد أثر سيادة القانون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1204F907" w14:textId="77777777"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ترتيب أبعاد الحوكمة المؤسسية وفقاً لقوة تأثيرها في كفاءة اتخاذ القرارات الإدارية</w:t>
      </w:r>
      <w:r w:rsidRPr="004B2CD4">
        <w:rPr>
          <w:rFonts w:ascii="Simplified Arabic" w:eastAsia="Times New Roman" w:hAnsi="Simplified Arabic" w:cs="Simplified Arabic"/>
          <w:color w:val="000000" w:themeColor="text1"/>
          <w:kern w:val="0"/>
          <w:sz w:val="28"/>
          <w:szCs w:val="28"/>
          <w14:ligatures w14:val="none"/>
        </w:rPr>
        <w:t>.</w:t>
      </w:r>
    </w:p>
    <w:p w14:paraId="4DCC6CC4" w14:textId="226DDB13" w:rsidR="00BD2251" w:rsidRPr="004B2CD4" w:rsidRDefault="00BD2251" w:rsidP="004B2CD4">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تقديم توصيات ومقترحات عملية للجهات الحكومية السعودية لتعزيز تطبيق الحوكمة بما يُسهم في رفع كفاءة القرارات الإدارية، بما يتوافق مع مستهدفات رؤية المملكة 2030</w:t>
      </w:r>
      <w:r w:rsidRPr="004B2CD4">
        <w:rPr>
          <w:rFonts w:ascii="Simplified Arabic" w:eastAsia="Times New Roman" w:hAnsi="Simplified Arabic" w:cs="Simplified Arabic"/>
          <w:color w:val="000000" w:themeColor="text1"/>
          <w:kern w:val="0"/>
          <w:sz w:val="28"/>
          <w:szCs w:val="28"/>
          <w14:ligatures w14:val="none"/>
        </w:rPr>
        <w:t>.</w:t>
      </w:r>
    </w:p>
    <w:p w14:paraId="177AF119" w14:textId="77777777" w:rsidR="001A6AF0" w:rsidRPr="004B2CD4" w:rsidRDefault="001A6AF0" w:rsidP="004B2C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025078"/>
      <w:r w:rsidRPr="004B2CD4">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B359809" w14:textId="628008C6" w:rsidR="001A6AF0" w:rsidRPr="004B2CD4" w:rsidRDefault="001A6AF0"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B2CD4">
        <w:rPr>
          <w:rFonts w:ascii="Simplified Arabic" w:eastAsia="Times New Roman" w:hAnsi="Simplified Arabic" w:cs="Simplified Arabic"/>
          <w:b/>
          <w:bCs/>
          <w:color w:val="000000" w:themeColor="text1"/>
          <w:kern w:val="0"/>
          <w:sz w:val="32"/>
          <w:szCs w:val="32"/>
          <w:rtl/>
          <w14:ligatures w14:val="none"/>
        </w:rPr>
        <w:t>السؤال الرئيسي</w:t>
      </w:r>
    </w:p>
    <w:p w14:paraId="5D1C0251"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ما أثر الحوكمة المؤسسية بأبعادها (الشفافية، المساءلة، المشاركة في صنع القرار، سيادة القانون) على كفاءة اتخاذ القرارات الإدارية في الجهات الحكومية السعودية؟</w:t>
      </w:r>
    </w:p>
    <w:p w14:paraId="1691C2F5"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279447"/>
      <w:r w:rsidRPr="004B2CD4">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5DBFCFA2" w14:textId="77777777" w:rsidR="00BD2251" w:rsidRPr="004B2CD4" w:rsidRDefault="00BD2251" w:rsidP="004B2C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ما أثر الشفافية على كفاءة اتخاذ القرارات الإدارية في الجهات الحكومية السعودية؟</w:t>
      </w:r>
    </w:p>
    <w:p w14:paraId="228D66A6" w14:textId="77777777" w:rsidR="00BD2251" w:rsidRPr="004B2CD4" w:rsidRDefault="00BD2251" w:rsidP="004B2C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ما أثر المساءلة على كفاءة اتخاذ القرارات الإدارية في الجهات الحكومية السعودية؟</w:t>
      </w:r>
    </w:p>
    <w:p w14:paraId="25A7BE41" w14:textId="77777777" w:rsidR="00BD2251" w:rsidRPr="004B2CD4" w:rsidRDefault="00BD2251" w:rsidP="004B2C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ما أثر المشاركة في صنع القرار على كفاءة اتخاذ القرارات الإدارية في الجهات الحكومية السعودية؟</w:t>
      </w:r>
    </w:p>
    <w:p w14:paraId="2F3A9630" w14:textId="77777777" w:rsidR="00BD2251" w:rsidRPr="004B2CD4" w:rsidRDefault="00BD2251" w:rsidP="004B2C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ما أثر سيادة القانون على كفاءة اتخاذ القرارات الإدارية في الجهات الحكومية السعودية؟</w:t>
      </w:r>
    </w:p>
    <w:p w14:paraId="04068B34" w14:textId="4CC10DBB" w:rsidR="00BD2251" w:rsidRPr="004B2CD4" w:rsidRDefault="00BD2251" w:rsidP="004B2CD4">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B2CD4">
        <w:rPr>
          <w:rFonts w:ascii="Simplified Arabic" w:eastAsia="Times New Roman" w:hAnsi="Simplified Arabic" w:cs="Simplified Arabic"/>
          <w:color w:val="000000" w:themeColor="text1"/>
          <w:kern w:val="0"/>
          <w:sz w:val="28"/>
          <w:szCs w:val="28"/>
          <w:rtl/>
          <w14:ligatures w14:val="none"/>
        </w:rPr>
        <w:t>ما ترتيب أبعاد الحوكمة المؤسسية من حيث قوة تأثيرها في كفاءة اتخاذ القرارات الإدارية؟</w:t>
      </w:r>
    </w:p>
    <w:p w14:paraId="68C055E8" w14:textId="77777777" w:rsidR="001A6AF0" w:rsidRPr="004B2CD4" w:rsidRDefault="001A6AF0" w:rsidP="004B2C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025079"/>
      <w:proofErr w:type="gramStart"/>
      <w:r w:rsidRPr="004B2CD4">
        <w:rPr>
          <w:rFonts w:ascii="Simplified Arabic" w:eastAsia="Times New Roman" w:hAnsi="Simplified Arabic" w:cs="Simplified Arabic"/>
          <w:b/>
          <w:bCs/>
          <w:color w:val="000000" w:themeColor="text1"/>
          <w:kern w:val="0"/>
          <w:sz w:val="36"/>
          <w:szCs w:val="36"/>
          <w:rtl/>
          <w14:ligatures w14:val="none"/>
        </w:rPr>
        <w:t>5.1  فروض</w:t>
      </w:r>
      <w:proofErr w:type="gramEnd"/>
      <w:r w:rsidRPr="004B2CD4">
        <w:rPr>
          <w:rFonts w:ascii="Simplified Arabic" w:eastAsia="Times New Roman" w:hAnsi="Simplified Arabic" w:cs="Simplified Arabic"/>
          <w:b/>
          <w:bCs/>
          <w:color w:val="000000" w:themeColor="text1"/>
          <w:kern w:val="0"/>
          <w:sz w:val="36"/>
          <w:szCs w:val="36"/>
          <w:rtl/>
          <w14:ligatures w14:val="none"/>
        </w:rPr>
        <w:t xml:space="preserve"> الدراسة</w:t>
      </w:r>
      <w:bookmarkEnd w:id="9"/>
    </w:p>
    <w:p w14:paraId="6080097C" w14:textId="35AC9BF8" w:rsidR="001A6AF0" w:rsidRPr="004B2CD4" w:rsidRDefault="001A6AF0"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B2CD4">
        <w:rPr>
          <w:rFonts w:ascii="Simplified Arabic" w:eastAsia="Times New Roman" w:hAnsi="Simplified Arabic" w:cs="Simplified Arabic"/>
          <w:b/>
          <w:bCs/>
          <w:color w:val="000000" w:themeColor="text1"/>
          <w:kern w:val="0"/>
          <w:sz w:val="32"/>
          <w:szCs w:val="32"/>
          <w:rtl/>
          <w14:ligatures w14:val="none"/>
        </w:rPr>
        <w:t>الفرض الرئيسي</w:t>
      </w:r>
    </w:p>
    <w:p w14:paraId="02E1D998" w14:textId="77777777" w:rsidR="00BD2251" w:rsidRPr="004B2CD4" w:rsidRDefault="00BD2251" w:rsidP="004B2CD4">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14:ligatures w14:val="none"/>
        </w:rPr>
        <w:t>H</w:t>
      </w:r>
      <w:r w:rsidRPr="004B2CD4">
        <w:rPr>
          <w:rFonts w:ascii="Times New Roman" w:eastAsia="Times New Roman" w:hAnsi="Times New Roman" w:cs="Times New Roman"/>
          <w:b/>
          <w:bCs/>
          <w:color w:val="000000" w:themeColor="text1"/>
          <w:kern w:val="0"/>
          <w:sz w:val="28"/>
          <w:szCs w:val="28"/>
          <w14:ligatures w14:val="none"/>
        </w:rPr>
        <w:t>₀</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 </w:t>
      </w:r>
      <w:r w:rsidRPr="004B2CD4">
        <w:rPr>
          <w:rFonts w:ascii="Simplified Arabic" w:eastAsia="Times New Roman" w:hAnsi="Simplified Arabic" w:cs="Simplified Arabic"/>
          <w:color w:val="000000" w:themeColor="text1"/>
          <w:kern w:val="0"/>
          <w:sz w:val="28"/>
          <w:szCs w:val="28"/>
          <w:rtl/>
          <w14:ligatures w14:val="none"/>
        </w:rPr>
        <w:t>للحوكمة المؤسسية بأبعادها (الشفافية، المساءلة، المشاركة في صنع القرار، سيادة القانون)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2D655E62"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279450"/>
      <w:r w:rsidRPr="004B2CD4">
        <w:rPr>
          <w:rFonts w:ascii="Simplified Arabic" w:eastAsia="Times New Roman" w:hAnsi="Simplified Arabic" w:cs="Simplified Arabic"/>
          <w:b/>
          <w:bCs/>
          <w:color w:val="000000" w:themeColor="text1"/>
          <w:kern w:val="0"/>
          <w:sz w:val="32"/>
          <w:szCs w:val="32"/>
          <w:rtl/>
          <w14:ligatures w14:val="none"/>
        </w:rPr>
        <w:lastRenderedPageBreak/>
        <w:t>الفروض الفرعية</w:t>
      </w:r>
      <w:bookmarkEnd w:id="10"/>
    </w:p>
    <w:p w14:paraId="24E297FE" w14:textId="77777777" w:rsidR="00BD2251" w:rsidRPr="004B2CD4" w:rsidRDefault="00BD2251" w:rsidP="004B2CD4">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14:ligatures w14:val="none"/>
        </w:rPr>
        <w:t>H</w:t>
      </w:r>
      <w:r w:rsidRPr="004B2CD4">
        <w:rPr>
          <w:rFonts w:ascii="Times New Roman" w:eastAsia="Times New Roman" w:hAnsi="Times New Roman" w:cs="Times New Roman"/>
          <w:b/>
          <w:bCs/>
          <w:color w:val="000000" w:themeColor="text1"/>
          <w:kern w:val="0"/>
          <w:sz w:val="28"/>
          <w:szCs w:val="28"/>
          <w14:ligatures w14:val="none"/>
        </w:rPr>
        <w:t>₀₁</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 </w:t>
      </w:r>
      <w:r w:rsidRPr="004B2CD4">
        <w:rPr>
          <w:rFonts w:ascii="Simplified Arabic" w:eastAsia="Times New Roman" w:hAnsi="Simplified Arabic" w:cs="Simplified Arabic"/>
          <w:color w:val="000000" w:themeColor="text1"/>
          <w:kern w:val="0"/>
          <w:sz w:val="28"/>
          <w:szCs w:val="28"/>
          <w:rtl/>
          <w14:ligatures w14:val="none"/>
        </w:rPr>
        <w:t xml:space="preserve">لبُعد </w:t>
      </w:r>
      <w:r w:rsidRPr="004B2CD4">
        <w:rPr>
          <w:rFonts w:ascii="Simplified Arabic" w:eastAsia="Times New Roman" w:hAnsi="Simplified Arabic" w:cs="Simplified Arabic"/>
          <w:b/>
          <w:bCs/>
          <w:color w:val="000000" w:themeColor="text1"/>
          <w:kern w:val="0"/>
          <w:sz w:val="28"/>
          <w:szCs w:val="28"/>
          <w:rtl/>
          <w14:ligatures w14:val="none"/>
        </w:rPr>
        <w:t>الشفافية</w:t>
      </w:r>
      <w:r w:rsidRPr="004B2CD4">
        <w:rPr>
          <w:rFonts w:ascii="Simplified Arabic" w:eastAsia="Times New Roman" w:hAnsi="Simplified Arabic" w:cs="Simplified Arabic"/>
          <w:color w:val="000000" w:themeColor="text1"/>
          <w:kern w:val="0"/>
          <w:sz w:val="28"/>
          <w:szCs w:val="28"/>
          <w:rtl/>
          <w14:ligatures w14:val="none"/>
        </w:rPr>
        <w:t xml:space="preserve">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23EDB335" w14:textId="77777777" w:rsidR="00BD2251" w:rsidRPr="004B2CD4" w:rsidRDefault="00BD2251" w:rsidP="004B2CD4">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14:ligatures w14:val="none"/>
        </w:rPr>
        <w:t>H</w:t>
      </w:r>
      <w:r w:rsidRPr="004B2CD4">
        <w:rPr>
          <w:rFonts w:ascii="Times New Roman" w:eastAsia="Times New Roman" w:hAnsi="Times New Roman" w:cs="Times New Roman"/>
          <w:b/>
          <w:bCs/>
          <w:color w:val="000000" w:themeColor="text1"/>
          <w:kern w:val="0"/>
          <w:sz w:val="28"/>
          <w:szCs w:val="28"/>
          <w14:ligatures w14:val="none"/>
        </w:rPr>
        <w:t>₀₂</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 </w:t>
      </w:r>
      <w:r w:rsidRPr="004B2CD4">
        <w:rPr>
          <w:rFonts w:ascii="Simplified Arabic" w:eastAsia="Times New Roman" w:hAnsi="Simplified Arabic" w:cs="Simplified Arabic"/>
          <w:color w:val="000000" w:themeColor="text1"/>
          <w:kern w:val="0"/>
          <w:sz w:val="28"/>
          <w:szCs w:val="28"/>
          <w:rtl/>
          <w14:ligatures w14:val="none"/>
        </w:rPr>
        <w:t xml:space="preserve">لبُعد </w:t>
      </w:r>
      <w:r w:rsidRPr="004B2CD4">
        <w:rPr>
          <w:rFonts w:ascii="Simplified Arabic" w:eastAsia="Times New Roman" w:hAnsi="Simplified Arabic" w:cs="Simplified Arabic"/>
          <w:b/>
          <w:bCs/>
          <w:color w:val="000000" w:themeColor="text1"/>
          <w:kern w:val="0"/>
          <w:sz w:val="28"/>
          <w:szCs w:val="28"/>
          <w:rtl/>
          <w14:ligatures w14:val="none"/>
        </w:rPr>
        <w:t>المساءلة</w:t>
      </w:r>
      <w:r w:rsidRPr="004B2CD4">
        <w:rPr>
          <w:rFonts w:ascii="Simplified Arabic" w:eastAsia="Times New Roman" w:hAnsi="Simplified Arabic" w:cs="Simplified Arabic"/>
          <w:color w:val="000000" w:themeColor="text1"/>
          <w:kern w:val="0"/>
          <w:sz w:val="28"/>
          <w:szCs w:val="28"/>
          <w:rtl/>
          <w14:ligatures w14:val="none"/>
        </w:rPr>
        <w:t xml:space="preserve">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7100BA1D" w14:textId="77777777" w:rsidR="00BD2251" w:rsidRPr="004B2CD4" w:rsidRDefault="00BD2251" w:rsidP="004B2CD4">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14:ligatures w14:val="none"/>
        </w:rPr>
        <w:t>H</w:t>
      </w:r>
      <w:r w:rsidRPr="004B2CD4">
        <w:rPr>
          <w:rFonts w:ascii="Times New Roman" w:eastAsia="Times New Roman" w:hAnsi="Times New Roman" w:cs="Times New Roman"/>
          <w:b/>
          <w:bCs/>
          <w:color w:val="000000" w:themeColor="text1"/>
          <w:kern w:val="0"/>
          <w:sz w:val="28"/>
          <w:szCs w:val="28"/>
          <w14:ligatures w14:val="none"/>
        </w:rPr>
        <w:t>₀₃</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 </w:t>
      </w:r>
      <w:r w:rsidRPr="004B2CD4">
        <w:rPr>
          <w:rFonts w:ascii="Simplified Arabic" w:eastAsia="Times New Roman" w:hAnsi="Simplified Arabic" w:cs="Simplified Arabic"/>
          <w:color w:val="000000" w:themeColor="text1"/>
          <w:kern w:val="0"/>
          <w:sz w:val="28"/>
          <w:szCs w:val="28"/>
          <w:rtl/>
          <w14:ligatures w14:val="none"/>
        </w:rPr>
        <w:t xml:space="preserve">لبُعد </w:t>
      </w:r>
      <w:r w:rsidRPr="004B2CD4">
        <w:rPr>
          <w:rFonts w:ascii="Simplified Arabic" w:eastAsia="Times New Roman" w:hAnsi="Simplified Arabic" w:cs="Simplified Arabic"/>
          <w:b/>
          <w:bCs/>
          <w:color w:val="000000" w:themeColor="text1"/>
          <w:kern w:val="0"/>
          <w:sz w:val="28"/>
          <w:szCs w:val="28"/>
          <w:rtl/>
          <w14:ligatures w14:val="none"/>
        </w:rPr>
        <w:t>المشاركة في صنع القرار</w:t>
      </w:r>
      <w:r w:rsidRPr="004B2CD4">
        <w:rPr>
          <w:rFonts w:ascii="Simplified Arabic" w:eastAsia="Times New Roman" w:hAnsi="Simplified Arabic" w:cs="Simplified Arabic"/>
          <w:color w:val="000000" w:themeColor="text1"/>
          <w:kern w:val="0"/>
          <w:sz w:val="28"/>
          <w:szCs w:val="28"/>
          <w:rtl/>
          <w14:ligatures w14:val="none"/>
        </w:rPr>
        <w:t xml:space="preserve">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43F0DDC6" w14:textId="77777777" w:rsidR="00BD2251" w:rsidRPr="004B2CD4" w:rsidRDefault="00BD2251" w:rsidP="004B2CD4">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14:ligatures w14:val="none"/>
        </w:rPr>
        <w:t>H</w:t>
      </w:r>
      <w:r w:rsidRPr="004B2CD4">
        <w:rPr>
          <w:rFonts w:ascii="Times New Roman" w:eastAsia="Times New Roman" w:hAnsi="Times New Roman" w:cs="Times New Roman"/>
          <w:b/>
          <w:bCs/>
          <w:color w:val="000000" w:themeColor="text1"/>
          <w:kern w:val="0"/>
          <w:sz w:val="28"/>
          <w:szCs w:val="28"/>
          <w14:ligatures w14:val="none"/>
        </w:rPr>
        <w:t>₀₄</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 </w:t>
      </w:r>
      <w:r w:rsidRPr="004B2CD4">
        <w:rPr>
          <w:rFonts w:ascii="Simplified Arabic" w:eastAsia="Times New Roman" w:hAnsi="Simplified Arabic" w:cs="Simplified Arabic"/>
          <w:color w:val="000000" w:themeColor="text1"/>
          <w:kern w:val="0"/>
          <w:sz w:val="28"/>
          <w:szCs w:val="28"/>
          <w:rtl/>
          <w14:ligatures w14:val="none"/>
        </w:rPr>
        <w:t xml:space="preserve">لبُعد </w:t>
      </w:r>
      <w:r w:rsidRPr="004B2CD4">
        <w:rPr>
          <w:rFonts w:ascii="Simplified Arabic" w:eastAsia="Times New Roman" w:hAnsi="Simplified Arabic" w:cs="Simplified Arabic"/>
          <w:b/>
          <w:bCs/>
          <w:color w:val="000000" w:themeColor="text1"/>
          <w:kern w:val="0"/>
          <w:sz w:val="28"/>
          <w:szCs w:val="28"/>
          <w:rtl/>
          <w14:ligatures w14:val="none"/>
        </w:rPr>
        <w:t>سيادة القانون</w:t>
      </w:r>
      <w:r w:rsidRPr="004B2CD4">
        <w:rPr>
          <w:rFonts w:ascii="Simplified Arabic" w:eastAsia="Times New Roman" w:hAnsi="Simplified Arabic" w:cs="Simplified Arabic"/>
          <w:color w:val="000000" w:themeColor="text1"/>
          <w:kern w:val="0"/>
          <w:sz w:val="28"/>
          <w:szCs w:val="28"/>
          <w:rtl/>
          <w14:ligatures w14:val="none"/>
        </w:rPr>
        <w:t xml:space="preserve"> على كفاءة اتخاذ القرارات الإدارية في الجهات الحكومية السعودية</w:t>
      </w:r>
      <w:r w:rsidRPr="004B2CD4">
        <w:rPr>
          <w:rFonts w:ascii="Simplified Arabic" w:eastAsia="Times New Roman" w:hAnsi="Simplified Arabic" w:cs="Simplified Arabic"/>
          <w:color w:val="000000" w:themeColor="text1"/>
          <w:kern w:val="0"/>
          <w:sz w:val="28"/>
          <w:szCs w:val="28"/>
          <w14:ligatures w14:val="none"/>
        </w:rPr>
        <w:t>.</w:t>
      </w:r>
    </w:p>
    <w:p w14:paraId="269D449B" w14:textId="77777777" w:rsidR="001A6AF0" w:rsidRPr="004B2CD4" w:rsidRDefault="001A6AF0" w:rsidP="004B2C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025080"/>
      <w:r w:rsidRPr="004B2CD4">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7D117C7D" w14:textId="7A5DC4C6" w:rsidR="001A6AF0" w:rsidRPr="004B2CD4" w:rsidRDefault="001A6AF0"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B2CD4">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0E62B854" w14:textId="25389208" w:rsidR="00BD2251" w:rsidRPr="004B2CD4" w:rsidRDefault="00BD2251" w:rsidP="004B2CD4">
      <w:pPr>
        <w:pStyle w:val="a6"/>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تُثري هذه الدراسة الأدبيات العربية في مجال الحوكمة المؤسسية وكفاءة اتخاذ القرارات الإدارية، وهو مجال لا يزال يحتاج إلى مزيد من الدراسات التطبيقية في السياق السعودي تحديداً</w:t>
      </w:r>
      <w:r w:rsidRPr="004B2CD4">
        <w:rPr>
          <w:rFonts w:ascii="Simplified Arabic" w:eastAsia="Times New Roman" w:hAnsi="Simplified Arabic" w:cs="Simplified Arabic"/>
          <w:color w:val="000000" w:themeColor="text1"/>
          <w:kern w:val="0"/>
          <w:sz w:val="28"/>
          <w:szCs w:val="28"/>
          <w14:ligatures w14:val="none"/>
        </w:rPr>
        <w:t>.</w:t>
      </w:r>
    </w:p>
    <w:p w14:paraId="7C461D15" w14:textId="0647013F" w:rsidR="00BD2251" w:rsidRPr="004B2CD4" w:rsidRDefault="00BD2251" w:rsidP="004B2CD4">
      <w:pPr>
        <w:pStyle w:val="a6"/>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تُقدّم إطاراً نظرياً متكاملاً يربط بين أربعة أبعاد للحوكمة (الشفافية، المساءلة، المشاركة، سيادة القانون) وكفاءة القرار الإداري، مما يُسهم في بناء نموذج مفاهيمي يمكن اختباره في بيئات إدارية أخرى</w:t>
      </w:r>
      <w:r w:rsidRPr="004B2CD4">
        <w:rPr>
          <w:rFonts w:ascii="Simplified Arabic" w:eastAsia="Times New Roman" w:hAnsi="Simplified Arabic" w:cs="Simplified Arabic"/>
          <w:color w:val="000000" w:themeColor="text1"/>
          <w:kern w:val="0"/>
          <w:sz w:val="28"/>
          <w:szCs w:val="28"/>
          <w14:ligatures w14:val="none"/>
        </w:rPr>
        <w:t>.</w:t>
      </w:r>
    </w:p>
    <w:p w14:paraId="28D6976B" w14:textId="6D07742C" w:rsidR="00BD2251" w:rsidRPr="004B2CD4" w:rsidRDefault="00BD2251" w:rsidP="004B2CD4">
      <w:pPr>
        <w:pStyle w:val="a6"/>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تستند الدراسة إلى مرجعية حديثة ومتنوعة (2020–2025) تشمل أدبيات عربية وأجنبية، مما يُتيح مقارنة النتائج مع سياقات دولية ويُعزّز إمكانية التعميم النظري</w:t>
      </w:r>
      <w:r w:rsidRPr="004B2CD4">
        <w:rPr>
          <w:rFonts w:ascii="Simplified Arabic" w:eastAsia="Times New Roman" w:hAnsi="Simplified Arabic" w:cs="Simplified Arabic"/>
          <w:color w:val="000000" w:themeColor="text1"/>
          <w:kern w:val="0"/>
          <w:sz w:val="28"/>
          <w:szCs w:val="28"/>
          <w14:ligatures w14:val="none"/>
        </w:rPr>
        <w:t>.</w:t>
      </w:r>
    </w:p>
    <w:p w14:paraId="4B7BAB94" w14:textId="5200B538" w:rsidR="00BD2251" w:rsidRPr="004B2CD4" w:rsidRDefault="00BD2251" w:rsidP="004B2CD4">
      <w:pPr>
        <w:pStyle w:val="a6"/>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تُسهم في سدّ الفجوة البحثية المتعلقة بندرة الدراسات التي تناولت الأثر المباشر لأبعاد الحوكمة مجتمعةً ومنفردةً على كفاءة القرار الإداري في القطاع الحكومي السعودي</w:t>
      </w:r>
      <w:r w:rsidRPr="004B2CD4">
        <w:rPr>
          <w:rFonts w:ascii="Simplified Arabic" w:eastAsia="Times New Roman" w:hAnsi="Simplified Arabic" w:cs="Simplified Arabic"/>
          <w:color w:val="000000" w:themeColor="text1"/>
          <w:kern w:val="0"/>
          <w:sz w:val="28"/>
          <w:szCs w:val="28"/>
          <w14:ligatures w14:val="none"/>
        </w:rPr>
        <w:t>.</w:t>
      </w:r>
    </w:p>
    <w:p w14:paraId="62722016" w14:textId="0034FB4A" w:rsidR="00BD2251" w:rsidRPr="004B2CD4" w:rsidRDefault="00BD2251" w:rsidP="004B2CD4">
      <w:pPr>
        <w:pStyle w:val="a6"/>
        <w:numPr>
          <w:ilvl w:val="0"/>
          <w:numId w:val="5"/>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توفّر أداة قياس (استبانة) محكّمة يمكن أن يستفيد منها الباحثون في دراسات مستقبلية ذات صلة بالحوكمة وكفاءة القرار</w:t>
      </w:r>
      <w:r w:rsidRPr="004B2CD4">
        <w:rPr>
          <w:rFonts w:ascii="Simplified Arabic" w:eastAsia="Times New Roman" w:hAnsi="Simplified Arabic" w:cs="Simplified Arabic"/>
          <w:color w:val="000000" w:themeColor="text1"/>
          <w:kern w:val="0"/>
          <w:sz w:val="28"/>
          <w:szCs w:val="28"/>
          <w14:ligatures w14:val="none"/>
        </w:rPr>
        <w:t>.</w:t>
      </w:r>
    </w:p>
    <w:p w14:paraId="4F45C53B"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279453"/>
      <w:r w:rsidRPr="004B2CD4">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42AC4F16" w14:textId="0B990679"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تأتي الدراسة استجابةً لتوجّهات رؤية المملكة العربية السعودية 2030 التي تؤكّد على تعزيز الحوكمة والشفافية والمساءلة في القطاع الحكومي بوصفها ركائز للتطوير المؤسسي</w:t>
      </w:r>
      <w:r w:rsidRPr="004B2CD4">
        <w:rPr>
          <w:rFonts w:ascii="Simplified Arabic" w:eastAsia="Times New Roman" w:hAnsi="Simplified Arabic" w:cs="Simplified Arabic"/>
          <w:color w:val="000000" w:themeColor="text1"/>
          <w:kern w:val="0"/>
          <w:sz w:val="28"/>
          <w:szCs w:val="28"/>
          <w14:ligatures w14:val="none"/>
        </w:rPr>
        <w:t>.</w:t>
      </w:r>
    </w:p>
    <w:p w14:paraId="6762D2FC" w14:textId="089A1978"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تُقدّم نتائج ميدانية تُساعد صنّاع القرار والقيادات الحكومية في تحديد جوانب القوة والضعف في تطبيق الحوكمة، وبالتالي اتخاذ إجراءات تصحيحية مبنية على أدلة</w:t>
      </w:r>
      <w:r w:rsidRPr="004B2CD4">
        <w:rPr>
          <w:rFonts w:ascii="Simplified Arabic" w:eastAsia="Times New Roman" w:hAnsi="Simplified Arabic" w:cs="Simplified Arabic"/>
          <w:color w:val="000000" w:themeColor="text1"/>
          <w:kern w:val="0"/>
          <w:sz w:val="28"/>
          <w:szCs w:val="28"/>
          <w14:ligatures w14:val="none"/>
        </w:rPr>
        <w:t>.</w:t>
      </w:r>
    </w:p>
    <w:p w14:paraId="5544FF23" w14:textId="1ACFB35B"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تُسهم في ترتيب أولويات التطوير؛ إذ تكشف عن البُعد الأكثر تأثيراً في كفاءة القرار، مما يُوجّه الجهود والموارد نحو المجالات ذات الأثر الأعلى</w:t>
      </w:r>
      <w:r w:rsidRPr="004B2CD4">
        <w:rPr>
          <w:rFonts w:ascii="Simplified Arabic" w:eastAsia="Times New Roman" w:hAnsi="Simplified Arabic" w:cs="Simplified Arabic"/>
          <w:color w:val="000000" w:themeColor="text1"/>
          <w:kern w:val="0"/>
          <w:sz w:val="28"/>
          <w:szCs w:val="28"/>
          <w14:ligatures w14:val="none"/>
        </w:rPr>
        <w:t>.</w:t>
      </w:r>
    </w:p>
    <w:p w14:paraId="52FCC9A4" w14:textId="2D205911"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يمكن أن تُفيد نتائج الدراسة الجهات الرقابية (مثل ديوان المراقبة العامة وهيئة الرقابة ومكافحة الفساد "نزاهة") في تقييم واقع الحوكمة وأثرها الفعلي على جودة القرارات</w:t>
      </w:r>
      <w:r w:rsidRPr="004B2CD4">
        <w:rPr>
          <w:rFonts w:ascii="Simplified Arabic" w:eastAsia="Times New Roman" w:hAnsi="Simplified Arabic" w:cs="Simplified Arabic"/>
          <w:color w:val="000000" w:themeColor="text1"/>
          <w:kern w:val="0"/>
          <w:sz w:val="28"/>
          <w:szCs w:val="28"/>
          <w14:ligatures w14:val="none"/>
        </w:rPr>
        <w:t>.</w:t>
      </w:r>
    </w:p>
    <w:p w14:paraId="46D06FF2" w14:textId="4D05BE29"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تُوفّر توصيات عملية قابلة للتطبيق تُسهم في تطوير برامج تدريبية وتأهيلية للقيادات الإدارية في مجال الحوكمة وصنع القرار الرشيد</w:t>
      </w:r>
      <w:r w:rsidRPr="004B2CD4">
        <w:rPr>
          <w:rFonts w:ascii="Simplified Arabic" w:eastAsia="Times New Roman" w:hAnsi="Simplified Arabic" w:cs="Simplified Arabic"/>
          <w:color w:val="000000" w:themeColor="text1"/>
          <w:kern w:val="0"/>
          <w:sz w:val="28"/>
          <w:szCs w:val="28"/>
          <w14:ligatures w14:val="none"/>
        </w:rPr>
        <w:t>.</w:t>
      </w:r>
    </w:p>
    <w:p w14:paraId="456368D0" w14:textId="705D14B1" w:rsidR="00BD2251" w:rsidRPr="004B2CD4" w:rsidRDefault="00BD2251" w:rsidP="004B2CD4">
      <w:pPr>
        <w:pStyle w:val="a6"/>
        <w:numPr>
          <w:ilvl w:val="0"/>
          <w:numId w:val="4"/>
        </w:numPr>
        <w:tabs>
          <w:tab w:val="right"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تُلفت انتباه الممارسين إلى أهمية إشراك الموظفين في عمليات صنع القرار (بُعد المشاركة) بوصفه آلية لتحسين جودة المخرجات الإدارية وتعزيز الالتزام التنظيمي</w:t>
      </w:r>
      <w:r w:rsidRPr="004B2CD4">
        <w:rPr>
          <w:rFonts w:ascii="Simplified Arabic" w:eastAsia="Times New Roman" w:hAnsi="Simplified Arabic" w:cs="Simplified Arabic"/>
          <w:color w:val="000000" w:themeColor="text1"/>
          <w:kern w:val="0"/>
          <w:sz w:val="28"/>
          <w:szCs w:val="28"/>
          <w14:ligatures w14:val="none"/>
        </w:rPr>
        <w:t>.</w:t>
      </w:r>
    </w:p>
    <w:p w14:paraId="085C35C2" w14:textId="77777777" w:rsidR="001A6AF0" w:rsidRPr="004B2CD4" w:rsidRDefault="001A6AF0" w:rsidP="004B2CD4">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3" w:name="_Toc233025081"/>
      <w:r w:rsidRPr="004B2CD4">
        <w:rPr>
          <w:rFonts w:ascii="Simplified Arabic" w:hAnsi="Simplified Arabic" w:cs="Simplified Arabic"/>
          <w:b/>
          <w:bCs/>
          <w:color w:val="000000" w:themeColor="text1"/>
          <w:sz w:val="36"/>
          <w:szCs w:val="36"/>
          <w:rtl/>
        </w:rPr>
        <w:t>7.1 الدراسات السابقة:</w:t>
      </w:r>
      <w:bookmarkEnd w:id="13"/>
    </w:p>
    <w:p w14:paraId="0E9B5E96" w14:textId="5487150A" w:rsidR="002133A6" w:rsidRPr="004B2CD4" w:rsidRDefault="001A6AF0" w:rsidP="004B2CD4">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4B2CD4">
        <w:rPr>
          <w:rFonts w:ascii="Simplified Arabic" w:hAnsi="Simplified Arabic" w:cs="Simplified Arabic"/>
          <w:b/>
          <w:bCs/>
          <w:color w:val="000000" w:themeColor="text1"/>
          <w:sz w:val="32"/>
          <w:szCs w:val="32"/>
          <w:rtl/>
        </w:rPr>
        <w:t>المحور الأول: الدراسات المتعلقة بالمتغير المستقل (الحوكمة والشفافية) وعلاقته بمتغيرات أخرى</w:t>
      </w:r>
    </w:p>
    <w:p w14:paraId="1946C953"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الزهراني</w:t>
      </w:r>
      <w:r w:rsidRPr="004B2CD4">
        <w:rPr>
          <w:rFonts w:ascii="Simplified Arabic" w:eastAsia="Times New Roman" w:hAnsi="Simplified Arabic" w:cs="Simplified Arabic"/>
          <w:b/>
          <w:bCs/>
          <w:color w:val="000000" w:themeColor="text1"/>
          <w:kern w:val="0"/>
          <w:sz w:val="28"/>
          <w:szCs w:val="28"/>
          <w14:ligatures w14:val="none"/>
        </w:rPr>
        <w:t xml:space="preserve"> (2020): </w:t>
      </w:r>
      <w:r w:rsidRPr="004B2CD4">
        <w:rPr>
          <w:rFonts w:ascii="Simplified Arabic" w:eastAsia="Times New Roman" w:hAnsi="Simplified Arabic" w:cs="Simplified Arabic"/>
          <w:b/>
          <w:bCs/>
          <w:color w:val="000000" w:themeColor="text1"/>
          <w:kern w:val="0"/>
          <w:sz w:val="28"/>
          <w:szCs w:val="28"/>
          <w:rtl/>
          <w14:ligatures w14:val="none"/>
        </w:rPr>
        <w:t xml:space="preserve">بعنوان </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b/>
          <w:bCs/>
          <w:color w:val="000000" w:themeColor="text1"/>
          <w:kern w:val="0"/>
          <w:sz w:val="28"/>
          <w:szCs w:val="28"/>
          <w:rtl/>
          <w14:ligatures w14:val="none"/>
        </w:rPr>
        <w:t xml:space="preserve">دور الحوكمة في تعزيز النزاهة ومكافحة الفساد: دراسة تحليلية لمؤشر الشفافية ومؤشر المساءلة والمحاسبة في المملكة العربية السعودية". </w:t>
      </w:r>
    </w:p>
    <w:p w14:paraId="4BA63D62" w14:textId="77777777"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الحوكمة الرقابية بأبعادها (الشفافية، وحق الحصول على المعلومات، والمساءلة والمحاسبة) على تعزيز النزاهة ومكافحة الفساد في المملكة العربية السعودية. واستخدمت الدراسة المنهج الوصفي التحليلي من خلال تحليل الأنظمة واللوائح والممارسات ذات الصلة. وتوصلت نتائج الدراسة إلى أهمية التأكيد على سيادة القانون وإنشاء جهاز مفوّض للشفافية، وأن التحول الرقمي يُسهم في تعزيز الشفافية. وأوصت الدراسة بإنشاء هيئة مستقلة للشفافية، ودعم الأجهزة الرقابية، وتطوير إجراءات المساءلة والمحاسبة، وتعزيز دور الإعلام والحكومة الإلكترونية في مكافحة الفساد</w:t>
      </w:r>
      <w:r w:rsidRPr="004B2CD4">
        <w:rPr>
          <w:rFonts w:ascii="Simplified Arabic" w:eastAsia="Times New Roman" w:hAnsi="Simplified Arabic" w:cs="Simplified Arabic"/>
          <w:color w:val="000000" w:themeColor="text1"/>
          <w:kern w:val="0"/>
          <w:sz w:val="28"/>
          <w:szCs w:val="28"/>
          <w14:ligatures w14:val="none"/>
        </w:rPr>
        <w:t>.</w:t>
      </w:r>
    </w:p>
    <w:p w14:paraId="0B219B0C"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lastRenderedPageBreak/>
        <w:t>دراسة</w:t>
      </w:r>
      <w:r w:rsidRPr="004B2CD4">
        <w:rPr>
          <w:rFonts w:ascii="Simplified Arabic" w:eastAsia="Times New Roman" w:hAnsi="Simplified Arabic" w:cs="Simplified Arabic"/>
          <w:b/>
          <w:bCs/>
          <w:color w:val="000000" w:themeColor="text1"/>
          <w:kern w:val="0"/>
          <w:sz w:val="28"/>
          <w:szCs w:val="28"/>
          <w14:ligatures w14:val="none"/>
        </w:rPr>
        <w:t xml:space="preserve"> Mansoor (2021):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 xml:space="preserve">"Citizens' Trust in Government as a Function of Good Governance and Government Agency's Provision of Quality Information on Social Media during COVID-19". </w:t>
      </w:r>
    </w:p>
    <w:p w14:paraId="7DDFBB4E" w14:textId="477BC0A8"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الحوكمة الرشيدة بأبعادها (الاستجابة، والمساءلة، والشفافية) وجودة المعلومات المقدمة عبر وسائل التواصل الاجتماعي على ثقة المواطنين في الحكومة خلال جائحة كورونا</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واستخدمت الدراسة المنهج الكمّي</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نمذجة المعادلات الهيكلية</w:t>
      </w:r>
      <w:r w:rsidRPr="004B2CD4">
        <w:rPr>
          <w:rFonts w:ascii="Simplified Arabic" w:eastAsia="Times New Roman" w:hAnsi="Simplified Arabic" w:cs="Simplified Arabic"/>
          <w:color w:val="000000" w:themeColor="text1"/>
          <w:kern w:val="0"/>
          <w:sz w:val="28"/>
          <w:szCs w:val="28"/>
          <w14:ligatures w14:val="none"/>
        </w:rPr>
        <w:t xml:space="preserve"> SEM)</w:t>
      </w:r>
      <w:r w:rsidRPr="004B2CD4">
        <w:rPr>
          <w:rFonts w:ascii="Simplified Arabic" w:eastAsia="Times New Roman" w:hAnsi="Simplified Arabic" w:cs="Simplified Arabic"/>
          <w:color w:val="000000" w:themeColor="text1"/>
          <w:kern w:val="0"/>
          <w:sz w:val="28"/>
          <w:szCs w:val="28"/>
          <w:rtl/>
          <w14:ligatures w14:val="none"/>
        </w:rPr>
        <w:t>، وتكوّنت العينة من (471) استجابة صالحة من متابعي وكالة الأنباء الحكومية على وسائل التواصل الاجتماعي. وتوصلت نتائج الدراسة إلى أن الشفافية والمساءلة تُعدّان أهم عوامل تعزيز ثقة المواطنين في الحكومة، وأن جودة المعلومات المقدمة عبر وسائل التواصل الاجتماعي تُعزّز هذه الثقة بشكل كبير. وأوصت الدراسة بتكثيف الحكومات لجهودها في نشر المعلومات بشفافية عبر المنصات الرقمية، وتعزيز آليات المساءلة</w:t>
      </w:r>
      <w:r w:rsidRPr="004B2CD4">
        <w:rPr>
          <w:rFonts w:ascii="Simplified Arabic" w:eastAsia="Times New Roman" w:hAnsi="Simplified Arabic" w:cs="Simplified Arabic"/>
          <w:color w:val="000000" w:themeColor="text1"/>
          <w:kern w:val="0"/>
          <w:sz w:val="28"/>
          <w:szCs w:val="28"/>
          <w14:ligatures w14:val="none"/>
        </w:rPr>
        <w:t>.</w:t>
      </w:r>
    </w:p>
    <w:p w14:paraId="65FD4A59"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سيروب والنحاس</w:t>
      </w:r>
      <w:r w:rsidRPr="004B2CD4">
        <w:rPr>
          <w:rFonts w:ascii="Simplified Arabic" w:eastAsia="Times New Roman" w:hAnsi="Simplified Arabic" w:cs="Simplified Arabic"/>
          <w:b/>
          <w:bCs/>
          <w:color w:val="000000" w:themeColor="text1"/>
          <w:kern w:val="0"/>
          <w:sz w:val="28"/>
          <w:szCs w:val="28"/>
          <w14:ligatures w14:val="none"/>
        </w:rPr>
        <w:t xml:space="preserve"> (2022):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"أثر الحوكمة على كفاءة الإنفاق: دراسة تطبيقية على الاقتصاد السوري". </w:t>
      </w:r>
    </w:p>
    <w:p w14:paraId="400EA4D0" w14:textId="3D821693" w:rsidR="004B2CD4" w:rsidRPr="004B2CD4" w:rsidRDefault="004B2CD4" w:rsidP="004B2CD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الحوكمة بأبعادها (الشفافية، والمساءلة، وسيادة القانون، ومكافحة الفساد) على كفاءة الإنفاق العام في الاقتصاد السوري. واستخدمت الدراسة المنهج الوصفي التحليلي والمنهج القياسي (الاقتصاد القياسي)، وتكوّنت عينة الدراسة من بيانات ثانوية للفترة الزمنية ذات الصلة. وتوصلت نتائج الدراسة إلى وجود علاقة طردية بين مؤشرات الحوكمة وكفاءة الإنفاق الحكومي، وأن ضعف الشفافية والمساءلة يؤدي إلى تراجع كفاءة الإنفاق. وأوصت الدراسة بتعزيز آليات الشفافية والمساءلة في إدارة المال العام، وتطبيق معايير الحوكمة الدولي</w:t>
      </w:r>
    </w:p>
    <w:p w14:paraId="1C16B65F"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bookmarkStart w:id="14" w:name="_Toc170243312"/>
      <w:bookmarkEnd w:id="5"/>
      <w:r w:rsidRPr="004B2CD4">
        <w:rPr>
          <w:rFonts w:ascii="Simplified Arabic" w:eastAsia="Times New Roman" w:hAnsi="Simplified Arabic" w:cs="Simplified Arabic"/>
          <w:b/>
          <w:bCs/>
          <w:color w:val="000000" w:themeColor="text1"/>
          <w:kern w:val="0"/>
          <w:sz w:val="28"/>
          <w:szCs w:val="28"/>
          <w:rtl/>
          <w14:ligatures w14:val="none"/>
        </w:rPr>
        <w:t>دراسة الحربي</w:t>
      </w:r>
      <w:r w:rsidRPr="004B2CD4">
        <w:rPr>
          <w:rFonts w:ascii="Simplified Arabic" w:eastAsia="Times New Roman" w:hAnsi="Simplified Arabic" w:cs="Simplified Arabic"/>
          <w:b/>
          <w:bCs/>
          <w:color w:val="000000" w:themeColor="text1"/>
          <w:kern w:val="0"/>
          <w:sz w:val="28"/>
          <w:szCs w:val="28"/>
          <w14:ligatures w14:val="none"/>
        </w:rPr>
        <w:t xml:space="preserve"> (2022): </w:t>
      </w:r>
      <w:r w:rsidRPr="004B2CD4">
        <w:rPr>
          <w:rFonts w:ascii="Simplified Arabic" w:eastAsia="Times New Roman" w:hAnsi="Simplified Arabic" w:cs="Simplified Arabic"/>
          <w:b/>
          <w:bCs/>
          <w:color w:val="000000" w:themeColor="text1"/>
          <w:kern w:val="0"/>
          <w:sz w:val="28"/>
          <w:szCs w:val="28"/>
          <w:rtl/>
          <w14:ligatures w14:val="none"/>
        </w:rPr>
        <w:t>بعنوان "دور الحوكمة في تحسين كفاءة الإنفاق بالجامعات الحكومية السعودية</w:t>
      </w:r>
      <w:r w:rsidRPr="004B2CD4">
        <w:rPr>
          <w:rFonts w:ascii="Simplified Arabic" w:eastAsia="Times New Roman" w:hAnsi="Simplified Arabic" w:cs="Simplified Arabic"/>
          <w:b/>
          <w:bCs/>
          <w:color w:val="000000" w:themeColor="text1"/>
          <w:kern w:val="0"/>
          <w:sz w:val="28"/>
          <w:szCs w:val="28"/>
          <w14:ligatures w14:val="none"/>
        </w:rPr>
        <w:t xml:space="preserve">". </w:t>
      </w:r>
    </w:p>
    <w:p w14:paraId="0A58C756" w14:textId="2E5F20CC"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الحوكمة بأبعادها (الشفافية، والمساءلة، والمشاركة، وسيادة القانون) على كفاءة الإنفاق المالي في الجامعات الحكومية بالمملكة العربية السعودية. واستخدمت الدراسة المنهج الوصفي التحليلي، وتكوّنت العينة من عدد من القيادات الإدارية والأكاديمية في الجامعات الحكومية السعودية، وتم جمع البيانات بالاستبانة. وتوصلت نتائج الدراسة إلى وجود علاقة إيجابية ذات دلالة إحصائية بين تطبيق مبادئ الحوكمة وتحسين كفاءة الإنفاق، وأن بُعد الشفافية حقق أعلى تأثير. وأوصت الدراسة </w:t>
      </w:r>
      <w:r w:rsidRPr="004B2CD4">
        <w:rPr>
          <w:rFonts w:ascii="Simplified Arabic" w:eastAsia="Times New Roman" w:hAnsi="Simplified Arabic" w:cs="Simplified Arabic"/>
          <w:color w:val="000000" w:themeColor="text1"/>
          <w:kern w:val="0"/>
          <w:sz w:val="28"/>
          <w:szCs w:val="28"/>
          <w:rtl/>
          <w14:ligatures w14:val="none"/>
        </w:rPr>
        <w:lastRenderedPageBreak/>
        <w:t>بضرورة تعزيز آليات الحوكمة في مؤسسات التعليم العالي، وتفعيل أدوات الرقابة الداخلية، وربط كفاءة الإنفاق بمؤشرات أداء واضحة</w:t>
      </w:r>
      <w:r w:rsidRPr="004B2CD4">
        <w:rPr>
          <w:rFonts w:ascii="Simplified Arabic" w:eastAsia="Times New Roman" w:hAnsi="Simplified Arabic" w:cs="Simplified Arabic"/>
          <w:color w:val="000000" w:themeColor="text1"/>
          <w:kern w:val="0"/>
          <w:sz w:val="28"/>
          <w:szCs w:val="28"/>
          <w14:ligatures w14:val="none"/>
        </w:rPr>
        <w:t>.</w:t>
      </w:r>
    </w:p>
    <w:p w14:paraId="5DF6F65C"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Theme="majorBidi" w:eastAsia="Times New Roman" w:hAnsiTheme="majorBidi" w:cstheme="majorBidi"/>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Negri &amp; </w:t>
      </w:r>
      <w:proofErr w:type="spellStart"/>
      <w:r w:rsidRPr="004B2CD4">
        <w:rPr>
          <w:rFonts w:ascii="Simplified Arabic" w:eastAsia="Times New Roman" w:hAnsi="Simplified Arabic" w:cs="Simplified Arabic"/>
          <w:b/>
          <w:bCs/>
          <w:color w:val="000000" w:themeColor="text1"/>
          <w:kern w:val="0"/>
          <w:sz w:val="28"/>
          <w:szCs w:val="28"/>
          <w14:ligatures w14:val="none"/>
        </w:rPr>
        <w:t>Dinc</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(2023):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 xml:space="preserve">"Public Sector's Efficiency as a Reflection of Governance Quality: An European Union Study". </w:t>
      </w:r>
    </w:p>
    <w:p w14:paraId="651B28BE" w14:textId="0F105B45"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الحوكمة بأبعادها (صوت المواطن والمساءلة، والاستقرار السياسي، وفعالية الحكومة، وجودة التنظيم، وسيادة القانون، ومكافحة الفساد) على كفاءة القطاع العام في دول الاتحاد الأوروبي. واستخدمت الدراسة منهجية من مرحلتين</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تحليل مغلف البيانات</w:t>
      </w:r>
      <w:r w:rsidRPr="004B2CD4">
        <w:rPr>
          <w:rFonts w:ascii="Simplified Arabic" w:eastAsia="Times New Roman" w:hAnsi="Simplified Arabic" w:cs="Simplified Arabic"/>
          <w:color w:val="000000" w:themeColor="text1"/>
          <w:kern w:val="0"/>
          <w:sz w:val="28"/>
          <w:szCs w:val="28"/>
          <w14:ligatures w14:val="none"/>
        </w:rPr>
        <w:t xml:space="preserve"> (DEA) </w:t>
      </w:r>
      <w:r w:rsidRPr="004B2CD4">
        <w:rPr>
          <w:rFonts w:ascii="Simplified Arabic" w:eastAsia="Times New Roman" w:hAnsi="Simplified Arabic" w:cs="Simplified Arabic"/>
          <w:color w:val="000000" w:themeColor="text1"/>
          <w:kern w:val="0"/>
          <w:sz w:val="28"/>
          <w:szCs w:val="28"/>
          <w:rtl/>
          <w14:ligatures w14:val="none"/>
        </w:rPr>
        <w:t>ثم الانحدار الكمّي</w:t>
      </w:r>
      <w:r w:rsidRPr="004B2CD4">
        <w:rPr>
          <w:rFonts w:ascii="Simplified Arabic" w:eastAsia="Times New Roman" w:hAnsi="Simplified Arabic" w:cs="Simplified Arabic"/>
          <w:color w:val="000000" w:themeColor="text1"/>
          <w:kern w:val="0"/>
          <w:sz w:val="28"/>
          <w:szCs w:val="28"/>
          <w14:ligatures w14:val="none"/>
        </w:rPr>
        <w:t xml:space="preserve"> (Quantile Regression)</w:t>
      </w:r>
      <w:r w:rsidRPr="004B2CD4">
        <w:rPr>
          <w:rFonts w:ascii="Simplified Arabic" w:eastAsia="Times New Roman" w:hAnsi="Simplified Arabic" w:cs="Simplified Arabic"/>
          <w:color w:val="000000" w:themeColor="text1"/>
          <w:kern w:val="0"/>
          <w:sz w:val="28"/>
          <w:szCs w:val="28"/>
          <w:rtl/>
          <w14:ligatures w14:val="none"/>
        </w:rPr>
        <w:t xml:space="preserve">، وتكوّنت العينة من بيانات (27) دولة أوروبية للفترة (2005–2020). وتوصلت نتائج الدراسة إلى أن جودة الحوكمة تُعدّ مورداً أساسياً في تحليل الأداء العام، وأن </w:t>
      </w:r>
      <w:proofErr w:type="spellStart"/>
      <w:r w:rsidRPr="004B2CD4">
        <w:rPr>
          <w:rFonts w:ascii="Simplified Arabic" w:eastAsia="Times New Roman" w:hAnsi="Simplified Arabic" w:cs="Simplified Arabic"/>
          <w:color w:val="000000" w:themeColor="text1"/>
          <w:kern w:val="0"/>
          <w:sz w:val="28"/>
          <w:szCs w:val="28"/>
          <w:rtl/>
          <w14:ligatures w14:val="none"/>
        </w:rPr>
        <w:t>الرقمنة</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ومكافحة الفساد والحرية الاقتصادية تؤثر على درجات الكفاءة. وأوصت الدراسة بضرورة تحسين المكوّنات التقنية والديمقراطية للمؤسسات العامة لتخصيص الموارد بشكل أكثر فعالية وشفافية</w:t>
      </w:r>
      <w:r w:rsidRPr="004B2CD4">
        <w:rPr>
          <w:rFonts w:ascii="Simplified Arabic" w:eastAsia="Times New Roman" w:hAnsi="Simplified Arabic" w:cs="Simplified Arabic"/>
          <w:color w:val="000000" w:themeColor="text1"/>
          <w:kern w:val="0"/>
          <w:sz w:val="28"/>
          <w:szCs w:val="28"/>
          <w14:ligatures w14:val="none"/>
        </w:rPr>
        <w:t>.</w:t>
      </w:r>
    </w:p>
    <w:p w14:paraId="0DDAA364"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 xml:space="preserve">السعيد — الزهراني </w:t>
      </w:r>
      <w:proofErr w:type="spellStart"/>
      <w:r w:rsidRPr="004B2CD4">
        <w:rPr>
          <w:rFonts w:ascii="Simplified Arabic" w:eastAsia="Times New Roman" w:hAnsi="Simplified Arabic" w:cs="Simplified Arabic"/>
          <w:b/>
          <w:bCs/>
          <w:color w:val="000000" w:themeColor="text1"/>
          <w:kern w:val="0"/>
          <w:sz w:val="28"/>
          <w:szCs w:val="28"/>
          <w:rtl/>
          <w14:ligatures w14:val="none"/>
        </w:rPr>
        <w:t>والمستادي</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(2024):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"دور تطبيق الحوكمة في ضوء متطلبات الاعتماد المؤسسي في تحقيق التميز الإداري: دراسة ميدانية على الكادر الإداري في جامعة الملك عبد العزيز بمحافظة جدة". </w:t>
      </w:r>
    </w:p>
    <w:p w14:paraId="66A446FE" w14:textId="17BAF019"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دور تطبيق الحوكمة بأبعادها (القيادة، واللجان، والشفافية) على تحقيق التميز الإداري في ضوء متطلبات الاعتماد المؤسسي بجامعة الملك عبد العزيز. واستخدمت الدراسة المنهج الوصفي التحليلي، وتكوّنت العينة من الإداريين والإداريات بالجامعة، وتم جمع البيانات باستخدام الاستبانة. وتوصلت نتائج الدراسة إلى وجود ارتباط قوي بين تطبيق الحوكمة في ضوء الاعتماد المؤسسي وتحقيق التميز الإداري، وأن مستوى تطبيق أبعاد الحوكمة جاء بدرجة مرتفعة. وأوصت الدراسة بضرورة الاستمرار في تطبيق معايير الحوكمة وتكثيف الدورات التدريبية للتعريف بها</w:t>
      </w:r>
      <w:r w:rsidRPr="004B2CD4">
        <w:rPr>
          <w:rFonts w:ascii="Simplified Arabic" w:eastAsia="Times New Roman" w:hAnsi="Simplified Arabic" w:cs="Simplified Arabic"/>
          <w:color w:val="000000" w:themeColor="text1"/>
          <w:kern w:val="0"/>
          <w:sz w:val="28"/>
          <w:szCs w:val="28"/>
          <w14:ligatures w14:val="none"/>
        </w:rPr>
        <w:t>.</w:t>
      </w:r>
    </w:p>
    <w:p w14:paraId="1E554852"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المنصوري</w:t>
      </w:r>
      <w:r w:rsidRPr="004B2CD4">
        <w:rPr>
          <w:rFonts w:ascii="Simplified Arabic" w:eastAsia="Times New Roman" w:hAnsi="Simplified Arabic" w:cs="Simplified Arabic"/>
          <w:b/>
          <w:bCs/>
          <w:color w:val="000000" w:themeColor="text1"/>
          <w:kern w:val="0"/>
          <w:sz w:val="28"/>
          <w:szCs w:val="28"/>
          <w14:ligatures w14:val="none"/>
        </w:rPr>
        <w:t xml:space="preserve"> (2024): </w:t>
      </w:r>
      <w:r w:rsidRPr="004B2CD4">
        <w:rPr>
          <w:rFonts w:ascii="Simplified Arabic" w:eastAsia="Times New Roman" w:hAnsi="Simplified Arabic" w:cs="Simplified Arabic"/>
          <w:b/>
          <w:bCs/>
          <w:color w:val="000000" w:themeColor="text1"/>
          <w:kern w:val="0"/>
          <w:sz w:val="28"/>
          <w:szCs w:val="28"/>
          <w:rtl/>
          <w14:ligatures w14:val="none"/>
        </w:rPr>
        <w:t xml:space="preserve">بعنوان </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b/>
          <w:bCs/>
          <w:color w:val="000000" w:themeColor="text1"/>
          <w:kern w:val="0"/>
          <w:sz w:val="28"/>
          <w:szCs w:val="28"/>
          <w:rtl/>
          <w14:ligatures w14:val="none"/>
        </w:rPr>
        <w:t>دور الحوكمة الرقمية في تعزيز الشفافية ومكافحة الفساد: دراسة تحليلية</w:t>
      </w:r>
      <w:r w:rsidRPr="004B2CD4">
        <w:rPr>
          <w:rFonts w:ascii="Simplified Arabic" w:eastAsia="Times New Roman" w:hAnsi="Simplified Arabic" w:cs="Simplified Arabic"/>
          <w:b/>
          <w:bCs/>
          <w:color w:val="000000" w:themeColor="text1"/>
          <w:kern w:val="0"/>
          <w:sz w:val="28"/>
          <w:szCs w:val="28"/>
          <w14:ligatures w14:val="none"/>
        </w:rPr>
        <w:t xml:space="preserve">". </w:t>
      </w:r>
    </w:p>
    <w:p w14:paraId="287CFE10" w14:textId="61A0752E"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الحوكمة الرقمية بأبعادها (التحول الرقمي، والأنظمة الإلكترونية، والبيانات المفتوحة) على تعزيز الشفافية ومكافحة الفساد الإداري في المؤسسات الحكومية. واستخدمت </w:t>
      </w:r>
      <w:r w:rsidRPr="004B2CD4">
        <w:rPr>
          <w:rFonts w:ascii="Simplified Arabic" w:eastAsia="Times New Roman" w:hAnsi="Simplified Arabic" w:cs="Simplified Arabic"/>
          <w:color w:val="000000" w:themeColor="text1"/>
          <w:kern w:val="0"/>
          <w:sz w:val="28"/>
          <w:szCs w:val="28"/>
          <w:rtl/>
          <w14:ligatures w14:val="none"/>
        </w:rPr>
        <w:lastRenderedPageBreak/>
        <w:t>الدراسة المنهج الوصفي التحليلي من خلال تحليل المحتوى للأدبيات والتقارير الدولية. وتوصلت نتائج الدراسة إلى أن التحول الرقمي يُسهم بشكل كبير وإيجابي في تعزيز الشفافية والحد من الرشوة والاختلاس، مع وجود تحديات تقنية وبشرية. وأوصت الدراسة بضرورة الاستثمار في البنية التحتية الرقمية، وتدريب الكوادر البشرية على أنظمة الحوكمة الإلكترونية، وتطوير التشريعات المنظمة للشفافية الرقمية</w:t>
      </w:r>
      <w:r w:rsidRPr="004B2CD4">
        <w:rPr>
          <w:rFonts w:ascii="Simplified Arabic" w:eastAsia="Times New Roman" w:hAnsi="Simplified Arabic" w:cs="Simplified Arabic"/>
          <w:color w:val="000000" w:themeColor="text1"/>
          <w:kern w:val="0"/>
          <w:sz w:val="28"/>
          <w:szCs w:val="28"/>
          <w14:ligatures w14:val="none"/>
        </w:rPr>
        <w:t>.</w:t>
      </w:r>
    </w:p>
    <w:p w14:paraId="1B186B56"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B2CD4">
        <w:rPr>
          <w:rFonts w:asciiTheme="majorBidi" w:eastAsia="Times New Roman" w:hAnsiTheme="majorBidi" w:cstheme="majorBidi"/>
          <w:b/>
          <w:bCs/>
          <w:color w:val="000000" w:themeColor="text1"/>
          <w:kern w:val="0"/>
          <w:sz w:val="28"/>
          <w:szCs w:val="28"/>
          <w14:ligatures w14:val="none"/>
        </w:rPr>
        <w:t>Almajri</w:t>
      </w:r>
      <w:proofErr w:type="spellEnd"/>
      <w:r w:rsidRPr="004B2CD4">
        <w:rPr>
          <w:rFonts w:asciiTheme="majorBidi" w:eastAsia="Times New Roman" w:hAnsiTheme="majorBidi" w:cstheme="majorBidi"/>
          <w:b/>
          <w:bCs/>
          <w:color w:val="000000" w:themeColor="text1"/>
          <w:kern w:val="0"/>
          <w:sz w:val="28"/>
          <w:szCs w:val="28"/>
          <w14:ligatures w14:val="none"/>
        </w:rPr>
        <w:t xml:space="preserve"> (2024)</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"The Enhancement of Accountability and Transparency in Corporate Governance Framework in Saudi Arabia".</w:t>
      </w:r>
      <w:r w:rsidRPr="004B2CD4">
        <w:rPr>
          <w:rFonts w:ascii="Simplified Arabic" w:eastAsia="Times New Roman" w:hAnsi="Simplified Arabic" w:cs="Simplified Arabic"/>
          <w:b/>
          <w:bCs/>
          <w:color w:val="000000" w:themeColor="text1"/>
          <w:kern w:val="0"/>
          <w:sz w:val="28"/>
          <w:szCs w:val="28"/>
          <w14:ligatures w14:val="none"/>
        </w:rPr>
        <w:t xml:space="preserve"> </w:t>
      </w:r>
    </w:p>
    <w:p w14:paraId="5E2B7B76" w14:textId="12DA8FA5"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سبل تعزيز المساءلة والشفافية بأبعادهما (الإطار التشريعي، والإفصاح المالي، والرقابة المؤسسية) على إطار حوكمة الشركات في المملكة العربية السعودية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واستخدمت الدراسة المنهج النوعي التحليلي (تحليل الوثائق والتشريعات)، وتكوّنت العينة من تحليل الأنظمة والتشريعات ذات الصلة بحوكمة الشركات في المملكة. وتوصلت نتائج الدراسة إلى أن رؤية 2030 أسهمت بشكل ملموس في تحسين أطر الشفافية والمساءلة في حوكمة الشركات السعودية، مع وجود فجوات في التطبيق الفعلي. وأوصت الدراسة بتطوير التشريعات الحاكمة لضمان مستوى أعلى من الإفصاح والشفافية، وتعزيز دور هيئة السوق المالية في الرقابة</w:t>
      </w:r>
      <w:r w:rsidRPr="004B2CD4">
        <w:rPr>
          <w:rFonts w:ascii="Simplified Arabic" w:eastAsia="Times New Roman" w:hAnsi="Simplified Arabic" w:cs="Simplified Arabic"/>
          <w:color w:val="000000" w:themeColor="text1"/>
          <w:kern w:val="0"/>
          <w:sz w:val="28"/>
          <w:szCs w:val="28"/>
          <w14:ligatures w14:val="none"/>
        </w:rPr>
        <w:t>.</w:t>
      </w:r>
    </w:p>
    <w:p w14:paraId="67F0EEE2"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Thanaraj et al. (2025):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"A Model of Transparency and Effectiveness in Public Governance: The Impact of Ethical Leadership, Legal Measures, and Participatory Administration".</w:t>
      </w:r>
      <w:r w:rsidRPr="004B2CD4">
        <w:rPr>
          <w:rFonts w:ascii="Simplified Arabic" w:eastAsia="Times New Roman" w:hAnsi="Simplified Arabic" w:cs="Simplified Arabic"/>
          <w:b/>
          <w:bCs/>
          <w:color w:val="000000" w:themeColor="text1"/>
          <w:kern w:val="0"/>
          <w:sz w:val="28"/>
          <w:szCs w:val="28"/>
          <w14:ligatures w14:val="none"/>
        </w:rPr>
        <w:t xml:space="preserve"> </w:t>
      </w:r>
    </w:p>
    <w:p w14:paraId="698BB449" w14:textId="210950EF"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القيادة الأخلاقية والتدابير القانونية والثقافة التنظيمية والإدارة التشاركية والشفافية التشغيلية على فعالية أداء القطاع الحكومي في تايلاند. واستخدمت الدراسة المنهج الكمّي</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نمذجة المعادلات الهيكلية</w:t>
      </w:r>
      <w:r w:rsidRPr="004B2CD4">
        <w:rPr>
          <w:rFonts w:ascii="Simplified Arabic" w:eastAsia="Times New Roman" w:hAnsi="Simplified Arabic" w:cs="Simplified Arabic"/>
          <w:color w:val="000000" w:themeColor="text1"/>
          <w:kern w:val="0"/>
          <w:sz w:val="28"/>
          <w:szCs w:val="28"/>
          <w14:ligatures w14:val="none"/>
        </w:rPr>
        <w:t xml:space="preserve"> SEM)</w:t>
      </w:r>
      <w:r w:rsidRPr="004B2CD4">
        <w:rPr>
          <w:rFonts w:ascii="Simplified Arabic" w:eastAsia="Times New Roman" w:hAnsi="Simplified Arabic" w:cs="Simplified Arabic"/>
          <w:color w:val="000000" w:themeColor="text1"/>
          <w:kern w:val="0"/>
          <w:sz w:val="28"/>
          <w:szCs w:val="28"/>
          <w:rtl/>
          <w14:ligatures w14:val="none"/>
        </w:rPr>
        <w:t>، وتكوّنت العينة من المنظمات الحكومية التايلاندية الحاصلة على جائزة النزاهة والشفافية من اللجنة الوطنية لمكافحة الفساد</w:t>
      </w:r>
      <w:r w:rsidRPr="004B2CD4">
        <w:rPr>
          <w:rFonts w:ascii="Simplified Arabic" w:eastAsia="Times New Roman" w:hAnsi="Simplified Arabic" w:cs="Simplified Arabic"/>
          <w:color w:val="000000" w:themeColor="text1"/>
          <w:kern w:val="0"/>
          <w:sz w:val="28"/>
          <w:szCs w:val="28"/>
          <w14:ligatures w14:val="none"/>
        </w:rPr>
        <w:t xml:space="preserve"> (NACC) </w:t>
      </w:r>
      <w:r w:rsidRPr="004B2CD4">
        <w:rPr>
          <w:rFonts w:ascii="Simplified Arabic" w:eastAsia="Times New Roman" w:hAnsi="Simplified Arabic" w:cs="Simplified Arabic"/>
          <w:color w:val="000000" w:themeColor="text1"/>
          <w:kern w:val="0"/>
          <w:sz w:val="28"/>
          <w:szCs w:val="28"/>
          <w:rtl/>
          <w14:ligatures w14:val="none"/>
        </w:rPr>
        <w:t>لعام 2023. وتوصلت نتائج الدراسة إلى أن الثقافة التنظيمية لها أكبر تأثير مباشر على فعالية القطاع الحكومي</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β</w:t>
      </w:r>
      <w:r w:rsidRPr="004B2CD4">
        <w:rPr>
          <w:rFonts w:ascii="Simplified Arabic" w:eastAsia="Times New Roman" w:hAnsi="Simplified Arabic" w:cs="Simplified Arabic"/>
          <w:color w:val="000000" w:themeColor="text1"/>
          <w:kern w:val="0"/>
          <w:sz w:val="28"/>
          <w:szCs w:val="28"/>
          <w14:ligatures w14:val="none"/>
        </w:rPr>
        <w:t xml:space="preserve"> = 0.911)</w:t>
      </w:r>
      <w:r w:rsidRPr="004B2CD4">
        <w:rPr>
          <w:rFonts w:ascii="Simplified Arabic" w:eastAsia="Times New Roman" w:hAnsi="Simplified Arabic" w:cs="Simplified Arabic"/>
          <w:color w:val="000000" w:themeColor="text1"/>
          <w:kern w:val="0"/>
          <w:sz w:val="28"/>
          <w:szCs w:val="28"/>
          <w:rtl/>
          <w14:ligatures w14:val="none"/>
        </w:rPr>
        <w:t>، وأن التدابير القانونية تؤثر بشكل غير مباشر من خلال الثقافة التنظيمية والإدارة التشاركية (إجمالي التأثير = 0.904)، وأن القيادة الأخلاقية تعزز الشفافية التشغيلية لكنها لا تؤثر مباشرة على الفعالية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وأوصت الدراسة بتبنّي استراتيجية حوكمة متكاملة تركّز على الجذور الثقافية إلى جانب أدوات الشفافية</w:t>
      </w:r>
      <w:r w:rsidRPr="004B2CD4">
        <w:rPr>
          <w:rFonts w:ascii="Simplified Arabic" w:eastAsia="Times New Roman" w:hAnsi="Simplified Arabic" w:cs="Simplified Arabic"/>
          <w:color w:val="000000" w:themeColor="text1"/>
          <w:kern w:val="0"/>
          <w:sz w:val="28"/>
          <w:szCs w:val="28"/>
          <w14:ligatures w14:val="none"/>
        </w:rPr>
        <w:t>.</w:t>
      </w:r>
    </w:p>
    <w:p w14:paraId="5D0C3270"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Theme="majorBidi" w:eastAsia="Times New Roman" w:hAnsiTheme="majorBidi" w:cstheme="majorBidi"/>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lastRenderedPageBreak/>
        <w:t>دراسة</w:t>
      </w:r>
      <w:r w:rsidRPr="004B2CD4">
        <w:rPr>
          <w:rFonts w:ascii="Simplified Arabic" w:eastAsia="Times New Roman" w:hAnsi="Simplified Arabic" w:cs="Simplified Arabic"/>
          <w:b/>
          <w:bCs/>
          <w:color w:val="000000" w:themeColor="text1"/>
          <w:kern w:val="0"/>
          <w:sz w:val="28"/>
          <w:szCs w:val="28"/>
          <w14:ligatures w14:val="none"/>
        </w:rPr>
        <w:t xml:space="preserve"> Sari (2023):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 xml:space="preserve">"The Impact of Good Governance on the Quality of Public Management Decision Making". </w:t>
      </w:r>
    </w:p>
    <w:p w14:paraId="49FBC955" w14:textId="37F7D7D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الحوكمة الرشيدة بأبعادها (الشفافية، والمشاركة العامة، والمساءلة، وسيادة القانون، والمهنية، واستخدام التكنولوجيا) على جودة اتخاذ القرار في الإدارة العامة. واستخدمت الدراسة المنهج النوعي (جمع البيانات من خلال الاستماع وتسجيل المعلومات وتحليلها عبر تقليص البيانات وعرضها واستخلاص النتائج</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وتوصلت نتائج الدراسة إلى أن الحوكمة الرشيدة لها تأثير إيجابي كبير على جودة اتخاذ القرار في الإدارة العامة، وأن تطبيق مبادئها يُحقق زيادة الشفافية وتعزيز المشاركة العامة ورفع كفاءة البيروقراطية وتحسين جودة الخدمات. وأوصت الدراسة بضرورة تعزيز تطبيق مبادئ الحوكمة الرشيدة في جميع المستويات الإدارية، مع التركيز على بناء القدرات التكنولوجية</w:t>
      </w:r>
      <w:r w:rsidRPr="004B2CD4">
        <w:rPr>
          <w:rFonts w:ascii="Simplified Arabic" w:eastAsia="Times New Roman" w:hAnsi="Simplified Arabic" w:cs="Simplified Arabic"/>
          <w:color w:val="000000" w:themeColor="text1"/>
          <w:kern w:val="0"/>
          <w:sz w:val="28"/>
          <w:szCs w:val="28"/>
          <w14:ligatures w14:val="none"/>
        </w:rPr>
        <w:t>.</w:t>
      </w:r>
    </w:p>
    <w:p w14:paraId="33ECCF90" w14:textId="6E87B449"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15" w:name="_Toc223279456"/>
      <w:r w:rsidRPr="004B2CD4">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(كفاءة اتخاذ القرار) وعلاقته بمتغيرات أخرى</w:t>
      </w:r>
      <w:bookmarkEnd w:id="15"/>
    </w:p>
    <w:p w14:paraId="2E527C04"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 فقها</w:t>
      </w:r>
      <w:r w:rsidRPr="004B2CD4">
        <w:rPr>
          <w:rFonts w:ascii="Simplified Arabic" w:eastAsia="Times New Roman" w:hAnsi="Simplified Arabic" w:cs="Simplified Arabic"/>
          <w:b/>
          <w:bCs/>
          <w:color w:val="000000" w:themeColor="text1"/>
          <w:kern w:val="0"/>
          <w:sz w:val="28"/>
          <w:szCs w:val="28"/>
          <w14:ligatures w14:val="none"/>
        </w:rPr>
        <w:t xml:space="preserve"> (2021):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"أثر جودة نظم المعلومات الإدارية على فعالية اتخاذ القرار في وحدات الحكم المحلي". </w:t>
      </w:r>
    </w:p>
    <w:p w14:paraId="4D6ECA44" w14:textId="352E5F80"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نظم المعلومات الإدارية بأبعادها (جودة النظام، وجودة المعلومات، وجودة الخدمة) على فعالية اتخاذ القرار في وحدات الحكم المحلي الفلسطينية. واستخدمت الدراسة المنهج الوصفي التحليلي، وتكوّنت العينة من العاملين في وحدات الحكم المحلي، واستخدمت الاستبانة أداةً لجمع البيانات. وتوصلت نتائج الدراسة إلى وجود أثر إيجابي ذي دلالة إحصائية لجودة نظم المعلومات الإدارية على فعالية اتخاذ القرار، وأن جودة المعلومات تُعدّ أكثر الأبعاد تأثيراً</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وأوصت الدراسة بتطوير نظم المعلومات الإدارية في وحدات الحكم المحلي، وتوفير التدريب المستمر للعاملين على استخدام هذه الأنظمة</w:t>
      </w:r>
      <w:r w:rsidRPr="004B2CD4">
        <w:rPr>
          <w:rFonts w:ascii="Simplified Arabic" w:eastAsia="Times New Roman" w:hAnsi="Simplified Arabic" w:cs="Simplified Arabic"/>
          <w:color w:val="000000" w:themeColor="text1"/>
          <w:kern w:val="0"/>
          <w:sz w:val="28"/>
          <w:szCs w:val="28"/>
          <w14:ligatures w14:val="none"/>
        </w:rPr>
        <w:t>.</w:t>
      </w:r>
    </w:p>
    <w:p w14:paraId="6CD226F4" w14:textId="77777777" w:rsidR="001A6AF0"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 أبو حمور وأبو حمدة</w:t>
      </w:r>
      <w:r w:rsidRPr="004B2CD4">
        <w:rPr>
          <w:rFonts w:ascii="Simplified Arabic" w:eastAsia="Times New Roman" w:hAnsi="Simplified Arabic" w:cs="Simplified Arabic"/>
          <w:b/>
          <w:bCs/>
          <w:color w:val="000000" w:themeColor="text1"/>
          <w:kern w:val="0"/>
          <w:sz w:val="28"/>
          <w:szCs w:val="28"/>
          <w14:ligatures w14:val="none"/>
        </w:rPr>
        <w:t xml:space="preserve"> (2022): </w:t>
      </w:r>
      <w:r w:rsidRPr="004B2CD4">
        <w:rPr>
          <w:rFonts w:ascii="Simplified Arabic" w:eastAsia="Times New Roman" w:hAnsi="Simplified Arabic" w:cs="Simplified Arabic"/>
          <w:b/>
          <w:bCs/>
          <w:color w:val="000000" w:themeColor="text1"/>
          <w:kern w:val="0"/>
          <w:sz w:val="28"/>
          <w:szCs w:val="28"/>
          <w:rtl/>
          <w14:ligatures w14:val="none"/>
        </w:rPr>
        <w:t>بعنوان "أثر جودة المعلومات في فاعلية اتخاذ القرارات الإدارية: دراسة ميدانية من وجهة نظر مديري الإدارة الإشرافية في مراكز الوزارات الأردنية</w:t>
      </w:r>
      <w:r w:rsidRPr="004B2CD4">
        <w:rPr>
          <w:rFonts w:ascii="Simplified Arabic" w:eastAsia="Times New Roman" w:hAnsi="Simplified Arabic" w:cs="Simplified Arabic"/>
          <w:b/>
          <w:bCs/>
          <w:color w:val="000000" w:themeColor="text1"/>
          <w:kern w:val="0"/>
          <w:sz w:val="28"/>
          <w:szCs w:val="28"/>
          <w14:ligatures w14:val="none"/>
        </w:rPr>
        <w:t xml:space="preserve">". </w:t>
      </w:r>
    </w:p>
    <w:p w14:paraId="1EE3A5F3" w14:textId="552D522E"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جودة المعلومات بأبعادها (ملائمة المعلومات، وتوقيت المعلومات، ودقة المعلومات، وشمولية المعلومات) على فاعلية اتخاذ القرارات الإدارية بأبعادها (القبول، والتأثير، </w:t>
      </w:r>
      <w:r w:rsidRPr="004B2CD4">
        <w:rPr>
          <w:rFonts w:ascii="Simplified Arabic" w:eastAsia="Times New Roman" w:hAnsi="Simplified Arabic" w:cs="Simplified Arabic"/>
          <w:color w:val="000000" w:themeColor="text1"/>
          <w:kern w:val="0"/>
          <w:sz w:val="28"/>
          <w:szCs w:val="28"/>
          <w:rtl/>
          <w14:ligatures w14:val="none"/>
        </w:rPr>
        <w:lastRenderedPageBreak/>
        <w:t xml:space="preserve">والاستمرارية) في مراكز الوزارات الأردنية. واستخدمت الدراسة المنهج الوصفي التحليلي، وتكوّنت العينة من (199) مفردة من مديري الإدارة الإشرافية تم اختيارهم بطريقة العينة الملائمة، واستخدمت الاستبانة أداةً لجمع البيانات. وتوصلت نتائج الدراسة إلى وجود مستوى مرتفع لأبعاد جودة المعلومات بمتوسط حسابي </w:t>
      </w:r>
      <w:r w:rsidRPr="004B2CD4">
        <w:rPr>
          <w:rFonts w:ascii="Simplified Arabic" w:eastAsia="Times New Roman" w:hAnsi="Simplified Arabic" w:cs="Simplified Arabic"/>
          <w:color w:val="000000" w:themeColor="text1"/>
          <w:kern w:val="0"/>
          <w:sz w:val="28"/>
          <w:szCs w:val="28"/>
          <w14:ligatures w14:val="none"/>
        </w:rPr>
        <w:t>(3.72)</w:t>
      </w:r>
      <w:r w:rsidRPr="004B2CD4">
        <w:rPr>
          <w:rFonts w:ascii="Simplified Arabic" w:eastAsia="Times New Roman" w:hAnsi="Simplified Arabic" w:cs="Simplified Arabic"/>
          <w:color w:val="000000" w:themeColor="text1"/>
          <w:kern w:val="0"/>
          <w:sz w:val="28"/>
          <w:szCs w:val="28"/>
          <w:rtl/>
          <w14:ligatures w14:val="none"/>
        </w:rPr>
        <w:t>، ومستوى متوسط لفاعلية اتخاذ القرارات بمتوسط حسابي (3.66)، ووجود أثر إيجابي مرتفع وذي دلالة إحصائية لجودة المعلومات على فاعلية اتخاذ القرارات</w:t>
      </w:r>
      <w:r w:rsidRPr="004B2CD4">
        <w:rPr>
          <w:rFonts w:ascii="Simplified Arabic" w:eastAsia="Times New Roman" w:hAnsi="Simplified Arabic" w:cs="Simplified Arabic"/>
          <w:color w:val="000000" w:themeColor="text1"/>
          <w:kern w:val="0"/>
          <w:sz w:val="28"/>
          <w:szCs w:val="28"/>
          <w14:ligatures w14:val="none"/>
        </w:rPr>
        <w:t xml:space="preserve"> (R² = 0.709). </w:t>
      </w:r>
      <w:r w:rsidRPr="004B2CD4">
        <w:rPr>
          <w:rFonts w:ascii="Simplified Arabic" w:eastAsia="Times New Roman" w:hAnsi="Simplified Arabic" w:cs="Simplified Arabic"/>
          <w:color w:val="000000" w:themeColor="text1"/>
          <w:kern w:val="0"/>
          <w:sz w:val="28"/>
          <w:szCs w:val="28"/>
          <w:rtl/>
          <w14:ligatures w14:val="none"/>
        </w:rPr>
        <w:t>وأوصت الدراسة بإجراء دراسات مستقبلية للمقارنة بين القطاع العام ضمن مستويات إدارية أخرى، وتفعيل دور التشاركية في اتخاذ القرارات</w:t>
      </w:r>
      <w:r w:rsidRPr="004B2CD4">
        <w:rPr>
          <w:rFonts w:ascii="Simplified Arabic" w:eastAsia="Times New Roman" w:hAnsi="Simplified Arabic" w:cs="Simplified Arabic"/>
          <w:color w:val="000000" w:themeColor="text1"/>
          <w:kern w:val="0"/>
          <w:sz w:val="28"/>
          <w:szCs w:val="28"/>
          <w14:ligatures w14:val="none"/>
        </w:rPr>
        <w:t>.</w:t>
      </w:r>
    </w:p>
    <w:p w14:paraId="6E30D6A1"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Brandsma &amp; Meijer (2022):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"Transparency and the Efficiency of Multi-Actor Decision-Making Processes: An Empirical Analysis of 244 Decisions in the European Union". </w:t>
      </w:r>
    </w:p>
    <w:p w14:paraId="62A6D9D2" w14:textId="77777777"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الشفافية بأبعادها (الشفافية الإجرائية، وشفافية المعلومات، وشفافية النتائج) على كفاءة عمليات اتخاذ القرار متعددة الأطراف في الاتحاد الأوروبي. واستخدمت الدراسة المنهج الكمّي التحليلي من خلال تحليل (244) قراراً صادراً عن مؤسسات الاتحاد الأوروبي. وتوصلت نتائج الدراسة إلى أن الشفافية لا تُعيق بالضرورة كفاءة اتخاذ القرار كما يُفترض تقليدياً، بل يمكن أن تسهم في تحسين جودة القرارات في سياقات معينة، مع وجود توتر بين الشفافية وسرعة الإنجاز في بعض الحالات. وأوصت الدراسة بتصميم آليات شفافية مرنة تتناسب مع طبيعة القرار وعدد الأطراف المعنية، وعدم النظر إلى الشفافية والكفاءة باعتبارهما متناقضتين حتماً</w:t>
      </w:r>
      <w:r w:rsidRPr="004B2CD4">
        <w:rPr>
          <w:rFonts w:ascii="Simplified Arabic" w:eastAsia="Times New Roman" w:hAnsi="Simplified Arabic" w:cs="Simplified Arabic"/>
          <w:color w:val="000000" w:themeColor="text1"/>
          <w:kern w:val="0"/>
          <w:sz w:val="28"/>
          <w:szCs w:val="28"/>
          <w14:ligatures w14:val="none"/>
        </w:rPr>
        <w:t>.</w:t>
      </w:r>
    </w:p>
    <w:p w14:paraId="7F7953A8" w14:textId="77777777" w:rsidR="004B2CD4" w:rsidRPr="004B2CD4" w:rsidRDefault="004B2CD4"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Lourenço, Vakis, &amp; </w:t>
      </w:r>
      <w:proofErr w:type="spellStart"/>
      <w:r w:rsidRPr="004B2CD4">
        <w:rPr>
          <w:rFonts w:ascii="Simplified Arabic" w:eastAsia="Times New Roman" w:hAnsi="Simplified Arabic" w:cs="Simplified Arabic"/>
          <w:b/>
          <w:bCs/>
          <w:color w:val="000000" w:themeColor="text1"/>
          <w:kern w:val="0"/>
          <w:sz w:val="28"/>
          <w:szCs w:val="28"/>
          <w14:ligatures w14:val="none"/>
        </w:rPr>
        <w:t>Zoratto</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(2022):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"The Behavioral Professional: Improving Decision-Making and Performance in the Public Sector" </w:t>
      </w:r>
      <w:r w:rsidRPr="004B2CD4">
        <w:rPr>
          <w:rFonts w:ascii="Simplified Arabic" w:eastAsia="Times New Roman" w:hAnsi="Simplified Arabic" w:cs="Simplified Arabic"/>
          <w:b/>
          <w:bCs/>
          <w:color w:val="000000" w:themeColor="text1"/>
          <w:kern w:val="0"/>
          <w:sz w:val="28"/>
          <w:szCs w:val="28"/>
          <w:rtl/>
          <w14:ligatures w14:val="none"/>
        </w:rPr>
        <w:t>ورقة عمل البنك الدولي رقم 168343</w:t>
      </w:r>
    </w:p>
    <w:p w14:paraId="6C8B459F" w14:textId="77777777" w:rsidR="004B2CD4" w:rsidRPr="004B2CD4" w:rsidRDefault="004B2CD4"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العلوم السلوكية بأبعادها (التحيّزات المعرفية، والعوامل السياقية، والتدخلات السلوكية) على تحسين عملية اتخاذ القرار والأداء في القطاع العام. واستخدمت الدراسة المنهج التحليلي الوصفي من خلال مراجعة الأدبيات والتجارب التطبيقية الدولية. وتوصلت نتائج الدراسة إلى أن صانعي القرار في القطاع العام يتأثرون بالتحيّزات المعرفية، وأن التدخلات السلوكية البسيطة يمكن أن </w:t>
      </w:r>
      <w:r w:rsidRPr="004B2CD4">
        <w:rPr>
          <w:rFonts w:ascii="Simplified Arabic" w:eastAsia="Times New Roman" w:hAnsi="Simplified Arabic" w:cs="Simplified Arabic"/>
          <w:color w:val="000000" w:themeColor="text1"/>
          <w:kern w:val="0"/>
          <w:sz w:val="28"/>
          <w:szCs w:val="28"/>
          <w:rtl/>
          <w14:ligatures w14:val="none"/>
        </w:rPr>
        <w:lastRenderedPageBreak/>
        <w:t>تحسّن جودة القرارات بشكل ملموس. وأوصت الدراسة بتبنّي بروتوكولات قرار مبنية على الأدلة، وإدماج الرؤى السلوكية في تصميم السياسات العامة</w:t>
      </w:r>
      <w:r w:rsidRPr="004B2CD4">
        <w:rPr>
          <w:rFonts w:ascii="Simplified Arabic" w:eastAsia="Times New Roman" w:hAnsi="Simplified Arabic" w:cs="Simplified Arabic"/>
          <w:color w:val="000000" w:themeColor="text1"/>
          <w:kern w:val="0"/>
          <w:sz w:val="28"/>
          <w:szCs w:val="28"/>
          <w14:ligatures w14:val="none"/>
        </w:rPr>
        <w:t>.</w:t>
      </w:r>
    </w:p>
    <w:p w14:paraId="71AEA68E"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 شعبية</w:t>
      </w:r>
      <w:r w:rsidRPr="004B2CD4">
        <w:rPr>
          <w:rFonts w:ascii="Simplified Arabic" w:eastAsia="Times New Roman" w:hAnsi="Simplified Arabic" w:cs="Simplified Arabic"/>
          <w:b/>
          <w:bCs/>
          <w:color w:val="000000" w:themeColor="text1"/>
          <w:kern w:val="0"/>
          <w:sz w:val="28"/>
          <w:szCs w:val="28"/>
          <w14:ligatures w14:val="none"/>
        </w:rPr>
        <w:t xml:space="preserve"> (2023):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"أثر جودة المعلومات على كفاءة وفعالية اتخاذ القرار". </w:t>
      </w:r>
    </w:p>
    <w:p w14:paraId="1E621E91" w14:textId="543887DA"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جودة المعلومات بأبعادها (الدقة، والملائمة، والتوقيت، والاكتمال) على كفاءة وفعالية اتخاذ القرار في وزارة الاتصالات والتقانة السورية. واستخدمت الدراسة المنهج الوصفي التحليلي، وتكوّنت العينة من العاملين في الإدارة التنفيذية بالوزارة، واستخدمت الاستبانة أداةً لجمع البيانات. وتوصلت نتائج الدراسة إلى وجود أثر ذي دلالة إحصائية لجودة المعلومات على كفاءة اتخاذ القرار، وأن بُعد الدقة حقق أعلى تأثير. وأوصت الدراسة بضرورة الاهتمام بتطوير نظم المعلومات الإدارية وتحديثها، وتوفير معلومات دقيقة وحديثة لمتخذي القرار</w:t>
      </w:r>
      <w:r w:rsidRPr="004B2CD4">
        <w:rPr>
          <w:rFonts w:ascii="Simplified Arabic" w:eastAsia="Times New Roman" w:hAnsi="Simplified Arabic" w:cs="Simplified Arabic"/>
          <w:color w:val="000000" w:themeColor="text1"/>
          <w:kern w:val="0"/>
          <w:sz w:val="28"/>
          <w:szCs w:val="28"/>
          <w14:ligatures w14:val="none"/>
        </w:rPr>
        <w:t>.</w:t>
      </w:r>
    </w:p>
    <w:p w14:paraId="6B427C56"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 العمري</w:t>
      </w:r>
      <w:r w:rsidRPr="004B2CD4">
        <w:rPr>
          <w:rFonts w:ascii="Simplified Arabic" w:eastAsia="Times New Roman" w:hAnsi="Simplified Arabic" w:cs="Simplified Arabic"/>
          <w:b/>
          <w:bCs/>
          <w:color w:val="000000" w:themeColor="text1"/>
          <w:kern w:val="0"/>
          <w:sz w:val="28"/>
          <w:szCs w:val="28"/>
          <w14:ligatures w14:val="none"/>
        </w:rPr>
        <w:t xml:space="preserve"> (2025):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"أثر برامج التحول الرقمي على جودة اتخاذ القرار المبني على البيانات لدى القطاع العام في المملكة العربية السعودية". </w:t>
      </w:r>
    </w:p>
    <w:p w14:paraId="353B5880" w14:textId="70A8D691"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برامج التحول الرقمي بأبعادها (البنية التحتية الرقمية، والتحليلات المتقدمة، وأتمتة العمليات) على جودة اتخاذ القرار المبني على البيانات في القطاع العام السعودي. واستخدمت الدراسة المنهج الوصفي التحليلي، وتكوّنت العينة من العاملين في الجهات الحكومية، واستخدمت الاستبانة أداةً لجمع البيانات. وتوصلت نتائج الدراسة إلى وجود أثر إيجابي ذي دلالة إحصائية لبرامج التحول الرقمي على جودة اتخاذ القرار، وأن توفر البنية التحتية الرقمية يُعدّ أهم العوامل المؤثرة. وأوصت الدراسة بزيادة الاستثمار في البنية التحتية الرقمية وتدريب الكوادر البشرية على تحليل البيانات ودعم اتخاذ القرار</w:t>
      </w:r>
      <w:r w:rsidRPr="004B2CD4">
        <w:rPr>
          <w:rFonts w:ascii="Simplified Arabic" w:eastAsia="Times New Roman" w:hAnsi="Simplified Arabic" w:cs="Simplified Arabic"/>
          <w:color w:val="000000" w:themeColor="text1"/>
          <w:kern w:val="0"/>
          <w:sz w:val="28"/>
          <w:szCs w:val="28"/>
          <w14:ligatures w14:val="none"/>
        </w:rPr>
        <w:t>.</w:t>
      </w:r>
    </w:p>
    <w:p w14:paraId="5EE05C7B"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4B2CD4">
        <w:rPr>
          <w:rFonts w:ascii="Simplified Arabic" w:eastAsia="Times New Roman" w:hAnsi="Simplified Arabic" w:cs="Simplified Arabic"/>
          <w:b/>
          <w:bCs/>
          <w:color w:val="000000" w:themeColor="text1"/>
          <w:kern w:val="0"/>
          <w:sz w:val="28"/>
          <w:szCs w:val="28"/>
          <w:rtl/>
          <w14:ligatures w14:val="none"/>
        </w:rPr>
        <w:t>الأزو</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(2025): </w:t>
      </w:r>
      <w:r w:rsidRPr="004B2CD4">
        <w:rPr>
          <w:rFonts w:ascii="Simplified Arabic" w:eastAsia="Times New Roman" w:hAnsi="Simplified Arabic" w:cs="Simplified Arabic"/>
          <w:b/>
          <w:bCs/>
          <w:color w:val="000000" w:themeColor="text1"/>
          <w:kern w:val="0"/>
          <w:sz w:val="28"/>
          <w:szCs w:val="28"/>
          <w:rtl/>
          <w14:ligatures w14:val="none"/>
        </w:rPr>
        <w:t xml:space="preserve">بعنوان "دور جودة المعلومات في اتخاذ القرار الإداري: دراسة ميدانية في شركة تقنية بوزارة الاتصالات والتقانة السورية". </w:t>
      </w:r>
    </w:p>
    <w:p w14:paraId="76976826" w14:textId="6048C00F"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جودة المعلومات بأبعادها (الدقة، والشمولية، والتوقيت، والملائمة) على اتخاذ القرار الإداري في المؤسسات التقنية الحكومية السورية. واستخدمت الدراسة المنهج الوصفي التحليلي، وتكوّنت العينة من العاملين في الشركة محل الدراسة، واستخدمت الاستبانة أداةً لجمع البيانات. وتوصلت نتائج الدراسة إلى وجود دور إيجابي لجودة المعلومات في تحسين عملية اتخاذ القرار الإداري، </w:t>
      </w:r>
      <w:r w:rsidRPr="004B2CD4">
        <w:rPr>
          <w:rFonts w:ascii="Simplified Arabic" w:eastAsia="Times New Roman" w:hAnsi="Simplified Arabic" w:cs="Simplified Arabic"/>
          <w:color w:val="000000" w:themeColor="text1"/>
          <w:kern w:val="0"/>
          <w:sz w:val="28"/>
          <w:szCs w:val="28"/>
          <w:rtl/>
          <w14:ligatures w14:val="none"/>
        </w:rPr>
        <w:lastRenderedPageBreak/>
        <w:t>مع أهمية خاصة لبُعد التوقيت. وأوصت الدراسة بتطوير قواعد البيانات وتحديثها بشكل مستمر، وتعزيز آليات مشاركة المعلومات بين الإدارات المختلفة</w:t>
      </w:r>
      <w:r w:rsidRPr="004B2CD4">
        <w:rPr>
          <w:rFonts w:ascii="Simplified Arabic" w:eastAsia="Times New Roman" w:hAnsi="Simplified Arabic" w:cs="Simplified Arabic"/>
          <w:color w:val="000000" w:themeColor="text1"/>
          <w:kern w:val="0"/>
          <w:sz w:val="28"/>
          <w:szCs w:val="28"/>
          <w14:ligatures w14:val="none"/>
        </w:rPr>
        <w:t>.</w:t>
      </w:r>
    </w:p>
    <w:p w14:paraId="41B3211E"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b/>
          <w:bCs/>
          <w:color w:val="000000" w:themeColor="text1"/>
          <w:kern w:val="0"/>
          <w:sz w:val="28"/>
          <w:szCs w:val="28"/>
          <w14:ligatures w14:val="none"/>
        </w:rPr>
        <w:t>Hossin</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et al. (2023):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w:t>
      </w:r>
      <w:r w:rsidRPr="004B2CD4">
        <w:rPr>
          <w:rFonts w:asciiTheme="majorBidi" w:eastAsia="Times New Roman" w:hAnsiTheme="majorBidi" w:cstheme="majorBidi"/>
          <w:b/>
          <w:bCs/>
          <w:color w:val="000000" w:themeColor="text1"/>
          <w:kern w:val="0"/>
          <w:sz w:val="28"/>
          <w:szCs w:val="28"/>
          <w14:ligatures w14:val="none"/>
        </w:rPr>
        <w:t xml:space="preserve">"Big Data-Driven Public Policy Decisions: Transformation Toward Smart Governance". </w:t>
      </w:r>
    </w:p>
    <w:p w14:paraId="29838420" w14:textId="100A5C8F"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أثر تحليلات البيانات الضخمة بأبعادها (جمع البيانات، والتحليل التنبؤي، والتصوّر البياني) على اتخاذ قرارات السياسة العامة والتحول نحو الحوكمة الذكية. واستخدمت الدراسة المنهج التحليلي القائم على مراجعة منهجية للأدبيات وتحليل حالات تطبيقية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وتوصلت نتائج الدراسة إلى أن تحليلات البيانات الضخمة يمكن أن تُحسّن سرعة وجودة القرار في مراحل التخطيط والتصميم وتقديم الخدمات، مع ضرورة معالجة تحديات الخصوصية والأمن. وأوصت الدراسة بتبنّي أطر حوكمة واضحة للبيانات الضخمة، وتدريب صانعي السياسات على استخدام أدوات التحليل المتقدمة</w:t>
      </w:r>
      <w:r w:rsidRPr="004B2CD4">
        <w:rPr>
          <w:rFonts w:ascii="Simplified Arabic" w:eastAsia="Times New Roman" w:hAnsi="Simplified Arabic" w:cs="Simplified Arabic"/>
          <w:color w:val="000000" w:themeColor="text1"/>
          <w:kern w:val="0"/>
          <w:sz w:val="28"/>
          <w:szCs w:val="28"/>
          <w14:ligatures w14:val="none"/>
        </w:rPr>
        <w:t>.</w:t>
      </w:r>
    </w:p>
    <w:p w14:paraId="3A9D9780"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Osakwe (2025):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"Integrating Data Governance into Public Sector Decision-Making Processes". </w:t>
      </w:r>
    </w:p>
    <w:p w14:paraId="37C8696D" w14:textId="4AC9EFDA"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هدفت الدراسة إلى التعرف على دور حوكمة البيانات بأبعادها (جودة البيانات، وأمن البيانات، والامتثال التنظيمي) على تحسين عمليات اتخاذ القرار في القطاع العام. واستخدمت الدراسة المنهج المختلط (نوعي وكمّي). وتوصلت نتائج الدراسة إلى أن حوكمة البيانات تُعزّز دقة وسرعة اتخاذ القرار في المؤسسات العامة، وأن غياب أطر حوكمة واضحة يُعيق الاستفادة من البيانات المتاحة. وأوصت الدراسة بتطوير أطر حوكمة بيانات شاملة، والاستثمار في البنية التحتية التقنية، وتدريب العاملين على إدارة البيانات</w:t>
      </w:r>
      <w:r w:rsidRPr="004B2CD4">
        <w:rPr>
          <w:rFonts w:ascii="Simplified Arabic" w:eastAsia="Times New Roman" w:hAnsi="Simplified Arabic" w:cs="Simplified Arabic"/>
          <w:color w:val="000000" w:themeColor="text1"/>
          <w:kern w:val="0"/>
          <w:sz w:val="28"/>
          <w:szCs w:val="28"/>
          <w14:ligatures w14:val="none"/>
        </w:rPr>
        <w:t>.</w:t>
      </w:r>
    </w:p>
    <w:p w14:paraId="23095E5C" w14:textId="77777777" w:rsidR="00177583" w:rsidRPr="004B2CD4" w:rsidRDefault="00BD2251" w:rsidP="004B2CD4">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دراسة</w:t>
      </w:r>
      <w:r w:rsidRPr="004B2CD4">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b/>
          <w:bCs/>
          <w:color w:val="000000" w:themeColor="text1"/>
          <w:kern w:val="0"/>
          <w:sz w:val="28"/>
          <w:szCs w:val="28"/>
          <w14:ligatures w14:val="none"/>
        </w:rPr>
        <w:t>S</w:t>
      </w:r>
      <w:r w:rsidRPr="004B2CD4">
        <w:rPr>
          <w:rFonts w:ascii="Cambria" w:eastAsia="Times New Roman" w:hAnsi="Cambria" w:cs="Cambria"/>
          <w:b/>
          <w:bCs/>
          <w:color w:val="000000" w:themeColor="text1"/>
          <w:kern w:val="0"/>
          <w:sz w:val="28"/>
          <w:szCs w:val="28"/>
          <w14:ligatures w14:val="none"/>
        </w:rPr>
        <w:t>ö</w:t>
      </w:r>
      <w:r w:rsidRPr="004B2CD4">
        <w:rPr>
          <w:rFonts w:ascii="Simplified Arabic" w:eastAsia="Times New Roman" w:hAnsi="Simplified Arabic" w:cs="Simplified Arabic"/>
          <w:b/>
          <w:bCs/>
          <w:color w:val="000000" w:themeColor="text1"/>
          <w:kern w:val="0"/>
          <w:sz w:val="28"/>
          <w:szCs w:val="28"/>
          <w14:ligatures w14:val="none"/>
        </w:rPr>
        <w:t>ker</w:t>
      </w:r>
      <w:proofErr w:type="spellEnd"/>
      <w:r w:rsidRPr="004B2CD4">
        <w:rPr>
          <w:rFonts w:ascii="Simplified Arabic" w:eastAsia="Times New Roman" w:hAnsi="Simplified Arabic" w:cs="Simplified Arabic"/>
          <w:b/>
          <w:bCs/>
          <w:color w:val="000000" w:themeColor="text1"/>
          <w:kern w:val="0"/>
          <w:sz w:val="28"/>
          <w:szCs w:val="28"/>
          <w14:ligatures w14:val="none"/>
        </w:rPr>
        <w:t xml:space="preserve"> (2024): </w:t>
      </w:r>
      <w:r w:rsidRPr="004B2CD4">
        <w:rPr>
          <w:rFonts w:ascii="Simplified Arabic" w:eastAsia="Times New Roman" w:hAnsi="Simplified Arabic" w:cs="Simplified Arabic"/>
          <w:b/>
          <w:bCs/>
          <w:color w:val="000000" w:themeColor="text1"/>
          <w:kern w:val="0"/>
          <w:sz w:val="28"/>
          <w:szCs w:val="28"/>
          <w:rtl/>
          <w14:ligatures w14:val="none"/>
        </w:rPr>
        <w:t>بعنوان</w:t>
      </w:r>
      <w:r w:rsidRPr="004B2CD4">
        <w:rPr>
          <w:rFonts w:ascii="Simplified Arabic" w:eastAsia="Times New Roman" w:hAnsi="Simplified Arabic" w:cs="Simplified Arabic"/>
          <w:b/>
          <w:bCs/>
          <w:color w:val="000000" w:themeColor="text1"/>
          <w:kern w:val="0"/>
          <w:sz w:val="28"/>
          <w:szCs w:val="28"/>
          <w14:ligatures w14:val="none"/>
        </w:rPr>
        <w:t xml:space="preserve"> "Leveraging Artificial Intelligence for Public Sector Decision-Making: Balancing Accountability and Efficiency". </w:t>
      </w:r>
    </w:p>
    <w:p w14:paraId="1E814CCC" w14:textId="3975B482"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تبنّي الذكاء الاصطناعي بأبعاده (تخصيص الموارد، وصياغة السياسات، وإشراك المواطنين) على عمليات اتخاذ القرار في القطاع العام، مع التوازن بين الكفاءة والمساءلة. واستخدمت الدراسة المنهج التحليلي متعدد التخصصات من خلال تحليل دراسات حالة وأطر نظرية. وتوصلت نتائج الدراسة إلى أن الذكاء الاصطناعي يرفع كفاءة اتخاذ القرار الحكومي لكنه يحتاج إلى أُطر شفافة لضمان الثقة العامة، مع وجود مخاطر تتعلق بالتحيز الخوارزمي وغياب القابلية للتفسير. وأوصت </w:t>
      </w:r>
      <w:r w:rsidRPr="004B2CD4">
        <w:rPr>
          <w:rFonts w:ascii="Simplified Arabic" w:eastAsia="Times New Roman" w:hAnsi="Simplified Arabic" w:cs="Simplified Arabic"/>
          <w:color w:val="000000" w:themeColor="text1"/>
          <w:kern w:val="0"/>
          <w:sz w:val="28"/>
          <w:szCs w:val="28"/>
          <w:rtl/>
          <w14:ligatures w14:val="none"/>
        </w:rPr>
        <w:lastRenderedPageBreak/>
        <w:t>الدراسة بتبنّي استراتيجيات لمواءمة ابتكارات الذكاء الاصطناعي مع مبادئ الحوكمة الرشيدة، ووضع ضوابط أخلاقية واضحة</w:t>
      </w:r>
      <w:r w:rsidRPr="004B2CD4">
        <w:rPr>
          <w:rFonts w:ascii="Simplified Arabic" w:eastAsia="Times New Roman" w:hAnsi="Simplified Arabic" w:cs="Simplified Arabic"/>
          <w:color w:val="000000" w:themeColor="text1"/>
          <w:kern w:val="0"/>
          <w:sz w:val="28"/>
          <w:szCs w:val="28"/>
          <w14:ligatures w14:val="none"/>
        </w:rPr>
        <w:t>.</w:t>
      </w:r>
    </w:p>
    <w:p w14:paraId="4E295451" w14:textId="16BE9121" w:rsidR="00177583" w:rsidRPr="004B2CD4" w:rsidRDefault="00177583" w:rsidP="004B2CD4">
      <w:pPr>
        <w:pStyle w:val="a8"/>
        <w:bidi/>
        <w:spacing w:line="276" w:lineRule="auto"/>
        <w:jc w:val="both"/>
        <w:outlineLvl w:val="1"/>
        <w:rPr>
          <w:rFonts w:ascii="Simplified Arabic" w:hAnsi="Simplified Arabic" w:cs="Simplified Arabic"/>
          <w:b/>
          <w:bCs/>
          <w:color w:val="000000" w:themeColor="text1"/>
          <w:sz w:val="36"/>
          <w:szCs w:val="36"/>
          <w:rtl/>
        </w:rPr>
      </w:pPr>
      <w:bookmarkStart w:id="16" w:name="_Toc233025082"/>
      <w:bookmarkStart w:id="17" w:name="_Toc169790501"/>
      <w:bookmarkEnd w:id="14"/>
      <w:r w:rsidRPr="004B2CD4">
        <w:rPr>
          <w:rFonts w:ascii="Simplified Arabic" w:hAnsi="Simplified Arabic" w:cs="Simplified Arabic"/>
          <w:b/>
          <w:bCs/>
          <w:color w:val="000000" w:themeColor="text1"/>
          <w:sz w:val="36"/>
          <w:szCs w:val="36"/>
          <w:rtl/>
        </w:rPr>
        <w:t>8.1 الفجوة البحثية:</w:t>
      </w:r>
      <w:bookmarkEnd w:id="16"/>
    </w:p>
    <w:p w14:paraId="184DEBDC"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 xml:space="preserve">تتّفق الدراسة الحالية مع عدد كبير من الدراسات السابقة المستعرَضة في جوانب متعدّدة، فمن حيث المنهجية اتّفقت مع معظم الدراسات — كدراسة الحربي (2022) ودراسة أبو حمور وأبو حمدة (2022) ودراسة </w:t>
      </w:r>
      <w:r w:rsidRPr="004B2CD4">
        <w:rPr>
          <w:rFonts w:ascii="Simplified Arabic" w:hAnsi="Simplified Arabic" w:cs="Simplified Arabic"/>
          <w:color w:val="000000" w:themeColor="text1"/>
          <w:sz w:val="28"/>
          <w:szCs w:val="28"/>
        </w:rPr>
        <w:t xml:space="preserve">Mansoor (2021) </w:t>
      </w:r>
      <w:r w:rsidRPr="004B2CD4">
        <w:rPr>
          <w:rFonts w:ascii="Simplified Arabic" w:hAnsi="Simplified Arabic" w:cs="Simplified Arabic"/>
          <w:color w:val="000000" w:themeColor="text1"/>
          <w:sz w:val="28"/>
          <w:szCs w:val="28"/>
          <w:rtl/>
        </w:rPr>
        <w:t>ودراسة</w:t>
      </w:r>
      <w:r w:rsidRPr="004B2CD4">
        <w:rPr>
          <w:rFonts w:ascii="Simplified Arabic" w:hAnsi="Simplified Arabic" w:cs="Simplified Arabic"/>
          <w:color w:val="000000" w:themeColor="text1"/>
          <w:sz w:val="28"/>
          <w:szCs w:val="28"/>
        </w:rPr>
        <w:t xml:space="preserve"> Negri &amp; </w:t>
      </w:r>
      <w:proofErr w:type="spellStart"/>
      <w:r w:rsidRPr="004B2CD4">
        <w:rPr>
          <w:rFonts w:ascii="Simplified Arabic" w:hAnsi="Simplified Arabic" w:cs="Simplified Arabic"/>
          <w:color w:val="000000" w:themeColor="text1"/>
          <w:sz w:val="28"/>
          <w:szCs w:val="28"/>
        </w:rPr>
        <w:t>Dinc</w:t>
      </w:r>
      <w:proofErr w:type="spellEnd"/>
      <w:r w:rsidRPr="004B2CD4">
        <w:rPr>
          <w:rFonts w:ascii="Simplified Arabic" w:hAnsi="Simplified Arabic" w:cs="Simplified Arabic"/>
          <w:color w:val="000000" w:themeColor="text1"/>
          <w:sz w:val="28"/>
          <w:szCs w:val="28"/>
        </w:rPr>
        <w:t xml:space="preserve"> (2023) — </w:t>
      </w:r>
      <w:r w:rsidRPr="004B2CD4">
        <w:rPr>
          <w:rFonts w:ascii="Simplified Arabic" w:hAnsi="Simplified Arabic" w:cs="Simplified Arabic"/>
          <w:color w:val="000000" w:themeColor="text1"/>
          <w:sz w:val="28"/>
          <w:szCs w:val="28"/>
          <w:rtl/>
        </w:rPr>
        <w:t xml:space="preserve">في اعتماد المنهج الوصفي التحليلي بوصفه الأنسب لدراسة العلاقات بين المتغيرات في بيئتها الطبيعية، كما اتّفقت مع غالبية الدراسات العربية — كدراسة فقها (2021) ودراسة شعبية </w:t>
      </w:r>
      <w:r w:rsidRPr="004B2CD4">
        <w:rPr>
          <w:rFonts w:ascii="Simplified Arabic" w:hAnsi="Simplified Arabic" w:cs="Simplified Arabic"/>
          <w:color w:val="000000" w:themeColor="text1"/>
          <w:sz w:val="28"/>
          <w:szCs w:val="28"/>
        </w:rPr>
        <w:t xml:space="preserve">(2023) </w:t>
      </w:r>
      <w:r w:rsidRPr="004B2CD4">
        <w:rPr>
          <w:rFonts w:ascii="Simplified Arabic" w:hAnsi="Simplified Arabic" w:cs="Simplified Arabic"/>
          <w:color w:val="000000" w:themeColor="text1"/>
          <w:sz w:val="28"/>
          <w:szCs w:val="28"/>
          <w:rtl/>
        </w:rPr>
        <w:t xml:space="preserve">ودراسة العمري (2025) — في استخدام الاستبانة أداةً رئيسية لجمع البيانات الأولية ومقياس </w:t>
      </w:r>
      <w:proofErr w:type="spellStart"/>
      <w:r w:rsidRPr="004B2CD4">
        <w:rPr>
          <w:rFonts w:ascii="Simplified Arabic" w:hAnsi="Simplified Arabic" w:cs="Simplified Arabic"/>
          <w:color w:val="000000" w:themeColor="text1"/>
          <w:sz w:val="28"/>
          <w:szCs w:val="28"/>
          <w:rtl/>
        </w:rPr>
        <w:t>ليكرت</w:t>
      </w:r>
      <w:proofErr w:type="spellEnd"/>
      <w:r w:rsidRPr="004B2CD4">
        <w:rPr>
          <w:rFonts w:ascii="Simplified Arabic" w:hAnsi="Simplified Arabic" w:cs="Simplified Arabic"/>
          <w:color w:val="000000" w:themeColor="text1"/>
          <w:sz w:val="28"/>
          <w:szCs w:val="28"/>
          <w:rtl/>
        </w:rPr>
        <w:t xml:space="preserve"> الخماسي لقياس الاستجابات. ومن حيث المضمون، اتّفقت الدراسة الحالية مع دراسة</w:t>
      </w:r>
      <w:r w:rsidRPr="004B2CD4">
        <w:rPr>
          <w:rFonts w:ascii="Simplified Arabic" w:hAnsi="Simplified Arabic" w:cs="Simplified Arabic"/>
          <w:color w:val="000000" w:themeColor="text1"/>
          <w:sz w:val="28"/>
          <w:szCs w:val="28"/>
        </w:rPr>
        <w:t xml:space="preserve"> Thanaraj et al. (2025) </w:t>
      </w:r>
      <w:r w:rsidRPr="004B2CD4">
        <w:rPr>
          <w:rFonts w:ascii="Simplified Arabic" w:hAnsi="Simplified Arabic" w:cs="Simplified Arabic"/>
          <w:color w:val="000000" w:themeColor="text1"/>
          <w:sz w:val="28"/>
          <w:szCs w:val="28"/>
          <w:rtl/>
        </w:rPr>
        <w:t>ودراسة</w:t>
      </w:r>
      <w:r w:rsidRPr="004B2CD4">
        <w:rPr>
          <w:rFonts w:ascii="Simplified Arabic" w:hAnsi="Simplified Arabic" w:cs="Simplified Arabic"/>
          <w:color w:val="000000" w:themeColor="text1"/>
          <w:sz w:val="28"/>
          <w:szCs w:val="28"/>
        </w:rPr>
        <w:t xml:space="preserve"> Sari (2023) </w:t>
      </w:r>
      <w:r w:rsidRPr="004B2CD4">
        <w:rPr>
          <w:rFonts w:ascii="Simplified Arabic" w:hAnsi="Simplified Arabic" w:cs="Simplified Arabic"/>
          <w:color w:val="000000" w:themeColor="text1"/>
          <w:sz w:val="28"/>
          <w:szCs w:val="28"/>
          <w:rtl/>
        </w:rPr>
        <w:t>ودراسة المنصوري (2024) في تناول الحوكمة المؤسسية بوصفها متغيّراً مستقلاً له أبعاد فرعية متعدّدة تشمل الشفافية والمساءلة والمشاركة، واتّفقت كذلك مع دراسة أبو حمور وأبو حمدة (2022) ودراسة</w:t>
      </w:r>
      <w:r w:rsidRPr="004B2CD4">
        <w:rPr>
          <w:rFonts w:ascii="Simplified Arabic" w:hAnsi="Simplified Arabic" w:cs="Simplified Arabic"/>
          <w:color w:val="000000" w:themeColor="text1"/>
          <w:sz w:val="28"/>
          <w:szCs w:val="28"/>
        </w:rPr>
        <w:t xml:space="preserve"> Brandsma &amp; Meijer (2022) </w:t>
      </w:r>
      <w:r w:rsidRPr="004B2CD4">
        <w:rPr>
          <w:rFonts w:ascii="Simplified Arabic" w:hAnsi="Simplified Arabic" w:cs="Simplified Arabic"/>
          <w:color w:val="000000" w:themeColor="text1"/>
          <w:sz w:val="28"/>
          <w:szCs w:val="28"/>
          <w:rtl/>
        </w:rPr>
        <w:t>ودراسة</w:t>
      </w:r>
      <w:r w:rsidRPr="004B2CD4">
        <w:rPr>
          <w:rFonts w:ascii="Simplified Arabic" w:hAnsi="Simplified Arabic" w:cs="Simplified Arabic"/>
          <w:color w:val="000000" w:themeColor="text1"/>
          <w:sz w:val="28"/>
          <w:szCs w:val="28"/>
        </w:rPr>
        <w:t xml:space="preserve"> Lourenço, Vakis &amp; </w:t>
      </w:r>
      <w:proofErr w:type="spellStart"/>
      <w:r w:rsidRPr="004B2CD4">
        <w:rPr>
          <w:rFonts w:ascii="Simplified Arabic" w:hAnsi="Simplified Arabic" w:cs="Simplified Arabic"/>
          <w:color w:val="000000" w:themeColor="text1"/>
          <w:sz w:val="28"/>
          <w:szCs w:val="28"/>
        </w:rPr>
        <w:t>Zoratto</w:t>
      </w:r>
      <w:proofErr w:type="spellEnd"/>
      <w:r w:rsidRPr="004B2CD4">
        <w:rPr>
          <w:rFonts w:ascii="Simplified Arabic" w:hAnsi="Simplified Arabic" w:cs="Simplified Arabic"/>
          <w:color w:val="000000" w:themeColor="text1"/>
          <w:sz w:val="28"/>
          <w:szCs w:val="28"/>
        </w:rPr>
        <w:t xml:space="preserve"> (2022) </w:t>
      </w:r>
      <w:r w:rsidRPr="004B2CD4">
        <w:rPr>
          <w:rFonts w:ascii="Simplified Arabic" w:hAnsi="Simplified Arabic" w:cs="Simplified Arabic"/>
          <w:color w:val="000000" w:themeColor="text1"/>
          <w:sz w:val="28"/>
          <w:szCs w:val="28"/>
          <w:rtl/>
        </w:rPr>
        <w:t>في التركيز على كفاءة اتخاذ القرارات الإدارية بوصفها متغيّراً تابعاً محورياً في الإدارة العامة، فضلاً عن الاتفاق مع معظم الدراسات في التأكيد على الأهمية المتزايدة لتطبيق الحوكمة في القطاع الحكومي وانعكاساتها الإيجابية على الأداء المؤسسي</w:t>
      </w:r>
      <w:r w:rsidRPr="004B2CD4">
        <w:rPr>
          <w:rFonts w:ascii="Simplified Arabic" w:hAnsi="Simplified Arabic" w:cs="Simplified Arabic"/>
          <w:color w:val="000000" w:themeColor="text1"/>
          <w:sz w:val="28"/>
          <w:szCs w:val="28"/>
        </w:rPr>
        <w:t>.</w:t>
      </w:r>
    </w:p>
    <w:p w14:paraId="005E0455" w14:textId="77777777" w:rsidR="00BD2251" w:rsidRPr="004B2CD4" w:rsidRDefault="00BD2251" w:rsidP="004B2CD4">
      <w:pPr>
        <w:pStyle w:val="a8"/>
        <w:bidi/>
        <w:spacing w:line="276" w:lineRule="auto"/>
        <w:ind w:firstLine="424"/>
        <w:jc w:val="both"/>
        <w:rPr>
          <w:rFonts w:ascii="Simplified Arabic" w:hAnsi="Simplified Arabic" w:cs="Simplified Arabic"/>
          <w:color w:val="000000" w:themeColor="text1"/>
          <w:sz w:val="28"/>
          <w:szCs w:val="28"/>
        </w:rPr>
      </w:pPr>
      <w:r w:rsidRPr="004B2CD4">
        <w:rPr>
          <w:rFonts w:ascii="Simplified Arabic" w:hAnsi="Simplified Arabic" w:cs="Simplified Arabic"/>
          <w:color w:val="000000" w:themeColor="text1"/>
          <w:sz w:val="28"/>
          <w:szCs w:val="28"/>
          <w:rtl/>
        </w:rPr>
        <w:t>غير أنّ الدراسة الحالية تختلف عن الدراسات السابقة في عدّة جوانب جوهرية تمنحها خصوصيتها وإسهامها المتفرّد، فمن حيث النطاق المكاني تختلف عن دراسة</w:t>
      </w:r>
      <w:r w:rsidRPr="004B2CD4">
        <w:rPr>
          <w:rFonts w:ascii="Simplified Arabic" w:hAnsi="Simplified Arabic" w:cs="Simplified Arabic"/>
          <w:color w:val="000000" w:themeColor="text1"/>
          <w:sz w:val="28"/>
          <w:szCs w:val="28"/>
        </w:rPr>
        <w:t xml:space="preserve"> Negri &amp; </w:t>
      </w:r>
      <w:proofErr w:type="spellStart"/>
      <w:r w:rsidRPr="004B2CD4">
        <w:rPr>
          <w:rFonts w:ascii="Simplified Arabic" w:hAnsi="Simplified Arabic" w:cs="Simplified Arabic"/>
          <w:color w:val="000000" w:themeColor="text1"/>
          <w:sz w:val="28"/>
          <w:szCs w:val="28"/>
        </w:rPr>
        <w:t>Dinc</w:t>
      </w:r>
      <w:proofErr w:type="spellEnd"/>
      <w:r w:rsidRPr="004B2CD4">
        <w:rPr>
          <w:rFonts w:ascii="Simplified Arabic" w:hAnsi="Simplified Arabic" w:cs="Simplified Arabic"/>
          <w:color w:val="000000" w:themeColor="text1"/>
          <w:sz w:val="28"/>
          <w:szCs w:val="28"/>
        </w:rPr>
        <w:t xml:space="preserve"> (2023) </w:t>
      </w:r>
      <w:r w:rsidRPr="004B2CD4">
        <w:rPr>
          <w:rFonts w:ascii="Simplified Arabic" w:hAnsi="Simplified Arabic" w:cs="Simplified Arabic"/>
          <w:color w:val="000000" w:themeColor="text1"/>
          <w:sz w:val="28"/>
          <w:szCs w:val="28"/>
          <w:rtl/>
        </w:rPr>
        <w:t>التي طُبّقت في دول الاتحاد الأوروبي ودراسة</w:t>
      </w:r>
      <w:r w:rsidRPr="004B2CD4">
        <w:rPr>
          <w:rFonts w:ascii="Simplified Arabic" w:hAnsi="Simplified Arabic" w:cs="Simplified Arabic"/>
          <w:color w:val="000000" w:themeColor="text1"/>
          <w:sz w:val="28"/>
          <w:szCs w:val="28"/>
        </w:rPr>
        <w:t xml:space="preserve"> Thanaraj et al. (2025) </w:t>
      </w:r>
      <w:r w:rsidRPr="004B2CD4">
        <w:rPr>
          <w:rFonts w:ascii="Simplified Arabic" w:hAnsi="Simplified Arabic" w:cs="Simplified Arabic"/>
          <w:color w:val="000000" w:themeColor="text1"/>
          <w:sz w:val="28"/>
          <w:szCs w:val="28"/>
          <w:rtl/>
        </w:rPr>
        <w:t xml:space="preserve">التي أُجريت في تايلاند ودراسة أبو حمور وأبو حمدة (2022) التي استهدفت الوزارات الأردنية ودراسة شعبية (2023) </w:t>
      </w:r>
      <w:proofErr w:type="spellStart"/>
      <w:r w:rsidRPr="004B2CD4">
        <w:rPr>
          <w:rFonts w:ascii="Simplified Arabic" w:hAnsi="Simplified Arabic" w:cs="Simplified Arabic"/>
          <w:color w:val="000000" w:themeColor="text1"/>
          <w:sz w:val="28"/>
          <w:szCs w:val="28"/>
          <w:rtl/>
        </w:rPr>
        <w:t>والأزو</w:t>
      </w:r>
      <w:proofErr w:type="spellEnd"/>
      <w:r w:rsidRPr="004B2CD4">
        <w:rPr>
          <w:rFonts w:ascii="Simplified Arabic" w:hAnsi="Simplified Arabic" w:cs="Simplified Arabic"/>
          <w:color w:val="000000" w:themeColor="text1"/>
          <w:sz w:val="28"/>
          <w:szCs w:val="28"/>
          <w:rtl/>
        </w:rPr>
        <w:t xml:space="preserve"> (2025) في البيئة السورية ودراسة فقها (2021) في البيئة الفلسطينية، إذ تُطبَّق الدراسة الحالية في الجهات الحكومية السعودية في ظلّ سياق تحوّلي خاص تقوده رؤية 2030. ومن حيث النموذج البحثي، تختلف عن الدراسات التي تناولت الحوكمة ببعض أبعادها أو ربطتها بمتغيرات تابعة أخرى — كدراسة الحربي (2022) التي ربطتها بكفاءة الإنفاق ودراسة </w:t>
      </w:r>
      <w:r w:rsidRPr="004B2CD4">
        <w:rPr>
          <w:rFonts w:ascii="Simplified Arabic" w:hAnsi="Simplified Arabic" w:cs="Simplified Arabic"/>
          <w:color w:val="000000" w:themeColor="text1"/>
          <w:sz w:val="28"/>
          <w:szCs w:val="28"/>
        </w:rPr>
        <w:t xml:space="preserve">Mansoor (2021) </w:t>
      </w:r>
      <w:r w:rsidRPr="004B2CD4">
        <w:rPr>
          <w:rFonts w:ascii="Simplified Arabic" w:hAnsi="Simplified Arabic" w:cs="Simplified Arabic"/>
          <w:color w:val="000000" w:themeColor="text1"/>
          <w:sz w:val="28"/>
          <w:szCs w:val="28"/>
          <w:rtl/>
        </w:rPr>
        <w:t>التي ربطتها بثقة المواطنين ودراسة</w:t>
      </w:r>
      <w:r w:rsidRPr="004B2CD4">
        <w:rPr>
          <w:rFonts w:ascii="Simplified Arabic" w:hAnsi="Simplified Arabic" w:cs="Simplified Arabic"/>
          <w:color w:val="000000" w:themeColor="text1"/>
          <w:sz w:val="28"/>
          <w:szCs w:val="28"/>
        </w:rPr>
        <w:t xml:space="preserve"> </w:t>
      </w:r>
      <w:proofErr w:type="spellStart"/>
      <w:r w:rsidRPr="004B2CD4">
        <w:rPr>
          <w:rFonts w:ascii="Simplified Arabic" w:hAnsi="Simplified Arabic" w:cs="Simplified Arabic"/>
          <w:color w:val="000000" w:themeColor="text1"/>
          <w:sz w:val="28"/>
          <w:szCs w:val="28"/>
        </w:rPr>
        <w:t>Almajri</w:t>
      </w:r>
      <w:proofErr w:type="spellEnd"/>
      <w:r w:rsidRPr="004B2CD4">
        <w:rPr>
          <w:rFonts w:ascii="Simplified Arabic" w:hAnsi="Simplified Arabic" w:cs="Simplified Arabic"/>
          <w:color w:val="000000" w:themeColor="text1"/>
          <w:sz w:val="28"/>
          <w:szCs w:val="28"/>
        </w:rPr>
        <w:t xml:space="preserve"> (2024) </w:t>
      </w:r>
      <w:r w:rsidRPr="004B2CD4">
        <w:rPr>
          <w:rFonts w:ascii="Simplified Arabic" w:hAnsi="Simplified Arabic" w:cs="Simplified Arabic"/>
          <w:color w:val="000000" w:themeColor="text1"/>
          <w:sz w:val="28"/>
          <w:szCs w:val="28"/>
          <w:rtl/>
        </w:rPr>
        <w:t xml:space="preserve">التي ركّزت على الشفافية والمساءلة في حوكمة الشركات — حيث تجمع الدراسة الحالية بين أربعة أبعاد محدّدة للحوكمة (الشفافية، المساءلة، المشاركة في صنع القرار، سيادة القانون) وتربطها في نموذج واحد بكفاءة اتخاذ </w:t>
      </w:r>
      <w:r w:rsidRPr="004B2CD4">
        <w:rPr>
          <w:rFonts w:ascii="Simplified Arabic" w:hAnsi="Simplified Arabic" w:cs="Simplified Arabic"/>
          <w:color w:val="000000" w:themeColor="text1"/>
          <w:sz w:val="28"/>
          <w:szCs w:val="28"/>
          <w:rtl/>
        </w:rPr>
        <w:lastRenderedPageBreak/>
        <w:t>القرارات الإدارية، وهو ما لم تتناوله أيّ من الدراسات السابقة بهذا التكامل في البيئة السعودية تحديداً. كما تتميّز الدراسة الحالية بحداثتها الزمنية (2025/2026م) واستهدافها ثلاثة مستويات إدارية (عليا ووسطى وإشرافية) بعينة طبقية تناسبية، بينما اقتصرت بعض الدراسات السابقة على مستوى إداري واحد أو اعتمدت عيّنات ملاءمة</w:t>
      </w:r>
      <w:r w:rsidRPr="004B2CD4">
        <w:rPr>
          <w:rFonts w:ascii="Simplified Arabic" w:hAnsi="Simplified Arabic" w:cs="Simplified Arabic"/>
          <w:color w:val="000000" w:themeColor="text1"/>
          <w:sz w:val="28"/>
          <w:szCs w:val="28"/>
        </w:rPr>
        <w:t>.</w:t>
      </w:r>
    </w:p>
    <w:p w14:paraId="4F11A9DA" w14:textId="77777777" w:rsidR="00177583" w:rsidRPr="004B2CD4" w:rsidRDefault="00177583" w:rsidP="004B2CD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025083"/>
      <w:bookmarkStart w:id="19" w:name="_Toc169790502"/>
      <w:bookmarkEnd w:id="17"/>
      <w:r w:rsidRPr="004B2CD4">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39B59EEA" w14:textId="73ADE04A" w:rsidR="00177583" w:rsidRPr="004B2CD4" w:rsidRDefault="00177583"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B2CD4">
        <w:rPr>
          <w:rFonts w:ascii="Simplified Arabic" w:eastAsia="Times New Roman" w:hAnsi="Simplified Arabic" w:cs="Simplified Arabic"/>
          <w:b/>
          <w:bCs/>
          <w:color w:val="000000" w:themeColor="text1"/>
          <w:kern w:val="0"/>
          <w:sz w:val="32"/>
          <w:szCs w:val="32"/>
          <w:rtl/>
          <w14:ligatures w14:val="none"/>
        </w:rPr>
        <w:t>المحور الأول: الحوكمة المؤسسية</w:t>
      </w:r>
    </w:p>
    <w:p w14:paraId="6C35F735"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تُعدّ الحوكمة المؤسسية من المفاهيم الإدارية التي تبلورت ملامحها في العقود الأخيرة من القرن العشرين، ثمّ شهدت تطوّراً متسارعاً مع مطلع الألفية الثالثة حين تبنّتها المنظمات الدولية الكبرى</w:t>
      </w:r>
      <w:r w:rsidRPr="004B2CD4">
        <w:rPr>
          <w:rFonts w:ascii="Simplified Arabic" w:eastAsia="Times New Roman" w:hAnsi="Simplified Arabic" w:cs="Simplified Arabic"/>
          <w:color w:val="000000" w:themeColor="text1"/>
          <w:kern w:val="0"/>
          <w:sz w:val="28"/>
          <w:szCs w:val="28"/>
          <w14:ligatures w14:val="none"/>
        </w:rPr>
        <w:t xml:space="preserve"> — </w:t>
      </w:r>
      <w:r w:rsidRPr="004B2CD4">
        <w:rPr>
          <w:rFonts w:ascii="Simplified Arabic" w:eastAsia="Times New Roman" w:hAnsi="Simplified Arabic" w:cs="Simplified Arabic"/>
          <w:color w:val="000000" w:themeColor="text1"/>
          <w:kern w:val="0"/>
          <w:sz w:val="28"/>
          <w:szCs w:val="28"/>
          <w:rtl/>
          <w14:ligatures w14:val="none"/>
        </w:rPr>
        <w:t>كالبنك الدولي ومنظمة التعاون الاقتصادي والتنمية وبرنامج الأمم المتحدة الإنمائي — بوصفها إطاراً مرجعياً لإصلاح القطاع العام وتحسين أدائه. وقد نشأ مفهوم الحوكمة في الأصل ضمن بيئة القطاع الخاص استجابةً لأزمات مالية وإدارية كبرى كشفت عن خلل في العلاقة بين الملكية والإدارة، ثمّ انتقل تدريجياً إلى القطاع الحكومي ليُعالج إشكاليات مماثلة تتعلّق بكفاءة استخدام الموارد العامة وجودة الخدمات المقدّمة للمواطنين وضمان خضوع السلطة للمساءلة والرقابة</w:t>
      </w:r>
      <w:r w:rsidRPr="004B2CD4">
        <w:rPr>
          <w:rFonts w:ascii="Simplified Arabic" w:eastAsia="Times New Roman" w:hAnsi="Simplified Arabic" w:cs="Simplified Arabic"/>
          <w:color w:val="000000" w:themeColor="text1"/>
          <w:kern w:val="0"/>
          <w:sz w:val="28"/>
          <w:szCs w:val="28"/>
          <w14:ligatures w14:val="none"/>
        </w:rPr>
        <w:t xml:space="preserve"> (Negri &amp; </w:t>
      </w:r>
      <w:proofErr w:type="spellStart"/>
      <w:r w:rsidRPr="004B2CD4">
        <w:rPr>
          <w:rFonts w:ascii="Simplified Arabic" w:eastAsia="Times New Roman" w:hAnsi="Simplified Arabic" w:cs="Simplified Arabic"/>
          <w:color w:val="000000" w:themeColor="text1"/>
          <w:kern w:val="0"/>
          <w:sz w:val="28"/>
          <w:szCs w:val="28"/>
          <w14:ligatures w14:val="none"/>
        </w:rPr>
        <w:t>Dinc</w:t>
      </w:r>
      <w:proofErr w:type="spellEnd"/>
      <w:r w:rsidRPr="004B2CD4">
        <w:rPr>
          <w:rFonts w:ascii="Simplified Arabic" w:eastAsia="Times New Roman" w:hAnsi="Simplified Arabic" w:cs="Simplified Arabic"/>
          <w:color w:val="000000" w:themeColor="text1"/>
          <w:kern w:val="0"/>
          <w:sz w:val="28"/>
          <w:szCs w:val="28"/>
          <w14:ligatures w14:val="none"/>
        </w:rPr>
        <w:t>, 2023).</w:t>
      </w:r>
    </w:p>
    <w:p w14:paraId="6D59A723"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وتقوم الحوكمة المؤسسية على فلسفة مؤدّاها أنّ المؤسسات الحكومية ليست ملكاً للقائمين عليها بل هي أمانة عامة يجب أن تُدار وفق معايير واضحة تُحقّق التوازن بين الفاعلية في الأداء والالتزام بالقيم الأخلاقية والقانونية. وقد تعدّدت النظريات التي حاولت تفسير الحوكمة وآلياتها، ومن أبرزها نظرية الوكالة</w:t>
      </w:r>
      <w:r w:rsidRPr="004B2CD4">
        <w:rPr>
          <w:rFonts w:ascii="Simplified Arabic" w:eastAsia="Times New Roman" w:hAnsi="Simplified Arabic" w:cs="Simplified Arabic"/>
          <w:color w:val="000000" w:themeColor="text1"/>
          <w:kern w:val="0"/>
          <w:sz w:val="28"/>
          <w:szCs w:val="28"/>
          <w14:ligatures w14:val="none"/>
        </w:rPr>
        <w:t xml:space="preserve"> (Agency Theory) </w:t>
      </w:r>
      <w:r w:rsidRPr="004B2CD4">
        <w:rPr>
          <w:rFonts w:ascii="Simplified Arabic" w:eastAsia="Times New Roman" w:hAnsi="Simplified Arabic" w:cs="Simplified Arabic"/>
          <w:color w:val="000000" w:themeColor="text1"/>
          <w:kern w:val="0"/>
          <w:sz w:val="28"/>
          <w:szCs w:val="28"/>
          <w:rtl/>
          <w14:ligatures w14:val="none"/>
        </w:rPr>
        <w:t>التي تنطلق من فكرة وجود تعارض محتمل في المصالح بين المالك (المجتمع) والوكيل (الإدارة الحكومية)، وتطرح الحوكمة بوصفها آلية للحدّ من هذا التعارض عبر الرقابة والشفافية والمساءلة. كذلك تُسهم نظرية أصحاب المصلحة</w:t>
      </w:r>
      <w:r w:rsidRPr="004B2CD4">
        <w:rPr>
          <w:rFonts w:ascii="Simplified Arabic" w:eastAsia="Times New Roman" w:hAnsi="Simplified Arabic" w:cs="Simplified Arabic"/>
          <w:color w:val="000000" w:themeColor="text1"/>
          <w:kern w:val="0"/>
          <w:sz w:val="28"/>
          <w:szCs w:val="28"/>
          <w14:ligatures w14:val="none"/>
        </w:rPr>
        <w:t xml:space="preserve"> (Stakeholder Theory) </w:t>
      </w:r>
      <w:r w:rsidRPr="004B2CD4">
        <w:rPr>
          <w:rFonts w:ascii="Simplified Arabic" w:eastAsia="Times New Roman" w:hAnsi="Simplified Arabic" w:cs="Simplified Arabic"/>
          <w:color w:val="000000" w:themeColor="text1"/>
          <w:kern w:val="0"/>
          <w:sz w:val="28"/>
          <w:szCs w:val="28"/>
          <w:rtl/>
          <w14:ligatures w14:val="none"/>
        </w:rPr>
        <w:t>في تفسير بُعد المشاركة في صنع القرار، إذ ترى أنّ المؤسسة مسؤولة أمام أطراف متعدّدة وليس طرفاً واحداً، ممّا يستوجب إشراكهم في العمليات الإدارية. أمّا النظرية المؤسسية</w:t>
      </w:r>
      <w:r w:rsidRPr="004B2CD4">
        <w:rPr>
          <w:rFonts w:ascii="Simplified Arabic" w:eastAsia="Times New Roman" w:hAnsi="Simplified Arabic" w:cs="Simplified Arabic"/>
          <w:color w:val="000000" w:themeColor="text1"/>
          <w:kern w:val="0"/>
          <w:sz w:val="28"/>
          <w:szCs w:val="28"/>
          <w14:ligatures w14:val="none"/>
        </w:rPr>
        <w:t xml:space="preserve"> (Institutional Theory) </w:t>
      </w:r>
      <w:r w:rsidRPr="004B2CD4">
        <w:rPr>
          <w:rFonts w:ascii="Simplified Arabic" w:eastAsia="Times New Roman" w:hAnsi="Simplified Arabic" w:cs="Simplified Arabic"/>
          <w:color w:val="000000" w:themeColor="text1"/>
          <w:kern w:val="0"/>
          <w:sz w:val="28"/>
          <w:szCs w:val="28"/>
          <w:rtl/>
          <w14:ligatures w14:val="none"/>
        </w:rPr>
        <w:t>فتُركّز على دور الأطر القانونية والتنظيمية في تشكيل سلوك المؤسسات وضبط ممارساتها، وهو ما يرتبط ببُعد سيادة القانون (المنصوري، 2024)</w:t>
      </w:r>
      <w:r w:rsidRPr="004B2CD4">
        <w:rPr>
          <w:rFonts w:ascii="Simplified Arabic" w:eastAsia="Times New Roman" w:hAnsi="Simplified Arabic" w:cs="Simplified Arabic"/>
          <w:color w:val="000000" w:themeColor="text1"/>
          <w:kern w:val="0"/>
          <w:sz w:val="28"/>
          <w:szCs w:val="28"/>
          <w14:ligatures w14:val="none"/>
        </w:rPr>
        <w:t>.</w:t>
      </w:r>
    </w:p>
    <w:p w14:paraId="236DCAE6"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وفي السياق السعودي، اكتسبت الحوكمة المؤسسية زخماً كبيراً مع إطلاق رؤية المملكة 2030 التي جعلت من الشفافية والمساءلة وكفاءة الإنفاق محاور استراتيجية للتحوّل الوطني. وتجسّد ذلك في إنشاء جهات رقابية متخصّصة كهيئة الرقابة ومكافحة الفساد "نزاهة" وهيئة كفاءة الإنفاق والمشروعات الحكومية "</w:t>
      </w:r>
      <w:proofErr w:type="spellStart"/>
      <w:r w:rsidRPr="004B2CD4">
        <w:rPr>
          <w:rFonts w:ascii="Simplified Arabic" w:eastAsia="Times New Roman" w:hAnsi="Simplified Arabic" w:cs="Simplified Arabic"/>
          <w:color w:val="000000" w:themeColor="text1"/>
          <w:kern w:val="0"/>
          <w:sz w:val="28"/>
          <w:szCs w:val="28"/>
          <w:rtl/>
          <w14:ligatures w14:val="none"/>
        </w:rPr>
        <w:t>إكسبرو</w:t>
      </w:r>
      <w:proofErr w:type="spellEnd"/>
      <w:r w:rsidRPr="004B2CD4">
        <w:rPr>
          <w:rFonts w:ascii="Simplified Arabic" w:eastAsia="Times New Roman" w:hAnsi="Simplified Arabic" w:cs="Simplified Arabic"/>
          <w:color w:val="000000" w:themeColor="text1"/>
          <w:kern w:val="0"/>
          <w:sz w:val="28"/>
          <w:szCs w:val="28"/>
          <w:rtl/>
          <w14:ligatures w14:val="none"/>
        </w:rPr>
        <w:t>"، إلى جانب تطوير منظومة تشريعية شاملة تُعزّز مبادئ الحوكمة في الأجهزة الحكومية. وقد أكّدت دراسة الحربي</w:t>
      </w:r>
      <w:r w:rsidRPr="004B2CD4">
        <w:rPr>
          <w:rFonts w:ascii="Simplified Arabic" w:eastAsia="Times New Roman" w:hAnsi="Simplified Arabic" w:cs="Simplified Arabic"/>
          <w:color w:val="000000" w:themeColor="text1"/>
          <w:kern w:val="0"/>
          <w:sz w:val="28"/>
          <w:szCs w:val="28"/>
          <w14:ligatures w14:val="none"/>
        </w:rPr>
        <w:t xml:space="preserve"> (2022) </w:t>
      </w:r>
      <w:r w:rsidRPr="004B2CD4">
        <w:rPr>
          <w:rFonts w:ascii="Simplified Arabic" w:eastAsia="Times New Roman" w:hAnsi="Simplified Arabic" w:cs="Simplified Arabic"/>
          <w:color w:val="000000" w:themeColor="text1"/>
          <w:kern w:val="0"/>
          <w:sz w:val="28"/>
          <w:szCs w:val="28"/>
          <w:rtl/>
          <w14:ligatures w14:val="none"/>
        </w:rPr>
        <w:t>أنّ هذه الجهود المؤسسية وضعت المملكة على مسار متقدّم في مجال الحوكمة الحكومية، وإن كانت لا تزال بحاجة إلى تعميق التطبيق على المستويات الإدارية كافة</w:t>
      </w:r>
      <w:r w:rsidRPr="004B2CD4">
        <w:rPr>
          <w:rFonts w:ascii="Simplified Arabic" w:eastAsia="Times New Roman" w:hAnsi="Simplified Arabic" w:cs="Simplified Arabic"/>
          <w:color w:val="000000" w:themeColor="text1"/>
          <w:kern w:val="0"/>
          <w:sz w:val="28"/>
          <w:szCs w:val="28"/>
          <w14:ligatures w14:val="none"/>
        </w:rPr>
        <w:t>.</w:t>
      </w:r>
    </w:p>
    <w:p w14:paraId="460DA3A9" w14:textId="6767A585"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3279460"/>
      <w:r w:rsidRPr="004B2CD4">
        <w:rPr>
          <w:rFonts w:ascii="Simplified Arabic" w:eastAsia="Times New Roman" w:hAnsi="Simplified Arabic" w:cs="Simplified Arabic"/>
          <w:b/>
          <w:bCs/>
          <w:color w:val="000000" w:themeColor="text1"/>
          <w:kern w:val="0"/>
          <w:sz w:val="32"/>
          <w:szCs w:val="32"/>
          <w:rtl/>
          <w14:ligatures w14:val="none"/>
        </w:rPr>
        <w:t>المحور الثاني: كفاءة اتخاذ القرارات الإدارية</w:t>
      </w:r>
      <w:bookmarkEnd w:id="20"/>
      <w:r w:rsidRPr="004B2CD4">
        <w:rPr>
          <w:rFonts w:ascii="Simplified Arabic" w:eastAsia="Times New Roman" w:hAnsi="Simplified Arabic" w:cs="Simplified Arabic"/>
          <w:b/>
          <w:bCs/>
          <w:color w:val="000000" w:themeColor="text1"/>
          <w:kern w:val="0"/>
          <w:sz w:val="32"/>
          <w:szCs w:val="32"/>
          <w:rtl/>
          <w14:ligatures w14:val="none"/>
        </w:rPr>
        <w:t xml:space="preserve"> </w:t>
      </w:r>
    </w:p>
    <w:p w14:paraId="144C5686"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يحتلّ اتخاذ القرار موقعاً محورياً في الفكر الإداري منذ أن وصفه هربرت سايمون</w:t>
      </w:r>
      <w:r w:rsidRPr="004B2CD4">
        <w:rPr>
          <w:rFonts w:ascii="Simplified Arabic" w:eastAsia="Times New Roman" w:hAnsi="Simplified Arabic" w:cs="Simplified Arabic"/>
          <w:color w:val="000000" w:themeColor="text1"/>
          <w:kern w:val="0"/>
          <w:sz w:val="28"/>
          <w:szCs w:val="28"/>
          <w14:ligatures w14:val="none"/>
        </w:rPr>
        <w:t xml:space="preserve"> (Herbert Simon) </w:t>
      </w:r>
      <w:r w:rsidRPr="004B2CD4">
        <w:rPr>
          <w:rFonts w:ascii="Simplified Arabic" w:eastAsia="Times New Roman" w:hAnsi="Simplified Arabic" w:cs="Simplified Arabic"/>
          <w:color w:val="000000" w:themeColor="text1"/>
          <w:kern w:val="0"/>
          <w:sz w:val="28"/>
          <w:szCs w:val="28"/>
          <w:rtl/>
          <w14:ligatures w14:val="none"/>
        </w:rPr>
        <w:t>بأنّه "جوهر الإدارة</w:t>
      </w:r>
      <w:r w:rsidRPr="004B2CD4">
        <w:rPr>
          <w:rFonts w:ascii="Simplified Arabic" w:eastAsia="Times New Roman" w:hAnsi="Simplified Arabic" w:cs="Simplified Arabic"/>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rtl/>
          <w14:ligatures w14:val="none"/>
        </w:rPr>
        <w:t>، مؤكّداً أنّ كلّ وظيفة إدارية — من تخطيط وتنظيم وتوجيه ورقابة — تنطوي في حقيقتها على سلسلة من القرارات المتتابعة. وقد تطوّر مفهوم القرار الإداري من النموذج الكلاسيكي القائم على الرشد المطلق</w:t>
      </w:r>
      <w:r w:rsidRPr="004B2CD4">
        <w:rPr>
          <w:rFonts w:ascii="Simplified Arabic" w:eastAsia="Times New Roman" w:hAnsi="Simplified Arabic" w:cs="Simplified Arabic"/>
          <w:color w:val="000000" w:themeColor="text1"/>
          <w:kern w:val="0"/>
          <w:sz w:val="28"/>
          <w:szCs w:val="28"/>
          <w14:ligatures w14:val="none"/>
        </w:rPr>
        <w:t xml:space="preserve"> (Rational Model) </w:t>
      </w:r>
      <w:r w:rsidRPr="004B2CD4">
        <w:rPr>
          <w:rFonts w:ascii="Simplified Arabic" w:eastAsia="Times New Roman" w:hAnsi="Simplified Arabic" w:cs="Simplified Arabic"/>
          <w:color w:val="000000" w:themeColor="text1"/>
          <w:kern w:val="0"/>
          <w:sz w:val="28"/>
          <w:szCs w:val="28"/>
          <w:rtl/>
          <w14:ligatures w14:val="none"/>
        </w:rPr>
        <w:t>إلى نموذج الرشد المحدود</w:t>
      </w:r>
      <w:r w:rsidRPr="004B2CD4">
        <w:rPr>
          <w:rFonts w:ascii="Simplified Arabic" w:eastAsia="Times New Roman" w:hAnsi="Simplified Arabic" w:cs="Simplified Arabic"/>
          <w:color w:val="000000" w:themeColor="text1"/>
          <w:kern w:val="0"/>
          <w:sz w:val="28"/>
          <w:szCs w:val="28"/>
          <w14:ligatures w14:val="none"/>
        </w:rPr>
        <w:t xml:space="preserve"> (Bounded Rationality) </w:t>
      </w:r>
      <w:r w:rsidRPr="004B2CD4">
        <w:rPr>
          <w:rFonts w:ascii="Simplified Arabic" w:eastAsia="Times New Roman" w:hAnsi="Simplified Arabic" w:cs="Simplified Arabic"/>
          <w:color w:val="000000" w:themeColor="text1"/>
          <w:kern w:val="0"/>
          <w:sz w:val="28"/>
          <w:szCs w:val="28"/>
          <w:rtl/>
          <w14:ligatures w14:val="none"/>
        </w:rPr>
        <w:t>الذي يعترف بالقيود المعلوماتية والمعرفية التي تحدّ من قدرة صانع القرار على الوصول إلى الحل الأمثل، ثمّ إلى النماذج السلوكية والتشاركية التي تؤكّد أهمية البيئة التنظيمية والثقافة المؤسسية في تشكيل القرار وجودته</w:t>
      </w:r>
      <w:r w:rsidRPr="004B2CD4">
        <w:rPr>
          <w:rFonts w:ascii="Simplified Arabic" w:eastAsia="Times New Roman" w:hAnsi="Simplified Arabic" w:cs="Simplified Arabic"/>
          <w:color w:val="000000" w:themeColor="text1"/>
          <w:kern w:val="0"/>
          <w:sz w:val="28"/>
          <w:szCs w:val="28"/>
          <w14:ligatures w14:val="none"/>
        </w:rPr>
        <w:t xml:space="preserve"> (Lourenço, Vakis &amp; </w:t>
      </w:r>
      <w:proofErr w:type="spellStart"/>
      <w:r w:rsidRPr="004B2CD4">
        <w:rPr>
          <w:rFonts w:ascii="Simplified Arabic" w:eastAsia="Times New Roman" w:hAnsi="Simplified Arabic" w:cs="Simplified Arabic"/>
          <w:color w:val="000000" w:themeColor="text1"/>
          <w:kern w:val="0"/>
          <w:sz w:val="28"/>
          <w:szCs w:val="28"/>
          <w14:ligatures w14:val="none"/>
        </w:rPr>
        <w:t>Zoratto</w:t>
      </w:r>
      <w:proofErr w:type="spellEnd"/>
      <w:r w:rsidRPr="004B2CD4">
        <w:rPr>
          <w:rFonts w:ascii="Simplified Arabic" w:eastAsia="Times New Roman" w:hAnsi="Simplified Arabic" w:cs="Simplified Arabic"/>
          <w:color w:val="000000" w:themeColor="text1"/>
          <w:kern w:val="0"/>
          <w:sz w:val="28"/>
          <w:szCs w:val="28"/>
          <w14:ligatures w14:val="none"/>
        </w:rPr>
        <w:t>, 2022).</w:t>
      </w:r>
    </w:p>
    <w:p w14:paraId="4FA01B22"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وتُشير كفاءة اتخاذ القرار الإداري إلى قدرة المنظمة على إنتاج قرارات تتّسم بالجودة والرشد والتوقيت المناسب وقبول المعنيّين بتنفيذها، مع تحقيق أفضل نتيجة ممكنة بأقلّ قدر من الموارد والوقت. وتتأثّر هذه الكفاءة بعوامل متعدّدة منها توفّر المعلومات الدقيقة وحداثتها، ووضوح الأهداف التنظيمية، وكفاءة القيادات الإدارية، ومدى وجود أنظمة رقابية تضمن الموضوعية. وقد أثبتت دراسة أبو حمور وأبو حمدة</w:t>
      </w:r>
      <w:r w:rsidRPr="004B2CD4">
        <w:rPr>
          <w:rFonts w:ascii="Simplified Arabic" w:eastAsia="Times New Roman" w:hAnsi="Simplified Arabic" w:cs="Simplified Arabic"/>
          <w:color w:val="000000" w:themeColor="text1"/>
          <w:kern w:val="0"/>
          <w:sz w:val="28"/>
          <w:szCs w:val="28"/>
          <w14:ligatures w14:val="none"/>
        </w:rPr>
        <w:t xml:space="preserve"> (2022) </w:t>
      </w:r>
      <w:r w:rsidRPr="004B2CD4">
        <w:rPr>
          <w:rFonts w:ascii="Simplified Arabic" w:eastAsia="Times New Roman" w:hAnsi="Simplified Arabic" w:cs="Simplified Arabic"/>
          <w:color w:val="000000" w:themeColor="text1"/>
          <w:kern w:val="0"/>
          <w:sz w:val="28"/>
          <w:szCs w:val="28"/>
          <w:rtl/>
          <w14:ligatures w14:val="none"/>
        </w:rPr>
        <w:t>أنّ جودة المعلومات بأبعادها — الملاءمة والتوقيت والدقة والشمول — تُفسّر نسبة كبيرة من التباين في فاعلية القرارات الإدارية، ممّا يُؤكّد أنّ كفاءة القرار ليست مسألة فردية تتعلّق بقدرات صانع القرار وحده، بل هي محصّلة لبيئة مؤسسية متكاملة تُوفّر المقوّمات اللازمة لإنتاج قرارات رشيدة</w:t>
      </w:r>
      <w:r w:rsidRPr="004B2CD4">
        <w:rPr>
          <w:rFonts w:ascii="Simplified Arabic" w:eastAsia="Times New Roman" w:hAnsi="Simplified Arabic" w:cs="Simplified Arabic"/>
          <w:color w:val="000000" w:themeColor="text1"/>
          <w:kern w:val="0"/>
          <w:sz w:val="28"/>
          <w:szCs w:val="28"/>
          <w14:ligatures w14:val="none"/>
        </w:rPr>
        <w:t>.</w:t>
      </w:r>
    </w:p>
    <w:p w14:paraId="7BE0BBAA" w14:textId="382201BF"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وفي القطاع الحكومي تحديداً، تكتسب كفاءة القرار أهمية مضاعفة نظراً لاتساع نطاق تأثير القرارات الحكومية وارتباطها بالمال العام والمصلحة المجتمعية. وقد أكّدت دراسة</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Hossin</w:t>
      </w:r>
      <w:proofErr w:type="spellEnd"/>
      <w:r w:rsidRPr="004B2CD4">
        <w:rPr>
          <w:rFonts w:ascii="Simplified Arabic" w:eastAsia="Times New Roman" w:hAnsi="Simplified Arabic" w:cs="Simplified Arabic"/>
          <w:color w:val="000000" w:themeColor="text1"/>
          <w:kern w:val="0"/>
          <w:sz w:val="28"/>
          <w:szCs w:val="28"/>
          <w14:ligatures w14:val="none"/>
        </w:rPr>
        <w:t xml:space="preserve"> et al. (2023) </w:t>
      </w:r>
      <w:r w:rsidRPr="004B2CD4">
        <w:rPr>
          <w:rFonts w:ascii="Simplified Arabic" w:eastAsia="Times New Roman" w:hAnsi="Simplified Arabic" w:cs="Simplified Arabic"/>
          <w:color w:val="000000" w:themeColor="text1"/>
          <w:kern w:val="0"/>
          <w:sz w:val="28"/>
          <w:szCs w:val="28"/>
          <w:rtl/>
          <w14:ligatures w14:val="none"/>
        </w:rPr>
        <w:t xml:space="preserve">أنّ التحوّل نحو القرارات المبنية على البيانات والأدلة يُعدّ أحد أبرز متطلبات الحوكمة الذكية، بينما أشارت </w:t>
      </w:r>
      <w:r w:rsidRPr="004B2CD4">
        <w:rPr>
          <w:rFonts w:ascii="Simplified Arabic" w:eastAsia="Times New Roman" w:hAnsi="Simplified Arabic" w:cs="Simplified Arabic"/>
          <w:color w:val="000000" w:themeColor="text1"/>
          <w:kern w:val="0"/>
          <w:sz w:val="28"/>
          <w:szCs w:val="28"/>
          <w:rtl/>
          <w14:ligatures w14:val="none"/>
        </w:rPr>
        <w:lastRenderedPageBreak/>
        <w:t>دراسة</w:t>
      </w:r>
      <w:r w:rsidRPr="004B2CD4">
        <w:rPr>
          <w:rFonts w:ascii="Simplified Arabic" w:eastAsia="Times New Roman" w:hAnsi="Simplified Arabic" w:cs="Simplified Arabic"/>
          <w:color w:val="000000" w:themeColor="text1"/>
          <w:kern w:val="0"/>
          <w:sz w:val="28"/>
          <w:szCs w:val="28"/>
          <w14:ligatures w14:val="none"/>
        </w:rPr>
        <w:t xml:space="preserve"> Brandsma &amp; Meijer (2022) </w:t>
      </w:r>
      <w:r w:rsidRPr="004B2CD4">
        <w:rPr>
          <w:rFonts w:ascii="Simplified Arabic" w:eastAsia="Times New Roman" w:hAnsi="Simplified Arabic" w:cs="Simplified Arabic"/>
          <w:color w:val="000000" w:themeColor="text1"/>
          <w:kern w:val="0"/>
          <w:sz w:val="28"/>
          <w:szCs w:val="28"/>
          <w:rtl/>
          <w14:ligatures w14:val="none"/>
        </w:rPr>
        <w:t>إلى أنّ الشفافية في بيئة صنع القرار لا تتعارض مع الكفاءة بل قد تُعزّزها عبر إخضاع القرارات لمزيد من التدقيق والمراجعة</w:t>
      </w:r>
      <w:r w:rsidRPr="004B2CD4">
        <w:rPr>
          <w:rFonts w:ascii="Simplified Arabic" w:eastAsia="Times New Roman" w:hAnsi="Simplified Arabic" w:cs="Simplified Arabic"/>
          <w:color w:val="000000" w:themeColor="text1"/>
          <w:kern w:val="0"/>
          <w:sz w:val="28"/>
          <w:szCs w:val="28"/>
          <w14:ligatures w14:val="none"/>
        </w:rPr>
        <w:t>.</w:t>
      </w:r>
    </w:p>
    <w:p w14:paraId="222CEF4B" w14:textId="1B9ADC10"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025084"/>
      <w:proofErr w:type="gramStart"/>
      <w:r w:rsidRPr="004B2CD4">
        <w:rPr>
          <w:rFonts w:ascii="Simplified Arabic" w:eastAsia="Times New Roman" w:hAnsi="Simplified Arabic" w:cs="Simplified Arabic"/>
          <w:b/>
          <w:bCs/>
          <w:color w:val="000000" w:themeColor="text1"/>
          <w:kern w:val="0"/>
          <w:sz w:val="36"/>
          <w:szCs w:val="36"/>
          <w:rtl/>
          <w14:ligatures w14:val="none"/>
        </w:rPr>
        <w:t>10.1  مصطلحات</w:t>
      </w:r>
      <w:proofErr w:type="gramEnd"/>
      <w:r w:rsidRPr="004B2CD4">
        <w:rPr>
          <w:rFonts w:ascii="Simplified Arabic" w:eastAsia="Times New Roman" w:hAnsi="Simplified Arabic" w:cs="Simplified Arabic"/>
          <w:b/>
          <w:bCs/>
          <w:color w:val="000000" w:themeColor="text1"/>
          <w:kern w:val="0"/>
          <w:sz w:val="36"/>
          <w:szCs w:val="36"/>
          <w:rtl/>
          <w14:ligatures w14:val="none"/>
        </w:rPr>
        <w:t xml:space="preserve"> الدراسة</w:t>
      </w:r>
      <w:bookmarkEnd w:id="21"/>
    </w:p>
    <w:p w14:paraId="5D5EFCAC"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الحوكمة المؤسسية</w:t>
      </w:r>
      <w:r w:rsidRPr="004B2CD4">
        <w:rPr>
          <w:rFonts w:ascii="Simplified Arabic" w:eastAsia="Times New Roman" w:hAnsi="Simplified Arabic" w:cs="Simplified Arabic"/>
          <w:b/>
          <w:bCs/>
          <w:color w:val="000000" w:themeColor="text1"/>
          <w:kern w:val="0"/>
          <w:sz w:val="28"/>
          <w:szCs w:val="28"/>
          <w14:ligatures w14:val="none"/>
        </w:rPr>
        <w:t xml:space="preserve"> (Institutional Governance):</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منظومة من المبادئ والقواعد والإجراءات التي تُنظّم إدارة المؤسسات الحكومية وتضبط العلاقة بين أصحاب المصلحة، بهدف تحقيق الكفاءة والنزاهة والمساءلة. وتُعرّف إجرائياً في هذه الدراسة بأنّها الدرجة التي يحصل عليها أفراد العينة على فقرات محور الحوكمة المؤسسية بأبعاده الأربعة في أداة الدراسة</w:t>
      </w:r>
      <w:r w:rsidRPr="004B2CD4">
        <w:rPr>
          <w:rFonts w:ascii="Simplified Arabic" w:eastAsia="Times New Roman" w:hAnsi="Simplified Arabic" w:cs="Simplified Arabic"/>
          <w:color w:val="000000" w:themeColor="text1"/>
          <w:kern w:val="0"/>
          <w:sz w:val="28"/>
          <w:szCs w:val="28"/>
          <w14:ligatures w14:val="none"/>
        </w:rPr>
        <w:t>.</w:t>
      </w:r>
    </w:p>
    <w:p w14:paraId="201035EB"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الشفافية</w:t>
      </w:r>
      <w:r w:rsidRPr="004B2CD4">
        <w:rPr>
          <w:rFonts w:ascii="Simplified Arabic" w:eastAsia="Times New Roman" w:hAnsi="Simplified Arabic" w:cs="Simplified Arabic"/>
          <w:b/>
          <w:bCs/>
          <w:color w:val="000000" w:themeColor="text1"/>
          <w:kern w:val="0"/>
          <w:sz w:val="28"/>
          <w:szCs w:val="28"/>
          <w14:ligatures w14:val="none"/>
        </w:rPr>
        <w:t xml:space="preserve"> (Transparency):</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إتاحة المعلومات والبيانات المتعلّقة بالعمليات الإدارية والقرارات والسياسات لجميع الأطراف المعنية في الوقت المناسب وبشكل واضح ودقيق، بما يُمكّنهم من التقييم والمتابعة. وتُقاس إجرائياً بالدرجة المتحصّلة على فقرات بُعد الشفافية في الاستبانة</w:t>
      </w:r>
      <w:r w:rsidRPr="004B2CD4">
        <w:rPr>
          <w:rFonts w:ascii="Simplified Arabic" w:eastAsia="Times New Roman" w:hAnsi="Simplified Arabic" w:cs="Simplified Arabic"/>
          <w:color w:val="000000" w:themeColor="text1"/>
          <w:kern w:val="0"/>
          <w:sz w:val="28"/>
          <w:szCs w:val="28"/>
          <w14:ligatures w14:val="none"/>
        </w:rPr>
        <w:t>.</w:t>
      </w:r>
    </w:p>
    <w:p w14:paraId="28F12D46"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المساءلة</w:t>
      </w:r>
      <w:r w:rsidRPr="004B2CD4">
        <w:rPr>
          <w:rFonts w:ascii="Simplified Arabic" w:eastAsia="Times New Roman" w:hAnsi="Simplified Arabic" w:cs="Simplified Arabic"/>
          <w:b/>
          <w:bCs/>
          <w:color w:val="000000" w:themeColor="text1"/>
          <w:kern w:val="0"/>
          <w:sz w:val="28"/>
          <w:szCs w:val="28"/>
          <w14:ligatures w14:val="none"/>
        </w:rPr>
        <w:t xml:space="preserve"> (Accountability):</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الالتزام بتقديم تفسيرات ومبرّرات للقرارات والأفعال الإدارية أمام الجهات المعنية، وتحمّل المسؤولية عن النتائج، وخضوع صانعي القرار للمحاسبة وفق معايير أداء محدّدة وواضحة. وتُقاس إجرائياً بالدرجة المتحصّلة على فقرات بُعد المساءلة في الاستبانة</w:t>
      </w:r>
      <w:r w:rsidRPr="004B2CD4">
        <w:rPr>
          <w:rFonts w:ascii="Simplified Arabic" w:eastAsia="Times New Roman" w:hAnsi="Simplified Arabic" w:cs="Simplified Arabic"/>
          <w:color w:val="000000" w:themeColor="text1"/>
          <w:kern w:val="0"/>
          <w:sz w:val="28"/>
          <w:szCs w:val="28"/>
          <w14:ligatures w14:val="none"/>
        </w:rPr>
        <w:t>.</w:t>
      </w:r>
    </w:p>
    <w:p w14:paraId="4762930C"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المشاركة في صنع القرار</w:t>
      </w:r>
      <w:r w:rsidRPr="004B2CD4">
        <w:rPr>
          <w:rFonts w:ascii="Simplified Arabic" w:eastAsia="Times New Roman" w:hAnsi="Simplified Arabic" w:cs="Simplified Arabic"/>
          <w:b/>
          <w:bCs/>
          <w:color w:val="000000" w:themeColor="text1"/>
          <w:kern w:val="0"/>
          <w:sz w:val="28"/>
          <w:szCs w:val="28"/>
          <w14:ligatures w14:val="none"/>
        </w:rPr>
        <w:t xml:space="preserve"> (Participatory Decision-Making):</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إشراك العاملين في المستويات الإدارية المختلفة وأصحاب المصلحة في عمليات صنع القرار الإداري عبر آليات منظّمة تكفل تعدّد وجهات النظر وثراء المدخلات وتعزيز الالتزام بالتنفيذ. وتُقاس إجرائياً بالدرجة المتحصّلة على فقرات بُعد المشاركة في الاستبانة</w:t>
      </w:r>
      <w:r w:rsidRPr="004B2CD4">
        <w:rPr>
          <w:rFonts w:ascii="Simplified Arabic" w:eastAsia="Times New Roman" w:hAnsi="Simplified Arabic" w:cs="Simplified Arabic"/>
          <w:color w:val="000000" w:themeColor="text1"/>
          <w:kern w:val="0"/>
          <w:sz w:val="28"/>
          <w:szCs w:val="28"/>
          <w14:ligatures w14:val="none"/>
        </w:rPr>
        <w:t>.</w:t>
      </w:r>
    </w:p>
    <w:p w14:paraId="2BB00B2D"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سيادة القانون</w:t>
      </w:r>
      <w:r w:rsidRPr="004B2CD4">
        <w:rPr>
          <w:rFonts w:ascii="Simplified Arabic" w:eastAsia="Times New Roman" w:hAnsi="Simplified Arabic" w:cs="Simplified Arabic"/>
          <w:b/>
          <w:bCs/>
          <w:color w:val="000000" w:themeColor="text1"/>
          <w:kern w:val="0"/>
          <w:sz w:val="28"/>
          <w:szCs w:val="28"/>
          <w14:ligatures w14:val="none"/>
        </w:rPr>
        <w:t xml:space="preserve"> (Rule of Law):</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خضوع جميع الأفراد والمؤسسات للأنظمة والتشريعات واللوائح دون تمييز، وتطبيقها بعدالة واتّساق، بما يضمن حماية الحقوق وتحديد الواجبات ومنع التعسّف في استخدام السلطة. وتُقاس إجرائياً بالدرجة المتحصّلة على فقرات بُعد سيادة القانون في الاستبانة</w:t>
      </w:r>
      <w:r w:rsidRPr="004B2CD4">
        <w:rPr>
          <w:rFonts w:ascii="Simplified Arabic" w:eastAsia="Times New Roman" w:hAnsi="Simplified Arabic" w:cs="Simplified Arabic"/>
          <w:color w:val="000000" w:themeColor="text1"/>
          <w:kern w:val="0"/>
          <w:sz w:val="28"/>
          <w:szCs w:val="28"/>
          <w14:ligatures w14:val="none"/>
        </w:rPr>
        <w:t>.</w:t>
      </w:r>
    </w:p>
    <w:p w14:paraId="1BA992B2" w14:textId="77777777" w:rsidR="00BD2251" w:rsidRPr="004B2CD4" w:rsidRDefault="00BD2251" w:rsidP="004B2CD4">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كفاءة اتخاذ القرارات الإدارية</w:t>
      </w:r>
      <w:r w:rsidRPr="004B2CD4">
        <w:rPr>
          <w:rFonts w:ascii="Simplified Arabic" w:eastAsia="Times New Roman" w:hAnsi="Simplified Arabic" w:cs="Simplified Arabic"/>
          <w:b/>
          <w:bCs/>
          <w:color w:val="000000" w:themeColor="text1"/>
          <w:kern w:val="0"/>
          <w:sz w:val="28"/>
          <w:szCs w:val="28"/>
          <w14:ligatures w14:val="none"/>
        </w:rPr>
        <w:t xml:space="preserve"> (Administrative Decision-Making Efficiency):</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قدرة المنظمة على إنتاج قرارات إدارية تتّسم بالجودة والرشد والتوقيت المناسب والقبول التنظيمي، مع تحقيق أفضل النتائج الممكنة بأقلّ استنزاف للموارد والوقت. وتُعرّف إجرائياً بالدرجة التي يحصل عليها أفراد العينة على فقرات محور كفاءة اتخاذ القرارات الإدارية في أداة الدراسة</w:t>
      </w:r>
      <w:r w:rsidRPr="004B2CD4">
        <w:rPr>
          <w:rFonts w:ascii="Simplified Arabic" w:eastAsia="Times New Roman" w:hAnsi="Simplified Arabic" w:cs="Simplified Arabic"/>
          <w:color w:val="000000" w:themeColor="text1"/>
          <w:kern w:val="0"/>
          <w:sz w:val="28"/>
          <w:szCs w:val="28"/>
          <w14:ligatures w14:val="none"/>
        </w:rPr>
        <w:t>.</w:t>
      </w:r>
    </w:p>
    <w:p w14:paraId="5FFA737F" w14:textId="4941D125"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025085"/>
      <w:bookmarkStart w:id="23" w:name="_Toc169790506"/>
      <w:bookmarkEnd w:id="19"/>
      <w:r w:rsidRPr="004B2CD4">
        <w:rPr>
          <w:rFonts w:ascii="Simplified Arabic" w:eastAsia="Times New Roman" w:hAnsi="Simplified Arabic" w:cs="Simplified Arabic"/>
          <w:b/>
          <w:bCs/>
          <w:color w:val="000000" w:themeColor="text1"/>
          <w:kern w:val="0"/>
          <w:sz w:val="36"/>
          <w:szCs w:val="36"/>
          <w:rtl/>
          <w14:ligatures w14:val="none"/>
        </w:rPr>
        <w:t>11.1 المنهجية وطرق البحث:</w:t>
      </w:r>
      <w:bookmarkEnd w:id="22"/>
    </w:p>
    <w:p w14:paraId="350135EB"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ستعتمد هذه الدراسة على المنهج الوصفي التحليلي بوصفه المنهج الأنسب لطبيعة الدراسة وأهدافها، إذ يُتيح وصف الظاهرة المدروسة — أثر الحوكمة المؤسسية على كفاءة اتخاذ القرارات الإدارية</w:t>
      </w:r>
      <w:r w:rsidRPr="004B2CD4">
        <w:rPr>
          <w:rFonts w:ascii="Simplified Arabic" w:eastAsia="Times New Roman" w:hAnsi="Simplified Arabic" w:cs="Simplified Arabic"/>
          <w:color w:val="000000" w:themeColor="text1"/>
          <w:kern w:val="0"/>
          <w:sz w:val="28"/>
          <w:szCs w:val="28"/>
          <w14:ligatures w14:val="none"/>
        </w:rPr>
        <w:t xml:space="preserve"> — </w:t>
      </w:r>
      <w:r w:rsidRPr="004B2CD4">
        <w:rPr>
          <w:rFonts w:ascii="Simplified Arabic" w:eastAsia="Times New Roman" w:hAnsi="Simplified Arabic" w:cs="Simplified Arabic"/>
          <w:color w:val="000000" w:themeColor="text1"/>
          <w:kern w:val="0"/>
          <w:sz w:val="28"/>
          <w:szCs w:val="28"/>
          <w:rtl/>
          <w14:ligatures w14:val="none"/>
        </w:rPr>
        <w:t>وصفاً دقيقاً كمّياً وكيفياً، ولا يقتصر على جمع البيانات بل يمتدّ إلى تحليلها وتفسيرها واستخلاص النتائج والدلالات منها. ويُعدّ هذا المنهج من أكثر المناهج استخداماً في الدراسات الإدارية والتنظيمية لقدرته على الكشف عن العلاقات والأثر بين المتغيرات في بيئتها الطبيعية دون تدخّل الباحث فيها</w:t>
      </w:r>
      <w:r w:rsidRPr="004B2CD4">
        <w:rPr>
          <w:rFonts w:ascii="Simplified Arabic" w:eastAsia="Times New Roman" w:hAnsi="Simplified Arabic" w:cs="Simplified Arabic"/>
          <w:color w:val="000000" w:themeColor="text1"/>
          <w:kern w:val="0"/>
          <w:sz w:val="28"/>
          <w:szCs w:val="28"/>
          <w14:ligatures w14:val="none"/>
        </w:rPr>
        <w:t>.</w:t>
      </w:r>
    </w:p>
    <w:p w14:paraId="2913CB16" w14:textId="0E77F624"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وسيتضمّن الجانب الوصفي رصد واقع تطبيق الحوكمة المؤسسية بأبعادها (الشفافية، المساءلة، المشاركة في صنع القرار، سيادة القانون) ومستوى كفاءة اتخاذ القرارات الإدارية في الجهات الحكومية السعودية، بينما سيتناول الجانب التحليلي اختبار العلاقات السببية والارتباطية بين المتغير المستقل وأبعاده والمتغير التابع، واختبار فروض الدراسة إحصائياً عند مستوى الدلالة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Cambria" w:eastAsia="Times New Roman" w:hAnsi="Cambria" w:cs="Cambria"/>
          <w:color w:val="000000" w:themeColor="text1"/>
          <w:kern w:val="0"/>
          <w:sz w:val="28"/>
          <w:szCs w:val="28"/>
          <w14:ligatures w14:val="none"/>
        </w:rPr>
        <w:t>α</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Times New Roman" w:eastAsia="Times New Roman" w:hAnsi="Times New Roman" w:cs="Times New Roman"/>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0.05)</w:t>
      </w:r>
      <w:r w:rsidRPr="004B2CD4">
        <w:rPr>
          <w:rFonts w:ascii="Simplified Arabic" w:eastAsia="Times New Roman" w:hAnsi="Simplified Arabic" w:cs="Simplified Arabic"/>
          <w:color w:val="000000" w:themeColor="text1"/>
          <w:kern w:val="0"/>
          <w:sz w:val="28"/>
          <w:szCs w:val="28"/>
          <w:rtl/>
          <w14:ligatures w14:val="none"/>
        </w:rPr>
        <w:t>، بالاستناد إلى البيانات الأولية التي سيتمّ جمعها ميدانياً عبر أداة الاستبانة</w:t>
      </w:r>
      <w:r w:rsidRPr="004B2CD4">
        <w:rPr>
          <w:rFonts w:ascii="Simplified Arabic" w:eastAsia="Times New Roman" w:hAnsi="Simplified Arabic" w:cs="Simplified Arabic"/>
          <w:color w:val="000000" w:themeColor="text1"/>
          <w:kern w:val="0"/>
          <w:sz w:val="28"/>
          <w:szCs w:val="28"/>
          <w14:ligatures w14:val="none"/>
        </w:rPr>
        <w:t>.</w:t>
      </w:r>
    </w:p>
    <w:p w14:paraId="36857331" w14:textId="1811C451"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025086"/>
      <w:proofErr w:type="gramStart"/>
      <w:r w:rsidRPr="004B2CD4">
        <w:rPr>
          <w:rFonts w:ascii="Simplified Arabic" w:eastAsia="Times New Roman" w:hAnsi="Simplified Arabic" w:cs="Simplified Arabic"/>
          <w:b/>
          <w:bCs/>
          <w:color w:val="000000" w:themeColor="text1"/>
          <w:kern w:val="0"/>
          <w:sz w:val="36"/>
          <w:szCs w:val="36"/>
          <w:rtl/>
          <w14:ligatures w14:val="none"/>
        </w:rPr>
        <w:t>12.1  مجتمع</w:t>
      </w:r>
      <w:proofErr w:type="gramEnd"/>
      <w:r w:rsidRPr="004B2CD4">
        <w:rPr>
          <w:rFonts w:ascii="Simplified Arabic" w:eastAsia="Times New Roman" w:hAnsi="Simplified Arabic" w:cs="Simplified Arabic"/>
          <w:b/>
          <w:bCs/>
          <w:color w:val="000000" w:themeColor="text1"/>
          <w:kern w:val="0"/>
          <w:sz w:val="36"/>
          <w:szCs w:val="36"/>
          <w:rtl/>
          <w14:ligatures w14:val="none"/>
        </w:rPr>
        <w:t xml:space="preserve"> وعينة الدراسة</w:t>
      </w:r>
      <w:bookmarkEnd w:id="24"/>
    </w:p>
    <w:p w14:paraId="26876159"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المستويات الإدارية (الإشرافية والوسطى والعليا) في الجهات الحكومية بمدينة الرياض، والبالغ عددهم ما يقارب</w:t>
      </w:r>
      <w:r w:rsidRPr="004B2CD4">
        <w:rPr>
          <w:rFonts w:ascii="Simplified Arabic" w:eastAsia="Times New Roman" w:hAnsi="Simplified Arabic" w:cs="Simplified Arabic"/>
          <w:color w:val="000000" w:themeColor="text1"/>
          <w:kern w:val="0"/>
          <w:sz w:val="28"/>
          <w:szCs w:val="28"/>
          <w14:ligatures w14:val="none"/>
        </w:rPr>
        <w:t xml:space="preserve"> (4,200) </w:t>
      </w:r>
      <w:r w:rsidRPr="004B2CD4">
        <w:rPr>
          <w:rFonts w:ascii="Simplified Arabic" w:eastAsia="Times New Roman" w:hAnsi="Simplified Arabic" w:cs="Simplified Arabic"/>
          <w:color w:val="000000" w:themeColor="text1"/>
          <w:kern w:val="0"/>
          <w:sz w:val="28"/>
          <w:szCs w:val="28"/>
          <w:rtl/>
          <w14:ligatures w14:val="none"/>
        </w:rPr>
        <w:t>موظف وموظفة وفقاً لأحدث البيانات المتوفرة من وزارة الموارد البشرية والتنمية الاجتماعية. وقد تمّ اختيار هذا المجتمع لكونه يُمثّل شريحة صنّاع القرار والمشاركين فيه بشكل مباشر، وهم الأقدر على تقييم واقع الحوكمة وأثرها على كفاءة القرارات الإدارية</w:t>
      </w:r>
      <w:r w:rsidRPr="004B2CD4">
        <w:rPr>
          <w:rFonts w:ascii="Simplified Arabic" w:eastAsia="Times New Roman" w:hAnsi="Simplified Arabic" w:cs="Simplified Arabic"/>
          <w:color w:val="000000" w:themeColor="text1"/>
          <w:kern w:val="0"/>
          <w:sz w:val="28"/>
          <w:szCs w:val="28"/>
          <w14:ligatures w14:val="none"/>
        </w:rPr>
        <w:t>.</w:t>
      </w:r>
    </w:p>
    <w:p w14:paraId="65E1A236" w14:textId="181B6B5D"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وستعتمد الدراسة أسلوب العينة العشوائية الطبقية التناسبية لضمان تمثيل المستويات الإدارية الثلاثة بشكل متوازن، وسيتمّ تحديد حجم العينة وفقاً لجدول </w:t>
      </w:r>
      <w:proofErr w:type="spellStart"/>
      <w:r w:rsidRPr="004B2CD4">
        <w:rPr>
          <w:rFonts w:ascii="Simplified Arabic" w:eastAsia="Times New Roman" w:hAnsi="Simplified Arabic" w:cs="Simplified Arabic"/>
          <w:color w:val="000000" w:themeColor="text1"/>
          <w:kern w:val="0"/>
          <w:sz w:val="28"/>
          <w:szCs w:val="28"/>
          <w14:ligatures w14:val="none"/>
        </w:rPr>
        <w:t>Krejcie</w:t>
      </w:r>
      <w:proofErr w:type="spellEnd"/>
      <w:r w:rsidRPr="004B2CD4">
        <w:rPr>
          <w:rFonts w:ascii="Simplified Arabic" w:eastAsia="Times New Roman" w:hAnsi="Simplified Arabic" w:cs="Simplified Arabic"/>
          <w:color w:val="000000" w:themeColor="text1"/>
          <w:kern w:val="0"/>
          <w:sz w:val="28"/>
          <w:szCs w:val="28"/>
          <w14:ligatures w14:val="none"/>
        </w:rPr>
        <w:t xml:space="preserve"> &amp; Morgan (1970) </w:t>
      </w:r>
      <w:r w:rsidRPr="004B2CD4">
        <w:rPr>
          <w:rFonts w:ascii="Simplified Arabic" w:eastAsia="Times New Roman" w:hAnsi="Simplified Arabic" w:cs="Simplified Arabic"/>
          <w:color w:val="000000" w:themeColor="text1"/>
          <w:kern w:val="0"/>
          <w:sz w:val="28"/>
          <w:szCs w:val="28"/>
          <w:rtl/>
          <w14:ligatures w14:val="none"/>
        </w:rPr>
        <w:t>بحيث تبلغ</w:t>
      </w:r>
      <w:r w:rsidRPr="004B2CD4">
        <w:rPr>
          <w:rFonts w:ascii="Simplified Arabic" w:eastAsia="Times New Roman" w:hAnsi="Simplified Arabic" w:cs="Simplified Arabic"/>
          <w:color w:val="000000" w:themeColor="text1"/>
          <w:kern w:val="0"/>
          <w:sz w:val="28"/>
          <w:szCs w:val="28"/>
          <w14:ligatures w14:val="none"/>
        </w:rPr>
        <w:t xml:space="preserve"> (352) </w:t>
      </w:r>
      <w:r w:rsidRPr="004B2CD4">
        <w:rPr>
          <w:rFonts w:ascii="Simplified Arabic" w:eastAsia="Times New Roman" w:hAnsi="Simplified Arabic" w:cs="Simplified Arabic"/>
          <w:color w:val="000000" w:themeColor="text1"/>
          <w:kern w:val="0"/>
          <w:sz w:val="28"/>
          <w:szCs w:val="28"/>
          <w:rtl/>
          <w14:ligatures w14:val="none"/>
        </w:rPr>
        <w:t>مفردة عند مستوى ثقة 95% وهامش خطأ 5%، مع توزيع</w:t>
      </w:r>
      <w:r w:rsidRPr="004B2CD4">
        <w:rPr>
          <w:rFonts w:ascii="Simplified Arabic" w:eastAsia="Times New Roman" w:hAnsi="Simplified Arabic" w:cs="Simplified Arabic"/>
          <w:color w:val="000000" w:themeColor="text1"/>
          <w:kern w:val="0"/>
          <w:sz w:val="28"/>
          <w:szCs w:val="28"/>
          <w14:ligatures w14:val="none"/>
        </w:rPr>
        <w:t xml:space="preserve"> (120) </w:t>
      </w:r>
      <w:r w:rsidRPr="004B2CD4">
        <w:rPr>
          <w:rFonts w:ascii="Simplified Arabic" w:eastAsia="Times New Roman" w:hAnsi="Simplified Arabic" w:cs="Simplified Arabic"/>
          <w:color w:val="000000" w:themeColor="text1"/>
          <w:kern w:val="0"/>
          <w:sz w:val="28"/>
          <w:szCs w:val="28"/>
          <w:rtl/>
          <w14:ligatures w14:val="none"/>
        </w:rPr>
        <w:t>استبانة على الإدارة العليا و</w:t>
      </w:r>
      <w:r w:rsidRPr="004B2CD4">
        <w:rPr>
          <w:rFonts w:ascii="Simplified Arabic" w:eastAsia="Times New Roman" w:hAnsi="Simplified Arabic" w:cs="Simplified Arabic"/>
          <w:color w:val="000000" w:themeColor="text1"/>
          <w:kern w:val="0"/>
          <w:sz w:val="28"/>
          <w:szCs w:val="28"/>
          <w14:ligatures w14:val="none"/>
        </w:rPr>
        <w:t xml:space="preserve">(120) </w:t>
      </w:r>
      <w:r w:rsidRPr="004B2CD4">
        <w:rPr>
          <w:rFonts w:ascii="Simplified Arabic" w:eastAsia="Times New Roman" w:hAnsi="Simplified Arabic" w:cs="Simplified Arabic"/>
          <w:color w:val="000000" w:themeColor="text1"/>
          <w:kern w:val="0"/>
          <w:sz w:val="28"/>
          <w:szCs w:val="28"/>
          <w:rtl/>
          <w14:ligatures w14:val="none"/>
        </w:rPr>
        <w:t>على الإدارة الوسطى و</w:t>
      </w:r>
      <w:r w:rsidRPr="004B2CD4">
        <w:rPr>
          <w:rFonts w:ascii="Simplified Arabic" w:eastAsia="Times New Roman" w:hAnsi="Simplified Arabic" w:cs="Simplified Arabic"/>
          <w:color w:val="000000" w:themeColor="text1"/>
          <w:kern w:val="0"/>
          <w:sz w:val="28"/>
          <w:szCs w:val="28"/>
          <w14:ligatures w14:val="none"/>
        </w:rPr>
        <w:t xml:space="preserve">(112) </w:t>
      </w:r>
      <w:r w:rsidRPr="004B2CD4">
        <w:rPr>
          <w:rFonts w:ascii="Simplified Arabic" w:eastAsia="Times New Roman" w:hAnsi="Simplified Arabic" w:cs="Simplified Arabic"/>
          <w:color w:val="000000" w:themeColor="text1"/>
          <w:kern w:val="0"/>
          <w:sz w:val="28"/>
          <w:szCs w:val="28"/>
          <w:rtl/>
          <w14:ligatures w14:val="none"/>
        </w:rPr>
        <w:t>على الإدارة الإشرافية، وسيتمّ إضافة نسبة احتياطية قدرها 10% (أي</w:t>
      </w:r>
      <w:r w:rsidRPr="004B2CD4">
        <w:rPr>
          <w:rFonts w:ascii="Simplified Arabic" w:eastAsia="Times New Roman" w:hAnsi="Simplified Arabic" w:cs="Simplified Arabic"/>
          <w:color w:val="000000" w:themeColor="text1"/>
          <w:kern w:val="0"/>
          <w:sz w:val="28"/>
          <w:szCs w:val="28"/>
          <w14:ligatures w14:val="none"/>
        </w:rPr>
        <w:t xml:space="preserve"> (36) </w:t>
      </w:r>
      <w:r w:rsidRPr="004B2CD4">
        <w:rPr>
          <w:rFonts w:ascii="Simplified Arabic" w:eastAsia="Times New Roman" w:hAnsi="Simplified Arabic" w:cs="Simplified Arabic"/>
          <w:color w:val="000000" w:themeColor="text1"/>
          <w:kern w:val="0"/>
          <w:sz w:val="28"/>
          <w:szCs w:val="28"/>
          <w:rtl/>
          <w14:ligatures w14:val="none"/>
        </w:rPr>
        <w:t>استبانة إضافية) لتعويض الفاقد المتوقع، ليصل إجمالي الاستبانات الموزّعة إلى</w:t>
      </w:r>
      <w:r w:rsidRPr="004B2CD4">
        <w:rPr>
          <w:rFonts w:ascii="Simplified Arabic" w:eastAsia="Times New Roman" w:hAnsi="Simplified Arabic" w:cs="Simplified Arabic"/>
          <w:color w:val="000000" w:themeColor="text1"/>
          <w:kern w:val="0"/>
          <w:sz w:val="28"/>
          <w:szCs w:val="28"/>
          <w14:ligatures w14:val="none"/>
        </w:rPr>
        <w:t xml:space="preserve"> (388) </w:t>
      </w:r>
      <w:r w:rsidRPr="004B2CD4">
        <w:rPr>
          <w:rFonts w:ascii="Simplified Arabic" w:eastAsia="Times New Roman" w:hAnsi="Simplified Arabic" w:cs="Simplified Arabic"/>
          <w:color w:val="000000" w:themeColor="text1"/>
          <w:kern w:val="0"/>
          <w:sz w:val="28"/>
          <w:szCs w:val="28"/>
          <w:rtl/>
          <w14:ligatures w14:val="none"/>
        </w:rPr>
        <w:t>استبانة</w:t>
      </w:r>
      <w:r w:rsidRPr="004B2CD4">
        <w:rPr>
          <w:rFonts w:ascii="Simplified Arabic" w:eastAsia="Times New Roman" w:hAnsi="Simplified Arabic" w:cs="Simplified Arabic"/>
          <w:color w:val="000000" w:themeColor="text1"/>
          <w:kern w:val="0"/>
          <w:sz w:val="28"/>
          <w:szCs w:val="28"/>
          <w14:ligatures w14:val="none"/>
        </w:rPr>
        <w:t>.</w:t>
      </w:r>
    </w:p>
    <w:p w14:paraId="0DE4333B" w14:textId="02460C43"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025087"/>
      <w:r w:rsidRPr="004B2CD4">
        <w:rPr>
          <w:rFonts w:ascii="Simplified Arabic" w:eastAsia="Times New Roman" w:hAnsi="Simplified Arabic" w:cs="Simplified Arabic"/>
          <w:b/>
          <w:bCs/>
          <w:color w:val="000000" w:themeColor="text1"/>
          <w:kern w:val="0"/>
          <w:sz w:val="36"/>
          <w:szCs w:val="36"/>
          <w:rtl/>
          <w14:ligatures w14:val="none"/>
        </w:rPr>
        <w:t>13.1 مصادر جمع البيانات</w:t>
      </w:r>
      <w:bookmarkEnd w:id="25"/>
    </w:p>
    <w:p w14:paraId="7F674BFB"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4B2CD4">
        <w:rPr>
          <w:rFonts w:ascii="Simplified Arabic" w:eastAsia="Times New Roman" w:hAnsi="Simplified Arabic" w:cs="Simplified Arabic"/>
          <w:b/>
          <w:bCs/>
          <w:color w:val="000000" w:themeColor="text1"/>
          <w:kern w:val="0"/>
          <w:sz w:val="28"/>
          <w:szCs w:val="28"/>
          <w14:ligatures w14:val="none"/>
        </w:rPr>
        <w:t>:</w:t>
      </w:r>
    </w:p>
    <w:p w14:paraId="38DADD96" w14:textId="77777777" w:rsidR="00BD2251" w:rsidRPr="004B2CD4" w:rsidRDefault="00BD2251" w:rsidP="004B2CD4">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lastRenderedPageBreak/>
        <w:t>المصادر الثانوية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الحكومية الرسمية، وقواعد البيانات الإلكترونية، وذلك لبناء الإطار النظري للدراسة ومراجعة الدراسات السابقة ذات الصلة</w:t>
      </w:r>
      <w:r w:rsidRPr="004B2CD4">
        <w:rPr>
          <w:rFonts w:ascii="Simplified Arabic" w:eastAsia="Times New Roman" w:hAnsi="Simplified Arabic" w:cs="Simplified Arabic"/>
          <w:color w:val="000000" w:themeColor="text1"/>
          <w:kern w:val="0"/>
          <w:sz w:val="28"/>
          <w:szCs w:val="28"/>
          <w14:ligatures w14:val="none"/>
        </w:rPr>
        <w:t>.</w:t>
      </w:r>
    </w:p>
    <w:p w14:paraId="4FA72BBA" w14:textId="69174F07" w:rsidR="00BD2251" w:rsidRPr="004B2CD4" w:rsidRDefault="00BD2251" w:rsidP="004B2CD4">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المصادر الأولية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عبر أداة الاستبانة المصمّمة خصيصاً لأغراض هذه الدراسة، والتي ستُوزَّع إلكترونياً وورقياً لضمان أعلى نسبة استجابة ممكنة</w:t>
      </w:r>
      <w:r w:rsidRPr="004B2CD4">
        <w:rPr>
          <w:rFonts w:ascii="Simplified Arabic" w:eastAsia="Times New Roman" w:hAnsi="Simplified Arabic" w:cs="Simplified Arabic"/>
          <w:color w:val="000000" w:themeColor="text1"/>
          <w:kern w:val="0"/>
          <w:sz w:val="28"/>
          <w:szCs w:val="28"/>
          <w14:ligatures w14:val="none"/>
        </w:rPr>
        <w:t>.</w:t>
      </w:r>
    </w:p>
    <w:p w14:paraId="12849CE8" w14:textId="5652C566"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025088"/>
      <w:proofErr w:type="gramStart"/>
      <w:r w:rsidRPr="004B2CD4">
        <w:rPr>
          <w:rFonts w:ascii="Simplified Arabic" w:eastAsia="Times New Roman" w:hAnsi="Simplified Arabic" w:cs="Simplified Arabic"/>
          <w:b/>
          <w:bCs/>
          <w:color w:val="000000" w:themeColor="text1"/>
          <w:kern w:val="0"/>
          <w:sz w:val="36"/>
          <w:szCs w:val="36"/>
          <w:rtl/>
          <w14:ligatures w14:val="none"/>
        </w:rPr>
        <w:t>14.1  أداة</w:t>
      </w:r>
      <w:proofErr w:type="gramEnd"/>
      <w:r w:rsidRPr="004B2CD4">
        <w:rPr>
          <w:rFonts w:ascii="Simplified Arabic" w:eastAsia="Times New Roman" w:hAnsi="Simplified Arabic" w:cs="Simplified Arabic"/>
          <w:b/>
          <w:bCs/>
          <w:color w:val="000000" w:themeColor="text1"/>
          <w:kern w:val="0"/>
          <w:sz w:val="36"/>
          <w:szCs w:val="36"/>
          <w:rtl/>
          <w14:ligatures w14:val="none"/>
        </w:rPr>
        <w:t xml:space="preserve"> الدراسة (الاستبانة)</w:t>
      </w:r>
      <w:bookmarkEnd w:id="26"/>
    </w:p>
    <w:p w14:paraId="0CE7D6A2" w14:textId="77777777" w:rsidR="00BD2251" w:rsidRPr="004B2CD4" w:rsidRDefault="00BD2251"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ستتكوّن الاستبانة من ثلاثة أقسام رئيسية على النحو التالي</w:t>
      </w:r>
      <w:r w:rsidRPr="004B2CD4">
        <w:rPr>
          <w:rFonts w:ascii="Simplified Arabic" w:eastAsia="Times New Roman" w:hAnsi="Simplified Arabic" w:cs="Simplified Arabic"/>
          <w:b/>
          <w:bCs/>
          <w:color w:val="000000" w:themeColor="text1"/>
          <w:kern w:val="0"/>
          <w:sz w:val="28"/>
          <w:szCs w:val="28"/>
          <w14:ligatures w14:val="none"/>
        </w:rPr>
        <w:t>:</w:t>
      </w:r>
    </w:p>
    <w:p w14:paraId="3521B688" w14:textId="5E870A52"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القسم الأول — البيانات الديموغرافية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ويتضمّن</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أسئلة تتعلّق بالمتغيرات الشخصية والوظيفية (الجنس، المؤهل العلمي، سنوات الخبرة، المستوى الإداري).</w:t>
      </w:r>
    </w:p>
    <w:p w14:paraId="6964434A"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القسم الثاني — المتغير المستقل (الحوكمة المؤسسية)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ويتكوّن من</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16</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فقرة موزّعة على أربعة أبعاد، بواقع</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 لكل بُعد</w:t>
      </w:r>
      <w:r w:rsidRPr="004B2CD4">
        <w:rPr>
          <w:rFonts w:ascii="Simplified Arabic" w:eastAsia="Times New Roman" w:hAnsi="Simplified Arabic" w:cs="Simplified Arabic"/>
          <w:color w:val="000000" w:themeColor="text1"/>
          <w:kern w:val="0"/>
          <w:sz w:val="28"/>
          <w:szCs w:val="28"/>
          <w14:ligatures w14:val="none"/>
        </w:rPr>
        <w:t>:</w:t>
      </w:r>
    </w:p>
    <w:p w14:paraId="46765D73" w14:textId="77777777" w:rsidR="00BD2251" w:rsidRPr="004B2CD4" w:rsidRDefault="00BD2251" w:rsidP="004B2CD4">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بُعد الشفافية</w:t>
      </w:r>
      <w:r w:rsidRPr="004B2CD4">
        <w:rPr>
          <w:rFonts w:ascii="Simplified Arabic" w:eastAsia="Times New Roman" w:hAnsi="Simplified Arabic" w:cs="Simplified Arabic"/>
          <w:color w:val="000000" w:themeColor="text1"/>
          <w:kern w:val="0"/>
          <w:sz w:val="28"/>
          <w:szCs w:val="28"/>
          <w14:ligatures w14:val="none"/>
        </w:rPr>
        <w:t>: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w:t>
      </w:r>
    </w:p>
    <w:p w14:paraId="45EBF060" w14:textId="77777777" w:rsidR="00BD2251" w:rsidRPr="004B2CD4" w:rsidRDefault="00BD2251" w:rsidP="004B2CD4">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بُعد المساءلة</w:t>
      </w:r>
      <w:r w:rsidRPr="004B2CD4">
        <w:rPr>
          <w:rFonts w:ascii="Simplified Arabic" w:eastAsia="Times New Roman" w:hAnsi="Simplified Arabic" w:cs="Simplified Arabic"/>
          <w:color w:val="000000" w:themeColor="text1"/>
          <w:kern w:val="0"/>
          <w:sz w:val="28"/>
          <w:szCs w:val="28"/>
          <w14:ligatures w14:val="none"/>
        </w:rPr>
        <w:t>: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w:t>
      </w:r>
    </w:p>
    <w:p w14:paraId="0771666C" w14:textId="77777777" w:rsidR="00BD2251" w:rsidRPr="004B2CD4" w:rsidRDefault="00BD2251" w:rsidP="004B2CD4">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بُعد المشاركة في صنع القرار</w:t>
      </w:r>
      <w:r w:rsidRPr="004B2CD4">
        <w:rPr>
          <w:rFonts w:ascii="Simplified Arabic" w:eastAsia="Times New Roman" w:hAnsi="Simplified Arabic" w:cs="Simplified Arabic"/>
          <w:color w:val="000000" w:themeColor="text1"/>
          <w:kern w:val="0"/>
          <w:sz w:val="28"/>
          <w:szCs w:val="28"/>
          <w14:ligatures w14:val="none"/>
        </w:rPr>
        <w:t>: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w:t>
      </w:r>
    </w:p>
    <w:p w14:paraId="24730505" w14:textId="77777777" w:rsidR="00BD2251" w:rsidRPr="004B2CD4" w:rsidRDefault="00BD2251" w:rsidP="004B2CD4">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بُعد سيادة القانون</w:t>
      </w:r>
      <w:r w:rsidRPr="004B2CD4">
        <w:rPr>
          <w:rFonts w:ascii="Simplified Arabic" w:eastAsia="Times New Roman" w:hAnsi="Simplified Arabic" w:cs="Simplified Arabic"/>
          <w:color w:val="000000" w:themeColor="text1"/>
          <w:kern w:val="0"/>
          <w:sz w:val="28"/>
          <w:szCs w:val="28"/>
          <w14:ligatures w14:val="none"/>
        </w:rPr>
        <w:t>: (</w:t>
      </w:r>
      <w:r w:rsidRPr="004B2CD4">
        <w:rPr>
          <w:rFonts w:ascii="Simplified Arabic" w:eastAsia="Times New Roman" w:hAnsi="Simplified Arabic" w:cs="Simplified Arabic"/>
          <w:b/>
          <w:bCs/>
          <w:color w:val="000000" w:themeColor="text1"/>
          <w:kern w:val="0"/>
          <w:sz w:val="28"/>
          <w:szCs w:val="28"/>
          <w14:ligatures w14:val="none"/>
        </w:rPr>
        <w:t>4</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w:t>
      </w:r>
    </w:p>
    <w:p w14:paraId="6B9444BD" w14:textId="77777777"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القسم الثالث — المتغير التابع (كفاءة اتخاذ القرارات الإدارية)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وهو محور أحادي البُعد يتكوّن من</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10</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فقرات تقيس مستوى كفاءة القرارات الإدارية من حيث الجودة والسرعة والفاعلية والرشد</w:t>
      </w:r>
      <w:r w:rsidRPr="004B2CD4">
        <w:rPr>
          <w:rFonts w:ascii="Simplified Arabic" w:eastAsia="Times New Roman" w:hAnsi="Simplified Arabic" w:cs="Simplified Arabic"/>
          <w:color w:val="000000" w:themeColor="text1"/>
          <w:kern w:val="0"/>
          <w:sz w:val="28"/>
          <w:szCs w:val="28"/>
          <w14:ligatures w14:val="none"/>
        </w:rPr>
        <w:t>.</w:t>
      </w:r>
    </w:p>
    <w:p w14:paraId="321E0225" w14:textId="587F1A5D"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وبذلك يبلغ إجمالي فقرات الاستبانة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30</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 xml:space="preserve">فقرة (4 ديموغرافية + 16 للمتغير المستقل + 10 للمتغير التابع)، وستُقاس الفقرات باستخدام </w:t>
      </w:r>
      <w:r w:rsidRPr="004B2CD4">
        <w:rPr>
          <w:rFonts w:ascii="Simplified Arabic" w:eastAsia="Times New Roman" w:hAnsi="Simplified Arabic" w:cs="Simplified Arabic"/>
          <w:b/>
          <w:bCs/>
          <w:color w:val="000000" w:themeColor="text1"/>
          <w:kern w:val="0"/>
          <w:sz w:val="28"/>
          <w:szCs w:val="28"/>
          <w:rtl/>
          <w14:ligatures w14:val="none"/>
        </w:rPr>
        <w:t xml:space="preserve">مقياس </w:t>
      </w:r>
      <w:proofErr w:type="spellStart"/>
      <w:r w:rsidRPr="004B2CD4">
        <w:rPr>
          <w:rFonts w:ascii="Simplified Arabic" w:eastAsia="Times New Roman" w:hAnsi="Simplified Arabic" w:cs="Simplified Arabic"/>
          <w:b/>
          <w:bCs/>
          <w:color w:val="000000" w:themeColor="text1"/>
          <w:kern w:val="0"/>
          <w:sz w:val="28"/>
          <w:szCs w:val="28"/>
          <w:rtl/>
          <w14:ligatures w14:val="none"/>
        </w:rPr>
        <w:t>ليكرت</w:t>
      </w:r>
      <w:proofErr w:type="spellEnd"/>
      <w:r w:rsidRPr="004B2CD4">
        <w:rPr>
          <w:rFonts w:ascii="Simplified Arabic" w:eastAsia="Times New Roman" w:hAnsi="Simplified Arabic" w:cs="Simplified Arabic"/>
          <w:b/>
          <w:bCs/>
          <w:color w:val="000000" w:themeColor="text1"/>
          <w:kern w:val="0"/>
          <w:sz w:val="28"/>
          <w:szCs w:val="28"/>
          <w:rtl/>
          <w14:ligatures w14:val="none"/>
        </w:rPr>
        <w:t xml:space="preserve"> الخماسي</w:t>
      </w:r>
      <w:r w:rsidRPr="004B2CD4">
        <w:rPr>
          <w:rFonts w:ascii="Simplified Arabic" w:eastAsia="Times New Roman" w:hAnsi="Simplified Arabic" w:cs="Simplified Arabic"/>
          <w:color w:val="000000" w:themeColor="text1"/>
          <w:kern w:val="0"/>
          <w:sz w:val="28"/>
          <w:szCs w:val="28"/>
          <w:rtl/>
          <w14:ligatures w14:val="none"/>
        </w:rPr>
        <w:t xml:space="preserve"> </w:t>
      </w:r>
      <w:r w:rsidR="00177583" w:rsidRPr="004B2CD4">
        <w:rPr>
          <w:rFonts w:ascii="Simplified Arabic" w:eastAsia="Times New Roman" w:hAnsi="Simplified Arabic" w:cs="Simplified Arabic" w:hint="cs"/>
          <w:color w:val="000000" w:themeColor="text1"/>
          <w:kern w:val="0"/>
          <w:sz w:val="28"/>
          <w:szCs w:val="28"/>
          <w:rtl/>
          <w14:ligatures w14:val="none"/>
        </w:rPr>
        <w:t>(</w:t>
      </w:r>
      <w:r w:rsidRPr="004B2CD4">
        <w:rPr>
          <w:rFonts w:ascii="Simplified Arabic" w:eastAsia="Times New Roman" w:hAnsi="Simplified Arabic" w:cs="Simplified Arabic"/>
          <w:color w:val="000000" w:themeColor="text1"/>
          <w:kern w:val="0"/>
          <w:sz w:val="28"/>
          <w:szCs w:val="28"/>
          <w:rtl/>
          <w14:ligatures w14:val="none"/>
        </w:rPr>
        <w:t>موافق بشدة = 5، موافق = 4، محايد = 3، غير موافق = 2، غير موافق بشدة = 1</w:t>
      </w:r>
      <w:r w:rsidR="00177583" w:rsidRPr="004B2CD4">
        <w:rPr>
          <w:rFonts w:ascii="Simplified Arabic" w:eastAsia="Times New Roman" w:hAnsi="Simplified Arabic" w:cs="Simplified Arabic" w:hint="cs"/>
          <w:color w:val="000000" w:themeColor="text1"/>
          <w:kern w:val="0"/>
          <w:sz w:val="28"/>
          <w:szCs w:val="28"/>
          <w:rtl/>
          <w14:ligatures w14:val="none"/>
        </w:rPr>
        <w:t>)</w:t>
      </w:r>
      <w:r w:rsidRPr="004B2CD4">
        <w:rPr>
          <w:rFonts w:ascii="Simplified Arabic" w:eastAsia="Times New Roman" w:hAnsi="Simplified Arabic" w:cs="Simplified Arabic"/>
          <w:color w:val="000000" w:themeColor="text1"/>
          <w:kern w:val="0"/>
          <w:sz w:val="28"/>
          <w:szCs w:val="28"/>
          <w14:ligatures w14:val="none"/>
        </w:rPr>
        <w:t>.</w:t>
      </w:r>
    </w:p>
    <w:p w14:paraId="761C08D1" w14:textId="3EC1227E"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025089"/>
      <w:r w:rsidRPr="004B2CD4">
        <w:rPr>
          <w:rFonts w:ascii="Simplified Arabic" w:eastAsia="Times New Roman" w:hAnsi="Simplified Arabic" w:cs="Simplified Arabic"/>
          <w:b/>
          <w:bCs/>
          <w:color w:val="000000" w:themeColor="text1"/>
          <w:kern w:val="0"/>
          <w:sz w:val="36"/>
          <w:szCs w:val="36"/>
          <w:rtl/>
          <w14:ligatures w14:val="none"/>
        </w:rPr>
        <w:t>15.1 الأساليب الإحصائية المستخدمة</w:t>
      </w:r>
      <w:bookmarkEnd w:id="27"/>
    </w:p>
    <w:p w14:paraId="7A7F4924" w14:textId="5C5D9183" w:rsidR="00BD2251" w:rsidRPr="004B2CD4" w:rsidRDefault="00BD2251"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سيتمّ تحليل بيانات الدراسة باستخدام برنامج الحزم الإحصائية للعلوم الاجتماعية</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b/>
          <w:bCs/>
          <w:color w:val="000000" w:themeColor="text1"/>
          <w:kern w:val="0"/>
          <w:sz w:val="28"/>
          <w:szCs w:val="28"/>
          <w14:ligatures w14:val="none"/>
        </w:rPr>
        <w:t>SPSS v.26</w:t>
      </w:r>
      <w:proofErr w:type="gramStart"/>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وستُستخدم الأساليب التالية</w:t>
      </w:r>
      <w:r w:rsidRPr="004B2CD4">
        <w:rPr>
          <w:rFonts w:ascii="Simplified Arabic" w:eastAsia="Times New Roman" w:hAnsi="Simplified Arabic" w:cs="Simplified Arabic"/>
          <w:color w:val="000000" w:themeColor="text1"/>
          <w:kern w:val="0"/>
          <w:sz w:val="28"/>
          <w:szCs w:val="28"/>
          <w14:ligatures w14:val="none"/>
        </w:rPr>
        <w:t>:</w:t>
      </w:r>
    </w:p>
    <w:p w14:paraId="0025D3E2" w14:textId="77777777" w:rsidR="00BD2251" w:rsidRPr="004B2CD4" w:rsidRDefault="00BD2251" w:rsidP="004B2CD4">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أساليب التحقّق من صدق وثبات الأداة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4B2CD4">
        <w:rPr>
          <w:rFonts w:ascii="Simplified Arabic" w:eastAsia="Times New Roman" w:hAnsi="Simplified Arabic" w:cs="Simplified Arabic"/>
          <w:color w:val="000000" w:themeColor="text1"/>
          <w:kern w:val="0"/>
          <w:sz w:val="28"/>
          <w:szCs w:val="28"/>
          <w:rtl/>
          <w14:ligatures w14:val="none"/>
        </w:rPr>
        <w:t>كرونباخ</w:t>
      </w:r>
      <w:proofErr w:type="spellEnd"/>
      <w:r w:rsidRPr="004B2CD4">
        <w:rPr>
          <w:rFonts w:ascii="Simplified Arabic" w:eastAsia="Times New Roman" w:hAnsi="Simplified Arabic" w:cs="Simplified Arabic"/>
          <w:color w:val="000000" w:themeColor="text1"/>
          <w:kern w:val="0"/>
          <w:sz w:val="28"/>
          <w:szCs w:val="28"/>
          <w14:ligatures w14:val="none"/>
        </w:rPr>
        <w:t xml:space="preserve"> (Cronbach's Alpha) </w:t>
      </w:r>
      <w:r w:rsidRPr="004B2CD4">
        <w:rPr>
          <w:rFonts w:ascii="Simplified Arabic" w:eastAsia="Times New Roman" w:hAnsi="Simplified Arabic" w:cs="Simplified Arabic"/>
          <w:color w:val="000000" w:themeColor="text1"/>
          <w:kern w:val="0"/>
          <w:sz w:val="28"/>
          <w:szCs w:val="28"/>
          <w:rtl/>
          <w14:ligatures w14:val="none"/>
        </w:rPr>
        <w:t>لقياس الثبات، والصدق الظاهري عبر التحكيم، وصدق الاتساق الداخلي عبر معامل ارتباط بيرسون، والتحليل العاملي التوكيدي</w:t>
      </w:r>
      <w:r w:rsidRPr="004B2CD4">
        <w:rPr>
          <w:rFonts w:ascii="Simplified Arabic" w:eastAsia="Times New Roman" w:hAnsi="Simplified Arabic" w:cs="Simplified Arabic"/>
          <w:color w:val="000000" w:themeColor="text1"/>
          <w:kern w:val="0"/>
          <w:sz w:val="28"/>
          <w:szCs w:val="28"/>
          <w14:ligatures w14:val="none"/>
        </w:rPr>
        <w:t xml:space="preserve"> (CFA) </w:t>
      </w:r>
      <w:r w:rsidRPr="004B2CD4">
        <w:rPr>
          <w:rFonts w:ascii="Simplified Arabic" w:eastAsia="Times New Roman" w:hAnsi="Simplified Arabic" w:cs="Simplified Arabic"/>
          <w:color w:val="000000" w:themeColor="text1"/>
          <w:kern w:val="0"/>
          <w:sz w:val="28"/>
          <w:szCs w:val="28"/>
          <w:rtl/>
          <w14:ligatures w14:val="none"/>
        </w:rPr>
        <w:t>للصدق البنائي</w:t>
      </w:r>
      <w:r w:rsidRPr="004B2CD4">
        <w:rPr>
          <w:rFonts w:ascii="Simplified Arabic" w:eastAsia="Times New Roman" w:hAnsi="Simplified Arabic" w:cs="Simplified Arabic"/>
          <w:color w:val="000000" w:themeColor="text1"/>
          <w:kern w:val="0"/>
          <w:sz w:val="28"/>
          <w:szCs w:val="28"/>
          <w14:ligatures w14:val="none"/>
        </w:rPr>
        <w:t>.</w:t>
      </w:r>
    </w:p>
    <w:p w14:paraId="463E247F" w14:textId="77777777" w:rsidR="00BD2251" w:rsidRPr="004B2CD4" w:rsidRDefault="00BD2251" w:rsidP="004B2CD4">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أساليب الإحصاء الوصفي</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والأهمية النسبية، لوصف خصائص العينة ومستويات الاستجابة</w:t>
      </w:r>
      <w:r w:rsidRPr="004B2CD4">
        <w:rPr>
          <w:rFonts w:ascii="Simplified Arabic" w:eastAsia="Times New Roman" w:hAnsi="Simplified Arabic" w:cs="Simplified Arabic"/>
          <w:color w:val="000000" w:themeColor="text1"/>
          <w:kern w:val="0"/>
          <w:sz w:val="28"/>
          <w:szCs w:val="28"/>
          <w14:ligatures w14:val="none"/>
        </w:rPr>
        <w:t>.</w:t>
      </w:r>
    </w:p>
    <w:p w14:paraId="590AFA19" w14:textId="77777777" w:rsidR="00BD2251" w:rsidRPr="004B2CD4" w:rsidRDefault="00BD2251" w:rsidP="004B2CD4">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أساليب الإحصاء الاستدلالي</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تحليل الانحدار الخطي البسيط والمتعدد</w:t>
      </w:r>
      <w:r w:rsidRPr="004B2CD4">
        <w:rPr>
          <w:rFonts w:ascii="Simplified Arabic" w:eastAsia="Times New Roman" w:hAnsi="Simplified Arabic" w:cs="Simplified Arabic"/>
          <w:color w:val="000000" w:themeColor="text1"/>
          <w:kern w:val="0"/>
          <w:sz w:val="28"/>
          <w:szCs w:val="28"/>
          <w14:ligatures w14:val="none"/>
        </w:rPr>
        <w:t xml:space="preserve"> (Simple &amp; Multiple Linear Regression) </w:t>
      </w:r>
      <w:r w:rsidRPr="004B2CD4">
        <w:rPr>
          <w:rFonts w:ascii="Simplified Arabic" w:eastAsia="Times New Roman" w:hAnsi="Simplified Arabic" w:cs="Simplified Arabic"/>
          <w:color w:val="000000" w:themeColor="text1"/>
          <w:kern w:val="0"/>
          <w:sz w:val="28"/>
          <w:szCs w:val="28"/>
          <w:rtl/>
          <w14:ligatures w14:val="none"/>
        </w:rPr>
        <w:t>لاختبار أثر أبعاد الحوكمة على كفاءة القرار، ومعامل ارتباط بيرسون</w:t>
      </w:r>
      <w:r w:rsidRPr="004B2CD4">
        <w:rPr>
          <w:rFonts w:ascii="Simplified Arabic" w:eastAsia="Times New Roman" w:hAnsi="Simplified Arabic" w:cs="Simplified Arabic"/>
          <w:color w:val="000000" w:themeColor="text1"/>
          <w:kern w:val="0"/>
          <w:sz w:val="28"/>
          <w:szCs w:val="28"/>
          <w14:ligatures w14:val="none"/>
        </w:rPr>
        <w:t xml:space="preserve"> (Pearson Correlation) </w:t>
      </w:r>
      <w:r w:rsidRPr="004B2CD4">
        <w:rPr>
          <w:rFonts w:ascii="Simplified Arabic" w:eastAsia="Times New Roman" w:hAnsi="Simplified Arabic" w:cs="Simplified Arabic"/>
          <w:color w:val="000000" w:themeColor="text1"/>
          <w:kern w:val="0"/>
          <w:sz w:val="28"/>
          <w:szCs w:val="28"/>
          <w:rtl/>
          <w14:ligatures w14:val="none"/>
        </w:rPr>
        <w:t xml:space="preserve">لتحديد العلاقة بين المتغيرات، واختبار </w:t>
      </w:r>
      <w:r w:rsidRPr="004B2CD4">
        <w:rPr>
          <w:rFonts w:ascii="Simplified Arabic" w:eastAsia="Times New Roman" w:hAnsi="Simplified Arabic" w:cs="Simplified Arabic"/>
          <w:color w:val="000000" w:themeColor="text1"/>
          <w:kern w:val="0"/>
          <w:sz w:val="28"/>
          <w:szCs w:val="28"/>
          <w14:ligatures w14:val="none"/>
        </w:rPr>
        <w:t xml:space="preserve">(T-Test) </w:t>
      </w:r>
      <w:r w:rsidRPr="004B2CD4">
        <w:rPr>
          <w:rFonts w:ascii="Simplified Arabic" w:eastAsia="Times New Roman" w:hAnsi="Simplified Arabic" w:cs="Simplified Arabic"/>
          <w:color w:val="000000" w:themeColor="text1"/>
          <w:kern w:val="0"/>
          <w:sz w:val="28"/>
          <w:szCs w:val="28"/>
          <w:rtl/>
          <w14:ligatures w14:val="none"/>
        </w:rPr>
        <w:t>للعينات المستقلة لفحص الفروق وفقاً لمتغير الجنس، وتحليل التباين الأحادي</w:t>
      </w:r>
      <w:r w:rsidRPr="004B2CD4">
        <w:rPr>
          <w:rFonts w:ascii="Simplified Arabic" w:eastAsia="Times New Roman" w:hAnsi="Simplified Arabic" w:cs="Simplified Arabic"/>
          <w:color w:val="000000" w:themeColor="text1"/>
          <w:kern w:val="0"/>
          <w:sz w:val="28"/>
          <w:szCs w:val="28"/>
          <w14:ligatures w14:val="none"/>
        </w:rPr>
        <w:t xml:space="preserve"> (One-Way ANOVA) </w:t>
      </w:r>
      <w:r w:rsidRPr="004B2CD4">
        <w:rPr>
          <w:rFonts w:ascii="Simplified Arabic" w:eastAsia="Times New Roman" w:hAnsi="Simplified Arabic" w:cs="Simplified Arabic"/>
          <w:color w:val="000000" w:themeColor="text1"/>
          <w:kern w:val="0"/>
          <w:sz w:val="28"/>
          <w:szCs w:val="28"/>
          <w:rtl/>
          <w14:ligatures w14:val="none"/>
        </w:rPr>
        <w:t>لفحص الفروق وفقاً للمؤهل العلمي وسنوات الخبرة والمستوى الإداري، واختبار</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Scheffé</w:t>
      </w:r>
      <w:proofErr w:type="spellEnd"/>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w:t>
      </w:r>
      <w:r w:rsidRPr="004B2CD4">
        <w:rPr>
          <w:rFonts w:ascii="Simplified Arabic" w:eastAsia="Times New Roman" w:hAnsi="Simplified Arabic" w:cs="Simplified Arabic"/>
          <w:color w:val="000000" w:themeColor="text1"/>
          <w:kern w:val="0"/>
          <w:sz w:val="28"/>
          <w:szCs w:val="28"/>
          <w14:ligatures w14:val="none"/>
        </w:rPr>
        <w:t>.</w:t>
      </w:r>
    </w:p>
    <w:p w14:paraId="15FEC100" w14:textId="0F39011D" w:rsidR="00177583" w:rsidRPr="004B2CD4" w:rsidRDefault="00177583" w:rsidP="004B2CD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233025090"/>
      <w:r w:rsidRPr="004B2CD4">
        <w:rPr>
          <w:rFonts w:ascii="Simplified Arabic" w:eastAsia="Times New Roman" w:hAnsi="Simplified Arabic" w:cs="Simplified Arabic"/>
          <w:b/>
          <w:bCs/>
          <w:color w:val="000000" w:themeColor="text1"/>
          <w:kern w:val="0"/>
          <w:sz w:val="36"/>
          <w:szCs w:val="36"/>
          <w:rtl/>
          <w14:ligatures w14:val="none"/>
        </w:rPr>
        <w:t>16.1 حدود الدراسة</w:t>
      </w:r>
      <w:bookmarkEnd w:id="28"/>
    </w:p>
    <w:p w14:paraId="02D1FFA6" w14:textId="77777777" w:rsidR="00BD2251" w:rsidRPr="004B2CD4" w:rsidRDefault="00BD2251" w:rsidP="004B2CD4">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الحدود الموضوعية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ستقتصر الدراسة على دراسة أثر الحوكمة المؤسسية بأبعادها الأربعة (الشفافية، المساءلة، المشاركة في صنع القرار، سيادة القانون) على كفاءة اتخاذ القرارات الإدارية</w:t>
      </w:r>
      <w:r w:rsidRPr="004B2CD4">
        <w:rPr>
          <w:rFonts w:ascii="Simplified Arabic" w:eastAsia="Times New Roman" w:hAnsi="Simplified Arabic" w:cs="Simplified Arabic"/>
          <w:color w:val="000000" w:themeColor="text1"/>
          <w:kern w:val="0"/>
          <w:sz w:val="28"/>
          <w:szCs w:val="28"/>
          <w14:ligatures w14:val="none"/>
        </w:rPr>
        <w:t>.</w:t>
      </w:r>
    </w:p>
    <w:p w14:paraId="4D49221A" w14:textId="77777777" w:rsidR="00BD2251" w:rsidRPr="004B2CD4" w:rsidRDefault="00BD2251" w:rsidP="004B2CD4">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الحدود المكانية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الجهات الحكومية في مدينة الرياض بالمملكة العربية السعودية</w:t>
      </w:r>
      <w:r w:rsidRPr="004B2CD4">
        <w:rPr>
          <w:rFonts w:ascii="Simplified Arabic" w:eastAsia="Times New Roman" w:hAnsi="Simplified Arabic" w:cs="Simplified Arabic"/>
          <w:color w:val="000000" w:themeColor="text1"/>
          <w:kern w:val="0"/>
          <w:sz w:val="28"/>
          <w:szCs w:val="28"/>
          <w14:ligatures w14:val="none"/>
        </w:rPr>
        <w:t>.</w:t>
      </w:r>
    </w:p>
    <w:p w14:paraId="09AE0C07" w14:textId="77777777" w:rsidR="00BD2251" w:rsidRPr="004B2CD4" w:rsidRDefault="00BD2251" w:rsidP="004B2CD4">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الحدود البشرية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العاملون في المستويات الإدارية (العليا والوسطى والإشرافية) في الجهات الحكومية المستهدفة</w:t>
      </w:r>
      <w:r w:rsidRPr="004B2CD4">
        <w:rPr>
          <w:rFonts w:ascii="Simplified Arabic" w:eastAsia="Times New Roman" w:hAnsi="Simplified Arabic" w:cs="Simplified Arabic"/>
          <w:color w:val="000000" w:themeColor="text1"/>
          <w:kern w:val="0"/>
          <w:sz w:val="28"/>
          <w:szCs w:val="28"/>
          <w14:ligatures w14:val="none"/>
        </w:rPr>
        <w:t>.</w:t>
      </w:r>
    </w:p>
    <w:p w14:paraId="42C04BF1" w14:textId="122C8B1D" w:rsidR="003745E0" w:rsidRPr="004B2CD4" w:rsidRDefault="00BD2251" w:rsidP="004B2CD4">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الحدود الزمانية</w:t>
      </w:r>
      <w:r w:rsidRPr="004B2CD4">
        <w:rPr>
          <w:rFonts w:ascii="Simplified Arabic" w:eastAsia="Times New Roman" w:hAnsi="Simplified Arabic" w:cs="Simplified Arabic"/>
          <w:b/>
          <w:bCs/>
          <w:color w:val="000000" w:themeColor="text1"/>
          <w:kern w:val="0"/>
          <w:sz w:val="28"/>
          <w:szCs w:val="28"/>
          <w14:ligatures w14:val="none"/>
        </w:rPr>
        <w:t>:</w:t>
      </w:r>
      <w:r w:rsidRPr="004B2CD4">
        <w:rPr>
          <w:rFonts w:ascii="Simplified Arabic" w:eastAsia="Times New Roman" w:hAnsi="Simplified Arabic" w:cs="Simplified Arabic"/>
          <w:color w:val="000000" w:themeColor="text1"/>
          <w:kern w:val="0"/>
          <w:sz w:val="28"/>
          <w:szCs w:val="28"/>
          <w14:ligatures w14:val="none"/>
        </w:rPr>
        <w:t xml:space="preserve"> </w:t>
      </w:r>
      <w:r w:rsidRPr="004B2CD4">
        <w:rPr>
          <w:rFonts w:ascii="Simplified Arabic" w:eastAsia="Times New Roman" w:hAnsi="Simplified Arabic" w:cs="Simplified Arabic"/>
          <w:color w:val="000000" w:themeColor="text1"/>
          <w:kern w:val="0"/>
          <w:sz w:val="28"/>
          <w:szCs w:val="28"/>
          <w:rtl/>
          <w14:ligatures w14:val="none"/>
        </w:rPr>
        <w:t>سيتمّ تطبيق الدراسة الميدانية خلال الفصل الدراسي الثاني من العام الجامعي 1447/1448هـ الموافق 2026/2027م</w:t>
      </w:r>
      <w:r w:rsidRPr="004B2CD4">
        <w:rPr>
          <w:rFonts w:ascii="Simplified Arabic" w:eastAsia="Times New Roman" w:hAnsi="Simplified Arabic" w:cs="Simplified Arabic"/>
          <w:color w:val="000000" w:themeColor="text1"/>
          <w:kern w:val="0"/>
          <w:sz w:val="28"/>
          <w:szCs w:val="28"/>
          <w14:ligatures w14:val="none"/>
        </w:rPr>
        <w:t>.</w:t>
      </w:r>
    </w:p>
    <w:p w14:paraId="0F8B9932" w14:textId="4C5E83E4" w:rsidR="003745E0" w:rsidRPr="004B2CD4" w:rsidRDefault="00177583" w:rsidP="004B2CD4">
      <w:pPr>
        <w:spacing w:line="276" w:lineRule="auto"/>
        <w:jc w:val="center"/>
        <w:outlineLvl w:val="0"/>
        <w:rPr>
          <w:rFonts w:ascii="Simplified Arabic" w:eastAsia="Times New Roman" w:hAnsi="Simplified Arabic" w:cs="Simplified Arabic"/>
          <w:b/>
          <w:bCs/>
          <w:color w:val="000000" w:themeColor="text1"/>
          <w:kern w:val="0"/>
          <w:sz w:val="40"/>
          <w:szCs w:val="40"/>
          <w14:ligatures w14:val="none"/>
        </w:rPr>
      </w:pPr>
      <w:r w:rsidRPr="004B2CD4">
        <w:rPr>
          <w:rFonts w:ascii="Simplified Arabic" w:eastAsia="Times New Roman" w:hAnsi="Simplified Arabic" w:cs="Simplified Arabic"/>
          <w:b/>
          <w:bCs/>
          <w:color w:val="000000" w:themeColor="text1"/>
          <w:kern w:val="0"/>
          <w:sz w:val="40"/>
          <w:szCs w:val="40"/>
          <w:rtl/>
          <w14:ligatures w14:val="none"/>
        </w:rPr>
        <w:br w:type="page"/>
      </w:r>
      <w:bookmarkStart w:id="29" w:name="_Toc233025091"/>
      <w:r w:rsidRPr="004B2CD4">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3745E0" w:rsidRPr="004B2CD4">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9"/>
    </w:p>
    <w:p w14:paraId="7980CC42" w14:textId="77777777" w:rsidR="003745E0" w:rsidRPr="004B2CD4" w:rsidRDefault="003745E0" w:rsidP="004B2CD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0" w:name="_Toc233025092"/>
      <w:r w:rsidRPr="004B2CD4">
        <w:rPr>
          <w:rFonts w:ascii="Simplified Arabic" w:eastAsia="Times New Roman" w:hAnsi="Simplified Arabic" w:cs="Simplified Arabic"/>
          <w:b/>
          <w:bCs/>
          <w:color w:val="000000" w:themeColor="text1"/>
          <w:kern w:val="0"/>
          <w:sz w:val="36"/>
          <w:szCs w:val="36"/>
          <w:rtl/>
          <w14:ligatures w14:val="none"/>
        </w:rPr>
        <w:t>المبحث الأول: الحوكمة المؤسسية</w:t>
      </w:r>
      <w:bookmarkEnd w:id="30"/>
    </w:p>
    <w:p w14:paraId="5D28E98D" w14:textId="44F0BACF"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025093"/>
      <w:r w:rsidRPr="004B2CD4">
        <w:rPr>
          <w:rFonts w:ascii="Simplified Arabic" w:eastAsia="Times New Roman" w:hAnsi="Simplified Arabic" w:cs="Simplified Arabic" w:hint="cs"/>
          <w:b/>
          <w:bCs/>
          <w:color w:val="000000" w:themeColor="text1"/>
          <w:kern w:val="0"/>
          <w:sz w:val="32"/>
          <w:szCs w:val="32"/>
          <w:rtl/>
          <w14:ligatures w14:val="none"/>
        </w:rPr>
        <w:t xml:space="preserve">1.1.2 </w:t>
      </w:r>
      <w:r w:rsidR="003745E0" w:rsidRPr="004B2CD4">
        <w:rPr>
          <w:rFonts w:ascii="Simplified Arabic" w:eastAsia="Times New Roman" w:hAnsi="Simplified Arabic" w:cs="Simplified Arabic"/>
          <w:b/>
          <w:bCs/>
          <w:color w:val="000000" w:themeColor="text1"/>
          <w:kern w:val="0"/>
          <w:sz w:val="32"/>
          <w:szCs w:val="32"/>
          <w:rtl/>
          <w14:ligatures w14:val="none"/>
        </w:rPr>
        <w:t>تمهيد</w:t>
      </w:r>
      <w:bookmarkEnd w:id="31"/>
    </w:p>
    <w:p w14:paraId="05949D85"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شهدت بيئة العمل المؤسسي خلال العقود الأخيرة تحولات جوهرية أعادت تشكيل منظومة العلاقة بين الإدارة والمستفيدين وأصحاب المصلحة، إذ لم يعد الأداء المؤسسي يُقاس بمعايير الكفاءة المالية والإنتاجية فحسب، بل امتدّ ليشمل جودة الممارسات الإدارية وأخلاقياتها ومدى التزامها بقواعد النزاهة والإفصاح. وفي خضمّ هذه التحولات، برز مفهوم الحوكمة المؤسسية بوصفه إطارًا حاكمًا يُعيد ضبط العلاقة بين السلطة والمسؤولية، ويُرسّخ مبادئ الرقابة المتبادلة بين الأطراف الفاعلة داخل المنظمة وخارجها. وقد اكتسب هذا المفهوم زخمًا متزايدًا في القطاعين العام والخاص على حدٍّ سواء، استجابةً لتفاقم ظواهر الفساد الإداري وتضارب المصالح وضعف الثقة المؤسسية، وهو ما دفع الحكومات والهيئات الدولية إلى تبنّي معايير </w:t>
      </w:r>
      <w:proofErr w:type="spellStart"/>
      <w:r w:rsidRPr="004B2CD4">
        <w:rPr>
          <w:rFonts w:ascii="Simplified Arabic" w:eastAsia="Times New Roman" w:hAnsi="Simplified Arabic" w:cs="Simplified Arabic"/>
          <w:color w:val="000000" w:themeColor="text1"/>
          <w:kern w:val="0"/>
          <w:sz w:val="28"/>
          <w:szCs w:val="28"/>
          <w:rtl/>
          <w14:ligatures w14:val="none"/>
        </w:rPr>
        <w:t>حوكمية</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صارمة بوصفها مدخلًا لإصلاح المنظومة الإدارية وتعزيز قدرتها التنافسية</w:t>
      </w:r>
      <w:r w:rsidRPr="004B2CD4">
        <w:rPr>
          <w:rFonts w:ascii="Simplified Arabic" w:eastAsia="Times New Roman" w:hAnsi="Simplified Arabic" w:cs="Simplified Arabic"/>
          <w:color w:val="000000" w:themeColor="text1"/>
          <w:kern w:val="0"/>
          <w:sz w:val="28"/>
          <w:szCs w:val="28"/>
          <w14:ligatures w14:val="none"/>
        </w:rPr>
        <w:t>.</w:t>
      </w:r>
    </w:p>
    <w:p w14:paraId="316B9BE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ولم يكن صعود مفهوم الحوكمة المؤسسية وليد لحظة عابرة في الفكر الإداري، بل جاء نتيجة تراكم معرفي امتد لعقود، أسهمت في تشكيله مدارس متعددة في الاقتصاد المؤسسي ونظرية الوكالة ونظرية أصحاب المصالح ونظريات الإدارة العامة الحديثة. وقد فرض هذا التعدد المرجعي تنوعًا في زوايا تناول المفهوم، بحيث تباينت التعريفات بين من يَنظر إليه باعتباره منظومة قواعد قانونية وتنظيمية، ومن يتعامل معه بوصفه ثقافة مؤسسية وسلوكًا إداريًّا، ومن يُعدّه إطارًا متكاملًا يجمع البُعدين معًا. وفي السياق العربي، اكتسبت الحوكمة المؤسسية أهمية مضاعفة في ظل توجهات الإصلاح الإداري التي تتبنّاها الدول، ولا سيما المملكة العربية السعودية التي جعلت من الحوكمة ركيزة محورية في رؤيتها التنموية، انطلاقًا من قناعةٍ بأن جودة المؤسسات تتوقف على جودة منظومة الحوكمة التي تُديرها</w:t>
      </w:r>
      <w:r w:rsidRPr="004B2CD4">
        <w:rPr>
          <w:rFonts w:ascii="Simplified Arabic" w:eastAsia="Times New Roman" w:hAnsi="Simplified Arabic" w:cs="Simplified Arabic"/>
          <w:color w:val="000000" w:themeColor="text1"/>
          <w:kern w:val="0"/>
          <w:sz w:val="28"/>
          <w:szCs w:val="28"/>
          <w14:ligatures w14:val="none"/>
        </w:rPr>
        <w:t>.</w:t>
      </w:r>
    </w:p>
    <w:p w14:paraId="0847F92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ويسعى هذا المبحث إلى تقديم معالجة نظرية مُحكمة لمفهوم الحوكمة المؤسسية، تنطلق من تأصيل دلالاته في الفكر الإداري المعاصر، ثم تنتقل إلى استجلاء أهميته في تطوير المنظمات الحكومية، فعرض أهدافه الكلية والجزئية، فاستعراض أبعاده التي ستُعتمد متغيرات قياسية في الدراسة الحالية، وصولًا إلى مناقشة الاستراتيجيات والمداخل التطبيقية الكفيلة بترسيخه في البيئة المؤسسية</w:t>
      </w:r>
      <w:r w:rsidRPr="004B2CD4">
        <w:rPr>
          <w:rFonts w:ascii="Simplified Arabic" w:eastAsia="Times New Roman" w:hAnsi="Simplified Arabic" w:cs="Simplified Arabic"/>
          <w:color w:val="000000" w:themeColor="text1"/>
          <w:kern w:val="0"/>
          <w:sz w:val="28"/>
          <w:szCs w:val="28"/>
          <w14:ligatures w14:val="none"/>
        </w:rPr>
        <w:t>.</w:t>
      </w:r>
    </w:p>
    <w:p w14:paraId="4C2E3505" w14:textId="74A25C7D"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025094"/>
      <w:r w:rsidRPr="004B2CD4">
        <w:rPr>
          <w:rFonts w:ascii="Simplified Arabic" w:eastAsia="Times New Roman" w:hAnsi="Simplified Arabic" w:cs="Simplified Arabic" w:hint="cs"/>
          <w:b/>
          <w:bCs/>
          <w:color w:val="000000" w:themeColor="text1"/>
          <w:kern w:val="0"/>
          <w:sz w:val="32"/>
          <w:szCs w:val="32"/>
          <w:rtl/>
          <w14:ligatures w14:val="none"/>
        </w:rPr>
        <w:lastRenderedPageBreak/>
        <w:t>2.1.2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مفهوم الحوكمة المؤسسية</w:t>
      </w:r>
      <w:bookmarkEnd w:id="32"/>
    </w:p>
    <w:p w14:paraId="23B4D13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يُمثّل مفهوم الحوكمة المؤسسية أحد المفاهيم الإدارية متعددة الأبعاد التي استعصت على التعريف الجامع المانع، نظرًا لتشعّب جذوره المعرفية وتنوّع المجالات التي وظّفته أداةً للإصلاح والتطوير. وقد اجتهد الباحثون في ضبط دلالاته وفقًا لزوايا نظرهم ومرجعياتهم الفكرية، فأنتجوا متراكمًا تعريفيًّا ثريًّا يستحق التأمل والتحليل</w:t>
      </w:r>
      <w:r w:rsidRPr="004B2CD4">
        <w:rPr>
          <w:rFonts w:ascii="Simplified Arabic" w:eastAsia="Times New Roman" w:hAnsi="Simplified Arabic" w:cs="Simplified Arabic"/>
          <w:color w:val="000000" w:themeColor="text1"/>
          <w:kern w:val="0"/>
          <w:sz w:val="28"/>
          <w:szCs w:val="28"/>
          <w14:ligatures w14:val="none"/>
        </w:rPr>
        <w:t>.</w:t>
      </w:r>
    </w:p>
    <w:p w14:paraId="6ACB00F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فيرى الشلفان (٢٠٢١) أن الحوكمة المؤسسية تنصرف إلى منظومة من القواعد والمعايير والإجراءات التي تضبط العلاقة بين مختلف الأطراف داخل المؤسسة، وتُحدّد آليات اتخاذ القرار وتوزيع السلطات والمسؤوليات، بحيث تُحقق التوازن بين المصالح وتمنع الانحراف عن الأهداف المعلنة. ويُلاحَظ في هذا التعريف تركيزه على الجانب التنظيمي البنائي للحوكمة بوصفها هيكلًا ضابطًا، دون إغفال البُعد السلوكي المتمثل في توجيه الممارسات نحو غايات محددة</w:t>
      </w:r>
      <w:r w:rsidRPr="004B2CD4">
        <w:rPr>
          <w:rFonts w:ascii="Simplified Arabic" w:eastAsia="Times New Roman" w:hAnsi="Simplified Arabic" w:cs="Simplified Arabic"/>
          <w:color w:val="000000" w:themeColor="text1"/>
          <w:kern w:val="0"/>
          <w:sz w:val="28"/>
          <w:szCs w:val="28"/>
          <w14:ligatures w14:val="none"/>
        </w:rPr>
        <w:t>.</w:t>
      </w:r>
    </w:p>
    <w:p w14:paraId="08F2248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وفي سياق أكثر تخصيصًا، يُعرّف الزهراني (٢٠٢٠) الحوكمة باعتبارها منظومة متكاملة من المبادئ والممارسات التي تستهدف إرساء النزاهة والشفافية والمساءلة في إدارة الشأن العام، وتُسهم في الحدّ من مظاهر الفساد الإداري والمالي. ويتميّز هذا التعريف بربطه المباشر بين الحوكمة وقيم النزاهة، وهو ما يعكس المنظور القيمي–الأخلاقي للمفهوم، ويُبرز وظيفته الوقائية في حماية المؤسسات من الانحرافات</w:t>
      </w:r>
      <w:r w:rsidRPr="004B2CD4">
        <w:rPr>
          <w:rFonts w:ascii="Simplified Arabic" w:eastAsia="Times New Roman" w:hAnsi="Simplified Arabic" w:cs="Simplified Arabic"/>
          <w:color w:val="000000" w:themeColor="text1"/>
          <w:kern w:val="0"/>
          <w:sz w:val="28"/>
          <w:szCs w:val="28"/>
          <w14:ligatures w14:val="none"/>
        </w:rPr>
        <w:t>.</w:t>
      </w:r>
    </w:p>
    <w:p w14:paraId="4C71476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زاوية مغايرة، يَتناول الحربي (٢٠٢٢) الحوكمة بوصفها إطارًا تنظيميًّا يكفل ترشيد استخدام الموارد المؤسسية وتحقيق الكفاءة في الإنفاق، من خلال تفعيل الرقابة الداخلية والخارجية وتعزيز آليات المتابعة والتقييم. ويُقدّم هذا التعريف زاوية اقتصادية–إدارية للحوكمة، إذ يجعل من ترشيد الموارد محورًا ومقصدًا، وهو ما يُلائم بيئة المؤسسات الحكومية التي تسعى إلى التوفيق بين محدودية الموارد وتعاظم المسؤوليات</w:t>
      </w:r>
      <w:r w:rsidRPr="004B2CD4">
        <w:rPr>
          <w:rFonts w:ascii="Simplified Arabic" w:eastAsia="Times New Roman" w:hAnsi="Simplified Arabic" w:cs="Simplified Arabic"/>
          <w:color w:val="000000" w:themeColor="text1"/>
          <w:kern w:val="0"/>
          <w:sz w:val="28"/>
          <w:szCs w:val="28"/>
          <w14:ligatures w14:val="none"/>
        </w:rPr>
        <w:t>.</w:t>
      </w:r>
    </w:p>
    <w:p w14:paraId="30CD493C"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وفي إطار أوسع، يُقدّم السعيد (٢٠٢٤) الحوكمة المؤسسية باعتبارها منظومة من الآليات والإجراءات والسياسات التي تُمكّن المؤسسة من الالتزام بمتطلبات الاعتماد المؤسسي وضمان الجودة، عبر إرساء معايير واضحة للأداء وآليات شفافة للرقابة والمحاسبة. ويُضيف هذا التعريف بُعدًا جديدًا يربط الحوكمة بمنظومة الجودة الشاملة والاعتماد المؤسسي، ممّا يُوسّع نطاقها لتشمل ضمان جودة المخرجات إلى جانب ضبط العمليات</w:t>
      </w:r>
      <w:r w:rsidRPr="004B2CD4">
        <w:rPr>
          <w:rFonts w:ascii="Simplified Arabic" w:eastAsia="Times New Roman" w:hAnsi="Simplified Arabic" w:cs="Simplified Arabic"/>
          <w:color w:val="000000" w:themeColor="text1"/>
          <w:kern w:val="0"/>
          <w:sz w:val="28"/>
          <w:szCs w:val="28"/>
          <w14:ligatures w14:val="none"/>
        </w:rPr>
        <w:t>.</w:t>
      </w:r>
    </w:p>
    <w:p w14:paraId="4E7F3E3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 xml:space="preserve">وتذهب موسي (٢٠٢١) إلى تعريف الحوكمة بوصفها مجموعة من المبادئ والقواعد التي تُنظّم العلاقة بين الإدارة وأصحاب المصالح، وتكفل الإفصاح عن المعلومات بدقة وشفافية، بما يُعزّز الثقة في المؤسسة ويحمي حقوق الأطراف المعنية. ويتميّز هذا التعريف بإبرازه للبُعد المعلوماتي للحوكمة، إذ يجعل من شفافية المعلومات معيارًا جوهريًّا لتقييم جودة الممارسات </w:t>
      </w:r>
      <w:proofErr w:type="spellStart"/>
      <w:r w:rsidRPr="004B2CD4">
        <w:rPr>
          <w:rFonts w:ascii="Simplified Arabic" w:eastAsia="Times New Roman" w:hAnsi="Simplified Arabic" w:cs="Simplified Arabic"/>
          <w:color w:val="000000" w:themeColor="text1"/>
          <w:kern w:val="0"/>
          <w:sz w:val="28"/>
          <w:szCs w:val="28"/>
          <w:rtl/>
          <w14:ligatures w14:val="none"/>
        </w:rPr>
        <w:t>الحوكمية</w:t>
      </w:r>
      <w:proofErr w:type="spellEnd"/>
      <w:r w:rsidRPr="004B2CD4">
        <w:rPr>
          <w:rFonts w:ascii="Simplified Arabic" w:eastAsia="Times New Roman" w:hAnsi="Simplified Arabic" w:cs="Simplified Arabic"/>
          <w:color w:val="000000" w:themeColor="text1"/>
          <w:kern w:val="0"/>
          <w:sz w:val="28"/>
          <w:szCs w:val="28"/>
          <w14:ligatures w14:val="none"/>
        </w:rPr>
        <w:t>.</w:t>
      </w:r>
    </w:p>
    <w:p w14:paraId="02829F66"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أما على الصعيد الأجنبي، فيُقدّم</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Almajri</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(2024) </w:t>
      </w:r>
      <w:r w:rsidRPr="004B2CD4">
        <w:rPr>
          <w:rFonts w:ascii="Simplified Arabic" w:eastAsia="Times New Roman" w:hAnsi="Simplified Arabic" w:cs="Simplified Arabic"/>
          <w:color w:val="000000" w:themeColor="text1"/>
          <w:kern w:val="0"/>
          <w:sz w:val="28"/>
          <w:szCs w:val="28"/>
          <w:rtl/>
          <w14:ligatures w14:val="none"/>
        </w:rPr>
        <w:t>رؤية معمّقة للحوكمة باعتبارها إطارًا قانونيًّا ومؤسسيًّا متكاملًا يستهدف تعزيز المساءلة والشفافية في المؤسسات، عبر تحديد الأدوار والصلاحيات وآليات الرقابة، ضمن منظومة قيمية تُرسّخ ثقافة المسؤولية. ويُشير</w:t>
      </w:r>
      <w:r w:rsidRPr="004B2CD4">
        <w:rPr>
          <w:rFonts w:ascii="Simplified Arabic" w:eastAsia="Times New Roman" w:hAnsi="Simplified Arabic" w:cs="Simplified Arabic"/>
          <w:color w:val="000000" w:themeColor="text1"/>
          <w:kern w:val="0"/>
          <w:sz w:val="28"/>
          <w:szCs w:val="28"/>
          <w14:ligatures w14:val="none"/>
        </w:rPr>
        <w:t xml:space="preserve"> Mansoor (2021) </w:t>
      </w:r>
      <w:r w:rsidRPr="004B2CD4">
        <w:rPr>
          <w:rFonts w:ascii="Simplified Arabic" w:eastAsia="Times New Roman" w:hAnsi="Simplified Arabic" w:cs="Simplified Arabic"/>
          <w:color w:val="000000" w:themeColor="text1"/>
          <w:kern w:val="0"/>
          <w:sz w:val="28"/>
          <w:szCs w:val="28"/>
          <w:rtl/>
          <w14:ligatures w14:val="none"/>
        </w:rPr>
        <w:t>إلى أن الحوكمة الرشيدة تتمثّل في قدرة المؤسسات الحكومية على تقديم خدمات ذات جودة عالية وتوفير معلومات دقيقة وموثوقة لأصحاب المصلحة، بما يُعزّز ثقة المواطنين ويُرسّخ شرعية الأداء الحكومي. ومن منظور أكثر شمولًا، يُعرّف</w:t>
      </w:r>
      <w:r w:rsidRPr="004B2CD4">
        <w:rPr>
          <w:rFonts w:ascii="Simplified Arabic" w:eastAsia="Times New Roman" w:hAnsi="Simplified Arabic" w:cs="Simplified Arabic"/>
          <w:color w:val="000000" w:themeColor="text1"/>
          <w:kern w:val="0"/>
          <w:sz w:val="28"/>
          <w:szCs w:val="28"/>
          <w14:ligatures w14:val="none"/>
        </w:rPr>
        <w:t xml:space="preserve"> Negri &amp; </w:t>
      </w:r>
      <w:proofErr w:type="spellStart"/>
      <w:r w:rsidRPr="004B2CD4">
        <w:rPr>
          <w:rFonts w:ascii="Simplified Arabic" w:eastAsia="Times New Roman" w:hAnsi="Simplified Arabic" w:cs="Simplified Arabic"/>
          <w:color w:val="000000" w:themeColor="text1"/>
          <w:kern w:val="0"/>
          <w:sz w:val="28"/>
          <w:szCs w:val="28"/>
          <w14:ligatures w14:val="none"/>
        </w:rPr>
        <w:t>Dinc</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(2023) </w:t>
      </w:r>
      <w:r w:rsidRPr="004B2CD4">
        <w:rPr>
          <w:rFonts w:ascii="Simplified Arabic" w:eastAsia="Times New Roman" w:hAnsi="Simplified Arabic" w:cs="Simplified Arabic"/>
          <w:color w:val="000000" w:themeColor="text1"/>
          <w:kern w:val="0"/>
          <w:sz w:val="28"/>
          <w:szCs w:val="28"/>
          <w:rtl/>
          <w14:ligatures w14:val="none"/>
        </w:rPr>
        <w:t>الحوكمة باعتبارها انعكاسًا لجودة الأداء المؤسسي في القطاع العام، إذ تتجلّى في فاعلية السياسات والإجراءات وكفاءة استخدام الموارد العامة</w:t>
      </w:r>
      <w:r w:rsidRPr="004B2CD4">
        <w:rPr>
          <w:rFonts w:ascii="Simplified Arabic" w:eastAsia="Times New Roman" w:hAnsi="Simplified Arabic" w:cs="Simplified Arabic"/>
          <w:color w:val="000000" w:themeColor="text1"/>
          <w:kern w:val="0"/>
          <w:sz w:val="28"/>
          <w:szCs w:val="28"/>
          <w14:ligatures w14:val="none"/>
        </w:rPr>
        <w:t>.</w:t>
      </w:r>
    </w:p>
    <w:p w14:paraId="6829B03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ويتبيّن من استعراض هذه التعريفات أن ثمة قواسم مشتركة تجمعها، تتمثّل في كون الحوكمة منظومة متكاملة من القواعد والممارسات، وأنها تستهدف ضبط العلاقات وتوزيع المسؤوليات، وأنها ترتكز على قيم النزاهة والشفافية والمساءلة. غير أنها تتباين في زوايا التركيز، إذ يُغلّب بعضها الجانب التنظيمي–البنائي، ويُركّز بعضها الآخر على الجانب القيمي–الأخلاقي، فيما يَنحاز فريق ثالث إلى البُعد الاقتصادي–</w:t>
      </w:r>
      <w:proofErr w:type="spellStart"/>
      <w:r w:rsidRPr="004B2CD4">
        <w:rPr>
          <w:rFonts w:ascii="Simplified Arabic" w:eastAsia="Times New Roman" w:hAnsi="Simplified Arabic" w:cs="Simplified Arabic"/>
          <w:color w:val="000000" w:themeColor="text1"/>
          <w:kern w:val="0"/>
          <w:sz w:val="28"/>
          <w:szCs w:val="28"/>
          <w:rtl/>
          <w14:ligatures w14:val="none"/>
        </w:rPr>
        <w:t>الكفائي</w:t>
      </w:r>
      <w:proofErr w:type="spellEnd"/>
      <w:r w:rsidRPr="004B2CD4">
        <w:rPr>
          <w:rFonts w:ascii="Simplified Arabic" w:eastAsia="Times New Roman" w:hAnsi="Simplified Arabic" w:cs="Simplified Arabic"/>
          <w:color w:val="000000" w:themeColor="text1"/>
          <w:kern w:val="0"/>
          <w:sz w:val="28"/>
          <w:szCs w:val="28"/>
          <w14:ligatures w14:val="none"/>
        </w:rPr>
        <w:t>.</w:t>
      </w:r>
    </w:p>
    <w:p w14:paraId="225B307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وفي ضوء ما تَقدّم، يَخلص الباحث إلى أن الحوكمة المؤسسية يمكن استيعابها باعتبارها منظومة متكاملة من المبادئ والقواعد والآليات والممارسات التي تُنظّم سير العمل داخل المؤسسات الحكومية، وتُحدّد العلاقة بين القيادة الإدارية والعاملين وأصحاب المصلحة، وتُرسّخ قيم الشفافية والمساءلة والمشاركة وسيادة القانون، بما يُسهم في توجيه القرارات الإدارية نحو تحقيق الأهداف المؤسسية بكفاءة وفاعلية، ويَحمي المؤسسة من مظاهر الانحراف الإداري والمالي، ويُعزّز ثقة المستفيدين في أدائها. ويُلاحظ الباحث أن هذا المفهوم – على ما يكتنفه من ثراء – لا يكتسب فاعليته من مجرد وجود قواعده مكتوبةً، بل من ترسّخه في الثقافة المؤسسية وتحوّله إلى ممارسة يومية يلتزم بها جميع العاملين في مختلف المستويات</w:t>
      </w:r>
      <w:r w:rsidRPr="004B2CD4">
        <w:rPr>
          <w:rFonts w:ascii="Simplified Arabic" w:eastAsia="Times New Roman" w:hAnsi="Simplified Arabic" w:cs="Simplified Arabic"/>
          <w:color w:val="000000" w:themeColor="text1"/>
          <w:kern w:val="0"/>
          <w:sz w:val="28"/>
          <w:szCs w:val="28"/>
          <w14:ligatures w14:val="none"/>
        </w:rPr>
        <w:t>.</w:t>
      </w:r>
    </w:p>
    <w:p w14:paraId="1F5F0BF7" w14:textId="7FDD6E92"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025095"/>
      <w:r w:rsidRPr="004B2CD4">
        <w:rPr>
          <w:rFonts w:ascii="Simplified Arabic" w:eastAsia="Times New Roman" w:hAnsi="Simplified Arabic" w:cs="Simplified Arabic" w:hint="cs"/>
          <w:b/>
          <w:bCs/>
          <w:color w:val="000000" w:themeColor="text1"/>
          <w:kern w:val="0"/>
          <w:sz w:val="32"/>
          <w:szCs w:val="32"/>
          <w:rtl/>
          <w14:ligatures w14:val="none"/>
        </w:rPr>
        <w:t>3.1.2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أهمية الحوكمة المؤسسية</w:t>
      </w:r>
      <w:bookmarkEnd w:id="33"/>
    </w:p>
    <w:p w14:paraId="1C5AC831"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تكتسب الحوكمة المؤسسية أهمية متصاعدة في الفكر الإداري المعاصر، إذ باتت تُمثّل أحد المُحدّدات الجوهرية لقدرة المؤسسات على البقاء والتطور والتنافس في بيئة تتّسم بالتعقيد والتحوّل المستمر. ولا تنبع هذه الأهمية من اعتبار واحد، بل من تضافر اعتبارات اقتصادية وإدارية وقانونية وأخلاقية واجتماعية، تجعل من الحوكمة ضرورة استراتيجية لا خيارًا تكميليًّا</w:t>
      </w:r>
      <w:r w:rsidRPr="004B2CD4">
        <w:rPr>
          <w:rFonts w:ascii="Simplified Arabic" w:eastAsia="Times New Roman" w:hAnsi="Simplified Arabic" w:cs="Simplified Arabic"/>
          <w:color w:val="000000" w:themeColor="text1"/>
          <w:kern w:val="0"/>
          <w:sz w:val="28"/>
          <w:szCs w:val="28"/>
          <w14:ligatures w14:val="none"/>
        </w:rPr>
        <w:t>.</w:t>
      </w:r>
    </w:p>
    <w:p w14:paraId="61BEC1E3"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4B2CD4">
        <w:rPr>
          <w:rFonts w:ascii="Simplified Arabic" w:eastAsia="Times New Roman" w:hAnsi="Simplified Arabic" w:cs="Simplified Arabic"/>
          <w:color w:val="000000" w:themeColor="text1"/>
          <w:kern w:val="0"/>
          <w:sz w:val="28"/>
          <w:szCs w:val="28"/>
          <w:rtl/>
          <w14:ligatures w14:val="none"/>
        </w:rPr>
        <w:t>الحضيري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(٢٠٢٥) إلى أن أهمية الحوكمة المؤسسية تتجلّى في جملة من المحاور التي يمكن إجمالها فيما يلي: أولًا، إسهامها في بناء منظومة وقائية تحول دون تفشّي مظاهر الفساد الإداري والمالي، عبر إرساء آليات رقابية فعّالة وضوابط دقيقة للسلوك المؤسسي. ثانيًا، دورها في تعزيز الشفافية والإفصاح عن المعلومات، بما يُتيح للأطراف ذات العلاقة الاطلاع على مجريات العمل </w:t>
      </w:r>
      <w:proofErr w:type="spellStart"/>
      <w:r w:rsidRPr="004B2CD4">
        <w:rPr>
          <w:rFonts w:ascii="Simplified Arabic" w:eastAsia="Times New Roman" w:hAnsi="Simplified Arabic" w:cs="Simplified Arabic"/>
          <w:color w:val="000000" w:themeColor="text1"/>
          <w:kern w:val="0"/>
          <w:sz w:val="28"/>
          <w:szCs w:val="28"/>
          <w:rtl/>
          <w14:ligatures w14:val="none"/>
        </w:rPr>
        <w:t>ومآلاته</w:t>
      </w:r>
      <w:proofErr w:type="spellEnd"/>
      <w:r w:rsidRPr="004B2CD4">
        <w:rPr>
          <w:rFonts w:ascii="Simplified Arabic" w:eastAsia="Times New Roman" w:hAnsi="Simplified Arabic" w:cs="Simplified Arabic"/>
          <w:color w:val="000000" w:themeColor="text1"/>
          <w:kern w:val="0"/>
          <w:sz w:val="28"/>
          <w:szCs w:val="28"/>
          <w:rtl/>
          <w14:ligatures w14:val="none"/>
        </w:rPr>
        <w:t>. ثالثًا، إسهامها في حماية حقوق أصحاب المصالح وضمان توازن العلاقة بين الإدارة والمستفيدين. رابعًا، تعزيزها للثقة المؤسسية على المستويين الداخلي والخارجي، بما يَنعكس إيجابًا على سمعة المؤسسة ومكانتها</w:t>
      </w:r>
      <w:r w:rsidRPr="004B2CD4">
        <w:rPr>
          <w:rFonts w:ascii="Simplified Arabic" w:eastAsia="Times New Roman" w:hAnsi="Simplified Arabic" w:cs="Simplified Arabic"/>
          <w:color w:val="000000" w:themeColor="text1"/>
          <w:kern w:val="0"/>
          <w:sz w:val="28"/>
          <w:szCs w:val="28"/>
          <w14:ligatures w14:val="none"/>
        </w:rPr>
        <w:t>.</w:t>
      </w:r>
    </w:p>
    <w:p w14:paraId="6E21033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ويرى التركي وآخرون (٢٠٢١) أن أهمية الحوكمة تتمثّل في كونها أداة فاعلة لتعزيز الشفافية في القطاعين العام والخاص، إذ تُسهم في إرساء بيئة عمل قائمة على الوضوح والإفصاح، وتُمكّن المؤسسات من التواصل الفعّال مع جمهورها وأصحاب المصلحة فيها. كما تُسهم الحوكمة – من منظورهم – في تطوير الأداء المؤسسي عبر تحديث منظومة العمل وتبسيط الإجراءات، فضلًا عن تعزيز قدرة المؤسسات على مواكبة التحولات التقنية والإدارية المعاصرة</w:t>
      </w:r>
      <w:r w:rsidRPr="004B2CD4">
        <w:rPr>
          <w:rFonts w:ascii="Simplified Arabic" w:eastAsia="Times New Roman" w:hAnsi="Simplified Arabic" w:cs="Simplified Arabic"/>
          <w:color w:val="000000" w:themeColor="text1"/>
          <w:kern w:val="0"/>
          <w:sz w:val="28"/>
          <w:szCs w:val="28"/>
          <w14:ligatures w14:val="none"/>
        </w:rPr>
        <w:t>.</w:t>
      </w:r>
    </w:p>
    <w:p w14:paraId="0386634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زاوية مكمّلة، يُؤكّد الحمداني وآخرون (٢٠٢٥) أن الحوكمة – ولا سيما في صورتها الإلكترونية – تكتسب أهميتها من قدرتها على تعزيز سمعة المؤسسة في بيئتها الخارجية، عبر بناء صورة ذهنية إيجابية ترتكز على معايير النزاهة والكفاءة. ويُضيف الباحثون أن الحوكمة تُسهم في تطوير منظومة الاتصال المؤسسي وتُيسّر تدفّق المعلومات بين المستويات الإدارية المختلفة، بما يُعزّز التماسك التنظيمي ويرفع كفاءة الأداء الجماعي</w:t>
      </w:r>
      <w:r w:rsidRPr="004B2CD4">
        <w:rPr>
          <w:rFonts w:ascii="Simplified Arabic" w:eastAsia="Times New Roman" w:hAnsi="Simplified Arabic" w:cs="Simplified Arabic"/>
          <w:color w:val="000000" w:themeColor="text1"/>
          <w:kern w:val="0"/>
          <w:sz w:val="28"/>
          <w:szCs w:val="28"/>
          <w14:ligatures w14:val="none"/>
        </w:rPr>
        <w:t>.</w:t>
      </w:r>
    </w:p>
    <w:p w14:paraId="559C4B86"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ويُعالج المنصوري (٢٠٢٤) أهمية الحوكمة من زاوية الحوكمة الرقمية، مُشيرًا إلى أنها تُمثّل امتدادًا طبيعيًّا للحوكمة التقليدية في عصر التحوّل الرقمي، وأن أهميتها تتجلّى في تعزيز قدرة المؤسسات على توظيف التقنية في إرساء الشفافية ومكافحة الفساد، وفي تطوير آليات تقديم الخدمات للمستفيدين، وفي تمكين المؤسسات من اتخاذ قرارات قائمة على البيانات الموثوقة بدلًا من التقديرات الانطباعية</w:t>
      </w:r>
      <w:r w:rsidRPr="004B2CD4">
        <w:rPr>
          <w:rFonts w:ascii="Simplified Arabic" w:eastAsia="Times New Roman" w:hAnsi="Simplified Arabic" w:cs="Simplified Arabic"/>
          <w:color w:val="000000" w:themeColor="text1"/>
          <w:kern w:val="0"/>
          <w:sz w:val="28"/>
          <w:szCs w:val="28"/>
          <w14:ligatures w14:val="none"/>
        </w:rPr>
        <w:t>.</w:t>
      </w:r>
    </w:p>
    <w:p w14:paraId="680A499D"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ويتناول رضوان (٢٠٢٥) الأهمية من منظور إداري سلوكي، مُبيّنًا أن الحوكمة – ولا سيما حوكمة الموارد البشرية – تُسهم في تعزيز الشفافية الإدارية والحدّ من الظواهر السلوكية السلبية كالتهكّم التنظيمي وضعف الانتماء، إذ توفّر بيئة عمل قائمة على العدالة الإجرائية ووضوح المعايير، ممّا يَنعكس إيجابًا على دافعية العاملين ورضاهم الوظيفي. وتُمثّل هذه الزاوية إضافة نوعية تَكشف عن البُعد الإنساني للحوكمة، وعن دورها في تشكيل ثقافة مؤسسية صحية</w:t>
      </w:r>
      <w:r w:rsidRPr="004B2CD4">
        <w:rPr>
          <w:rFonts w:ascii="Simplified Arabic" w:eastAsia="Times New Roman" w:hAnsi="Simplified Arabic" w:cs="Simplified Arabic"/>
          <w:color w:val="000000" w:themeColor="text1"/>
          <w:kern w:val="0"/>
          <w:sz w:val="28"/>
          <w:szCs w:val="28"/>
          <w14:ligatures w14:val="none"/>
        </w:rPr>
        <w:t>.</w:t>
      </w:r>
    </w:p>
    <w:p w14:paraId="6DB7087D"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أما على الصعيد الأجنبي، فيُشير</w:t>
      </w:r>
      <w:r w:rsidRPr="004B2CD4">
        <w:rPr>
          <w:rFonts w:ascii="Simplified Arabic" w:eastAsia="Times New Roman" w:hAnsi="Simplified Arabic" w:cs="Simplified Arabic"/>
          <w:color w:val="000000" w:themeColor="text1"/>
          <w:kern w:val="0"/>
          <w:sz w:val="28"/>
          <w:szCs w:val="28"/>
          <w14:ligatures w14:val="none"/>
        </w:rPr>
        <w:t xml:space="preserve"> Thanaraj et al. (2025) </w:t>
      </w:r>
      <w:r w:rsidRPr="004B2CD4">
        <w:rPr>
          <w:rFonts w:ascii="Simplified Arabic" w:eastAsia="Times New Roman" w:hAnsi="Simplified Arabic" w:cs="Simplified Arabic"/>
          <w:color w:val="000000" w:themeColor="text1"/>
          <w:kern w:val="0"/>
          <w:sz w:val="28"/>
          <w:szCs w:val="28"/>
          <w:rtl/>
          <w14:ligatures w14:val="none"/>
        </w:rPr>
        <w:t>إلى أن أهمية الحوكمة تتمثّل في كونها أداة لترسيخ الشفافية والفاعلية في المؤسسات العامة، عبر تضافر القيادة الأخلاقية والتدابير القانونية والإدارة التشاركية، بما يُؤسّس لنموذج إداري متكامل قادر على مواجهة التحديات المعاصرة. ويُؤكّد</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Hossin</w:t>
      </w:r>
      <w:proofErr w:type="spellEnd"/>
      <w:r w:rsidRPr="004B2CD4">
        <w:rPr>
          <w:rFonts w:ascii="Simplified Arabic" w:eastAsia="Times New Roman" w:hAnsi="Simplified Arabic" w:cs="Simplified Arabic"/>
          <w:color w:val="000000" w:themeColor="text1"/>
          <w:kern w:val="0"/>
          <w:sz w:val="28"/>
          <w:szCs w:val="28"/>
          <w14:ligatures w14:val="none"/>
        </w:rPr>
        <w:t xml:space="preserve"> et al. (2023) </w:t>
      </w:r>
      <w:r w:rsidRPr="004B2CD4">
        <w:rPr>
          <w:rFonts w:ascii="Simplified Arabic" w:eastAsia="Times New Roman" w:hAnsi="Simplified Arabic" w:cs="Simplified Arabic"/>
          <w:color w:val="000000" w:themeColor="text1"/>
          <w:kern w:val="0"/>
          <w:sz w:val="28"/>
          <w:szCs w:val="28"/>
          <w:rtl/>
          <w14:ligatures w14:val="none"/>
        </w:rPr>
        <w:t>أن الحوكمة المعاصرة – في صورتها الذكية – تكتسب أهميتها من قدرتها على توظيف البيانات الضخمة في صياغة السياسات العامة، بما يَنقل المؤسسات من الإدارة التقليدية إلى الإدارة المعرفية القائمة على البراهين</w:t>
      </w:r>
      <w:r w:rsidRPr="004B2CD4">
        <w:rPr>
          <w:rFonts w:ascii="Simplified Arabic" w:eastAsia="Times New Roman" w:hAnsi="Simplified Arabic" w:cs="Simplified Arabic"/>
          <w:color w:val="000000" w:themeColor="text1"/>
          <w:kern w:val="0"/>
          <w:sz w:val="28"/>
          <w:szCs w:val="28"/>
          <w14:ligatures w14:val="none"/>
        </w:rPr>
        <w:t>.</w:t>
      </w:r>
    </w:p>
    <w:p w14:paraId="21CD984D"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وتمتدّ أهمية الحوكمة المؤسسية – بحسب ما يَستخلصه الباحث من مجمل هذه الإسهامات – لتشمل أبعادًا متعددة يصعب اختزالها في وظيفة بعينها؛ فهي ضمانة للنزاهة، وحارسة للموارد، ومُعزّزة للثقة، ومُحسّنة للأداء، ومُؤسِّسة لثقافة العمل المؤسسي الرشيد. ولعلّ ما يَزيد من أهميتها في السياق السعودي تحديدًا هو ارتباطها بمنظومة الإصلاح الإداري المستهدفة ضمن رؤية المملكة، إذ تُمثّل الحوكمة أحد الركائز التي يَقوم عليها التحوّل المؤسسي المنشود في الجهات الحكومية</w:t>
      </w:r>
      <w:r w:rsidRPr="004B2CD4">
        <w:rPr>
          <w:rFonts w:ascii="Simplified Arabic" w:eastAsia="Times New Roman" w:hAnsi="Simplified Arabic" w:cs="Simplified Arabic"/>
          <w:color w:val="000000" w:themeColor="text1"/>
          <w:kern w:val="0"/>
          <w:sz w:val="28"/>
          <w:szCs w:val="28"/>
          <w14:ligatures w14:val="none"/>
        </w:rPr>
        <w:t>.</w:t>
      </w:r>
    </w:p>
    <w:p w14:paraId="6758833C" w14:textId="4204D468"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025096"/>
      <w:r w:rsidRPr="004B2CD4">
        <w:rPr>
          <w:rFonts w:ascii="Simplified Arabic" w:eastAsia="Times New Roman" w:hAnsi="Simplified Arabic" w:cs="Simplified Arabic" w:hint="cs"/>
          <w:b/>
          <w:bCs/>
          <w:color w:val="000000" w:themeColor="text1"/>
          <w:kern w:val="0"/>
          <w:sz w:val="32"/>
          <w:szCs w:val="32"/>
          <w:rtl/>
          <w14:ligatures w14:val="none"/>
        </w:rPr>
        <w:t>4.1.2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أهداف الحوكمة المؤسسية</w:t>
      </w:r>
      <w:bookmarkEnd w:id="34"/>
    </w:p>
    <w:p w14:paraId="49AF76A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تَنبثق أهداف الحوكمة المؤسسية من فلسفتها الجوهرية القائمة على ضبط الممارسة الإدارية وتوجيهها نحو غايات محددة، وتتوزّع هذه الأهداف على مستويات متعددة، بعضها استراتيجي بعيد المدى، وبعضها تشغيلي قصير المدى، يَتكامل بعضها مع بعض في منظومة متجانسة</w:t>
      </w:r>
      <w:r w:rsidRPr="004B2CD4">
        <w:rPr>
          <w:rFonts w:ascii="Simplified Arabic" w:eastAsia="Times New Roman" w:hAnsi="Simplified Arabic" w:cs="Simplified Arabic"/>
          <w:color w:val="000000" w:themeColor="text1"/>
          <w:kern w:val="0"/>
          <w:sz w:val="28"/>
          <w:szCs w:val="28"/>
          <w14:ligatures w14:val="none"/>
        </w:rPr>
        <w:t>.</w:t>
      </w:r>
    </w:p>
    <w:p w14:paraId="6B67C70C"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ويُحدّد </w:t>
      </w:r>
      <w:proofErr w:type="gramStart"/>
      <w:r w:rsidRPr="004B2CD4">
        <w:rPr>
          <w:rFonts w:ascii="Simplified Arabic" w:eastAsia="Times New Roman" w:hAnsi="Simplified Arabic" w:cs="Simplified Arabic"/>
          <w:color w:val="000000" w:themeColor="text1"/>
          <w:kern w:val="0"/>
          <w:sz w:val="28"/>
          <w:szCs w:val="28"/>
          <w:rtl/>
          <w14:ligatures w14:val="none"/>
        </w:rPr>
        <w:t>عبدالوهاب</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rtl/>
          <w14:ligatures w14:val="none"/>
        </w:rPr>
        <w:t>وعبداللاوي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(٢٠٢١) جملة من الأهداف التي تسعى الحوكمة المؤسسية إلى تحقيقها، يمكن استعراضها في النقاط الآتية</w:t>
      </w:r>
      <w:r w:rsidRPr="004B2CD4">
        <w:rPr>
          <w:rFonts w:ascii="Simplified Arabic" w:eastAsia="Times New Roman" w:hAnsi="Simplified Arabic" w:cs="Simplified Arabic"/>
          <w:color w:val="000000" w:themeColor="text1"/>
          <w:kern w:val="0"/>
          <w:sz w:val="28"/>
          <w:szCs w:val="28"/>
          <w14:ligatures w14:val="none"/>
        </w:rPr>
        <w:t>:</w:t>
      </w:r>
    </w:p>
    <w:p w14:paraId="41C01F30" w14:textId="77777777" w:rsidR="00C54E43" w:rsidRPr="004B2CD4" w:rsidRDefault="003745E0" w:rsidP="004B2CD4">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تحقيق جودة المعلومات المحاسبية والإدارية عبر إرساء معايير دقيقة للقياس والإفصاح، بما يُتيح للأطراف المعنية الحصول على بيانات موثوقة تُسهم في ترشيد قراراتها</w:t>
      </w:r>
    </w:p>
    <w:p w14:paraId="582D6722" w14:textId="77777777" w:rsidR="00C54E43" w:rsidRPr="004B2CD4" w:rsidRDefault="003745E0" w:rsidP="004B2CD4">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تعزيز مبدأ الإفصاح والشفافية في الممارسات المؤسسية، بحيث تكون المعلومات متاحة في الوقت المناسب وبالشكل الملائم لجميع أصحاب المصالح</w:t>
      </w:r>
      <w:r w:rsidR="00C54E43" w:rsidRPr="004B2CD4">
        <w:rPr>
          <w:rFonts w:ascii="Simplified Arabic" w:eastAsia="Times New Roman" w:hAnsi="Simplified Arabic" w:cs="Simplified Arabic"/>
          <w:color w:val="000000" w:themeColor="text1"/>
          <w:kern w:val="0"/>
          <w:sz w:val="28"/>
          <w:szCs w:val="28"/>
          <w14:ligatures w14:val="none"/>
        </w:rPr>
        <w:t>.</w:t>
      </w:r>
    </w:p>
    <w:p w14:paraId="0DFDE3D4" w14:textId="2C33A4E4" w:rsidR="00C54E43" w:rsidRPr="004B2CD4" w:rsidRDefault="003745E0" w:rsidP="004B2CD4">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ضمان التزام المؤسسات بالأطر القانونية والتنظيمية المعتمدة، والحدّ من مخاطر مخالفة التشريعات والأنظمة</w:t>
      </w:r>
      <w:r w:rsidR="00C54E43" w:rsidRPr="004B2CD4">
        <w:rPr>
          <w:rFonts w:ascii="Simplified Arabic" w:eastAsia="Times New Roman" w:hAnsi="Simplified Arabic" w:cs="Simplified Arabic"/>
          <w:color w:val="000000" w:themeColor="text1"/>
          <w:kern w:val="0"/>
          <w:sz w:val="28"/>
          <w:szCs w:val="28"/>
          <w14:ligatures w14:val="none"/>
        </w:rPr>
        <w:t>.</w:t>
      </w:r>
    </w:p>
    <w:p w14:paraId="074C0429" w14:textId="60AEC7CB" w:rsidR="003745E0" w:rsidRPr="004B2CD4" w:rsidRDefault="003745E0" w:rsidP="004B2CD4">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حماية حقوق المساهمين والمستفيدين من خلال إرساء آليات تَكفل التوازن في توزيع المنافع والمسؤوليات</w:t>
      </w:r>
      <w:r w:rsidRPr="004B2CD4">
        <w:rPr>
          <w:rFonts w:ascii="Simplified Arabic" w:eastAsia="Times New Roman" w:hAnsi="Simplified Arabic" w:cs="Simplified Arabic"/>
          <w:color w:val="000000" w:themeColor="text1"/>
          <w:kern w:val="0"/>
          <w:sz w:val="28"/>
          <w:szCs w:val="28"/>
          <w14:ligatures w14:val="none"/>
        </w:rPr>
        <w:t>.</w:t>
      </w:r>
    </w:p>
    <w:p w14:paraId="0A48427C"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ويرى سيروب والنحاس (٢٠٢٢) أن الحوكمة تستهدف تحقيق مجموعة من الأهداف ذات الطابع الاقتصادي والإداري، أبرزها</w:t>
      </w:r>
      <w:r w:rsidRPr="004B2CD4">
        <w:rPr>
          <w:rFonts w:ascii="Simplified Arabic" w:eastAsia="Times New Roman" w:hAnsi="Simplified Arabic" w:cs="Simplified Arabic"/>
          <w:color w:val="000000" w:themeColor="text1"/>
          <w:kern w:val="0"/>
          <w:sz w:val="28"/>
          <w:szCs w:val="28"/>
          <w14:ligatures w14:val="none"/>
        </w:rPr>
        <w:t>:</w:t>
      </w:r>
    </w:p>
    <w:p w14:paraId="073F5184" w14:textId="333877F2" w:rsidR="00C54E43" w:rsidRPr="004B2CD4" w:rsidRDefault="003745E0" w:rsidP="004B2CD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ترشيد الإنفاق العام والحدّ من الهدر في الموارد المؤسسية، عبر إرساء آليات رقابية فعّالة على كافة بنود الإنفاق</w:t>
      </w:r>
      <w:r w:rsidR="00C54E43" w:rsidRPr="004B2CD4">
        <w:rPr>
          <w:rFonts w:ascii="Simplified Arabic" w:eastAsia="Times New Roman" w:hAnsi="Simplified Arabic" w:cs="Simplified Arabic"/>
          <w:color w:val="000000" w:themeColor="text1"/>
          <w:kern w:val="0"/>
          <w:sz w:val="28"/>
          <w:szCs w:val="28"/>
          <w14:ligatures w14:val="none"/>
        </w:rPr>
        <w:t>.</w:t>
      </w:r>
    </w:p>
    <w:p w14:paraId="773C049A" w14:textId="2F5FE5AF" w:rsidR="00C54E43" w:rsidRPr="004B2CD4" w:rsidRDefault="003745E0" w:rsidP="004B2CD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رفع كفاءة استخدام الموارد المتاحة وتوجيهها نحو الأولويات الاستراتيجية للمؤسسة</w:t>
      </w:r>
    </w:p>
    <w:p w14:paraId="4D734AD4" w14:textId="4F0935C0" w:rsidR="00C54E43" w:rsidRPr="004B2CD4" w:rsidRDefault="003745E0" w:rsidP="004B2CD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تحسين منظومة الأداء المالي والإداري من خلال تطبيق معايير محددة للقياس والتقييم</w:t>
      </w:r>
      <w:r w:rsidR="00C54E43" w:rsidRPr="004B2CD4">
        <w:rPr>
          <w:rFonts w:ascii="Simplified Arabic" w:eastAsia="Times New Roman" w:hAnsi="Simplified Arabic" w:cs="Simplified Arabic"/>
          <w:color w:val="000000" w:themeColor="text1"/>
          <w:kern w:val="0"/>
          <w:sz w:val="28"/>
          <w:szCs w:val="28"/>
          <w14:ligatures w14:val="none"/>
        </w:rPr>
        <w:t>.</w:t>
      </w:r>
    </w:p>
    <w:p w14:paraId="112B3B42" w14:textId="3EA4B038" w:rsidR="003745E0" w:rsidRPr="004B2CD4" w:rsidRDefault="003745E0" w:rsidP="004B2CD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تعزيز الانضباط المؤسسي ومنع الانحراف عن الأهداف المرسومة</w:t>
      </w:r>
      <w:r w:rsidRPr="004B2CD4">
        <w:rPr>
          <w:rFonts w:ascii="Simplified Arabic" w:eastAsia="Times New Roman" w:hAnsi="Simplified Arabic" w:cs="Simplified Arabic"/>
          <w:color w:val="000000" w:themeColor="text1"/>
          <w:kern w:val="0"/>
          <w:sz w:val="28"/>
          <w:szCs w:val="28"/>
          <w14:ligatures w14:val="none"/>
        </w:rPr>
        <w:t>.</w:t>
      </w:r>
    </w:p>
    <w:p w14:paraId="428D0CE5" w14:textId="77777777" w:rsidR="003745E0" w:rsidRPr="004B2CD4" w:rsidRDefault="003745E0" w:rsidP="004B2CD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ويُضيف الزهراني (٢٠٢٠) جملة من الأهداف ذات الطابع القيمي–الأخلاقي، تتمثّل في</w:t>
      </w:r>
      <w:r w:rsidRPr="004B2CD4">
        <w:rPr>
          <w:rFonts w:ascii="Simplified Arabic" w:eastAsia="Times New Roman" w:hAnsi="Simplified Arabic" w:cs="Simplified Arabic"/>
          <w:b/>
          <w:bCs/>
          <w:color w:val="000000" w:themeColor="text1"/>
          <w:kern w:val="0"/>
          <w:sz w:val="28"/>
          <w:szCs w:val="28"/>
          <w14:ligatures w14:val="none"/>
        </w:rPr>
        <w:t>:</w:t>
      </w:r>
    </w:p>
    <w:p w14:paraId="4780B80E" w14:textId="77777777" w:rsidR="00C54E43" w:rsidRPr="004B2CD4" w:rsidRDefault="003745E0" w:rsidP="004B2CD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ترسيخ قيم النزاهة في الممارسة الإدارية وجعلها معيارًا مرجعيًّا للسلوك المؤسسي</w:t>
      </w:r>
      <w:r w:rsidR="00C54E43" w:rsidRPr="004B2CD4">
        <w:rPr>
          <w:rFonts w:ascii="Simplified Arabic" w:eastAsia="Times New Roman" w:hAnsi="Simplified Arabic" w:cs="Simplified Arabic"/>
          <w:color w:val="000000" w:themeColor="text1"/>
          <w:kern w:val="0"/>
          <w:sz w:val="28"/>
          <w:szCs w:val="28"/>
          <w14:ligatures w14:val="none"/>
        </w:rPr>
        <w:t>.</w:t>
      </w:r>
    </w:p>
    <w:p w14:paraId="712B58ED" w14:textId="0918DBEB" w:rsidR="00C54E43" w:rsidRPr="004B2CD4" w:rsidRDefault="003745E0" w:rsidP="004B2CD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مكافحة الفساد بأشكاله المختلفة عبر إغلاق الثغرات التي تُتيح ممارسته</w:t>
      </w:r>
      <w:r w:rsidR="00C54E43" w:rsidRPr="004B2CD4">
        <w:rPr>
          <w:rFonts w:ascii="Simplified Arabic" w:eastAsia="Times New Roman" w:hAnsi="Simplified Arabic" w:cs="Simplified Arabic"/>
          <w:color w:val="000000" w:themeColor="text1"/>
          <w:kern w:val="0"/>
          <w:sz w:val="28"/>
          <w:szCs w:val="28"/>
          <w14:ligatures w14:val="none"/>
        </w:rPr>
        <w:t>.</w:t>
      </w:r>
    </w:p>
    <w:p w14:paraId="7B8FCAFC" w14:textId="77777777" w:rsidR="00C54E43" w:rsidRPr="004B2CD4" w:rsidRDefault="003745E0" w:rsidP="004B2CD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بناء ثقافة مؤسسية قائمة على المسؤولية والمحاسبة الذاتية قبل المحاسبة الخارجية</w:t>
      </w:r>
      <w:r w:rsidRPr="004B2CD4">
        <w:rPr>
          <w:rFonts w:ascii="Simplified Arabic" w:eastAsia="Times New Roman" w:hAnsi="Simplified Arabic" w:cs="Simplified Arabic"/>
          <w:color w:val="000000" w:themeColor="text1"/>
          <w:kern w:val="0"/>
          <w:sz w:val="28"/>
          <w:szCs w:val="28"/>
          <w14:ligatures w14:val="none"/>
        </w:rPr>
        <w:t>.</w:t>
      </w:r>
    </w:p>
    <w:p w14:paraId="383496B1" w14:textId="650A65B9" w:rsidR="003745E0" w:rsidRPr="004B2CD4" w:rsidRDefault="003745E0" w:rsidP="004B2CD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تعزيز ثقة المواطنين في المؤسسات الحكومية وقدرتها على إدارة الشأن العام</w:t>
      </w:r>
      <w:r w:rsidRPr="004B2CD4">
        <w:rPr>
          <w:rFonts w:ascii="Simplified Arabic" w:eastAsia="Times New Roman" w:hAnsi="Simplified Arabic" w:cs="Simplified Arabic"/>
          <w:color w:val="000000" w:themeColor="text1"/>
          <w:kern w:val="0"/>
          <w:sz w:val="28"/>
          <w:szCs w:val="28"/>
          <w14:ligatures w14:val="none"/>
        </w:rPr>
        <w:t>.</w:t>
      </w:r>
    </w:p>
    <w:p w14:paraId="5485D48C"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منظور تطويري، يُحدّد السعيد (٢٠٢٤) أهدافًا إضافية للحوكمة، تشمل: تحقيق متطلبات الاعتماد المؤسسي عبر الالتزام بالمعايير المعتمدة دوليًّا، وتطوير منظومة الجودة الشاملة في المؤسسات، والارتقاء بمستوى الخدمات المُقدّمة للمستفيدين، وتعزيز التنافسية المؤسسية في بيئة العمل المحلية والإقليمية</w:t>
      </w:r>
      <w:r w:rsidRPr="004B2CD4">
        <w:rPr>
          <w:rFonts w:ascii="Simplified Arabic" w:eastAsia="Times New Roman" w:hAnsi="Simplified Arabic" w:cs="Simplified Arabic"/>
          <w:color w:val="000000" w:themeColor="text1"/>
          <w:kern w:val="0"/>
          <w:sz w:val="28"/>
          <w:szCs w:val="28"/>
          <w14:ligatures w14:val="none"/>
        </w:rPr>
        <w:t>.</w:t>
      </w:r>
    </w:p>
    <w:p w14:paraId="2D37ED4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ويُشير</w:t>
      </w:r>
      <w:r w:rsidRPr="004B2CD4">
        <w:rPr>
          <w:rFonts w:ascii="Simplified Arabic" w:eastAsia="Times New Roman" w:hAnsi="Simplified Arabic" w:cs="Simplified Arabic"/>
          <w:color w:val="000000" w:themeColor="text1"/>
          <w:kern w:val="0"/>
          <w:sz w:val="28"/>
          <w:szCs w:val="28"/>
          <w14:ligatures w14:val="none"/>
        </w:rPr>
        <w:t xml:space="preserve"> Sari (2023) </w:t>
      </w:r>
      <w:r w:rsidRPr="004B2CD4">
        <w:rPr>
          <w:rFonts w:ascii="Simplified Arabic" w:eastAsia="Times New Roman" w:hAnsi="Simplified Arabic" w:cs="Simplified Arabic"/>
          <w:color w:val="000000" w:themeColor="text1"/>
          <w:kern w:val="0"/>
          <w:sz w:val="28"/>
          <w:szCs w:val="28"/>
          <w:rtl/>
          <w14:ligatures w14:val="none"/>
        </w:rPr>
        <w:t xml:space="preserve">إلى أن من أهداف الحوكمة الرشيدة الارتقاء بجودة عمليات صنع القرار في الإدارة العامة، عبر توفير إطار مؤسسي يَكفل تحليل المعلومات ودراسة البدائل وتقييم الخيارات وفق منهجية </w:t>
      </w:r>
      <w:r w:rsidRPr="004B2CD4">
        <w:rPr>
          <w:rFonts w:ascii="Simplified Arabic" w:eastAsia="Times New Roman" w:hAnsi="Simplified Arabic" w:cs="Simplified Arabic"/>
          <w:color w:val="000000" w:themeColor="text1"/>
          <w:kern w:val="0"/>
          <w:sz w:val="28"/>
          <w:szCs w:val="28"/>
          <w:rtl/>
          <w14:ligatures w14:val="none"/>
        </w:rPr>
        <w:lastRenderedPageBreak/>
        <w:t>علمية. ويُضيف</w:t>
      </w:r>
      <w:r w:rsidRPr="004B2CD4">
        <w:rPr>
          <w:rFonts w:ascii="Simplified Arabic" w:eastAsia="Times New Roman" w:hAnsi="Simplified Arabic" w:cs="Simplified Arabic"/>
          <w:color w:val="000000" w:themeColor="text1"/>
          <w:kern w:val="0"/>
          <w:sz w:val="28"/>
          <w:szCs w:val="28"/>
          <w14:ligatures w14:val="none"/>
        </w:rPr>
        <w:t xml:space="preserve"> Brandsma &amp; Meijer (2022) </w:t>
      </w:r>
      <w:r w:rsidRPr="004B2CD4">
        <w:rPr>
          <w:rFonts w:ascii="Simplified Arabic" w:eastAsia="Times New Roman" w:hAnsi="Simplified Arabic" w:cs="Simplified Arabic"/>
          <w:color w:val="000000" w:themeColor="text1"/>
          <w:kern w:val="0"/>
          <w:sz w:val="28"/>
          <w:szCs w:val="28"/>
          <w:rtl/>
          <w14:ligatures w14:val="none"/>
        </w:rPr>
        <w:t>أن الحوكمة تستهدف رفع كفاءة عمليات اتخاذ القرار في السياقات المتعددة الفاعلين، عبر تنظيم المشاركة وتوضيح الأدوار وضبط آليات التداول</w:t>
      </w:r>
      <w:r w:rsidRPr="004B2CD4">
        <w:rPr>
          <w:rFonts w:ascii="Simplified Arabic" w:eastAsia="Times New Roman" w:hAnsi="Simplified Arabic" w:cs="Simplified Arabic"/>
          <w:color w:val="000000" w:themeColor="text1"/>
          <w:kern w:val="0"/>
          <w:sz w:val="28"/>
          <w:szCs w:val="28"/>
          <w14:ligatures w14:val="none"/>
        </w:rPr>
        <w:t>.</w:t>
      </w:r>
    </w:p>
    <w:p w14:paraId="5597992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ويَستخلص الباحث من مجمل هذه الإسهامات أن أهداف الحوكمة المؤسسية تتوزّع على أربعة محاور متكاملة: محور قيمي يَستهدف ترسيخ النزاهة والشفافية ومكافحة الفساد، ومحور اقتصادي يستهدف ترشيد الموارد وكفاءة الإنفاق، ومحور إداري يستهدف تطوير الأداء وتحسين عمليات اتخاذ القرار، ومحور علائقي يستهدف بناء الثقة المؤسسية وتعزيز العلاقة مع أصحاب المصالح. ويتأكّد بهذا التوزيع أن الحوكمة ليست أداة وظيفية محدودة، بل منظومة متكاملة الأبعاد تخدم مقاصد متشعّبة في الفعل المؤسسي</w:t>
      </w:r>
      <w:r w:rsidRPr="004B2CD4">
        <w:rPr>
          <w:rFonts w:ascii="Simplified Arabic" w:eastAsia="Times New Roman" w:hAnsi="Simplified Arabic" w:cs="Simplified Arabic"/>
          <w:color w:val="000000" w:themeColor="text1"/>
          <w:kern w:val="0"/>
          <w:sz w:val="28"/>
          <w:szCs w:val="28"/>
          <w14:ligatures w14:val="none"/>
        </w:rPr>
        <w:t>.</w:t>
      </w:r>
    </w:p>
    <w:p w14:paraId="33DA985A" w14:textId="09B036B5"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025097"/>
      <w:r w:rsidRPr="004B2CD4">
        <w:rPr>
          <w:rFonts w:ascii="Simplified Arabic" w:eastAsia="Times New Roman" w:hAnsi="Simplified Arabic" w:cs="Simplified Arabic" w:hint="cs"/>
          <w:b/>
          <w:bCs/>
          <w:color w:val="000000" w:themeColor="text1"/>
          <w:kern w:val="0"/>
          <w:sz w:val="32"/>
          <w:szCs w:val="32"/>
          <w:rtl/>
          <w14:ligatures w14:val="none"/>
        </w:rPr>
        <w:t>5.1.2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أبعاد الحوكمة المؤسسية</w:t>
      </w:r>
      <w:bookmarkEnd w:id="35"/>
    </w:p>
    <w:p w14:paraId="641376DB"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تَتعدّد التصنيفات التي قَدّمها الباحثون لأبعاد الحوكمة المؤسسية، وتَتفاوت بحسب المرجعية الفكرية وبيئة التطبيق وطبيعة المنظمة محل الدراسة. وقد تَمّ تحديد أبعاد الحوكمة المؤسسية في الدراسة الحالية بناءً على ما طَرحه الشلفان (٢٠٢١) من تصنيف يُركّز على الشفافية ومكافحة الفساد بوصفها مدخلًا لإصلاح الممارسة الإدارية، وما أَورده الزهراني (٢٠٢٠) من تأكيد على المساءلة والنزاهة بوصفهما ركيزتي الحوكمة في القطاع العام، فضلًا </w:t>
      </w:r>
      <w:proofErr w:type="gramStart"/>
      <w:r w:rsidRPr="004B2CD4">
        <w:rPr>
          <w:rFonts w:ascii="Simplified Arabic" w:eastAsia="Times New Roman" w:hAnsi="Simplified Arabic" w:cs="Simplified Arabic"/>
          <w:color w:val="000000" w:themeColor="text1"/>
          <w:kern w:val="0"/>
          <w:sz w:val="28"/>
          <w:szCs w:val="28"/>
          <w:rtl/>
          <w14:ligatures w14:val="none"/>
        </w:rPr>
        <w:t>عن ما</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طَرحه</w:t>
      </w:r>
      <w:r w:rsidRPr="004B2CD4">
        <w:rPr>
          <w:rFonts w:ascii="Simplified Arabic" w:eastAsia="Times New Roman" w:hAnsi="Simplified Arabic" w:cs="Simplified Arabic"/>
          <w:color w:val="000000" w:themeColor="text1"/>
          <w:kern w:val="0"/>
          <w:sz w:val="28"/>
          <w:szCs w:val="28"/>
          <w14:ligatures w14:val="none"/>
        </w:rPr>
        <w:t xml:space="preserve"> Thanaraj et al. (2025) </w:t>
      </w:r>
      <w:r w:rsidRPr="004B2CD4">
        <w:rPr>
          <w:rFonts w:ascii="Simplified Arabic" w:eastAsia="Times New Roman" w:hAnsi="Simplified Arabic" w:cs="Simplified Arabic"/>
          <w:color w:val="000000" w:themeColor="text1"/>
          <w:kern w:val="0"/>
          <w:sz w:val="28"/>
          <w:szCs w:val="28"/>
          <w:rtl/>
          <w14:ligatures w14:val="none"/>
        </w:rPr>
        <w:t>من إطار يَجمع بين القيادة الأخلاقية والتدابير القانونية والإدارة التشاركية. وقد استَقرّ الباحث على أربعة أبعاد رئيسية تَستوعب جوهر المفهوم وتَتلاءم مع بيئة الجهات الحكومية السعودية، وهي: الشفافية، والمساءلة، والمشاركة في صنع القرار، وسيادة القانون</w:t>
      </w:r>
      <w:r w:rsidRPr="004B2CD4">
        <w:rPr>
          <w:rFonts w:ascii="Simplified Arabic" w:eastAsia="Times New Roman" w:hAnsi="Simplified Arabic" w:cs="Simplified Arabic"/>
          <w:color w:val="000000" w:themeColor="text1"/>
          <w:kern w:val="0"/>
          <w:sz w:val="28"/>
          <w:szCs w:val="28"/>
          <w14:ligatures w14:val="none"/>
        </w:rPr>
        <w:t>.</w:t>
      </w:r>
    </w:p>
    <w:p w14:paraId="59C3984F" w14:textId="77777777" w:rsidR="003745E0" w:rsidRPr="004B2CD4" w:rsidRDefault="003745E0" w:rsidP="004B2C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البُعد الأول: الشفافية</w:t>
      </w:r>
    </w:p>
    <w:p w14:paraId="3FB6E5F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تُمثّل الشفافية حجر الزاوية في منظومة الحوكمة المؤسسية، إذ يَتوقّف على وجودها فاعلية سائر الأبعاد الأخرى. ويُعالج المنصوري (٢٠٢٤) هذا البُعد باعتباره إتاحة المعلومات المتعلقة بالأداء المؤسسي وقراراته وسياساته لجميع الأطراف المعنية، بصورة دقيقة وفي توقيت ملائم وبأسلوب مفهوم. ولا تَقتصر الشفافية على مجرد نشر المعلومات، بل تَمتدّ لتشمل جودة هذه المعلومات وشموليتها وقابليتها للفهم والتحقق. وفي بيئة الجهات الحكومية، تَتجلّى الشفافية في الإفصاح عن السياسات والإجراءات والميزانيات ومعايير اتخاذ القرار، بما يُمكّن المواطنين والمستفيدين من فهم مجريات العمل وتقييمها</w:t>
      </w:r>
      <w:r w:rsidRPr="004B2CD4">
        <w:rPr>
          <w:rFonts w:ascii="Simplified Arabic" w:eastAsia="Times New Roman" w:hAnsi="Simplified Arabic" w:cs="Simplified Arabic"/>
          <w:color w:val="000000" w:themeColor="text1"/>
          <w:kern w:val="0"/>
          <w:sz w:val="28"/>
          <w:szCs w:val="28"/>
          <w14:ligatures w14:val="none"/>
        </w:rPr>
        <w:t>.</w:t>
      </w:r>
    </w:p>
    <w:p w14:paraId="66A20C33"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ويُضيف موسي (٢٠٢١) بُعدًا تكميليًّا للشفافية يَتمثّل في شفافية المعلومات المحاسبية، إذ يَرى أن الشفافية لا تَكتمل دون أن تشمل البيانات المالية ومعايير قياسها وآليات تدقيقها، وهو ما يُعزّز ثقة أصحاب المصالح في الأداء المؤسسي. ومن منظور حديث، تَستفيد الشفافية من التحوّل الرقمي لتَتوسّع نطاقًا وتَتعمّق محتوًى، إذ تُتيح التقنيات الحديثة نشر المعلومات على نطاق واسع وبتكلفة منخفضة، وتُمكّن المستفيدين من الوصول إليها في أي وقت ومن أي مكان</w:t>
      </w:r>
      <w:r w:rsidRPr="004B2CD4">
        <w:rPr>
          <w:rFonts w:ascii="Simplified Arabic" w:eastAsia="Times New Roman" w:hAnsi="Simplified Arabic" w:cs="Simplified Arabic"/>
          <w:color w:val="000000" w:themeColor="text1"/>
          <w:kern w:val="0"/>
          <w:sz w:val="28"/>
          <w:szCs w:val="28"/>
          <w14:ligatures w14:val="none"/>
        </w:rPr>
        <w:t>.</w:t>
      </w:r>
    </w:p>
    <w:p w14:paraId="71BAF2F1" w14:textId="77777777" w:rsidR="003745E0" w:rsidRPr="004B2CD4" w:rsidRDefault="003745E0" w:rsidP="004B2C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البُعد الثاني: المساءلة</w:t>
      </w:r>
    </w:p>
    <w:p w14:paraId="2C06EF6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تُعدّ المساءلة البُعد الذي يَمنح الحوكمة قوّتها الإلزامية، إذ تتحوّل من خلالها القواعد المكتوبة إلى ممارسة فعلية ذات أثر. ويُعالج</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Almajri</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(2024) </w:t>
      </w:r>
      <w:r w:rsidRPr="004B2CD4">
        <w:rPr>
          <w:rFonts w:ascii="Simplified Arabic" w:eastAsia="Times New Roman" w:hAnsi="Simplified Arabic" w:cs="Simplified Arabic"/>
          <w:color w:val="000000" w:themeColor="text1"/>
          <w:kern w:val="0"/>
          <w:sz w:val="28"/>
          <w:szCs w:val="28"/>
          <w:rtl/>
          <w14:ligatures w14:val="none"/>
        </w:rPr>
        <w:t>هذا البُعد باعتباره منظومة من الآليات التي تَكفل تحمّل الأفراد والجهات لمسؤولية قراراتهم وأفعالهم، وتُخضعهم للمحاسبة على نتائج هذه القرارات. وتَتوزّع المساءلة على مستويات متعددة، تَشمل المساءلة الإدارية الداخلية بين المستويات الوظيفية المختلفة، والمساءلة المالية المتعلقة باستخدام الموارد، والمساءلة القانونية المرتبطة بالالتزام بالأنظمة، والمساءلة الاجتماعية المتعلقة بالمسؤولية تجاه المجتمع</w:t>
      </w:r>
      <w:r w:rsidRPr="004B2CD4">
        <w:rPr>
          <w:rFonts w:ascii="Simplified Arabic" w:eastAsia="Times New Roman" w:hAnsi="Simplified Arabic" w:cs="Simplified Arabic"/>
          <w:color w:val="000000" w:themeColor="text1"/>
          <w:kern w:val="0"/>
          <w:sz w:val="28"/>
          <w:szCs w:val="28"/>
          <w14:ligatures w14:val="none"/>
        </w:rPr>
        <w:t>.</w:t>
      </w:r>
    </w:p>
    <w:p w14:paraId="211B12F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ويُكمّل رضوان (٢٠٢٥) معالجة هذا البُعد بالإشارة إلى أن المساءلة تُمثّل أداة فعّالة لضبط السلوك المؤسسي والحدّ من الظواهر السلبية، إذ توفّر بيئة عمل قائمة على وضوح المعايير وتكافؤ الفرص والعدالة الإجرائية. ولا تُؤتي المساءلة ثمارها إلّا حين تَقترن بمعايير واضحة للأداء وآليات موضوعية للقياس، وبثقافة مؤسسية تَنظر إليها بوصفها أداة تطوير لا أداة عقاب فحسب</w:t>
      </w:r>
      <w:r w:rsidRPr="004B2CD4">
        <w:rPr>
          <w:rFonts w:ascii="Simplified Arabic" w:eastAsia="Times New Roman" w:hAnsi="Simplified Arabic" w:cs="Simplified Arabic"/>
          <w:color w:val="000000" w:themeColor="text1"/>
          <w:kern w:val="0"/>
          <w:sz w:val="28"/>
          <w:szCs w:val="28"/>
          <w14:ligatures w14:val="none"/>
        </w:rPr>
        <w:t>.</w:t>
      </w:r>
    </w:p>
    <w:p w14:paraId="26B371B0" w14:textId="77777777" w:rsidR="003745E0" w:rsidRPr="004B2CD4" w:rsidRDefault="003745E0" w:rsidP="004B2C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البُعد الثالث: المشاركة في صنع القرار</w:t>
      </w:r>
    </w:p>
    <w:p w14:paraId="4D1D2C40"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يُعبّر هذا البُعد عن الانتقال من النموذج التقليدي للإدارة القائم على المركزية والانفراد بالقرار، إلى نموذج أكثر تشاركية يُتيح للأطراف المعنية الإسهام في صياغة القرارات التي تَمسّ مصالحها. ويُعالج</w:t>
      </w:r>
      <w:r w:rsidRPr="004B2CD4">
        <w:rPr>
          <w:rFonts w:ascii="Simplified Arabic" w:eastAsia="Times New Roman" w:hAnsi="Simplified Arabic" w:cs="Simplified Arabic"/>
          <w:color w:val="000000" w:themeColor="text1"/>
          <w:kern w:val="0"/>
          <w:sz w:val="28"/>
          <w:szCs w:val="28"/>
          <w14:ligatures w14:val="none"/>
        </w:rPr>
        <w:t xml:space="preserve"> Thanaraj et al. (2025) </w:t>
      </w:r>
      <w:r w:rsidRPr="004B2CD4">
        <w:rPr>
          <w:rFonts w:ascii="Simplified Arabic" w:eastAsia="Times New Roman" w:hAnsi="Simplified Arabic" w:cs="Simplified Arabic"/>
          <w:color w:val="000000" w:themeColor="text1"/>
          <w:kern w:val="0"/>
          <w:sz w:val="28"/>
          <w:szCs w:val="28"/>
          <w:rtl/>
          <w14:ligatures w14:val="none"/>
        </w:rPr>
        <w:t>هذا البُعد باعتباره أحد المكوّنات الجوهرية للحوكمة الفعّالة، إذ تُسهم الإدارة التشاركية في إثراء عملية صنع القرار وتعزيز مشروعيتها وقبولها لدى المتأثرين بها. وتَتجلّى المشاركة في عدة صور، منها إشراك العاملين في صياغة السياسات والإجراءات، واستطلاع آراء المستفيدين قبل اتخاذ القرارات التي تخصّهم، وإتاحة قنوات للتواصل والتغذية الراجعة بين المؤسسة وجمهورها</w:t>
      </w:r>
      <w:r w:rsidRPr="004B2CD4">
        <w:rPr>
          <w:rFonts w:ascii="Simplified Arabic" w:eastAsia="Times New Roman" w:hAnsi="Simplified Arabic" w:cs="Simplified Arabic"/>
          <w:color w:val="000000" w:themeColor="text1"/>
          <w:kern w:val="0"/>
          <w:sz w:val="28"/>
          <w:szCs w:val="28"/>
          <w14:ligatures w14:val="none"/>
        </w:rPr>
        <w:t>.</w:t>
      </w:r>
    </w:p>
    <w:p w14:paraId="73377FBE"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وتَكتسب المشاركة في صنع القرار أهمية متزايدة في البيئة المؤسسية المعاصرة، إذ تَكشف عن قدرة المؤسسة على استثمار الخبرات المتنوعة والاستفادة من المعرفة الموزّعة بين أفرادها. وتَنعكس هذه المشاركة على جودة القرارات المتخذة وعلى مستوى الالتزام بتنفيذها، إذ يَزداد التزام الأفراد بالقرارات التي أسهموا في صياغتها</w:t>
      </w:r>
      <w:r w:rsidRPr="004B2CD4">
        <w:rPr>
          <w:rFonts w:ascii="Simplified Arabic" w:eastAsia="Times New Roman" w:hAnsi="Simplified Arabic" w:cs="Simplified Arabic"/>
          <w:color w:val="000000" w:themeColor="text1"/>
          <w:kern w:val="0"/>
          <w:sz w:val="28"/>
          <w:szCs w:val="28"/>
          <w14:ligatures w14:val="none"/>
        </w:rPr>
        <w:t>.</w:t>
      </w:r>
    </w:p>
    <w:p w14:paraId="332C9CD4" w14:textId="77777777" w:rsidR="003745E0" w:rsidRPr="004B2CD4" w:rsidRDefault="003745E0" w:rsidP="004B2CD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t>البُعد الرابع: سيادة القانون</w:t>
      </w:r>
    </w:p>
    <w:p w14:paraId="51892DC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يُمثّل هذا البُعد الإطار الناظم لسائر أبعاد الحوكمة، إذ يَكفل خضوع الجميع لأحكام القانون والأنظمة المعتمدة، دون استثناء أو محاباة. ويُعالج الزهراني (٢٠٢٠) سيادة القانون باعتبارها مبدأً يَقتضي أن تكون القواعد القانونية واضحة ومُعلنة ومُطبّقة بصورة منتظمة وعادلة على جميع الأطراف، وأن تَتوفّر آليات مستقلة للفصل في المنازعات وضمان تطبيق الأحكام. وتَتجلّى سيادة القانون في البيئة المؤسسية عبر وضوح الأنظمة واللوائح، وتطبيقها بصورة متّسقة، وضمان حق الأطراف المعنية في التظلّم والاعتراض، واستقلالية الجهات الرقابية والقضائية</w:t>
      </w:r>
      <w:r w:rsidRPr="004B2CD4">
        <w:rPr>
          <w:rFonts w:ascii="Simplified Arabic" w:eastAsia="Times New Roman" w:hAnsi="Simplified Arabic" w:cs="Simplified Arabic"/>
          <w:color w:val="000000" w:themeColor="text1"/>
          <w:kern w:val="0"/>
          <w:sz w:val="28"/>
          <w:szCs w:val="28"/>
          <w14:ligatures w14:val="none"/>
        </w:rPr>
        <w:t>.</w:t>
      </w:r>
    </w:p>
    <w:p w14:paraId="16AE3769"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ويُضيف </w:t>
      </w:r>
      <w:proofErr w:type="spellStart"/>
      <w:r w:rsidRPr="004B2CD4">
        <w:rPr>
          <w:rFonts w:ascii="Simplified Arabic" w:eastAsia="Times New Roman" w:hAnsi="Simplified Arabic" w:cs="Simplified Arabic"/>
          <w:color w:val="000000" w:themeColor="text1"/>
          <w:kern w:val="0"/>
          <w:sz w:val="28"/>
          <w:szCs w:val="28"/>
          <w:rtl/>
          <w14:ligatures w14:val="none"/>
        </w:rPr>
        <w:t>الحضيري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(٢٠٢٥) أن سيادة القانون تُمثّل الضمانة الأساسية للحدّ من الفساد الإداري، إذ تَنزع الذرائع التي يَستند إليها مرتكبوه، وتَجعل المؤسسة بمنأى عن النفوذ والمصالح الشخصية. وتَتكامل سيادة القانون مع المساءلة، إذ تَستمدّ الأخيرة شرعيتها من القواعد القانونية، فيما تُضفي المساءلة على القانون فاعليته التطبيقية</w:t>
      </w:r>
      <w:r w:rsidRPr="004B2CD4">
        <w:rPr>
          <w:rFonts w:ascii="Simplified Arabic" w:eastAsia="Times New Roman" w:hAnsi="Simplified Arabic" w:cs="Simplified Arabic"/>
          <w:color w:val="000000" w:themeColor="text1"/>
          <w:kern w:val="0"/>
          <w:sz w:val="28"/>
          <w:szCs w:val="28"/>
          <w14:ligatures w14:val="none"/>
        </w:rPr>
        <w:t>.</w:t>
      </w:r>
    </w:p>
    <w:p w14:paraId="3490843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وإلى جانب هذه الأبعاد الأربعة، يَطرح بعض الباحثين أبعادًا تكميلية تَستحقّ الإشارة، منها بُعد الاستجابة الذي يُعالجه</w:t>
      </w:r>
      <w:r w:rsidRPr="004B2CD4">
        <w:rPr>
          <w:rFonts w:ascii="Simplified Arabic" w:eastAsia="Times New Roman" w:hAnsi="Simplified Arabic" w:cs="Simplified Arabic"/>
          <w:color w:val="000000" w:themeColor="text1"/>
          <w:kern w:val="0"/>
          <w:sz w:val="28"/>
          <w:szCs w:val="28"/>
          <w14:ligatures w14:val="none"/>
        </w:rPr>
        <w:t xml:space="preserve"> Mansoor (2021) </w:t>
      </w:r>
      <w:r w:rsidRPr="004B2CD4">
        <w:rPr>
          <w:rFonts w:ascii="Simplified Arabic" w:eastAsia="Times New Roman" w:hAnsi="Simplified Arabic" w:cs="Simplified Arabic"/>
          <w:color w:val="000000" w:themeColor="text1"/>
          <w:kern w:val="0"/>
          <w:sz w:val="28"/>
          <w:szCs w:val="28"/>
          <w:rtl/>
          <w14:ligatures w14:val="none"/>
        </w:rPr>
        <w:t xml:space="preserve">باعتباره قدرة المؤسسة على التفاعل مع احتياجات المستفيدين وتلبيتها في الوقت المناسب، وبُعد العدالة والمساواة الذي يُعالجه </w:t>
      </w:r>
      <w:proofErr w:type="gramStart"/>
      <w:r w:rsidRPr="004B2CD4">
        <w:rPr>
          <w:rFonts w:ascii="Simplified Arabic" w:eastAsia="Times New Roman" w:hAnsi="Simplified Arabic" w:cs="Simplified Arabic"/>
          <w:color w:val="000000" w:themeColor="text1"/>
          <w:kern w:val="0"/>
          <w:sz w:val="28"/>
          <w:szCs w:val="28"/>
          <w:rtl/>
          <w14:ligatures w14:val="none"/>
        </w:rPr>
        <w:t>عبدالوهاب</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rtl/>
          <w14:ligatures w14:val="none"/>
        </w:rPr>
        <w:t>وعبداللاوي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(٢٠٢١) باعتباره معاملة جميع الأطراف بإنصاف دون تمييز، وبُعد الكفاءة والفاعلية الذي يُعالجه</w:t>
      </w:r>
      <w:r w:rsidRPr="004B2CD4">
        <w:rPr>
          <w:rFonts w:ascii="Simplified Arabic" w:eastAsia="Times New Roman" w:hAnsi="Simplified Arabic" w:cs="Simplified Arabic"/>
          <w:color w:val="000000" w:themeColor="text1"/>
          <w:kern w:val="0"/>
          <w:sz w:val="28"/>
          <w:szCs w:val="28"/>
          <w14:ligatures w14:val="none"/>
        </w:rPr>
        <w:t xml:space="preserve"> Negri &amp; </w:t>
      </w:r>
      <w:proofErr w:type="spellStart"/>
      <w:r w:rsidRPr="004B2CD4">
        <w:rPr>
          <w:rFonts w:ascii="Simplified Arabic" w:eastAsia="Times New Roman" w:hAnsi="Simplified Arabic" w:cs="Simplified Arabic"/>
          <w:color w:val="000000" w:themeColor="text1"/>
          <w:kern w:val="0"/>
          <w:sz w:val="28"/>
          <w:szCs w:val="28"/>
          <w14:ligatures w14:val="none"/>
        </w:rPr>
        <w:t>Dinc</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(2023) </w:t>
      </w:r>
      <w:r w:rsidRPr="004B2CD4">
        <w:rPr>
          <w:rFonts w:ascii="Simplified Arabic" w:eastAsia="Times New Roman" w:hAnsi="Simplified Arabic" w:cs="Simplified Arabic"/>
          <w:color w:val="000000" w:themeColor="text1"/>
          <w:kern w:val="0"/>
          <w:sz w:val="28"/>
          <w:szCs w:val="28"/>
          <w:rtl/>
          <w14:ligatures w14:val="none"/>
        </w:rPr>
        <w:t>باعتباره الاستخدام الأمثل للموارد لتحقيق الأهداف المؤسسية. غير أن الباحث آثَر الاقتصار على الأبعاد الأربعة الأولى لأنها تَستوعب جوهر المفهوم وتَتلاءم مع طبيعة الدراسة الحالية وبيئة تطبيقها</w:t>
      </w:r>
      <w:r w:rsidRPr="004B2CD4">
        <w:rPr>
          <w:rFonts w:ascii="Simplified Arabic" w:eastAsia="Times New Roman" w:hAnsi="Simplified Arabic" w:cs="Simplified Arabic"/>
          <w:color w:val="000000" w:themeColor="text1"/>
          <w:kern w:val="0"/>
          <w:sz w:val="28"/>
          <w:szCs w:val="28"/>
          <w14:ligatures w14:val="none"/>
        </w:rPr>
        <w:t>.</w:t>
      </w:r>
    </w:p>
    <w:p w14:paraId="272E3B35" w14:textId="0EFA3F99"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025098"/>
      <w:r w:rsidRPr="004B2CD4">
        <w:rPr>
          <w:rFonts w:ascii="Simplified Arabic" w:eastAsia="Times New Roman" w:hAnsi="Simplified Arabic" w:cs="Simplified Arabic" w:hint="cs"/>
          <w:b/>
          <w:bCs/>
          <w:color w:val="000000" w:themeColor="text1"/>
          <w:kern w:val="0"/>
          <w:sz w:val="32"/>
          <w:szCs w:val="32"/>
          <w:rtl/>
          <w14:ligatures w14:val="none"/>
        </w:rPr>
        <w:t>6.1.2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الحوكمة المؤسسية</w:t>
      </w:r>
      <w:bookmarkEnd w:id="36"/>
    </w:p>
    <w:p w14:paraId="33A21D5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لا يَكفي للحوكمة أن تَكون مفهومًا نظريًّا مُتقَنًا، بل تَستلزم استراتيجيات تطبيقية تَنقلها من حيّز التنظير إلى مجال الممارسة. ويُعالج الحربي (٢٠٢٢) جملة من الاستراتيجيات التي تَكفل تفعيل الحوكمة في </w:t>
      </w:r>
      <w:r w:rsidRPr="004B2CD4">
        <w:rPr>
          <w:rFonts w:ascii="Simplified Arabic" w:eastAsia="Times New Roman" w:hAnsi="Simplified Arabic" w:cs="Simplified Arabic"/>
          <w:color w:val="000000" w:themeColor="text1"/>
          <w:kern w:val="0"/>
          <w:sz w:val="28"/>
          <w:szCs w:val="28"/>
          <w:rtl/>
          <w14:ligatures w14:val="none"/>
        </w:rPr>
        <w:lastRenderedPageBreak/>
        <w:t>المؤسسات الحكومية، من أبرزها: استراتيجية بناء الإطار التشريعي والتنظيمي الذي يُحدّد قواعد الممارسة ومعاييرها، واستراتيجية تطوير الهيكل المؤسسي بما يَخدم متطلبات الحوكمة عبر إنشاء وحدات متخصصة للرقابة والامتثال، واستراتيجية تأهيل الكوادر البشرية وتنمية قدراتها في مجال الحوكمة، واستراتيجية الرقابة والتقييم المستمر لقياس مستوى تطبيق المعايير ومعالجة مواطن القصور</w:t>
      </w:r>
      <w:r w:rsidRPr="004B2CD4">
        <w:rPr>
          <w:rFonts w:ascii="Simplified Arabic" w:eastAsia="Times New Roman" w:hAnsi="Simplified Arabic" w:cs="Simplified Arabic"/>
          <w:color w:val="000000" w:themeColor="text1"/>
          <w:kern w:val="0"/>
          <w:sz w:val="28"/>
          <w:szCs w:val="28"/>
          <w14:ligatures w14:val="none"/>
        </w:rPr>
        <w:t>.</w:t>
      </w:r>
    </w:p>
    <w:p w14:paraId="6D4BAE0D"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ويَطرح أبو حمور وأبو حمدة (٢٠٢٢) استراتيجية متكاملة تَقوم على تعزيز جودة المعلومات بوصفها مدخلًا لتفعيل الحوكمة، إذ يَرى الباحثان أن الحوكمة تَتعطّل في غياب منظومة معلوماتية موثوقة، ومن ثمّ فإن الاستثمار في تطوير نظم المعلومات وضمان جودتها يُمثّل ركيزة أساسية لنجاح أي تطبيق </w:t>
      </w:r>
      <w:proofErr w:type="spellStart"/>
      <w:r w:rsidRPr="004B2CD4">
        <w:rPr>
          <w:rFonts w:ascii="Simplified Arabic" w:eastAsia="Times New Roman" w:hAnsi="Simplified Arabic" w:cs="Simplified Arabic"/>
          <w:color w:val="000000" w:themeColor="text1"/>
          <w:kern w:val="0"/>
          <w:sz w:val="28"/>
          <w:szCs w:val="28"/>
          <w:rtl/>
          <w14:ligatures w14:val="none"/>
        </w:rPr>
        <w:t>حوكمي</w:t>
      </w:r>
      <w:proofErr w:type="spellEnd"/>
      <w:r w:rsidRPr="004B2CD4">
        <w:rPr>
          <w:rFonts w:ascii="Simplified Arabic" w:eastAsia="Times New Roman" w:hAnsi="Simplified Arabic" w:cs="Simplified Arabic"/>
          <w:color w:val="000000" w:themeColor="text1"/>
          <w:kern w:val="0"/>
          <w:sz w:val="28"/>
          <w:szCs w:val="28"/>
          <w14:ligatures w14:val="none"/>
        </w:rPr>
        <w:t>.</w:t>
      </w:r>
    </w:p>
    <w:p w14:paraId="0B610BB5"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منظور تقني، تَكتسب استراتيجية الحوكمة الرقمية أهمية متصاعدة، إذ يُؤكّد العمري (٢٠٢٥) أن برامج التحوّل الرقمي تُمثّل رافدًا جوهريًّا لتفعيل الحوكمة، عبر توفير منصات إلكترونية تُتيح الإفصاح والشفافية والمشاركة، وتُيسّر الرقابة والمتابعة، وتَدعم اتخاذ القرارات القائمة على البيانات. ويُضيف</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Hossin</w:t>
      </w:r>
      <w:proofErr w:type="spellEnd"/>
      <w:r w:rsidRPr="004B2CD4">
        <w:rPr>
          <w:rFonts w:ascii="Simplified Arabic" w:eastAsia="Times New Roman" w:hAnsi="Simplified Arabic" w:cs="Simplified Arabic"/>
          <w:color w:val="000000" w:themeColor="text1"/>
          <w:kern w:val="0"/>
          <w:sz w:val="28"/>
          <w:szCs w:val="28"/>
          <w14:ligatures w14:val="none"/>
        </w:rPr>
        <w:t xml:space="preserve"> et al. (2023) </w:t>
      </w:r>
      <w:r w:rsidRPr="004B2CD4">
        <w:rPr>
          <w:rFonts w:ascii="Simplified Arabic" w:eastAsia="Times New Roman" w:hAnsi="Simplified Arabic" w:cs="Simplified Arabic"/>
          <w:color w:val="000000" w:themeColor="text1"/>
          <w:kern w:val="0"/>
          <w:sz w:val="28"/>
          <w:szCs w:val="28"/>
          <w:rtl/>
          <w14:ligatures w14:val="none"/>
        </w:rPr>
        <w:t>أن توظيف البيانات الضخمة في الحوكمة يُمثّل اتجاهًا حديثًا يَنقل المؤسسات من الحوكمة التقليدية إلى الحوكمة الذكية، التي تَعتمد على التحليل المعمّق للبيانات في صياغة السياسات وتقييم الأداء</w:t>
      </w:r>
      <w:r w:rsidRPr="004B2CD4">
        <w:rPr>
          <w:rFonts w:ascii="Simplified Arabic" w:eastAsia="Times New Roman" w:hAnsi="Simplified Arabic" w:cs="Simplified Arabic"/>
          <w:color w:val="000000" w:themeColor="text1"/>
          <w:kern w:val="0"/>
          <w:sz w:val="28"/>
          <w:szCs w:val="28"/>
          <w14:ligatures w14:val="none"/>
        </w:rPr>
        <w:t>.</w:t>
      </w:r>
    </w:p>
    <w:p w14:paraId="250AD049"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المنظور السلوكي، يُقدّم</w:t>
      </w:r>
      <w:r w:rsidRPr="004B2CD4">
        <w:rPr>
          <w:rFonts w:ascii="Simplified Arabic" w:eastAsia="Times New Roman" w:hAnsi="Simplified Arabic" w:cs="Simplified Arabic"/>
          <w:color w:val="000000" w:themeColor="text1"/>
          <w:kern w:val="0"/>
          <w:sz w:val="28"/>
          <w:szCs w:val="28"/>
          <w14:ligatures w14:val="none"/>
        </w:rPr>
        <w:t xml:space="preserve"> Lourenço et al. (2022) </w:t>
      </w:r>
      <w:r w:rsidRPr="004B2CD4">
        <w:rPr>
          <w:rFonts w:ascii="Simplified Arabic" w:eastAsia="Times New Roman" w:hAnsi="Simplified Arabic" w:cs="Simplified Arabic"/>
          <w:color w:val="000000" w:themeColor="text1"/>
          <w:kern w:val="0"/>
          <w:sz w:val="28"/>
          <w:szCs w:val="28"/>
          <w:rtl/>
          <w14:ligatures w14:val="none"/>
        </w:rPr>
        <w:t>إطارًا استراتيجيًّا يَجمع بين الحوكمة والاقتصاد السلوكي، إذ يَرى أن تطبيق الحوكمة يَستلزم فهمًا عميقًا للسلوك البشري في البيئة المؤسسية، وأن استراتيجيات الحوكمة الفعّالة هي تلك التي تَأخذ في حسبانها التحيّزات المعرفية والعوامل النفسية المؤثرة في صنع القرار، وتُصمّم آلياتها بما يَتلاءم مع طبيعة الفاعلين البشريين</w:t>
      </w:r>
      <w:r w:rsidRPr="004B2CD4">
        <w:rPr>
          <w:rFonts w:ascii="Simplified Arabic" w:eastAsia="Times New Roman" w:hAnsi="Simplified Arabic" w:cs="Simplified Arabic"/>
          <w:color w:val="000000" w:themeColor="text1"/>
          <w:kern w:val="0"/>
          <w:sz w:val="28"/>
          <w:szCs w:val="28"/>
          <w14:ligatures w14:val="none"/>
        </w:rPr>
        <w:t>.</w:t>
      </w:r>
    </w:p>
    <w:p w14:paraId="2AE5367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ويَستخلص الباحث ممّا تقدّم أن استراتيجيات تطبيق الحوكمة المؤسسية تَتوزّع على </w:t>
      </w:r>
      <w:proofErr w:type="gramStart"/>
      <w:r w:rsidRPr="004B2CD4">
        <w:rPr>
          <w:rFonts w:ascii="Simplified Arabic" w:eastAsia="Times New Roman" w:hAnsi="Simplified Arabic" w:cs="Simplified Arabic"/>
          <w:color w:val="000000" w:themeColor="text1"/>
          <w:kern w:val="0"/>
          <w:sz w:val="28"/>
          <w:szCs w:val="28"/>
          <w:rtl/>
          <w14:ligatures w14:val="none"/>
        </w:rPr>
        <w:t>أربعة</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مسارات متكاملة: مسار تشريعي يَستهدف بناء الإطار القانوني والتنظيمي، ومسار بنيوي يَستهدف تطوير الهيكل المؤسسي وتأهيل الكوادر، ومسار تقني يَستهدف توظيف التحوّل الرقمي في تفعيل الحوكمة، ومسار ثقافي يَستهدف ترسيخ قيم الحوكمة في الثقافة المؤسسية. وتَتكامل هذه المسارات في منظومة واحدة، إذ لا يُغني أحدها عن الآخر، بل يَستلزم النجاح </w:t>
      </w:r>
      <w:proofErr w:type="spellStart"/>
      <w:r w:rsidRPr="004B2CD4">
        <w:rPr>
          <w:rFonts w:ascii="Simplified Arabic" w:eastAsia="Times New Roman" w:hAnsi="Simplified Arabic" w:cs="Simplified Arabic"/>
          <w:color w:val="000000" w:themeColor="text1"/>
          <w:kern w:val="0"/>
          <w:sz w:val="28"/>
          <w:szCs w:val="28"/>
          <w:rtl/>
          <w14:ligatures w14:val="none"/>
        </w:rPr>
        <w:t>الحوكمي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تضافرها جميعًا في إطار رؤية استراتيجية شاملة</w:t>
      </w:r>
      <w:r w:rsidRPr="004B2CD4">
        <w:rPr>
          <w:rFonts w:ascii="Simplified Arabic" w:eastAsia="Times New Roman" w:hAnsi="Simplified Arabic" w:cs="Simplified Arabic"/>
          <w:color w:val="000000" w:themeColor="text1"/>
          <w:kern w:val="0"/>
          <w:sz w:val="28"/>
          <w:szCs w:val="28"/>
          <w14:ligatures w14:val="none"/>
        </w:rPr>
        <w:t>.</w:t>
      </w:r>
    </w:p>
    <w:p w14:paraId="10E0C63D" w14:textId="564015B3" w:rsidR="003745E0" w:rsidRPr="004B2CD4" w:rsidRDefault="00C54E43" w:rsidP="004B2CD4">
      <w:pPr>
        <w:spacing w:line="276" w:lineRule="auto"/>
        <w:jc w:val="center"/>
        <w:outlineLvl w:val="1"/>
        <w:rPr>
          <w:rFonts w:ascii="Simplified Arabic" w:eastAsia="Times New Roman" w:hAnsi="Simplified Arabic" w:cs="Simplified Arabic"/>
          <w:b/>
          <w:bCs/>
          <w:color w:val="000000" w:themeColor="text1"/>
          <w:kern w:val="0"/>
          <w:sz w:val="36"/>
          <w:szCs w:val="36"/>
          <w14:ligatures w14:val="none"/>
        </w:rPr>
      </w:pPr>
      <w:r w:rsidRPr="004B2CD4">
        <w:rPr>
          <w:rFonts w:ascii="Simplified Arabic" w:eastAsia="Times New Roman" w:hAnsi="Simplified Arabic" w:cs="Simplified Arabic"/>
          <w:color w:val="000000" w:themeColor="text1"/>
          <w:kern w:val="0"/>
          <w:sz w:val="36"/>
          <w:szCs w:val="36"/>
          <w:rtl/>
          <w:lang w:bidi="ar-EG"/>
          <w14:ligatures w14:val="none"/>
        </w:rPr>
        <w:br w:type="page"/>
      </w:r>
      <w:bookmarkStart w:id="37" w:name="_Toc233025099"/>
      <w:r w:rsidR="003745E0" w:rsidRPr="004B2CD4">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اتخاذ القرارات الإدارية</w:t>
      </w:r>
      <w:bookmarkEnd w:id="37"/>
    </w:p>
    <w:p w14:paraId="1A21C590" w14:textId="6B921B2F"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025100"/>
      <w:r w:rsidRPr="004B2CD4">
        <w:rPr>
          <w:rFonts w:ascii="Simplified Arabic" w:eastAsia="Times New Roman" w:hAnsi="Simplified Arabic" w:cs="Simplified Arabic" w:hint="cs"/>
          <w:b/>
          <w:bCs/>
          <w:color w:val="000000" w:themeColor="text1"/>
          <w:kern w:val="0"/>
          <w:sz w:val="32"/>
          <w:szCs w:val="32"/>
          <w:rtl/>
          <w14:ligatures w14:val="none"/>
        </w:rPr>
        <w:t xml:space="preserve">1.2.2 </w:t>
      </w:r>
      <w:r w:rsidR="003745E0" w:rsidRPr="004B2CD4">
        <w:rPr>
          <w:rFonts w:ascii="Simplified Arabic" w:eastAsia="Times New Roman" w:hAnsi="Simplified Arabic" w:cs="Simplified Arabic"/>
          <w:b/>
          <w:bCs/>
          <w:color w:val="000000" w:themeColor="text1"/>
          <w:kern w:val="0"/>
          <w:sz w:val="32"/>
          <w:szCs w:val="32"/>
          <w:rtl/>
          <w14:ligatures w14:val="none"/>
        </w:rPr>
        <w:t>تمهيد</w:t>
      </w:r>
      <w:bookmarkEnd w:id="38"/>
    </w:p>
    <w:p w14:paraId="1CA4F005"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يُمثّل اتخاذ القرار جوهر العملية الإدارية ومحورها الذي تَدور حوله سائر الوظائف الأخرى من تخطيط وتنظيم وتوجيه ورقابة، إذ لا تَكاد توجد مهمة إدارية إلّا وتَنطوي – صراحةً أو ضمنًا – على عملية اختيار بين بدائل متاحة وفق معايير محددة. وقد أَولى الفكر الإداري المعاصر هذه العملية اهتمامًا متناميًا، انطلاقًا من إدراك أن مصير المؤسسات وقدرتها على البقاء والنمو تَتوقّف بدرجة كبيرة على جودة القرارات التي يَتّخذها قادتها ومديروها. ولم يَعد الحديث عن اتخاذ القرار يَقتصر على وصف خطواته الإجرائية، بل امتدّ إلى تحرّي معايير كفاءته وفاعليته، ودراسة المُحدّدات التي تَرفع جودته وتَضمن رشده</w:t>
      </w:r>
      <w:r w:rsidRPr="004B2CD4">
        <w:rPr>
          <w:rFonts w:ascii="Simplified Arabic" w:eastAsia="Times New Roman" w:hAnsi="Simplified Arabic" w:cs="Simplified Arabic"/>
          <w:color w:val="000000" w:themeColor="text1"/>
          <w:kern w:val="0"/>
          <w:sz w:val="28"/>
          <w:szCs w:val="28"/>
          <w14:ligatures w14:val="none"/>
        </w:rPr>
        <w:t>.</w:t>
      </w:r>
    </w:p>
    <w:p w14:paraId="7E98A6F6"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ويَكتسب موضوع كفاءة القرارات الإدارية أهمية مضاعفة في بيئة الجهات الحكومية، حيث تَتشابك المسؤوليات وتَتعدّد الأطراف المعنية وتَكون آثار القرار ممتدّة إلى شرائح واسعة من المستفيدين. كما أن التحولات المعاصرة في ميادين التقنية والبيانات والذكاء الاصطناعي أَعادت تشكيل بيئة صنع القرار، وفتحت أمام المؤسسات آفاقًا جديدة لرفع كفاءتها، في الوقت ذاته الذي فَرضت فيه تحديات غير مسبوقة تَتعلّق بإدارة التعقيد وضبط المخاطر. ويَسعى هذا المبحث إلى تقديم معالجة نظرية مُتدرّجة لمفهوم كفاءة اتخاذ القرارات الإدارية وأهميتها وأهدافها وأبعادها واستراتيجيات تعزيزها</w:t>
      </w:r>
      <w:r w:rsidRPr="004B2CD4">
        <w:rPr>
          <w:rFonts w:ascii="Simplified Arabic" w:eastAsia="Times New Roman" w:hAnsi="Simplified Arabic" w:cs="Simplified Arabic"/>
          <w:color w:val="000000" w:themeColor="text1"/>
          <w:kern w:val="0"/>
          <w:sz w:val="28"/>
          <w:szCs w:val="28"/>
          <w14:ligatures w14:val="none"/>
        </w:rPr>
        <w:t>.</w:t>
      </w:r>
    </w:p>
    <w:p w14:paraId="414A1F95" w14:textId="7BE86FE0"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025101"/>
      <w:r w:rsidRPr="004B2CD4">
        <w:rPr>
          <w:rFonts w:ascii="Simplified Arabic" w:eastAsia="Times New Roman" w:hAnsi="Simplified Arabic" w:cs="Simplified Arabic" w:hint="cs"/>
          <w:b/>
          <w:bCs/>
          <w:color w:val="000000" w:themeColor="text1"/>
          <w:kern w:val="0"/>
          <w:sz w:val="32"/>
          <w:szCs w:val="32"/>
          <w:rtl/>
          <w14:ligatures w14:val="none"/>
        </w:rPr>
        <w:t>2.2.2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مفهوم كفاءة اتخاذ القرارات الإدارية</w:t>
      </w:r>
      <w:bookmarkEnd w:id="39"/>
    </w:p>
    <w:p w14:paraId="53AA667A"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تَتنوّع التعريفات التي قَدّمها الباحثون لكفاءة اتخاذ القرارات الإدارية، تَنوّعًا يَعكس ثراء المفهوم وتعدّد زوايا تناوله بين المنظور العقلاني الرشيد والمنظور السلوكي والمنظور المعلوماتي</w:t>
      </w:r>
      <w:r w:rsidRPr="004B2CD4">
        <w:rPr>
          <w:rFonts w:ascii="Simplified Arabic" w:eastAsia="Times New Roman" w:hAnsi="Simplified Arabic" w:cs="Simplified Arabic"/>
          <w:color w:val="000000" w:themeColor="text1"/>
          <w:kern w:val="0"/>
          <w:sz w:val="28"/>
          <w:szCs w:val="28"/>
          <w14:ligatures w14:val="none"/>
        </w:rPr>
        <w:t>.</w:t>
      </w:r>
    </w:p>
    <w:p w14:paraId="4B2A3DD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فيرى أبو حمور وأبو حمدة (٢٠٢٢) أن كفاءة اتخاذ القرار تَنصرف إلى قدرة الإدارة على الوصول إلى أفضل البدائل المتاحة بأقل قدر ممكن من الموارد والوقت والجهد، اعتمادًا على معلومات دقيقة وموثوقة تُتيح تحليل المشكلة وتقييم الخيارات بصورة موضوعية. ويُبرز هذا التعريف البُعد المعلوماتي للكفاءة، إذ يَجعل من جودة المعلومات شرطًا ضروريًّا لجودة القرار</w:t>
      </w:r>
      <w:r w:rsidRPr="004B2CD4">
        <w:rPr>
          <w:rFonts w:ascii="Simplified Arabic" w:eastAsia="Times New Roman" w:hAnsi="Simplified Arabic" w:cs="Simplified Arabic"/>
          <w:color w:val="000000" w:themeColor="text1"/>
          <w:kern w:val="0"/>
          <w:sz w:val="28"/>
          <w:szCs w:val="28"/>
          <w14:ligatures w14:val="none"/>
        </w:rPr>
        <w:t>.</w:t>
      </w:r>
    </w:p>
    <w:p w14:paraId="2E946EE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ومن زاوية مغايرة، تُعرّفها شعبية (٢٠٢٣) باعتبارها المحصلة التي تَعكس قدرة المؤسسة على إنتاج قرارات رشيدة في توقيتها الملائم، بحيث تُحقّق التوازن بين متطلبات الجودة وضغوط السرعة. ويُضيف هذا التعريف بُعدًا زمنيًّا للكفاءة، إذ يَنبّه إلى أن القرار الجيّد في توقيت متأخر يَفقد كثيرًا من فاعليته</w:t>
      </w:r>
      <w:r w:rsidRPr="004B2CD4">
        <w:rPr>
          <w:rFonts w:ascii="Simplified Arabic" w:eastAsia="Times New Roman" w:hAnsi="Simplified Arabic" w:cs="Simplified Arabic"/>
          <w:color w:val="000000" w:themeColor="text1"/>
          <w:kern w:val="0"/>
          <w:sz w:val="28"/>
          <w:szCs w:val="28"/>
          <w14:ligatures w14:val="none"/>
        </w:rPr>
        <w:t>.</w:t>
      </w:r>
    </w:p>
    <w:p w14:paraId="0F6F540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ويَتناولها الجداوي (٢٠٢٣) من منظور أوسع، فيُعرّفها بأنها قدرة المؤسسة على توظيف البيانات والمعارف المتاحة – بما فيها أساليب السرد القصصي للبيانات – في إنتاج قرارات إدارية تَتّسم بالعمق التحليلي والوضوح، وتَأخذ في حسبانها الأبعاد الإنسانية والثقافية للموقف الإداري. ويَكشف هذا التعريف عن البُعد المعرفي للكفاءة وعن دور السياق التنظيمي في تشكيل جودة القرار</w:t>
      </w:r>
      <w:r w:rsidRPr="004B2CD4">
        <w:rPr>
          <w:rFonts w:ascii="Simplified Arabic" w:eastAsia="Times New Roman" w:hAnsi="Simplified Arabic" w:cs="Simplified Arabic"/>
          <w:color w:val="000000" w:themeColor="text1"/>
          <w:kern w:val="0"/>
          <w:sz w:val="28"/>
          <w:szCs w:val="28"/>
          <w14:ligatures w14:val="none"/>
        </w:rPr>
        <w:t>.</w:t>
      </w:r>
    </w:p>
    <w:p w14:paraId="3CF8898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ويُضيف فقها (٢٠٢١) بُعدًا تنظيميًّا لمفهوم الكفاءة، إذ يَراها انعكاسًا لجودة نظم المعلومات الإدارية وقدرتها على تزويد متخذي القرار بالمدخلات اللازمة في الوقت المناسب وبالصورة الملائمة، بما يُمكّنهم من الانتقال من القرار الانطباعي إلى القرار المُستند إلى الحقائق</w:t>
      </w:r>
      <w:r w:rsidRPr="004B2CD4">
        <w:rPr>
          <w:rFonts w:ascii="Simplified Arabic" w:eastAsia="Times New Roman" w:hAnsi="Simplified Arabic" w:cs="Simplified Arabic"/>
          <w:color w:val="000000" w:themeColor="text1"/>
          <w:kern w:val="0"/>
          <w:sz w:val="28"/>
          <w:szCs w:val="28"/>
          <w14:ligatures w14:val="none"/>
        </w:rPr>
        <w:t>.</w:t>
      </w:r>
    </w:p>
    <w:p w14:paraId="25C013B3"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أما على الصعيد الأجنبي، فيُقدّم</w:t>
      </w:r>
      <w:r w:rsidRPr="004B2CD4">
        <w:rPr>
          <w:rFonts w:ascii="Simplified Arabic" w:eastAsia="Times New Roman" w:hAnsi="Simplified Arabic" w:cs="Simplified Arabic"/>
          <w:color w:val="000000" w:themeColor="text1"/>
          <w:kern w:val="0"/>
          <w:sz w:val="28"/>
          <w:szCs w:val="28"/>
          <w14:ligatures w14:val="none"/>
        </w:rPr>
        <w:t xml:space="preserve"> Sari (2023) </w:t>
      </w:r>
      <w:r w:rsidRPr="004B2CD4">
        <w:rPr>
          <w:rFonts w:ascii="Simplified Arabic" w:eastAsia="Times New Roman" w:hAnsi="Simplified Arabic" w:cs="Simplified Arabic"/>
          <w:color w:val="000000" w:themeColor="text1"/>
          <w:kern w:val="0"/>
          <w:sz w:val="28"/>
          <w:szCs w:val="28"/>
          <w:rtl/>
          <w14:ligatures w14:val="none"/>
        </w:rPr>
        <w:t>كفاءة اتخاذ القرار باعتبارها قدرة الإدارة على إنتاج قرارات عالية الجودة من خلال توظيف منظومة الحوكمة الرشيدة، بحيث تَتّسم القرارات بالموضوعية والشفافية وقابلية المساءلة. ويَرى</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S</w:t>
      </w:r>
      <w:r w:rsidRPr="004B2CD4">
        <w:rPr>
          <w:rFonts w:ascii="Cambria" w:eastAsia="Times New Roman" w:hAnsi="Cambria" w:cs="Cambria"/>
          <w:color w:val="000000" w:themeColor="text1"/>
          <w:kern w:val="0"/>
          <w:sz w:val="28"/>
          <w:szCs w:val="28"/>
          <w14:ligatures w14:val="none"/>
        </w:rPr>
        <w:t>ö</w:t>
      </w:r>
      <w:r w:rsidRPr="004B2CD4">
        <w:rPr>
          <w:rFonts w:ascii="Simplified Arabic" w:eastAsia="Times New Roman" w:hAnsi="Simplified Arabic" w:cs="Simplified Arabic"/>
          <w:color w:val="000000" w:themeColor="text1"/>
          <w:kern w:val="0"/>
          <w:sz w:val="28"/>
          <w:szCs w:val="28"/>
          <w14:ligatures w14:val="none"/>
        </w:rPr>
        <w:t>ker</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(2024) </w:t>
      </w:r>
      <w:r w:rsidRPr="004B2CD4">
        <w:rPr>
          <w:rFonts w:ascii="Simplified Arabic" w:eastAsia="Times New Roman" w:hAnsi="Simplified Arabic" w:cs="Simplified Arabic"/>
          <w:color w:val="000000" w:themeColor="text1"/>
          <w:kern w:val="0"/>
          <w:sz w:val="28"/>
          <w:szCs w:val="28"/>
          <w:rtl/>
          <w14:ligatures w14:val="none"/>
        </w:rPr>
        <w:t>أن الكفاءة في صنع القرار تَتجلّى في تحقيق التوازن بين المساءلة والفاعلية، عبر توظيف الأدوات الحديثة كالذكاء الاصطناعي في تحليل البيانات ودعم الاختيار بين البدائل</w:t>
      </w:r>
      <w:r w:rsidRPr="004B2CD4">
        <w:rPr>
          <w:rFonts w:ascii="Simplified Arabic" w:eastAsia="Times New Roman" w:hAnsi="Simplified Arabic" w:cs="Simplified Arabic"/>
          <w:color w:val="000000" w:themeColor="text1"/>
          <w:kern w:val="0"/>
          <w:sz w:val="28"/>
          <w:szCs w:val="28"/>
          <w14:ligatures w14:val="none"/>
        </w:rPr>
        <w:t>.</w:t>
      </w:r>
    </w:p>
    <w:p w14:paraId="54C07AD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ويَستخلص الباحث ممّا تَقدّم أن كفاءة اتخاذ القرارات الإدارية يمكن استيعابها باعتبارها قدرة الإدارة في الجهات الحكومية على إنتاج قرارات رشيدة تَتّسم بالجودة والدقة، وتُتّخذ في توقيتها الملائم، وتَستند إلى معلومات موثوقة ومنهجية تحليلية واضحة، وتُحقّق الأهداف المستهدفة بأقل قدر من الموارد المُستنزَفة، مع مراعاة الأبعاد القانونية والقيمية وأثر القرار في الأطراف المعنية. ويُلاحظ الباحث أن الكفاءة في هذا المعنى لا تَختزل في بُعد واحد، بل تَنشأ من تضافر الجودة والسرعة والرشد والاقتصاد في الموارد</w:t>
      </w:r>
      <w:r w:rsidRPr="004B2CD4">
        <w:rPr>
          <w:rFonts w:ascii="Simplified Arabic" w:eastAsia="Times New Roman" w:hAnsi="Simplified Arabic" w:cs="Simplified Arabic"/>
          <w:color w:val="000000" w:themeColor="text1"/>
          <w:kern w:val="0"/>
          <w:sz w:val="28"/>
          <w:szCs w:val="28"/>
          <w14:ligatures w14:val="none"/>
        </w:rPr>
        <w:t>.</w:t>
      </w:r>
    </w:p>
    <w:p w14:paraId="77356883" w14:textId="6F9D6185"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025102"/>
      <w:r w:rsidRPr="004B2CD4">
        <w:rPr>
          <w:rFonts w:ascii="Simplified Arabic" w:eastAsia="Times New Roman" w:hAnsi="Simplified Arabic" w:cs="Simplified Arabic" w:hint="cs"/>
          <w:b/>
          <w:bCs/>
          <w:color w:val="000000" w:themeColor="text1"/>
          <w:kern w:val="0"/>
          <w:sz w:val="32"/>
          <w:szCs w:val="32"/>
          <w:rtl/>
          <w14:ligatures w14:val="none"/>
        </w:rPr>
        <w:t>3.2.2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أهمية كفاءة اتخاذ القرارات الإدارية</w:t>
      </w:r>
      <w:bookmarkEnd w:id="40"/>
    </w:p>
    <w:p w14:paraId="56F764B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تَحظى كفاءة القرارات الإدارية بمكانة محورية في الفكر الإداري المعاصر، باعتبارها المُحدّد الأبرز لقدرة المؤسسات على إنجاز رسالتها والوفاء بمسؤولياتها تجاه المستفيدين منها</w:t>
      </w:r>
      <w:r w:rsidRPr="004B2CD4">
        <w:rPr>
          <w:rFonts w:ascii="Simplified Arabic" w:eastAsia="Times New Roman" w:hAnsi="Simplified Arabic" w:cs="Simplified Arabic"/>
          <w:color w:val="000000" w:themeColor="text1"/>
          <w:kern w:val="0"/>
          <w:sz w:val="28"/>
          <w:szCs w:val="28"/>
          <w14:ligatures w14:val="none"/>
        </w:rPr>
        <w:t>.</w:t>
      </w:r>
    </w:p>
    <w:p w14:paraId="6BDEEB49"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ويُشير العمري (٢٠٢٥) إلى أن أهمية الكفاءة في اتخاذ القرارات تَتجلّى في الجوانب الآتية: أولًا، إسهامها في تطوير الأداء المؤسسي عبر تحويل البيانات المتاحة إلى قرارات قائمة على البراهين بدلًا من الاجتهادات الانطباعية. ثانيًا، دورها في تعزيز قدرة المؤسسة على الاستجابة للتحولات المتسارعة في بيئتها الخارجية. ثالثًا، إسهامها في ترشيد استخدام الموارد العامة وتوجيهها نحو الأولويات الاستراتيجية. رابعًا، تعزيزها لثقة المستفيدين في كفاءة الإدارة الحكومية وقدرتها على إدارة الشأن العام</w:t>
      </w:r>
      <w:r w:rsidRPr="004B2CD4">
        <w:rPr>
          <w:rFonts w:ascii="Simplified Arabic" w:eastAsia="Times New Roman" w:hAnsi="Simplified Arabic" w:cs="Simplified Arabic"/>
          <w:color w:val="000000" w:themeColor="text1"/>
          <w:kern w:val="0"/>
          <w:sz w:val="28"/>
          <w:szCs w:val="28"/>
          <w14:ligatures w14:val="none"/>
        </w:rPr>
        <w:t>.</w:t>
      </w:r>
    </w:p>
    <w:p w14:paraId="61F53B90"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ويرى أبو بكر (٢٠٢٦) أن كفاءة اتخاذ القرار تَكتسب أهمية مضاعفة في ضوء التحوّل الرقمي الذي تَشهده المؤسسات، إذ تُسهم في تمكين القيادات الإدارية من توظيف الأدوات الرقمية في تحليل المواقف وتقييم البدائل، وتُتيح لها الانتقال من الإدارة بردود الأفعال إلى الإدارة الاستباقية القائمة على التنبؤ والاستشراف</w:t>
      </w:r>
      <w:r w:rsidRPr="004B2CD4">
        <w:rPr>
          <w:rFonts w:ascii="Simplified Arabic" w:eastAsia="Times New Roman" w:hAnsi="Simplified Arabic" w:cs="Simplified Arabic"/>
          <w:color w:val="000000" w:themeColor="text1"/>
          <w:kern w:val="0"/>
          <w:sz w:val="28"/>
          <w:szCs w:val="28"/>
          <w14:ligatures w14:val="none"/>
        </w:rPr>
        <w:t>.</w:t>
      </w:r>
    </w:p>
    <w:p w14:paraId="17FB00D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وتُعالج </w:t>
      </w:r>
      <w:proofErr w:type="spellStart"/>
      <w:r w:rsidRPr="004B2CD4">
        <w:rPr>
          <w:rFonts w:ascii="Simplified Arabic" w:eastAsia="Times New Roman" w:hAnsi="Simplified Arabic" w:cs="Simplified Arabic"/>
          <w:color w:val="000000" w:themeColor="text1"/>
          <w:kern w:val="0"/>
          <w:sz w:val="28"/>
          <w:szCs w:val="28"/>
          <w:rtl/>
          <w14:ligatures w14:val="none"/>
        </w:rPr>
        <w:t>البزايعه</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(٢٠٢٥) أهمية الكفاءة من منظور تقني معاصر، مُبيّنةً أن توظيف تطبيقات الذكاء الاصطناعي في دعم اتخاذ القرار يُعزّز قدرة المؤسسات على معالجة كميات هائلة من البيانات في وقت قياسي، ويَفتح آفاقًا جديدة لرفع جودة القرارات وتقليل هامش الخطأ البشري فيها</w:t>
      </w:r>
      <w:r w:rsidRPr="004B2CD4">
        <w:rPr>
          <w:rFonts w:ascii="Simplified Arabic" w:eastAsia="Times New Roman" w:hAnsi="Simplified Arabic" w:cs="Simplified Arabic"/>
          <w:color w:val="000000" w:themeColor="text1"/>
          <w:kern w:val="0"/>
          <w:sz w:val="28"/>
          <w:szCs w:val="28"/>
          <w14:ligatures w14:val="none"/>
        </w:rPr>
        <w:t>.</w:t>
      </w:r>
    </w:p>
    <w:p w14:paraId="135B3549"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ويُؤكّد</w:t>
      </w:r>
      <w:r w:rsidRPr="004B2CD4">
        <w:rPr>
          <w:rFonts w:ascii="Simplified Arabic" w:eastAsia="Times New Roman" w:hAnsi="Simplified Arabic" w:cs="Simplified Arabic"/>
          <w:color w:val="000000" w:themeColor="text1"/>
          <w:kern w:val="0"/>
          <w:sz w:val="28"/>
          <w:szCs w:val="28"/>
          <w14:ligatures w14:val="none"/>
        </w:rPr>
        <w:t xml:space="preserve"> Osakwe (2025) </w:t>
      </w:r>
      <w:r w:rsidRPr="004B2CD4">
        <w:rPr>
          <w:rFonts w:ascii="Simplified Arabic" w:eastAsia="Times New Roman" w:hAnsi="Simplified Arabic" w:cs="Simplified Arabic"/>
          <w:color w:val="000000" w:themeColor="text1"/>
          <w:kern w:val="0"/>
          <w:sz w:val="28"/>
          <w:szCs w:val="28"/>
          <w:rtl/>
          <w14:ligatures w14:val="none"/>
        </w:rPr>
        <w:t>أن أهمية كفاءة القرار تَتجلّى في كونها المدخل الأساسي لتحويل حوكمة البيانات إلى قيمة مؤسسية فعلية، إذ لا تَكفي إتاحة البيانات ما لم تُترجَم إلى قرارات تَستند إليها وتَستثمر إمكاناتها. ومن منظور تكاملي، يرى</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Hossin</w:t>
      </w:r>
      <w:proofErr w:type="spellEnd"/>
      <w:r w:rsidRPr="004B2CD4">
        <w:rPr>
          <w:rFonts w:ascii="Simplified Arabic" w:eastAsia="Times New Roman" w:hAnsi="Simplified Arabic" w:cs="Simplified Arabic"/>
          <w:color w:val="000000" w:themeColor="text1"/>
          <w:kern w:val="0"/>
          <w:sz w:val="28"/>
          <w:szCs w:val="28"/>
          <w14:ligatures w14:val="none"/>
        </w:rPr>
        <w:t xml:space="preserve"> et al. (2023) </w:t>
      </w:r>
      <w:r w:rsidRPr="004B2CD4">
        <w:rPr>
          <w:rFonts w:ascii="Simplified Arabic" w:eastAsia="Times New Roman" w:hAnsi="Simplified Arabic" w:cs="Simplified Arabic"/>
          <w:color w:val="000000" w:themeColor="text1"/>
          <w:kern w:val="0"/>
          <w:sz w:val="28"/>
          <w:szCs w:val="28"/>
          <w:rtl/>
          <w14:ligatures w14:val="none"/>
        </w:rPr>
        <w:t>أن كفاءة اتخاذ القرار تُمثّل محور التحوّل نحو الحوكمة الذكية في القطاع العام، إذ تَنقل المؤسسات من نمط الإدارة التقليدية إلى نمط الإدارة المعرفية القائمة على البيانات الضخمة</w:t>
      </w:r>
      <w:r w:rsidRPr="004B2CD4">
        <w:rPr>
          <w:rFonts w:ascii="Simplified Arabic" w:eastAsia="Times New Roman" w:hAnsi="Simplified Arabic" w:cs="Simplified Arabic"/>
          <w:color w:val="000000" w:themeColor="text1"/>
          <w:kern w:val="0"/>
          <w:sz w:val="28"/>
          <w:szCs w:val="28"/>
          <w14:ligatures w14:val="none"/>
        </w:rPr>
        <w:t>.</w:t>
      </w:r>
    </w:p>
    <w:p w14:paraId="2D17DF74"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ويَستخلص الباحث أن أهمية كفاءة القرارات الإدارية تَتوزّع على محاور متعددة، تَشمل البُعد التنموي المتعلّق بتطوير الأداء، والبُعد الاقتصادي المتعلّق بترشيد الموارد، والبُعد الاجتماعي المتعلّق بثقة المستفيدين، والبُعد الاستراتيجي المتعلّق بقدرة المؤسسة على المنافسة والبقاء</w:t>
      </w:r>
      <w:r w:rsidRPr="004B2CD4">
        <w:rPr>
          <w:rFonts w:ascii="Simplified Arabic" w:eastAsia="Times New Roman" w:hAnsi="Simplified Arabic" w:cs="Simplified Arabic"/>
          <w:color w:val="000000" w:themeColor="text1"/>
          <w:kern w:val="0"/>
          <w:sz w:val="28"/>
          <w:szCs w:val="28"/>
          <w14:ligatures w14:val="none"/>
        </w:rPr>
        <w:t>.</w:t>
      </w:r>
    </w:p>
    <w:p w14:paraId="07E425E2" w14:textId="72D125E6"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025103"/>
      <w:r w:rsidRPr="004B2CD4">
        <w:rPr>
          <w:rFonts w:ascii="Simplified Arabic" w:eastAsia="Times New Roman" w:hAnsi="Simplified Arabic" w:cs="Simplified Arabic" w:hint="cs"/>
          <w:b/>
          <w:bCs/>
          <w:color w:val="000000" w:themeColor="text1"/>
          <w:kern w:val="0"/>
          <w:sz w:val="32"/>
          <w:szCs w:val="32"/>
          <w:rtl/>
          <w14:ligatures w14:val="none"/>
        </w:rPr>
        <w:t>4.2.2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أهداف كفاءة اتخاذ القرارات الإدارية</w:t>
      </w:r>
      <w:bookmarkEnd w:id="41"/>
    </w:p>
    <w:p w14:paraId="568E002E" w14:textId="77777777" w:rsidR="003745E0" w:rsidRPr="004B2CD4" w:rsidRDefault="003745E0" w:rsidP="004B2CD4">
      <w:pPr>
        <w:spacing w:before="100" w:beforeAutospacing="1" w:after="100" w:afterAutospacing="1" w:line="276" w:lineRule="auto"/>
        <w:ind w:firstLine="707"/>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تَنبثق أهداف رفع كفاءة القرارات الإدارية من فلسفتها القائمة على الرشد والاقتصاد في الموارد، وتَتوزّع على مستويات متعددة</w:t>
      </w:r>
      <w:r w:rsidRPr="004B2CD4">
        <w:rPr>
          <w:rFonts w:ascii="Simplified Arabic" w:eastAsia="Times New Roman" w:hAnsi="Simplified Arabic" w:cs="Simplified Arabic"/>
          <w:color w:val="000000" w:themeColor="text1"/>
          <w:kern w:val="0"/>
          <w:sz w:val="28"/>
          <w:szCs w:val="28"/>
          <w14:ligatures w14:val="none"/>
        </w:rPr>
        <w:t>.</w:t>
      </w:r>
    </w:p>
    <w:p w14:paraId="20A9BD94" w14:textId="77777777" w:rsidR="003745E0" w:rsidRPr="004B2CD4" w:rsidRDefault="003745E0" w:rsidP="004B2CD4">
      <w:pPr>
        <w:spacing w:before="100" w:beforeAutospacing="1" w:after="100" w:afterAutospacing="1" w:line="276" w:lineRule="auto"/>
        <w:ind w:firstLine="707"/>
        <w:jc w:val="both"/>
        <w:rPr>
          <w:rFonts w:ascii="Simplified Arabic" w:eastAsia="Times New Roman" w:hAnsi="Simplified Arabic" w:cs="Simplified Arabic"/>
          <w:b/>
          <w:bCs/>
          <w:color w:val="000000" w:themeColor="text1"/>
          <w:kern w:val="0"/>
          <w:sz w:val="28"/>
          <w:szCs w:val="28"/>
          <w14:ligatures w14:val="none"/>
        </w:rPr>
      </w:pPr>
      <w:r w:rsidRPr="004B2CD4">
        <w:rPr>
          <w:rFonts w:ascii="Simplified Arabic" w:eastAsia="Times New Roman" w:hAnsi="Simplified Arabic" w:cs="Simplified Arabic"/>
          <w:b/>
          <w:bCs/>
          <w:color w:val="000000" w:themeColor="text1"/>
          <w:kern w:val="0"/>
          <w:sz w:val="28"/>
          <w:szCs w:val="28"/>
          <w:rtl/>
          <w14:ligatures w14:val="none"/>
        </w:rPr>
        <w:lastRenderedPageBreak/>
        <w:t xml:space="preserve">ويُحدّد </w:t>
      </w:r>
      <w:proofErr w:type="spellStart"/>
      <w:r w:rsidRPr="004B2CD4">
        <w:rPr>
          <w:rFonts w:ascii="Simplified Arabic" w:eastAsia="Times New Roman" w:hAnsi="Simplified Arabic" w:cs="Simplified Arabic"/>
          <w:b/>
          <w:bCs/>
          <w:color w:val="000000" w:themeColor="text1"/>
          <w:kern w:val="0"/>
          <w:sz w:val="28"/>
          <w:szCs w:val="28"/>
          <w:rtl/>
          <w14:ligatures w14:val="none"/>
        </w:rPr>
        <w:t>الأزو</w:t>
      </w:r>
      <w:proofErr w:type="spellEnd"/>
      <w:r w:rsidRPr="004B2CD4">
        <w:rPr>
          <w:rFonts w:ascii="Simplified Arabic" w:eastAsia="Times New Roman" w:hAnsi="Simplified Arabic" w:cs="Simplified Arabic"/>
          <w:b/>
          <w:bCs/>
          <w:color w:val="000000" w:themeColor="text1"/>
          <w:kern w:val="0"/>
          <w:sz w:val="28"/>
          <w:szCs w:val="28"/>
          <w:rtl/>
          <w14:ligatures w14:val="none"/>
        </w:rPr>
        <w:t xml:space="preserve"> (٢٠٢٥) جملة من الأهداف التي يَسعى رفع كفاءة القرار إلى تحقيقها، تَتمثّل في</w:t>
      </w:r>
      <w:r w:rsidRPr="004B2CD4">
        <w:rPr>
          <w:rFonts w:ascii="Simplified Arabic" w:eastAsia="Times New Roman" w:hAnsi="Simplified Arabic" w:cs="Simplified Arabic"/>
          <w:b/>
          <w:bCs/>
          <w:color w:val="000000" w:themeColor="text1"/>
          <w:kern w:val="0"/>
          <w:sz w:val="28"/>
          <w:szCs w:val="28"/>
          <w14:ligatures w14:val="none"/>
        </w:rPr>
        <w:t>:</w:t>
      </w:r>
    </w:p>
    <w:p w14:paraId="5CE1CC6D" w14:textId="77777777" w:rsidR="00C54E43" w:rsidRPr="004B2CD4" w:rsidRDefault="003745E0" w:rsidP="004B2CD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الارتقاء بجودة القرارات الإدارية عبر إخضاعها لمعايير علمية للتحليل والتقييم</w:t>
      </w:r>
      <w:r w:rsidRPr="004B2CD4">
        <w:rPr>
          <w:rFonts w:ascii="Simplified Arabic" w:eastAsia="Times New Roman" w:hAnsi="Simplified Arabic" w:cs="Simplified Arabic"/>
          <w:color w:val="000000" w:themeColor="text1"/>
          <w:kern w:val="0"/>
          <w:sz w:val="28"/>
          <w:szCs w:val="28"/>
          <w14:ligatures w14:val="none"/>
        </w:rPr>
        <w:t>.</w:t>
      </w:r>
    </w:p>
    <w:p w14:paraId="50EE75AC" w14:textId="13D1979D" w:rsidR="00C54E43" w:rsidRPr="004B2CD4" w:rsidRDefault="003745E0" w:rsidP="004B2CD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تقليص الفجوة بين القرار المُتّخذ والواقع التطبيقي، بما يَضمن قابلية القرارات للتنفيذ</w:t>
      </w:r>
      <w:r w:rsidR="00C54E43" w:rsidRPr="004B2CD4">
        <w:rPr>
          <w:rFonts w:ascii="Simplified Arabic" w:eastAsia="Times New Roman" w:hAnsi="Simplified Arabic" w:cs="Simplified Arabic"/>
          <w:color w:val="000000" w:themeColor="text1"/>
          <w:kern w:val="0"/>
          <w:sz w:val="28"/>
          <w:szCs w:val="28"/>
          <w14:ligatures w14:val="none"/>
        </w:rPr>
        <w:t>.</w:t>
      </w:r>
    </w:p>
    <w:p w14:paraId="4CDBF52B" w14:textId="6DD9B010" w:rsidR="00C54E43" w:rsidRPr="004B2CD4" w:rsidRDefault="003745E0" w:rsidP="004B2CD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ترشيد استهلاك الموارد المؤسسية الموجَّهة لعمليات صنع القرار</w:t>
      </w:r>
      <w:r w:rsidRPr="004B2CD4">
        <w:rPr>
          <w:rFonts w:ascii="Simplified Arabic" w:eastAsia="Times New Roman" w:hAnsi="Simplified Arabic" w:cs="Simplified Arabic"/>
          <w:color w:val="000000" w:themeColor="text1"/>
          <w:kern w:val="0"/>
          <w:sz w:val="28"/>
          <w:szCs w:val="28"/>
          <w14:ligatures w14:val="none"/>
        </w:rPr>
        <w:t>.</w:t>
      </w:r>
    </w:p>
    <w:p w14:paraId="2ADA9A94" w14:textId="5458CDBD" w:rsidR="003745E0" w:rsidRPr="004B2CD4" w:rsidRDefault="003745E0" w:rsidP="004B2CD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تعزيز قدرة المؤسسة على التعامل مع المواقف المعقدة وغير المؤكدة</w:t>
      </w:r>
      <w:r w:rsidRPr="004B2CD4">
        <w:rPr>
          <w:rFonts w:ascii="Simplified Arabic" w:eastAsia="Times New Roman" w:hAnsi="Simplified Arabic" w:cs="Simplified Arabic"/>
          <w:color w:val="000000" w:themeColor="text1"/>
          <w:kern w:val="0"/>
          <w:sz w:val="28"/>
          <w:szCs w:val="28"/>
          <w14:ligatures w14:val="none"/>
        </w:rPr>
        <w:t>.</w:t>
      </w:r>
    </w:p>
    <w:p w14:paraId="1F68E201"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ويُضيف عيد (٢٠٢١) أهدافًا ذات طابع تنموي، تَشمل: تمكين القيادات الإدارية من اتخاذ قرارات استثمارية رشيدة تَستجيب لمتطلبات التنمية، وتطوير منظومة دعم القرار في المؤسسات، ورفع قدرة الإدارة على تقييم البدائل وفق معايير موضوعية، وتعزيز الانسجام بين القرارات المُتّخذة والأهداف الاستراتيجية للمؤسسة</w:t>
      </w:r>
      <w:r w:rsidRPr="004B2CD4">
        <w:rPr>
          <w:rFonts w:ascii="Simplified Arabic" w:eastAsia="Times New Roman" w:hAnsi="Simplified Arabic" w:cs="Simplified Arabic"/>
          <w:color w:val="000000" w:themeColor="text1"/>
          <w:kern w:val="0"/>
          <w:sz w:val="28"/>
          <w:szCs w:val="28"/>
          <w14:ligatures w14:val="none"/>
        </w:rPr>
        <w:t>.</w:t>
      </w:r>
    </w:p>
    <w:p w14:paraId="15B309B9"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ويُقدّم</w:t>
      </w:r>
      <w:r w:rsidRPr="004B2CD4">
        <w:rPr>
          <w:rFonts w:ascii="Simplified Arabic" w:eastAsia="Times New Roman" w:hAnsi="Simplified Arabic" w:cs="Simplified Arabic"/>
          <w:color w:val="000000" w:themeColor="text1"/>
          <w:kern w:val="0"/>
          <w:sz w:val="28"/>
          <w:szCs w:val="28"/>
          <w14:ligatures w14:val="none"/>
        </w:rPr>
        <w:t xml:space="preserve"> Sari (2023) </w:t>
      </w:r>
      <w:r w:rsidRPr="004B2CD4">
        <w:rPr>
          <w:rFonts w:ascii="Simplified Arabic" w:eastAsia="Times New Roman" w:hAnsi="Simplified Arabic" w:cs="Simplified Arabic"/>
          <w:color w:val="000000" w:themeColor="text1"/>
          <w:kern w:val="0"/>
          <w:sz w:val="28"/>
          <w:szCs w:val="28"/>
          <w:rtl/>
          <w14:ligatures w14:val="none"/>
        </w:rPr>
        <w:t xml:space="preserve">جملة من الأهداف ذات الطابع </w:t>
      </w:r>
      <w:proofErr w:type="spellStart"/>
      <w:r w:rsidRPr="004B2CD4">
        <w:rPr>
          <w:rFonts w:ascii="Simplified Arabic" w:eastAsia="Times New Roman" w:hAnsi="Simplified Arabic" w:cs="Simplified Arabic"/>
          <w:color w:val="000000" w:themeColor="text1"/>
          <w:kern w:val="0"/>
          <w:sz w:val="28"/>
          <w:szCs w:val="28"/>
          <w:rtl/>
          <w14:ligatures w14:val="none"/>
        </w:rPr>
        <w:t>الحوكمي</w:t>
      </w:r>
      <w:proofErr w:type="spellEnd"/>
      <w:r w:rsidRPr="004B2CD4">
        <w:rPr>
          <w:rFonts w:ascii="Simplified Arabic" w:eastAsia="Times New Roman" w:hAnsi="Simplified Arabic" w:cs="Simplified Arabic"/>
          <w:color w:val="000000" w:themeColor="text1"/>
          <w:kern w:val="0"/>
          <w:sz w:val="28"/>
          <w:szCs w:val="28"/>
          <w:rtl/>
          <w14:ligatures w14:val="none"/>
        </w:rPr>
        <w:t>، تَتمثّل في: تحقيق التوافق بين القرارات الإدارية ومبادئ الحوكمة الرشيدة، وضمان شفافية عمليات صنع القرار وقابليتها للمساءلة، وإرساء ثقافة مؤسسية تُقدّر القرار المُستند إلى البراهين، وتعزيز مشروعية القرارات لدى الأطراف المعنية بها</w:t>
      </w:r>
      <w:r w:rsidRPr="004B2CD4">
        <w:rPr>
          <w:rFonts w:ascii="Simplified Arabic" w:eastAsia="Times New Roman" w:hAnsi="Simplified Arabic" w:cs="Simplified Arabic"/>
          <w:color w:val="000000" w:themeColor="text1"/>
          <w:kern w:val="0"/>
          <w:sz w:val="28"/>
          <w:szCs w:val="28"/>
          <w14:ligatures w14:val="none"/>
        </w:rPr>
        <w:t>.</w:t>
      </w:r>
    </w:p>
    <w:p w14:paraId="1088AB04"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ويَستخلص الباحث أن أهداف كفاءة اتخاذ القرارات الإدارية تَتمحور حول أربعة مقاصد كبرى: تجويد القرار في ذاته، وترشيد الموارد المُستثمرة في إنتاجه، وضمان قابليته للتنفيذ، وتعزيز مشروعيته لدى الأطراف المعنية</w:t>
      </w:r>
      <w:r w:rsidRPr="004B2CD4">
        <w:rPr>
          <w:rFonts w:ascii="Simplified Arabic" w:eastAsia="Times New Roman" w:hAnsi="Simplified Arabic" w:cs="Simplified Arabic"/>
          <w:color w:val="000000" w:themeColor="text1"/>
          <w:kern w:val="0"/>
          <w:sz w:val="28"/>
          <w:szCs w:val="28"/>
          <w14:ligatures w14:val="none"/>
        </w:rPr>
        <w:t>.</w:t>
      </w:r>
    </w:p>
    <w:p w14:paraId="661583C1" w14:textId="65A7B2AC"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025104"/>
      <w:r w:rsidRPr="004B2CD4">
        <w:rPr>
          <w:rFonts w:ascii="Simplified Arabic" w:eastAsia="Times New Roman" w:hAnsi="Simplified Arabic" w:cs="Simplified Arabic" w:hint="cs"/>
          <w:b/>
          <w:bCs/>
          <w:color w:val="000000" w:themeColor="text1"/>
          <w:kern w:val="0"/>
          <w:sz w:val="32"/>
          <w:szCs w:val="32"/>
          <w:rtl/>
          <w14:ligatures w14:val="none"/>
        </w:rPr>
        <w:t>5.2.2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أبعاد كفاءة اتخاذ القرارات الإدارية</w:t>
      </w:r>
      <w:bookmarkEnd w:id="42"/>
    </w:p>
    <w:p w14:paraId="626C7201"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تَناوَل الباحثون أبعاد كفاءة اتخاذ القرار من زوايا متعددة، وقد تَمّ تحديد أبعاد الكفاءة في الدراسة الحالية بوصفها بُعدًا أحاديًّا مُركّبًا يَنطوي على أربعة محاور تحليلية، استنادًا إلى ما طَرحه الجداوي (٢٠٢٣) من تأكيد على البُعد التحليلي للكفاءة، وما أَورده شعبية (٢٠٢٣) من تركيز على ثنائية الجودة والسرعة، وما طَرحه</w:t>
      </w:r>
      <w:r w:rsidRPr="004B2CD4">
        <w:rPr>
          <w:rFonts w:ascii="Simplified Arabic" w:eastAsia="Times New Roman" w:hAnsi="Simplified Arabic" w:cs="Simplified Arabic"/>
          <w:color w:val="000000" w:themeColor="text1"/>
          <w:kern w:val="0"/>
          <w:sz w:val="28"/>
          <w:szCs w:val="28"/>
          <w14:ligatures w14:val="none"/>
        </w:rPr>
        <w:t xml:space="preserve"> Brandsma &amp; Meijer (2022) </w:t>
      </w:r>
      <w:r w:rsidRPr="004B2CD4">
        <w:rPr>
          <w:rFonts w:ascii="Simplified Arabic" w:eastAsia="Times New Roman" w:hAnsi="Simplified Arabic" w:cs="Simplified Arabic"/>
          <w:color w:val="000000" w:themeColor="text1"/>
          <w:kern w:val="0"/>
          <w:sz w:val="28"/>
          <w:szCs w:val="28"/>
          <w:rtl/>
          <w14:ligatures w14:val="none"/>
        </w:rPr>
        <w:t>من التفات إلى الفاعلية في السياقات المعقدة. وتَنتظم هذه المحاور في أربعة عناصر: الجودة، والسرعة، والفاعلية، والرشد</w:t>
      </w:r>
      <w:r w:rsidRPr="004B2CD4">
        <w:rPr>
          <w:rFonts w:ascii="Simplified Arabic" w:eastAsia="Times New Roman" w:hAnsi="Simplified Arabic" w:cs="Simplified Arabic"/>
          <w:color w:val="000000" w:themeColor="text1"/>
          <w:kern w:val="0"/>
          <w:sz w:val="28"/>
          <w:szCs w:val="28"/>
          <w14:ligatures w14:val="none"/>
        </w:rPr>
        <w:t>.</w:t>
      </w:r>
    </w:p>
    <w:p w14:paraId="755E89F8"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يَتعلّق محور الجودة بقدرة القرار على معالجة المشكلة المستهدفة بصورة دقيقة وشاملة، استنادًا إلى معلومات موثوقة وتحليل منهجي للبدائل. ويُعالج فقها (٢٠٢١) هذا المحور باعتباره انعكاسًا لجودة </w:t>
      </w:r>
      <w:r w:rsidRPr="004B2CD4">
        <w:rPr>
          <w:rFonts w:ascii="Simplified Arabic" w:eastAsia="Times New Roman" w:hAnsi="Simplified Arabic" w:cs="Simplified Arabic"/>
          <w:color w:val="000000" w:themeColor="text1"/>
          <w:kern w:val="0"/>
          <w:sz w:val="28"/>
          <w:szCs w:val="28"/>
          <w:rtl/>
          <w14:ligatures w14:val="none"/>
        </w:rPr>
        <w:lastRenderedPageBreak/>
        <w:t>المدخلات المعلوماتية التي يَستند إليها القرار؛ فالقرار لا يكون جيّدًا إلّا بقدر جودة المعلومات التي بُني عليها. وتَتجلّى الجودة في وضوح المشكلة المُعالجة، وشمولية البدائل المدروسة، ودقّة المعايير المُستخدمة في التقييم، وانسجام القرار مع الأهداف الاستراتيجية للمؤسسة</w:t>
      </w:r>
      <w:r w:rsidRPr="004B2CD4">
        <w:rPr>
          <w:rFonts w:ascii="Simplified Arabic" w:eastAsia="Times New Roman" w:hAnsi="Simplified Arabic" w:cs="Simplified Arabic"/>
          <w:color w:val="000000" w:themeColor="text1"/>
          <w:kern w:val="0"/>
          <w:sz w:val="28"/>
          <w:szCs w:val="28"/>
          <w14:ligatures w14:val="none"/>
        </w:rPr>
        <w:t>.</w:t>
      </w:r>
    </w:p>
    <w:p w14:paraId="46DFE7BA"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أمّا محور السرعة، فيَتعلّق بقدرة المؤسسة على إنتاج القرار في توقيته الملائم، دون تأخير يُفقده فاعليته. ويُؤكّد العمري (٢٠٢٥) أن السرعة في اتخاذ القرار باتت ميزة تنافسية في بيئة تَتّسم بالتحوّل المتسارع، وأن توظيف الأدوات الرقمية يُسهم في تقليص الزمن اللازم لإنتاج القرار دون الإخلال بجودته. ولا تَعني السرعة التعجّل أو القفز على مراحل التحليل، بل تَعني ضبط الزمن المُستهلَك في كل مرحلة وفق متطلباتها الفعلية</w:t>
      </w:r>
      <w:r w:rsidRPr="004B2CD4">
        <w:rPr>
          <w:rFonts w:ascii="Simplified Arabic" w:eastAsia="Times New Roman" w:hAnsi="Simplified Arabic" w:cs="Simplified Arabic"/>
          <w:color w:val="000000" w:themeColor="text1"/>
          <w:kern w:val="0"/>
          <w:sz w:val="28"/>
          <w:szCs w:val="28"/>
          <w14:ligatures w14:val="none"/>
        </w:rPr>
        <w:t>.</w:t>
      </w:r>
    </w:p>
    <w:p w14:paraId="16C9B57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وفيما يَتعلّق بمحور الفاعلية، فهو يُعبّر عن قدرة القرار على تحقيق الأهداف المرجوّة منه على أرض الواقع. ويُعالج</w:t>
      </w:r>
      <w:r w:rsidRPr="004B2CD4">
        <w:rPr>
          <w:rFonts w:ascii="Simplified Arabic" w:eastAsia="Times New Roman" w:hAnsi="Simplified Arabic" w:cs="Simplified Arabic"/>
          <w:color w:val="000000" w:themeColor="text1"/>
          <w:kern w:val="0"/>
          <w:sz w:val="28"/>
          <w:szCs w:val="28"/>
          <w14:ligatures w14:val="none"/>
        </w:rPr>
        <w:t xml:space="preserve"> Brandsma &amp; Meijer (2022) </w:t>
      </w:r>
      <w:r w:rsidRPr="004B2CD4">
        <w:rPr>
          <w:rFonts w:ascii="Simplified Arabic" w:eastAsia="Times New Roman" w:hAnsi="Simplified Arabic" w:cs="Simplified Arabic"/>
          <w:color w:val="000000" w:themeColor="text1"/>
          <w:kern w:val="0"/>
          <w:sz w:val="28"/>
          <w:szCs w:val="28"/>
          <w:rtl/>
          <w14:ligatures w14:val="none"/>
        </w:rPr>
        <w:t>هذا المحور باعتباره المحصلة النهائية التي تُقاس بها كفاءة القرار، إذ لا قيمة لقرارٍ مهما بَلغت جودته النظرية إن لم يُترجَم إلى نتائج ملموسة. وتَتأثّر الفاعلية بعوامل متعددة، منها وضوح القرار، ومدى تَوفّر الموارد اللازمة لتنفيذه، ودرجة التزام المنفّذين به، وملاءمته للسياق التطبيقي</w:t>
      </w:r>
      <w:r w:rsidRPr="004B2CD4">
        <w:rPr>
          <w:rFonts w:ascii="Simplified Arabic" w:eastAsia="Times New Roman" w:hAnsi="Simplified Arabic" w:cs="Simplified Arabic"/>
          <w:color w:val="000000" w:themeColor="text1"/>
          <w:kern w:val="0"/>
          <w:sz w:val="28"/>
          <w:szCs w:val="28"/>
          <w14:ligatures w14:val="none"/>
        </w:rPr>
        <w:t>.</w:t>
      </w:r>
    </w:p>
    <w:p w14:paraId="53448454"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ويَتعلّق محور الرشد بقدرة القرار على تحقيق التوازن بين الاعتبارات المتعددة المتشابكة في الموقف الإداري، بما فيها الاعتبارات الاقتصادية والاجتماعية والقانونية والأخلاقية. ويَطرح</w:t>
      </w:r>
      <w:r w:rsidRPr="004B2CD4">
        <w:rPr>
          <w:rFonts w:ascii="Simplified Arabic" w:eastAsia="Times New Roman" w:hAnsi="Simplified Arabic" w:cs="Simplified Arabic"/>
          <w:color w:val="000000" w:themeColor="text1"/>
          <w:kern w:val="0"/>
          <w:sz w:val="28"/>
          <w:szCs w:val="28"/>
          <w14:ligatures w14:val="none"/>
        </w:rPr>
        <w:t xml:space="preserve"> </w:t>
      </w:r>
      <w:proofErr w:type="spellStart"/>
      <w:r w:rsidRPr="004B2CD4">
        <w:rPr>
          <w:rFonts w:ascii="Simplified Arabic" w:eastAsia="Times New Roman" w:hAnsi="Simplified Arabic" w:cs="Simplified Arabic"/>
          <w:color w:val="000000" w:themeColor="text1"/>
          <w:kern w:val="0"/>
          <w:sz w:val="28"/>
          <w:szCs w:val="28"/>
          <w14:ligatures w14:val="none"/>
        </w:rPr>
        <w:t>S</w:t>
      </w:r>
      <w:r w:rsidRPr="004B2CD4">
        <w:rPr>
          <w:rFonts w:ascii="Cambria" w:eastAsia="Times New Roman" w:hAnsi="Cambria" w:cs="Cambria"/>
          <w:color w:val="000000" w:themeColor="text1"/>
          <w:kern w:val="0"/>
          <w:sz w:val="28"/>
          <w:szCs w:val="28"/>
          <w14:ligatures w14:val="none"/>
        </w:rPr>
        <w:t>ö</w:t>
      </w:r>
      <w:r w:rsidRPr="004B2CD4">
        <w:rPr>
          <w:rFonts w:ascii="Simplified Arabic" w:eastAsia="Times New Roman" w:hAnsi="Simplified Arabic" w:cs="Simplified Arabic"/>
          <w:color w:val="000000" w:themeColor="text1"/>
          <w:kern w:val="0"/>
          <w:sz w:val="28"/>
          <w:szCs w:val="28"/>
          <w14:ligatures w14:val="none"/>
        </w:rPr>
        <w:t>ker</w:t>
      </w:r>
      <w:proofErr w:type="spellEnd"/>
      <w:r w:rsidRPr="004B2CD4">
        <w:rPr>
          <w:rFonts w:ascii="Simplified Arabic" w:eastAsia="Times New Roman" w:hAnsi="Simplified Arabic" w:cs="Simplified Arabic"/>
          <w:color w:val="000000" w:themeColor="text1"/>
          <w:kern w:val="0"/>
          <w:sz w:val="28"/>
          <w:szCs w:val="28"/>
          <w14:ligatures w14:val="none"/>
        </w:rPr>
        <w:t xml:space="preserve"> (2024) </w:t>
      </w:r>
      <w:r w:rsidRPr="004B2CD4">
        <w:rPr>
          <w:rFonts w:ascii="Simplified Arabic" w:eastAsia="Times New Roman" w:hAnsi="Simplified Arabic" w:cs="Simplified Arabic"/>
          <w:color w:val="000000" w:themeColor="text1"/>
          <w:kern w:val="0"/>
          <w:sz w:val="28"/>
          <w:szCs w:val="28"/>
          <w:rtl/>
          <w14:ligatures w14:val="none"/>
        </w:rPr>
        <w:t>هذا المحور باعتباره تَجسيدًا للعقلانية في صنع القرار، وإن كان يَنبّه إلى أن العقلانية المطلقة تَظلّ مَثلًا أعلى يَصعب بلوغه في الواقع، نظرًا لمحدودية المعلومات والقدرات المعرفية للإنسان. ويَقترب القرار من الرشد بقدر ما يَستند إلى منهجية تحليلية واضحة، وبقدر ما يَستوعب التداعيات المحتملة لاختياراته</w:t>
      </w:r>
      <w:r w:rsidRPr="004B2CD4">
        <w:rPr>
          <w:rFonts w:ascii="Simplified Arabic" w:eastAsia="Times New Roman" w:hAnsi="Simplified Arabic" w:cs="Simplified Arabic"/>
          <w:color w:val="000000" w:themeColor="text1"/>
          <w:kern w:val="0"/>
          <w:sz w:val="28"/>
          <w:szCs w:val="28"/>
          <w14:ligatures w14:val="none"/>
        </w:rPr>
        <w:t>.</w:t>
      </w:r>
    </w:p>
    <w:p w14:paraId="06957764" w14:textId="7359DE4C" w:rsidR="003745E0" w:rsidRPr="004B2CD4" w:rsidRDefault="00C54E43" w:rsidP="004B2CD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025105"/>
      <w:r w:rsidRPr="004B2CD4">
        <w:rPr>
          <w:rFonts w:ascii="Simplified Arabic" w:eastAsia="Times New Roman" w:hAnsi="Simplified Arabic" w:cs="Simplified Arabic" w:hint="cs"/>
          <w:b/>
          <w:bCs/>
          <w:color w:val="000000" w:themeColor="text1"/>
          <w:kern w:val="0"/>
          <w:sz w:val="32"/>
          <w:szCs w:val="32"/>
          <w:rtl/>
          <w14:ligatures w14:val="none"/>
        </w:rPr>
        <w:t>6.2.2</w:t>
      </w:r>
      <w:r w:rsidR="003745E0" w:rsidRPr="004B2CD4">
        <w:rPr>
          <w:rFonts w:ascii="Simplified Arabic" w:eastAsia="Times New Roman" w:hAnsi="Simplified Arabic" w:cs="Simplified Arabic"/>
          <w:b/>
          <w:bCs/>
          <w:color w:val="000000" w:themeColor="text1"/>
          <w:kern w:val="0"/>
          <w:sz w:val="32"/>
          <w:szCs w:val="32"/>
          <w:rtl/>
          <w14:ligatures w14:val="none"/>
        </w:rPr>
        <w:t xml:space="preserve"> استراتيجيات تعزيز كفاءة اتخاذ القرارات الإدارية</w:t>
      </w:r>
      <w:bookmarkEnd w:id="43"/>
    </w:p>
    <w:p w14:paraId="2F11E7E2"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لا يَتحقّق ارتقاء الكفاءة في اتخاذ القرارات تلقائيًّا، بل يَستلزم استراتيجيات مَدروسة تَستهدف تطوير منظومة صنع القرار في أبعادها المختلفة</w:t>
      </w:r>
      <w:r w:rsidRPr="004B2CD4">
        <w:rPr>
          <w:rFonts w:ascii="Simplified Arabic" w:eastAsia="Times New Roman" w:hAnsi="Simplified Arabic" w:cs="Simplified Arabic"/>
          <w:color w:val="000000" w:themeColor="text1"/>
          <w:kern w:val="0"/>
          <w:sz w:val="28"/>
          <w:szCs w:val="28"/>
          <w14:ligatures w14:val="none"/>
        </w:rPr>
        <w:t>.</w:t>
      </w:r>
    </w:p>
    <w:p w14:paraId="5CF9978D"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وتَطرح شعبية (٢٠٢٣) استراتيجية مَركزية تَقوم على تعزيز جودة المعلومات بوصفها مدخلًا أساسيًّا لرفع كفاءة القرار، إذ تَستلزم هذه الاستراتيجية تطوير نظم المعلومات المؤسسية، وضمان دقة البيانات وحداثتها، وتيسير وصول متخذي القرار إليها في الوقت المناسب</w:t>
      </w:r>
      <w:r w:rsidRPr="004B2CD4">
        <w:rPr>
          <w:rFonts w:ascii="Simplified Arabic" w:eastAsia="Times New Roman" w:hAnsi="Simplified Arabic" w:cs="Simplified Arabic"/>
          <w:color w:val="000000" w:themeColor="text1"/>
          <w:kern w:val="0"/>
          <w:sz w:val="28"/>
          <w:szCs w:val="28"/>
          <w14:ligatures w14:val="none"/>
        </w:rPr>
        <w:t>.</w:t>
      </w:r>
    </w:p>
    <w:p w14:paraId="6E37DCE1"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lastRenderedPageBreak/>
        <w:t>ويَطرح أبو بكر (٢٠٢٦) استراتيجية التحوّل الرقمي بوصفها رافدًا جوهريًّا لتعزيز كفاءة القرار، إذ تُتيح الأدوات الرقمية لمتخذي القرار معالجة كميات أكبر من البيانات بصورة أسرع وأدقّ، وتُمكّنهم من توظيف نماذج التحليل المتقدمة في دراسة البدائل والتنبؤ بنتائجها</w:t>
      </w:r>
      <w:r w:rsidRPr="004B2CD4">
        <w:rPr>
          <w:rFonts w:ascii="Simplified Arabic" w:eastAsia="Times New Roman" w:hAnsi="Simplified Arabic" w:cs="Simplified Arabic"/>
          <w:color w:val="000000" w:themeColor="text1"/>
          <w:kern w:val="0"/>
          <w:sz w:val="28"/>
          <w:szCs w:val="28"/>
          <w14:ligatures w14:val="none"/>
        </w:rPr>
        <w:t>.</w:t>
      </w:r>
    </w:p>
    <w:p w14:paraId="702189B7"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ومن منظور سلوكي، يُقدّم</w:t>
      </w:r>
      <w:r w:rsidRPr="004B2CD4">
        <w:rPr>
          <w:rFonts w:ascii="Simplified Arabic" w:eastAsia="Times New Roman" w:hAnsi="Simplified Arabic" w:cs="Simplified Arabic"/>
          <w:color w:val="000000" w:themeColor="text1"/>
          <w:kern w:val="0"/>
          <w:sz w:val="28"/>
          <w:szCs w:val="28"/>
          <w14:ligatures w14:val="none"/>
        </w:rPr>
        <w:t xml:space="preserve"> Lourenço et al. (2022) </w:t>
      </w:r>
      <w:r w:rsidRPr="004B2CD4">
        <w:rPr>
          <w:rFonts w:ascii="Simplified Arabic" w:eastAsia="Times New Roman" w:hAnsi="Simplified Arabic" w:cs="Simplified Arabic"/>
          <w:color w:val="000000" w:themeColor="text1"/>
          <w:kern w:val="0"/>
          <w:sz w:val="28"/>
          <w:szCs w:val="28"/>
          <w:rtl/>
          <w14:ligatures w14:val="none"/>
        </w:rPr>
        <w:t>استراتيجية ترتكز على توظيف رؤى الاقتصاد السلوكي في تطوير عمليات صنع القرار في القطاع العام، عبر تصميم بيئات صنع القرار بما يُحدّ من التحيّزات المعرفية ويَدعم الخيارات الرشيدة، ويُراعي الطبيعة البشرية للفاعلين في المنظومة الإدارية</w:t>
      </w:r>
      <w:r w:rsidRPr="004B2CD4">
        <w:rPr>
          <w:rFonts w:ascii="Simplified Arabic" w:eastAsia="Times New Roman" w:hAnsi="Simplified Arabic" w:cs="Simplified Arabic"/>
          <w:color w:val="000000" w:themeColor="text1"/>
          <w:kern w:val="0"/>
          <w:sz w:val="28"/>
          <w:szCs w:val="28"/>
          <w14:ligatures w14:val="none"/>
        </w:rPr>
        <w:t>.</w:t>
      </w:r>
    </w:p>
    <w:p w14:paraId="51AD1390"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وتَطرح </w:t>
      </w:r>
      <w:proofErr w:type="spellStart"/>
      <w:r w:rsidRPr="004B2CD4">
        <w:rPr>
          <w:rFonts w:ascii="Simplified Arabic" w:eastAsia="Times New Roman" w:hAnsi="Simplified Arabic" w:cs="Simplified Arabic"/>
          <w:color w:val="000000" w:themeColor="text1"/>
          <w:kern w:val="0"/>
          <w:sz w:val="28"/>
          <w:szCs w:val="28"/>
          <w:rtl/>
          <w14:ligatures w14:val="none"/>
        </w:rPr>
        <w:t>البزايعه</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(٢٠٢٥) استراتيجية توظيف الذكاء الاصطناعي في دعم القرار، عبر تَبنّي تطبيقات قادرة على معالجة البيانات وتحليلها واقتراح البدائل، مع الإبقاء على الدور المركزي لمتخذ القرار البشري في الاختيار النهائي والمساءلة عنه</w:t>
      </w:r>
      <w:r w:rsidRPr="004B2CD4">
        <w:rPr>
          <w:rFonts w:ascii="Simplified Arabic" w:eastAsia="Times New Roman" w:hAnsi="Simplified Arabic" w:cs="Simplified Arabic"/>
          <w:color w:val="000000" w:themeColor="text1"/>
          <w:kern w:val="0"/>
          <w:sz w:val="28"/>
          <w:szCs w:val="28"/>
          <w14:ligatures w14:val="none"/>
        </w:rPr>
        <w:t>.</w:t>
      </w:r>
    </w:p>
    <w:p w14:paraId="77D44C4F"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ويُقدّم</w:t>
      </w:r>
      <w:r w:rsidRPr="004B2CD4">
        <w:rPr>
          <w:rFonts w:ascii="Simplified Arabic" w:eastAsia="Times New Roman" w:hAnsi="Simplified Arabic" w:cs="Simplified Arabic"/>
          <w:color w:val="000000" w:themeColor="text1"/>
          <w:kern w:val="0"/>
          <w:sz w:val="28"/>
          <w:szCs w:val="28"/>
          <w14:ligatures w14:val="none"/>
        </w:rPr>
        <w:t xml:space="preserve"> Osakwe (2025) </w:t>
      </w:r>
      <w:r w:rsidRPr="004B2CD4">
        <w:rPr>
          <w:rFonts w:ascii="Simplified Arabic" w:eastAsia="Times New Roman" w:hAnsi="Simplified Arabic" w:cs="Simplified Arabic"/>
          <w:color w:val="000000" w:themeColor="text1"/>
          <w:kern w:val="0"/>
          <w:sz w:val="28"/>
          <w:szCs w:val="28"/>
          <w:rtl/>
          <w14:ligatures w14:val="none"/>
        </w:rPr>
        <w:t>استراتيجية متكاملة تَقوم على دمج حوكمة البيانات في منظومة صنع القرار في القطاع العام، عبر إرساء سياسات واضحة لإدارة البيانات وضمان جودتها وأمنها، وتطوير بنية تحتية معلوماتية تَدعم القرارات القائمة على البراهين</w:t>
      </w:r>
      <w:r w:rsidRPr="004B2CD4">
        <w:rPr>
          <w:rFonts w:ascii="Simplified Arabic" w:eastAsia="Times New Roman" w:hAnsi="Simplified Arabic" w:cs="Simplified Arabic"/>
          <w:color w:val="000000" w:themeColor="text1"/>
          <w:kern w:val="0"/>
          <w:sz w:val="28"/>
          <w:szCs w:val="28"/>
          <w14:ligatures w14:val="none"/>
        </w:rPr>
        <w:t>.</w:t>
      </w:r>
    </w:p>
    <w:p w14:paraId="26805A1A" w14:textId="77777777" w:rsidR="003745E0" w:rsidRPr="004B2CD4" w:rsidRDefault="003745E0" w:rsidP="004B2CD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B2CD4">
        <w:rPr>
          <w:rFonts w:ascii="Simplified Arabic" w:eastAsia="Times New Roman" w:hAnsi="Simplified Arabic" w:cs="Simplified Arabic"/>
          <w:color w:val="000000" w:themeColor="text1"/>
          <w:kern w:val="0"/>
          <w:sz w:val="28"/>
          <w:szCs w:val="28"/>
          <w:rtl/>
          <w14:ligatures w14:val="none"/>
        </w:rPr>
        <w:t xml:space="preserve">ويَستخلص الباحث أن استراتيجيات تعزيز كفاءة القرار تَتوزّع على </w:t>
      </w:r>
      <w:proofErr w:type="gramStart"/>
      <w:r w:rsidRPr="004B2CD4">
        <w:rPr>
          <w:rFonts w:ascii="Simplified Arabic" w:eastAsia="Times New Roman" w:hAnsi="Simplified Arabic" w:cs="Simplified Arabic"/>
          <w:color w:val="000000" w:themeColor="text1"/>
          <w:kern w:val="0"/>
          <w:sz w:val="28"/>
          <w:szCs w:val="28"/>
          <w:rtl/>
          <w14:ligatures w14:val="none"/>
        </w:rPr>
        <w:t>أربعة</w:t>
      </w:r>
      <w:proofErr w:type="gramEnd"/>
      <w:r w:rsidRPr="004B2CD4">
        <w:rPr>
          <w:rFonts w:ascii="Simplified Arabic" w:eastAsia="Times New Roman" w:hAnsi="Simplified Arabic" w:cs="Simplified Arabic"/>
          <w:color w:val="000000" w:themeColor="text1"/>
          <w:kern w:val="0"/>
          <w:sz w:val="28"/>
          <w:szCs w:val="28"/>
          <w:rtl/>
          <w14:ligatures w14:val="none"/>
        </w:rPr>
        <w:t xml:space="preserve"> مسارات متكاملة: مسار معلوماتي يَستهدف تطوير المدخلات المعرفية للقرار، ومسار تقني يَستهدف توظيف الأدوات الرقمية والذكاء الاصطناعي، ومسار سلوكي يَستهدف ضبط التحيّزات المعرفية لمتخذي القرار، ومسار </w:t>
      </w:r>
      <w:proofErr w:type="spellStart"/>
      <w:r w:rsidRPr="004B2CD4">
        <w:rPr>
          <w:rFonts w:ascii="Simplified Arabic" w:eastAsia="Times New Roman" w:hAnsi="Simplified Arabic" w:cs="Simplified Arabic"/>
          <w:color w:val="000000" w:themeColor="text1"/>
          <w:kern w:val="0"/>
          <w:sz w:val="28"/>
          <w:szCs w:val="28"/>
          <w:rtl/>
          <w14:ligatures w14:val="none"/>
        </w:rPr>
        <w:t>حوكمي</w:t>
      </w:r>
      <w:proofErr w:type="spellEnd"/>
      <w:r w:rsidRPr="004B2CD4">
        <w:rPr>
          <w:rFonts w:ascii="Simplified Arabic" w:eastAsia="Times New Roman" w:hAnsi="Simplified Arabic" w:cs="Simplified Arabic"/>
          <w:color w:val="000000" w:themeColor="text1"/>
          <w:kern w:val="0"/>
          <w:sz w:val="28"/>
          <w:szCs w:val="28"/>
          <w:rtl/>
          <w14:ligatures w14:val="none"/>
        </w:rPr>
        <w:t xml:space="preserve"> يَستهدف ضمان شفافية العملية ومساءلتها. وتَتكامل هذه المسارات في منظومة واحدة، إذ يَستلزم النجاح في رفع كفاءة القرار تضافرها جميعًا</w:t>
      </w:r>
      <w:r w:rsidRPr="004B2CD4">
        <w:rPr>
          <w:rFonts w:ascii="Simplified Arabic" w:eastAsia="Times New Roman" w:hAnsi="Simplified Arabic" w:cs="Simplified Arabic"/>
          <w:color w:val="000000" w:themeColor="text1"/>
          <w:kern w:val="0"/>
          <w:sz w:val="28"/>
          <w:szCs w:val="28"/>
          <w14:ligatures w14:val="none"/>
        </w:rPr>
        <w:t>.</w:t>
      </w:r>
    </w:p>
    <w:bookmarkEnd w:id="23"/>
    <w:p w14:paraId="4C6462DA" w14:textId="602C744A" w:rsidR="00D37344" w:rsidRPr="004B2CD4" w:rsidRDefault="00D37344" w:rsidP="00FF79D9">
      <w:pPr>
        <w:spacing w:before="100" w:beforeAutospacing="1" w:after="100" w:afterAutospacing="1" w:line="276" w:lineRule="auto"/>
        <w:jc w:val="center"/>
        <w:outlineLvl w:val="0"/>
        <w:rPr>
          <w:rFonts w:ascii="Simplified Arabic" w:hAnsi="Simplified Arabic" w:cs="Simplified Arabic"/>
          <w:b/>
          <w:bCs/>
          <w:color w:val="000000" w:themeColor="text1"/>
          <w:sz w:val="24"/>
          <w:szCs w:val="32"/>
          <w:rtl/>
        </w:rPr>
        <w:sectPr w:rsidR="00D37344" w:rsidRPr="004B2CD4" w:rsidSect="001A6AF0">
          <w:footerReference w:type="default" r:id="rId9"/>
          <w:pgSz w:w="11906" w:h="16838" w:code="9"/>
          <w:pgMar w:top="1134" w:right="1701" w:bottom="1134" w:left="1134" w:header="720" w:footer="720" w:gutter="0"/>
          <w:pgNumType w:start="1"/>
          <w:cols w:space="708"/>
          <w:bidi/>
          <w:rtlGutter/>
          <w:docGrid w:linePitch="360"/>
        </w:sectPr>
      </w:pPr>
    </w:p>
    <w:p w14:paraId="29D4231B" w14:textId="12A9E691" w:rsidR="0081623B" w:rsidRPr="004B2CD4" w:rsidRDefault="0081623B" w:rsidP="004B2C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B2CD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663BC7A">
            <wp:simplePos x="0" y="0"/>
            <wp:positionH relativeFrom="column">
              <wp:posOffset>3813810</wp:posOffset>
            </wp:positionH>
            <wp:positionV relativeFrom="paragraph">
              <wp:posOffset>0</wp:posOffset>
            </wp:positionV>
            <wp:extent cx="1621155" cy="1501140"/>
            <wp:effectExtent l="0" t="0" r="0" b="3810"/>
            <wp:wrapTight wrapText="bothSides">
              <wp:wrapPolygon edited="0">
                <wp:start x="0" y="0"/>
                <wp:lineTo x="0" y="21381"/>
                <wp:lineTo x="21321" y="21381"/>
                <wp:lineTo x="2132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1155" cy="1501140"/>
                    </a:xfrm>
                    <a:prstGeom prst="rect">
                      <a:avLst/>
                    </a:prstGeom>
                    <a:noFill/>
                  </pic:spPr>
                </pic:pic>
              </a:graphicData>
            </a:graphic>
            <wp14:sizeRelH relativeFrom="margin">
              <wp14:pctWidth>0</wp14:pctWidth>
            </wp14:sizeRelH>
            <wp14:sizeRelV relativeFrom="margin">
              <wp14:pctHeight>0</wp14:pctHeight>
            </wp14:sizeRelV>
          </wp:anchor>
        </w:drawing>
      </w:r>
      <w:r w:rsidRPr="004B2CD4">
        <w:rPr>
          <w:rFonts w:asciiTheme="majorBidi" w:eastAsia="Calibri" w:hAnsiTheme="majorBidi" w:cstheme="majorBidi"/>
          <w:b/>
          <w:bCs/>
          <w:color w:val="000000" w:themeColor="text1"/>
          <w:kern w:val="0"/>
          <w:sz w:val="32"/>
          <w:szCs w:val="32"/>
          <w:lang w:bidi="ar-EG"/>
          <w14:ligatures w14:val="none"/>
        </w:rPr>
        <w:t>Mid</w:t>
      </w:r>
      <w:r w:rsidR="000D353F" w:rsidRPr="004B2CD4">
        <w:rPr>
          <w:rFonts w:asciiTheme="majorBidi" w:eastAsia="Calibri" w:hAnsiTheme="majorBidi" w:cstheme="majorBidi"/>
          <w:b/>
          <w:bCs/>
          <w:color w:val="000000" w:themeColor="text1"/>
          <w:kern w:val="0"/>
          <w:sz w:val="32"/>
          <w:szCs w:val="32"/>
          <w:lang w:bidi="ar-EG"/>
          <w14:ligatures w14:val="none"/>
        </w:rPr>
        <w:t xml:space="preserve"> </w:t>
      </w:r>
      <w:r w:rsidRPr="004B2CD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4B2CD4" w:rsidRDefault="0081623B" w:rsidP="004B2C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B2CD4">
        <w:rPr>
          <w:rFonts w:asciiTheme="majorBidi" w:eastAsia="Calibri" w:hAnsiTheme="majorBidi" w:cstheme="majorBidi"/>
          <w:b/>
          <w:bCs/>
          <w:color w:val="000000" w:themeColor="text1"/>
          <w:kern w:val="0"/>
          <w:sz w:val="32"/>
          <w:szCs w:val="32"/>
          <w:lang w:bidi="ar-EG"/>
          <w14:ligatures w14:val="none"/>
        </w:rPr>
        <w:t>College of Management</w:t>
      </w:r>
    </w:p>
    <w:p w14:paraId="17372067" w14:textId="0784B3CE" w:rsidR="00534DA5" w:rsidRPr="004B2CD4" w:rsidRDefault="00230D40" w:rsidP="004B2CD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proofErr w:type="gramStart"/>
      <w:r w:rsidRPr="004B2CD4">
        <w:rPr>
          <w:rFonts w:asciiTheme="majorBidi" w:eastAsia="Calibri" w:hAnsiTheme="majorBidi" w:cstheme="majorBidi"/>
          <w:b/>
          <w:bCs/>
          <w:color w:val="000000" w:themeColor="text1"/>
          <w:kern w:val="0"/>
          <w:sz w:val="32"/>
          <w:szCs w:val="32"/>
          <w:lang w:bidi="ar-EG"/>
          <w14:ligatures w14:val="none"/>
        </w:rPr>
        <w:t>Master’s</w:t>
      </w:r>
      <w:proofErr w:type="gramEnd"/>
      <w:r w:rsidRPr="004B2CD4">
        <w:rPr>
          <w:rFonts w:asciiTheme="majorBidi" w:eastAsia="Calibri" w:hAnsiTheme="majorBidi" w:cstheme="majorBidi"/>
          <w:b/>
          <w:bCs/>
          <w:color w:val="000000" w:themeColor="text1"/>
          <w:kern w:val="0"/>
          <w:sz w:val="32"/>
          <w:szCs w:val="32"/>
          <w:lang w:bidi="ar-EG"/>
          <w14:ligatures w14:val="none"/>
        </w:rPr>
        <w:t xml:space="preserve"> in </w:t>
      </w:r>
      <w:r w:rsidR="001F08D2" w:rsidRPr="004B2CD4">
        <w:rPr>
          <w:rFonts w:asciiTheme="majorBidi" w:eastAsia="Calibri" w:hAnsiTheme="majorBidi" w:cstheme="majorBidi"/>
          <w:b/>
          <w:bCs/>
          <w:color w:val="000000" w:themeColor="text1"/>
          <w:kern w:val="0"/>
          <w:sz w:val="32"/>
          <w:szCs w:val="32"/>
          <w:lang w:bidi="ar-EG"/>
          <w14:ligatures w14:val="none"/>
        </w:rPr>
        <w:t>business administration</w:t>
      </w:r>
    </w:p>
    <w:p w14:paraId="353E6C50" w14:textId="77777777" w:rsidR="00230D40" w:rsidRPr="004B2CD4" w:rsidRDefault="00230D40" w:rsidP="004B2CD4">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C91D793" w14:textId="77777777" w:rsidR="00794DCB" w:rsidRPr="004B2CD4" w:rsidRDefault="00794DCB" w:rsidP="004B2CD4">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44D5F62C" w14:textId="77777777" w:rsidR="001F08D2" w:rsidRPr="004B2CD4" w:rsidRDefault="001F08D2" w:rsidP="004B2CD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4B2CD4">
        <w:rPr>
          <w:rFonts w:asciiTheme="majorBidi" w:eastAsia="Calibri" w:hAnsiTheme="majorBidi" w:cstheme="majorBidi"/>
          <w:b/>
          <w:bCs/>
          <w:color w:val="000000" w:themeColor="text1"/>
          <w:kern w:val="0"/>
          <w:sz w:val="40"/>
          <w:szCs w:val="40"/>
          <w:lang w:bidi="ar-EG"/>
          <w14:ligatures w14:val="none"/>
        </w:rPr>
        <w:t>The Role of Governance and Transparency in Improving Decision-Making Efficiency: A Field Study on Government Entities in the Kingdom of Saudi Arabia</w:t>
      </w:r>
    </w:p>
    <w:p w14:paraId="712CB710" w14:textId="77777777" w:rsidR="00D37344" w:rsidRPr="004B2CD4" w:rsidRDefault="00D37344" w:rsidP="004B2CD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48F4C87" w:rsidR="000D353F" w:rsidRPr="004B2CD4" w:rsidRDefault="000D353F" w:rsidP="004B2CD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B2CD4">
        <w:rPr>
          <w:rFonts w:asciiTheme="majorBidi" w:eastAsia="Calibri" w:hAnsiTheme="majorBidi" w:cstheme="majorBidi"/>
          <w:b/>
          <w:bCs/>
          <w:color w:val="000000" w:themeColor="text1"/>
          <w:kern w:val="0"/>
          <w:sz w:val="36"/>
          <w:szCs w:val="36"/>
          <w:lang w:bidi="ar-EG"/>
          <w14:ligatures w14:val="none"/>
        </w:rPr>
        <w:t>Prepared by:</w:t>
      </w:r>
    </w:p>
    <w:p w14:paraId="2E1672F9" w14:textId="77777777" w:rsidR="00794DCB" w:rsidRPr="004B2CD4" w:rsidRDefault="00794DCB" w:rsidP="004B2CD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0F3744B7" w14:textId="77777777" w:rsidR="001F08D2" w:rsidRPr="004B2CD4" w:rsidRDefault="001F08D2" w:rsidP="004B2CD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9280D7A" w14:textId="77777777" w:rsidR="001F08D2" w:rsidRPr="004B2CD4" w:rsidRDefault="001F08D2" w:rsidP="004B2CD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42A58" w:rsidRPr="00704A83" w14:paraId="74462ACF" w14:textId="77777777" w:rsidTr="00F218BA">
        <w:tc>
          <w:tcPr>
            <w:tcW w:w="4530" w:type="dxa"/>
          </w:tcPr>
          <w:p w14:paraId="29D765C4" w14:textId="77777777" w:rsidR="00142A58" w:rsidRPr="00704A83" w:rsidRDefault="00142A58"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Main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4767CD92" w14:textId="77777777" w:rsidR="00142A58" w:rsidRPr="00704A83" w:rsidRDefault="00142A58"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b/>
                <w:bCs/>
                <w:color w:val="000000" w:themeColor="text1"/>
                <w:kern w:val="0"/>
                <w:sz w:val="36"/>
                <w:szCs w:val="36"/>
                <w:lang w:bidi="ar-EG"/>
                <w14:ligatures w14:val="none"/>
              </w:rPr>
              <w:t>Second supervisor</w:t>
            </w:r>
            <w:r w:rsidRPr="00704A83">
              <w:rPr>
                <w:rFonts w:ascii="Simplified Arabic" w:eastAsia="Calibri" w:hAnsi="Simplified Arabic" w:cs="Simplified Arabic" w:hint="cs"/>
                <w:b/>
                <w:bCs/>
                <w:color w:val="000000" w:themeColor="text1"/>
                <w:kern w:val="0"/>
                <w:sz w:val="36"/>
                <w:szCs w:val="36"/>
                <w:rtl/>
                <w:lang w:bidi="ar-EG"/>
                <w14:ligatures w14:val="none"/>
              </w:rPr>
              <w:t>/</w:t>
            </w:r>
          </w:p>
        </w:tc>
      </w:tr>
      <w:tr w:rsidR="00142A58" w:rsidRPr="00704A83" w14:paraId="3377FE55" w14:textId="77777777" w:rsidTr="00F218BA">
        <w:tc>
          <w:tcPr>
            <w:tcW w:w="4530" w:type="dxa"/>
          </w:tcPr>
          <w:p w14:paraId="42E5400F" w14:textId="77777777" w:rsidR="00142A58" w:rsidRPr="00704A83" w:rsidRDefault="00142A58"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Dr. Al-Faisal Abdelhamid</w:t>
            </w:r>
          </w:p>
        </w:tc>
        <w:tc>
          <w:tcPr>
            <w:tcW w:w="4531" w:type="dxa"/>
          </w:tcPr>
          <w:p w14:paraId="6FD758D6" w14:textId="77777777" w:rsidR="00142A58" w:rsidRPr="00704A83" w:rsidRDefault="00142A58" w:rsidP="00F218B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704A83">
              <w:rPr>
                <w:rFonts w:ascii="Simplified Arabic" w:eastAsia="Calibri" w:hAnsi="Simplified Arabic" w:cs="Simplified Arabic"/>
                <w:color w:val="000000" w:themeColor="text1"/>
                <w:kern w:val="0"/>
                <w:sz w:val="36"/>
                <w:szCs w:val="36"/>
                <w:lang w:bidi="ar-EG"/>
                <w14:ligatures w14:val="none"/>
              </w:rPr>
              <w:t>Dr. Fayez Jarad</w:t>
            </w:r>
          </w:p>
        </w:tc>
      </w:tr>
    </w:tbl>
    <w:p w14:paraId="5B77DA7F" w14:textId="77777777" w:rsidR="00D37344" w:rsidRPr="00142A58" w:rsidRDefault="00D37344" w:rsidP="004B2CD4">
      <w:pPr>
        <w:bidi w:val="0"/>
        <w:spacing w:before="100" w:beforeAutospacing="1" w:after="100" w:afterAutospacing="1" w:line="276" w:lineRule="auto"/>
        <w:jc w:val="center"/>
      </w:pPr>
    </w:p>
    <w:p w14:paraId="6E52896B" w14:textId="3F57E8D4" w:rsidR="009125CE" w:rsidRPr="004B2CD4" w:rsidRDefault="00D37344" w:rsidP="00142A5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B2CD4">
        <w:rPr>
          <w:rFonts w:asciiTheme="majorBidi" w:eastAsia="Calibri" w:hAnsiTheme="majorBidi" w:cstheme="majorBidi" w:hint="cs"/>
          <w:color w:val="000000" w:themeColor="text1"/>
          <w:kern w:val="0"/>
          <w:sz w:val="36"/>
          <w:szCs w:val="36"/>
          <w:rtl/>
          <w:lang w:bidi="ar-EG"/>
          <w14:ligatures w14:val="none"/>
        </w:rPr>
        <w:t>144</w:t>
      </w:r>
      <w:r w:rsidR="00142A58">
        <w:rPr>
          <w:rFonts w:asciiTheme="majorBidi" w:eastAsia="Calibri" w:hAnsiTheme="majorBidi" w:cstheme="majorBidi" w:hint="cs"/>
          <w:color w:val="000000" w:themeColor="text1"/>
          <w:kern w:val="0"/>
          <w:sz w:val="36"/>
          <w:szCs w:val="36"/>
          <w:rtl/>
          <w:lang w:bidi="ar-EG"/>
          <w14:ligatures w14:val="none"/>
        </w:rPr>
        <w:t>8</w:t>
      </w:r>
      <w:r w:rsidRPr="004B2CD4">
        <w:rPr>
          <w:rFonts w:asciiTheme="majorBidi" w:eastAsia="Calibri" w:hAnsiTheme="majorBidi" w:cstheme="majorBidi" w:hint="cs"/>
          <w:color w:val="000000" w:themeColor="text1"/>
          <w:kern w:val="0"/>
          <w:sz w:val="36"/>
          <w:szCs w:val="36"/>
          <w:rtl/>
          <w:lang w:bidi="ar-EG"/>
          <w14:ligatures w14:val="none"/>
        </w:rPr>
        <w:t xml:space="preserve"> </w:t>
      </w:r>
      <w:r w:rsidRPr="004B2CD4">
        <w:rPr>
          <w:rFonts w:asciiTheme="majorBidi" w:eastAsia="Calibri" w:hAnsiTheme="majorBidi" w:cstheme="majorBidi"/>
          <w:color w:val="000000" w:themeColor="text1"/>
          <w:kern w:val="0"/>
          <w:sz w:val="36"/>
          <w:szCs w:val="36"/>
          <w:rtl/>
          <w:lang w:bidi="ar-EG"/>
          <w14:ligatures w14:val="none"/>
        </w:rPr>
        <w:t>–</w:t>
      </w:r>
      <w:r w:rsidRPr="004B2CD4">
        <w:rPr>
          <w:rFonts w:asciiTheme="majorBidi" w:eastAsia="Calibri" w:hAnsiTheme="majorBidi" w:cstheme="majorBidi" w:hint="cs"/>
          <w:color w:val="000000" w:themeColor="text1"/>
          <w:kern w:val="0"/>
          <w:sz w:val="36"/>
          <w:szCs w:val="36"/>
          <w:rtl/>
          <w:lang w:bidi="ar-EG"/>
          <w14:ligatures w14:val="none"/>
        </w:rPr>
        <w:t xml:space="preserve"> 2026</w:t>
      </w:r>
    </w:p>
    <w:p w14:paraId="143D7E4B" w14:textId="77777777" w:rsidR="00D37344" w:rsidRPr="004B2CD4" w:rsidRDefault="00D37344" w:rsidP="004B2CD4">
      <w:pPr>
        <w:bidi w:val="0"/>
        <w:spacing w:before="100" w:beforeAutospacing="1" w:after="100" w:afterAutospacing="1" w:line="276" w:lineRule="auto"/>
        <w:jc w:val="both"/>
        <w:rPr>
          <w:rFonts w:asciiTheme="majorBidi" w:hAnsiTheme="majorBidi" w:cstheme="majorBidi"/>
          <w:color w:val="000000" w:themeColor="text1"/>
          <w:sz w:val="28"/>
          <w:szCs w:val="28"/>
        </w:rPr>
      </w:pPr>
    </w:p>
    <w:sectPr w:rsidR="00D37344" w:rsidRPr="004B2CD4" w:rsidSect="001A6AF0">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2AC13" w14:textId="77777777" w:rsidR="00022B2F" w:rsidRDefault="00022B2F" w:rsidP="009125CE">
      <w:pPr>
        <w:spacing w:after="0" w:line="240" w:lineRule="auto"/>
      </w:pPr>
      <w:r>
        <w:separator/>
      </w:r>
    </w:p>
  </w:endnote>
  <w:endnote w:type="continuationSeparator" w:id="0">
    <w:p w14:paraId="71E192DB" w14:textId="77777777" w:rsidR="00022B2F" w:rsidRDefault="00022B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9544435"/>
      <w:docPartObj>
        <w:docPartGallery w:val="Page Numbers (Bottom of Page)"/>
        <w:docPartUnique/>
      </w:docPartObj>
    </w:sdtPr>
    <w:sdtContent>
      <w:p w14:paraId="175215E4" w14:textId="77777777" w:rsidR="00285AC2" w:rsidRDefault="00285AC2">
        <w:pPr>
          <w:pStyle w:val="a4"/>
        </w:pPr>
        <w:r>
          <w:rPr>
            <w:noProof/>
          </w:rPr>
          <mc:AlternateContent>
            <mc:Choice Requires="wps">
              <w:drawing>
                <wp:anchor distT="0" distB="0" distL="114300" distR="114300" simplePos="0" relativeHeight="251666432" behindDoc="0" locked="0" layoutInCell="1" allowOverlap="1" wp14:anchorId="431E8A65" wp14:editId="05B011DF">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ABFB366" w14:textId="77777777" w:rsidR="00285AC2" w:rsidRPr="00634DCA" w:rsidRDefault="00285AC2">
                              <w:pPr>
                                <w:jc w:val="center"/>
                                <w:rPr>
                                  <w:rFonts w:ascii="Simplified Arabic" w:hAnsi="Simplified Arabic" w:cs="Simplified Arabic"/>
                                  <w:sz w:val="24"/>
                                  <w:szCs w:val="24"/>
                                </w:rPr>
                              </w:pPr>
                              <w:r w:rsidRPr="00634DCA">
                                <w:rPr>
                                  <w:rFonts w:ascii="Simplified Arabic" w:hAnsi="Simplified Arabic" w:cs="Simplified Arabic"/>
                                  <w:sz w:val="24"/>
                                  <w:szCs w:val="24"/>
                                </w:rPr>
                                <w:fldChar w:fldCharType="begin"/>
                              </w:r>
                              <w:r w:rsidRPr="00634DCA">
                                <w:rPr>
                                  <w:rFonts w:ascii="Simplified Arabic" w:hAnsi="Simplified Arabic" w:cs="Simplified Arabic"/>
                                  <w:sz w:val="24"/>
                                  <w:szCs w:val="24"/>
                                </w:rPr>
                                <w:instrText xml:space="preserve"> PAGE    \* MERGEFORMAT </w:instrText>
                              </w:r>
                              <w:r w:rsidRPr="00634DCA">
                                <w:rPr>
                                  <w:rFonts w:ascii="Simplified Arabic" w:hAnsi="Simplified Arabic" w:cs="Simplified Arabic"/>
                                  <w:sz w:val="24"/>
                                  <w:szCs w:val="24"/>
                                </w:rPr>
                                <w:fldChar w:fldCharType="separate"/>
                              </w:r>
                              <w:r w:rsidR="00142A58">
                                <w:rPr>
                                  <w:rFonts w:ascii="Simplified Arabic" w:hAnsi="Simplified Arabic" w:cs="Simplified Arabic"/>
                                  <w:noProof/>
                                  <w:sz w:val="24"/>
                                  <w:szCs w:val="24"/>
                                  <w:rtl/>
                                </w:rPr>
                                <w:t>1</w:t>
                              </w:r>
                              <w:r w:rsidRPr="00634DCA">
                                <w:rPr>
                                  <w:rFonts w:ascii="Simplified Arabic" w:hAnsi="Simplified Arabic" w:cs="Simplified Arabic"/>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31E8A6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2ABFB366" w14:textId="77777777" w:rsidR="00285AC2" w:rsidRPr="00634DCA" w:rsidRDefault="00285AC2">
                        <w:pPr>
                          <w:jc w:val="center"/>
                          <w:rPr>
                            <w:rFonts w:ascii="Simplified Arabic" w:hAnsi="Simplified Arabic" w:cs="Simplified Arabic"/>
                            <w:sz w:val="24"/>
                            <w:szCs w:val="24"/>
                          </w:rPr>
                        </w:pPr>
                        <w:r w:rsidRPr="00634DCA">
                          <w:rPr>
                            <w:rFonts w:ascii="Simplified Arabic" w:hAnsi="Simplified Arabic" w:cs="Simplified Arabic"/>
                            <w:sz w:val="24"/>
                            <w:szCs w:val="24"/>
                          </w:rPr>
                          <w:fldChar w:fldCharType="begin"/>
                        </w:r>
                        <w:r w:rsidRPr="00634DCA">
                          <w:rPr>
                            <w:rFonts w:ascii="Simplified Arabic" w:hAnsi="Simplified Arabic" w:cs="Simplified Arabic"/>
                            <w:sz w:val="24"/>
                            <w:szCs w:val="24"/>
                          </w:rPr>
                          <w:instrText xml:space="preserve"> PAGE    \* MERGEFORMAT </w:instrText>
                        </w:r>
                        <w:r w:rsidRPr="00634DCA">
                          <w:rPr>
                            <w:rFonts w:ascii="Simplified Arabic" w:hAnsi="Simplified Arabic" w:cs="Simplified Arabic"/>
                            <w:sz w:val="24"/>
                            <w:szCs w:val="24"/>
                          </w:rPr>
                          <w:fldChar w:fldCharType="separate"/>
                        </w:r>
                        <w:r w:rsidR="00142A58">
                          <w:rPr>
                            <w:rFonts w:ascii="Simplified Arabic" w:hAnsi="Simplified Arabic" w:cs="Simplified Arabic"/>
                            <w:noProof/>
                            <w:sz w:val="24"/>
                            <w:szCs w:val="24"/>
                            <w:rtl/>
                          </w:rPr>
                          <w:t>1</w:t>
                        </w:r>
                        <w:r w:rsidRPr="00634DCA">
                          <w:rPr>
                            <w:rFonts w:ascii="Simplified Arabic" w:hAnsi="Simplified Arabic" w:cs="Simplified Arabic"/>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EAA4EEF" wp14:editId="76A30621">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57A53CE"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AEFFF" w14:textId="4C4A9B7A" w:rsidR="00285AC2" w:rsidRDefault="00285AC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F23AD" w14:textId="77777777" w:rsidR="00022B2F" w:rsidRDefault="00022B2F" w:rsidP="009125CE">
      <w:pPr>
        <w:spacing w:after="0" w:line="240" w:lineRule="auto"/>
      </w:pPr>
      <w:r>
        <w:separator/>
      </w:r>
    </w:p>
  </w:footnote>
  <w:footnote w:type="continuationSeparator" w:id="0">
    <w:p w14:paraId="66F08A1C" w14:textId="77777777" w:rsidR="00022B2F" w:rsidRDefault="00022B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6889"/>
    <w:multiLevelType w:val="hybridMultilevel"/>
    <w:tmpl w:val="4F3E70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83E45"/>
    <w:multiLevelType w:val="hybridMultilevel"/>
    <w:tmpl w:val="4FC22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D1B11"/>
    <w:multiLevelType w:val="hybridMultilevel"/>
    <w:tmpl w:val="454860C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 w15:restartNumberingAfterBreak="0">
    <w:nsid w:val="0E23171C"/>
    <w:multiLevelType w:val="multilevel"/>
    <w:tmpl w:val="875E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33620"/>
    <w:multiLevelType w:val="multilevel"/>
    <w:tmpl w:val="6A0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150C8C"/>
    <w:multiLevelType w:val="hybridMultilevel"/>
    <w:tmpl w:val="5296C7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F3B65"/>
    <w:multiLevelType w:val="hybridMultilevel"/>
    <w:tmpl w:val="3E523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83B3C"/>
    <w:multiLevelType w:val="hybridMultilevel"/>
    <w:tmpl w:val="5420B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1736E"/>
    <w:multiLevelType w:val="multilevel"/>
    <w:tmpl w:val="06F8D19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DE0F23"/>
    <w:multiLevelType w:val="hybridMultilevel"/>
    <w:tmpl w:val="D6DEB2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E21A53"/>
    <w:multiLevelType w:val="hybridMultilevel"/>
    <w:tmpl w:val="D9A4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CD19EC"/>
    <w:multiLevelType w:val="hybridMultilevel"/>
    <w:tmpl w:val="4670A9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21760"/>
    <w:multiLevelType w:val="hybridMultilevel"/>
    <w:tmpl w:val="F418C9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1669D0"/>
    <w:multiLevelType w:val="hybridMultilevel"/>
    <w:tmpl w:val="2AE8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791D3C"/>
    <w:multiLevelType w:val="multilevel"/>
    <w:tmpl w:val="77D0C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5F7648"/>
    <w:multiLevelType w:val="hybridMultilevel"/>
    <w:tmpl w:val="021C4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DD7DDA"/>
    <w:multiLevelType w:val="hybridMultilevel"/>
    <w:tmpl w:val="A43ADF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F353D2"/>
    <w:multiLevelType w:val="hybridMultilevel"/>
    <w:tmpl w:val="D8B66A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364DF6"/>
    <w:multiLevelType w:val="hybridMultilevel"/>
    <w:tmpl w:val="4CCC7F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C40936"/>
    <w:multiLevelType w:val="hybridMultilevel"/>
    <w:tmpl w:val="1812DB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153E42"/>
    <w:multiLevelType w:val="hybridMultilevel"/>
    <w:tmpl w:val="63A293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635C62"/>
    <w:multiLevelType w:val="hybridMultilevel"/>
    <w:tmpl w:val="D8082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CC1ABA"/>
    <w:multiLevelType w:val="hybridMultilevel"/>
    <w:tmpl w:val="0D3898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DD20FC"/>
    <w:multiLevelType w:val="hybridMultilevel"/>
    <w:tmpl w:val="D9A41A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006843"/>
    <w:multiLevelType w:val="hybridMultilevel"/>
    <w:tmpl w:val="4C688E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CFF456C"/>
    <w:multiLevelType w:val="multilevel"/>
    <w:tmpl w:val="2AD81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69142B"/>
    <w:multiLevelType w:val="hybridMultilevel"/>
    <w:tmpl w:val="3DA8D5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56547D"/>
    <w:multiLevelType w:val="hybridMultilevel"/>
    <w:tmpl w:val="FBEAE9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27485A"/>
    <w:multiLevelType w:val="hybridMultilevel"/>
    <w:tmpl w:val="DA463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5138397">
    <w:abstractNumId w:val="15"/>
  </w:num>
  <w:num w:numId="2" w16cid:durableId="533273492">
    <w:abstractNumId w:val="4"/>
  </w:num>
  <w:num w:numId="3" w16cid:durableId="682168965">
    <w:abstractNumId w:val="3"/>
  </w:num>
  <w:num w:numId="4" w16cid:durableId="1581939366">
    <w:abstractNumId w:val="16"/>
  </w:num>
  <w:num w:numId="5" w16cid:durableId="914708043">
    <w:abstractNumId w:val="14"/>
  </w:num>
  <w:num w:numId="6" w16cid:durableId="624044226">
    <w:abstractNumId w:val="27"/>
  </w:num>
  <w:num w:numId="7" w16cid:durableId="1090931273">
    <w:abstractNumId w:val="11"/>
  </w:num>
  <w:num w:numId="8" w16cid:durableId="1092357415">
    <w:abstractNumId w:val="23"/>
  </w:num>
  <w:num w:numId="9" w16cid:durableId="144012321">
    <w:abstractNumId w:val="22"/>
  </w:num>
  <w:num w:numId="10" w16cid:durableId="1299145355">
    <w:abstractNumId w:val="21"/>
  </w:num>
  <w:num w:numId="11" w16cid:durableId="1644499657">
    <w:abstractNumId w:val="20"/>
  </w:num>
  <w:num w:numId="12" w16cid:durableId="1937060591">
    <w:abstractNumId w:val="13"/>
  </w:num>
  <w:num w:numId="13" w16cid:durableId="315425558">
    <w:abstractNumId w:val="1"/>
  </w:num>
  <w:num w:numId="14" w16cid:durableId="1159927718">
    <w:abstractNumId w:val="12"/>
  </w:num>
  <w:num w:numId="15" w16cid:durableId="992682540">
    <w:abstractNumId w:val="24"/>
  </w:num>
  <w:num w:numId="16" w16cid:durableId="1368332766">
    <w:abstractNumId w:val="2"/>
  </w:num>
  <w:num w:numId="17" w16cid:durableId="1291402244">
    <w:abstractNumId w:val="7"/>
  </w:num>
  <w:num w:numId="18" w16cid:durableId="930428330">
    <w:abstractNumId w:val="30"/>
  </w:num>
  <w:num w:numId="19" w16cid:durableId="928079435">
    <w:abstractNumId w:val="29"/>
  </w:num>
  <w:num w:numId="20" w16cid:durableId="1488209872">
    <w:abstractNumId w:val="8"/>
  </w:num>
  <w:num w:numId="21" w16cid:durableId="856114981">
    <w:abstractNumId w:val="28"/>
  </w:num>
  <w:num w:numId="22" w16cid:durableId="1778913432">
    <w:abstractNumId w:val="6"/>
  </w:num>
  <w:num w:numId="23" w16cid:durableId="1661957492">
    <w:abstractNumId w:val="5"/>
  </w:num>
  <w:num w:numId="24" w16cid:durableId="1097873662">
    <w:abstractNumId w:val="17"/>
  </w:num>
  <w:num w:numId="25" w16cid:durableId="176507561">
    <w:abstractNumId w:val="9"/>
  </w:num>
  <w:num w:numId="26" w16cid:durableId="1914310733">
    <w:abstractNumId w:val="19"/>
  </w:num>
  <w:num w:numId="27" w16cid:durableId="1801609162">
    <w:abstractNumId w:val="10"/>
  </w:num>
  <w:num w:numId="28" w16cid:durableId="1872569111">
    <w:abstractNumId w:val="26"/>
  </w:num>
  <w:num w:numId="29" w16cid:durableId="2121365617">
    <w:abstractNumId w:val="18"/>
  </w:num>
  <w:num w:numId="30" w16cid:durableId="1664771055">
    <w:abstractNumId w:val="25"/>
  </w:num>
  <w:num w:numId="31" w16cid:durableId="444689194">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2F"/>
    <w:rsid w:val="00022B3A"/>
    <w:rsid w:val="000318AB"/>
    <w:rsid w:val="0004554E"/>
    <w:rsid w:val="00052AB0"/>
    <w:rsid w:val="00053122"/>
    <w:rsid w:val="000543EF"/>
    <w:rsid w:val="000602CA"/>
    <w:rsid w:val="000610C9"/>
    <w:rsid w:val="00061FA2"/>
    <w:rsid w:val="00062D0A"/>
    <w:rsid w:val="00064FF1"/>
    <w:rsid w:val="00067818"/>
    <w:rsid w:val="00067938"/>
    <w:rsid w:val="0007370A"/>
    <w:rsid w:val="000769E1"/>
    <w:rsid w:val="000842EB"/>
    <w:rsid w:val="00086AAD"/>
    <w:rsid w:val="00093973"/>
    <w:rsid w:val="00094E98"/>
    <w:rsid w:val="000A06E6"/>
    <w:rsid w:val="000A2ED4"/>
    <w:rsid w:val="000A4AC3"/>
    <w:rsid w:val="000A4D31"/>
    <w:rsid w:val="000A4DAE"/>
    <w:rsid w:val="000A6930"/>
    <w:rsid w:val="000A7482"/>
    <w:rsid w:val="000C4130"/>
    <w:rsid w:val="000C46EE"/>
    <w:rsid w:val="000C5F74"/>
    <w:rsid w:val="000C6F6B"/>
    <w:rsid w:val="000D03ED"/>
    <w:rsid w:val="000D175F"/>
    <w:rsid w:val="000D2E22"/>
    <w:rsid w:val="000D353F"/>
    <w:rsid w:val="000D7A52"/>
    <w:rsid w:val="000D7D9D"/>
    <w:rsid w:val="000E0212"/>
    <w:rsid w:val="000E2A00"/>
    <w:rsid w:val="000E3680"/>
    <w:rsid w:val="000E503B"/>
    <w:rsid w:val="000F44B4"/>
    <w:rsid w:val="00101A20"/>
    <w:rsid w:val="00110487"/>
    <w:rsid w:val="0011209C"/>
    <w:rsid w:val="0011321B"/>
    <w:rsid w:val="0012342D"/>
    <w:rsid w:val="001306F3"/>
    <w:rsid w:val="00131E44"/>
    <w:rsid w:val="00142A58"/>
    <w:rsid w:val="00143989"/>
    <w:rsid w:val="00150B32"/>
    <w:rsid w:val="001510C1"/>
    <w:rsid w:val="00152611"/>
    <w:rsid w:val="00153B41"/>
    <w:rsid w:val="00154939"/>
    <w:rsid w:val="00170508"/>
    <w:rsid w:val="00170871"/>
    <w:rsid w:val="00172131"/>
    <w:rsid w:val="00174E80"/>
    <w:rsid w:val="00175050"/>
    <w:rsid w:val="00177583"/>
    <w:rsid w:val="00180436"/>
    <w:rsid w:val="0018142E"/>
    <w:rsid w:val="001840E8"/>
    <w:rsid w:val="001856D4"/>
    <w:rsid w:val="001867D0"/>
    <w:rsid w:val="00186C33"/>
    <w:rsid w:val="001902DB"/>
    <w:rsid w:val="0019163E"/>
    <w:rsid w:val="00192F58"/>
    <w:rsid w:val="00194472"/>
    <w:rsid w:val="001962D1"/>
    <w:rsid w:val="00197155"/>
    <w:rsid w:val="001A1039"/>
    <w:rsid w:val="001A1758"/>
    <w:rsid w:val="001A41B9"/>
    <w:rsid w:val="001A5094"/>
    <w:rsid w:val="001A6AF0"/>
    <w:rsid w:val="001A7D13"/>
    <w:rsid w:val="001B0A36"/>
    <w:rsid w:val="001B0D06"/>
    <w:rsid w:val="001B6D18"/>
    <w:rsid w:val="001B7151"/>
    <w:rsid w:val="001C2162"/>
    <w:rsid w:val="001C42F9"/>
    <w:rsid w:val="001D1A85"/>
    <w:rsid w:val="001D4406"/>
    <w:rsid w:val="001D5ED4"/>
    <w:rsid w:val="001E7B16"/>
    <w:rsid w:val="001F0034"/>
    <w:rsid w:val="001F08D2"/>
    <w:rsid w:val="001F159D"/>
    <w:rsid w:val="001F3D1D"/>
    <w:rsid w:val="001F46A5"/>
    <w:rsid w:val="00210FD2"/>
    <w:rsid w:val="00211082"/>
    <w:rsid w:val="002133A6"/>
    <w:rsid w:val="0021390B"/>
    <w:rsid w:val="00214898"/>
    <w:rsid w:val="0021718D"/>
    <w:rsid w:val="002172A3"/>
    <w:rsid w:val="00217ADA"/>
    <w:rsid w:val="00220735"/>
    <w:rsid w:val="00223AE0"/>
    <w:rsid w:val="002304C2"/>
    <w:rsid w:val="00230D40"/>
    <w:rsid w:val="00234450"/>
    <w:rsid w:val="00236E03"/>
    <w:rsid w:val="00250D99"/>
    <w:rsid w:val="00251BCA"/>
    <w:rsid w:val="00255699"/>
    <w:rsid w:val="00260558"/>
    <w:rsid w:val="00260875"/>
    <w:rsid w:val="00261B03"/>
    <w:rsid w:val="00261C0C"/>
    <w:rsid w:val="00261C3D"/>
    <w:rsid w:val="0026283D"/>
    <w:rsid w:val="00270FB5"/>
    <w:rsid w:val="002740A5"/>
    <w:rsid w:val="00274BDE"/>
    <w:rsid w:val="002766BC"/>
    <w:rsid w:val="00280068"/>
    <w:rsid w:val="002828EF"/>
    <w:rsid w:val="00285AC2"/>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0C3B"/>
    <w:rsid w:val="00301731"/>
    <w:rsid w:val="00303BF8"/>
    <w:rsid w:val="00304304"/>
    <w:rsid w:val="0031075C"/>
    <w:rsid w:val="00310B47"/>
    <w:rsid w:val="00311651"/>
    <w:rsid w:val="00313C73"/>
    <w:rsid w:val="00316D5C"/>
    <w:rsid w:val="00323FD3"/>
    <w:rsid w:val="003259CA"/>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45E0"/>
    <w:rsid w:val="00375544"/>
    <w:rsid w:val="00375565"/>
    <w:rsid w:val="003773DF"/>
    <w:rsid w:val="00377D51"/>
    <w:rsid w:val="00377DD2"/>
    <w:rsid w:val="0038357B"/>
    <w:rsid w:val="00384D34"/>
    <w:rsid w:val="003873E8"/>
    <w:rsid w:val="00393AA1"/>
    <w:rsid w:val="00396510"/>
    <w:rsid w:val="003A5136"/>
    <w:rsid w:val="003A5312"/>
    <w:rsid w:val="003A757C"/>
    <w:rsid w:val="003B30A9"/>
    <w:rsid w:val="003B48BD"/>
    <w:rsid w:val="003B51C3"/>
    <w:rsid w:val="003C2495"/>
    <w:rsid w:val="003D2F3C"/>
    <w:rsid w:val="003D5D45"/>
    <w:rsid w:val="003D6376"/>
    <w:rsid w:val="003E02C0"/>
    <w:rsid w:val="003E29FB"/>
    <w:rsid w:val="003E3EBB"/>
    <w:rsid w:val="003E7CB6"/>
    <w:rsid w:val="003E7EFA"/>
    <w:rsid w:val="003F521C"/>
    <w:rsid w:val="00402123"/>
    <w:rsid w:val="00403383"/>
    <w:rsid w:val="00403665"/>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6E17"/>
    <w:rsid w:val="0047707D"/>
    <w:rsid w:val="00482056"/>
    <w:rsid w:val="00482616"/>
    <w:rsid w:val="004858C2"/>
    <w:rsid w:val="00491EAB"/>
    <w:rsid w:val="004A035D"/>
    <w:rsid w:val="004A1755"/>
    <w:rsid w:val="004B1EF3"/>
    <w:rsid w:val="004B2CD4"/>
    <w:rsid w:val="004B352F"/>
    <w:rsid w:val="004C0303"/>
    <w:rsid w:val="004C3BAD"/>
    <w:rsid w:val="004C4331"/>
    <w:rsid w:val="004D23E7"/>
    <w:rsid w:val="004D6581"/>
    <w:rsid w:val="004D6B08"/>
    <w:rsid w:val="004E439C"/>
    <w:rsid w:val="004E7B16"/>
    <w:rsid w:val="004F0AD9"/>
    <w:rsid w:val="004F1444"/>
    <w:rsid w:val="004F2475"/>
    <w:rsid w:val="004F3AF6"/>
    <w:rsid w:val="00504E7A"/>
    <w:rsid w:val="00513B3A"/>
    <w:rsid w:val="005146DA"/>
    <w:rsid w:val="0051585E"/>
    <w:rsid w:val="00522010"/>
    <w:rsid w:val="0052581D"/>
    <w:rsid w:val="00534DA5"/>
    <w:rsid w:val="005374F3"/>
    <w:rsid w:val="005423FA"/>
    <w:rsid w:val="00544E3F"/>
    <w:rsid w:val="005459E0"/>
    <w:rsid w:val="00545E45"/>
    <w:rsid w:val="00550EC8"/>
    <w:rsid w:val="005527F0"/>
    <w:rsid w:val="00556C54"/>
    <w:rsid w:val="00557A05"/>
    <w:rsid w:val="00557B85"/>
    <w:rsid w:val="00564FA0"/>
    <w:rsid w:val="005663EA"/>
    <w:rsid w:val="00566BCE"/>
    <w:rsid w:val="00586F13"/>
    <w:rsid w:val="00590B27"/>
    <w:rsid w:val="00597F74"/>
    <w:rsid w:val="005A4FB6"/>
    <w:rsid w:val="005A6118"/>
    <w:rsid w:val="005A755A"/>
    <w:rsid w:val="005B112C"/>
    <w:rsid w:val="005B2F92"/>
    <w:rsid w:val="005B5824"/>
    <w:rsid w:val="005B7D85"/>
    <w:rsid w:val="005C170A"/>
    <w:rsid w:val="005D0E3A"/>
    <w:rsid w:val="005D25AE"/>
    <w:rsid w:val="005D2620"/>
    <w:rsid w:val="005D5DB7"/>
    <w:rsid w:val="005D6A8C"/>
    <w:rsid w:val="005E37C2"/>
    <w:rsid w:val="005E4655"/>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34DCA"/>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6F7008"/>
    <w:rsid w:val="0070333D"/>
    <w:rsid w:val="00705AF7"/>
    <w:rsid w:val="0070610A"/>
    <w:rsid w:val="00706E7F"/>
    <w:rsid w:val="0071504C"/>
    <w:rsid w:val="007178EE"/>
    <w:rsid w:val="007301E5"/>
    <w:rsid w:val="00731DC0"/>
    <w:rsid w:val="00732CE5"/>
    <w:rsid w:val="00741B9A"/>
    <w:rsid w:val="007501C6"/>
    <w:rsid w:val="007526FA"/>
    <w:rsid w:val="0075485F"/>
    <w:rsid w:val="00754DB9"/>
    <w:rsid w:val="00755053"/>
    <w:rsid w:val="00756A6F"/>
    <w:rsid w:val="00757802"/>
    <w:rsid w:val="00760A35"/>
    <w:rsid w:val="00766D40"/>
    <w:rsid w:val="00771861"/>
    <w:rsid w:val="007739B3"/>
    <w:rsid w:val="007753A5"/>
    <w:rsid w:val="00775634"/>
    <w:rsid w:val="0077567C"/>
    <w:rsid w:val="00780E8F"/>
    <w:rsid w:val="00781D34"/>
    <w:rsid w:val="00784937"/>
    <w:rsid w:val="007874FA"/>
    <w:rsid w:val="0079013B"/>
    <w:rsid w:val="00791E1F"/>
    <w:rsid w:val="00792A28"/>
    <w:rsid w:val="00794DCB"/>
    <w:rsid w:val="007A7A94"/>
    <w:rsid w:val="007B0E54"/>
    <w:rsid w:val="007B2139"/>
    <w:rsid w:val="007B51D9"/>
    <w:rsid w:val="007C06CD"/>
    <w:rsid w:val="007C170D"/>
    <w:rsid w:val="007C2A8F"/>
    <w:rsid w:val="007C3859"/>
    <w:rsid w:val="007C3D97"/>
    <w:rsid w:val="007C6908"/>
    <w:rsid w:val="007D2C05"/>
    <w:rsid w:val="007D443E"/>
    <w:rsid w:val="007E0AD8"/>
    <w:rsid w:val="007E1C36"/>
    <w:rsid w:val="007E1EBB"/>
    <w:rsid w:val="007E3A20"/>
    <w:rsid w:val="007E4566"/>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271"/>
    <w:rsid w:val="00835621"/>
    <w:rsid w:val="0083662A"/>
    <w:rsid w:val="0084024D"/>
    <w:rsid w:val="00850760"/>
    <w:rsid w:val="00850E99"/>
    <w:rsid w:val="0085226F"/>
    <w:rsid w:val="0085346A"/>
    <w:rsid w:val="00854A80"/>
    <w:rsid w:val="00854D73"/>
    <w:rsid w:val="0085514C"/>
    <w:rsid w:val="00857739"/>
    <w:rsid w:val="00871660"/>
    <w:rsid w:val="008747D7"/>
    <w:rsid w:val="00874CD5"/>
    <w:rsid w:val="00874D2F"/>
    <w:rsid w:val="008756CE"/>
    <w:rsid w:val="00877AAC"/>
    <w:rsid w:val="00881AB1"/>
    <w:rsid w:val="00882D37"/>
    <w:rsid w:val="00882D53"/>
    <w:rsid w:val="00884DBC"/>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4C8E"/>
    <w:rsid w:val="008E1B7E"/>
    <w:rsid w:val="008E5C19"/>
    <w:rsid w:val="008E686A"/>
    <w:rsid w:val="008E7314"/>
    <w:rsid w:val="008F1EAE"/>
    <w:rsid w:val="008F6829"/>
    <w:rsid w:val="008F6B36"/>
    <w:rsid w:val="0090105B"/>
    <w:rsid w:val="00903E7F"/>
    <w:rsid w:val="0090438F"/>
    <w:rsid w:val="00905FD8"/>
    <w:rsid w:val="00906DE5"/>
    <w:rsid w:val="009125CE"/>
    <w:rsid w:val="00912EDE"/>
    <w:rsid w:val="00914D5B"/>
    <w:rsid w:val="0092088B"/>
    <w:rsid w:val="009216A4"/>
    <w:rsid w:val="00924834"/>
    <w:rsid w:val="00926B7C"/>
    <w:rsid w:val="00927901"/>
    <w:rsid w:val="009307B0"/>
    <w:rsid w:val="00930A79"/>
    <w:rsid w:val="00931CDB"/>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1B54"/>
    <w:rsid w:val="00994120"/>
    <w:rsid w:val="00995162"/>
    <w:rsid w:val="009A3E7D"/>
    <w:rsid w:val="009A62C5"/>
    <w:rsid w:val="009B37BE"/>
    <w:rsid w:val="009B37F5"/>
    <w:rsid w:val="009B5162"/>
    <w:rsid w:val="009B6888"/>
    <w:rsid w:val="009B7EAF"/>
    <w:rsid w:val="009C0161"/>
    <w:rsid w:val="009C1818"/>
    <w:rsid w:val="009C20C7"/>
    <w:rsid w:val="009C3E61"/>
    <w:rsid w:val="009C43FD"/>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448F"/>
    <w:rsid w:val="00A15287"/>
    <w:rsid w:val="00A15584"/>
    <w:rsid w:val="00A16431"/>
    <w:rsid w:val="00A23F0B"/>
    <w:rsid w:val="00A23F5C"/>
    <w:rsid w:val="00A2564F"/>
    <w:rsid w:val="00A274A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7E5"/>
    <w:rsid w:val="00A673C7"/>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37EA6"/>
    <w:rsid w:val="00B4269F"/>
    <w:rsid w:val="00B44182"/>
    <w:rsid w:val="00B4604C"/>
    <w:rsid w:val="00B467CC"/>
    <w:rsid w:val="00B5443B"/>
    <w:rsid w:val="00B56CAA"/>
    <w:rsid w:val="00B570EB"/>
    <w:rsid w:val="00B57582"/>
    <w:rsid w:val="00B576EF"/>
    <w:rsid w:val="00B61242"/>
    <w:rsid w:val="00B63B0F"/>
    <w:rsid w:val="00B653F7"/>
    <w:rsid w:val="00B711D1"/>
    <w:rsid w:val="00B72A08"/>
    <w:rsid w:val="00B739CF"/>
    <w:rsid w:val="00B74A10"/>
    <w:rsid w:val="00B74FF2"/>
    <w:rsid w:val="00B75E84"/>
    <w:rsid w:val="00B7678A"/>
    <w:rsid w:val="00B801FA"/>
    <w:rsid w:val="00B9286F"/>
    <w:rsid w:val="00BA0E1B"/>
    <w:rsid w:val="00BA1572"/>
    <w:rsid w:val="00BA3D6A"/>
    <w:rsid w:val="00BA5817"/>
    <w:rsid w:val="00BB1144"/>
    <w:rsid w:val="00BB3514"/>
    <w:rsid w:val="00BB70F9"/>
    <w:rsid w:val="00BC24EE"/>
    <w:rsid w:val="00BC454D"/>
    <w:rsid w:val="00BD03D1"/>
    <w:rsid w:val="00BD2251"/>
    <w:rsid w:val="00BD590D"/>
    <w:rsid w:val="00BE03ED"/>
    <w:rsid w:val="00BE2024"/>
    <w:rsid w:val="00BE726D"/>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0072"/>
    <w:rsid w:val="00C54E43"/>
    <w:rsid w:val="00C62935"/>
    <w:rsid w:val="00C671AF"/>
    <w:rsid w:val="00C67472"/>
    <w:rsid w:val="00C71349"/>
    <w:rsid w:val="00C71E18"/>
    <w:rsid w:val="00C72446"/>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34C0"/>
    <w:rsid w:val="00CC4484"/>
    <w:rsid w:val="00CC6705"/>
    <w:rsid w:val="00CC7877"/>
    <w:rsid w:val="00CD0099"/>
    <w:rsid w:val="00CD105C"/>
    <w:rsid w:val="00CE144F"/>
    <w:rsid w:val="00CF1F0B"/>
    <w:rsid w:val="00CF246C"/>
    <w:rsid w:val="00CF4901"/>
    <w:rsid w:val="00CF552E"/>
    <w:rsid w:val="00CF5B9E"/>
    <w:rsid w:val="00CF68AE"/>
    <w:rsid w:val="00CF6CEC"/>
    <w:rsid w:val="00D043D4"/>
    <w:rsid w:val="00D1053F"/>
    <w:rsid w:val="00D10F38"/>
    <w:rsid w:val="00D1454F"/>
    <w:rsid w:val="00D145CD"/>
    <w:rsid w:val="00D177CA"/>
    <w:rsid w:val="00D216C5"/>
    <w:rsid w:val="00D22171"/>
    <w:rsid w:val="00D274B5"/>
    <w:rsid w:val="00D27AED"/>
    <w:rsid w:val="00D30845"/>
    <w:rsid w:val="00D3210F"/>
    <w:rsid w:val="00D32470"/>
    <w:rsid w:val="00D37344"/>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3460"/>
    <w:rsid w:val="00E7565E"/>
    <w:rsid w:val="00E76742"/>
    <w:rsid w:val="00E76A3D"/>
    <w:rsid w:val="00E76DB1"/>
    <w:rsid w:val="00E802F2"/>
    <w:rsid w:val="00E82DAD"/>
    <w:rsid w:val="00E83504"/>
    <w:rsid w:val="00E86613"/>
    <w:rsid w:val="00E90626"/>
    <w:rsid w:val="00E97126"/>
    <w:rsid w:val="00EA1A33"/>
    <w:rsid w:val="00EA6B5D"/>
    <w:rsid w:val="00EB60A5"/>
    <w:rsid w:val="00EB64EB"/>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69F"/>
    <w:rsid w:val="00F30BD7"/>
    <w:rsid w:val="00F310F2"/>
    <w:rsid w:val="00F33937"/>
    <w:rsid w:val="00F3442D"/>
    <w:rsid w:val="00F450D5"/>
    <w:rsid w:val="00F45612"/>
    <w:rsid w:val="00F540A1"/>
    <w:rsid w:val="00F546CE"/>
    <w:rsid w:val="00F563E2"/>
    <w:rsid w:val="00F647B4"/>
    <w:rsid w:val="00F66109"/>
    <w:rsid w:val="00F67418"/>
    <w:rsid w:val="00F72CBB"/>
    <w:rsid w:val="00F733B2"/>
    <w:rsid w:val="00F75CCD"/>
    <w:rsid w:val="00F76F16"/>
    <w:rsid w:val="00F81764"/>
    <w:rsid w:val="00F81D0C"/>
    <w:rsid w:val="00F91846"/>
    <w:rsid w:val="00F95872"/>
    <w:rsid w:val="00FA02C7"/>
    <w:rsid w:val="00FA0A03"/>
    <w:rsid w:val="00FA24AF"/>
    <w:rsid w:val="00FA4282"/>
    <w:rsid w:val="00FA44AF"/>
    <w:rsid w:val="00FB11CC"/>
    <w:rsid w:val="00FB151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79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794DCB"/>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94DCB"/>
    <w:rPr>
      <w:rFonts w:ascii="Simplified Arabic" w:eastAsiaTheme="majorEastAsia" w:hAnsi="Simplified Arabic" w:cs="Simplified Arabic"/>
      <w:b/>
      <w:bCs/>
      <w:sz w:val="40"/>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3745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1A6AF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3">
    <w:name w:val="Grid Table 6 Colorful Accent 3"/>
    <w:basedOn w:val="a1"/>
    <w:uiPriority w:val="51"/>
    <w:rsid w:val="00634DC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5854172">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545870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7689509">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747336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0726941">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30896">
      <w:bodyDiv w:val="1"/>
      <w:marLeft w:val="0"/>
      <w:marRight w:val="0"/>
      <w:marTop w:val="0"/>
      <w:marBottom w:val="0"/>
      <w:divBdr>
        <w:top w:val="none" w:sz="0" w:space="0" w:color="auto"/>
        <w:left w:val="none" w:sz="0" w:space="0" w:color="auto"/>
        <w:bottom w:val="none" w:sz="0" w:space="0" w:color="auto"/>
        <w:right w:val="none" w:sz="0" w:space="0" w:color="auto"/>
      </w:divBdr>
      <w:divsChild>
        <w:div w:id="1361392271">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4963354">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9088527">
      <w:bodyDiv w:val="1"/>
      <w:marLeft w:val="0"/>
      <w:marRight w:val="0"/>
      <w:marTop w:val="0"/>
      <w:marBottom w:val="0"/>
      <w:divBdr>
        <w:top w:val="none" w:sz="0" w:space="0" w:color="auto"/>
        <w:left w:val="none" w:sz="0" w:space="0" w:color="auto"/>
        <w:bottom w:val="none" w:sz="0" w:space="0" w:color="auto"/>
        <w:right w:val="none" w:sz="0" w:space="0" w:color="auto"/>
      </w:divBdr>
    </w:div>
    <w:div w:id="770704430">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108120">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180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749686">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76403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4227510">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68977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599862">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332856">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3504438">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433299">
      <w:bodyDiv w:val="1"/>
      <w:marLeft w:val="0"/>
      <w:marRight w:val="0"/>
      <w:marTop w:val="0"/>
      <w:marBottom w:val="0"/>
      <w:divBdr>
        <w:top w:val="none" w:sz="0" w:space="0" w:color="auto"/>
        <w:left w:val="none" w:sz="0" w:space="0" w:color="auto"/>
        <w:bottom w:val="none" w:sz="0" w:space="0" w:color="auto"/>
        <w:right w:val="none" w:sz="0" w:space="0" w:color="auto"/>
      </w:divBdr>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7245548">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2099520">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18022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8522747">
      <w:bodyDiv w:val="1"/>
      <w:marLeft w:val="0"/>
      <w:marRight w:val="0"/>
      <w:marTop w:val="0"/>
      <w:marBottom w:val="0"/>
      <w:divBdr>
        <w:top w:val="none" w:sz="0" w:space="0" w:color="auto"/>
        <w:left w:val="none" w:sz="0" w:space="0" w:color="auto"/>
        <w:bottom w:val="none" w:sz="0" w:space="0" w:color="auto"/>
        <w:right w:val="none" w:sz="0" w:space="0" w:color="auto"/>
      </w:divBdr>
      <w:divsChild>
        <w:div w:id="1231497505">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6526527">
      <w:bodyDiv w:val="1"/>
      <w:marLeft w:val="0"/>
      <w:marRight w:val="0"/>
      <w:marTop w:val="0"/>
      <w:marBottom w:val="0"/>
      <w:divBdr>
        <w:top w:val="none" w:sz="0" w:space="0" w:color="auto"/>
        <w:left w:val="none" w:sz="0" w:space="0" w:color="auto"/>
        <w:bottom w:val="none" w:sz="0" w:space="0" w:color="auto"/>
        <w:right w:val="none" w:sz="0" w:space="0" w:color="auto"/>
      </w:divBdr>
    </w:div>
    <w:div w:id="1547639238">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43584">
      <w:bodyDiv w:val="1"/>
      <w:marLeft w:val="0"/>
      <w:marRight w:val="0"/>
      <w:marTop w:val="0"/>
      <w:marBottom w:val="0"/>
      <w:divBdr>
        <w:top w:val="none" w:sz="0" w:space="0" w:color="auto"/>
        <w:left w:val="none" w:sz="0" w:space="0" w:color="auto"/>
        <w:bottom w:val="none" w:sz="0" w:space="0" w:color="auto"/>
        <w:right w:val="none" w:sz="0" w:space="0" w:color="auto"/>
      </w:divBdr>
    </w:div>
    <w:div w:id="165271445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615490">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607232">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5586736">
      <w:bodyDiv w:val="1"/>
      <w:marLeft w:val="0"/>
      <w:marRight w:val="0"/>
      <w:marTop w:val="0"/>
      <w:marBottom w:val="0"/>
      <w:divBdr>
        <w:top w:val="none" w:sz="0" w:space="0" w:color="auto"/>
        <w:left w:val="none" w:sz="0" w:space="0" w:color="auto"/>
        <w:bottom w:val="none" w:sz="0" w:space="0" w:color="auto"/>
        <w:right w:val="none" w:sz="0" w:space="0" w:color="auto"/>
      </w:divBdr>
      <w:divsChild>
        <w:div w:id="321861191">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07602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3593862">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9813018">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78537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948576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222833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045145">
      <w:bodyDiv w:val="1"/>
      <w:marLeft w:val="0"/>
      <w:marRight w:val="0"/>
      <w:marTop w:val="0"/>
      <w:marBottom w:val="0"/>
      <w:divBdr>
        <w:top w:val="none" w:sz="0" w:space="0" w:color="auto"/>
        <w:left w:val="none" w:sz="0" w:space="0" w:color="auto"/>
        <w:bottom w:val="none" w:sz="0" w:space="0" w:color="auto"/>
        <w:right w:val="none" w:sz="0" w:space="0" w:color="auto"/>
      </w:divBdr>
      <w:divsChild>
        <w:div w:id="1146124903">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FB9B40-ED81-47AC-8D42-1CFE5927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10172</Words>
  <Characters>57983</Characters>
  <Application>Microsoft Office Word</Application>
  <DocSecurity>0</DocSecurity>
  <Lines>483</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cp:lastPrinted>2026-06-22T11:18:00Z</cp:lastPrinted>
  <dcterms:created xsi:type="dcterms:W3CDTF">2026-07-17T16:00:00Z</dcterms:created>
  <dcterms:modified xsi:type="dcterms:W3CDTF">2026-07-17T16:00:00Z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