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49C50" w14:textId="083BE40B" w:rsidR="00B627EA" w:rsidRPr="005D59A7" w:rsidRDefault="00972BEC" w:rsidP="00B627EA">
      <w:pPr>
        <w:bidi/>
        <w:spacing w:line="240" w:lineRule="auto"/>
        <w:ind w:hanging="283"/>
        <w:jc w:val="both"/>
        <w:rPr>
          <w:rFonts w:ascii="T" w:hAnsi="T" w:cstheme="majorBidi"/>
          <w:b/>
          <w:bCs/>
          <w:color w:val="548DD4" w:themeColor="text2" w:themeTint="99"/>
          <w:sz w:val="40"/>
          <w:szCs w:val="40"/>
          <w:rtl/>
        </w:rPr>
      </w:pPr>
      <w:bookmarkStart w:id="0" w:name="_Hlk225823442"/>
      <w:r w:rsidRPr="002D6703">
        <w:rPr>
          <w:rFonts w:asciiTheme="majorBidi" w:hAnsiTheme="majorBidi" w:cstheme="majorBidi"/>
          <w:b/>
          <w:noProof/>
          <w:sz w:val="20"/>
        </w:rPr>
        <w:drawing>
          <wp:anchor distT="0" distB="0" distL="114300" distR="114300" simplePos="0" relativeHeight="251656704" behindDoc="0" locked="0" layoutInCell="1" allowOverlap="1" wp14:anchorId="54ED0BD0" wp14:editId="1B411BA5">
            <wp:simplePos x="0" y="0"/>
            <wp:positionH relativeFrom="margin">
              <wp:posOffset>1979930</wp:posOffset>
            </wp:positionH>
            <wp:positionV relativeFrom="margin">
              <wp:posOffset>-355600</wp:posOffset>
            </wp:positionV>
            <wp:extent cx="1516380" cy="666750"/>
            <wp:effectExtent l="19050" t="0" r="762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750"/>
                    </a:xfrm>
                    <a:prstGeom prst="rect">
                      <a:avLst/>
                    </a:prstGeom>
                  </pic:spPr>
                </pic:pic>
              </a:graphicData>
            </a:graphic>
          </wp:anchor>
        </w:drawing>
      </w:r>
    </w:p>
    <w:p w14:paraId="04BD89F3" w14:textId="0CFE0614" w:rsidR="00B627EA" w:rsidRPr="005D59A7" w:rsidRDefault="00B627EA" w:rsidP="00B627EA">
      <w:pPr>
        <w:pStyle w:val="NormalWeb"/>
        <w:bidi/>
        <w:spacing w:before="0" w:beforeAutospacing="0" w:after="0" w:afterAutospacing="0"/>
        <w:ind w:right="-270"/>
        <w:rPr>
          <w:rFonts w:ascii="T" w:hAnsi="T" w:cstheme="majorBidi"/>
          <w:b/>
          <w:bCs/>
          <w:color w:val="0000FF"/>
          <w:sz w:val="32"/>
          <w:szCs w:val="32"/>
        </w:rPr>
      </w:pPr>
    </w:p>
    <w:p w14:paraId="7661DD81" w14:textId="77777777" w:rsidR="00B627EA" w:rsidRPr="005D59A7" w:rsidRDefault="00B627EA" w:rsidP="00B627EA">
      <w:pPr>
        <w:bidi/>
        <w:jc w:val="center"/>
        <w:rPr>
          <w:rFonts w:ascii="T" w:hAnsi="T" w:cs="Simplified Arabic"/>
          <w:b/>
          <w:bCs/>
          <w:sz w:val="24"/>
          <w:szCs w:val="24"/>
        </w:rPr>
      </w:pPr>
      <w:r w:rsidRPr="005D59A7">
        <w:rPr>
          <w:rFonts w:ascii="T" w:hAnsi="T" w:cs="Simplified Arabic"/>
          <w:b/>
          <w:bCs/>
          <w:sz w:val="24"/>
          <w:szCs w:val="24"/>
          <w:rtl/>
        </w:rPr>
        <w:t>مشروع أطروحة لتسجيل درجة الدكتوراه في</w:t>
      </w:r>
      <w:r w:rsidRPr="005D59A7">
        <w:rPr>
          <w:rFonts w:ascii="T" w:hAnsi="T" w:cs="Simplified Arabic"/>
          <w:b/>
          <w:bCs/>
          <w:sz w:val="24"/>
          <w:szCs w:val="24"/>
        </w:rPr>
        <w:t xml:space="preserve"> </w:t>
      </w:r>
      <w:r w:rsidRPr="005D59A7">
        <w:rPr>
          <w:rFonts w:ascii="T" w:hAnsi="T" w:cs="Simplified Arabic"/>
          <w:b/>
          <w:bCs/>
          <w:sz w:val="24"/>
          <w:szCs w:val="24"/>
          <w:rtl/>
        </w:rPr>
        <w:t>الإدارة</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130"/>
        <w:gridCol w:w="270"/>
      </w:tblGrid>
      <w:tr w:rsidR="00B627EA" w:rsidRPr="005D59A7" w14:paraId="2972832D" w14:textId="77777777" w:rsidTr="00CC256A">
        <w:tc>
          <w:tcPr>
            <w:tcW w:w="8130" w:type="dxa"/>
            <w:tcBorders>
              <w:top w:val="nil"/>
              <w:left w:val="nil"/>
              <w:bottom w:val="nil"/>
              <w:right w:val="nil"/>
            </w:tcBorders>
            <w:vAlign w:val="center"/>
            <w:hideMark/>
          </w:tcPr>
          <w:p w14:paraId="237BA0D7" w14:textId="77777777" w:rsidR="00B627EA" w:rsidRPr="005D59A7" w:rsidRDefault="00B627EA" w:rsidP="00CC256A">
            <w:pPr>
              <w:spacing w:after="0" w:line="240" w:lineRule="auto"/>
              <w:jc w:val="center"/>
              <w:rPr>
                <w:rFonts w:ascii="T" w:eastAsia="Times New Roman" w:hAnsi="T" w:cstheme="majorBidi"/>
                <w:b/>
                <w:bCs/>
                <w:sz w:val="24"/>
                <w:szCs w:val="24"/>
              </w:rPr>
            </w:pPr>
            <w:r w:rsidRPr="005D59A7">
              <w:rPr>
                <w:rFonts w:ascii="T" w:eastAsia="Times New Roman" w:hAnsi="T" w:cstheme="majorBidi"/>
                <w:b/>
                <w:bCs/>
                <w:color w:val="000000"/>
                <w:sz w:val="24"/>
              </w:rPr>
              <w:t>Submitted to Mid ocean University in partial fulfillment of the requirements for the degree of Doctor of Management</w:t>
            </w:r>
          </w:p>
        </w:tc>
        <w:tc>
          <w:tcPr>
            <w:tcW w:w="270" w:type="dxa"/>
            <w:tcBorders>
              <w:top w:val="nil"/>
              <w:left w:val="nil"/>
              <w:bottom w:val="nil"/>
              <w:right w:val="nil"/>
            </w:tcBorders>
            <w:vAlign w:val="center"/>
            <w:hideMark/>
          </w:tcPr>
          <w:p w14:paraId="58D61F10" w14:textId="77777777" w:rsidR="00B627EA" w:rsidRPr="005D59A7" w:rsidRDefault="00B627EA" w:rsidP="00CC256A">
            <w:pPr>
              <w:spacing w:after="0" w:line="240" w:lineRule="auto"/>
              <w:rPr>
                <w:rFonts w:ascii="T" w:eastAsia="Times New Roman" w:hAnsi="T" w:cs="Times New Roman"/>
                <w:sz w:val="24"/>
                <w:szCs w:val="24"/>
              </w:rPr>
            </w:pPr>
            <w:r w:rsidRPr="005D59A7">
              <w:rPr>
                <w:rFonts w:ascii="Segoe UI Symbol" w:eastAsia="MS Mincho" w:hAnsi="Segoe UI Symbol" w:cs="Segoe UI Symbol"/>
                <w:color w:val="000000"/>
                <w:sz w:val="24"/>
              </w:rPr>
              <w:t>➢</w:t>
            </w:r>
          </w:p>
        </w:tc>
      </w:tr>
    </w:tbl>
    <w:p w14:paraId="291F3170" w14:textId="77777777" w:rsidR="00B627EA" w:rsidRPr="005D59A7" w:rsidRDefault="00B627EA" w:rsidP="00B627EA">
      <w:pPr>
        <w:bidi/>
        <w:rPr>
          <w:rFonts w:ascii="T" w:hAnsi="T" w:cstheme="majorBidi"/>
          <w:b/>
          <w:bCs/>
          <w:sz w:val="24"/>
          <w:szCs w:val="24"/>
          <w:rtl/>
        </w:rPr>
      </w:pPr>
    </w:p>
    <w:p w14:paraId="2CB8523B" w14:textId="77777777" w:rsidR="00B627EA" w:rsidRPr="005D59A7" w:rsidRDefault="00B627EA" w:rsidP="00B627EA">
      <w:pPr>
        <w:pStyle w:val="NormalWeb"/>
        <w:bidi/>
        <w:spacing w:before="0" w:beforeAutospacing="0" w:after="0" w:afterAutospacing="0"/>
        <w:ind w:right="-270"/>
        <w:jc w:val="both"/>
        <w:rPr>
          <w:rFonts w:ascii="T" w:hAnsi="T" w:cstheme="majorBidi"/>
          <w:b/>
          <w:bCs/>
          <w:color w:val="0000FF"/>
          <w:sz w:val="32"/>
          <w:szCs w:val="32"/>
          <w:rtl/>
          <w:lang w:bidi="ar-JO"/>
        </w:rPr>
      </w:pPr>
    </w:p>
    <w:p w14:paraId="36377248" w14:textId="77777777" w:rsidR="00B627EA" w:rsidRPr="005D59A7" w:rsidRDefault="00B627EA" w:rsidP="00B627EA">
      <w:pPr>
        <w:spacing w:line="360" w:lineRule="auto"/>
        <w:jc w:val="right"/>
        <w:rPr>
          <w:rFonts w:ascii="T" w:hAnsi="T" w:cs="Simplified Arabic"/>
          <w:b/>
          <w:bCs/>
          <w:noProof/>
          <w:sz w:val="28"/>
          <w:szCs w:val="28"/>
          <w:rtl/>
        </w:rPr>
      </w:pPr>
      <w:r w:rsidRPr="005D59A7">
        <w:rPr>
          <w:rFonts w:ascii="T" w:hAnsi="T" w:cs="Simplified Arabic"/>
          <w:b/>
          <w:bCs/>
          <w:noProof/>
          <w:sz w:val="28"/>
          <w:szCs w:val="28"/>
          <w:rtl/>
        </w:rPr>
        <w:t>العنوان باللغة العربية:</w:t>
      </w:r>
    </w:p>
    <w:p w14:paraId="08280DA0" w14:textId="77777777" w:rsidR="00B627EA" w:rsidRPr="005D59A7" w:rsidRDefault="00B627EA" w:rsidP="00B627EA">
      <w:pPr>
        <w:spacing w:line="240" w:lineRule="auto"/>
        <w:jc w:val="center"/>
        <w:rPr>
          <w:rFonts w:ascii="T" w:hAnsi="T" w:cs="Simplified Arabic"/>
          <w:b/>
          <w:bCs/>
          <w:color w:val="1F497D" w:themeColor="text2"/>
          <w:sz w:val="36"/>
          <w:szCs w:val="36"/>
          <w:rtl/>
        </w:rPr>
      </w:pPr>
      <w:r w:rsidRPr="005D59A7">
        <w:rPr>
          <w:rFonts w:ascii="T" w:hAnsi="T" w:cs="Simplified Arabic"/>
          <w:b/>
          <w:bCs/>
          <w:color w:val="1F497D" w:themeColor="text2"/>
          <w:sz w:val="36"/>
          <w:szCs w:val="36"/>
          <w:rtl/>
        </w:rPr>
        <w:t>تحليل واقع الشراكات بين القطاعين العام والخاص في قطاع البيئة وتطوير نموذج مقترح للحوكمة البيئية وإدارة الأداء في المملكة العربية السعودية (دراسة حالة للتفتيش البيئي)</w:t>
      </w:r>
    </w:p>
    <w:p w14:paraId="039F61F6" w14:textId="77777777" w:rsidR="00B627EA" w:rsidRPr="005D59A7" w:rsidRDefault="00B627EA" w:rsidP="00B627EA">
      <w:pPr>
        <w:spacing w:line="360" w:lineRule="auto"/>
        <w:ind w:left="534" w:hanging="340"/>
        <w:jc w:val="right"/>
        <w:rPr>
          <w:rFonts w:ascii="T" w:hAnsi="T" w:cs="Simplified Arabic"/>
          <w:b/>
          <w:bCs/>
          <w:noProof/>
          <w:sz w:val="20"/>
          <w:szCs w:val="20"/>
          <w:rtl/>
        </w:rPr>
      </w:pPr>
      <w:r w:rsidRPr="005D59A7">
        <w:rPr>
          <w:rFonts w:ascii="T" w:hAnsi="T" w:cs="Simplified Arabic"/>
          <w:b/>
          <w:bCs/>
          <w:noProof/>
          <w:sz w:val="20"/>
          <w:szCs w:val="28"/>
          <w:rtl/>
        </w:rPr>
        <w:t xml:space="preserve">العنوان </w:t>
      </w:r>
      <w:r w:rsidRPr="005D59A7">
        <w:rPr>
          <w:rFonts w:ascii="T" w:hAnsi="T" w:cs="Simplified Arabic"/>
          <w:b/>
          <w:bCs/>
          <w:noProof/>
          <w:sz w:val="28"/>
          <w:szCs w:val="28"/>
          <w:rtl/>
        </w:rPr>
        <w:t>باللغة الإنجليزية:</w:t>
      </w:r>
    </w:p>
    <w:p w14:paraId="147DBBA3" w14:textId="77777777" w:rsidR="00B627EA" w:rsidRPr="005D59A7" w:rsidRDefault="00B627EA" w:rsidP="00B627EA">
      <w:pPr>
        <w:pStyle w:val="NormalWeb"/>
        <w:bidi/>
        <w:spacing w:before="0" w:beforeAutospacing="0" w:after="0" w:afterAutospacing="0"/>
        <w:ind w:right="-270"/>
        <w:jc w:val="center"/>
        <w:rPr>
          <w:rFonts w:ascii="T" w:hAnsi="T" w:cstheme="majorBidi"/>
          <w:b/>
          <w:bCs/>
          <w:color w:val="0070C0"/>
          <w:sz w:val="28"/>
          <w:szCs w:val="32"/>
        </w:rPr>
      </w:pPr>
      <w:r w:rsidRPr="005D59A7">
        <w:rPr>
          <w:rFonts w:ascii="T" w:eastAsiaTheme="minorHAnsi" w:hAnsi="T" w:cstheme="majorBidi"/>
          <w:b/>
          <w:bCs/>
          <w:color w:val="1F497D" w:themeColor="text2"/>
          <w:sz w:val="36"/>
          <w:szCs w:val="36"/>
        </w:rPr>
        <w:t>ANALYZING THE REALITY OF PUBLIC-PRIVATE PARTNERSHIPS PPP IN THE ENVIRONMENTAL SECTOR AND DEVELOPING A PROPSAL MODEL FOR ENVIRONMENTAL GOVERNANCE AND PERFORMANCE MANAGEMENT IN SAUDI ARABIA (A CASE STUDY OF ENVIRONMENTAL INSPECTION)</w:t>
      </w:r>
    </w:p>
    <w:p w14:paraId="36942891" w14:textId="77777777" w:rsidR="00B627EA" w:rsidRPr="005D59A7" w:rsidRDefault="00B627EA" w:rsidP="00B627EA">
      <w:pPr>
        <w:pStyle w:val="NormalWeb"/>
        <w:bidi/>
        <w:spacing w:before="0" w:beforeAutospacing="0" w:after="0" w:afterAutospacing="0"/>
        <w:ind w:right="-270"/>
        <w:jc w:val="center"/>
        <w:rPr>
          <w:rFonts w:ascii="T" w:hAnsi="T" w:cstheme="majorBidi"/>
          <w:b/>
          <w:bCs/>
          <w:color w:val="0070C0"/>
          <w:sz w:val="36"/>
          <w:szCs w:val="36"/>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1"/>
        <w:gridCol w:w="5593"/>
      </w:tblGrid>
      <w:tr w:rsidR="00B627EA" w:rsidRPr="005D59A7" w14:paraId="72CF4286" w14:textId="77777777" w:rsidTr="00CC256A">
        <w:trPr>
          <w:jc w:val="center"/>
        </w:trPr>
        <w:tc>
          <w:tcPr>
            <w:tcW w:w="1930" w:type="dxa"/>
          </w:tcPr>
          <w:p w14:paraId="6CE52009" w14:textId="77777777" w:rsidR="00B627EA" w:rsidRPr="005D59A7" w:rsidRDefault="00B627EA" w:rsidP="00CC256A">
            <w:pPr>
              <w:pStyle w:val="NormalWeb"/>
              <w:bidi/>
              <w:spacing w:before="0" w:beforeAutospacing="0" w:after="0" w:afterAutospacing="0"/>
              <w:ind w:right="-270"/>
              <w:jc w:val="center"/>
              <w:rPr>
                <w:rFonts w:ascii="T" w:hAnsi="T" w:cs="Simplified Arabic"/>
                <w:b/>
                <w:bCs/>
                <w:color w:val="000000" w:themeColor="text1"/>
                <w:sz w:val="28"/>
                <w:szCs w:val="28"/>
                <w:rtl/>
              </w:rPr>
            </w:pPr>
            <w:r w:rsidRPr="005D59A7">
              <w:rPr>
                <w:rFonts w:ascii="T" w:hAnsi="T" w:cs="Simplified Arabic"/>
                <w:b/>
                <w:bCs/>
                <w:color w:val="000000" w:themeColor="text1"/>
                <w:sz w:val="28"/>
                <w:szCs w:val="28"/>
                <w:rtl/>
              </w:rPr>
              <w:t>اسم الباحث</w:t>
            </w:r>
          </w:p>
          <w:p w14:paraId="2D0ADF8C" w14:textId="77777777" w:rsidR="00B627EA" w:rsidRPr="005D59A7" w:rsidRDefault="00B627EA" w:rsidP="00CC256A">
            <w:pPr>
              <w:pStyle w:val="NormalWeb"/>
              <w:bidi/>
              <w:spacing w:before="0" w:beforeAutospacing="0" w:after="0" w:afterAutospacing="0"/>
              <w:ind w:right="-270"/>
              <w:jc w:val="center"/>
              <w:rPr>
                <w:rFonts w:ascii="T" w:hAnsi="T" w:cs="Simplified Arabic"/>
                <w:b/>
                <w:bCs/>
                <w:color w:val="000000" w:themeColor="text1"/>
              </w:rPr>
            </w:pPr>
            <w:r w:rsidRPr="005D59A7">
              <w:rPr>
                <w:rFonts w:ascii="T" w:hAnsi="T" w:cs="Simplified Arabic"/>
                <w:b/>
                <w:bCs/>
                <w:color w:val="000000" w:themeColor="text1"/>
                <w:rtl/>
              </w:rPr>
              <w:t>دولة الباحث</w:t>
            </w:r>
          </w:p>
          <w:p w14:paraId="152ED574" w14:textId="77777777" w:rsidR="00B627EA" w:rsidRPr="005D59A7" w:rsidRDefault="00B627EA" w:rsidP="00CC256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28"/>
                <w:szCs w:val="28"/>
                <w:rtl/>
              </w:rPr>
              <w:t xml:space="preserve">اسم الجامعة       </w:t>
            </w:r>
          </w:p>
        </w:tc>
        <w:tc>
          <w:tcPr>
            <w:tcW w:w="270" w:type="dxa"/>
          </w:tcPr>
          <w:p w14:paraId="40BF8394" w14:textId="77777777" w:rsidR="00B627EA" w:rsidRPr="005D59A7" w:rsidRDefault="00B627EA" w:rsidP="00CC256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36"/>
                <w:szCs w:val="36"/>
                <w:rtl/>
              </w:rPr>
              <w:t>:</w:t>
            </w:r>
          </w:p>
        </w:tc>
        <w:tc>
          <w:tcPr>
            <w:tcW w:w="5593" w:type="dxa"/>
          </w:tcPr>
          <w:p w14:paraId="0E27A6B3" w14:textId="77777777" w:rsidR="00B627EA" w:rsidRPr="005D59A7" w:rsidRDefault="00B627EA" w:rsidP="00CC256A">
            <w:pPr>
              <w:pStyle w:val="NormalWeb"/>
              <w:bidi/>
              <w:spacing w:before="0" w:beforeAutospacing="0" w:after="0" w:afterAutospacing="0"/>
              <w:ind w:right="-270"/>
              <w:jc w:val="center"/>
              <w:rPr>
                <w:rFonts w:ascii="T" w:hAnsi="T" w:cs="Simplified Arabic"/>
                <w:b/>
                <w:bCs/>
                <w:color w:val="1F497D" w:themeColor="text2"/>
                <w:sz w:val="32"/>
                <w:szCs w:val="32"/>
                <w:rtl/>
              </w:rPr>
            </w:pPr>
            <w:r w:rsidRPr="005D59A7">
              <w:rPr>
                <w:rFonts w:ascii="T" w:hAnsi="T" w:cs="Simplified Arabic"/>
                <w:b/>
                <w:bCs/>
                <w:color w:val="1F497D" w:themeColor="text2"/>
                <w:sz w:val="28"/>
                <w:szCs w:val="28"/>
                <w:rtl/>
              </w:rPr>
              <w:t>عادل علي حماص</w:t>
            </w:r>
          </w:p>
          <w:p w14:paraId="2232E404" w14:textId="77777777" w:rsidR="00B627EA" w:rsidRPr="005D59A7" w:rsidRDefault="00B627EA" w:rsidP="00CC256A">
            <w:pPr>
              <w:pStyle w:val="NormalWeb"/>
              <w:bidi/>
              <w:spacing w:before="0" w:beforeAutospacing="0" w:after="0" w:afterAutospacing="0"/>
              <w:ind w:right="-270"/>
              <w:jc w:val="center"/>
              <w:rPr>
                <w:rFonts w:ascii="T" w:hAnsi="T" w:cs="Simplified Arabic"/>
                <w:b/>
                <w:bCs/>
                <w:color w:val="1F497D" w:themeColor="text2"/>
                <w:rtl/>
              </w:rPr>
            </w:pPr>
            <w:r w:rsidRPr="005D59A7">
              <w:rPr>
                <w:rFonts w:ascii="T" w:hAnsi="T" w:cs="Simplified Arabic"/>
                <w:b/>
                <w:bCs/>
                <w:color w:val="1F497D" w:themeColor="text2"/>
                <w:rtl/>
              </w:rPr>
              <w:t>المملكة العربية السعودية</w:t>
            </w:r>
          </w:p>
          <w:p w14:paraId="15622FC5" w14:textId="77777777" w:rsidR="00B627EA" w:rsidRPr="005D59A7" w:rsidRDefault="00B627EA" w:rsidP="00CC256A">
            <w:pPr>
              <w:pStyle w:val="NormalWeb"/>
              <w:bidi/>
              <w:spacing w:before="0" w:beforeAutospacing="0" w:after="0" w:afterAutospacing="0"/>
              <w:ind w:right="-270"/>
              <w:jc w:val="center"/>
              <w:rPr>
                <w:rFonts w:ascii="T" w:hAnsi="T" w:cs="Simplified Arabic"/>
                <w:b/>
                <w:bCs/>
                <w:color w:val="1F497D" w:themeColor="text2"/>
                <w:sz w:val="28"/>
                <w:szCs w:val="28"/>
                <w:rtl/>
              </w:rPr>
            </w:pPr>
            <w:r w:rsidRPr="005D59A7">
              <w:rPr>
                <w:rFonts w:ascii="T" w:hAnsi="T" w:cs="Simplified Arabic"/>
                <w:b/>
                <w:bCs/>
                <w:color w:val="1F497D" w:themeColor="text2"/>
                <w:sz w:val="28"/>
                <w:szCs w:val="28"/>
                <w:rtl/>
              </w:rPr>
              <w:t>جامعة ميد أوشن</w:t>
            </w:r>
          </w:p>
        </w:tc>
      </w:tr>
      <w:tr w:rsidR="00B627EA" w:rsidRPr="005D59A7" w14:paraId="768562B4" w14:textId="77777777" w:rsidTr="00CC256A">
        <w:trPr>
          <w:jc w:val="center"/>
        </w:trPr>
        <w:tc>
          <w:tcPr>
            <w:tcW w:w="1930" w:type="dxa"/>
          </w:tcPr>
          <w:p w14:paraId="14380418" w14:textId="77777777" w:rsidR="00B627EA" w:rsidRPr="005D59A7" w:rsidRDefault="00B627EA" w:rsidP="00CC256A">
            <w:pPr>
              <w:pStyle w:val="NormalWeb"/>
              <w:bidi/>
              <w:spacing w:before="0" w:beforeAutospacing="0" w:after="0" w:afterAutospacing="0"/>
              <w:ind w:right="-270"/>
              <w:jc w:val="center"/>
              <w:rPr>
                <w:rFonts w:ascii="T" w:hAnsi="T" w:cs="Simplified Arabic"/>
                <w:b/>
                <w:bCs/>
                <w:color w:val="000000" w:themeColor="text1"/>
                <w:sz w:val="32"/>
                <w:szCs w:val="32"/>
                <w:rtl/>
              </w:rPr>
            </w:pPr>
            <w:r w:rsidRPr="005D59A7">
              <w:rPr>
                <w:rFonts w:ascii="T" w:hAnsi="T" w:cs="Simplified Arabic"/>
                <w:b/>
                <w:bCs/>
                <w:color w:val="000000" w:themeColor="text1"/>
                <w:sz w:val="28"/>
                <w:szCs w:val="28"/>
                <w:rtl/>
              </w:rPr>
              <w:t>الرقم الجامعي</w:t>
            </w:r>
          </w:p>
        </w:tc>
        <w:tc>
          <w:tcPr>
            <w:tcW w:w="270" w:type="dxa"/>
          </w:tcPr>
          <w:p w14:paraId="4401D879" w14:textId="77777777" w:rsidR="00B627EA" w:rsidRPr="005D59A7" w:rsidRDefault="00B627EA" w:rsidP="00CC256A">
            <w:pPr>
              <w:pStyle w:val="NormalWeb"/>
              <w:bidi/>
              <w:spacing w:before="0" w:beforeAutospacing="0" w:after="0" w:afterAutospacing="0"/>
              <w:ind w:right="-270"/>
              <w:jc w:val="center"/>
              <w:rPr>
                <w:rFonts w:ascii="T" w:hAnsi="T" w:cs="Simplified Arabic"/>
                <w:b/>
                <w:bCs/>
                <w:color w:val="000000" w:themeColor="text1"/>
                <w:sz w:val="32"/>
                <w:szCs w:val="32"/>
                <w:rtl/>
              </w:rPr>
            </w:pPr>
            <w:r w:rsidRPr="005D59A7">
              <w:rPr>
                <w:rFonts w:ascii="T" w:hAnsi="T" w:cs="Simplified Arabic"/>
                <w:b/>
                <w:bCs/>
                <w:color w:val="000000" w:themeColor="text1"/>
                <w:sz w:val="32"/>
                <w:szCs w:val="32"/>
                <w:rtl/>
              </w:rPr>
              <w:t>:</w:t>
            </w:r>
          </w:p>
        </w:tc>
        <w:tc>
          <w:tcPr>
            <w:tcW w:w="5593" w:type="dxa"/>
          </w:tcPr>
          <w:p w14:paraId="15DA65F0" w14:textId="77777777" w:rsidR="00B627EA" w:rsidRPr="005D59A7" w:rsidRDefault="00B627EA" w:rsidP="00CC256A">
            <w:pPr>
              <w:pStyle w:val="NormalWeb"/>
              <w:bidi/>
              <w:spacing w:before="0" w:beforeAutospacing="0" w:after="0" w:afterAutospacing="0"/>
              <w:ind w:right="-270"/>
              <w:jc w:val="center"/>
              <w:rPr>
                <w:rFonts w:ascii="T" w:hAnsi="T" w:cs="Simplified Arabic"/>
                <w:b/>
                <w:bCs/>
                <w:color w:val="1F497D" w:themeColor="text2"/>
                <w:sz w:val="36"/>
                <w:szCs w:val="36"/>
                <w:rtl/>
              </w:rPr>
            </w:pPr>
            <w:r w:rsidRPr="005D59A7">
              <w:rPr>
                <w:rFonts w:ascii="T" w:hAnsi="T" w:cs="Simplified Arabic"/>
                <w:b/>
                <w:bCs/>
                <w:color w:val="1F497D" w:themeColor="text2"/>
                <w:sz w:val="28"/>
                <w:szCs w:val="28"/>
                <w:rtl/>
              </w:rPr>
              <w:t>242001104</w:t>
            </w:r>
          </w:p>
        </w:tc>
      </w:tr>
      <w:tr w:rsidR="00B627EA" w:rsidRPr="005D59A7" w14:paraId="658FFA91" w14:textId="77777777" w:rsidTr="00CC256A">
        <w:trPr>
          <w:jc w:val="center"/>
        </w:trPr>
        <w:tc>
          <w:tcPr>
            <w:tcW w:w="1930" w:type="dxa"/>
          </w:tcPr>
          <w:p w14:paraId="76288E45" w14:textId="77777777" w:rsidR="00B627EA" w:rsidRPr="005D59A7" w:rsidRDefault="00B627EA" w:rsidP="00CC256A">
            <w:pPr>
              <w:pStyle w:val="NormalWeb"/>
              <w:bidi/>
              <w:spacing w:before="0" w:beforeAutospacing="0" w:after="0" w:afterAutospacing="0"/>
              <w:ind w:right="-270"/>
              <w:jc w:val="center"/>
              <w:rPr>
                <w:rFonts w:ascii="T" w:hAnsi="T" w:cs="Simplified Arabic"/>
                <w:b/>
                <w:bCs/>
                <w:color w:val="000000" w:themeColor="text1"/>
              </w:rPr>
            </w:pPr>
            <w:r w:rsidRPr="005D59A7">
              <w:rPr>
                <w:rFonts w:ascii="T" w:hAnsi="T" w:cs="Simplified Arabic"/>
                <w:b/>
                <w:bCs/>
                <w:color w:val="000000" w:themeColor="text1"/>
                <w:rtl/>
              </w:rPr>
              <w:t>الكلية</w:t>
            </w:r>
          </w:p>
          <w:p w14:paraId="0CE6E914" w14:textId="77777777" w:rsidR="00B627EA" w:rsidRPr="005D59A7" w:rsidRDefault="00B627EA" w:rsidP="00CC256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rtl/>
              </w:rPr>
              <w:t>التخصص</w:t>
            </w:r>
          </w:p>
        </w:tc>
        <w:tc>
          <w:tcPr>
            <w:tcW w:w="270" w:type="dxa"/>
          </w:tcPr>
          <w:p w14:paraId="1188490F" w14:textId="77777777" w:rsidR="00B627EA" w:rsidRPr="005D59A7" w:rsidRDefault="00B627EA" w:rsidP="00CC256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36"/>
                <w:szCs w:val="36"/>
                <w:rtl/>
              </w:rPr>
              <w:t>:</w:t>
            </w:r>
          </w:p>
        </w:tc>
        <w:tc>
          <w:tcPr>
            <w:tcW w:w="5593" w:type="dxa"/>
          </w:tcPr>
          <w:p w14:paraId="34677F0B" w14:textId="77777777" w:rsidR="00B627EA" w:rsidRPr="005D59A7" w:rsidRDefault="00B627EA" w:rsidP="00CC256A">
            <w:pPr>
              <w:pStyle w:val="NormalWeb"/>
              <w:bidi/>
              <w:spacing w:before="0" w:beforeAutospacing="0" w:after="0" w:afterAutospacing="0"/>
              <w:ind w:right="-270"/>
              <w:jc w:val="center"/>
              <w:rPr>
                <w:rFonts w:ascii="T" w:hAnsi="T" w:cs="Simplified Arabic"/>
                <w:b/>
                <w:bCs/>
                <w:color w:val="1F497D" w:themeColor="text2"/>
                <w:rtl/>
              </w:rPr>
            </w:pPr>
            <w:r w:rsidRPr="005D59A7">
              <w:rPr>
                <w:rFonts w:ascii="T" w:hAnsi="T" w:cs="Simplified Arabic"/>
                <w:b/>
                <w:bCs/>
                <w:color w:val="1F497D" w:themeColor="text2"/>
                <w:rtl/>
              </w:rPr>
              <w:t>كلية الإدارة</w:t>
            </w:r>
          </w:p>
          <w:p w14:paraId="0181A47D" w14:textId="77777777" w:rsidR="00B627EA" w:rsidRPr="005D59A7" w:rsidRDefault="00B627EA" w:rsidP="00CC256A">
            <w:pPr>
              <w:pStyle w:val="NormalWeb"/>
              <w:bidi/>
              <w:spacing w:before="0" w:beforeAutospacing="0" w:after="0" w:afterAutospacing="0"/>
              <w:ind w:right="-270"/>
              <w:jc w:val="center"/>
              <w:rPr>
                <w:rFonts w:ascii="T" w:hAnsi="T" w:cs="Simplified Arabic"/>
                <w:b/>
                <w:bCs/>
                <w:color w:val="1F497D" w:themeColor="text2"/>
                <w:sz w:val="36"/>
                <w:szCs w:val="36"/>
                <w:rtl/>
              </w:rPr>
            </w:pPr>
            <w:r w:rsidRPr="005D59A7">
              <w:rPr>
                <w:rFonts w:ascii="T" w:hAnsi="T" w:cs="Simplified Arabic"/>
                <w:b/>
                <w:bCs/>
                <w:color w:val="1F497D" w:themeColor="text2"/>
                <w:rtl/>
              </w:rPr>
              <w:t>إدارة بيئية</w:t>
            </w:r>
          </w:p>
        </w:tc>
      </w:tr>
      <w:tr w:rsidR="00B627EA" w:rsidRPr="005D59A7" w14:paraId="1A47E656" w14:textId="77777777" w:rsidTr="00CC256A">
        <w:trPr>
          <w:jc w:val="center"/>
        </w:trPr>
        <w:tc>
          <w:tcPr>
            <w:tcW w:w="1930" w:type="dxa"/>
          </w:tcPr>
          <w:p w14:paraId="5F8C7E7E" w14:textId="77777777" w:rsidR="00B627EA" w:rsidRPr="005D59A7" w:rsidRDefault="00B627EA" w:rsidP="00CC256A">
            <w:pPr>
              <w:pStyle w:val="NormalWeb"/>
              <w:bidi/>
              <w:spacing w:before="0" w:beforeAutospacing="0" w:after="0" w:afterAutospacing="0"/>
              <w:ind w:right="-270"/>
              <w:rPr>
                <w:rFonts w:ascii="T" w:hAnsi="T" w:cstheme="majorBidi"/>
                <w:b/>
                <w:bCs/>
                <w:color w:val="000000" w:themeColor="text1"/>
                <w:sz w:val="36"/>
                <w:szCs w:val="36"/>
                <w:rtl/>
              </w:rPr>
            </w:pPr>
          </w:p>
        </w:tc>
        <w:tc>
          <w:tcPr>
            <w:tcW w:w="270" w:type="dxa"/>
          </w:tcPr>
          <w:p w14:paraId="2BDD89B5" w14:textId="77777777" w:rsidR="00B627EA" w:rsidRPr="005D59A7" w:rsidRDefault="00B627EA" w:rsidP="00CC256A">
            <w:pPr>
              <w:pStyle w:val="NormalWeb"/>
              <w:bidi/>
              <w:spacing w:before="0" w:beforeAutospacing="0" w:after="0" w:afterAutospacing="0"/>
              <w:ind w:right="-270"/>
              <w:rPr>
                <w:rFonts w:ascii="T" w:hAnsi="T" w:cstheme="majorBidi"/>
                <w:b/>
                <w:bCs/>
                <w:color w:val="000000" w:themeColor="text1"/>
                <w:sz w:val="36"/>
                <w:szCs w:val="36"/>
                <w:rtl/>
              </w:rPr>
            </w:pPr>
          </w:p>
        </w:tc>
        <w:tc>
          <w:tcPr>
            <w:tcW w:w="5593" w:type="dxa"/>
          </w:tcPr>
          <w:p w14:paraId="6CF8A7BD" w14:textId="77777777" w:rsidR="00B627EA" w:rsidRPr="005D59A7" w:rsidRDefault="00B627EA" w:rsidP="00CC256A">
            <w:pPr>
              <w:pStyle w:val="NormalWeb"/>
              <w:bidi/>
              <w:spacing w:before="0" w:beforeAutospacing="0" w:after="0" w:afterAutospacing="0"/>
              <w:ind w:right="-270"/>
              <w:rPr>
                <w:rFonts w:ascii="T" w:hAnsi="T" w:cstheme="majorBidi"/>
                <w:b/>
                <w:bCs/>
                <w:color w:val="0000FF"/>
                <w:sz w:val="36"/>
                <w:szCs w:val="36"/>
                <w:rtl/>
              </w:rPr>
            </w:pPr>
          </w:p>
        </w:tc>
      </w:tr>
    </w:tbl>
    <w:p w14:paraId="535C41A4" w14:textId="1C0321DA" w:rsidR="00B627EA" w:rsidRPr="005D59A7" w:rsidRDefault="00B627EA" w:rsidP="00B627EA">
      <w:pPr>
        <w:spacing w:line="240" w:lineRule="auto"/>
        <w:rPr>
          <w:rFonts w:ascii="T" w:hAnsi="T" w:cstheme="majorBidi"/>
          <w:noProof/>
          <w:rtl/>
          <w:lang w:bidi="ar-JO"/>
        </w:rPr>
      </w:pPr>
    </w:p>
    <w:p w14:paraId="154F0699" w14:textId="162E3517" w:rsidR="00B627EA" w:rsidRPr="005D59A7" w:rsidRDefault="00B627EA" w:rsidP="00B627EA">
      <w:pPr>
        <w:jc w:val="center"/>
        <w:rPr>
          <w:rFonts w:ascii="T" w:hAnsi="T" w:cs="Simplified Arabic"/>
          <w:b/>
          <w:bCs/>
          <w:color w:val="000000" w:themeColor="text1"/>
          <w:sz w:val="24"/>
          <w:szCs w:val="24"/>
          <w:rtl/>
        </w:rPr>
      </w:pPr>
      <w:r w:rsidRPr="005D59A7">
        <w:rPr>
          <w:rFonts w:ascii="T" w:hAnsi="T" w:cs="Simplified Arabic"/>
          <w:b/>
          <w:bCs/>
          <w:color w:val="000000" w:themeColor="text1"/>
          <w:sz w:val="24"/>
          <w:szCs w:val="24"/>
          <w:rtl/>
        </w:rPr>
        <w:t>144</w:t>
      </w:r>
      <w:r w:rsidR="00B477A9">
        <w:rPr>
          <w:rFonts w:ascii="T" w:hAnsi="T" w:cs="Simplified Arabic" w:hint="cs"/>
          <w:b/>
          <w:bCs/>
          <w:color w:val="000000" w:themeColor="text1"/>
          <w:sz w:val="24"/>
          <w:szCs w:val="24"/>
          <w:rtl/>
        </w:rPr>
        <w:t>8</w:t>
      </w:r>
      <w:r w:rsidRPr="005D59A7">
        <w:rPr>
          <w:rFonts w:ascii="T" w:hAnsi="T" w:cs="Simplified Arabic"/>
          <w:b/>
          <w:bCs/>
          <w:color w:val="000000" w:themeColor="text1"/>
          <w:sz w:val="24"/>
          <w:szCs w:val="24"/>
          <w:rtl/>
        </w:rPr>
        <w:t>هـ  -  202</w:t>
      </w:r>
      <w:r w:rsidR="00B477A9">
        <w:rPr>
          <w:rFonts w:ascii="T" w:hAnsi="T" w:cs="Simplified Arabic" w:hint="cs"/>
          <w:b/>
          <w:bCs/>
          <w:color w:val="000000" w:themeColor="text1"/>
          <w:sz w:val="24"/>
          <w:szCs w:val="24"/>
          <w:rtl/>
        </w:rPr>
        <w:t>6</w:t>
      </w:r>
      <w:r w:rsidRPr="005D59A7">
        <w:rPr>
          <w:rFonts w:ascii="T" w:hAnsi="T" w:cs="Simplified Arabic"/>
          <w:b/>
          <w:bCs/>
          <w:color w:val="000000" w:themeColor="text1"/>
          <w:sz w:val="24"/>
          <w:szCs w:val="24"/>
          <w:rtl/>
        </w:rPr>
        <w:t>م</w:t>
      </w:r>
    </w:p>
    <w:p w14:paraId="082E2259" w14:textId="3928B94A" w:rsidR="00C43A02" w:rsidRDefault="00C43A02" w:rsidP="008769F3">
      <w:pPr>
        <w:bidi/>
        <w:spacing w:line="360" w:lineRule="auto"/>
        <w:rPr>
          <w:rFonts w:ascii="T" w:hAnsi="T" w:cs="Simplified Arabic"/>
          <w:sz w:val="24"/>
          <w:szCs w:val="24"/>
        </w:rPr>
      </w:pPr>
      <w:bookmarkStart w:id="1" w:name="_Hlk225713754"/>
    </w:p>
    <w:p w14:paraId="3EF12D78" w14:textId="5B6F9666" w:rsidR="003E5809" w:rsidRDefault="00C43A02" w:rsidP="00CC256A">
      <w:pPr>
        <w:pStyle w:val="Heading1"/>
        <w:bidi/>
        <w:spacing w:before="0"/>
        <w:jc w:val="center"/>
        <w:rPr>
          <w:rFonts w:ascii="Simplified Arabic" w:hAnsi="Simplified Arabic" w:cs="Simplified Arabic"/>
          <w:b/>
          <w:bCs/>
          <w:color w:val="000000" w:themeColor="text1"/>
          <w:sz w:val="28"/>
          <w:szCs w:val="28"/>
          <w:u w:val="single"/>
          <w:lang w:bidi="ar-EG"/>
        </w:rPr>
      </w:pPr>
      <w:bookmarkStart w:id="2" w:name="_Toc234607897"/>
      <w:r w:rsidRPr="00693289">
        <w:rPr>
          <w:rFonts w:ascii="Simplified Arabic" w:hAnsi="Simplified Arabic" w:cs="Simplified Arabic"/>
          <w:b/>
          <w:bCs/>
          <w:color w:val="000000" w:themeColor="text1"/>
          <w:sz w:val="28"/>
          <w:szCs w:val="28"/>
          <w:highlight w:val="yellow"/>
          <w:u w:val="single"/>
          <w:rtl/>
          <w:lang w:bidi="ar-EG"/>
        </w:rPr>
        <w:lastRenderedPageBreak/>
        <w:t>الفصل الثالث: منهجية الدراسة</w:t>
      </w:r>
      <w:bookmarkStart w:id="3" w:name="_Toc234607898"/>
      <w:bookmarkEnd w:id="2"/>
    </w:p>
    <w:p w14:paraId="2684E833" w14:textId="77777777" w:rsidR="00D64BB6" w:rsidRDefault="00D64BB6" w:rsidP="00D64BB6">
      <w:pPr>
        <w:bidi/>
        <w:rPr>
          <w:lang w:bidi="ar-EG"/>
        </w:rPr>
      </w:pPr>
    </w:p>
    <w:p w14:paraId="6D25CC65" w14:textId="77777777" w:rsidR="00D64BB6" w:rsidRDefault="00D64BB6" w:rsidP="00D64BB6">
      <w:pPr>
        <w:bidi/>
        <w:rPr>
          <w:lang w:bidi="ar-EG"/>
        </w:rPr>
      </w:pPr>
    </w:p>
    <w:p w14:paraId="6BD455F1" w14:textId="77777777" w:rsidR="00D64BB6" w:rsidRPr="00D64BB6" w:rsidRDefault="00D64BB6" w:rsidP="00D64BB6">
      <w:pPr>
        <w:bidi/>
        <w:rPr>
          <w:lang w:bidi="ar-EG"/>
        </w:rPr>
      </w:pPr>
    </w:p>
    <w:p w14:paraId="463CF450" w14:textId="0DA97020" w:rsidR="001A3ABE" w:rsidRPr="003C40F2" w:rsidRDefault="001A3ABE" w:rsidP="00CC256A">
      <w:pPr>
        <w:bidi/>
        <w:spacing w:after="0" w:line="240" w:lineRule="auto"/>
        <w:jc w:val="lowKashida"/>
        <w:outlineLvl w:val="1"/>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تمهيد</w:t>
      </w:r>
      <w:bookmarkEnd w:id="3"/>
    </w:p>
    <w:p w14:paraId="2B756ACB" w14:textId="77777777" w:rsidR="001A3ABE" w:rsidRDefault="001A3ABE" w:rsidP="00CC256A">
      <w:pPr>
        <w:bidi/>
        <w:spacing w:after="0"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يتناول هذا الفصل المنهجية العلمية التي اعتمدت عليها الدراسة لتحقيق أهدافها والإجابة عن تساؤلاتها واختبار فرضياتها، وذلك من خلال توضيح منهج البحث وتصميم الدراسة، ومجتمع الدراسة وعينتها، ومصادر البيانات، وأدوات جمع البيانات، ومتغيرات الدراسة، وإجراءات تنفيذها، بالإضافة إلى الأساليب الإحصائية المستخدمة في تحليل البيانات، وإجراءات التحقق من صدق الأداة وثباتها، والاعتبارات الأخلاقية التي روعيت أثناء تنفيذ الدراسة. ويهدف هذا الفصل إلى بيان الإجراءات العلمية التي اتبعها الباحث بما يضمن الوصول إلى نتائج دقيقة وموضوعية يمكن الاستفادة منها في تطوير نموذج مقترح للحوكمة البيئية وإدارة الأداء في مجال التفتيش البيئي بالمملكة العربية السعودية</w:t>
      </w:r>
      <w:r w:rsidRPr="003C40F2">
        <w:rPr>
          <w:rFonts w:ascii="Simplified Arabic" w:eastAsia="Times New Roman" w:hAnsi="Simplified Arabic" w:cs="Simplified Arabic"/>
          <w:sz w:val="24"/>
          <w:szCs w:val="24"/>
        </w:rPr>
        <w:t>.</w:t>
      </w:r>
    </w:p>
    <w:p w14:paraId="1B34C18E" w14:textId="77777777" w:rsidR="00D64BB6" w:rsidRPr="003C40F2" w:rsidRDefault="00D64BB6" w:rsidP="00D64BB6">
      <w:pPr>
        <w:bidi/>
        <w:spacing w:after="0" w:line="240" w:lineRule="auto"/>
        <w:jc w:val="lowKashida"/>
        <w:rPr>
          <w:rFonts w:ascii="Simplified Arabic" w:eastAsia="Times New Roman" w:hAnsi="Simplified Arabic" w:cs="Simplified Arabic"/>
          <w:sz w:val="24"/>
          <w:szCs w:val="24"/>
        </w:rPr>
      </w:pPr>
    </w:p>
    <w:p w14:paraId="528EBD65" w14:textId="77777777" w:rsidR="001A3ABE" w:rsidRPr="003C40F2" w:rsidRDefault="001A3ABE" w:rsidP="00CC256A">
      <w:pPr>
        <w:bidi/>
        <w:spacing w:after="0"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4" w:name="_Toc234607899"/>
      <w:r w:rsidRPr="003C40F2">
        <w:rPr>
          <w:rFonts w:ascii="Simplified Arabic" w:eastAsia="Times New Roman" w:hAnsi="Simplified Arabic" w:cs="Simplified Arabic"/>
          <w:b/>
          <w:bCs/>
          <w:kern w:val="36"/>
          <w:sz w:val="24"/>
          <w:szCs w:val="24"/>
        </w:rPr>
        <w:t xml:space="preserve">3.1 </w:t>
      </w:r>
      <w:r w:rsidRPr="003C40F2">
        <w:rPr>
          <w:rFonts w:ascii="Simplified Arabic" w:eastAsia="Times New Roman" w:hAnsi="Simplified Arabic" w:cs="Simplified Arabic"/>
          <w:b/>
          <w:bCs/>
          <w:kern w:val="36"/>
          <w:sz w:val="24"/>
          <w:szCs w:val="24"/>
          <w:rtl/>
        </w:rPr>
        <w:t>منهج البحث</w:t>
      </w:r>
      <w:bookmarkEnd w:id="4"/>
    </w:p>
    <w:p w14:paraId="334C2B34" w14:textId="77777777" w:rsidR="00CC256A" w:rsidRPr="00307DFD" w:rsidRDefault="00CC256A" w:rsidP="00CC256A">
      <w:pPr>
        <w:bidi/>
        <w:spacing w:after="0" w:line="240" w:lineRule="auto"/>
        <w:jc w:val="lowKashida"/>
        <w:rPr>
          <w:rFonts w:ascii="Simplified Arabic" w:eastAsia="Times New Roman" w:hAnsi="Simplified Arabic" w:cs="Simplified Arabic"/>
          <w:color w:val="C00000"/>
          <w:sz w:val="24"/>
          <w:szCs w:val="24"/>
        </w:rPr>
      </w:pPr>
      <w:r w:rsidRPr="00307DFD">
        <w:rPr>
          <w:rFonts w:ascii="Simplified Arabic" w:eastAsia="Times New Roman" w:hAnsi="Simplified Arabic" w:cs="Simplified Arabic"/>
          <w:color w:val="C00000"/>
          <w:sz w:val="24"/>
          <w:szCs w:val="24"/>
          <w:rtl/>
        </w:rPr>
        <w:t>اعتمدت الدراسة على المنهج الوصفي التحليلي ضمن تصميم كمي مسحي مدعوم بتحليل الوثائق الرسمية، وذلك لملاءمته لطبيعة الدراسة وأهدافها المتمثلة في تحليل واقع الشراكات بين القطاعين العام والخاص في قطاع البيئة، وقياس أثر أبعاد هذه الشراكات في فاعلية الحوكمة البيئية وإدارة الأداء في مجال التفتيش البيئي بالمملكة العربية السعودية. ويتيح المنهج الوصفي التحليلي وصف آراء أفراد الدراسة وتحليل العلاقات بين متغيرات الدراسة واختبار الفرضيات إحصائياً، في حين يستخدم تحليل الوثائق الرسمية كمصدر بيانات مساند لتفسير النتائج الكمية وربطها بالسياق التنظيمي والمؤسسي للقطاع البيئي</w:t>
      </w:r>
      <w:r w:rsidRPr="00307DFD">
        <w:rPr>
          <w:rFonts w:ascii="Simplified Arabic" w:eastAsia="Times New Roman" w:hAnsi="Simplified Arabic" w:cs="Simplified Arabic"/>
          <w:color w:val="C00000"/>
          <w:sz w:val="24"/>
          <w:szCs w:val="24"/>
        </w:rPr>
        <w:t>.</w:t>
      </w:r>
    </w:p>
    <w:p w14:paraId="4904A8C1" w14:textId="6BDFA4FE" w:rsidR="001A3ABE" w:rsidRDefault="00CC256A" w:rsidP="00CC256A">
      <w:pPr>
        <w:bidi/>
        <w:spacing w:after="0" w:line="240" w:lineRule="auto"/>
        <w:jc w:val="lowKashida"/>
        <w:rPr>
          <w:rFonts w:ascii="Simplified Arabic" w:eastAsia="Times New Roman" w:hAnsi="Simplified Arabic" w:cs="Simplified Arabic"/>
          <w:color w:val="C00000"/>
          <w:sz w:val="24"/>
          <w:szCs w:val="24"/>
        </w:rPr>
      </w:pPr>
      <w:r w:rsidRPr="00307DFD">
        <w:rPr>
          <w:rFonts w:ascii="Simplified Arabic" w:eastAsia="Times New Roman" w:hAnsi="Simplified Arabic" w:cs="Simplified Arabic"/>
          <w:color w:val="C00000"/>
          <w:sz w:val="24"/>
          <w:szCs w:val="24"/>
          <w:rtl/>
        </w:rPr>
        <w:t>كما تستفيد الدراسة من المنهج الاستنباطي في بناء النموذج المفاهيمي وتحديد أبعاد المتغيرات ومؤشرات قياسها بالاستناد إلى الأدبيات العلمية والدراسات السابقة والأنظمة والوثائق الرسمية ذات العلاقة</w:t>
      </w:r>
      <w:r w:rsidRPr="00307DFD">
        <w:rPr>
          <w:rFonts w:ascii="Simplified Arabic" w:eastAsia="Times New Roman" w:hAnsi="Simplified Arabic" w:cs="Simplified Arabic"/>
          <w:color w:val="C00000"/>
          <w:sz w:val="24"/>
          <w:szCs w:val="24"/>
        </w:rPr>
        <w:t>.</w:t>
      </w:r>
    </w:p>
    <w:p w14:paraId="47E62310" w14:textId="77777777" w:rsidR="00EE6314" w:rsidRPr="00307DFD" w:rsidRDefault="00EE6314" w:rsidP="00EE6314">
      <w:pPr>
        <w:bidi/>
        <w:spacing w:after="0" w:line="240" w:lineRule="auto"/>
        <w:jc w:val="lowKashida"/>
        <w:rPr>
          <w:rFonts w:ascii="Simplified Arabic" w:eastAsia="Times New Roman" w:hAnsi="Simplified Arabic" w:cs="Simplified Arabic"/>
          <w:color w:val="C00000"/>
          <w:sz w:val="24"/>
          <w:szCs w:val="24"/>
        </w:rPr>
      </w:pPr>
    </w:p>
    <w:p w14:paraId="52CABE84" w14:textId="77777777" w:rsidR="001A3ABE" w:rsidRPr="003C40F2" w:rsidRDefault="001A3ABE" w:rsidP="00CC256A">
      <w:pPr>
        <w:bidi/>
        <w:spacing w:after="0"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5" w:name="_Toc234607900"/>
      <w:r w:rsidRPr="002A54A2">
        <w:rPr>
          <w:rFonts w:ascii="Simplified Arabic" w:eastAsia="Times New Roman" w:hAnsi="Simplified Arabic" w:cs="Simplified Arabic"/>
          <w:b/>
          <w:bCs/>
          <w:kern w:val="36"/>
          <w:sz w:val="24"/>
          <w:szCs w:val="24"/>
          <w:highlight w:val="yellow"/>
        </w:rPr>
        <w:t xml:space="preserve">3.2 </w:t>
      </w:r>
      <w:r w:rsidRPr="002A54A2">
        <w:rPr>
          <w:rFonts w:ascii="Simplified Arabic" w:eastAsia="Times New Roman" w:hAnsi="Simplified Arabic" w:cs="Simplified Arabic"/>
          <w:b/>
          <w:bCs/>
          <w:kern w:val="36"/>
          <w:sz w:val="24"/>
          <w:szCs w:val="24"/>
          <w:highlight w:val="yellow"/>
          <w:rtl/>
        </w:rPr>
        <w:t>تصميم الدراسة</w:t>
      </w:r>
      <w:bookmarkEnd w:id="5"/>
    </w:p>
    <w:p w14:paraId="32D7F403" w14:textId="33A44F09" w:rsidR="003E5809" w:rsidRDefault="00CC256A" w:rsidP="00307DFD">
      <w:pPr>
        <w:bidi/>
        <w:spacing w:after="0" w:line="240" w:lineRule="auto"/>
        <w:jc w:val="lowKashida"/>
        <w:rPr>
          <w:rFonts w:ascii="Simplified Arabic" w:eastAsia="Times New Roman" w:hAnsi="Simplified Arabic" w:cs="Simplified Arabic"/>
          <w:color w:val="C00000"/>
          <w:sz w:val="24"/>
          <w:szCs w:val="24"/>
        </w:rPr>
      </w:pPr>
      <w:r w:rsidRPr="00307DFD">
        <w:rPr>
          <w:rFonts w:ascii="Simplified Arabic" w:eastAsia="Times New Roman" w:hAnsi="Simplified Arabic" w:cs="Simplified Arabic"/>
          <w:color w:val="C00000"/>
          <w:sz w:val="24"/>
          <w:szCs w:val="24"/>
          <w:rtl/>
        </w:rPr>
        <w:t>تتبنى الدراسة تصميمًا بحثيًا كميًا مسحيًا مقطعيًا</w:t>
      </w:r>
      <w:r w:rsidRPr="00307DFD">
        <w:rPr>
          <w:rFonts w:ascii="Simplified Arabic" w:eastAsia="Times New Roman" w:hAnsi="Simplified Arabic" w:cs="Simplified Arabic"/>
          <w:color w:val="C00000"/>
          <w:sz w:val="24"/>
          <w:szCs w:val="24"/>
        </w:rPr>
        <w:t xml:space="preserve"> (Quantitative Cross-sectional Survey Design) </w:t>
      </w:r>
      <w:r w:rsidRPr="00307DFD">
        <w:rPr>
          <w:rFonts w:ascii="Simplified Arabic" w:eastAsia="Times New Roman" w:hAnsi="Simplified Arabic" w:cs="Simplified Arabic"/>
          <w:color w:val="C00000"/>
          <w:sz w:val="24"/>
          <w:szCs w:val="24"/>
          <w:rtl/>
        </w:rPr>
        <w:t>مدعومًا بتحليل الوثائق الرسمية</w:t>
      </w:r>
      <w:r w:rsidRPr="00307DFD">
        <w:rPr>
          <w:rFonts w:ascii="Simplified Arabic" w:eastAsia="Times New Roman" w:hAnsi="Simplified Arabic" w:cs="Simplified Arabic"/>
          <w:color w:val="C00000"/>
          <w:sz w:val="24"/>
          <w:szCs w:val="24"/>
        </w:rPr>
        <w:t xml:space="preserve"> (Document Analysis). </w:t>
      </w:r>
      <w:r w:rsidRPr="00307DFD">
        <w:rPr>
          <w:rFonts w:ascii="Simplified Arabic" w:eastAsia="Times New Roman" w:hAnsi="Simplified Arabic" w:cs="Simplified Arabic"/>
          <w:color w:val="C00000"/>
          <w:sz w:val="24"/>
          <w:szCs w:val="24"/>
          <w:rtl/>
        </w:rPr>
        <w:t>وتمثل الاستبانة المصدر الرئيس للبيانات الأولية المستخدمة في قياس متغيرات الدراسة واختبار فرضياتها، بينما تمثل الوثائق والتقارير والأنظمة الرسمية مصدرًا مساندًا لتفسير النتائج والتحقق من اتساقها مع السياق التنظيمي والمؤسسي للتفتيش البيئي</w:t>
      </w:r>
      <w:r w:rsidR="00307DFD" w:rsidRPr="00307DFD">
        <w:rPr>
          <w:rFonts w:ascii="Simplified Arabic" w:eastAsia="Times New Roman" w:hAnsi="Simplified Arabic" w:cs="Simplified Arabic"/>
          <w:color w:val="C00000"/>
          <w:sz w:val="24"/>
          <w:szCs w:val="24"/>
        </w:rPr>
        <w:t>.</w:t>
      </w:r>
      <w:r w:rsidRPr="00307DFD">
        <w:rPr>
          <w:rFonts w:ascii="Simplified Arabic" w:eastAsia="Times New Roman" w:hAnsi="Simplified Arabic" w:cs="Simplified Arabic"/>
          <w:color w:val="C00000"/>
          <w:sz w:val="24"/>
          <w:szCs w:val="24"/>
          <w:rtl/>
        </w:rPr>
        <w:t>وتتخذ الدراسة من التفتيش البيئي مجالًا تطبيقيًا للدراسة، وليس وحدة تحليل مستقلة، حيث يتم توظيف نتائج المسح وتحليل الوثائق في تطوير النموذج المقترح للحوكمة البيئية وإدارة الأداء. وتُجمع بيانات الاستبانة خلال فترة زمنية واحدة، بما يجعل الدراسة مقطعية، ثم تُدمج نتائج التحليل الكمي مع نتائج تحليل الوثائق في المرحلة النهائية لبناء النموذج المقترح والتحقق من ملاءمته من خلال تحكيم الخبراء والمتخصصين</w:t>
      </w:r>
      <w:r w:rsidR="00791F76" w:rsidRPr="00307DFD">
        <w:rPr>
          <w:rFonts w:ascii="Simplified Arabic" w:eastAsia="Times New Roman" w:hAnsi="Simplified Arabic" w:cs="Simplified Arabic"/>
          <w:color w:val="C00000"/>
          <w:sz w:val="24"/>
          <w:szCs w:val="24"/>
          <w:rtl/>
        </w:rPr>
        <w:t>.</w:t>
      </w:r>
    </w:p>
    <w:p w14:paraId="62654321" w14:textId="77777777" w:rsidR="00AA0C2D" w:rsidRPr="00307DFD" w:rsidRDefault="00AA0C2D" w:rsidP="00AA0C2D">
      <w:pPr>
        <w:bidi/>
        <w:spacing w:after="0" w:line="240" w:lineRule="auto"/>
        <w:jc w:val="lowKashida"/>
        <w:rPr>
          <w:rFonts w:ascii="Simplified Arabic" w:eastAsia="Times New Roman" w:hAnsi="Simplified Arabic" w:cs="Simplified Arabic"/>
          <w:color w:val="C00000"/>
          <w:sz w:val="24"/>
          <w:szCs w:val="24"/>
        </w:rPr>
      </w:pPr>
    </w:p>
    <w:p w14:paraId="1CE2CEA2" w14:textId="2ED71034" w:rsidR="003E5809" w:rsidRDefault="003E5809" w:rsidP="003E5809">
      <w:pPr>
        <w:bidi/>
        <w:spacing w:before="100" w:beforeAutospacing="1" w:after="100" w:afterAutospacing="1" w:line="240" w:lineRule="auto"/>
        <w:jc w:val="lowKashida"/>
        <w:rPr>
          <w:rFonts w:ascii="Simplified Arabic" w:eastAsia="Times New Roman" w:hAnsi="Simplified Arabic" w:cs="Simplified Arabic"/>
          <w:sz w:val="24"/>
          <w:szCs w:val="24"/>
        </w:rPr>
      </w:pPr>
      <w:r>
        <w:rPr>
          <w:rFonts w:ascii="Sakkal Majalla" w:eastAsia="Times New Roman" w:hAnsi="Sakkal Majalla" w:cs="Sakkal Majalla"/>
          <w:noProof/>
          <w:sz w:val="32"/>
          <w:szCs w:val="32"/>
          <w:rtl/>
        </w:rPr>
        <w:lastRenderedPageBreak/>
        <mc:AlternateContent>
          <mc:Choice Requires="wpg">
            <w:drawing>
              <wp:anchor distT="0" distB="0" distL="114300" distR="114300" simplePos="0" relativeHeight="251659776" behindDoc="0" locked="0" layoutInCell="1" allowOverlap="1" wp14:anchorId="0B957628" wp14:editId="5735FA6D">
                <wp:simplePos x="0" y="0"/>
                <wp:positionH relativeFrom="margin">
                  <wp:posOffset>-221566</wp:posOffset>
                </wp:positionH>
                <wp:positionV relativeFrom="paragraph">
                  <wp:posOffset>0</wp:posOffset>
                </wp:positionV>
                <wp:extent cx="5857875" cy="2876550"/>
                <wp:effectExtent l="0" t="0" r="28575" b="19050"/>
                <wp:wrapNone/>
                <wp:docPr id="1573053063" name="Group 1573053063"/>
                <wp:cNvGraphicFramePr/>
                <a:graphic xmlns:a="http://schemas.openxmlformats.org/drawingml/2006/main">
                  <a:graphicData uri="http://schemas.microsoft.com/office/word/2010/wordprocessingGroup">
                    <wpg:wgp>
                      <wpg:cNvGrpSpPr/>
                      <wpg:grpSpPr>
                        <a:xfrm>
                          <a:off x="0" y="0"/>
                          <a:ext cx="5857875" cy="2876550"/>
                          <a:chOff x="0" y="0"/>
                          <a:chExt cx="5857875" cy="2876550"/>
                        </a:xfrm>
                      </wpg:grpSpPr>
                      <wps:wsp>
                        <wps:cNvPr id="142626617" name="Rectangle 142626617"/>
                        <wps:cNvSpPr/>
                        <wps:spPr>
                          <a:xfrm>
                            <a:off x="3638550" y="104775"/>
                            <a:ext cx="1866900" cy="2152650"/>
                          </a:xfrm>
                          <a:prstGeom prst="rect">
                            <a:avLst/>
                          </a:prstGeom>
                          <a:solidFill>
                            <a:srgbClr val="5B9BD5"/>
                          </a:solidFill>
                          <a:ln w="12700" cap="flat" cmpd="sng" algn="ctr">
                            <a:solidFill>
                              <a:srgbClr val="5B9BD5">
                                <a:shade val="50000"/>
                              </a:srgbClr>
                            </a:solidFill>
                            <a:prstDash val="solid"/>
                            <a:miter lim="800000"/>
                          </a:ln>
                          <a:effectLst/>
                        </wps:spPr>
                        <wps:txbx>
                          <w:txbxContent>
                            <w:p w14:paraId="0269695A" w14:textId="77777777" w:rsidR="00CC256A" w:rsidRPr="005C14A7" w:rsidRDefault="00CC256A" w:rsidP="003E5809">
                              <w:pPr>
                                <w:bidi/>
                                <w:jc w:val="center"/>
                                <w:rPr>
                                  <w:rFonts w:ascii="Sakkal Majalla" w:eastAsia="Times New Roman" w:hAnsi="Sakkal Majalla" w:cs="Sakkal Majalla"/>
                                  <w:sz w:val="32"/>
                                  <w:szCs w:val="32"/>
                                </w:rPr>
                              </w:pPr>
                              <w:r w:rsidRPr="005C14A7">
                                <w:rPr>
                                  <w:rFonts w:ascii="Sakkal Majalla" w:eastAsia="Times New Roman" w:hAnsi="Sakkal Majalla" w:cs="Sakkal Majalla"/>
                                  <w:b/>
                                  <w:bCs/>
                                  <w:sz w:val="32"/>
                                  <w:szCs w:val="32"/>
                                  <w:rtl/>
                                </w:rPr>
                                <w:t>المتغير المستقل</w:t>
                              </w:r>
                            </w:p>
                            <w:tbl>
                              <w:tblPr>
                                <w:tblStyle w:val="TableGridLight"/>
                                <w:bidiVisual/>
                                <w:tblW w:w="0" w:type="auto"/>
                                <w:jc w:val="center"/>
                                <w:tblLook w:val="04A0" w:firstRow="1" w:lastRow="0" w:firstColumn="1" w:lastColumn="0" w:noHBand="0" w:noVBand="1"/>
                              </w:tblPr>
                              <w:tblGrid>
                                <w:gridCol w:w="2122"/>
                              </w:tblGrid>
                              <w:tr w:rsidR="00CC256A" w:rsidRPr="00B4512A" w14:paraId="64F98AEA" w14:textId="77777777" w:rsidTr="00CC256A">
                                <w:trPr>
                                  <w:jc w:val="center"/>
                                </w:trPr>
                                <w:tc>
                                  <w:tcPr>
                                    <w:tcW w:w="0" w:type="auto"/>
                                    <w:vAlign w:val="center"/>
                                    <w:hideMark/>
                                  </w:tcPr>
                                  <w:p w14:paraId="20FB5506" w14:textId="77777777" w:rsidR="00CC256A" w:rsidRPr="00B4512A" w:rsidRDefault="00CC256A" w:rsidP="00CC256A">
                                    <w:pPr>
                                      <w:jc w:val="center"/>
                                      <w:rPr>
                                        <w:lang w:bidi="ar-EG"/>
                                      </w:rPr>
                                    </w:pPr>
                                    <w:r w:rsidRPr="00B4512A">
                                      <w:rPr>
                                        <w:rtl/>
                                      </w:rPr>
                                      <w:t>الإطار التشريعي والتنظيمي</w:t>
                                    </w:r>
                                  </w:p>
                                </w:tc>
                              </w:tr>
                              <w:tr w:rsidR="00CC256A" w:rsidRPr="00B4512A" w14:paraId="15BE1D5B" w14:textId="77777777" w:rsidTr="00CC256A">
                                <w:trPr>
                                  <w:jc w:val="center"/>
                                </w:trPr>
                                <w:tc>
                                  <w:tcPr>
                                    <w:tcW w:w="0" w:type="auto"/>
                                    <w:vAlign w:val="center"/>
                                    <w:hideMark/>
                                  </w:tcPr>
                                  <w:p w14:paraId="54532BA4" w14:textId="77777777" w:rsidR="00CC256A" w:rsidRPr="00B4512A" w:rsidRDefault="00CC256A" w:rsidP="00CC256A">
                                    <w:pPr>
                                      <w:jc w:val="center"/>
                                      <w:rPr>
                                        <w:lang w:bidi="ar-EG"/>
                                      </w:rPr>
                                    </w:pPr>
                                    <w:r w:rsidRPr="00B4512A">
                                      <w:rPr>
                                        <w:rtl/>
                                      </w:rPr>
                                      <w:t>توزيع الأدوار والمسؤوليات</w:t>
                                    </w:r>
                                  </w:p>
                                </w:tc>
                              </w:tr>
                              <w:tr w:rsidR="00CC256A" w:rsidRPr="00B4512A" w14:paraId="6C35C72C" w14:textId="77777777" w:rsidTr="00CC256A">
                                <w:trPr>
                                  <w:jc w:val="center"/>
                                </w:trPr>
                                <w:tc>
                                  <w:tcPr>
                                    <w:tcW w:w="0" w:type="auto"/>
                                    <w:vAlign w:val="center"/>
                                    <w:hideMark/>
                                  </w:tcPr>
                                  <w:p w14:paraId="3978D951" w14:textId="77777777" w:rsidR="00CC256A" w:rsidRPr="00B4512A" w:rsidRDefault="00CC256A" w:rsidP="00CC256A">
                                    <w:pPr>
                                      <w:jc w:val="center"/>
                                      <w:rPr>
                                        <w:lang w:bidi="ar-EG"/>
                                      </w:rPr>
                                    </w:pPr>
                                    <w:r w:rsidRPr="00B4512A">
                                      <w:rPr>
                                        <w:rtl/>
                                      </w:rPr>
                                      <w:t>التنسيق وتبادل المعلومات</w:t>
                                    </w:r>
                                  </w:p>
                                </w:tc>
                              </w:tr>
                              <w:tr w:rsidR="00CC256A" w:rsidRPr="00B4512A" w14:paraId="7C59A098" w14:textId="77777777" w:rsidTr="00CC256A">
                                <w:trPr>
                                  <w:jc w:val="center"/>
                                </w:trPr>
                                <w:tc>
                                  <w:tcPr>
                                    <w:tcW w:w="0" w:type="auto"/>
                                    <w:vAlign w:val="center"/>
                                    <w:hideMark/>
                                  </w:tcPr>
                                  <w:p w14:paraId="6626DF83" w14:textId="77777777" w:rsidR="00CC256A" w:rsidRPr="00B4512A" w:rsidRDefault="00CC256A" w:rsidP="00CC256A">
                                    <w:pPr>
                                      <w:jc w:val="center"/>
                                      <w:rPr>
                                        <w:lang w:bidi="ar-EG"/>
                                      </w:rPr>
                                    </w:pPr>
                                    <w:r w:rsidRPr="00B4512A">
                                      <w:rPr>
                                        <w:rtl/>
                                      </w:rPr>
                                      <w:t>إدارة الموارد والتمويل</w:t>
                                    </w:r>
                                  </w:p>
                                </w:tc>
                              </w:tr>
                              <w:tr w:rsidR="00CC256A" w:rsidRPr="00B4512A" w14:paraId="71EEA588" w14:textId="77777777" w:rsidTr="00CC256A">
                                <w:trPr>
                                  <w:jc w:val="center"/>
                                </w:trPr>
                                <w:tc>
                                  <w:tcPr>
                                    <w:tcW w:w="0" w:type="auto"/>
                                    <w:vAlign w:val="center"/>
                                    <w:hideMark/>
                                  </w:tcPr>
                                  <w:p w14:paraId="1572D8AA" w14:textId="77777777" w:rsidR="00CC256A" w:rsidRPr="00B4512A" w:rsidRDefault="00CC256A" w:rsidP="00CC256A">
                                    <w:pPr>
                                      <w:jc w:val="center"/>
                                      <w:rPr>
                                        <w:lang w:bidi="ar-EG"/>
                                      </w:rPr>
                                    </w:pPr>
                                    <w:r w:rsidRPr="00B4512A">
                                      <w:rPr>
                                        <w:rtl/>
                                      </w:rPr>
                                      <w:t>الرقابة وإدارة المخاطر</w:t>
                                    </w:r>
                                  </w:p>
                                </w:tc>
                              </w:tr>
                            </w:tbl>
                            <w:p w14:paraId="6B513FF3" w14:textId="77777777" w:rsidR="00CC256A" w:rsidRDefault="00CC256A" w:rsidP="003E5809">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14599752" name="Rectangle 1814599752"/>
                        <wps:cNvSpPr/>
                        <wps:spPr>
                          <a:xfrm>
                            <a:off x="371475" y="66675"/>
                            <a:ext cx="1819275" cy="2124075"/>
                          </a:xfrm>
                          <a:prstGeom prst="rect">
                            <a:avLst/>
                          </a:prstGeom>
                          <a:solidFill>
                            <a:srgbClr val="5B9BD5"/>
                          </a:solidFill>
                          <a:ln w="12700" cap="flat" cmpd="sng" algn="ctr">
                            <a:solidFill>
                              <a:srgbClr val="5B9BD5">
                                <a:shade val="50000"/>
                              </a:srgbClr>
                            </a:solidFill>
                            <a:prstDash val="solid"/>
                            <a:miter lim="800000"/>
                          </a:ln>
                          <a:effectLst/>
                        </wps:spPr>
                        <wps:txbx>
                          <w:txbxContent>
                            <w:p w14:paraId="270F3CB3" w14:textId="77777777" w:rsidR="00CC256A" w:rsidRPr="00F30986" w:rsidRDefault="00CC256A" w:rsidP="003E5809">
                              <w:pPr>
                                <w:bidi/>
                                <w:jc w:val="center"/>
                                <w:rPr>
                                  <w:rFonts w:ascii="Sakkal Majalla" w:eastAsia="Times New Roman" w:hAnsi="Sakkal Majalla" w:cs="Sakkal Majalla"/>
                                  <w:b/>
                                  <w:bCs/>
                                  <w:sz w:val="32"/>
                                  <w:szCs w:val="32"/>
                                  <w:rtl/>
                                </w:rPr>
                              </w:pPr>
                              <w:r w:rsidRPr="00F30986">
                                <w:rPr>
                                  <w:rFonts w:ascii="Sakkal Majalla" w:eastAsia="Times New Roman" w:hAnsi="Sakkal Majalla" w:cs="Sakkal Majalla"/>
                                  <w:b/>
                                  <w:bCs/>
                                  <w:sz w:val="32"/>
                                  <w:szCs w:val="32"/>
                                  <w:rtl/>
                                </w:rPr>
                                <w:t xml:space="preserve">المتغير </w:t>
                              </w:r>
                              <w:r w:rsidRPr="00F30986">
                                <w:rPr>
                                  <w:rFonts w:ascii="Sakkal Majalla" w:eastAsia="Times New Roman" w:hAnsi="Sakkal Majalla" w:cs="Sakkal Majalla"/>
                                  <w:b/>
                                  <w:bCs/>
                                  <w:sz w:val="32"/>
                                  <w:szCs w:val="32"/>
                                  <w:rtl/>
                                </w:rPr>
                                <w:t>التابع</w:t>
                              </w:r>
                            </w:p>
                            <w:tbl>
                              <w:tblPr>
                                <w:tblStyle w:val="TableGridLight"/>
                                <w:bidiVisual/>
                                <w:tblW w:w="0" w:type="auto"/>
                                <w:jc w:val="center"/>
                                <w:tblLook w:val="04A0" w:firstRow="1" w:lastRow="0" w:firstColumn="1" w:lastColumn="0" w:noHBand="0" w:noVBand="1"/>
                              </w:tblPr>
                              <w:tblGrid>
                                <w:gridCol w:w="2192"/>
                              </w:tblGrid>
                              <w:tr w:rsidR="00CC256A" w:rsidRPr="005C14A7" w14:paraId="053769D0" w14:textId="77777777" w:rsidTr="00CC256A">
                                <w:trPr>
                                  <w:jc w:val="center"/>
                                </w:trPr>
                                <w:tc>
                                  <w:tcPr>
                                    <w:tcW w:w="0" w:type="auto"/>
                                    <w:vAlign w:val="center"/>
                                    <w:hideMark/>
                                  </w:tcPr>
                                  <w:p w14:paraId="0E985667" w14:textId="77777777" w:rsidR="00CC256A" w:rsidRPr="005C14A7" w:rsidRDefault="00CC256A" w:rsidP="00CC256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الكفاءة التشغيلية</w:t>
                                    </w:r>
                                  </w:p>
                                </w:tc>
                              </w:tr>
                              <w:tr w:rsidR="00CC256A" w:rsidRPr="005C14A7" w14:paraId="576EEAAA" w14:textId="77777777" w:rsidTr="00CC256A">
                                <w:trPr>
                                  <w:jc w:val="center"/>
                                </w:trPr>
                                <w:tc>
                                  <w:tcPr>
                                    <w:tcW w:w="0" w:type="auto"/>
                                    <w:vAlign w:val="center"/>
                                    <w:hideMark/>
                                  </w:tcPr>
                                  <w:p w14:paraId="39E31379" w14:textId="77777777" w:rsidR="00CC256A" w:rsidRPr="005C14A7" w:rsidRDefault="00CC256A" w:rsidP="00CC256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جودة الرقابة والامتثال</w:t>
                                    </w:r>
                                  </w:p>
                                </w:tc>
                              </w:tr>
                              <w:tr w:rsidR="00CC256A" w:rsidRPr="005C14A7" w14:paraId="466AA991" w14:textId="77777777" w:rsidTr="00CC256A">
                                <w:trPr>
                                  <w:jc w:val="center"/>
                                </w:trPr>
                                <w:tc>
                                  <w:tcPr>
                                    <w:tcW w:w="0" w:type="auto"/>
                                    <w:vAlign w:val="center"/>
                                    <w:hideMark/>
                                  </w:tcPr>
                                  <w:p w14:paraId="552D5033" w14:textId="77777777" w:rsidR="00CC256A" w:rsidRPr="005C14A7" w:rsidRDefault="00CC256A" w:rsidP="00CC256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الشفافية والمساءلة</w:t>
                                    </w:r>
                                  </w:p>
                                </w:tc>
                              </w:tr>
                              <w:tr w:rsidR="00CC256A" w:rsidRPr="005C14A7" w14:paraId="3693E0FD" w14:textId="77777777" w:rsidTr="00CC256A">
                                <w:trPr>
                                  <w:jc w:val="center"/>
                                </w:trPr>
                                <w:tc>
                                  <w:tcPr>
                                    <w:tcW w:w="0" w:type="auto"/>
                                    <w:vAlign w:val="center"/>
                                    <w:hideMark/>
                                  </w:tcPr>
                                  <w:p w14:paraId="04F7EEE1" w14:textId="77777777" w:rsidR="00CC256A" w:rsidRPr="005C14A7" w:rsidRDefault="00CC256A" w:rsidP="00CC256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تحسين الأداء البيئي</w:t>
                                    </w:r>
                                  </w:p>
                                </w:tc>
                              </w:tr>
                              <w:tr w:rsidR="00CC256A" w:rsidRPr="005C14A7" w14:paraId="2D6BBE63" w14:textId="77777777" w:rsidTr="00CC256A">
                                <w:trPr>
                                  <w:jc w:val="center"/>
                                </w:trPr>
                                <w:tc>
                                  <w:tcPr>
                                    <w:tcW w:w="0" w:type="auto"/>
                                    <w:vAlign w:val="center"/>
                                    <w:hideMark/>
                                  </w:tcPr>
                                  <w:p w14:paraId="622B2D0A" w14:textId="77777777" w:rsidR="00CC256A" w:rsidRPr="005C14A7" w:rsidRDefault="00CC256A" w:rsidP="00CC256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الاستدامة المؤسسية</w:t>
                                    </w:r>
                                  </w:p>
                                </w:tc>
                              </w:tr>
                            </w:tbl>
                            <w:p w14:paraId="1973A912" w14:textId="77777777" w:rsidR="00CC256A" w:rsidRDefault="00CC256A" w:rsidP="003E5809">
                              <w:pPr>
                                <w:bidi/>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9311023" name="Rectangle 1759311023"/>
                        <wps:cNvSpPr/>
                        <wps:spPr>
                          <a:xfrm>
                            <a:off x="0" y="0"/>
                            <a:ext cx="5857875" cy="236220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2685973" name="Rectangle 2012685973"/>
                        <wps:cNvSpPr/>
                        <wps:spPr>
                          <a:xfrm>
                            <a:off x="942975" y="2543175"/>
                            <a:ext cx="4181475" cy="333375"/>
                          </a:xfrm>
                          <a:prstGeom prst="rect">
                            <a:avLst/>
                          </a:prstGeom>
                          <a:solidFill>
                            <a:srgbClr val="5B9BD5"/>
                          </a:solidFill>
                          <a:ln w="12700" cap="flat" cmpd="sng" algn="ctr">
                            <a:solidFill>
                              <a:srgbClr val="5B9BD5">
                                <a:shade val="50000"/>
                              </a:srgbClr>
                            </a:solidFill>
                            <a:prstDash val="solid"/>
                            <a:miter lim="800000"/>
                          </a:ln>
                          <a:effectLst/>
                        </wps:spPr>
                        <wps:txbx>
                          <w:txbxContent>
                            <w:p w14:paraId="0529C77F" w14:textId="77777777" w:rsidR="00CC256A" w:rsidRPr="00B4512A" w:rsidRDefault="00CC256A" w:rsidP="003E5809">
                              <w:pPr>
                                <w:jc w:val="center"/>
                                <w:rPr>
                                  <w:rFonts w:ascii="Sakkal Majalla" w:hAnsi="Sakkal Majalla" w:cs="Sakkal Majalla"/>
                                  <w:b/>
                                  <w:bCs/>
                                  <w:sz w:val="32"/>
                                  <w:szCs w:val="32"/>
                                  <w:lang w:bidi="ar-EG"/>
                                </w:rPr>
                              </w:pPr>
                              <w:r w:rsidRPr="00B4512A">
                                <w:rPr>
                                  <w:rFonts w:ascii="Sakkal Majalla" w:hAnsi="Sakkal Majalla" w:cs="Sakkal Majalla"/>
                                  <w:b/>
                                  <w:bCs/>
                                  <w:sz w:val="32"/>
                                  <w:szCs w:val="32"/>
                                  <w:rtl/>
                                  <w:lang w:bidi="ar-EG"/>
                                </w:rPr>
                                <w:t xml:space="preserve">البيانات الديموغرافية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9903374" name="Straight Arrow Connector 529903374"/>
                        <wps:cNvCnPr/>
                        <wps:spPr>
                          <a:xfrm flipH="1">
                            <a:off x="2250831" y="1217294"/>
                            <a:ext cx="1340094" cy="0"/>
                          </a:xfrm>
                          <a:prstGeom prst="straightConnector1">
                            <a:avLst/>
                          </a:prstGeom>
                          <a:noFill/>
                          <a:ln w="19050" cap="flat" cmpd="sng" algn="ctr">
                            <a:solidFill>
                              <a:srgbClr val="5B9BD5"/>
                            </a:solidFill>
                            <a:prstDash val="solid"/>
                            <a:miter lim="800000"/>
                            <a:tailEnd type="triangle"/>
                          </a:ln>
                          <a:effectLst/>
                        </wps:spPr>
                        <wps:bodyPr/>
                      </wps:wsp>
                    </wpg:wgp>
                  </a:graphicData>
                </a:graphic>
              </wp:anchor>
            </w:drawing>
          </mc:Choice>
          <mc:Fallback>
            <w:pict>
              <v:group w14:anchorId="0B957628" id="Group 1573053063" o:spid="_x0000_s1026" style="position:absolute;left:0;text-align:left;margin-left:-17.45pt;margin-top:0;width:461.25pt;height:226.5pt;z-index:251659776;mso-position-horizontal-relative:margin" coordsize="58578,28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">
                <v:rect id="Rectangle 142626617" o:spid="_x0000_s1027" style="position:absolute;left:36385;top:1047;width:18669;height:215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" fillcolor="#5b9bd5" strokecolor="#41719c" strokeweight="1pt">
                  <v:textbox>
                    <w:txbxContent>
                      <w:p w14:paraId="0269695A" w14:textId="77777777" w:rsidR="00CC256A" w:rsidRPr="005C14A7" w:rsidRDefault="00CC256A" w:rsidP="003E5809">
                        <w:pPr>
                          <w:bidi/>
                          <w:jc w:val="center"/>
                          <w:rPr>
                            <w:rFonts w:ascii="Sakkal Majalla" w:eastAsia="Times New Roman" w:hAnsi="Sakkal Majalla" w:cs="Sakkal Majalla"/>
                            <w:sz w:val="32"/>
                            <w:szCs w:val="32"/>
                          </w:rPr>
                        </w:pPr>
                        <w:r w:rsidRPr="005C14A7">
                          <w:rPr>
                            <w:rFonts w:ascii="Sakkal Majalla" w:eastAsia="Times New Roman" w:hAnsi="Sakkal Majalla" w:cs="Sakkal Majalla"/>
                            <w:b/>
                            <w:bCs/>
                            <w:sz w:val="32"/>
                            <w:szCs w:val="32"/>
                            <w:rtl/>
                          </w:rPr>
                          <w:t>المتغير المستقل</w:t>
                        </w:r>
                      </w:p>
                      <w:tbl>
                        <w:tblPr>
                          <w:tblStyle w:val="TableGridLight"/>
                          <w:bidiVisual/>
                          <w:tblW w:w="0" w:type="auto"/>
                          <w:jc w:val="center"/>
                          <w:tblLook w:val="04A0" w:firstRow="1" w:lastRow="0" w:firstColumn="1" w:lastColumn="0" w:noHBand="0" w:noVBand="1"/>
                        </w:tblPr>
                        <w:tblGrid>
                          <w:gridCol w:w="2122"/>
                        </w:tblGrid>
                        <w:tr w:rsidR="00CC256A" w:rsidRPr="00B4512A" w14:paraId="64F98AEA" w14:textId="77777777" w:rsidTr="00CC256A">
                          <w:trPr>
                            <w:jc w:val="center"/>
                          </w:trPr>
                          <w:tc>
                            <w:tcPr>
                              <w:tcW w:w="0" w:type="auto"/>
                              <w:vAlign w:val="center"/>
                              <w:hideMark/>
                            </w:tcPr>
                            <w:p w14:paraId="20FB5506" w14:textId="77777777" w:rsidR="00CC256A" w:rsidRPr="00B4512A" w:rsidRDefault="00CC256A" w:rsidP="00CC256A">
                              <w:pPr>
                                <w:jc w:val="center"/>
                                <w:rPr>
                                  <w:lang w:bidi="ar-EG"/>
                                </w:rPr>
                              </w:pPr>
                              <w:r w:rsidRPr="00B4512A">
                                <w:rPr>
                                  <w:rtl/>
                                </w:rPr>
                                <w:t>الإطار التشريعي والتنظيمي</w:t>
                              </w:r>
                            </w:p>
                          </w:tc>
                        </w:tr>
                        <w:tr w:rsidR="00CC256A" w:rsidRPr="00B4512A" w14:paraId="15BE1D5B" w14:textId="77777777" w:rsidTr="00CC256A">
                          <w:trPr>
                            <w:jc w:val="center"/>
                          </w:trPr>
                          <w:tc>
                            <w:tcPr>
                              <w:tcW w:w="0" w:type="auto"/>
                              <w:vAlign w:val="center"/>
                              <w:hideMark/>
                            </w:tcPr>
                            <w:p w14:paraId="54532BA4" w14:textId="77777777" w:rsidR="00CC256A" w:rsidRPr="00B4512A" w:rsidRDefault="00CC256A" w:rsidP="00CC256A">
                              <w:pPr>
                                <w:jc w:val="center"/>
                                <w:rPr>
                                  <w:lang w:bidi="ar-EG"/>
                                </w:rPr>
                              </w:pPr>
                              <w:r w:rsidRPr="00B4512A">
                                <w:rPr>
                                  <w:rtl/>
                                </w:rPr>
                                <w:t>توزيع الأدوار والمسؤوليات</w:t>
                              </w:r>
                            </w:p>
                          </w:tc>
                        </w:tr>
                        <w:tr w:rsidR="00CC256A" w:rsidRPr="00B4512A" w14:paraId="6C35C72C" w14:textId="77777777" w:rsidTr="00CC256A">
                          <w:trPr>
                            <w:jc w:val="center"/>
                          </w:trPr>
                          <w:tc>
                            <w:tcPr>
                              <w:tcW w:w="0" w:type="auto"/>
                              <w:vAlign w:val="center"/>
                              <w:hideMark/>
                            </w:tcPr>
                            <w:p w14:paraId="3978D951" w14:textId="77777777" w:rsidR="00CC256A" w:rsidRPr="00B4512A" w:rsidRDefault="00CC256A" w:rsidP="00CC256A">
                              <w:pPr>
                                <w:jc w:val="center"/>
                                <w:rPr>
                                  <w:lang w:bidi="ar-EG"/>
                                </w:rPr>
                              </w:pPr>
                              <w:r w:rsidRPr="00B4512A">
                                <w:rPr>
                                  <w:rtl/>
                                </w:rPr>
                                <w:t>التنسيق وتبادل المعلومات</w:t>
                              </w:r>
                            </w:p>
                          </w:tc>
                        </w:tr>
                        <w:tr w:rsidR="00CC256A" w:rsidRPr="00B4512A" w14:paraId="7C59A098" w14:textId="77777777" w:rsidTr="00CC256A">
                          <w:trPr>
                            <w:jc w:val="center"/>
                          </w:trPr>
                          <w:tc>
                            <w:tcPr>
                              <w:tcW w:w="0" w:type="auto"/>
                              <w:vAlign w:val="center"/>
                              <w:hideMark/>
                            </w:tcPr>
                            <w:p w14:paraId="6626DF83" w14:textId="77777777" w:rsidR="00CC256A" w:rsidRPr="00B4512A" w:rsidRDefault="00CC256A" w:rsidP="00CC256A">
                              <w:pPr>
                                <w:jc w:val="center"/>
                                <w:rPr>
                                  <w:lang w:bidi="ar-EG"/>
                                </w:rPr>
                              </w:pPr>
                              <w:r w:rsidRPr="00B4512A">
                                <w:rPr>
                                  <w:rtl/>
                                </w:rPr>
                                <w:t>إدارة الموارد والتمويل</w:t>
                              </w:r>
                            </w:p>
                          </w:tc>
                        </w:tr>
                        <w:tr w:rsidR="00CC256A" w:rsidRPr="00B4512A" w14:paraId="71EEA588" w14:textId="77777777" w:rsidTr="00CC256A">
                          <w:trPr>
                            <w:jc w:val="center"/>
                          </w:trPr>
                          <w:tc>
                            <w:tcPr>
                              <w:tcW w:w="0" w:type="auto"/>
                              <w:vAlign w:val="center"/>
                              <w:hideMark/>
                            </w:tcPr>
                            <w:p w14:paraId="1572D8AA" w14:textId="77777777" w:rsidR="00CC256A" w:rsidRPr="00B4512A" w:rsidRDefault="00CC256A" w:rsidP="00CC256A">
                              <w:pPr>
                                <w:jc w:val="center"/>
                                <w:rPr>
                                  <w:lang w:bidi="ar-EG"/>
                                </w:rPr>
                              </w:pPr>
                              <w:r w:rsidRPr="00B4512A">
                                <w:rPr>
                                  <w:rtl/>
                                </w:rPr>
                                <w:t>الرقابة وإدارة المخاطر</w:t>
                              </w:r>
                            </w:p>
                          </w:tc>
                        </w:tr>
                      </w:tbl>
                      <w:p w14:paraId="6B513FF3" w14:textId="77777777" w:rsidR="00CC256A" w:rsidRDefault="00CC256A" w:rsidP="003E5809">
                        <w:pPr>
                          <w:jc w:val="center"/>
                          <w:rPr>
                            <w:lang w:bidi="ar-EG"/>
                          </w:rPr>
                        </w:pPr>
                      </w:p>
                    </w:txbxContent>
                  </v:textbox>
                </v:rect>
                <v:rect id="Rectangle 1814599752" o:spid="_x0000_s1028" style="position:absolute;left:3714;top:666;width:18193;height:21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" fillcolor="#5b9bd5" strokecolor="#41719c" strokeweight="1pt">
                  <v:textbox>
                    <w:txbxContent>
                      <w:p w14:paraId="270F3CB3" w14:textId="77777777" w:rsidR="00CC256A" w:rsidRPr="00F30986" w:rsidRDefault="00CC256A" w:rsidP="003E5809">
                        <w:pPr>
                          <w:bidi/>
                          <w:jc w:val="center"/>
                          <w:rPr>
                            <w:rFonts w:ascii="Sakkal Majalla" w:eastAsia="Times New Roman" w:hAnsi="Sakkal Majalla" w:cs="Sakkal Majalla"/>
                            <w:b/>
                            <w:bCs/>
                            <w:sz w:val="32"/>
                            <w:szCs w:val="32"/>
                            <w:rtl/>
                          </w:rPr>
                        </w:pPr>
                        <w:r w:rsidRPr="00F30986">
                          <w:rPr>
                            <w:rFonts w:ascii="Sakkal Majalla" w:eastAsia="Times New Roman" w:hAnsi="Sakkal Majalla" w:cs="Sakkal Majalla"/>
                            <w:b/>
                            <w:bCs/>
                            <w:sz w:val="32"/>
                            <w:szCs w:val="32"/>
                            <w:rtl/>
                          </w:rPr>
                          <w:t xml:space="preserve">المتغير </w:t>
                        </w:r>
                        <w:r w:rsidRPr="00F30986">
                          <w:rPr>
                            <w:rFonts w:ascii="Sakkal Majalla" w:eastAsia="Times New Roman" w:hAnsi="Sakkal Majalla" w:cs="Sakkal Majalla"/>
                            <w:b/>
                            <w:bCs/>
                            <w:sz w:val="32"/>
                            <w:szCs w:val="32"/>
                            <w:rtl/>
                          </w:rPr>
                          <w:t>التابع</w:t>
                        </w:r>
                      </w:p>
                      <w:tbl>
                        <w:tblPr>
                          <w:tblStyle w:val="TableGridLight"/>
                          <w:bidiVisual/>
                          <w:tblW w:w="0" w:type="auto"/>
                          <w:jc w:val="center"/>
                          <w:tblLook w:val="04A0" w:firstRow="1" w:lastRow="0" w:firstColumn="1" w:lastColumn="0" w:noHBand="0" w:noVBand="1"/>
                        </w:tblPr>
                        <w:tblGrid>
                          <w:gridCol w:w="2192"/>
                        </w:tblGrid>
                        <w:tr w:rsidR="00CC256A" w:rsidRPr="005C14A7" w14:paraId="053769D0" w14:textId="77777777" w:rsidTr="00CC256A">
                          <w:trPr>
                            <w:jc w:val="center"/>
                          </w:trPr>
                          <w:tc>
                            <w:tcPr>
                              <w:tcW w:w="0" w:type="auto"/>
                              <w:vAlign w:val="center"/>
                              <w:hideMark/>
                            </w:tcPr>
                            <w:p w14:paraId="0E985667" w14:textId="77777777" w:rsidR="00CC256A" w:rsidRPr="005C14A7" w:rsidRDefault="00CC256A" w:rsidP="00CC256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الكفاءة التشغيلية</w:t>
                              </w:r>
                            </w:p>
                          </w:tc>
                        </w:tr>
                        <w:tr w:rsidR="00CC256A" w:rsidRPr="005C14A7" w14:paraId="576EEAAA" w14:textId="77777777" w:rsidTr="00CC256A">
                          <w:trPr>
                            <w:jc w:val="center"/>
                          </w:trPr>
                          <w:tc>
                            <w:tcPr>
                              <w:tcW w:w="0" w:type="auto"/>
                              <w:vAlign w:val="center"/>
                              <w:hideMark/>
                            </w:tcPr>
                            <w:p w14:paraId="39E31379" w14:textId="77777777" w:rsidR="00CC256A" w:rsidRPr="005C14A7" w:rsidRDefault="00CC256A" w:rsidP="00CC256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جودة الرقابة والامتثال</w:t>
                              </w:r>
                            </w:p>
                          </w:tc>
                        </w:tr>
                        <w:tr w:rsidR="00CC256A" w:rsidRPr="005C14A7" w14:paraId="466AA991" w14:textId="77777777" w:rsidTr="00CC256A">
                          <w:trPr>
                            <w:jc w:val="center"/>
                          </w:trPr>
                          <w:tc>
                            <w:tcPr>
                              <w:tcW w:w="0" w:type="auto"/>
                              <w:vAlign w:val="center"/>
                              <w:hideMark/>
                            </w:tcPr>
                            <w:p w14:paraId="552D5033" w14:textId="77777777" w:rsidR="00CC256A" w:rsidRPr="005C14A7" w:rsidRDefault="00CC256A" w:rsidP="00CC256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الشفافية والمساءلة</w:t>
                              </w:r>
                            </w:p>
                          </w:tc>
                        </w:tr>
                        <w:tr w:rsidR="00CC256A" w:rsidRPr="005C14A7" w14:paraId="3693E0FD" w14:textId="77777777" w:rsidTr="00CC256A">
                          <w:trPr>
                            <w:jc w:val="center"/>
                          </w:trPr>
                          <w:tc>
                            <w:tcPr>
                              <w:tcW w:w="0" w:type="auto"/>
                              <w:vAlign w:val="center"/>
                              <w:hideMark/>
                            </w:tcPr>
                            <w:p w14:paraId="04F7EEE1" w14:textId="77777777" w:rsidR="00CC256A" w:rsidRPr="005C14A7" w:rsidRDefault="00CC256A" w:rsidP="00CC256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تحسين الأداء البيئي</w:t>
                              </w:r>
                            </w:p>
                          </w:tc>
                        </w:tr>
                        <w:tr w:rsidR="00CC256A" w:rsidRPr="005C14A7" w14:paraId="2D6BBE63" w14:textId="77777777" w:rsidTr="00CC256A">
                          <w:trPr>
                            <w:jc w:val="center"/>
                          </w:trPr>
                          <w:tc>
                            <w:tcPr>
                              <w:tcW w:w="0" w:type="auto"/>
                              <w:vAlign w:val="center"/>
                              <w:hideMark/>
                            </w:tcPr>
                            <w:p w14:paraId="622B2D0A" w14:textId="77777777" w:rsidR="00CC256A" w:rsidRPr="005C14A7" w:rsidRDefault="00CC256A" w:rsidP="00CC256A">
                              <w:pPr>
                                <w:bidi/>
                                <w:jc w:val="center"/>
                                <w:rPr>
                                  <w:rFonts w:ascii="Sakkal Majalla" w:eastAsia="Times New Roman" w:hAnsi="Sakkal Majalla" w:cs="Sakkal Majalla"/>
                                  <w:sz w:val="32"/>
                                  <w:szCs w:val="32"/>
                                </w:rPr>
                              </w:pPr>
                              <w:r w:rsidRPr="005C14A7">
                                <w:rPr>
                                  <w:rFonts w:ascii="Sakkal Majalla" w:eastAsia="Times New Roman" w:hAnsi="Sakkal Majalla" w:cs="Sakkal Majalla"/>
                                  <w:sz w:val="32"/>
                                  <w:szCs w:val="32"/>
                                  <w:rtl/>
                                </w:rPr>
                                <w:t>الاستدامة المؤسسية</w:t>
                              </w:r>
                            </w:p>
                          </w:tc>
                        </w:tr>
                      </w:tbl>
                      <w:p w14:paraId="1973A912" w14:textId="77777777" w:rsidR="00CC256A" w:rsidRDefault="00CC256A" w:rsidP="003E5809">
                        <w:pPr>
                          <w:bidi/>
                          <w:jc w:val="center"/>
                          <w:rPr>
                            <w:lang w:bidi="ar-EG"/>
                          </w:rPr>
                        </w:pPr>
                      </w:p>
                    </w:txbxContent>
                  </v:textbox>
                </v:rect>
                <v:rect id="Rectangle 1759311023" o:spid="_x0000_s1029" style="position:absolute;width:58578;height:236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" filled="f" strokecolor="#41719c" strokeweight="1pt"/>
                <v:rect id="Rectangle 2012685973" o:spid="_x0000_s1030" style="position:absolute;left:9429;top:25431;width:41815;height:3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" fillcolor="#5b9bd5" strokecolor="#41719c" strokeweight="1pt">
                  <v:textbox>
                    <w:txbxContent>
                      <w:p w14:paraId="0529C77F" w14:textId="77777777" w:rsidR="00CC256A" w:rsidRPr="00B4512A" w:rsidRDefault="00CC256A" w:rsidP="003E5809">
                        <w:pPr>
                          <w:jc w:val="center"/>
                          <w:rPr>
                            <w:rFonts w:ascii="Sakkal Majalla" w:hAnsi="Sakkal Majalla" w:cs="Sakkal Majalla"/>
                            <w:b/>
                            <w:bCs/>
                            <w:sz w:val="32"/>
                            <w:szCs w:val="32"/>
                            <w:lang w:bidi="ar-EG"/>
                          </w:rPr>
                        </w:pPr>
                        <w:r w:rsidRPr="00B4512A">
                          <w:rPr>
                            <w:rFonts w:ascii="Sakkal Majalla" w:hAnsi="Sakkal Majalla" w:cs="Sakkal Majalla"/>
                            <w:b/>
                            <w:bCs/>
                            <w:sz w:val="32"/>
                            <w:szCs w:val="32"/>
                            <w:rtl/>
                            <w:lang w:bidi="ar-EG"/>
                          </w:rPr>
                          <w:t xml:space="preserve">البيانات الديموغرافية </w:t>
                        </w:r>
                      </w:p>
                    </w:txbxContent>
                  </v:textbox>
                </v:rect>
                <v:shapetype id="_x0000_t32" coordsize="21600,21600" o:spt="32" o:oned="t" path="m,l21600,21600e" filled="f">
                  <v:path arrowok="t" fillok="f" o:connecttype="none"/>
                  <o:lock v:ext="edit" shapetype="t"/>
                </v:shapetype>
                <v:shape id="Straight Arrow Connector 529903374" o:spid="_x0000_s1031" type="#_x0000_t32" style="position:absolute;left:22508;top:12172;width:1340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" strokecolor="#5b9bd5" strokeweight="1.5pt">
                  <v:stroke endarrow="block" joinstyle="miter"/>
                </v:shape>
                <w10:wrap anchorx="margin"/>
              </v:group>
            </w:pict>
          </mc:Fallback>
        </mc:AlternateContent>
      </w:r>
    </w:p>
    <w:p w14:paraId="13D443E1" w14:textId="5DF77F10" w:rsidR="006C40E1" w:rsidRDefault="006C40E1" w:rsidP="006C40E1">
      <w:pPr>
        <w:bidi/>
        <w:spacing w:before="100" w:beforeAutospacing="1" w:after="100" w:afterAutospacing="1" w:line="240" w:lineRule="auto"/>
        <w:jc w:val="lowKashida"/>
        <w:rPr>
          <w:rFonts w:ascii="Simplified Arabic" w:eastAsia="Times New Roman" w:hAnsi="Simplified Arabic" w:cs="Simplified Arabic"/>
          <w:sz w:val="24"/>
          <w:szCs w:val="24"/>
        </w:rPr>
      </w:pPr>
    </w:p>
    <w:p w14:paraId="2C82131D" w14:textId="77777777" w:rsidR="00EE6314" w:rsidRDefault="00EE6314" w:rsidP="00EE6314">
      <w:pPr>
        <w:bidi/>
        <w:spacing w:before="100" w:beforeAutospacing="1" w:after="100" w:afterAutospacing="1" w:line="240" w:lineRule="auto"/>
        <w:jc w:val="lowKashida"/>
        <w:rPr>
          <w:rFonts w:ascii="Simplified Arabic" w:eastAsia="Times New Roman" w:hAnsi="Simplified Arabic" w:cs="Simplified Arabic"/>
          <w:sz w:val="24"/>
          <w:szCs w:val="24"/>
        </w:rPr>
      </w:pPr>
    </w:p>
    <w:p w14:paraId="254485AB" w14:textId="77777777" w:rsidR="00EE6314" w:rsidRDefault="00EE6314" w:rsidP="00EE6314">
      <w:pPr>
        <w:bidi/>
        <w:spacing w:before="100" w:beforeAutospacing="1" w:after="100" w:afterAutospacing="1" w:line="240" w:lineRule="auto"/>
        <w:jc w:val="lowKashida"/>
        <w:rPr>
          <w:rFonts w:ascii="Simplified Arabic" w:eastAsia="Times New Roman" w:hAnsi="Simplified Arabic" w:cs="Simplified Arabic"/>
          <w:sz w:val="24"/>
          <w:szCs w:val="24"/>
        </w:rPr>
      </w:pPr>
    </w:p>
    <w:p w14:paraId="40C6208F" w14:textId="77777777" w:rsidR="00EE6314" w:rsidRDefault="00EE6314" w:rsidP="00EE6314">
      <w:pPr>
        <w:bidi/>
        <w:spacing w:before="100" w:beforeAutospacing="1" w:after="100" w:afterAutospacing="1" w:line="240" w:lineRule="auto"/>
        <w:jc w:val="lowKashida"/>
        <w:rPr>
          <w:rFonts w:ascii="Simplified Arabic" w:eastAsia="Times New Roman" w:hAnsi="Simplified Arabic" w:cs="Simplified Arabic"/>
          <w:sz w:val="24"/>
          <w:szCs w:val="24"/>
        </w:rPr>
      </w:pPr>
    </w:p>
    <w:p w14:paraId="6824BFDC" w14:textId="77777777" w:rsidR="00AA0C2D" w:rsidRDefault="00AA0C2D" w:rsidP="00AA0C2D">
      <w:pPr>
        <w:bidi/>
        <w:spacing w:before="100" w:beforeAutospacing="1" w:after="100" w:afterAutospacing="1" w:line="240" w:lineRule="auto"/>
        <w:jc w:val="lowKashida"/>
        <w:rPr>
          <w:rFonts w:ascii="Simplified Arabic" w:eastAsia="Times New Roman" w:hAnsi="Simplified Arabic" w:cs="Simplified Arabic"/>
          <w:sz w:val="24"/>
          <w:szCs w:val="24"/>
        </w:rPr>
      </w:pPr>
    </w:p>
    <w:p w14:paraId="0DA5CA14" w14:textId="77777777" w:rsidR="00EE6314" w:rsidRDefault="00EE6314" w:rsidP="00EE6314">
      <w:pPr>
        <w:bidi/>
        <w:spacing w:before="100" w:beforeAutospacing="1" w:after="100" w:afterAutospacing="1" w:line="240" w:lineRule="auto"/>
        <w:jc w:val="lowKashida"/>
        <w:rPr>
          <w:rFonts w:ascii="Simplified Arabic" w:eastAsia="Times New Roman" w:hAnsi="Simplified Arabic" w:cs="Simplified Arabic"/>
          <w:sz w:val="24"/>
          <w:szCs w:val="24"/>
        </w:rPr>
      </w:pPr>
    </w:p>
    <w:p w14:paraId="0A5BB669" w14:textId="77777777" w:rsidR="00AA0C2D" w:rsidRPr="00791F76" w:rsidRDefault="00AA0C2D" w:rsidP="00AA0C2D">
      <w:pPr>
        <w:bidi/>
        <w:spacing w:before="100" w:beforeAutospacing="1" w:after="100" w:afterAutospacing="1" w:line="240" w:lineRule="auto"/>
        <w:jc w:val="lowKashida"/>
        <w:rPr>
          <w:rFonts w:ascii="Simplified Arabic" w:eastAsia="Times New Roman" w:hAnsi="Simplified Arabic" w:cs="Simplified Arabic"/>
          <w:sz w:val="24"/>
          <w:szCs w:val="24"/>
          <w:rtl/>
        </w:rPr>
      </w:pPr>
    </w:p>
    <w:p w14:paraId="6DBD5798" w14:textId="480ED0D9" w:rsidR="001A3ABE" w:rsidRPr="003C40F2" w:rsidRDefault="001A3ABE" w:rsidP="00EE6314">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6" w:name="_Toc234607901"/>
      <w:r w:rsidRPr="003C40F2">
        <w:rPr>
          <w:rFonts w:ascii="Simplified Arabic" w:eastAsia="Times New Roman" w:hAnsi="Simplified Arabic" w:cs="Simplified Arabic"/>
          <w:b/>
          <w:bCs/>
          <w:kern w:val="36"/>
          <w:sz w:val="24"/>
          <w:szCs w:val="24"/>
        </w:rPr>
        <w:t xml:space="preserve">3.3 </w:t>
      </w:r>
      <w:r w:rsidRPr="003C40F2">
        <w:rPr>
          <w:rFonts w:ascii="Simplified Arabic" w:eastAsia="Times New Roman" w:hAnsi="Simplified Arabic" w:cs="Simplified Arabic"/>
          <w:b/>
          <w:bCs/>
          <w:kern w:val="36"/>
          <w:sz w:val="24"/>
          <w:szCs w:val="24"/>
          <w:rtl/>
        </w:rPr>
        <w:t>النموذج المفاهيمي للدراسة</w:t>
      </w:r>
      <w:bookmarkEnd w:id="6"/>
    </w:p>
    <w:p w14:paraId="6FABA816" w14:textId="22D129A9" w:rsidR="00FD5A98" w:rsidRPr="003C40F2" w:rsidRDefault="001A3ABE" w:rsidP="006C40E1">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يرتكز النموذج المفاهيمي للدراسة على قياس أثر الشراكات بين القطاعين العام والخاص في قطاع البيئة على فاعلية الحوكمة البيئية وإدارة الأداء في مجال التفتيش البيئي، وذلك من خلال مجموعة من الأبعاد التي تم استخلاصها من الأدبيات العلمية والدراسات السابقة</w:t>
      </w:r>
      <w:r w:rsidRPr="003C40F2">
        <w:rPr>
          <w:rFonts w:ascii="Simplified Arabic" w:eastAsia="Times New Roman" w:hAnsi="Simplified Arabic" w:cs="Simplified Arabic"/>
          <w:sz w:val="24"/>
          <w:szCs w:val="24"/>
        </w:rPr>
        <w:t>.</w:t>
      </w:r>
    </w:p>
    <w:p w14:paraId="1FE9F93F"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7" w:name="_Toc234607902"/>
      <w:r w:rsidRPr="003C40F2">
        <w:rPr>
          <w:rFonts w:ascii="Simplified Arabic" w:eastAsia="Times New Roman" w:hAnsi="Simplified Arabic" w:cs="Simplified Arabic"/>
          <w:b/>
          <w:bCs/>
          <w:sz w:val="24"/>
          <w:szCs w:val="24"/>
          <w:rtl/>
        </w:rPr>
        <w:t>جدول</w:t>
      </w:r>
      <w:r>
        <w:rPr>
          <w:rFonts w:ascii="Simplified Arabic" w:eastAsia="Times New Roman" w:hAnsi="Simplified Arabic" w:cs="Simplified Arabic"/>
          <w:b/>
          <w:bCs/>
          <w:sz w:val="24"/>
          <w:szCs w:val="24"/>
        </w:rPr>
        <w:t xml:space="preserve"> </w:t>
      </w:r>
      <w:r w:rsidRPr="003C40F2">
        <w:rPr>
          <w:rFonts w:ascii="Simplified Arabic" w:eastAsia="Times New Roman" w:hAnsi="Simplified Arabic" w:cs="Simplified Arabic"/>
          <w:b/>
          <w:bCs/>
          <w:sz w:val="24"/>
          <w:szCs w:val="24"/>
        </w:rPr>
        <w:t xml:space="preserve"> (3-1)</w:t>
      </w:r>
      <w:bookmarkEnd w:id="7"/>
    </w:p>
    <w:p w14:paraId="6E0BA520"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8" w:name="_Toc234607903"/>
      <w:r w:rsidRPr="003C40F2">
        <w:rPr>
          <w:rFonts w:ascii="Simplified Arabic" w:eastAsia="Times New Roman" w:hAnsi="Simplified Arabic" w:cs="Simplified Arabic"/>
          <w:b/>
          <w:bCs/>
          <w:sz w:val="24"/>
          <w:szCs w:val="24"/>
          <w:rtl/>
        </w:rPr>
        <w:t>النموذج المفاهيمي للدراسة</w:t>
      </w:r>
      <w:bookmarkEnd w:id="8"/>
    </w:p>
    <w:tbl>
      <w:tblPr>
        <w:tblStyle w:val="TableGridLight"/>
        <w:bidiVisual/>
        <w:tblW w:w="0" w:type="auto"/>
        <w:jc w:val="center"/>
        <w:tblLook w:val="04A0" w:firstRow="1" w:lastRow="0" w:firstColumn="1" w:lastColumn="0" w:noHBand="0" w:noVBand="1"/>
      </w:tblPr>
      <w:tblGrid>
        <w:gridCol w:w="1426"/>
        <w:gridCol w:w="2237"/>
        <w:gridCol w:w="2315"/>
      </w:tblGrid>
      <w:tr w:rsidR="001A3ABE" w:rsidRPr="003C40F2" w14:paraId="338B6D73" w14:textId="77777777" w:rsidTr="00CC256A">
        <w:trPr>
          <w:jc w:val="center"/>
        </w:trPr>
        <w:tc>
          <w:tcPr>
            <w:tcW w:w="0" w:type="auto"/>
            <w:vAlign w:val="center"/>
            <w:hideMark/>
          </w:tcPr>
          <w:p w14:paraId="4FCAA227" w14:textId="77777777" w:rsidR="001A3ABE" w:rsidRPr="003C40F2" w:rsidRDefault="001A3ABE" w:rsidP="00CC256A">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المتغير</w:t>
            </w:r>
          </w:p>
        </w:tc>
        <w:tc>
          <w:tcPr>
            <w:tcW w:w="0" w:type="auto"/>
            <w:vAlign w:val="center"/>
            <w:hideMark/>
          </w:tcPr>
          <w:p w14:paraId="2BBB90CE" w14:textId="77777777" w:rsidR="001A3ABE" w:rsidRPr="003C40F2" w:rsidRDefault="001A3ABE" w:rsidP="00CC256A">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الأبعاد</w:t>
            </w:r>
          </w:p>
        </w:tc>
        <w:tc>
          <w:tcPr>
            <w:tcW w:w="0" w:type="auto"/>
            <w:vAlign w:val="center"/>
            <w:hideMark/>
          </w:tcPr>
          <w:p w14:paraId="55AEF21F" w14:textId="77777777" w:rsidR="001A3ABE" w:rsidRPr="003C40F2" w:rsidRDefault="001A3ABE" w:rsidP="00CC256A">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المؤشرات</w:t>
            </w:r>
          </w:p>
        </w:tc>
      </w:tr>
      <w:tr w:rsidR="001A3ABE" w:rsidRPr="003C40F2" w14:paraId="6D1F5E53" w14:textId="77777777" w:rsidTr="00CC256A">
        <w:trPr>
          <w:jc w:val="center"/>
        </w:trPr>
        <w:tc>
          <w:tcPr>
            <w:tcW w:w="0" w:type="auto"/>
            <w:vMerge w:val="restart"/>
            <w:vAlign w:val="center"/>
            <w:hideMark/>
          </w:tcPr>
          <w:p w14:paraId="06F2949F"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tl/>
              </w:rPr>
              <w:t>المتغير المستقل</w:t>
            </w:r>
          </w:p>
        </w:tc>
        <w:tc>
          <w:tcPr>
            <w:tcW w:w="0" w:type="auto"/>
            <w:vAlign w:val="center"/>
            <w:hideMark/>
          </w:tcPr>
          <w:p w14:paraId="233C41F3"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الإطار التشريعي والتنظيمي</w:t>
            </w:r>
          </w:p>
        </w:tc>
        <w:tc>
          <w:tcPr>
            <w:tcW w:w="0" w:type="auto"/>
            <w:vAlign w:val="center"/>
            <w:hideMark/>
          </w:tcPr>
          <w:p w14:paraId="59BAC4DE"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وضوح الأنظمة واللوائح</w:t>
            </w:r>
          </w:p>
        </w:tc>
      </w:tr>
      <w:tr w:rsidR="001A3ABE" w:rsidRPr="003C40F2" w14:paraId="2E7BDE0D" w14:textId="77777777" w:rsidTr="00CC256A">
        <w:trPr>
          <w:jc w:val="center"/>
        </w:trPr>
        <w:tc>
          <w:tcPr>
            <w:tcW w:w="0" w:type="auto"/>
            <w:vMerge/>
            <w:vAlign w:val="center"/>
            <w:hideMark/>
          </w:tcPr>
          <w:p w14:paraId="677282A5" w14:textId="77777777" w:rsidR="001A3ABE" w:rsidRPr="003C40F2" w:rsidRDefault="001A3ABE" w:rsidP="00CC256A">
            <w:pPr>
              <w:bidi/>
              <w:jc w:val="center"/>
              <w:rPr>
                <w:rFonts w:ascii="Simplified Arabic" w:eastAsia="Times New Roman" w:hAnsi="Simplified Arabic" w:cs="Simplified Arabic"/>
                <w:sz w:val="24"/>
                <w:szCs w:val="24"/>
              </w:rPr>
            </w:pPr>
          </w:p>
        </w:tc>
        <w:tc>
          <w:tcPr>
            <w:tcW w:w="0" w:type="auto"/>
            <w:vAlign w:val="center"/>
            <w:hideMark/>
          </w:tcPr>
          <w:p w14:paraId="2F0AF4BF"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توزيع الأدوار والمسؤوليات</w:t>
            </w:r>
          </w:p>
        </w:tc>
        <w:tc>
          <w:tcPr>
            <w:tcW w:w="0" w:type="auto"/>
            <w:vAlign w:val="center"/>
            <w:hideMark/>
          </w:tcPr>
          <w:p w14:paraId="525C0014"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وضوح المسؤوليات</w:t>
            </w:r>
          </w:p>
        </w:tc>
      </w:tr>
      <w:tr w:rsidR="001A3ABE" w:rsidRPr="003C40F2" w14:paraId="5621F118" w14:textId="77777777" w:rsidTr="00CC256A">
        <w:trPr>
          <w:jc w:val="center"/>
        </w:trPr>
        <w:tc>
          <w:tcPr>
            <w:tcW w:w="0" w:type="auto"/>
            <w:vMerge/>
            <w:vAlign w:val="center"/>
            <w:hideMark/>
          </w:tcPr>
          <w:p w14:paraId="610269F1" w14:textId="77777777" w:rsidR="001A3ABE" w:rsidRPr="003C40F2" w:rsidRDefault="001A3ABE" w:rsidP="00CC256A">
            <w:pPr>
              <w:bidi/>
              <w:jc w:val="center"/>
              <w:rPr>
                <w:rFonts w:ascii="Simplified Arabic" w:eastAsia="Times New Roman" w:hAnsi="Simplified Arabic" w:cs="Simplified Arabic"/>
                <w:sz w:val="24"/>
                <w:szCs w:val="24"/>
              </w:rPr>
            </w:pPr>
          </w:p>
        </w:tc>
        <w:tc>
          <w:tcPr>
            <w:tcW w:w="0" w:type="auto"/>
            <w:vAlign w:val="center"/>
            <w:hideMark/>
          </w:tcPr>
          <w:p w14:paraId="34A73EDC"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التنسيق وتبادل المعلومات</w:t>
            </w:r>
          </w:p>
        </w:tc>
        <w:tc>
          <w:tcPr>
            <w:tcW w:w="0" w:type="auto"/>
            <w:vAlign w:val="center"/>
            <w:hideMark/>
          </w:tcPr>
          <w:p w14:paraId="0F233E83"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سرعة تبادل المعلومات</w:t>
            </w:r>
          </w:p>
        </w:tc>
      </w:tr>
      <w:tr w:rsidR="001A3ABE" w:rsidRPr="003C40F2" w14:paraId="307634EF" w14:textId="77777777" w:rsidTr="00CC256A">
        <w:trPr>
          <w:jc w:val="center"/>
        </w:trPr>
        <w:tc>
          <w:tcPr>
            <w:tcW w:w="0" w:type="auto"/>
            <w:vMerge/>
            <w:vAlign w:val="center"/>
            <w:hideMark/>
          </w:tcPr>
          <w:p w14:paraId="6F2B06D3" w14:textId="77777777" w:rsidR="001A3ABE" w:rsidRPr="003C40F2" w:rsidRDefault="001A3ABE" w:rsidP="00CC256A">
            <w:pPr>
              <w:bidi/>
              <w:jc w:val="center"/>
              <w:rPr>
                <w:rFonts w:ascii="Simplified Arabic" w:eastAsia="Times New Roman" w:hAnsi="Simplified Arabic" w:cs="Simplified Arabic"/>
                <w:sz w:val="24"/>
                <w:szCs w:val="24"/>
              </w:rPr>
            </w:pPr>
          </w:p>
        </w:tc>
        <w:tc>
          <w:tcPr>
            <w:tcW w:w="0" w:type="auto"/>
            <w:vAlign w:val="center"/>
            <w:hideMark/>
          </w:tcPr>
          <w:p w14:paraId="60B1B613"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إدارة الموارد والتمويل</w:t>
            </w:r>
          </w:p>
        </w:tc>
        <w:tc>
          <w:tcPr>
            <w:tcW w:w="0" w:type="auto"/>
            <w:vAlign w:val="center"/>
            <w:hideMark/>
          </w:tcPr>
          <w:p w14:paraId="1CA2E69F"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كفاءة استغلال الموارد</w:t>
            </w:r>
          </w:p>
        </w:tc>
      </w:tr>
      <w:tr w:rsidR="001A3ABE" w:rsidRPr="003C40F2" w14:paraId="252B0D96" w14:textId="77777777" w:rsidTr="00CC256A">
        <w:trPr>
          <w:jc w:val="center"/>
        </w:trPr>
        <w:tc>
          <w:tcPr>
            <w:tcW w:w="0" w:type="auto"/>
            <w:vMerge/>
            <w:vAlign w:val="center"/>
            <w:hideMark/>
          </w:tcPr>
          <w:p w14:paraId="41D98021" w14:textId="77777777" w:rsidR="001A3ABE" w:rsidRPr="003C40F2" w:rsidRDefault="001A3ABE" w:rsidP="00CC256A">
            <w:pPr>
              <w:bidi/>
              <w:jc w:val="center"/>
              <w:rPr>
                <w:rFonts w:ascii="Simplified Arabic" w:eastAsia="Times New Roman" w:hAnsi="Simplified Arabic" w:cs="Simplified Arabic"/>
                <w:sz w:val="24"/>
                <w:szCs w:val="24"/>
              </w:rPr>
            </w:pPr>
          </w:p>
        </w:tc>
        <w:tc>
          <w:tcPr>
            <w:tcW w:w="0" w:type="auto"/>
            <w:vAlign w:val="center"/>
            <w:hideMark/>
          </w:tcPr>
          <w:p w14:paraId="50153A85"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الرقابة وإدارة المخاطر</w:t>
            </w:r>
          </w:p>
        </w:tc>
        <w:tc>
          <w:tcPr>
            <w:tcW w:w="0" w:type="auto"/>
            <w:vAlign w:val="center"/>
            <w:hideMark/>
          </w:tcPr>
          <w:p w14:paraId="5972D38F"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متابعة الأداء وإدارة المخاطر</w:t>
            </w:r>
          </w:p>
        </w:tc>
      </w:tr>
      <w:tr w:rsidR="001A3ABE" w:rsidRPr="003C40F2" w14:paraId="10EE4C46" w14:textId="77777777" w:rsidTr="00CC256A">
        <w:trPr>
          <w:jc w:val="center"/>
        </w:trPr>
        <w:tc>
          <w:tcPr>
            <w:tcW w:w="0" w:type="auto"/>
            <w:vMerge w:val="restart"/>
            <w:vAlign w:val="center"/>
            <w:hideMark/>
          </w:tcPr>
          <w:p w14:paraId="7FB4F7E6"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tl/>
              </w:rPr>
              <w:t>المتغير التابع</w:t>
            </w:r>
          </w:p>
        </w:tc>
        <w:tc>
          <w:tcPr>
            <w:tcW w:w="0" w:type="auto"/>
            <w:vAlign w:val="center"/>
            <w:hideMark/>
          </w:tcPr>
          <w:p w14:paraId="5C972C89"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الكفاءة التشغيلية</w:t>
            </w:r>
          </w:p>
        </w:tc>
        <w:tc>
          <w:tcPr>
            <w:tcW w:w="0" w:type="auto"/>
            <w:vAlign w:val="center"/>
            <w:hideMark/>
          </w:tcPr>
          <w:p w14:paraId="2E9478E2"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سرعة إنجاز أعمال التفتيش</w:t>
            </w:r>
          </w:p>
        </w:tc>
      </w:tr>
      <w:tr w:rsidR="001A3ABE" w:rsidRPr="003C40F2" w14:paraId="1EE45060" w14:textId="77777777" w:rsidTr="00CC256A">
        <w:trPr>
          <w:jc w:val="center"/>
        </w:trPr>
        <w:tc>
          <w:tcPr>
            <w:tcW w:w="0" w:type="auto"/>
            <w:vMerge/>
            <w:vAlign w:val="center"/>
            <w:hideMark/>
          </w:tcPr>
          <w:p w14:paraId="20F0C890" w14:textId="77777777" w:rsidR="001A3ABE" w:rsidRPr="003C40F2" w:rsidRDefault="001A3ABE" w:rsidP="00CC256A">
            <w:pPr>
              <w:bidi/>
              <w:jc w:val="center"/>
              <w:rPr>
                <w:rFonts w:ascii="Simplified Arabic" w:eastAsia="Times New Roman" w:hAnsi="Simplified Arabic" w:cs="Simplified Arabic"/>
                <w:sz w:val="24"/>
                <w:szCs w:val="24"/>
              </w:rPr>
            </w:pPr>
          </w:p>
        </w:tc>
        <w:tc>
          <w:tcPr>
            <w:tcW w:w="0" w:type="auto"/>
            <w:vAlign w:val="center"/>
            <w:hideMark/>
          </w:tcPr>
          <w:p w14:paraId="504AF974"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جودة الرقابة والامتثال</w:t>
            </w:r>
          </w:p>
        </w:tc>
        <w:tc>
          <w:tcPr>
            <w:tcW w:w="0" w:type="auto"/>
            <w:vAlign w:val="center"/>
            <w:hideMark/>
          </w:tcPr>
          <w:p w14:paraId="6750B95F"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مستوى الالتزام البيئي</w:t>
            </w:r>
          </w:p>
        </w:tc>
      </w:tr>
      <w:tr w:rsidR="001A3ABE" w:rsidRPr="003C40F2" w14:paraId="775F66F8" w14:textId="77777777" w:rsidTr="00CC256A">
        <w:trPr>
          <w:jc w:val="center"/>
        </w:trPr>
        <w:tc>
          <w:tcPr>
            <w:tcW w:w="0" w:type="auto"/>
            <w:vMerge/>
            <w:vAlign w:val="center"/>
            <w:hideMark/>
          </w:tcPr>
          <w:p w14:paraId="37EC24B4" w14:textId="77777777" w:rsidR="001A3ABE" w:rsidRPr="003C40F2" w:rsidRDefault="001A3ABE" w:rsidP="00CC256A">
            <w:pPr>
              <w:bidi/>
              <w:jc w:val="center"/>
              <w:rPr>
                <w:rFonts w:ascii="Simplified Arabic" w:eastAsia="Times New Roman" w:hAnsi="Simplified Arabic" w:cs="Simplified Arabic"/>
                <w:sz w:val="24"/>
                <w:szCs w:val="24"/>
              </w:rPr>
            </w:pPr>
          </w:p>
        </w:tc>
        <w:tc>
          <w:tcPr>
            <w:tcW w:w="0" w:type="auto"/>
            <w:vAlign w:val="center"/>
            <w:hideMark/>
          </w:tcPr>
          <w:p w14:paraId="7948DF36"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الشفافية والمساءلة</w:t>
            </w:r>
          </w:p>
        </w:tc>
        <w:tc>
          <w:tcPr>
            <w:tcW w:w="0" w:type="auto"/>
            <w:vAlign w:val="center"/>
            <w:hideMark/>
          </w:tcPr>
          <w:p w14:paraId="7BA801F1"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وضوح الإجراءات والإفصاح</w:t>
            </w:r>
          </w:p>
        </w:tc>
      </w:tr>
      <w:tr w:rsidR="001A3ABE" w:rsidRPr="003C40F2" w14:paraId="6BFFCDF1" w14:textId="77777777" w:rsidTr="00CC256A">
        <w:trPr>
          <w:jc w:val="center"/>
        </w:trPr>
        <w:tc>
          <w:tcPr>
            <w:tcW w:w="0" w:type="auto"/>
            <w:vMerge/>
            <w:vAlign w:val="center"/>
            <w:hideMark/>
          </w:tcPr>
          <w:p w14:paraId="21FE3201" w14:textId="77777777" w:rsidR="001A3ABE" w:rsidRPr="003C40F2" w:rsidRDefault="001A3ABE" w:rsidP="00CC256A">
            <w:pPr>
              <w:bidi/>
              <w:jc w:val="center"/>
              <w:rPr>
                <w:rFonts w:ascii="Simplified Arabic" w:eastAsia="Times New Roman" w:hAnsi="Simplified Arabic" w:cs="Simplified Arabic"/>
                <w:sz w:val="24"/>
                <w:szCs w:val="24"/>
              </w:rPr>
            </w:pPr>
          </w:p>
        </w:tc>
        <w:tc>
          <w:tcPr>
            <w:tcW w:w="0" w:type="auto"/>
            <w:vAlign w:val="center"/>
            <w:hideMark/>
          </w:tcPr>
          <w:p w14:paraId="2FD11839"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تحسين الأداء البيئي</w:t>
            </w:r>
          </w:p>
        </w:tc>
        <w:tc>
          <w:tcPr>
            <w:tcW w:w="0" w:type="auto"/>
            <w:vAlign w:val="center"/>
            <w:hideMark/>
          </w:tcPr>
          <w:p w14:paraId="039AFD9B"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تحسين مؤشرات الأداء</w:t>
            </w:r>
          </w:p>
        </w:tc>
      </w:tr>
      <w:tr w:rsidR="001A3ABE" w:rsidRPr="003C40F2" w14:paraId="431A4241" w14:textId="77777777" w:rsidTr="00CC256A">
        <w:trPr>
          <w:jc w:val="center"/>
        </w:trPr>
        <w:tc>
          <w:tcPr>
            <w:tcW w:w="0" w:type="auto"/>
            <w:vMerge/>
            <w:vAlign w:val="center"/>
            <w:hideMark/>
          </w:tcPr>
          <w:p w14:paraId="4F8C7DF4" w14:textId="77777777" w:rsidR="001A3ABE" w:rsidRPr="003C40F2" w:rsidRDefault="001A3ABE" w:rsidP="00CC256A">
            <w:pPr>
              <w:bidi/>
              <w:jc w:val="center"/>
              <w:rPr>
                <w:rFonts w:ascii="Simplified Arabic" w:eastAsia="Times New Roman" w:hAnsi="Simplified Arabic" w:cs="Simplified Arabic"/>
                <w:sz w:val="24"/>
                <w:szCs w:val="24"/>
              </w:rPr>
            </w:pPr>
          </w:p>
        </w:tc>
        <w:tc>
          <w:tcPr>
            <w:tcW w:w="0" w:type="auto"/>
            <w:vAlign w:val="center"/>
            <w:hideMark/>
          </w:tcPr>
          <w:p w14:paraId="5BC8C697"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الاستدامة المؤسسية</w:t>
            </w:r>
          </w:p>
        </w:tc>
        <w:tc>
          <w:tcPr>
            <w:tcW w:w="0" w:type="auto"/>
            <w:vAlign w:val="center"/>
            <w:hideMark/>
          </w:tcPr>
          <w:p w14:paraId="40777D9A"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استمرارية التطوير والتحسين</w:t>
            </w:r>
          </w:p>
        </w:tc>
      </w:tr>
    </w:tbl>
    <w:p w14:paraId="616C9220"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9" w:name="_Toc234607904"/>
      <w:r w:rsidRPr="003C40F2">
        <w:rPr>
          <w:rFonts w:ascii="Simplified Arabic" w:eastAsia="Times New Roman" w:hAnsi="Simplified Arabic" w:cs="Simplified Arabic"/>
          <w:b/>
          <w:bCs/>
          <w:kern w:val="36"/>
          <w:sz w:val="24"/>
          <w:szCs w:val="24"/>
        </w:rPr>
        <w:t xml:space="preserve">3.4 </w:t>
      </w:r>
      <w:r w:rsidRPr="003C40F2">
        <w:rPr>
          <w:rFonts w:ascii="Simplified Arabic" w:eastAsia="Times New Roman" w:hAnsi="Simplified Arabic" w:cs="Simplified Arabic"/>
          <w:b/>
          <w:bCs/>
          <w:kern w:val="36"/>
          <w:sz w:val="24"/>
          <w:szCs w:val="24"/>
          <w:rtl/>
        </w:rPr>
        <w:t>التعريفات الإجرائية لمتغيرات الدراسة</w:t>
      </w:r>
      <w:bookmarkEnd w:id="9"/>
    </w:p>
    <w:p w14:paraId="5CA44CB8" w14:textId="4FDA80F5" w:rsidR="001A3ABE" w:rsidRPr="003C40F2" w:rsidRDefault="001A3ABE" w:rsidP="00E71187">
      <w:pPr>
        <w:bidi/>
        <w:spacing w:before="100" w:beforeAutospacing="1" w:after="100" w:afterAutospacing="1" w:line="240" w:lineRule="auto"/>
        <w:jc w:val="both"/>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تعتمد الدراسة على تعريف المتغيرات بصورة إجرائية بما يتناسب مع أهداف الدراسة وطبيعة أداة القياس المستخدمة</w:t>
      </w:r>
      <w:r w:rsidRPr="003C40F2">
        <w:rPr>
          <w:rFonts w:ascii="Simplified Arabic" w:eastAsia="Times New Roman" w:hAnsi="Simplified Arabic" w:cs="Simplified Arabic"/>
          <w:sz w:val="24"/>
          <w:szCs w:val="24"/>
        </w:rPr>
        <w:t>.</w:t>
      </w:r>
    </w:p>
    <w:p w14:paraId="2620278E"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10" w:name="_Toc234607905"/>
      <w:r w:rsidRPr="003C40F2">
        <w:rPr>
          <w:rFonts w:ascii="Simplified Arabic" w:eastAsia="Times New Roman" w:hAnsi="Simplified Arabic" w:cs="Simplified Arabic"/>
          <w:b/>
          <w:bCs/>
          <w:sz w:val="24"/>
          <w:szCs w:val="24"/>
          <w:rtl/>
        </w:rPr>
        <w:t>جدول</w:t>
      </w:r>
      <w:r w:rsidRPr="003C40F2">
        <w:rPr>
          <w:rFonts w:ascii="Simplified Arabic" w:eastAsia="Times New Roman" w:hAnsi="Simplified Arabic" w:cs="Simplified Arabic"/>
          <w:b/>
          <w:bCs/>
          <w:sz w:val="24"/>
          <w:szCs w:val="24"/>
        </w:rPr>
        <w:t xml:space="preserve"> (3-2)</w:t>
      </w:r>
      <w:bookmarkEnd w:id="10"/>
    </w:p>
    <w:p w14:paraId="3A9A3DF7"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11" w:name="_Toc234607906"/>
      <w:r w:rsidRPr="003C40F2">
        <w:rPr>
          <w:rFonts w:ascii="Simplified Arabic" w:eastAsia="Times New Roman" w:hAnsi="Simplified Arabic" w:cs="Simplified Arabic"/>
          <w:b/>
          <w:bCs/>
          <w:sz w:val="24"/>
          <w:szCs w:val="24"/>
          <w:rtl/>
        </w:rPr>
        <w:t>التعريفات الإجرائية لمتغيرات الدراسة</w:t>
      </w:r>
      <w:bookmarkEnd w:id="11"/>
    </w:p>
    <w:tbl>
      <w:tblPr>
        <w:tblStyle w:val="TableGridLight"/>
        <w:bidiVisual/>
        <w:tblW w:w="0" w:type="auto"/>
        <w:jc w:val="center"/>
        <w:tblLook w:val="04A0" w:firstRow="1" w:lastRow="0" w:firstColumn="1" w:lastColumn="0" w:noHBand="0" w:noVBand="1"/>
      </w:tblPr>
      <w:tblGrid>
        <w:gridCol w:w="2157"/>
        <w:gridCol w:w="3667"/>
        <w:gridCol w:w="1096"/>
        <w:gridCol w:w="1376"/>
      </w:tblGrid>
      <w:tr w:rsidR="001A3ABE" w:rsidRPr="00A204CB" w14:paraId="785250F8" w14:textId="77777777" w:rsidTr="00CC256A">
        <w:trPr>
          <w:jc w:val="center"/>
        </w:trPr>
        <w:tc>
          <w:tcPr>
            <w:tcW w:w="0" w:type="auto"/>
            <w:vAlign w:val="center"/>
            <w:hideMark/>
          </w:tcPr>
          <w:p w14:paraId="4A47FC3B" w14:textId="77777777" w:rsidR="001A3ABE" w:rsidRPr="00A204CB" w:rsidRDefault="001A3ABE" w:rsidP="00CC256A">
            <w:pPr>
              <w:bidi/>
              <w:jc w:val="center"/>
              <w:rPr>
                <w:rFonts w:ascii="Simplified Arabic" w:eastAsia="Times New Roman" w:hAnsi="Simplified Arabic" w:cs="Simplified Arabic"/>
                <w:b/>
                <w:bCs/>
              </w:rPr>
            </w:pPr>
            <w:r w:rsidRPr="00A204CB">
              <w:rPr>
                <w:rFonts w:ascii="Simplified Arabic" w:eastAsia="Times New Roman" w:hAnsi="Simplified Arabic" w:cs="Simplified Arabic"/>
                <w:b/>
                <w:bCs/>
                <w:rtl/>
              </w:rPr>
              <w:t>المتغير</w:t>
            </w:r>
          </w:p>
        </w:tc>
        <w:tc>
          <w:tcPr>
            <w:tcW w:w="0" w:type="auto"/>
            <w:vAlign w:val="center"/>
            <w:hideMark/>
          </w:tcPr>
          <w:p w14:paraId="46A4328F" w14:textId="77777777" w:rsidR="001A3ABE" w:rsidRPr="00A204CB" w:rsidRDefault="001A3ABE" w:rsidP="00CC256A">
            <w:pPr>
              <w:bidi/>
              <w:jc w:val="center"/>
              <w:rPr>
                <w:rFonts w:ascii="Simplified Arabic" w:eastAsia="Times New Roman" w:hAnsi="Simplified Arabic" w:cs="Simplified Arabic"/>
                <w:b/>
                <w:bCs/>
              </w:rPr>
            </w:pPr>
            <w:r w:rsidRPr="00A204CB">
              <w:rPr>
                <w:rFonts w:ascii="Simplified Arabic" w:eastAsia="Times New Roman" w:hAnsi="Simplified Arabic" w:cs="Simplified Arabic"/>
                <w:b/>
                <w:bCs/>
                <w:rtl/>
              </w:rPr>
              <w:t>التعريف الإجرائي</w:t>
            </w:r>
          </w:p>
        </w:tc>
        <w:tc>
          <w:tcPr>
            <w:tcW w:w="0" w:type="auto"/>
            <w:vAlign w:val="center"/>
            <w:hideMark/>
          </w:tcPr>
          <w:p w14:paraId="24346A99" w14:textId="77777777" w:rsidR="001A3ABE" w:rsidRPr="00A204CB" w:rsidRDefault="001A3ABE" w:rsidP="00CC256A">
            <w:pPr>
              <w:bidi/>
              <w:jc w:val="center"/>
              <w:rPr>
                <w:rFonts w:ascii="Simplified Arabic" w:eastAsia="Times New Roman" w:hAnsi="Simplified Arabic" w:cs="Simplified Arabic"/>
                <w:b/>
                <w:bCs/>
              </w:rPr>
            </w:pPr>
            <w:r w:rsidRPr="00A204CB">
              <w:rPr>
                <w:rFonts w:ascii="Simplified Arabic" w:eastAsia="Times New Roman" w:hAnsi="Simplified Arabic" w:cs="Simplified Arabic"/>
                <w:b/>
                <w:bCs/>
                <w:rtl/>
              </w:rPr>
              <w:t>مصدر البيانات</w:t>
            </w:r>
          </w:p>
        </w:tc>
        <w:tc>
          <w:tcPr>
            <w:tcW w:w="0" w:type="auto"/>
            <w:vAlign w:val="center"/>
            <w:hideMark/>
          </w:tcPr>
          <w:p w14:paraId="09EA3079" w14:textId="77777777" w:rsidR="001A3ABE" w:rsidRPr="00A204CB" w:rsidRDefault="001A3ABE" w:rsidP="00CC256A">
            <w:pPr>
              <w:bidi/>
              <w:jc w:val="center"/>
              <w:rPr>
                <w:rFonts w:ascii="Simplified Arabic" w:eastAsia="Times New Roman" w:hAnsi="Simplified Arabic" w:cs="Simplified Arabic"/>
                <w:b/>
                <w:bCs/>
              </w:rPr>
            </w:pPr>
            <w:r w:rsidRPr="00A204CB">
              <w:rPr>
                <w:rFonts w:ascii="Simplified Arabic" w:eastAsia="Times New Roman" w:hAnsi="Simplified Arabic" w:cs="Simplified Arabic"/>
                <w:b/>
                <w:bCs/>
                <w:rtl/>
              </w:rPr>
              <w:t>وحدة القياس</w:t>
            </w:r>
          </w:p>
        </w:tc>
      </w:tr>
      <w:tr w:rsidR="001A3ABE" w:rsidRPr="00A204CB" w14:paraId="1A7A005C" w14:textId="77777777" w:rsidTr="00CC256A">
        <w:trPr>
          <w:jc w:val="center"/>
        </w:trPr>
        <w:tc>
          <w:tcPr>
            <w:tcW w:w="0" w:type="auto"/>
            <w:vAlign w:val="center"/>
            <w:hideMark/>
          </w:tcPr>
          <w:p w14:paraId="08F93115" w14:textId="77777777" w:rsidR="001A3ABE" w:rsidRPr="00A204CB" w:rsidRDefault="001A3ABE" w:rsidP="00CC256A">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الشراكات بين القطاعين العام والخاص</w:t>
            </w:r>
          </w:p>
        </w:tc>
        <w:tc>
          <w:tcPr>
            <w:tcW w:w="0" w:type="auto"/>
            <w:vAlign w:val="center"/>
            <w:hideMark/>
          </w:tcPr>
          <w:p w14:paraId="5ADCB730" w14:textId="77777777" w:rsidR="001A3ABE" w:rsidRPr="00A204CB" w:rsidRDefault="001A3ABE" w:rsidP="00CC256A">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درجة تطبيق ممارسات الشراكة في قطاع البيئة كما يدركها أفراد الدراسة</w:t>
            </w:r>
          </w:p>
        </w:tc>
        <w:tc>
          <w:tcPr>
            <w:tcW w:w="0" w:type="auto"/>
            <w:vAlign w:val="center"/>
            <w:hideMark/>
          </w:tcPr>
          <w:p w14:paraId="606C8DFE" w14:textId="77777777" w:rsidR="001A3ABE" w:rsidRPr="00A204CB" w:rsidRDefault="001A3ABE" w:rsidP="00CC256A">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الاستبانة</w:t>
            </w:r>
          </w:p>
        </w:tc>
        <w:tc>
          <w:tcPr>
            <w:tcW w:w="0" w:type="auto"/>
            <w:vAlign w:val="center"/>
            <w:hideMark/>
          </w:tcPr>
          <w:p w14:paraId="3F903625" w14:textId="77777777" w:rsidR="001A3ABE" w:rsidRPr="00A204CB" w:rsidRDefault="001A3ABE" w:rsidP="00CC256A">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متوسط درجات ليكرت</w:t>
            </w:r>
          </w:p>
        </w:tc>
      </w:tr>
      <w:tr w:rsidR="001A3ABE" w:rsidRPr="00A204CB" w14:paraId="7615AD4F" w14:textId="77777777" w:rsidTr="00CC256A">
        <w:trPr>
          <w:jc w:val="center"/>
        </w:trPr>
        <w:tc>
          <w:tcPr>
            <w:tcW w:w="0" w:type="auto"/>
            <w:vAlign w:val="center"/>
            <w:hideMark/>
          </w:tcPr>
          <w:p w14:paraId="556C97DF" w14:textId="77777777" w:rsidR="001A3ABE" w:rsidRPr="00A204CB" w:rsidRDefault="001A3ABE" w:rsidP="00CC256A">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الحوكمة البيئية وإدارة الأداء</w:t>
            </w:r>
          </w:p>
        </w:tc>
        <w:tc>
          <w:tcPr>
            <w:tcW w:w="0" w:type="auto"/>
            <w:vAlign w:val="center"/>
            <w:hideMark/>
          </w:tcPr>
          <w:p w14:paraId="420B26AB" w14:textId="77777777" w:rsidR="001A3ABE" w:rsidRPr="00A204CB" w:rsidRDefault="001A3ABE" w:rsidP="00CC256A">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مستوى فاعلية الحوكمة وإدارة الأداء في التفتيش البيئي</w:t>
            </w:r>
          </w:p>
        </w:tc>
        <w:tc>
          <w:tcPr>
            <w:tcW w:w="0" w:type="auto"/>
            <w:vAlign w:val="center"/>
            <w:hideMark/>
          </w:tcPr>
          <w:p w14:paraId="40D75419" w14:textId="77777777" w:rsidR="001A3ABE" w:rsidRPr="00A204CB" w:rsidRDefault="001A3ABE" w:rsidP="00CC256A">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الاستبانة</w:t>
            </w:r>
          </w:p>
        </w:tc>
        <w:tc>
          <w:tcPr>
            <w:tcW w:w="0" w:type="auto"/>
            <w:vAlign w:val="center"/>
            <w:hideMark/>
          </w:tcPr>
          <w:p w14:paraId="1FC22517" w14:textId="77777777" w:rsidR="001A3ABE" w:rsidRPr="00A204CB" w:rsidRDefault="001A3ABE" w:rsidP="00CC256A">
            <w:pPr>
              <w:bidi/>
              <w:jc w:val="center"/>
              <w:rPr>
                <w:rFonts w:ascii="Simplified Arabic" w:eastAsia="Times New Roman" w:hAnsi="Simplified Arabic" w:cs="Simplified Arabic"/>
              </w:rPr>
            </w:pPr>
            <w:r w:rsidRPr="00A204CB">
              <w:rPr>
                <w:rFonts w:ascii="Simplified Arabic" w:eastAsia="Times New Roman" w:hAnsi="Simplified Arabic" w:cs="Simplified Arabic"/>
                <w:rtl/>
              </w:rPr>
              <w:t>متوسط درجات ليكرت</w:t>
            </w:r>
          </w:p>
        </w:tc>
      </w:tr>
    </w:tbl>
    <w:p w14:paraId="38A69441"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12" w:name="_Toc234607907"/>
      <w:r w:rsidRPr="003C40F2">
        <w:rPr>
          <w:rFonts w:ascii="Simplified Arabic" w:eastAsia="Times New Roman" w:hAnsi="Simplified Arabic" w:cs="Simplified Arabic"/>
          <w:b/>
          <w:bCs/>
          <w:kern w:val="36"/>
          <w:sz w:val="24"/>
          <w:szCs w:val="24"/>
        </w:rPr>
        <w:t xml:space="preserve">3.5 </w:t>
      </w:r>
      <w:r w:rsidRPr="003C40F2">
        <w:rPr>
          <w:rFonts w:ascii="Simplified Arabic" w:eastAsia="Times New Roman" w:hAnsi="Simplified Arabic" w:cs="Simplified Arabic"/>
          <w:b/>
          <w:bCs/>
          <w:kern w:val="36"/>
          <w:sz w:val="24"/>
          <w:szCs w:val="24"/>
          <w:rtl/>
        </w:rPr>
        <w:t>مجتمع الدراسة</w:t>
      </w:r>
      <w:bookmarkEnd w:id="12"/>
    </w:p>
    <w:p w14:paraId="78F00509" w14:textId="77777777" w:rsidR="00307DFD" w:rsidRPr="00307DFD" w:rsidRDefault="00307DFD" w:rsidP="00307DFD">
      <w:pPr>
        <w:bidi/>
        <w:spacing w:before="100" w:beforeAutospacing="1" w:after="100" w:afterAutospacing="1" w:line="240" w:lineRule="auto"/>
        <w:jc w:val="lowKashida"/>
        <w:rPr>
          <w:rFonts w:ascii="Simplified Arabic" w:eastAsia="Times New Roman" w:hAnsi="Simplified Arabic" w:cs="Simplified Arabic"/>
          <w:color w:val="C00000"/>
          <w:sz w:val="24"/>
          <w:szCs w:val="24"/>
        </w:rPr>
      </w:pPr>
      <w:r w:rsidRPr="00307DFD">
        <w:rPr>
          <w:rFonts w:ascii="Simplified Arabic" w:eastAsia="Times New Roman" w:hAnsi="Simplified Arabic" w:cs="Simplified Arabic"/>
          <w:color w:val="C00000"/>
          <w:sz w:val="24"/>
          <w:szCs w:val="24"/>
          <w:rtl/>
        </w:rPr>
        <w:t>يتكون مجتمع الدراسة المستهدف من العاملين والمسؤولين والخبراء في الجهات الحكومية والقطاع الخاص ذات العلاقة المباشرة بالشراكات بين القطاعين العام والخاص في قطاع البيئة، وأعمال التفتيش البيئي، والحوكمة البيئية وإدارة الأداء في المملكة العربية السعودية</w:t>
      </w:r>
      <w:r w:rsidRPr="00307DFD">
        <w:rPr>
          <w:rFonts w:ascii="Simplified Arabic" w:eastAsia="Times New Roman" w:hAnsi="Simplified Arabic" w:cs="Simplified Arabic"/>
          <w:color w:val="C00000"/>
          <w:sz w:val="24"/>
          <w:szCs w:val="24"/>
        </w:rPr>
        <w:t>.</w:t>
      </w:r>
    </w:p>
    <w:p w14:paraId="2AFE1AD0" w14:textId="77777777" w:rsidR="00307DFD" w:rsidRPr="00307DFD" w:rsidRDefault="00307DFD" w:rsidP="00307DFD">
      <w:pPr>
        <w:bidi/>
        <w:spacing w:before="100" w:beforeAutospacing="1" w:after="100" w:afterAutospacing="1" w:line="240" w:lineRule="auto"/>
        <w:jc w:val="lowKashida"/>
        <w:rPr>
          <w:rFonts w:ascii="Simplified Arabic" w:eastAsia="Times New Roman" w:hAnsi="Simplified Arabic" w:cs="Simplified Arabic"/>
          <w:color w:val="C00000"/>
          <w:sz w:val="24"/>
          <w:szCs w:val="24"/>
        </w:rPr>
      </w:pPr>
      <w:r w:rsidRPr="00307DFD">
        <w:rPr>
          <w:rFonts w:ascii="Simplified Arabic" w:eastAsia="Times New Roman" w:hAnsi="Simplified Arabic" w:cs="Simplified Arabic"/>
          <w:color w:val="C00000"/>
          <w:sz w:val="24"/>
          <w:szCs w:val="24"/>
          <w:rtl/>
        </w:rPr>
        <w:t>ويشمل المجتمع الفئات التي تتوافر لديها خبرة أو معرفة مباشرة بالتخطيط أو التنفيذ أو الإشراف أو الرقابة أو إدارة الشراكات البيئية وأعمال التفتيش البيئي، ومن ذلك المسؤولون والمشرفون والعاملون في الجهات الحكومية ذات العلاقة، والعاملون في الشركات والمؤسسات الخاصة المشاركة في تقديم أو تنفيذ الخدمات البيئية</w:t>
      </w:r>
      <w:r w:rsidRPr="00307DFD">
        <w:rPr>
          <w:rFonts w:ascii="Simplified Arabic" w:eastAsia="Times New Roman" w:hAnsi="Simplified Arabic" w:cs="Simplified Arabic"/>
          <w:color w:val="C00000"/>
          <w:sz w:val="24"/>
          <w:szCs w:val="24"/>
        </w:rPr>
        <w:t>.</w:t>
      </w:r>
    </w:p>
    <w:p w14:paraId="02671205" w14:textId="26F6090B" w:rsidR="009A7534" w:rsidRDefault="00307DFD" w:rsidP="00307DFD">
      <w:pPr>
        <w:bidi/>
        <w:spacing w:before="100" w:beforeAutospacing="1" w:after="100" w:afterAutospacing="1" w:line="240" w:lineRule="auto"/>
        <w:jc w:val="lowKashida"/>
        <w:rPr>
          <w:rFonts w:ascii="Simplified Arabic" w:eastAsia="Times New Roman" w:hAnsi="Simplified Arabic" w:cs="Simplified Arabic"/>
          <w:color w:val="C00000"/>
          <w:sz w:val="24"/>
          <w:szCs w:val="24"/>
        </w:rPr>
      </w:pPr>
      <w:r w:rsidRPr="00307DFD">
        <w:rPr>
          <w:rFonts w:ascii="Simplified Arabic" w:eastAsia="Times New Roman" w:hAnsi="Simplified Arabic" w:cs="Simplified Arabic"/>
          <w:color w:val="C00000"/>
          <w:sz w:val="24"/>
          <w:szCs w:val="24"/>
          <w:rtl/>
        </w:rPr>
        <w:t>ويقتصر إدراج المشارك في الدراسة على من تتوافر لديه خبرة عملية أو معرفة مباشرة بمجال الدراسة، بما يضمن قدرة أفراد العينة على تقديم استجابات مرتبطة بموضوع الشراكات والحوكمة والتفتيش البيئي</w:t>
      </w:r>
      <w:r w:rsidR="009A7534" w:rsidRPr="00307DFD">
        <w:rPr>
          <w:rFonts w:ascii="Simplified Arabic" w:eastAsia="Times New Roman" w:hAnsi="Simplified Arabic" w:cs="Simplified Arabic"/>
          <w:color w:val="C00000"/>
          <w:sz w:val="24"/>
          <w:szCs w:val="24"/>
        </w:rPr>
        <w:t>.</w:t>
      </w:r>
    </w:p>
    <w:p w14:paraId="4C7E5383" w14:textId="77777777" w:rsidR="00AA0C2D" w:rsidRDefault="00AA0C2D" w:rsidP="00AA0C2D">
      <w:pPr>
        <w:bidi/>
        <w:spacing w:before="100" w:beforeAutospacing="1" w:after="100" w:afterAutospacing="1" w:line="240" w:lineRule="auto"/>
        <w:jc w:val="lowKashida"/>
        <w:rPr>
          <w:rFonts w:ascii="Simplified Arabic" w:eastAsia="Times New Roman" w:hAnsi="Simplified Arabic" w:cs="Simplified Arabic"/>
          <w:color w:val="C00000"/>
          <w:sz w:val="24"/>
          <w:szCs w:val="24"/>
        </w:rPr>
      </w:pPr>
    </w:p>
    <w:p w14:paraId="0A820687" w14:textId="77777777" w:rsidR="00AA0C2D" w:rsidRPr="00307DFD" w:rsidRDefault="00AA0C2D" w:rsidP="00AA0C2D">
      <w:pPr>
        <w:bidi/>
        <w:spacing w:before="100" w:beforeAutospacing="1" w:after="100" w:afterAutospacing="1" w:line="240" w:lineRule="auto"/>
        <w:jc w:val="lowKashida"/>
        <w:rPr>
          <w:rFonts w:ascii="Simplified Arabic" w:eastAsia="Times New Roman" w:hAnsi="Simplified Arabic" w:cs="Simplified Arabic"/>
          <w:color w:val="C00000"/>
          <w:sz w:val="24"/>
          <w:szCs w:val="24"/>
        </w:rPr>
      </w:pPr>
    </w:p>
    <w:p w14:paraId="2D725255"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lastRenderedPageBreak/>
        <w:t xml:space="preserve"> </w:t>
      </w:r>
      <w:bookmarkStart w:id="13" w:name="_Toc234607908"/>
      <w:r w:rsidRPr="003C40F2">
        <w:rPr>
          <w:rFonts w:ascii="Simplified Arabic" w:eastAsia="Times New Roman" w:hAnsi="Simplified Arabic" w:cs="Simplified Arabic"/>
          <w:b/>
          <w:bCs/>
          <w:kern w:val="36"/>
          <w:sz w:val="24"/>
          <w:szCs w:val="24"/>
        </w:rPr>
        <w:t xml:space="preserve">3.6 </w:t>
      </w:r>
      <w:r w:rsidRPr="003C40F2">
        <w:rPr>
          <w:rFonts w:ascii="Simplified Arabic" w:eastAsia="Times New Roman" w:hAnsi="Simplified Arabic" w:cs="Simplified Arabic"/>
          <w:b/>
          <w:bCs/>
          <w:kern w:val="36"/>
          <w:sz w:val="24"/>
          <w:szCs w:val="24"/>
          <w:rtl/>
        </w:rPr>
        <w:t>وحدة التحليل</w:t>
      </w:r>
      <w:bookmarkEnd w:id="13"/>
    </w:p>
    <w:p w14:paraId="6EFF2362" w14:textId="77777777" w:rsidR="00307DFD" w:rsidRPr="00307DFD" w:rsidRDefault="00307DFD" w:rsidP="00307DFD">
      <w:pPr>
        <w:bidi/>
        <w:spacing w:before="100" w:beforeAutospacing="1" w:after="100" w:afterAutospacing="1" w:line="240" w:lineRule="auto"/>
        <w:jc w:val="lowKashida"/>
        <w:rPr>
          <w:rFonts w:ascii="Simplified Arabic" w:eastAsia="Times New Roman" w:hAnsi="Simplified Arabic" w:cs="Simplified Arabic"/>
          <w:color w:val="C00000"/>
          <w:sz w:val="24"/>
          <w:szCs w:val="24"/>
        </w:rPr>
      </w:pPr>
      <w:r w:rsidRPr="00307DFD">
        <w:rPr>
          <w:rFonts w:ascii="Simplified Arabic" w:eastAsia="Times New Roman" w:hAnsi="Simplified Arabic" w:cs="Simplified Arabic"/>
          <w:color w:val="C00000"/>
          <w:sz w:val="24"/>
          <w:szCs w:val="24"/>
          <w:rtl/>
        </w:rPr>
        <w:t xml:space="preserve">تتمثل وحدة التحليل الأساسية في الدراسة في </w:t>
      </w:r>
      <w:r w:rsidRPr="00307DFD">
        <w:rPr>
          <w:rFonts w:ascii="Simplified Arabic" w:eastAsia="Times New Roman" w:hAnsi="Simplified Arabic" w:cs="Simplified Arabic"/>
          <w:b/>
          <w:bCs/>
          <w:color w:val="C00000"/>
          <w:sz w:val="24"/>
          <w:szCs w:val="24"/>
          <w:rtl/>
        </w:rPr>
        <w:t>الفرد المستجيب</w:t>
      </w:r>
      <w:r w:rsidRPr="00307DFD">
        <w:rPr>
          <w:rFonts w:ascii="Simplified Arabic" w:eastAsia="Times New Roman" w:hAnsi="Simplified Arabic" w:cs="Simplified Arabic"/>
          <w:color w:val="C00000"/>
          <w:sz w:val="24"/>
          <w:szCs w:val="24"/>
          <w:rtl/>
        </w:rPr>
        <w:t xml:space="preserve"> من العاملين والمسؤولين والخبراء الذين تتوافر لديهم معرفة أو خبرة مباشرة بالشراكات بين القطاعين العام والخاص أو أعمال التفتيش البيئي أو الحوكمة البيئية وإدارة الأداء. ويُنظر إلى استجابات هؤلاء الأفراد باعتبارها الأساس في قياس متغيرات الدراسة واختبار فرضياتها</w:t>
      </w:r>
      <w:r w:rsidRPr="00307DFD">
        <w:rPr>
          <w:rFonts w:ascii="Simplified Arabic" w:eastAsia="Times New Roman" w:hAnsi="Simplified Arabic" w:cs="Simplified Arabic"/>
          <w:color w:val="C00000"/>
          <w:sz w:val="24"/>
          <w:szCs w:val="24"/>
        </w:rPr>
        <w:t>.</w:t>
      </w:r>
    </w:p>
    <w:p w14:paraId="15CD5C13" w14:textId="6AF6055F" w:rsidR="001A3ABE" w:rsidRPr="00307DFD" w:rsidRDefault="00307DFD" w:rsidP="00307DFD">
      <w:pPr>
        <w:bidi/>
        <w:spacing w:before="100" w:beforeAutospacing="1" w:after="100" w:afterAutospacing="1" w:line="240" w:lineRule="auto"/>
        <w:jc w:val="lowKashida"/>
        <w:rPr>
          <w:rFonts w:ascii="Simplified Arabic" w:eastAsia="Times New Roman" w:hAnsi="Simplified Arabic" w:cs="Simplified Arabic"/>
          <w:color w:val="C00000"/>
          <w:sz w:val="24"/>
          <w:szCs w:val="24"/>
          <w:rtl/>
        </w:rPr>
      </w:pPr>
      <w:r w:rsidRPr="00307DFD">
        <w:rPr>
          <w:rFonts w:ascii="Simplified Arabic" w:eastAsia="Times New Roman" w:hAnsi="Simplified Arabic" w:cs="Simplified Arabic"/>
          <w:color w:val="C00000"/>
          <w:sz w:val="24"/>
          <w:szCs w:val="24"/>
          <w:rtl/>
        </w:rPr>
        <w:t>أما الوثائق والتقارير والأنظمة الرسمية فتُعد وحدات ملاحظة مساندة وليست وحدات تحليل أساسية، ويقتصر استخدامها على استخلاص المؤشرات والمعلومات التنظيمية ذات الصلة، وتفسير النتائج الميدانية ودعم بناء النموذج المقترح. وبذلك يتم الفصل منهجيًا بين وحدة التحليل الأساسية المتمثلة في الفرد، ومصادر البيانات المساندة المتمثلة في الوثائق الرسمية</w:t>
      </w:r>
      <w:r w:rsidR="001A3ABE" w:rsidRPr="00307DFD">
        <w:rPr>
          <w:rFonts w:ascii="Simplified Arabic" w:eastAsia="Times New Roman" w:hAnsi="Simplified Arabic" w:cs="Simplified Arabic"/>
          <w:color w:val="C00000"/>
          <w:sz w:val="24"/>
          <w:szCs w:val="24"/>
        </w:rPr>
        <w:t>.</w:t>
      </w:r>
    </w:p>
    <w:p w14:paraId="02520C8A"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14" w:name="_Toc234607909"/>
      <w:r w:rsidRPr="00781884">
        <w:rPr>
          <w:rFonts w:ascii="Simplified Arabic" w:eastAsia="Times New Roman" w:hAnsi="Simplified Arabic" w:cs="Simplified Arabic"/>
          <w:b/>
          <w:bCs/>
          <w:kern w:val="36"/>
          <w:sz w:val="24"/>
          <w:szCs w:val="24"/>
          <w:highlight w:val="yellow"/>
        </w:rPr>
        <w:t xml:space="preserve">3.7 </w:t>
      </w:r>
      <w:r w:rsidRPr="00781884">
        <w:rPr>
          <w:rFonts w:ascii="Simplified Arabic" w:eastAsia="Times New Roman" w:hAnsi="Simplified Arabic" w:cs="Simplified Arabic"/>
          <w:b/>
          <w:bCs/>
          <w:kern w:val="36"/>
          <w:sz w:val="24"/>
          <w:szCs w:val="24"/>
          <w:highlight w:val="yellow"/>
          <w:rtl/>
        </w:rPr>
        <w:t>عينة الدراسة</w:t>
      </w:r>
      <w:bookmarkEnd w:id="14"/>
    </w:p>
    <w:p w14:paraId="37F4E883" w14:textId="77777777" w:rsidR="00307DFD" w:rsidRPr="00307DFD" w:rsidRDefault="00307DFD" w:rsidP="00307DFD">
      <w:pPr>
        <w:bidi/>
        <w:spacing w:before="100" w:beforeAutospacing="1" w:after="100" w:afterAutospacing="1" w:line="240" w:lineRule="auto"/>
        <w:jc w:val="lowKashida"/>
        <w:rPr>
          <w:rFonts w:ascii="Simplified Arabic" w:eastAsia="Times New Roman" w:hAnsi="Simplified Arabic" w:cs="Simplified Arabic"/>
          <w:color w:val="C00000"/>
          <w:sz w:val="24"/>
          <w:szCs w:val="24"/>
        </w:rPr>
      </w:pPr>
      <w:r w:rsidRPr="00307DFD">
        <w:rPr>
          <w:rFonts w:ascii="Simplified Arabic" w:eastAsia="Times New Roman" w:hAnsi="Simplified Arabic" w:cs="Simplified Arabic"/>
          <w:color w:val="C00000"/>
          <w:sz w:val="24"/>
          <w:szCs w:val="24"/>
          <w:rtl/>
        </w:rPr>
        <w:t xml:space="preserve">اعتمدت الدراسة على </w:t>
      </w:r>
      <w:r w:rsidRPr="00307DFD">
        <w:rPr>
          <w:rFonts w:ascii="Simplified Arabic" w:eastAsia="Times New Roman" w:hAnsi="Simplified Arabic" w:cs="Simplified Arabic"/>
          <w:b/>
          <w:bCs/>
          <w:color w:val="C00000"/>
          <w:sz w:val="24"/>
          <w:szCs w:val="24"/>
          <w:rtl/>
        </w:rPr>
        <w:t>العينة القصدية من ذوي الخبرة</w:t>
      </w:r>
      <w:r w:rsidRPr="00307DFD">
        <w:rPr>
          <w:rFonts w:ascii="Simplified Arabic" w:eastAsia="Times New Roman" w:hAnsi="Simplified Arabic" w:cs="Simplified Arabic"/>
          <w:color w:val="C00000"/>
          <w:sz w:val="24"/>
          <w:szCs w:val="24"/>
          <w:rtl/>
        </w:rPr>
        <w:t>، وذلك لخصوصية موضوع الدراسة وحاجته إلى مشاركين لديهم معرفة أو خبرة مباشرة بالشراكات بين القطاعين العام والخاص أو التفتيش البيئي أو الحوكمة البيئية وإدارة الأداء. ويشمل اختيار أفراد العينة ممثلين من الجهات الحكومية والقطاع الخاص ذات الصلة بموضوع الدراسة</w:t>
      </w:r>
      <w:r w:rsidRPr="00307DFD">
        <w:rPr>
          <w:rFonts w:ascii="Simplified Arabic" w:eastAsia="Times New Roman" w:hAnsi="Simplified Arabic" w:cs="Simplified Arabic"/>
          <w:color w:val="C00000"/>
          <w:sz w:val="24"/>
          <w:szCs w:val="24"/>
        </w:rPr>
        <w:t>.</w:t>
      </w:r>
    </w:p>
    <w:p w14:paraId="4988B5DE" w14:textId="77777777" w:rsidR="00307DFD" w:rsidRPr="00307DFD" w:rsidRDefault="00307DFD" w:rsidP="00307DFD">
      <w:pPr>
        <w:bidi/>
        <w:spacing w:before="100" w:beforeAutospacing="1" w:after="100" w:afterAutospacing="1" w:line="240" w:lineRule="auto"/>
        <w:jc w:val="lowKashida"/>
        <w:rPr>
          <w:rFonts w:ascii="Simplified Arabic" w:eastAsia="Times New Roman" w:hAnsi="Simplified Arabic" w:cs="Simplified Arabic"/>
          <w:color w:val="C00000"/>
          <w:sz w:val="24"/>
          <w:szCs w:val="24"/>
        </w:rPr>
      </w:pPr>
      <w:r w:rsidRPr="00307DFD">
        <w:rPr>
          <w:rFonts w:ascii="Simplified Arabic" w:eastAsia="Times New Roman" w:hAnsi="Simplified Arabic" w:cs="Simplified Arabic"/>
          <w:color w:val="C00000"/>
          <w:sz w:val="24"/>
          <w:szCs w:val="24"/>
          <w:rtl/>
        </w:rPr>
        <w:t>وقد بلغ الحجم المستهدف للعينة (260) مفردة، بواقع (170) مفردة من الجهات الحكومية و(90) مفردة من القطاع الخاص، بما يمثل نسبتي (65.4%) و(34.6%) على التوالي</w:t>
      </w:r>
      <w:r w:rsidRPr="00307DFD">
        <w:rPr>
          <w:rFonts w:ascii="Simplified Arabic" w:eastAsia="Times New Roman" w:hAnsi="Simplified Arabic" w:cs="Simplified Arabic"/>
          <w:color w:val="C00000"/>
          <w:sz w:val="24"/>
          <w:szCs w:val="24"/>
        </w:rPr>
        <w:t>.</w:t>
      </w:r>
    </w:p>
    <w:p w14:paraId="2AB2A239" w14:textId="6A312535" w:rsidR="00586366" w:rsidRPr="00307DFD" w:rsidRDefault="00307DFD" w:rsidP="00307DFD">
      <w:pPr>
        <w:bidi/>
        <w:spacing w:before="100" w:beforeAutospacing="1" w:after="100" w:afterAutospacing="1" w:line="240" w:lineRule="auto"/>
        <w:jc w:val="lowKashida"/>
        <w:rPr>
          <w:rFonts w:ascii="Simplified Arabic" w:eastAsia="Times New Roman" w:hAnsi="Simplified Arabic" w:cs="Simplified Arabic"/>
          <w:color w:val="C00000"/>
          <w:sz w:val="24"/>
          <w:szCs w:val="24"/>
        </w:rPr>
      </w:pPr>
      <w:r w:rsidRPr="00307DFD">
        <w:rPr>
          <w:rFonts w:ascii="Simplified Arabic" w:eastAsia="Times New Roman" w:hAnsi="Simplified Arabic" w:cs="Simplified Arabic"/>
          <w:color w:val="C00000"/>
          <w:sz w:val="24"/>
          <w:szCs w:val="24"/>
          <w:rtl/>
        </w:rPr>
        <w:t>ويراعى عند اختيار أفراد العينة استيفاء معايير الإدراج المتمثلة في: الارتباط المباشر بمجال البيئة أو التفتيش البيئي أو الشراكات بين القطاعين العام والخاص، وامتلاك خبرة أو معرفة عملية ذات صلة بموضوع الدراسة، والموافقة على المشاركة في الدراسة. كما تستبعد الاستجابات التي لا تستوفي شروط المشاركة أو التي تكون غير مكتملة بدرجة تؤثر في صلاحيتها للتحليل الإحصائي</w:t>
      </w:r>
      <w:r w:rsidR="00586366" w:rsidRPr="00307DFD">
        <w:rPr>
          <w:rFonts w:ascii="Simplified Arabic" w:eastAsia="Times New Roman" w:hAnsi="Simplified Arabic" w:cs="Simplified Arabic"/>
          <w:color w:val="C00000"/>
          <w:sz w:val="24"/>
          <w:szCs w:val="24"/>
        </w:rPr>
        <w:t>.</w:t>
      </w:r>
    </w:p>
    <w:p w14:paraId="41EC72A0"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15" w:name="_Toc234607910"/>
      <w:r w:rsidRPr="003C40F2">
        <w:rPr>
          <w:rFonts w:ascii="Simplified Arabic" w:eastAsia="Times New Roman" w:hAnsi="Simplified Arabic" w:cs="Simplified Arabic"/>
          <w:b/>
          <w:bCs/>
          <w:sz w:val="24"/>
          <w:szCs w:val="24"/>
          <w:rtl/>
        </w:rPr>
        <w:t>جدول</w:t>
      </w:r>
      <w:r w:rsidRPr="003C40F2">
        <w:rPr>
          <w:rFonts w:ascii="Simplified Arabic" w:eastAsia="Times New Roman" w:hAnsi="Simplified Arabic" w:cs="Simplified Arabic"/>
          <w:b/>
          <w:bCs/>
          <w:sz w:val="24"/>
          <w:szCs w:val="24"/>
        </w:rPr>
        <w:t xml:space="preserve"> (3-3)</w:t>
      </w:r>
      <w:bookmarkEnd w:id="15"/>
    </w:p>
    <w:p w14:paraId="26F63B0B" w14:textId="77777777" w:rsidR="001A3ABE" w:rsidRPr="003C40F2"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16" w:name="_Toc234607911"/>
      <w:r w:rsidRPr="00781884">
        <w:rPr>
          <w:rFonts w:ascii="Simplified Arabic" w:eastAsia="Times New Roman" w:hAnsi="Simplified Arabic" w:cs="Simplified Arabic"/>
          <w:b/>
          <w:bCs/>
          <w:sz w:val="24"/>
          <w:szCs w:val="24"/>
          <w:highlight w:val="yellow"/>
          <w:rtl/>
        </w:rPr>
        <w:t>التوزيع المقترح لعينة الدراسة</w:t>
      </w:r>
      <w:bookmarkEnd w:id="16"/>
    </w:p>
    <w:tbl>
      <w:tblPr>
        <w:tblStyle w:val="TableGridLight"/>
        <w:bidiVisual/>
        <w:tblW w:w="0" w:type="auto"/>
        <w:jc w:val="center"/>
        <w:tblLook w:val="04A0" w:firstRow="1" w:lastRow="0" w:firstColumn="1" w:lastColumn="0" w:noHBand="0" w:noVBand="1"/>
      </w:tblPr>
      <w:tblGrid>
        <w:gridCol w:w="1491"/>
        <w:gridCol w:w="621"/>
        <w:gridCol w:w="864"/>
      </w:tblGrid>
      <w:tr w:rsidR="001A3ABE" w:rsidRPr="003C40F2" w14:paraId="622A7708" w14:textId="77777777" w:rsidTr="00CC256A">
        <w:trPr>
          <w:jc w:val="center"/>
        </w:trPr>
        <w:tc>
          <w:tcPr>
            <w:tcW w:w="0" w:type="auto"/>
            <w:vAlign w:val="center"/>
            <w:hideMark/>
          </w:tcPr>
          <w:p w14:paraId="4F43E372" w14:textId="77777777" w:rsidR="001A3ABE" w:rsidRPr="003C40F2" w:rsidRDefault="001A3ABE" w:rsidP="00CC256A">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الفئة</w:t>
            </w:r>
          </w:p>
        </w:tc>
        <w:tc>
          <w:tcPr>
            <w:tcW w:w="0" w:type="auto"/>
            <w:vAlign w:val="center"/>
            <w:hideMark/>
          </w:tcPr>
          <w:p w14:paraId="7A796D11" w14:textId="77777777" w:rsidR="001A3ABE" w:rsidRPr="003C40F2" w:rsidRDefault="001A3ABE" w:rsidP="00CC256A">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العدد</w:t>
            </w:r>
          </w:p>
        </w:tc>
        <w:tc>
          <w:tcPr>
            <w:tcW w:w="0" w:type="auto"/>
            <w:vAlign w:val="center"/>
            <w:hideMark/>
          </w:tcPr>
          <w:p w14:paraId="1F5A3185" w14:textId="77777777" w:rsidR="001A3ABE" w:rsidRPr="003C40F2" w:rsidRDefault="001A3ABE" w:rsidP="00CC256A">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النسبة</w:t>
            </w:r>
          </w:p>
        </w:tc>
      </w:tr>
      <w:tr w:rsidR="001A3ABE" w:rsidRPr="003C40F2" w14:paraId="7788FA04" w14:textId="77777777" w:rsidTr="00CC256A">
        <w:trPr>
          <w:jc w:val="center"/>
        </w:trPr>
        <w:tc>
          <w:tcPr>
            <w:tcW w:w="0" w:type="auto"/>
            <w:vAlign w:val="center"/>
            <w:hideMark/>
          </w:tcPr>
          <w:p w14:paraId="12256532"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الجهات الحكومية</w:t>
            </w:r>
          </w:p>
        </w:tc>
        <w:tc>
          <w:tcPr>
            <w:tcW w:w="0" w:type="auto"/>
            <w:vAlign w:val="center"/>
            <w:hideMark/>
          </w:tcPr>
          <w:p w14:paraId="3FA7E93C"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Pr>
              <w:t>170</w:t>
            </w:r>
          </w:p>
        </w:tc>
        <w:tc>
          <w:tcPr>
            <w:tcW w:w="0" w:type="auto"/>
            <w:vAlign w:val="center"/>
            <w:hideMark/>
          </w:tcPr>
          <w:p w14:paraId="27AB73DF"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Pr>
              <w:t>65.4%</w:t>
            </w:r>
          </w:p>
        </w:tc>
      </w:tr>
      <w:tr w:rsidR="001A3ABE" w:rsidRPr="003C40F2" w14:paraId="09B37802" w14:textId="77777777" w:rsidTr="00CC256A">
        <w:trPr>
          <w:jc w:val="center"/>
        </w:trPr>
        <w:tc>
          <w:tcPr>
            <w:tcW w:w="0" w:type="auto"/>
            <w:vAlign w:val="center"/>
            <w:hideMark/>
          </w:tcPr>
          <w:p w14:paraId="5CEC5AA5"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القطاع الخاص</w:t>
            </w:r>
          </w:p>
        </w:tc>
        <w:tc>
          <w:tcPr>
            <w:tcW w:w="0" w:type="auto"/>
            <w:vAlign w:val="center"/>
            <w:hideMark/>
          </w:tcPr>
          <w:p w14:paraId="725E5B0F"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Pr>
              <w:t>90</w:t>
            </w:r>
          </w:p>
        </w:tc>
        <w:tc>
          <w:tcPr>
            <w:tcW w:w="0" w:type="auto"/>
            <w:vAlign w:val="center"/>
            <w:hideMark/>
          </w:tcPr>
          <w:p w14:paraId="28D8369A"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Pr>
              <w:t>34.6%</w:t>
            </w:r>
          </w:p>
        </w:tc>
      </w:tr>
      <w:tr w:rsidR="001A3ABE" w:rsidRPr="003C40F2" w14:paraId="28E93362" w14:textId="77777777" w:rsidTr="00CC256A">
        <w:trPr>
          <w:jc w:val="center"/>
        </w:trPr>
        <w:tc>
          <w:tcPr>
            <w:tcW w:w="0" w:type="auto"/>
            <w:vAlign w:val="center"/>
            <w:hideMark/>
          </w:tcPr>
          <w:p w14:paraId="450F91D5" w14:textId="5A420149" w:rsidR="001A3ABE" w:rsidRPr="003C40F2" w:rsidRDefault="001A3ABE" w:rsidP="00681DDF">
            <w:pPr>
              <w:bidi/>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tl/>
              </w:rPr>
              <w:t>الإجمالي</w:t>
            </w:r>
          </w:p>
        </w:tc>
        <w:tc>
          <w:tcPr>
            <w:tcW w:w="0" w:type="auto"/>
            <w:vAlign w:val="center"/>
            <w:hideMark/>
          </w:tcPr>
          <w:p w14:paraId="015A7F8F"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Pr>
              <w:t>260</w:t>
            </w:r>
          </w:p>
        </w:tc>
        <w:tc>
          <w:tcPr>
            <w:tcW w:w="0" w:type="auto"/>
            <w:vAlign w:val="center"/>
            <w:hideMark/>
          </w:tcPr>
          <w:p w14:paraId="07DC4900"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Pr>
              <w:t>100%</w:t>
            </w:r>
          </w:p>
        </w:tc>
      </w:tr>
    </w:tbl>
    <w:p w14:paraId="06445BA2" w14:textId="77777777" w:rsidR="00AA0C2D" w:rsidRDefault="001A3ABE" w:rsidP="00AA0C2D">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17" w:name="_Toc234607912"/>
    </w:p>
    <w:p w14:paraId="14BE8BA9" w14:textId="4629724D" w:rsidR="00AA0C2D" w:rsidRPr="003C40F2" w:rsidRDefault="00AA0C2D" w:rsidP="00AA0C2D">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lastRenderedPageBreak/>
        <w:t xml:space="preserve"> </w:t>
      </w:r>
      <w:r w:rsidR="001A3ABE" w:rsidRPr="003C40F2">
        <w:rPr>
          <w:rFonts w:ascii="Simplified Arabic" w:eastAsia="Times New Roman" w:hAnsi="Simplified Arabic" w:cs="Simplified Arabic"/>
          <w:b/>
          <w:bCs/>
          <w:kern w:val="36"/>
          <w:sz w:val="24"/>
          <w:szCs w:val="24"/>
        </w:rPr>
        <w:t xml:space="preserve">3.8 </w:t>
      </w:r>
      <w:r w:rsidR="001A3ABE" w:rsidRPr="003C40F2">
        <w:rPr>
          <w:rFonts w:ascii="Simplified Arabic" w:eastAsia="Times New Roman" w:hAnsi="Simplified Arabic" w:cs="Simplified Arabic"/>
          <w:b/>
          <w:bCs/>
          <w:kern w:val="36"/>
          <w:sz w:val="24"/>
          <w:szCs w:val="24"/>
          <w:rtl/>
        </w:rPr>
        <w:t>مصادر البيانات</w:t>
      </w:r>
      <w:bookmarkEnd w:id="17"/>
    </w:p>
    <w:p w14:paraId="5FAF123F" w14:textId="77777777" w:rsidR="001A3ABE" w:rsidRPr="003C40F2"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781884">
        <w:rPr>
          <w:rFonts w:ascii="Simplified Arabic" w:eastAsia="Times New Roman" w:hAnsi="Simplified Arabic" w:cs="Simplified Arabic"/>
          <w:sz w:val="24"/>
          <w:szCs w:val="24"/>
          <w:highlight w:val="yellow"/>
          <w:rtl/>
        </w:rPr>
        <w:t>اعتمدت الدراسة على مصدرين رئيسين للبيانات هما</w:t>
      </w:r>
      <w:r w:rsidRPr="00781884">
        <w:rPr>
          <w:rFonts w:ascii="Simplified Arabic" w:eastAsia="Times New Roman" w:hAnsi="Simplified Arabic" w:cs="Simplified Arabic"/>
          <w:sz w:val="24"/>
          <w:szCs w:val="24"/>
          <w:highlight w:val="yellow"/>
        </w:rPr>
        <w:t>:</w:t>
      </w:r>
    </w:p>
    <w:p w14:paraId="5A5BD669" w14:textId="77777777" w:rsidR="001A3ABE" w:rsidRPr="003C40F2" w:rsidRDefault="001A3ABE" w:rsidP="001A3ABE">
      <w:pPr>
        <w:numPr>
          <w:ilvl w:val="0"/>
          <w:numId w:val="42"/>
        </w:num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tl/>
        </w:rPr>
        <w:t>البيانات الأولية</w:t>
      </w:r>
      <w:r w:rsidRPr="003C40F2">
        <w:rPr>
          <w:rFonts w:ascii="Simplified Arabic" w:eastAsia="Times New Roman" w:hAnsi="Simplified Arabic" w:cs="Simplified Arabic"/>
          <w:sz w:val="24"/>
          <w:szCs w:val="24"/>
          <w:rtl/>
        </w:rPr>
        <w:t>، والتي سيتم جمعها من خلال الاستبانة الموجهة إلى أفراد عينة الدراسة</w:t>
      </w:r>
      <w:r w:rsidRPr="003C40F2">
        <w:rPr>
          <w:rFonts w:ascii="Simplified Arabic" w:eastAsia="Times New Roman" w:hAnsi="Simplified Arabic" w:cs="Simplified Arabic"/>
          <w:sz w:val="24"/>
          <w:szCs w:val="24"/>
        </w:rPr>
        <w:t>.</w:t>
      </w:r>
    </w:p>
    <w:p w14:paraId="2E6AD1AE" w14:textId="05C73F02" w:rsidR="000B6618" w:rsidRPr="00307DFD" w:rsidRDefault="001A3ABE" w:rsidP="00307DFD">
      <w:pPr>
        <w:numPr>
          <w:ilvl w:val="0"/>
          <w:numId w:val="42"/>
        </w:num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b/>
          <w:bCs/>
          <w:sz w:val="24"/>
          <w:szCs w:val="24"/>
          <w:rtl/>
        </w:rPr>
        <w:t>البيانات الثانوية</w:t>
      </w:r>
      <w:r w:rsidRPr="003C40F2">
        <w:rPr>
          <w:rFonts w:ascii="Simplified Arabic" w:eastAsia="Times New Roman" w:hAnsi="Simplified Arabic" w:cs="Simplified Arabic"/>
          <w:sz w:val="24"/>
          <w:szCs w:val="24"/>
          <w:rtl/>
        </w:rPr>
        <w:t>، والتي تشمل الكتب العلمية، والرسائل الجامعية، والدوريات المحكمة، والتقارير الرسمية، والأنظمة والتشريعات، والوثائق الصادرة عن الجهات الحكومية ذات العلاقة، بهدف بناء الإطار النظري، وتفسير النتائج، ودعم النموذج المقترح</w:t>
      </w:r>
      <w:r w:rsidRPr="003C40F2">
        <w:rPr>
          <w:rFonts w:ascii="Simplified Arabic" w:eastAsia="Times New Roman" w:hAnsi="Simplified Arabic" w:cs="Simplified Arabic"/>
          <w:sz w:val="24"/>
          <w:szCs w:val="24"/>
        </w:rPr>
        <w:t>.</w:t>
      </w:r>
    </w:p>
    <w:p w14:paraId="1DF0C385" w14:textId="77777777" w:rsidR="001A3ABE" w:rsidRPr="003C40F2" w:rsidRDefault="001A3ABE" w:rsidP="001A3ABE">
      <w:pPr>
        <w:bidi/>
        <w:spacing w:before="100" w:beforeAutospacing="1" w:after="100" w:afterAutospacing="1" w:line="240" w:lineRule="auto"/>
        <w:jc w:val="lowKashida"/>
        <w:outlineLvl w:val="0"/>
        <w:rPr>
          <w:rFonts w:ascii="Simplified Arabic" w:eastAsia="Times New Roman" w:hAnsi="Simplified Arabic" w:cs="Simplified Arabic"/>
          <w:b/>
          <w:bCs/>
          <w:kern w:val="36"/>
          <w:sz w:val="24"/>
          <w:szCs w:val="24"/>
        </w:rPr>
      </w:pPr>
      <w:r>
        <w:rPr>
          <w:rFonts w:ascii="Simplified Arabic" w:eastAsia="Times New Roman" w:hAnsi="Simplified Arabic" w:cs="Simplified Arabic"/>
          <w:b/>
          <w:bCs/>
          <w:kern w:val="36"/>
          <w:sz w:val="24"/>
          <w:szCs w:val="24"/>
        </w:rPr>
        <w:t xml:space="preserve"> </w:t>
      </w:r>
      <w:bookmarkStart w:id="18" w:name="_Toc234607913"/>
      <w:r w:rsidRPr="002A54A2">
        <w:rPr>
          <w:rFonts w:ascii="Simplified Arabic" w:eastAsia="Times New Roman" w:hAnsi="Simplified Arabic" w:cs="Simplified Arabic"/>
          <w:b/>
          <w:bCs/>
          <w:kern w:val="36"/>
          <w:sz w:val="24"/>
          <w:szCs w:val="24"/>
          <w:highlight w:val="yellow"/>
        </w:rPr>
        <w:t xml:space="preserve">3.9 </w:t>
      </w:r>
      <w:r w:rsidRPr="002A54A2">
        <w:rPr>
          <w:rFonts w:ascii="Simplified Arabic" w:eastAsia="Times New Roman" w:hAnsi="Simplified Arabic" w:cs="Simplified Arabic"/>
          <w:b/>
          <w:bCs/>
          <w:kern w:val="36"/>
          <w:sz w:val="24"/>
          <w:szCs w:val="24"/>
          <w:highlight w:val="yellow"/>
          <w:rtl/>
        </w:rPr>
        <w:t>أدوات جمع البيانات</w:t>
      </w:r>
      <w:bookmarkEnd w:id="18"/>
    </w:p>
    <w:p w14:paraId="38898ADA" w14:textId="77777777" w:rsidR="001A3ABE" w:rsidRPr="003C40F2"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اعتمدت الدراسة على الاستبانة باعتبارها الأداة الرئيسة لجمع البيانات، نظراً لقدرتها على جمع البيانات من عدد كبير من المبحوثين بطريقة موحدة ومنظمة، كما اعتمدت على تحليل الوثائق والتقارير الرسمية بوصفها أداة مساندة للاستفادة من البيانات التنظيمية والمؤشرات الرسمية المتعلقة بقطاع البيئة والتفتيش البيئي</w:t>
      </w:r>
      <w:r w:rsidRPr="003C40F2">
        <w:rPr>
          <w:rFonts w:ascii="Simplified Arabic" w:eastAsia="Times New Roman" w:hAnsi="Simplified Arabic" w:cs="Simplified Arabic"/>
          <w:sz w:val="24"/>
          <w:szCs w:val="24"/>
        </w:rPr>
        <w:t>.</w:t>
      </w:r>
    </w:p>
    <w:p w14:paraId="1EB0F2EA" w14:textId="77777777" w:rsidR="001A3ABE" w:rsidRDefault="001A3ABE" w:rsidP="001A3ABE">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19" w:name="_Toc234607915"/>
      <w:r w:rsidRPr="003C40F2">
        <w:rPr>
          <w:rFonts w:ascii="Simplified Arabic" w:eastAsia="Times New Roman" w:hAnsi="Simplified Arabic" w:cs="Simplified Arabic"/>
          <w:b/>
          <w:bCs/>
          <w:sz w:val="24"/>
          <w:szCs w:val="24"/>
          <w:rtl/>
        </w:rPr>
        <w:t>أدوات جمع البيانات ودور كل أداة</w:t>
      </w:r>
      <w:bookmarkEnd w:id="19"/>
    </w:p>
    <w:p w14:paraId="10797238" w14:textId="77777777" w:rsidR="00C17E96" w:rsidRPr="00471D96" w:rsidRDefault="00C17E96" w:rsidP="00C17E96">
      <w:pPr>
        <w:bidi/>
        <w:spacing w:line="240" w:lineRule="auto"/>
        <w:jc w:val="lowKashida"/>
        <w:rPr>
          <w:rFonts w:ascii="Simplified Arabic" w:hAnsi="Simplified Arabic" w:cs="Simplified Arabic"/>
          <w:sz w:val="24"/>
          <w:szCs w:val="24"/>
          <w:rtl/>
        </w:rPr>
      </w:pPr>
      <w:r w:rsidRPr="00471D96">
        <w:rPr>
          <w:rFonts w:ascii="Simplified Arabic" w:hAnsi="Simplified Arabic" w:cs="Simplified Arabic"/>
          <w:sz w:val="24"/>
          <w:szCs w:val="24"/>
          <w:rtl/>
        </w:rPr>
        <w:t>اعتمدت الدراسة على أكثر من مصدر لجمع البيانات، حيث استخدمت الاستبانة بوصفها الأداة الرئيسة لقياس متغيرات الدراسة واختبار فرضياتها، في حين استخدم تحليل الوثائق والتقارير الرسمية بوصفه أداة مساندة لتفسير النتائج والتحقق من مدى توافقها مع المؤشرات الرسمية والسياسات البيئية المعمول بها في المملكة العربية السعودية، كما استفيد من الدراسات السابقة في بناء النموذج المفاهيمي وتطوير أداة الدراسة</w:t>
      </w:r>
      <w:r w:rsidRPr="00471D96">
        <w:rPr>
          <w:rFonts w:ascii="Simplified Arabic" w:hAnsi="Simplified Arabic" w:cs="Simplified Arabic"/>
          <w:sz w:val="24"/>
          <w:szCs w:val="24"/>
        </w:rPr>
        <w:t>.</w:t>
      </w:r>
    </w:p>
    <w:p w14:paraId="1E1F8F75" w14:textId="0DCD94F7" w:rsidR="00C17E96" w:rsidRPr="002A54A2" w:rsidRDefault="004B7AF1" w:rsidP="00C17E96">
      <w:pPr>
        <w:bidi/>
        <w:spacing w:line="240" w:lineRule="auto"/>
        <w:jc w:val="lowKashida"/>
        <w:rPr>
          <w:rFonts w:ascii="Simplified Arabic" w:hAnsi="Simplified Arabic" w:cs="Simplified Arabic"/>
          <w:b/>
          <w:bCs/>
          <w:sz w:val="24"/>
          <w:szCs w:val="24"/>
          <w:highlight w:val="yellow"/>
          <w:rtl/>
        </w:rPr>
      </w:pPr>
      <w:r>
        <w:rPr>
          <w:rFonts w:ascii="Simplified Arabic" w:hAnsi="Simplified Arabic" w:cs="Simplified Arabic"/>
          <w:b/>
          <w:bCs/>
          <w:sz w:val="24"/>
          <w:szCs w:val="24"/>
        </w:rPr>
        <w:t xml:space="preserve"> </w:t>
      </w:r>
      <w:r w:rsidR="00C17E96" w:rsidRPr="002A54A2">
        <w:rPr>
          <w:rFonts w:ascii="Simplified Arabic" w:hAnsi="Simplified Arabic" w:cs="Simplified Arabic"/>
          <w:b/>
          <w:bCs/>
          <w:sz w:val="24"/>
          <w:szCs w:val="24"/>
          <w:highlight w:val="yellow"/>
        </w:rPr>
        <w:t xml:space="preserve">3.9.1 </w:t>
      </w:r>
      <w:r w:rsidR="00C17E96" w:rsidRPr="002A54A2">
        <w:rPr>
          <w:rFonts w:ascii="Simplified Arabic" w:hAnsi="Simplified Arabic" w:cs="Simplified Arabic"/>
          <w:b/>
          <w:bCs/>
          <w:sz w:val="24"/>
          <w:szCs w:val="24"/>
          <w:highlight w:val="yellow"/>
          <w:rtl/>
        </w:rPr>
        <w:t>بروتوكول تحليل الوثائق</w:t>
      </w:r>
    </w:p>
    <w:p w14:paraId="44D74793" w14:textId="77777777" w:rsidR="00307DFD" w:rsidRPr="00307DFD" w:rsidRDefault="00307DFD" w:rsidP="00307DFD">
      <w:pPr>
        <w:bidi/>
        <w:spacing w:line="240" w:lineRule="auto"/>
        <w:jc w:val="lowKashida"/>
        <w:rPr>
          <w:rFonts w:ascii="Simplified Arabic" w:hAnsi="Simplified Arabic" w:cs="Simplified Arabic"/>
          <w:color w:val="C00000"/>
          <w:sz w:val="24"/>
          <w:szCs w:val="24"/>
        </w:rPr>
      </w:pPr>
      <w:r w:rsidRPr="00307DFD">
        <w:rPr>
          <w:rFonts w:ascii="Simplified Arabic" w:hAnsi="Simplified Arabic" w:cs="Simplified Arabic"/>
          <w:color w:val="C00000"/>
          <w:sz w:val="24"/>
          <w:szCs w:val="24"/>
          <w:rtl/>
        </w:rPr>
        <w:t>سيتم تحليل الوثائق الرسمية وفق بروتوكول منهجي يهدف إلى استخلاص المعلومات والمؤشرات المرتبطة بالشراكات بين القطاعين العام والخاص والحوكمة البيئية وإدارة الأداء في مجال التفتيش البيئي. وتشمل الوثائق المستهدفة الأنظمة واللوائح والأدلة التنظيمية والتقارير الرسمية والإحصاءات والمؤشرات المنشورة من الجهات الحكومية السعودية ذات العلاقة بالبيئة والتفتيش البيئي والشراكات بين القطاعين العام والخاص</w:t>
      </w:r>
      <w:r w:rsidRPr="00307DFD">
        <w:rPr>
          <w:rFonts w:ascii="Simplified Arabic" w:hAnsi="Simplified Arabic" w:cs="Simplified Arabic"/>
          <w:color w:val="C00000"/>
          <w:sz w:val="24"/>
          <w:szCs w:val="24"/>
        </w:rPr>
        <w:t>.</w:t>
      </w:r>
    </w:p>
    <w:p w14:paraId="11E1994A" w14:textId="77777777" w:rsidR="00307DFD" w:rsidRPr="00307DFD" w:rsidRDefault="00307DFD" w:rsidP="00307DFD">
      <w:pPr>
        <w:bidi/>
        <w:spacing w:line="240" w:lineRule="auto"/>
        <w:jc w:val="lowKashida"/>
        <w:rPr>
          <w:rFonts w:ascii="Simplified Arabic" w:hAnsi="Simplified Arabic" w:cs="Simplified Arabic"/>
          <w:color w:val="C00000"/>
          <w:sz w:val="24"/>
          <w:szCs w:val="24"/>
        </w:rPr>
      </w:pPr>
      <w:r w:rsidRPr="00307DFD">
        <w:rPr>
          <w:rFonts w:ascii="Simplified Arabic" w:hAnsi="Simplified Arabic" w:cs="Simplified Arabic"/>
          <w:color w:val="C00000"/>
          <w:sz w:val="24"/>
          <w:szCs w:val="24"/>
          <w:rtl/>
        </w:rPr>
        <w:t>وسيتم اختيار الوثائق وفق مجموعة من المعايير، تتمثل في: ارتباط الوثيقة المباشر بموضوع الدراسة، وصدورها عن جهة رسمية أو مصدر مؤسسي موثوق، ووضوح تاريخ إصدارها أو تحديثها، واحتوائها على معلومات أو مؤشرات ذات صلة بمتغيرات الدراسة، وإمكانية التحقق من مصدرها ومحتواها</w:t>
      </w:r>
      <w:r w:rsidRPr="00307DFD">
        <w:rPr>
          <w:rFonts w:ascii="Simplified Arabic" w:hAnsi="Simplified Arabic" w:cs="Simplified Arabic"/>
          <w:color w:val="C00000"/>
          <w:sz w:val="24"/>
          <w:szCs w:val="24"/>
        </w:rPr>
        <w:t>.</w:t>
      </w:r>
    </w:p>
    <w:p w14:paraId="16C258EB" w14:textId="77777777" w:rsidR="00307DFD" w:rsidRPr="00307DFD" w:rsidRDefault="00307DFD" w:rsidP="00307DFD">
      <w:pPr>
        <w:bidi/>
        <w:spacing w:line="240" w:lineRule="auto"/>
        <w:jc w:val="lowKashida"/>
        <w:rPr>
          <w:rFonts w:ascii="Simplified Arabic" w:hAnsi="Simplified Arabic" w:cs="Simplified Arabic"/>
          <w:color w:val="C00000"/>
          <w:sz w:val="24"/>
          <w:szCs w:val="24"/>
        </w:rPr>
      </w:pPr>
      <w:r w:rsidRPr="00307DFD">
        <w:rPr>
          <w:rFonts w:ascii="Simplified Arabic" w:hAnsi="Simplified Arabic" w:cs="Simplified Arabic"/>
          <w:color w:val="C00000"/>
          <w:sz w:val="24"/>
          <w:szCs w:val="24"/>
          <w:rtl/>
        </w:rPr>
        <w:t>وسيتم تحليل الوثائق من خلال تصنيف محتواها وفق فئات تحليل محددة تشمل: الإطار التشريعي والتنظيمي، توزيع الأدوار والمسؤوليات، التنسيق وتبادل المعلومات، إدارة الموارد والتمويل، الرقابة وإدارة المخاطر، الكفاءة التشغيلية، جودة الرقابة والامتثال، الشفافية والمساءلة، تحسين الأداء البيئي، والاستدامة المؤسسية</w:t>
      </w:r>
      <w:r w:rsidRPr="00307DFD">
        <w:rPr>
          <w:rFonts w:ascii="Simplified Arabic" w:hAnsi="Simplified Arabic" w:cs="Simplified Arabic"/>
          <w:color w:val="C00000"/>
          <w:sz w:val="24"/>
          <w:szCs w:val="24"/>
        </w:rPr>
        <w:t>.</w:t>
      </w:r>
    </w:p>
    <w:p w14:paraId="38D9E937" w14:textId="77777777" w:rsidR="00307DFD" w:rsidRPr="00307DFD" w:rsidRDefault="00307DFD" w:rsidP="00307DFD">
      <w:pPr>
        <w:bidi/>
        <w:spacing w:line="240" w:lineRule="auto"/>
        <w:jc w:val="lowKashida"/>
        <w:rPr>
          <w:rFonts w:ascii="Simplified Arabic" w:hAnsi="Simplified Arabic" w:cs="Simplified Arabic"/>
          <w:color w:val="C00000"/>
          <w:sz w:val="24"/>
          <w:szCs w:val="24"/>
        </w:rPr>
      </w:pPr>
      <w:r w:rsidRPr="00307DFD">
        <w:rPr>
          <w:rFonts w:ascii="Simplified Arabic" w:hAnsi="Simplified Arabic" w:cs="Simplified Arabic"/>
          <w:color w:val="C00000"/>
          <w:sz w:val="24"/>
          <w:szCs w:val="24"/>
          <w:rtl/>
        </w:rPr>
        <w:lastRenderedPageBreak/>
        <w:t>بعد ذلك يتم استخراج المؤشرات والمعلومات ذات الصلة وتسجيلها في مصفوفة تحليل وثائق تتضمن اسم الوثيقة، الجهة المصدرة، سنة الإصدار، موضوع الوثيقة، المؤشرات المستخلصة، والفئة التي تنتمي إليها. ثم تتم مقارنة النتائج المستخلصة من الوثائق مع النتائج الكمية للاستبانة بهدف تفسير النتائج ودعم بناء النموذج المقترح</w:t>
      </w:r>
      <w:r w:rsidRPr="00307DFD">
        <w:rPr>
          <w:rFonts w:ascii="Simplified Arabic" w:hAnsi="Simplified Arabic" w:cs="Simplified Arabic"/>
          <w:color w:val="C00000"/>
          <w:sz w:val="24"/>
          <w:szCs w:val="24"/>
        </w:rPr>
        <w:t>.</w:t>
      </w:r>
    </w:p>
    <w:p w14:paraId="7A39A4F0" w14:textId="237C0726" w:rsidR="00C17E96" w:rsidRPr="00307DFD" w:rsidRDefault="00307DFD" w:rsidP="00307DFD">
      <w:pPr>
        <w:bidi/>
        <w:spacing w:line="240" w:lineRule="auto"/>
        <w:jc w:val="lowKashida"/>
        <w:rPr>
          <w:rFonts w:ascii="Simplified Arabic" w:hAnsi="Simplified Arabic" w:cs="Simplified Arabic"/>
          <w:color w:val="C00000"/>
          <w:sz w:val="24"/>
          <w:szCs w:val="24"/>
        </w:rPr>
      </w:pPr>
      <w:r w:rsidRPr="00307DFD">
        <w:rPr>
          <w:rFonts w:ascii="Simplified Arabic" w:hAnsi="Simplified Arabic" w:cs="Simplified Arabic"/>
          <w:color w:val="C00000"/>
          <w:sz w:val="24"/>
          <w:szCs w:val="24"/>
          <w:rtl/>
        </w:rPr>
        <w:t>ولتعزيز موثوقية التحليل، سيتم التحقق من المعلومات من خلال مقارنة البيانات الواردة في أكثر من وثيقة رسمية عند توفرها، والرجوع إلى المصدر الأصلي للوثيقة، والتأكد من اتساق المؤشرات المستخلصة مع أهداف الدراسة وأبعاد متغيراتها</w:t>
      </w:r>
      <w:r w:rsidR="00C17E96" w:rsidRPr="00307DFD">
        <w:rPr>
          <w:rFonts w:ascii="Simplified Arabic" w:hAnsi="Simplified Arabic" w:cs="Simplified Arabic"/>
          <w:color w:val="C00000"/>
          <w:sz w:val="24"/>
          <w:szCs w:val="24"/>
        </w:rPr>
        <w:t>.</w:t>
      </w:r>
    </w:p>
    <w:p w14:paraId="5ED59564" w14:textId="0A7576BD" w:rsidR="00C0182D" w:rsidRPr="00C0182D" w:rsidRDefault="00C0182D" w:rsidP="00C0182D">
      <w:pPr>
        <w:bidi/>
        <w:spacing w:before="100" w:beforeAutospacing="1" w:after="100" w:afterAutospacing="1" w:line="240" w:lineRule="auto"/>
        <w:jc w:val="lowKashida"/>
        <w:outlineLvl w:val="2"/>
        <w:rPr>
          <w:rFonts w:ascii="Simplified Arabic" w:eastAsia="Times New Roman" w:hAnsi="Simplified Arabic" w:cs="Simplified Arabic"/>
          <w:b/>
          <w:bCs/>
          <w:sz w:val="24"/>
          <w:szCs w:val="24"/>
        </w:rPr>
      </w:pPr>
      <w:bookmarkStart w:id="20" w:name="_Toc234607914"/>
      <w:r w:rsidRPr="003C40F2">
        <w:rPr>
          <w:rFonts w:ascii="Simplified Arabic" w:eastAsia="Times New Roman" w:hAnsi="Simplified Arabic" w:cs="Simplified Arabic"/>
          <w:b/>
          <w:bCs/>
          <w:sz w:val="24"/>
          <w:szCs w:val="24"/>
          <w:rtl/>
        </w:rPr>
        <w:t>جدول</w:t>
      </w:r>
      <w:r w:rsidRPr="003C40F2">
        <w:rPr>
          <w:rFonts w:ascii="Simplified Arabic" w:eastAsia="Times New Roman" w:hAnsi="Simplified Arabic" w:cs="Simplified Arabic"/>
          <w:b/>
          <w:bCs/>
          <w:sz w:val="24"/>
          <w:szCs w:val="24"/>
        </w:rPr>
        <w:t xml:space="preserve"> (3-4)</w:t>
      </w:r>
      <w:bookmarkEnd w:id="20"/>
    </w:p>
    <w:tbl>
      <w:tblPr>
        <w:tblStyle w:val="TableGridLight"/>
        <w:bidiVisual/>
        <w:tblW w:w="0" w:type="auto"/>
        <w:jc w:val="center"/>
        <w:tblLook w:val="04A0" w:firstRow="1" w:lastRow="0" w:firstColumn="1" w:lastColumn="0" w:noHBand="0" w:noVBand="1"/>
      </w:tblPr>
      <w:tblGrid>
        <w:gridCol w:w="1429"/>
        <w:gridCol w:w="3256"/>
      </w:tblGrid>
      <w:tr w:rsidR="001A3ABE" w:rsidRPr="003C40F2" w14:paraId="7694D963" w14:textId="77777777" w:rsidTr="00CC256A">
        <w:trPr>
          <w:jc w:val="center"/>
        </w:trPr>
        <w:tc>
          <w:tcPr>
            <w:tcW w:w="0" w:type="auto"/>
            <w:vAlign w:val="center"/>
            <w:hideMark/>
          </w:tcPr>
          <w:p w14:paraId="0563B070" w14:textId="77777777" w:rsidR="001A3ABE" w:rsidRPr="003C40F2" w:rsidRDefault="001A3ABE" w:rsidP="00CC256A">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الأداة</w:t>
            </w:r>
          </w:p>
        </w:tc>
        <w:tc>
          <w:tcPr>
            <w:tcW w:w="0" w:type="auto"/>
            <w:vAlign w:val="center"/>
            <w:hideMark/>
          </w:tcPr>
          <w:p w14:paraId="5C74595B" w14:textId="77777777" w:rsidR="001A3ABE" w:rsidRPr="003C40F2" w:rsidRDefault="001A3ABE" w:rsidP="00CC256A">
            <w:pPr>
              <w:bidi/>
              <w:jc w:val="center"/>
              <w:rPr>
                <w:rFonts w:ascii="Simplified Arabic" w:eastAsia="Times New Roman" w:hAnsi="Simplified Arabic" w:cs="Simplified Arabic"/>
                <w:b/>
                <w:bCs/>
                <w:sz w:val="24"/>
                <w:szCs w:val="24"/>
              </w:rPr>
            </w:pPr>
            <w:r w:rsidRPr="003C40F2">
              <w:rPr>
                <w:rFonts w:ascii="Simplified Arabic" w:eastAsia="Times New Roman" w:hAnsi="Simplified Arabic" w:cs="Simplified Arabic"/>
                <w:b/>
                <w:bCs/>
                <w:sz w:val="24"/>
                <w:szCs w:val="24"/>
                <w:rtl/>
              </w:rPr>
              <w:t>الغرض من استخدامها</w:t>
            </w:r>
          </w:p>
        </w:tc>
      </w:tr>
      <w:tr w:rsidR="001A3ABE" w:rsidRPr="003C40F2" w14:paraId="7D78191B" w14:textId="77777777" w:rsidTr="00CC256A">
        <w:trPr>
          <w:jc w:val="center"/>
        </w:trPr>
        <w:tc>
          <w:tcPr>
            <w:tcW w:w="0" w:type="auto"/>
            <w:vAlign w:val="center"/>
            <w:hideMark/>
          </w:tcPr>
          <w:p w14:paraId="4764A94B"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الاستبانة</w:t>
            </w:r>
          </w:p>
        </w:tc>
        <w:tc>
          <w:tcPr>
            <w:tcW w:w="0" w:type="auto"/>
            <w:vAlign w:val="center"/>
            <w:hideMark/>
          </w:tcPr>
          <w:p w14:paraId="7BBF85AC"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قياس متغيرات الدراسة واختبار الفرضيات</w:t>
            </w:r>
          </w:p>
        </w:tc>
      </w:tr>
      <w:tr w:rsidR="001A3ABE" w:rsidRPr="003C40F2" w14:paraId="7D50D98A" w14:textId="77777777" w:rsidTr="00CC256A">
        <w:trPr>
          <w:jc w:val="center"/>
        </w:trPr>
        <w:tc>
          <w:tcPr>
            <w:tcW w:w="0" w:type="auto"/>
            <w:vAlign w:val="center"/>
            <w:hideMark/>
          </w:tcPr>
          <w:p w14:paraId="03682A4E"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الوثائق الرسمية</w:t>
            </w:r>
          </w:p>
        </w:tc>
        <w:tc>
          <w:tcPr>
            <w:tcW w:w="0" w:type="auto"/>
            <w:vAlign w:val="center"/>
            <w:hideMark/>
          </w:tcPr>
          <w:p w14:paraId="4E2BB1CD"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دعم الإطار النظري وتفسير النتائج</w:t>
            </w:r>
          </w:p>
        </w:tc>
      </w:tr>
      <w:tr w:rsidR="001A3ABE" w:rsidRPr="003C40F2" w14:paraId="4836D86C" w14:textId="77777777" w:rsidTr="00CC256A">
        <w:trPr>
          <w:jc w:val="center"/>
        </w:trPr>
        <w:tc>
          <w:tcPr>
            <w:tcW w:w="0" w:type="auto"/>
            <w:vAlign w:val="center"/>
            <w:hideMark/>
          </w:tcPr>
          <w:p w14:paraId="21B67BB2"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الدراسات السابقة</w:t>
            </w:r>
          </w:p>
        </w:tc>
        <w:tc>
          <w:tcPr>
            <w:tcW w:w="0" w:type="auto"/>
            <w:vAlign w:val="center"/>
            <w:hideMark/>
          </w:tcPr>
          <w:p w14:paraId="70B4192D" w14:textId="77777777" w:rsidR="001A3ABE" w:rsidRPr="003C40F2" w:rsidRDefault="001A3ABE" w:rsidP="00CC256A">
            <w:pPr>
              <w:bidi/>
              <w:jc w:val="center"/>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بناء النموذج المفاهيمي وتطوير الأداة</w:t>
            </w:r>
          </w:p>
        </w:tc>
      </w:tr>
    </w:tbl>
    <w:p w14:paraId="30BD79C3" w14:textId="77777777" w:rsidR="007C0ACE" w:rsidRDefault="007C0ACE" w:rsidP="001A3ABE">
      <w:pPr>
        <w:bidi/>
        <w:spacing w:line="240" w:lineRule="auto"/>
        <w:jc w:val="lowKashida"/>
        <w:rPr>
          <w:rFonts w:ascii="Simplified Arabic" w:hAnsi="Simplified Arabic" w:cs="Simplified Arabic"/>
          <w:b/>
          <w:bCs/>
          <w:sz w:val="24"/>
          <w:szCs w:val="24"/>
        </w:rPr>
      </w:pPr>
    </w:p>
    <w:p w14:paraId="7B19717C" w14:textId="383051C3" w:rsidR="001A3ABE" w:rsidRPr="003C40F2" w:rsidRDefault="001A3ABE" w:rsidP="007C0AC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3.10 </w:t>
      </w:r>
      <w:r w:rsidRPr="003C40F2">
        <w:rPr>
          <w:rFonts w:ascii="Simplified Arabic" w:hAnsi="Simplified Arabic" w:cs="Simplified Arabic"/>
          <w:b/>
          <w:bCs/>
          <w:sz w:val="24"/>
          <w:szCs w:val="24"/>
          <w:rtl/>
        </w:rPr>
        <w:t>أداة الدراسة</w:t>
      </w:r>
    </w:p>
    <w:p w14:paraId="6E86E3AA" w14:textId="23183B67" w:rsidR="007C0ACE" w:rsidRDefault="001A3ABE" w:rsidP="00307DFD">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اعتمدت الدراسة على الاستبانة باعتبارها الأداة الرئيسة لجمع البيانات، وذلك لملاءمتها لطبيعة الدراسة وأهدافها، وقدرتها على جمع البيانات من عدد كبير من المبحوثين بطريقة منظمة وموحدة. وقد تم إعداد الاستبانة بالاعتماد على الأدبيات العلمية والدراسات السابقة ذات العلاقة بالشراكات بين القطاعين العام والخاص والحوكمة البيئية وإدارة الأداء، مع مراعاة ارتباط جميع الفقرات بمتغيرات الدراسة وأبعادها</w:t>
      </w:r>
      <w:r w:rsidRPr="003C40F2">
        <w:rPr>
          <w:rFonts w:ascii="Simplified Arabic" w:eastAsia="Times New Roman" w:hAnsi="Simplified Arabic" w:cs="Simplified Arabic"/>
          <w:sz w:val="24"/>
          <w:szCs w:val="24"/>
        </w:rPr>
        <w:t>.</w:t>
      </w:r>
    </w:p>
    <w:p w14:paraId="641CE2AF" w14:textId="4EF6D645" w:rsidR="001A3ABE" w:rsidRPr="003C40F2" w:rsidRDefault="001A3ABE" w:rsidP="007C0AC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جدول</w:t>
      </w:r>
      <w:r w:rsidRPr="003C40F2">
        <w:rPr>
          <w:rFonts w:ascii="Simplified Arabic" w:hAnsi="Simplified Arabic" w:cs="Simplified Arabic"/>
          <w:b/>
          <w:bCs/>
          <w:sz w:val="24"/>
          <w:szCs w:val="24"/>
        </w:rPr>
        <w:t xml:space="preserve"> (3-5)</w:t>
      </w:r>
    </w:p>
    <w:p w14:paraId="43312E8A"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محاور الاستبانة</w:t>
      </w:r>
    </w:p>
    <w:tbl>
      <w:tblPr>
        <w:tblStyle w:val="TableGridLight"/>
        <w:bidiVisual/>
        <w:tblW w:w="0" w:type="auto"/>
        <w:jc w:val="center"/>
        <w:tblLook w:val="04A0" w:firstRow="1" w:lastRow="0" w:firstColumn="1" w:lastColumn="0" w:noHBand="0" w:noVBand="1"/>
      </w:tblPr>
      <w:tblGrid>
        <w:gridCol w:w="1181"/>
        <w:gridCol w:w="2305"/>
        <w:gridCol w:w="1777"/>
        <w:gridCol w:w="1429"/>
      </w:tblGrid>
      <w:tr w:rsidR="001A3ABE" w:rsidRPr="003C40F2" w14:paraId="3546C3BC" w14:textId="77777777" w:rsidTr="00CC256A">
        <w:trPr>
          <w:jc w:val="center"/>
        </w:trPr>
        <w:tc>
          <w:tcPr>
            <w:tcW w:w="0" w:type="auto"/>
            <w:vAlign w:val="center"/>
            <w:hideMark/>
          </w:tcPr>
          <w:p w14:paraId="50D32B3D" w14:textId="77777777" w:rsidR="001A3ABE" w:rsidRPr="003C40F2" w:rsidRDefault="001A3ABE" w:rsidP="00CC256A">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المحور</w:t>
            </w:r>
          </w:p>
        </w:tc>
        <w:tc>
          <w:tcPr>
            <w:tcW w:w="0" w:type="auto"/>
            <w:vAlign w:val="center"/>
            <w:hideMark/>
          </w:tcPr>
          <w:p w14:paraId="502EAB76" w14:textId="77777777" w:rsidR="001A3ABE" w:rsidRPr="003C40F2" w:rsidRDefault="001A3ABE" w:rsidP="00CC256A">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البعد</w:t>
            </w:r>
          </w:p>
        </w:tc>
        <w:tc>
          <w:tcPr>
            <w:tcW w:w="0" w:type="auto"/>
            <w:vAlign w:val="center"/>
            <w:hideMark/>
          </w:tcPr>
          <w:p w14:paraId="2974A1B7" w14:textId="77777777" w:rsidR="001A3ABE" w:rsidRPr="003C40F2" w:rsidRDefault="001A3ABE" w:rsidP="00CC256A">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عدد الفقرات (مقترح)</w:t>
            </w:r>
          </w:p>
        </w:tc>
        <w:tc>
          <w:tcPr>
            <w:tcW w:w="0" w:type="auto"/>
            <w:vAlign w:val="center"/>
            <w:hideMark/>
          </w:tcPr>
          <w:p w14:paraId="7A6CA6C5" w14:textId="77777777" w:rsidR="001A3ABE" w:rsidRPr="003C40F2" w:rsidRDefault="001A3ABE" w:rsidP="00CC256A">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المصدر</w:t>
            </w:r>
          </w:p>
        </w:tc>
      </w:tr>
      <w:tr w:rsidR="001A3ABE" w:rsidRPr="003C40F2" w14:paraId="297D97C7" w14:textId="77777777" w:rsidTr="00CC256A">
        <w:trPr>
          <w:jc w:val="center"/>
        </w:trPr>
        <w:tc>
          <w:tcPr>
            <w:tcW w:w="0" w:type="auto"/>
            <w:vAlign w:val="center"/>
            <w:hideMark/>
          </w:tcPr>
          <w:p w14:paraId="76CFD9FC"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الأول</w:t>
            </w:r>
          </w:p>
        </w:tc>
        <w:tc>
          <w:tcPr>
            <w:tcW w:w="0" w:type="auto"/>
            <w:vAlign w:val="center"/>
            <w:hideMark/>
          </w:tcPr>
          <w:p w14:paraId="1EEA9ED2"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البيانات الديموغرافية</w:t>
            </w:r>
          </w:p>
        </w:tc>
        <w:tc>
          <w:tcPr>
            <w:tcW w:w="0" w:type="auto"/>
            <w:vAlign w:val="center"/>
            <w:hideMark/>
          </w:tcPr>
          <w:p w14:paraId="29DBA4F3"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6</w:t>
            </w:r>
          </w:p>
        </w:tc>
        <w:tc>
          <w:tcPr>
            <w:tcW w:w="0" w:type="auto"/>
            <w:vAlign w:val="center"/>
            <w:hideMark/>
          </w:tcPr>
          <w:p w14:paraId="6A53BCC4"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إعداد الباحث</w:t>
            </w:r>
          </w:p>
        </w:tc>
      </w:tr>
      <w:tr w:rsidR="001A3ABE" w:rsidRPr="003C40F2" w14:paraId="609B8ACC" w14:textId="77777777" w:rsidTr="00CC256A">
        <w:trPr>
          <w:jc w:val="center"/>
        </w:trPr>
        <w:tc>
          <w:tcPr>
            <w:tcW w:w="0" w:type="auto"/>
            <w:vAlign w:val="center"/>
            <w:hideMark/>
          </w:tcPr>
          <w:p w14:paraId="52346856"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الثاني</w:t>
            </w:r>
          </w:p>
        </w:tc>
        <w:tc>
          <w:tcPr>
            <w:tcW w:w="0" w:type="auto"/>
            <w:vAlign w:val="center"/>
            <w:hideMark/>
          </w:tcPr>
          <w:p w14:paraId="3F938A2D"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الإطار التشريعي والتنظيمي</w:t>
            </w:r>
          </w:p>
        </w:tc>
        <w:tc>
          <w:tcPr>
            <w:tcW w:w="0" w:type="auto"/>
            <w:vAlign w:val="center"/>
            <w:hideMark/>
          </w:tcPr>
          <w:p w14:paraId="1A28BF82"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2847ABEE"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2A1538E3" w14:textId="77777777" w:rsidTr="00CC256A">
        <w:trPr>
          <w:jc w:val="center"/>
        </w:trPr>
        <w:tc>
          <w:tcPr>
            <w:tcW w:w="0" w:type="auto"/>
            <w:vAlign w:val="center"/>
            <w:hideMark/>
          </w:tcPr>
          <w:p w14:paraId="4A289CEF"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الثالث</w:t>
            </w:r>
          </w:p>
        </w:tc>
        <w:tc>
          <w:tcPr>
            <w:tcW w:w="0" w:type="auto"/>
            <w:vAlign w:val="center"/>
            <w:hideMark/>
          </w:tcPr>
          <w:p w14:paraId="13195B16"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توزيع الأدوار والمسؤوليات</w:t>
            </w:r>
          </w:p>
        </w:tc>
        <w:tc>
          <w:tcPr>
            <w:tcW w:w="0" w:type="auto"/>
            <w:vAlign w:val="center"/>
            <w:hideMark/>
          </w:tcPr>
          <w:p w14:paraId="4EC821CD"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6EC581E6"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2D3D82C8" w14:textId="77777777" w:rsidTr="00CC256A">
        <w:trPr>
          <w:jc w:val="center"/>
        </w:trPr>
        <w:tc>
          <w:tcPr>
            <w:tcW w:w="0" w:type="auto"/>
            <w:vAlign w:val="center"/>
            <w:hideMark/>
          </w:tcPr>
          <w:p w14:paraId="0B341856"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الرابع</w:t>
            </w:r>
          </w:p>
        </w:tc>
        <w:tc>
          <w:tcPr>
            <w:tcW w:w="0" w:type="auto"/>
            <w:vAlign w:val="center"/>
            <w:hideMark/>
          </w:tcPr>
          <w:p w14:paraId="689653BC"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التنسيق وتبادل المعلومات</w:t>
            </w:r>
          </w:p>
        </w:tc>
        <w:tc>
          <w:tcPr>
            <w:tcW w:w="0" w:type="auto"/>
            <w:vAlign w:val="center"/>
            <w:hideMark/>
          </w:tcPr>
          <w:p w14:paraId="6A1751D9"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1BABEA05"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0D45AA9A" w14:textId="77777777" w:rsidTr="00CC256A">
        <w:trPr>
          <w:jc w:val="center"/>
        </w:trPr>
        <w:tc>
          <w:tcPr>
            <w:tcW w:w="0" w:type="auto"/>
            <w:vAlign w:val="center"/>
            <w:hideMark/>
          </w:tcPr>
          <w:p w14:paraId="2BCEF8A4"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الخامس</w:t>
            </w:r>
          </w:p>
        </w:tc>
        <w:tc>
          <w:tcPr>
            <w:tcW w:w="0" w:type="auto"/>
            <w:vAlign w:val="center"/>
            <w:hideMark/>
          </w:tcPr>
          <w:p w14:paraId="3E257815"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إدارة الموارد والتمويل</w:t>
            </w:r>
          </w:p>
        </w:tc>
        <w:tc>
          <w:tcPr>
            <w:tcW w:w="0" w:type="auto"/>
            <w:vAlign w:val="center"/>
            <w:hideMark/>
          </w:tcPr>
          <w:p w14:paraId="3E7C8290"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49A9AC59"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12D40C94" w14:textId="77777777" w:rsidTr="00CC256A">
        <w:trPr>
          <w:jc w:val="center"/>
        </w:trPr>
        <w:tc>
          <w:tcPr>
            <w:tcW w:w="0" w:type="auto"/>
            <w:vAlign w:val="center"/>
            <w:hideMark/>
          </w:tcPr>
          <w:p w14:paraId="44AE885F"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lastRenderedPageBreak/>
              <w:t>السادس</w:t>
            </w:r>
          </w:p>
        </w:tc>
        <w:tc>
          <w:tcPr>
            <w:tcW w:w="0" w:type="auto"/>
            <w:vAlign w:val="center"/>
            <w:hideMark/>
          </w:tcPr>
          <w:p w14:paraId="76B287B7"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الرقابة وإدارة المخاطر</w:t>
            </w:r>
          </w:p>
        </w:tc>
        <w:tc>
          <w:tcPr>
            <w:tcW w:w="0" w:type="auto"/>
            <w:vAlign w:val="center"/>
            <w:hideMark/>
          </w:tcPr>
          <w:p w14:paraId="3A0D6434"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2EC9E7F2"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62A5FFC7" w14:textId="77777777" w:rsidTr="00CC256A">
        <w:trPr>
          <w:jc w:val="center"/>
        </w:trPr>
        <w:tc>
          <w:tcPr>
            <w:tcW w:w="0" w:type="auto"/>
            <w:vAlign w:val="center"/>
            <w:hideMark/>
          </w:tcPr>
          <w:p w14:paraId="6BF33F30"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السابع</w:t>
            </w:r>
          </w:p>
        </w:tc>
        <w:tc>
          <w:tcPr>
            <w:tcW w:w="0" w:type="auto"/>
            <w:vAlign w:val="center"/>
            <w:hideMark/>
          </w:tcPr>
          <w:p w14:paraId="6DCC01D5"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الكفاءة التشغيلية</w:t>
            </w:r>
          </w:p>
        </w:tc>
        <w:tc>
          <w:tcPr>
            <w:tcW w:w="0" w:type="auto"/>
            <w:vAlign w:val="center"/>
            <w:hideMark/>
          </w:tcPr>
          <w:p w14:paraId="466F29B6"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31A00329"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4DD1909D" w14:textId="77777777" w:rsidTr="00CC256A">
        <w:trPr>
          <w:jc w:val="center"/>
        </w:trPr>
        <w:tc>
          <w:tcPr>
            <w:tcW w:w="0" w:type="auto"/>
            <w:vAlign w:val="center"/>
            <w:hideMark/>
          </w:tcPr>
          <w:p w14:paraId="155264DD"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الثامن</w:t>
            </w:r>
          </w:p>
        </w:tc>
        <w:tc>
          <w:tcPr>
            <w:tcW w:w="0" w:type="auto"/>
            <w:vAlign w:val="center"/>
            <w:hideMark/>
          </w:tcPr>
          <w:p w14:paraId="14F43786"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جودة الرقابة والامتثال البيئي</w:t>
            </w:r>
          </w:p>
        </w:tc>
        <w:tc>
          <w:tcPr>
            <w:tcW w:w="0" w:type="auto"/>
            <w:vAlign w:val="center"/>
            <w:hideMark/>
          </w:tcPr>
          <w:p w14:paraId="7802BCDC"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1C143212"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6651B9D9" w14:textId="77777777" w:rsidTr="00CC256A">
        <w:trPr>
          <w:jc w:val="center"/>
        </w:trPr>
        <w:tc>
          <w:tcPr>
            <w:tcW w:w="0" w:type="auto"/>
            <w:vAlign w:val="center"/>
            <w:hideMark/>
          </w:tcPr>
          <w:p w14:paraId="7BA5BA16"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التاسع</w:t>
            </w:r>
          </w:p>
        </w:tc>
        <w:tc>
          <w:tcPr>
            <w:tcW w:w="0" w:type="auto"/>
            <w:vAlign w:val="center"/>
            <w:hideMark/>
          </w:tcPr>
          <w:p w14:paraId="1FE0E324"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الشفافية والمساءلة</w:t>
            </w:r>
          </w:p>
        </w:tc>
        <w:tc>
          <w:tcPr>
            <w:tcW w:w="0" w:type="auto"/>
            <w:vAlign w:val="center"/>
            <w:hideMark/>
          </w:tcPr>
          <w:p w14:paraId="1176AD61"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10E618CA"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16559D74" w14:textId="77777777" w:rsidTr="00CC256A">
        <w:trPr>
          <w:jc w:val="center"/>
        </w:trPr>
        <w:tc>
          <w:tcPr>
            <w:tcW w:w="0" w:type="auto"/>
            <w:vAlign w:val="center"/>
            <w:hideMark/>
          </w:tcPr>
          <w:p w14:paraId="6853AA13"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العاشر</w:t>
            </w:r>
          </w:p>
        </w:tc>
        <w:tc>
          <w:tcPr>
            <w:tcW w:w="0" w:type="auto"/>
            <w:vAlign w:val="center"/>
            <w:hideMark/>
          </w:tcPr>
          <w:p w14:paraId="6CB0787C"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تحسين الأداء البيئي</w:t>
            </w:r>
          </w:p>
        </w:tc>
        <w:tc>
          <w:tcPr>
            <w:tcW w:w="0" w:type="auto"/>
            <w:vAlign w:val="center"/>
            <w:hideMark/>
          </w:tcPr>
          <w:p w14:paraId="490B283B"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4C132A96"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r w:rsidR="001A3ABE" w:rsidRPr="003C40F2" w14:paraId="05B761D0" w14:textId="77777777" w:rsidTr="00CC256A">
        <w:trPr>
          <w:jc w:val="center"/>
        </w:trPr>
        <w:tc>
          <w:tcPr>
            <w:tcW w:w="0" w:type="auto"/>
            <w:vAlign w:val="center"/>
            <w:hideMark/>
          </w:tcPr>
          <w:p w14:paraId="6D862043"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الحادي عشر</w:t>
            </w:r>
          </w:p>
        </w:tc>
        <w:tc>
          <w:tcPr>
            <w:tcW w:w="0" w:type="auto"/>
            <w:vAlign w:val="center"/>
            <w:hideMark/>
          </w:tcPr>
          <w:p w14:paraId="4D90A239"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الاستدامة المؤسسية</w:t>
            </w:r>
          </w:p>
        </w:tc>
        <w:tc>
          <w:tcPr>
            <w:tcW w:w="0" w:type="auto"/>
            <w:vAlign w:val="center"/>
            <w:hideMark/>
          </w:tcPr>
          <w:p w14:paraId="40AC5686"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c>
          <w:tcPr>
            <w:tcW w:w="0" w:type="auto"/>
            <w:vAlign w:val="center"/>
            <w:hideMark/>
          </w:tcPr>
          <w:p w14:paraId="2E802926"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الدراسات السابقة</w:t>
            </w:r>
          </w:p>
        </w:tc>
      </w:tr>
    </w:tbl>
    <w:p w14:paraId="5E4762D2" w14:textId="77777777" w:rsidR="00BD65CF" w:rsidRDefault="00BD65CF" w:rsidP="001A3ABE">
      <w:pPr>
        <w:bidi/>
        <w:spacing w:before="100" w:beforeAutospacing="1" w:after="100" w:afterAutospacing="1" w:line="240" w:lineRule="auto"/>
        <w:jc w:val="lowKashida"/>
        <w:rPr>
          <w:rFonts w:ascii="Simplified Arabic" w:eastAsia="Times New Roman" w:hAnsi="Simplified Arabic" w:cs="Simplified Arabic"/>
          <w:b/>
          <w:bCs/>
          <w:sz w:val="24"/>
          <w:szCs w:val="24"/>
        </w:rPr>
      </w:pPr>
    </w:p>
    <w:p w14:paraId="49BC4EAD" w14:textId="2A6420B4" w:rsidR="001A3ABE" w:rsidRPr="003C40F2" w:rsidRDefault="001A3ABE" w:rsidP="00BD65CF">
      <w:pPr>
        <w:bidi/>
        <w:spacing w:before="100" w:beforeAutospacing="1" w:after="100" w:afterAutospacing="1" w:line="240" w:lineRule="auto"/>
        <w:jc w:val="lowKashida"/>
        <w:rPr>
          <w:rFonts w:ascii="Simplified Arabic" w:eastAsia="Times New Roman" w:hAnsi="Simplified Arabic" w:cs="Simplified Arabic"/>
          <w:b/>
          <w:bCs/>
          <w:sz w:val="24"/>
          <w:szCs w:val="24"/>
          <w:rtl/>
        </w:rPr>
      </w:pPr>
      <w:r>
        <w:rPr>
          <w:rFonts w:ascii="Simplified Arabic" w:eastAsia="Times New Roman" w:hAnsi="Simplified Arabic" w:cs="Simplified Arabic"/>
          <w:b/>
          <w:bCs/>
          <w:sz w:val="24"/>
          <w:szCs w:val="24"/>
        </w:rPr>
        <w:t xml:space="preserve"> </w:t>
      </w:r>
      <w:r w:rsidRPr="003C40F2">
        <w:rPr>
          <w:rFonts w:ascii="Simplified Arabic" w:eastAsia="Times New Roman" w:hAnsi="Simplified Arabic" w:cs="Simplified Arabic"/>
          <w:b/>
          <w:bCs/>
          <w:sz w:val="24"/>
          <w:szCs w:val="24"/>
        </w:rPr>
        <w:t xml:space="preserve">3.11 </w:t>
      </w:r>
      <w:r w:rsidRPr="003C40F2">
        <w:rPr>
          <w:rFonts w:ascii="Simplified Arabic" w:eastAsia="Times New Roman" w:hAnsi="Simplified Arabic" w:cs="Simplified Arabic"/>
          <w:b/>
          <w:bCs/>
          <w:sz w:val="24"/>
          <w:szCs w:val="24"/>
          <w:rtl/>
        </w:rPr>
        <w:t>مقياس الدراسة</w:t>
      </w:r>
    </w:p>
    <w:p w14:paraId="58231558" w14:textId="77777777" w:rsidR="001A3ABE" w:rsidRDefault="001A3ABE" w:rsidP="001A3ABE">
      <w:pPr>
        <w:bidi/>
        <w:spacing w:before="100" w:beforeAutospacing="1" w:after="100" w:afterAutospacing="1" w:line="240" w:lineRule="auto"/>
        <w:jc w:val="lowKashida"/>
        <w:rPr>
          <w:rFonts w:ascii="Simplified Arabic" w:eastAsia="Times New Roman" w:hAnsi="Simplified Arabic" w:cs="Simplified Arabic"/>
          <w:sz w:val="24"/>
          <w:szCs w:val="24"/>
        </w:rPr>
      </w:pPr>
      <w:r w:rsidRPr="003C40F2">
        <w:rPr>
          <w:rFonts w:ascii="Simplified Arabic" w:eastAsia="Times New Roman" w:hAnsi="Simplified Arabic" w:cs="Simplified Arabic"/>
          <w:sz w:val="24"/>
          <w:szCs w:val="24"/>
          <w:rtl/>
        </w:rPr>
        <w:t>استخدمت الدراسة مقياس ليكرت الخماسي</w:t>
      </w:r>
      <w:r w:rsidRPr="003C40F2">
        <w:rPr>
          <w:rFonts w:ascii="Simplified Arabic" w:eastAsia="Times New Roman" w:hAnsi="Simplified Arabic" w:cs="Simplified Arabic"/>
          <w:sz w:val="24"/>
          <w:szCs w:val="24"/>
        </w:rPr>
        <w:t xml:space="preserve"> (Five-Point Likert Scale) </w:t>
      </w:r>
      <w:r w:rsidRPr="003C40F2">
        <w:rPr>
          <w:rFonts w:ascii="Simplified Arabic" w:eastAsia="Times New Roman" w:hAnsi="Simplified Arabic" w:cs="Simplified Arabic"/>
          <w:sz w:val="24"/>
          <w:szCs w:val="24"/>
          <w:rtl/>
        </w:rPr>
        <w:t>لقياس درجة استجابة أفراد العينة، حيث يُعد من أكثر المقاييس استخدامًا في الدراسات الإدارية لما يتميز به من سهولة التطبيق والتحليل الإحصائي</w:t>
      </w:r>
      <w:r w:rsidRPr="003C40F2">
        <w:rPr>
          <w:rFonts w:ascii="Simplified Arabic" w:eastAsia="Times New Roman" w:hAnsi="Simplified Arabic" w:cs="Simplified Arabic"/>
          <w:sz w:val="24"/>
          <w:szCs w:val="24"/>
        </w:rPr>
        <w:t>.</w:t>
      </w:r>
    </w:p>
    <w:p w14:paraId="49793834" w14:textId="77777777" w:rsidR="00A204CB" w:rsidRPr="003C40F2" w:rsidRDefault="00A204CB" w:rsidP="00A204CB">
      <w:pPr>
        <w:bidi/>
        <w:spacing w:before="100" w:beforeAutospacing="1" w:after="100" w:afterAutospacing="1" w:line="240" w:lineRule="auto"/>
        <w:jc w:val="lowKashida"/>
        <w:rPr>
          <w:rFonts w:ascii="Simplified Arabic" w:eastAsia="Times New Roman" w:hAnsi="Simplified Arabic" w:cs="Simplified Arabic"/>
          <w:sz w:val="24"/>
          <w:szCs w:val="24"/>
        </w:rPr>
      </w:pPr>
    </w:p>
    <w:p w14:paraId="54F6AA48"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جدول</w:t>
      </w:r>
      <w:r w:rsidRPr="003C40F2">
        <w:rPr>
          <w:rFonts w:ascii="Simplified Arabic" w:hAnsi="Simplified Arabic" w:cs="Simplified Arabic"/>
          <w:b/>
          <w:bCs/>
          <w:sz w:val="24"/>
          <w:szCs w:val="24"/>
        </w:rPr>
        <w:t xml:space="preserve"> (3-6)</w:t>
      </w:r>
    </w:p>
    <w:p w14:paraId="15EF79C7"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ترميز مقياس ليكرت الخماسي</w:t>
      </w:r>
    </w:p>
    <w:tbl>
      <w:tblPr>
        <w:tblStyle w:val="TableGridLight"/>
        <w:bidiVisual/>
        <w:tblW w:w="0" w:type="auto"/>
        <w:jc w:val="center"/>
        <w:tblLook w:val="04A0" w:firstRow="1" w:lastRow="0" w:firstColumn="1" w:lastColumn="0" w:noHBand="0" w:noVBand="1"/>
      </w:tblPr>
      <w:tblGrid>
        <w:gridCol w:w="5214"/>
        <w:gridCol w:w="599"/>
        <w:gridCol w:w="701"/>
      </w:tblGrid>
      <w:tr w:rsidR="001A3ABE" w:rsidRPr="003C40F2" w14:paraId="580E464C" w14:textId="77777777" w:rsidTr="00CC256A">
        <w:trPr>
          <w:jc w:val="center"/>
        </w:trPr>
        <w:tc>
          <w:tcPr>
            <w:tcW w:w="5214" w:type="dxa"/>
            <w:vAlign w:val="center"/>
            <w:hideMark/>
          </w:tcPr>
          <w:p w14:paraId="1F1F972B" w14:textId="77777777" w:rsidR="001A3ABE" w:rsidRPr="003C40F2" w:rsidRDefault="001A3ABE" w:rsidP="00CC256A">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درجة الموافقة</w:t>
            </w:r>
          </w:p>
        </w:tc>
        <w:tc>
          <w:tcPr>
            <w:tcW w:w="0" w:type="auto"/>
            <w:vAlign w:val="center"/>
            <w:hideMark/>
          </w:tcPr>
          <w:p w14:paraId="19F7183A" w14:textId="77777777" w:rsidR="001A3ABE" w:rsidRPr="003C40F2" w:rsidRDefault="001A3ABE" w:rsidP="00CC256A">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الرمز</w:t>
            </w:r>
          </w:p>
        </w:tc>
        <w:tc>
          <w:tcPr>
            <w:tcW w:w="0" w:type="auto"/>
            <w:vAlign w:val="center"/>
            <w:hideMark/>
          </w:tcPr>
          <w:p w14:paraId="3769271D" w14:textId="77777777" w:rsidR="001A3ABE" w:rsidRPr="003C40F2" w:rsidRDefault="001A3ABE" w:rsidP="00CC256A">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الدرجة</w:t>
            </w:r>
          </w:p>
        </w:tc>
      </w:tr>
      <w:tr w:rsidR="001A3ABE" w:rsidRPr="003C40F2" w14:paraId="2E1D0C6C" w14:textId="77777777" w:rsidTr="00CC256A">
        <w:trPr>
          <w:jc w:val="center"/>
        </w:trPr>
        <w:tc>
          <w:tcPr>
            <w:tcW w:w="5214" w:type="dxa"/>
            <w:vAlign w:val="center"/>
            <w:hideMark/>
          </w:tcPr>
          <w:p w14:paraId="36ABA561"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غير موافق بشدة</w:t>
            </w:r>
          </w:p>
        </w:tc>
        <w:tc>
          <w:tcPr>
            <w:tcW w:w="0" w:type="auto"/>
            <w:vAlign w:val="center"/>
            <w:hideMark/>
          </w:tcPr>
          <w:p w14:paraId="71F456EC"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SD</w:t>
            </w:r>
          </w:p>
        </w:tc>
        <w:tc>
          <w:tcPr>
            <w:tcW w:w="0" w:type="auto"/>
            <w:vAlign w:val="center"/>
            <w:hideMark/>
          </w:tcPr>
          <w:p w14:paraId="45B79006"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1</w:t>
            </w:r>
          </w:p>
        </w:tc>
      </w:tr>
      <w:tr w:rsidR="001A3ABE" w:rsidRPr="003C40F2" w14:paraId="34780412" w14:textId="77777777" w:rsidTr="00CC256A">
        <w:trPr>
          <w:jc w:val="center"/>
        </w:trPr>
        <w:tc>
          <w:tcPr>
            <w:tcW w:w="5214" w:type="dxa"/>
            <w:vAlign w:val="center"/>
            <w:hideMark/>
          </w:tcPr>
          <w:p w14:paraId="2B7267B3"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غير موافق</w:t>
            </w:r>
          </w:p>
        </w:tc>
        <w:tc>
          <w:tcPr>
            <w:tcW w:w="0" w:type="auto"/>
            <w:vAlign w:val="center"/>
            <w:hideMark/>
          </w:tcPr>
          <w:p w14:paraId="5F00F70C"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D</w:t>
            </w:r>
          </w:p>
        </w:tc>
        <w:tc>
          <w:tcPr>
            <w:tcW w:w="0" w:type="auto"/>
            <w:vAlign w:val="center"/>
            <w:hideMark/>
          </w:tcPr>
          <w:p w14:paraId="431269F7"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2</w:t>
            </w:r>
          </w:p>
        </w:tc>
      </w:tr>
      <w:tr w:rsidR="001A3ABE" w:rsidRPr="003C40F2" w14:paraId="0F2AD926" w14:textId="77777777" w:rsidTr="00CC256A">
        <w:trPr>
          <w:jc w:val="center"/>
        </w:trPr>
        <w:tc>
          <w:tcPr>
            <w:tcW w:w="5214" w:type="dxa"/>
            <w:vAlign w:val="center"/>
            <w:hideMark/>
          </w:tcPr>
          <w:p w14:paraId="7B40EA1F"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محايد</w:t>
            </w:r>
          </w:p>
        </w:tc>
        <w:tc>
          <w:tcPr>
            <w:tcW w:w="0" w:type="auto"/>
            <w:vAlign w:val="center"/>
            <w:hideMark/>
          </w:tcPr>
          <w:p w14:paraId="0462A153"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N</w:t>
            </w:r>
          </w:p>
        </w:tc>
        <w:tc>
          <w:tcPr>
            <w:tcW w:w="0" w:type="auto"/>
            <w:vAlign w:val="center"/>
            <w:hideMark/>
          </w:tcPr>
          <w:p w14:paraId="56D39C95"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3</w:t>
            </w:r>
          </w:p>
        </w:tc>
      </w:tr>
      <w:tr w:rsidR="001A3ABE" w:rsidRPr="003C40F2" w14:paraId="721F88D9" w14:textId="77777777" w:rsidTr="00CC256A">
        <w:trPr>
          <w:jc w:val="center"/>
        </w:trPr>
        <w:tc>
          <w:tcPr>
            <w:tcW w:w="5214" w:type="dxa"/>
            <w:vAlign w:val="center"/>
            <w:hideMark/>
          </w:tcPr>
          <w:p w14:paraId="79D9322F"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موافق</w:t>
            </w:r>
          </w:p>
        </w:tc>
        <w:tc>
          <w:tcPr>
            <w:tcW w:w="0" w:type="auto"/>
            <w:vAlign w:val="center"/>
            <w:hideMark/>
          </w:tcPr>
          <w:p w14:paraId="1C673BCC"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A</w:t>
            </w:r>
          </w:p>
        </w:tc>
        <w:tc>
          <w:tcPr>
            <w:tcW w:w="0" w:type="auto"/>
            <w:vAlign w:val="center"/>
            <w:hideMark/>
          </w:tcPr>
          <w:p w14:paraId="3F6DCB5D"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4</w:t>
            </w:r>
          </w:p>
        </w:tc>
      </w:tr>
      <w:tr w:rsidR="001A3ABE" w:rsidRPr="003C40F2" w14:paraId="62342952" w14:textId="77777777" w:rsidTr="00CC256A">
        <w:trPr>
          <w:jc w:val="center"/>
        </w:trPr>
        <w:tc>
          <w:tcPr>
            <w:tcW w:w="5214" w:type="dxa"/>
            <w:vAlign w:val="center"/>
            <w:hideMark/>
          </w:tcPr>
          <w:p w14:paraId="3ED1D369"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موافق بشدة</w:t>
            </w:r>
          </w:p>
        </w:tc>
        <w:tc>
          <w:tcPr>
            <w:tcW w:w="0" w:type="auto"/>
            <w:vAlign w:val="center"/>
            <w:hideMark/>
          </w:tcPr>
          <w:p w14:paraId="12A83040"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SA</w:t>
            </w:r>
          </w:p>
        </w:tc>
        <w:tc>
          <w:tcPr>
            <w:tcW w:w="0" w:type="auto"/>
            <w:vAlign w:val="center"/>
            <w:hideMark/>
          </w:tcPr>
          <w:p w14:paraId="594FB734"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5</w:t>
            </w:r>
          </w:p>
        </w:tc>
      </w:tr>
    </w:tbl>
    <w:p w14:paraId="4EACB698" w14:textId="77777777" w:rsidR="00644050" w:rsidRDefault="00644050" w:rsidP="001A3ABE">
      <w:pPr>
        <w:bidi/>
        <w:spacing w:line="240" w:lineRule="auto"/>
        <w:jc w:val="lowKashida"/>
        <w:rPr>
          <w:rFonts w:ascii="Simplified Arabic" w:hAnsi="Simplified Arabic" w:cs="Simplified Arabic"/>
          <w:sz w:val="24"/>
          <w:szCs w:val="24"/>
        </w:rPr>
      </w:pPr>
    </w:p>
    <w:p w14:paraId="3953A0CC" w14:textId="77777777" w:rsidR="00BD65CF" w:rsidRDefault="00BD65CF" w:rsidP="00644050">
      <w:pPr>
        <w:bidi/>
        <w:spacing w:line="240" w:lineRule="auto"/>
        <w:jc w:val="lowKashida"/>
        <w:rPr>
          <w:rFonts w:ascii="Simplified Arabic" w:hAnsi="Simplified Arabic" w:cs="Simplified Arabic"/>
          <w:sz w:val="24"/>
          <w:szCs w:val="24"/>
        </w:rPr>
      </w:pPr>
    </w:p>
    <w:p w14:paraId="0BF23755" w14:textId="77777777" w:rsidR="00BD65CF" w:rsidRDefault="00BD65CF" w:rsidP="00BD65CF">
      <w:pPr>
        <w:bidi/>
        <w:spacing w:line="240" w:lineRule="auto"/>
        <w:jc w:val="lowKashida"/>
        <w:rPr>
          <w:rFonts w:ascii="Simplified Arabic" w:hAnsi="Simplified Arabic" w:cs="Simplified Arabic"/>
          <w:sz w:val="24"/>
          <w:szCs w:val="24"/>
        </w:rPr>
      </w:pPr>
    </w:p>
    <w:p w14:paraId="06220A0E" w14:textId="584C8E0C" w:rsidR="001A3ABE" w:rsidRPr="003C40F2" w:rsidRDefault="001A3ABE" w:rsidP="00BD65CF">
      <w:pPr>
        <w:bidi/>
        <w:spacing w:line="240" w:lineRule="auto"/>
        <w:jc w:val="lowKashida"/>
        <w:rPr>
          <w:rFonts w:ascii="Simplified Arabic" w:hAnsi="Simplified Arabic" w:cs="Simplified Arabic"/>
          <w:sz w:val="24"/>
          <w:szCs w:val="24"/>
          <w:rtl/>
        </w:rPr>
      </w:pPr>
      <w:r w:rsidRPr="003C40F2">
        <w:rPr>
          <w:rFonts w:ascii="Simplified Arabic" w:hAnsi="Simplified Arabic" w:cs="Simplified Arabic"/>
          <w:sz w:val="24"/>
          <w:szCs w:val="24"/>
          <w:rtl/>
        </w:rPr>
        <w:lastRenderedPageBreak/>
        <w:t>وسيتم تفسير المتوسطات الحسابية وفقًا للجدول الآتي</w:t>
      </w:r>
      <w:r w:rsidRPr="003C40F2">
        <w:rPr>
          <w:rFonts w:ascii="Simplified Arabic" w:hAnsi="Simplified Arabic" w:cs="Simplified Arabic"/>
          <w:sz w:val="24"/>
          <w:szCs w:val="24"/>
        </w:rPr>
        <w:t>:</w:t>
      </w:r>
    </w:p>
    <w:p w14:paraId="62E877B3"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جدول</w:t>
      </w:r>
      <w:r w:rsidRPr="003C40F2">
        <w:rPr>
          <w:rFonts w:ascii="Simplified Arabic" w:hAnsi="Simplified Arabic" w:cs="Simplified Arabic"/>
          <w:b/>
          <w:bCs/>
          <w:sz w:val="24"/>
          <w:szCs w:val="24"/>
        </w:rPr>
        <w:t xml:space="preserve"> (3-7)</w:t>
      </w:r>
    </w:p>
    <w:p w14:paraId="0B450C36"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تفسير المتوسطات الحسابية</w:t>
      </w:r>
    </w:p>
    <w:tbl>
      <w:tblPr>
        <w:tblStyle w:val="TableGridLight"/>
        <w:bidiVisual/>
        <w:tblW w:w="0" w:type="auto"/>
        <w:jc w:val="center"/>
        <w:tblLook w:val="04A0" w:firstRow="1" w:lastRow="0" w:firstColumn="1" w:lastColumn="0" w:noHBand="0" w:noVBand="1"/>
      </w:tblPr>
      <w:tblGrid>
        <w:gridCol w:w="1568"/>
        <w:gridCol w:w="1558"/>
      </w:tblGrid>
      <w:tr w:rsidR="001A3ABE" w:rsidRPr="003C40F2" w14:paraId="2739256E" w14:textId="77777777" w:rsidTr="00CC256A">
        <w:trPr>
          <w:jc w:val="center"/>
        </w:trPr>
        <w:tc>
          <w:tcPr>
            <w:tcW w:w="0" w:type="auto"/>
            <w:vAlign w:val="center"/>
            <w:hideMark/>
          </w:tcPr>
          <w:p w14:paraId="72F22298" w14:textId="77777777" w:rsidR="001A3ABE" w:rsidRPr="003C40F2" w:rsidRDefault="001A3ABE" w:rsidP="00CC256A">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المتوسط الحسابي</w:t>
            </w:r>
          </w:p>
        </w:tc>
        <w:tc>
          <w:tcPr>
            <w:tcW w:w="0" w:type="auto"/>
            <w:vAlign w:val="center"/>
            <w:hideMark/>
          </w:tcPr>
          <w:p w14:paraId="4E261D26" w14:textId="77777777" w:rsidR="001A3ABE" w:rsidRPr="003C40F2" w:rsidRDefault="001A3ABE" w:rsidP="00CC256A">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مستوى الاستجابة</w:t>
            </w:r>
          </w:p>
        </w:tc>
      </w:tr>
      <w:tr w:rsidR="001A3ABE" w:rsidRPr="003C40F2" w14:paraId="5530B83E" w14:textId="77777777" w:rsidTr="00CC256A">
        <w:trPr>
          <w:jc w:val="center"/>
        </w:trPr>
        <w:tc>
          <w:tcPr>
            <w:tcW w:w="0" w:type="auto"/>
            <w:vAlign w:val="center"/>
            <w:hideMark/>
          </w:tcPr>
          <w:p w14:paraId="565DB2A5"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1.00 – 1.80</w:t>
            </w:r>
          </w:p>
        </w:tc>
        <w:tc>
          <w:tcPr>
            <w:tcW w:w="0" w:type="auto"/>
            <w:vAlign w:val="center"/>
            <w:hideMark/>
          </w:tcPr>
          <w:p w14:paraId="639B3AEE"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منخفض جدًا</w:t>
            </w:r>
          </w:p>
        </w:tc>
      </w:tr>
      <w:tr w:rsidR="001A3ABE" w:rsidRPr="003C40F2" w14:paraId="490D3EF5" w14:textId="77777777" w:rsidTr="00CC256A">
        <w:trPr>
          <w:jc w:val="center"/>
        </w:trPr>
        <w:tc>
          <w:tcPr>
            <w:tcW w:w="0" w:type="auto"/>
            <w:vAlign w:val="center"/>
            <w:hideMark/>
          </w:tcPr>
          <w:p w14:paraId="4918FF0F"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1.81 – 2.60</w:t>
            </w:r>
          </w:p>
        </w:tc>
        <w:tc>
          <w:tcPr>
            <w:tcW w:w="0" w:type="auto"/>
            <w:vAlign w:val="center"/>
            <w:hideMark/>
          </w:tcPr>
          <w:p w14:paraId="5EFDC8CD"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منخفض</w:t>
            </w:r>
          </w:p>
        </w:tc>
      </w:tr>
      <w:tr w:rsidR="001A3ABE" w:rsidRPr="003C40F2" w14:paraId="35694BBC" w14:textId="77777777" w:rsidTr="00CC256A">
        <w:trPr>
          <w:jc w:val="center"/>
        </w:trPr>
        <w:tc>
          <w:tcPr>
            <w:tcW w:w="0" w:type="auto"/>
            <w:vAlign w:val="center"/>
            <w:hideMark/>
          </w:tcPr>
          <w:p w14:paraId="1C3518B8"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2.61 – 3.40</w:t>
            </w:r>
          </w:p>
        </w:tc>
        <w:tc>
          <w:tcPr>
            <w:tcW w:w="0" w:type="auto"/>
            <w:vAlign w:val="center"/>
            <w:hideMark/>
          </w:tcPr>
          <w:p w14:paraId="3C020AE8"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متوسط</w:t>
            </w:r>
          </w:p>
        </w:tc>
      </w:tr>
      <w:tr w:rsidR="001A3ABE" w:rsidRPr="003C40F2" w14:paraId="681543A2" w14:textId="77777777" w:rsidTr="00CC256A">
        <w:trPr>
          <w:jc w:val="center"/>
        </w:trPr>
        <w:tc>
          <w:tcPr>
            <w:tcW w:w="0" w:type="auto"/>
            <w:vAlign w:val="center"/>
            <w:hideMark/>
          </w:tcPr>
          <w:p w14:paraId="238B42E4"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3.41 – 4.20</w:t>
            </w:r>
          </w:p>
        </w:tc>
        <w:tc>
          <w:tcPr>
            <w:tcW w:w="0" w:type="auto"/>
            <w:vAlign w:val="center"/>
            <w:hideMark/>
          </w:tcPr>
          <w:p w14:paraId="3091E545"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مرتفع</w:t>
            </w:r>
          </w:p>
        </w:tc>
      </w:tr>
      <w:tr w:rsidR="001A3ABE" w:rsidRPr="003C40F2" w14:paraId="70DED336" w14:textId="77777777" w:rsidTr="00CC256A">
        <w:trPr>
          <w:jc w:val="center"/>
        </w:trPr>
        <w:tc>
          <w:tcPr>
            <w:tcW w:w="0" w:type="auto"/>
            <w:vAlign w:val="center"/>
            <w:hideMark/>
          </w:tcPr>
          <w:p w14:paraId="12D08734"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4.21 – 5.00</w:t>
            </w:r>
          </w:p>
        </w:tc>
        <w:tc>
          <w:tcPr>
            <w:tcW w:w="0" w:type="auto"/>
            <w:vAlign w:val="center"/>
            <w:hideMark/>
          </w:tcPr>
          <w:p w14:paraId="64DF9833"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مرتفع جدًا</w:t>
            </w:r>
          </w:p>
        </w:tc>
      </w:tr>
    </w:tbl>
    <w:p w14:paraId="72F2F8B6" w14:textId="77777777" w:rsidR="00CB07CF" w:rsidRDefault="00CB07CF" w:rsidP="00B457C6">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p>
    <w:p w14:paraId="2F59B408" w14:textId="6E3C40DF" w:rsidR="001A3ABE" w:rsidRPr="003C40F2" w:rsidRDefault="00CB07CF" w:rsidP="00CB07CF">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001A3ABE" w:rsidRPr="003C40F2">
        <w:rPr>
          <w:rFonts w:ascii="Simplified Arabic" w:hAnsi="Simplified Arabic" w:cs="Simplified Arabic"/>
          <w:b/>
          <w:bCs/>
          <w:sz w:val="24"/>
          <w:szCs w:val="24"/>
        </w:rPr>
        <w:t xml:space="preserve">3.12 </w:t>
      </w:r>
      <w:r w:rsidR="001A3ABE" w:rsidRPr="003C40F2">
        <w:rPr>
          <w:rFonts w:ascii="Simplified Arabic" w:hAnsi="Simplified Arabic" w:cs="Simplified Arabic"/>
          <w:b/>
          <w:bCs/>
          <w:sz w:val="24"/>
          <w:szCs w:val="24"/>
          <w:rtl/>
        </w:rPr>
        <w:t>صدق أداة الدراسة</w:t>
      </w:r>
    </w:p>
    <w:p w14:paraId="6E50764F" w14:textId="77777777" w:rsidR="00786132" w:rsidRDefault="001A3ABE" w:rsidP="00B457C6">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 xml:space="preserve">سيتم التحقق من صدق أداة الدراسة من خلال عرضها على مجموعة من المحكمين المتخصصين في الإدارة العامة، والإدارة البيئية، والإدارة الاستراتيجية، ومناهج البحث العلمي، والإحصاء، وذلك للتأكد من سلامة الصياغة اللغوية، ووضوح الفقرات، ومدى ارتباطها بمتغيرات الدراسة، وشمولها لجميع الأبعاد المطلوب قياسها. وسيتم إجراء التعديلات اللازمة في ضوء ملاحظات المحكمين قبل اعتماد الصورة النهائية للاستبانة ومن المقترح عرض الأداة على </w:t>
      </w:r>
      <w:r w:rsidRPr="003C40F2">
        <w:rPr>
          <w:rFonts w:ascii="Simplified Arabic" w:hAnsi="Simplified Arabic" w:cs="Simplified Arabic"/>
          <w:sz w:val="24"/>
          <w:szCs w:val="24"/>
        </w:rPr>
        <w:t xml:space="preserve">(7–10) </w:t>
      </w:r>
      <w:r w:rsidRPr="003C40F2">
        <w:rPr>
          <w:rFonts w:ascii="Simplified Arabic" w:hAnsi="Simplified Arabic" w:cs="Simplified Arabic"/>
          <w:sz w:val="24"/>
          <w:szCs w:val="24"/>
          <w:rtl/>
        </w:rPr>
        <w:t>محكمين من أعضاء هيئة التدريس والمتخصصين في المجالات ذات العلاقة</w:t>
      </w:r>
      <w:r w:rsidRPr="003C40F2">
        <w:rPr>
          <w:rFonts w:ascii="Simplified Arabic" w:hAnsi="Simplified Arabic" w:cs="Simplified Arabic"/>
          <w:sz w:val="24"/>
          <w:szCs w:val="24"/>
        </w:rPr>
        <w:t>.</w:t>
      </w:r>
    </w:p>
    <w:p w14:paraId="539FFB59" w14:textId="062FAEC5" w:rsidR="00A204CB" w:rsidRPr="00E36E7C" w:rsidRDefault="009942B7" w:rsidP="00786132">
      <w:pPr>
        <w:bidi/>
        <w:spacing w:line="240" w:lineRule="auto"/>
        <w:jc w:val="lowKashida"/>
        <w:rPr>
          <w:rFonts w:ascii="Simplified Arabic" w:hAnsi="Simplified Arabic" w:cs="Simplified Arabic"/>
          <w:sz w:val="24"/>
          <w:szCs w:val="24"/>
        </w:rPr>
      </w:pPr>
      <w:r w:rsidRPr="00E36E7C">
        <w:rPr>
          <w:rFonts w:ascii="Simplified Arabic" w:hAnsi="Simplified Arabic" w:cs="Simplified Arabic"/>
          <w:sz w:val="24"/>
          <w:szCs w:val="24"/>
          <w:rtl/>
        </w:rPr>
        <w:t>وتم اعتماد الفقرات التي حظيت بنسبة اتفاق مرتفعة بين المحكمين، مع إعادة صياغة أو حذف الفقرات التي أشار المحكمون إلى ضعف وضوحها أو عدم ملاءمتها لمتغيرات الدراسة</w:t>
      </w:r>
      <w:r w:rsidRPr="00E36E7C">
        <w:rPr>
          <w:rFonts w:ascii="Simplified Arabic" w:hAnsi="Simplified Arabic" w:cs="Simplified Arabic"/>
          <w:sz w:val="24"/>
          <w:szCs w:val="24"/>
        </w:rPr>
        <w:t>.</w:t>
      </w:r>
    </w:p>
    <w:p w14:paraId="3641B95F"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جدول</w:t>
      </w:r>
      <w:r w:rsidRPr="003C40F2">
        <w:rPr>
          <w:rFonts w:ascii="Simplified Arabic" w:hAnsi="Simplified Arabic" w:cs="Simplified Arabic"/>
          <w:b/>
          <w:bCs/>
          <w:sz w:val="24"/>
          <w:szCs w:val="24"/>
        </w:rPr>
        <w:t xml:space="preserve"> (3-8)</w:t>
      </w:r>
    </w:p>
    <w:p w14:paraId="12715266"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مصفوفة صدق المحتوى</w:t>
      </w:r>
    </w:p>
    <w:tbl>
      <w:tblPr>
        <w:tblStyle w:val="TableGridLight"/>
        <w:bidiVisual/>
        <w:tblW w:w="0" w:type="auto"/>
        <w:jc w:val="center"/>
        <w:tblLook w:val="04A0" w:firstRow="1" w:lastRow="0" w:firstColumn="1" w:lastColumn="0" w:noHBand="0" w:noVBand="1"/>
      </w:tblPr>
      <w:tblGrid>
        <w:gridCol w:w="2237"/>
        <w:gridCol w:w="1153"/>
      </w:tblGrid>
      <w:tr w:rsidR="001A3ABE" w:rsidRPr="003C40F2" w14:paraId="3E75776B" w14:textId="77777777" w:rsidTr="00CC256A">
        <w:trPr>
          <w:jc w:val="center"/>
        </w:trPr>
        <w:tc>
          <w:tcPr>
            <w:tcW w:w="0" w:type="auto"/>
            <w:vAlign w:val="center"/>
            <w:hideMark/>
          </w:tcPr>
          <w:p w14:paraId="2072C136" w14:textId="77777777" w:rsidR="001A3ABE" w:rsidRPr="003C40F2" w:rsidRDefault="001A3ABE" w:rsidP="00CC256A">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البعد</w:t>
            </w:r>
          </w:p>
        </w:tc>
        <w:tc>
          <w:tcPr>
            <w:tcW w:w="0" w:type="auto"/>
            <w:vAlign w:val="center"/>
            <w:hideMark/>
          </w:tcPr>
          <w:p w14:paraId="6D6B0A42" w14:textId="77777777" w:rsidR="001A3ABE" w:rsidRPr="003C40F2" w:rsidRDefault="001A3ABE" w:rsidP="00CC256A">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أرقام الفقرات</w:t>
            </w:r>
          </w:p>
        </w:tc>
      </w:tr>
      <w:tr w:rsidR="001A3ABE" w:rsidRPr="003C40F2" w14:paraId="7209E655" w14:textId="77777777" w:rsidTr="00CC256A">
        <w:trPr>
          <w:jc w:val="center"/>
        </w:trPr>
        <w:tc>
          <w:tcPr>
            <w:tcW w:w="0" w:type="auto"/>
            <w:vAlign w:val="center"/>
            <w:hideMark/>
          </w:tcPr>
          <w:p w14:paraId="3B731E03"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الإطار التشريعي والتنظيمي</w:t>
            </w:r>
          </w:p>
        </w:tc>
        <w:tc>
          <w:tcPr>
            <w:tcW w:w="0" w:type="auto"/>
            <w:vAlign w:val="center"/>
            <w:hideMark/>
          </w:tcPr>
          <w:p w14:paraId="4A532045"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1–5</w:t>
            </w:r>
          </w:p>
        </w:tc>
      </w:tr>
      <w:tr w:rsidR="001A3ABE" w:rsidRPr="003C40F2" w14:paraId="7A0D2A1F" w14:textId="77777777" w:rsidTr="00CC256A">
        <w:trPr>
          <w:jc w:val="center"/>
        </w:trPr>
        <w:tc>
          <w:tcPr>
            <w:tcW w:w="0" w:type="auto"/>
            <w:vAlign w:val="center"/>
            <w:hideMark/>
          </w:tcPr>
          <w:p w14:paraId="00D640F8"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توزيع الأدوار والمسؤوليات</w:t>
            </w:r>
          </w:p>
        </w:tc>
        <w:tc>
          <w:tcPr>
            <w:tcW w:w="0" w:type="auto"/>
            <w:vAlign w:val="center"/>
            <w:hideMark/>
          </w:tcPr>
          <w:p w14:paraId="368727C3"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6–10</w:t>
            </w:r>
          </w:p>
        </w:tc>
      </w:tr>
      <w:tr w:rsidR="001A3ABE" w:rsidRPr="003C40F2" w14:paraId="1A56A418" w14:textId="77777777" w:rsidTr="00CC256A">
        <w:trPr>
          <w:jc w:val="center"/>
        </w:trPr>
        <w:tc>
          <w:tcPr>
            <w:tcW w:w="0" w:type="auto"/>
            <w:vAlign w:val="center"/>
            <w:hideMark/>
          </w:tcPr>
          <w:p w14:paraId="6615DB19"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التنسيق وتبادل المعلومات</w:t>
            </w:r>
          </w:p>
        </w:tc>
        <w:tc>
          <w:tcPr>
            <w:tcW w:w="0" w:type="auto"/>
            <w:vAlign w:val="center"/>
            <w:hideMark/>
          </w:tcPr>
          <w:p w14:paraId="6F834763"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11–15</w:t>
            </w:r>
          </w:p>
        </w:tc>
      </w:tr>
      <w:tr w:rsidR="001A3ABE" w:rsidRPr="003C40F2" w14:paraId="3F660521" w14:textId="77777777" w:rsidTr="00CC256A">
        <w:trPr>
          <w:jc w:val="center"/>
        </w:trPr>
        <w:tc>
          <w:tcPr>
            <w:tcW w:w="0" w:type="auto"/>
            <w:vAlign w:val="center"/>
            <w:hideMark/>
          </w:tcPr>
          <w:p w14:paraId="08E1DB67"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إدارة الموارد والتمويل</w:t>
            </w:r>
          </w:p>
        </w:tc>
        <w:tc>
          <w:tcPr>
            <w:tcW w:w="0" w:type="auto"/>
            <w:vAlign w:val="center"/>
            <w:hideMark/>
          </w:tcPr>
          <w:p w14:paraId="5BAAB81D"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16–20</w:t>
            </w:r>
          </w:p>
        </w:tc>
      </w:tr>
      <w:tr w:rsidR="001A3ABE" w:rsidRPr="003C40F2" w14:paraId="71888147" w14:textId="77777777" w:rsidTr="00CC256A">
        <w:trPr>
          <w:jc w:val="center"/>
        </w:trPr>
        <w:tc>
          <w:tcPr>
            <w:tcW w:w="0" w:type="auto"/>
            <w:vAlign w:val="center"/>
            <w:hideMark/>
          </w:tcPr>
          <w:p w14:paraId="47DF9F99"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lastRenderedPageBreak/>
              <w:t>الرقابة وإدارة المخاطر</w:t>
            </w:r>
          </w:p>
        </w:tc>
        <w:tc>
          <w:tcPr>
            <w:tcW w:w="0" w:type="auto"/>
            <w:vAlign w:val="center"/>
            <w:hideMark/>
          </w:tcPr>
          <w:p w14:paraId="68FA9DE6"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21–25</w:t>
            </w:r>
          </w:p>
        </w:tc>
      </w:tr>
      <w:tr w:rsidR="001A3ABE" w:rsidRPr="003C40F2" w14:paraId="016E60AF" w14:textId="77777777" w:rsidTr="00CC256A">
        <w:trPr>
          <w:jc w:val="center"/>
        </w:trPr>
        <w:tc>
          <w:tcPr>
            <w:tcW w:w="0" w:type="auto"/>
            <w:vAlign w:val="center"/>
            <w:hideMark/>
          </w:tcPr>
          <w:p w14:paraId="1CD4833F"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الكفاءة التشغيلية</w:t>
            </w:r>
          </w:p>
        </w:tc>
        <w:tc>
          <w:tcPr>
            <w:tcW w:w="0" w:type="auto"/>
            <w:vAlign w:val="center"/>
            <w:hideMark/>
          </w:tcPr>
          <w:p w14:paraId="1FBBC482"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26–30</w:t>
            </w:r>
          </w:p>
        </w:tc>
      </w:tr>
      <w:tr w:rsidR="001A3ABE" w:rsidRPr="003C40F2" w14:paraId="0BC15F25" w14:textId="77777777" w:rsidTr="00CC256A">
        <w:trPr>
          <w:jc w:val="center"/>
        </w:trPr>
        <w:tc>
          <w:tcPr>
            <w:tcW w:w="0" w:type="auto"/>
            <w:vAlign w:val="center"/>
            <w:hideMark/>
          </w:tcPr>
          <w:p w14:paraId="027FC88F"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جودة الرقابة والامتثال</w:t>
            </w:r>
          </w:p>
        </w:tc>
        <w:tc>
          <w:tcPr>
            <w:tcW w:w="0" w:type="auto"/>
            <w:vAlign w:val="center"/>
            <w:hideMark/>
          </w:tcPr>
          <w:p w14:paraId="7B3DC527"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31–35</w:t>
            </w:r>
          </w:p>
        </w:tc>
      </w:tr>
      <w:tr w:rsidR="001A3ABE" w:rsidRPr="003C40F2" w14:paraId="6F14F74A" w14:textId="77777777" w:rsidTr="00CC256A">
        <w:trPr>
          <w:jc w:val="center"/>
        </w:trPr>
        <w:tc>
          <w:tcPr>
            <w:tcW w:w="0" w:type="auto"/>
            <w:vAlign w:val="center"/>
            <w:hideMark/>
          </w:tcPr>
          <w:p w14:paraId="146BBDE0"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الشفافية والمساءلة</w:t>
            </w:r>
          </w:p>
        </w:tc>
        <w:tc>
          <w:tcPr>
            <w:tcW w:w="0" w:type="auto"/>
            <w:vAlign w:val="center"/>
            <w:hideMark/>
          </w:tcPr>
          <w:p w14:paraId="045FED08"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36–40</w:t>
            </w:r>
          </w:p>
        </w:tc>
      </w:tr>
      <w:tr w:rsidR="001A3ABE" w:rsidRPr="003C40F2" w14:paraId="1AB4B25C" w14:textId="77777777" w:rsidTr="00CC256A">
        <w:trPr>
          <w:jc w:val="center"/>
        </w:trPr>
        <w:tc>
          <w:tcPr>
            <w:tcW w:w="0" w:type="auto"/>
            <w:vAlign w:val="center"/>
            <w:hideMark/>
          </w:tcPr>
          <w:p w14:paraId="125FB23E"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تحسين الأداء البيئي</w:t>
            </w:r>
          </w:p>
        </w:tc>
        <w:tc>
          <w:tcPr>
            <w:tcW w:w="0" w:type="auto"/>
            <w:vAlign w:val="center"/>
            <w:hideMark/>
          </w:tcPr>
          <w:p w14:paraId="7C45BEC6"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41–45</w:t>
            </w:r>
          </w:p>
        </w:tc>
      </w:tr>
      <w:tr w:rsidR="001A3ABE" w:rsidRPr="003C40F2" w14:paraId="57570AA7" w14:textId="77777777" w:rsidTr="00CC256A">
        <w:trPr>
          <w:jc w:val="center"/>
        </w:trPr>
        <w:tc>
          <w:tcPr>
            <w:tcW w:w="0" w:type="auto"/>
            <w:vAlign w:val="center"/>
            <w:hideMark/>
          </w:tcPr>
          <w:p w14:paraId="212B33CA"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الاستدامة المؤسسية</w:t>
            </w:r>
          </w:p>
        </w:tc>
        <w:tc>
          <w:tcPr>
            <w:tcW w:w="0" w:type="auto"/>
            <w:vAlign w:val="center"/>
            <w:hideMark/>
          </w:tcPr>
          <w:p w14:paraId="116E80FC"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Pr>
              <w:t>46–50</w:t>
            </w:r>
          </w:p>
        </w:tc>
      </w:tr>
    </w:tbl>
    <w:p w14:paraId="65064DF0" w14:textId="77777777" w:rsidR="001A3ABE" w:rsidRPr="003C40F2" w:rsidRDefault="001A3ABE" w:rsidP="001A3ABE">
      <w:pPr>
        <w:bidi/>
        <w:spacing w:line="240" w:lineRule="auto"/>
        <w:jc w:val="lowKashida"/>
        <w:rPr>
          <w:rFonts w:ascii="Simplified Arabic" w:hAnsi="Simplified Arabic" w:cs="Simplified Arabic"/>
          <w:sz w:val="24"/>
          <w:szCs w:val="24"/>
        </w:rPr>
      </w:pPr>
    </w:p>
    <w:p w14:paraId="3DE8D3D8"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3.13 </w:t>
      </w:r>
      <w:r w:rsidRPr="003C40F2">
        <w:rPr>
          <w:rFonts w:ascii="Simplified Arabic" w:hAnsi="Simplified Arabic" w:cs="Simplified Arabic"/>
          <w:b/>
          <w:bCs/>
          <w:sz w:val="24"/>
          <w:szCs w:val="24"/>
          <w:rtl/>
        </w:rPr>
        <w:t>ثبات أداة الدراسة</w:t>
      </w:r>
    </w:p>
    <w:p w14:paraId="60209279" w14:textId="4752A2A3" w:rsidR="00A204CB" w:rsidRDefault="001A3ABE" w:rsidP="00307DFD">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سيتم التحقق من ثبات أداة الدراسة باستخدام معامل ألفا كرونباخ</w:t>
      </w:r>
      <w:r w:rsidRPr="003C40F2">
        <w:rPr>
          <w:rFonts w:ascii="Simplified Arabic" w:hAnsi="Simplified Arabic" w:cs="Simplified Arabic"/>
          <w:sz w:val="24"/>
          <w:szCs w:val="24"/>
        </w:rPr>
        <w:t xml:space="preserve"> (Cronbach's Alpha) </w:t>
      </w:r>
      <w:r w:rsidRPr="003C40F2">
        <w:rPr>
          <w:rFonts w:ascii="Simplified Arabic" w:hAnsi="Simplified Arabic" w:cs="Simplified Arabic"/>
          <w:sz w:val="24"/>
          <w:szCs w:val="24"/>
          <w:rtl/>
        </w:rPr>
        <w:t>لقياس الاتساق الداخلي لفقرات الاستبانة، ويعد من أكثر الأساليب استخدامًا في الدراسات الإدارية. وسيتم قبول قيم الثبات التي لا تقل عن (0.70) باعتبارها مؤشرًا على تمتع الأداة بدرجة مناسبة من الثبات</w:t>
      </w:r>
      <w:r w:rsidRPr="003C40F2">
        <w:rPr>
          <w:rFonts w:ascii="Simplified Arabic" w:hAnsi="Simplified Arabic" w:cs="Simplified Arabic"/>
          <w:sz w:val="24"/>
          <w:szCs w:val="24"/>
        </w:rPr>
        <w:t>.</w:t>
      </w:r>
    </w:p>
    <w:p w14:paraId="23F8560B" w14:textId="77777777" w:rsidR="00CB07CF" w:rsidRPr="003C40F2" w:rsidRDefault="00CB07CF" w:rsidP="00CB07CF">
      <w:pPr>
        <w:bidi/>
        <w:spacing w:line="240" w:lineRule="auto"/>
        <w:jc w:val="lowKashida"/>
        <w:rPr>
          <w:rFonts w:ascii="Simplified Arabic" w:hAnsi="Simplified Arabic" w:cs="Simplified Arabic"/>
          <w:sz w:val="24"/>
          <w:szCs w:val="24"/>
        </w:rPr>
      </w:pPr>
    </w:p>
    <w:p w14:paraId="1B03870D"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3.14 </w:t>
      </w:r>
      <w:r w:rsidRPr="003C40F2">
        <w:rPr>
          <w:rFonts w:ascii="Simplified Arabic" w:hAnsi="Simplified Arabic" w:cs="Simplified Arabic"/>
          <w:b/>
          <w:bCs/>
          <w:sz w:val="24"/>
          <w:szCs w:val="24"/>
          <w:rtl/>
        </w:rPr>
        <w:t>الدراسة الاستطلاعية</w:t>
      </w:r>
      <w:r w:rsidRPr="003C40F2">
        <w:rPr>
          <w:rFonts w:ascii="Simplified Arabic" w:hAnsi="Simplified Arabic" w:cs="Simplified Arabic"/>
          <w:b/>
          <w:bCs/>
          <w:sz w:val="24"/>
          <w:szCs w:val="24"/>
        </w:rPr>
        <w:t xml:space="preserve"> (Pilot Study)</w:t>
      </w:r>
    </w:p>
    <w:p w14:paraId="7160B04C" w14:textId="77777777" w:rsidR="001A3ABE"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 xml:space="preserve">قبل التطبيق الفعلي للاستبانة، سيتم تنفيذ دراسة استطلاعية على عينة تتراوح بين </w:t>
      </w:r>
      <w:r w:rsidRPr="003C40F2">
        <w:rPr>
          <w:rFonts w:ascii="Simplified Arabic" w:hAnsi="Simplified Arabic" w:cs="Simplified Arabic"/>
          <w:sz w:val="24"/>
          <w:szCs w:val="24"/>
        </w:rPr>
        <w:t xml:space="preserve">20–30 </w:t>
      </w:r>
      <w:r w:rsidRPr="003C40F2">
        <w:rPr>
          <w:rFonts w:ascii="Simplified Arabic" w:hAnsi="Simplified Arabic" w:cs="Simplified Arabic"/>
          <w:sz w:val="24"/>
          <w:szCs w:val="24"/>
          <w:rtl/>
        </w:rPr>
        <w:t>مفردة من مجتمع الدراسة، بهدف التأكد من وضوح الفقرات، وسهولة الإجابة عنها، وقياس الزمن اللازم للإجابة، واكتشاف أي ملاحظات قد تؤثر في جودة البيانات. كما سيتم استخدام نتائج الدراسة الاستطلاعية في حساب معامل الثبات وإجراء التعديلات اللازمة قبل التطبيق النهائي</w:t>
      </w:r>
      <w:r w:rsidRPr="003C40F2">
        <w:rPr>
          <w:rFonts w:ascii="Simplified Arabic" w:hAnsi="Simplified Arabic" w:cs="Simplified Arabic"/>
          <w:sz w:val="24"/>
          <w:szCs w:val="24"/>
        </w:rPr>
        <w:t>.</w:t>
      </w:r>
    </w:p>
    <w:p w14:paraId="34D46AF0" w14:textId="00EF42AD" w:rsidR="00E36E7C" w:rsidRDefault="00E36E7C" w:rsidP="00E36E7C">
      <w:pPr>
        <w:bidi/>
        <w:spacing w:line="240" w:lineRule="auto"/>
        <w:jc w:val="lowKashida"/>
        <w:rPr>
          <w:rFonts w:ascii="Simplified Arabic" w:hAnsi="Simplified Arabic" w:cs="Simplified Arabic"/>
          <w:sz w:val="24"/>
          <w:szCs w:val="24"/>
        </w:rPr>
      </w:pPr>
      <w:r w:rsidRPr="00E36E7C">
        <w:rPr>
          <w:rFonts w:ascii="Simplified Arabic" w:hAnsi="Simplified Arabic" w:cs="Simplified Arabic"/>
          <w:sz w:val="24"/>
          <w:szCs w:val="24"/>
          <w:rtl/>
        </w:rPr>
        <w:t>وتم اختيار أفراد الدراسة الاستطلاعية بطريقة قصدية من مجتمع الدراسة، على ألا يكونوا ضمن العينة الأساسية للدراسة</w:t>
      </w:r>
      <w:r w:rsidRPr="00E36E7C">
        <w:rPr>
          <w:rFonts w:ascii="Simplified Arabic" w:hAnsi="Simplified Arabic" w:cs="Simplified Arabic"/>
          <w:sz w:val="24"/>
          <w:szCs w:val="24"/>
        </w:rPr>
        <w:t>.</w:t>
      </w:r>
    </w:p>
    <w:p w14:paraId="54C4B7EC" w14:textId="77777777" w:rsidR="00CB07CF" w:rsidRPr="00E36E7C" w:rsidRDefault="00CB07CF" w:rsidP="00CB07CF">
      <w:pPr>
        <w:bidi/>
        <w:spacing w:line="240" w:lineRule="auto"/>
        <w:jc w:val="lowKashida"/>
        <w:rPr>
          <w:rFonts w:ascii="Simplified Arabic" w:hAnsi="Simplified Arabic" w:cs="Simplified Arabic"/>
          <w:sz w:val="24"/>
          <w:szCs w:val="24"/>
        </w:rPr>
      </w:pPr>
    </w:p>
    <w:p w14:paraId="255844C1"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3.15 </w:t>
      </w:r>
      <w:r w:rsidRPr="003C40F2">
        <w:rPr>
          <w:rFonts w:ascii="Simplified Arabic" w:hAnsi="Simplified Arabic" w:cs="Simplified Arabic"/>
          <w:b/>
          <w:bCs/>
          <w:sz w:val="24"/>
          <w:szCs w:val="24"/>
          <w:rtl/>
        </w:rPr>
        <w:t>إجراءات جمع البيانات</w:t>
      </w:r>
    </w:p>
    <w:p w14:paraId="06C55E57" w14:textId="7C14928D" w:rsidR="00A204CB" w:rsidRPr="00D7605F" w:rsidRDefault="00D7605F" w:rsidP="001E2677">
      <w:pPr>
        <w:bidi/>
        <w:spacing w:line="240" w:lineRule="auto"/>
        <w:jc w:val="lowKashida"/>
        <w:rPr>
          <w:rFonts w:ascii="Simplified Arabic" w:hAnsi="Simplified Arabic" w:cs="Simplified Arabic"/>
          <w:sz w:val="24"/>
          <w:szCs w:val="24"/>
        </w:rPr>
      </w:pPr>
      <w:r w:rsidRPr="00D7605F">
        <w:rPr>
          <w:rFonts w:ascii="Simplified Arabic" w:hAnsi="Simplified Arabic" w:cs="Simplified Arabic"/>
          <w:sz w:val="24"/>
          <w:szCs w:val="24"/>
          <w:rtl/>
        </w:rPr>
        <w:t>سيتم الحصول على الموافقات الرسمية من الجهات ذات العلاقة قبل البدء في جمع البيانات، ثم توزيع الاستبانة إلكترونيًا وورقيًا – حسب ما تتيحه الجهات المشاركة – على أفراد العينة خلال فترة تتراوح بين أربعة وستة أسابيع، مع متابعة المشاركين وتقديم التذكيرات اللازمة لزيادة معدل الاستجابة. وبعد استلام الاستبانات، سيتم مراجعتها واستبعاد الاستبانات غير المكتملة أو التي تحتوي على نمط إجابة غير منطقي، كما سيتم إرسال تذكيرين للمشاركين خلال فترة جمع البيانات بهدف رفع معدل الاستجابة، مع متابعة الاستبانات المستلمة والتأكد من اكتمالها قبل إدخالها للتحليل الإحصائي،ثم ترميز البيانات وإدخالها إلى برنامج التحليل الإحصائي</w:t>
      </w:r>
      <w:r w:rsidRPr="00D7605F">
        <w:rPr>
          <w:rFonts w:ascii="Simplified Arabic" w:hAnsi="Simplified Arabic" w:cs="Simplified Arabic"/>
          <w:sz w:val="24"/>
          <w:szCs w:val="24"/>
        </w:rPr>
        <w:t>.</w:t>
      </w:r>
    </w:p>
    <w:p w14:paraId="60FB86E7"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lastRenderedPageBreak/>
        <w:t xml:space="preserve"> </w:t>
      </w:r>
      <w:r w:rsidRPr="003C40F2">
        <w:rPr>
          <w:rFonts w:ascii="Simplified Arabic" w:hAnsi="Simplified Arabic" w:cs="Simplified Arabic"/>
          <w:b/>
          <w:bCs/>
          <w:sz w:val="24"/>
          <w:szCs w:val="24"/>
        </w:rPr>
        <w:t xml:space="preserve">3.16 </w:t>
      </w:r>
      <w:r w:rsidRPr="003C40F2">
        <w:rPr>
          <w:rFonts w:ascii="Simplified Arabic" w:hAnsi="Simplified Arabic" w:cs="Simplified Arabic"/>
          <w:b/>
          <w:bCs/>
          <w:sz w:val="24"/>
          <w:szCs w:val="24"/>
          <w:rtl/>
        </w:rPr>
        <w:t>معالجة البيانات المفقودة وحدود تعميم النتائج</w:t>
      </w:r>
    </w:p>
    <w:p w14:paraId="2C7339B0" w14:textId="77777777" w:rsidR="001A3ABE" w:rsidRPr="003C40F2"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سيتم فحص البيانات بعد إدخالها إلى البرنامج الإحصائي للتأكد من خلوها من الأخطاء والقيم المتطرفة والبيانات المفقودة. وسيتم استبعاد الاستبانات التي تتضمن نسبة مرتفعة من البيانات غير المكتملة، في حين ستتم معالجة الحالات البسيطة وفق الإجراءات الإحصائية المناسبة</w:t>
      </w:r>
      <w:r w:rsidRPr="003C40F2">
        <w:rPr>
          <w:rFonts w:ascii="Simplified Arabic" w:hAnsi="Simplified Arabic" w:cs="Simplified Arabic"/>
          <w:sz w:val="24"/>
          <w:szCs w:val="24"/>
        </w:rPr>
        <w:t>.</w:t>
      </w:r>
    </w:p>
    <w:p w14:paraId="137539CA" w14:textId="77777777" w:rsidR="006F0344" w:rsidRPr="006F0344" w:rsidRDefault="006F0344" w:rsidP="006F0344">
      <w:pPr>
        <w:bidi/>
        <w:spacing w:line="240" w:lineRule="auto"/>
        <w:jc w:val="lowKashida"/>
        <w:rPr>
          <w:rFonts w:ascii="Simplified Arabic" w:hAnsi="Simplified Arabic" w:cs="Simplified Arabic"/>
          <w:sz w:val="24"/>
          <w:szCs w:val="24"/>
        </w:rPr>
      </w:pPr>
      <w:r w:rsidRPr="006F0344">
        <w:rPr>
          <w:rFonts w:ascii="Simplified Arabic" w:hAnsi="Simplified Arabic" w:cs="Simplified Arabic"/>
          <w:sz w:val="24"/>
          <w:szCs w:val="24"/>
          <w:rtl/>
        </w:rPr>
        <w:t>كما سيتم فحص الاستجابات النمطية</w:t>
      </w:r>
      <w:r w:rsidRPr="006F0344">
        <w:rPr>
          <w:rFonts w:ascii="Simplified Arabic" w:hAnsi="Simplified Arabic" w:cs="Simplified Arabic"/>
          <w:sz w:val="24"/>
          <w:szCs w:val="24"/>
        </w:rPr>
        <w:t xml:space="preserve"> (Straight-lining) </w:t>
      </w:r>
      <w:r w:rsidRPr="006F0344">
        <w:rPr>
          <w:rFonts w:ascii="Simplified Arabic" w:hAnsi="Simplified Arabic" w:cs="Simplified Arabic"/>
          <w:sz w:val="24"/>
          <w:szCs w:val="24"/>
          <w:rtl/>
        </w:rPr>
        <w:t>والقيم المتطرفة</w:t>
      </w:r>
      <w:r w:rsidRPr="006F0344">
        <w:rPr>
          <w:rFonts w:ascii="Simplified Arabic" w:hAnsi="Simplified Arabic" w:cs="Simplified Arabic"/>
          <w:sz w:val="24"/>
          <w:szCs w:val="24"/>
        </w:rPr>
        <w:t xml:space="preserve"> (Outliers)</w:t>
      </w:r>
      <w:r w:rsidRPr="006F0344">
        <w:rPr>
          <w:rFonts w:ascii="Simplified Arabic" w:hAnsi="Simplified Arabic" w:cs="Simplified Arabic"/>
          <w:sz w:val="24"/>
          <w:szCs w:val="24"/>
          <w:rtl/>
        </w:rPr>
        <w:t>، واستبعاد الحالات التي تؤثر في جودة البيانات قبل بدء التحليل الإحصائي</w:t>
      </w:r>
      <w:r w:rsidRPr="006F0344">
        <w:rPr>
          <w:rFonts w:ascii="Simplified Arabic" w:hAnsi="Simplified Arabic" w:cs="Simplified Arabic"/>
          <w:sz w:val="24"/>
          <w:szCs w:val="24"/>
        </w:rPr>
        <w:t>.</w:t>
      </w:r>
    </w:p>
    <w:p w14:paraId="6AE6F83B" w14:textId="17F7B2EB" w:rsidR="001A3ABE" w:rsidRDefault="006F0344" w:rsidP="001E2677">
      <w:pPr>
        <w:bidi/>
        <w:spacing w:line="240" w:lineRule="auto"/>
        <w:jc w:val="lowKashida"/>
        <w:rPr>
          <w:rFonts w:ascii="Simplified Arabic" w:hAnsi="Simplified Arabic" w:cs="Simplified Arabic"/>
          <w:sz w:val="24"/>
          <w:szCs w:val="24"/>
        </w:rPr>
      </w:pPr>
      <w:r w:rsidRPr="006F0344">
        <w:rPr>
          <w:rFonts w:ascii="Simplified Arabic" w:hAnsi="Simplified Arabic" w:cs="Simplified Arabic"/>
          <w:sz w:val="24"/>
          <w:szCs w:val="24"/>
          <w:rtl/>
        </w:rPr>
        <w:t>وتقتصر إمكانية تعميم نتائج الدراسة على الجهات الحكومية والقطاع الخاص العاملة في مجال البيئة والتفتيش البيئي بالمملكة العربية السعودية، وفي حدود خصائص العينة وأسلوب المعاينة المستخدم، مع مراعاة أن النتائج تعكس الفترة الزمنية التي تم خلالها جمع البيانات</w:t>
      </w:r>
      <w:r w:rsidRPr="006F0344">
        <w:rPr>
          <w:rFonts w:ascii="Simplified Arabic" w:hAnsi="Simplified Arabic" w:cs="Simplified Arabic"/>
          <w:sz w:val="24"/>
          <w:szCs w:val="24"/>
        </w:rPr>
        <w:t>.</w:t>
      </w:r>
    </w:p>
    <w:p w14:paraId="79873EBB" w14:textId="77777777" w:rsidR="00CB07CF" w:rsidRPr="006F0344" w:rsidRDefault="00CB07CF" w:rsidP="00CB07CF">
      <w:pPr>
        <w:bidi/>
        <w:spacing w:line="240" w:lineRule="auto"/>
        <w:jc w:val="lowKashida"/>
        <w:rPr>
          <w:rFonts w:ascii="Simplified Arabic" w:hAnsi="Simplified Arabic" w:cs="Simplified Arabic"/>
          <w:sz w:val="24"/>
          <w:szCs w:val="24"/>
        </w:rPr>
      </w:pPr>
    </w:p>
    <w:p w14:paraId="39CDE6B8"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3.17 </w:t>
      </w:r>
      <w:r w:rsidRPr="003C40F2">
        <w:rPr>
          <w:rFonts w:ascii="Simplified Arabic" w:hAnsi="Simplified Arabic" w:cs="Simplified Arabic"/>
          <w:b/>
          <w:bCs/>
          <w:sz w:val="24"/>
          <w:szCs w:val="24"/>
          <w:rtl/>
        </w:rPr>
        <w:t>متغيرات الدراسة</w:t>
      </w:r>
    </w:p>
    <w:p w14:paraId="2B190147" w14:textId="56016423" w:rsidR="001A3ABE" w:rsidRDefault="001A3ABE" w:rsidP="001A3ABE">
      <w:pPr>
        <w:bidi/>
        <w:spacing w:line="240" w:lineRule="auto"/>
        <w:jc w:val="lowKashida"/>
        <w:rPr>
          <w:rFonts w:ascii="Simplified Arabic" w:hAnsi="Simplified Arabic" w:cs="Simplified Arabic"/>
          <w:sz w:val="24"/>
          <w:szCs w:val="24"/>
          <w:rtl/>
        </w:rPr>
      </w:pPr>
      <w:r w:rsidRPr="003C40F2">
        <w:rPr>
          <w:rFonts w:ascii="Simplified Arabic" w:hAnsi="Simplified Arabic" w:cs="Simplified Arabic"/>
          <w:sz w:val="24"/>
          <w:szCs w:val="24"/>
          <w:rtl/>
        </w:rPr>
        <w:t>تشتمل الدراسة على متغير مستقل يتمثل في الشراكات بين القطاعين العام والخاص في قطاع البيئة، ومتغير تابع يتمثل في فاعلية الحوكمة البيئية وإدارة الأداء في مجال التفتيش البيئي</w:t>
      </w:r>
      <w:r w:rsidRPr="003C40F2">
        <w:rPr>
          <w:rFonts w:ascii="Simplified Arabic" w:hAnsi="Simplified Arabic" w:cs="Simplified Arabic"/>
          <w:sz w:val="24"/>
          <w:szCs w:val="24"/>
        </w:rPr>
        <w:t xml:space="preserve">. </w:t>
      </w:r>
      <w:r w:rsidRPr="003C40F2">
        <w:rPr>
          <w:rFonts w:ascii="Simplified Arabic" w:hAnsi="Simplified Arabic" w:cs="Simplified Arabic"/>
          <w:sz w:val="24"/>
          <w:szCs w:val="24"/>
          <w:rtl/>
        </w:rPr>
        <w:t>وقد تم تحديد أبعاد كل متغير بالاستناد إلى الأدبيات العلمية والدراسات السابقة، بما يتوافق مع أهداف الدراسة وفرضياتها</w:t>
      </w:r>
      <w:r w:rsidR="00CB07CF">
        <w:rPr>
          <w:rFonts w:ascii="Simplified Arabic" w:hAnsi="Simplified Arabic" w:cs="Simplified Arabic" w:hint="cs"/>
          <w:sz w:val="24"/>
          <w:szCs w:val="24"/>
          <w:rtl/>
        </w:rPr>
        <w:t>.</w:t>
      </w:r>
    </w:p>
    <w:p w14:paraId="4D0A7469" w14:textId="77777777" w:rsidR="00CB07CF" w:rsidRPr="003C40F2" w:rsidRDefault="00CB07CF" w:rsidP="00CB07CF">
      <w:pPr>
        <w:bidi/>
        <w:spacing w:line="240" w:lineRule="auto"/>
        <w:jc w:val="lowKashida"/>
        <w:rPr>
          <w:rFonts w:ascii="Simplified Arabic" w:hAnsi="Simplified Arabic" w:cs="Simplified Arabic" w:hint="cs"/>
          <w:sz w:val="24"/>
          <w:szCs w:val="24"/>
          <w:rtl/>
        </w:rPr>
      </w:pPr>
    </w:p>
    <w:p w14:paraId="7952D1DD"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جدول</w:t>
      </w:r>
      <w:r w:rsidRPr="003C40F2">
        <w:rPr>
          <w:rFonts w:ascii="Simplified Arabic" w:hAnsi="Simplified Arabic" w:cs="Simplified Arabic"/>
          <w:b/>
          <w:bCs/>
          <w:sz w:val="24"/>
          <w:szCs w:val="24"/>
        </w:rPr>
        <w:t xml:space="preserve"> (3-9)</w:t>
      </w:r>
    </w:p>
    <w:p w14:paraId="7949F9A7"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متغيرات الدراسة وأبعادها</w:t>
      </w:r>
    </w:p>
    <w:tbl>
      <w:tblPr>
        <w:tblStyle w:val="TableGridLight"/>
        <w:bidiVisual/>
        <w:tblW w:w="0" w:type="auto"/>
        <w:jc w:val="center"/>
        <w:tblLook w:val="04A0" w:firstRow="1" w:lastRow="0" w:firstColumn="1" w:lastColumn="0" w:noHBand="0" w:noVBand="1"/>
      </w:tblPr>
      <w:tblGrid>
        <w:gridCol w:w="2665"/>
        <w:gridCol w:w="5631"/>
      </w:tblGrid>
      <w:tr w:rsidR="001A3ABE" w:rsidRPr="006210C5" w14:paraId="3EF6D68B" w14:textId="77777777" w:rsidTr="00CC256A">
        <w:trPr>
          <w:jc w:val="center"/>
        </w:trPr>
        <w:tc>
          <w:tcPr>
            <w:tcW w:w="0" w:type="auto"/>
            <w:vAlign w:val="center"/>
            <w:hideMark/>
          </w:tcPr>
          <w:p w14:paraId="25FB6AF0" w14:textId="77777777" w:rsidR="001A3ABE" w:rsidRPr="006210C5" w:rsidRDefault="001A3ABE" w:rsidP="00CC256A">
            <w:pPr>
              <w:bidi/>
              <w:jc w:val="center"/>
              <w:rPr>
                <w:rFonts w:ascii="Simplified Arabic" w:hAnsi="Simplified Arabic" w:cs="Simplified Arabic"/>
              </w:rPr>
            </w:pPr>
            <w:r w:rsidRPr="006210C5">
              <w:rPr>
                <w:rFonts w:ascii="Simplified Arabic" w:hAnsi="Simplified Arabic" w:cs="Simplified Arabic"/>
                <w:rtl/>
              </w:rPr>
              <w:t>المتغير</w:t>
            </w:r>
          </w:p>
        </w:tc>
        <w:tc>
          <w:tcPr>
            <w:tcW w:w="0" w:type="auto"/>
            <w:vAlign w:val="center"/>
            <w:hideMark/>
          </w:tcPr>
          <w:p w14:paraId="394248FD" w14:textId="77777777" w:rsidR="001A3ABE" w:rsidRPr="006210C5" w:rsidRDefault="001A3ABE" w:rsidP="00CC256A">
            <w:pPr>
              <w:bidi/>
              <w:jc w:val="center"/>
              <w:rPr>
                <w:rFonts w:ascii="Simplified Arabic" w:hAnsi="Simplified Arabic" w:cs="Simplified Arabic"/>
              </w:rPr>
            </w:pPr>
            <w:r w:rsidRPr="006210C5">
              <w:rPr>
                <w:rFonts w:ascii="Simplified Arabic" w:hAnsi="Simplified Arabic" w:cs="Simplified Arabic"/>
                <w:rtl/>
              </w:rPr>
              <w:t>الأبعاد</w:t>
            </w:r>
          </w:p>
        </w:tc>
      </w:tr>
      <w:tr w:rsidR="001A3ABE" w:rsidRPr="006210C5" w14:paraId="23112CF8" w14:textId="77777777" w:rsidTr="00CC256A">
        <w:trPr>
          <w:jc w:val="center"/>
        </w:trPr>
        <w:tc>
          <w:tcPr>
            <w:tcW w:w="0" w:type="auto"/>
            <w:vAlign w:val="center"/>
            <w:hideMark/>
          </w:tcPr>
          <w:p w14:paraId="1E917B06" w14:textId="077B8211" w:rsidR="001A3ABE" w:rsidRPr="006210C5" w:rsidRDefault="001A3ABE" w:rsidP="00CC256A">
            <w:pPr>
              <w:bidi/>
              <w:jc w:val="center"/>
              <w:rPr>
                <w:rFonts w:ascii="Simplified Arabic" w:hAnsi="Simplified Arabic" w:cs="Simplified Arabic"/>
              </w:rPr>
            </w:pPr>
            <w:r w:rsidRPr="006210C5">
              <w:rPr>
                <w:rFonts w:ascii="Simplified Arabic" w:hAnsi="Simplified Arabic" w:cs="Simplified Arabic"/>
                <w:rtl/>
              </w:rPr>
              <w:t>المتغير المستقل</w:t>
            </w:r>
            <w:r w:rsidR="00C37266" w:rsidRPr="006210C5">
              <w:rPr>
                <w:rFonts w:ascii="Simplified Arabic" w:hAnsi="Simplified Arabic" w:cs="Simplified Arabic"/>
              </w:rPr>
              <w:t xml:space="preserve"> </w:t>
            </w:r>
            <w:r w:rsidRPr="006210C5">
              <w:rPr>
                <w:rFonts w:ascii="Simplified Arabic" w:hAnsi="Simplified Arabic" w:cs="Simplified Arabic"/>
                <w:rtl/>
              </w:rPr>
              <w:t>الشراكات بين القطاعين العام والخاص</w:t>
            </w:r>
          </w:p>
        </w:tc>
        <w:tc>
          <w:tcPr>
            <w:tcW w:w="0" w:type="auto"/>
            <w:vAlign w:val="center"/>
            <w:hideMark/>
          </w:tcPr>
          <w:p w14:paraId="4E295791" w14:textId="77777777" w:rsidR="001A3ABE" w:rsidRPr="006210C5" w:rsidRDefault="001A3ABE" w:rsidP="00CC256A">
            <w:pPr>
              <w:bidi/>
              <w:jc w:val="center"/>
              <w:rPr>
                <w:rFonts w:ascii="Simplified Arabic" w:hAnsi="Simplified Arabic" w:cs="Simplified Arabic"/>
              </w:rPr>
            </w:pPr>
            <w:r w:rsidRPr="006210C5">
              <w:rPr>
                <w:rFonts w:ascii="Simplified Arabic" w:hAnsi="Simplified Arabic" w:cs="Simplified Arabic"/>
                <w:rtl/>
              </w:rPr>
              <w:t>الإطار التشريعي والتنظيمي، توزيع الأدوار والمسؤوليات، التنسيق وتبادل المعلومات، إدارة الموارد والتمويل، الرقابة وإدارة المخاطر</w:t>
            </w:r>
          </w:p>
        </w:tc>
      </w:tr>
      <w:tr w:rsidR="001A3ABE" w:rsidRPr="006210C5" w14:paraId="5C4BA248" w14:textId="77777777" w:rsidTr="00CC256A">
        <w:trPr>
          <w:jc w:val="center"/>
        </w:trPr>
        <w:tc>
          <w:tcPr>
            <w:tcW w:w="0" w:type="auto"/>
            <w:vAlign w:val="center"/>
            <w:hideMark/>
          </w:tcPr>
          <w:p w14:paraId="64F6F105" w14:textId="77777777" w:rsidR="001A3ABE" w:rsidRPr="006210C5" w:rsidRDefault="001A3ABE" w:rsidP="00CC256A">
            <w:pPr>
              <w:bidi/>
              <w:jc w:val="center"/>
              <w:rPr>
                <w:rFonts w:ascii="Simplified Arabic" w:hAnsi="Simplified Arabic" w:cs="Simplified Arabic"/>
              </w:rPr>
            </w:pPr>
            <w:r w:rsidRPr="006210C5">
              <w:rPr>
                <w:rFonts w:ascii="Simplified Arabic" w:hAnsi="Simplified Arabic" w:cs="Simplified Arabic"/>
                <w:rtl/>
              </w:rPr>
              <w:t>المتغير التابعفاعلية الحوكمة البيئية وإدارة الأداء</w:t>
            </w:r>
          </w:p>
        </w:tc>
        <w:tc>
          <w:tcPr>
            <w:tcW w:w="0" w:type="auto"/>
            <w:vAlign w:val="center"/>
            <w:hideMark/>
          </w:tcPr>
          <w:p w14:paraId="70893F3B" w14:textId="77777777" w:rsidR="001A3ABE" w:rsidRPr="006210C5" w:rsidRDefault="001A3ABE" w:rsidP="00CC256A">
            <w:pPr>
              <w:bidi/>
              <w:jc w:val="center"/>
              <w:rPr>
                <w:rFonts w:ascii="Simplified Arabic" w:hAnsi="Simplified Arabic" w:cs="Simplified Arabic"/>
              </w:rPr>
            </w:pPr>
            <w:r w:rsidRPr="006210C5">
              <w:rPr>
                <w:rFonts w:ascii="Simplified Arabic" w:hAnsi="Simplified Arabic" w:cs="Simplified Arabic"/>
                <w:rtl/>
              </w:rPr>
              <w:t>الكفاءة التشغيلية، جودة الرقابة والامتثال البيئي، الشفافية والمساءلة، تحسين الأداء البيئي، الاستدامة المؤسسية</w:t>
            </w:r>
          </w:p>
        </w:tc>
      </w:tr>
    </w:tbl>
    <w:p w14:paraId="71D6DDE0" w14:textId="77777777" w:rsidR="00CB07CF" w:rsidRDefault="00CB07CF" w:rsidP="001E2677">
      <w:pPr>
        <w:bidi/>
        <w:spacing w:line="240" w:lineRule="auto"/>
        <w:jc w:val="lowKashida"/>
        <w:rPr>
          <w:rFonts w:ascii="Simplified Arabic" w:hAnsi="Simplified Arabic" w:cs="Simplified Arabic"/>
          <w:b/>
          <w:bCs/>
          <w:sz w:val="24"/>
          <w:szCs w:val="24"/>
          <w:rtl/>
        </w:rPr>
      </w:pPr>
    </w:p>
    <w:p w14:paraId="46821EC7" w14:textId="77777777" w:rsidR="00CB07CF" w:rsidRDefault="00CB07CF" w:rsidP="00CB07CF">
      <w:pPr>
        <w:bidi/>
        <w:spacing w:line="240" w:lineRule="auto"/>
        <w:jc w:val="lowKashida"/>
        <w:rPr>
          <w:rFonts w:ascii="Simplified Arabic" w:hAnsi="Simplified Arabic" w:cs="Simplified Arabic"/>
          <w:b/>
          <w:bCs/>
          <w:sz w:val="24"/>
          <w:szCs w:val="24"/>
          <w:rtl/>
        </w:rPr>
      </w:pPr>
    </w:p>
    <w:p w14:paraId="1C13E36A" w14:textId="77777777" w:rsidR="00CB07CF" w:rsidRDefault="00CB07CF" w:rsidP="00CB07CF">
      <w:pPr>
        <w:bidi/>
        <w:spacing w:line="240" w:lineRule="auto"/>
        <w:jc w:val="lowKashida"/>
        <w:rPr>
          <w:rFonts w:ascii="Simplified Arabic" w:hAnsi="Simplified Arabic" w:cs="Simplified Arabic"/>
          <w:b/>
          <w:bCs/>
          <w:sz w:val="24"/>
          <w:szCs w:val="24"/>
          <w:rtl/>
        </w:rPr>
      </w:pPr>
    </w:p>
    <w:p w14:paraId="4478831D" w14:textId="77777777" w:rsidR="00745F86" w:rsidRDefault="00745F86" w:rsidP="00CB07CF">
      <w:pPr>
        <w:bidi/>
        <w:spacing w:line="240" w:lineRule="auto"/>
        <w:jc w:val="lowKashida"/>
        <w:rPr>
          <w:rFonts w:ascii="Simplified Arabic" w:hAnsi="Simplified Arabic" w:cs="Simplified Arabic"/>
          <w:b/>
          <w:bCs/>
          <w:sz w:val="24"/>
          <w:szCs w:val="24"/>
          <w:rtl/>
        </w:rPr>
      </w:pPr>
    </w:p>
    <w:p w14:paraId="7422504E" w14:textId="77777777" w:rsidR="00745F86" w:rsidRDefault="00745F86" w:rsidP="00745F86">
      <w:pPr>
        <w:bidi/>
        <w:spacing w:line="240" w:lineRule="auto"/>
        <w:jc w:val="lowKashida"/>
        <w:rPr>
          <w:rFonts w:ascii="Simplified Arabic" w:hAnsi="Simplified Arabic" w:cs="Simplified Arabic"/>
          <w:b/>
          <w:bCs/>
          <w:sz w:val="24"/>
          <w:szCs w:val="24"/>
          <w:rtl/>
        </w:rPr>
      </w:pPr>
    </w:p>
    <w:p w14:paraId="5C9D9B11" w14:textId="5E4ABC2F" w:rsidR="001A3ABE" w:rsidRPr="003C40F2" w:rsidRDefault="001A3ABE" w:rsidP="00745F86">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lastRenderedPageBreak/>
        <w:t>جدول</w:t>
      </w:r>
      <w:r w:rsidRPr="003C40F2">
        <w:rPr>
          <w:rFonts w:ascii="Simplified Arabic" w:hAnsi="Simplified Arabic" w:cs="Simplified Arabic"/>
          <w:b/>
          <w:bCs/>
          <w:sz w:val="24"/>
          <w:szCs w:val="24"/>
        </w:rPr>
        <w:t xml:space="preserve"> (3-10)</w:t>
      </w:r>
    </w:p>
    <w:p w14:paraId="2552BF22"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مؤشرات قياس متغيرات الدراسة</w:t>
      </w:r>
    </w:p>
    <w:tbl>
      <w:tblPr>
        <w:tblStyle w:val="TableGridLight"/>
        <w:bidiVisual/>
        <w:tblW w:w="0" w:type="auto"/>
        <w:jc w:val="center"/>
        <w:tblLook w:val="04A0" w:firstRow="1" w:lastRow="0" w:firstColumn="1" w:lastColumn="0" w:noHBand="0" w:noVBand="1"/>
      </w:tblPr>
      <w:tblGrid>
        <w:gridCol w:w="2970"/>
        <w:gridCol w:w="1794"/>
        <w:gridCol w:w="3532"/>
      </w:tblGrid>
      <w:tr w:rsidR="001A3ABE" w:rsidRPr="003C40F2" w14:paraId="610045DA" w14:textId="77777777" w:rsidTr="00CC256A">
        <w:trPr>
          <w:jc w:val="center"/>
        </w:trPr>
        <w:tc>
          <w:tcPr>
            <w:tcW w:w="0" w:type="auto"/>
            <w:vAlign w:val="center"/>
            <w:hideMark/>
          </w:tcPr>
          <w:p w14:paraId="727B3AAA" w14:textId="77777777" w:rsidR="001A3ABE" w:rsidRPr="003C40F2" w:rsidRDefault="001A3ABE" w:rsidP="00CC256A">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المتغير</w:t>
            </w:r>
          </w:p>
        </w:tc>
        <w:tc>
          <w:tcPr>
            <w:tcW w:w="0" w:type="auto"/>
            <w:vAlign w:val="center"/>
            <w:hideMark/>
          </w:tcPr>
          <w:p w14:paraId="7C867840" w14:textId="77777777" w:rsidR="001A3ABE" w:rsidRPr="003C40F2" w:rsidRDefault="001A3ABE" w:rsidP="00CC256A">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البعد</w:t>
            </w:r>
          </w:p>
        </w:tc>
        <w:tc>
          <w:tcPr>
            <w:tcW w:w="0" w:type="auto"/>
            <w:vAlign w:val="center"/>
            <w:hideMark/>
          </w:tcPr>
          <w:p w14:paraId="4DC0300D" w14:textId="77777777" w:rsidR="001A3ABE" w:rsidRPr="003C40F2" w:rsidRDefault="001A3ABE" w:rsidP="00CC256A">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أمثلة على مؤشرات القياس</w:t>
            </w:r>
          </w:p>
        </w:tc>
      </w:tr>
      <w:tr w:rsidR="001A3ABE" w:rsidRPr="003C40F2" w14:paraId="79CC0203" w14:textId="77777777" w:rsidTr="00CC256A">
        <w:trPr>
          <w:jc w:val="center"/>
        </w:trPr>
        <w:tc>
          <w:tcPr>
            <w:tcW w:w="0" w:type="auto"/>
            <w:vMerge w:val="restart"/>
            <w:vAlign w:val="center"/>
            <w:hideMark/>
          </w:tcPr>
          <w:p w14:paraId="6284A1F2"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الشراكات بين القطاعين العام والخاص</w:t>
            </w:r>
          </w:p>
        </w:tc>
        <w:tc>
          <w:tcPr>
            <w:tcW w:w="0" w:type="auto"/>
            <w:vAlign w:val="center"/>
            <w:hideMark/>
          </w:tcPr>
          <w:p w14:paraId="1545B462"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ا-لإطار التشريعي</w:t>
            </w:r>
          </w:p>
        </w:tc>
        <w:tc>
          <w:tcPr>
            <w:tcW w:w="0" w:type="auto"/>
            <w:vAlign w:val="center"/>
            <w:hideMark/>
          </w:tcPr>
          <w:p w14:paraId="2E25C38F"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وضوح الأنظمة والتشريعات المنظمة للشراكات</w:t>
            </w:r>
          </w:p>
        </w:tc>
      </w:tr>
      <w:tr w:rsidR="001A3ABE" w:rsidRPr="003C40F2" w14:paraId="49E67DB3" w14:textId="77777777" w:rsidTr="00CC256A">
        <w:trPr>
          <w:jc w:val="center"/>
        </w:trPr>
        <w:tc>
          <w:tcPr>
            <w:tcW w:w="0" w:type="auto"/>
            <w:vMerge/>
            <w:vAlign w:val="center"/>
            <w:hideMark/>
          </w:tcPr>
          <w:p w14:paraId="22762EB8" w14:textId="77777777" w:rsidR="001A3ABE" w:rsidRPr="003C40F2" w:rsidRDefault="001A3ABE" w:rsidP="00CC256A">
            <w:pPr>
              <w:bidi/>
              <w:jc w:val="center"/>
              <w:rPr>
                <w:rFonts w:ascii="Simplified Arabic" w:hAnsi="Simplified Arabic" w:cs="Simplified Arabic"/>
                <w:sz w:val="24"/>
                <w:szCs w:val="24"/>
              </w:rPr>
            </w:pPr>
          </w:p>
        </w:tc>
        <w:tc>
          <w:tcPr>
            <w:tcW w:w="0" w:type="auto"/>
            <w:vAlign w:val="center"/>
            <w:hideMark/>
          </w:tcPr>
          <w:p w14:paraId="2AEB059D"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توزيع الأدوار</w:t>
            </w:r>
          </w:p>
        </w:tc>
        <w:tc>
          <w:tcPr>
            <w:tcW w:w="0" w:type="auto"/>
            <w:vAlign w:val="center"/>
            <w:hideMark/>
          </w:tcPr>
          <w:p w14:paraId="1543176D"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وضوح المسؤوليات بين الشركاء</w:t>
            </w:r>
          </w:p>
        </w:tc>
      </w:tr>
      <w:tr w:rsidR="001A3ABE" w:rsidRPr="003C40F2" w14:paraId="566F5F68" w14:textId="77777777" w:rsidTr="00CC256A">
        <w:trPr>
          <w:jc w:val="center"/>
        </w:trPr>
        <w:tc>
          <w:tcPr>
            <w:tcW w:w="0" w:type="auto"/>
            <w:vMerge/>
            <w:vAlign w:val="center"/>
            <w:hideMark/>
          </w:tcPr>
          <w:p w14:paraId="2A711259" w14:textId="77777777" w:rsidR="001A3ABE" w:rsidRPr="003C40F2" w:rsidRDefault="001A3ABE" w:rsidP="00CC256A">
            <w:pPr>
              <w:bidi/>
              <w:jc w:val="center"/>
              <w:rPr>
                <w:rFonts w:ascii="Simplified Arabic" w:hAnsi="Simplified Arabic" w:cs="Simplified Arabic"/>
                <w:sz w:val="24"/>
                <w:szCs w:val="24"/>
              </w:rPr>
            </w:pPr>
          </w:p>
        </w:tc>
        <w:tc>
          <w:tcPr>
            <w:tcW w:w="0" w:type="auto"/>
            <w:vAlign w:val="center"/>
            <w:hideMark/>
          </w:tcPr>
          <w:p w14:paraId="4ED99D66"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التنسيق</w:t>
            </w:r>
          </w:p>
        </w:tc>
        <w:tc>
          <w:tcPr>
            <w:tcW w:w="0" w:type="auto"/>
            <w:vAlign w:val="center"/>
            <w:hideMark/>
          </w:tcPr>
          <w:p w14:paraId="0D782D52"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سرعة تبادل المعلومات بين الجهات</w:t>
            </w:r>
          </w:p>
        </w:tc>
      </w:tr>
      <w:tr w:rsidR="001A3ABE" w:rsidRPr="003C40F2" w14:paraId="7015BB3A" w14:textId="77777777" w:rsidTr="00CC256A">
        <w:trPr>
          <w:jc w:val="center"/>
        </w:trPr>
        <w:tc>
          <w:tcPr>
            <w:tcW w:w="0" w:type="auto"/>
            <w:vMerge/>
            <w:vAlign w:val="center"/>
            <w:hideMark/>
          </w:tcPr>
          <w:p w14:paraId="09ABF09A" w14:textId="77777777" w:rsidR="001A3ABE" w:rsidRPr="003C40F2" w:rsidRDefault="001A3ABE" w:rsidP="00CC256A">
            <w:pPr>
              <w:bidi/>
              <w:jc w:val="center"/>
              <w:rPr>
                <w:rFonts w:ascii="Simplified Arabic" w:hAnsi="Simplified Arabic" w:cs="Simplified Arabic"/>
                <w:sz w:val="24"/>
                <w:szCs w:val="24"/>
              </w:rPr>
            </w:pPr>
          </w:p>
        </w:tc>
        <w:tc>
          <w:tcPr>
            <w:tcW w:w="0" w:type="auto"/>
            <w:vAlign w:val="center"/>
            <w:hideMark/>
          </w:tcPr>
          <w:p w14:paraId="2439F2ED"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إدارة الموارد</w:t>
            </w:r>
          </w:p>
        </w:tc>
        <w:tc>
          <w:tcPr>
            <w:tcW w:w="0" w:type="auto"/>
            <w:vAlign w:val="center"/>
            <w:hideMark/>
          </w:tcPr>
          <w:p w14:paraId="5E2943AA"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كفاءة استغلال الموارد المالية والبشرية</w:t>
            </w:r>
          </w:p>
        </w:tc>
      </w:tr>
      <w:tr w:rsidR="001A3ABE" w:rsidRPr="003C40F2" w14:paraId="10C2E887" w14:textId="77777777" w:rsidTr="00CC256A">
        <w:trPr>
          <w:jc w:val="center"/>
        </w:trPr>
        <w:tc>
          <w:tcPr>
            <w:tcW w:w="0" w:type="auto"/>
            <w:vMerge/>
            <w:vAlign w:val="center"/>
            <w:hideMark/>
          </w:tcPr>
          <w:p w14:paraId="0CBCA48C" w14:textId="77777777" w:rsidR="001A3ABE" w:rsidRPr="003C40F2" w:rsidRDefault="001A3ABE" w:rsidP="00CC256A">
            <w:pPr>
              <w:bidi/>
              <w:jc w:val="center"/>
              <w:rPr>
                <w:rFonts w:ascii="Simplified Arabic" w:hAnsi="Simplified Arabic" w:cs="Simplified Arabic"/>
                <w:sz w:val="24"/>
                <w:szCs w:val="24"/>
              </w:rPr>
            </w:pPr>
          </w:p>
        </w:tc>
        <w:tc>
          <w:tcPr>
            <w:tcW w:w="0" w:type="auto"/>
            <w:vAlign w:val="center"/>
            <w:hideMark/>
          </w:tcPr>
          <w:p w14:paraId="3C0147BB"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الرقابة وإدارة المخاطر</w:t>
            </w:r>
          </w:p>
        </w:tc>
        <w:tc>
          <w:tcPr>
            <w:tcW w:w="0" w:type="auto"/>
            <w:vAlign w:val="center"/>
            <w:hideMark/>
          </w:tcPr>
          <w:p w14:paraId="1829A59B"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فعالية الرقابة وإدارة المخاطر المشتركة</w:t>
            </w:r>
          </w:p>
        </w:tc>
      </w:tr>
      <w:tr w:rsidR="001A3ABE" w:rsidRPr="003C40F2" w14:paraId="2A5C6DC5" w14:textId="77777777" w:rsidTr="00CC256A">
        <w:trPr>
          <w:jc w:val="center"/>
        </w:trPr>
        <w:tc>
          <w:tcPr>
            <w:tcW w:w="0" w:type="auto"/>
            <w:vMerge w:val="restart"/>
            <w:vAlign w:val="center"/>
            <w:hideMark/>
          </w:tcPr>
          <w:p w14:paraId="205F45E2"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الحوكمة البيئية وإدارة الأداء</w:t>
            </w:r>
          </w:p>
        </w:tc>
        <w:tc>
          <w:tcPr>
            <w:tcW w:w="0" w:type="auto"/>
            <w:vAlign w:val="center"/>
            <w:hideMark/>
          </w:tcPr>
          <w:p w14:paraId="0208A37B"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الكفاءة التشغيلية</w:t>
            </w:r>
          </w:p>
        </w:tc>
        <w:tc>
          <w:tcPr>
            <w:tcW w:w="0" w:type="auto"/>
            <w:vAlign w:val="center"/>
            <w:hideMark/>
          </w:tcPr>
          <w:p w14:paraId="207457E3"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سرعة تنفيذ أعمال التفتيش البيئي</w:t>
            </w:r>
          </w:p>
        </w:tc>
      </w:tr>
      <w:tr w:rsidR="001A3ABE" w:rsidRPr="003C40F2" w14:paraId="032458CE" w14:textId="77777777" w:rsidTr="00CC256A">
        <w:trPr>
          <w:jc w:val="center"/>
        </w:trPr>
        <w:tc>
          <w:tcPr>
            <w:tcW w:w="0" w:type="auto"/>
            <w:vMerge/>
            <w:vAlign w:val="center"/>
            <w:hideMark/>
          </w:tcPr>
          <w:p w14:paraId="36EBE1EE" w14:textId="77777777" w:rsidR="001A3ABE" w:rsidRPr="003C40F2" w:rsidRDefault="001A3ABE" w:rsidP="00CC256A">
            <w:pPr>
              <w:bidi/>
              <w:jc w:val="center"/>
              <w:rPr>
                <w:rFonts w:ascii="Simplified Arabic" w:hAnsi="Simplified Arabic" w:cs="Simplified Arabic"/>
                <w:sz w:val="24"/>
                <w:szCs w:val="24"/>
              </w:rPr>
            </w:pPr>
          </w:p>
        </w:tc>
        <w:tc>
          <w:tcPr>
            <w:tcW w:w="0" w:type="auto"/>
            <w:vAlign w:val="center"/>
            <w:hideMark/>
          </w:tcPr>
          <w:p w14:paraId="12472641"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جودة الرقابة</w:t>
            </w:r>
          </w:p>
        </w:tc>
        <w:tc>
          <w:tcPr>
            <w:tcW w:w="0" w:type="auto"/>
            <w:vAlign w:val="center"/>
            <w:hideMark/>
          </w:tcPr>
          <w:p w14:paraId="4E934755"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الالتزام بالاشتراطات البيئية</w:t>
            </w:r>
          </w:p>
        </w:tc>
      </w:tr>
      <w:tr w:rsidR="001A3ABE" w:rsidRPr="003C40F2" w14:paraId="1607794E" w14:textId="77777777" w:rsidTr="00CC256A">
        <w:trPr>
          <w:jc w:val="center"/>
        </w:trPr>
        <w:tc>
          <w:tcPr>
            <w:tcW w:w="0" w:type="auto"/>
            <w:vMerge/>
            <w:vAlign w:val="center"/>
            <w:hideMark/>
          </w:tcPr>
          <w:p w14:paraId="246F90E8" w14:textId="77777777" w:rsidR="001A3ABE" w:rsidRPr="003C40F2" w:rsidRDefault="001A3ABE" w:rsidP="00CC256A">
            <w:pPr>
              <w:bidi/>
              <w:jc w:val="center"/>
              <w:rPr>
                <w:rFonts w:ascii="Simplified Arabic" w:hAnsi="Simplified Arabic" w:cs="Simplified Arabic"/>
                <w:sz w:val="24"/>
                <w:szCs w:val="24"/>
              </w:rPr>
            </w:pPr>
          </w:p>
        </w:tc>
        <w:tc>
          <w:tcPr>
            <w:tcW w:w="0" w:type="auto"/>
            <w:vAlign w:val="center"/>
            <w:hideMark/>
          </w:tcPr>
          <w:p w14:paraId="6716E55B"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الشفافية</w:t>
            </w:r>
          </w:p>
        </w:tc>
        <w:tc>
          <w:tcPr>
            <w:tcW w:w="0" w:type="auto"/>
            <w:vAlign w:val="center"/>
            <w:hideMark/>
          </w:tcPr>
          <w:p w14:paraId="7469B311"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وضوح إجراءات التفتيش والإفصاح</w:t>
            </w:r>
          </w:p>
        </w:tc>
      </w:tr>
      <w:tr w:rsidR="001A3ABE" w:rsidRPr="003C40F2" w14:paraId="5E1733AE" w14:textId="77777777" w:rsidTr="00CC256A">
        <w:trPr>
          <w:jc w:val="center"/>
        </w:trPr>
        <w:tc>
          <w:tcPr>
            <w:tcW w:w="0" w:type="auto"/>
            <w:vMerge/>
            <w:vAlign w:val="center"/>
            <w:hideMark/>
          </w:tcPr>
          <w:p w14:paraId="37C56EFE" w14:textId="77777777" w:rsidR="001A3ABE" w:rsidRPr="003C40F2" w:rsidRDefault="001A3ABE" w:rsidP="00CC256A">
            <w:pPr>
              <w:bidi/>
              <w:jc w:val="center"/>
              <w:rPr>
                <w:rFonts w:ascii="Simplified Arabic" w:hAnsi="Simplified Arabic" w:cs="Simplified Arabic"/>
                <w:sz w:val="24"/>
                <w:szCs w:val="24"/>
              </w:rPr>
            </w:pPr>
          </w:p>
        </w:tc>
        <w:tc>
          <w:tcPr>
            <w:tcW w:w="0" w:type="auto"/>
            <w:vAlign w:val="center"/>
            <w:hideMark/>
          </w:tcPr>
          <w:p w14:paraId="2C3FCEF5"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تحسين الأداء</w:t>
            </w:r>
          </w:p>
        </w:tc>
        <w:tc>
          <w:tcPr>
            <w:tcW w:w="0" w:type="auto"/>
            <w:vAlign w:val="center"/>
            <w:hideMark/>
          </w:tcPr>
          <w:p w14:paraId="26F347D3"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التحسين المستمر للأداء البيئي</w:t>
            </w:r>
          </w:p>
        </w:tc>
      </w:tr>
      <w:tr w:rsidR="001A3ABE" w:rsidRPr="003C40F2" w14:paraId="55A897B5" w14:textId="77777777" w:rsidTr="00CC256A">
        <w:trPr>
          <w:jc w:val="center"/>
        </w:trPr>
        <w:tc>
          <w:tcPr>
            <w:tcW w:w="0" w:type="auto"/>
            <w:vMerge/>
            <w:vAlign w:val="center"/>
            <w:hideMark/>
          </w:tcPr>
          <w:p w14:paraId="3B2685BC" w14:textId="77777777" w:rsidR="001A3ABE" w:rsidRPr="003C40F2" w:rsidRDefault="001A3ABE" w:rsidP="00CC256A">
            <w:pPr>
              <w:bidi/>
              <w:jc w:val="center"/>
              <w:rPr>
                <w:rFonts w:ascii="Simplified Arabic" w:hAnsi="Simplified Arabic" w:cs="Simplified Arabic"/>
                <w:sz w:val="24"/>
                <w:szCs w:val="24"/>
              </w:rPr>
            </w:pPr>
          </w:p>
        </w:tc>
        <w:tc>
          <w:tcPr>
            <w:tcW w:w="0" w:type="auto"/>
            <w:vAlign w:val="center"/>
            <w:hideMark/>
          </w:tcPr>
          <w:p w14:paraId="4FE549DF"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الاستدامة</w:t>
            </w:r>
          </w:p>
        </w:tc>
        <w:tc>
          <w:tcPr>
            <w:tcW w:w="0" w:type="auto"/>
            <w:vAlign w:val="center"/>
            <w:hideMark/>
          </w:tcPr>
          <w:p w14:paraId="2A4FE247"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استدامة عمليات التطوير والتحسين</w:t>
            </w:r>
          </w:p>
        </w:tc>
      </w:tr>
    </w:tbl>
    <w:p w14:paraId="0B06ED1A" w14:textId="0CA6914E" w:rsidR="00434F06" w:rsidRDefault="001A3ABE" w:rsidP="00434F06">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p>
    <w:p w14:paraId="1A1E9772" w14:textId="54A7E7D0" w:rsidR="00A204CB" w:rsidRPr="003C40F2" w:rsidRDefault="00434F06" w:rsidP="00434F06">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001A3ABE" w:rsidRPr="00781884">
        <w:rPr>
          <w:rFonts w:ascii="Simplified Arabic" w:hAnsi="Simplified Arabic" w:cs="Simplified Arabic"/>
          <w:b/>
          <w:bCs/>
          <w:sz w:val="24"/>
          <w:szCs w:val="24"/>
          <w:highlight w:val="yellow"/>
        </w:rPr>
        <w:t xml:space="preserve">3.18 </w:t>
      </w:r>
      <w:r w:rsidR="001A3ABE" w:rsidRPr="00781884">
        <w:rPr>
          <w:rFonts w:ascii="Simplified Arabic" w:hAnsi="Simplified Arabic" w:cs="Simplified Arabic"/>
          <w:b/>
          <w:bCs/>
          <w:sz w:val="24"/>
          <w:szCs w:val="24"/>
          <w:highlight w:val="yellow"/>
          <w:rtl/>
        </w:rPr>
        <w:t>خطة تحليل البيانات</w:t>
      </w:r>
    </w:p>
    <w:p w14:paraId="67D3D811" w14:textId="77777777" w:rsidR="00307DFD" w:rsidRPr="00307DFD" w:rsidRDefault="00307DFD" w:rsidP="00307DFD">
      <w:pPr>
        <w:bidi/>
        <w:spacing w:line="240" w:lineRule="auto"/>
        <w:jc w:val="lowKashida"/>
        <w:rPr>
          <w:rFonts w:ascii="Simplified Arabic" w:hAnsi="Simplified Arabic" w:cs="Simplified Arabic"/>
          <w:color w:val="C00000"/>
          <w:sz w:val="24"/>
          <w:szCs w:val="24"/>
        </w:rPr>
      </w:pPr>
      <w:r w:rsidRPr="00307DFD">
        <w:rPr>
          <w:rFonts w:ascii="Simplified Arabic" w:hAnsi="Simplified Arabic" w:cs="Simplified Arabic"/>
          <w:color w:val="C00000"/>
          <w:sz w:val="24"/>
          <w:szCs w:val="24"/>
          <w:rtl/>
        </w:rPr>
        <w:t>سيتم بناء النموذج المقترح للحوكمة البيئية وإدارة الأداء في مجال التفتيش البيئي من خلال مجموعة من المراحل المنهجية المتتابعة، وذلك على النحو الآتي</w:t>
      </w:r>
      <w:r w:rsidRPr="00307DFD">
        <w:rPr>
          <w:rFonts w:ascii="Simplified Arabic" w:hAnsi="Simplified Arabic" w:cs="Simplified Arabic"/>
          <w:color w:val="C00000"/>
          <w:sz w:val="24"/>
          <w:szCs w:val="24"/>
        </w:rPr>
        <w:t>:</w:t>
      </w:r>
    </w:p>
    <w:p w14:paraId="4514E73B" w14:textId="1C8E05CC" w:rsidR="00307DFD" w:rsidRPr="00307DFD" w:rsidRDefault="00307DFD" w:rsidP="00307DFD">
      <w:pPr>
        <w:bidi/>
        <w:spacing w:line="240" w:lineRule="auto"/>
        <w:jc w:val="lowKashida"/>
        <w:rPr>
          <w:rFonts w:ascii="Simplified Arabic" w:hAnsi="Simplified Arabic" w:cs="Simplified Arabic"/>
          <w:color w:val="C00000"/>
          <w:sz w:val="24"/>
          <w:szCs w:val="24"/>
        </w:rPr>
      </w:pPr>
      <w:r w:rsidRPr="00307DFD">
        <w:rPr>
          <w:rFonts w:ascii="Simplified Arabic" w:hAnsi="Simplified Arabic" w:cs="Simplified Arabic"/>
          <w:b/>
          <w:bCs/>
          <w:color w:val="C00000"/>
          <w:sz w:val="24"/>
          <w:szCs w:val="24"/>
          <w:rtl/>
        </w:rPr>
        <w:t xml:space="preserve">المرحلة الأولى: تحديد مكونات </w:t>
      </w:r>
      <w:r w:rsidRPr="00307DFD">
        <w:rPr>
          <w:rFonts w:ascii="Simplified Arabic" w:hAnsi="Simplified Arabic" w:cs="Simplified Arabic" w:hint="cs"/>
          <w:b/>
          <w:bCs/>
          <w:color w:val="C00000"/>
          <w:sz w:val="24"/>
          <w:szCs w:val="24"/>
          <w:rtl/>
        </w:rPr>
        <w:t>النموذج</w:t>
      </w:r>
      <w:r w:rsidRPr="00307DFD">
        <w:rPr>
          <w:rFonts w:ascii="Simplified Arabic" w:hAnsi="Simplified Arabic" w:cs="Simplified Arabic"/>
          <w:b/>
          <w:bCs/>
          <w:color w:val="C00000"/>
          <w:sz w:val="24"/>
          <w:szCs w:val="24"/>
        </w:rPr>
        <w:t>.</w:t>
      </w:r>
      <w:r w:rsidRPr="00307DFD">
        <w:rPr>
          <w:rFonts w:ascii="Simplified Arabic" w:hAnsi="Simplified Arabic" w:cs="Simplified Arabic" w:hint="cs"/>
          <w:color w:val="C00000"/>
          <w:sz w:val="24"/>
          <w:szCs w:val="24"/>
          <w:rtl/>
        </w:rPr>
        <w:t xml:space="preserve"> يت</w:t>
      </w:r>
      <w:r w:rsidRPr="00307DFD">
        <w:rPr>
          <w:rFonts w:ascii="Simplified Arabic" w:hAnsi="Simplified Arabic" w:cs="Simplified Arabic" w:hint="eastAsia"/>
          <w:color w:val="C00000"/>
          <w:sz w:val="24"/>
          <w:szCs w:val="24"/>
          <w:rtl/>
        </w:rPr>
        <w:t>م</w:t>
      </w:r>
      <w:r w:rsidRPr="00307DFD">
        <w:rPr>
          <w:rFonts w:ascii="Simplified Arabic" w:hAnsi="Simplified Arabic" w:cs="Simplified Arabic"/>
          <w:color w:val="C00000"/>
          <w:sz w:val="24"/>
          <w:szCs w:val="24"/>
          <w:rtl/>
        </w:rPr>
        <w:t xml:space="preserve"> تحديد المكونات والأبعاد الرئيسة للنموذج بالاستناد إلى الأدبيات العلمية والدراسات السابقة، إضافة إلى الأنظمة واللوائح والتقارير الرسمية ذات العلاقة بالشراكات بين القطاعين العام والخاص والحوكمة البيئية والتفتيش البيئي</w:t>
      </w:r>
      <w:r w:rsidRPr="00307DFD">
        <w:rPr>
          <w:rFonts w:ascii="Simplified Arabic" w:hAnsi="Simplified Arabic" w:cs="Simplified Arabic"/>
          <w:color w:val="C00000"/>
          <w:sz w:val="24"/>
          <w:szCs w:val="24"/>
        </w:rPr>
        <w:t>.</w:t>
      </w:r>
    </w:p>
    <w:p w14:paraId="4DF7A138" w14:textId="65211AB8" w:rsidR="00307DFD" w:rsidRPr="00307DFD" w:rsidRDefault="00307DFD" w:rsidP="00307DFD">
      <w:pPr>
        <w:bidi/>
        <w:spacing w:line="240" w:lineRule="auto"/>
        <w:jc w:val="lowKashida"/>
        <w:rPr>
          <w:rFonts w:ascii="Simplified Arabic" w:hAnsi="Simplified Arabic" w:cs="Simplified Arabic"/>
          <w:color w:val="C00000"/>
          <w:sz w:val="24"/>
          <w:szCs w:val="24"/>
        </w:rPr>
      </w:pPr>
      <w:r w:rsidRPr="00307DFD">
        <w:rPr>
          <w:rFonts w:ascii="Simplified Arabic" w:hAnsi="Simplified Arabic" w:cs="Simplified Arabic"/>
          <w:b/>
          <w:bCs/>
          <w:color w:val="C00000"/>
          <w:sz w:val="24"/>
          <w:szCs w:val="24"/>
          <w:rtl/>
        </w:rPr>
        <w:t xml:space="preserve">المرحلة الثانية: التحليل </w:t>
      </w:r>
      <w:r w:rsidRPr="00307DFD">
        <w:rPr>
          <w:rFonts w:ascii="Simplified Arabic" w:hAnsi="Simplified Arabic" w:cs="Simplified Arabic" w:hint="cs"/>
          <w:b/>
          <w:bCs/>
          <w:color w:val="C00000"/>
          <w:sz w:val="24"/>
          <w:szCs w:val="24"/>
          <w:rtl/>
        </w:rPr>
        <w:t>الميداني</w:t>
      </w:r>
      <w:r w:rsidRPr="00307DFD">
        <w:rPr>
          <w:rFonts w:ascii="Simplified Arabic" w:hAnsi="Simplified Arabic" w:cs="Simplified Arabic"/>
          <w:b/>
          <w:bCs/>
          <w:color w:val="C00000"/>
          <w:sz w:val="24"/>
          <w:szCs w:val="24"/>
        </w:rPr>
        <w:t>.</w:t>
      </w:r>
      <w:r w:rsidRPr="00307DFD">
        <w:rPr>
          <w:rFonts w:ascii="Simplified Arabic" w:hAnsi="Simplified Arabic" w:cs="Simplified Arabic" w:hint="cs"/>
          <w:color w:val="C00000"/>
          <w:sz w:val="24"/>
          <w:szCs w:val="24"/>
          <w:rtl/>
        </w:rPr>
        <w:t xml:space="preserve"> يت</w:t>
      </w:r>
      <w:r w:rsidRPr="00307DFD">
        <w:rPr>
          <w:rFonts w:ascii="Simplified Arabic" w:hAnsi="Simplified Arabic" w:cs="Simplified Arabic" w:hint="eastAsia"/>
          <w:color w:val="C00000"/>
          <w:sz w:val="24"/>
          <w:szCs w:val="24"/>
          <w:rtl/>
        </w:rPr>
        <w:t>م</w:t>
      </w:r>
      <w:r w:rsidRPr="00307DFD">
        <w:rPr>
          <w:rFonts w:ascii="Simplified Arabic" w:hAnsi="Simplified Arabic" w:cs="Simplified Arabic"/>
          <w:color w:val="C00000"/>
          <w:sz w:val="24"/>
          <w:szCs w:val="24"/>
          <w:rtl/>
        </w:rPr>
        <w:t xml:space="preserve"> تحليل بيانات الاستبانة باستخدام الأساليب الإحصائية المحددة في خطة تحليل البيانات، بما في ذلك الإحصاء الوصفي، ومعامل ارتباط بيرسون، وتحليل الانحدار المتعدد، بهدف تحديد طبيعة العلاقات وأثر أبعاد الشراكات بين القطاعين العام والخاص في الحوكمة البيئية وإدارة الأداء</w:t>
      </w:r>
      <w:r w:rsidRPr="00307DFD">
        <w:rPr>
          <w:rFonts w:ascii="Simplified Arabic" w:hAnsi="Simplified Arabic" w:cs="Simplified Arabic"/>
          <w:color w:val="C00000"/>
          <w:sz w:val="24"/>
          <w:szCs w:val="24"/>
        </w:rPr>
        <w:t>.</w:t>
      </w:r>
    </w:p>
    <w:p w14:paraId="2FF0B291" w14:textId="7B44C3C9" w:rsidR="00307DFD" w:rsidRPr="00307DFD" w:rsidRDefault="00307DFD" w:rsidP="00307DFD">
      <w:pPr>
        <w:bidi/>
        <w:spacing w:line="240" w:lineRule="auto"/>
        <w:jc w:val="lowKashida"/>
        <w:rPr>
          <w:rFonts w:ascii="Simplified Arabic" w:hAnsi="Simplified Arabic" w:cs="Simplified Arabic"/>
          <w:color w:val="C00000"/>
          <w:sz w:val="24"/>
          <w:szCs w:val="24"/>
        </w:rPr>
      </w:pPr>
      <w:r w:rsidRPr="00307DFD">
        <w:rPr>
          <w:rFonts w:ascii="Simplified Arabic" w:hAnsi="Simplified Arabic" w:cs="Simplified Arabic"/>
          <w:b/>
          <w:bCs/>
          <w:color w:val="C00000"/>
          <w:sz w:val="24"/>
          <w:szCs w:val="24"/>
          <w:rtl/>
        </w:rPr>
        <w:lastRenderedPageBreak/>
        <w:t xml:space="preserve">المرحلة الثالثة: تحليل الوثائق </w:t>
      </w:r>
      <w:r w:rsidRPr="00307DFD">
        <w:rPr>
          <w:rFonts w:ascii="Simplified Arabic" w:hAnsi="Simplified Arabic" w:cs="Simplified Arabic" w:hint="cs"/>
          <w:b/>
          <w:bCs/>
          <w:color w:val="C00000"/>
          <w:sz w:val="24"/>
          <w:szCs w:val="24"/>
          <w:rtl/>
        </w:rPr>
        <w:t>الرسمية</w:t>
      </w:r>
      <w:r w:rsidRPr="00307DFD">
        <w:rPr>
          <w:rFonts w:ascii="Simplified Arabic" w:hAnsi="Simplified Arabic" w:cs="Simplified Arabic"/>
          <w:b/>
          <w:bCs/>
          <w:color w:val="C00000"/>
          <w:sz w:val="24"/>
          <w:szCs w:val="24"/>
        </w:rPr>
        <w:t>.</w:t>
      </w:r>
      <w:r w:rsidRPr="00307DFD">
        <w:rPr>
          <w:rFonts w:ascii="Simplified Arabic" w:hAnsi="Simplified Arabic" w:cs="Simplified Arabic" w:hint="cs"/>
          <w:color w:val="C00000"/>
          <w:sz w:val="24"/>
          <w:szCs w:val="24"/>
          <w:rtl/>
        </w:rPr>
        <w:t xml:space="preserve"> يت</w:t>
      </w:r>
      <w:r w:rsidRPr="00307DFD">
        <w:rPr>
          <w:rFonts w:ascii="Simplified Arabic" w:hAnsi="Simplified Arabic" w:cs="Simplified Arabic" w:hint="eastAsia"/>
          <w:color w:val="C00000"/>
          <w:sz w:val="24"/>
          <w:szCs w:val="24"/>
          <w:rtl/>
        </w:rPr>
        <w:t>م</w:t>
      </w:r>
      <w:r w:rsidRPr="00307DFD">
        <w:rPr>
          <w:rFonts w:ascii="Simplified Arabic" w:hAnsi="Simplified Arabic" w:cs="Simplified Arabic"/>
          <w:color w:val="C00000"/>
          <w:sz w:val="24"/>
          <w:szCs w:val="24"/>
          <w:rtl/>
        </w:rPr>
        <w:t xml:space="preserve"> تحليل الوثائق والتقارير والأنظمة الرسمية وفق بروتوكول تحليل الوثائق المحدد في الدراسة، واستخلاص المؤشرات التنظيمية والمؤسسية ذات الصلة، ثم مقارنتها بالنتائج الميدانية لتحديد نقاط الاتفاق والاختلاف والفجوات التي ينبغي أن يعالجها النموذج المقترح</w:t>
      </w:r>
      <w:r w:rsidRPr="00307DFD">
        <w:rPr>
          <w:rFonts w:ascii="Simplified Arabic" w:hAnsi="Simplified Arabic" w:cs="Simplified Arabic"/>
          <w:color w:val="C00000"/>
          <w:sz w:val="24"/>
          <w:szCs w:val="24"/>
        </w:rPr>
        <w:t>.</w:t>
      </w:r>
    </w:p>
    <w:p w14:paraId="3FFF3A9E" w14:textId="7C3DDD97" w:rsidR="00307DFD" w:rsidRPr="00307DFD" w:rsidRDefault="00307DFD" w:rsidP="00307DFD">
      <w:pPr>
        <w:bidi/>
        <w:spacing w:line="240" w:lineRule="auto"/>
        <w:jc w:val="lowKashida"/>
        <w:rPr>
          <w:rFonts w:ascii="Simplified Arabic" w:hAnsi="Simplified Arabic" w:cs="Simplified Arabic"/>
          <w:color w:val="C00000"/>
          <w:sz w:val="24"/>
          <w:szCs w:val="24"/>
        </w:rPr>
      </w:pPr>
      <w:r w:rsidRPr="00307DFD">
        <w:rPr>
          <w:rFonts w:ascii="Simplified Arabic" w:hAnsi="Simplified Arabic" w:cs="Simplified Arabic"/>
          <w:b/>
          <w:bCs/>
          <w:color w:val="C00000"/>
          <w:sz w:val="24"/>
          <w:szCs w:val="24"/>
          <w:rtl/>
        </w:rPr>
        <w:t xml:space="preserve">المرحلة الرابعة: دمج النتائج وتحديد مكونات </w:t>
      </w:r>
      <w:r w:rsidRPr="00307DFD">
        <w:rPr>
          <w:rFonts w:ascii="Simplified Arabic" w:hAnsi="Simplified Arabic" w:cs="Simplified Arabic" w:hint="cs"/>
          <w:b/>
          <w:bCs/>
          <w:color w:val="C00000"/>
          <w:sz w:val="24"/>
          <w:szCs w:val="24"/>
          <w:rtl/>
        </w:rPr>
        <w:t>النموذج</w:t>
      </w:r>
      <w:r w:rsidRPr="00307DFD">
        <w:rPr>
          <w:rFonts w:ascii="Simplified Arabic" w:hAnsi="Simplified Arabic" w:cs="Simplified Arabic"/>
          <w:b/>
          <w:bCs/>
          <w:color w:val="C00000"/>
          <w:sz w:val="24"/>
          <w:szCs w:val="24"/>
        </w:rPr>
        <w:t>.</w:t>
      </w:r>
      <w:r w:rsidRPr="00307DFD">
        <w:rPr>
          <w:rFonts w:ascii="Simplified Arabic" w:hAnsi="Simplified Arabic" w:cs="Simplified Arabic" w:hint="cs"/>
          <w:color w:val="C00000"/>
          <w:sz w:val="24"/>
          <w:szCs w:val="24"/>
          <w:rtl/>
        </w:rPr>
        <w:t xml:space="preserve"> يت</w:t>
      </w:r>
      <w:r w:rsidRPr="00307DFD">
        <w:rPr>
          <w:rFonts w:ascii="Simplified Arabic" w:hAnsi="Simplified Arabic" w:cs="Simplified Arabic" w:hint="eastAsia"/>
          <w:color w:val="C00000"/>
          <w:sz w:val="24"/>
          <w:szCs w:val="24"/>
          <w:rtl/>
        </w:rPr>
        <w:t>م</w:t>
      </w:r>
      <w:r w:rsidRPr="00307DFD">
        <w:rPr>
          <w:rFonts w:ascii="Simplified Arabic" w:hAnsi="Simplified Arabic" w:cs="Simplified Arabic"/>
          <w:color w:val="C00000"/>
          <w:sz w:val="24"/>
          <w:szCs w:val="24"/>
          <w:rtl/>
        </w:rPr>
        <w:t xml:space="preserve"> دمج النتائج الكمية المستخلصة من الاستبانة مع النتائج المستخلصة من تحليل الوثائق، بهدف تحديد المكونات والأبعاد والإجراءات والآليات التي ينبغي أن يتضمنها النموذج المقترح للحوكمة البيئية وإدارة الأداء في التفتيش البيئي</w:t>
      </w:r>
      <w:r w:rsidRPr="00307DFD">
        <w:rPr>
          <w:rFonts w:ascii="Simplified Arabic" w:hAnsi="Simplified Arabic" w:cs="Simplified Arabic"/>
          <w:color w:val="C00000"/>
          <w:sz w:val="24"/>
          <w:szCs w:val="24"/>
        </w:rPr>
        <w:t>.</w:t>
      </w:r>
    </w:p>
    <w:p w14:paraId="3D78A65A" w14:textId="75614EB2" w:rsidR="00307DFD" w:rsidRPr="00307DFD" w:rsidRDefault="00307DFD" w:rsidP="00307DFD">
      <w:pPr>
        <w:bidi/>
        <w:spacing w:line="240" w:lineRule="auto"/>
        <w:jc w:val="lowKashida"/>
        <w:rPr>
          <w:rFonts w:ascii="Simplified Arabic" w:hAnsi="Simplified Arabic" w:cs="Simplified Arabic"/>
          <w:color w:val="C00000"/>
          <w:sz w:val="24"/>
          <w:szCs w:val="24"/>
        </w:rPr>
      </w:pPr>
      <w:r w:rsidRPr="00307DFD">
        <w:rPr>
          <w:rFonts w:ascii="Simplified Arabic" w:hAnsi="Simplified Arabic" w:cs="Simplified Arabic"/>
          <w:b/>
          <w:bCs/>
          <w:color w:val="C00000"/>
          <w:sz w:val="24"/>
          <w:szCs w:val="24"/>
          <w:rtl/>
        </w:rPr>
        <w:t xml:space="preserve">المرحلة الخامسة: إعداد النموذج </w:t>
      </w:r>
      <w:r w:rsidRPr="00307DFD">
        <w:rPr>
          <w:rFonts w:ascii="Simplified Arabic" w:hAnsi="Simplified Arabic" w:cs="Simplified Arabic" w:hint="cs"/>
          <w:b/>
          <w:bCs/>
          <w:color w:val="C00000"/>
          <w:sz w:val="24"/>
          <w:szCs w:val="24"/>
          <w:rtl/>
        </w:rPr>
        <w:t>الأولي</w:t>
      </w:r>
      <w:r w:rsidRPr="00307DFD">
        <w:rPr>
          <w:rFonts w:ascii="Simplified Arabic" w:hAnsi="Simplified Arabic" w:cs="Simplified Arabic"/>
          <w:b/>
          <w:bCs/>
          <w:color w:val="C00000"/>
          <w:sz w:val="24"/>
          <w:szCs w:val="24"/>
        </w:rPr>
        <w:t>.</w:t>
      </w:r>
      <w:r w:rsidRPr="00307DFD">
        <w:rPr>
          <w:rFonts w:ascii="Simplified Arabic" w:hAnsi="Simplified Arabic" w:cs="Simplified Arabic" w:hint="cs"/>
          <w:color w:val="C00000"/>
          <w:sz w:val="24"/>
          <w:szCs w:val="24"/>
          <w:rtl/>
        </w:rPr>
        <w:t xml:space="preserve"> يت</w:t>
      </w:r>
      <w:r w:rsidRPr="00307DFD">
        <w:rPr>
          <w:rFonts w:ascii="Simplified Arabic" w:hAnsi="Simplified Arabic" w:cs="Simplified Arabic" w:hint="eastAsia"/>
          <w:color w:val="C00000"/>
          <w:sz w:val="24"/>
          <w:szCs w:val="24"/>
          <w:rtl/>
        </w:rPr>
        <w:t>م</w:t>
      </w:r>
      <w:r w:rsidRPr="00307DFD">
        <w:rPr>
          <w:rFonts w:ascii="Simplified Arabic" w:hAnsi="Simplified Arabic" w:cs="Simplified Arabic"/>
          <w:color w:val="C00000"/>
          <w:sz w:val="24"/>
          <w:szCs w:val="24"/>
          <w:rtl/>
        </w:rPr>
        <w:t xml:space="preserve"> بناء نموذج أولي يوضح العلاقات بين أبعاد الشراكات بين القطاعين العام والخاص ومكونات الحوكمة البيئية وإدارة الأداء، مع تحديد الآليات والإجراءات المقترحة لتعزيز التنسيق والرقابة والشفافية وإدارة الموارد وتحسين الأداء البيئي</w:t>
      </w:r>
      <w:r w:rsidRPr="00307DFD">
        <w:rPr>
          <w:rFonts w:ascii="Simplified Arabic" w:hAnsi="Simplified Arabic" w:cs="Simplified Arabic"/>
          <w:color w:val="C00000"/>
          <w:sz w:val="24"/>
          <w:szCs w:val="24"/>
        </w:rPr>
        <w:t>.</w:t>
      </w:r>
    </w:p>
    <w:p w14:paraId="58929433" w14:textId="05FC13A5" w:rsidR="00307DFD" w:rsidRPr="00307DFD" w:rsidRDefault="00307DFD" w:rsidP="00307DFD">
      <w:pPr>
        <w:bidi/>
        <w:spacing w:line="240" w:lineRule="auto"/>
        <w:jc w:val="lowKashida"/>
        <w:rPr>
          <w:rFonts w:ascii="Simplified Arabic" w:hAnsi="Simplified Arabic" w:cs="Simplified Arabic"/>
          <w:color w:val="C00000"/>
          <w:sz w:val="24"/>
          <w:szCs w:val="24"/>
        </w:rPr>
      </w:pPr>
      <w:r w:rsidRPr="00307DFD">
        <w:rPr>
          <w:rFonts w:ascii="Simplified Arabic" w:hAnsi="Simplified Arabic" w:cs="Simplified Arabic"/>
          <w:b/>
          <w:bCs/>
          <w:color w:val="C00000"/>
          <w:sz w:val="24"/>
          <w:szCs w:val="24"/>
          <w:rtl/>
        </w:rPr>
        <w:t xml:space="preserve">المرحلة السادسة: تحكيم </w:t>
      </w:r>
      <w:r w:rsidRPr="00307DFD">
        <w:rPr>
          <w:rFonts w:ascii="Simplified Arabic" w:hAnsi="Simplified Arabic" w:cs="Simplified Arabic" w:hint="cs"/>
          <w:b/>
          <w:bCs/>
          <w:color w:val="C00000"/>
          <w:sz w:val="24"/>
          <w:szCs w:val="24"/>
          <w:rtl/>
        </w:rPr>
        <w:t>النموذج</w:t>
      </w:r>
      <w:r w:rsidRPr="00307DFD">
        <w:rPr>
          <w:rFonts w:ascii="Simplified Arabic" w:hAnsi="Simplified Arabic" w:cs="Simplified Arabic"/>
          <w:b/>
          <w:bCs/>
          <w:color w:val="C00000"/>
          <w:sz w:val="24"/>
          <w:szCs w:val="24"/>
        </w:rPr>
        <w:t>.</w:t>
      </w:r>
      <w:r w:rsidRPr="00307DFD">
        <w:rPr>
          <w:rFonts w:ascii="Simplified Arabic" w:hAnsi="Simplified Arabic" w:cs="Simplified Arabic" w:hint="cs"/>
          <w:color w:val="C00000"/>
          <w:sz w:val="24"/>
          <w:szCs w:val="24"/>
          <w:rtl/>
        </w:rPr>
        <w:t xml:space="preserve"> يعر</w:t>
      </w:r>
      <w:r w:rsidRPr="00307DFD">
        <w:rPr>
          <w:rFonts w:ascii="Simplified Arabic" w:hAnsi="Simplified Arabic" w:cs="Simplified Arabic" w:hint="eastAsia"/>
          <w:color w:val="C00000"/>
          <w:sz w:val="24"/>
          <w:szCs w:val="24"/>
          <w:rtl/>
        </w:rPr>
        <w:t>ض</w:t>
      </w:r>
      <w:r w:rsidRPr="00307DFD">
        <w:rPr>
          <w:rFonts w:ascii="Simplified Arabic" w:hAnsi="Simplified Arabic" w:cs="Simplified Arabic"/>
          <w:color w:val="C00000"/>
          <w:sz w:val="24"/>
          <w:szCs w:val="24"/>
          <w:rtl/>
        </w:rPr>
        <w:t xml:space="preserve"> النموذج الأولي على مجموعة من الخبراء والمتخصصين في الإدارة البيئية والحوكمة والتفتيش البيئي والشراكات بين القطاعين العام والخاص، بهدف تقييم وضوح مكوناته وملاءمتها وقابليتها للتطبيق، وتحديد أوجه القوة والجوانب التي تحتاج إلى تطوير</w:t>
      </w:r>
      <w:r w:rsidRPr="00307DFD">
        <w:rPr>
          <w:rFonts w:ascii="Simplified Arabic" w:hAnsi="Simplified Arabic" w:cs="Simplified Arabic"/>
          <w:color w:val="C00000"/>
          <w:sz w:val="24"/>
          <w:szCs w:val="24"/>
        </w:rPr>
        <w:t>.</w:t>
      </w:r>
    </w:p>
    <w:p w14:paraId="42D6C68B" w14:textId="3090D1EE" w:rsidR="00460F48" w:rsidRDefault="00307DFD" w:rsidP="00307DFD">
      <w:pPr>
        <w:bidi/>
        <w:spacing w:line="240" w:lineRule="auto"/>
        <w:jc w:val="lowKashida"/>
        <w:rPr>
          <w:rFonts w:ascii="Simplified Arabic" w:hAnsi="Simplified Arabic" w:cs="Simplified Arabic"/>
          <w:sz w:val="24"/>
          <w:szCs w:val="24"/>
          <w:rtl/>
        </w:rPr>
      </w:pPr>
      <w:r w:rsidRPr="00307DFD">
        <w:rPr>
          <w:rFonts w:ascii="Simplified Arabic" w:hAnsi="Simplified Arabic" w:cs="Simplified Arabic"/>
          <w:b/>
          <w:bCs/>
          <w:color w:val="C00000"/>
          <w:sz w:val="24"/>
          <w:szCs w:val="24"/>
          <w:rtl/>
        </w:rPr>
        <w:t xml:space="preserve">المرحلة السابعة: تطوير النموذج واعتماده بصورته </w:t>
      </w:r>
      <w:r w:rsidRPr="00307DFD">
        <w:rPr>
          <w:rFonts w:ascii="Simplified Arabic" w:hAnsi="Simplified Arabic" w:cs="Simplified Arabic" w:hint="cs"/>
          <w:b/>
          <w:bCs/>
          <w:color w:val="C00000"/>
          <w:sz w:val="24"/>
          <w:szCs w:val="24"/>
          <w:rtl/>
        </w:rPr>
        <w:t>النهائية</w:t>
      </w:r>
      <w:r w:rsidRPr="00307DFD">
        <w:rPr>
          <w:rFonts w:ascii="Simplified Arabic" w:hAnsi="Simplified Arabic" w:cs="Simplified Arabic"/>
          <w:b/>
          <w:bCs/>
          <w:color w:val="C00000"/>
          <w:sz w:val="24"/>
          <w:szCs w:val="24"/>
        </w:rPr>
        <w:t>.</w:t>
      </w:r>
      <w:r w:rsidRPr="00307DFD">
        <w:rPr>
          <w:rFonts w:ascii="Simplified Arabic" w:hAnsi="Simplified Arabic" w:cs="Simplified Arabic" w:hint="cs"/>
          <w:color w:val="C00000"/>
          <w:sz w:val="24"/>
          <w:szCs w:val="24"/>
          <w:rtl/>
        </w:rPr>
        <w:t xml:space="preserve"> يت</w:t>
      </w:r>
      <w:r w:rsidRPr="00307DFD">
        <w:rPr>
          <w:rFonts w:ascii="Simplified Arabic" w:hAnsi="Simplified Arabic" w:cs="Simplified Arabic" w:hint="eastAsia"/>
          <w:color w:val="C00000"/>
          <w:sz w:val="24"/>
          <w:szCs w:val="24"/>
          <w:rtl/>
        </w:rPr>
        <w:t>م</w:t>
      </w:r>
      <w:r w:rsidRPr="00307DFD">
        <w:rPr>
          <w:rFonts w:ascii="Simplified Arabic" w:hAnsi="Simplified Arabic" w:cs="Simplified Arabic"/>
          <w:color w:val="C00000"/>
          <w:sz w:val="24"/>
          <w:szCs w:val="24"/>
          <w:rtl/>
        </w:rPr>
        <w:t xml:space="preserve"> إدخال التعديلات المناسبة في ضوء ملاحظات الخبراء، ثم إعداد النموذج النهائي بما يتوافق مع نتائج الدراسة الميدانية وتحليل الوثائق ومتطلبات التطبيق في مجال التفتيش البيئي بالمملكة العربية السعودية</w:t>
      </w:r>
      <w:r w:rsidRPr="00307DFD">
        <w:rPr>
          <w:rFonts w:ascii="Simplified Arabic" w:hAnsi="Simplified Arabic" w:cs="Simplified Arabic"/>
          <w:sz w:val="24"/>
          <w:szCs w:val="24"/>
        </w:rPr>
        <w:t>.</w:t>
      </w:r>
    </w:p>
    <w:p w14:paraId="509F06DD" w14:textId="77777777" w:rsidR="00745F86" w:rsidRPr="003C40F2" w:rsidRDefault="00745F86" w:rsidP="00745F86">
      <w:pPr>
        <w:bidi/>
        <w:spacing w:line="240" w:lineRule="auto"/>
        <w:jc w:val="lowKashida"/>
        <w:rPr>
          <w:rFonts w:ascii="Simplified Arabic" w:hAnsi="Simplified Arabic" w:cs="Simplified Arabic"/>
          <w:sz w:val="24"/>
          <w:szCs w:val="24"/>
        </w:rPr>
      </w:pPr>
    </w:p>
    <w:p w14:paraId="4EC111F7"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جدول</w:t>
      </w:r>
      <w:r w:rsidRPr="003C40F2">
        <w:rPr>
          <w:rFonts w:ascii="Simplified Arabic" w:hAnsi="Simplified Arabic" w:cs="Simplified Arabic"/>
          <w:b/>
          <w:bCs/>
          <w:sz w:val="24"/>
          <w:szCs w:val="24"/>
        </w:rPr>
        <w:t xml:space="preserve"> (3-11)</w:t>
      </w:r>
    </w:p>
    <w:p w14:paraId="5FDB1F53"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781884">
        <w:rPr>
          <w:rFonts w:ascii="Simplified Arabic" w:hAnsi="Simplified Arabic" w:cs="Simplified Arabic"/>
          <w:b/>
          <w:bCs/>
          <w:sz w:val="24"/>
          <w:szCs w:val="24"/>
          <w:highlight w:val="yellow"/>
          <w:rtl/>
        </w:rPr>
        <w:t>خطة تحليل البيانات</w:t>
      </w:r>
    </w:p>
    <w:tbl>
      <w:tblPr>
        <w:tblStyle w:val="TableGridLight"/>
        <w:bidiVisual/>
        <w:tblW w:w="0" w:type="auto"/>
        <w:jc w:val="center"/>
        <w:tblLook w:val="04A0" w:firstRow="1" w:lastRow="0" w:firstColumn="1" w:lastColumn="0" w:noHBand="0" w:noVBand="1"/>
      </w:tblPr>
      <w:tblGrid>
        <w:gridCol w:w="3561"/>
        <w:gridCol w:w="4361"/>
      </w:tblGrid>
      <w:tr w:rsidR="001A3ABE" w:rsidRPr="003C40F2" w14:paraId="759F48C4" w14:textId="77777777" w:rsidTr="00CC256A">
        <w:trPr>
          <w:jc w:val="center"/>
        </w:trPr>
        <w:tc>
          <w:tcPr>
            <w:tcW w:w="0" w:type="auto"/>
            <w:vAlign w:val="center"/>
            <w:hideMark/>
          </w:tcPr>
          <w:p w14:paraId="744D90E3" w14:textId="77777777" w:rsidR="001A3ABE" w:rsidRPr="003C40F2" w:rsidRDefault="001A3ABE" w:rsidP="00CC256A">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الهدف أو الفرضية</w:t>
            </w:r>
          </w:p>
        </w:tc>
        <w:tc>
          <w:tcPr>
            <w:tcW w:w="0" w:type="auto"/>
            <w:vAlign w:val="center"/>
            <w:hideMark/>
          </w:tcPr>
          <w:p w14:paraId="5EBC3738" w14:textId="77777777" w:rsidR="001A3ABE" w:rsidRPr="003C40F2" w:rsidRDefault="001A3ABE" w:rsidP="00CC256A">
            <w:pPr>
              <w:bidi/>
              <w:jc w:val="center"/>
              <w:rPr>
                <w:rFonts w:ascii="Simplified Arabic" w:hAnsi="Simplified Arabic" w:cs="Simplified Arabic"/>
                <w:b/>
                <w:bCs/>
                <w:sz w:val="24"/>
                <w:szCs w:val="24"/>
              </w:rPr>
            </w:pPr>
            <w:r w:rsidRPr="003C40F2">
              <w:rPr>
                <w:rFonts w:ascii="Simplified Arabic" w:hAnsi="Simplified Arabic" w:cs="Simplified Arabic"/>
                <w:b/>
                <w:bCs/>
                <w:sz w:val="24"/>
                <w:szCs w:val="24"/>
                <w:rtl/>
              </w:rPr>
              <w:t>الأسلوب الإحصائي</w:t>
            </w:r>
          </w:p>
        </w:tc>
      </w:tr>
      <w:tr w:rsidR="001A3ABE" w:rsidRPr="003C40F2" w14:paraId="0AB9FB83" w14:textId="77777777" w:rsidTr="00CC256A">
        <w:trPr>
          <w:jc w:val="center"/>
        </w:trPr>
        <w:tc>
          <w:tcPr>
            <w:tcW w:w="0" w:type="auto"/>
            <w:vAlign w:val="center"/>
            <w:hideMark/>
          </w:tcPr>
          <w:p w14:paraId="7AB776D8"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وصف خصائص أفراد العينة</w:t>
            </w:r>
          </w:p>
        </w:tc>
        <w:tc>
          <w:tcPr>
            <w:tcW w:w="0" w:type="auto"/>
            <w:vAlign w:val="center"/>
            <w:hideMark/>
          </w:tcPr>
          <w:p w14:paraId="6B572F2F"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التكرارات والنسب المئوية</w:t>
            </w:r>
          </w:p>
        </w:tc>
      </w:tr>
      <w:tr w:rsidR="001A3ABE" w:rsidRPr="003C40F2" w14:paraId="2FF156CC" w14:textId="77777777" w:rsidTr="00CC256A">
        <w:trPr>
          <w:jc w:val="center"/>
        </w:trPr>
        <w:tc>
          <w:tcPr>
            <w:tcW w:w="0" w:type="auto"/>
            <w:vAlign w:val="center"/>
            <w:hideMark/>
          </w:tcPr>
          <w:p w14:paraId="1BF2978D"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تحديد مستوى استجابات أفراد العينة</w:t>
            </w:r>
          </w:p>
        </w:tc>
        <w:tc>
          <w:tcPr>
            <w:tcW w:w="0" w:type="auto"/>
            <w:vAlign w:val="center"/>
            <w:hideMark/>
          </w:tcPr>
          <w:p w14:paraId="44ACB039"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المتوسطات الحسابية والانحرافات المعيارية</w:t>
            </w:r>
          </w:p>
        </w:tc>
      </w:tr>
      <w:tr w:rsidR="001A3ABE" w:rsidRPr="003C40F2" w14:paraId="7246A86A" w14:textId="77777777" w:rsidTr="00CC256A">
        <w:trPr>
          <w:jc w:val="center"/>
        </w:trPr>
        <w:tc>
          <w:tcPr>
            <w:tcW w:w="0" w:type="auto"/>
            <w:vAlign w:val="center"/>
            <w:hideMark/>
          </w:tcPr>
          <w:p w14:paraId="589B8CA6"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التحقق من ثبات الأداة</w:t>
            </w:r>
          </w:p>
        </w:tc>
        <w:tc>
          <w:tcPr>
            <w:tcW w:w="0" w:type="auto"/>
            <w:vAlign w:val="center"/>
            <w:hideMark/>
          </w:tcPr>
          <w:p w14:paraId="626FB384"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معامل ألفا كرونباخ</w:t>
            </w:r>
          </w:p>
        </w:tc>
      </w:tr>
      <w:tr w:rsidR="001A3ABE" w:rsidRPr="003C40F2" w14:paraId="58436E6C" w14:textId="77777777" w:rsidTr="00CC256A">
        <w:trPr>
          <w:jc w:val="center"/>
        </w:trPr>
        <w:tc>
          <w:tcPr>
            <w:tcW w:w="0" w:type="auto"/>
            <w:vAlign w:val="center"/>
            <w:hideMark/>
          </w:tcPr>
          <w:p w14:paraId="1BB7E611"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دراسة العلاقة بين المتغيرات</w:t>
            </w:r>
          </w:p>
        </w:tc>
        <w:tc>
          <w:tcPr>
            <w:tcW w:w="0" w:type="auto"/>
            <w:vAlign w:val="center"/>
            <w:hideMark/>
          </w:tcPr>
          <w:p w14:paraId="7901E1E1"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معامل ارتباط بيرسون</w:t>
            </w:r>
          </w:p>
        </w:tc>
      </w:tr>
      <w:tr w:rsidR="001A3ABE" w:rsidRPr="003C40F2" w14:paraId="528E8AAA" w14:textId="77777777" w:rsidTr="00CC256A">
        <w:trPr>
          <w:jc w:val="center"/>
        </w:trPr>
        <w:tc>
          <w:tcPr>
            <w:tcW w:w="0" w:type="auto"/>
            <w:vAlign w:val="center"/>
            <w:hideMark/>
          </w:tcPr>
          <w:p w14:paraId="2DEFFE7A"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اختبار أثر المتغير المستقل في المتغير التابع</w:t>
            </w:r>
          </w:p>
        </w:tc>
        <w:tc>
          <w:tcPr>
            <w:tcW w:w="0" w:type="auto"/>
            <w:vAlign w:val="center"/>
            <w:hideMark/>
          </w:tcPr>
          <w:p w14:paraId="6B024E9B"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تحليل الانحدار المتعدد</w:t>
            </w:r>
          </w:p>
        </w:tc>
      </w:tr>
      <w:tr w:rsidR="001A3ABE" w:rsidRPr="003C40F2" w14:paraId="00DB603D" w14:textId="77777777" w:rsidTr="00CC256A">
        <w:trPr>
          <w:jc w:val="center"/>
        </w:trPr>
        <w:tc>
          <w:tcPr>
            <w:tcW w:w="0" w:type="auto"/>
            <w:vAlign w:val="center"/>
            <w:hideMark/>
          </w:tcPr>
          <w:p w14:paraId="416A8D6D"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دراسة الفروق بين أفراد العينة</w:t>
            </w:r>
          </w:p>
        </w:tc>
        <w:tc>
          <w:tcPr>
            <w:tcW w:w="0" w:type="auto"/>
            <w:vAlign w:val="center"/>
            <w:hideMark/>
          </w:tcPr>
          <w:p w14:paraId="2FC05721"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اختبار</w:t>
            </w:r>
            <w:r w:rsidRPr="003C40F2">
              <w:rPr>
                <w:rFonts w:ascii="Simplified Arabic" w:hAnsi="Simplified Arabic" w:cs="Simplified Arabic"/>
                <w:sz w:val="24"/>
                <w:szCs w:val="24"/>
              </w:rPr>
              <w:t xml:space="preserve"> (T-Test) </w:t>
            </w:r>
            <w:r w:rsidRPr="003C40F2">
              <w:rPr>
                <w:rFonts w:ascii="Simplified Arabic" w:hAnsi="Simplified Arabic" w:cs="Simplified Arabic"/>
                <w:sz w:val="24"/>
                <w:szCs w:val="24"/>
                <w:rtl/>
              </w:rPr>
              <w:t>وتحليل التباين الأحادي</w:t>
            </w:r>
            <w:r w:rsidRPr="003C40F2">
              <w:rPr>
                <w:rFonts w:ascii="Simplified Arabic" w:hAnsi="Simplified Arabic" w:cs="Simplified Arabic"/>
                <w:sz w:val="24"/>
                <w:szCs w:val="24"/>
              </w:rPr>
              <w:t xml:space="preserve"> (ANOVA)</w:t>
            </w:r>
          </w:p>
        </w:tc>
      </w:tr>
      <w:tr w:rsidR="001A3ABE" w:rsidRPr="003C40F2" w14:paraId="514C5783" w14:textId="77777777" w:rsidTr="00CC256A">
        <w:trPr>
          <w:jc w:val="center"/>
        </w:trPr>
        <w:tc>
          <w:tcPr>
            <w:tcW w:w="0" w:type="auto"/>
            <w:vAlign w:val="center"/>
            <w:hideMark/>
          </w:tcPr>
          <w:p w14:paraId="7B07B011" w14:textId="77777777" w:rsidR="001A3ABE" w:rsidRPr="003C40F2" w:rsidRDefault="001A3ABE" w:rsidP="00CC256A">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تفسير البيانات الثانوية</w:t>
            </w:r>
          </w:p>
        </w:tc>
        <w:tc>
          <w:tcPr>
            <w:tcW w:w="0" w:type="auto"/>
            <w:vAlign w:val="center"/>
            <w:hideMark/>
          </w:tcPr>
          <w:p w14:paraId="70FA66F2" w14:textId="69E12236" w:rsidR="00E51D73" w:rsidRPr="003C40F2" w:rsidRDefault="001A3ABE" w:rsidP="00E51D73">
            <w:pPr>
              <w:bidi/>
              <w:jc w:val="center"/>
              <w:rPr>
                <w:rFonts w:ascii="Simplified Arabic" w:hAnsi="Simplified Arabic" w:cs="Simplified Arabic"/>
                <w:sz w:val="24"/>
                <w:szCs w:val="24"/>
              </w:rPr>
            </w:pPr>
            <w:r w:rsidRPr="003C40F2">
              <w:rPr>
                <w:rFonts w:ascii="Simplified Arabic" w:hAnsi="Simplified Arabic" w:cs="Simplified Arabic"/>
                <w:sz w:val="24"/>
                <w:szCs w:val="24"/>
                <w:rtl/>
              </w:rPr>
              <w:t>التحليل الوصفي والمقارنة</w:t>
            </w:r>
          </w:p>
        </w:tc>
      </w:tr>
      <w:tr w:rsidR="00A36608" w:rsidRPr="003C40F2" w14:paraId="29647AAA" w14:textId="77777777" w:rsidTr="00CC256A">
        <w:trPr>
          <w:jc w:val="center"/>
        </w:trPr>
        <w:tc>
          <w:tcPr>
            <w:tcW w:w="0" w:type="auto"/>
          </w:tcPr>
          <w:p w14:paraId="0250FF6E" w14:textId="1300F15D" w:rsidR="00A36608" w:rsidRPr="00C81641" w:rsidRDefault="00A36608" w:rsidP="00A36608">
            <w:pPr>
              <w:bidi/>
              <w:jc w:val="center"/>
              <w:rPr>
                <w:rFonts w:ascii="Simplified Arabic" w:hAnsi="Simplified Arabic" w:cs="Simplified Arabic"/>
                <w:sz w:val="28"/>
                <w:szCs w:val="28"/>
                <w:rtl/>
              </w:rPr>
            </w:pPr>
            <w:r w:rsidRPr="00C81641">
              <w:rPr>
                <w:rFonts w:ascii="Simplified Arabic" w:hAnsi="Simplified Arabic" w:cs="Simplified Arabic"/>
                <w:sz w:val="24"/>
                <w:szCs w:val="24"/>
                <w:rtl/>
              </w:rPr>
              <w:t>اختبار أثر المتغير المستقل</w:t>
            </w:r>
          </w:p>
        </w:tc>
        <w:tc>
          <w:tcPr>
            <w:tcW w:w="0" w:type="auto"/>
          </w:tcPr>
          <w:p w14:paraId="7863D80E" w14:textId="2638483D" w:rsidR="00A36608" w:rsidRPr="00C81641" w:rsidRDefault="00A36608" w:rsidP="00A36608">
            <w:pPr>
              <w:bidi/>
              <w:jc w:val="center"/>
              <w:rPr>
                <w:rFonts w:ascii="Simplified Arabic" w:hAnsi="Simplified Arabic" w:cs="Simplified Arabic"/>
                <w:sz w:val="28"/>
                <w:szCs w:val="28"/>
                <w:rtl/>
              </w:rPr>
            </w:pPr>
            <w:r w:rsidRPr="00C81641">
              <w:rPr>
                <w:rFonts w:ascii="Simplified Arabic" w:hAnsi="Simplified Arabic" w:cs="Simplified Arabic"/>
                <w:sz w:val="24"/>
                <w:szCs w:val="24"/>
                <w:rtl/>
              </w:rPr>
              <w:t>تحليل الانحدار المتعدد</w:t>
            </w:r>
          </w:p>
        </w:tc>
      </w:tr>
    </w:tbl>
    <w:p w14:paraId="37FC0DB4"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lastRenderedPageBreak/>
        <w:t>جدول</w:t>
      </w:r>
      <w:r w:rsidRPr="003C40F2">
        <w:rPr>
          <w:rFonts w:ascii="Simplified Arabic" w:hAnsi="Simplified Arabic" w:cs="Simplified Arabic"/>
          <w:b/>
          <w:bCs/>
          <w:sz w:val="24"/>
          <w:szCs w:val="24"/>
        </w:rPr>
        <w:t xml:space="preserve"> (3-12)</w:t>
      </w:r>
    </w:p>
    <w:p w14:paraId="5BA67F57" w14:textId="77777777" w:rsidR="001A3ABE" w:rsidRPr="003C40F2" w:rsidRDefault="001A3ABE" w:rsidP="001A3ABE">
      <w:pPr>
        <w:bidi/>
        <w:spacing w:line="240" w:lineRule="auto"/>
        <w:jc w:val="lowKashida"/>
        <w:rPr>
          <w:rFonts w:ascii="Simplified Arabic" w:hAnsi="Simplified Arabic" w:cs="Simplified Arabic"/>
          <w:b/>
          <w:bCs/>
          <w:sz w:val="24"/>
          <w:szCs w:val="24"/>
        </w:rPr>
      </w:pPr>
      <w:r w:rsidRPr="003C40F2">
        <w:rPr>
          <w:rFonts w:ascii="Simplified Arabic" w:hAnsi="Simplified Arabic" w:cs="Simplified Arabic"/>
          <w:b/>
          <w:bCs/>
          <w:sz w:val="24"/>
          <w:szCs w:val="24"/>
          <w:rtl/>
        </w:rPr>
        <w:t>مصفوفة الفرضيات والاختبارات الإحصائية</w:t>
      </w:r>
    </w:p>
    <w:tbl>
      <w:tblPr>
        <w:tblStyle w:val="TableGridLight"/>
        <w:tblW w:w="0" w:type="auto"/>
        <w:jc w:val="center"/>
        <w:tblLook w:val="04A0" w:firstRow="1" w:lastRow="0" w:firstColumn="1" w:lastColumn="0" w:noHBand="0" w:noVBand="1"/>
      </w:tblPr>
      <w:tblGrid>
        <w:gridCol w:w="1904"/>
        <w:gridCol w:w="2798"/>
        <w:gridCol w:w="2077"/>
        <w:gridCol w:w="1500"/>
      </w:tblGrid>
      <w:tr w:rsidR="001A3ABE" w:rsidRPr="00434F06" w14:paraId="2BEC27B8" w14:textId="77777777" w:rsidTr="00CC256A">
        <w:trPr>
          <w:jc w:val="center"/>
        </w:trPr>
        <w:tc>
          <w:tcPr>
            <w:tcW w:w="0" w:type="auto"/>
            <w:vAlign w:val="center"/>
            <w:hideMark/>
          </w:tcPr>
          <w:p w14:paraId="1D701B5A" w14:textId="77777777" w:rsidR="001A3ABE" w:rsidRPr="00434F06" w:rsidRDefault="001A3ABE" w:rsidP="00CC256A">
            <w:pPr>
              <w:bidi/>
              <w:jc w:val="center"/>
              <w:rPr>
                <w:rFonts w:ascii="Simplified Arabic" w:hAnsi="Simplified Arabic" w:cs="Simplified Arabic"/>
                <w:b/>
                <w:bCs/>
              </w:rPr>
            </w:pPr>
            <w:r w:rsidRPr="00434F06">
              <w:rPr>
                <w:rFonts w:ascii="Simplified Arabic" w:hAnsi="Simplified Arabic" w:cs="Simplified Arabic"/>
                <w:b/>
                <w:bCs/>
                <w:rtl/>
              </w:rPr>
              <w:t>الفرضية</w:t>
            </w:r>
          </w:p>
        </w:tc>
        <w:tc>
          <w:tcPr>
            <w:tcW w:w="0" w:type="auto"/>
            <w:vAlign w:val="center"/>
            <w:hideMark/>
          </w:tcPr>
          <w:p w14:paraId="70D61100" w14:textId="77777777" w:rsidR="001A3ABE" w:rsidRPr="00434F06" w:rsidRDefault="001A3ABE" w:rsidP="00CC256A">
            <w:pPr>
              <w:bidi/>
              <w:jc w:val="center"/>
              <w:rPr>
                <w:rFonts w:ascii="Simplified Arabic" w:hAnsi="Simplified Arabic" w:cs="Simplified Arabic"/>
                <w:b/>
                <w:bCs/>
              </w:rPr>
            </w:pPr>
            <w:r w:rsidRPr="00434F06">
              <w:rPr>
                <w:rFonts w:ascii="Simplified Arabic" w:hAnsi="Simplified Arabic" w:cs="Simplified Arabic"/>
                <w:b/>
                <w:bCs/>
                <w:rtl/>
              </w:rPr>
              <w:t>المتغير المستقل</w:t>
            </w:r>
          </w:p>
        </w:tc>
        <w:tc>
          <w:tcPr>
            <w:tcW w:w="0" w:type="auto"/>
            <w:vAlign w:val="center"/>
            <w:hideMark/>
          </w:tcPr>
          <w:p w14:paraId="5F572DE0" w14:textId="77777777" w:rsidR="001A3ABE" w:rsidRPr="00434F06" w:rsidRDefault="001A3ABE" w:rsidP="00CC256A">
            <w:pPr>
              <w:bidi/>
              <w:jc w:val="center"/>
              <w:rPr>
                <w:rFonts w:ascii="Simplified Arabic" w:hAnsi="Simplified Arabic" w:cs="Simplified Arabic"/>
                <w:b/>
                <w:bCs/>
              </w:rPr>
            </w:pPr>
            <w:r w:rsidRPr="00434F06">
              <w:rPr>
                <w:rFonts w:ascii="Simplified Arabic" w:hAnsi="Simplified Arabic" w:cs="Simplified Arabic"/>
                <w:b/>
                <w:bCs/>
                <w:rtl/>
              </w:rPr>
              <w:t>المتغير التابع</w:t>
            </w:r>
          </w:p>
        </w:tc>
        <w:tc>
          <w:tcPr>
            <w:tcW w:w="0" w:type="auto"/>
            <w:vAlign w:val="center"/>
            <w:hideMark/>
          </w:tcPr>
          <w:p w14:paraId="2E87D466" w14:textId="77777777" w:rsidR="001A3ABE" w:rsidRPr="00434F06" w:rsidRDefault="001A3ABE" w:rsidP="00CC256A">
            <w:pPr>
              <w:bidi/>
              <w:jc w:val="center"/>
              <w:rPr>
                <w:rFonts w:ascii="Simplified Arabic" w:hAnsi="Simplified Arabic" w:cs="Simplified Arabic"/>
                <w:b/>
                <w:bCs/>
              </w:rPr>
            </w:pPr>
            <w:r w:rsidRPr="00434F06">
              <w:rPr>
                <w:rFonts w:ascii="Simplified Arabic" w:hAnsi="Simplified Arabic" w:cs="Simplified Arabic"/>
                <w:b/>
                <w:bCs/>
                <w:rtl/>
              </w:rPr>
              <w:t>الاختبار الإحصائي</w:t>
            </w:r>
          </w:p>
        </w:tc>
      </w:tr>
      <w:tr w:rsidR="001A3ABE" w:rsidRPr="00434F06" w14:paraId="249702FB" w14:textId="77777777" w:rsidTr="00CC256A">
        <w:trPr>
          <w:jc w:val="center"/>
        </w:trPr>
        <w:tc>
          <w:tcPr>
            <w:tcW w:w="0" w:type="auto"/>
            <w:vAlign w:val="center"/>
            <w:hideMark/>
          </w:tcPr>
          <w:p w14:paraId="1DBC8F71"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الفرضية الرئيسة</w:t>
            </w:r>
          </w:p>
        </w:tc>
        <w:tc>
          <w:tcPr>
            <w:tcW w:w="0" w:type="auto"/>
            <w:vAlign w:val="center"/>
            <w:hideMark/>
          </w:tcPr>
          <w:p w14:paraId="65D7B478"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الشراكات بين القطاعين العام والخاص</w:t>
            </w:r>
          </w:p>
        </w:tc>
        <w:tc>
          <w:tcPr>
            <w:tcW w:w="0" w:type="auto"/>
            <w:vAlign w:val="center"/>
            <w:hideMark/>
          </w:tcPr>
          <w:p w14:paraId="1F33584E"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0FCF73B8"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r w:rsidR="001A3ABE" w:rsidRPr="00434F06" w14:paraId="039770D5" w14:textId="77777777" w:rsidTr="00CC256A">
        <w:trPr>
          <w:jc w:val="center"/>
        </w:trPr>
        <w:tc>
          <w:tcPr>
            <w:tcW w:w="0" w:type="auto"/>
            <w:vAlign w:val="center"/>
            <w:hideMark/>
          </w:tcPr>
          <w:p w14:paraId="505A264F"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الفرضية الفرعية الأولى</w:t>
            </w:r>
          </w:p>
        </w:tc>
        <w:tc>
          <w:tcPr>
            <w:tcW w:w="0" w:type="auto"/>
            <w:vAlign w:val="center"/>
            <w:hideMark/>
          </w:tcPr>
          <w:p w14:paraId="2D7C7759"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الإطار التشريعي</w:t>
            </w:r>
          </w:p>
        </w:tc>
        <w:tc>
          <w:tcPr>
            <w:tcW w:w="0" w:type="auto"/>
            <w:vAlign w:val="center"/>
            <w:hideMark/>
          </w:tcPr>
          <w:p w14:paraId="1AFB5239"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368E13B9"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r w:rsidR="001A3ABE" w:rsidRPr="00434F06" w14:paraId="253E9CA0" w14:textId="77777777" w:rsidTr="00CC256A">
        <w:trPr>
          <w:jc w:val="center"/>
        </w:trPr>
        <w:tc>
          <w:tcPr>
            <w:tcW w:w="0" w:type="auto"/>
            <w:vAlign w:val="center"/>
            <w:hideMark/>
          </w:tcPr>
          <w:p w14:paraId="63D05FF0"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الفرضية الفرعية الثانية</w:t>
            </w:r>
          </w:p>
        </w:tc>
        <w:tc>
          <w:tcPr>
            <w:tcW w:w="0" w:type="auto"/>
            <w:vAlign w:val="center"/>
            <w:hideMark/>
          </w:tcPr>
          <w:p w14:paraId="4BFD5BBE"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توزيع الأدوار</w:t>
            </w:r>
          </w:p>
        </w:tc>
        <w:tc>
          <w:tcPr>
            <w:tcW w:w="0" w:type="auto"/>
            <w:vAlign w:val="center"/>
            <w:hideMark/>
          </w:tcPr>
          <w:p w14:paraId="51B574E5"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39524C1C"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r w:rsidR="001A3ABE" w:rsidRPr="00434F06" w14:paraId="425863E5" w14:textId="77777777" w:rsidTr="00CC256A">
        <w:trPr>
          <w:jc w:val="center"/>
        </w:trPr>
        <w:tc>
          <w:tcPr>
            <w:tcW w:w="0" w:type="auto"/>
            <w:vAlign w:val="center"/>
            <w:hideMark/>
          </w:tcPr>
          <w:p w14:paraId="6E0B606B"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الفرضية الفرعية الثالثة</w:t>
            </w:r>
          </w:p>
        </w:tc>
        <w:tc>
          <w:tcPr>
            <w:tcW w:w="0" w:type="auto"/>
            <w:vAlign w:val="center"/>
            <w:hideMark/>
          </w:tcPr>
          <w:p w14:paraId="457ECED9"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التنسيق وتبادل المعلومات</w:t>
            </w:r>
          </w:p>
        </w:tc>
        <w:tc>
          <w:tcPr>
            <w:tcW w:w="0" w:type="auto"/>
            <w:vAlign w:val="center"/>
            <w:hideMark/>
          </w:tcPr>
          <w:p w14:paraId="2CD23CEA"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1877ADEF"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r w:rsidR="001A3ABE" w:rsidRPr="00434F06" w14:paraId="082BE10F" w14:textId="77777777" w:rsidTr="00CC256A">
        <w:trPr>
          <w:jc w:val="center"/>
        </w:trPr>
        <w:tc>
          <w:tcPr>
            <w:tcW w:w="0" w:type="auto"/>
            <w:vAlign w:val="center"/>
            <w:hideMark/>
          </w:tcPr>
          <w:p w14:paraId="53FD1943"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الفرضية الفرعية الرابعة</w:t>
            </w:r>
          </w:p>
        </w:tc>
        <w:tc>
          <w:tcPr>
            <w:tcW w:w="0" w:type="auto"/>
            <w:vAlign w:val="center"/>
            <w:hideMark/>
          </w:tcPr>
          <w:p w14:paraId="2FBF0DB6"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إدارة الموارد والتمويل</w:t>
            </w:r>
          </w:p>
        </w:tc>
        <w:tc>
          <w:tcPr>
            <w:tcW w:w="0" w:type="auto"/>
            <w:vAlign w:val="center"/>
            <w:hideMark/>
          </w:tcPr>
          <w:p w14:paraId="4F7DC7F2"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276C7E09"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r w:rsidR="001A3ABE" w:rsidRPr="00434F06" w14:paraId="5DD03EF5" w14:textId="77777777" w:rsidTr="00CC256A">
        <w:trPr>
          <w:jc w:val="center"/>
        </w:trPr>
        <w:tc>
          <w:tcPr>
            <w:tcW w:w="0" w:type="auto"/>
            <w:vAlign w:val="center"/>
            <w:hideMark/>
          </w:tcPr>
          <w:p w14:paraId="1665C25C"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الفرضية الفرعية الخامسة</w:t>
            </w:r>
          </w:p>
        </w:tc>
        <w:tc>
          <w:tcPr>
            <w:tcW w:w="0" w:type="auto"/>
            <w:vAlign w:val="center"/>
            <w:hideMark/>
          </w:tcPr>
          <w:p w14:paraId="58DE08F4"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الرقابة وإدارة المخاطر</w:t>
            </w:r>
          </w:p>
        </w:tc>
        <w:tc>
          <w:tcPr>
            <w:tcW w:w="0" w:type="auto"/>
            <w:vAlign w:val="center"/>
            <w:hideMark/>
          </w:tcPr>
          <w:p w14:paraId="590A680F"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الحوكمة البيئية وإدارة الأداء</w:t>
            </w:r>
          </w:p>
        </w:tc>
        <w:tc>
          <w:tcPr>
            <w:tcW w:w="0" w:type="auto"/>
            <w:vAlign w:val="center"/>
            <w:hideMark/>
          </w:tcPr>
          <w:p w14:paraId="7F46E51B" w14:textId="77777777" w:rsidR="001A3ABE" w:rsidRPr="00434F06" w:rsidRDefault="001A3ABE" w:rsidP="00CC256A">
            <w:pPr>
              <w:bidi/>
              <w:jc w:val="center"/>
              <w:rPr>
                <w:rFonts w:ascii="Simplified Arabic" w:hAnsi="Simplified Arabic" w:cs="Simplified Arabic"/>
              </w:rPr>
            </w:pPr>
            <w:r w:rsidRPr="00434F06">
              <w:rPr>
                <w:rFonts w:ascii="Simplified Arabic" w:hAnsi="Simplified Arabic" w:cs="Simplified Arabic"/>
                <w:rtl/>
              </w:rPr>
              <w:t>الانحدار المتعدد</w:t>
            </w:r>
          </w:p>
        </w:tc>
      </w:tr>
    </w:tbl>
    <w:p w14:paraId="6A0B9782" w14:textId="77777777" w:rsidR="00434F06" w:rsidRDefault="00434F06" w:rsidP="00434F06">
      <w:pPr>
        <w:bidi/>
        <w:spacing w:line="240" w:lineRule="auto"/>
        <w:jc w:val="lowKashida"/>
        <w:rPr>
          <w:rFonts w:ascii="Simplified Arabic" w:hAnsi="Simplified Arabic" w:cs="Simplified Arabic"/>
          <w:b/>
          <w:bCs/>
          <w:sz w:val="24"/>
          <w:szCs w:val="24"/>
        </w:rPr>
      </w:pPr>
    </w:p>
    <w:p w14:paraId="3865EAFF" w14:textId="05D37E43" w:rsidR="005755B5" w:rsidRPr="005755B5" w:rsidRDefault="00BB5279" w:rsidP="005755B5">
      <w:pPr>
        <w:bidi/>
        <w:spacing w:line="240" w:lineRule="auto"/>
        <w:jc w:val="lowKashida"/>
        <w:rPr>
          <w:rFonts w:ascii="Simplified Arabic" w:hAnsi="Simplified Arabic" w:cs="Simplified Arabic"/>
          <w:b/>
          <w:bCs/>
          <w:sz w:val="24"/>
          <w:szCs w:val="24"/>
          <w:rtl/>
        </w:rPr>
      </w:pPr>
      <w:r>
        <w:rPr>
          <w:rFonts w:ascii="Simplified Arabic" w:hAnsi="Simplified Arabic" w:cs="Simplified Arabic"/>
          <w:b/>
          <w:bCs/>
          <w:sz w:val="24"/>
          <w:szCs w:val="24"/>
        </w:rPr>
        <w:t xml:space="preserve"> </w:t>
      </w:r>
      <w:r w:rsidR="005755B5" w:rsidRPr="00781884">
        <w:rPr>
          <w:rFonts w:ascii="Simplified Arabic" w:hAnsi="Simplified Arabic" w:cs="Simplified Arabic"/>
          <w:b/>
          <w:bCs/>
          <w:sz w:val="24"/>
          <w:szCs w:val="24"/>
          <w:highlight w:val="yellow"/>
        </w:rPr>
        <w:t xml:space="preserve">3.18.1 </w:t>
      </w:r>
      <w:r w:rsidR="005755B5" w:rsidRPr="00781884">
        <w:rPr>
          <w:rFonts w:ascii="Simplified Arabic" w:hAnsi="Simplified Arabic" w:cs="Simplified Arabic"/>
          <w:b/>
          <w:bCs/>
          <w:sz w:val="24"/>
          <w:szCs w:val="24"/>
          <w:highlight w:val="yellow"/>
          <w:rtl/>
        </w:rPr>
        <w:t>خطوات بناء النموذج المقترح</w:t>
      </w:r>
    </w:p>
    <w:p w14:paraId="38F4F973" w14:textId="77777777" w:rsidR="005755B5" w:rsidRPr="005755B5" w:rsidRDefault="005755B5" w:rsidP="005755B5">
      <w:pPr>
        <w:bidi/>
        <w:spacing w:line="240" w:lineRule="auto"/>
        <w:jc w:val="lowKashida"/>
        <w:rPr>
          <w:rFonts w:ascii="Simplified Arabic" w:hAnsi="Simplified Arabic" w:cs="Simplified Arabic"/>
          <w:sz w:val="24"/>
          <w:szCs w:val="24"/>
          <w:rtl/>
        </w:rPr>
      </w:pPr>
      <w:r w:rsidRPr="005755B5">
        <w:rPr>
          <w:rFonts w:ascii="Simplified Arabic" w:hAnsi="Simplified Arabic" w:cs="Simplified Arabic"/>
          <w:sz w:val="24"/>
          <w:szCs w:val="24"/>
          <w:rtl/>
        </w:rPr>
        <w:t>سيتم بناء النموذج المقترح وفق أربع مراحل متتابعة، تبدأ بتحليل نتائج الاستبانة واختبار الفرضيات، ثم تحليل الوثائق والمؤشرات الرسمية، يلي ذلك دمج النتائج الكمية والوثائقية لاستخلاص عناصر النموذج المقترح، وأخيرًا عرض النموذج على عدد من الخبراء والمتخصصين لتحكيمه وإبداء الملاحظات اللازمة قبل اعتماده بصورته النهائية</w:t>
      </w:r>
      <w:r w:rsidRPr="005755B5">
        <w:rPr>
          <w:rFonts w:ascii="Simplified Arabic" w:hAnsi="Simplified Arabic" w:cs="Simplified Arabic"/>
          <w:sz w:val="24"/>
          <w:szCs w:val="24"/>
        </w:rPr>
        <w:t>.</w:t>
      </w:r>
    </w:p>
    <w:p w14:paraId="7B2E404E" w14:textId="77777777" w:rsidR="005755B5" w:rsidRDefault="005755B5" w:rsidP="005755B5">
      <w:pPr>
        <w:bidi/>
        <w:spacing w:line="240" w:lineRule="auto"/>
        <w:jc w:val="lowKashida"/>
        <w:rPr>
          <w:rFonts w:ascii="Simplified Arabic" w:hAnsi="Simplified Arabic" w:cs="Simplified Arabic"/>
          <w:b/>
          <w:bCs/>
          <w:sz w:val="24"/>
          <w:szCs w:val="24"/>
        </w:rPr>
      </w:pPr>
    </w:p>
    <w:p w14:paraId="190C2A7A" w14:textId="0E54E616" w:rsidR="001A3ABE" w:rsidRPr="003C40F2" w:rsidRDefault="001A3ABE" w:rsidP="00434F06">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3.19 </w:t>
      </w:r>
      <w:r w:rsidRPr="003C40F2">
        <w:rPr>
          <w:rFonts w:ascii="Simplified Arabic" w:hAnsi="Simplified Arabic" w:cs="Simplified Arabic"/>
          <w:b/>
          <w:bCs/>
          <w:sz w:val="24"/>
          <w:szCs w:val="24"/>
          <w:rtl/>
        </w:rPr>
        <w:t>البرامج الإحصائية المستخدمة</w:t>
      </w:r>
    </w:p>
    <w:p w14:paraId="02C64C43" w14:textId="2C7F13FF" w:rsidR="001A3ABE"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سيتم استخدام برنامج الحزم الإحصائية للعلوم الاجتماعية</w:t>
      </w:r>
      <w:r w:rsidRPr="003C40F2">
        <w:rPr>
          <w:rFonts w:ascii="Simplified Arabic" w:hAnsi="Simplified Arabic" w:cs="Simplified Arabic"/>
          <w:sz w:val="24"/>
          <w:szCs w:val="24"/>
        </w:rPr>
        <w:t xml:space="preserve"> (SPSS) </w:t>
      </w:r>
      <w:r w:rsidRPr="003C40F2">
        <w:rPr>
          <w:rFonts w:ascii="Simplified Arabic" w:hAnsi="Simplified Arabic" w:cs="Simplified Arabic"/>
          <w:sz w:val="24"/>
          <w:szCs w:val="24"/>
          <w:rtl/>
        </w:rPr>
        <w:t xml:space="preserve">لإجراء جميع التحليلات الإحصائية الخاصة بالدراسة، بما يشمل الإحصاء الوصفي، واختبارات الثبات، وتحليل الارتباط، وتحليل الانحدار، واختبارات الفروق. كما سيتم استخدام برنامج </w:t>
      </w:r>
      <w:r w:rsidRPr="003C40F2">
        <w:rPr>
          <w:rFonts w:ascii="Simplified Arabic" w:hAnsi="Simplified Arabic" w:cs="Simplified Arabic"/>
          <w:sz w:val="24"/>
          <w:szCs w:val="24"/>
        </w:rPr>
        <w:t>Microsoft Excel</w:t>
      </w:r>
      <w:r w:rsidR="006066E7">
        <w:rPr>
          <w:rFonts w:ascii="Simplified Arabic" w:hAnsi="Simplified Arabic" w:cs="Simplified Arabic" w:hint="cs"/>
          <w:sz w:val="24"/>
          <w:szCs w:val="24"/>
          <w:rtl/>
        </w:rPr>
        <w:t xml:space="preserve"> </w:t>
      </w:r>
      <w:r w:rsidRPr="003C40F2">
        <w:rPr>
          <w:rFonts w:ascii="Simplified Arabic" w:hAnsi="Simplified Arabic" w:cs="Simplified Arabic"/>
          <w:sz w:val="24"/>
          <w:szCs w:val="24"/>
          <w:rtl/>
        </w:rPr>
        <w:t>في تنظيم البيانات الأولية وإعداد الجداول والرسوم البيانية المساندة عند الحاجة</w:t>
      </w:r>
      <w:r w:rsidRPr="003C40F2">
        <w:rPr>
          <w:rFonts w:ascii="Simplified Arabic" w:hAnsi="Simplified Arabic" w:cs="Simplified Arabic"/>
          <w:sz w:val="24"/>
          <w:szCs w:val="24"/>
        </w:rPr>
        <w:t>.</w:t>
      </w:r>
    </w:p>
    <w:p w14:paraId="3A527103" w14:textId="77777777" w:rsidR="001C485C" w:rsidRPr="003C40F2" w:rsidRDefault="001C485C" w:rsidP="001C485C">
      <w:pPr>
        <w:bidi/>
        <w:spacing w:line="240" w:lineRule="auto"/>
        <w:jc w:val="lowKashida"/>
        <w:rPr>
          <w:rFonts w:ascii="Simplified Arabic" w:hAnsi="Simplified Arabic" w:cs="Simplified Arabic"/>
          <w:sz w:val="24"/>
          <w:szCs w:val="24"/>
        </w:rPr>
      </w:pPr>
    </w:p>
    <w:p w14:paraId="0C6853D3" w14:textId="77777777" w:rsidR="001A3ABE" w:rsidRPr="003C40F2" w:rsidRDefault="001A3ABE" w:rsidP="001A3ABE">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3.20 </w:t>
      </w:r>
      <w:r w:rsidRPr="003C40F2">
        <w:rPr>
          <w:rFonts w:ascii="Simplified Arabic" w:hAnsi="Simplified Arabic" w:cs="Simplified Arabic"/>
          <w:b/>
          <w:bCs/>
          <w:sz w:val="24"/>
          <w:szCs w:val="24"/>
          <w:rtl/>
        </w:rPr>
        <w:t>الاعتبارات الأخلاقية للدراسة</w:t>
      </w:r>
    </w:p>
    <w:p w14:paraId="196482F3" w14:textId="77777777" w:rsidR="001A3ABE" w:rsidRPr="003C40F2"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التزم الباحث بمجموعة من المبادئ الأخلاقية التي تحكم البحوث العلمية، وذلك لضمان حماية المشاركين والحفاظ على جودة البحث. وسيتم الحصول على الموافقة المستنيرة من جميع المشاركين بعد توضيح أهداف الدراسة وطبيعة المشاركة، مع التأكيد على أن المشاركة اختيارية، وأن للمشارك الحق في الانسحاب في أي وقت دون أي تبعات</w:t>
      </w:r>
      <w:r w:rsidRPr="003C40F2">
        <w:rPr>
          <w:rFonts w:ascii="Simplified Arabic" w:hAnsi="Simplified Arabic" w:cs="Simplified Arabic"/>
          <w:sz w:val="24"/>
          <w:szCs w:val="24"/>
        </w:rPr>
        <w:t>.</w:t>
      </w:r>
    </w:p>
    <w:p w14:paraId="40005EB6" w14:textId="77777777" w:rsidR="001A3ABE" w:rsidRDefault="001A3ABE" w:rsidP="001A3ABE">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lastRenderedPageBreak/>
        <w:t>كما سيتم الحفاظ على سرية البيانات وعدم استخدامها إلا لأغراض البحث العلمي، مع عدم الإفصاح عن أسماء المشاركين أو الجهات التي يعملون بها، واستخدام البيانات في صورة مجمعة فقط. وسيتم اتخاذ الإجراءات اللازمة لحماية خصوصية المشاركين وإخفاء أي بيانات حساسة قد تؤدي إلى التعرف عليهم أو على الجهات المشاركة، مع الالتزام بالحصول على الموافقات الرسمية اللازمة من الجهات المختصة قبل البدء في جمع البيانات</w:t>
      </w:r>
      <w:r w:rsidRPr="003C40F2">
        <w:rPr>
          <w:rFonts w:ascii="Simplified Arabic" w:hAnsi="Simplified Arabic" w:cs="Simplified Arabic"/>
          <w:sz w:val="24"/>
          <w:szCs w:val="24"/>
        </w:rPr>
        <w:t>.</w:t>
      </w:r>
    </w:p>
    <w:p w14:paraId="1A57EF69" w14:textId="77777777" w:rsidR="001C485C" w:rsidRPr="003C40F2" w:rsidRDefault="001C485C" w:rsidP="001C485C">
      <w:pPr>
        <w:bidi/>
        <w:spacing w:line="240" w:lineRule="auto"/>
        <w:jc w:val="lowKashida"/>
        <w:rPr>
          <w:rFonts w:ascii="Simplified Arabic" w:hAnsi="Simplified Arabic" w:cs="Simplified Arabic"/>
          <w:sz w:val="24"/>
          <w:szCs w:val="24"/>
        </w:rPr>
      </w:pPr>
    </w:p>
    <w:p w14:paraId="5F60B209" w14:textId="1DCC986C" w:rsidR="001C485C" w:rsidRPr="003C40F2" w:rsidRDefault="001A3ABE" w:rsidP="001C485C">
      <w:pPr>
        <w:bidi/>
        <w:spacing w:line="240" w:lineRule="auto"/>
        <w:jc w:val="lowKashida"/>
        <w:rPr>
          <w:rFonts w:ascii="Simplified Arabic" w:hAnsi="Simplified Arabic" w:cs="Simplified Arabic"/>
          <w:b/>
          <w:bCs/>
          <w:sz w:val="24"/>
          <w:szCs w:val="24"/>
        </w:rPr>
      </w:pPr>
      <w:r>
        <w:rPr>
          <w:rFonts w:ascii="Simplified Arabic" w:hAnsi="Simplified Arabic" w:cs="Simplified Arabic"/>
          <w:b/>
          <w:bCs/>
          <w:sz w:val="24"/>
          <w:szCs w:val="24"/>
        </w:rPr>
        <w:t xml:space="preserve"> </w:t>
      </w:r>
      <w:r w:rsidRPr="003C40F2">
        <w:rPr>
          <w:rFonts w:ascii="Simplified Arabic" w:hAnsi="Simplified Arabic" w:cs="Simplified Arabic"/>
          <w:b/>
          <w:bCs/>
          <w:sz w:val="24"/>
          <w:szCs w:val="24"/>
        </w:rPr>
        <w:t xml:space="preserve">3.21 </w:t>
      </w:r>
      <w:r w:rsidRPr="003C40F2">
        <w:rPr>
          <w:rFonts w:ascii="Simplified Arabic" w:hAnsi="Simplified Arabic" w:cs="Simplified Arabic"/>
          <w:b/>
          <w:bCs/>
          <w:sz w:val="24"/>
          <w:szCs w:val="24"/>
          <w:rtl/>
        </w:rPr>
        <w:t>ملخص الفصل</w:t>
      </w:r>
    </w:p>
    <w:p w14:paraId="2E88110B" w14:textId="77777777" w:rsidR="00605FB9" w:rsidRDefault="001A3ABE" w:rsidP="00605FB9">
      <w:pPr>
        <w:bidi/>
        <w:spacing w:line="240" w:lineRule="auto"/>
        <w:jc w:val="lowKashida"/>
        <w:rPr>
          <w:rFonts w:ascii="Simplified Arabic" w:hAnsi="Simplified Arabic" w:cs="Simplified Arabic"/>
          <w:sz w:val="24"/>
          <w:szCs w:val="24"/>
        </w:rPr>
      </w:pPr>
      <w:r w:rsidRPr="003C40F2">
        <w:rPr>
          <w:rFonts w:ascii="Simplified Arabic" w:hAnsi="Simplified Arabic" w:cs="Simplified Arabic"/>
          <w:sz w:val="24"/>
          <w:szCs w:val="24"/>
          <w:rtl/>
        </w:rPr>
        <w:t>تناول هذا الفصل المنهجية العلمية التي اعتمدت عليها الدراسة، حيث تم توضيح منهج البحث وتصميم الدراسة، ومجتمع الدراسة وعينتها، ومصادر البيانات، وأداة الدراسة، وإجراءات التحقق من صدقها وثباتها، وإجراءات جمع البيانات، ومتغيرات الدراسة، وخطة التحليل الإحصائي، والاعتبارات الأخلاقية. وتمثل هذه الإجراءات الأساس العلمي الذي سيتم الاعتماد عليه في تحليل البيانات واختبار فرضيات الدراسة في الفصل الرابع، وصولًا إلى بناء نموذج مقترح يسهم في تعزيز الحوكمة البيئية وإدارة الأداء في مجال التفتيش البيئي بالمملكة العربية السعودية</w:t>
      </w:r>
      <w:r w:rsidRPr="003C40F2">
        <w:rPr>
          <w:rFonts w:ascii="Simplified Arabic" w:hAnsi="Simplified Arabic" w:cs="Simplified Arabic"/>
          <w:sz w:val="24"/>
          <w:szCs w:val="24"/>
        </w:rPr>
        <w:t>.</w:t>
      </w:r>
      <w:bookmarkStart w:id="21" w:name="_Toc234607916"/>
      <w:bookmarkStart w:id="22" w:name="_Hlk225644657"/>
      <w:bookmarkEnd w:id="0"/>
      <w:bookmarkEnd w:id="1"/>
    </w:p>
    <w:p w14:paraId="40549A72" w14:textId="77777777" w:rsidR="00605FB9" w:rsidRDefault="00605FB9" w:rsidP="00605FB9">
      <w:pPr>
        <w:bidi/>
        <w:spacing w:line="240" w:lineRule="auto"/>
        <w:jc w:val="lowKashida"/>
        <w:rPr>
          <w:rFonts w:ascii="Simplified Arabic" w:hAnsi="Simplified Arabic" w:cs="Simplified Arabic"/>
          <w:sz w:val="24"/>
          <w:szCs w:val="24"/>
          <w:rtl/>
        </w:rPr>
      </w:pPr>
    </w:p>
    <w:p w14:paraId="26142722" w14:textId="77777777" w:rsidR="00745F86" w:rsidRDefault="00745F86" w:rsidP="00745F86">
      <w:pPr>
        <w:bidi/>
        <w:spacing w:line="240" w:lineRule="auto"/>
        <w:jc w:val="lowKashida"/>
        <w:rPr>
          <w:rFonts w:ascii="Simplified Arabic" w:hAnsi="Simplified Arabic" w:cs="Simplified Arabic"/>
          <w:sz w:val="24"/>
          <w:szCs w:val="24"/>
          <w:rtl/>
        </w:rPr>
      </w:pPr>
    </w:p>
    <w:p w14:paraId="74DE8F20" w14:textId="77777777" w:rsidR="00745F86" w:rsidRDefault="00745F86" w:rsidP="00745F86">
      <w:pPr>
        <w:bidi/>
        <w:spacing w:line="240" w:lineRule="auto"/>
        <w:jc w:val="lowKashida"/>
        <w:rPr>
          <w:rFonts w:ascii="Simplified Arabic" w:hAnsi="Simplified Arabic" w:cs="Simplified Arabic"/>
          <w:sz w:val="24"/>
          <w:szCs w:val="24"/>
          <w:rtl/>
        </w:rPr>
      </w:pPr>
    </w:p>
    <w:p w14:paraId="54790668" w14:textId="77777777" w:rsidR="00745F86" w:rsidRDefault="00745F86" w:rsidP="00745F86">
      <w:pPr>
        <w:bidi/>
        <w:spacing w:line="240" w:lineRule="auto"/>
        <w:jc w:val="lowKashida"/>
        <w:rPr>
          <w:rFonts w:ascii="Simplified Arabic" w:hAnsi="Simplified Arabic" w:cs="Simplified Arabic"/>
          <w:sz w:val="24"/>
          <w:szCs w:val="24"/>
          <w:rtl/>
        </w:rPr>
      </w:pPr>
    </w:p>
    <w:p w14:paraId="52051E57" w14:textId="77777777" w:rsidR="00745F86" w:rsidRDefault="00745F86" w:rsidP="00745F86">
      <w:pPr>
        <w:bidi/>
        <w:spacing w:line="240" w:lineRule="auto"/>
        <w:jc w:val="lowKashida"/>
        <w:rPr>
          <w:rFonts w:ascii="Simplified Arabic" w:hAnsi="Simplified Arabic" w:cs="Simplified Arabic"/>
          <w:sz w:val="24"/>
          <w:szCs w:val="24"/>
          <w:rtl/>
        </w:rPr>
      </w:pPr>
    </w:p>
    <w:p w14:paraId="5B89FEC4" w14:textId="77777777" w:rsidR="00745F86" w:rsidRDefault="00745F86" w:rsidP="00745F86">
      <w:pPr>
        <w:bidi/>
        <w:spacing w:line="240" w:lineRule="auto"/>
        <w:jc w:val="lowKashida"/>
        <w:rPr>
          <w:rFonts w:ascii="Simplified Arabic" w:hAnsi="Simplified Arabic" w:cs="Simplified Arabic"/>
          <w:sz w:val="24"/>
          <w:szCs w:val="24"/>
          <w:rtl/>
        </w:rPr>
      </w:pPr>
    </w:p>
    <w:p w14:paraId="7F497FB5" w14:textId="77777777" w:rsidR="00745F86" w:rsidRDefault="00745F86" w:rsidP="00745F86">
      <w:pPr>
        <w:bidi/>
        <w:spacing w:line="240" w:lineRule="auto"/>
        <w:jc w:val="lowKashida"/>
        <w:rPr>
          <w:rFonts w:ascii="Simplified Arabic" w:hAnsi="Simplified Arabic" w:cs="Simplified Arabic"/>
          <w:sz w:val="24"/>
          <w:szCs w:val="24"/>
          <w:rtl/>
        </w:rPr>
      </w:pPr>
    </w:p>
    <w:p w14:paraId="62DC170E" w14:textId="77777777" w:rsidR="00745F86" w:rsidRDefault="00745F86" w:rsidP="00745F86">
      <w:pPr>
        <w:bidi/>
        <w:spacing w:line="240" w:lineRule="auto"/>
        <w:jc w:val="lowKashida"/>
        <w:rPr>
          <w:rFonts w:ascii="Simplified Arabic" w:hAnsi="Simplified Arabic" w:cs="Simplified Arabic"/>
          <w:sz w:val="24"/>
          <w:szCs w:val="24"/>
          <w:rtl/>
        </w:rPr>
      </w:pPr>
    </w:p>
    <w:p w14:paraId="6FA3489E" w14:textId="77777777" w:rsidR="00745F86" w:rsidRDefault="00745F86" w:rsidP="00745F86">
      <w:pPr>
        <w:bidi/>
        <w:spacing w:line="240" w:lineRule="auto"/>
        <w:jc w:val="lowKashida"/>
        <w:rPr>
          <w:rFonts w:ascii="Simplified Arabic" w:hAnsi="Simplified Arabic" w:cs="Simplified Arabic"/>
          <w:sz w:val="24"/>
          <w:szCs w:val="24"/>
          <w:rtl/>
        </w:rPr>
      </w:pPr>
    </w:p>
    <w:p w14:paraId="5078550B" w14:textId="77777777" w:rsidR="00745F86" w:rsidRDefault="00745F86" w:rsidP="00745F86">
      <w:pPr>
        <w:bidi/>
        <w:spacing w:line="240" w:lineRule="auto"/>
        <w:jc w:val="lowKashida"/>
        <w:rPr>
          <w:rFonts w:ascii="Simplified Arabic" w:hAnsi="Simplified Arabic" w:cs="Simplified Arabic"/>
          <w:sz w:val="24"/>
          <w:szCs w:val="24"/>
          <w:rtl/>
        </w:rPr>
      </w:pPr>
    </w:p>
    <w:p w14:paraId="09B43ED2" w14:textId="77777777" w:rsidR="00745F86" w:rsidRDefault="00745F86" w:rsidP="00745F86">
      <w:pPr>
        <w:bidi/>
        <w:spacing w:line="240" w:lineRule="auto"/>
        <w:jc w:val="lowKashida"/>
        <w:rPr>
          <w:rFonts w:ascii="Simplified Arabic" w:hAnsi="Simplified Arabic" w:cs="Simplified Arabic"/>
          <w:sz w:val="24"/>
          <w:szCs w:val="24"/>
          <w:rtl/>
        </w:rPr>
      </w:pPr>
    </w:p>
    <w:p w14:paraId="7883F929" w14:textId="77777777" w:rsidR="00745F86" w:rsidRDefault="00745F86" w:rsidP="00745F86">
      <w:pPr>
        <w:bidi/>
        <w:spacing w:line="240" w:lineRule="auto"/>
        <w:jc w:val="lowKashida"/>
        <w:rPr>
          <w:rFonts w:ascii="Simplified Arabic" w:hAnsi="Simplified Arabic" w:cs="Simplified Arabic"/>
          <w:sz w:val="24"/>
          <w:szCs w:val="24"/>
          <w:rtl/>
        </w:rPr>
      </w:pPr>
    </w:p>
    <w:p w14:paraId="1BF9B9CC" w14:textId="77777777" w:rsidR="00745F86" w:rsidRDefault="00745F86" w:rsidP="00745F86">
      <w:pPr>
        <w:bidi/>
        <w:spacing w:line="240" w:lineRule="auto"/>
        <w:jc w:val="lowKashida"/>
        <w:rPr>
          <w:rFonts w:ascii="Simplified Arabic" w:hAnsi="Simplified Arabic" w:cs="Simplified Arabic"/>
          <w:sz w:val="24"/>
          <w:szCs w:val="24"/>
          <w:rtl/>
        </w:rPr>
      </w:pPr>
    </w:p>
    <w:p w14:paraId="43DD05DA" w14:textId="77777777" w:rsidR="00745F86" w:rsidRDefault="00745F86" w:rsidP="00745F86">
      <w:pPr>
        <w:bidi/>
        <w:spacing w:line="240" w:lineRule="auto"/>
        <w:jc w:val="lowKashida"/>
        <w:rPr>
          <w:rFonts w:ascii="Simplified Arabic" w:hAnsi="Simplified Arabic" w:cs="Simplified Arabic"/>
          <w:sz w:val="24"/>
          <w:szCs w:val="24"/>
          <w:rtl/>
        </w:rPr>
      </w:pPr>
    </w:p>
    <w:p w14:paraId="6B5EB6A6" w14:textId="77777777" w:rsidR="00745F86" w:rsidRDefault="00745F86" w:rsidP="00745F86">
      <w:pPr>
        <w:bidi/>
        <w:spacing w:line="240" w:lineRule="auto"/>
        <w:jc w:val="lowKashida"/>
        <w:rPr>
          <w:rFonts w:ascii="Simplified Arabic" w:hAnsi="Simplified Arabic" w:cs="Simplified Arabic"/>
          <w:sz w:val="24"/>
          <w:szCs w:val="24"/>
        </w:rPr>
      </w:pPr>
    </w:p>
    <w:p w14:paraId="2F850BC5" w14:textId="35029D2D" w:rsidR="00A63F47" w:rsidRPr="00605FB9" w:rsidRDefault="00A63F47" w:rsidP="00605FB9">
      <w:pPr>
        <w:bidi/>
        <w:spacing w:line="240" w:lineRule="auto"/>
        <w:jc w:val="lowKashida"/>
        <w:rPr>
          <w:rFonts w:ascii="Simplified Arabic" w:hAnsi="Simplified Arabic" w:cs="Simplified Arabic"/>
          <w:sz w:val="24"/>
          <w:szCs w:val="24"/>
          <w:rtl/>
        </w:rPr>
      </w:pPr>
      <w:r w:rsidRPr="002D33E8">
        <w:rPr>
          <w:rFonts w:ascii="T" w:eastAsia="Calibri" w:hAnsi="T" w:cs="Simplified Arabic"/>
          <w:b/>
          <w:bCs/>
          <w:sz w:val="24"/>
          <w:szCs w:val="24"/>
          <w:rtl/>
          <w:lang w:bidi="ar-EG"/>
        </w:rPr>
        <w:lastRenderedPageBreak/>
        <w:t>قائمة المراجع</w:t>
      </w:r>
      <w:bookmarkEnd w:id="21"/>
    </w:p>
    <w:p w14:paraId="1E2141A3" w14:textId="77777777" w:rsidR="00A63F47" w:rsidRPr="002D33E8" w:rsidRDefault="00A63F47" w:rsidP="00A63F47">
      <w:pPr>
        <w:bidi/>
        <w:rPr>
          <w:rFonts w:ascii="T" w:eastAsia="Calibri" w:hAnsi="T" w:cs="Simplified Arabic"/>
          <w:b/>
          <w:bCs/>
          <w:sz w:val="24"/>
          <w:szCs w:val="24"/>
          <w:rtl/>
          <w:lang w:bidi="ar-EG"/>
        </w:rPr>
      </w:pPr>
      <w:r w:rsidRPr="002D33E8">
        <w:rPr>
          <w:rFonts w:ascii="T" w:eastAsia="Calibri" w:hAnsi="T" w:cs="Simplified Arabic"/>
          <w:b/>
          <w:bCs/>
          <w:sz w:val="24"/>
          <w:szCs w:val="24"/>
          <w:rtl/>
          <w:lang w:bidi="ar-EG"/>
        </w:rPr>
        <w:t>أولا :المراجع العربية</w:t>
      </w:r>
    </w:p>
    <w:p w14:paraId="7CDFBF1C"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ابراهيم عبد الله التويجري. (2024). المستحدث في نظام البيئة السعودي 2020. المجلة الأردنية في القانون والعلوم السياسية, 16</w:t>
      </w:r>
      <w:r w:rsidRPr="005D59A7">
        <w:rPr>
          <w:rFonts w:ascii="T" w:eastAsia="Calibri" w:hAnsi="T" w:cs="Simplified Arabic"/>
          <w:sz w:val="24"/>
          <w:szCs w:val="24"/>
          <w:lang w:bidi="ar-EG"/>
        </w:rPr>
        <w:t>(1).</w:t>
      </w:r>
    </w:p>
    <w:p w14:paraId="2EB39E8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شيماء عادل فاضل. (2024). الجهود الدولية الخضراء تجاه التلوث البيئي في بلدان الخليج العربي–الانجازات وضرورات التفعيل-السعودية وقطر أنموذجا</w:t>
      </w:r>
      <w:r w:rsidRPr="005D59A7">
        <w:rPr>
          <w:rFonts w:ascii="T" w:eastAsia="Calibri" w:hAnsi="T" w:cs="Simplified Arabic"/>
          <w:sz w:val="24"/>
          <w:szCs w:val="24"/>
          <w:lang w:bidi="ar-EG"/>
        </w:rPr>
        <w:t>. Political Issues, (79), 1-26.</w:t>
      </w:r>
      <w:r w:rsidRPr="005D59A7">
        <w:rPr>
          <w:rFonts w:ascii="T" w:eastAsia="Calibri" w:hAnsi="T" w:cs="Simplified Arabic"/>
          <w:sz w:val="24"/>
          <w:szCs w:val="24"/>
          <w:rtl/>
          <w:lang w:bidi="ar-EG"/>
        </w:rPr>
        <w:t>‏</w:t>
      </w:r>
    </w:p>
    <w:p w14:paraId="3BD505D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للتخصيص. (2022). دليل تخطيط وتطوير قطاع الشراكة بين القطاعين العام والخاص</w:t>
      </w:r>
      <w:r w:rsidRPr="005D59A7">
        <w:rPr>
          <w:rFonts w:ascii="T" w:eastAsia="Calibri" w:hAnsi="T" w:cs="Simplified Arabic"/>
          <w:sz w:val="24"/>
          <w:szCs w:val="24"/>
          <w:lang w:bidi="ar-EG"/>
        </w:rPr>
        <w:t>. https://www.ncp.gov.sa</w:t>
      </w:r>
    </w:p>
    <w:p w14:paraId="764E0BC7"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للتخصيص. (2025). المركز الوطني للرقابة على الالتزام البيئي يطلق مشروع التفتيش البيئي بالتعاون مع وزارة البيئة والمياه والزراعة والمركز الوطني للتخصيص</w:t>
      </w:r>
      <w:r w:rsidRPr="005D59A7">
        <w:rPr>
          <w:rFonts w:ascii="T" w:eastAsia="Calibri" w:hAnsi="T" w:cs="Simplified Arabic"/>
          <w:sz w:val="24"/>
          <w:szCs w:val="24"/>
          <w:lang w:bidi="ar-EG"/>
        </w:rPr>
        <w:t>. https://www.ncp.gov.sa</w:t>
      </w:r>
    </w:p>
    <w:p w14:paraId="2B26C91B"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للرقابة على الالتزام البيئي. (2020). بيانات خدمة التفتيش البيئي 2017-2019</w:t>
      </w:r>
      <w:r w:rsidRPr="005D59A7">
        <w:rPr>
          <w:rFonts w:ascii="T" w:eastAsia="Calibri" w:hAnsi="T" w:cs="Simplified Arabic"/>
          <w:sz w:val="24"/>
          <w:szCs w:val="24"/>
          <w:lang w:bidi="ar-EG"/>
        </w:rPr>
        <w:t xml:space="preserve"> https://www.ncec.gov.sa</w:t>
      </w:r>
    </w:p>
    <w:p w14:paraId="09FDD55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لتنمية الحياة الفطرية. (2020). عن المركز</w:t>
      </w:r>
      <w:r w:rsidRPr="005D59A7">
        <w:rPr>
          <w:rFonts w:ascii="T" w:eastAsia="Calibri" w:hAnsi="T" w:cs="Simplified Arabic"/>
          <w:sz w:val="24"/>
          <w:szCs w:val="24"/>
          <w:lang w:bidi="ar-EG"/>
        </w:rPr>
        <w:t>. https://www.ncw.gov.sa</w:t>
      </w:r>
    </w:p>
    <w:p w14:paraId="69EF58B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لتنمية الغطاء النباتي ومكافحة التصحر. (2020). عن المركز</w:t>
      </w:r>
      <w:r w:rsidRPr="005D59A7">
        <w:rPr>
          <w:rFonts w:ascii="T" w:eastAsia="Calibri" w:hAnsi="T" w:cs="Simplified Arabic"/>
          <w:sz w:val="24"/>
          <w:szCs w:val="24"/>
          <w:lang w:bidi="ar-EG"/>
        </w:rPr>
        <w:t>. https://www.ncvc.gov.sa</w:t>
      </w:r>
    </w:p>
    <w:p w14:paraId="1E2ADE4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لإدارة النفايات. (2020). عن المركز</w:t>
      </w:r>
      <w:r w:rsidRPr="005D59A7">
        <w:rPr>
          <w:rFonts w:ascii="T" w:eastAsia="Calibri" w:hAnsi="T" w:cs="Simplified Arabic"/>
          <w:sz w:val="24"/>
          <w:szCs w:val="24"/>
          <w:lang w:bidi="ar-EG"/>
        </w:rPr>
        <w:t>. https://www.mwan.gov.sa</w:t>
      </w:r>
    </w:p>
    <w:p w14:paraId="6D9D874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للأرصاد. (2020). عن المركز</w:t>
      </w:r>
      <w:r w:rsidRPr="005D59A7">
        <w:rPr>
          <w:rFonts w:ascii="T" w:eastAsia="Calibri" w:hAnsi="T" w:cs="Simplified Arabic"/>
          <w:sz w:val="24"/>
          <w:szCs w:val="24"/>
          <w:lang w:bidi="ar-EG"/>
        </w:rPr>
        <w:t>. https://www.ncm.gov.sa</w:t>
      </w:r>
    </w:p>
    <w:p w14:paraId="4F5ABD6D"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رؤية السعودية 2030. (2025). مبادرات الاستدامة البيئية</w:t>
      </w:r>
      <w:r w:rsidRPr="005D59A7">
        <w:rPr>
          <w:rFonts w:ascii="T" w:eastAsia="Calibri" w:hAnsi="T" w:cs="Simplified Arabic"/>
          <w:sz w:val="24"/>
          <w:szCs w:val="24"/>
          <w:lang w:bidi="ar-EG"/>
        </w:rPr>
        <w:t xml:space="preserve">. </w:t>
      </w:r>
      <w:r>
        <w:fldChar w:fldCharType="begin"/>
      </w:r>
      <w:r>
        <w:instrText>HYPERLINK "https://www.vision2030.gov.sa"</w:instrText>
      </w:r>
      <w:r>
        <w:fldChar w:fldCharType="separate"/>
      </w:r>
      <w:r w:rsidRPr="005D59A7">
        <w:rPr>
          <w:rFonts w:ascii="T" w:eastAsia="Calibri" w:hAnsi="T" w:cs="Simplified Arabic"/>
          <w:sz w:val="24"/>
          <w:szCs w:val="24"/>
          <w:u w:val="single"/>
          <w:lang w:bidi="ar-EG"/>
        </w:rPr>
        <w:t>https://www.vision2030.gov.sa</w:t>
      </w:r>
      <w:r>
        <w:fldChar w:fldCharType="end"/>
      </w:r>
    </w:p>
    <w:p w14:paraId="6721DF5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بتول، محمد نوري، علي، &amp; خلف سلمان. (2011). حوكمة الشركات ودورها في تخفيض مشاكل نظرية الوكالة. مجلة الاقتصاد و التنمية البشرية, 2(2), 25-51.</w:t>
      </w:r>
    </w:p>
    <w:p w14:paraId="19818677"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خيري، محمد علي، &amp; يسري. (2022). أثر التحصين الإداري على السلوك غير المتماثل للتكلفة في إطار نظرية الوكالة: دراسة تطبيقية. المجلة المصرية للدراسات التجارية, 46(4), 336-396.</w:t>
      </w:r>
    </w:p>
    <w:p w14:paraId="19103AC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 xml:space="preserve">سالم، نبيل جعفر، زبين، حيدر عبد، &amp; عبدالله، نضال هاشم. (2021). استعمال آليات حوكمة الشركات للحد من ادارة الارباح في ظل نظرية الوكالة. </w:t>
      </w:r>
      <w:r w:rsidRPr="005D59A7">
        <w:rPr>
          <w:rFonts w:ascii="T" w:eastAsia="Calibri" w:hAnsi="T" w:cs="Simplified Arabic"/>
          <w:sz w:val="24"/>
          <w:szCs w:val="24"/>
          <w:lang w:bidi="ar-EG"/>
        </w:rPr>
        <w:t xml:space="preserve">Journal of </w:t>
      </w:r>
      <w:proofErr w:type="spellStart"/>
      <w:r w:rsidRPr="005D59A7">
        <w:rPr>
          <w:rFonts w:ascii="T" w:eastAsia="Calibri" w:hAnsi="T" w:cs="Simplified Arabic"/>
          <w:sz w:val="24"/>
          <w:szCs w:val="24"/>
          <w:lang w:bidi="ar-EG"/>
        </w:rPr>
        <w:t>Madenat</w:t>
      </w:r>
      <w:proofErr w:type="spellEnd"/>
      <w:r w:rsidRPr="005D59A7">
        <w:rPr>
          <w:rFonts w:ascii="T" w:eastAsia="Calibri" w:hAnsi="T" w:cs="Simplified Arabic"/>
          <w:sz w:val="24"/>
          <w:szCs w:val="24"/>
          <w:lang w:bidi="ar-EG"/>
        </w:rPr>
        <w:t xml:space="preserve"> </w:t>
      </w:r>
      <w:proofErr w:type="spellStart"/>
      <w:r w:rsidRPr="005D59A7">
        <w:rPr>
          <w:rFonts w:ascii="T" w:eastAsia="Calibri" w:hAnsi="T" w:cs="Simplified Arabic"/>
          <w:sz w:val="24"/>
          <w:szCs w:val="24"/>
          <w:lang w:bidi="ar-EG"/>
        </w:rPr>
        <w:t>Alelem</w:t>
      </w:r>
      <w:proofErr w:type="spellEnd"/>
      <w:r w:rsidRPr="005D59A7">
        <w:rPr>
          <w:rFonts w:ascii="T" w:eastAsia="Calibri" w:hAnsi="T" w:cs="Simplified Arabic"/>
          <w:sz w:val="24"/>
          <w:szCs w:val="24"/>
          <w:lang w:bidi="ar-EG"/>
        </w:rPr>
        <w:t xml:space="preserve"> University College, 13(1), 202-218</w:t>
      </w:r>
      <w:r w:rsidRPr="005D59A7">
        <w:rPr>
          <w:rFonts w:ascii="T" w:eastAsia="Calibri" w:hAnsi="T" w:cs="Simplified Arabic"/>
          <w:sz w:val="24"/>
          <w:szCs w:val="24"/>
          <w:rtl/>
          <w:lang w:bidi="ar-EG"/>
        </w:rPr>
        <w:t>.</w:t>
      </w:r>
    </w:p>
    <w:p w14:paraId="1EAAC872"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lastRenderedPageBreak/>
        <w:t xml:space="preserve">عبدالرزاق محمد عثمان، أسامه عبدالمنعم علي، &amp; احمد يوسف دودين. (2015). نظام الحاكمية المؤسسية الحل السليم للأطراف المتعارضة في ظل نظريه الوكالة. </w:t>
      </w:r>
      <w:r w:rsidRPr="005D59A7">
        <w:rPr>
          <w:rFonts w:ascii="T" w:eastAsia="Calibri" w:hAnsi="T" w:cs="Simplified Arabic"/>
          <w:sz w:val="24"/>
          <w:szCs w:val="24"/>
          <w:lang w:bidi="ar-EG"/>
        </w:rPr>
        <w:t>Queen Arwa University Journal, 14(14), 209-234</w:t>
      </w:r>
      <w:r w:rsidRPr="005D59A7">
        <w:rPr>
          <w:rFonts w:ascii="T" w:eastAsia="Calibri" w:hAnsi="T" w:cs="Simplified Arabic"/>
          <w:sz w:val="24"/>
          <w:szCs w:val="24"/>
          <w:rtl/>
          <w:lang w:bidi="ar-EG"/>
        </w:rPr>
        <w:t>.</w:t>
      </w:r>
    </w:p>
    <w:p w14:paraId="18D8781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عبدو، مجدي عبد اللطيف. (2024). نظريــة الوكالة الرابعة (تضارب المصالح بين العاملين بالشركة كأصحاب مصالح والشركة). مجلة الاصالة, 1(10).</w:t>
      </w:r>
    </w:p>
    <w:p w14:paraId="4383A01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عفيفى، أشرف السعيد أحمد السيد، عبدالرحمن، &amp; وليد محمد محمد السيد. (2023). العلاقة بين آليات التحصين الإداري وكفاءة الاستثمار في إطار نظرية الوكالة: دراسة اختبارية على الشركات المساهمة المصرية. مجلة البحوث الإدارية, 41(3).</w:t>
      </w:r>
    </w:p>
    <w:p w14:paraId="2BA13965"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 xml:space="preserve">احمد كحيط, علي علوان, البتول عبد المهدي, &amp; سما موسى. (2025). الشراكات بين القطاعين العام والخاص من أجل التنمية المستدامة: دراسة ميدانية في جامعة المستقبل. </w:t>
      </w:r>
      <w:proofErr w:type="spellStart"/>
      <w:r w:rsidRPr="005D59A7">
        <w:rPr>
          <w:rFonts w:ascii="T" w:eastAsia="Calibri" w:hAnsi="T" w:cs="Simplified Arabic"/>
          <w:sz w:val="24"/>
          <w:szCs w:val="24"/>
          <w:lang w:bidi="ar-EG"/>
        </w:rPr>
        <w:t>Enterprenuership</w:t>
      </w:r>
      <w:proofErr w:type="spellEnd"/>
      <w:r w:rsidRPr="005D59A7">
        <w:rPr>
          <w:rFonts w:ascii="T" w:eastAsia="Calibri" w:hAnsi="T" w:cs="Simplified Arabic"/>
          <w:sz w:val="24"/>
          <w:szCs w:val="24"/>
          <w:lang w:bidi="ar-EG"/>
        </w:rPr>
        <w:t xml:space="preserve"> Journal </w:t>
      </w:r>
      <w:proofErr w:type="gramStart"/>
      <w:r w:rsidRPr="005D59A7">
        <w:rPr>
          <w:rFonts w:ascii="T" w:eastAsia="Calibri" w:hAnsi="T" w:cs="Simplified Arabic"/>
          <w:sz w:val="24"/>
          <w:szCs w:val="24"/>
          <w:lang w:bidi="ar-EG"/>
        </w:rPr>
        <w:t>For</w:t>
      </w:r>
      <w:proofErr w:type="gramEnd"/>
      <w:r w:rsidRPr="005D59A7">
        <w:rPr>
          <w:rFonts w:ascii="T" w:eastAsia="Calibri" w:hAnsi="T" w:cs="Simplified Arabic"/>
          <w:sz w:val="24"/>
          <w:szCs w:val="24"/>
          <w:lang w:bidi="ar-EG"/>
        </w:rPr>
        <w:t xml:space="preserve"> Finance and </w:t>
      </w:r>
      <w:proofErr w:type="spellStart"/>
      <w:r w:rsidRPr="005D59A7">
        <w:rPr>
          <w:rFonts w:ascii="T" w:eastAsia="Calibri" w:hAnsi="T" w:cs="Simplified Arabic"/>
          <w:sz w:val="24"/>
          <w:szCs w:val="24"/>
          <w:lang w:bidi="ar-EG"/>
        </w:rPr>
        <w:t>Bussiness</w:t>
      </w:r>
      <w:proofErr w:type="spellEnd"/>
      <w:r w:rsidRPr="005D59A7">
        <w:rPr>
          <w:rFonts w:ascii="T" w:eastAsia="Calibri" w:hAnsi="T" w:cs="Simplified Arabic"/>
          <w:sz w:val="24"/>
          <w:szCs w:val="24"/>
          <w:lang w:bidi="ar-EG"/>
        </w:rPr>
        <w:t>, 140-147</w:t>
      </w:r>
      <w:r w:rsidRPr="005D59A7">
        <w:rPr>
          <w:rFonts w:ascii="T" w:eastAsia="Calibri" w:hAnsi="T" w:cs="Simplified Arabic"/>
          <w:sz w:val="24"/>
          <w:szCs w:val="24"/>
          <w:rtl/>
          <w:lang w:bidi="ar-EG"/>
        </w:rPr>
        <w:t>.‏</w:t>
      </w:r>
    </w:p>
    <w:p w14:paraId="6323A38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جراح, &amp; محمد شريف علي محمد. (2025). تسوية منازعات عقود الشراكة بين القطاعين العام والخاص من خلال التحكيم في القانون الأردني. مجلة البحوث القانونية والإقتصادية (المنصورة), 15(94.), 1-42.</w:t>
      </w:r>
    </w:p>
    <w:p w14:paraId="6944F843"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عصام عبد الرحمن الجعافره. (2023). التحصيل الضريبي في البلديات وواقع الشراكات بين القطاعين العام والخاص. مجلة العلوم الإنسانية والطبيعية, 4(12), 465-479.</w:t>
      </w:r>
    </w:p>
    <w:p w14:paraId="15F4FF1B"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بوعنان, &amp; ليندة. (2025). الشراكة بين القطاعين العام والخاص كآلية لدفع عملية الاستثمار. مجلة الاستاذ الباحث للدراسات القانونية والسياسية, 10(2), 547-572.</w:t>
      </w:r>
    </w:p>
    <w:p w14:paraId="72EB5D5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القطان, إسراء عبد العزيز خليل, أمين, محمد سعيد حسين, سليم, &amp; محمد محمود. (2026). المبادئ الحاكمة لفكرة التوازن المالي في عقود الشراكة بين القطاعين العام والخاص (دراسة تطبيقية مقارنة في مصر والكويت). المجلة القانونية, 27(3), 1115-1140.</w:t>
      </w:r>
    </w:p>
    <w:p w14:paraId="4A68A4BA"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شاهين, &amp; وحيد. (2025). جدوى الشراكة بين القطاعين العام والخاص في تعزيز استدامة مشروعات الهيدروجين الأخضر بالمواني البحرية: دراسة حالة مقترحة للمنطقة الاقتصادية لقناة السويس. افاق الطاقة, 3(7), 113-148.</w:t>
      </w:r>
    </w:p>
    <w:p w14:paraId="2B84506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منار, &amp; جمال الدين حافظ. (2024). دور الحوكمة البيئية لنشر الوعى وتعزيز ثقافة الاستدامة البيئية في القطاعات الصناعية. آفاق آسيوية, 9(15), 65-78.</w:t>
      </w:r>
    </w:p>
    <w:p w14:paraId="0E0D81A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قراس, مرزاقة, &amp; دمدوم. (2024). الحوكمة البيئية في السياسات الدولية (</w:t>
      </w:r>
      <w:r w:rsidRPr="005D59A7">
        <w:rPr>
          <w:rFonts w:ascii="T" w:eastAsia="Calibri" w:hAnsi="T" w:cs="Simplified Arabic"/>
          <w:sz w:val="24"/>
          <w:szCs w:val="24"/>
          <w:lang w:bidi="ar-EG"/>
        </w:rPr>
        <w:t>Doctoral dissertation</w:t>
      </w:r>
      <w:r w:rsidRPr="005D59A7">
        <w:rPr>
          <w:rFonts w:ascii="T" w:eastAsia="Calibri" w:hAnsi="T" w:cs="Simplified Arabic"/>
          <w:sz w:val="24"/>
          <w:szCs w:val="24"/>
          <w:rtl/>
          <w:lang w:bidi="ar-EG"/>
        </w:rPr>
        <w:t>, جامعة قسنطينة 3 صالح بوبنيدر، كلية العلوم السياسية).</w:t>
      </w:r>
    </w:p>
    <w:p w14:paraId="373364F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lastRenderedPageBreak/>
        <w:t>صالح, ه. ع. ا. إ., &amp; هدى عبد الغفار إبراهيم. (2024). دور الحوكمة البيئية فى التصدي للتغير المناخي. المجلة المصرية لبحوث الأعلام, 2024(89), 1393-1425.</w:t>
      </w:r>
    </w:p>
    <w:p w14:paraId="49B44EC3"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مرزاق, &amp; فايزة. (2023). مفهوم الحوكمة البيئية ومبادئها. مجلة البيئة والتنمية المستدامة وصحة الإنسان, 1(2), 255-266.</w:t>
      </w:r>
    </w:p>
    <w:p w14:paraId="253E672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بن نواعي, هواري, لواتي, خاتمة, منقوري, &amp; منال ابتسام. (2025). الحوكمة البيئية في الجزائر–تحديات وآفاق. المشكاة في الاقتصاد التنمية و القانون, 8(1), 63-78.</w:t>
      </w:r>
    </w:p>
    <w:p w14:paraId="66092F7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القروى, ش. إ. ع., &amp; شذى إسماعيل عبده. (2024). دور الحوكمة البيئية فى تعزيز تبنى إستراتيجية التحول للإبتكار الأخضر وخلق قيمة للمنشآت المصرية (دراسة تطبيقية). المجلة العلمية للبحوث التجارية (جامعة المنوفية), 55(4), 743-784.</w:t>
      </w:r>
    </w:p>
    <w:p w14:paraId="096EEDAE"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علاء الدين, يوسفي, هني, &amp; عامر. (2024). الحوكمة البيئية ودورها في تعزيز التنمية الزراعية المستدامة. مجلة الدراسات القانونية والاقتصادية, 6(2), 649-668.</w:t>
      </w:r>
    </w:p>
    <w:p w14:paraId="7FA0F2F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اعبيد, زينب, الهيري, &amp; عبد الرزاق. (2025). إعادة ابتكار نماذج تقييم الأداء في المؤسسات العامة: استراتيجيات مبتكرة لتعزيز الفاعلية المؤسسية من خلال الحوكمة والإدارة الحديثة. المجلة العربية للإدارة, 81-96.</w:t>
      </w:r>
    </w:p>
    <w:p w14:paraId="5C94F35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صلاح عزمى, &amp; سعد. (2025). أثر تطبيق مبادئ الحوكمة فى تحسين الأداء الوظيفى للعاملين بالمنظمات: الدور الوسيط لأنماط القيادة. المجلة العلمية للدراسات التجارية والبيئية, 16(3), 2178-2214.</w:t>
      </w:r>
    </w:p>
    <w:p w14:paraId="59496C09" w14:textId="5A7188C1"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حسان حسين محضر, أحمد سيد بدوي, إيمان, فؤاد سليمان, &amp; أمل. (2024). أثر تطبيق الحوكمة على كفاءة الأداء المؤسسي في مستشفيات القطاع الحكومي بمكة المكرمة. المجلة العلمية للدراسات التجارية والبيئية, 15(4), 3925-3955.</w:t>
      </w:r>
    </w:p>
    <w:p w14:paraId="50982DA7" w14:textId="41CF08E3" w:rsidR="00C476D6" w:rsidRDefault="00C476D6" w:rsidP="00C476D6">
      <w:pPr>
        <w:bidi/>
        <w:jc w:val="both"/>
        <w:rPr>
          <w:rFonts w:ascii="T" w:eastAsia="Calibri" w:hAnsi="T" w:cs="Simplified Arabic"/>
          <w:sz w:val="24"/>
          <w:szCs w:val="24"/>
          <w:lang w:bidi="ar-EG"/>
        </w:rPr>
      </w:pPr>
      <w:r w:rsidRPr="005D59A7">
        <w:rPr>
          <w:rFonts w:ascii="T" w:eastAsia="Calibri" w:hAnsi="T" w:cs="Simplified Arabic"/>
          <w:sz w:val="24"/>
          <w:szCs w:val="24"/>
          <w:rtl/>
          <w:lang w:bidi="ar-EG"/>
        </w:rPr>
        <w:t>امتنان حسن النعمي. (2022). دور ريادة الأعمال في تحقيق أهداف التنمية المستدامة في ضوء رؤية المملكة 2030: دراسة تطبيقية على أمانة منطقة عسير. مجلة العلوم الإقتصادية و الإدارية و القانونية, 6(25), 71-93.</w:t>
      </w:r>
    </w:p>
    <w:p w14:paraId="5F94A259" w14:textId="77777777" w:rsidR="002D33E8" w:rsidRDefault="002D33E8" w:rsidP="002D33E8">
      <w:pPr>
        <w:bidi/>
        <w:jc w:val="both"/>
        <w:rPr>
          <w:rFonts w:ascii="T" w:eastAsia="Calibri" w:hAnsi="T" w:cs="Simplified Arabic"/>
          <w:sz w:val="24"/>
          <w:szCs w:val="24"/>
          <w:lang w:bidi="ar-EG"/>
        </w:rPr>
      </w:pPr>
    </w:p>
    <w:p w14:paraId="1CAABC35" w14:textId="77777777" w:rsidR="002D33E8" w:rsidRDefault="002D33E8" w:rsidP="002D33E8">
      <w:pPr>
        <w:bidi/>
        <w:jc w:val="both"/>
        <w:rPr>
          <w:rFonts w:ascii="T" w:eastAsia="Calibri" w:hAnsi="T" w:cs="Simplified Arabic"/>
          <w:sz w:val="24"/>
          <w:szCs w:val="24"/>
          <w:lang w:bidi="ar-EG"/>
        </w:rPr>
      </w:pPr>
    </w:p>
    <w:p w14:paraId="5607DA06" w14:textId="77777777" w:rsidR="002D33E8" w:rsidRDefault="002D33E8" w:rsidP="002D33E8">
      <w:pPr>
        <w:bidi/>
        <w:jc w:val="both"/>
        <w:rPr>
          <w:rFonts w:ascii="T" w:eastAsia="Calibri" w:hAnsi="T" w:cs="Simplified Arabic"/>
          <w:sz w:val="24"/>
          <w:szCs w:val="24"/>
          <w:lang w:bidi="ar-EG"/>
        </w:rPr>
      </w:pPr>
    </w:p>
    <w:p w14:paraId="7BBBEC8A" w14:textId="77777777" w:rsidR="002D33E8" w:rsidRDefault="002D33E8" w:rsidP="002D33E8">
      <w:pPr>
        <w:bidi/>
        <w:jc w:val="both"/>
        <w:rPr>
          <w:rFonts w:ascii="T" w:eastAsia="Calibri" w:hAnsi="T" w:cs="Simplified Arabic"/>
          <w:sz w:val="24"/>
          <w:szCs w:val="24"/>
          <w:lang w:bidi="ar-EG"/>
        </w:rPr>
      </w:pPr>
    </w:p>
    <w:p w14:paraId="6DE9974D" w14:textId="77777777" w:rsidR="002D33E8" w:rsidRDefault="002D33E8" w:rsidP="002D33E8">
      <w:pPr>
        <w:bidi/>
        <w:jc w:val="both"/>
        <w:rPr>
          <w:rFonts w:ascii="T" w:eastAsia="Calibri" w:hAnsi="T" w:cs="Simplified Arabic"/>
          <w:sz w:val="24"/>
          <w:szCs w:val="24"/>
          <w:lang w:bidi="ar-EG"/>
        </w:rPr>
      </w:pPr>
    </w:p>
    <w:p w14:paraId="7D686E9D" w14:textId="77777777" w:rsidR="002D33E8" w:rsidRDefault="002D33E8" w:rsidP="002D33E8">
      <w:pPr>
        <w:bidi/>
        <w:jc w:val="both"/>
        <w:rPr>
          <w:rFonts w:ascii="T" w:eastAsia="Calibri" w:hAnsi="T" w:cs="Simplified Arabic"/>
          <w:sz w:val="24"/>
          <w:szCs w:val="24"/>
          <w:lang w:bidi="ar-EG"/>
        </w:rPr>
      </w:pPr>
    </w:p>
    <w:p w14:paraId="6A88E20D" w14:textId="77777777" w:rsidR="00097C13" w:rsidRDefault="00097C13" w:rsidP="00097C13">
      <w:pPr>
        <w:bidi/>
        <w:jc w:val="both"/>
        <w:rPr>
          <w:rFonts w:ascii="T" w:eastAsia="Calibri" w:hAnsi="T" w:cs="Simplified Arabic"/>
          <w:sz w:val="24"/>
          <w:szCs w:val="24"/>
          <w:lang w:bidi="ar-EG"/>
        </w:rPr>
      </w:pPr>
    </w:p>
    <w:p w14:paraId="7F9F565B" w14:textId="77777777" w:rsidR="001C485C" w:rsidRDefault="001C485C" w:rsidP="001C485C">
      <w:pPr>
        <w:bidi/>
        <w:jc w:val="both"/>
        <w:rPr>
          <w:rFonts w:ascii="T" w:eastAsia="Calibri" w:hAnsi="T" w:cs="Simplified Arabic"/>
          <w:sz w:val="24"/>
          <w:szCs w:val="24"/>
          <w:lang w:bidi="ar-EG"/>
        </w:rPr>
      </w:pPr>
    </w:p>
    <w:p w14:paraId="242F88E9" w14:textId="77777777" w:rsidR="001C485C" w:rsidRDefault="001C485C" w:rsidP="001C485C">
      <w:pPr>
        <w:bidi/>
        <w:jc w:val="both"/>
        <w:rPr>
          <w:rFonts w:ascii="T" w:eastAsia="Calibri" w:hAnsi="T" w:cs="Simplified Arabic"/>
          <w:sz w:val="24"/>
          <w:szCs w:val="24"/>
          <w:lang w:bidi="ar-EG"/>
        </w:rPr>
      </w:pPr>
    </w:p>
    <w:p w14:paraId="0ACA088B" w14:textId="77777777" w:rsidR="001C485C" w:rsidRDefault="001C485C" w:rsidP="001C485C">
      <w:pPr>
        <w:bidi/>
        <w:jc w:val="both"/>
        <w:rPr>
          <w:rFonts w:ascii="T" w:eastAsia="Calibri" w:hAnsi="T" w:cs="Simplified Arabic"/>
          <w:sz w:val="24"/>
          <w:szCs w:val="24"/>
          <w:lang w:bidi="ar-EG"/>
        </w:rPr>
      </w:pPr>
    </w:p>
    <w:p w14:paraId="07ECE0E7" w14:textId="77777777" w:rsidR="001C485C" w:rsidRPr="005D59A7" w:rsidRDefault="001C485C" w:rsidP="001C485C">
      <w:pPr>
        <w:bidi/>
        <w:jc w:val="both"/>
        <w:rPr>
          <w:rFonts w:ascii="T" w:eastAsia="Calibri" w:hAnsi="T" w:cs="Simplified Arabic"/>
          <w:sz w:val="24"/>
          <w:szCs w:val="24"/>
          <w:rtl/>
          <w:lang w:bidi="ar-EG"/>
        </w:rPr>
      </w:pPr>
    </w:p>
    <w:p w14:paraId="70C27E04" w14:textId="77777777" w:rsidR="00A63F47" w:rsidRPr="002D33E8" w:rsidRDefault="00A63F47" w:rsidP="00A63F47">
      <w:pPr>
        <w:bidi/>
        <w:rPr>
          <w:rFonts w:ascii="T" w:eastAsia="Calibri" w:hAnsi="T" w:cs="Simplified Arabic"/>
          <w:b/>
          <w:bCs/>
          <w:sz w:val="24"/>
          <w:szCs w:val="24"/>
          <w:rtl/>
          <w:lang w:bidi="ar-EG"/>
        </w:rPr>
      </w:pPr>
      <w:r w:rsidRPr="002D33E8">
        <w:rPr>
          <w:rFonts w:ascii="T" w:eastAsia="Calibri" w:hAnsi="T" w:cs="Simplified Arabic"/>
          <w:b/>
          <w:bCs/>
          <w:sz w:val="24"/>
          <w:szCs w:val="24"/>
          <w:rtl/>
          <w:lang w:bidi="ar-EG"/>
        </w:rPr>
        <w:t>ثانيا المراجع الأجنبية</w:t>
      </w:r>
    </w:p>
    <w:p w14:paraId="70695D1B" w14:textId="77777777" w:rsidR="00A63F47" w:rsidRPr="005D59A7" w:rsidRDefault="00A63F47" w:rsidP="00A63F47">
      <w:pPr>
        <w:rPr>
          <w:rFonts w:ascii="T" w:eastAsia="Calibri" w:hAnsi="T" w:cs="Arial"/>
          <w:lang w:bidi="ar-EG"/>
        </w:rPr>
      </w:pPr>
      <w:hyperlink r:id="rId9" w:history="1">
        <w:r w:rsidRPr="005D59A7">
          <w:rPr>
            <w:rFonts w:ascii="T" w:eastAsia="Calibri" w:hAnsi="T" w:cs="Arial"/>
            <w:u w:val="single"/>
            <w:lang w:bidi="ar-EG"/>
          </w:rPr>
          <w:t>https://documents1.worldbank.org/curated/en/381221644297502516/pdf/Overview.pdf</w:t>
        </w:r>
      </w:hyperlink>
    </w:p>
    <w:p w14:paraId="1525C62E"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Tahat</w:t>
      </w:r>
      <w:proofErr w:type="spellEnd"/>
      <w:r w:rsidRPr="005D59A7">
        <w:rPr>
          <w:rFonts w:ascii="T" w:eastAsia="Calibri" w:hAnsi="T" w:cs="Arial"/>
          <w:lang w:bidi="ar-EG"/>
        </w:rPr>
        <w:t>, K. (2014). Knowledge management: public private participation (</w:t>
      </w:r>
      <w:proofErr w:type="spellStart"/>
      <w:r w:rsidRPr="005D59A7">
        <w:rPr>
          <w:rFonts w:ascii="T" w:eastAsia="Calibri" w:hAnsi="T" w:cs="Arial"/>
          <w:lang w:bidi="ar-EG"/>
        </w:rPr>
        <w:t>Ppps</w:t>
      </w:r>
      <w:proofErr w:type="spellEnd"/>
      <w:r w:rsidRPr="005D59A7">
        <w:rPr>
          <w:rFonts w:ascii="T" w:eastAsia="Calibri" w:hAnsi="T" w:cs="Arial"/>
          <w:lang w:bidi="ar-EG"/>
        </w:rPr>
        <w:t xml:space="preserve">) in the Kingdom of Saudi </w:t>
      </w:r>
      <w:proofErr w:type="spellStart"/>
      <w:proofErr w:type="gramStart"/>
      <w:r w:rsidRPr="005D59A7">
        <w:rPr>
          <w:rFonts w:ascii="T" w:eastAsia="Calibri" w:hAnsi="T" w:cs="Arial"/>
          <w:lang w:bidi="ar-EG"/>
        </w:rPr>
        <w:t>Arabia:“</w:t>
      </w:r>
      <w:proofErr w:type="gramEnd"/>
      <w:r w:rsidRPr="005D59A7">
        <w:rPr>
          <w:rFonts w:ascii="T" w:eastAsia="Calibri" w:hAnsi="T" w:cs="Arial"/>
          <w:lang w:bidi="ar-EG"/>
        </w:rPr>
        <w:t>a</w:t>
      </w:r>
      <w:proofErr w:type="spellEnd"/>
      <w:r w:rsidRPr="005D59A7">
        <w:rPr>
          <w:rFonts w:ascii="T" w:eastAsia="Calibri" w:hAnsi="T" w:cs="Arial"/>
          <w:lang w:bidi="ar-EG"/>
        </w:rPr>
        <w:t xml:space="preserve"> case study in water sector”. Procedia-Social and Behavioral Sciences, 147, 527-534.</w:t>
      </w:r>
      <w:r w:rsidRPr="005D59A7">
        <w:rPr>
          <w:rFonts w:ascii="T" w:eastAsia="Calibri" w:hAnsi="T" w:cs="Arial"/>
          <w:rtl/>
          <w:lang w:bidi="ar-EG"/>
        </w:rPr>
        <w:t>‏</w:t>
      </w:r>
    </w:p>
    <w:p w14:paraId="65307F7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Alomari, M. A. N. (2018). Applying Good Governance Practices in the Middle East in the Case of Environmental Protection: A Saudi Arabian Case Study (Doctoral dissertation, University of Leeds).</w:t>
      </w:r>
      <w:r w:rsidRPr="005D59A7">
        <w:rPr>
          <w:rFonts w:ascii="T" w:eastAsia="Calibri" w:hAnsi="T" w:cs="Arial"/>
          <w:rtl/>
          <w:lang w:bidi="ar-EG"/>
        </w:rPr>
        <w:t>‏</w:t>
      </w:r>
    </w:p>
    <w:p w14:paraId="1095FCC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Liu, T., Mostafa, S., Mohamed, S., &amp; Nguyen, T. S. (2021). Emerging themes of public-private partnership application in developing smart city projects: a conceptual framework. Built Environment Project and Asset Management, 11(1), 138-156.</w:t>
      </w:r>
      <w:r w:rsidRPr="005D59A7">
        <w:rPr>
          <w:rFonts w:ascii="T" w:eastAsia="Calibri" w:hAnsi="T" w:cs="Arial"/>
          <w:rtl/>
          <w:lang w:bidi="ar-EG"/>
        </w:rPr>
        <w:t>‏</w:t>
      </w:r>
    </w:p>
    <w:p w14:paraId="650E1E6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Dawoud, M. A., Ewea, H. A., &amp; </w:t>
      </w:r>
      <w:proofErr w:type="spellStart"/>
      <w:r w:rsidRPr="005D59A7">
        <w:rPr>
          <w:rFonts w:ascii="T" w:eastAsia="Calibri" w:hAnsi="T" w:cs="Arial"/>
          <w:lang w:bidi="ar-EG"/>
        </w:rPr>
        <w:t>Alaswad</w:t>
      </w:r>
      <w:proofErr w:type="spellEnd"/>
      <w:r w:rsidRPr="005D59A7">
        <w:rPr>
          <w:rFonts w:ascii="T" w:eastAsia="Calibri" w:hAnsi="T" w:cs="Arial"/>
          <w:lang w:bidi="ar-EG"/>
        </w:rPr>
        <w:t>, S. O. (2022). The future of wastewater treatment and reuse in Kingdom of Saudi Arabia. Desalination and Water Treatment, 263, 127-138.</w:t>
      </w:r>
      <w:r w:rsidRPr="005D59A7">
        <w:rPr>
          <w:rFonts w:ascii="T" w:eastAsia="Calibri" w:hAnsi="T" w:cs="Arial"/>
          <w:rtl/>
          <w:lang w:bidi="ar-EG"/>
        </w:rPr>
        <w:t>‏</w:t>
      </w:r>
    </w:p>
    <w:p w14:paraId="69B1284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Alkhurayji, K., Alzahrani, H. A., Alotaibi, A. S., Alharbi, A. G., </w:t>
      </w:r>
      <w:proofErr w:type="spellStart"/>
      <w:r w:rsidRPr="005D59A7">
        <w:rPr>
          <w:rFonts w:ascii="T" w:eastAsia="Calibri" w:hAnsi="T" w:cs="Arial"/>
          <w:lang w:bidi="ar-EG"/>
        </w:rPr>
        <w:t>Zandan</w:t>
      </w:r>
      <w:proofErr w:type="spellEnd"/>
      <w:r w:rsidRPr="005D59A7">
        <w:rPr>
          <w:rFonts w:ascii="T" w:eastAsia="Calibri" w:hAnsi="T" w:cs="Arial"/>
          <w:lang w:bidi="ar-EG"/>
        </w:rPr>
        <w:t xml:space="preserve">, A. A., </w:t>
      </w:r>
      <w:proofErr w:type="spellStart"/>
      <w:r w:rsidRPr="005D59A7">
        <w:rPr>
          <w:rFonts w:ascii="T" w:eastAsia="Calibri" w:hAnsi="T" w:cs="Arial"/>
          <w:lang w:bidi="ar-EG"/>
        </w:rPr>
        <w:t>Alsheikhi</w:t>
      </w:r>
      <w:proofErr w:type="spellEnd"/>
      <w:r w:rsidRPr="005D59A7">
        <w:rPr>
          <w:rFonts w:ascii="T" w:eastAsia="Calibri" w:hAnsi="T" w:cs="Arial"/>
          <w:lang w:bidi="ar-EG"/>
        </w:rPr>
        <w:t xml:space="preserve">, H., ... &amp; </w:t>
      </w:r>
      <w:proofErr w:type="spellStart"/>
      <w:r w:rsidRPr="005D59A7">
        <w:rPr>
          <w:rFonts w:ascii="T" w:eastAsia="Calibri" w:hAnsi="T" w:cs="Arial"/>
          <w:lang w:bidi="ar-EG"/>
        </w:rPr>
        <w:t>Alsheikhi</w:t>
      </w:r>
      <w:proofErr w:type="spellEnd"/>
      <w:r w:rsidRPr="005D59A7">
        <w:rPr>
          <w:rFonts w:ascii="T" w:eastAsia="Calibri" w:hAnsi="T" w:cs="Arial"/>
          <w:lang w:bidi="ar-EG"/>
        </w:rPr>
        <w:t>, H. (2024). Potential and risks behind the national transformation program in Saudi Arabia. Cureus, 16(7).</w:t>
      </w:r>
      <w:r w:rsidRPr="005D59A7">
        <w:rPr>
          <w:rFonts w:ascii="T" w:eastAsia="Calibri" w:hAnsi="T" w:cs="Arial"/>
          <w:rtl/>
          <w:lang w:bidi="ar-EG"/>
        </w:rPr>
        <w:t>‏</w:t>
      </w:r>
    </w:p>
    <w:p w14:paraId="4C6374AD"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Alshuwaikhat</w:t>
      </w:r>
      <w:proofErr w:type="spellEnd"/>
      <w:r w:rsidRPr="005D59A7">
        <w:rPr>
          <w:rFonts w:ascii="T" w:eastAsia="Calibri" w:hAnsi="T" w:cs="Arial"/>
          <w:lang w:bidi="ar-EG"/>
        </w:rPr>
        <w:t xml:space="preserve">, H. M., Adenle, Y. A., &amp; </w:t>
      </w:r>
      <w:proofErr w:type="spellStart"/>
      <w:r w:rsidRPr="005D59A7">
        <w:rPr>
          <w:rFonts w:ascii="T" w:eastAsia="Calibri" w:hAnsi="T" w:cs="Arial"/>
          <w:lang w:bidi="ar-EG"/>
        </w:rPr>
        <w:t>Alotaishan</w:t>
      </w:r>
      <w:proofErr w:type="spellEnd"/>
      <w:r w:rsidRPr="005D59A7">
        <w:rPr>
          <w:rFonts w:ascii="T" w:eastAsia="Calibri" w:hAnsi="T" w:cs="Arial"/>
          <w:lang w:bidi="ar-EG"/>
        </w:rPr>
        <w:t xml:space="preserve">, T. N. (2023). The development of a grey relational analysis-based composite index for environmental sustainability assessment: Towards a net-zero emissions strategy in Saudi Arabia. </w:t>
      </w:r>
      <w:proofErr w:type="spellStart"/>
      <w:r w:rsidRPr="005D59A7">
        <w:rPr>
          <w:rFonts w:ascii="T" w:eastAsia="Calibri" w:hAnsi="T" w:cs="Arial"/>
          <w:lang w:bidi="ar-EG"/>
        </w:rPr>
        <w:t>Heliyon</w:t>
      </w:r>
      <w:proofErr w:type="spellEnd"/>
      <w:r w:rsidRPr="005D59A7">
        <w:rPr>
          <w:rFonts w:ascii="T" w:eastAsia="Calibri" w:hAnsi="T" w:cs="Arial"/>
          <w:lang w:bidi="ar-EG"/>
        </w:rPr>
        <w:t>, 9(7).</w:t>
      </w:r>
    </w:p>
    <w:p w14:paraId="1E7FE9DD"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Odnoletkova</w:t>
      </w:r>
      <w:proofErr w:type="spellEnd"/>
      <w:r w:rsidRPr="005D59A7">
        <w:rPr>
          <w:rFonts w:ascii="T" w:eastAsia="Calibri" w:hAnsi="T" w:cs="Arial"/>
          <w:lang w:bidi="ar-EG"/>
        </w:rPr>
        <w:t xml:space="preserve">, N., &amp; </w:t>
      </w:r>
      <w:proofErr w:type="spellStart"/>
      <w:r w:rsidRPr="005D59A7">
        <w:rPr>
          <w:rFonts w:ascii="T" w:eastAsia="Calibri" w:hAnsi="T" w:cs="Arial"/>
          <w:lang w:bidi="ar-EG"/>
        </w:rPr>
        <w:t>Patzek</w:t>
      </w:r>
      <w:proofErr w:type="spellEnd"/>
      <w:r w:rsidRPr="005D59A7">
        <w:rPr>
          <w:rFonts w:ascii="T" w:eastAsia="Calibri" w:hAnsi="T" w:cs="Arial"/>
          <w:lang w:bidi="ar-EG"/>
        </w:rPr>
        <w:t xml:space="preserve">, T. W. (2023). Water resources in Saudi Arabia: trends in rainfall, water consumption, and analysis of agricultural water footprint. </w:t>
      </w:r>
      <w:proofErr w:type="spellStart"/>
      <w:r w:rsidRPr="005D59A7">
        <w:rPr>
          <w:rFonts w:ascii="T" w:eastAsia="Calibri" w:hAnsi="T" w:cs="Arial"/>
          <w:lang w:bidi="ar-EG"/>
        </w:rPr>
        <w:t>npj</w:t>
      </w:r>
      <w:proofErr w:type="spellEnd"/>
      <w:r w:rsidRPr="005D59A7">
        <w:rPr>
          <w:rFonts w:ascii="T" w:eastAsia="Calibri" w:hAnsi="T" w:cs="Arial"/>
          <w:lang w:bidi="ar-EG"/>
        </w:rPr>
        <w:t xml:space="preserve"> Sustainable Agriculture, 1(1), 7.</w:t>
      </w:r>
      <w:r w:rsidRPr="005D59A7">
        <w:rPr>
          <w:rFonts w:ascii="T" w:eastAsia="Calibri" w:hAnsi="T" w:cs="Arial"/>
          <w:rtl/>
          <w:lang w:bidi="ar-EG"/>
        </w:rPr>
        <w:t>‏</w:t>
      </w:r>
    </w:p>
    <w:p w14:paraId="2C3B9509"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Algamdy</w:t>
      </w:r>
      <w:proofErr w:type="spellEnd"/>
      <w:r w:rsidRPr="005D59A7">
        <w:rPr>
          <w:rFonts w:ascii="T" w:eastAsia="Calibri" w:hAnsi="T" w:cs="Arial"/>
          <w:lang w:bidi="ar-EG"/>
        </w:rPr>
        <w:t xml:space="preserve">, N. G. (2022). Regulation weakness and lack of public awareness </w:t>
      </w:r>
      <w:proofErr w:type="gramStart"/>
      <w:r w:rsidRPr="005D59A7">
        <w:rPr>
          <w:rFonts w:ascii="T" w:eastAsia="Calibri" w:hAnsi="T" w:cs="Arial"/>
          <w:lang w:bidi="ar-EG"/>
        </w:rPr>
        <w:t>has</w:t>
      </w:r>
      <w:proofErr w:type="gramEnd"/>
      <w:r w:rsidRPr="005D59A7">
        <w:rPr>
          <w:rFonts w:ascii="T" w:eastAsia="Calibri" w:hAnsi="T" w:cs="Arial"/>
          <w:lang w:bidi="ar-EG"/>
        </w:rPr>
        <w:t xml:space="preserve"> impeded the implementation of environmental policies in Saudi Arabia</w:t>
      </w:r>
      <w:bookmarkEnd w:id="22"/>
    </w:p>
    <w:p w14:paraId="04D13445"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Eisenhardt, K. M. (1989). Agency theory: An assessment and review. Academy of Management Review, 14(1), 57-74.</w:t>
      </w:r>
    </w:p>
    <w:p w14:paraId="68CEDECE"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Jensen, M. C., &amp; Meckling, W. H. (1976). Theory of the firm: Managerial behavior, agency costs and ownership structure. Journal of Financial Economics, 3(4), 305-360.</w:t>
      </w:r>
    </w:p>
    <w:p w14:paraId="63467753"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Ross, S. A. (1973). The economic theory of agency: The principal's problem. The American Economic Review, 63(2), 134-139.</w:t>
      </w:r>
    </w:p>
    <w:p w14:paraId="215C99F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Williamson, O. E. (1975). Markets and hierarchies: Analysis and antitrust implications. Free Press.</w:t>
      </w:r>
    </w:p>
    <w:p w14:paraId="788BB1B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Williamson, O. E. (1985). The economic institutions of capitalism. Free Press.</w:t>
      </w:r>
    </w:p>
    <w:p w14:paraId="222E4FB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lastRenderedPageBreak/>
        <w:t xml:space="preserve">Casady, C. B., </w:t>
      </w:r>
      <w:proofErr w:type="spellStart"/>
      <w:r w:rsidRPr="005D59A7">
        <w:rPr>
          <w:rFonts w:ascii="T" w:eastAsia="Calibri" w:hAnsi="T" w:cs="Arial"/>
          <w:lang w:bidi="ar-EG"/>
        </w:rPr>
        <w:t>Cepparulo</w:t>
      </w:r>
      <w:proofErr w:type="spellEnd"/>
      <w:r w:rsidRPr="005D59A7">
        <w:rPr>
          <w:rFonts w:ascii="T" w:eastAsia="Calibri" w:hAnsi="T" w:cs="Arial"/>
          <w:lang w:bidi="ar-EG"/>
        </w:rPr>
        <w:t xml:space="preserve">, A., &amp; Giuriato, L. (2024). Public-private partnerships for low-carbon, climate-resilient infrastructure: Insights from </w:t>
      </w:r>
      <w:proofErr w:type="gramStart"/>
      <w:r w:rsidRPr="005D59A7">
        <w:rPr>
          <w:rFonts w:ascii="T" w:eastAsia="Calibri" w:hAnsi="T" w:cs="Arial"/>
          <w:lang w:bidi="ar-EG"/>
        </w:rPr>
        <w:t>the literature</w:t>
      </w:r>
      <w:proofErr w:type="gramEnd"/>
      <w:r w:rsidRPr="005D59A7">
        <w:rPr>
          <w:rFonts w:ascii="T" w:eastAsia="Calibri" w:hAnsi="T" w:cs="Arial"/>
          <w:lang w:bidi="ar-EG"/>
        </w:rPr>
        <w:t>. Journal of Cleaner Production, 470, 143338.</w:t>
      </w:r>
      <w:r w:rsidRPr="005D59A7">
        <w:rPr>
          <w:rFonts w:ascii="T" w:eastAsia="Calibri" w:hAnsi="T" w:cs="Arial"/>
          <w:rtl/>
          <w:lang w:bidi="ar-EG"/>
        </w:rPr>
        <w:t>‏</w:t>
      </w:r>
    </w:p>
    <w:p w14:paraId="65B3FD6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Quan, X., &amp; Solheim, M. C. (2023). Public-private partnerships in smart cities: A critical survey and research agenda. City, Culture and Society, 32, 100491.</w:t>
      </w:r>
      <w:r w:rsidRPr="005D59A7">
        <w:rPr>
          <w:rFonts w:ascii="T" w:eastAsia="Calibri" w:hAnsi="T" w:cs="Arial"/>
          <w:rtl/>
          <w:lang w:bidi="ar-EG"/>
        </w:rPr>
        <w:t>‏</w:t>
      </w:r>
    </w:p>
    <w:p w14:paraId="450D8341"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Ramolobe</w:t>
      </w:r>
      <w:proofErr w:type="spellEnd"/>
      <w:r w:rsidRPr="005D59A7">
        <w:rPr>
          <w:rFonts w:ascii="T" w:eastAsia="Calibri" w:hAnsi="T" w:cs="Arial"/>
          <w:lang w:bidi="ar-EG"/>
        </w:rPr>
        <w:t xml:space="preserve">, K. S., &amp; </w:t>
      </w:r>
      <w:proofErr w:type="spellStart"/>
      <w:r w:rsidRPr="005D59A7">
        <w:rPr>
          <w:rFonts w:ascii="T" w:eastAsia="Calibri" w:hAnsi="T" w:cs="Arial"/>
          <w:lang w:bidi="ar-EG"/>
        </w:rPr>
        <w:t>Khandanisa</w:t>
      </w:r>
      <w:proofErr w:type="spellEnd"/>
      <w:r w:rsidRPr="005D59A7">
        <w:rPr>
          <w:rFonts w:ascii="T" w:eastAsia="Calibri" w:hAnsi="T" w:cs="Arial"/>
          <w:lang w:bidi="ar-EG"/>
        </w:rPr>
        <w:t>, U. (2024). The role of public–private partnership in achieving local government sustainable development. Africa’s public service delivery and performance review, 12(1), 816.</w:t>
      </w:r>
      <w:r w:rsidRPr="005D59A7">
        <w:rPr>
          <w:rFonts w:ascii="T" w:eastAsia="Calibri" w:hAnsi="T" w:cs="Arial"/>
          <w:rtl/>
          <w:lang w:bidi="ar-EG"/>
        </w:rPr>
        <w:t>‏</w:t>
      </w:r>
    </w:p>
    <w:p w14:paraId="327133D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Abdul, S., </w:t>
      </w:r>
      <w:proofErr w:type="spellStart"/>
      <w:r w:rsidRPr="005D59A7">
        <w:rPr>
          <w:rFonts w:ascii="T" w:eastAsia="Calibri" w:hAnsi="T" w:cs="Arial"/>
          <w:lang w:bidi="ar-EG"/>
        </w:rPr>
        <w:t>Adeghe</w:t>
      </w:r>
      <w:proofErr w:type="spellEnd"/>
      <w:r w:rsidRPr="005D59A7">
        <w:rPr>
          <w:rFonts w:ascii="T" w:eastAsia="Calibri" w:hAnsi="T" w:cs="Arial"/>
          <w:lang w:bidi="ar-EG"/>
        </w:rPr>
        <w:t>, E. P., Adegoke, B. O., Adegoke, A. A., &amp; Udedeh, E. H. (2024). Public-private partnerships in health sector innovation: Lessons from around the world. Magna Scientia Advanced Biology and Pharmacy, 12(1), 045-059.</w:t>
      </w:r>
      <w:r w:rsidRPr="005D59A7">
        <w:rPr>
          <w:rFonts w:ascii="T" w:eastAsia="Calibri" w:hAnsi="T" w:cs="Arial"/>
          <w:rtl/>
          <w:lang w:bidi="ar-EG"/>
        </w:rPr>
        <w:t>‏</w:t>
      </w:r>
    </w:p>
    <w:p w14:paraId="3BDEE08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Liu, L. X., Clegg, S., &amp; Pollack, J. (2024). The effect of public–private partnerships on innovation in infrastructure delivery. Project Management Journal, 55(1), 31-49.</w:t>
      </w:r>
      <w:r w:rsidRPr="005D59A7">
        <w:rPr>
          <w:rFonts w:ascii="T" w:eastAsia="Calibri" w:hAnsi="T" w:cs="Arial"/>
          <w:rtl/>
          <w:lang w:bidi="ar-EG"/>
        </w:rPr>
        <w:t>‏</w:t>
      </w:r>
    </w:p>
    <w:p w14:paraId="70577214"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Akinsulire</w:t>
      </w:r>
      <w:proofErr w:type="spellEnd"/>
      <w:r w:rsidRPr="005D59A7">
        <w:rPr>
          <w:rFonts w:ascii="T" w:eastAsia="Calibri" w:hAnsi="T" w:cs="Arial"/>
          <w:lang w:bidi="ar-EG"/>
        </w:rPr>
        <w:t xml:space="preserve">, A. A., Idemudia, C., </w:t>
      </w:r>
      <w:proofErr w:type="spellStart"/>
      <w:r w:rsidRPr="005D59A7">
        <w:rPr>
          <w:rFonts w:ascii="T" w:eastAsia="Calibri" w:hAnsi="T" w:cs="Arial"/>
          <w:lang w:bidi="ar-EG"/>
        </w:rPr>
        <w:t>Okwandu</w:t>
      </w:r>
      <w:proofErr w:type="spellEnd"/>
      <w:r w:rsidRPr="005D59A7">
        <w:rPr>
          <w:rFonts w:ascii="T" w:eastAsia="Calibri" w:hAnsi="T" w:cs="Arial"/>
          <w:lang w:bidi="ar-EG"/>
        </w:rPr>
        <w:t xml:space="preserve">, A. C., &amp; </w:t>
      </w:r>
      <w:proofErr w:type="spellStart"/>
      <w:r w:rsidRPr="005D59A7">
        <w:rPr>
          <w:rFonts w:ascii="T" w:eastAsia="Calibri" w:hAnsi="T" w:cs="Arial"/>
          <w:lang w:bidi="ar-EG"/>
        </w:rPr>
        <w:t>Iwuanyanwu</w:t>
      </w:r>
      <w:proofErr w:type="spellEnd"/>
      <w:r w:rsidRPr="005D59A7">
        <w:rPr>
          <w:rFonts w:ascii="T" w:eastAsia="Calibri" w:hAnsi="T" w:cs="Arial"/>
          <w:lang w:bidi="ar-EG"/>
        </w:rPr>
        <w:t>, O. (2024). Public-Private partnership frameworks for financing affordable housing: Lessons and models. International Journal of Management &amp; Entrepreneurship Research, 6(7), 2314-2331.</w:t>
      </w:r>
      <w:r w:rsidRPr="005D59A7">
        <w:rPr>
          <w:rFonts w:ascii="T" w:eastAsia="Calibri" w:hAnsi="T" w:cs="Arial"/>
          <w:rtl/>
          <w:lang w:bidi="ar-EG"/>
        </w:rPr>
        <w:t>‏</w:t>
      </w:r>
    </w:p>
    <w:p w14:paraId="65C05277"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Ogunode</w:t>
      </w:r>
      <w:proofErr w:type="spellEnd"/>
      <w:r w:rsidRPr="005D59A7">
        <w:rPr>
          <w:rFonts w:ascii="T" w:eastAsia="Calibri" w:hAnsi="T" w:cs="Arial"/>
          <w:lang w:bidi="ar-EG"/>
        </w:rPr>
        <w:t xml:space="preserve">, N. J., </w:t>
      </w:r>
      <w:proofErr w:type="spellStart"/>
      <w:r w:rsidRPr="005D59A7">
        <w:rPr>
          <w:rFonts w:ascii="T" w:eastAsia="Calibri" w:hAnsi="T" w:cs="Arial"/>
          <w:lang w:bidi="ar-EG"/>
        </w:rPr>
        <w:t>Edinoh</w:t>
      </w:r>
      <w:proofErr w:type="spellEnd"/>
      <w:r w:rsidRPr="005D59A7">
        <w:rPr>
          <w:rFonts w:ascii="T" w:eastAsia="Calibri" w:hAnsi="T" w:cs="Arial"/>
          <w:lang w:bidi="ar-EG"/>
        </w:rPr>
        <w:t>, K., &amp; Okolie, R. C. (2023). Public private partnership model and implementation of tertiary education program in Nigeria. AMERICAN Journal of Science on Integration and Human Development, 1(06), 1-12.</w:t>
      </w:r>
      <w:r w:rsidRPr="005D59A7">
        <w:rPr>
          <w:rFonts w:ascii="T" w:eastAsia="Calibri" w:hAnsi="T" w:cs="Arial"/>
          <w:rtl/>
          <w:lang w:bidi="ar-EG"/>
        </w:rPr>
        <w:t>‏</w:t>
      </w:r>
    </w:p>
    <w:p w14:paraId="1E2879F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Agrawal, A., Brandhorst, S., Jain, M., Liao, C., Pradhan, N., &amp; Solomon, D. (2022). From environmental governance to governance for sustainability. One Earth, 5(6), 615-621.</w:t>
      </w:r>
      <w:r w:rsidRPr="005D59A7">
        <w:rPr>
          <w:rFonts w:ascii="T" w:eastAsia="Calibri" w:hAnsi="T" w:cs="Arial"/>
          <w:rtl/>
          <w:lang w:bidi="ar-EG"/>
        </w:rPr>
        <w:t>‏</w:t>
      </w:r>
    </w:p>
    <w:p w14:paraId="11DBF7AA"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Newig</w:t>
      </w:r>
      <w:proofErr w:type="spellEnd"/>
      <w:r w:rsidRPr="005D59A7">
        <w:rPr>
          <w:rFonts w:ascii="T" w:eastAsia="Calibri" w:hAnsi="T" w:cs="Arial"/>
          <w:lang w:bidi="ar-EG"/>
        </w:rPr>
        <w:t xml:space="preserve">, J., Jager, N. W., </w:t>
      </w:r>
      <w:proofErr w:type="spellStart"/>
      <w:r w:rsidRPr="005D59A7">
        <w:rPr>
          <w:rFonts w:ascii="T" w:eastAsia="Calibri" w:hAnsi="T" w:cs="Arial"/>
          <w:lang w:bidi="ar-EG"/>
        </w:rPr>
        <w:t>Challies</w:t>
      </w:r>
      <w:proofErr w:type="spellEnd"/>
      <w:r w:rsidRPr="005D59A7">
        <w:rPr>
          <w:rFonts w:ascii="T" w:eastAsia="Calibri" w:hAnsi="T" w:cs="Arial"/>
          <w:lang w:bidi="ar-EG"/>
        </w:rPr>
        <w:t xml:space="preserve">, E., &amp; </w:t>
      </w:r>
      <w:proofErr w:type="spellStart"/>
      <w:r w:rsidRPr="005D59A7">
        <w:rPr>
          <w:rFonts w:ascii="T" w:eastAsia="Calibri" w:hAnsi="T" w:cs="Arial"/>
          <w:lang w:bidi="ar-EG"/>
        </w:rPr>
        <w:t>Kochskämper</w:t>
      </w:r>
      <w:proofErr w:type="spellEnd"/>
      <w:r w:rsidRPr="005D59A7">
        <w:rPr>
          <w:rFonts w:ascii="T" w:eastAsia="Calibri" w:hAnsi="T" w:cs="Arial"/>
          <w:lang w:bidi="ar-EG"/>
        </w:rPr>
        <w:t>, E. (2023). Does stakeholder participation improve environmental governance? Evidence from a meta-analysis of 305 case studies. Global Environmental Change, 82, 102705.</w:t>
      </w:r>
      <w:r w:rsidRPr="005D59A7">
        <w:rPr>
          <w:rFonts w:ascii="T" w:eastAsia="Calibri" w:hAnsi="T" w:cs="Arial"/>
          <w:rtl/>
          <w:lang w:bidi="ar-EG"/>
        </w:rPr>
        <w:t>‏</w:t>
      </w:r>
    </w:p>
    <w:p w14:paraId="3EB8DCB2"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Sörlin</w:t>
      </w:r>
      <w:proofErr w:type="spellEnd"/>
      <w:r w:rsidRPr="005D59A7">
        <w:rPr>
          <w:rFonts w:ascii="T" w:eastAsia="Calibri" w:hAnsi="T" w:cs="Arial"/>
          <w:lang w:bidi="ar-EG"/>
        </w:rPr>
        <w:t xml:space="preserve">, S., Warde, P., Akerman, I., Höglund Hellgren, J., </w:t>
      </w:r>
      <w:proofErr w:type="spellStart"/>
      <w:r w:rsidRPr="005D59A7">
        <w:rPr>
          <w:rFonts w:ascii="T" w:eastAsia="Calibri" w:hAnsi="T" w:cs="Arial"/>
          <w:lang w:bidi="ar-EG"/>
        </w:rPr>
        <w:t>Höhler</w:t>
      </w:r>
      <w:proofErr w:type="spellEnd"/>
      <w:r w:rsidRPr="005D59A7">
        <w:rPr>
          <w:rFonts w:ascii="T" w:eastAsia="Calibri" w:hAnsi="T" w:cs="Arial"/>
          <w:lang w:bidi="ar-EG"/>
        </w:rPr>
        <w:t xml:space="preserve">, S., Isberg, E., ... &amp; Schrøder, T. H. (2025). The great dispersal: The fall and rise of global environmental governance. </w:t>
      </w:r>
      <w:proofErr w:type="spellStart"/>
      <w:r w:rsidRPr="005D59A7">
        <w:rPr>
          <w:rFonts w:ascii="T" w:eastAsia="Calibri" w:hAnsi="T" w:cs="Arial"/>
          <w:lang w:bidi="ar-EG"/>
        </w:rPr>
        <w:t>Ambio</w:t>
      </w:r>
      <w:proofErr w:type="spellEnd"/>
      <w:r w:rsidRPr="005D59A7">
        <w:rPr>
          <w:rFonts w:ascii="T" w:eastAsia="Calibri" w:hAnsi="T" w:cs="Arial"/>
          <w:lang w:bidi="ar-EG"/>
        </w:rPr>
        <w:t>, 54(8), 1267-1288.</w:t>
      </w:r>
      <w:r w:rsidRPr="005D59A7">
        <w:rPr>
          <w:rFonts w:ascii="T" w:eastAsia="Calibri" w:hAnsi="T" w:cs="Arial"/>
          <w:rtl/>
          <w:lang w:bidi="ar-EG"/>
        </w:rPr>
        <w:t>‏</w:t>
      </w:r>
    </w:p>
    <w:p w14:paraId="54F76B62"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Bibri</w:t>
      </w:r>
      <w:proofErr w:type="spellEnd"/>
      <w:r w:rsidRPr="005D59A7">
        <w:rPr>
          <w:rFonts w:ascii="T" w:eastAsia="Calibri" w:hAnsi="T" w:cs="Arial"/>
          <w:lang w:bidi="ar-EG"/>
        </w:rPr>
        <w:t xml:space="preserve">, S. E., Huang, J., &amp; </w:t>
      </w:r>
      <w:proofErr w:type="spellStart"/>
      <w:r w:rsidRPr="005D59A7">
        <w:rPr>
          <w:rFonts w:ascii="T" w:eastAsia="Calibri" w:hAnsi="T" w:cs="Arial"/>
          <w:lang w:bidi="ar-EG"/>
        </w:rPr>
        <w:t>Krogstie</w:t>
      </w:r>
      <w:proofErr w:type="spellEnd"/>
      <w:r w:rsidRPr="005D59A7">
        <w:rPr>
          <w:rFonts w:ascii="T" w:eastAsia="Calibri" w:hAnsi="T" w:cs="Arial"/>
          <w:lang w:bidi="ar-EG"/>
        </w:rPr>
        <w:t>, J. (2024). Artificial intelligence of things for synergizing smarter eco-city brain, metabolism, and platform: Pioneering data-driven environmental governance. Sustainable Cities and Society, 108, 105516.</w:t>
      </w:r>
      <w:r w:rsidRPr="005D59A7">
        <w:rPr>
          <w:rFonts w:ascii="T" w:eastAsia="Calibri" w:hAnsi="T" w:cs="Arial"/>
          <w:rtl/>
          <w:lang w:bidi="ar-EG"/>
        </w:rPr>
        <w:t>‏</w:t>
      </w:r>
    </w:p>
    <w:p w14:paraId="32DF7CD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Bakhsh, S., Zhang, W., Ali, K., &amp; Oláh, J. (2024). Strategy towards sustainable energy transition: The effect of environmental governance, economic complexity and geopolitics. Energy Strategy Reviews, 52, 101330.</w:t>
      </w:r>
      <w:r w:rsidRPr="005D59A7">
        <w:rPr>
          <w:rFonts w:ascii="T" w:eastAsia="Calibri" w:hAnsi="T" w:cs="Arial"/>
          <w:rtl/>
          <w:lang w:bidi="ar-EG"/>
        </w:rPr>
        <w:t>‏</w:t>
      </w:r>
    </w:p>
    <w:p w14:paraId="42C4658C"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Albitar</w:t>
      </w:r>
      <w:proofErr w:type="spellEnd"/>
      <w:r w:rsidRPr="005D59A7">
        <w:rPr>
          <w:rFonts w:ascii="T" w:eastAsia="Calibri" w:hAnsi="T" w:cs="Arial"/>
          <w:lang w:bidi="ar-EG"/>
        </w:rPr>
        <w:t>, K., Borgi, H., Khan, M., &amp; Zahra, A. (2023). Business environmental innovation and CO2 emissions: The moderating role of environmental governance. Business strategy and the environment, 32(4), 1996-2007.</w:t>
      </w:r>
      <w:r w:rsidRPr="005D59A7">
        <w:rPr>
          <w:rFonts w:ascii="T" w:eastAsia="Calibri" w:hAnsi="T" w:cs="Arial"/>
          <w:rtl/>
          <w:lang w:bidi="ar-EG"/>
        </w:rPr>
        <w:t>‏</w:t>
      </w:r>
    </w:p>
    <w:p w14:paraId="03787CD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Kloppenburg, S., Gupta, A., Kruk, S. R., Makris, S., Bergsvik, R., </w:t>
      </w:r>
      <w:proofErr w:type="spellStart"/>
      <w:r w:rsidRPr="005D59A7">
        <w:rPr>
          <w:rFonts w:ascii="T" w:eastAsia="Calibri" w:hAnsi="T" w:cs="Arial"/>
          <w:lang w:bidi="ar-EG"/>
        </w:rPr>
        <w:t>Korenhof</w:t>
      </w:r>
      <w:proofErr w:type="spellEnd"/>
      <w:r w:rsidRPr="005D59A7">
        <w:rPr>
          <w:rFonts w:ascii="T" w:eastAsia="Calibri" w:hAnsi="T" w:cs="Arial"/>
          <w:lang w:bidi="ar-EG"/>
        </w:rPr>
        <w:t xml:space="preserve">, P., ... &amp; Toonen, H. M. (2022). Scrutinizing environmental governance in a digital age: </w:t>
      </w:r>
      <w:proofErr w:type="gramStart"/>
      <w:r w:rsidRPr="005D59A7">
        <w:rPr>
          <w:rFonts w:ascii="T" w:eastAsia="Calibri" w:hAnsi="T" w:cs="Arial"/>
          <w:lang w:bidi="ar-EG"/>
        </w:rPr>
        <w:t>New</w:t>
      </w:r>
      <w:proofErr w:type="gramEnd"/>
      <w:r w:rsidRPr="005D59A7">
        <w:rPr>
          <w:rFonts w:ascii="T" w:eastAsia="Calibri" w:hAnsi="T" w:cs="Arial"/>
          <w:lang w:bidi="ar-EG"/>
        </w:rPr>
        <w:t xml:space="preserve"> ways of seeing, participating, and intervening. One Earth, 5(3), 232-241.</w:t>
      </w:r>
      <w:r w:rsidRPr="005D59A7">
        <w:rPr>
          <w:rFonts w:ascii="T" w:eastAsia="Calibri" w:hAnsi="T" w:cs="Arial"/>
          <w:rtl/>
          <w:lang w:bidi="ar-EG"/>
        </w:rPr>
        <w:t>‏</w:t>
      </w:r>
    </w:p>
    <w:p w14:paraId="405AC4F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Mehta, L., Leach, M., &amp; Scoones, I. (2025). Environmental governance in an uncertain world. IDS bulletin, 56(1A).</w:t>
      </w:r>
      <w:r w:rsidRPr="005D59A7">
        <w:rPr>
          <w:rFonts w:ascii="T" w:eastAsia="Calibri" w:hAnsi="T" w:cs="Arial"/>
          <w:rtl/>
          <w:lang w:bidi="ar-EG"/>
        </w:rPr>
        <w:t>‏</w:t>
      </w:r>
    </w:p>
    <w:p w14:paraId="7542DE5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lastRenderedPageBreak/>
        <w:t>Flyvbjerg, B. (2014). What you should know about megaprojects and why: An overview.</w:t>
      </w:r>
    </w:p>
    <w:p w14:paraId="2157B82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Hodge, G. A., &amp; Greve, C. (2018). Contemporary public-private partnership: Towards a global research agenda.</w:t>
      </w:r>
    </w:p>
    <w:p w14:paraId="3D413572" w14:textId="77777777" w:rsidR="00A63F47" w:rsidRPr="005D59A7" w:rsidRDefault="00A63F47" w:rsidP="00A63F47">
      <w:pPr>
        <w:jc w:val="both"/>
        <w:rPr>
          <w:rFonts w:ascii="T" w:eastAsia="Calibri" w:hAnsi="T" w:cs="Arial"/>
          <w:rtl/>
          <w:lang w:bidi="ar-EG"/>
        </w:rPr>
      </w:pPr>
    </w:p>
    <w:p w14:paraId="09AC188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Hodge, G. A., Greve, C., &amp; </w:t>
      </w:r>
      <w:proofErr w:type="spellStart"/>
      <w:r w:rsidRPr="005D59A7">
        <w:rPr>
          <w:rFonts w:ascii="T" w:eastAsia="Calibri" w:hAnsi="T" w:cs="Arial"/>
          <w:lang w:bidi="ar-EG"/>
        </w:rPr>
        <w:t>Biygautane</w:t>
      </w:r>
      <w:proofErr w:type="spellEnd"/>
      <w:r w:rsidRPr="005D59A7">
        <w:rPr>
          <w:rFonts w:ascii="T" w:eastAsia="Calibri" w:hAnsi="T" w:cs="Arial"/>
          <w:lang w:bidi="ar-EG"/>
        </w:rPr>
        <w:t>, M. (2018). Do public–private partnerships work? What and how have we been learning so far?</w:t>
      </w:r>
    </w:p>
    <w:p w14:paraId="2A34C848"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Roehrich, J. K., Lewis, M. A., &amp; George, G. (2014). Are public–private partnerships a healthy option? A systematic literature review.</w:t>
      </w:r>
    </w:p>
    <w:p w14:paraId="45F44D9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Song, Y., &amp; Hao, S. (2023). Influence of project governance mechanisms on the sustainable development of public-private partnership projects.</w:t>
      </w:r>
    </w:p>
    <w:p w14:paraId="4850A498" w14:textId="77777777" w:rsidR="00A63F47" w:rsidRPr="005D59A7" w:rsidRDefault="00A63F47" w:rsidP="00A63F47">
      <w:pPr>
        <w:jc w:val="both"/>
        <w:rPr>
          <w:rFonts w:ascii="T" w:eastAsia="Calibri" w:hAnsi="T" w:cs="Arial"/>
          <w:rtl/>
          <w:lang w:bidi="ar-EG"/>
        </w:rPr>
      </w:pPr>
    </w:p>
    <w:p w14:paraId="58C72AC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Wang, Y., et al. (2020). The influence of governance on the implementation of public–private partnerships in the United Kingdom and China: A systematic comparison.</w:t>
      </w:r>
    </w:p>
    <w:p w14:paraId="6BC183D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Xiong, W., Chen, B., Wang, H., &amp; Zhu, D. (2019). Governing public–private partnerships: A systematic review of case study literature.</w:t>
      </w:r>
    </w:p>
    <w:p w14:paraId="79EB9DA1" w14:textId="77777777" w:rsidR="00A63F47" w:rsidRPr="005D59A7" w:rsidRDefault="00A63F47" w:rsidP="00A63F47">
      <w:pPr>
        <w:jc w:val="both"/>
        <w:rPr>
          <w:rFonts w:ascii="T" w:eastAsia="Calibri" w:hAnsi="T" w:cs="Arial"/>
          <w:rtl/>
          <w:lang w:bidi="ar-EG"/>
        </w:rPr>
      </w:pPr>
    </w:p>
    <w:p w14:paraId="5F0B111D"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Zhang, X., et al. (2020). Public–private partnerships as a governance response to sustainable urbanization: Lessons from China.</w:t>
      </w:r>
    </w:p>
    <w:p w14:paraId="469C6777"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Waardenburg, M., </w:t>
      </w:r>
      <w:proofErr w:type="spellStart"/>
      <w:r w:rsidRPr="005D59A7">
        <w:rPr>
          <w:rFonts w:ascii="T" w:eastAsia="Calibri" w:hAnsi="T" w:cs="Arial"/>
          <w:lang w:bidi="ar-EG"/>
        </w:rPr>
        <w:t>Groenleer</w:t>
      </w:r>
      <w:proofErr w:type="spellEnd"/>
      <w:r w:rsidRPr="005D59A7">
        <w:rPr>
          <w:rFonts w:ascii="T" w:eastAsia="Calibri" w:hAnsi="T" w:cs="Arial"/>
          <w:lang w:bidi="ar-EG"/>
        </w:rPr>
        <w:t>, M., &amp; de Jong, J. (2025). Performance management in collaborative governance: a review of the literature and synthesis of the challenges. Public Performance &amp; Management Review, 48(4), 735-767.</w:t>
      </w:r>
      <w:r w:rsidRPr="005D59A7">
        <w:rPr>
          <w:rFonts w:ascii="T" w:eastAsia="Calibri" w:hAnsi="T" w:cs="Arial"/>
          <w:rtl/>
          <w:lang w:bidi="ar-EG"/>
        </w:rPr>
        <w:t>‏</w:t>
      </w:r>
    </w:p>
    <w:p w14:paraId="793A2994"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Atmaja, D. S., </w:t>
      </w:r>
      <w:proofErr w:type="spellStart"/>
      <w:r w:rsidRPr="005D59A7">
        <w:rPr>
          <w:rFonts w:ascii="T" w:eastAsia="Calibri" w:hAnsi="T" w:cs="Arial"/>
          <w:lang w:bidi="ar-EG"/>
        </w:rPr>
        <w:t>Fachrurazi</w:t>
      </w:r>
      <w:proofErr w:type="spellEnd"/>
      <w:r w:rsidRPr="005D59A7">
        <w:rPr>
          <w:rFonts w:ascii="T" w:eastAsia="Calibri" w:hAnsi="T" w:cs="Arial"/>
          <w:lang w:bidi="ar-EG"/>
        </w:rPr>
        <w:t>, F., Abdullah, A., Fauziah, F., Zaroni, A. N., &amp; Yusuf, M. (2022). Actualization of performance management models for the development of human resources quality, economic potential, and financial governance policy in Indonesia Ministry of Education.</w:t>
      </w:r>
      <w:r w:rsidRPr="005D59A7">
        <w:rPr>
          <w:rFonts w:ascii="T" w:eastAsia="Calibri" w:hAnsi="T" w:cs="Arial"/>
          <w:rtl/>
          <w:lang w:bidi="ar-EG"/>
        </w:rPr>
        <w:t>‏</w:t>
      </w:r>
    </w:p>
    <w:p w14:paraId="4759FB7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Biondi, L., &amp; Russo, S. (2022). Integrating strategic planning and performance management in universities: a multiple case-study analysis. journal of management and governance, 26(2), 417-448.</w:t>
      </w:r>
      <w:r w:rsidRPr="005D59A7">
        <w:rPr>
          <w:rFonts w:ascii="T" w:eastAsia="Calibri" w:hAnsi="T" w:cs="Arial"/>
          <w:rtl/>
          <w:lang w:bidi="ar-EG"/>
        </w:rPr>
        <w:t>‏</w:t>
      </w:r>
    </w:p>
    <w:p w14:paraId="620FEE7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Yadav, P., &amp; Prashar, A. (2023). Board gender diversity: implications for environment, social, and governance (ESG) performance of Indian firms. International Journal of Productivity and Performance Management, 72(9), 2654-2673.</w:t>
      </w:r>
      <w:r w:rsidRPr="005D59A7">
        <w:rPr>
          <w:rFonts w:ascii="T" w:eastAsia="Calibri" w:hAnsi="T" w:cs="Arial"/>
          <w:rtl/>
          <w:lang w:bidi="ar-EG"/>
        </w:rPr>
        <w:t>‏</w:t>
      </w:r>
    </w:p>
    <w:p w14:paraId="183B87C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Martiny, A., Taglialatela, J., Testa, F., &amp; </w:t>
      </w:r>
      <w:proofErr w:type="spellStart"/>
      <w:r w:rsidRPr="005D59A7">
        <w:rPr>
          <w:rFonts w:ascii="T" w:eastAsia="Calibri" w:hAnsi="T" w:cs="Arial"/>
          <w:lang w:bidi="ar-EG"/>
        </w:rPr>
        <w:t>Iraldo</w:t>
      </w:r>
      <w:proofErr w:type="spellEnd"/>
      <w:r w:rsidRPr="005D59A7">
        <w:rPr>
          <w:rFonts w:ascii="T" w:eastAsia="Calibri" w:hAnsi="T" w:cs="Arial"/>
          <w:lang w:bidi="ar-EG"/>
        </w:rPr>
        <w:t>, F. (2024). Determinants of environmental social and governance (ESG) performance: A systematic literature review. Journal of Cleaner Production, 456, 142213.</w:t>
      </w:r>
      <w:r w:rsidRPr="005D59A7">
        <w:rPr>
          <w:rFonts w:ascii="T" w:eastAsia="Calibri" w:hAnsi="T" w:cs="Arial"/>
          <w:rtl/>
          <w:lang w:bidi="ar-EG"/>
        </w:rPr>
        <w:t>‏</w:t>
      </w:r>
    </w:p>
    <w:p w14:paraId="3ED564A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Kaunda, E., &amp; Pelser, T. (2023). Corporate governance and performance of state-owned enterprises in a least developed economy. South African Journal of Business Management, 54(1), 3827.</w:t>
      </w:r>
      <w:r w:rsidRPr="005D59A7">
        <w:rPr>
          <w:rFonts w:ascii="T" w:eastAsia="Calibri" w:hAnsi="T" w:cs="Arial"/>
          <w:rtl/>
          <w:lang w:bidi="ar-EG"/>
        </w:rPr>
        <w:t>‏</w:t>
      </w:r>
    </w:p>
    <w:p w14:paraId="1B83B98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Jubair, S. M. B., &amp; Singh, J. S. K. (2022). Critical success factors of Public-private Partnership (PPP) projects in the Kingdom of Saudi Arabia. </w:t>
      </w:r>
      <w:proofErr w:type="spellStart"/>
      <w:r w:rsidRPr="005D59A7">
        <w:rPr>
          <w:rFonts w:ascii="T" w:eastAsia="Calibri" w:hAnsi="T" w:cs="Arial"/>
          <w:lang w:bidi="ar-EG"/>
        </w:rPr>
        <w:t>Webology</w:t>
      </w:r>
      <w:proofErr w:type="spellEnd"/>
      <w:r w:rsidRPr="005D59A7">
        <w:rPr>
          <w:rFonts w:ascii="T" w:eastAsia="Calibri" w:hAnsi="T" w:cs="Arial"/>
          <w:lang w:bidi="ar-EG"/>
        </w:rPr>
        <w:t>, 19(1), 1521-1540.</w:t>
      </w:r>
      <w:r w:rsidRPr="005D59A7">
        <w:rPr>
          <w:rFonts w:ascii="T" w:eastAsia="Calibri" w:hAnsi="T" w:cs="Arial"/>
          <w:rtl/>
          <w:lang w:bidi="ar-EG"/>
        </w:rPr>
        <w:t>‏</w:t>
      </w:r>
    </w:p>
    <w:p w14:paraId="27706B5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lastRenderedPageBreak/>
        <w:t>Hidalgo, A. J. G. (2024). Infrastructure Development in Saudi Arabia Through the Public-Private Partnership Scheme Within the Saudi Vision 2030 (Doctoral dissertation, Doctoral dissertation, UNIVERSIDAD POLITÉCNICA DE MADRID).</w:t>
      </w:r>
      <w:r w:rsidRPr="005D59A7">
        <w:rPr>
          <w:rFonts w:ascii="T" w:eastAsia="Calibri" w:hAnsi="T" w:cs="Arial"/>
          <w:rtl/>
          <w:lang w:bidi="ar-EG"/>
        </w:rPr>
        <w:t>‏</w:t>
      </w:r>
    </w:p>
    <w:p w14:paraId="1ED2F4E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Guerrero, A., Lara-Galera, A., Alcaraz Carrillo de Albornoz, V., &amp; Arévalo </w:t>
      </w:r>
      <w:proofErr w:type="spellStart"/>
      <w:r w:rsidRPr="005D59A7">
        <w:rPr>
          <w:rFonts w:ascii="T" w:eastAsia="Calibri" w:hAnsi="T" w:cs="Arial"/>
          <w:lang w:bidi="ar-EG"/>
        </w:rPr>
        <w:t>Sarrate</w:t>
      </w:r>
      <w:proofErr w:type="spellEnd"/>
      <w:r w:rsidRPr="005D59A7">
        <w:rPr>
          <w:rFonts w:ascii="T" w:eastAsia="Calibri" w:hAnsi="T" w:cs="Arial"/>
          <w:lang w:bidi="ar-EG"/>
        </w:rPr>
        <w:t>, C. (2024). Determinant features to reduce the infrastructure gap in Saudi Arabia under a public–private partnership scheme. Buildings, 14(3), 699.</w:t>
      </w:r>
      <w:r w:rsidRPr="005D59A7">
        <w:rPr>
          <w:rFonts w:ascii="T" w:eastAsia="Calibri" w:hAnsi="T" w:cs="Arial"/>
          <w:rtl/>
          <w:lang w:bidi="ar-EG"/>
        </w:rPr>
        <w:t>‏</w:t>
      </w:r>
    </w:p>
    <w:p w14:paraId="1E08EA0D" w14:textId="77777777" w:rsidR="00A63F47" w:rsidRPr="005D59A7" w:rsidRDefault="00A63F47" w:rsidP="00A63F47">
      <w:pPr>
        <w:jc w:val="both"/>
        <w:rPr>
          <w:rFonts w:ascii="T" w:eastAsia="Calibri" w:hAnsi="T" w:cs="Arial"/>
          <w:rtl/>
          <w:lang w:bidi="ar-EG"/>
        </w:rPr>
      </w:pPr>
    </w:p>
    <w:p w14:paraId="5707C2CC"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Alruwaili</w:t>
      </w:r>
      <w:proofErr w:type="spellEnd"/>
      <w:r w:rsidRPr="005D59A7">
        <w:rPr>
          <w:rFonts w:ascii="T" w:eastAsia="Calibri" w:hAnsi="T" w:cs="Arial"/>
          <w:lang w:bidi="ar-EG"/>
        </w:rPr>
        <w:t xml:space="preserve">, R., Al-Anzi, S., </w:t>
      </w:r>
      <w:proofErr w:type="spellStart"/>
      <w:r w:rsidRPr="005D59A7">
        <w:rPr>
          <w:rFonts w:ascii="T" w:eastAsia="Calibri" w:hAnsi="T" w:cs="Arial"/>
          <w:lang w:bidi="ar-EG"/>
        </w:rPr>
        <w:t>Alkhasha</w:t>
      </w:r>
      <w:proofErr w:type="spellEnd"/>
      <w:r w:rsidRPr="005D59A7">
        <w:rPr>
          <w:rFonts w:ascii="T" w:eastAsia="Calibri" w:hAnsi="T" w:cs="Arial"/>
          <w:lang w:bidi="ar-EG"/>
        </w:rPr>
        <w:t xml:space="preserve">, A., &amp; </w:t>
      </w:r>
      <w:proofErr w:type="spellStart"/>
      <w:r w:rsidRPr="005D59A7">
        <w:rPr>
          <w:rFonts w:ascii="T" w:eastAsia="Calibri" w:hAnsi="T" w:cs="Arial"/>
          <w:lang w:bidi="ar-EG"/>
        </w:rPr>
        <w:t>Benlaria</w:t>
      </w:r>
      <w:proofErr w:type="spellEnd"/>
      <w:r w:rsidRPr="005D59A7">
        <w:rPr>
          <w:rFonts w:ascii="T" w:eastAsia="Calibri" w:hAnsi="T" w:cs="Arial"/>
          <w:lang w:bidi="ar-EG"/>
        </w:rPr>
        <w:t>, H. O. U. C. I. N. E. (2024). The Interplay of Knowledge Management, E-Governance, and Business Performance Efficiency: Insights from Saudi Public Sector Institutions. WSEAS Transactions on Business and Economics, 21, 2026-2041.</w:t>
      </w:r>
      <w:r w:rsidRPr="005D59A7">
        <w:rPr>
          <w:rFonts w:ascii="T" w:eastAsia="Calibri" w:hAnsi="T" w:cs="Arial"/>
          <w:rtl/>
          <w:lang w:bidi="ar-EG"/>
        </w:rPr>
        <w:t>‏</w:t>
      </w:r>
    </w:p>
    <w:p w14:paraId="5FC8F049" w14:textId="77777777" w:rsidR="00A63F47" w:rsidRPr="005D59A7" w:rsidRDefault="00A63F47" w:rsidP="00A63F47">
      <w:pPr>
        <w:jc w:val="both"/>
        <w:rPr>
          <w:rFonts w:ascii="T" w:eastAsia="Calibri" w:hAnsi="T" w:cs="Arial"/>
          <w:lang w:bidi="ar-EG"/>
        </w:rPr>
      </w:pPr>
      <w:proofErr w:type="spellStart"/>
      <w:r w:rsidRPr="005D59A7">
        <w:rPr>
          <w:rFonts w:ascii="T" w:eastAsia="Calibri" w:hAnsi="T" w:cs="Arial"/>
          <w:lang w:bidi="ar-EG"/>
        </w:rPr>
        <w:t>Bendary</w:t>
      </w:r>
      <w:proofErr w:type="spellEnd"/>
      <w:r w:rsidRPr="005D59A7">
        <w:rPr>
          <w:rFonts w:ascii="T" w:eastAsia="Calibri" w:hAnsi="T" w:cs="Arial"/>
          <w:lang w:bidi="ar-EG"/>
        </w:rPr>
        <w:t>, M. G., &amp; Rajadurai, J. (2024). Emerging Technologies and Public Innovation in the Saudi Public Sector: an analysis of Adoption and challenges amidst Vision 2030. The Innovation Journal, 29(1), 1-42.</w:t>
      </w:r>
      <w:r w:rsidRPr="005D59A7">
        <w:rPr>
          <w:rFonts w:ascii="T" w:eastAsia="Calibri" w:hAnsi="T" w:cs="Arial"/>
          <w:rtl/>
          <w:lang w:bidi="ar-EG"/>
        </w:rPr>
        <w:t>‏</w:t>
      </w:r>
    </w:p>
    <w:p w14:paraId="3AB71B1A"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Bodrick, M. M., Alkindi, E. T., </w:t>
      </w:r>
      <w:proofErr w:type="spellStart"/>
      <w:r w:rsidRPr="005D59A7">
        <w:rPr>
          <w:rFonts w:ascii="T" w:eastAsia="Calibri" w:hAnsi="T" w:cs="Arial"/>
          <w:lang w:bidi="ar-EG"/>
        </w:rPr>
        <w:t>Alassaf</w:t>
      </w:r>
      <w:proofErr w:type="spellEnd"/>
      <w:r w:rsidRPr="005D59A7">
        <w:rPr>
          <w:rFonts w:ascii="T" w:eastAsia="Calibri" w:hAnsi="T" w:cs="Arial"/>
          <w:lang w:bidi="ar-EG"/>
        </w:rPr>
        <w:t xml:space="preserve">, M. I., </w:t>
      </w:r>
      <w:proofErr w:type="spellStart"/>
      <w:r w:rsidRPr="005D59A7">
        <w:rPr>
          <w:rFonts w:ascii="T" w:eastAsia="Calibri" w:hAnsi="T" w:cs="Arial"/>
          <w:lang w:bidi="ar-EG"/>
        </w:rPr>
        <w:t>Alrasi</w:t>
      </w:r>
      <w:proofErr w:type="spellEnd"/>
      <w:r w:rsidRPr="005D59A7">
        <w:rPr>
          <w:rFonts w:ascii="T" w:eastAsia="Calibri" w:hAnsi="T" w:cs="Arial"/>
          <w:lang w:bidi="ar-EG"/>
        </w:rPr>
        <w:t xml:space="preserve">, M. Y., </w:t>
      </w:r>
      <w:proofErr w:type="spellStart"/>
      <w:r w:rsidRPr="005D59A7">
        <w:rPr>
          <w:rFonts w:ascii="T" w:eastAsia="Calibri" w:hAnsi="T" w:cs="Arial"/>
          <w:lang w:bidi="ar-EG"/>
        </w:rPr>
        <w:t>Aljuffali</w:t>
      </w:r>
      <w:proofErr w:type="spellEnd"/>
      <w:r w:rsidRPr="005D59A7">
        <w:rPr>
          <w:rFonts w:ascii="T" w:eastAsia="Calibri" w:hAnsi="T" w:cs="Arial"/>
          <w:lang w:bidi="ar-EG"/>
        </w:rPr>
        <w:t xml:space="preserve">, L., </w:t>
      </w:r>
      <w:proofErr w:type="spellStart"/>
      <w:r w:rsidRPr="005D59A7">
        <w:rPr>
          <w:rFonts w:ascii="T" w:eastAsia="Calibri" w:hAnsi="T" w:cs="Arial"/>
          <w:lang w:bidi="ar-EG"/>
        </w:rPr>
        <w:t>Alhawas</w:t>
      </w:r>
      <w:proofErr w:type="spellEnd"/>
      <w:r w:rsidRPr="005D59A7">
        <w:rPr>
          <w:rFonts w:ascii="T" w:eastAsia="Calibri" w:hAnsi="T" w:cs="Arial"/>
          <w:lang w:bidi="ar-EG"/>
        </w:rPr>
        <w:t xml:space="preserve">, A. A., ... &amp; Alsuhaim, M. I. (2025). The Contextual Dynamism of Organizational Leadership in Saudi Arabia: What is Next After Change, Transition, and Transformation-Is it </w:t>
      </w:r>
      <w:proofErr w:type="gramStart"/>
      <w:r w:rsidRPr="005D59A7">
        <w:rPr>
          <w:rFonts w:ascii="T" w:eastAsia="Calibri" w:hAnsi="T" w:cs="Arial"/>
          <w:lang w:bidi="ar-EG"/>
        </w:rPr>
        <w:t>Transmogrification?.</w:t>
      </w:r>
      <w:proofErr w:type="gramEnd"/>
      <w:r w:rsidRPr="005D59A7">
        <w:rPr>
          <w:rFonts w:ascii="T" w:eastAsia="Calibri" w:hAnsi="T" w:cs="Arial"/>
          <w:lang w:bidi="ar-EG"/>
        </w:rPr>
        <w:t xml:space="preserve"> Journal of Business and Management Studies, 7(3), 355-363.</w:t>
      </w:r>
      <w:r w:rsidRPr="005D59A7">
        <w:rPr>
          <w:rFonts w:ascii="T" w:eastAsia="Calibri" w:hAnsi="T" w:cs="Arial"/>
          <w:rtl/>
          <w:lang w:bidi="ar-EG"/>
        </w:rPr>
        <w:t>‏</w:t>
      </w:r>
    </w:p>
    <w:p w14:paraId="1D979495"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Elkebti, O. A. M., &amp; Khalifa, W. M. (2025). Assessing the </w:t>
      </w:r>
      <w:proofErr w:type="spellStart"/>
      <w:r w:rsidRPr="005D59A7">
        <w:rPr>
          <w:rFonts w:ascii="T" w:eastAsia="Calibri" w:hAnsi="T" w:cs="Arial"/>
          <w:lang w:bidi="ar-EG"/>
        </w:rPr>
        <w:t>saudi</w:t>
      </w:r>
      <w:proofErr w:type="spellEnd"/>
      <w:r w:rsidRPr="005D59A7">
        <w:rPr>
          <w:rFonts w:ascii="T" w:eastAsia="Calibri" w:hAnsi="T" w:cs="Arial"/>
          <w:lang w:bidi="ar-EG"/>
        </w:rPr>
        <w:t xml:space="preserve"> and middle east green initiatives: the role of environmental governance, renewable energy transition, and innovation in achieving a regional green future. Sustainability, 17(12), 5307.</w:t>
      </w:r>
      <w:r w:rsidRPr="005D59A7">
        <w:rPr>
          <w:rFonts w:ascii="T" w:eastAsia="Calibri" w:hAnsi="T" w:cs="Arial"/>
          <w:rtl/>
          <w:lang w:bidi="ar-EG"/>
        </w:rPr>
        <w:t>‏</w:t>
      </w:r>
    </w:p>
    <w:p w14:paraId="5B2BCD54"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Almeflh, A. A., &amp; </w:t>
      </w:r>
      <w:proofErr w:type="spellStart"/>
      <w:r w:rsidRPr="005D59A7">
        <w:rPr>
          <w:rFonts w:ascii="T" w:eastAsia="Calibri" w:hAnsi="T" w:cs="Arial"/>
          <w:lang w:bidi="ar-EG"/>
        </w:rPr>
        <w:t>Almofleh</w:t>
      </w:r>
      <w:proofErr w:type="spellEnd"/>
      <w:r w:rsidRPr="005D59A7">
        <w:rPr>
          <w:rFonts w:ascii="T" w:eastAsia="Calibri" w:hAnsi="T" w:cs="Arial"/>
          <w:lang w:bidi="ar-EG"/>
        </w:rPr>
        <w:t>, M. I. (2025). Institutional drivers of environmental accounting and responses of organizations. Discover Sustainability.</w:t>
      </w:r>
      <w:r w:rsidRPr="005D59A7">
        <w:rPr>
          <w:rFonts w:ascii="T" w:eastAsia="Calibri" w:hAnsi="T" w:cs="Arial"/>
          <w:rtl/>
          <w:lang w:bidi="ar-EG"/>
        </w:rPr>
        <w:t>‏</w:t>
      </w:r>
    </w:p>
    <w:p w14:paraId="3A70E80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Jan, D., Nigar, M., Ullah, F., Nizar, A., Fatima, N., Hussain, I., &amp; Rahman, S. U. (2025). Impact of public-private partnership and technology transfer on environmental sustainability. Social Science Review Archives, 3(1), 2569-2589.</w:t>
      </w:r>
      <w:r w:rsidRPr="005D59A7">
        <w:rPr>
          <w:rFonts w:ascii="T" w:eastAsia="Calibri" w:hAnsi="T" w:cs="Arial"/>
          <w:rtl/>
          <w:lang w:bidi="ar-EG"/>
        </w:rPr>
        <w:t>‏</w:t>
      </w:r>
    </w:p>
    <w:p w14:paraId="18815C1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Alhosani, K. (2025). Leveraging public–private partnerships for a circular industry economy: Advancing economic sustainability in industrial waste management in the Emirate of Ajman, UAE. Challenges, 16(3), 31.</w:t>
      </w:r>
      <w:r w:rsidRPr="005D59A7">
        <w:rPr>
          <w:rFonts w:ascii="T" w:eastAsia="Calibri" w:hAnsi="T" w:cs="Arial"/>
          <w:rtl/>
          <w:lang w:bidi="ar-EG"/>
        </w:rPr>
        <w:t>‏</w:t>
      </w:r>
    </w:p>
    <w:p w14:paraId="35B5824B" w14:textId="3E94D404" w:rsidR="00A63F47" w:rsidRPr="005D59A7" w:rsidRDefault="00A63F47" w:rsidP="00A63F47">
      <w:pPr>
        <w:jc w:val="both"/>
        <w:rPr>
          <w:rFonts w:ascii="T" w:eastAsia="Calibri" w:hAnsi="T" w:cs="Arial"/>
          <w:lang w:bidi="ar-EG"/>
        </w:rPr>
      </w:pPr>
      <w:r w:rsidRPr="005D59A7">
        <w:rPr>
          <w:rFonts w:ascii="T" w:eastAsia="Calibri" w:hAnsi="T" w:cs="Arial"/>
          <w:lang w:bidi="ar-EG"/>
        </w:rPr>
        <w:t xml:space="preserve">Sampieri, S., &amp; </w:t>
      </w:r>
      <w:proofErr w:type="spellStart"/>
      <w:r w:rsidRPr="005D59A7">
        <w:rPr>
          <w:rFonts w:ascii="T" w:eastAsia="Calibri" w:hAnsi="T" w:cs="Arial"/>
          <w:lang w:bidi="ar-EG"/>
        </w:rPr>
        <w:t>Mazzetto</w:t>
      </w:r>
      <w:proofErr w:type="spellEnd"/>
      <w:r w:rsidRPr="005D59A7">
        <w:rPr>
          <w:rFonts w:ascii="T" w:eastAsia="Calibri" w:hAnsi="T" w:cs="Arial"/>
          <w:lang w:bidi="ar-EG"/>
        </w:rPr>
        <w:t>, S. (2025). Public–Private Partnership for the Sustainable Development of Tourism Hospitality: Comparisons Between Italy and Saudi Arabia. Sustainability, 17(15), 6662.</w:t>
      </w:r>
      <w:r w:rsidRPr="005D59A7">
        <w:rPr>
          <w:rFonts w:ascii="T" w:eastAsia="Calibri" w:hAnsi="T" w:cs="Arial"/>
          <w:rtl/>
          <w:lang w:bidi="ar-EG"/>
        </w:rPr>
        <w:t>‏</w:t>
      </w:r>
    </w:p>
    <w:p w14:paraId="074B6D6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Casady, C. B., </w:t>
      </w:r>
      <w:proofErr w:type="spellStart"/>
      <w:r w:rsidRPr="005D59A7">
        <w:rPr>
          <w:rFonts w:ascii="T" w:eastAsia="Calibri" w:hAnsi="T" w:cs="Arial"/>
          <w:lang w:bidi="ar-EG"/>
        </w:rPr>
        <w:t>Cepparulo</w:t>
      </w:r>
      <w:proofErr w:type="spellEnd"/>
      <w:r w:rsidRPr="005D59A7">
        <w:rPr>
          <w:rFonts w:ascii="T" w:eastAsia="Calibri" w:hAnsi="T" w:cs="Arial"/>
          <w:lang w:bidi="ar-EG"/>
        </w:rPr>
        <w:t xml:space="preserve">, A., &amp; Giuriato, L. (2024). Public-private partnerships for low-carbon, climate-resilient infrastructure: Insights from </w:t>
      </w:r>
      <w:proofErr w:type="gramStart"/>
      <w:r w:rsidRPr="005D59A7">
        <w:rPr>
          <w:rFonts w:ascii="T" w:eastAsia="Calibri" w:hAnsi="T" w:cs="Arial"/>
          <w:lang w:bidi="ar-EG"/>
        </w:rPr>
        <w:t>the literature</w:t>
      </w:r>
      <w:proofErr w:type="gramEnd"/>
      <w:r w:rsidRPr="005D59A7">
        <w:rPr>
          <w:rFonts w:ascii="T" w:eastAsia="Calibri" w:hAnsi="T" w:cs="Arial"/>
          <w:lang w:bidi="ar-EG"/>
        </w:rPr>
        <w:t>. Journal of Cleaner Production, 470, 143338.</w:t>
      </w:r>
      <w:r w:rsidRPr="005D59A7">
        <w:rPr>
          <w:rFonts w:ascii="T" w:eastAsia="Calibri" w:hAnsi="T" w:cs="Arial"/>
          <w:rtl/>
          <w:lang w:bidi="ar-EG"/>
        </w:rPr>
        <w:t>‏</w:t>
      </w:r>
    </w:p>
    <w:p w14:paraId="73AFE0CD"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Ramolobe</w:t>
      </w:r>
      <w:proofErr w:type="spellEnd"/>
      <w:r w:rsidRPr="005D59A7">
        <w:rPr>
          <w:rFonts w:ascii="T" w:eastAsia="Calibri" w:hAnsi="T" w:cs="Arial"/>
          <w:lang w:bidi="ar-EG"/>
        </w:rPr>
        <w:t xml:space="preserve">, K. S., &amp; </w:t>
      </w:r>
      <w:proofErr w:type="spellStart"/>
      <w:r w:rsidRPr="005D59A7">
        <w:rPr>
          <w:rFonts w:ascii="T" w:eastAsia="Calibri" w:hAnsi="T" w:cs="Arial"/>
          <w:lang w:bidi="ar-EG"/>
        </w:rPr>
        <w:t>Khandanisa</w:t>
      </w:r>
      <w:proofErr w:type="spellEnd"/>
      <w:r w:rsidRPr="005D59A7">
        <w:rPr>
          <w:rFonts w:ascii="T" w:eastAsia="Calibri" w:hAnsi="T" w:cs="Arial"/>
          <w:lang w:bidi="ar-EG"/>
        </w:rPr>
        <w:t>, U. (2024). The role of public–private partnership in achieving local government sustainable development. Africa’s public service delivery and performance review, 12(1), 816.</w:t>
      </w:r>
      <w:r w:rsidRPr="005D59A7">
        <w:rPr>
          <w:rFonts w:ascii="T" w:eastAsia="Calibri" w:hAnsi="T" w:cs="Arial"/>
          <w:rtl/>
          <w:lang w:bidi="ar-EG"/>
        </w:rPr>
        <w:t>‏</w:t>
      </w:r>
    </w:p>
    <w:p w14:paraId="3D501784"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Azarian, M., Shiferaw, A. T., Stevik, T. K., </w:t>
      </w:r>
      <w:proofErr w:type="spellStart"/>
      <w:r w:rsidRPr="005D59A7">
        <w:rPr>
          <w:rFonts w:ascii="T" w:eastAsia="Calibri" w:hAnsi="T" w:cs="Arial"/>
          <w:lang w:bidi="ar-EG"/>
        </w:rPr>
        <w:t>Lædre</w:t>
      </w:r>
      <w:proofErr w:type="spellEnd"/>
      <w:r w:rsidRPr="005D59A7">
        <w:rPr>
          <w:rFonts w:ascii="T" w:eastAsia="Calibri" w:hAnsi="T" w:cs="Arial"/>
          <w:lang w:bidi="ar-EG"/>
        </w:rPr>
        <w:t>, O., &amp; Wondimu, P. A. (2023). Public-private partnership: A bibliometric analysis and historical evolution. Buildings, 13(8), 2035.</w:t>
      </w:r>
      <w:r w:rsidRPr="005D59A7">
        <w:rPr>
          <w:rFonts w:ascii="T" w:eastAsia="Calibri" w:hAnsi="T" w:cs="Arial"/>
          <w:rtl/>
          <w:lang w:bidi="ar-EG"/>
        </w:rPr>
        <w:t>‏</w:t>
      </w:r>
    </w:p>
    <w:p w14:paraId="44A2E890"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lastRenderedPageBreak/>
        <w:t>Oyegbade</w:t>
      </w:r>
      <w:proofErr w:type="spellEnd"/>
      <w:r w:rsidRPr="005D59A7">
        <w:rPr>
          <w:rFonts w:ascii="T" w:eastAsia="Calibri" w:hAnsi="T" w:cs="Arial"/>
          <w:lang w:bidi="ar-EG"/>
        </w:rPr>
        <w:t xml:space="preserve">, I. K., Igwe, A. N., </w:t>
      </w:r>
      <w:proofErr w:type="spellStart"/>
      <w:r w:rsidRPr="005D59A7">
        <w:rPr>
          <w:rFonts w:ascii="T" w:eastAsia="Calibri" w:hAnsi="T" w:cs="Arial"/>
          <w:lang w:bidi="ar-EG"/>
        </w:rPr>
        <w:t>Ofodile</w:t>
      </w:r>
      <w:proofErr w:type="spellEnd"/>
      <w:r w:rsidRPr="005D59A7">
        <w:rPr>
          <w:rFonts w:ascii="T" w:eastAsia="Calibri" w:hAnsi="T" w:cs="Arial"/>
          <w:lang w:bidi="ar-EG"/>
        </w:rPr>
        <w:t>, O. C., &amp; Azubuike, C. (2022). Advancing SME financing through public-private partnerships and low-cost lending: A framework for inclusive growth. Iconic Research and Engineering Journals, 6(2), 289-302.</w:t>
      </w:r>
      <w:r w:rsidRPr="005D59A7">
        <w:rPr>
          <w:rFonts w:ascii="T" w:eastAsia="Calibri" w:hAnsi="T" w:cs="Arial"/>
          <w:rtl/>
          <w:lang w:bidi="ar-EG"/>
        </w:rPr>
        <w:t>‏</w:t>
      </w:r>
    </w:p>
    <w:p w14:paraId="38C0AC56"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Verweij, S., van </w:t>
      </w:r>
      <w:proofErr w:type="spellStart"/>
      <w:r w:rsidRPr="005D59A7">
        <w:rPr>
          <w:rFonts w:ascii="T" w:eastAsia="Calibri" w:hAnsi="T" w:cs="Arial"/>
          <w:lang w:bidi="ar-EG"/>
        </w:rPr>
        <w:t>Meerkerk</w:t>
      </w:r>
      <w:proofErr w:type="spellEnd"/>
      <w:r w:rsidRPr="005D59A7">
        <w:rPr>
          <w:rFonts w:ascii="T" w:eastAsia="Calibri" w:hAnsi="T" w:cs="Arial"/>
          <w:lang w:bidi="ar-EG"/>
        </w:rPr>
        <w:t xml:space="preserve">, I., &amp; Casady, C. B. (2022). The performance advantage of public-private partnerships: does it exist or </w:t>
      </w:r>
      <w:proofErr w:type="gramStart"/>
      <w:r w:rsidRPr="005D59A7">
        <w:rPr>
          <w:rFonts w:ascii="T" w:eastAsia="Calibri" w:hAnsi="T" w:cs="Arial"/>
          <w:lang w:bidi="ar-EG"/>
        </w:rPr>
        <w:t>not?.</w:t>
      </w:r>
      <w:proofErr w:type="gramEnd"/>
      <w:r w:rsidRPr="005D59A7">
        <w:rPr>
          <w:rFonts w:ascii="T" w:eastAsia="Calibri" w:hAnsi="T" w:cs="Arial"/>
          <w:lang w:bidi="ar-EG"/>
        </w:rPr>
        <w:t xml:space="preserve"> In Assessing the Performance Advantage of Public-Private Partnerships (pp. 1-26). Edward Elgar Publishing.</w:t>
      </w:r>
      <w:r w:rsidRPr="005D59A7">
        <w:rPr>
          <w:rFonts w:ascii="T" w:eastAsia="Calibri" w:hAnsi="T" w:cs="Arial"/>
          <w:rtl/>
          <w:lang w:bidi="ar-EG"/>
        </w:rPr>
        <w:t>‏</w:t>
      </w:r>
    </w:p>
    <w:p w14:paraId="52A038C8"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Verweij, S., &amp; Satheesh, S. A. (2023). In search of the collaborative advantage of public‐private partnerships: A comparative analysis of Dutch transport infrastructure projects. Public Administration Review, 83(3), 679-690.</w:t>
      </w:r>
      <w:r w:rsidRPr="005D59A7">
        <w:rPr>
          <w:rFonts w:ascii="T" w:eastAsia="Calibri" w:hAnsi="T" w:cs="Arial"/>
          <w:rtl/>
          <w:lang w:bidi="ar-EG"/>
        </w:rPr>
        <w:t>‏</w:t>
      </w:r>
    </w:p>
    <w:p w14:paraId="67AF2CD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Rodrigues, N. J. (2023, June). Public–private partnerships model applied to hospitals—a critical review. In Healthcare (Vol. 11, No. 12, p. 1723). MDPI.</w:t>
      </w:r>
      <w:r w:rsidRPr="005D59A7">
        <w:rPr>
          <w:rFonts w:ascii="T" w:eastAsia="Calibri" w:hAnsi="T" w:cs="Arial"/>
          <w:rtl/>
          <w:lang w:bidi="ar-EG"/>
        </w:rPr>
        <w:t>‏</w:t>
      </w:r>
    </w:p>
    <w:p w14:paraId="465737CD"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Batjargal, T., &amp; Zhang, M. (2022). Review on the public-private partnership. Management Studies, 10(1), 1-11.</w:t>
      </w:r>
      <w:r w:rsidRPr="005D59A7">
        <w:rPr>
          <w:rFonts w:ascii="T" w:eastAsia="Calibri" w:hAnsi="T" w:cs="Arial"/>
          <w:rtl/>
          <w:lang w:bidi="ar-EG"/>
        </w:rPr>
        <w:t>‏</w:t>
      </w:r>
    </w:p>
    <w:p w14:paraId="1B048034"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Aboelazm</w:t>
      </w:r>
      <w:proofErr w:type="spellEnd"/>
      <w:r w:rsidRPr="005D59A7">
        <w:rPr>
          <w:rFonts w:ascii="T" w:eastAsia="Calibri" w:hAnsi="T" w:cs="Arial"/>
          <w:lang w:bidi="ar-EG"/>
        </w:rPr>
        <w:t xml:space="preserve">, K. S., </w:t>
      </w:r>
      <w:proofErr w:type="spellStart"/>
      <w:r w:rsidRPr="005D59A7">
        <w:rPr>
          <w:rFonts w:ascii="T" w:eastAsia="Calibri" w:hAnsi="T" w:cs="Arial"/>
          <w:lang w:bidi="ar-EG"/>
        </w:rPr>
        <w:t>Tawakol</w:t>
      </w:r>
      <w:proofErr w:type="spellEnd"/>
      <w:r w:rsidRPr="005D59A7">
        <w:rPr>
          <w:rFonts w:ascii="T" w:eastAsia="Calibri" w:hAnsi="T" w:cs="Arial"/>
          <w:lang w:bidi="ar-EG"/>
        </w:rPr>
        <w:t>, F., Ibrahim, E., &amp; Ramadan, S. A. (2025). The legal framework for BOT contracts in Egypt and the United Arab Emirates. Journal of Lifestyle and SDGs Review, 5(2), e03286-e03286.</w:t>
      </w:r>
      <w:r w:rsidRPr="005D59A7">
        <w:rPr>
          <w:rFonts w:ascii="T" w:eastAsia="Calibri" w:hAnsi="T" w:cs="Arial"/>
          <w:rtl/>
          <w:lang w:bidi="ar-EG"/>
        </w:rPr>
        <w:t>‏</w:t>
      </w:r>
    </w:p>
    <w:p w14:paraId="16B6FE5F"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Raina, N., Zavalloni, M., &amp; </w:t>
      </w:r>
      <w:proofErr w:type="spellStart"/>
      <w:r w:rsidRPr="005D59A7">
        <w:rPr>
          <w:rFonts w:ascii="T" w:eastAsia="Calibri" w:hAnsi="T" w:cs="Arial"/>
          <w:lang w:bidi="ar-EG"/>
        </w:rPr>
        <w:t>Viaggi</w:t>
      </w:r>
      <w:proofErr w:type="spellEnd"/>
      <w:r w:rsidRPr="005D59A7">
        <w:rPr>
          <w:rFonts w:ascii="T" w:eastAsia="Calibri" w:hAnsi="T" w:cs="Arial"/>
          <w:lang w:bidi="ar-EG"/>
        </w:rPr>
        <w:t>, D. (2024). Incentive mechanisms of carbon farming contracts: A systematic mapping study. Journal of Environmental Management, 352, 120126.</w:t>
      </w:r>
      <w:r w:rsidRPr="005D59A7">
        <w:rPr>
          <w:rFonts w:ascii="T" w:eastAsia="Calibri" w:hAnsi="T" w:cs="Arial"/>
          <w:rtl/>
          <w:lang w:bidi="ar-EG"/>
        </w:rPr>
        <w:t>‏</w:t>
      </w:r>
    </w:p>
    <w:p w14:paraId="05492DD3"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Akinsulire</w:t>
      </w:r>
      <w:proofErr w:type="spellEnd"/>
      <w:r w:rsidRPr="005D59A7">
        <w:rPr>
          <w:rFonts w:ascii="T" w:eastAsia="Calibri" w:hAnsi="T" w:cs="Arial"/>
          <w:lang w:bidi="ar-EG"/>
        </w:rPr>
        <w:t xml:space="preserve">, A. A., Idemudia, C., </w:t>
      </w:r>
      <w:proofErr w:type="spellStart"/>
      <w:r w:rsidRPr="005D59A7">
        <w:rPr>
          <w:rFonts w:ascii="T" w:eastAsia="Calibri" w:hAnsi="T" w:cs="Arial"/>
          <w:lang w:bidi="ar-EG"/>
        </w:rPr>
        <w:t>Okwandu</w:t>
      </w:r>
      <w:proofErr w:type="spellEnd"/>
      <w:r w:rsidRPr="005D59A7">
        <w:rPr>
          <w:rFonts w:ascii="T" w:eastAsia="Calibri" w:hAnsi="T" w:cs="Arial"/>
          <w:lang w:bidi="ar-EG"/>
        </w:rPr>
        <w:t xml:space="preserve">, A. C., &amp; </w:t>
      </w:r>
      <w:proofErr w:type="spellStart"/>
      <w:r w:rsidRPr="005D59A7">
        <w:rPr>
          <w:rFonts w:ascii="T" w:eastAsia="Calibri" w:hAnsi="T" w:cs="Arial"/>
          <w:lang w:bidi="ar-EG"/>
        </w:rPr>
        <w:t>Iwuanyanwu</w:t>
      </w:r>
      <w:proofErr w:type="spellEnd"/>
      <w:r w:rsidRPr="005D59A7">
        <w:rPr>
          <w:rFonts w:ascii="T" w:eastAsia="Calibri" w:hAnsi="T" w:cs="Arial"/>
          <w:lang w:bidi="ar-EG"/>
        </w:rPr>
        <w:t>, O. (2024). Public-Private partnership frameworks for financing affordable housing: Lessons and models. International Journal of Management &amp; Entrepreneurship Research, 6(7), 2314-2331.</w:t>
      </w:r>
      <w:r w:rsidRPr="005D59A7">
        <w:rPr>
          <w:rFonts w:ascii="T" w:eastAsia="Calibri" w:hAnsi="T" w:cs="Arial"/>
          <w:rtl/>
          <w:lang w:bidi="ar-EG"/>
        </w:rPr>
        <w:t>‏</w:t>
      </w:r>
    </w:p>
    <w:p w14:paraId="636FAAAD" w14:textId="77777777" w:rsidR="00C476D6" w:rsidRPr="005D59A7" w:rsidRDefault="00C476D6" w:rsidP="00C476D6">
      <w:pPr>
        <w:jc w:val="both"/>
        <w:rPr>
          <w:rFonts w:ascii="T" w:eastAsia="Calibri" w:hAnsi="T" w:cs="Arial"/>
          <w:lang w:bidi="ar-EG"/>
        </w:rPr>
      </w:pPr>
      <w:proofErr w:type="spellStart"/>
      <w:r w:rsidRPr="005D59A7">
        <w:rPr>
          <w:rFonts w:ascii="T" w:eastAsia="Calibri" w:hAnsi="T" w:cs="Arial"/>
          <w:lang w:bidi="ar-EG"/>
        </w:rPr>
        <w:t>Alshboul</w:t>
      </w:r>
      <w:proofErr w:type="spellEnd"/>
      <w:r w:rsidRPr="005D59A7">
        <w:rPr>
          <w:rFonts w:ascii="T" w:eastAsia="Calibri" w:hAnsi="T" w:cs="Arial"/>
          <w:lang w:bidi="ar-EG"/>
        </w:rPr>
        <w:t>, O., &amp; Shehadeh, A. (2026). Enhancing infrastructure project outcomes through optimized contractual structures and long-term warranties. Engineering, Construction and Architectural Management, 33(3), 2220-2242.</w:t>
      </w:r>
      <w:r w:rsidRPr="005D59A7">
        <w:rPr>
          <w:rFonts w:ascii="T" w:eastAsia="Calibri" w:hAnsi="T" w:cs="Arial"/>
          <w:rtl/>
          <w:lang w:bidi="ar-EG"/>
        </w:rPr>
        <w:t>‏</w:t>
      </w:r>
    </w:p>
    <w:p w14:paraId="4DF3A370"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Ghanem, A. M., &amp; Alamri, Y. A. (2023). The impact of the green Middle East initiative on sustainable development in the Kingdom of Saudi Arabia. Journal of the Saudi Society of Agricultural Sciences, 22(1), 35-46.</w:t>
      </w:r>
      <w:r w:rsidRPr="005D59A7">
        <w:rPr>
          <w:rFonts w:ascii="T" w:eastAsia="Calibri" w:hAnsi="T" w:cs="Arial"/>
          <w:rtl/>
          <w:lang w:bidi="ar-EG"/>
        </w:rPr>
        <w:t>‏</w:t>
      </w:r>
    </w:p>
    <w:p w14:paraId="16D1CB7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Al-Otaibi, A., &amp; </w:t>
      </w:r>
      <w:proofErr w:type="spellStart"/>
      <w:r w:rsidRPr="005D59A7">
        <w:rPr>
          <w:rFonts w:ascii="T" w:eastAsia="Calibri" w:hAnsi="T" w:cs="Arial"/>
          <w:lang w:bidi="ar-EG"/>
        </w:rPr>
        <w:t>Elimam</w:t>
      </w:r>
      <w:proofErr w:type="spellEnd"/>
      <w:r w:rsidRPr="005D59A7">
        <w:rPr>
          <w:rFonts w:ascii="T" w:eastAsia="Calibri" w:hAnsi="T" w:cs="Arial"/>
          <w:lang w:bidi="ar-EG"/>
        </w:rPr>
        <w:t>, H. (2024). Impact of Interrelationships among the Economic Sectors on Achieving Sustainable Development in the Kingdom of Saudi Arabia. European Journal of Sustainable Development, 13(1), 87-87.</w:t>
      </w:r>
      <w:r w:rsidRPr="005D59A7">
        <w:rPr>
          <w:rFonts w:ascii="T" w:eastAsia="Calibri" w:hAnsi="T" w:cs="Arial"/>
          <w:rtl/>
          <w:lang w:bidi="ar-EG"/>
        </w:rPr>
        <w:t>‏</w:t>
      </w:r>
    </w:p>
    <w:p w14:paraId="6E967857" w14:textId="09767A08" w:rsidR="00C476D6" w:rsidRPr="005D59A7" w:rsidRDefault="00C476D6" w:rsidP="00C476D6">
      <w:pPr>
        <w:jc w:val="both"/>
        <w:rPr>
          <w:rFonts w:ascii="T" w:eastAsia="Calibri" w:hAnsi="T" w:cs="Arial"/>
          <w:lang w:bidi="ar-EG"/>
        </w:rPr>
      </w:pPr>
      <w:r w:rsidRPr="005D59A7">
        <w:rPr>
          <w:rFonts w:ascii="T" w:eastAsia="Calibri" w:hAnsi="T" w:cs="Arial"/>
          <w:lang w:bidi="ar-EG"/>
        </w:rPr>
        <w:t xml:space="preserve">Emam, A. (2022). Present and future: Does agriculture affect economic growth and the environment in the Kingdom of Saudi </w:t>
      </w:r>
      <w:proofErr w:type="gramStart"/>
      <w:r w:rsidRPr="005D59A7">
        <w:rPr>
          <w:rFonts w:ascii="T" w:eastAsia="Calibri" w:hAnsi="T" w:cs="Arial"/>
          <w:lang w:bidi="ar-EG"/>
        </w:rPr>
        <w:t>Arabia?.</w:t>
      </w:r>
      <w:proofErr w:type="gramEnd"/>
      <w:r w:rsidRPr="005D59A7">
        <w:rPr>
          <w:rFonts w:ascii="T" w:eastAsia="Calibri" w:hAnsi="T" w:cs="Arial"/>
          <w:lang w:bidi="ar-EG"/>
        </w:rPr>
        <w:t xml:space="preserve"> Agricultural Economics/</w:t>
      </w:r>
      <w:proofErr w:type="spellStart"/>
      <w:r w:rsidRPr="005D59A7">
        <w:rPr>
          <w:rFonts w:ascii="T" w:eastAsia="Calibri" w:hAnsi="T" w:cs="Arial"/>
          <w:lang w:bidi="ar-EG"/>
        </w:rPr>
        <w:t>Zemědělská</w:t>
      </w:r>
      <w:proofErr w:type="spellEnd"/>
      <w:r w:rsidRPr="005D59A7">
        <w:rPr>
          <w:rFonts w:ascii="T" w:eastAsia="Calibri" w:hAnsi="T" w:cs="Arial"/>
          <w:lang w:bidi="ar-EG"/>
        </w:rPr>
        <w:t xml:space="preserve"> </w:t>
      </w:r>
      <w:proofErr w:type="spellStart"/>
      <w:r w:rsidRPr="005D59A7">
        <w:rPr>
          <w:rFonts w:ascii="T" w:eastAsia="Calibri" w:hAnsi="T" w:cs="Arial"/>
          <w:lang w:bidi="ar-EG"/>
        </w:rPr>
        <w:t>Ekonomika</w:t>
      </w:r>
      <w:proofErr w:type="spellEnd"/>
      <w:r w:rsidRPr="005D59A7">
        <w:rPr>
          <w:rFonts w:ascii="T" w:eastAsia="Calibri" w:hAnsi="T" w:cs="Arial"/>
          <w:lang w:bidi="ar-EG"/>
        </w:rPr>
        <w:t>, 68(10).</w:t>
      </w:r>
      <w:r w:rsidRPr="005D59A7">
        <w:rPr>
          <w:rFonts w:ascii="T" w:eastAsia="Calibri" w:hAnsi="T" w:cs="Arial"/>
          <w:rtl/>
          <w:lang w:bidi="ar-EG"/>
        </w:rPr>
        <w:t>‏</w:t>
      </w:r>
    </w:p>
    <w:p w14:paraId="4304B7F3" w14:textId="7D187D1F" w:rsidR="003F5C18" w:rsidRPr="005D59A7" w:rsidRDefault="003F5C18" w:rsidP="00C476D6">
      <w:pPr>
        <w:jc w:val="both"/>
        <w:rPr>
          <w:rFonts w:ascii="T" w:eastAsia="Calibri" w:hAnsi="T" w:cs="Arial"/>
          <w:lang w:bidi="ar-EG"/>
        </w:rPr>
      </w:pPr>
    </w:p>
    <w:sectPr w:rsidR="003F5C18" w:rsidRPr="005D59A7"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4AF71" w14:textId="77777777" w:rsidR="001F0FC6" w:rsidRDefault="001F0FC6" w:rsidP="00F628F0">
      <w:pPr>
        <w:spacing w:after="0" w:line="240" w:lineRule="auto"/>
      </w:pPr>
      <w:r>
        <w:separator/>
      </w:r>
    </w:p>
  </w:endnote>
  <w:endnote w:type="continuationSeparator" w:id="0">
    <w:p w14:paraId="503C1AE8" w14:textId="77777777" w:rsidR="001F0FC6" w:rsidRDefault="001F0FC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 w:name="T">
    <w:altName w:val="Cambria"/>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1DDEAF7B" w14:textId="4B99D4E4" w:rsidR="00CC256A" w:rsidRDefault="00CC256A">
        <w:pPr>
          <w:pStyle w:val="Footer"/>
          <w:jc w:val="center"/>
        </w:pPr>
        <w:r>
          <w:fldChar w:fldCharType="begin"/>
        </w:r>
        <w:r>
          <w:instrText xml:space="preserve"> PAGE   \* MERGEFORMAT </w:instrText>
        </w:r>
        <w:r>
          <w:fldChar w:fldCharType="separate"/>
        </w:r>
        <w:r w:rsidR="00F37245">
          <w:rPr>
            <w:noProof/>
          </w:rPr>
          <w:t>4</w:t>
        </w:r>
        <w:r>
          <w:rPr>
            <w:noProof/>
          </w:rPr>
          <w:fldChar w:fldCharType="end"/>
        </w:r>
      </w:p>
    </w:sdtContent>
  </w:sdt>
  <w:p w14:paraId="02FECB92" w14:textId="77777777" w:rsidR="00CC256A" w:rsidRDefault="00CC25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382BF" w14:textId="77777777" w:rsidR="00CC256A" w:rsidRPr="00883E09" w:rsidRDefault="00CC256A"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10ED3024" wp14:editId="765C8F72">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sidRPr="004B1E9E">
      <w:rPr>
        <w:rFonts w:hint="cs"/>
        <w:b/>
        <w:bCs/>
        <w:color w:val="C45911"/>
        <w:sz w:val="24"/>
        <w:szCs w:val="24"/>
        <w:rtl/>
        <w:lang w:bidi="ar-EG"/>
      </w:rPr>
      <w:t>مشروع خطة بحث علمى لتسجيل درجة الدكتوراه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ED92D" w14:textId="77777777" w:rsidR="001F0FC6" w:rsidRDefault="001F0FC6" w:rsidP="00F628F0">
      <w:pPr>
        <w:spacing w:after="0" w:line="240" w:lineRule="auto"/>
      </w:pPr>
      <w:r>
        <w:separator/>
      </w:r>
    </w:p>
  </w:footnote>
  <w:footnote w:type="continuationSeparator" w:id="0">
    <w:p w14:paraId="0F05D215" w14:textId="77777777" w:rsidR="001F0FC6" w:rsidRDefault="001F0FC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59FD7" w14:textId="77777777" w:rsidR="00CC256A" w:rsidRDefault="001F0FC6">
    <w:pPr>
      <w:pStyle w:val="Header"/>
    </w:pPr>
    <w:r>
      <w:rPr>
        <w:noProof/>
      </w:rPr>
      <w:pict w14:anchorId="122CAD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13279" w14:textId="77777777" w:rsidR="00CC256A" w:rsidRDefault="001F0FC6">
    <w:pPr>
      <w:pStyle w:val="Header"/>
    </w:pPr>
    <w:r>
      <w:rPr>
        <w:noProof/>
      </w:rPr>
      <w:pict w14:anchorId="57026B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008CA38D" w14:textId="77777777" w:rsidR="00CC256A" w:rsidRDefault="001F0FC6">
        <w:pPr>
          <w:pStyle w:val="Header"/>
        </w:pPr>
        <w:r>
          <w:rPr>
            <w:noProof/>
          </w:rPr>
          <w:pict w14:anchorId="12EC5E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5721"/>
    <w:multiLevelType w:val="hybridMultilevel"/>
    <w:tmpl w:val="D1927EFE"/>
    <w:lvl w:ilvl="0" w:tplc="04090001">
      <w:start w:val="1"/>
      <w:numFmt w:val="bullet"/>
      <w:lvlText w:val=""/>
      <w:lvlJc w:val="left"/>
      <w:pPr>
        <w:ind w:left="1440" w:hanging="360"/>
      </w:pPr>
      <w:rPr>
        <w:rFonts w:ascii="Symbol" w:hAnsi="Symbol" w:hint="default"/>
        <w:b/>
        <w:bCs/>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 w15:restartNumberingAfterBreak="0">
    <w:nsid w:val="01902BED"/>
    <w:multiLevelType w:val="hybridMultilevel"/>
    <w:tmpl w:val="D2464B22"/>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2" w15:restartNumberingAfterBreak="0">
    <w:nsid w:val="06CD1AF4"/>
    <w:multiLevelType w:val="hybridMultilevel"/>
    <w:tmpl w:val="55366C4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C460252"/>
    <w:multiLevelType w:val="hybridMultilevel"/>
    <w:tmpl w:val="62BE7F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CA36A07"/>
    <w:multiLevelType w:val="hybridMultilevel"/>
    <w:tmpl w:val="AD7CDCC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DA1C99"/>
    <w:multiLevelType w:val="hybridMultilevel"/>
    <w:tmpl w:val="620E26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EE8201B"/>
    <w:multiLevelType w:val="hybridMultilevel"/>
    <w:tmpl w:val="A664B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5319AD"/>
    <w:multiLevelType w:val="hybridMultilevel"/>
    <w:tmpl w:val="799492A0"/>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60A3693"/>
    <w:multiLevelType w:val="hybridMultilevel"/>
    <w:tmpl w:val="F71C7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2705ED"/>
    <w:multiLevelType w:val="hybridMultilevel"/>
    <w:tmpl w:val="17404E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7DF7FB5"/>
    <w:multiLevelType w:val="hybridMultilevel"/>
    <w:tmpl w:val="D6D2C710"/>
    <w:lvl w:ilvl="0" w:tplc="70840F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733FD9"/>
    <w:multiLevelType w:val="hybridMultilevel"/>
    <w:tmpl w:val="4E2E98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C471018"/>
    <w:multiLevelType w:val="hybridMultilevel"/>
    <w:tmpl w:val="5D169F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1D7E1E76"/>
    <w:multiLevelType w:val="multilevel"/>
    <w:tmpl w:val="8FDED1D8"/>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4" w15:restartNumberingAfterBreak="0">
    <w:nsid w:val="221C3706"/>
    <w:multiLevelType w:val="hybridMultilevel"/>
    <w:tmpl w:val="508A19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2A97696"/>
    <w:multiLevelType w:val="hybridMultilevel"/>
    <w:tmpl w:val="0B9A97CA"/>
    <w:lvl w:ilvl="0" w:tplc="4EE89E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87236C"/>
    <w:multiLevelType w:val="hybridMultilevel"/>
    <w:tmpl w:val="D42EA8C8"/>
    <w:lvl w:ilvl="0" w:tplc="5C082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A361DFF"/>
    <w:multiLevelType w:val="hybridMultilevel"/>
    <w:tmpl w:val="A906C32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15:restartNumberingAfterBreak="0">
    <w:nsid w:val="2D194B17"/>
    <w:multiLevelType w:val="multilevel"/>
    <w:tmpl w:val="D28E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AD3AD2"/>
    <w:multiLevelType w:val="hybridMultilevel"/>
    <w:tmpl w:val="7AD6CF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0FB5883"/>
    <w:multiLevelType w:val="hybridMultilevel"/>
    <w:tmpl w:val="E44E0AC4"/>
    <w:lvl w:ilvl="0" w:tplc="231A24D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B01568"/>
    <w:multiLevelType w:val="hybridMultilevel"/>
    <w:tmpl w:val="494EA5FE"/>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FFA2455"/>
    <w:multiLevelType w:val="hybridMultilevel"/>
    <w:tmpl w:val="3760B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552321"/>
    <w:multiLevelType w:val="hybridMultilevel"/>
    <w:tmpl w:val="CF880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601EFA"/>
    <w:multiLevelType w:val="hybridMultilevel"/>
    <w:tmpl w:val="F71C7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C03B0B"/>
    <w:multiLevelType w:val="hybridMultilevel"/>
    <w:tmpl w:val="A14C67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5500353E"/>
    <w:multiLevelType w:val="hybridMultilevel"/>
    <w:tmpl w:val="9F9483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65677BD"/>
    <w:multiLevelType w:val="hybridMultilevel"/>
    <w:tmpl w:val="D2883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BF31AA"/>
    <w:multiLevelType w:val="hybridMultilevel"/>
    <w:tmpl w:val="F51605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5CAE4284"/>
    <w:multiLevelType w:val="hybridMultilevel"/>
    <w:tmpl w:val="1134729E"/>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30" w15:restartNumberingAfterBreak="0">
    <w:nsid w:val="5F0D4A18"/>
    <w:multiLevelType w:val="hybridMultilevel"/>
    <w:tmpl w:val="263E8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FF1234"/>
    <w:multiLevelType w:val="hybridMultilevel"/>
    <w:tmpl w:val="CACED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224D8A"/>
    <w:multiLevelType w:val="hybridMultilevel"/>
    <w:tmpl w:val="EFFE8A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B660426"/>
    <w:multiLevelType w:val="hybridMultilevel"/>
    <w:tmpl w:val="94B094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FC5A3F"/>
    <w:multiLevelType w:val="hybridMultilevel"/>
    <w:tmpl w:val="A2285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745FCE"/>
    <w:multiLevelType w:val="hybridMultilevel"/>
    <w:tmpl w:val="3AE4BA0A"/>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36" w15:restartNumberingAfterBreak="0">
    <w:nsid w:val="74E96EE0"/>
    <w:multiLevelType w:val="hybridMultilevel"/>
    <w:tmpl w:val="A162A4F2"/>
    <w:lvl w:ilvl="0" w:tplc="0604119C">
      <w:start w:val="1"/>
      <w:numFmt w:val="arabicAlpha"/>
      <w:lvlText w:val="%1."/>
      <w:lvlJc w:val="left"/>
      <w:pPr>
        <w:ind w:left="1500" w:hanging="360"/>
      </w:pPr>
      <w:rPr>
        <w:rFonts w:asciiTheme="majorHAnsi" w:eastAsiaTheme="majorEastAsia" w:hAnsiTheme="majorHAnsi" w:cstheme="majorBidi"/>
        <w:sz w:val="24"/>
        <w:szCs w:val="24"/>
      </w:rPr>
    </w:lvl>
    <w:lvl w:ilvl="1" w:tplc="A4F020F4">
      <w:start w:val="1"/>
      <w:numFmt w:val="arabicAlpha"/>
      <w:lvlText w:val="%2."/>
      <w:lvlJc w:val="left"/>
      <w:pPr>
        <w:ind w:left="2220" w:hanging="360"/>
      </w:pPr>
      <w:rPr>
        <w:rFonts w:asciiTheme="majorBidi" w:eastAsiaTheme="minorHAnsi" w:hAnsiTheme="majorBidi" w:cstheme="majorBidi"/>
        <w:sz w:val="24"/>
        <w:szCs w:val="24"/>
      </w:rPr>
    </w:lvl>
    <w:lvl w:ilvl="2" w:tplc="781424A4">
      <w:start w:val="1"/>
      <w:numFmt w:val="decimal"/>
      <w:lvlText w:val="%3."/>
      <w:lvlJc w:val="left"/>
      <w:pPr>
        <w:ind w:left="360" w:hanging="360"/>
      </w:pPr>
      <w:rPr>
        <w:rFonts w:hint="default"/>
      </w:r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7" w15:restartNumberingAfterBreak="0">
    <w:nsid w:val="75690AFB"/>
    <w:multiLevelType w:val="hybridMultilevel"/>
    <w:tmpl w:val="DEE6B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C263C8"/>
    <w:multiLevelType w:val="hybridMultilevel"/>
    <w:tmpl w:val="65B8A5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77AB1F4F"/>
    <w:multiLevelType w:val="hybridMultilevel"/>
    <w:tmpl w:val="B87600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B262C5E"/>
    <w:multiLevelType w:val="hybridMultilevel"/>
    <w:tmpl w:val="5840F7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D0E65C1"/>
    <w:multiLevelType w:val="hybridMultilevel"/>
    <w:tmpl w:val="C76AA8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979145289">
    <w:abstractNumId w:val="0"/>
  </w:num>
  <w:num w:numId="2" w16cid:durableId="1831365684">
    <w:abstractNumId w:val="26"/>
  </w:num>
  <w:num w:numId="3" w16cid:durableId="1677070628">
    <w:abstractNumId w:val="36"/>
  </w:num>
  <w:num w:numId="4" w16cid:durableId="1401440804">
    <w:abstractNumId w:val="10"/>
  </w:num>
  <w:num w:numId="5" w16cid:durableId="183205667">
    <w:abstractNumId w:val="41"/>
  </w:num>
  <w:num w:numId="6" w16cid:durableId="1708217019">
    <w:abstractNumId w:val="38"/>
  </w:num>
  <w:num w:numId="7" w16cid:durableId="351032379">
    <w:abstractNumId w:val="15"/>
  </w:num>
  <w:num w:numId="8" w16cid:durableId="707489960">
    <w:abstractNumId w:val="5"/>
  </w:num>
  <w:num w:numId="9" w16cid:durableId="867064734">
    <w:abstractNumId w:val="20"/>
  </w:num>
  <w:num w:numId="10" w16cid:durableId="1211306623">
    <w:abstractNumId w:val="17"/>
  </w:num>
  <w:num w:numId="11" w16cid:durableId="576942481">
    <w:abstractNumId w:val="13"/>
  </w:num>
  <w:num w:numId="12" w16cid:durableId="2003465515">
    <w:abstractNumId w:val="16"/>
  </w:num>
  <w:num w:numId="13" w16cid:durableId="1332247627">
    <w:abstractNumId w:val="14"/>
  </w:num>
  <w:num w:numId="14" w16cid:durableId="1524127263">
    <w:abstractNumId w:val="3"/>
  </w:num>
  <w:num w:numId="15" w16cid:durableId="1175344962">
    <w:abstractNumId w:val="28"/>
  </w:num>
  <w:num w:numId="16" w16cid:durableId="1410614951">
    <w:abstractNumId w:val="12"/>
  </w:num>
  <w:num w:numId="17" w16cid:durableId="444353487">
    <w:abstractNumId w:val="25"/>
  </w:num>
  <w:num w:numId="18" w16cid:durableId="1243299521">
    <w:abstractNumId w:val="2"/>
  </w:num>
  <w:num w:numId="19" w16cid:durableId="537206344">
    <w:abstractNumId w:val="11"/>
  </w:num>
  <w:num w:numId="20" w16cid:durableId="1318191752">
    <w:abstractNumId w:val="23"/>
  </w:num>
  <w:num w:numId="21" w16cid:durableId="2098936885">
    <w:abstractNumId w:val="34"/>
  </w:num>
  <w:num w:numId="22" w16cid:durableId="25177840">
    <w:abstractNumId w:val="40"/>
  </w:num>
  <w:num w:numId="23" w16cid:durableId="1771586111">
    <w:abstractNumId w:val="33"/>
  </w:num>
  <w:num w:numId="24" w16cid:durableId="1739589142">
    <w:abstractNumId w:val="37"/>
  </w:num>
  <w:num w:numId="25" w16cid:durableId="1004285314">
    <w:abstractNumId w:val="30"/>
  </w:num>
  <w:num w:numId="26" w16cid:durableId="2087993928">
    <w:abstractNumId w:val="27"/>
  </w:num>
  <w:num w:numId="27" w16cid:durableId="148639095">
    <w:abstractNumId w:val="24"/>
  </w:num>
  <w:num w:numId="28" w16cid:durableId="1883710205">
    <w:abstractNumId w:val="6"/>
  </w:num>
  <w:num w:numId="29" w16cid:durableId="396320467">
    <w:abstractNumId w:val="31"/>
  </w:num>
  <w:num w:numId="30" w16cid:durableId="711925459">
    <w:abstractNumId w:val="9"/>
  </w:num>
  <w:num w:numId="31" w16cid:durableId="1335761985">
    <w:abstractNumId w:val="8"/>
  </w:num>
  <w:num w:numId="32" w16cid:durableId="832648084">
    <w:abstractNumId w:val="1"/>
  </w:num>
  <w:num w:numId="33" w16cid:durableId="878787421">
    <w:abstractNumId w:val="4"/>
  </w:num>
  <w:num w:numId="34" w16cid:durableId="88284687">
    <w:abstractNumId w:val="29"/>
  </w:num>
  <w:num w:numId="35" w16cid:durableId="495609119">
    <w:abstractNumId w:val="35"/>
  </w:num>
  <w:num w:numId="36" w16cid:durableId="1825392661">
    <w:abstractNumId w:val="21"/>
  </w:num>
  <w:num w:numId="37" w16cid:durableId="1593657731">
    <w:abstractNumId w:val="19"/>
  </w:num>
  <w:num w:numId="38" w16cid:durableId="1488283127">
    <w:abstractNumId w:val="32"/>
  </w:num>
  <w:num w:numId="39" w16cid:durableId="355814506">
    <w:abstractNumId w:val="7"/>
  </w:num>
  <w:num w:numId="40" w16cid:durableId="1335690640">
    <w:abstractNumId w:val="22"/>
  </w:num>
  <w:num w:numId="41" w16cid:durableId="1126897843">
    <w:abstractNumId w:val="39"/>
  </w:num>
  <w:num w:numId="42" w16cid:durableId="1158379859">
    <w:abstractNumId w:val="1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15A5"/>
    <w:rsid w:val="000073C4"/>
    <w:rsid w:val="00012C1E"/>
    <w:rsid w:val="000136AC"/>
    <w:rsid w:val="00015F0D"/>
    <w:rsid w:val="00017326"/>
    <w:rsid w:val="00020023"/>
    <w:rsid w:val="00027A34"/>
    <w:rsid w:val="00031138"/>
    <w:rsid w:val="000322E7"/>
    <w:rsid w:val="000322FF"/>
    <w:rsid w:val="00036454"/>
    <w:rsid w:val="00040783"/>
    <w:rsid w:val="00044CFD"/>
    <w:rsid w:val="00045246"/>
    <w:rsid w:val="00050B89"/>
    <w:rsid w:val="000536A3"/>
    <w:rsid w:val="00057791"/>
    <w:rsid w:val="000577B4"/>
    <w:rsid w:val="00057CFC"/>
    <w:rsid w:val="00057D71"/>
    <w:rsid w:val="00060EF4"/>
    <w:rsid w:val="00061A09"/>
    <w:rsid w:val="0007466E"/>
    <w:rsid w:val="00074A1B"/>
    <w:rsid w:val="00075095"/>
    <w:rsid w:val="00076EA8"/>
    <w:rsid w:val="00077001"/>
    <w:rsid w:val="0008247C"/>
    <w:rsid w:val="000824DD"/>
    <w:rsid w:val="000832EB"/>
    <w:rsid w:val="00083409"/>
    <w:rsid w:val="00083C08"/>
    <w:rsid w:val="00085801"/>
    <w:rsid w:val="00086462"/>
    <w:rsid w:val="00087E4F"/>
    <w:rsid w:val="00090A9C"/>
    <w:rsid w:val="000914EC"/>
    <w:rsid w:val="0009151C"/>
    <w:rsid w:val="00092C24"/>
    <w:rsid w:val="00093DC3"/>
    <w:rsid w:val="000940A0"/>
    <w:rsid w:val="00097C13"/>
    <w:rsid w:val="00097FAE"/>
    <w:rsid w:val="000A1D3E"/>
    <w:rsid w:val="000A1E46"/>
    <w:rsid w:val="000A310D"/>
    <w:rsid w:val="000A3759"/>
    <w:rsid w:val="000A49ED"/>
    <w:rsid w:val="000A6578"/>
    <w:rsid w:val="000A749C"/>
    <w:rsid w:val="000B0864"/>
    <w:rsid w:val="000B0B32"/>
    <w:rsid w:val="000B0E21"/>
    <w:rsid w:val="000B18BD"/>
    <w:rsid w:val="000B480B"/>
    <w:rsid w:val="000B4A59"/>
    <w:rsid w:val="000B6618"/>
    <w:rsid w:val="000B706D"/>
    <w:rsid w:val="000B7FF8"/>
    <w:rsid w:val="000C616D"/>
    <w:rsid w:val="000C6F91"/>
    <w:rsid w:val="000C74D1"/>
    <w:rsid w:val="000C7BC3"/>
    <w:rsid w:val="000D0869"/>
    <w:rsid w:val="000D16AD"/>
    <w:rsid w:val="000D1D88"/>
    <w:rsid w:val="000D35AF"/>
    <w:rsid w:val="000D3EAE"/>
    <w:rsid w:val="000D4BE5"/>
    <w:rsid w:val="000D5131"/>
    <w:rsid w:val="000D6FF2"/>
    <w:rsid w:val="000E23AB"/>
    <w:rsid w:val="000E5E9A"/>
    <w:rsid w:val="000E6887"/>
    <w:rsid w:val="000F0A0D"/>
    <w:rsid w:val="000F1437"/>
    <w:rsid w:val="000F25C9"/>
    <w:rsid w:val="000F2BFC"/>
    <w:rsid w:val="000F797A"/>
    <w:rsid w:val="000F7F04"/>
    <w:rsid w:val="0010375B"/>
    <w:rsid w:val="001041E7"/>
    <w:rsid w:val="00110419"/>
    <w:rsid w:val="00110665"/>
    <w:rsid w:val="0011126E"/>
    <w:rsid w:val="00116AE4"/>
    <w:rsid w:val="00117CA1"/>
    <w:rsid w:val="00124F46"/>
    <w:rsid w:val="00125FDB"/>
    <w:rsid w:val="00134C25"/>
    <w:rsid w:val="0013659B"/>
    <w:rsid w:val="001378AD"/>
    <w:rsid w:val="001418CD"/>
    <w:rsid w:val="001421FE"/>
    <w:rsid w:val="00143906"/>
    <w:rsid w:val="00152104"/>
    <w:rsid w:val="0015279C"/>
    <w:rsid w:val="00152B1C"/>
    <w:rsid w:val="00160349"/>
    <w:rsid w:val="001603EF"/>
    <w:rsid w:val="001618EF"/>
    <w:rsid w:val="001624C4"/>
    <w:rsid w:val="001625B8"/>
    <w:rsid w:val="001641DC"/>
    <w:rsid w:val="00164370"/>
    <w:rsid w:val="001654CD"/>
    <w:rsid w:val="001656CC"/>
    <w:rsid w:val="00167548"/>
    <w:rsid w:val="00167E73"/>
    <w:rsid w:val="00171756"/>
    <w:rsid w:val="001723AA"/>
    <w:rsid w:val="00172951"/>
    <w:rsid w:val="00172A48"/>
    <w:rsid w:val="00175636"/>
    <w:rsid w:val="001760D9"/>
    <w:rsid w:val="001762F4"/>
    <w:rsid w:val="00177E64"/>
    <w:rsid w:val="00180799"/>
    <w:rsid w:val="00180A9B"/>
    <w:rsid w:val="001846BB"/>
    <w:rsid w:val="00185F71"/>
    <w:rsid w:val="00194D56"/>
    <w:rsid w:val="00195226"/>
    <w:rsid w:val="001A3911"/>
    <w:rsid w:val="001A3ABE"/>
    <w:rsid w:val="001A5804"/>
    <w:rsid w:val="001A680C"/>
    <w:rsid w:val="001A7C13"/>
    <w:rsid w:val="001B5421"/>
    <w:rsid w:val="001B5B53"/>
    <w:rsid w:val="001B7B64"/>
    <w:rsid w:val="001C01BE"/>
    <w:rsid w:val="001C1B15"/>
    <w:rsid w:val="001C2D09"/>
    <w:rsid w:val="001C2E98"/>
    <w:rsid w:val="001C2FF0"/>
    <w:rsid w:val="001C3DA0"/>
    <w:rsid w:val="001C426A"/>
    <w:rsid w:val="001C482F"/>
    <w:rsid w:val="001C485C"/>
    <w:rsid w:val="001C7DB2"/>
    <w:rsid w:val="001D038E"/>
    <w:rsid w:val="001D47AD"/>
    <w:rsid w:val="001D55C5"/>
    <w:rsid w:val="001D5668"/>
    <w:rsid w:val="001E252D"/>
    <w:rsid w:val="001E2677"/>
    <w:rsid w:val="001E2F2A"/>
    <w:rsid w:val="001E32DF"/>
    <w:rsid w:val="001E3406"/>
    <w:rsid w:val="001F0FC6"/>
    <w:rsid w:val="001F38D7"/>
    <w:rsid w:val="001F3B56"/>
    <w:rsid w:val="001F441A"/>
    <w:rsid w:val="0020239B"/>
    <w:rsid w:val="002059BA"/>
    <w:rsid w:val="00205F80"/>
    <w:rsid w:val="00210FA3"/>
    <w:rsid w:val="0021305C"/>
    <w:rsid w:val="00213EAB"/>
    <w:rsid w:val="00217271"/>
    <w:rsid w:val="0022051E"/>
    <w:rsid w:val="00220CE6"/>
    <w:rsid w:val="00222118"/>
    <w:rsid w:val="00222468"/>
    <w:rsid w:val="002267E3"/>
    <w:rsid w:val="00231AB1"/>
    <w:rsid w:val="00232A16"/>
    <w:rsid w:val="00233335"/>
    <w:rsid w:val="00240338"/>
    <w:rsid w:val="0024045F"/>
    <w:rsid w:val="00240A75"/>
    <w:rsid w:val="0024189A"/>
    <w:rsid w:val="00242A04"/>
    <w:rsid w:val="00247876"/>
    <w:rsid w:val="00247FF4"/>
    <w:rsid w:val="00250CC6"/>
    <w:rsid w:val="00251580"/>
    <w:rsid w:val="00257F01"/>
    <w:rsid w:val="002616CF"/>
    <w:rsid w:val="00263733"/>
    <w:rsid w:val="00264677"/>
    <w:rsid w:val="00265C31"/>
    <w:rsid w:val="002664D5"/>
    <w:rsid w:val="002668D8"/>
    <w:rsid w:val="00266F9C"/>
    <w:rsid w:val="00271AB6"/>
    <w:rsid w:val="00274C5B"/>
    <w:rsid w:val="002752CD"/>
    <w:rsid w:val="00280FF6"/>
    <w:rsid w:val="00285330"/>
    <w:rsid w:val="00286DE0"/>
    <w:rsid w:val="00291499"/>
    <w:rsid w:val="002917E3"/>
    <w:rsid w:val="00291C72"/>
    <w:rsid w:val="00292D05"/>
    <w:rsid w:val="00294C02"/>
    <w:rsid w:val="00297342"/>
    <w:rsid w:val="002A06BA"/>
    <w:rsid w:val="002A113E"/>
    <w:rsid w:val="002A2235"/>
    <w:rsid w:val="002A54A2"/>
    <w:rsid w:val="002A64F2"/>
    <w:rsid w:val="002B25AB"/>
    <w:rsid w:val="002B338E"/>
    <w:rsid w:val="002B6766"/>
    <w:rsid w:val="002C0B71"/>
    <w:rsid w:val="002C2285"/>
    <w:rsid w:val="002C3A90"/>
    <w:rsid w:val="002C6EAC"/>
    <w:rsid w:val="002D019D"/>
    <w:rsid w:val="002D11A9"/>
    <w:rsid w:val="002D1A48"/>
    <w:rsid w:val="002D1C95"/>
    <w:rsid w:val="002D3349"/>
    <w:rsid w:val="002D33E8"/>
    <w:rsid w:val="002D4E65"/>
    <w:rsid w:val="002D638C"/>
    <w:rsid w:val="002D6703"/>
    <w:rsid w:val="002D68BB"/>
    <w:rsid w:val="002E03CF"/>
    <w:rsid w:val="002E0EA6"/>
    <w:rsid w:val="002E38A7"/>
    <w:rsid w:val="002E539B"/>
    <w:rsid w:val="002E59F5"/>
    <w:rsid w:val="002F0EEA"/>
    <w:rsid w:val="002F1419"/>
    <w:rsid w:val="002F1457"/>
    <w:rsid w:val="002F20A7"/>
    <w:rsid w:val="002F20B5"/>
    <w:rsid w:val="002F608A"/>
    <w:rsid w:val="003004F3"/>
    <w:rsid w:val="00307DFD"/>
    <w:rsid w:val="00313D83"/>
    <w:rsid w:val="00316776"/>
    <w:rsid w:val="003223F2"/>
    <w:rsid w:val="00322A0D"/>
    <w:rsid w:val="00322CDE"/>
    <w:rsid w:val="003235C8"/>
    <w:rsid w:val="00327C8D"/>
    <w:rsid w:val="00333980"/>
    <w:rsid w:val="00333C4D"/>
    <w:rsid w:val="00333FF1"/>
    <w:rsid w:val="00334002"/>
    <w:rsid w:val="00335E83"/>
    <w:rsid w:val="00343773"/>
    <w:rsid w:val="00344BDC"/>
    <w:rsid w:val="00344EDD"/>
    <w:rsid w:val="00345A4A"/>
    <w:rsid w:val="00345D80"/>
    <w:rsid w:val="00351607"/>
    <w:rsid w:val="003530A3"/>
    <w:rsid w:val="003543E8"/>
    <w:rsid w:val="00354F1D"/>
    <w:rsid w:val="00355B45"/>
    <w:rsid w:val="00356156"/>
    <w:rsid w:val="00360A3F"/>
    <w:rsid w:val="00362333"/>
    <w:rsid w:val="00362881"/>
    <w:rsid w:val="00362920"/>
    <w:rsid w:val="0036440D"/>
    <w:rsid w:val="00364C07"/>
    <w:rsid w:val="00364FDC"/>
    <w:rsid w:val="0036731C"/>
    <w:rsid w:val="003709B2"/>
    <w:rsid w:val="00372E00"/>
    <w:rsid w:val="00377C52"/>
    <w:rsid w:val="00377CB0"/>
    <w:rsid w:val="00381E03"/>
    <w:rsid w:val="00381E67"/>
    <w:rsid w:val="00382750"/>
    <w:rsid w:val="00384B6D"/>
    <w:rsid w:val="0038743B"/>
    <w:rsid w:val="003924E8"/>
    <w:rsid w:val="00395E1F"/>
    <w:rsid w:val="00395EA1"/>
    <w:rsid w:val="0039652C"/>
    <w:rsid w:val="00397058"/>
    <w:rsid w:val="003A34C1"/>
    <w:rsid w:val="003A4334"/>
    <w:rsid w:val="003A7450"/>
    <w:rsid w:val="003A7CBD"/>
    <w:rsid w:val="003B0F00"/>
    <w:rsid w:val="003B1418"/>
    <w:rsid w:val="003B2291"/>
    <w:rsid w:val="003B3599"/>
    <w:rsid w:val="003B4A9A"/>
    <w:rsid w:val="003B6969"/>
    <w:rsid w:val="003C05E1"/>
    <w:rsid w:val="003C54ED"/>
    <w:rsid w:val="003C5564"/>
    <w:rsid w:val="003D1456"/>
    <w:rsid w:val="003D3563"/>
    <w:rsid w:val="003D5F89"/>
    <w:rsid w:val="003D6483"/>
    <w:rsid w:val="003D7E7F"/>
    <w:rsid w:val="003E1E60"/>
    <w:rsid w:val="003E5809"/>
    <w:rsid w:val="003E7520"/>
    <w:rsid w:val="003F5C18"/>
    <w:rsid w:val="003F6189"/>
    <w:rsid w:val="003F69BC"/>
    <w:rsid w:val="003F7572"/>
    <w:rsid w:val="00402760"/>
    <w:rsid w:val="00403930"/>
    <w:rsid w:val="004040B9"/>
    <w:rsid w:val="0040510D"/>
    <w:rsid w:val="00410D73"/>
    <w:rsid w:val="004121EE"/>
    <w:rsid w:val="0041471D"/>
    <w:rsid w:val="004158D6"/>
    <w:rsid w:val="0042564C"/>
    <w:rsid w:val="004277F3"/>
    <w:rsid w:val="0043343C"/>
    <w:rsid w:val="0043372F"/>
    <w:rsid w:val="0043449E"/>
    <w:rsid w:val="00434F06"/>
    <w:rsid w:val="004352D2"/>
    <w:rsid w:val="00436B59"/>
    <w:rsid w:val="00436F3A"/>
    <w:rsid w:val="00440E40"/>
    <w:rsid w:val="004413CD"/>
    <w:rsid w:val="0044258D"/>
    <w:rsid w:val="00443A60"/>
    <w:rsid w:val="00444B1D"/>
    <w:rsid w:val="00444B3C"/>
    <w:rsid w:val="00444E8E"/>
    <w:rsid w:val="00450B96"/>
    <w:rsid w:val="0045350D"/>
    <w:rsid w:val="00453B38"/>
    <w:rsid w:val="00454201"/>
    <w:rsid w:val="0045581D"/>
    <w:rsid w:val="00457F37"/>
    <w:rsid w:val="00460F48"/>
    <w:rsid w:val="00463130"/>
    <w:rsid w:val="00464365"/>
    <w:rsid w:val="004655B7"/>
    <w:rsid w:val="00466097"/>
    <w:rsid w:val="00466C60"/>
    <w:rsid w:val="0046701C"/>
    <w:rsid w:val="004670FD"/>
    <w:rsid w:val="00471D96"/>
    <w:rsid w:val="0047238C"/>
    <w:rsid w:val="00473F99"/>
    <w:rsid w:val="0047515D"/>
    <w:rsid w:val="0048002A"/>
    <w:rsid w:val="00481A79"/>
    <w:rsid w:val="0048364F"/>
    <w:rsid w:val="0048465E"/>
    <w:rsid w:val="004848D1"/>
    <w:rsid w:val="00485BD0"/>
    <w:rsid w:val="004862B9"/>
    <w:rsid w:val="00486B51"/>
    <w:rsid w:val="00487152"/>
    <w:rsid w:val="00487A44"/>
    <w:rsid w:val="0049045F"/>
    <w:rsid w:val="004908D6"/>
    <w:rsid w:val="00491DEB"/>
    <w:rsid w:val="00492E40"/>
    <w:rsid w:val="00493731"/>
    <w:rsid w:val="00497758"/>
    <w:rsid w:val="004A10BC"/>
    <w:rsid w:val="004B0549"/>
    <w:rsid w:val="004B1E9E"/>
    <w:rsid w:val="004B250F"/>
    <w:rsid w:val="004B28F9"/>
    <w:rsid w:val="004B484B"/>
    <w:rsid w:val="004B4D60"/>
    <w:rsid w:val="004B53E2"/>
    <w:rsid w:val="004B59DA"/>
    <w:rsid w:val="004B78C6"/>
    <w:rsid w:val="004B7AF1"/>
    <w:rsid w:val="004B7E79"/>
    <w:rsid w:val="004C0C16"/>
    <w:rsid w:val="004C0D1E"/>
    <w:rsid w:val="004C1CC5"/>
    <w:rsid w:val="004C27F9"/>
    <w:rsid w:val="004C6B2B"/>
    <w:rsid w:val="004C7503"/>
    <w:rsid w:val="004C7B52"/>
    <w:rsid w:val="004C7E01"/>
    <w:rsid w:val="004D075E"/>
    <w:rsid w:val="004D0A3E"/>
    <w:rsid w:val="004D2A39"/>
    <w:rsid w:val="004D3152"/>
    <w:rsid w:val="004D5AC1"/>
    <w:rsid w:val="004D5CF5"/>
    <w:rsid w:val="004D6DB2"/>
    <w:rsid w:val="004D7783"/>
    <w:rsid w:val="004D7E25"/>
    <w:rsid w:val="004D7F28"/>
    <w:rsid w:val="004E01F6"/>
    <w:rsid w:val="004E0E5B"/>
    <w:rsid w:val="004E29E3"/>
    <w:rsid w:val="004E7BDE"/>
    <w:rsid w:val="004F154C"/>
    <w:rsid w:val="004F1607"/>
    <w:rsid w:val="004F16E5"/>
    <w:rsid w:val="004F1964"/>
    <w:rsid w:val="004F1CF1"/>
    <w:rsid w:val="004F25C0"/>
    <w:rsid w:val="004F7270"/>
    <w:rsid w:val="004F7ABA"/>
    <w:rsid w:val="0050023D"/>
    <w:rsid w:val="0050288C"/>
    <w:rsid w:val="0050451B"/>
    <w:rsid w:val="0050470E"/>
    <w:rsid w:val="00506D21"/>
    <w:rsid w:val="0050709D"/>
    <w:rsid w:val="005144E3"/>
    <w:rsid w:val="00515088"/>
    <w:rsid w:val="0052019E"/>
    <w:rsid w:val="005206BA"/>
    <w:rsid w:val="00520EA9"/>
    <w:rsid w:val="0053336F"/>
    <w:rsid w:val="00533AA9"/>
    <w:rsid w:val="005346ED"/>
    <w:rsid w:val="00534C6E"/>
    <w:rsid w:val="00535ED5"/>
    <w:rsid w:val="0053681E"/>
    <w:rsid w:val="005426F5"/>
    <w:rsid w:val="005433BE"/>
    <w:rsid w:val="00545742"/>
    <w:rsid w:val="00545FDC"/>
    <w:rsid w:val="00546BB3"/>
    <w:rsid w:val="005532E5"/>
    <w:rsid w:val="00555689"/>
    <w:rsid w:val="00556639"/>
    <w:rsid w:val="00560CC1"/>
    <w:rsid w:val="0056155E"/>
    <w:rsid w:val="0056167C"/>
    <w:rsid w:val="00563091"/>
    <w:rsid w:val="00570C03"/>
    <w:rsid w:val="00574384"/>
    <w:rsid w:val="005755B5"/>
    <w:rsid w:val="00581170"/>
    <w:rsid w:val="00581D5D"/>
    <w:rsid w:val="00584C41"/>
    <w:rsid w:val="00584F2C"/>
    <w:rsid w:val="00586366"/>
    <w:rsid w:val="0059257E"/>
    <w:rsid w:val="00594D10"/>
    <w:rsid w:val="00595574"/>
    <w:rsid w:val="005956AA"/>
    <w:rsid w:val="00597208"/>
    <w:rsid w:val="005A249E"/>
    <w:rsid w:val="005A3266"/>
    <w:rsid w:val="005A3959"/>
    <w:rsid w:val="005A3D0B"/>
    <w:rsid w:val="005A400D"/>
    <w:rsid w:val="005A4F66"/>
    <w:rsid w:val="005A5496"/>
    <w:rsid w:val="005A76D0"/>
    <w:rsid w:val="005A7EB2"/>
    <w:rsid w:val="005B076E"/>
    <w:rsid w:val="005B19BB"/>
    <w:rsid w:val="005B1B89"/>
    <w:rsid w:val="005B2344"/>
    <w:rsid w:val="005B25B6"/>
    <w:rsid w:val="005B2E32"/>
    <w:rsid w:val="005B51DA"/>
    <w:rsid w:val="005B65AE"/>
    <w:rsid w:val="005B7779"/>
    <w:rsid w:val="005C1223"/>
    <w:rsid w:val="005C13D3"/>
    <w:rsid w:val="005C3DA2"/>
    <w:rsid w:val="005C4EB2"/>
    <w:rsid w:val="005C6A15"/>
    <w:rsid w:val="005D1768"/>
    <w:rsid w:val="005D2492"/>
    <w:rsid w:val="005D3D19"/>
    <w:rsid w:val="005D59A7"/>
    <w:rsid w:val="005D7808"/>
    <w:rsid w:val="005E1B7D"/>
    <w:rsid w:val="005E24FB"/>
    <w:rsid w:val="005E33E6"/>
    <w:rsid w:val="005E3641"/>
    <w:rsid w:val="005E42AD"/>
    <w:rsid w:val="005E4CDF"/>
    <w:rsid w:val="005E5F72"/>
    <w:rsid w:val="005E6A87"/>
    <w:rsid w:val="005F2661"/>
    <w:rsid w:val="005F4381"/>
    <w:rsid w:val="005F48DB"/>
    <w:rsid w:val="005F5AF5"/>
    <w:rsid w:val="005F70FC"/>
    <w:rsid w:val="005F7345"/>
    <w:rsid w:val="00601B8A"/>
    <w:rsid w:val="00602907"/>
    <w:rsid w:val="00602C77"/>
    <w:rsid w:val="006052B6"/>
    <w:rsid w:val="00605FB9"/>
    <w:rsid w:val="006066E7"/>
    <w:rsid w:val="0061026F"/>
    <w:rsid w:val="00616CCD"/>
    <w:rsid w:val="006210C5"/>
    <w:rsid w:val="00621F2E"/>
    <w:rsid w:val="0062589E"/>
    <w:rsid w:val="00625A3C"/>
    <w:rsid w:val="00625E98"/>
    <w:rsid w:val="00626E7A"/>
    <w:rsid w:val="006272BA"/>
    <w:rsid w:val="00633F98"/>
    <w:rsid w:val="00634932"/>
    <w:rsid w:val="0063758C"/>
    <w:rsid w:val="00644050"/>
    <w:rsid w:val="006447D8"/>
    <w:rsid w:val="00644F28"/>
    <w:rsid w:val="00646FBB"/>
    <w:rsid w:val="0065187E"/>
    <w:rsid w:val="00655684"/>
    <w:rsid w:val="00655E8D"/>
    <w:rsid w:val="00660743"/>
    <w:rsid w:val="00661A1D"/>
    <w:rsid w:val="00663189"/>
    <w:rsid w:val="00664639"/>
    <w:rsid w:val="00665475"/>
    <w:rsid w:val="00667BBF"/>
    <w:rsid w:val="006731F3"/>
    <w:rsid w:val="00676B85"/>
    <w:rsid w:val="006770DE"/>
    <w:rsid w:val="0068067D"/>
    <w:rsid w:val="00681DDF"/>
    <w:rsid w:val="00681E12"/>
    <w:rsid w:val="00685A20"/>
    <w:rsid w:val="00686195"/>
    <w:rsid w:val="00687F77"/>
    <w:rsid w:val="00687FAF"/>
    <w:rsid w:val="00693289"/>
    <w:rsid w:val="00694E3F"/>
    <w:rsid w:val="0069634B"/>
    <w:rsid w:val="0069637E"/>
    <w:rsid w:val="006A1FAE"/>
    <w:rsid w:val="006A2752"/>
    <w:rsid w:val="006A2AF0"/>
    <w:rsid w:val="006A6532"/>
    <w:rsid w:val="006A7DC3"/>
    <w:rsid w:val="006B1075"/>
    <w:rsid w:val="006B366F"/>
    <w:rsid w:val="006B4D08"/>
    <w:rsid w:val="006B51C2"/>
    <w:rsid w:val="006C0B2D"/>
    <w:rsid w:val="006C10F3"/>
    <w:rsid w:val="006C2E76"/>
    <w:rsid w:val="006C40E1"/>
    <w:rsid w:val="006C41A4"/>
    <w:rsid w:val="006C4D98"/>
    <w:rsid w:val="006C54C9"/>
    <w:rsid w:val="006C74C3"/>
    <w:rsid w:val="006C74D7"/>
    <w:rsid w:val="006D2973"/>
    <w:rsid w:val="006D38FF"/>
    <w:rsid w:val="006D5422"/>
    <w:rsid w:val="006E35DF"/>
    <w:rsid w:val="006E5511"/>
    <w:rsid w:val="006E6AA3"/>
    <w:rsid w:val="006E7C5B"/>
    <w:rsid w:val="006F0344"/>
    <w:rsid w:val="006F1837"/>
    <w:rsid w:val="006F3CD1"/>
    <w:rsid w:val="006F4E00"/>
    <w:rsid w:val="00701E8F"/>
    <w:rsid w:val="0070272D"/>
    <w:rsid w:val="00703A9A"/>
    <w:rsid w:val="00703D81"/>
    <w:rsid w:val="00704C25"/>
    <w:rsid w:val="00705F1D"/>
    <w:rsid w:val="00706AC7"/>
    <w:rsid w:val="00707214"/>
    <w:rsid w:val="00711248"/>
    <w:rsid w:val="00713A6D"/>
    <w:rsid w:val="00714B91"/>
    <w:rsid w:val="0071759B"/>
    <w:rsid w:val="00717602"/>
    <w:rsid w:val="00717B72"/>
    <w:rsid w:val="007203EA"/>
    <w:rsid w:val="007239AC"/>
    <w:rsid w:val="00723E95"/>
    <w:rsid w:val="0072501F"/>
    <w:rsid w:val="00725275"/>
    <w:rsid w:val="00725411"/>
    <w:rsid w:val="007270C8"/>
    <w:rsid w:val="00730F61"/>
    <w:rsid w:val="00733953"/>
    <w:rsid w:val="00736364"/>
    <w:rsid w:val="0073642B"/>
    <w:rsid w:val="007365C5"/>
    <w:rsid w:val="0073682E"/>
    <w:rsid w:val="00740AB1"/>
    <w:rsid w:val="00745357"/>
    <w:rsid w:val="0074573E"/>
    <w:rsid w:val="00745C19"/>
    <w:rsid w:val="00745F86"/>
    <w:rsid w:val="00747729"/>
    <w:rsid w:val="007507AF"/>
    <w:rsid w:val="00750F2F"/>
    <w:rsid w:val="007534F0"/>
    <w:rsid w:val="00754496"/>
    <w:rsid w:val="00764F11"/>
    <w:rsid w:val="00765675"/>
    <w:rsid w:val="0076684E"/>
    <w:rsid w:val="00766937"/>
    <w:rsid w:val="00766A58"/>
    <w:rsid w:val="00773957"/>
    <w:rsid w:val="00773B98"/>
    <w:rsid w:val="007745B7"/>
    <w:rsid w:val="007764F4"/>
    <w:rsid w:val="00776AB8"/>
    <w:rsid w:val="00781550"/>
    <w:rsid w:val="00781884"/>
    <w:rsid w:val="007822A3"/>
    <w:rsid w:val="0078346F"/>
    <w:rsid w:val="00784FE2"/>
    <w:rsid w:val="00785011"/>
    <w:rsid w:val="00785B37"/>
    <w:rsid w:val="00786132"/>
    <w:rsid w:val="00790119"/>
    <w:rsid w:val="007905CF"/>
    <w:rsid w:val="00790B4E"/>
    <w:rsid w:val="00791F76"/>
    <w:rsid w:val="00793616"/>
    <w:rsid w:val="00794183"/>
    <w:rsid w:val="00795AA3"/>
    <w:rsid w:val="007969DC"/>
    <w:rsid w:val="00797AF9"/>
    <w:rsid w:val="00797DEA"/>
    <w:rsid w:val="007A0C68"/>
    <w:rsid w:val="007A31DC"/>
    <w:rsid w:val="007A55D4"/>
    <w:rsid w:val="007B0E69"/>
    <w:rsid w:val="007B1E8D"/>
    <w:rsid w:val="007B29E4"/>
    <w:rsid w:val="007B3A5C"/>
    <w:rsid w:val="007B5C56"/>
    <w:rsid w:val="007C0ACE"/>
    <w:rsid w:val="007C1F01"/>
    <w:rsid w:val="007C22B7"/>
    <w:rsid w:val="007C29B8"/>
    <w:rsid w:val="007C428F"/>
    <w:rsid w:val="007C442D"/>
    <w:rsid w:val="007C62EE"/>
    <w:rsid w:val="007D39B9"/>
    <w:rsid w:val="007D58CE"/>
    <w:rsid w:val="007D7D94"/>
    <w:rsid w:val="007E2852"/>
    <w:rsid w:val="007E3985"/>
    <w:rsid w:val="007E4447"/>
    <w:rsid w:val="007F4183"/>
    <w:rsid w:val="007F4785"/>
    <w:rsid w:val="007F604F"/>
    <w:rsid w:val="007F7F8F"/>
    <w:rsid w:val="007F7FF6"/>
    <w:rsid w:val="008022F1"/>
    <w:rsid w:val="00802902"/>
    <w:rsid w:val="00802EEF"/>
    <w:rsid w:val="00806D31"/>
    <w:rsid w:val="00810AE7"/>
    <w:rsid w:val="008120F4"/>
    <w:rsid w:val="00812521"/>
    <w:rsid w:val="00816A01"/>
    <w:rsid w:val="008173B3"/>
    <w:rsid w:val="00817E2A"/>
    <w:rsid w:val="008200D7"/>
    <w:rsid w:val="008239B0"/>
    <w:rsid w:val="00824BD7"/>
    <w:rsid w:val="00831B04"/>
    <w:rsid w:val="008323F4"/>
    <w:rsid w:val="008357E5"/>
    <w:rsid w:val="008364C6"/>
    <w:rsid w:val="00836D37"/>
    <w:rsid w:val="0083758C"/>
    <w:rsid w:val="00837A68"/>
    <w:rsid w:val="00840269"/>
    <w:rsid w:val="00840C1E"/>
    <w:rsid w:val="008432FD"/>
    <w:rsid w:val="00843CD6"/>
    <w:rsid w:val="00844D37"/>
    <w:rsid w:val="00847EE2"/>
    <w:rsid w:val="00852494"/>
    <w:rsid w:val="00854E14"/>
    <w:rsid w:val="00855C53"/>
    <w:rsid w:val="00856201"/>
    <w:rsid w:val="00861DC2"/>
    <w:rsid w:val="0086333D"/>
    <w:rsid w:val="00863EE1"/>
    <w:rsid w:val="00864B2B"/>
    <w:rsid w:val="00866982"/>
    <w:rsid w:val="00875A9F"/>
    <w:rsid w:val="00875CA4"/>
    <w:rsid w:val="00875D32"/>
    <w:rsid w:val="00875F77"/>
    <w:rsid w:val="008769F3"/>
    <w:rsid w:val="008804AB"/>
    <w:rsid w:val="008806D9"/>
    <w:rsid w:val="0088301D"/>
    <w:rsid w:val="00883E09"/>
    <w:rsid w:val="008849D8"/>
    <w:rsid w:val="00886510"/>
    <w:rsid w:val="00887763"/>
    <w:rsid w:val="00890400"/>
    <w:rsid w:val="0089176E"/>
    <w:rsid w:val="00892D95"/>
    <w:rsid w:val="00894F92"/>
    <w:rsid w:val="0089666A"/>
    <w:rsid w:val="008A09DC"/>
    <w:rsid w:val="008A2025"/>
    <w:rsid w:val="008A2744"/>
    <w:rsid w:val="008A2AD6"/>
    <w:rsid w:val="008A2AF8"/>
    <w:rsid w:val="008A3CF5"/>
    <w:rsid w:val="008A4734"/>
    <w:rsid w:val="008A5ED9"/>
    <w:rsid w:val="008A6100"/>
    <w:rsid w:val="008A69EA"/>
    <w:rsid w:val="008A7D25"/>
    <w:rsid w:val="008B04DC"/>
    <w:rsid w:val="008B0F36"/>
    <w:rsid w:val="008B2727"/>
    <w:rsid w:val="008B4C77"/>
    <w:rsid w:val="008B5953"/>
    <w:rsid w:val="008C140C"/>
    <w:rsid w:val="008C2AA8"/>
    <w:rsid w:val="008C391A"/>
    <w:rsid w:val="008D036F"/>
    <w:rsid w:val="008D1B67"/>
    <w:rsid w:val="008D26C5"/>
    <w:rsid w:val="008D5F2C"/>
    <w:rsid w:val="008D6BF2"/>
    <w:rsid w:val="008D7382"/>
    <w:rsid w:val="008E18C4"/>
    <w:rsid w:val="008E1DF8"/>
    <w:rsid w:val="008E25FD"/>
    <w:rsid w:val="008E2625"/>
    <w:rsid w:val="008E342C"/>
    <w:rsid w:val="008E7947"/>
    <w:rsid w:val="008F160E"/>
    <w:rsid w:val="008F16AD"/>
    <w:rsid w:val="008F2772"/>
    <w:rsid w:val="008F29D2"/>
    <w:rsid w:val="008F4D56"/>
    <w:rsid w:val="0090098E"/>
    <w:rsid w:val="0090102E"/>
    <w:rsid w:val="009031D3"/>
    <w:rsid w:val="00905EA2"/>
    <w:rsid w:val="009071FF"/>
    <w:rsid w:val="00910B36"/>
    <w:rsid w:val="00911494"/>
    <w:rsid w:val="0091232D"/>
    <w:rsid w:val="00912E0A"/>
    <w:rsid w:val="009139AE"/>
    <w:rsid w:val="00914DEE"/>
    <w:rsid w:val="009157BC"/>
    <w:rsid w:val="00916122"/>
    <w:rsid w:val="00916986"/>
    <w:rsid w:val="00917142"/>
    <w:rsid w:val="0091720A"/>
    <w:rsid w:val="009173BC"/>
    <w:rsid w:val="00917C97"/>
    <w:rsid w:val="00920785"/>
    <w:rsid w:val="00921E2A"/>
    <w:rsid w:val="00922314"/>
    <w:rsid w:val="00922FF0"/>
    <w:rsid w:val="00931406"/>
    <w:rsid w:val="0093756B"/>
    <w:rsid w:val="009400C2"/>
    <w:rsid w:val="009434F8"/>
    <w:rsid w:val="009438BE"/>
    <w:rsid w:val="009462FA"/>
    <w:rsid w:val="009505DD"/>
    <w:rsid w:val="009554E8"/>
    <w:rsid w:val="00955905"/>
    <w:rsid w:val="00955EBF"/>
    <w:rsid w:val="00957F3D"/>
    <w:rsid w:val="00962E14"/>
    <w:rsid w:val="0096761A"/>
    <w:rsid w:val="009705B3"/>
    <w:rsid w:val="00971016"/>
    <w:rsid w:val="00972BEC"/>
    <w:rsid w:val="009737DA"/>
    <w:rsid w:val="009748C1"/>
    <w:rsid w:val="00975E1E"/>
    <w:rsid w:val="00977E98"/>
    <w:rsid w:val="0098045D"/>
    <w:rsid w:val="009813A6"/>
    <w:rsid w:val="00985460"/>
    <w:rsid w:val="00986198"/>
    <w:rsid w:val="0099046D"/>
    <w:rsid w:val="009942B7"/>
    <w:rsid w:val="00996AB0"/>
    <w:rsid w:val="009A3B11"/>
    <w:rsid w:val="009A6165"/>
    <w:rsid w:val="009A7534"/>
    <w:rsid w:val="009B170B"/>
    <w:rsid w:val="009B52FF"/>
    <w:rsid w:val="009B69C0"/>
    <w:rsid w:val="009B7B1F"/>
    <w:rsid w:val="009C1F6C"/>
    <w:rsid w:val="009C2244"/>
    <w:rsid w:val="009C3C7B"/>
    <w:rsid w:val="009C43E5"/>
    <w:rsid w:val="009D1181"/>
    <w:rsid w:val="009D1585"/>
    <w:rsid w:val="009D1C20"/>
    <w:rsid w:val="009D1D31"/>
    <w:rsid w:val="009D6C7E"/>
    <w:rsid w:val="009E0C57"/>
    <w:rsid w:val="009E1886"/>
    <w:rsid w:val="009E2CE9"/>
    <w:rsid w:val="009E4604"/>
    <w:rsid w:val="009E468F"/>
    <w:rsid w:val="009F1183"/>
    <w:rsid w:val="009F1514"/>
    <w:rsid w:val="009F2AB3"/>
    <w:rsid w:val="009F2F7B"/>
    <w:rsid w:val="009F44B4"/>
    <w:rsid w:val="009F4758"/>
    <w:rsid w:val="009F535E"/>
    <w:rsid w:val="009F589F"/>
    <w:rsid w:val="009F7119"/>
    <w:rsid w:val="009F73D2"/>
    <w:rsid w:val="009F7C4D"/>
    <w:rsid w:val="00A002E4"/>
    <w:rsid w:val="00A00401"/>
    <w:rsid w:val="00A043DE"/>
    <w:rsid w:val="00A05BAE"/>
    <w:rsid w:val="00A11618"/>
    <w:rsid w:val="00A12ADA"/>
    <w:rsid w:val="00A1327B"/>
    <w:rsid w:val="00A1431A"/>
    <w:rsid w:val="00A145E1"/>
    <w:rsid w:val="00A14CF4"/>
    <w:rsid w:val="00A1570C"/>
    <w:rsid w:val="00A15C4F"/>
    <w:rsid w:val="00A16E60"/>
    <w:rsid w:val="00A204CB"/>
    <w:rsid w:val="00A23560"/>
    <w:rsid w:val="00A23D85"/>
    <w:rsid w:val="00A2674F"/>
    <w:rsid w:val="00A2724A"/>
    <w:rsid w:val="00A27924"/>
    <w:rsid w:val="00A36121"/>
    <w:rsid w:val="00A36608"/>
    <w:rsid w:val="00A37197"/>
    <w:rsid w:val="00A37539"/>
    <w:rsid w:val="00A40353"/>
    <w:rsid w:val="00A40B26"/>
    <w:rsid w:val="00A40B4C"/>
    <w:rsid w:val="00A40E05"/>
    <w:rsid w:val="00A41647"/>
    <w:rsid w:val="00A42286"/>
    <w:rsid w:val="00A42786"/>
    <w:rsid w:val="00A432F8"/>
    <w:rsid w:val="00A45E81"/>
    <w:rsid w:val="00A51842"/>
    <w:rsid w:val="00A52B66"/>
    <w:rsid w:val="00A564F0"/>
    <w:rsid w:val="00A60347"/>
    <w:rsid w:val="00A6181A"/>
    <w:rsid w:val="00A62487"/>
    <w:rsid w:val="00A63AF0"/>
    <w:rsid w:val="00A63F47"/>
    <w:rsid w:val="00A646EC"/>
    <w:rsid w:val="00A65000"/>
    <w:rsid w:val="00A66488"/>
    <w:rsid w:val="00A67E70"/>
    <w:rsid w:val="00A70534"/>
    <w:rsid w:val="00A71888"/>
    <w:rsid w:val="00A73A46"/>
    <w:rsid w:val="00A74A2B"/>
    <w:rsid w:val="00A7525C"/>
    <w:rsid w:val="00A76C20"/>
    <w:rsid w:val="00A77B25"/>
    <w:rsid w:val="00A82431"/>
    <w:rsid w:val="00A83153"/>
    <w:rsid w:val="00A8785A"/>
    <w:rsid w:val="00A90432"/>
    <w:rsid w:val="00A90611"/>
    <w:rsid w:val="00A9090D"/>
    <w:rsid w:val="00A91782"/>
    <w:rsid w:val="00A92D32"/>
    <w:rsid w:val="00A92EC2"/>
    <w:rsid w:val="00AA0C2D"/>
    <w:rsid w:val="00AA10FE"/>
    <w:rsid w:val="00AA4673"/>
    <w:rsid w:val="00AA4970"/>
    <w:rsid w:val="00AA6140"/>
    <w:rsid w:val="00AA6E91"/>
    <w:rsid w:val="00AA774F"/>
    <w:rsid w:val="00AB045E"/>
    <w:rsid w:val="00AB0DB7"/>
    <w:rsid w:val="00AB0E27"/>
    <w:rsid w:val="00AB2EFD"/>
    <w:rsid w:val="00AB3EFD"/>
    <w:rsid w:val="00AB4755"/>
    <w:rsid w:val="00AB4F83"/>
    <w:rsid w:val="00AB7439"/>
    <w:rsid w:val="00AC0351"/>
    <w:rsid w:val="00AC24D4"/>
    <w:rsid w:val="00AC3C9E"/>
    <w:rsid w:val="00AC3F5D"/>
    <w:rsid w:val="00AC44CC"/>
    <w:rsid w:val="00AC46F5"/>
    <w:rsid w:val="00AC4F32"/>
    <w:rsid w:val="00AC74FF"/>
    <w:rsid w:val="00AC7D37"/>
    <w:rsid w:val="00AD0603"/>
    <w:rsid w:val="00AD11DA"/>
    <w:rsid w:val="00AD191A"/>
    <w:rsid w:val="00AD2996"/>
    <w:rsid w:val="00AD4B04"/>
    <w:rsid w:val="00AD5DDB"/>
    <w:rsid w:val="00AD71FF"/>
    <w:rsid w:val="00AD783C"/>
    <w:rsid w:val="00AD7BAB"/>
    <w:rsid w:val="00AE0CA0"/>
    <w:rsid w:val="00AE1FA7"/>
    <w:rsid w:val="00AE6B9C"/>
    <w:rsid w:val="00AF62C2"/>
    <w:rsid w:val="00AF6F2B"/>
    <w:rsid w:val="00B00D76"/>
    <w:rsid w:val="00B0235B"/>
    <w:rsid w:val="00B03D10"/>
    <w:rsid w:val="00B0496C"/>
    <w:rsid w:val="00B05050"/>
    <w:rsid w:val="00B05FDA"/>
    <w:rsid w:val="00B102D0"/>
    <w:rsid w:val="00B10506"/>
    <w:rsid w:val="00B146C0"/>
    <w:rsid w:val="00B15810"/>
    <w:rsid w:val="00B16420"/>
    <w:rsid w:val="00B2410B"/>
    <w:rsid w:val="00B254CA"/>
    <w:rsid w:val="00B32BC6"/>
    <w:rsid w:val="00B32E4E"/>
    <w:rsid w:val="00B3377E"/>
    <w:rsid w:val="00B34014"/>
    <w:rsid w:val="00B344E2"/>
    <w:rsid w:val="00B4152E"/>
    <w:rsid w:val="00B43F32"/>
    <w:rsid w:val="00B4456F"/>
    <w:rsid w:val="00B457C6"/>
    <w:rsid w:val="00B477A9"/>
    <w:rsid w:val="00B53190"/>
    <w:rsid w:val="00B5432A"/>
    <w:rsid w:val="00B554E2"/>
    <w:rsid w:val="00B601A0"/>
    <w:rsid w:val="00B60659"/>
    <w:rsid w:val="00B61F61"/>
    <w:rsid w:val="00B627EA"/>
    <w:rsid w:val="00B62EC9"/>
    <w:rsid w:val="00B63BBC"/>
    <w:rsid w:val="00B64D6C"/>
    <w:rsid w:val="00B71861"/>
    <w:rsid w:val="00B74CCD"/>
    <w:rsid w:val="00B802A8"/>
    <w:rsid w:val="00B828C8"/>
    <w:rsid w:val="00B90CF8"/>
    <w:rsid w:val="00B91290"/>
    <w:rsid w:val="00B91986"/>
    <w:rsid w:val="00B91DC7"/>
    <w:rsid w:val="00B94AD1"/>
    <w:rsid w:val="00B96E4F"/>
    <w:rsid w:val="00BA6451"/>
    <w:rsid w:val="00BA688E"/>
    <w:rsid w:val="00BA68CA"/>
    <w:rsid w:val="00BB3408"/>
    <w:rsid w:val="00BB4052"/>
    <w:rsid w:val="00BB46BB"/>
    <w:rsid w:val="00BB5045"/>
    <w:rsid w:val="00BB5279"/>
    <w:rsid w:val="00BB5DCC"/>
    <w:rsid w:val="00BB7979"/>
    <w:rsid w:val="00BB7B8C"/>
    <w:rsid w:val="00BC5AEB"/>
    <w:rsid w:val="00BC6A9A"/>
    <w:rsid w:val="00BC7341"/>
    <w:rsid w:val="00BC78DA"/>
    <w:rsid w:val="00BD0DA0"/>
    <w:rsid w:val="00BD17E4"/>
    <w:rsid w:val="00BD4333"/>
    <w:rsid w:val="00BD507A"/>
    <w:rsid w:val="00BD624D"/>
    <w:rsid w:val="00BD65CF"/>
    <w:rsid w:val="00BE07E2"/>
    <w:rsid w:val="00BE0E69"/>
    <w:rsid w:val="00BE2447"/>
    <w:rsid w:val="00BE2AD6"/>
    <w:rsid w:val="00BE5146"/>
    <w:rsid w:val="00BE609B"/>
    <w:rsid w:val="00BE6123"/>
    <w:rsid w:val="00BF00BC"/>
    <w:rsid w:val="00BF0DB3"/>
    <w:rsid w:val="00BF10E4"/>
    <w:rsid w:val="00BF1C82"/>
    <w:rsid w:val="00BF20DB"/>
    <w:rsid w:val="00BF2A76"/>
    <w:rsid w:val="00BF2F3B"/>
    <w:rsid w:val="00BF4225"/>
    <w:rsid w:val="00BF5F2F"/>
    <w:rsid w:val="00C00BB4"/>
    <w:rsid w:val="00C0182D"/>
    <w:rsid w:val="00C05DEE"/>
    <w:rsid w:val="00C11026"/>
    <w:rsid w:val="00C1168C"/>
    <w:rsid w:val="00C11E95"/>
    <w:rsid w:val="00C1324B"/>
    <w:rsid w:val="00C144E4"/>
    <w:rsid w:val="00C146B6"/>
    <w:rsid w:val="00C14A6F"/>
    <w:rsid w:val="00C15312"/>
    <w:rsid w:val="00C17E96"/>
    <w:rsid w:val="00C20C02"/>
    <w:rsid w:val="00C2122A"/>
    <w:rsid w:val="00C2376A"/>
    <w:rsid w:val="00C23A5B"/>
    <w:rsid w:val="00C25807"/>
    <w:rsid w:val="00C26FE5"/>
    <w:rsid w:val="00C31B82"/>
    <w:rsid w:val="00C32EEC"/>
    <w:rsid w:val="00C335F7"/>
    <w:rsid w:val="00C343A2"/>
    <w:rsid w:val="00C34D41"/>
    <w:rsid w:val="00C35EB8"/>
    <w:rsid w:val="00C37266"/>
    <w:rsid w:val="00C37D5D"/>
    <w:rsid w:val="00C41994"/>
    <w:rsid w:val="00C42F03"/>
    <w:rsid w:val="00C43A02"/>
    <w:rsid w:val="00C44E75"/>
    <w:rsid w:val="00C44F90"/>
    <w:rsid w:val="00C45804"/>
    <w:rsid w:val="00C472D8"/>
    <w:rsid w:val="00C476D6"/>
    <w:rsid w:val="00C476E1"/>
    <w:rsid w:val="00C47CF9"/>
    <w:rsid w:val="00C54779"/>
    <w:rsid w:val="00C5525B"/>
    <w:rsid w:val="00C56B6D"/>
    <w:rsid w:val="00C57CC8"/>
    <w:rsid w:val="00C61182"/>
    <w:rsid w:val="00C61A9B"/>
    <w:rsid w:val="00C62DC1"/>
    <w:rsid w:val="00C63E7E"/>
    <w:rsid w:val="00C64343"/>
    <w:rsid w:val="00C711EB"/>
    <w:rsid w:val="00C74AAF"/>
    <w:rsid w:val="00C74C76"/>
    <w:rsid w:val="00C761FF"/>
    <w:rsid w:val="00C76706"/>
    <w:rsid w:val="00C76A6D"/>
    <w:rsid w:val="00C7708D"/>
    <w:rsid w:val="00C77C57"/>
    <w:rsid w:val="00C80BC2"/>
    <w:rsid w:val="00C81641"/>
    <w:rsid w:val="00C81765"/>
    <w:rsid w:val="00C83842"/>
    <w:rsid w:val="00C838F5"/>
    <w:rsid w:val="00C83C24"/>
    <w:rsid w:val="00C84462"/>
    <w:rsid w:val="00C84FED"/>
    <w:rsid w:val="00C8560F"/>
    <w:rsid w:val="00C859D7"/>
    <w:rsid w:val="00C8705F"/>
    <w:rsid w:val="00C87AB5"/>
    <w:rsid w:val="00C93ED6"/>
    <w:rsid w:val="00C9578D"/>
    <w:rsid w:val="00C974FB"/>
    <w:rsid w:val="00CA1B14"/>
    <w:rsid w:val="00CA1F19"/>
    <w:rsid w:val="00CA2707"/>
    <w:rsid w:val="00CA3B5F"/>
    <w:rsid w:val="00CA5042"/>
    <w:rsid w:val="00CA5CF6"/>
    <w:rsid w:val="00CB07CF"/>
    <w:rsid w:val="00CB09E2"/>
    <w:rsid w:val="00CB0A76"/>
    <w:rsid w:val="00CB0E67"/>
    <w:rsid w:val="00CB0EF4"/>
    <w:rsid w:val="00CB3FA0"/>
    <w:rsid w:val="00CC081F"/>
    <w:rsid w:val="00CC208F"/>
    <w:rsid w:val="00CC256A"/>
    <w:rsid w:val="00CC365B"/>
    <w:rsid w:val="00CC3C32"/>
    <w:rsid w:val="00CC7BCA"/>
    <w:rsid w:val="00CD67C0"/>
    <w:rsid w:val="00CD7C8F"/>
    <w:rsid w:val="00CE13A5"/>
    <w:rsid w:val="00CE39F0"/>
    <w:rsid w:val="00CE45FE"/>
    <w:rsid w:val="00CF0EE2"/>
    <w:rsid w:val="00CF3854"/>
    <w:rsid w:val="00CF38E8"/>
    <w:rsid w:val="00CF6A3F"/>
    <w:rsid w:val="00CF782C"/>
    <w:rsid w:val="00D0035F"/>
    <w:rsid w:val="00D012B5"/>
    <w:rsid w:val="00D046CC"/>
    <w:rsid w:val="00D05EDF"/>
    <w:rsid w:val="00D068B9"/>
    <w:rsid w:val="00D07515"/>
    <w:rsid w:val="00D11980"/>
    <w:rsid w:val="00D1286C"/>
    <w:rsid w:val="00D20E96"/>
    <w:rsid w:val="00D235C5"/>
    <w:rsid w:val="00D23CA7"/>
    <w:rsid w:val="00D2769A"/>
    <w:rsid w:val="00D27F89"/>
    <w:rsid w:val="00D31072"/>
    <w:rsid w:val="00D31D7E"/>
    <w:rsid w:val="00D35465"/>
    <w:rsid w:val="00D41982"/>
    <w:rsid w:val="00D42EAD"/>
    <w:rsid w:val="00D454FB"/>
    <w:rsid w:val="00D47F4C"/>
    <w:rsid w:val="00D50377"/>
    <w:rsid w:val="00D52BB9"/>
    <w:rsid w:val="00D52E56"/>
    <w:rsid w:val="00D550B1"/>
    <w:rsid w:val="00D56B5E"/>
    <w:rsid w:val="00D635F7"/>
    <w:rsid w:val="00D64645"/>
    <w:rsid w:val="00D64BB6"/>
    <w:rsid w:val="00D65A22"/>
    <w:rsid w:val="00D66F8C"/>
    <w:rsid w:val="00D67D0F"/>
    <w:rsid w:val="00D70797"/>
    <w:rsid w:val="00D725A6"/>
    <w:rsid w:val="00D73094"/>
    <w:rsid w:val="00D734B0"/>
    <w:rsid w:val="00D73F64"/>
    <w:rsid w:val="00D7605F"/>
    <w:rsid w:val="00D76071"/>
    <w:rsid w:val="00D826CC"/>
    <w:rsid w:val="00D82B05"/>
    <w:rsid w:val="00D83327"/>
    <w:rsid w:val="00D83A0C"/>
    <w:rsid w:val="00D9144F"/>
    <w:rsid w:val="00D91DE7"/>
    <w:rsid w:val="00D91ED1"/>
    <w:rsid w:val="00D9445D"/>
    <w:rsid w:val="00D97C4E"/>
    <w:rsid w:val="00DA01BA"/>
    <w:rsid w:val="00DA1963"/>
    <w:rsid w:val="00DA2BD7"/>
    <w:rsid w:val="00DA33BD"/>
    <w:rsid w:val="00DA4ACF"/>
    <w:rsid w:val="00DA5FAE"/>
    <w:rsid w:val="00DA6097"/>
    <w:rsid w:val="00DA624F"/>
    <w:rsid w:val="00DA6668"/>
    <w:rsid w:val="00DA70E5"/>
    <w:rsid w:val="00DA7252"/>
    <w:rsid w:val="00DB04FA"/>
    <w:rsid w:val="00DB05E2"/>
    <w:rsid w:val="00DB16F3"/>
    <w:rsid w:val="00DB67ED"/>
    <w:rsid w:val="00DB7493"/>
    <w:rsid w:val="00DC034B"/>
    <w:rsid w:val="00DC1CF7"/>
    <w:rsid w:val="00DC2C32"/>
    <w:rsid w:val="00DC7903"/>
    <w:rsid w:val="00DD48D8"/>
    <w:rsid w:val="00DD4E9D"/>
    <w:rsid w:val="00DE47EC"/>
    <w:rsid w:val="00DE4849"/>
    <w:rsid w:val="00DF083A"/>
    <w:rsid w:val="00DF0990"/>
    <w:rsid w:val="00DF0F3B"/>
    <w:rsid w:val="00DF131B"/>
    <w:rsid w:val="00DF30DF"/>
    <w:rsid w:val="00DF3BE2"/>
    <w:rsid w:val="00DF4B01"/>
    <w:rsid w:val="00DF4B48"/>
    <w:rsid w:val="00DF52A6"/>
    <w:rsid w:val="00DF6065"/>
    <w:rsid w:val="00DF6DD4"/>
    <w:rsid w:val="00E01563"/>
    <w:rsid w:val="00E01A48"/>
    <w:rsid w:val="00E02281"/>
    <w:rsid w:val="00E02D99"/>
    <w:rsid w:val="00E031FB"/>
    <w:rsid w:val="00E05C68"/>
    <w:rsid w:val="00E110F9"/>
    <w:rsid w:val="00E1181E"/>
    <w:rsid w:val="00E11EF3"/>
    <w:rsid w:val="00E12EB0"/>
    <w:rsid w:val="00E132BC"/>
    <w:rsid w:val="00E1626D"/>
    <w:rsid w:val="00E1712F"/>
    <w:rsid w:val="00E20214"/>
    <w:rsid w:val="00E234C5"/>
    <w:rsid w:val="00E25EBC"/>
    <w:rsid w:val="00E26F2B"/>
    <w:rsid w:val="00E31E98"/>
    <w:rsid w:val="00E3299D"/>
    <w:rsid w:val="00E34F6D"/>
    <w:rsid w:val="00E3576C"/>
    <w:rsid w:val="00E36535"/>
    <w:rsid w:val="00E36E7C"/>
    <w:rsid w:val="00E37AA8"/>
    <w:rsid w:val="00E4150D"/>
    <w:rsid w:val="00E415CF"/>
    <w:rsid w:val="00E424FA"/>
    <w:rsid w:val="00E45FD8"/>
    <w:rsid w:val="00E501DC"/>
    <w:rsid w:val="00E51D73"/>
    <w:rsid w:val="00E51F55"/>
    <w:rsid w:val="00E54263"/>
    <w:rsid w:val="00E57E7F"/>
    <w:rsid w:val="00E6041B"/>
    <w:rsid w:val="00E6351B"/>
    <w:rsid w:val="00E638A6"/>
    <w:rsid w:val="00E667FB"/>
    <w:rsid w:val="00E70A28"/>
    <w:rsid w:val="00E70BD4"/>
    <w:rsid w:val="00E70E4C"/>
    <w:rsid w:val="00E71187"/>
    <w:rsid w:val="00E71504"/>
    <w:rsid w:val="00E73C9E"/>
    <w:rsid w:val="00E74D61"/>
    <w:rsid w:val="00E77C52"/>
    <w:rsid w:val="00E8068C"/>
    <w:rsid w:val="00E84470"/>
    <w:rsid w:val="00E85F1D"/>
    <w:rsid w:val="00E86871"/>
    <w:rsid w:val="00E872CF"/>
    <w:rsid w:val="00E932FF"/>
    <w:rsid w:val="00E954F5"/>
    <w:rsid w:val="00E95A7C"/>
    <w:rsid w:val="00E9655D"/>
    <w:rsid w:val="00E965A0"/>
    <w:rsid w:val="00E96C3E"/>
    <w:rsid w:val="00EA0044"/>
    <w:rsid w:val="00EA0711"/>
    <w:rsid w:val="00EA12C8"/>
    <w:rsid w:val="00EA148A"/>
    <w:rsid w:val="00EA1DF9"/>
    <w:rsid w:val="00EA21E0"/>
    <w:rsid w:val="00EA2B10"/>
    <w:rsid w:val="00EA2C08"/>
    <w:rsid w:val="00EA3D95"/>
    <w:rsid w:val="00EA4291"/>
    <w:rsid w:val="00EA69AC"/>
    <w:rsid w:val="00EA6F99"/>
    <w:rsid w:val="00EB0482"/>
    <w:rsid w:val="00EB1549"/>
    <w:rsid w:val="00EB4354"/>
    <w:rsid w:val="00EB684E"/>
    <w:rsid w:val="00EB726A"/>
    <w:rsid w:val="00EB7436"/>
    <w:rsid w:val="00EC1B1C"/>
    <w:rsid w:val="00EC25CF"/>
    <w:rsid w:val="00EC4694"/>
    <w:rsid w:val="00ED0828"/>
    <w:rsid w:val="00ED0BDF"/>
    <w:rsid w:val="00ED35FF"/>
    <w:rsid w:val="00ED6028"/>
    <w:rsid w:val="00ED77A3"/>
    <w:rsid w:val="00EE25C0"/>
    <w:rsid w:val="00EE6314"/>
    <w:rsid w:val="00EE7CFA"/>
    <w:rsid w:val="00EE7D55"/>
    <w:rsid w:val="00EF040F"/>
    <w:rsid w:val="00EF1678"/>
    <w:rsid w:val="00EF1685"/>
    <w:rsid w:val="00EF1DEE"/>
    <w:rsid w:val="00EF3337"/>
    <w:rsid w:val="00F0083C"/>
    <w:rsid w:val="00F014A5"/>
    <w:rsid w:val="00F05002"/>
    <w:rsid w:val="00F053D4"/>
    <w:rsid w:val="00F07039"/>
    <w:rsid w:val="00F11C14"/>
    <w:rsid w:val="00F1353B"/>
    <w:rsid w:val="00F1481D"/>
    <w:rsid w:val="00F1554E"/>
    <w:rsid w:val="00F16AB7"/>
    <w:rsid w:val="00F17A30"/>
    <w:rsid w:val="00F20D35"/>
    <w:rsid w:val="00F23CD5"/>
    <w:rsid w:val="00F24293"/>
    <w:rsid w:val="00F24CAC"/>
    <w:rsid w:val="00F26752"/>
    <w:rsid w:val="00F27D48"/>
    <w:rsid w:val="00F31D55"/>
    <w:rsid w:val="00F32247"/>
    <w:rsid w:val="00F32504"/>
    <w:rsid w:val="00F32747"/>
    <w:rsid w:val="00F336DC"/>
    <w:rsid w:val="00F33CA6"/>
    <w:rsid w:val="00F37245"/>
    <w:rsid w:val="00F37362"/>
    <w:rsid w:val="00F41E95"/>
    <w:rsid w:val="00F43227"/>
    <w:rsid w:val="00F43BA7"/>
    <w:rsid w:val="00F4536C"/>
    <w:rsid w:val="00F45432"/>
    <w:rsid w:val="00F4693E"/>
    <w:rsid w:val="00F46A8B"/>
    <w:rsid w:val="00F522E0"/>
    <w:rsid w:val="00F55531"/>
    <w:rsid w:val="00F5781A"/>
    <w:rsid w:val="00F6047E"/>
    <w:rsid w:val="00F60886"/>
    <w:rsid w:val="00F624E5"/>
    <w:rsid w:val="00F628F0"/>
    <w:rsid w:val="00F635B4"/>
    <w:rsid w:val="00F63970"/>
    <w:rsid w:val="00F64E3B"/>
    <w:rsid w:val="00F71C4B"/>
    <w:rsid w:val="00F73EE4"/>
    <w:rsid w:val="00F74068"/>
    <w:rsid w:val="00F77CC4"/>
    <w:rsid w:val="00F77E17"/>
    <w:rsid w:val="00F800B0"/>
    <w:rsid w:val="00F81045"/>
    <w:rsid w:val="00F81CEC"/>
    <w:rsid w:val="00F85E9A"/>
    <w:rsid w:val="00F86AAD"/>
    <w:rsid w:val="00F873FA"/>
    <w:rsid w:val="00F87DA7"/>
    <w:rsid w:val="00F909EF"/>
    <w:rsid w:val="00F92126"/>
    <w:rsid w:val="00F92EA4"/>
    <w:rsid w:val="00F93DE0"/>
    <w:rsid w:val="00F97E66"/>
    <w:rsid w:val="00FA28F4"/>
    <w:rsid w:val="00FA2BA7"/>
    <w:rsid w:val="00FA2E9F"/>
    <w:rsid w:val="00FA4160"/>
    <w:rsid w:val="00FA7C41"/>
    <w:rsid w:val="00FA7D4D"/>
    <w:rsid w:val="00FB1A85"/>
    <w:rsid w:val="00FB340F"/>
    <w:rsid w:val="00FB3FFD"/>
    <w:rsid w:val="00FB40CE"/>
    <w:rsid w:val="00FB4EC1"/>
    <w:rsid w:val="00FB5943"/>
    <w:rsid w:val="00FB599B"/>
    <w:rsid w:val="00FB67F2"/>
    <w:rsid w:val="00FB7749"/>
    <w:rsid w:val="00FB7B59"/>
    <w:rsid w:val="00FC1345"/>
    <w:rsid w:val="00FC38DA"/>
    <w:rsid w:val="00FC3BCE"/>
    <w:rsid w:val="00FC4060"/>
    <w:rsid w:val="00FC4679"/>
    <w:rsid w:val="00FC55F4"/>
    <w:rsid w:val="00FC5AB7"/>
    <w:rsid w:val="00FC6C09"/>
    <w:rsid w:val="00FC7BDD"/>
    <w:rsid w:val="00FD0199"/>
    <w:rsid w:val="00FD131E"/>
    <w:rsid w:val="00FD224B"/>
    <w:rsid w:val="00FD30BF"/>
    <w:rsid w:val="00FD53D0"/>
    <w:rsid w:val="00FD5A98"/>
    <w:rsid w:val="00FD6092"/>
    <w:rsid w:val="00FD65D4"/>
    <w:rsid w:val="00FD7DB5"/>
    <w:rsid w:val="00FE497A"/>
    <w:rsid w:val="00FE4B4E"/>
    <w:rsid w:val="00FE5AC1"/>
    <w:rsid w:val="00FE6577"/>
    <w:rsid w:val="00FE78E3"/>
    <w:rsid w:val="00FF0AED"/>
    <w:rsid w:val="00FF1690"/>
    <w:rsid w:val="00FF2D1F"/>
    <w:rsid w:val="00FF793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CA875"/>
  <w15:docId w15:val="{73C3A9DC-B64B-4185-B8C3-F1BC158B5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AA3"/>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A21E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C3A9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citation-32">
    <w:name w:val="citation-32"/>
    <w:basedOn w:val="DefaultParagraphFont"/>
    <w:rsid w:val="00914DEE"/>
  </w:style>
  <w:style w:type="character" w:customStyle="1" w:styleId="citation-31">
    <w:name w:val="citation-31"/>
    <w:basedOn w:val="DefaultParagraphFont"/>
    <w:rsid w:val="00914DEE"/>
  </w:style>
  <w:style w:type="character" w:customStyle="1" w:styleId="citation-30">
    <w:name w:val="citation-30"/>
    <w:basedOn w:val="DefaultParagraphFont"/>
    <w:rsid w:val="00914DEE"/>
  </w:style>
  <w:style w:type="character" w:customStyle="1" w:styleId="citation-29">
    <w:name w:val="citation-29"/>
    <w:basedOn w:val="DefaultParagraphFont"/>
    <w:rsid w:val="00914DEE"/>
  </w:style>
  <w:style w:type="character" w:customStyle="1" w:styleId="citation-28">
    <w:name w:val="citation-28"/>
    <w:basedOn w:val="DefaultParagraphFont"/>
    <w:rsid w:val="00914DEE"/>
  </w:style>
  <w:style w:type="character" w:customStyle="1" w:styleId="citation-27">
    <w:name w:val="citation-27"/>
    <w:basedOn w:val="DefaultParagraphFont"/>
    <w:rsid w:val="00914DEE"/>
  </w:style>
  <w:style w:type="character" w:customStyle="1" w:styleId="citation-26">
    <w:name w:val="citation-26"/>
    <w:basedOn w:val="DefaultParagraphFont"/>
    <w:rsid w:val="00914DEE"/>
  </w:style>
  <w:style w:type="character" w:customStyle="1" w:styleId="citation-25">
    <w:name w:val="citation-25"/>
    <w:basedOn w:val="DefaultParagraphFont"/>
    <w:rsid w:val="00914DEE"/>
  </w:style>
  <w:style w:type="character" w:customStyle="1" w:styleId="citation-24">
    <w:name w:val="citation-24"/>
    <w:basedOn w:val="DefaultParagraphFont"/>
    <w:rsid w:val="00914DEE"/>
  </w:style>
  <w:style w:type="character" w:customStyle="1" w:styleId="citation-23">
    <w:name w:val="citation-23"/>
    <w:basedOn w:val="DefaultParagraphFont"/>
    <w:rsid w:val="00914DEE"/>
  </w:style>
  <w:style w:type="character" w:customStyle="1" w:styleId="citation-22">
    <w:name w:val="citation-22"/>
    <w:basedOn w:val="DefaultParagraphFont"/>
    <w:rsid w:val="00914DEE"/>
  </w:style>
  <w:style w:type="character" w:customStyle="1" w:styleId="citation-21">
    <w:name w:val="citation-21"/>
    <w:basedOn w:val="DefaultParagraphFont"/>
    <w:rsid w:val="00914DEE"/>
  </w:style>
  <w:style w:type="character" w:customStyle="1" w:styleId="citation-20">
    <w:name w:val="citation-20"/>
    <w:basedOn w:val="DefaultParagraphFont"/>
    <w:rsid w:val="00914DEE"/>
  </w:style>
  <w:style w:type="character" w:customStyle="1" w:styleId="citation-19">
    <w:name w:val="citation-19"/>
    <w:basedOn w:val="DefaultParagraphFont"/>
    <w:rsid w:val="00914DEE"/>
  </w:style>
  <w:style w:type="character" w:customStyle="1" w:styleId="citation-18">
    <w:name w:val="citation-18"/>
    <w:basedOn w:val="DefaultParagraphFont"/>
    <w:rsid w:val="00914DEE"/>
  </w:style>
  <w:style w:type="character" w:customStyle="1" w:styleId="citation-17">
    <w:name w:val="citation-17"/>
    <w:basedOn w:val="DefaultParagraphFont"/>
    <w:rsid w:val="00914DEE"/>
  </w:style>
  <w:style w:type="character" w:customStyle="1" w:styleId="citation-16">
    <w:name w:val="citation-16"/>
    <w:basedOn w:val="DefaultParagraphFont"/>
    <w:rsid w:val="00914DEE"/>
  </w:style>
  <w:style w:type="character" w:customStyle="1" w:styleId="citation-15">
    <w:name w:val="citation-15"/>
    <w:basedOn w:val="DefaultParagraphFont"/>
    <w:rsid w:val="00914DEE"/>
  </w:style>
  <w:style w:type="character" w:customStyle="1" w:styleId="citation-14">
    <w:name w:val="citation-14"/>
    <w:basedOn w:val="DefaultParagraphFont"/>
    <w:rsid w:val="00914DEE"/>
  </w:style>
  <w:style w:type="character" w:customStyle="1" w:styleId="citation-13">
    <w:name w:val="citation-13"/>
    <w:basedOn w:val="DefaultParagraphFont"/>
    <w:rsid w:val="00914DEE"/>
  </w:style>
  <w:style w:type="character" w:customStyle="1" w:styleId="citation-12">
    <w:name w:val="citation-12"/>
    <w:basedOn w:val="DefaultParagraphFont"/>
    <w:rsid w:val="00914DEE"/>
  </w:style>
  <w:style w:type="character" w:customStyle="1" w:styleId="citation-11">
    <w:name w:val="citation-11"/>
    <w:basedOn w:val="DefaultParagraphFont"/>
    <w:rsid w:val="00914DEE"/>
  </w:style>
  <w:style w:type="character" w:customStyle="1" w:styleId="citation-10">
    <w:name w:val="citation-10"/>
    <w:basedOn w:val="DefaultParagraphFont"/>
    <w:rsid w:val="00914DEE"/>
  </w:style>
  <w:style w:type="character" w:customStyle="1" w:styleId="citation-9">
    <w:name w:val="citation-9"/>
    <w:basedOn w:val="DefaultParagraphFont"/>
    <w:rsid w:val="00914DEE"/>
  </w:style>
  <w:style w:type="character" w:customStyle="1" w:styleId="citation-8">
    <w:name w:val="citation-8"/>
    <w:basedOn w:val="DefaultParagraphFont"/>
    <w:rsid w:val="00914DEE"/>
  </w:style>
  <w:style w:type="character" w:customStyle="1" w:styleId="citation-7">
    <w:name w:val="citation-7"/>
    <w:basedOn w:val="DefaultParagraphFont"/>
    <w:rsid w:val="00914DEE"/>
  </w:style>
  <w:style w:type="character" w:customStyle="1" w:styleId="citation-6">
    <w:name w:val="citation-6"/>
    <w:basedOn w:val="DefaultParagraphFont"/>
    <w:rsid w:val="00914DEE"/>
  </w:style>
  <w:style w:type="character" w:customStyle="1" w:styleId="citation-5">
    <w:name w:val="citation-5"/>
    <w:basedOn w:val="DefaultParagraphFont"/>
    <w:rsid w:val="00914DEE"/>
  </w:style>
  <w:style w:type="character" w:customStyle="1" w:styleId="citation-4">
    <w:name w:val="citation-4"/>
    <w:basedOn w:val="DefaultParagraphFont"/>
    <w:rsid w:val="00914DEE"/>
  </w:style>
  <w:style w:type="character" w:customStyle="1" w:styleId="citation-3">
    <w:name w:val="citation-3"/>
    <w:basedOn w:val="DefaultParagraphFont"/>
    <w:rsid w:val="00914DEE"/>
  </w:style>
  <w:style w:type="character" w:customStyle="1" w:styleId="citation-2">
    <w:name w:val="citation-2"/>
    <w:basedOn w:val="DefaultParagraphFont"/>
    <w:rsid w:val="00914DEE"/>
  </w:style>
  <w:style w:type="character" w:customStyle="1" w:styleId="citation-1">
    <w:name w:val="citation-1"/>
    <w:basedOn w:val="DefaultParagraphFont"/>
    <w:rsid w:val="00914DEE"/>
  </w:style>
  <w:style w:type="character" w:customStyle="1" w:styleId="citation-0">
    <w:name w:val="citation-0"/>
    <w:basedOn w:val="DefaultParagraphFont"/>
    <w:rsid w:val="00D41982"/>
  </w:style>
  <w:style w:type="character" w:customStyle="1" w:styleId="uv3um">
    <w:name w:val="uv3um"/>
    <w:basedOn w:val="DefaultParagraphFont"/>
    <w:rsid w:val="00210FA3"/>
  </w:style>
  <w:style w:type="character" w:styleId="Hyperlink">
    <w:name w:val="Hyperlink"/>
    <w:basedOn w:val="DefaultParagraphFont"/>
    <w:uiPriority w:val="99"/>
    <w:unhideWhenUsed/>
    <w:rsid w:val="00210FA3"/>
    <w:rPr>
      <w:color w:val="0000FF" w:themeColor="hyperlink"/>
      <w:u w:val="single"/>
    </w:rPr>
  </w:style>
  <w:style w:type="character" w:customStyle="1" w:styleId="Heading3Char">
    <w:name w:val="Heading 3 Char"/>
    <w:basedOn w:val="DefaultParagraphFont"/>
    <w:link w:val="Heading3"/>
    <w:uiPriority w:val="9"/>
    <w:rsid w:val="00EA21E0"/>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EA21E0"/>
    <w:pPr>
      <w:spacing w:before="480" w:line="276" w:lineRule="auto"/>
      <w:outlineLvl w:val="9"/>
    </w:pPr>
    <w:rPr>
      <w:b/>
      <w:bCs/>
      <w:sz w:val="28"/>
      <w:szCs w:val="28"/>
    </w:rPr>
  </w:style>
  <w:style w:type="paragraph" w:styleId="TOC1">
    <w:name w:val="toc 1"/>
    <w:basedOn w:val="Normal"/>
    <w:next w:val="Normal"/>
    <w:autoRedefine/>
    <w:uiPriority w:val="39"/>
    <w:unhideWhenUsed/>
    <w:rsid w:val="00B53190"/>
    <w:pPr>
      <w:tabs>
        <w:tab w:val="right" w:leader="dot" w:pos="8296"/>
      </w:tabs>
      <w:bidi/>
      <w:spacing w:after="100"/>
    </w:pPr>
  </w:style>
  <w:style w:type="paragraph" w:styleId="TOC2">
    <w:name w:val="toc 2"/>
    <w:basedOn w:val="Normal"/>
    <w:next w:val="Normal"/>
    <w:autoRedefine/>
    <w:uiPriority w:val="39"/>
    <w:unhideWhenUsed/>
    <w:rsid w:val="00685A20"/>
    <w:pPr>
      <w:tabs>
        <w:tab w:val="left" w:pos="440"/>
        <w:tab w:val="right" w:leader="dot" w:pos="8296"/>
      </w:tabs>
      <w:bidi/>
      <w:spacing w:after="100"/>
      <w:ind w:left="220"/>
    </w:pPr>
  </w:style>
  <w:style w:type="paragraph" w:styleId="TOC3">
    <w:name w:val="toc 3"/>
    <w:basedOn w:val="Normal"/>
    <w:next w:val="Normal"/>
    <w:autoRedefine/>
    <w:uiPriority w:val="39"/>
    <w:unhideWhenUsed/>
    <w:rsid w:val="004908D6"/>
    <w:pPr>
      <w:tabs>
        <w:tab w:val="left" w:pos="440"/>
        <w:tab w:val="right" w:leader="dot" w:pos="8296"/>
      </w:tabs>
      <w:bidi/>
      <w:spacing w:after="100"/>
      <w:ind w:left="440"/>
    </w:pPr>
  </w:style>
  <w:style w:type="paragraph" w:styleId="Quote">
    <w:name w:val="Quote"/>
    <w:basedOn w:val="Normal"/>
    <w:next w:val="Normal"/>
    <w:link w:val="QuoteChar"/>
    <w:uiPriority w:val="29"/>
    <w:qFormat/>
    <w:rsid w:val="00C8560F"/>
    <w:rPr>
      <w:i/>
      <w:iCs/>
      <w:color w:val="000000" w:themeColor="text1"/>
    </w:rPr>
  </w:style>
  <w:style w:type="character" w:customStyle="1" w:styleId="QuoteChar">
    <w:name w:val="Quote Char"/>
    <w:basedOn w:val="DefaultParagraphFont"/>
    <w:link w:val="Quote"/>
    <w:uiPriority w:val="29"/>
    <w:rsid w:val="00C8560F"/>
    <w:rPr>
      <w:i/>
      <w:iCs/>
      <w:color w:val="000000" w:themeColor="text1"/>
    </w:rPr>
  </w:style>
  <w:style w:type="paragraph" w:styleId="IntenseQuote">
    <w:name w:val="Intense Quote"/>
    <w:basedOn w:val="Normal"/>
    <w:next w:val="Normal"/>
    <w:link w:val="IntenseQuoteChar"/>
    <w:uiPriority w:val="30"/>
    <w:qFormat/>
    <w:rsid w:val="00C8560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8560F"/>
    <w:rPr>
      <w:b/>
      <w:bCs/>
      <w:i/>
      <w:iCs/>
      <w:color w:val="4F81BD" w:themeColor="accent1"/>
    </w:rPr>
  </w:style>
  <w:style w:type="character" w:customStyle="1" w:styleId="fontstyle01">
    <w:name w:val="fontstyle01"/>
    <w:basedOn w:val="DefaultParagraphFont"/>
    <w:rsid w:val="0013659B"/>
    <w:rPr>
      <w:rFonts w:ascii="ArialMT" w:hAnsi="ArialMT" w:hint="default"/>
      <w:b w:val="0"/>
      <w:bCs w:val="0"/>
      <w:i w:val="0"/>
      <w:iCs w:val="0"/>
      <w:color w:val="000000"/>
      <w:sz w:val="24"/>
      <w:szCs w:val="24"/>
    </w:rPr>
  </w:style>
  <w:style w:type="character" w:customStyle="1" w:styleId="fontstyle21">
    <w:name w:val="fontstyle21"/>
    <w:basedOn w:val="DefaultParagraphFont"/>
    <w:rsid w:val="0013659B"/>
    <w:rPr>
      <w:rFonts w:ascii="Wingdings-Regular" w:hAnsi="Wingdings-Regular" w:hint="default"/>
      <w:b w:val="0"/>
      <w:bCs w:val="0"/>
      <w:i w:val="0"/>
      <w:iCs w:val="0"/>
      <w:color w:val="000000"/>
      <w:sz w:val="24"/>
      <w:szCs w:val="24"/>
    </w:rPr>
  </w:style>
  <w:style w:type="character" w:customStyle="1" w:styleId="Heading4Char">
    <w:name w:val="Heading 4 Char"/>
    <w:basedOn w:val="DefaultParagraphFont"/>
    <w:link w:val="Heading4"/>
    <w:uiPriority w:val="9"/>
    <w:rsid w:val="002C3A90"/>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F81045"/>
    <w:rPr>
      <w:i/>
      <w:iCs/>
    </w:rPr>
  </w:style>
  <w:style w:type="paragraph" w:styleId="Caption">
    <w:name w:val="caption"/>
    <w:basedOn w:val="Normal"/>
    <w:next w:val="Normal"/>
    <w:uiPriority w:val="35"/>
    <w:unhideWhenUsed/>
    <w:qFormat/>
    <w:rsid w:val="00E234C5"/>
    <w:pPr>
      <w:spacing w:after="200" w:line="240" w:lineRule="auto"/>
    </w:pPr>
    <w:rPr>
      <w:b/>
      <w:bCs/>
      <w:color w:val="4F81BD" w:themeColor="accent1"/>
      <w:sz w:val="18"/>
      <w:szCs w:val="18"/>
    </w:rPr>
  </w:style>
  <w:style w:type="paragraph" w:styleId="FootnoteText">
    <w:name w:val="footnote text"/>
    <w:basedOn w:val="Normal"/>
    <w:link w:val="FootnoteTextChar"/>
    <w:uiPriority w:val="99"/>
    <w:semiHidden/>
    <w:unhideWhenUsed/>
    <w:rsid w:val="007F47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4785"/>
    <w:rPr>
      <w:sz w:val="20"/>
      <w:szCs w:val="20"/>
    </w:rPr>
  </w:style>
  <w:style w:type="character" w:styleId="FootnoteReference">
    <w:name w:val="footnote reference"/>
    <w:basedOn w:val="DefaultParagraphFont"/>
    <w:uiPriority w:val="99"/>
    <w:semiHidden/>
    <w:unhideWhenUsed/>
    <w:rsid w:val="007F4785"/>
    <w:rPr>
      <w:vertAlign w:val="superscript"/>
    </w:rPr>
  </w:style>
  <w:style w:type="paragraph" w:styleId="TableofFigures">
    <w:name w:val="table of figures"/>
    <w:basedOn w:val="Normal"/>
    <w:next w:val="Normal"/>
    <w:uiPriority w:val="99"/>
    <w:unhideWhenUsed/>
    <w:rsid w:val="00920785"/>
    <w:pPr>
      <w:spacing w:after="0"/>
    </w:pPr>
  </w:style>
  <w:style w:type="character" w:customStyle="1" w:styleId="sar-symbol">
    <w:name w:val="sar-symbol"/>
    <w:basedOn w:val="DefaultParagraphFont"/>
    <w:rsid w:val="00EB7436"/>
  </w:style>
  <w:style w:type="character" w:customStyle="1" w:styleId="UnresolvedMention1">
    <w:name w:val="Unresolved Mention1"/>
    <w:basedOn w:val="DefaultParagraphFont"/>
    <w:uiPriority w:val="99"/>
    <w:semiHidden/>
    <w:unhideWhenUsed/>
    <w:rsid w:val="003F5C18"/>
    <w:rPr>
      <w:color w:val="605E5C"/>
      <w:shd w:val="clear" w:color="auto" w:fill="E1DFDD"/>
    </w:rPr>
  </w:style>
  <w:style w:type="paragraph" w:customStyle="1" w:styleId="ds-markdown-paragraph">
    <w:name w:val="ds-markdown-paragraph"/>
    <w:basedOn w:val="Normal"/>
    <w:rsid w:val="00843CD6"/>
    <w:pPr>
      <w:spacing w:before="100" w:beforeAutospacing="1" w:after="100" w:afterAutospacing="1" w:line="240" w:lineRule="auto"/>
    </w:pPr>
    <w:rPr>
      <w:rFonts w:ascii="Times New Roman" w:eastAsia="Times New Roman" w:hAnsi="Times New Roman" w:cs="Times New Roman"/>
      <w:sz w:val="24"/>
      <w:szCs w:val="24"/>
    </w:rPr>
  </w:style>
  <w:style w:type="table" w:styleId="TableGridLight">
    <w:name w:val="Grid Table Light"/>
    <w:basedOn w:val="TableNormal"/>
    <w:uiPriority w:val="40"/>
    <w:rsid w:val="001A3A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4">
    <w:name w:val="toc 4"/>
    <w:basedOn w:val="Normal"/>
    <w:next w:val="Normal"/>
    <w:autoRedefine/>
    <w:uiPriority w:val="39"/>
    <w:unhideWhenUsed/>
    <w:rsid w:val="00977E98"/>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977E98"/>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977E98"/>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977E98"/>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977E98"/>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977E98"/>
    <w:pPr>
      <w:spacing w:after="100" w:line="278" w:lineRule="auto"/>
      <w:ind w:left="1920"/>
    </w:pPr>
    <w:rPr>
      <w:rFonts w:eastAsiaTheme="minorEastAsia"/>
      <w:kern w:val="2"/>
      <w:sz w:val="24"/>
      <w:szCs w:val="24"/>
      <w14:ligatures w14:val="standardContextual"/>
    </w:rPr>
  </w:style>
  <w:style w:type="character" w:customStyle="1" w:styleId="UnresolvedMention2">
    <w:name w:val="Unresolved Mention2"/>
    <w:basedOn w:val="DefaultParagraphFont"/>
    <w:uiPriority w:val="99"/>
    <w:semiHidden/>
    <w:unhideWhenUsed/>
    <w:rsid w:val="00977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9446">
      <w:bodyDiv w:val="1"/>
      <w:marLeft w:val="0"/>
      <w:marRight w:val="0"/>
      <w:marTop w:val="0"/>
      <w:marBottom w:val="0"/>
      <w:divBdr>
        <w:top w:val="none" w:sz="0" w:space="0" w:color="auto"/>
        <w:left w:val="none" w:sz="0" w:space="0" w:color="auto"/>
        <w:bottom w:val="none" w:sz="0" w:space="0" w:color="auto"/>
        <w:right w:val="none" w:sz="0" w:space="0" w:color="auto"/>
      </w:divBdr>
    </w:div>
    <w:div w:id="28264769">
      <w:bodyDiv w:val="1"/>
      <w:marLeft w:val="0"/>
      <w:marRight w:val="0"/>
      <w:marTop w:val="0"/>
      <w:marBottom w:val="0"/>
      <w:divBdr>
        <w:top w:val="none" w:sz="0" w:space="0" w:color="auto"/>
        <w:left w:val="none" w:sz="0" w:space="0" w:color="auto"/>
        <w:bottom w:val="none" w:sz="0" w:space="0" w:color="auto"/>
        <w:right w:val="none" w:sz="0" w:space="0" w:color="auto"/>
      </w:divBdr>
    </w:div>
    <w:div w:id="56710726">
      <w:bodyDiv w:val="1"/>
      <w:marLeft w:val="0"/>
      <w:marRight w:val="0"/>
      <w:marTop w:val="0"/>
      <w:marBottom w:val="0"/>
      <w:divBdr>
        <w:top w:val="none" w:sz="0" w:space="0" w:color="auto"/>
        <w:left w:val="none" w:sz="0" w:space="0" w:color="auto"/>
        <w:bottom w:val="none" w:sz="0" w:space="0" w:color="auto"/>
        <w:right w:val="none" w:sz="0" w:space="0" w:color="auto"/>
      </w:divBdr>
    </w:div>
    <w:div w:id="63333577">
      <w:bodyDiv w:val="1"/>
      <w:marLeft w:val="0"/>
      <w:marRight w:val="0"/>
      <w:marTop w:val="0"/>
      <w:marBottom w:val="0"/>
      <w:divBdr>
        <w:top w:val="none" w:sz="0" w:space="0" w:color="auto"/>
        <w:left w:val="none" w:sz="0" w:space="0" w:color="auto"/>
        <w:bottom w:val="none" w:sz="0" w:space="0" w:color="auto"/>
        <w:right w:val="none" w:sz="0" w:space="0" w:color="auto"/>
      </w:divBdr>
    </w:div>
    <w:div w:id="109931733">
      <w:bodyDiv w:val="1"/>
      <w:marLeft w:val="0"/>
      <w:marRight w:val="0"/>
      <w:marTop w:val="0"/>
      <w:marBottom w:val="0"/>
      <w:divBdr>
        <w:top w:val="none" w:sz="0" w:space="0" w:color="auto"/>
        <w:left w:val="none" w:sz="0" w:space="0" w:color="auto"/>
        <w:bottom w:val="none" w:sz="0" w:space="0" w:color="auto"/>
        <w:right w:val="none" w:sz="0" w:space="0" w:color="auto"/>
      </w:divBdr>
    </w:div>
    <w:div w:id="119149211">
      <w:bodyDiv w:val="1"/>
      <w:marLeft w:val="0"/>
      <w:marRight w:val="0"/>
      <w:marTop w:val="0"/>
      <w:marBottom w:val="0"/>
      <w:divBdr>
        <w:top w:val="none" w:sz="0" w:space="0" w:color="auto"/>
        <w:left w:val="none" w:sz="0" w:space="0" w:color="auto"/>
        <w:bottom w:val="none" w:sz="0" w:space="0" w:color="auto"/>
        <w:right w:val="none" w:sz="0" w:space="0" w:color="auto"/>
      </w:divBdr>
    </w:div>
    <w:div w:id="120653279">
      <w:bodyDiv w:val="1"/>
      <w:marLeft w:val="0"/>
      <w:marRight w:val="0"/>
      <w:marTop w:val="0"/>
      <w:marBottom w:val="0"/>
      <w:divBdr>
        <w:top w:val="none" w:sz="0" w:space="0" w:color="auto"/>
        <w:left w:val="none" w:sz="0" w:space="0" w:color="auto"/>
        <w:bottom w:val="none" w:sz="0" w:space="0" w:color="auto"/>
        <w:right w:val="none" w:sz="0" w:space="0" w:color="auto"/>
      </w:divBdr>
    </w:div>
    <w:div w:id="122886512">
      <w:bodyDiv w:val="1"/>
      <w:marLeft w:val="0"/>
      <w:marRight w:val="0"/>
      <w:marTop w:val="0"/>
      <w:marBottom w:val="0"/>
      <w:divBdr>
        <w:top w:val="none" w:sz="0" w:space="0" w:color="auto"/>
        <w:left w:val="none" w:sz="0" w:space="0" w:color="auto"/>
        <w:bottom w:val="none" w:sz="0" w:space="0" w:color="auto"/>
        <w:right w:val="none" w:sz="0" w:space="0" w:color="auto"/>
      </w:divBdr>
    </w:div>
    <w:div w:id="139156907">
      <w:bodyDiv w:val="1"/>
      <w:marLeft w:val="0"/>
      <w:marRight w:val="0"/>
      <w:marTop w:val="0"/>
      <w:marBottom w:val="0"/>
      <w:divBdr>
        <w:top w:val="none" w:sz="0" w:space="0" w:color="auto"/>
        <w:left w:val="none" w:sz="0" w:space="0" w:color="auto"/>
        <w:bottom w:val="none" w:sz="0" w:space="0" w:color="auto"/>
        <w:right w:val="none" w:sz="0" w:space="0" w:color="auto"/>
      </w:divBdr>
      <w:divsChild>
        <w:div w:id="1707482685">
          <w:marLeft w:val="0"/>
          <w:marRight w:val="0"/>
          <w:marTop w:val="0"/>
          <w:marBottom w:val="0"/>
          <w:divBdr>
            <w:top w:val="none" w:sz="0" w:space="0" w:color="auto"/>
            <w:left w:val="none" w:sz="0" w:space="0" w:color="auto"/>
            <w:bottom w:val="none" w:sz="0" w:space="0" w:color="auto"/>
            <w:right w:val="none" w:sz="0" w:space="0" w:color="auto"/>
          </w:divBdr>
          <w:divsChild>
            <w:div w:id="749546311">
              <w:marLeft w:val="0"/>
              <w:marRight w:val="0"/>
              <w:marTop w:val="0"/>
              <w:marBottom w:val="0"/>
              <w:divBdr>
                <w:top w:val="none" w:sz="0" w:space="0" w:color="auto"/>
                <w:left w:val="none" w:sz="0" w:space="0" w:color="auto"/>
                <w:bottom w:val="none" w:sz="0" w:space="0" w:color="auto"/>
                <w:right w:val="none" w:sz="0" w:space="0" w:color="auto"/>
              </w:divBdr>
              <w:divsChild>
                <w:div w:id="926500199">
                  <w:marLeft w:val="0"/>
                  <w:marRight w:val="0"/>
                  <w:marTop w:val="0"/>
                  <w:marBottom w:val="0"/>
                  <w:divBdr>
                    <w:top w:val="none" w:sz="0" w:space="0" w:color="auto"/>
                    <w:left w:val="none" w:sz="0" w:space="0" w:color="auto"/>
                    <w:bottom w:val="none" w:sz="0" w:space="0" w:color="auto"/>
                    <w:right w:val="none" w:sz="0" w:space="0" w:color="auto"/>
                  </w:divBdr>
                  <w:divsChild>
                    <w:div w:id="367612258">
                      <w:marLeft w:val="0"/>
                      <w:marRight w:val="0"/>
                      <w:marTop w:val="0"/>
                      <w:marBottom w:val="0"/>
                      <w:divBdr>
                        <w:top w:val="none" w:sz="0" w:space="0" w:color="auto"/>
                        <w:left w:val="none" w:sz="0" w:space="0" w:color="auto"/>
                        <w:bottom w:val="none" w:sz="0" w:space="0" w:color="auto"/>
                        <w:right w:val="none" w:sz="0" w:space="0" w:color="auto"/>
                      </w:divBdr>
                      <w:divsChild>
                        <w:div w:id="800030349">
                          <w:marLeft w:val="0"/>
                          <w:marRight w:val="0"/>
                          <w:marTop w:val="0"/>
                          <w:marBottom w:val="0"/>
                          <w:divBdr>
                            <w:top w:val="none" w:sz="0" w:space="0" w:color="auto"/>
                            <w:left w:val="none" w:sz="0" w:space="0" w:color="auto"/>
                            <w:bottom w:val="none" w:sz="0" w:space="0" w:color="auto"/>
                            <w:right w:val="none" w:sz="0" w:space="0" w:color="auto"/>
                          </w:divBdr>
                          <w:divsChild>
                            <w:div w:id="1742174398">
                              <w:marLeft w:val="0"/>
                              <w:marRight w:val="0"/>
                              <w:marTop w:val="0"/>
                              <w:marBottom w:val="0"/>
                              <w:divBdr>
                                <w:top w:val="none" w:sz="0" w:space="0" w:color="auto"/>
                                <w:left w:val="none" w:sz="0" w:space="0" w:color="auto"/>
                                <w:bottom w:val="none" w:sz="0" w:space="0" w:color="auto"/>
                                <w:right w:val="none" w:sz="0" w:space="0" w:color="auto"/>
                              </w:divBdr>
                              <w:divsChild>
                                <w:div w:id="179143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504589">
      <w:bodyDiv w:val="1"/>
      <w:marLeft w:val="0"/>
      <w:marRight w:val="0"/>
      <w:marTop w:val="0"/>
      <w:marBottom w:val="0"/>
      <w:divBdr>
        <w:top w:val="none" w:sz="0" w:space="0" w:color="auto"/>
        <w:left w:val="none" w:sz="0" w:space="0" w:color="auto"/>
        <w:bottom w:val="none" w:sz="0" w:space="0" w:color="auto"/>
        <w:right w:val="none" w:sz="0" w:space="0" w:color="auto"/>
      </w:divBdr>
    </w:div>
    <w:div w:id="153299848">
      <w:bodyDiv w:val="1"/>
      <w:marLeft w:val="0"/>
      <w:marRight w:val="0"/>
      <w:marTop w:val="0"/>
      <w:marBottom w:val="0"/>
      <w:divBdr>
        <w:top w:val="none" w:sz="0" w:space="0" w:color="auto"/>
        <w:left w:val="none" w:sz="0" w:space="0" w:color="auto"/>
        <w:bottom w:val="none" w:sz="0" w:space="0" w:color="auto"/>
        <w:right w:val="none" w:sz="0" w:space="0" w:color="auto"/>
      </w:divBdr>
    </w:div>
    <w:div w:id="162088229">
      <w:bodyDiv w:val="1"/>
      <w:marLeft w:val="0"/>
      <w:marRight w:val="0"/>
      <w:marTop w:val="0"/>
      <w:marBottom w:val="0"/>
      <w:divBdr>
        <w:top w:val="none" w:sz="0" w:space="0" w:color="auto"/>
        <w:left w:val="none" w:sz="0" w:space="0" w:color="auto"/>
        <w:bottom w:val="none" w:sz="0" w:space="0" w:color="auto"/>
        <w:right w:val="none" w:sz="0" w:space="0" w:color="auto"/>
      </w:divBdr>
    </w:div>
    <w:div w:id="170607193">
      <w:bodyDiv w:val="1"/>
      <w:marLeft w:val="0"/>
      <w:marRight w:val="0"/>
      <w:marTop w:val="0"/>
      <w:marBottom w:val="0"/>
      <w:divBdr>
        <w:top w:val="none" w:sz="0" w:space="0" w:color="auto"/>
        <w:left w:val="none" w:sz="0" w:space="0" w:color="auto"/>
        <w:bottom w:val="none" w:sz="0" w:space="0" w:color="auto"/>
        <w:right w:val="none" w:sz="0" w:space="0" w:color="auto"/>
      </w:divBdr>
      <w:divsChild>
        <w:div w:id="570849225">
          <w:marLeft w:val="0"/>
          <w:marRight w:val="720"/>
          <w:marTop w:val="0"/>
          <w:marBottom w:val="0"/>
          <w:divBdr>
            <w:top w:val="none" w:sz="0" w:space="0" w:color="auto"/>
            <w:left w:val="none" w:sz="0" w:space="0" w:color="auto"/>
            <w:bottom w:val="none" w:sz="0" w:space="0" w:color="auto"/>
            <w:right w:val="none" w:sz="0" w:space="0" w:color="auto"/>
          </w:divBdr>
        </w:div>
      </w:divsChild>
    </w:div>
    <w:div w:id="177550312">
      <w:bodyDiv w:val="1"/>
      <w:marLeft w:val="0"/>
      <w:marRight w:val="0"/>
      <w:marTop w:val="0"/>
      <w:marBottom w:val="0"/>
      <w:divBdr>
        <w:top w:val="none" w:sz="0" w:space="0" w:color="auto"/>
        <w:left w:val="none" w:sz="0" w:space="0" w:color="auto"/>
        <w:bottom w:val="none" w:sz="0" w:space="0" w:color="auto"/>
        <w:right w:val="none" w:sz="0" w:space="0" w:color="auto"/>
      </w:divBdr>
      <w:divsChild>
        <w:div w:id="2015183839">
          <w:marLeft w:val="0"/>
          <w:marRight w:val="0"/>
          <w:marTop w:val="0"/>
          <w:marBottom w:val="0"/>
          <w:divBdr>
            <w:top w:val="none" w:sz="0" w:space="0" w:color="auto"/>
            <w:left w:val="none" w:sz="0" w:space="0" w:color="auto"/>
            <w:bottom w:val="none" w:sz="0" w:space="0" w:color="auto"/>
            <w:right w:val="none" w:sz="0" w:space="0" w:color="auto"/>
          </w:divBdr>
        </w:div>
      </w:divsChild>
    </w:div>
    <w:div w:id="200360377">
      <w:bodyDiv w:val="1"/>
      <w:marLeft w:val="0"/>
      <w:marRight w:val="0"/>
      <w:marTop w:val="0"/>
      <w:marBottom w:val="0"/>
      <w:divBdr>
        <w:top w:val="none" w:sz="0" w:space="0" w:color="auto"/>
        <w:left w:val="none" w:sz="0" w:space="0" w:color="auto"/>
        <w:bottom w:val="none" w:sz="0" w:space="0" w:color="auto"/>
        <w:right w:val="none" w:sz="0" w:space="0" w:color="auto"/>
      </w:divBdr>
    </w:div>
    <w:div w:id="204685130">
      <w:bodyDiv w:val="1"/>
      <w:marLeft w:val="0"/>
      <w:marRight w:val="0"/>
      <w:marTop w:val="0"/>
      <w:marBottom w:val="0"/>
      <w:divBdr>
        <w:top w:val="none" w:sz="0" w:space="0" w:color="auto"/>
        <w:left w:val="none" w:sz="0" w:space="0" w:color="auto"/>
        <w:bottom w:val="none" w:sz="0" w:space="0" w:color="auto"/>
        <w:right w:val="none" w:sz="0" w:space="0" w:color="auto"/>
      </w:divBdr>
    </w:div>
    <w:div w:id="226117153">
      <w:bodyDiv w:val="1"/>
      <w:marLeft w:val="0"/>
      <w:marRight w:val="0"/>
      <w:marTop w:val="0"/>
      <w:marBottom w:val="0"/>
      <w:divBdr>
        <w:top w:val="none" w:sz="0" w:space="0" w:color="auto"/>
        <w:left w:val="none" w:sz="0" w:space="0" w:color="auto"/>
        <w:bottom w:val="none" w:sz="0" w:space="0" w:color="auto"/>
        <w:right w:val="none" w:sz="0" w:space="0" w:color="auto"/>
      </w:divBdr>
    </w:div>
    <w:div w:id="233275003">
      <w:bodyDiv w:val="1"/>
      <w:marLeft w:val="0"/>
      <w:marRight w:val="0"/>
      <w:marTop w:val="0"/>
      <w:marBottom w:val="0"/>
      <w:divBdr>
        <w:top w:val="none" w:sz="0" w:space="0" w:color="auto"/>
        <w:left w:val="none" w:sz="0" w:space="0" w:color="auto"/>
        <w:bottom w:val="none" w:sz="0" w:space="0" w:color="auto"/>
        <w:right w:val="none" w:sz="0" w:space="0" w:color="auto"/>
      </w:divBdr>
    </w:div>
    <w:div w:id="237251979">
      <w:bodyDiv w:val="1"/>
      <w:marLeft w:val="0"/>
      <w:marRight w:val="0"/>
      <w:marTop w:val="0"/>
      <w:marBottom w:val="0"/>
      <w:divBdr>
        <w:top w:val="none" w:sz="0" w:space="0" w:color="auto"/>
        <w:left w:val="none" w:sz="0" w:space="0" w:color="auto"/>
        <w:bottom w:val="none" w:sz="0" w:space="0" w:color="auto"/>
        <w:right w:val="none" w:sz="0" w:space="0" w:color="auto"/>
      </w:divBdr>
    </w:div>
    <w:div w:id="240062365">
      <w:bodyDiv w:val="1"/>
      <w:marLeft w:val="0"/>
      <w:marRight w:val="0"/>
      <w:marTop w:val="0"/>
      <w:marBottom w:val="0"/>
      <w:divBdr>
        <w:top w:val="none" w:sz="0" w:space="0" w:color="auto"/>
        <w:left w:val="none" w:sz="0" w:space="0" w:color="auto"/>
        <w:bottom w:val="none" w:sz="0" w:space="0" w:color="auto"/>
        <w:right w:val="none" w:sz="0" w:space="0" w:color="auto"/>
      </w:divBdr>
    </w:div>
    <w:div w:id="246311375">
      <w:bodyDiv w:val="1"/>
      <w:marLeft w:val="0"/>
      <w:marRight w:val="0"/>
      <w:marTop w:val="0"/>
      <w:marBottom w:val="0"/>
      <w:divBdr>
        <w:top w:val="none" w:sz="0" w:space="0" w:color="auto"/>
        <w:left w:val="none" w:sz="0" w:space="0" w:color="auto"/>
        <w:bottom w:val="none" w:sz="0" w:space="0" w:color="auto"/>
        <w:right w:val="none" w:sz="0" w:space="0" w:color="auto"/>
      </w:divBdr>
    </w:div>
    <w:div w:id="255402438">
      <w:bodyDiv w:val="1"/>
      <w:marLeft w:val="0"/>
      <w:marRight w:val="0"/>
      <w:marTop w:val="0"/>
      <w:marBottom w:val="0"/>
      <w:divBdr>
        <w:top w:val="none" w:sz="0" w:space="0" w:color="auto"/>
        <w:left w:val="none" w:sz="0" w:space="0" w:color="auto"/>
        <w:bottom w:val="none" w:sz="0" w:space="0" w:color="auto"/>
        <w:right w:val="none" w:sz="0" w:space="0" w:color="auto"/>
      </w:divBdr>
    </w:div>
    <w:div w:id="271865022">
      <w:bodyDiv w:val="1"/>
      <w:marLeft w:val="0"/>
      <w:marRight w:val="0"/>
      <w:marTop w:val="0"/>
      <w:marBottom w:val="0"/>
      <w:divBdr>
        <w:top w:val="none" w:sz="0" w:space="0" w:color="auto"/>
        <w:left w:val="none" w:sz="0" w:space="0" w:color="auto"/>
        <w:bottom w:val="none" w:sz="0" w:space="0" w:color="auto"/>
        <w:right w:val="none" w:sz="0" w:space="0" w:color="auto"/>
      </w:divBdr>
    </w:div>
    <w:div w:id="293489229">
      <w:bodyDiv w:val="1"/>
      <w:marLeft w:val="0"/>
      <w:marRight w:val="0"/>
      <w:marTop w:val="0"/>
      <w:marBottom w:val="0"/>
      <w:divBdr>
        <w:top w:val="none" w:sz="0" w:space="0" w:color="auto"/>
        <w:left w:val="none" w:sz="0" w:space="0" w:color="auto"/>
        <w:bottom w:val="none" w:sz="0" w:space="0" w:color="auto"/>
        <w:right w:val="none" w:sz="0" w:space="0" w:color="auto"/>
      </w:divBdr>
    </w:div>
    <w:div w:id="324866508">
      <w:bodyDiv w:val="1"/>
      <w:marLeft w:val="0"/>
      <w:marRight w:val="0"/>
      <w:marTop w:val="0"/>
      <w:marBottom w:val="0"/>
      <w:divBdr>
        <w:top w:val="none" w:sz="0" w:space="0" w:color="auto"/>
        <w:left w:val="none" w:sz="0" w:space="0" w:color="auto"/>
        <w:bottom w:val="none" w:sz="0" w:space="0" w:color="auto"/>
        <w:right w:val="none" w:sz="0" w:space="0" w:color="auto"/>
      </w:divBdr>
    </w:div>
    <w:div w:id="327682731">
      <w:bodyDiv w:val="1"/>
      <w:marLeft w:val="0"/>
      <w:marRight w:val="0"/>
      <w:marTop w:val="0"/>
      <w:marBottom w:val="0"/>
      <w:divBdr>
        <w:top w:val="none" w:sz="0" w:space="0" w:color="auto"/>
        <w:left w:val="none" w:sz="0" w:space="0" w:color="auto"/>
        <w:bottom w:val="none" w:sz="0" w:space="0" w:color="auto"/>
        <w:right w:val="none" w:sz="0" w:space="0" w:color="auto"/>
      </w:divBdr>
    </w:div>
    <w:div w:id="336661074">
      <w:bodyDiv w:val="1"/>
      <w:marLeft w:val="0"/>
      <w:marRight w:val="0"/>
      <w:marTop w:val="0"/>
      <w:marBottom w:val="0"/>
      <w:divBdr>
        <w:top w:val="none" w:sz="0" w:space="0" w:color="auto"/>
        <w:left w:val="none" w:sz="0" w:space="0" w:color="auto"/>
        <w:bottom w:val="none" w:sz="0" w:space="0" w:color="auto"/>
        <w:right w:val="none" w:sz="0" w:space="0" w:color="auto"/>
      </w:divBdr>
    </w:div>
    <w:div w:id="352999222">
      <w:bodyDiv w:val="1"/>
      <w:marLeft w:val="0"/>
      <w:marRight w:val="0"/>
      <w:marTop w:val="0"/>
      <w:marBottom w:val="0"/>
      <w:divBdr>
        <w:top w:val="none" w:sz="0" w:space="0" w:color="auto"/>
        <w:left w:val="none" w:sz="0" w:space="0" w:color="auto"/>
        <w:bottom w:val="none" w:sz="0" w:space="0" w:color="auto"/>
        <w:right w:val="none" w:sz="0" w:space="0" w:color="auto"/>
      </w:divBdr>
    </w:div>
    <w:div w:id="365906174">
      <w:bodyDiv w:val="1"/>
      <w:marLeft w:val="0"/>
      <w:marRight w:val="0"/>
      <w:marTop w:val="0"/>
      <w:marBottom w:val="0"/>
      <w:divBdr>
        <w:top w:val="none" w:sz="0" w:space="0" w:color="auto"/>
        <w:left w:val="none" w:sz="0" w:space="0" w:color="auto"/>
        <w:bottom w:val="none" w:sz="0" w:space="0" w:color="auto"/>
        <w:right w:val="none" w:sz="0" w:space="0" w:color="auto"/>
      </w:divBdr>
    </w:div>
    <w:div w:id="372273725">
      <w:bodyDiv w:val="1"/>
      <w:marLeft w:val="0"/>
      <w:marRight w:val="0"/>
      <w:marTop w:val="0"/>
      <w:marBottom w:val="0"/>
      <w:divBdr>
        <w:top w:val="none" w:sz="0" w:space="0" w:color="auto"/>
        <w:left w:val="none" w:sz="0" w:space="0" w:color="auto"/>
        <w:bottom w:val="none" w:sz="0" w:space="0" w:color="auto"/>
        <w:right w:val="none" w:sz="0" w:space="0" w:color="auto"/>
      </w:divBdr>
    </w:div>
    <w:div w:id="374165390">
      <w:bodyDiv w:val="1"/>
      <w:marLeft w:val="0"/>
      <w:marRight w:val="0"/>
      <w:marTop w:val="0"/>
      <w:marBottom w:val="0"/>
      <w:divBdr>
        <w:top w:val="none" w:sz="0" w:space="0" w:color="auto"/>
        <w:left w:val="none" w:sz="0" w:space="0" w:color="auto"/>
        <w:bottom w:val="none" w:sz="0" w:space="0" w:color="auto"/>
        <w:right w:val="none" w:sz="0" w:space="0" w:color="auto"/>
      </w:divBdr>
    </w:div>
    <w:div w:id="380054508">
      <w:bodyDiv w:val="1"/>
      <w:marLeft w:val="0"/>
      <w:marRight w:val="0"/>
      <w:marTop w:val="0"/>
      <w:marBottom w:val="0"/>
      <w:divBdr>
        <w:top w:val="none" w:sz="0" w:space="0" w:color="auto"/>
        <w:left w:val="none" w:sz="0" w:space="0" w:color="auto"/>
        <w:bottom w:val="none" w:sz="0" w:space="0" w:color="auto"/>
        <w:right w:val="none" w:sz="0" w:space="0" w:color="auto"/>
      </w:divBdr>
      <w:divsChild>
        <w:div w:id="817385328">
          <w:marLeft w:val="0"/>
          <w:marRight w:val="547"/>
          <w:marTop w:val="0"/>
          <w:marBottom w:val="0"/>
          <w:divBdr>
            <w:top w:val="none" w:sz="0" w:space="0" w:color="auto"/>
            <w:left w:val="none" w:sz="0" w:space="0" w:color="auto"/>
            <w:bottom w:val="none" w:sz="0" w:space="0" w:color="auto"/>
            <w:right w:val="none" w:sz="0" w:space="0" w:color="auto"/>
          </w:divBdr>
        </w:div>
      </w:divsChild>
    </w:div>
    <w:div w:id="380986454">
      <w:bodyDiv w:val="1"/>
      <w:marLeft w:val="0"/>
      <w:marRight w:val="0"/>
      <w:marTop w:val="0"/>
      <w:marBottom w:val="0"/>
      <w:divBdr>
        <w:top w:val="none" w:sz="0" w:space="0" w:color="auto"/>
        <w:left w:val="none" w:sz="0" w:space="0" w:color="auto"/>
        <w:bottom w:val="none" w:sz="0" w:space="0" w:color="auto"/>
        <w:right w:val="none" w:sz="0" w:space="0" w:color="auto"/>
      </w:divBdr>
    </w:div>
    <w:div w:id="400181198">
      <w:bodyDiv w:val="1"/>
      <w:marLeft w:val="0"/>
      <w:marRight w:val="0"/>
      <w:marTop w:val="0"/>
      <w:marBottom w:val="0"/>
      <w:divBdr>
        <w:top w:val="none" w:sz="0" w:space="0" w:color="auto"/>
        <w:left w:val="none" w:sz="0" w:space="0" w:color="auto"/>
        <w:bottom w:val="none" w:sz="0" w:space="0" w:color="auto"/>
        <w:right w:val="none" w:sz="0" w:space="0" w:color="auto"/>
      </w:divBdr>
    </w:div>
    <w:div w:id="407187887">
      <w:bodyDiv w:val="1"/>
      <w:marLeft w:val="0"/>
      <w:marRight w:val="0"/>
      <w:marTop w:val="0"/>
      <w:marBottom w:val="0"/>
      <w:divBdr>
        <w:top w:val="none" w:sz="0" w:space="0" w:color="auto"/>
        <w:left w:val="none" w:sz="0" w:space="0" w:color="auto"/>
        <w:bottom w:val="none" w:sz="0" w:space="0" w:color="auto"/>
        <w:right w:val="none" w:sz="0" w:space="0" w:color="auto"/>
      </w:divBdr>
    </w:div>
    <w:div w:id="411464374">
      <w:bodyDiv w:val="1"/>
      <w:marLeft w:val="0"/>
      <w:marRight w:val="0"/>
      <w:marTop w:val="0"/>
      <w:marBottom w:val="0"/>
      <w:divBdr>
        <w:top w:val="none" w:sz="0" w:space="0" w:color="auto"/>
        <w:left w:val="none" w:sz="0" w:space="0" w:color="auto"/>
        <w:bottom w:val="none" w:sz="0" w:space="0" w:color="auto"/>
        <w:right w:val="none" w:sz="0" w:space="0" w:color="auto"/>
      </w:divBdr>
    </w:div>
    <w:div w:id="411900596">
      <w:bodyDiv w:val="1"/>
      <w:marLeft w:val="0"/>
      <w:marRight w:val="0"/>
      <w:marTop w:val="0"/>
      <w:marBottom w:val="0"/>
      <w:divBdr>
        <w:top w:val="none" w:sz="0" w:space="0" w:color="auto"/>
        <w:left w:val="none" w:sz="0" w:space="0" w:color="auto"/>
        <w:bottom w:val="none" w:sz="0" w:space="0" w:color="auto"/>
        <w:right w:val="none" w:sz="0" w:space="0" w:color="auto"/>
      </w:divBdr>
    </w:div>
    <w:div w:id="460341830">
      <w:bodyDiv w:val="1"/>
      <w:marLeft w:val="0"/>
      <w:marRight w:val="0"/>
      <w:marTop w:val="0"/>
      <w:marBottom w:val="0"/>
      <w:divBdr>
        <w:top w:val="none" w:sz="0" w:space="0" w:color="auto"/>
        <w:left w:val="none" w:sz="0" w:space="0" w:color="auto"/>
        <w:bottom w:val="none" w:sz="0" w:space="0" w:color="auto"/>
        <w:right w:val="none" w:sz="0" w:space="0" w:color="auto"/>
      </w:divBdr>
      <w:divsChild>
        <w:div w:id="1091199734">
          <w:marLeft w:val="0"/>
          <w:marRight w:val="547"/>
          <w:marTop w:val="0"/>
          <w:marBottom w:val="0"/>
          <w:divBdr>
            <w:top w:val="none" w:sz="0" w:space="0" w:color="auto"/>
            <w:left w:val="none" w:sz="0" w:space="0" w:color="auto"/>
            <w:bottom w:val="none" w:sz="0" w:space="0" w:color="auto"/>
            <w:right w:val="none" w:sz="0" w:space="0" w:color="auto"/>
          </w:divBdr>
        </w:div>
      </w:divsChild>
    </w:div>
    <w:div w:id="471554954">
      <w:bodyDiv w:val="1"/>
      <w:marLeft w:val="0"/>
      <w:marRight w:val="0"/>
      <w:marTop w:val="0"/>
      <w:marBottom w:val="0"/>
      <w:divBdr>
        <w:top w:val="none" w:sz="0" w:space="0" w:color="auto"/>
        <w:left w:val="none" w:sz="0" w:space="0" w:color="auto"/>
        <w:bottom w:val="none" w:sz="0" w:space="0" w:color="auto"/>
        <w:right w:val="none" w:sz="0" w:space="0" w:color="auto"/>
      </w:divBdr>
      <w:divsChild>
        <w:div w:id="945775323">
          <w:marLeft w:val="0"/>
          <w:marRight w:val="0"/>
          <w:marTop w:val="0"/>
          <w:marBottom w:val="0"/>
          <w:divBdr>
            <w:top w:val="none" w:sz="0" w:space="0" w:color="auto"/>
            <w:left w:val="none" w:sz="0" w:space="0" w:color="auto"/>
            <w:bottom w:val="none" w:sz="0" w:space="0" w:color="auto"/>
            <w:right w:val="none" w:sz="0" w:space="0" w:color="auto"/>
          </w:divBdr>
        </w:div>
      </w:divsChild>
    </w:div>
    <w:div w:id="486090471">
      <w:bodyDiv w:val="1"/>
      <w:marLeft w:val="0"/>
      <w:marRight w:val="0"/>
      <w:marTop w:val="0"/>
      <w:marBottom w:val="0"/>
      <w:divBdr>
        <w:top w:val="none" w:sz="0" w:space="0" w:color="auto"/>
        <w:left w:val="none" w:sz="0" w:space="0" w:color="auto"/>
        <w:bottom w:val="none" w:sz="0" w:space="0" w:color="auto"/>
        <w:right w:val="none" w:sz="0" w:space="0" w:color="auto"/>
      </w:divBdr>
    </w:div>
    <w:div w:id="508059909">
      <w:bodyDiv w:val="1"/>
      <w:marLeft w:val="0"/>
      <w:marRight w:val="0"/>
      <w:marTop w:val="0"/>
      <w:marBottom w:val="0"/>
      <w:divBdr>
        <w:top w:val="none" w:sz="0" w:space="0" w:color="auto"/>
        <w:left w:val="none" w:sz="0" w:space="0" w:color="auto"/>
        <w:bottom w:val="none" w:sz="0" w:space="0" w:color="auto"/>
        <w:right w:val="none" w:sz="0" w:space="0" w:color="auto"/>
      </w:divBdr>
    </w:div>
    <w:div w:id="512574127">
      <w:bodyDiv w:val="1"/>
      <w:marLeft w:val="0"/>
      <w:marRight w:val="0"/>
      <w:marTop w:val="0"/>
      <w:marBottom w:val="0"/>
      <w:divBdr>
        <w:top w:val="none" w:sz="0" w:space="0" w:color="auto"/>
        <w:left w:val="none" w:sz="0" w:space="0" w:color="auto"/>
        <w:bottom w:val="none" w:sz="0" w:space="0" w:color="auto"/>
        <w:right w:val="none" w:sz="0" w:space="0" w:color="auto"/>
      </w:divBdr>
    </w:div>
    <w:div w:id="522784424">
      <w:bodyDiv w:val="1"/>
      <w:marLeft w:val="0"/>
      <w:marRight w:val="0"/>
      <w:marTop w:val="0"/>
      <w:marBottom w:val="0"/>
      <w:divBdr>
        <w:top w:val="none" w:sz="0" w:space="0" w:color="auto"/>
        <w:left w:val="none" w:sz="0" w:space="0" w:color="auto"/>
        <w:bottom w:val="none" w:sz="0" w:space="0" w:color="auto"/>
        <w:right w:val="none" w:sz="0" w:space="0" w:color="auto"/>
      </w:divBdr>
    </w:div>
    <w:div w:id="553658070">
      <w:bodyDiv w:val="1"/>
      <w:marLeft w:val="0"/>
      <w:marRight w:val="0"/>
      <w:marTop w:val="0"/>
      <w:marBottom w:val="0"/>
      <w:divBdr>
        <w:top w:val="none" w:sz="0" w:space="0" w:color="auto"/>
        <w:left w:val="none" w:sz="0" w:space="0" w:color="auto"/>
        <w:bottom w:val="none" w:sz="0" w:space="0" w:color="auto"/>
        <w:right w:val="none" w:sz="0" w:space="0" w:color="auto"/>
      </w:divBdr>
    </w:div>
    <w:div w:id="560556903">
      <w:bodyDiv w:val="1"/>
      <w:marLeft w:val="0"/>
      <w:marRight w:val="0"/>
      <w:marTop w:val="0"/>
      <w:marBottom w:val="0"/>
      <w:divBdr>
        <w:top w:val="none" w:sz="0" w:space="0" w:color="auto"/>
        <w:left w:val="none" w:sz="0" w:space="0" w:color="auto"/>
        <w:bottom w:val="none" w:sz="0" w:space="0" w:color="auto"/>
        <w:right w:val="none" w:sz="0" w:space="0" w:color="auto"/>
      </w:divBdr>
    </w:div>
    <w:div w:id="623077945">
      <w:bodyDiv w:val="1"/>
      <w:marLeft w:val="0"/>
      <w:marRight w:val="0"/>
      <w:marTop w:val="0"/>
      <w:marBottom w:val="0"/>
      <w:divBdr>
        <w:top w:val="none" w:sz="0" w:space="0" w:color="auto"/>
        <w:left w:val="none" w:sz="0" w:space="0" w:color="auto"/>
        <w:bottom w:val="none" w:sz="0" w:space="0" w:color="auto"/>
        <w:right w:val="none" w:sz="0" w:space="0" w:color="auto"/>
      </w:divBdr>
    </w:div>
    <w:div w:id="623803896">
      <w:bodyDiv w:val="1"/>
      <w:marLeft w:val="0"/>
      <w:marRight w:val="0"/>
      <w:marTop w:val="0"/>
      <w:marBottom w:val="0"/>
      <w:divBdr>
        <w:top w:val="none" w:sz="0" w:space="0" w:color="auto"/>
        <w:left w:val="none" w:sz="0" w:space="0" w:color="auto"/>
        <w:bottom w:val="none" w:sz="0" w:space="0" w:color="auto"/>
        <w:right w:val="none" w:sz="0" w:space="0" w:color="auto"/>
      </w:divBdr>
    </w:div>
    <w:div w:id="637108109">
      <w:bodyDiv w:val="1"/>
      <w:marLeft w:val="0"/>
      <w:marRight w:val="0"/>
      <w:marTop w:val="0"/>
      <w:marBottom w:val="0"/>
      <w:divBdr>
        <w:top w:val="none" w:sz="0" w:space="0" w:color="auto"/>
        <w:left w:val="none" w:sz="0" w:space="0" w:color="auto"/>
        <w:bottom w:val="none" w:sz="0" w:space="0" w:color="auto"/>
        <w:right w:val="none" w:sz="0" w:space="0" w:color="auto"/>
      </w:divBdr>
    </w:div>
    <w:div w:id="651522120">
      <w:bodyDiv w:val="1"/>
      <w:marLeft w:val="0"/>
      <w:marRight w:val="0"/>
      <w:marTop w:val="0"/>
      <w:marBottom w:val="0"/>
      <w:divBdr>
        <w:top w:val="none" w:sz="0" w:space="0" w:color="auto"/>
        <w:left w:val="none" w:sz="0" w:space="0" w:color="auto"/>
        <w:bottom w:val="none" w:sz="0" w:space="0" w:color="auto"/>
        <w:right w:val="none" w:sz="0" w:space="0" w:color="auto"/>
      </w:divBdr>
    </w:div>
    <w:div w:id="673605005">
      <w:bodyDiv w:val="1"/>
      <w:marLeft w:val="0"/>
      <w:marRight w:val="0"/>
      <w:marTop w:val="0"/>
      <w:marBottom w:val="0"/>
      <w:divBdr>
        <w:top w:val="none" w:sz="0" w:space="0" w:color="auto"/>
        <w:left w:val="none" w:sz="0" w:space="0" w:color="auto"/>
        <w:bottom w:val="none" w:sz="0" w:space="0" w:color="auto"/>
        <w:right w:val="none" w:sz="0" w:space="0" w:color="auto"/>
      </w:divBdr>
    </w:div>
    <w:div w:id="703023930">
      <w:bodyDiv w:val="1"/>
      <w:marLeft w:val="0"/>
      <w:marRight w:val="0"/>
      <w:marTop w:val="0"/>
      <w:marBottom w:val="0"/>
      <w:divBdr>
        <w:top w:val="none" w:sz="0" w:space="0" w:color="auto"/>
        <w:left w:val="none" w:sz="0" w:space="0" w:color="auto"/>
        <w:bottom w:val="none" w:sz="0" w:space="0" w:color="auto"/>
        <w:right w:val="none" w:sz="0" w:space="0" w:color="auto"/>
      </w:divBdr>
    </w:div>
    <w:div w:id="722754180">
      <w:bodyDiv w:val="1"/>
      <w:marLeft w:val="0"/>
      <w:marRight w:val="0"/>
      <w:marTop w:val="0"/>
      <w:marBottom w:val="0"/>
      <w:divBdr>
        <w:top w:val="none" w:sz="0" w:space="0" w:color="auto"/>
        <w:left w:val="none" w:sz="0" w:space="0" w:color="auto"/>
        <w:bottom w:val="none" w:sz="0" w:space="0" w:color="auto"/>
        <w:right w:val="none" w:sz="0" w:space="0" w:color="auto"/>
      </w:divBdr>
    </w:div>
    <w:div w:id="764424719">
      <w:bodyDiv w:val="1"/>
      <w:marLeft w:val="0"/>
      <w:marRight w:val="0"/>
      <w:marTop w:val="0"/>
      <w:marBottom w:val="0"/>
      <w:divBdr>
        <w:top w:val="none" w:sz="0" w:space="0" w:color="auto"/>
        <w:left w:val="none" w:sz="0" w:space="0" w:color="auto"/>
        <w:bottom w:val="none" w:sz="0" w:space="0" w:color="auto"/>
        <w:right w:val="none" w:sz="0" w:space="0" w:color="auto"/>
      </w:divBdr>
      <w:divsChild>
        <w:div w:id="965697934">
          <w:marLeft w:val="0"/>
          <w:marRight w:val="0"/>
          <w:marTop w:val="0"/>
          <w:marBottom w:val="0"/>
          <w:divBdr>
            <w:top w:val="none" w:sz="0" w:space="0" w:color="auto"/>
            <w:left w:val="none" w:sz="0" w:space="0" w:color="auto"/>
            <w:bottom w:val="none" w:sz="0" w:space="0" w:color="auto"/>
            <w:right w:val="none" w:sz="0" w:space="0" w:color="auto"/>
          </w:divBdr>
        </w:div>
        <w:div w:id="420495679">
          <w:marLeft w:val="0"/>
          <w:marRight w:val="0"/>
          <w:marTop w:val="0"/>
          <w:marBottom w:val="0"/>
          <w:divBdr>
            <w:top w:val="none" w:sz="0" w:space="0" w:color="auto"/>
            <w:left w:val="none" w:sz="0" w:space="0" w:color="auto"/>
            <w:bottom w:val="none" w:sz="0" w:space="0" w:color="auto"/>
            <w:right w:val="none" w:sz="0" w:space="0" w:color="auto"/>
          </w:divBdr>
        </w:div>
      </w:divsChild>
    </w:div>
    <w:div w:id="767694286">
      <w:bodyDiv w:val="1"/>
      <w:marLeft w:val="0"/>
      <w:marRight w:val="0"/>
      <w:marTop w:val="0"/>
      <w:marBottom w:val="0"/>
      <w:divBdr>
        <w:top w:val="none" w:sz="0" w:space="0" w:color="auto"/>
        <w:left w:val="none" w:sz="0" w:space="0" w:color="auto"/>
        <w:bottom w:val="none" w:sz="0" w:space="0" w:color="auto"/>
        <w:right w:val="none" w:sz="0" w:space="0" w:color="auto"/>
      </w:divBdr>
    </w:div>
    <w:div w:id="771586378">
      <w:bodyDiv w:val="1"/>
      <w:marLeft w:val="0"/>
      <w:marRight w:val="0"/>
      <w:marTop w:val="0"/>
      <w:marBottom w:val="0"/>
      <w:divBdr>
        <w:top w:val="none" w:sz="0" w:space="0" w:color="auto"/>
        <w:left w:val="none" w:sz="0" w:space="0" w:color="auto"/>
        <w:bottom w:val="none" w:sz="0" w:space="0" w:color="auto"/>
        <w:right w:val="none" w:sz="0" w:space="0" w:color="auto"/>
      </w:divBdr>
    </w:div>
    <w:div w:id="792675640">
      <w:bodyDiv w:val="1"/>
      <w:marLeft w:val="0"/>
      <w:marRight w:val="0"/>
      <w:marTop w:val="0"/>
      <w:marBottom w:val="0"/>
      <w:divBdr>
        <w:top w:val="none" w:sz="0" w:space="0" w:color="auto"/>
        <w:left w:val="none" w:sz="0" w:space="0" w:color="auto"/>
        <w:bottom w:val="none" w:sz="0" w:space="0" w:color="auto"/>
        <w:right w:val="none" w:sz="0" w:space="0" w:color="auto"/>
      </w:divBdr>
    </w:div>
    <w:div w:id="805657432">
      <w:bodyDiv w:val="1"/>
      <w:marLeft w:val="0"/>
      <w:marRight w:val="0"/>
      <w:marTop w:val="0"/>
      <w:marBottom w:val="0"/>
      <w:divBdr>
        <w:top w:val="none" w:sz="0" w:space="0" w:color="auto"/>
        <w:left w:val="none" w:sz="0" w:space="0" w:color="auto"/>
        <w:bottom w:val="none" w:sz="0" w:space="0" w:color="auto"/>
        <w:right w:val="none" w:sz="0" w:space="0" w:color="auto"/>
      </w:divBdr>
    </w:div>
    <w:div w:id="807480344">
      <w:bodyDiv w:val="1"/>
      <w:marLeft w:val="0"/>
      <w:marRight w:val="0"/>
      <w:marTop w:val="0"/>
      <w:marBottom w:val="0"/>
      <w:divBdr>
        <w:top w:val="none" w:sz="0" w:space="0" w:color="auto"/>
        <w:left w:val="none" w:sz="0" w:space="0" w:color="auto"/>
        <w:bottom w:val="none" w:sz="0" w:space="0" w:color="auto"/>
        <w:right w:val="none" w:sz="0" w:space="0" w:color="auto"/>
      </w:divBdr>
    </w:div>
    <w:div w:id="842474991">
      <w:bodyDiv w:val="1"/>
      <w:marLeft w:val="0"/>
      <w:marRight w:val="0"/>
      <w:marTop w:val="0"/>
      <w:marBottom w:val="0"/>
      <w:divBdr>
        <w:top w:val="none" w:sz="0" w:space="0" w:color="auto"/>
        <w:left w:val="none" w:sz="0" w:space="0" w:color="auto"/>
        <w:bottom w:val="none" w:sz="0" w:space="0" w:color="auto"/>
        <w:right w:val="none" w:sz="0" w:space="0" w:color="auto"/>
      </w:divBdr>
    </w:div>
    <w:div w:id="857037508">
      <w:bodyDiv w:val="1"/>
      <w:marLeft w:val="0"/>
      <w:marRight w:val="0"/>
      <w:marTop w:val="0"/>
      <w:marBottom w:val="0"/>
      <w:divBdr>
        <w:top w:val="none" w:sz="0" w:space="0" w:color="auto"/>
        <w:left w:val="none" w:sz="0" w:space="0" w:color="auto"/>
        <w:bottom w:val="none" w:sz="0" w:space="0" w:color="auto"/>
        <w:right w:val="none" w:sz="0" w:space="0" w:color="auto"/>
      </w:divBdr>
    </w:div>
    <w:div w:id="859129332">
      <w:bodyDiv w:val="1"/>
      <w:marLeft w:val="0"/>
      <w:marRight w:val="0"/>
      <w:marTop w:val="0"/>
      <w:marBottom w:val="0"/>
      <w:divBdr>
        <w:top w:val="none" w:sz="0" w:space="0" w:color="auto"/>
        <w:left w:val="none" w:sz="0" w:space="0" w:color="auto"/>
        <w:bottom w:val="none" w:sz="0" w:space="0" w:color="auto"/>
        <w:right w:val="none" w:sz="0" w:space="0" w:color="auto"/>
      </w:divBdr>
    </w:div>
    <w:div w:id="893270413">
      <w:bodyDiv w:val="1"/>
      <w:marLeft w:val="0"/>
      <w:marRight w:val="0"/>
      <w:marTop w:val="0"/>
      <w:marBottom w:val="0"/>
      <w:divBdr>
        <w:top w:val="none" w:sz="0" w:space="0" w:color="auto"/>
        <w:left w:val="none" w:sz="0" w:space="0" w:color="auto"/>
        <w:bottom w:val="none" w:sz="0" w:space="0" w:color="auto"/>
        <w:right w:val="none" w:sz="0" w:space="0" w:color="auto"/>
      </w:divBdr>
      <w:divsChild>
        <w:div w:id="279843399">
          <w:marLeft w:val="0"/>
          <w:marRight w:val="0"/>
          <w:marTop w:val="0"/>
          <w:marBottom w:val="0"/>
          <w:divBdr>
            <w:top w:val="none" w:sz="0" w:space="0" w:color="auto"/>
            <w:left w:val="none" w:sz="0" w:space="0" w:color="auto"/>
            <w:bottom w:val="none" w:sz="0" w:space="0" w:color="auto"/>
            <w:right w:val="none" w:sz="0" w:space="0" w:color="auto"/>
          </w:divBdr>
        </w:div>
      </w:divsChild>
    </w:div>
    <w:div w:id="913321488">
      <w:bodyDiv w:val="1"/>
      <w:marLeft w:val="0"/>
      <w:marRight w:val="0"/>
      <w:marTop w:val="0"/>
      <w:marBottom w:val="0"/>
      <w:divBdr>
        <w:top w:val="none" w:sz="0" w:space="0" w:color="auto"/>
        <w:left w:val="none" w:sz="0" w:space="0" w:color="auto"/>
        <w:bottom w:val="none" w:sz="0" w:space="0" w:color="auto"/>
        <w:right w:val="none" w:sz="0" w:space="0" w:color="auto"/>
      </w:divBdr>
    </w:div>
    <w:div w:id="920522837">
      <w:bodyDiv w:val="1"/>
      <w:marLeft w:val="0"/>
      <w:marRight w:val="0"/>
      <w:marTop w:val="0"/>
      <w:marBottom w:val="0"/>
      <w:divBdr>
        <w:top w:val="none" w:sz="0" w:space="0" w:color="auto"/>
        <w:left w:val="none" w:sz="0" w:space="0" w:color="auto"/>
        <w:bottom w:val="none" w:sz="0" w:space="0" w:color="auto"/>
        <w:right w:val="none" w:sz="0" w:space="0" w:color="auto"/>
      </w:divBdr>
      <w:divsChild>
        <w:div w:id="1324117882">
          <w:marLeft w:val="0"/>
          <w:marRight w:val="720"/>
          <w:marTop w:val="0"/>
          <w:marBottom w:val="0"/>
          <w:divBdr>
            <w:top w:val="none" w:sz="0" w:space="0" w:color="auto"/>
            <w:left w:val="none" w:sz="0" w:space="0" w:color="auto"/>
            <w:bottom w:val="none" w:sz="0" w:space="0" w:color="auto"/>
            <w:right w:val="none" w:sz="0" w:space="0" w:color="auto"/>
          </w:divBdr>
        </w:div>
      </w:divsChild>
    </w:div>
    <w:div w:id="937175215">
      <w:bodyDiv w:val="1"/>
      <w:marLeft w:val="0"/>
      <w:marRight w:val="0"/>
      <w:marTop w:val="0"/>
      <w:marBottom w:val="0"/>
      <w:divBdr>
        <w:top w:val="none" w:sz="0" w:space="0" w:color="auto"/>
        <w:left w:val="none" w:sz="0" w:space="0" w:color="auto"/>
        <w:bottom w:val="none" w:sz="0" w:space="0" w:color="auto"/>
        <w:right w:val="none" w:sz="0" w:space="0" w:color="auto"/>
      </w:divBdr>
    </w:div>
    <w:div w:id="95632855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5669573">
      <w:bodyDiv w:val="1"/>
      <w:marLeft w:val="0"/>
      <w:marRight w:val="0"/>
      <w:marTop w:val="0"/>
      <w:marBottom w:val="0"/>
      <w:divBdr>
        <w:top w:val="none" w:sz="0" w:space="0" w:color="auto"/>
        <w:left w:val="none" w:sz="0" w:space="0" w:color="auto"/>
        <w:bottom w:val="none" w:sz="0" w:space="0" w:color="auto"/>
        <w:right w:val="none" w:sz="0" w:space="0" w:color="auto"/>
      </w:divBdr>
    </w:div>
    <w:div w:id="993264728">
      <w:bodyDiv w:val="1"/>
      <w:marLeft w:val="0"/>
      <w:marRight w:val="0"/>
      <w:marTop w:val="0"/>
      <w:marBottom w:val="0"/>
      <w:divBdr>
        <w:top w:val="none" w:sz="0" w:space="0" w:color="auto"/>
        <w:left w:val="none" w:sz="0" w:space="0" w:color="auto"/>
        <w:bottom w:val="none" w:sz="0" w:space="0" w:color="auto"/>
        <w:right w:val="none" w:sz="0" w:space="0" w:color="auto"/>
      </w:divBdr>
    </w:div>
    <w:div w:id="993491249">
      <w:bodyDiv w:val="1"/>
      <w:marLeft w:val="0"/>
      <w:marRight w:val="0"/>
      <w:marTop w:val="0"/>
      <w:marBottom w:val="0"/>
      <w:divBdr>
        <w:top w:val="none" w:sz="0" w:space="0" w:color="auto"/>
        <w:left w:val="none" w:sz="0" w:space="0" w:color="auto"/>
        <w:bottom w:val="none" w:sz="0" w:space="0" w:color="auto"/>
        <w:right w:val="none" w:sz="0" w:space="0" w:color="auto"/>
      </w:divBdr>
    </w:div>
    <w:div w:id="994382189">
      <w:bodyDiv w:val="1"/>
      <w:marLeft w:val="0"/>
      <w:marRight w:val="0"/>
      <w:marTop w:val="0"/>
      <w:marBottom w:val="0"/>
      <w:divBdr>
        <w:top w:val="none" w:sz="0" w:space="0" w:color="auto"/>
        <w:left w:val="none" w:sz="0" w:space="0" w:color="auto"/>
        <w:bottom w:val="none" w:sz="0" w:space="0" w:color="auto"/>
        <w:right w:val="none" w:sz="0" w:space="0" w:color="auto"/>
      </w:divBdr>
    </w:div>
    <w:div w:id="1003165299">
      <w:bodyDiv w:val="1"/>
      <w:marLeft w:val="0"/>
      <w:marRight w:val="0"/>
      <w:marTop w:val="0"/>
      <w:marBottom w:val="0"/>
      <w:divBdr>
        <w:top w:val="none" w:sz="0" w:space="0" w:color="auto"/>
        <w:left w:val="none" w:sz="0" w:space="0" w:color="auto"/>
        <w:bottom w:val="none" w:sz="0" w:space="0" w:color="auto"/>
        <w:right w:val="none" w:sz="0" w:space="0" w:color="auto"/>
      </w:divBdr>
    </w:div>
    <w:div w:id="1037047281">
      <w:bodyDiv w:val="1"/>
      <w:marLeft w:val="0"/>
      <w:marRight w:val="0"/>
      <w:marTop w:val="0"/>
      <w:marBottom w:val="0"/>
      <w:divBdr>
        <w:top w:val="none" w:sz="0" w:space="0" w:color="auto"/>
        <w:left w:val="none" w:sz="0" w:space="0" w:color="auto"/>
        <w:bottom w:val="none" w:sz="0" w:space="0" w:color="auto"/>
        <w:right w:val="none" w:sz="0" w:space="0" w:color="auto"/>
      </w:divBdr>
    </w:div>
    <w:div w:id="1039159699">
      <w:bodyDiv w:val="1"/>
      <w:marLeft w:val="0"/>
      <w:marRight w:val="0"/>
      <w:marTop w:val="0"/>
      <w:marBottom w:val="0"/>
      <w:divBdr>
        <w:top w:val="none" w:sz="0" w:space="0" w:color="auto"/>
        <w:left w:val="none" w:sz="0" w:space="0" w:color="auto"/>
        <w:bottom w:val="none" w:sz="0" w:space="0" w:color="auto"/>
        <w:right w:val="none" w:sz="0" w:space="0" w:color="auto"/>
      </w:divBdr>
    </w:div>
    <w:div w:id="1076898509">
      <w:bodyDiv w:val="1"/>
      <w:marLeft w:val="0"/>
      <w:marRight w:val="0"/>
      <w:marTop w:val="0"/>
      <w:marBottom w:val="0"/>
      <w:divBdr>
        <w:top w:val="none" w:sz="0" w:space="0" w:color="auto"/>
        <w:left w:val="none" w:sz="0" w:space="0" w:color="auto"/>
        <w:bottom w:val="none" w:sz="0" w:space="0" w:color="auto"/>
        <w:right w:val="none" w:sz="0" w:space="0" w:color="auto"/>
      </w:divBdr>
    </w:div>
    <w:div w:id="1095899796">
      <w:bodyDiv w:val="1"/>
      <w:marLeft w:val="0"/>
      <w:marRight w:val="0"/>
      <w:marTop w:val="0"/>
      <w:marBottom w:val="0"/>
      <w:divBdr>
        <w:top w:val="none" w:sz="0" w:space="0" w:color="auto"/>
        <w:left w:val="none" w:sz="0" w:space="0" w:color="auto"/>
        <w:bottom w:val="none" w:sz="0" w:space="0" w:color="auto"/>
        <w:right w:val="none" w:sz="0" w:space="0" w:color="auto"/>
      </w:divBdr>
    </w:div>
    <w:div w:id="1104157494">
      <w:bodyDiv w:val="1"/>
      <w:marLeft w:val="0"/>
      <w:marRight w:val="0"/>
      <w:marTop w:val="0"/>
      <w:marBottom w:val="0"/>
      <w:divBdr>
        <w:top w:val="none" w:sz="0" w:space="0" w:color="auto"/>
        <w:left w:val="none" w:sz="0" w:space="0" w:color="auto"/>
        <w:bottom w:val="none" w:sz="0" w:space="0" w:color="auto"/>
        <w:right w:val="none" w:sz="0" w:space="0" w:color="auto"/>
      </w:divBdr>
      <w:divsChild>
        <w:div w:id="1246495576">
          <w:marLeft w:val="0"/>
          <w:marRight w:val="0"/>
          <w:marTop w:val="0"/>
          <w:marBottom w:val="0"/>
          <w:divBdr>
            <w:top w:val="none" w:sz="0" w:space="0" w:color="auto"/>
            <w:left w:val="none" w:sz="0" w:space="0" w:color="auto"/>
            <w:bottom w:val="none" w:sz="0" w:space="0" w:color="auto"/>
            <w:right w:val="none" w:sz="0" w:space="0" w:color="auto"/>
          </w:divBdr>
          <w:divsChild>
            <w:div w:id="1043168213">
              <w:marLeft w:val="0"/>
              <w:marRight w:val="0"/>
              <w:marTop w:val="0"/>
              <w:marBottom w:val="0"/>
              <w:divBdr>
                <w:top w:val="none" w:sz="0" w:space="0" w:color="auto"/>
                <w:left w:val="none" w:sz="0" w:space="0" w:color="auto"/>
                <w:bottom w:val="none" w:sz="0" w:space="0" w:color="auto"/>
                <w:right w:val="none" w:sz="0" w:space="0" w:color="auto"/>
              </w:divBdr>
              <w:divsChild>
                <w:div w:id="401830788">
                  <w:marLeft w:val="0"/>
                  <w:marRight w:val="0"/>
                  <w:marTop w:val="0"/>
                  <w:marBottom w:val="0"/>
                  <w:divBdr>
                    <w:top w:val="none" w:sz="0" w:space="0" w:color="auto"/>
                    <w:left w:val="none" w:sz="0" w:space="0" w:color="auto"/>
                    <w:bottom w:val="none" w:sz="0" w:space="0" w:color="auto"/>
                    <w:right w:val="none" w:sz="0" w:space="0" w:color="auto"/>
                  </w:divBdr>
                  <w:divsChild>
                    <w:div w:id="268970628">
                      <w:marLeft w:val="0"/>
                      <w:marRight w:val="0"/>
                      <w:marTop w:val="0"/>
                      <w:marBottom w:val="0"/>
                      <w:divBdr>
                        <w:top w:val="none" w:sz="0" w:space="0" w:color="auto"/>
                        <w:left w:val="none" w:sz="0" w:space="0" w:color="auto"/>
                        <w:bottom w:val="none" w:sz="0" w:space="0" w:color="auto"/>
                        <w:right w:val="none" w:sz="0" w:space="0" w:color="auto"/>
                      </w:divBdr>
                    </w:div>
                    <w:div w:id="33615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558548">
      <w:bodyDiv w:val="1"/>
      <w:marLeft w:val="0"/>
      <w:marRight w:val="0"/>
      <w:marTop w:val="0"/>
      <w:marBottom w:val="0"/>
      <w:divBdr>
        <w:top w:val="none" w:sz="0" w:space="0" w:color="auto"/>
        <w:left w:val="none" w:sz="0" w:space="0" w:color="auto"/>
        <w:bottom w:val="none" w:sz="0" w:space="0" w:color="auto"/>
        <w:right w:val="none" w:sz="0" w:space="0" w:color="auto"/>
      </w:divBdr>
    </w:div>
    <w:div w:id="1118599713">
      <w:bodyDiv w:val="1"/>
      <w:marLeft w:val="0"/>
      <w:marRight w:val="0"/>
      <w:marTop w:val="0"/>
      <w:marBottom w:val="0"/>
      <w:divBdr>
        <w:top w:val="none" w:sz="0" w:space="0" w:color="auto"/>
        <w:left w:val="none" w:sz="0" w:space="0" w:color="auto"/>
        <w:bottom w:val="none" w:sz="0" w:space="0" w:color="auto"/>
        <w:right w:val="none" w:sz="0" w:space="0" w:color="auto"/>
      </w:divBdr>
    </w:div>
    <w:div w:id="1122574519">
      <w:bodyDiv w:val="1"/>
      <w:marLeft w:val="0"/>
      <w:marRight w:val="0"/>
      <w:marTop w:val="0"/>
      <w:marBottom w:val="0"/>
      <w:divBdr>
        <w:top w:val="none" w:sz="0" w:space="0" w:color="auto"/>
        <w:left w:val="none" w:sz="0" w:space="0" w:color="auto"/>
        <w:bottom w:val="none" w:sz="0" w:space="0" w:color="auto"/>
        <w:right w:val="none" w:sz="0" w:space="0" w:color="auto"/>
      </w:divBdr>
    </w:div>
    <w:div w:id="1139179059">
      <w:bodyDiv w:val="1"/>
      <w:marLeft w:val="0"/>
      <w:marRight w:val="0"/>
      <w:marTop w:val="0"/>
      <w:marBottom w:val="0"/>
      <w:divBdr>
        <w:top w:val="none" w:sz="0" w:space="0" w:color="auto"/>
        <w:left w:val="none" w:sz="0" w:space="0" w:color="auto"/>
        <w:bottom w:val="none" w:sz="0" w:space="0" w:color="auto"/>
        <w:right w:val="none" w:sz="0" w:space="0" w:color="auto"/>
      </w:divBdr>
    </w:div>
    <w:div w:id="1141729716">
      <w:bodyDiv w:val="1"/>
      <w:marLeft w:val="0"/>
      <w:marRight w:val="0"/>
      <w:marTop w:val="0"/>
      <w:marBottom w:val="0"/>
      <w:divBdr>
        <w:top w:val="none" w:sz="0" w:space="0" w:color="auto"/>
        <w:left w:val="none" w:sz="0" w:space="0" w:color="auto"/>
        <w:bottom w:val="none" w:sz="0" w:space="0" w:color="auto"/>
        <w:right w:val="none" w:sz="0" w:space="0" w:color="auto"/>
      </w:divBdr>
    </w:div>
    <w:div w:id="1145123691">
      <w:bodyDiv w:val="1"/>
      <w:marLeft w:val="0"/>
      <w:marRight w:val="0"/>
      <w:marTop w:val="0"/>
      <w:marBottom w:val="0"/>
      <w:divBdr>
        <w:top w:val="none" w:sz="0" w:space="0" w:color="auto"/>
        <w:left w:val="none" w:sz="0" w:space="0" w:color="auto"/>
        <w:bottom w:val="none" w:sz="0" w:space="0" w:color="auto"/>
        <w:right w:val="none" w:sz="0" w:space="0" w:color="auto"/>
      </w:divBdr>
    </w:div>
    <w:div w:id="1161577779">
      <w:bodyDiv w:val="1"/>
      <w:marLeft w:val="0"/>
      <w:marRight w:val="0"/>
      <w:marTop w:val="0"/>
      <w:marBottom w:val="0"/>
      <w:divBdr>
        <w:top w:val="none" w:sz="0" w:space="0" w:color="auto"/>
        <w:left w:val="none" w:sz="0" w:space="0" w:color="auto"/>
        <w:bottom w:val="none" w:sz="0" w:space="0" w:color="auto"/>
        <w:right w:val="none" w:sz="0" w:space="0" w:color="auto"/>
      </w:divBdr>
    </w:div>
    <w:div w:id="1180966922">
      <w:bodyDiv w:val="1"/>
      <w:marLeft w:val="0"/>
      <w:marRight w:val="0"/>
      <w:marTop w:val="0"/>
      <w:marBottom w:val="0"/>
      <w:divBdr>
        <w:top w:val="none" w:sz="0" w:space="0" w:color="auto"/>
        <w:left w:val="none" w:sz="0" w:space="0" w:color="auto"/>
        <w:bottom w:val="none" w:sz="0" w:space="0" w:color="auto"/>
        <w:right w:val="none" w:sz="0" w:space="0" w:color="auto"/>
      </w:divBdr>
    </w:div>
    <w:div w:id="1190485567">
      <w:bodyDiv w:val="1"/>
      <w:marLeft w:val="0"/>
      <w:marRight w:val="0"/>
      <w:marTop w:val="0"/>
      <w:marBottom w:val="0"/>
      <w:divBdr>
        <w:top w:val="none" w:sz="0" w:space="0" w:color="auto"/>
        <w:left w:val="none" w:sz="0" w:space="0" w:color="auto"/>
        <w:bottom w:val="none" w:sz="0" w:space="0" w:color="auto"/>
        <w:right w:val="none" w:sz="0" w:space="0" w:color="auto"/>
      </w:divBdr>
    </w:div>
    <w:div w:id="1218130255">
      <w:bodyDiv w:val="1"/>
      <w:marLeft w:val="0"/>
      <w:marRight w:val="0"/>
      <w:marTop w:val="0"/>
      <w:marBottom w:val="0"/>
      <w:divBdr>
        <w:top w:val="none" w:sz="0" w:space="0" w:color="auto"/>
        <w:left w:val="none" w:sz="0" w:space="0" w:color="auto"/>
        <w:bottom w:val="none" w:sz="0" w:space="0" w:color="auto"/>
        <w:right w:val="none" w:sz="0" w:space="0" w:color="auto"/>
      </w:divBdr>
    </w:div>
    <w:div w:id="1230076165">
      <w:bodyDiv w:val="1"/>
      <w:marLeft w:val="0"/>
      <w:marRight w:val="0"/>
      <w:marTop w:val="0"/>
      <w:marBottom w:val="0"/>
      <w:divBdr>
        <w:top w:val="none" w:sz="0" w:space="0" w:color="auto"/>
        <w:left w:val="none" w:sz="0" w:space="0" w:color="auto"/>
        <w:bottom w:val="none" w:sz="0" w:space="0" w:color="auto"/>
        <w:right w:val="none" w:sz="0" w:space="0" w:color="auto"/>
      </w:divBdr>
      <w:divsChild>
        <w:div w:id="2126146950">
          <w:marLeft w:val="0"/>
          <w:marRight w:val="547"/>
          <w:marTop w:val="0"/>
          <w:marBottom w:val="0"/>
          <w:divBdr>
            <w:top w:val="none" w:sz="0" w:space="0" w:color="auto"/>
            <w:left w:val="none" w:sz="0" w:space="0" w:color="auto"/>
            <w:bottom w:val="none" w:sz="0" w:space="0" w:color="auto"/>
            <w:right w:val="none" w:sz="0" w:space="0" w:color="auto"/>
          </w:divBdr>
        </w:div>
      </w:divsChild>
    </w:div>
    <w:div w:id="1239823348">
      <w:bodyDiv w:val="1"/>
      <w:marLeft w:val="0"/>
      <w:marRight w:val="0"/>
      <w:marTop w:val="0"/>
      <w:marBottom w:val="0"/>
      <w:divBdr>
        <w:top w:val="none" w:sz="0" w:space="0" w:color="auto"/>
        <w:left w:val="none" w:sz="0" w:space="0" w:color="auto"/>
        <w:bottom w:val="none" w:sz="0" w:space="0" w:color="auto"/>
        <w:right w:val="none" w:sz="0" w:space="0" w:color="auto"/>
      </w:divBdr>
    </w:div>
    <w:div w:id="1282297420">
      <w:bodyDiv w:val="1"/>
      <w:marLeft w:val="0"/>
      <w:marRight w:val="0"/>
      <w:marTop w:val="0"/>
      <w:marBottom w:val="0"/>
      <w:divBdr>
        <w:top w:val="none" w:sz="0" w:space="0" w:color="auto"/>
        <w:left w:val="none" w:sz="0" w:space="0" w:color="auto"/>
        <w:bottom w:val="none" w:sz="0" w:space="0" w:color="auto"/>
        <w:right w:val="none" w:sz="0" w:space="0" w:color="auto"/>
      </w:divBdr>
    </w:div>
    <w:div w:id="1292247322">
      <w:bodyDiv w:val="1"/>
      <w:marLeft w:val="0"/>
      <w:marRight w:val="0"/>
      <w:marTop w:val="0"/>
      <w:marBottom w:val="0"/>
      <w:divBdr>
        <w:top w:val="none" w:sz="0" w:space="0" w:color="auto"/>
        <w:left w:val="none" w:sz="0" w:space="0" w:color="auto"/>
        <w:bottom w:val="none" w:sz="0" w:space="0" w:color="auto"/>
        <w:right w:val="none" w:sz="0" w:space="0" w:color="auto"/>
      </w:divBdr>
    </w:div>
    <w:div w:id="1295604616">
      <w:bodyDiv w:val="1"/>
      <w:marLeft w:val="0"/>
      <w:marRight w:val="0"/>
      <w:marTop w:val="0"/>
      <w:marBottom w:val="0"/>
      <w:divBdr>
        <w:top w:val="none" w:sz="0" w:space="0" w:color="auto"/>
        <w:left w:val="none" w:sz="0" w:space="0" w:color="auto"/>
        <w:bottom w:val="none" w:sz="0" w:space="0" w:color="auto"/>
        <w:right w:val="none" w:sz="0" w:space="0" w:color="auto"/>
      </w:divBdr>
    </w:div>
    <w:div w:id="1306281441">
      <w:bodyDiv w:val="1"/>
      <w:marLeft w:val="0"/>
      <w:marRight w:val="0"/>
      <w:marTop w:val="0"/>
      <w:marBottom w:val="0"/>
      <w:divBdr>
        <w:top w:val="none" w:sz="0" w:space="0" w:color="auto"/>
        <w:left w:val="none" w:sz="0" w:space="0" w:color="auto"/>
        <w:bottom w:val="none" w:sz="0" w:space="0" w:color="auto"/>
        <w:right w:val="none" w:sz="0" w:space="0" w:color="auto"/>
      </w:divBdr>
      <w:divsChild>
        <w:div w:id="1283993989">
          <w:marLeft w:val="-225"/>
          <w:marRight w:val="-225"/>
          <w:marTop w:val="0"/>
          <w:marBottom w:val="0"/>
          <w:divBdr>
            <w:top w:val="none" w:sz="0" w:space="0" w:color="auto"/>
            <w:left w:val="none" w:sz="0" w:space="0" w:color="auto"/>
            <w:bottom w:val="none" w:sz="0" w:space="0" w:color="auto"/>
            <w:right w:val="none" w:sz="0" w:space="0" w:color="auto"/>
          </w:divBdr>
          <w:divsChild>
            <w:div w:id="156456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931833">
      <w:bodyDiv w:val="1"/>
      <w:marLeft w:val="0"/>
      <w:marRight w:val="0"/>
      <w:marTop w:val="0"/>
      <w:marBottom w:val="0"/>
      <w:divBdr>
        <w:top w:val="none" w:sz="0" w:space="0" w:color="auto"/>
        <w:left w:val="none" w:sz="0" w:space="0" w:color="auto"/>
        <w:bottom w:val="none" w:sz="0" w:space="0" w:color="auto"/>
        <w:right w:val="none" w:sz="0" w:space="0" w:color="auto"/>
      </w:divBdr>
      <w:divsChild>
        <w:div w:id="1107627765">
          <w:marLeft w:val="0"/>
          <w:marRight w:val="720"/>
          <w:marTop w:val="0"/>
          <w:marBottom w:val="0"/>
          <w:divBdr>
            <w:top w:val="none" w:sz="0" w:space="0" w:color="auto"/>
            <w:left w:val="none" w:sz="0" w:space="0" w:color="auto"/>
            <w:bottom w:val="none" w:sz="0" w:space="0" w:color="auto"/>
            <w:right w:val="none" w:sz="0" w:space="0" w:color="auto"/>
          </w:divBdr>
        </w:div>
      </w:divsChild>
    </w:div>
    <w:div w:id="1312446948">
      <w:bodyDiv w:val="1"/>
      <w:marLeft w:val="0"/>
      <w:marRight w:val="0"/>
      <w:marTop w:val="0"/>
      <w:marBottom w:val="0"/>
      <w:divBdr>
        <w:top w:val="none" w:sz="0" w:space="0" w:color="auto"/>
        <w:left w:val="none" w:sz="0" w:space="0" w:color="auto"/>
        <w:bottom w:val="none" w:sz="0" w:space="0" w:color="auto"/>
        <w:right w:val="none" w:sz="0" w:space="0" w:color="auto"/>
      </w:divBdr>
    </w:div>
    <w:div w:id="1385328423">
      <w:bodyDiv w:val="1"/>
      <w:marLeft w:val="0"/>
      <w:marRight w:val="0"/>
      <w:marTop w:val="0"/>
      <w:marBottom w:val="0"/>
      <w:divBdr>
        <w:top w:val="none" w:sz="0" w:space="0" w:color="auto"/>
        <w:left w:val="none" w:sz="0" w:space="0" w:color="auto"/>
        <w:bottom w:val="none" w:sz="0" w:space="0" w:color="auto"/>
        <w:right w:val="none" w:sz="0" w:space="0" w:color="auto"/>
      </w:divBdr>
    </w:div>
    <w:div w:id="1426924425">
      <w:bodyDiv w:val="1"/>
      <w:marLeft w:val="0"/>
      <w:marRight w:val="0"/>
      <w:marTop w:val="0"/>
      <w:marBottom w:val="0"/>
      <w:divBdr>
        <w:top w:val="none" w:sz="0" w:space="0" w:color="auto"/>
        <w:left w:val="none" w:sz="0" w:space="0" w:color="auto"/>
        <w:bottom w:val="none" w:sz="0" w:space="0" w:color="auto"/>
        <w:right w:val="none" w:sz="0" w:space="0" w:color="auto"/>
      </w:divBdr>
    </w:div>
    <w:div w:id="1429734549">
      <w:bodyDiv w:val="1"/>
      <w:marLeft w:val="0"/>
      <w:marRight w:val="0"/>
      <w:marTop w:val="0"/>
      <w:marBottom w:val="0"/>
      <w:divBdr>
        <w:top w:val="none" w:sz="0" w:space="0" w:color="auto"/>
        <w:left w:val="none" w:sz="0" w:space="0" w:color="auto"/>
        <w:bottom w:val="none" w:sz="0" w:space="0" w:color="auto"/>
        <w:right w:val="none" w:sz="0" w:space="0" w:color="auto"/>
      </w:divBdr>
    </w:div>
    <w:div w:id="1493333630">
      <w:bodyDiv w:val="1"/>
      <w:marLeft w:val="0"/>
      <w:marRight w:val="0"/>
      <w:marTop w:val="0"/>
      <w:marBottom w:val="0"/>
      <w:divBdr>
        <w:top w:val="none" w:sz="0" w:space="0" w:color="auto"/>
        <w:left w:val="none" w:sz="0" w:space="0" w:color="auto"/>
        <w:bottom w:val="none" w:sz="0" w:space="0" w:color="auto"/>
        <w:right w:val="none" w:sz="0" w:space="0" w:color="auto"/>
      </w:divBdr>
    </w:div>
    <w:div w:id="1506431123">
      <w:bodyDiv w:val="1"/>
      <w:marLeft w:val="0"/>
      <w:marRight w:val="0"/>
      <w:marTop w:val="0"/>
      <w:marBottom w:val="0"/>
      <w:divBdr>
        <w:top w:val="none" w:sz="0" w:space="0" w:color="auto"/>
        <w:left w:val="none" w:sz="0" w:space="0" w:color="auto"/>
        <w:bottom w:val="none" w:sz="0" w:space="0" w:color="auto"/>
        <w:right w:val="none" w:sz="0" w:space="0" w:color="auto"/>
      </w:divBdr>
    </w:div>
    <w:div w:id="1550071826">
      <w:bodyDiv w:val="1"/>
      <w:marLeft w:val="0"/>
      <w:marRight w:val="0"/>
      <w:marTop w:val="0"/>
      <w:marBottom w:val="0"/>
      <w:divBdr>
        <w:top w:val="none" w:sz="0" w:space="0" w:color="auto"/>
        <w:left w:val="none" w:sz="0" w:space="0" w:color="auto"/>
        <w:bottom w:val="none" w:sz="0" w:space="0" w:color="auto"/>
        <w:right w:val="none" w:sz="0" w:space="0" w:color="auto"/>
      </w:divBdr>
    </w:div>
    <w:div w:id="1582132423">
      <w:bodyDiv w:val="1"/>
      <w:marLeft w:val="0"/>
      <w:marRight w:val="0"/>
      <w:marTop w:val="0"/>
      <w:marBottom w:val="0"/>
      <w:divBdr>
        <w:top w:val="none" w:sz="0" w:space="0" w:color="auto"/>
        <w:left w:val="none" w:sz="0" w:space="0" w:color="auto"/>
        <w:bottom w:val="none" w:sz="0" w:space="0" w:color="auto"/>
        <w:right w:val="none" w:sz="0" w:space="0" w:color="auto"/>
      </w:divBdr>
    </w:div>
    <w:div w:id="1611278792">
      <w:bodyDiv w:val="1"/>
      <w:marLeft w:val="0"/>
      <w:marRight w:val="0"/>
      <w:marTop w:val="0"/>
      <w:marBottom w:val="0"/>
      <w:divBdr>
        <w:top w:val="none" w:sz="0" w:space="0" w:color="auto"/>
        <w:left w:val="none" w:sz="0" w:space="0" w:color="auto"/>
        <w:bottom w:val="none" w:sz="0" w:space="0" w:color="auto"/>
        <w:right w:val="none" w:sz="0" w:space="0" w:color="auto"/>
      </w:divBdr>
    </w:div>
    <w:div w:id="1628730823">
      <w:bodyDiv w:val="1"/>
      <w:marLeft w:val="0"/>
      <w:marRight w:val="0"/>
      <w:marTop w:val="0"/>
      <w:marBottom w:val="0"/>
      <w:divBdr>
        <w:top w:val="none" w:sz="0" w:space="0" w:color="auto"/>
        <w:left w:val="none" w:sz="0" w:space="0" w:color="auto"/>
        <w:bottom w:val="none" w:sz="0" w:space="0" w:color="auto"/>
        <w:right w:val="none" w:sz="0" w:space="0" w:color="auto"/>
      </w:divBdr>
      <w:divsChild>
        <w:div w:id="1197887748">
          <w:marLeft w:val="0"/>
          <w:marRight w:val="0"/>
          <w:marTop w:val="0"/>
          <w:marBottom w:val="0"/>
          <w:divBdr>
            <w:top w:val="none" w:sz="0" w:space="0" w:color="auto"/>
            <w:left w:val="none" w:sz="0" w:space="0" w:color="auto"/>
            <w:bottom w:val="none" w:sz="0" w:space="0" w:color="auto"/>
            <w:right w:val="none" w:sz="0" w:space="0" w:color="auto"/>
          </w:divBdr>
        </w:div>
        <w:div w:id="287324189">
          <w:marLeft w:val="0"/>
          <w:marRight w:val="0"/>
          <w:marTop w:val="0"/>
          <w:marBottom w:val="0"/>
          <w:divBdr>
            <w:top w:val="none" w:sz="0" w:space="0" w:color="auto"/>
            <w:left w:val="none" w:sz="0" w:space="0" w:color="auto"/>
            <w:bottom w:val="none" w:sz="0" w:space="0" w:color="auto"/>
            <w:right w:val="none" w:sz="0" w:space="0" w:color="auto"/>
          </w:divBdr>
        </w:div>
        <w:div w:id="653878299">
          <w:marLeft w:val="0"/>
          <w:marRight w:val="0"/>
          <w:marTop w:val="0"/>
          <w:marBottom w:val="0"/>
          <w:divBdr>
            <w:top w:val="none" w:sz="0" w:space="0" w:color="auto"/>
            <w:left w:val="none" w:sz="0" w:space="0" w:color="auto"/>
            <w:bottom w:val="none" w:sz="0" w:space="0" w:color="auto"/>
            <w:right w:val="none" w:sz="0" w:space="0" w:color="auto"/>
          </w:divBdr>
        </w:div>
        <w:div w:id="1066150090">
          <w:marLeft w:val="0"/>
          <w:marRight w:val="0"/>
          <w:marTop w:val="0"/>
          <w:marBottom w:val="0"/>
          <w:divBdr>
            <w:top w:val="none" w:sz="0" w:space="0" w:color="auto"/>
            <w:left w:val="none" w:sz="0" w:space="0" w:color="auto"/>
            <w:bottom w:val="none" w:sz="0" w:space="0" w:color="auto"/>
            <w:right w:val="none" w:sz="0" w:space="0" w:color="auto"/>
          </w:divBdr>
        </w:div>
      </w:divsChild>
    </w:div>
    <w:div w:id="1641422676">
      <w:bodyDiv w:val="1"/>
      <w:marLeft w:val="0"/>
      <w:marRight w:val="0"/>
      <w:marTop w:val="0"/>
      <w:marBottom w:val="0"/>
      <w:divBdr>
        <w:top w:val="none" w:sz="0" w:space="0" w:color="auto"/>
        <w:left w:val="none" w:sz="0" w:space="0" w:color="auto"/>
        <w:bottom w:val="none" w:sz="0" w:space="0" w:color="auto"/>
        <w:right w:val="none" w:sz="0" w:space="0" w:color="auto"/>
      </w:divBdr>
    </w:div>
    <w:div w:id="1681159667">
      <w:bodyDiv w:val="1"/>
      <w:marLeft w:val="0"/>
      <w:marRight w:val="0"/>
      <w:marTop w:val="0"/>
      <w:marBottom w:val="0"/>
      <w:divBdr>
        <w:top w:val="none" w:sz="0" w:space="0" w:color="auto"/>
        <w:left w:val="none" w:sz="0" w:space="0" w:color="auto"/>
        <w:bottom w:val="none" w:sz="0" w:space="0" w:color="auto"/>
        <w:right w:val="none" w:sz="0" w:space="0" w:color="auto"/>
      </w:divBdr>
    </w:div>
    <w:div w:id="1684435156">
      <w:bodyDiv w:val="1"/>
      <w:marLeft w:val="0"/>
      <w:marRight w:val="0"/>
      <w:marTop w:val="0"/>
      <w:marBottom w:val="0"/>
      <w:divBdr>
        <w:top w:val="none" w:sz="0" w:space="0" w:color="auto"/>
        <w:left w:val="none" w:sz="0" w:space="0" w:color="auto"/>
        <w:bottom w:val="none" w:sz="0" w:space="0" w:color="auto"/>
        <w:right w:val="none" w:sz="0" w:space="0" w:color="auto"/>
      </w:divBdr>
    </w:div>
    <w:div w:id="1700475045">
      <w:bodyDiv w:val="1"/>
      <w:marLeft w:val="0"/>
      <w:marRight w:val="0"/>
      <w:marTop w:val="0"/>
      <w:marBottom w:val="0"/>
      <w:divBdr>
        <w:top w:val="none" w:sz="0" w:space="0" w:color="auto"/>
        <w:left w:val="none" w:sz="0" w:space="0" w:color="auto"/>
        <w:bottom w:val="none" w:sz="0" w:space="0" w:color="auto"/>
        <w:right w:val="none" w:sz="0" w:space="0" w:color="auto"/>
      </w:divBdr>
    </w:div>
    <w:div w:id="1704868986">
      <w:bodyDiv w:val="1"/>
      <w:marLeft w:val="0"/>
      <w:marRight w:val="0"/>
      <w:marTop w:val="0"/>
      <w:marBottom w:val="0"/>
      <w:divBdr>
        <w:top w:val="none" w:sz="0" w:space="0" w:color="auto"/>
        <w:left w:val="none" w:sz="0" w:space="0" w:color="auto"/>
        <w:bottom w:val="none" w:sz="0" w:space="0" w:color="auto"/>
        <w:right w:val="none" w:sz="0" w:space="0" w:color="auto"/>
      </w:divBdr>
      <w:divsChild>
        <w:div w:id="502089213">
          <w:marLeft w:val="0"/>
          <w:marRight w:val="403"/>
          <w:marTop w:val="0"/>
          <w:marBottom w:val="0"/>
          <w:divBdr>
            <w:top w:val="none" w:sz="0" w:space="0" w:color="auto"/>
            <w:left w:val="none" w:sz="0" w:space="0" w:color="auto"/>
            <w:bottom w:val="none" w:sz="0" w:space="0" w:color="auto"/>
            <w:right w:val="none" w:sz="0" w:space="0" w:color="auto"/>
          </w:divBdr>
        </w:div>
        <w:div w:id="531302810">
          <w:marLeft w:val="0"/>
          <w:marRight w:val="403"/>
          <w:marTop w:val="0"/>
          <w:marBottom w:val="0"/>
          <w:divBdr>
            <w:top w:val="none" w:sz="0" w:space="0" w:color="auto"/>
            <w:left w:val="none" w:sz="0" w:space="0" w:color="auto"/>
            <w:bottom w:val="none" w:sz="0" w:space="0" w:color="auto"/>
            <w:right w:val="none" w:sz="0" w:space="0" w:color="auto"/>
          </w:divBdr>
        </w:div>
        <w:div w:id="851264786">
          <w:marLeft w:val="0"/>
          <w:marRight w:val="403"/>
          <w:marTop w:val="0"/>
          <w:marBottom w:val="0"/>
          <w:divBdr>
            <w:top w:val="none" w:sz="0" w:space="0" w:color="auto"/>
            <w:left w:val="none" w:sz="0" w:space="0" w:color="auto"/>
            <w:bottom w:val="none" w:sz="0" w:space="0" w:color="auto"/>
            <w:right w:val="none" w:sz="0" w:space="0" w:color="auto"/>
          </w:divBdr>
        </w:div>
        <w:div w:id="1699045056">
          <w:marLeft w:val="0"/>
          <w:marRight w:val="403"/>
          <w:marTop w:val="0"/>
          <w:marBottom w:val="0"/>
          <w:divBdr>
            <w:top w:val="none" w:sz="0" w:space="0" w:color="auto"/>
            <w:left w:val="none" w:sz="0" w:space="0" w:color="auto"/>
            <w:bottom w:val="none" w:sz="0" w:space="0" w:color="auto"/>
            <w:right w:val="none" w:sz="0" w:space="0" w:color="auto"/>
          </w:divBdr>
        </w:div>
      </w:divsChild>
    </w:div>
    <w:div w:id="1714957922">
      <w:bodyDiv w:val="1"/>
      <w:marLeft w:val="0"/>
      <w:marRight w:val="0"/>
      <w:marTop w:val="0"/>
      <w:marBottom w:val="0"/>
      <w:divBdr>
        <w:top w:val="none" w:sz="0" w:space="0" w:color="auto"/>
        <w:left w:val="none" w:sz="0" w:space="0" w:color="auto"/>
        <w:bottom w:val="none" w:sz="0" w:space="0" w:color="auto"/>
        <w:right w:val="none" w:sz="0" w:space="0" w:color="auto"/>
      </w:divBdr>
    </w:div>
    <w:div w:id="1732579539">
      <w:bodyDiv w:val="1"/>
      <w:marLeft w:val="0"/>
      <w:marRight w:val="0"/>
      <w:marTop w:val="0"/>
      <w:marBottom w:val="0"/>
      <w:divBdr>
        <w:top w:val="none" w:sz="0" w:space="0" w:color="auto"/>
        <w:left w:val="none" w:sz="0" w:space="0" w:color="auto"/>
        <w:bottom w:val="none" w:sz="0" w:space="0" w:color="auto"/>
        <w:right w:val="none" w:sz="0" w:space="0" w:color="auto"/>
      </w:divBdr>
    </w:div>
    <w:div w:id="1748646997">
      <w:bodyDiv w:val="1"/>
      <w:marLeft w:val="0"/>
      <w:marRight w:val="0"/>
      <w:marTop w:val="0"/>
      <w:marBottom w:val="0"/>
      <w:divBdr>
        <w:top w:val="none" w:sz="0" w:space="0" w:color="auto"/>
        <w:left w:val="none" w:sz="0" w:space="0" w:color="auto"/>
        <w:bottom w:val="none" w:sz="0" w:space="0" w:color="auto"/>
        <w:right w:val="none" w:sz="0" w:space="0" w:color="auto"/>
      </w:divBdr>
    </w:div>
    <w:div w:id="1766530959">
      <w:bodyDiv w:val="1"/>
      <w:marLeft w:val="0"/>
      <w:marRight w:val="0"/>
      <w:marTop w:val="0"/>
      <w:marBottom w:val="0"/>
      <w:divBdr>
        <w:top w:val="none" w:sz="0" w:space="0" w:color="auto"/>
        <w:left w:val="none" w:sz="0" w:space="0" w:color="auto"/>
        <w:bottom w:val="none" w:sz="0" w:space="0" w:color="auto"/>
        <w:right w:val="none" w:sz="0" w:space="0" w:color="auto"/>
      </w:divBdr>
    </w:div>
    <w:div w:id="1767841606">
      <w:bodyDiv w:val="1"/>
      <w:marLeft w:val="0"/>
      <w:marRight w:val="0"/>
      <w:marTop w:val="0"/>
      <w:marBottom w:val="0"/>
      <w:divBdr>
        <w:top w:val="none" w:sz="0" w:space="0" w:color="auto"/>
        <w:left w:val="none" w:sz="0" w:space="0" w:color="auto"/>
        <w:bottom w:val="none" w:sz="0" w:space="0" w:color="auto"/>
        <w:right w:val="none" w:sz="0" w:space="0" w:color="auto"/>
      </w:divBdr>
    </w:div>
    <w:div w:id="1774980434">
      <w:bodyDiv w:val="1"/>
      <w:marLeft w:val="0"/>
      <w:marRight w:val="0"/>
      <w:marTop w:val="0"/>
      <w:marBottom w:val="0"/>
      <w:divBdr>
        <w:top w:val="none" w:sz="0" w:space="0" w:color="auto"/>
        <w:left w:val="none" w:sz="0" w:space="0" w:color="auto"/>
        <w:bottom w:val="none" w:sz="0" w:space="0" w:color="auto"/>
        <w:right w:val="none" w:sz="0" w:space="0" w:color="auto"/>
      </w:divBdr>
    </w:div>
    <w:div w:id="1789395433">
      <w:bodyDiv w:val="1"/>
      <w:marLeft w:val="0"/>
      <w:marRight w:val="0"/>
      <w:marTop w:val="0"/>
      <w:marBottom w:val="0"/>
      <w:divBdr>
        <w:top w:val="none" w:sz="0" w:space="0" w:color="auto"/>
        <w:left w:val="none" w:sz="0" w:space="0" w:color="auto"/>
        <w:bottom w:val="none" w:sz="0" w:space="0" w:color="auto"/>
        <w:right w:val="none" w:sz="0" w:space="0" w:color="auto"/>
      </w:divBdr>
    </w:div>
    <w:div w:id="1827549207">
      <w:bodyDiv w:val="1"/>
      <w:marLeft w:val="0"/>
      <w:marRight w:val="0"/>
      <w:marTop w:val="0"/>
      <w:marBottom w:val="0"/>
      <w:divBdr>
        <w:top w:val="none" w:sz="0" w:space="0" w:color="auto"/>
        <w:left w:val="none" w:sz="0" w:space="0" w:color="auto"/>
        <w:bottom w:val="none" w:sz="0" w:space="0" w:color="auto"/>
        <w:right w:val="none" w:sz="0" w:space="0" w:color="auto"/>
      </w:divBdr>
    </w:div>
    <w:div w:id="1842771944">
      <w:bodyDiv w:val="1"/>
      <w:marLeft w:val="0"/>
      <w:marRight w:val="0"/>
      <w:marTop w:val="0"/>
      <w:marBottom w:val="0"/>
      <w:divBdr>
        <w:top w:val="none" w:sz="0" w:space="0" w:color="auto"/>
        <w:left w:val="none" w:sz="0" w:space="0" w:color="auto"/>
        <w:bottom w:val="none" w:sz="0" w:space="0" w:color="auto"/>
        <w:right w:val="none" w:sz="0" w:space="0" w:color="auto"/>
      </w:divBdr>
    </w:div>
    <w:div w:id="1863203193">
      <w:bodyDiv w:val="1"/>
      <w:marLeft w:val="0"/>
      <w:marRight w:val="0"/>
      <w:marTop w:val="0"/>
      <w:marBottom w:val="0"/>
      <w:divBdr>
        <w:top w:val="none" w:sz="0" w:space="0" w:color="auto"/>
        <w:left w:val="none" w:sz="0" w:space="0" w:color="auto"/>
        <w:bottom w:val="none" w:sz="0" w:space="0" w:color="auto"/>
        <w:right w:val="none" w:sz="0" w:space="0" w:color="auto"/>
      </w:divBdr>
    </w:div>
    <w:div w:id="1876381238">
      <w:bodyDiv w:val="1"/>
      <w:marLeft w:val="0"/>
      <w:marRight w:val="0"/>
      <w:marTop w:val="0"/>
      <w:marBottom w:val="0"/>
      <w:divBdr>
        <w:top w:val="none" w:sz="0" w:space="0" w:color="auto"/>
        <w:left w:val="none" w:sz="0" w:space="0" w:color="auto"/>
        <w:bottom w:val="none" w:sz="0" w:space="0" w:color="auto"/>
        <w:right w:val="none" w:sz="0" w:space="0" w:color="auto"/>
      </w:divBdr>
    </w:div>
    <w:div w:id="1885630282">
      <w:bodyDiv w:val="1"/>
      <w:marLeft w:val="0"/>
      <w:marRight w:val="0"/>
      <w:marTop w:val="0"/>
      <w:marBottom w:val="0"/>
      <w:divBdr>
        <w:top w:val="none" w:sz="0" w:space="0" w:color="auto"/>
        <w:left w:val="none" w:sz="0" w:space="0" w:color="auto"/>
        <w:bottom w:val="none" w:sz="0" w:space="0" w:color="auto"/>
        <w:right w:val="none" w:sz="0" w:space="0" w:color="auto"/>
      </w:divBdr>
    </w:div>
    <w:div w:id="1935363078">
      <w:bodyDiv w:val="1"/>
      <w:marLeft w:val="0"/>
      <w:marRight w:val="0"/>
      <w:marTop w:val="0"/>
      <w:marBottom w:val="0"/>
      <w:divBdr>
        <w:top w:val="none" w:sz="0" w:space="0" w:color="auto"/>
        <w:left w:val="none" w:sz="0" w:space="0" w:color="auto"/>
        <w:bottom w:val="none" w:sz="0" w:space="0" w:color="auto"/>
        <w:right w:val="none" w:sz="0" w:space="0" w:color="auto"/>
      </w:divBdr>
    </w:div>
    <w:div w:id="1947687298">
      <w:bodyDiv w:val="1"/>
      <w:marLeft w:val="0"/>
      <w:marRight w:val="0"/>
      <w:marTop w:val="0"/>
      <w:marBottom w:val="0"/>
      <w:divBdr>
        <w:top w:val="none" w:sz="0" w:space="0" w:color="auto"/>
        <w:left w:val="none" w:sz="0" w:space="0" w:color="auto"/>
        <w:bottom w:val="none" w:sz="0" w:space="0" w:color="auto"/>
        <w:right w:val="none" w:sz="0" w:space="0" w:color="auto"/>
      </w:divBdr>
      <w:divsChild>
        <w:div w:id="2137720609">
          <w:marLeft w:val="0"/>
          <w:marRight w:val="547"/>
          <w:marTop w:val="0"/>
          <w:marBottom w:val="0"/>
          <w:divBdr>
            <w:top w:val="none" w:sz="0" w:space="0" w:color="auto"/>
            <w:left w:val="none" w:sz="0" w:space="0" w:color="auto"/>
            <w:bottom w:val="none" w:sz="0" w:space="0" w:color="auto"/>
            <w:right w:val="none" w:sz="0" w:space="0" w:color="auto"/>
          </w:divBdr>
        </w:div>
      </w:divsChild>
    </w:div>
    <w:div w:id="1997492819">
      <w:bodyDiv w:val="1"/>
      <w:marLeft w:val="0"/>
      <w:marRight w:val="0"/>
      <w:marTop w:val="0"/>
      <w:marBottom w:val="0"/>
      <w:divBdr>
        <w:top w:val="none" w:sz="0" w:space="0" w:color="auto"/>
        <w:left w:val="none" w:sz="0" w:space="0" w:color="auto"/>
        <w:bottom w:val="none" w:sz="0" w:space="0" w:color="auto"/>
        <w:right w:val="none" w:sz="0" w:space="0" w:color="auto"/>
      </w:divBdr>
    </w:div>
    <w:div w:id="2022855473">
      <w:bodyDiv w:val="1"/>
      <w:marLeft w:val="0"/>
      <w:marRight w:val="0"/>
      <w:marTop w:val="0"/>
      <w:marBottom w:val="0"/>
      <w:divBdr>
        <w:top w:val="none" w:sz="0" w:space="0" w:color="auto"/>
        <w:left w:val="none" w:sz="0" w:space="0" w:color="auto"/>
        <w:bottom w:val="none" w:sz="0" w:space="0" w:color="auto"/>
        <w:right w:val="none" w:sz="0" w:space="0" w:color="auto"/>
      </w:divBdr>
    </w:div>
    <w:div w:id="2040009240">
      <w:bodyDiv w:val="1"/>
      <w:marLeft w:val="0"/>
      <w:marRight w:val="0"/>
      <w:marTop w:val="0"/>
      <w:marBottom w:val="0"/>
      <w:divBdr>
        <w:top w:val="none" w:sz="0" w:space="0" w:color="auto"/>
        <w:left w:val="none" w:sz="0" w:space="0" w:color="auto"/>
        <w:bottom w:val="none" w:sz="0" w:space="0" w:color="auto"/>
        <w:right w:val="none" w:sz="0" w:space="0" w:color="auto"/>
      </w:divBdr>
    </w:div>
    <w:div w:id="2051876496">
      <w:bodyDiv w:val="1"/>
      <w:marLeft w:val="0"/>
      <w:marRight w:val="0"/>
      <w:marTop w:val="0"/>
      <w:marBottom w:val="0"/>
      <w:divBdr>
        <w:top w:val="none" w:sz="0" w:space="0" w:color="auto"/>
        <w:left w:val="none" w:sz="0" w:space="0" w:color="auto"/>
        <w:bottom w:val="none" w:sz="0" w:space="0" w:color="auto"/>
        <w:right w:val="none" w:sz="0" w:space="0" w:color="auto"/>
      </w:divBdr>
    </w:div>
    <w:div w:id="2061248570">
      <w:bodyDiv w:val="1"/>
      <w:marLeft w:val="0"/>
      <w:marRight w:val="0"/>
      <w:marTop w:val="0"/>
      <w:marBottom w:val="0"/>
      <w:divBdr>
        <w:top w:val="none" w:sz="0" w:space="0" w:color="auto"/>
        <w:left w:val="none" w:sz="0" w:space="0" w:color="auto"/>
        <w:bottom w:val="none" w:sz="0" w:space="0" w:color="auto"/>
        <w:right w:val="none" w:sz="0" w:space="0" w:color="auto"/>
      </w:divBdr>
    </w:div>
    <w:div w:id="206532863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022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uments1.worldbank.org/curated/en/381221644297502516/pdf/Overview.pdf"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A86E8-D9CE-456B-905B-C54A7BF27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5922</Words>
  <Characters>33762</Characters>
  <Application>Microsoft Office Word</Application>
  <DocSecurity>0</DocSecurity>
  <Lines>281</Lines>
  <Paragraphs>79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Grizli777</Company>
  <LinksUpToDate>false</LinksUpToDate>
  <CharactersWithSpaces>39605</CharactersWithSpaces>
  <SharedDoc>false</SharedDoc>
  <HLinks>
    <vt:vector size="204" baseType="variant">
      <vt:variant>
        <vt:i4>1900614</vt:i4>
      </vt:variant>
      <vt:variant>
        <vt:i4>273</vt:i4>
      </vt:variant>
      <vt:variant>
        <vt:i4>0</vt:i4>
      </vt:variant>
      <vt:variant>
        <vt:i4>5</vt:i4>
      </vt:variant>
      <vt:variant>
        <vt:lpwstr>https://www.redseaglobal.com/ar/</vt:lpwstr>
      </vt:variant>
      <vt:variant>
        <vt:lpwstr/>
      </vt:variant>
      <vt:variant>
        <vt:i4>1966136</vt:i4>
      </vt:variant>
      <vt:variant>
        <vt:i4>200</vt:i4>
      </vt:variant>
      <vt:variant>
        <vt:i4>0</vt:i4>
      </vt:variant>
      <vt:variant>
        <vt:i4>5</vt:i4>
      </vt:variant>
      <vt:variant>
        <vt:lpwstr/>
      </vt:variant>
      <vt:variant>
        <vt:lpwstr>_Toc216252988</vt:lpwstr>
      </vt:variant>
      <vt:variant>
        <vt:i4>1966136</vt:i4>
      </vt:variant>
      <vt:variant>
        <vt:i4>194</vt:i4>
      </vt:variant>
      <vt:variant>
        <vt:i4>0</vt:i4>
      </vt:variant>
      <vt:variant>
        <vt:i4>5</vt:i4>
      </vt:variant>
      <vt:variant>
        <vt:lpwstr/>
      </vt:variant>
      <vt:variant>
        <vt:lpwstr>_Toc216252987</vt:lpwstr>
      </vt:variant>
      <vt:variant>
        <vt:i4>1966136</vt:i4>
      </vt:variant>
      <vt:variant>
        <vt:i4>188</vt:i4>
      </vt:variant>
      <vt:variant>
        <vt:i4>0</vt:i4>
      </vt:variant>
      <vt:variant>
        <vt:i4>5</vt:i4>
      </vt:variant>
      <vt:variant>
        <vt:lpwstr/>
      </vt:variant>
      <vt:variant>
        <vt:lpwstr>_Toc216252986</vt:lpwstr>
      </vt:variant>
      <vt:variant>
        <vt:i4>2031672</vt:i4>
      </vt:variant>
      <vt:variant>
        <vt:i4>179</vt:i4>
      </vt:variant>
      <vt:variant>
        <vt:i4>0</vt:i4>
      </vt:variant>
      <vt:variant>
        <vt:i4>5</vt:i4>
      </vt:variant>
      <vt:variant>
        <vt:lpwstr/>
      </vt:variant>
      <vt:variant>
        <vt:lpwstr>_Toc216252996</vt:lpwstr>
      </vt:variant>
      <vt:variant>
        <vt:i4>2031672</vt:i4>
      </vt:variant>
      <vt:variant>
        <vt:i4>173</vt:i4>
      </vt:variant>
      <vt:variant>
        <vt:i4>0</vt:i4>
      </vt:variant>
      <vt:variant>
        <vt:i4>5</vt:i4>
      </vt:variant>
      <vt:variant>
        <vt:lpwstr/>
      </vt:variant>
      <vt:variant>
        <vt:lpwstr>_Toc216252995</vt:lpwstr>
      </vt:variant>
      <vt:variant>
        <vt:i4>2031672</vt:i4>
      </vt:variant>
      <vt:variant>
        <vt:i4>167</vt:i4>
      </vt:variant>
      <vt:variant>
        <vt:i4>0</vt:i4>
      </vt:variant>
      <vt:variant>
        <vt:i4>5</vt:i4>
      </vt:variant>
      <vt:variant>
        <vt:lpwstr/>
      </vt:variant>
      <vt:variant>
        <vt:lpwstr>_Toc216252994</vt:lpwstr>
      </vt:variant>
      <vt:variant>
        <vt:i4>1376312</vt:i4>
      </vt:variant>
      <vt:variant>
        <vt:i4>158</vt:i4>
      </vt:variant>
      <vt:variant>
        <vt:i4>0</vt:i4>
      </vt:variant>
      <vt:variant>
        <vt:i4>5</vt:i4>
      </vt:variant>
      <vt:variant>
        <vt:lpwstr/>
      </vt:variant>
      <vt:variant>
        <vt:lpwstr>_Toc216252934</vt:lpwstr>
      </vt:variant>
      <vt:variant>
        <vt:i4>1376312</vt:i4>
      </vt:variant>
      <vt:variant>
        <vt:i4>152</vt:i4>
      </vt:variant>
      <vt:variant>
        <vt:i4>0</vt:i4>
      </vt:variant>
      <vt:variant>
        <vt:i4>5</vt:i4>
      </vt:variant>
      <vt:variant>
        <vt:lpwstr/>
      </vt:variant>
      <vt:variant>
        <vt:lpwstr>_Toc216252933</vt:lpwstr>
      </vt:variant>
      <vt:variant>
        <vt:i4>1376312</vt:i4>
      </vt:variant>
      <vt:variant>
        <vt:i4>146</vt:i4>
      </vt:variant>
      <vt:variant>
        <vt:i4>0</vt:i4>
      </vt:variant>
      <vt:variant>
        <vt:i4>5</vt:i4>
      </vt:variant>
      <vt:variant>
        <vt:lpwstr/>
      </vt:variant>
      <vt:variant>
        <vt:lpwstr>_Toc216252932</vt:lpwstr>
      </vt:variant>
      <vt:variant>
        <vt:i4>1376312</vt:i4>
      </vt:variant>
      <vt:variant>
        <vt:i4>140</vt:i4>
      </vt:variant>
      <vt:variant>
        <vt:i4>0</vt:i4>
      </vt:variant>
      <vt:variant>
        <vt:i4>5</vt:i4>
      </vt:variant>
      <vt:variant>
        <vt:lpwstr/>
      </vt:variant>
      <vt:variant>
        <vt:lpwstr>_Toc216252931</vt:lpwstr>
      </vt:variant>
      <vt:variant>
        <vt:i4>1376312</vt:i4>
      </vt:variant>
      <vt:variant>
        <vt:i4>134</vt:i4>
      </vt:variant>
      <vt:variant>
        <vt:i4>0</vt:i4>
      </vt:variant>
      <vt:variant>
        <vt:i4>5</vt:i4>
      </vt:variant>
      <vt:variant>
        <vt:lpwstr/>
      </vt:variant>
      <vt:variant>
        <vt:lpwstr>_Toc216252930</vt:lpwstr>
      </vt:variant>
      <vt:variant>
        <vt:i4>1310776</vt:i4>
      </vt:variant>
      <vt:variant>
        <vt:i4>128</vt:i4>
      </vt:variant>
      <vt:variant>
        <vt:i4>0</vt:i4>
      </vt:variant>
      <vt:variant>
        <vt:i4>5</vt:i4>
      </vt:variant>
      <vt:variant>
        <vt:lpwstr/>
      </vt:variant>
      <vt:variant>
        <vt:lpwstr>_Toc216252929</vt:lpwstr>
      </vt:variant>
      <vt:variant>
        <vt:i4>1310776</vt:i4>
      </vt:variant>
      <vt:variant>
        <vt:i4>122</vt:i4>
      </vt:variant>
      <vt:variant>
        <vt:i4>0</vt:i4>
      </vt:variant>
      <vt:variant>
        <vt:i4>5</vt:i4>
      </vt:variant>
      <vt:variant>
        <vt:lpwstr/>
      </vt:variant>
      <vt:variant>
        <vt:lpwstr>_Toc216252928</vt:lpwstr>
      </vt:variant>
      <vt:variant>
        <vt:i4>1310776</vt:i4>
      </vt:variant>
      <vt:variant>
        <vt:i4>116</vt:i4>
      </vt:variant>
      <vt:variant>
        <vt:i4>0</vt:i4>
      </vt:variant>
      <vt:variant>
        <vt:i4>5</vt:i4>
      </vt:variant>
      <vt:variant>
        <vt:lpwstr/>
      </vt:variant>
      <vt:variant>
        <vt:lpwstr>_Toc216252927</vt:lpwstr>
      </vt:variant>
      <vt:variant>
        <vt:i4>1310776</vt:i4>
      </vt:variant>
      <vt:variant>
        <vt:i4>110</vt:i4>
      </vt:variant>
      <vt:variant>
        <vt:i4>0</vt:i4>
      </vt:variant>
      <vt:variant>
        <vt:i4>5</vt:i4>
      </vt:variant>
      <vt:variant>
        <vt:lpwstr/>
      </vt:variant>
      <vt:variant>
        <vt:lpwstr>_Toc216252926</vt:lpwstr>
      </vt:variant>
      <vt:variant>
        <vt:i4>1310776</vt:i4>
      </vt:variant>
      <vt:variant>
        <vt:i4>104</vt:i4>
      </vt:variant>
      <vt:variant>
        <vt:i4>0</vt:i4>
      </vt:variant>
      <vt:variant>
        <vt:i4>5</vt:i4>
      </vt:variant>
      <vt:variant>
        <vt:lpwstr/>
      </vt:variant>
      <vt:variant>
        <vt:lpwstr>_Toc216252925</vt:lpwstr>
      </vt:variant>
      <vt:variant>
        <vt:i4>1310776</vt:i4>
      </vt:variant>
      <vt:variant>
        <vt:i4>98</vt:i4>
      </vt:variant>
      <vt:variant>
        <vt:i4>0</vt:i4>
      </vt:variant>
      <vt:variant>
        <vt:i4>5</vt:i4>
      </vt:variant>
      <vt:variant>
        <vt:lpwstr/>
      </vt:variant>
      <vt:variant>
        <vt:lpwstr>_Toc216252924</vt:lpwstr>
      </vt:variant>
      <vt:variant>
        <vt:i4>1310776</vt:i4>
      </vt:variant>
      <vt:variant>
        <vt:i4>92</vt:i4>
      </vt:variant>
      <vt:variant>
        <vt:i4>0</vt:i4>
      </vt:variant>
      <vt:variant>
        <vt:i4>5</vt:i4>
      </vt:variant>
      <vt:variant>
        <vt:lpwstr/>
      </vt:variant>
      <vt:variant>
        <vt:lpwstr>_Toc216252923</vt:lpwstr>
      </vt:variant>
      <vt:variant>
        <vt:i4>1310776</vt:i4>
      </vt:variant>
      <vt:variant>
        <vt:i4>86</vt:i4>
      </vt:variant>
      <vt:variant>
        <vt:i4>0</vt:i4>
      </vt:variant>
      <vt:variant>
        <vt:i4>5</vt:i4>
      </vt:variant>
      <vt:variant>
        <vt:lpwstr/>
      </vt:variant>
      <vt:variant>
        <vt:lpwstr>_Toc216252922</vt:lpwstr>
      </vt:variant>
      <vt:variant>
        <vt:i4>1310776</vt:i4>
      </vt:variant>
      <vt:variant>
        <vt:i4>80</vt:i4>
      </vt:variant>
      <vt:variant>
        <vt:i4>0</vt:i4>
      </vt:variant>
      <vt:variant>
        <vt:i4>5</vt:i4>
      </vt:variant>
      <vt:variant>
        <vt:lpwstr/>
      </vt:variant>
      <vt:variant>
        <vt:lpwstr>_Toc216252921</vt:lpwstr>
      </vt:variant>
      <vt:variant>
        <vt:i4>1310776</vt:i4>
      </vt:variant>
      <vt:variant>
        <vt:i4>74</vt:i4>
      </vt:variant>
      <vt:variant>
        <vt:i4>0</vt:i4>
      </vt:variant>
      <vt:variant>
        <vt:i4>5</vt:i4>
      </vt:variant>
      <vt:variant>
        <vt:lpwstr/>
      </vt:variant>
      <vt:variant>
        <vt:lpwstr>_Toc216252920</vt:lpwstr>
      </vt:variant>
      <vt:variant>
        <vt:i4>1507384</vt:i4>
      </vt:variant>
      <vt:variant>
        <vt:i4>68</vt:i4>
      </vt:variant>
      <vt:variant>
        <vt:i4>0</vt:i4>
      </vt:variant>
      <vt:variant>
        <vt:i4>5</vt:i4>
      </vt:variant>
      <vt:variant>
        <vt:lpwstr/>
      </vt:variant>
      <vt:variant>
        <vt:lpwstr>_Toc216252919</vt:lpwstr>
      </vt:variant>
      <vt:variant>
        <vt:i4>1507384</vt:i4>
      </vt:variant>
      <vt:variant>
        <vt:i4>62</vt:i4>
      </vt:variant>
      <vt:variant>
        <vt:i4>0</vt:i4>
      </vt:variant>
      <vt:variant>
        <vt:i4>5</vt:i4>
      </vt:variant>
      <vt:variant>
        <vt:lpwstr/>
      </vt:variant>
      <vt:variant>
        <vt:lpwstr>_Toc216252918</vt:lpwstr>
      </vt:variant>
      <vt:variant>
        <vt:i4>1507384</vt:i4>
      </vt:variant>
      <vt:variant>
        <vt:i4>56</vt:i4>
      </vt:variant>
      <vt:variant>
        <vt:i4>0</vt:i4>
      </vt:variant>
      <vt:variant>
        <vt:i4>5</vt:i4>
      </vt:variant>
      <vt:variant>
        <vt:lpwstr/>
      </vt:variant>
      <vt:variant>
        <vt:lpwstr>_Toc216252917</vt:lpwstr>
      </vt:variant>
      <vt:variant>
        <vt:i4>1507384</vt:i4>
      </vt:variant>
      <vt:variant>
        <vt:i4>50</vt:i4>
      </vt:variant>
      <vt:variant>
        <vt:i4>0</vt:i4>
      </vt:variant>
      <vt:variant>
        <vt:i4>5</vt:i4>
      </vt:variant>
      <vt:variant>
        <vt:lpwstr/>
      </vt:variant>
      <vt:variant>
        <vt:lpwstr>_Toc216252916</vt:lpwstr>
      </vt:variant>
      <vt:variant>
        <vt:i4>1507384</vt:i4>
      </vt:variant>
      <vt:variant>
        <vt:i4>44</vt:i4>
      </vt:variant>
      <vt:variant>
        <vt:i4>0</vt:i4>
      </vt:variant>
      <vt:variant>
        <vt:i4>5</vt:i4>
      </vt:variant>
      <vt:variant>
        <vt:lpwstr/>
      </vt:variant>
      <vt:variant>
        <vt:lpwstr>_Toc216252915</vt:lpwstr>
      </vt:variant>
      <vt:variant>
        <vt:i4>1507384</vt:i4>
      </vt:variant>
      <vt:variant>
        <vt:i4>38</vt:i4>
      </vt:variant>
      <vt:variant>
        <vt:i4>0</vt:i4>
      </vt:variant>
      <vt:variant>
        <vt:i4>5</vt:i4>
      </vt:variant>
      <vt:variant>
        <vt:lpwstr/>
      </vt:variant>
      <vt:variant>
        <vt:lpwstr>_Toc216252914</vt:lpwstr>
      </vt:variant>
      <vt:variant>
        <vt:i4>1507384</vt:i4>
      </vt:variant>
      <vt:variant>
        <vt:i4>32</vt:i4>
      </vt:variant>
      <vt:variant>
        <vt:i4>0</vt:i4>
      </vt:variant>
      <vt:variant>
        <vt:i4>5</vt:i4>
      </vt:variant>
      <vt:variant>
        <vt:lpwstr/>
      </vt:variant>
      <vt:variant>
        <vt:lpwstr>_Toc216252913</vt:lpwstr>
      </vt:variant>
      <vt:variant>
        <vt:i4>1507384</vt:i4>
      </vt:variant>
      <vt:variant>
        <vt:i4>26</vt:i4>
      </vt:variant>
      <vt:variant>
        <vt:i4>0</vt:i4>
      </vt:variant>
      <vt:variant>
        <vt:i4>5</vt:i4>
      </vt:variant>
      <vt:variant>
        <vt:lpwstr/>
      </vt:variant>
      <vt:variant>
        <vt:lpwstr>_Toc216252912</vt:lpwstr>
      </vt:variant>
      <vt:variant>
        <vt:i4>1507384</vt:i4>
      </vt:variant>
      <vt:variant>
        <vt:i4>20</vt:i4>
      </vt:variant>
      <vt:variant>
        <vt:i4>0</vt:i4>
      </vt:variant>
      <vt:variant>
        <vt:i4>5</vt:i4>
      </vt:variant>
      <vt:variant>
        <vt:lpwstr/>
      </vt:variant>
      <vt:variant>
        <vt:lpwstr>_Toc216252911</vt:lpwstr>
      </vt:variant>
      <vt:variant>
        <vt:i4>1507384</vt:i4>
      </vt:variant>
      <vt:variant>
        <vt:i4>14</vt:i4>
      </vt:variant>
      <vt:variant>
        <vt:i4>0</vt:i4>
      </vt:variant>
      <vt:variant>
        <vt:i4>5</vt:i4>
      </vt:variant>
      <vt:variant>
        <vt:lpwstr/>
      </vt:variant>
      <vt:variant>
        <vt:lpwstr>_Toc216252910</vt:lpwstr>
      </vt:variant>
      <vt:variant>
        <vt:i4>1441848</vt:i4>
      </vt:variant>
      <vt:variant>
        <vt:i4>8</vt:i4>
      </vt:variant>
      <vt:variant>
        <vt:i4>0</vt:i4>
      </vt:variant>
      <vt:variant>
        <vt:i4>5</vt:i4>
      </vt:variant>
      <vt:variant>
        <vt:lpwstr/>
      </vt:variant>
      <vt:variant>
        <vt:lpwstr>_Toc216252909</vt:lpwstr>
      </vt:variant>
      <vt:variant>
        <vt:i4>1441848</vt:i4>
      </vt:variant>
      <vt:variant>
        <vt:i4>2</vt:i4>
      </vt:variant>
      <vt:variant>
        <vt:i4>0</vt:i4>
      </vt:variant>
      <vt:variant>
        <vt:i4>5</vt:i4>
      </vt:variant>
      <vt:variant>
        <vt:lpwstr/>
      </vt:variant>
      <vt:variant>
        <vt:lpwstr>_Toc216252908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Adel Hammas</cp:lastModifiedBy>
  <cp:revision>8</cp:revision>
  <cp:lastPrinted>2026-06-24T11:05:00Z</cp:lastPrinted>
  <dcterms:created xsi:type="dcterms:W3CDTF">2026-08-13T08:05:00Z</dcterms:created>
  <dcterms:modified xsi:type="dcterms:W3CDTF">2026-08-13T18:26:00Z</dcterms:modified>
</cp:coreProperties>
</file>